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documenttasks/documenttasks1.xml" ContentType="application/vnd.ms-office.documenttask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FD6E3" w14:textId="3B60B16D" w:rsidR="0062235E" w:rsidRPr="0039102C" w:rsidRDefault="00DD22DB" w:rsidP="00DD22DB">
      <w:pPr>
        <w:pStyle w:val="Pagedecouverture"/>
        <w:rPr>
          <w:noProof/>
        </w:rPr>
      </w:pPr>
      <w:bookmarkStart w:id="0" w:name="LW_BM_COVERPAGE"/>
      <w:r>
        <w:rPr>
          <w:noProof/>
        </w:rPr>
        <w:pict w14:anchorId="05C20A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9B7EBF48-6A47-4154-855D-1DAFA212C858" style="width:455.25pt;height:286.5pt">
            <v:imagedata r:id="rId11" o:title=""/>
          </v:shape>
        </w:pict>
      </w:r>
    </w:p>
    <w:bookmarkEnd w:id="0"/>
    <w:p w14:paraId="69474710" w14:textId="77777777" w:rsidR="00535E6D" w:rsidRPr="0039102C" w:rsidRDefault="00535E6D" w:rsidP="00535E6D">
      <w:pPr>
        <w:rPr>
          <w:rFonts w:ascii="Times New Roman" w:hAnsi="Times New Roman" w:cs="Times New Roman"/>
          <w:noProof/>
        </w:rPr>
        <w:sectPr w:rsidR="00535E6D" w:rsidRPr="0039102C" w:rsidSect="00DD22DB">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bookmarkStart w:id="1" w:name="_GoBack" w:displacedByCustomXml="next"/>
    <w:bookmarkEnd w:id="1" w:displacedByCustomXml="next"/>
    <w:sdt>
      <w:sdtPr>
        <w:rPr>
          <w:rFonts w:ascii="Times New Roman" w:eastAsiaTheme="minorEastAsia" w:hAnsi="Times New Roman" w:cs="Times New Roman"/>
          <w:noProof/>
          <w:color w:val="auto"/>
          <w:kern w:val="2"/>
          <w:sz w:val="22"/>
          <w:szCs w:val="22"/>
          <w14:ligatures w14:val="standardContextual"/>
        </w:rPr>
        <w:id w:val="-1982607423"/>
        <w:docPartObj>
          <w:docPartGallery w:val="Table of Contents"/>
          <w:docPartUnique/>
        </w:docPartObj>
      </w:sdtPr>
      <w:sdtEndPr>
        <w:rPr>
          <w:b/>
          <w:bCs/>
        </w:rPr>
      </w:sdtEndPr>
      <w:sdtContent>
        <w:p w14:paraId="1D401B93" w14:textId="7EEF7F0E" w:rsidR="00F00D70" w:rsidRPr="0039102C" w:rsidRDefault="00F00D70">
          <w:pPr>
            <w:pStyle w:val="TOCHeading"/>
            <w:rPr>
              <w:rFonts w:ascii="Times New Roman" w:hAnsi="Times New Roman" w:cs="Times New Roman"/>
              <w:noProof/>
              <w:sz w:val="22"/>
              <w:szCs w:val="22"/>
            </w:rPr>
          </w:pPr>
          <w:r w:rsidRPr="0039102C">
            <w:rPr>
              <w:rFonts w:ascii="Times New Roman" w:hAnsi="Times New Roman"/>
              <w:noProof/>
              <w:sz w:val="22"/>
            </w:rPr>
            <w:t>Índice</w:t>
          </w:r>
        </w:p>
        <w:p w14:paraId="1819E9B8" w14:textId="581F4998" w:rsidR="009F1748" w:rsidRDefault="00F00D70">
          <w:pPr>
            <w:pStyle w:val="TOC1"/>
            <w:tabs>
              <w:tab w:val="left" w:pos="440"/>
              <w:tab w:val="right" w:leader="dot" w:pos="9016"/>
            </w:tabs>
            <w:rPr>
              <w:rFonts w:eastAsiaTheme="minorEastAsia"/>
              <w:noProof/>
              <w:sz w:val="24"/>
              <w:szCs w:val="24"/>
              <w:lang w:val="en-IE" w:eastAsia="en-IE"/>
            </w:rPr>
          </w:pPr>
          <w:r w:rsidRPr="0039102C">
            <w:rPr>
              <w:rFonts w:ascii="Times New Roman" w:hAnsi="Times New Roman" w:cs="Times New Roman"/>
              <w:noProof/>
            </w:rPr>
            <w:fldChar w:fldCharType="begin"/>
          </w:r>
          <w:r w:rsidRPr="0039102C">
            <w:rPr>
              <w:rFonts w:ascii="Times New Roman" w:hAnsi="Times New Roman" w:cs="Times New Roman"/>
              <w:noProof/>
            </w:rPr>
            <w:instrText xml:space="preserve"> TOC \o "1-3" \h \z \u </w:instrText>
          </w:r>
          <w:r w:rsidRPr="0039102C">
            <w:rPr>
              <w:rFonts w:ascii="Times New Roman" w:hAnsi="Times New Roman" w:cs="Times New Roman"/>
              <w:noProof/>
            </w:rPr>
            <w:fldChar w:fldCharType="separate"/>
          </w:r>
          <w:hyperlink w:anchor="_Toc218529273" w:history="1">
            <w:r w:rsidR="009F1748" w:rsidRPr="005E60C7">
              <w:rPr>
                <w:rStyle w:val="Hyperlink"/>
                <w:noProof/>
              </w:rPr>
              <w:t>1.</w:t>
            </w:r>
            <w:r w:rsidR="009F1748">
              <w:rPr>
                <w:rFonts w:eastAsiaTheme="minorEastAsia"/>
                <w:noProof/>
                <w:sz w:val="24"/>
                <w:szCs w:val="24"/>
                <w:lang w:val="en-IE" w:eastAsia="en-IE"/>
              </w:rPr>
              <w:tab/>
            </w:r>
            <w:r w:rsidR="009F1748" w:rsidRPr="005E60C7">
              <w:rPr>
                <w:rStyle w:val="Hyperlink"/>
                <w:noProof/>
              </w:rPr>
              <w:t>Introdução</w:t>
            </w:r>
            <w:r w:rsidR="009F1748">
              <w:rPr>
                <w:noProof/>
                <w:webHidden/>
              </w:rPr>
              <w:tab/>
            </w:r>
            <w:r w:rsidR="009F1748">
              <w:rPr>
                <w:noProof/>
                <w:webHidden/>
              </w:rPr>
              <w:fldChar w:fldCharType="begin"/>
            </w:r>
            <w:r w:rsidR="009F1748">
              <w:rPr>
                <w:noProof/>
                <w:webHidden/>
              </w:rPr>
              <w:instrText xml:space="preserve"> PAGEREF _Toc218529273 \h </w:instrText>
            </w:r>
            <w:r w:rsidR="009F1748">
              <w:rPr>
                <w:noProof/>
                <w:webHidden/>
              </w:rPr>
            </w:r>
            <w:r w:rsidR="009F1748">
              <w:rPr>
                <w:noProof/>
                <w:webHidden/>
              </w:rPr>
              <w:fldChar w:fldCharType="separate"/>
            </w:r>
            <w:r w:rsidR="004D6097">
              <w:rPr>
                <w:noProof/>
                <w:webHidden/>
              </w:rPr>
              <w:t>3</w:t>
            </w:r>
            <w:r w:rsidR="009F1748">
              <w:rPr>
                <w:noProof/>
                <w:webHidden/>
              </w:rPr>
              <w:fldChar w:fldCharType="end"/>
            </w:r>
          </w:hyperlink>
        </w:p>
        <w:p w14:paraId="3527F6C9" w14:textId="023C150A" w:rsidR="009F1748" w:rsidRDefault="00DD22DB">
          <w:pPr>
            <w:pStyle w:val="TOC1"/>
            <w:tabs>
              <w:tab w:val="left" w:pos="440"/>
              <w:tab w:val="right" w:leader="dot" w:pos="9016"/>
            </w:tabs>
            <w:rPr>
              <w:rFonts w:eastAsiaTheme="minorEastAsia"/>
              <w:noProof/>
              <w:sz w:val="24"/>
              <w:szCs w:val="24"/>
              <w:lang w:val="en-IE" w:eastAsia="en-IE"/>
            </w:rPr>
          </w:pPr>
          <w:hyperlink w:anchor="_Toc218529274" w:history="1">
            <w:r w:rsidR="009F1748" w:rsidRPr="005E60C7">
              <w:rPr>
                <w:rStyle w:val="Hyperlink"/>
                <w:noProof/>
              </w:rPr>
              <w:t>2.</w:t>
            </w:r>
            <w:r w:rsidR="009F1748">
              <w:rPr>
                <w:rFonts w:eastAsiaTheme="minorEastAsia"/>
                <w:noProof/>
                <w:sz w:val="24"/>
                <w:szCs w:val="24"/>
                <w:lang w:val="en-IE" w:eastAsia="en-IE"/>
              </w:rPr>
              <w:tab/>
            </w:r>
            <w:r w:rsidR="009F1748" w:rsidRPr="005E60C7">
              <w:rPr>
                <w:rStyle w:val="Hyperlink"/>
                <w:noProof/>
              </w:rPr>
              <w:t>Ponto da situação do CELE</w:t>
            </w:r>
            <w:r w:rsidR="009F1748">
              <w:rPr>
                <w:noProof/>
                <w:webHidden/>
              </w:rPr>
              <w:tab/>
            </w:r>
            <w:r w:rsidR="009F1748">
              <w:rPr>
                <w:noProof/>
                <w:webHidden/>
              </w:rPr>
              <w:fldChar w:fldCharType="begin"/>
            </w:r>
            <w:r w:rsidR="009F1748">
              <w:rPr>
                <w:noProof/>
                <w:webHidden/>
              </w:rPr>
              <w:instrText xml:space="preserve"> PAGEREF _Toc218529274 \h </w:instrText>
            </w:r>
            <w:r w:rsidR="009F1748">
              <w:rPr>
                <w:noProof/>
                <w:webHidden/>
              </w:rPr>
            </w:r>
            <w:r w:rsidR="009F1748">
              <w:rPr>
                <w:noProof/>
                <w:webHidden/>
              </w:rPr>
              <w:fldChar w:fldCharType="separate"/>
            </w:r>
            <w:r w:rsidR="004D6097">
              <w:rPr>
                <w:noProof/>
                <w:webHidden/>
              </w:rPr>
              <w:t>4</w:t>
            </w:r>
            <w:r w:rsidR="009F1748">
              <w:rPr>
                <w:noProof/>
                <w:webHidden/>
              </w:rPr>
              <w:fldChar w:fldCharType="end"/>
            </w:r>
          </w:hyperlink>
        </w:p>
        <w:p w14:paraId="593346AC" w14:textId="503A21B6" w:rsidR="009F1748" w:rsidRDefault="00DD22DB">
          <w:pPr>
            <w:pStyle w:val="TOC2"/>
            <w:tabs>
              <w:tab w:val="left" w:pos="960"/>
              <w:tab w:val="right" w:leader="dot" w:pos="9016"/>
            </w:tabs>
            <w:rPr>
              <w:rFonts w:cstheme="minorBidi"/>
              <w:noProof/>
              <w:kern w:val="2"/>
              <w:sz w:val="24"/>
              <w:szCs w:val="24"/>
              <w:lang w:val="en-IE" w:eastAsia="en-IE"/>
              <w14:ligatures w14:val="standardContextual"/>
            </w:rPr>
          </w:pPr>
          <w:hyperlink w:anchor="_Toc218529275" w:history="1">
            <w:r w:rsidR="009F1748" w:rsidRPr="005E60C7">
              <w:rPr>
                <w:rStyle w:val="Hyperlink"/>
                <w:noProof/>
              </w:rPr>
              <w:t>2.1.</w:t>
            </w:r>
            <w:r w:rsidR="009F1748">
              <w:rPr>
                <w:rFonts w:cstheme="minorBidi"/>
                <w:noProof/>
                <w:kern w:val="2"/>
                <w:sz w:val="24"/>
                <w:szCs w:val="24"/>
                <w:lang w:val="en-IE" w:eastAsia="en-IE"/>
                <w14:ligatures w14:val="standardContextual"/>
              </w:rPr>
              <w:tab/>
            </w:r>
            <w:r w:rsidR="009F1748" w:rsidRPr="005E60C7">
              <w:rPr>
                <w:rStyle w:val="Hyperlink"/>
                <w:noProof/>
              </w:rPr>
              <w:t>Âmbito de aplicação e cobertura</w:t>
            </w:r>
            <w:r w:rsidR="009F1748">
              <w:rPr>
                <w:noProof/>
                <w:webHidden/>
              </w:rPr>
              <w:tab/>
            </w:r>
            <w:r w:rsidR="009F1748">
              <w:rPr>
                <w:noProof/>
                <w:webHidden/>
              </w:rPr>
              <w:fldChar w:fldCharType="begin"/>
            </w:r>
            <w:r w:rsidR="009F1748">
              <w:rPr>
                <w:noProof/>
                <w:webHidden/>
              </w:rPr>
              <w:instrText xml:space="preserve"> PAGEREF _Toc218529275 \h </w:instrText>
            </w:r>
            <w:r w:rsidR="009F1748">
              <w:rPr>
                <w:noProof/>
                <w:webHidden/>
              </w:rPr>
            </w:r>
            <w:r w:rsidR="009F1748">
              <w:rPr>
                <w:noProof/>
                <w:webHidden/>
              </w:rPr>
              <w:fldChar w:fldCharType="separate"/>
            </w:r>
            <w:r w:rsidR="004D6097">
              <w:rPr>
                <w:noProof/>
                <w:webHidden/>
              </w:rPr>
              <w:t>4</w:t>
            </w:r>
            <w:r w:rsidR="009F1748">
              <w:rPr>
                <w:noProof/>
                <w:webHidden/>
              </w:rPr>
              <w:fldChar w:fldCharType="end"/>
            </w:r>
          </w:hyperlink>
        </w:p>
        <w:p w14:paraId="1F2B2388" w14:textId="74CA0FE3" w:rsidR="009F1748" w:rsidRDefault="00DD22DB">
          <w:pPr>
            <w:pStyle w:val="TOC2"/>
            <w:tabs>
              <w:tab w:val="left" w:pos="960"/>
              <w:tab w:val="right" w:leader="dot" w:pos="9016"/>
            </w:tabs>
            <w:rPr>
              <w:rFonts w:cstheme="minorBidi"/>
              <w:noProof/>
              <w:kern w:val="2"/>
              <w:sz w:val="24"/>
              <w:szCs w:val="24"/>
              <w:lang w:val="en-IE" w:eastAsia="en-IE"/>
              <w14:ligatures w14:val="standardContextual"/>
            </w:rPr>
          </w:pPr>
          <w:hyperlink w:anchor="_Toc218529276" w:history="1">
            <w:r w:rsidR="009F1748" w:rsidRPr="005E60C7">
              <w:rPr>
                <w:rStyle w:val="Hyperlink"/>
                <w:noProof/>
              </w:rPr>
              <w:t>2.2.</w:t>
            </w:r>
            <w:r w:rsidR="009F1748">
              <w:rPr>
                <w:rFonts w:cstheme="minorBidi"/>
                <w:noProof/>
                <w:kern w:val="2"/>
                <w:sz w:val="24"/>
                <w:szCs w:val="24"/>
                <w:lang w:val="en-IE" w:eastAsia="en-IE"/>
                <w14:ligatures w14:val="standardContextual"/>
              </w:rPr>
              <w:tab/>
            </w:r>
            <w:r w:rsidR="009F1748" w:rsidRPr="005E60C7">
              <w:rPr>
                <w:rStyle w:val="Hyperlink"/>
                <w:noProof/>
              </w:rPr>
              <w:t>CELE 2 — O novo sistema de comércio de licenças de emissão para os setores dos edifícios, do transporte rodoviário e outros setores</w:t>
            </w:r>
            <w:r w:rsidR="009F1748">
              <w:rPr>
                <w:noProof/>
                <w:webHidden/>
              </w:rPr>
              <w:tab/>
            </w:r>
            <w:r w:rsidR="009F1748">
              <w:rPr>
                <w:noProof/>
                <w:webHidden/>
              </w:rPr>
              <w:fldChar w:fldCharType="begin"/>
            </w:r>
            <w:r w:rsidR="009F1748">
              <w:rPr>
                <w:noProof/>
                <w:webHidden/>
              </w:rPr>
              <w:instrText xml:space="preserve"> PAGEREF _Toc218529276 \h </w:instrText>
            </w:r>
            <w:r w:rsidR="009F1748">
              <w:rPr>
                <w:noProof/>
                <w:webHidden/>
              </w:rPr>
            </w:r>
            <w:r w:rsidR="009F1748">
              <w:rPr>
                <w:noProof/>
                <w:webHidden/>
              </w:rPr>
              <w:fldChar w:fldCharType="separate"/>
            </w:r>
            <w:r w:rsidR="004D6097">
              <w:rPr>
                <w:noProof/>
                <w:webHidden/>
              </w:rPr>
              <w:t>5</w:t>
            </w:r>
            <w:r w:rsidR="009F1748">
              <w:rPr>
                <w:noProof/>
                <w:webHidden/>
              </w:rPr>
              <w:fldChar w:fldCharType="end"/>
            </w:r>
          </w:hyperlink>
        </w:p>
        <w:p w14:paraId="54FED339" w14:textId="069FCC0B" w:rsidR="009F1748" w:rsidRDefault="00DD22DB">
          <w:pPr>
            <w:pStyle w:val="TOC2"/>
            <w:tabs>
              <w:tab w:val="left" w:pos="960"/>
              <w:tab w:val="right" w:leader="dot" w:pos="9016"/>
            </w:tabs>
            <w:rPr>
              <w:rFonts w:cstheme="minorBidi"/>
              <w:noProof/>
              <w:kern w:val="2"/>
              <w:sz w:val="24"/>
              <w:szCs w:val="24"/>
              <w:lang w:val="en-IE" w:eastAsia="en-IE"/>
              <w14:ligatures w14:val="standardContextual"/>
            </w:rPr>
          </w:pPr>
          <w:hyperlink w:anchor="_Toc218529277" w:history="1">
            <w:r w:rsidR="009F1748" w:rsidRPr="005E60C7">
              <w:rPr>
                <w:rStyle w:val="Hyperlink"/>
                <w:noProof/>
              </w:rPr>
              <w:t>2.3.</w:t>
            </w:r>
            <w:r w:rsidR="009F1748">
              <w:rPr>
                <w:rFonts w:cstheme="minorBidi"/>
                <w:noProof/>
                <w:kern w:val="2"/>
                <w:sz w:val="24"/>
                <w:szCs w:val="24"/>
                <w:lang w:val="en-IE" w:eastAsia="en-IE"/>
                <w14:ligatures w14:val="standardContextual"/>
              </w:rPr>
              <w:tab/>
            </w:r>
            <w:r w:rsidR="009F1748" w:rsidRPr="005E60C7">
              <w:rPr>
                <w:rStyle w:val="Hyperlink"/>
                <w:noProof/>
              </w:rPr>
              <w:t>Fundo Social em matéria de Clima</w:t>
            </w:r>
            <w:r w:rsidR="009F1748">
              <w:rPr>
                <w:noProof/>
                <w:webHidden/>
              </w:rPr>
              <w:tab/>
            </w:r>
            <w:r w:rsidR="009F1748">
              <w:rPr>
                <w:noProof/>
                <w:webHidden/>
              </w:rPr>
              <w:fldChar w:fldCharType="begin"/>
            </w:r>
            <w:r w:rsidR="009F1748">
              <w:rPr>
                <w:noProof/>
                <w:webHidden/>
              </w:rPr>
              <w:instrText xml:space="preserve"> PAGEREF _Toc218529277 \h </w:instrText>
            </w:r>
            <w:r w:rsidR="009F1748">
              <w:rPr>
                <w:noProof/>
                <w:webHidden/>
              </w:rPr>
            </w:r>
            <w:r w:rsidR="009F1748">
              <w:rPr>
                <w:noProof/>
                <w:webHidden/>
              </w:rPr>
              <w:fldChar w:fldCharType="separate"/>
            </w:r>
            <w:r w:rsidR="004D6097">
              <w:rPr>
                <w:noProof/>
                <w:webHidden/>
              </w:rPr>
              <w:t>6</w:t>
            </w:r>
            <w:r w:rsidR="009F1748">
              <w:rPr>
                <w:noProof/>
                <w:webHidden/>
              </w:rPr>
              <w:fldChar w:fldCharType="end"/>
            </w:r>
          </w:hyperlink>
        </w:p>
        <w:p w14:paraId="4EFA2219" w14:textId="6F512F23" w:rsidR="009F1748" w:rsidRDefault="00DD22DB">
          <w:pPr>
            <w:pStyle w:val="TOC3"/>
            <w:tabs>
              <w:tab w:val="left" w:pos="1440"/>
              <w:tab w:val="right" w:leader="dot" w:pos="9016"/>
            </w:tabs>
            <w:rPr>
              <w:rFonts w:cstheme="minorBidi"/>
              <w:noProof/>
              <w:kern w:val="2"/>
              <w:sz w:val="24"/>
              <w:szCs w:val="24"/>
              <w:lang w:val="en-IE" w:eastAsia="en-IE"/>
              <w14:ligatures w14:val="standardContextual"/>
            </w:rPr>
          </w:pPr>
          <w:hyperlink w:anchor="_Toc218529278" w:history="1">
            <w:r w:rsidR="009F1748" w:rsidRPr="005E60C7">
              <w:rPr>
                <w:rStyle w:val="Hyperlink"/>
                <w:noProof/>
              </w:rPr>
              <w:t>2.3.1.</w:t>
            </w:r>
            <w:r w:rsidR="009F1748">
              <w:rPr>
                <w:rFonts w:cstheme="minorBidi"/>
                <w:noProof/>
                <w:kern w:val="2"/>
                <w:sz w:val="24"/>
                <w:szCs w:val="24"/>
                <w:lang w:val="en-IE" w:eastAsia="en-IE"/>
                <w14:ligatures w14:val="standardContextual"/>
              </w:rPr>
              <w:tab/>
            </w:r>
            <w:r w:rsidR="009F1748" w:rsidRPr="005E60C7">
              <w:rPr>
                <w:rStyle w:val="Hyperlink"/>
                <w:noProof/>
              </w:rPr>
              <w:t>Planos sociais em matéria de clima</w:t>
            </w:r>
            <w:r w:rsidR="009F1748">
              <w:rPr>
                <w:noProof/>
                <w:webHidden/>
              </w:rPr>
              <w:tab/>
            </w:r>
            <w:r w:rsidR="009F1748">
              <w:rPr>
                <w:noProof/>
                <w:webHidden/>
              </w:rPr>
              <w:fldChar w:fldCharType="begin"/>
            </w:r>
            <w:r w:rsidR="009F1748">
              <w:rPr>
                <w:noProof/>
                <w:webHidden/>
              </w:rPr>
              <w:instrText xml:space="preserve"> PAGEREF _Toc218529278 \h </w:instrText>
            </w:r>
            <w:r w:rsidR="009F1748">
              <w:rPr>
                <w:noProof/>
                <w:webHidden/>
              </w:rPr>
            </w:r>
            <w:r w:rsidR="009F1748">
              <w:rPr>
                <w:noProof/>
                <w:webHidden/>
              </w:rPr>
              <w:fldChar w:fldCharType="separate"/>
            </w:r>
            <w:r w:rsidR="004D6097">
              <w:rPr>
                <w:noProof/>
                <w:webHidden/>
              </w:rPr>
              <w:t>6</w:t>
            </w:r>
            <w:r w:rsidR="009F1748">
              <w:rPr>
                <w:noProof/>
                <w:webHidden/>
              </w:rPr>
              <w:fldChar w:fldCharType="end"/>
            </w:r>
          </w:hyperlink>
        </w:p>
        <w:p w14:paraId="6CFB049A" w14:textId="0D83D566" w:rsidR="009F1748" w:rsidRDefault="00DD22DB">
          <w:pPr>
            <w:pStyle w:val="TOC1"/>
            <w:tabs>
              <w:tab w:val="left" w:pos="440"/>
              <w:tab w:val="right" w:leader="dot" w:pos="9016"/>
            </w:tabs>
            <w:rPr>
              <w:rFonts w:eastAsiaTheme="minorEastAsia"/>
              <w:noProof/>
              <w:sz w:val="24"/>
              <w:szCs w:val="24"/>
              <w:lang w:val="en-IE" w:eastAsia="en-IE"/>
            </w:rPr>
          </w:pPr>
          <w:hyperlink w:anchor="_Toc218529279" w:history="1">
            <w:r w:rsidR="009F1748" w:rsidRPr="005E60C7">
              <w:rPr>
                <w:rStyle w:val="Hyperlink"/>
                <w:noProof/>
              </w:rPr>
              <w:t>3.</w:t>
            </w:r>
            <w:r w:rsidR="009F1748">
              <w:rPr>
                <w:rFonts w:eastAsiaTheme="minorEastAsia"/>
                <w:noProof/>
                <w:sz w:val="24"/>
                <w:szCs w:val="24"/>
                <w:lang w:val="en-IE" w:eastAsia="en-IE"/>
              </w:rPr>
              <w:tab/>
            </w:r>
            <w:r w:rsidR="009F1748" w:rsidRPr="005E60C7">
              <w:rPr>
                <w:rStyle w:val="Hyperlink"/>
                <w:noProof/>
              </w:rPr>
              <w:t>Limite máximo de emissões</w:t>
            </w:r>
            <w:r w:rsidR="009F1748">
              <w:rPr>
                <w:noProof/>
                <w:webHidden/>
              </w:rPr>
              <w:tab/>
            </w:r>
            <w:r w:rsidR="009F1748">
              <w:rPr>
                <w:noProof/>
                <w:webHidden/>
              </w:rPr>
              <w:fldChar w:fldCharType="begin"/>
            </w:r>
            <w:r w:rsidR="009F1748">
              <w:rPr>
                <w:noProof/>
                <w:webHidden/>
              </w:rPr>
              <w:instrText xml:space="preserve"> PAGEREF _Toc218529279 \h </w:instrText>
            </w:r>
            <w:r w:rsidR="009F1748">
              <w:rPr>
                <w:noProof/>
                <w:webHidden/>
              </w:rPr>
            </w:r>
            <w:r w:rsidR="009F1748">
              <w:rPr>
                <w:noProof/>
                <w:webHidden/>
              </w:rPr>
              <w:fldChar w:fldCharType="separate"/>
            </w:r>
            <w:r w:rsidR="004D6097">
              <w:rPr>
                <w:noProof/>
                <w:webHidden/>
              </w:rPr>
              <w:t>7</w:t>
            </w:r>
            <w:r w:rsidR="009F1748">
              <w:rPr>
                <w:noProof/>
                <w:webHidden/>
              </w:rPr>
              <w:fldChar w:fldCharType="end"/>
            </w:r>
          </w:hyperlink>
        </w:p>
        <w:p w14:paraId="74EC7AE2" w14:textId="7A0EFE33" w:rsidR="009F1748" w:rsidRDefault="00DD22DB">
          <w:pPr>
            <w:pStyle w:val="TOC1"/>
            <w:tabs>
              <w:tab w:val="left" w:pos="440"/>
              <w:tab w:val="right" w:leader="dot" w:pos="9016"/>
            </w:tabs>
            <w:rPr>
              <w:rFonts w:eastAsiaTheme="minorEastAsia"/>
              <w:noProof/>
              <w:sz w:val="24"/>
              <w:szCs w:val="24"/>
              <w:lang w:val="en-IE" w:eastAsia="en-IE"/>
            </w:rPr>
          </w:pPr>
          <w:hyperlink w:anchor="_Toc218529280" w:history="1">
            <w:r w:rsidR="009F1748" w:rsidRPr="005E60C7">
              <w:rPr>
                <w:rStyle w:val="Hyperlink"/>
                <w:noProof/>
              </w:rPr>
              <w:t>4.</w:t>
            </w:r>
            <w:r w:rsidR="009F1748">
              <w:rPr>
                <w:rFonts w:eastAsiaTheme="minorEastAsia"/>
                <w:noProof/>
                <w:sz w:val="24"/>
                <w:szCs w:val="24"/>
                <w:lang w:val="en-IE" w:eastAsia="en-IE"/>
              </w:rPr>
              <w:tab/>
            </w:r>
            <w:r w:rsidR="009F1748" w:rsidRPr="005E60C7">
              <w:rPr>
                <w:rStyle w:val="Hyperlink"/>
                <w:noProof/>
              </w:rPr>
              <w:t>Leilões de licenças de emissão</w:t>
            </w:r>
            <w:r w:rsidR="009F1748">
              <w:rPr>
                <w:noProof/>
                <w:webHidden/>
              </w:rPr>
              <w:tab/>
            </w:r>
            <w:r w:rsidR="009F1748">
              <w:rPr>
                <w:noProof/>
                <w:webHidden/>
              </w:rPr>
              <w:fldChar w:fldCharType="begin"/>
            </w:r>
            <w:r w:rsidR="009F1748">
              <w:rPr>
                <w:noProof/>
                <w:webHidden/>
              </w:rPr>
              <w:instrText xml:space="preserve"> PAGEREF _Toc218529280 \h </w:instrText>
            </w:r>
            <w:r w:rsidR="009F1748">
              <w:rPr>
                <w:noProof/>
                <w:webHidden/>
              </w:rPr>
            </w:r>
            <w:r w:rsidR="009F1748">
              <w:rPr>
                <w:noProof/>
                <w:webHidden/>
              </w:rPr>
              <w:fldChar w:fldCharType="separate"/>
            </w:r>
            <w:r w:rsidR="004D6097">
              <w:rPr>
                <w:noProof/>
                <w:webHidden/>
              </w:rPr>
              <w:t>11</w:t>
            </w:r>
            <w:r w:rsidR="009F1748">
              <w:rPr>
                <w:noProof/>
                <w:webHidden/>
              </w:rPr>
              <w:fldChar w:fldCharType="end"/>
            </w:r>
          </w:hyperlink>
        </w:p>
        <w:p w14:paraId="2F332285" w14:textId="6C4BAE18" w:rsidR="009F1748" w:rsidRDefault="00DD22DB">
          <w:pPr>
            <w:pStyle w:val="TOC2"/>
            <w:tabs>
              <w:tab w:val="left" w:pos="960"/>
              <w:tab w:val="right" w:leader="dot" w:pos="9016"/>
            </w:tabs>
            <w:rPr>
              <w:rFonts w:cstheme="minorBidi"/>
              <w:noProof/>
              <w:kern w:val="2"/>
              <w:sz w:val="24"/>
              <w:szCs w:val="24"/>
              <w:lang w:val="en-IE" w:eastAsia="en-IE"/>
              <w14:ligatures w14:val="standardContextual"/>
            </w:rPr>
          </w:pPr>
          <w:hyperlink w:anchor="_Toc218529281" w:history="1">
            <w:r w:rsidR="009F1748" w:rsidRPr="005E60C7">
              <w:rPr>
                <w:rStyle w:val="Hyperlink"/>
                <w:noProof/>
              </w:rPr>
              <w:t>4.1.</w:t>
            </w:r>
            <w:r w:rsidR="009F1748">
              <w:rPr>
                <w:rFonts w:cstheme="minorBidi"/>
                <w:noProof/>
                <w:kern w:val="2"/>
                <w:sz w:val="24"/>
                <w:szCs w:val="24"/>
                <w:lang w:val="en-IE" w:eastAsia="en-IE"/>
                <w14:ligatures w14:val="standardContextual"/>
              </w:rPr>
              <w:tab/>
            </w:r>
            <w:r w:rsidR="009F1748" w:rsidRPr="005E60C7">
              <w:rPr>
                <w:rStyle w:val="Hyperlink"/>
                <w:noProof/>
              </w:rPr>
              <w:t>Venda em leilão e anulação de licenças de emissão devido ao alargamento do âmbito marítimo do CELE</w:t>
            </w:r>
            <w:r w:rsidR="009F1748">
              <w:rPr>
                <w:noProof/>
                <w:webHidden/>
              </w:rPr>
              <w:tab/>
            </w:r>
            <w:r w:rsidR="009F1748">
              <w:rPr>
                <w:noProof/>
                <w:webHidden/>
              </w:rPr>
              <w:fldChar w:fldCharType="begin"/>
            </w:r>
            <w:r w:rsidR="009F1748">
              <w:rPr>
                <w:noProof/>
                <w:webHidden/>
              </w:rPr>
              <w:instrText xml:space="preserve"> PAGEREF _Toc218529281 \h </w:instrText>
            </w:r>
            <w:r w:rsidR="009F1748">
              <w:rPr>
                <w:noProof/>
                <w:webHidden/>
              </w:rPr>
            </w:r>
            <w:r w:rsidR="009F1748">
              <w:rPr>
                <w:noProof/>
                <w:webHidden/>
              </w:rPr>
              <w:fldChar w:fldCharType="separate"/>
            </w:r>
            <w:r w:rsidR="004D6097">
              <w:rPr>
                <w:noProof/>
                <w:webHidden/>
              </w:rPr>
              <w:t>13</w:t>
            </w:r>
            <w:r w:rsidR="009F1748">
              <w:rPr>
                <w:noProof/>
                <w:webHidden/>
              </w:rPr>
              <w:fldChar w:fldCharType="end"/>
            </w:r>
          </w:hyperlink>
        </w:p>
        <w:p w14:paraId="57C009E1" w14:textId="1C5ECB73" w:rsidR="009F1748" w:rsidRDefault="00DD22DB">
          <w:pPr>
            <w:pStyle w:val="TOC2"/>
            <w:tabs>
              <w:tab w:val="left" w:pos="960"/>
              <w:tab w:val="right" w:leader="dot" w:pos="9016"/>
            </w:tabs>
            <w:rPr>
              <w:rFonts w:cstheme="minorBidi"/>
              <w:noProof/>
              <w:kern w:val="2"/>
              <w:sz w:val="24"/>
              <w:szCs w:val="24"/>
              <w:lang w:val="en-IE" w:eastAsia="en-IE"/>
              <w14:ligatures w14:val="standardContextual"/>
            </w:rPr>
          </w:pPr>
          <w:hyperlink w:anchor="_Toc218529282" w:history="1">
            <w:r w:rsidR="009F1748" w:rsidRPr="005E60C7">
              <w:rPr>
                <w:rStyle w:val="Hyperlink"/>
                <w:noProof/>
              </w:rPr>
              <w:t>4.2.</w:t>
            </w:r>
            <w:r w:rsidR="009F1748">
              <w:rPr>
                <w:rFonts w:cstheme="minorBidi"/>
                <w:noProof/>
                <w:kern w:val="2"/>
                <w:sz w:val="24"/>
                <w:szCs w:val="24"/>
                <w:lang w:val="en-IE" w:eastAsia="en-IE"/>
                <w14:ligatures w14:val="standardContextual"/>
              </w:rPr>
              <w:tab/>
            </w:r>
            <w:r w:rsidR="009F1748" w:rsidRPr="005E60C7">
              <w:rPr>
                <w:rStyle w:val="Hyperlink"/>
                <w:noProof/>
              </w:rPr>
              <w:t>Flexibilidade do Regulamento Partilha de Esforços</w:t>
            </w:r>
            <w:r w:rsidR="009F1748">
              <w:rPr>
                <w:noProof/>
                <w:webHidden/>
              </w:rPr>
              <w:tab/>
            </w:r>
            <w:r w:rsidR="009F1748">
              <w:rPr>
                <w:noProof/>
                <w:webHidden/>
              </w:rPr>
              <w:fldChar w:fldCharType="begin"/>
            </w:r>
            <w:r w:rsidR="009F1748">
              <w:rPr>
                <w:noProof/>
                <w:webHidden/>
              </w:rPr>
              <w:instrText xml:space="preserve"> PAGEREF _Toc218529282 \h </w:instrText>
            </w:r>
            <w:r w:rsidR="009F1748">
              <w:rPr>
                <w:noProof/>
                <w:webHidden/>
              </w:rPr>
            </w:r>
            <w:r w:rsidR="009F1748">
              <w:rPr>
                <w:noProof/>
                <w:webHidden/>
              </w:rPr>
              <w:fldChar w:fldCharType="separate"/>
            </w:r>
            <w:r w:rsidR="004D6097">
              <w:rPr>
                <w:noProof/>
                <w:webHidden/>
              </w:rPr>
              <w:t>13</w:t>
            </w:r>
            <w:r w:rsidR="009F1748">
              <w:rPr>
                <w:noProof/>
                <w:webHidden/>
              </w:rPr>
              <w:fldChar w:fldCharType="end"/>
            </w:r>
          </w:hyperlink>
        </w:p>
        <w:p w14:paraId="7D47D41A" w14:textId="227CAE95" w:rsidR="009F1748" w:rsidRDefault="00DD22DB">
          <w:pPr>
            <w:pStyle w:val="TOC2"/>
            <w:tabs>
              <w:tab w:val="left" w:pos="960"/>
              <w:tab w:val="right" w:leader="dot" w:pos="9016"/>
            </w:tabs>
            <w:rPr>
              <w:rFonts w:cstheme="minorBidi"/>
              <w:noProof/>
              <w:kern w:val="2"/>
              <w:sz w:val="24"/>
              <w:szCs w:val="24"/>
              <w:lang w:val="en-IE" w:eastAsia="en-IE"/>
              <w14:ligatures w14:val="standardContextual"/>
            </w:rPr>
          </w:pPr>
          <w:hyperlink w:anchor="_Toc218529283" w:history="1">
            <w:r w:rsidR="009F1748" w:rsidRPr="005E60C7">
              <w:rPr>
                <w:rStyle w:val="Hyperlink"/>
                <w:noProof/>
              </w:rPr>
              <w:t>4.3.</w:t>
            </w:r>
            <w:r w:rsidR="009F1748">
              <w:rPr>
                <w:rFonts w:cstheme="minorBidi"/>
                <w:noProof/>
                <w:kern w:val="2"/>
                <w:sz w:val="24"/>
                <w:szCs w:val="24"/>
                <w:lang w:val="en-IE" w:eastAsia="en-IE"/>
                <w14:ligatures w14:val="standardContextual"/>
              </w:rPr>
              <w:tab/>
            </w:r>
            <w:r w:rsidR="009F1748" w:rsidRPr="005E60C7">
              <w:rPr>
                <w:rStyle w:val="Hyperlink"/>
                <w:noProof/>
              </w:rPr>
              <w:t>Anulação voluntária de licenças de emissão</w:t>
            </w:r>
            <w:r w:rsidR="009F1748">
              <w:rPr>
                <w:noProof/>
                <w:webHidden/>
              </w:rPr>
              <w:tab/>
            </w:r>
            <w:r w:rsidR="009F1748">
              <w:rPr>
                <w:noProof/>
                <w:webHidden/>
              </w:rPr>
              <w:fldChar w:fldCharType="begin"/>
            </w:r>
            <w:r w:rsidR="009F1748">
              <w:rPr>
                <w:noProof/>
                <w:webHidden/>
              </w:rPr>
              <w:instrText xml:space="preserve"> PAGEREF _Toc218529283 \h </w:instrText>
            </w:r>
            <w:r w:rsidR="009F1748">
              <w:rPr>
                <w:noProof/>
                <w:webHidden/>
              </w:rPr>
            </w:r>
            <w:r w:rsidR="009F1748">
              <w:rPr>
                <w:noProof/>
                <w:webHidden/>
              </w:rPr>
              <w:fldChar w:fldCharType="separate"/>
            </w:r>
            <w:r w:rsidR="004D6097">
              <w:rPr>
                <w:noProof/>
                <w:webHidden/>
              </w:rPr>
              <w:t>13</w:t>
            </w:r>
            <w:r w:rsidR="009F1748">
              <w:rPr>
                <w:noProof/>
                <w:webHidden/>
              </w:rPr>
              <w:fldChar w:fldCharType="end"/>
            </w:r>
          </w:hyperlink>
        </w:p>
        <w:p w14:paraId="47A0E1B5" w14:textId="1F6CD083" w:rsidR="009F1748" w:rsidRDefault="00DD22DB">
          <w:pPr>
            <w:pStyle w:val="TOC1"/>
            <w:tabs>
              <w:tab w:val="left" w:pos="440"/>
              <w:tab w:val="right" w:leader="dot" w:pos="9016"/>
            </w:tabs>
            <w:rPr>
              <w:rFonts w:eastAsiaTheme="minorEastAsia"/>
              <w:noProof/>
              <w:sz w:val="24"/>
              <w:szCs w:val="24"/>
              <w:lang w:val="en-IE" w:eastAsia="en-IE"/>
            </w:rPr>
          </w:pPr>
          <w:hyperlink w:anchor="_Toc218529284" w:history="1">
            <w:r w:rsidR="009F1748" w:rsidRPr="005E60C7">
              <w:rPr>
                <w:rStyle w:val="Hyperlink"/>
                <w:noProof/>
              </w:rPr>
              <w:t>5.</w:t>
            </w:r>
            <w:r w:rsidR="009F1748">
              <w:rPr>
                <w:rFonts w:eastAsiaTheme="minorEastAsia"/>
                <w:noProof/>
                <w:sz w:val="24"/>
                <w:szCs w:val="24"/>
                <w:lang w:val="en-IE" w:eastAsia="en-IE"/>
              </w:rPr>
              <w:tab/>
            </w:r>
            <w:r w:rsidR="009F1748" w:rsidRPr="005E60C7">
              <w:rPr>
                <w:rStyle w:val="Hyperlink"/>
                <w:noProof/>
              </w:rPr>
              <w:t>Atribuição de licenças de emissão a título gratuito</w:t>
            </w:r>
            <w:r w:rsidR="009F1748">
              <w:rPr>
                <w:noProof/>
                <w:webHidden/>
              </w:rPr>
              <w:tab/>
            </w:r>
            <w:r w:rsidR="009F1748">
              <w:rPr>
                <w:noProof/>
                <w:webHidden/>
              </w:rPr>
              <w:fldChar w:fldCharType="begin"/>
            </w:r>
            <w:r w:rsidR="009F1748">
              <w:rPr>
                <w:noProof/>
                <w:webHidden/>
              </w:rPr>
              <w:instrText xml:space="preserve"> PAGEREF _Toc218529284 \h </w:instrText>
            </w:r>
            <w:r w:rsidR="009F1748">
              <w:rPr>
                <w:noProof/>
                <w:webHidden/>
              </w:rPr>
            </w:r>
            <w:r w:rsidR="009F1748">
              <w:rPr>
                <w:noProof/>
                <w:webHidden/>
              </w:rPr>
              <w:fldChar w:fldCharType="separate"/>
            </w:r>
            <w:r w:rsidR="004D6097">
              <w:rPr>
                <w:noProof/>
                <w:webHidden/>
              </w:rPr>
              <w:t>14</w:t>
            </w:r>
            <w:r w:rsidR="009F1748">
              <w:rPr>
                <w:noProof/>
                <w:webHidden/>
              </w:rPr>
              <w:fldChar w:fldCharType="end"/>
            </w:r>
          </w:hyperlink>
        </w:p>
        <w:p w14:paraId="01FFA4C4" w14:textId="786AE0CE" w:rsidR="009F1748" w:rsidRDefault="00DD22DB">
          <w:pPr>
            <w:pStyle w:val="TOC2"/>
            <w:tabs>
              <w:tab w:val="left" w:pos="960"/>
              <w:tab w:val="right" w:leader="dot" w:pos="9016"/>
            </w:tabs>
            <w:rPr>
              <w:rFonts w:cstheme="minorBidi"/>
              <w:noProof/>
              <w:kern w:val="2"/>
              <w:sz w:val="24"/>
              <w:szCs w:val="24"/>
              <w:lang w:val="en-IE" w:eastAsia="en-IE"/>
              <w14:ligatures w14:val="standardContextual"/>
            </w:rPr>
          </w:pPr>
          <w:hyperlink w:anchor="_Toc218529285" w:history="1">
            <w:r w:rsidR="009F1748" w:rsidRPr="005E60C7">
              <w:rPr>
                <w:rStyle w:val="Hyperlink"/>
                <w:noProof/>
              </w:rPr>
              <w:t>5.1.</w:t>
            </w:r>
            <w:r w:rsidR="009F1748">
              <w:rPr>
                <w:rFonts w:cstheme="minorBidi"/>
                <w:noProof/>
                <w:kern w:val="2"/>
                <w:sz w:val="24"/>
                <w:szCs w:val="24"/>
                <w:lang w:val="en-IE" w:eastAsia="en-IE"/>
                <w14:ligatures w14:val="standardContextual"/>
              </w:rPr>
              <w:tab/>
            </w:r>
            <w:r w:rsidR="009F1748" w:rsidRPr="005E60C7">
              <w:rPr>
                <w:rStyle w:val="Hyperlink"/>
                <w:noProof/>
              </w:rPr>
              <w:t>Mecanismo de Ajustamento Carbónico Fronteiriço</w:t>
            </w:r>
            <w:r w:rsidR="009F1748">
              <w:rPr>
                <w:noProof/>
                <w:webHidden/>
              </w:rPr>
              <w:tab/>
            </w:r>
            <w:r w:rsidR="009F1748">
              <w:rPr>
                <w:noProof/>
                <w:webHidden/>
              </w:rPr>
              <w:fldChar w:fldCharType="begin"/>
            </w:r>
            <w:r w:rsidR="009F1748">
              <w:rPr>
                <w:noProof/>
                <w:webHidden/>
              </w:rPr>
              <w:instrText xml:space="preserve"> PAGEREF _Toc218529285 \h </w:instrText>
            </w:r>
            <w:r w:rsidR="009F1748">
              <w:rPr>
                <w:noProof/>
                <w:webHidden/>
              </w:rPr>
            </w:r>
            <w:r w:rsidR="009F1748">
              <w:rPr>
                <w:noProof/>
                <w:webHidden/>
              </w:rPr>
              <w:fldChar w:fldCharType="separate"/>
            </w:r>
            <w:r w:rsidR="004D6097">
              <w:rPr>
                <w:noProof/>
                <w:webHidden/>
              </w:rPr>
              <w:t>17</w:t>
            </w:r>
            <w:r w:rsidR="009F1748">
              <w:rPr>
                <w:noProof/>
                <w:webHidden/>
              </w:rPr>
              <w:fldChar w:fldCharType="end"/>
            </w:r>
          </w:hyperlink>
        </w:p>
        <w:p w14:paraId="476095AC" w14:textId="0EEC8532" w:rsidR="009F1748" w:rsidRDefault="00DD22DB">
          <w:pPr>
            <w:pStyle w:val="TOC1"/>
            <w:tabs>
              <w:tab w:val="left" w:pos="440"/>
              <w:tab w:val="right" w:leader="dot" w:pos="9016"/>
            </w:tabs>
            <w:rPr>
              <w:rFonts w:eastAsiaTheme="minorEastAsia"/>
              <w:noProof/>
              <w:sz w:val="24"/>
              <w:szCs w:val="24"/>
              <w:lang w:val="en-IE" w:eastAsia="en-IE"/>
            </w:rPr>
          </w:pPr>
          <w:hyperlink w:anchor="_Toc218529286" w:history="1">
            <w:r w:rsidR="009F1748" w:rsidRPr="005E60C7">
              <w:rPr>
                <w:rStyle w:val="Hyperlink"/>
                <w:noProof/>
              </w:rPr>
              <w:t>6.</w:t>
            </w:r>
            <w:r w:rsidR="009F1748">
              <w:rPr>
                <w:rFonts w:eastAsiaTheme="minorEastAsia"/>
                <w:noProof/>
                <w:sz w:val="24"/>
                <w:szCs w:val="24"/>
                <w:lang w:val="en-IE" w:eastAsia="en-IE"/>
              </w:rPr>
              <w:tab/>
            </w:r>
            <w:r w:rsidR="009F1748" w:rsidRPr="005E60C7">
              <w:rPr>
                <w:rStyle w:val="Hyperlink"/>
                <w:noProof/>
              </w:rPr>
              <w:t>Mercado do carbono da UE</w:t>
            </w:r>
            <w:r w:rsidR="009F1748">
              <w:rPr>
                <w:noProof/>
                <w:webHidden/>
              </w:rPr>
              <w:tab/>
            </w:r>
            <w:r w:rsidR="009F1748">
              <w:rPr>
                <w:noProof/>
                <w:webHidden/>
              </w:rPr>
              <w:fldChar w:fldCharType="begin"/>
            </w:r>
            <w:r w:rsidR="009F1748">
              <w:rPr>
                <w:noProof/>
                <w:webHidden/>
              </w:rPr>
              <w:instrText xml:space="preserve"> PAGEREF _Toc218529286 \h </w:instrText>
            </w:r>
            <w:r w:rsidR="009F1748">
              <w:rPr>
                <w:noProof/>
                <w:webHidden/>
              </w:rPr>
            </w:r>
            <w:r w:rsidR="009F1748">
              <w:rPr>
                <w:noProof/>
                <w:webHidden/>
              </w:rPr>
              <w:fldChar w:fldCharType="separate"/>
            </w:r>
            <w:r w:rsidR="004D6097">
              <w:rPr>
                <w:noProof/>
                <w:webHidden/>
              </w:rPr>
              <w:t>18</w:t>
            </w:r>
            <w:r w:rsidR="009F1748">
              <w:rPr>
                <w:noProof/>
                <w:webHidden/>
              </w:rPr>
              <w:fldChar w:fldCharType="end"/>
            </w:r>
          </w:hyperlink>
        </w:p>
        <w:p w14:paraId="5F5AB03E" w14:textId="026CF655" w:rsidR="009F1748" w:rsidRDefault="00DD22DB">
          <w:pPr>
            <w:pStyle w:val="TOC2"/>
            <w:tabs>
              <w:tab w:val="left" w:pos="960"/>
              <w:tab w:val="right" w:leader="dot" w:pos="9016"/>
            </w:tabs>
            <w:rPr>
              <w:rFonts w:cstheme="minorBidi"/>
              <w:noProof/>
              <w:kern w:val="2"/>
              <w:sz w:val="24"/>
              <w:szCs w:val="24"/>
              <w:lang w:val="en-IE" w:eastAsia="en-IE"/>
              <w14:ligatures w14:val="standardContextual"/>
            </w:rPr>
          </w:pPr>
          <w:hyperlink w:anchor="_Toc218529287" w:history="1">
            <w:r w:rsidR="009F1748" w:rsidRPr="005E60C7">
              <w:rPr>
                <w:rStyle w:val="Hyperlink"/>
                <w:noProof/>
              </w:rPr>
              <w:t>6.1.</w:t>
            </w:r>
            <w:r w:rsidR="009F1748">
              <w:rPr>
                <w:rFonts w:cstheme="minorBidi"/>
                <w:noProof/>
                <w:kern w:val="2"/>
                <w:sz w:val="24"/>
                <w:szCs w:val="24"/>
                <w:lang w:val="en-IE" w:eastAsia="en-IE"/>
                <w14:ligatures w14:val="standardContextual"/>
              </w:rPr>
              <w:tab/>
            </w:r>
            <w:r w:rsidR="009F1748" w:rsidRPr="005E60C7">
              <w:rPr>
                <w:rStyle w:val="Hyperlink"/>
                <w:noProof/>
              </w:rPr>
              <w:t>Equilíbrio entre a oferta e a procura</w:t>
            </w:r>
            <w:r w:rsidR="009F1748">
              <w:rPr>
                <w:noProof/>
                <w:webHidden/>
              </w:rPr>
              <w:tab/>
            </w:r>
            <w:r w:rsidR="009F1748">
              <w:rPr>
                <w:noProof/>
                <w:webHidden/>
              </w:rPr>
              <w:fldChar w:fldCharType="begin"/>
            </w:r>
            <w:r w:rsidR="009F1748">
              <w:rPr>
                <w:noProof/>
                <w:webHidden/>
              </w:rPr>
              <w:instrText xml:space="preserve"> PAGEREF _Toc218529287 \h </w:instrText>
            </w:r>
            <w:r w:rsidR="009F1748">
              <w:rPr>
                <w:noProof/>
                <w:webHidden/>
              </w:rPr>
            </w:r>
            <w:r w:rsidR="009F1748">
              <w:rPr>
                <w:noProof/>
                <w:webHidden/>
              </w:rPr>
              <w:fldChar w:fldCharType="separate"/>
            </w:r>
            <w:r w:rsidR="004D6097">
              <w:rPr>
                <w:noProof/>
                <w:webHidden/>
              </w:rPr>
              <w:t>18</w:t>
            </w:r>
            <w:r w:rsidR="009F1748">
              <w:rPr>
                <w:noProof/>
                <w:webHidden/>
              </w:rPr>
              <w:fldChar w:fldCharType="end"/>
            </w:r>
          </w:hyperlink>
        </w:p>
        <w:p w14:paraId="35281350" w14:textId="1AB386CD" w:rsidR="009F1748" w:rsidRDefault="00DD22DB">
          <w:pPr>
            <w:pStyle w:val="TOC2"/>
            <w:tabs>
              <w:tab w:val="left" w:pos="960"/>
              <w:tab w:val="right" w:leader="dot" w:pos="9016"/>
            </w:tabs>
            <w:rPr>
              <w:rFonts w:cstheme="minorBidi"/>
              <w:noProof/>
              <w:kern w:val="2"/>
              <w:sz w:val="24"/>
              <w:szCs w:val="24"/>
              <w:lang w:val="en-IE" w:eastAsia="en-IE"/>
              <w14:ligatures w14:val="standardContextual"/>
            </w:rPr>
          </w:pPr>
          <w:hyperlink w:anchor="_Toc218529288" w:history="1">
            <w:r w:rsidR="009F1748" w:rsidRPr="005E60C7">
              <w:rPr>
                <w:rStyle w:val="Hyperlink"/>
                <w:noProof/>
              </w:rPr>
              <w:t>6.2.</w:t>
            </w:r>
            <w:r w:rsidR="009F1748">
              <w:rPr>
                <w:rFonts w:cstheme="minorBidi"/>
                <w:noProof/>
                <w:kern w:val="2"/>
                <w:sz w:val="24"/>
                <w:szCs w:val="24"/>
                <w:lang w:val="en-IE" w:eastAsia="en-IE"/>
                <w14:ligatures w14:val="standardContextual"/>
              </w:rPr>
              <w:tab/>
            </w:r>
            <w:r w:rsidR="009F1748" w:rsidRPr="005E60C7">
              <w:rPr>
                <w:rStyle w:val="Hyperlink"/>
                <w:noProof/>
              </w:rPr>
              <w:t>Supervisão do mercado</w:t>
            </w:r>
            <w:r w:rsidR="009F1748">
              <w:rPr>
                <w:noProof/>
                <w:webHidden/>
              </w:rPr>
              <w:tab/>
            </w:r>
            <w:r w:rsidR="009F1748">
              <w:rPr>
                <w:noProof/>
                <w:webHidden/>
              </w:rPr>
              <w:fldChar w:fldCharType="begin"/>
            </w:r>
            <w:r w:rsidR="009F1748">
              <w:rPr>
                <w:noProof/>
                <w:webHidden/>
              </w:rPr>
              <w:instrText xml:space="preserve"> PAGEREF _Toc218529288 \h </w:instrText>
            </w:r>
            <w:r w:rsidR="009F1748">
              <w:rPr>
                <w:noProof/>
                <w:webHidden/>
              </w:rPr>
            </w:r>
            <w:r w:rsidR="009F1748">
              <w:rPr>
                <w:noProof/>
                <w:webHidden/>
              </w:rPr>
              <w:fldChar w:fldCharType="separate"/>
            </w:r>
            <w:r w:rsidR="004D6097">
              <w:rPr>
                <w:noProof/>
                <w:webHidden/>
              </w:rPr>
              <w:t>20</w:t>
            </w:r>
            <w:r w:rsidR="009F1748">
              <w:rPr>
                <w:noProof/>
                <w:webHidden/>
              </w:rPr>
              <w:fldChar w:fldCharType="end"/>
            </w:r>
          </w:hyperlink>
        </w:p>
        <w:p w14:paraId="5D79C744" w14:textId="6625D7AC" w:rsidR="009F1748" w:rsidRDefault="00DD22DB">
          <w:pPr>
            <w:pStyle w:val="TOC1"/>
            <w:tabs>
              <w:tab w:val="left" w:pos="440"/>
              <w:tab w:val="right" w:leader="dot" w:pos="9016"/>
            </w:tabs>
            <w:rPr>
              <w:rFonts w:eastAsiaTheme="minorEastAsia"/>
              <w:noProof/>
              <w:sz w:val="24"/>
              <w:szCs w:val="24"/>
              <w:lang w:val="en-IE" w:eastAsia="en-IE"/>
            </w:rPr>
          </w:pPr>
          <w:hyperlink w:anchor="_Toc218529289" w:history="1">
            <w:r w:rsidR="009F1748" w:rsidRPr="005E60C7">
              <w:rPr>
                <w:rStyle w:val="Hyperlink"/>
                <w:noProof/>
              </w:rPr>
              <w:t>7.</w:t>
            </w:r>
            <w:r w:rsidR="009F1748">
              <w:rPr>
                <w:rFonts w:eastAsiaTheme="minorEastAsia"/>
                <w:noProof/>
                <w:sz w:val="24"/>
                <w:szCs w:val="24"/>
                <w:lang w:val="en-IE" w:eastAsia="en-IE"/>
              </w:rPr>
              <w:tab/>
            </w:r>
            <w:r w:rsidR="009F1748" w:rsidRPr="005E60C7">
              <w:rPr>
                <w:rStyle w:val="Hyperlink"/>
                <w:noProof/>
              </w:rPr>
              <w:t>Tendências das emissões</w:t>
            </w:r>
            <w:r w:rsidR="009F1748">
              <w:rPr>
                <w:noProof/>
                <w:webHidden/>
              </w:rPr>
              <w:tab/>
            </w:r>
            <w:r w:rsidR="009F1748">
              <w:rPr>
                <w:noProof/>
                <w:webHidden/>
              </w:rPr>
              <w:fldChar w:fldCharType="begin"/>
            </w:r>
            <w:r w:rsidR="009F1748">
              <w:rPr>
                <w:noProof/>
                <w:webHidden/>
              </w:rPr>
              <w:instrText xml:space="preserve"> PAGEREF _Toc218529289 \h </w:instrText>
            </w:r>
            <w:r w:rsidR="009F1748">
              <w:rPr>
                <w:noProof/>
                <w:webHidden/>
              </w:rPr>
            </w:r>
            <w:r w:rsidR="009F1748">
              <w:rPr>
                <w:noProof/>
                <w:webHidden/>
              </w:rPr>
              <w:fldChar w:fldCharType="separate"/>
            </w:r>
            <w:r w:rsidR="004D6097">
              <w:rPr>
                <w:noProof/>
                <w:webHidden/>
              </w:rPr>
              <w:t>22</w:t>
            </w:r>
            <w:r w:rsidR="009F1748">
              <w:rPr>
                <w:noProof/>
                <w:webHidden/>
              </w:rPr>
              <w:fldChar w:fldCharType="end"/>
            </w:r>
          </w:hyperlink>
        </w:p>
        <w:p w14:paraId="23DE686D" w14:textId="43A50A8B" w:rsidR="009F1748" w:rsidRDefault="00DD22DB">
          <w:pPr>
            <w:pStyle w:val="TOC2"/>
            <w:tabs>
              <w:tab w:val="left" w:pos="960"/>
              <w:tab w:val="right" w:leader="dot" w:pos="9016"/>
            </w:tabs>
            <w:rPr>
              <w:rFonts w:cstheme="minorBidi"/>
              <w:noProof/>
              <w:kern w:val="2"/>
              <w:sz w:val="24"/>
              <w:szCs w:val="24"/>
              <w:lang w:val="en-IE" w:eastAsia="en-IE"/>
              <w14:ligatures w14:val="standardContextual"/>
            </w:rPr>
          </w:pPr>
          <w:hyperlink w:anchor="_Toc218529290" w:history="1">
            <w:r w:rsidR="009F1748" w:rsidRPr="005E60C7">
              <w:rPr>
                <w:rStyle w:val="Hyperlink"/>
                <w:noProof/>
              </w:rPr>
              <w:t>7.1.</w:t>
            </w:r>
            <w:r w:rsidR="009F1748">
              <w:rPr>
                <w:rFonts w:cstheme="minorBidi"/>
                <w:noProof/>
                <w:kern w:val="2"/>
                <w:sz w:val="24"/>
                <w:szCs w:val="24"/>
                <w:lang w:val="en-IE" w:eastAsia="en-IE"/>
                <w14:ligatures w14:val="standardContextual"/>
              </w:rPr>
              <w:tab/>
            </w:r>
            <w:r w:rsidR="009F1748" w:rsidRPr="005E60C7">
              <w:rPr>
                <w:rStyle w:val="Hyperlink"/>
                <w:noProof/>
              </w:rPr>
              <w:t>Emissões provenientes da combustão de combustíveis fósseis em instalações</w:t>
            </w:r>
            <w:r w:rsidR="009F1748">
              <w:rPr>
                <w:noProof/>
                <w:webHidden/>
              </w:rPr>
              <w:tab/>
            </w:r>
            <w:r w:rsidR="009F1748">
              <w:rPr>
                <w:noProof/>
                <w:webHidden/>
              </w:rPr>
              <w:fldChar w:fldCharType="begin"/>
            </w:r>
            <w:r w:rsidR="009F1748">
              <w:rPr>
                <w:noProof/>
                <w:webHidden/>
              </w:rPr>
              <w:instrText xml:space="preserve"> PAGEREF _Toc218529290 \h </w:instrText>
            </w:r>
            <w:r w:rsidR="009F1748">
              <w:rPr>
                <w:noProof/>
                <w:webHidden/>
              </w:rPr>
            </w:r>
            <w:r w:rsidR="009F1748">
              <w:rPr>
                <w:noProof/>
                <w:webHidden/>
              </w:rPr>
              <w:fldChar w:fldCharType="separate"/>
            </w:r>
            <w:r w:rsidR="004D6097">
              <w:rPr>
                <w:noProof/>
                <w:webHidden/>
              </w:rPr>
              <w:t>24</w:t>
            </w:r>
            <w:r w:rsidR="009F1748">
              <w:rPr>
                <w:noProof/>
                <w:webHidden/>
              </w:rPr>
              <w:fldChar w:fldCharType="end"/>
            </w:r>
          </w:hyperlink>
        </w:p>
        <w:p w14:paraId="2658E694" w14:textId="623A783D" w:rsidR="009F1748" w:rsidRDefault="00DD22DB">
          <w:pPr>
            <w:pStyle w:val="TOC1"/>
            <w:tabs>
              <w:tab w:val="left" w:pos="440"/>
              <w:tab w:val="right" w:leader="dot" w:pos="9016"/>
            </w:tabs>
            <w:rPr>
              <w:rFonts w:eastAsiaTheme="minorEastAsia"/>
              <w:noProof/>
              <w:sz w:val="24"/>
              <w:szCs w:val="24"/>
              <w:lang w:val="en-IE" w:eastAsia="en-IE"/>
            </w:rPr>
          </w:pPr>
          <w:hyperlink w:anchor="_Toc218529291" w:history="1">
            <w:r w:rsidR="009F1748" w:rsidRPr="005E60C7">
              <w:rPr>
                <w:rStyle w:val="Hyperlink"/>
                <w:noProof/>
              </w:rPr>
              <w:t>8.</w:t>
            </w:r>
            <w:r w:rsidR="009F1748">
              <w:rPr>
                <w:rFonts w:eastAsiaTheme="minorEastAsia"/>
                <w:noProof/>
                <w:sz w:val="24"/>
                <w:szCs w:val="24"/>
                <w:lang w:val="en-IE" w:eastAsia="en-IE"/>
              </w:rPr>
              <w:tab/>
            </w:r>
            <w:r w:rsidR="009F1748" w:rsidRPr="005E60C7">
              <w:rPr>
                <w:rStyle w:val="Hyperlink"/>
                <w:noProof/>
              </w:rPr>
              <w:t>Receitas do CELE</w:t>
            </w:r>
            <w:r w:rsidR="009F1748">
              <w:rPr>
                <w:noProof/>
                <w:webHidden/>
              </w:rPr>
              <w:tab/>
            </w:r>
            <w:r w:rsidR="009F1748">
              <w:rPr>
                <w:noProof/>
                <w:webHidden/>
              </w:rPr>
              <w:fldChar w:fldCharType="begin"/>
            </w:r>
            <w:r w:rsidR="009F1748">
              <w:rPr>
                <w:noProof/>
                <w:webHidden/>
              </w:rPr>
              <w:instrText xml:space="preserve"> PAGEREF _Toc218529291 \h </w:instrText>
            </w:r>
            <w:r w:rsidR="009F1748">
              <w:rPr>
                <w:noProof/>
                <w:webHidden/>
              </w:rPr>
            </w:r>
            <w:r w:rsidR="009F1748">
              <w:rPr>
                <w:noProof/>
                <w:webHidden/>
              </w:rPr>
              <w:fldChar w:fldCharType="separate"/>
            </w:r>
            <w:r w:rsidR="004D6097">
              <w:rPr>
                <w:noProof/>
                <w:webHidden/>
              </w:rPr>
              <w:t>26</w:t>
            </w:r>
            <w:r w:rsidR="009F1748">
              <w:rPr>
                <w:noProof/>
                <w:webHidden/>
              </w:rPr>
              <w:fldChar w:fldCharType="end"/>
            </w:r>
          </w:hyperlink>
        </w:p>
        <w:p w14:paraId="3B929275" w14:textId="0AE4B128" w:rsidR="009F1748" w:rsidRDefault="00DD22DB">
          <w:pPr>
            <w:pStyle w:val="TOC2"/>
            <w:tabs>
              <w:tab w:val="left" w:pos="960"/>
              <w:tab w:val="right" w:leader="dot" w:pos="9016"/>
            </w:tabs>
            <w:rPr>
              <w:rFonts w:cstheme="minorBidi"/>
              <w:noProof/>
              <w:kern w:val="2"/>
              <w:sz w:val="24"/>
              <w:szCs w:val="24"/>
              <w:lang w:val="en-IE" w:eastAsia="en-IE"/>
              <w14:ligatures w14:val="standardContextual"/>
            </w:rPr>
          </w:pPr>
          <w:hyperlink w:anchor="_Toc218529292" w:history="1">
            <w:r w:rsidR="009F1748" w:rsidRPr="005E60C7">
              <w:rPr>
                <w:rStyle w:val="Hyperlink"/>
                <w:noProof/>
              </w:rPr>
              <w:t>8.1.</w:t>
            </w:r>
            <w:r w:rsidR="009F1748">
              <w:rPr>
                <w:rFonts w:cstheme="minorBidi"/>
                <w:noProof/>
                <w:kern w:val="2"/>
                <w:sz w:val="24"/>
                <w:szCs w:val="24"/>
                <w:lang w:val="en-IE" w:eastAsia="en-IE"/>
                <w14:ligatures w14:val="standardContextual"/>
              </w:rPr>
              <w:tab/>
            </w:r>
            <w:r w:rsidR="009F1748" w:rsidRPr="005E60C7">
              <w:rPr>
                <w:rStyle w:val="Hyperlink"/>
                <w:noProof/>
              </w:rPr>
              <w:t>Auxílios aos custos indiretos</w:t>
            </w:r>
            <w:r w:rsidR="009F1748">
              <w:rPr>
                <w:noProof/>
                <w:webHidden/>
              </w:rPr>
              <w:tab/>
            </w:r>
            <w:r w:rsidR="009F1748">
              <w:rPr>
                <w:noProof/>
                <w:webHidden/>
              </w:rPr>
              <w:fldChar w:fldCharType="begin"/>
            </w:r>
            <w:r w:rsidR="009F1748">
              <w:rPr>
                <w:noProof/>
                <w:webHidden/>
              </w:rPr>
              <w:instrText xml:space="preserve"> PAGEREF _Toc218529292 \h </w:instrText>
            </w:r>
            <w:r w:rsidR="009F1748">
              <w:rPr>
                <w:noProof/>
                <w:webHidden/>
              </w:rPr>
            </w:r>
            <w:r w:rsidR="009F1748">
              <w:rPr>
                <w:noProof/>
                <w:webHidden/>
              </w:rPr>
              <w:fldChar w:fldCharType="separate"/>
            </w:r>
            <w:r w:rsidR="004D6097">
              <w:rPr>
                <w:noProof/>
                <w:webHidden/>
              </w:rPr>
              <w:t>29</w:t>
            </w:r>
            <w:r w:rsidR="009F1748">
              <w:rPr>
                <w:noProof/>
                <w:webHidden/>
              </w:rPr>
              <w:fldChar w:fldCharType="end"/>
            </w:r>
          </w:hyperlink>
        </w:p>
        <w:p w14:paraId="0109726B" w14:textId="286ED932" w:rsidR="009F1748" w:rsidRDefault="00DD22DB">
          <w:pPr>
            <w:pStyle w:val="TOC2"/>
            <w:tabs>
              <w:tab w:val="left" w:pos="960"/>
              <w:tab w:val="right" w:leader="dot" w:pos="9016"/>
            </w:tabs>
            <w:rPr>
              <w:rFonts w:cstheme="minorBidi"/>
              <w:noProof/>
              <w:kern w:val="2"/>
              <w:sz w:val="24"/>
              <w:szCs w:val="24"/>
              <w:lang w:val="en-IE" w:eastAsia="en-IE"/>
              <w14:ligatures w14:val="standardContextual"/>
            </w:rPr>
          </w:pPr>
          <w:hyperlink w:anchor="_Toc218529293" w:history="1">
            <w:r w:rsidR="009F1748" w:rsidRPr="005E60C7">
              <w:rPr>
                <w:rStyle w:val="Hyperlink"/>
                <w:noProof/>
              </w:rPr>
              <w:t>8.2.</w:t>
            </w:r>
            <w:r w:rsidR="009F1748">
              <w:rPr>
                <w:rFonts w:cstheme="minorBidi"/>
                <w:noProof/>
                <w:kern w:val="2"/>
                <w:sz w:val="24"/>
                <w:szCs w:val="24"/>
                <w:lang w:val="en-IE" w:eastAsia="en-IE"/>
                <w14:ligatures w14:val="standardContextual"/>
              </w:rPr>
              <w:tab/>
            </w:r>
            <w:r w:rsidR="009F1748" w:rsidRPr="005E60C7">
              <w:rPr>
                <w:rStyle w:val="Hyperlink"/>
                <w:noProof/>
              </w:rPr>
              <w:t>Fundo de Inovação do CELE</w:t>
            </w:r>
            <w:r w:rsidR="009F1748">
              <w:rPr>
                <w:noProof/>
                <w:webHidden/>
              </w:rPr>
              <w:tab/>
            </w:r>
            <w:r w:rsidR="009F1748">
              <w:rPr>
                <w:noProof/>
                <w:webHidden/>
              </w:rPr>
              <w:fldChar w:fldCharType="begin"/>
            </w:r>
            <w:r w:rsidR="009F1748">
              <w:rPr>
                <w:noProof/>
                <w:webHidden/>
              </w:rPr>
              <w:instrText xml:space="preserve"> PAGEREF _Toc218529293 \h </w:instrText>
            </w:r>
            <w:r w:rsidR="009F1748">
              <w:rPr>
                <w:noProof/>
                <w:webHidden/>
              </w:rPr>
            </w:r>
            <w:r w:rsidR="009F1748">
              <w:rPr>
                <w:noProof/>
                <w:webHidden/>
              </w:rPr>
              <w:fldChar w:fldCharType="separate"/>
            </w:r>
            <w:r w:rsidR="004D6097">
              <w:rPr>
                <w:noProof/>
                <w:webHidden/>
              </w:rPr>
              <w:t>32</w:t>
            </w:r>
            <w:r w:rsidR="009F1748">
              <w:rPr>
                <w:noProof/>
                <w:webHidden/>
              </w:rPr>
              <w:fldChar w:fldCharType="end"/>
            </w:r>
          </w:hyperlink>
        </w:p>
        <w:p w14:paraId="6277132A" w14:textId="71543855" w:rsidR="009F1748" w:rsidRDefault="00DD22DB">
          <w:pPr>
            <w:pStyle w:val="TOC2"/>
            <w:tabs>
              <w:tab w:val="left" w:pos="960"/>
              <w:tab w:val="right" w:leader="dot" w:pos="9016"/>
            </w:tabs>
            <w:rPr>
              <w:rFonts w:cstheme="minorBidi"/>
              <w:noProof/>
              <w:kern w:val="2"/>
              <w:sz w:val="24"/>
              <w:szCs w:val="24"/>
              <w:lang w:val="en-IE" w:eastAsia="en-IE"/>
              <w14:ligatures w14:val="standardContextual"/>
            </w:rPr>
          </w:pPr>
          <w:hyperlink w:anchor="_Toc218529294" w:history="1">
            <w:r w:rsidR="009F1748" w:rsidRPr="005E60C7">
              <w:rPr>
                <w:rStyle w:val="Hyperlink"/>
                <w:noProof/>
              </w:rPr>
              <w:t>8.3.</w:t>
            </w:r>
            <w:r w:rsidR="009F1748">
              <w:rPr>
                <w:rFonts w:cstheme="minorBidi"/>
                <w:noProof/>
                <w:kern w:val="2"/>
                <w:sz w:val="24"/>
                <w:szCs w:val="24"/>
                <w:lang w:val="en-IE" w:eastAsia="en-IE"/>
                <w14:ligatures w14:val="standardContextual"/>
              </w:rPr>
              <w:tab/>
            </w:r>
            <w:r w:rsidR="009F1748" w:rsidRPr="005E60C7">
              <w:rPr>
                <w:rStyle w:val="Hyperlink"/>
                <w:noProof/>
              </w:rPr>
              <w:t>Fundo de Modernização do CELE</w:t>
            </w:r>
            <w:r w:rsidR="009F1748">
              <w:rPr>
                <w:noProof/>
                <w:webHidden/>
              </w:rPr>
              <w:tab/>
            </w:r>
            <w:r w:rsidR="009F1748">
              <w:rPr>
                <w:noProof/>
                <w:webHidden/>
              </w:rPr>
              <w:fldChar w:fldCharType="begin"/>
            </w:r>
            <w:r w:rsidR="009F1748">
              <w:rPr>
                <w:noProof/>
                <w:webHidden/>
              </w:rPr>
              <w:instrText xml:space="preserve"> PAGEREF _Toc218529294 \h </w:instrText>
            </w:r>
            <w:r w:rsidR="009F1748">
              <w:rPr>
                <w:noProof/>
                <w:webHidden/>
              </w:rPr>
            </w:r>
            <w:r w:rsidR="009F1748">
              <w:rPr>
                <w:noProof/>
                <w:webHidden/>
              </w:rPr>
              <w:fldChar w:fldCharType="separate"/>
            </w:r>
            <w:r w:rsidR="004D6097">
              <w:rPr>
                <w:noProof/>
                <w:webHidden/>
              </w:rPr>
              <w:t>34</w:t>
            </w:r>
            <w:r w:rsidR="009F1748">
              <w:rPr>
                <w:noProof/>
                <w:webHidden/>
              </w:rPr>
              <w:fldChar w:fldCharType="end"/>
            </w:r>
          </w:hyperlink>
        </w:p>
        <w:p w14:paraId="0D27171E" w14:textId="31D667A8" w:rsidR="009F1748" w:rsidRDefault="00DD22DB">
          <w:pPr>
            <w:pStyle w:val="TOC2"/>
            <w:tabs>
              <w:tab w:val="left" w:pos="960"/>
              <w:tab w:val="right" w:leader="dot" w:pos="9016"/>
            </w:tabs>
            <w:rPr>
              <w:rFonts w:cstheme="minorBidi"/>
              <w:noProof/>
              <w:kern w:val="2"/>
              <w:sz w:val="24"/>
              <w:szCs w:val="24"/>
              <w:lang w:val="en-IE" w:eastAsia="en-IE"/>
              <w14:ligatures w14:val="standardContextual"/>
            </w:rPr>
          </w:pPr>
          <w:hyperlink w:anchor="_Toc218529295" w:history="1">
            <w:r w:rsidR="009F1748" w:rsidRPr="005E60C7">
              <w:rPr>
                <w:rStyle w:val="Hyperlink"/>
                <w:noProof/>
              </w:rPr>
              <w:t>8.4.</w:t>
            </w:r>
            <w:r w:rsidR="009F1748">
              <w:rPr>
                <w:rFonts w:cstheme="minorBidi"/>
                <w:noProof/>
                <w:kern w:val="2"/>
                <w:sz w:val="24"/>
                <w:szCs w:val="24"/>
                <w:lang w:val="en-IE" w:eastAsia="en-IE"/>
                <w14:ligatures w14:val="standardContextual"/>
              </w:rPr>
              <w:tab/>
            </w:r>
            <w:r w:rsidR="009F1748" w:rsidRPr="005E60C7">
              <w:rPr>
                <w:rStyle w:val="Hyperlink"/>
                <w:noProof/>
              </w:rPr>
              <w:t>Fundo de Descarbonização do CELE para a Grécia</w:t>
            </w:r>
            <w:r w:rsidR="009F1748">
              <w:rPr>
                <w:noProof/>
                <w:webHidden/>
              </w:rPr>
              <w:tab/>
            </w:r>
            <w:r w:rsidR="009F1748">
              <w:rPr>
                <w:noProof/>
                <w:webHidden/>
              </w:rPr>
              <w:fldChar w:fldCharType="begin"/>
            </w:r>
            <w:r w:rsidR="009F1748">
              <w:rPr>
                <w:noProof/>
                <w:webHidden/>
              </w:rPr>
              <w:instrText xml:space="preserve"> PAGEREF _Toc218529295 \h </w:instrText>
            </w:r>
            <w:r w:rsidR="009F1748">
              <w:rPr>
                <w:noProof/>
                <w:webHidden/>
              </w:rPr>
            </w:r>
            <w:r w:rsidR="009F1748">
              <w:rPr>
                <w:noProof/>
                <w:webHidden/>
              </w:rPr>
              <w:fldChar w:fldCharType="separate"/>
            </w:r>
            <w:r w:rsidR="004D6097">
              <w:rPr>
                <w:noProof/>
                <w:webHidden/>
              </w:rPr>
              <w:t>36</w:t>
            </w:r>
            <w:r w:rsidR="009F1748">
              <w:rPr>
                <w:noProof/>
                <w:webHidden/>
              </w:rPr>
              <w:fldChar w:fldCharType="end"/>
            </w:r>
          </w:hyperlink>
        </w:p>
        <w:p w14:paraId="2FAE8535" w14:textId="5EBD86C8" w:rsidR="009F1748" w:rsidRDefault="00DD22DB">
          <w:pPr>
            <w:pStyle w:val="TOC1"/>
            <w:tabs>
              <w:tab w:val="left" w:pos="440"/>
              <w:tab w:val="right" w:leader="dot" w:pos="9016"/>
            </w:tabs>
            <w:rPr>
              <w:rFonts w:eastAsiaTheme="minorEastAsia"/>
              <w:noProof/>
              <w:sz w:val="24"/>
              <w:szCs w:val="24"/>
              <w:lang w:val="en-IE" w:eastAsia="en-IE"/>
            </w:rPr>
          </w:pPr>
          <w:hyperlink w:anchor="_Toc218529296" w:history="1">
            <w:r w:rsidR="009F1748" w:rsidRPr="005E60C7">
              <w:rPr>
                <w:rStyle w:val="Hyperlink"/>
                <w:noProof/>
              </w:rPr>
              <w:t>9.</w:t>
            </w:r>
            <w:r w:rsidR="009F1748">
              <w:rPr>
                <w:rFonts w:eastAsiaTheme="minorEastAsia"/>
                <w:noProof/>
                <w:sz w:val="24"/>
                <w:szCs w:val="24"/>
                <w:lang w:val="en-IE" w:eastAsia="en-IE"/>
              </w:rPr>
              <w:tab/>
            </w:r>
            <w:r w:rsidR="009F1748" w:rsidRPr="005E60C7">
              <w:rPr>
                <w:rStyle w:val="Hyperlink"/>
                <w:noProof/>
              </w:rPr>
              <w:t>Aviação</w:t>
            </w:r>
            <w:r w:rsidR="009F1748">
              <w:rPr>
                <w:noProof/>
                <w:webHidden/>
              </w:rPr>
              <w:tab/>
            </w:r>
            <w:r w:rsidR="009F1748">
              <w:rPr>
                <w:noProof/>
                <w:webHidden/>
              </w:rPr>
              <w:fldChar w:fldCharType="begin"/>
            </w:r>
            <w:r w:rsidR="009F1748">
              <w:rPr>
                <w:noProof/>
                <w:webHidden/>
              </w:rPr>
              <w:instrText xml:space="preserve"> PAGEREF _Toc218529296 \h </w:instrText>
            </w:r>
            <w:r w:rsidR="009F1748">
              <w:rPr>
                <w:noProof/>
                <w:webHidden/>
              </w:rPr>
            </w:r>
            <w:r w:rsidR="009F1748">
              <w:rPr>
                <w:noProof/>
                <w:webHidden/>
              </w:rPr>
              <w:fldChar w:fldCharType="separate"/>
            </w:r>
            <w:r w:rsidR="004D6097">
              <w:rPr>
                <w:noProof/>
                <w:webHidden/>
              </w:rPr>
              <w:t>36</w:t>
            </w:r>
            <w:r w:rsidR="009F1748">
              <w:rPr>
                <w:noProof/>
                <w:webHidden/>
              </w:rPr>
              <w:fldChar w:fldCharType="end"/>
            </w:r>
          </w:hyperlink>
        </w:p>
        <w:p w14:paraId="55391BA4" w14:textId="1E7F2F56" w:rsidR="009F1748" w:rsidRDefault="00DD22DB">
          <w:pPr>
            <w:pStyle w:val="TOC1"/>
            <w:tabs>
              <w:tab w:val="left" w:pos="720"/>
              <w:tab w:val="right" w:leader="dot" w:pos="9016"/>
            </w:tabs>
            <w:rPr>
              <w:rFonts w:eastAsiaTheme="minorEastAsia"/>
              <w:noProof/>
              <w:sz w:val="24"/>
              <w:szCs w:val="24"/>
              <w:lang w:val="en-IE" w:eastAsia="en-IE"/>
            </w:rPr>
          </w:pPr>
          <w:hyperlink w:anchor="_Toc218529297" w:history="1">
            <w:r w:rsidR="009F1748" w:rsidRPr="005E60C7">
              <w:rPr>
                <w:rStyle w:val="Hyperlink"/>
                <w:noProof/>
              </w:rPr>
              <w:t>10.</w:t>
            </w:r>
            <w:r w:rsidR="009F1748">
              <w:rPr>
                <w:rFonts w:eastAsiaTheme="minorEastAsia"/>
                <w:noProof/>
                <w:sz w:val="24"/>
                <w:szCs w:val="24"/>
                <w:lang w:val="en-IE" w:eastAsia="en-IE"/>
              </w:rPr>
              <w:tab/>
            </w:r>
            <w:r w:rsidR="009F1748" w:rsidRPr="005E60C7">
              <w:rPr>
                <w:rStyle w:val="Hyperlink"/>
                <w:noProof/>
              </w:rPr>
              <w:t>Transporte marítimo</w:t>
            </w:r>
            <w:r w:rsidR="009F1748">
              <w:rPr>
                <w:noProof/>
                <w:webHidden/>
              </w:rPr>
              <w:tab/>
            </w:r>
            <w:r w:rsidR="009F1748">
              <w:rPr>
                <w:noProof/>
                <w:webHidden/>
              </w:rPr>
              <w:fldChar w:fldCharType="begin"/>
            </w:r>
            <w:r w:rsidR="009F1748">
              <w:rPr>
                <w:noProof/>
                <w:webHidden/>
              </w:rPr>
              <w:instrText xml:space="preserve"> PAGEREF _Toc218529297 \h </w:instrText>
            </w:r>
            <w:r w:rsidR="009F1748">
              <w:rPr>
                <w:noProof/>
                <w:webHidden/>
              </w:rPr>
            </w:r>
            <w:r w:rsidR="009F1748">
              <w:rPr>
                <w:noProof/>
                <w:webHidden/>
              </w:rPr>
              <w:fldChar w:fldCharType="separate"/>
            </w:r>
            <w:r w:rsidR="004D6097">
              <w:rPr>
                <w:noProof/>
                <w:webHidden/>
              </w:rPr>
              <w:t>40</w:t>
            </w:r>
            <w:r w:rsidR="009F1748">
              <w:rPr>
                <w:noProof/>
                <w:webHidden/>
              </w:rPr>
              <w:fldChar w:fldCharType="end"/>
            </w:r>
          </w:hyperlink>
        </w:p>
        <w:p w14:paraId="0AE6572C" w14:textId="29ED5682" w:rsidR="009F1748" w:rsidRDefault="00DD22DB">
          <w:pPr>
            <w:pStyle w:val="TOC1"/>
            <w:tabs>
              <w:tab w:val="left" w:pos="720"/>
              <w:tab w:val="right" w:leader="dot" w:pos="9016"/>
            </w:tabs>
            <w:rPr>
              <w:rFonts w:eastAsiaTheme="minorEastAsia"/>
              <w:noProof/>
              <w:sz w:val="24"/>
              <w:szCs w:val="24"/>
              <w:lang w:val="en-IE" w:eastAsia="en-IE"/>
            </w:rPr>
          </w:pPr>
          <w:hyperlink w:anchor="_Toc218529298" w:history="1">
            <w:r w:rsidR="009F1748" w:rsidRPr="005E60C7">
              <w:rPr>
                <w:rStyle w:val="Hyperlink"/>
                <w:noProof/>
              </w:rPr>
              <w:t>11.</w:t>
            </w:r>
            <w:r w:rsidR="009F1748">
              <w:rPr>
                <w:rFonts w:eastAsiaTheme="minorEastAsia"/>
                <w:noProof/>
                <w:sz w:val="24"/>
                <w:szCs w:val="24"/>
                <w:lang w:val="en-IE" w:eastAsia="en-IE"/>
              </w:rPr>
              <w:tab/>
            </w:r>
            <w:r w:rsidR="009F1748" w:rsidRPr="005E60C7">
              <w:rPr>
                <w:rStyle w:val="Hyperlink"/>
                <w:noProof/>
              </w:rPr>
              <w:t>Quadro de aplicação do CELE</w:t>
            </w:r>
            <w:r w:rsidR="009F1748">
              <w:rPr>
                <w:noProof/>
                <w:webHidden/>
              </w:rPr>
              <w:tab/>
            </w:r>
            <w:r w:rsidR="009F1748">
              <w:rPr>
                <w:noProof/>
                <w:webHidden/>
              </w:rPr>
              <w:fldChar w:fldCharType="begin"/>
            </w:r>
            <w:r w:rsidR="009F1748">
              <w:rPr>
                <w:noProof/>
                <w:webHidden/>
              </w:rPr>
              <w:instrText xml:space="preserve"> PAGEREF _Toc218529298 \h </w:instrText>
            </w:r>
            <w:r w:rsidR="009F1748">
              <w:rPr>
                <w:noProof/>
                <w:webHidden/>
              </w:rPr>
            </w:r>
            <w:r w:rsidR="009F1748">
              <w:rPr>
                <w:noProof/>
                <w:webHidden/>
              </w:rPr>
              <w:fldChar w:fldCharType="separate"/>
            </w:r>
            <w:r w:rsidR="004D6097">
              <w:rPr>
                <w:noProof/>
                <w:webHidden/>
              </w:rPr>
              <w:t>41</w:t>
            </w:r>
            <w:r w:rsidR="009F1748">
              <w:rPr>
                <w:noProof/>
                <w:webHidden/>
              </w:rPr>
              <w:fldChar w:fldCharType="end"/>
            </w:r>
          </w:hyperlink>
        </w:p>
        <w:p w14:paraId="41AAD860" w14:textId="0BA55A01" w:rsidR="009F1748" w:rsidRDefault="00DD22DB">
          <w:pPr>
            <w:pStyle w:val="TOC2"/>
            <w:tabs>
              <w:tab w:val="left" w:pos="960"/>
              <w:tab w:val="right" w:leader="dot" w:pos="9016"/>
            </w:tabs>
            <w:rPr>
              <w:rFonts w:cstheme="minorBidi"/>
              <w:noProof/>
              <w:kern w:val="2"/>
              <w:sz w:val="24"/>
              <w:szCs w:val="24"/>
              <w:lang w:val="en-IE" w:eastAsia="en-IE"/>
              <w14:ligatures w14:val="standardContextual"/>
            </w:rPr>
          </w:pPr>
          <w:hyperlink w:anchor="_Toc218529299" w:history="1">
            <w:r w:rsidR="009F1748" w:rsidRPr="005E60C7">
              <w:rPr>
                <w:rStyle w:val="Hyperlink"/>
                <w:noProof/>
              </w:rPr>
              <w:t>11.1.</w:t>
            </w:r>
            <w:r w:rsidR="009F1748">
              <w:rPr>
                <w:rFonts w:cstheme="minorBidi"/>
                <w:noProof/>
                <w:kern w:val="2"/>
                <w:sz w:val="24"/>
                <w:szCs w:val="24"/>
                <w:lang w:val="en-IE" w:eastAsia="en-IE"/>
                <w14:ligatures w14:val="standardContextual"/>
              </w:rPr>
              <w:tab/>
            </w:r>
            <w:r w:rsidR="009F1748" w:rsidRPr="005E60C7">
              <w:rPr>
                <w:rStyle w:val="Hyperlink"/>
                <w:noProof/>
              </w:rPr>
              <w:t>Monitorização e comunicação das emissões</w:t>
            </w:r>
            <w:r w:rsidR="009F1748">
              <w:rPr>
                <w:noProof/>
                <w:webHidden/>
              </w:rPr>
              <w:tab/>
            </w:r>
            <w:r w:rsidR="009F1748">
              <w:rPr>
                <w:noProof/>
                <w:webHidden/>
              </w:rPr>
              <w:fldChar w:fldCharType="begin"/>
            </w:r>
            <w:r w:rsidR="009F1748">
              <w:rPr>
                <w:noProof/>
                <w:webHidden/>
              </w:rPr>
              <w:instrText xml:space="preserve"> PAGEREF _Toc218529299 \h </w:instrText>
            </w:r>
            <w:r w:rsidR="009F1748">
              <w:rPr>
                <w:noProof/>
                <w:webHidden/>
              </w:rPr>
            </w:r>
            <w:r w:rsidR="009F1748">
              <w:rPr>
                <w:noProof/>
                <w:webHidden/>
              </w:rPr>
              <w:fldChar w:fldCharType="separate"/>
            </w:r>
            <w:r w:rsidR="004D6097">
              <w:rPr>
                <w:noProof/>
                <w:webHidden/>
              </w:rPr>
              <w:t>42</w:t>
            </w:r>
            <w:r w:rsidR="009F1748">
              <w:rPr>
                <w:noProof/>
                <w:webHidden/>
              </w:rPr>
              <w:fldChar w:fldCharType="end"/>
            </w:r>
          </w:hyperlink>
        </w:p>
        <w:p w14:paraId="523BA6DA" w14:textId="361F9F99" w:rsidR="009F1748" w:rsidRDefault="00DD22DB">
          <w:pPr>
            <w:pStyle w:val="TOC3"/>
            <w:tabs>
              <w:tab w:val="left" w:pos="1440"/>
              <w:tab w:val="right" w:leader="dot" w:pos="9016"/>
            </w:tabs>
            <w:rPr>
              <w:rFonts w:cstheme="minorBidi"/>
              <w:noProof/>
              <w:kern w:val="2"/>
              <w:sz w:val="24"/>
              <w:szCs w:val="24"/>
              <w:lang w:val="en-IE" w:eastAsia="en-IE"/>
              <w14:ligatures w14:val="standardContextual"/>
            </w:rPr>
          </w:pPr>
          <w:hyperlink w:anchor="_Toc218529300" w:history="1">
            <w:r w:rsidR="009F1748" w:rsidRPr="005E60C7">
              <w:rPr>
                <w:rStyle w:val="Hyperlink"/>
                <w:noProof/>
              </w:rPr>
              <w:t>11.1.1.</w:t>
            </w:r>
            <w:r w:rsidR="009F1748">
              <w:rPr>
                <w:rFonts w:cstheme="minorBidi"/>
                <w:noProof/>
                <w:kern w:val="2"/>
                <w:sz w:val="24"/>
                <w:szCs w:val="24"/>
                <w:lang w:val="en-IE" w:eastAsia="en-IE"/>
                <w14:ligatures w14:val="standardContextual"/>
              </w:rPr>
              <w:tab/>
            </w:r>
            <w:r w:rsidR="009F1748" w:rsidRPr="005E60C7">
              <w:rPr>
                <w:rStyle w:val="Hyperlink"/>
                <w:noProof/>
              </w:rPr>
              <w:t>Monitorização e comunicação das emissões provenientes da incineração de resíduos urbanos</w:t>
            </w:r>
            <w:r w:rsidR="009F1748">
              <w:rPr>
                <w:noProof/>
                <w:webHidden/>
              </w:rPr>
              <w:tab/>
            </w:r>
            <w:r w:rsidR="00A82F96">
              <w:rPr>
                <w:noProof/>
                <w:webHidden/>
              </w:rPr>
              <w:tab/>
            </w:r>
            <w:r w:rsidR="009F1748">
              <w:rPr>
                <w:noProof/>
                <w:webHidden/>
              </w:rPr>
              <w:fldChar w:fldCharType="begin"/>
            </w:r>
            <w:r w:rsidR="009F1748">
              <w:rPr>
                <w:noProof/>
                <w:webHidden/>
              </w:rPr>
              <w:instrText xml:space="preserve"> PAGEREF _Toc218529300 \h </w:instrText>
            </w:r>
            <w:r w:rsidR="009F1748">
              <w:rPr>
                <w:noProof/>
                <w:webHidden/>
              </w:rPr>
            </w:r>
            <w:r w:rsidR="009F1748">
              <w:rPr>
                <w:noProof/>
                <w:webHidden/>
              </w:rPr>
              <w:fldChar w:fldCharType="separate"/>
            </w:r>
            <w:r w:rsidR="004D6097">
              <w:rPr>
                <w:noProof/>
                <w:webHidden/>
              </w:rPr>
              <w:t>43</w:t>
            </w:r>
            <w:r w:rsidR="009F1748">
              <w:rPr>
                <w:noProof/>
                <w:webHidden/>
              </w:rPr>
              <w:fldChar w:fldCharType="end"/>
            </w:r>
          </w:hyperlink>
        </w:p>
        <w:p w14:paraId="557CDA14" w14:textId="3B312D32" w:rsidR="009F1748" w:rsidRDefault="00DD22DB">
          <w:pPr>
            <w:pStyle w:val="TOC3"/>
            <w:tabs>
              <w:tab w:val="left" w:pos="1440"/>
              <w:tab w:val="right" w:leader="dot" w:pos="9016"/>
            </w:tabs>
            <w:rPr>
              <w:rFonts w:cstheme="minorBidi"/>
              <w:noProof/>
              <w:kern w:val="2"/>
              <w:sz w:val="24"/>
              <w:szCs w:val="24"/>
              <w:lang w:val="en-IE" w:eastAsia="en-IE"/>
              <w14:ligatures w14:val="standardContextual"/>
            </w:rPr>
          </w:pPr>
          <w:hyperlink w:anchor="_Toc218529301" w:history="1">
            <w:r w:rsidR="009F1748" w:rsidRPr="005E60C7">
              <w:rPr>
                <w:rStyle w:val="Hyperlink"/>
                <w:noProof/>
              </w:rPr>
              <w:t>11.1.2.</w:t>
            </w:r>
            <w:r w:rsidR="009F1748">
              <w:rPr>
                <w:rFonts w:cstheme="minorBidi"/>
                <w:noProof/>
                <w:kern w:val="2"/>
                <w:sz w:val="24"/>
                <w:szCs w:val="24"/>
                <w:lang w:val="en-IE" w:eastAsia="en-IE"/>
                <w14:ligatures w14:val="standardContextual"/>
              </w:rPr>
              <w:tab/>
            </w:r>
            <w:r w:rsidR="009F1748" w:rsidRPr="005E60C7">
              <w:rPr>
                <w:rStyle w:val="Hyperlink"/>
                <w:noProof/>
              </w:rPr>
              <w:t>Monitorização e comunicação dos efeitos da aviação não ligados ao CO</w:t>
            </w:r>
            <w:r w:rsidR="009F1748" w:rsidRPr="005E60C7">
              <w:rPr>
                <w:rStyle w:val="Hyperlink"/>
                <w:noProof/>
                <w:vertAlign w:val="subscript"/>
              </w:rPr>
              <w:t>2</w:t>
            </w:r>
            <w:r w:rsidR="009F1748">
              <w:rPr>
                <w:noProof/>
                <w:webHidden/>
              </w:rPr>
              <w:tab/>
            </w:r>
            <w:r w:rsidR="009F1748">
              <w:rPr>
                <w:noProof/>
                <w:webHidden/>
              </w:rPr>
              <w:fldChar w:fldCharType="begin"/>
            </w:r>
            <w:r w:rsidR="009F1748">
              <w:rPr>
                <w:noProof/>
                <w:webHidden/>
              </w:rPr>
              <w:instrText xml:space="preserve"> PAGEREF _Toc218529301 \h </w:instrText>
            </w:r>
            <w:r w:rsidR="009F1748">
              <w:rPr>
                <w:noProof/>
                <w:webHidden/>
              </w:rPr>
            </w:r>
            <w:r w:rsidR="009F1748">
              <w:rPr>
                <w:noProof/>
                <w:webHidden/>
              </w:rPr>
              <w:fldChar w:fldCharType="separate"/>
            </w:r>
            <w:r w:rsidR="004D6097">
              <w:rPr>
                <w:noProof/>
                <w:webHidden/>
              </w:rPr>
              <w:t>43</w:t>
            </w:r>
            <w:r w:rsidR="009F1748">
              <w:rPr>
                <w:noProof/>
                <w:webHidden/>
              </w:rPr>
              <w:fldChar w:fldCharType="end"/>
            </w:r>
          </w:hyperlink>
        </w:p>
        <w:p w14:paraId="31C705C9" w14:textId="5202BD46" w:rsidR="009F1748" w:rsidRDefault="00DD22DB">
          <w:pPr>
            <w:pStyle w:val="TOC2"/>
            <w:tabs>
              <w:tab w:val="left" w:pos="960"/>
              <w:tab w:val="right" w:leader="dot" w:pos="9016"/>
            </w:tabs>
            <w:rPr>
              <w:rFonts w:cstheme="minorBidi"/>
              <w:noProof/>
              <w:kern w:val="2"/>
              <w:sz w:val="24"/>
              <w:szCs w:val="24"/>
              <w:lang w:val="en-IE" w:eastAsia="en-IE"/>
              <w14:ligatures w14:val="standardContextual"/>
            </w:rPr>
          </w:pPr>
          <w:hyperlink w:anchor="_Toc218529302" w:history="1">
            <w:r w:rsidR="009F1748" w:rsidRPr="005E60C7">
              <w:rPr>
                <w:rStyle w:val="Hyperlink"/>
                <w:noProof/>
              </w:rPr>
              <w:t>11.2.</w:t>
            </w:r>
            <w:r w:rsidR="009F1748">
              <w:rPr>
                <w:rFonts w:cstheme="minorBidi"/>
                <w:noProof/>
                <w:kern w:val="2"/>
                <w:sz w:val="24"/>
                <w:szCs w:val="24"/>
                <w:lang w:val="en-IE" w:eastAsia="en-IE"/>
                <w14:ligatures w14:val="standardContextual"/>
              </w:rPr>
              <w:tab/>
            </w:r>
            <w:r w:rsidR="009F1748" w:rsidRPr="005E60C7">
              <w:rPr>
                <w:rStyle w:val="Hyperlink"/>
                <w:noProof/>
              </w:rPr>
              <w:t>Verificação e acreditação</w:t>
            </w:r>
            <w:r w:rsidR="009F1748">
              <w:rPr>
                <w:noProof/>
                <w:webHidden/>
              </w:rPr>
              <w:tab/>
            </w:r>
            <w:r w:rsidR="009F1748">
              <w:rPr>
                <w:noProof/>
                <w:webHidden/>
              </w:rPr>
              <w:fldChar w:fldCharType="begin"/>
            </w:r>
            <w:r w:rsidR="009F1748">
              <w:rPr>
                <w:noProof/>
                <w:webHidden/>
              </w:rPr>
              <w:instrText xml:space="preserve"> PAGEREF _Toc218529302 \h </w:instrText>
            </w:r>
            <w:r w:rsidR="009F1748">
              <w:rPr>
                <w:noProof/>
                <w:webHidden/>
              </w:rPr>
            </w:r>
            <w:r w:rsidR="009F1748">
              <w:rPr>
                <w:noProof/>
                <w:webHidden/>
              </w:rPr>
              <w:fldChar w:fldCharType="separate"/>
            </w:r>
            <w:r w:rsidR="004D6097">
              <w:rPr>
                <w:noProof/>
                <w:webHidden/>
              </w:rPr>
              <w:t>44</w:t>
            </w:r>
            <w:r w:rsidR="009F1748">
              <w:rPr>
                <w:noProof/>
                <w:webHidden/>
              </w:rPr>
              <w:fldChar w:fldCharType="end"/>
            </w:r>
          </w:hyperlink>
        </w:p>
        <w:p w14:paraId="3B35C5AA" w14:textId="594A44C9" w:rsidR="009F1748" w:rsidRDefault="00DD22DB">
          <w:pPr>
            <w:pStyle w:val="TOC2"/>
            <w:tabs>
              <w:tab w:val="left" w:pos="960"/>
              <w:tab w:val="right" w:leader="dot" w:pos="9016"/>
            </w:tabs>
            <w:rPr>
              <w:rFonts w:cstheme="minorBidi"/>
              <w:noProof/>
              <w:kern w:val="2"/>
              <w:sz w:val="24"/>
              <w:szCs w:val="24"/>
              <w:lang w:val="en-IE" w:eastAsia="en-IE"/>
              <w14:ligatures w14:val="standardContextual"/>
            </w:rPr>
          </w:pPr>
          <w:hyperlink w:anchor="_Toc218529303" w:history="1">
            <w:r w:rsidR="009F1748" w:rsidRPr="005E60C7">
              <w:rPr>
                <w:rStyle w:val="Hyperlink"/>
                <w:noProof/>
              </w:rPr>
              <w:t>11.3.</w:t>
            </w:r>
            <w:r w:rsidR="009F1748">
              <w:rPr>
                <w:rFonts w:cstheme="minorBidi"/>
                <w:noProof/>
                <w:kern w:val="2"/>
                <w:sz w:val="24"/>
                <w:szCs w:val="24"/>
                <w:lang w:val="en-IE" w:eastAsia="en-IE"/>
                <w14:ligatures w14:val="standardContextual"/>
              </w:rPr>
              <w:tab/>
            </w:r>
            <w:r w:rsidR="009F1748" w:rsidRPr="005E60C7">
              <w:rPr>
                <w:rStyle w:val="Hyperlink"/>
                <w:noProof/>
              </w:rPr>
              <w:t>Documentos de orientação</w:t>
            </w:r>
            <w:r w:rsidR="009F1748">
              <w:rPr>
                <w:noProof/>
                <w:webHidden/>
              </w:rPr>
              <w:tab/>
            </w:r>
            <w:r w:rsidR="009F1748">
              <w:rPr>
                <w:noProof/>
                <w:webHidden/>
              </w:rPr>
              <w:fldChar w:fldCharType="begin"/>
            </w:r>
            <w:r w:rsidR="009F1748">
              <w:rPr>
                <w:noProof/>
                <w:webHidden/>
              </w:rPr>
              <w:instrText xml:space="preserve"> PAGEREF _Toc218529303 \h </w:instrText>
            </w:r>
            <w:r w:rsidR="009F1748">
              <w:rPr>
                <w:noProof/>
                <w:webHidden/>
              </w:rPr>
            </w:r>
            <w:r w:rsidR="009F1748">
              <w:rPr>
                <w:noProof/>
                <w:webHidden/>
              </w:rPr>
              <w:fldChar w:fldCharType="separate"/>
            </w:r>
            <w:r w:rsidR="004D6097">
              <w:rPr>
                <w:noProof/>
                <w:webHidden/>
              </w:rPr>
              <w:t>45</w:t>
            </w:r>
            <w:r w:rsidR="009F1748">
              <w:rPr>
                <w:noProof/>
                <w:webHidden/>
              </w:rPr>
              <w:fldChar w:fldCharType="end"/>
            </w:r>
          </w:hyperlink>
        </w:p>
        <w:p w14:paraId="18ECD5D7" w14:textId="06D53D52" w:rsidR="009F1748" w:rsidRDefault="00DD22DB">
          <w:pPr>
            <w:pStyle w:val="TOC2"/>
            <w:tabs>
              <w:tab w:val="left" w:pos="960"/>
              <w:tab w:val="right" w:leader="dot" w:pos="9016"/>
            </w:tabs>
            <w:rPr>
              <w:rFonts w:cstheme="minorBidi"/>
              <w:noProof/>
              <w:kern w:val="2"/>
              <w:sz w:val="24"/>
              <w:szCs w:val="24"/>
              <w:lang w:val="en-IE" w:eastAsia="en-IE"/>
              <w14:ligatures w14:val="standardContextual"/>
            </w:rPr>
          </w:pPr>
          <w:hyperlink w:anchor="_Toc218529304" w:history="1">
            <w:r w:rsidR="009F1748" w:rsidRPr="005E60C7">
              <w:rPr>
                <w:rStyle w:val="Hyperlink"/>
                <w:noProof/>
              </w:rPr>
              <w:t>11.4.</w:t>
            </w:r>
            <w:r w:rsidR="009F1748">
              <w:rPr>
                <w:rFonts w:cstheme="minorBidi"/>
                <w:noProof/>
                <w:kern w:val="2"/>
                <w:sz w:val="24"/>
                <w:szCs w:val="24"/>
                <w:lang w:val="en-IE" w:eastAsia="en-IE"/>
                <w14:ligatures w14:val="standardContextual"/>
              </w:rPr>
              <w:tab/>
            </w:r>
            <w:r w:rsidR="009F1748" w:rsidRPr="005E60C7">
              <w:rPr>
                <w:rStyle w:val="Hyperlink"/>
                <w:noProof/>
              </w:rPr>
              <w:t>Autoridades nacionais competentes</w:t>
            </w:r>
            <w:r w:rsidR="009F1748">
              <w:rPr>
                <w:noProof/>
                <w:webHidden/>
              </w:rPr>
              <w:tab/>
            </w:r>
            <w:r w:rsidR="009F1748">
              <w:rPr>
                <w:noProof/>
                <w:webHidden/>
              </w:rPr>
              <w:fldChar w:fldCharType="begin"/>
            </w:r>
            <w:r w:rsidR="009F1748">
              <w:rPr>
                <w:noProof/>
                <w:webHidden/>
              </w:rPr>
              <w:instrText xml:space="preserve"> PAGEREF _Toc218529304 \h </w:instrText>
            </w:r>
            <w:r w:rsidR="009F1748">
              <w:rPr>
                <w:noProof/>
                <w:webHidden/>
              </w:rPr>
            </w:r>
            <w:r w:rsidR="009F1748">
              <w:rPr>
                <w:noProof/>
                <w:webHidden/>
              </w:rPr>
              <w:fldChar w:fldCharType="separate"/>
            </w:r>
            <w:r w:rsidR="004D6097">
              <w:rPr>
                <w:noProof/>
                <w:webHidden/>
              </w:rPr>
              <w:t>45</w:t>
            </w:r>
            <w:r w:rsidR="009F1748">
              <w:rPr>
                <w:noProof/>
                <w:webHidden/>
              </w:rPr>
              <w:fldChar w:fldCharType="end"/>
            </w:r>
          </w:hyperlink>
        </w:p>
        <w:p w14:paraId="50D44CBB" w14:textId="77D588DF" w:rsidR="009F1748" w:rsidRDefault="00DD22DB">
          <w:pPr>
            <w:pStyle w:val="TOC2"/>
            <w:tabs>
              <w:tab w:val="left" w:pos="960"/>
              <w:tab w:val="right" w:leader="dot" w:pos="9016"/>
            </w:tabs>
            <w:rPr>
              <w:rFonts w:cstheme="minorBidi"/>
              <w:noProof/>
              <w:kern w:val="2"/>
              <w:sz w:val="24"/>
              <w:szCs w:val="24"/>
              <w:lang w:val="en-IE" w:eastAsia="en-IE"/>
              <w14:ligatures w14:val="standardContextual"/>
            </w:rPr>
          </w:pPr>
          <w:hyperlink w:anchor="_Toc218529305" w:history="1">
            <w:r w:rsidR="009F1748" w:rsidRPr="005E60C7">
              <w:rPr>
                <w:rStyle w:val="Hyperlink"/>
                <w:noProof/>
              </w:rPr>
              <w:t>11.5.</w:t>
            </w:r>
            <w:r w:rsidR="009F1748">
              <w:rPr>
                <w:rFonts w:cstheme="minorBidi"/>
                <w:noProof/>
                <w:kern w:val="2"/>
                <w:sz w:val="24"/>
                <w:szCs w:val="24"/>
                <w:lang w:val="en-IE" w:eastAsia="en-IE"/>
                <w14:ligatures w14:val="standardContextual"/>
              </w:rPr>
              <w:tab/>
            </w:r>
            <w:r w:rsidR="009F1748" w:rsidRPr="005E60C7">
              <w:rPr>
                <w:rStyle w:val="Hyperlink"/>
                <w:noProof/>
              </w:rPr>
              <w:t>Cumprimento do CELE</w:t>
            </w:r>
            <w:r w:rsidR="009F1748">
              <w:rPr>
                <w:noProof/>
                <w:webHidden/>
              </w:rPr>
              <w:tab/>
            </w:r>
            <w:r w:rsidR="009F1748">
              <w:rPr>
                <w:noProof/>
                <w:webHidden/>
              </w:rPr>
              <w:fldChar w:fldCharType="begin"/>
            </w:r>
            <w:r w:rsidR="009F1748">
              <w:rPr>
                <w:noProof/>
                <w:webHidden/>
              </w:rPr>
              <w:instrText xml:space="preserve"> PAGEREF _Toc218529305 \h </w:instrText>
            </w:r>
            <w:r w:rsidR="009F1748">
              <w:rPr>
                <w:noProof/>
                <w:webHidden/>
              </w:rPr>
            </w:r>
            <w:r w:rsidR="009F1748">
              <w:rPr>
                <w:noProof/>
                <w:webHidden/>
              </w:rPr>
              <w:fldChar w:fldCharType="separate"/>
            </w:r>
            <w:r w:rsidR="004D6097">
              <w:rPr>
                <w:noProof/>
                <w:webHidden/>
              </w:rPr>
              <w:t>46</w:t>
            </w:r>
            <w:r w:rsidR="009F1748">
              <w:rPr>
                <w:noProof/>
                <w:webHidden/>
              </w:rPr>
              <w:fldChar w:fldCharType="end"/>
            </w:r>
          </w:hyperlink>
        </w:p>
        <w:p w14:paraId="7B90818A" w14:textId="117F46C4" w:rsidR="009F1748" w:rsidRDefault="00DD22DB">
          <w:pPr>
            <w:pStyle w:val="TOC2"/>
            <w:tabs>
              <w:tab w:val="left" w:pos="960"/>
              <w:tab w:val="right" w:leader="dot" w:pos="9016"/>
            </w:tabs>
            <w:rPr>
              <w:rFonts w:cstheme="minorBidi"/>
              <w:noProof/>
              <w:kern w:val="2"/>
              <w:sz w:val="24"/>
              <w:szCs w:val="24"/>
              <w:lang w:val="en-IE" w:eastAsia="en-IE"/>
              <w14:ligatures w14:val="standardContextual"/>
            </w:rPr>
          </w:pPr>
          <w:hyperlink w:anchor="_Toc218529306" w:history="1">
            <w:r w:rsidR="009F1748" w:rsidRPr="005E60C7">
              <w:rPr>
                <w:rStyle w:val="Hyperlink"/>
                <w:noProof/>
              </w:rPr>
              <w:t>11.6.</w:t>
            </w:r>
            <w:r w:rsidR="009F1748">
              <w:rPr>
                <w:rFonts w:cstheme="minorBidi"/>
                <w:noProof/>
                <w:kern w:val="2"/>
                <w:sz w:val="24"/>
                <w:szCs w:val="24"/>
                <w:lang w:val="en-IE" w:eastAsia="en-IE"/>
                <w14:ligatures w14:val="standardContextual"/>
              </w:rPr>
              <w:tab/>
            </w:r>
            <w:r w:rsidR="009F1748" w:rsidRPr="005E60C7">
              <w:rPr>
                <w:rStyle w:val="Hyperlink"/>
                <w:noProof/>
              </w:rPr>
              <w:t>Quadro de aplicação para o transporte marítimo</w:t>
            </w:r>
            <w:r w:rsidR="009F1748">
              <w:rPr>
                <w:noProof/>
                <w:webHidden/>
              </w:rPr>
              <w:tab/>
            </w:r>
            <w:r w:rsidR="009F1748">
              <w:rPr>
                <w:noProof/>
                <w:webHidden/>
              </w:rPr>
              <w:fldChar w:fldCharType="begin"/>
            </w:r>
            <w:r w:rsidR="009F1748">
              <w:rPr>
                <w:noProof/>
                <w:webHidden/>
              </w:rPr>
              <w:instrText xml:space="preserve"> PAGEREF _Toc218529306 \h </w:instrText>
            </w:r>
            <w:r w:rsidR="009F1748">
              <w:rPr>
                <w:noProof/>
                <w:webHidden/>
              </w:rPr>
            </w:r>
            <w:r w:rsidR="009F1748">
              <w:rPr>
                <w:noProof/>
                <w:webHidden/>
              </w:rPr>
              <w:fldChar w:fldCharType="separate"/>
            </w:r>
            <w:r w:rsidR="004D6097">
              <w:rPr>
                <w:noProof/>
                <w:webHidden/>
              </w:rPr>
              <w:t>48</w:t>
            </w:r>
            <w:r w:rsidR="009F1748">
              <w:rPr>
                <w:noProof/>
                <w:webHidden/>
              </w:rPr>
              <w:fldChar w:fldCharType="end"/>
            </w:r>
          </w:hyperlink>
        </w:p>
        <w:p w14:paraId="71C682A4" w14:textId="2888E46C" w:rsidR="009F1748" w:rsidRDefault="00DD22DB">
          <w:pPr>
            <w:pStyle w:val="TOC3"/>
            <w:tabs>
              <w:tab w:val="left" w:pos="1440"/>
              <w:tab w:val="right" w:leader="dot" w:pos="9016"/>
            </w:tabs>
            <w:rPr>
              <w:rFonts w:cstheme="minorBidi"/>
              <w:noProof/>
              <w:kern w:val="2"/>
              <w:sz w:val="24"/>
              <w:szCs w:val="24"/>
              <w:lang w:val="en-IE" w:eastAsia="en-IE"/>
              <w14:ligatures w14:val="standardContextual"/>
            </w:rPr>
          </w:pPr>
          <w:hyperlink w:anchor="_Toc218529307" w:history="1">
            <w:r w:rsidR="009F1748" w:rsidRPr="005E60C7">
              <w:rPr>
                <w:rStyle w:val="Hyperlink"/>
                <w:noProof/>
              </w:rPr>
              <w:t>11.6.1.</w:t>
            </w:r>
            <w:r w:rsidR="009F1748">
              <w:rPr>
                <w:rFonts w:cstheme="minorBidi"/>
                <w:noProof/>
                <w:kern w:val="2"/>
                <w:sz w:val="24"/>
                <w:szCs w:val="24"/>
                <w:lang w:val="en-IE" w:eastAsia="en-IE"/>
                <w14:ligatures w14:val="standardContextual"/>
              </w:rPr>
              <w:tab/>
            </w:r>
            <w:r w:rsidR="009F1748" w:rsidRPr="005E60C7">
              <w:rPr>
                <w:rStyle w:val="Hyperlink"/>
                <w:noProof/>
              </w:rPr>
              <w:t>Monitorização e comunicação das emissões</w:t>
            </w:r>
            <w:r w:rsidR="009F1748">
              <w:rPr>
                <w:noProof/>
                <w:webHidden/>
              </w:rPr>
              <w:tab/>
            </w:r>
            <w:r w:rsidR="009F1748">
              <w:rPr>
                <w:noProof/>
                <w:webHidden/>
              </w:rPr>
              <w:fldChar w:fldCharType="begin"/>
            </w:r>
            <w:r w:rsidR="009F1748">
              <w:rPr>
                <w:noProof/>
                <w:webHidden/>
              </w:rPr>
              <w:instrText xml:space="preserve"> PAGEREF _Toc218529307 \h </w:instrText>
            </w:r>
            <w:r w:rsidR="009F1748">
              <w:rPr>
                <w:noProof/>
                <w:webHidden/>
              </w:rPr>
            </w:r>
            <w:r w:rsidR="009F1748">
              <w:rPr>
                <w:noProof/>
                <w:webHidden/>
              </w:rPr>
              <w:fldChar w:fldCharType="separate"/>
            </w:r>
            <w:r w:rsidR="004D6097">
              <w:rPr>
                <w:noProof/>
                <w:webHidden/>
              </w:rPr>
              <w:t>48</w:t>
            </w:r>
            <w:r w:rsidR="009F1748">
              <w:rPr>
                <w:noProof/>
                <w:webHidden/>
              </w:rPr>
              <w:fldChar w:fldCharType="end"/>
            </w:r>
          </w:hyperlink>
        </w:p>
        <w:p w14:paraId="678EC2FD" w14:textId="43E651E5" w:rsidR="009F1748" w:rsidRDefault="00DD22DB">
          <w:pPr>
            <w:pStyle w:val="TOC3"/>
            <w:tabs>
              <w:tab w:val="left" w:pos="1440"/>
              <w:tab w:val="right" w:leader="dot" w:pos="9016"/>
            </w:tabs>
            <w:rPr>
              <w:rFonts w:cstheme="minorBidi"/>
              <w:noProof/>
              <w:kern w:val="2"/>
              <w:sz w:val="24"/>
              <w:szCs w:val="24"/>
              <w:lang w:val="en-IE" w:eastAsia="en-IE"/>
              <w14:ligatures w14:val="standardContextual"/>
            </w:rPr>
          </w:pPr>
          <w:hyperlink w:anchor="_Toc218529308" w:history="1">
            <w:r w:rsidR="009F1748" w:rsidRPr="005E60C7">
              <w:rPr>
                <w:rStyle w:val="Hyperlink"/>
                <w:noProof/>
              </w:rPr>
              <w:t>11.6.2.</w:t>
            </w:r>
            <w:r w:rsidR="009F1748">
              <w:rPr>
                <w:rFonts w:cstheme="minorBidi"/>
                <w:noProof/>
                <w:kern w:val="2"/>
                <w:sz w:val="24"/>
                <w:szCs w:val="24"/>
                <w:lang w:val="en-IE" w:eastAsia="en-IE"/>
                <w14:ligatures w14:val="standardContextual"/>
              </w:rPr>
              <w:tab/>
            </w:r>
            <w:r w:rsidR="009F1748" w:rsidRPr="005E60C7">
              <w:rPr>
                <w:rStyle w:val="Hyperlink"/>
                <w:noProof/>
              </w:rPr>
              <w:t>Verificação e acreditação</w:t>
            </w:r>
            <w:r w:rsidR="009F1748">
              <w:rPr>
                <w:noProof/>
                <w:webHidden/>
              </w:rPr>
              <w:tab/>
            </w:r>
            <w:r w:rsidR="009F1748">
              <w:rPr>
                <w:noProof/>
                <w:webHidden/>
              </w:rPr>
              <w:fldChar w:fldCharType="begin"/>
            </w:r>
            <w:r w:rsidR="009F1748">
              <w:rPr>
                <w:noProof/>
                <w:webHidden/>
              </w:rPr>
              <w:instrText xml:space="preserve"> PAGEREF _Toc218529308 \h </w:instrText>
            </w:r>
            <w:r w:rsidR="009F1748">
              <w:rPr>
                <w:noProof/>
                <w:webHidden/>
              </w:rPr>
            </w:r>
            <w:r w:rsidR="009F1748">
              <w:rPr>
                <w:noProof/>
                <w:webHidden/>
              </w:rPr>
              <w:fldChar w:fldCharType="separate"/>
            </w:r>
            <w:r w:rsidR="004D6097">
              <w:rPr>
                <w:noProof/>
                <w:webHidden/>
              </w:rPr>
              <w:t>49</w:t>
            </w:r>
            <w:r w:rsidR="009F1748">
              <w:rPr>
                <w:noProof/>
                <w:webHidden/>
              </w:rPr>
              <w:fldChar w:fldCharType="end"/>
            </w:r>
          </w:hyperlink>
        </w:p>
        <w:p w14:paraId="6ADB5606" w14:textId="41DC779B" w:rsidR="009F1748" w:rsidRDefault="00DD22DB">
          <w:pPr>
            <w:pStyle w:val="TOC3"/>
            <w:tabs>
              <w:tab w:val="left" w:pos="1440"/>
              <w:tab w:val="right" w:leader="dot" w:pos="9016"/>
            </w:tabs>
            <w:rPr>
              <w:rFonts w:cstheme="minorBidi"/>
              <w:noProof/>
              <w:kern w:val="2"/>
              <w:sz w:val="24"/>
              <w:szCs w:val="24"/>
              <w:lang w:val="en-IE" w:eastAsia="en-IE"/>
              <w14:ligatures w14:val="standardContextual"/>
            </w:rPr>
          </w:pPr>
          <w:hyperlink w:anchor="_Toc218529309" w:history="1">
            <w:r w:rsidR="009F1748" w:rsidRPr="005E60C7">
              <w:rPr>
                <w:rStyle w:val="Hyperlink"/>
                <w:noProof/>
              </w:rPr>
              <w:t>11.6.3.</w:t>
            </w:r>
            <w:r w:rsidR="009F1748">
              <w:rPr>
                <w:rFonts w:cstheme="minorBidi"/>
                <w:noProof/>
                <w:kern w:val="2"/>
                <w:sz w:val="24"/>
                <w:szCs w:val="24"/>
                <w:lang w:val="en-IE" w:eastAsia="en-IE"/>
                <w14:ligatures w14:val="standardContextual"/>
              </w:rPr>
              <w:tab/>
            </w:r>
            <w:r w:rsidR="009F1748" w:rsidRPr="005E60C7">
              <w:rPr>
                <w:rStyle w:val="Hyperlink"/>
                <w:noProof/>
              </w:rPr>
              <w:t>Autoridades administradoras</w:t>
            </w:r>
            <w:r w:rsidR="009F1748">
              <w:rPr>
                <w:noProof/>
                <w:webHidden/>
              </w:rPr>
              <w:tab/>
            </w:r>
            <w:r w:rsidR="009F1748">
              <w:rPr>
                <w:noProof/>
                <w:webHidden/>
              </w:rPr>
              <w:fldChar w:fldCharType="begin"/>
            </w:r>
            <w:r w:rsidR="009F1748">
              <w:rPr>
                <w:noProof/>
                <w:webHidden/>
              </w:rPr>
              <w:instrText xml:space="preserve"> PAGEREF _Toc218529309 \h </w:instrText>
            </w:r>
            <w:r w:rsidR="009F1748">
              <w:rPr>
                <w:noProof/>
                <w:webHidden/>
              </w:rPr>
            </w:r>
            <w:r w:rsidR="009F1748">
              <w:rPr>
                <w:noProof/>
                <w:webHidden/>
              </w:rPr>
              <w:fldChar w:fldCharType="separate"/>
            </w:r>
            <w:r w:rsidR="004D6097">
              <w:rPr>
                <w:noProof/>
                <w:webHidden/>
              </w:rPr>
              <w:t>49</w:t>
            </w:r>
            <w:r w:rsidR="009F1748">
              <w:rPr>
                <w:noProof/>
                <w:webHidden/>
              </w:rPr>
              <w:fldChar w:fldCharType="end"/>
            </w:r>
          </w:hyperlink>
        </w:p>
        <w:p w14:paraId="7B801684" w14:textId="17A3D940" w:rsidR="009F1748" w:rsidRDefault="00DD22DB">
          <w:pPr>
            <w:pStyle w:val="TOC3"/>
            <w:tabs>
              <w:tab w:val="left" w:pos="1440"/>
              <w:tab w:val="right" w:leader="dot" w:pos="9016"/>
            </w:tabs>
            <w:rPr>
              <w:rFonts w:cstheme="minorBidi"/>
              <w:noProof/>
              <w:kern w:val="2"/>
              <w:sz w:val="24"/>
              <w:szCs w:val="24"/>
              <w:lang w:val="en-IE" w:eastAsia="en-IE"/>
              <w14:ligatures w14:val="standardContextual"/>
            </w:rPr>
          </w:pPr>
          <w:hyperlink w:anchor="_Toc218529310" w:history="1">
            <w:r w:rsidR="009F1748" w:rsidRPr="005E60C7">
              <w:rPr>
                <w:rStyle w:val="Hyperlink"/>
                <w:noProof/>
              </w:rPr>
              <w:t>11.6.4.</w:t>
            </w:r>
            <w:r w:rsidR="009F1748">
              <w:rPr>
                <w:rFonts w:cstheme="minorBidi"/>
                <w:noProof/>
                <w:kern w:val="2"/>
                <w:sz w:val="24"/>
                <w:szCs w:val="24"/>
                <w:lang w:val="en-IE" w:eastAsia="en-IE"/>
                <w14:ligatures w14:val="standardContextual"/>
              </w:rPr>
              <w:tab/>
            </w:r>
            <w:r w:rsidR="009F1748" w:rsidRPr="005E60C7">
              <w:rPr>
                <w:rStyle w:val="Hyperlink"/>
                <w:noProof/>
              </w:rPr>
              <w:t>Conformidade com o CELE para o transporte marítimo</w:t>
            </w:r>
            <w:r w:rsidR="009F1748">
              <w:rPr>
                <w:noProof/>
                <w:webHidden/>
              </w:rPr>
              <w:tab/>
            </w:r>
            <w:r w:rsidR="009F1748">
              <w:rPr>
                <w:noProof/>
                <w:webHidden/>
              </w:rPr>
              <w:fldChar w:fldCharType="begin"/>
            </w:r>
            <w:r w:rsidR="009F1748">
              <w:rPr>
                <w:noProof/>
                <w:webHidden/>
              </w:rPr>
              <w:instrText xml:space="preserve"> PAGEREF _Toc218529310 \h </w:instrText>
            </w:r>
            <w:r w:rsidR="009F1748">
              <w:rPr>
                <w:noProof/>
                <w:webHidden/>
              </w:rPr>
            </w:r>
            <w:r w:rsidR="009F1748">
              <w:rPr>
                <w:noProof/>
                <w:webHidden/>
              </w:rPr>
              <w:fldChar w:fldCharType="separate"/>
            </w:r>
            <w:r w:rsidR="004D6097">
              <w:rPr>
                <w:noProof/>
                <w:webHidden/>
              </w:rPr>
              <w:t>50</w:t>
            </w:r>
            <w:r w:rsidR="009F1748">
              <w:rPr>
                <w:noProof/>
                <w:webHidden/>
              </w:rPr>
              <w:fldChar w:fldCharType="end"/>
            </w:r>
          </w:hyperlink>
        </w:p>
        <w:p w14:paraId="7BECCD58" w14:textId="332E452B" w:rsidR="009F1748" w:rsidRDefault="00DD22DB">
          <w:pPr>
            <w:pStyle w:val="TOC3"/>
            <w:tabs>
              <w:tab w:val="left" w:pos="1440"/>
              <w:tab w:val="right" w:leader="dot" w:pos="9016"/>
            </w:tabs>
            <w:rPr>
              <w:rFonts w:cstheme="minorBidi"/>
              <w:noProof/>
              <w:kern w:val="2"/>
              <w:sz w:val="24"/>
              <w:szCs w:val="24"/>
              <w:lang w:val="en-IE" w:eastAsia="en-IE"/>
              <w14:ligatures w14:val="standardContextual"/>
            </w:rPr>
          </w:pPr>
          <w:hyperlink w:anchor="_Toc218529311" w:history="1">
            <w:r w:rsidR="009F1748" w:rsidRPr="005E60C7">
              <w:rPr>
                <w:rStyle w:val="Hyperlink"/>
                <w:noProof/>
              </w:rPr>
              <w:t>11.6.5.</w:t>
            </w:r>
            <w:r w:rsidR="009F1748">
              <w:rPr>
                <w:rFonts w:cstheme="minorBidi"/>
                <w:noProof/>
                <w:kern w:val="2"/>
                <w:sz w:val="24"/>
                <w:szCs w:val="24"/>
                <w:lang w:val="en-IE" w:eastAsia="en-IE"/>
                <w14:ligatures w14:val="standardContextual"/>
              </w:rPr>
              <w:tab/>
            </w:r>
            <w:r w:rsidR="009F1748" w:rsidRPr="005E60C7">
              <w:rPr>
                <w:rStyle w:val="Hyperlink"/>
                <w:noProof/>
              </w:rPr>
              <w:t>Aplicação do CELE 2</w:t>
            </w:r>
            <w:r w:rsidR="009F1748">
              <w:rPr>
                <w:noProof/>
                <w:webHidden/>
              </w:rPr>
              <w:tab/>
            </w:r>
            <w:r w:rsidR="009F1748">
              <w:rPr>
                <w:noProof/>
                <w:webHidden/>
              </w:rPr>
              <w:fldChar w:fldCharType="begin"/>
            </w:r>
            <w:r w:rsidR="009F1748">
              <w:rPr>
                <w:noProof/>
                <w:webHidden/>
              </w:rPr>
              <w:instrText xml:space="preserve"> PAGEREF _Toc218529311 \h </w:instrText>
            </w:r>
            <w:r w:rsidR="009F1748">
              <w:rPr>
                <w:noProof/>
                <w:webHidden/>
              </w:rPr>
            </w:r>
            <w:r w:rsidR="009F1748">
              <w:rPr>
                <w:noProof/>
                <w:webHidden/>
              </w:rPr>
              <w:fldChar w:fldCharType="separate"/>
            </w:r>
            <w:r w:rsidR="004D6097">
              <w:rPr>
                <w:noProof/>
                <w:webHidden/>
              </w:rPr>
              <w:t>50</w:t>
            </w:r>
            <w:r w:rsidR="009F1748">
              <w:rPr>
                <w:noProof/>
                <w:webHidden/>
              </w:rPr>
              <w:fldChar w:fldCharType="end"/>
            </w:r>
          </w:hyperlink>
        </w:p>
        <w:p w14:paraId="468EB1DD" w14:textId="20E1340B" w:rsidR="009F1748" w:rsidRDefault="00DD22DB">
          <w:pPr>
            <w:pStyle w:val="TOC1"/>
            <w:tabs>
              <w:tab w:val="left" w:pos="720"/>
              <w:tab w:val="right" w:leader="dot" w:pos="9016"/>
            </w:tabs>
            <w:rPr>
              <w:rFonts w:eastAsiaTheme="minorEastAsia"/>
              <w:noProof/>
              <w:sz w:val="24"/>
              <w:szCs w:val="24"/>
              <w:lang w:val="en-IE" w:eastAsia="en-IE"/>
            </w:rPr>
          </w:pPr>
          <w:hyperlink w:anchor="_Toc218529312" w:history="1">
            <w:r w:rsidR="009F1748" w:rsidRPr="005E60C7">
              <w:rPr>
                <w:rStyle w:val="Hyperlink"/>
                <w:noProof/>
              </w:rPr>
              <w:t>12.</w:t>
            </w:r>
            <w:r w:rsidR="009F1748">
              <w:rPr>
                <w:rFonts w:eastAsiaTheme="minorEastAsia"/>
                <w:noProof/>
                <w:sz w:val="24"/>
                <w:szCs w:val="24"/>
                <w:lang w:val="en-IE" w:eastAsia="en-IE"/>
              </w:rPr>
              <w:tab/>
            </w:r>
            <w:r w:rsidR="009F1748" w:rsidRPr="005E60C7">
              <w:rPr>
                <w:rStyle w:val="Hyperlink"/>
                <w:noProof/>
              </w:rPr>
              <w:t>O CELE no contexto da governação da UE em matéria de clima e energia</w:t>
            </w:r>
            <w:r w:rsidR="009F1748">
              <w:rPr>
                <w:noProof/>
                <w:webHidden/>
              </w:rPr>
              <w:tab/>
            </w:r>
            <w:r w:rsidR="009F1748">
              <w:rPr>
                <w:noProof/>
                <w:webHidden/>
              </w:rPr>
              <w:fldChar w:fldCharType="begin"/>
            </w:r>
            <w:r w:rsidR="009F1748">
              <w:rPr>
                <w:noProof/>
                <w:webHidden/>
              </w:rPr>
              <w:instrText xml:space="preserve"> PAGEREF _Toc218529312 \h </w:instrText>
            </w:r>
            <w:r w:rsidR="009F1748">
              <w:rPr>
                <w:noProof/>
                <w:webHidden/>
              </w:rPr>
            </w:r>
            <w:r w:rsidR="009F1748">
              <w:rPr>
                <w:noProof/>
                <w:webHidden/>
              </w:rPr>
              <w:fldChar w:fldCharType="separate"/>
            </w:r>
            <w:r w:rsidR="004D6097">
              <w:rPr>
                <w:noProof/>
                <w:webHidden/>
              </w:rPr>
              <w:t>50</w:t>
            </w:r>
            <w:r w:rsidR="009F1748">
              <w:rPr>
                <w:noProof/>
                <w:webHidden/>
              </w:rPr>
              <w:fldChar w:fldCharType="end"/>
            </w:r>
          </w:hyperlink>
        </w:p>
        <w:p w14:paraId="6B4A3FBA" w14:textId="72030E24" w:rsidR="009F1748" w:rsidRDefault="00DD22DB">
          <w:pPr>
            <w:pStyle w:val="TOC1"/>
            <w:tabs>
              <w:tab w:val="left" w:pos="720"/>
              <w:tab w:val="right" w:leader="dot" w:pos="9016"/>
            </w:tabs>
            <w:rPr>
              <w:rFonts w:eastAsiaTheme="minorEastAsia"/>
              <w:noProof/>
              <w:sz w:val="24"/>
              <w:szCs w:val="24"/>
              <w:lang w:val="en-IE" w:eastAsia="en-IE"/>
            </w:rPr>
          </w:pPr>
          <w:hyperlink w:anchor="_Toc218529313" w:history="1">
            <w:r w:rsidR="009F1748" w:rsidRPr="005E60C7">
              <w:rPr>
                <w:rStyle w:val="Hyperlink"/>
                <w:noProof/>
              </w:rPr>
              <w:t>13.</w:t>
            </w:r>
            <w:r w:rsidR="009F1748">
              <w:rPr>
                <w:rFonts w:eastAsiaTheme="minorEastAsia"/>
                <w:noProof/>
                <w:sz w:val="24"/>
                <w:szCs w:val="24"/>
                <w:lang w:val="en-IE" w:eastAsia="en-IE"/>
              </w:rPr>
              <w:tab/>
            </w:r>
            <w:r w:rsidR="009F1748" w:rsidRPr="005E60C7">
              <w:rPr>
                <w:rStyle w:val="Hyperlink"/>
                <w:noProof/>
              </w:rPr>
              <w:t>Ligação entre o CELE e o sistema de comércio de licenças de emissão da Suíça</w:t>
            </w:r>
            <w:r w:rsidR="009F1748">
              <w:rPr>
                <w:noProof/>
                <w:webHidden/>
              </w:rPr>
              <w:tab/>
            </w:r>
            <w:r w:rsidR="009F1748">
              <w:rPr>
                <w:noProof/>
                <w:webHidden/>
              </w:rPr>
              <w:fldChar w:fldCharType="begin"/>
            </w:r>
            <w:r w:rsidR="009F1748">
              <w:rPr>
                <w:noProof/>
                <w:webHidden/>
              </w:rPr>
              <w:instrText xml:space="preserve"> PAGEREF _Toc218529313 \h </w:instrText>
            </w:r>
            <w:r w:rsidR="009F1748">
              <w:rPr>
                <w:noProof/>
                <w:webHidden/>
              </w:rPr>
            </w:r>
            <w:r w:rsidR="009F1748">
              <w:rPr>
                <w:noProof/>
                <w:webHidden/>
              </w:rPr>
              <w:fldChar w:fldCharType="separate"/>
            </w:r>
            <w:r w:rsidR="004D6097">
              <w:rPr>
                <w:noProof/>
                <w:webHidden/>
              </w:rPr>
              <w:t>51</w:t>
            </w:r>
            <w:r w:rsidR="009F1748">
              <w:rPr>
                <w:noProof/>
                <w:webHidden/>
              </w:rPr>
              <w:fldChar w:fldCharType="end"/>
            </w:r>
          </w:hyperlink>
        </w:p>
        <w:p w14:paraId="1A7BB79C" w14:textId="6346CD7D" w:rsidR="009F1748" w:rsidRDefault="00DD22DB">
          <w:pPr>
            <w:pStyle w:val="TOC1"/>
            <w:tabs>
              <w:tab w:val="left" w:pos="720"/>
              <w:tab w:val="right" w:leader="dot" w:pos="9016"/>
            </w:tabs>
            <w:rPr>
              <w:rFonts w:eastAsiaTheme="minorEastAsia"/>
              <w:noProof/>
              <w:sz w:val="24"/>
              <w:szCs w:val="24"/>
              <w:lang w:val="en-IE" w:eastAsia="en-IE"/>
            </w:rPr>
          </w:pPr>
          <w:hyperlink w:anchor="_Toc218529314" w:history="1">
            <w:r w:rsidR="009F1748" w:rsidRPr="005E60C7">
              <w:rPr>
                <w:rStyle w:val="Hyperlink"/>
                <w:noProof/>
              </w:rPr>
              <w:t>14.</w:t>
            </w:r>
            <w:r w:rsidR="009F1748">
              <w:rPr>
                <w:rFonts w:eastAsiaTheme="minorEastAsia"/>
                <w:noProof/>
                <w:sz w:val="24"/>
                <w:szCs w:val="24"/>
                <w:lang w:val="en-IE" w:eastAsia="en-IE"/>
              </w:rPr>
              <w:tab/>
            </w:r>
            <w:r w:rsidR="009F1748" w:rsidRPr="005E60C7">
              <w:rPr>
                <w:rStyle w:val="Hyperlink"/>
                <w:noProof/>
              </w:rPr>
              <w:t>Resumo</w:t>
            </w:r>
            <w:r w:rsidR="009F1748">
              <w:rPr>
                <w:noProof/>
                <w:webHidden/>
              </w:rPr>
              <w:tab/>
            </w:r>
            <w:r w:rsidR="009F1748">
              <w:rPr>
                <w:noProof/>
                <w:webHidden/>
              </w:rPr>
              <w:fldChar w:fldCharType="begin"/>
            </w:r>
            <w:r w:rsidR="009F1748">
              <w:rPr>
                <w:noProof/>
                <w:webHidden/>
              </w:rPr>
              <w:instrText xml:space="preserve"> PAGEREF _Toc218529314 \h </w:instrText>
            </w:r>
            <w:r w:rsidR="009F1748">
              <w:rPr>
                <w:noProof/>
                <w:webHidden/>
              </w:rPr>
            </w:r>
            <w:r w:rsidR="009F1748">
              <w:rPr>
                <w:noProof/>
                <w:webHidden/>
              </w:rPr>
              <w:fldChar w:fldCharType="separate"/>
            </w:r>
            <w:r w:rsidR="004D6097">
              <w:rPr>
                <w:noProof/>
                <w:webHidden/>
              </w:rPr>
              <w:t>56</w:t>
            </w:r>
            <w:r w:rsidR="009F1748">
              <w:rPr>
                <w:noProof/>
                <w:webHidden/>
              </w:rPr>
              <w:fldChar w:fldCharType="end"/>
            </w:r>
          </w:hyperlink>
        </w:p>
        <w:p w14:paraId="60A90523" w14:textId="173FAB06" w:rsidR="00685D02" w:rsidRPr="0039102C" w:rsidRDefault="00F00D70">
          <w:pPr>
            <w:rPr>
              <w:rFonts w:ascii="Times New Roman" w:hAnsi="Times New Roman" w:cs="Times New Roman"/>
              <w:b/>
              <w:noProof/>
            </w:rPr>
          </w:pPr>
          <w:r w:rsidRPr="0039102C">
            <w:rPr>
              <w:rFonts w:ascii="Times New Roman" w:hAnsi="Times New Roman" w:cs="Times New Roman"/>
              <w:b/>
              <w:noProof/>
            </w:rPr>
            <w:fldChar w:fldCharType="end"/>
          </w:r>
        </w:p>
      </w:sdtContent>
    </w:sdt>
    <w:p w14:paraId="1314E31D" w14:textId="163DEC90" w:rsidR="001A7A22" w:rsidRPr="0039102C" w:rsidRDefault="001A7A22">
      <w:pPr>
        <w:rPr>
          <w:rFonts w:ascii="Times New Roman" w:hAnsi="Times New Roman" w:cs="Times New Roman"/>
          <w:noProof/>
        </w:rPr>
      </w:pPr>
      <w:r w:rsidRPr="0039102C">
        <w:rPr>
          <w:noProof/>
        </w:rPr>
        <w:br w:type="page"/>
      </w:r>
    </w:p>
    <w:p w14:paraId="4582D281" w14:textId="05546E37" w:rsidR="00613B80" w:rsidRPr="0039102C" w:rsidRDefault="00613B80" w:rsidP="00CE747B">
      <w:pPr>
        <w:pStyle w:val="CMR-Heading"/>
        <w:rPr>
          <w:noProof/>
        </w:rPr>
      </w:pPr>
      <w:bookmarkStart w:id="2" w:name="_Toc180513389"/>
      <w:bookmarkStart w:id="3" w:name="_Toc218529273"/>
      <w:r w:rsidRPr="0039102C">
        <w:rPr>
          <w:noProof/>
        </w:rPr>
        <w:t>Introdução</w:t>
      </w:r>
      <w:bookmarkEnd w:id="2"/>
      <w:bookmarkEnd w:id="3"/>
      <w:r w:rsidRPr="0039102C">
        <w:rPr>
          <w:noProof/>
        </w:rPr>
        <w:t xml:space="preserve"> </w:t>
      </w:r>
    </w:p>
    <w:p w14:paraId="40C9B8AC" w14:textId="275AAECA" w:rsidR="00EE63A3" w:rsidRPr="0039102C" w:rsidRDefault="00317318" w:rsidP="00CE747B">
      <w:pPr>
        <w:pStyle w:val="CMR-text"/>
        <w:rPr>
          <w:noProof/>
        </w:rPr>
      </w:pPr>
      <w:r w:rsidRPr="0039102C">
        <w:rPr>
          <w:noProof/>
        </w:rPr>
        <w:t>O Sistema de Comércio de Licenças de Emissão da União Europeia (CELE) é uma pedra angular da sua política climática, concebida para reduzir as emissões de uma forma eficaz em termos de custos. Em conformidade com o princípio do poluidor-pagador, fixa um limite máximo e um preço para as emissões dos setores da energia, da indústria e do transporte marítimo, bem como de parte do setor da aviação na Europa. As emissões abrangidas pelo CELE representam cerca de 40 % das emissões totais da UE.</w:t>
      </w:r>
    </w:p>
    <w:p w14:paraId="3D8683E0" w14:textId="66325D78" w:rsidR="00317318" w:rsidRPr="0039102C" w:rsidRDefault="00242B13" w:rsidP="00317318">
      <w:pPr>
        <w:pStyle w:val="CMR-text"/>
        <w:rPr>
          <w:rFonts w:cs="Times New Roman"/>
          <w:noProof/>
        </w:rPr>
      </w:pPr>
      <w:r w:rsidRPr="0039102C">
        <w:rPr>
          <w:noProof/>
        </w:rPr>
        <w:t>O limite máximo garante que as emissões diminuam ao longo do tempo e o preço do carbono, determinado pelo mercado, incentiva as empresas a implantar soluções e a realizar investimentos para reduzir as emissões, nos casos em que tal seja menos oneroso e de uma forma tecnologicamente neutra. O preço do carbono determina igualmente as receitas geradas pelo CELE.</w:t>
      </w:r>
    </w:p>
    <w:p w14:paraId="1D72433C" w14:textId="0A8982D0" w:rsidR="00DA6FBA" w:rsidRPr="0039102C" w:rsidRDefault="00317318" w:rsidP="00317318">
      <w:pPr>
        <w:pStyle w:val="CMR-text"/>
        <w:rPr>
          <w:rFonts w:cs="Times New Roman"/>
          <w:noProof/>
        </w:rPr>
      </w:pPr>
      <w:r w:rsidRPr="0039102C">
        <w:rPr>
          <w:noProof/>
        </w:rPr>
        <w:t>Desde o seu lançamento em 2005, o CELE contribuiu para reduzir em 50 %</w:t>
      </w:r>
      <w:r w:rsidRPr="0039102C">
        <w:rPr>
          <w:rStyle w:val="FootnoteReference"/>
          <w:rFonts w:cs="Times New Roman"/>
          <w:noProof/>
        </w:rPr>
        <w:footnoteReference w:id="2"/>
      </w:r>
      <w:r w:rsidRPr="0039102C">
        <w:rPr>
          <w:noProof/>
        </w:rPr>
        <w:t xml:space="preserve"> as emissões provenientes da produção de eletricidade e calor e da indústria e está no bom caminho para concretizar o seu objetivo de redução de 62 % até 2030 (face a 2005). Até à data, o sistema gerou cerca de 248 mil milhões de EUR em receitas de leilões, distribuídos principalmente pelos orçamentos nacionais para serem utilizados na ação climática e na transformação energética.</w:t>
      </w:r>
    </w:p>
    <w:p w14:paraId="44CB9C06" w14:textId="5CF05213" w:rsidR="00F0382F" w:rsidRPr="0039102C" w:rsidRDefault="00F0382F" w:rsidP="00F0382F">
      <w:pPr>
        <w:pStyle w:val="CMR-text"/>
        <w:rPr>
          <w:rStyle w:val="CMR-textChar"/>
          <w:rFonts w:cs="Times New Roman"/>
          <w:noProof/>
        </w:rPr>
      </w:pPr>
      <w:r w:rsidRPr="0039102C">
        <w:rPr>
          <w:rStyle w:val="CMR-textChar"/>
          <w:noProof/>
        </w:rPr>
        <w:t>O presente relatório faz o balanço do funcionamento do CELE em 2024, tendo igualmente em conta os desenvolvimentos pertinentes no primeiro semestre de 2025. Apresenta uma panorâmica atualizada dos principais aspetos do quadro do sistema e destaca a evolução anual.</w:t>
      </w:r>
    </w:p>
    <w:p w14:paraId="0A9A0983" w14:textId="586C2C38" w:rsidR="002B0030" w:rsidRPr="0039102C" w:rsidRDefault="003F16A0" w:rsidP="00DE76A1">
      <w:pPr>
        <w:pStyle w:val="CMR-text"/>
        <w:rPr>
          <w:rFonts w:cs="Times New Roman"/>
          <w:noProof/>
        </w:rPr>
      </w:pPr>
      <w:r w:rsidRPr="0039102C">
        <w:rPr>
          <w:rStyle w:val="CMR-textChar"/>
          <w:noProof/>
        </w:rPr>
        <w:t xml:space="preserve">Mais importante ainda, o relatório recorda as tendências do CELE em matéria de emissões e receitas dos leilões. </w:t>
      </w:r>
      <w:r w:rsidRPr="0039102C">
        <w:rPr>
          <w:noProof/>
        </w:rPr>
        <w:t>Em 2024, as emissões das instalações elétricas e industriais abrangidas pelo CELE continuaram a diminuir, registando uma descida de 5,8 % em relação aos níveis de 2023. No setor da aviação, as emissões intraeuropeias aumentaram 15 % em comparação com 2023, em parte devido ao alargamento do âmbito geográfico (reinclusão dos voos não domésticos que envolvem regiões ultraperiféricas). Ao mesmo tempo, 2024 marcou o primeiro ano em que as emissões provenientes do transporte marítimo foram incluídas no CELE.</w:t>
      </w:r>
    </w:p>
    <w:p w14:paraId="2BB45073" w14:textId="48E94532" w:rsidR="00C34E83" w:rsidRPr="0039102C" w:rsidRDefault="00B038BF" w:rsidP="00317318">
      <w:pPr>
        <w:pStyle w:val="CMR-text"/>
        <w:rPr>
          <w:rFonts w:cs="Times New Roman"/>
          <w:noProof/>
        </w:rPr>
      </w:pPr>
      <w:r w:rsidRPr="0039102C">
        <w:rPr>
          <w:noProof/>
        </w:rPr>
        <w:t>As receitas totais geradas pelo CELE em 2024 ascenderam a 38,8 mil milhões de EUR. Estas receitas foram canalizadas principalmente para os orçamentos dos Estados-Membros, mas também para o Fundo de Inovação e para o Fundo de Modernização, bem como para o orçamento do Mecanismo de Recuperação e Resiliência consagrado ao plano REPowerEU</w:t>
      </w:r>
      <w:r w:rsidR="00C51F0B" w:rsidRPr="0039102C">
        <w:rPr>
          <w:rStyle w:val="FootnoteReference"/>
          <w:rFonts w:cs="Times New Roman"/>
          <w:noProof/>
        </w:rPr>
        <w:footnoteReference w:id="3"/>
      </w:r>
      <w:r w:rsidRPr="0039102C">
        <w:rPr>
          <w:noProof/>
        </w:rPr>
        <w:t>. O relatório descreve a forma como os Estados-Membros utilizaram as suas receitas do CELE em 2024 e resume a evolução no âmbito do Fundo de Inovação e do Fundo de Modernização.</w:t>
      </w:r>
    </w:p>
    <w:p w14:paraId="3F8BAEFE" w14:textId="6B67BCB4" w:rsidR="00DD681D" w:rsidRPr="0039102C" w:rsidRDefault="00DD681D" w:rsidP="00317318">
      <w:pPr>
        <w:pStyle w:val="CMR-text"/>
        <w:rPr>
          <w:rFonts w:cs="Times New Roman"/>
          <w:noProof/>
        </w:rPr>
      </w:pPr>
      <w:r w:rsidRPr="0039102C">
        <w:rPr>
          <w:noProof/>
        </w:rPr>
        <w:t>O relatório descreve os ajustamentos do limite máximo do CELE que entrarão em vigor em 2026 devido à nova base de referência prevista, ao alargamento do âmbito de aplicação para abranger as emissões de mais gases com efeito de estufa (GEE) do transporte marítimo e a uma lista atualizada de pequenos emissores excluídos do sistema.</w:t>
      </w:r>
    </w:p>
    <w:p w14:paraId="46532982" w14:textId="25E725DF" w:rsidR="00447C9A" w:rsidRPr="0039102C" w:rsidRDefault="00447C9A" w:rsidP="00447C9A">
      <w:pPr>
        <w:pStyle w:val="CMR-text"/>
        <w:rPr>
          <w:rStyle w:val="CMR-textChar"/>
          <w:rFonts w:cs="Times New Roman"/>
          <w:noProof/>
        </w:rPr>
      </w:pPr>
      <w:r w:rsidRPr="0039102C">
        <w:rPr>
          <w:rStyle w:val="CMR-textChar"/>
          <w:noProof/>
        </w:rPr>
        <w:t>O relatório é adotado em conformidade com o artigo 10.º, n.º 5, e o artigo 21.º, n.º 2, da Diretiva CELE (Diretiva 2003/87/CE)</w:t>
      </w:r>
      <w:r w:rsidRPr="0039102C">
        <w:rPr>
          <w:rStyle w:val="CMR-textChar"/>
          <w:rFonts w:cs="Times New Roman"/>
          <w:noProof/>
          <w:vertAlign w:val="superscript"/>
        </w:rPr>
        <w:footnoteReference w:id="4"/>
      </w:r>
      <w:r w:rsidRPr="0039102C">
        <w:rPr>
          <w:rStyle w:val="CMR-textChar"/>
          <w:noProof/>
        </w:rPr>
        <w:t>. Baseia-se principalmente em dados do Registo da União e dos relatórios apresentados pelos Estados-Membros. O relatório é acompanhado de um documento de trabalho dos serviços da Comissão (Informações técnicas). O relatório foi elaborado antes da reunião do Conselho (Ambiente) de 4 e 5 de novembro de 2025.</w:t>
      </w:r>
    </w:p>
    <w:p w14:paraId="46D2769B" w14:textId="0449AEB0" w:rsidR="00613B80" w:rsidRPr="0039102C" w:rsidRDefault="00FB43F0" w:rsidP="00EC4FC3">
      <w:pPr>
        <w:pStyle w:val="CMR-Heading"/>
        <w:rPr>
          <w:noProof/>
        </w:rPr>
      </w:pPr>
      <w:bookmarkStart w:id="6" w:name="_Toc180513390"/>
      <w:bookmarkStart w:id="7" w:name="_Toc218529274"/>
      <w:bookmarkStart w:id="8" w:name="bookmark57"/>
      <w:r w:rsidRPr="0039102C">
        <w:rPr>
          <w:noProof/>
        </w:rPr>
        <w:t>Ponto da situação do CELE</w:t>
      </w:r>
      <w:bookmarkEnd w:id="6"/>
      <w:bookmarkEnd w:id="7"/>
    </w:p>
    <w:p w14:paraId="7DC0390C" w14:textId="58FA068A" w:rsidR="009268E7" w:rsidRPr="0039102C" w:rsidRDefault="009268E7" w:rsidP="00EC4FC3">
      <w:pPr>
        <w:pStyle w:val="CMR-Subheading"/>
        <w:rPr>
          <w:noProof/>
        </w:rPr>
      </w:pPr>
      <w:bookmarkStart w:id="9" w:name="_Toc180513391"/>
      <w:bookmarkStart w:id="10" w:name="_Toc218529275"/>
      <w:bookmarkEnd w:id="8"/>
      <w:r w:rsidRPr="0039102C">
        <w:rPr>
          <w:noProof/>
        </w:rPr>
        <w:t>Âmbito de aplicação e cobertura</w:t>
      </w:r>
      <w:bookmarkEnd w:id="9"/>
      <w:bookmarkEnd w:id="10"/>
    </w:p>
    <w:p w14:paraId="45F415F4" w14:textId="05BF2454" w:rsidR="00F65AD8" w:rsidRPr="0039102C" w:rsidRDefault="00825622" w:rsidP="00F65AD8">
      <w:pPr>
        <w:spacing w:before="120" w:after="120" w:line="276" w:lineRule="auto"/>
        <w:jc w:val="both"/>
        <w:rPr>
          <w:rFonts w:ascii="Times New Roman" w:hAnsi="Times New Roman" w:cs="Times New Roman"/>
          <w:noProof/>
          <w:kern w:val="0"/>
          <w14:ligatures w14:val="none"/>
        </w:rPr>
      </w:pPr>
      <w:r w:rsidRPr="0039102C">
        <w:rPr>
          <w:rFonts w:ascii="Times New Roman" w:hAnsi="Times New Roman"/>
          <w:noProof/>
        </w:rPr>
        <w:t>O CELE é aplicável nos 27 Estados-Membros da UE e na Islândia, no Listenstaine e na Noruega, bem como nas centrais de produção de eletricidade da Irlanda do Norte</w:t>
      </w:r>
      <w:r w:rsidR="00F65AD8" w:rsidRPr="0039102C">
        <w:rPr>
          <w:rFonts w:ascii="Times New Roman" w:hAnsi="Times New Roman" w:cs="Times New Roman"/>
          <w:noProof/>
          <w:kern w:val="0"/>
          <w:vertAlign w:val="superscript"/>
        </w:rPr>
        <w:footnoteReference w:id="5"/>
      </w:r>
      <w:r w:rsidRPr="0039102C">
        <w:rPr>
          <w:rFonts w:ascii="Times New Roman" w:hAnsi="Times New Roman"/>
          <w:noProof/>
        </w:rPr>
        <w:t>. Desde janeiro de 2020, o CELE passou a estar ligado ao sistema de comércio de licenças de emissão da Suíça.</w:t>
      </w:r>
    </w:p>
    <w:p w14:paraId="56EA70F6" w14:textId="6F077C3A" w:rsidR="000E17ED" w:rsidRPr="0039102C" w:rsidRDefault="000E17ED" w:rsidP="0051688B">
      <w:pPr>
        <w:pStyle w:val="CMR-text"/>
        <w:rPr>
          <w:rFonts w:cs="Times New Roman"/>
          <w:noProof/>
        </w:rPr>
      </w:pPr>
      <w:r w:rsidRPr="0039102C">
        <w:rPr>
          <w:noProof/>
        </w:rPr>
        <w:t>A partir de 2024, o âmbito setorial do CELE abrange as emissões de GEE de mais de 12 000 entidades:</w:t>
      </w:r>
    </w:p>
    <w:p w14:paraId="57A744A2" w14:textId="58BCD752" w:rsidR="000E17ED" w:rsidRPr="0039102C" w:rsidRDefault="005E0FFD" w:rsidP="000E17ED">
      <w:pPr>
        <w:pStyle w:val="CMR-text"/>
        <w:numPr>
          <w:ilvl w:val="0"/>
          <w:numId w:val="42"/>
        </w:numPr>
        <w:rPr>
          <w:rFonts w:cs="Times New Roman"/>
          <w:noProof/>
        </w:rPr>
      </w:pPr>
      <w:r w:rsidRPr="0039102C">
        <w:rPr>
          <w:noProof/>
        </w:rPr>
        <w:t>centrais de produção de eletricidade e calor e instalações industriais na Europa,</w:t>
      </w:r>
    </w:p>
    <w:p w14:paraId="38321660" w14:textId="10E16364" w:rsidR="000E17ED" w:rsidRPr="0039102C" w:rsidRDefault="005E0FFD" w:rsidP="00B17867">
      <w:pPr>
        <w:pStyle w:val="CMR-text"/>
        <w:numPr>
          <w:ilvl w:val="0"/>
          <w:numId w:val="42"/>
        </w:numPr>
        <w:rPr>
          <w:rFonts w:cs="Times New Roman"/>
          <w:noProof/>
        </w:rPr>
      </w:pPr>
      <w:r w:rsidRPr="0039102C">
        <w:rPr>
          <w:noProof/>
        </w:rPr>
        <w:t>operadores de aeronaves que voam entre aeroportos do Espaço Económico Europeu (EEE) e do EEE para a Suíça e para o Reino Unido,</w:t>
      </w:r>
    </w:p>
    <w:p w14:paraId="6B9F486C" w14:textId="31AEA1A3" w:rsidR="00315ABD" w:rsidRPr="0039102C" w:rsidRDefault="005E0FFD" w:rsidP="00B17867">
      <w:pPr>
        <w:pStyle w:val="CMR-text"/>
        <w:numPr>
          <w:ilvl w:val="0"/>
          <w:numId w:val="42"/>
        </w:numPr>
        <w:rPr>
          <w:rFonts w:cs="Times New Roman"/>
          <w:noProof/>
        </w:rPr>
      </w:pPr>
      <w:r w:rsidRPr="0039102C">
        <w:rPr>
          <w:noProof/>
        </w:rPr>
        <w:t>transporte marítimo entre dois portos do EEE e quando os navios se encontram em portos do EEE, bem como metade das emissões provenientes de viagens de ou para portos do EEE que tenham início ou terminem fora do EEE.</w:t>
      </w:r>
    </w:p>
    <w:p w14:paraId="3EAF85BE" w14:textId="20512432" w:rsidR="009A070B" w:rsidRPr="0039102C" w:rsidRDefault="00070ECA" w:rsidP="00AB2562">
      <w:pPr>
        <w:pStyle w:val="CMR-text"/>
        <w:rPr>
          <w:rFonts w:cs="Times New Roman"/>
          <w:noProof/>
        </w:rPr>
      </w:pPr>
      <w:r w:rsidRPr="0039102C">
        <w:rPr>
          <w:noProof/>
        </w:rPr>
        <w:t>Para além das emissões de CO</w:t>
      </w:r>
      <w:r w:rsidRPr="0039102C">
        <w:rPr>
          <w:noProof/>
          <w:vertAlign w:val="subscript"/>
        </w:rPr>
        <w:t>2</w:t>
      </w:r>
      <w:r w:rsidRPr="0039102C">
        <w:rPr>
          <w:noProof/>
        </w:rPr>
        <w:t>, o CELE abrange as emissões de outros GEE provenientes de centrais de produção de eletricidade e calor e de instalações industriais, nomeadamente:</w:t>
      </w:r>
    </w:p>
    <w:p w14:paraId="2961D1B3" w14:textId="137BA76F" w:rsidR="009A070B" w:rsidRPr="0039102C" w:rsidRDefault="00AB2562" w:rsidP="009A070B">
      <w:pPr>
        <w:pStyle w:val="CMR-text"/>
        <w:numPr>
          <w:ilvl w:val="0"/>
          <w:numId w:val="50"/>
        </w:numPr>
        <w:rPr>
          <w:rFonts w:cs="Times New Roman"/>
          <w:noProof/>
        </w:rPr>
      </w:pPr>
      <w:r w:rsidRPr="0039102C">
        <w:rPr>
          <w:noProof/>
        </w:rPr>
        <w:t>N</w:t>
      </w:r>
      <w:r w:rsidRPr="0039102C">
        <w:rPr>
          <w:noProof/>
          <w:vertAlign w:val="subscript"/>
        </w:rPr>
        <w:t>2</w:t>
      </w:r>
      <w:r w:rsidRPr="0039102C">
        <w:rPr>
          <w:noProof/>
        </w:rPr>
        <w:t>O (óxido nitroso) resultante da produção dos ácidos nítrico, adípico e glioxílico e da produção de glioxal,</w:t>
      </w:r>
    </w:p>
    <w:p w14:paraId="74B8EDB6" w14:textId="77777777" w:rsidR="00890F31" w:rsidRPr="0039102C" w:rsidRDefault="00AB2562" w:rsidP="00890F31">
      <w:pPr>
        <w:pStyle w:val="CMR-text"/>
        <w:numPr>
          <w:ilvl w:val="0"/>
          <w:numId w:val="50"/>
        </w:numPr>
        <w:rPr>
          <w:rFonts w:cs="Times New Roman"/>
          <w:noProof/>
        </w:rPr>
      </w:pPr>
      <w:r w:rsidRPr="0039102C">
        <w:rPr>
          <w:noProof/>
        </w:rPr>
        <w:t>PFC (perfluorocarbonetos) provenientes da produção de alumínio primário.</w:t>
      </w:r>
    </w:p>
    <w:p w14:paraId="7E63596C" w14:textId="09D3102A" w:rsidR="00BE2312" w:rsidRPr="0039102C" w:rsidRDefault="00973338">
      <w:pPr>
        <w:pStyle w:val="CMR-text"/>
        <w:rPr>
          <w:rFonts w:cs="Times New Roman"/>
          <w:noProof/>
        </w:rPr>
      </w:pPr>
      <w:r w:rsidRPr="0039102C">
        <w:rPr>
          <w:noProof/>
        </w:rPr>
        <w:t>As emissões de CH</w:t>
      </w:r>
      <w:r w:rsidRPr="0039102C">
        <w:rPr>
          <w:noProof/>
          <w:vertAlign w:val="subscript"/>
        </w:rPr>
        <w:t>4</w:t>
      </w:r>
      <w:r w:rsidRPr="0039102C">
        <w:rPr>
          <w:noProof/>
        </w:rPr>
        <w:t xml:space="preserve"> (metano) e N</w:t>
      </w:r>
      <w:r w:rsidRPr="0039102C">
        <w:rPr>
          <w:noProof/>
          <w:vertAlign w:val="subscript"/>
        </w:rPr>
        <w:t>2</w:t>
      </w:r>
      <w:r w:rsidRPr="0039102C">
        <w:rPr>
          <w:noProof/>
        </w:rPr>
        <w:t>O (óxido nitroso) provenientes das atividades de transporte marítimo são abrangidas a partir de janeiro de 2026.</w:t>
      </w:r>
    </w:p>
    <w:p w14:paraId="6B9B7510" w14:textId="51B50D62" w:rsidR="00070ECA" w:rsidRPr="0039102C" w:rsidRDefault="00AB2562" w:rsidP="00854C42">
      <w:pPr>
        <w:pStyle w:val="CMR-text"/>
        <w:rPr>
          <w:rFonts w:cs="Times New Roman"/>
          <w:noProof/>
        </w:rPr>
      </w:pPr>
      <w:r w:rsidRPr="0039102C">
        <w:rPr>
          <w:noProof/>
        </w:rPr>
        <w:t>Em 2024, 23 países comunicaram licenças para atividades abrangidas pelo CELE que libertam emissões de gases que não CO</w:t>
      </w:r>
      <w:r w:rsidRPr="0039102C">
        <w:rPr>
          <w:noProof/>
          <w:vertAlign w:val="subscript"/>
        </w:rPr>
        <w:t>2</w:t>
      </w:r>
      <w:r w:rsidRPr="0039102C">
        <w:rPr>
          <w:noProof/>
        </w:rPr>
        <w:t>. Quatro países declararam ter incluído atividades de captura e armazenamento de carbono nas licenças de instalação</w:t>
      </w:r>
      <w:r w:rsidR="00F00D70" w:rsidRPr="0039102C">
        <w:rPr>
          <w:rStyle w:val="FootnoteReference"/>
          <w:rFonts w:cs="Times New Roman"/>
          <w:noProof/>
        </w:rPr>
        <w:footnoteReference w:id="6"/>
      </w:r>
      <w:r w:rsidRPr="0039102C">
        <w:rPr>
          <w:noProof/>
        </w:rPr>
        <w:t>.</w:t>
      </w:r>
    </w:p>
    <w:p w14:paraId="2CBE0C8C" w14:textId="0ABB92F6" w:rsidR="00AD2625" w:rsidRPr="0039102C" w:rsidRDefault="003271ED" w:rsidP="003754EE">
      <w:pPr>
        <w:pStyle w:val="CMR-text"/>
        <w:rPr>
          <w:rFonts w:cs="Times New Roman"/>
          <w:noProof/>
        </w:rPr>
      </w:pPr>
      <w:r w:rsidRPr="0039102C">
        <w:rPr>
          <w:noProof/>
        </w:rPr>
        <w:t>A partir de 2024, as instalações de incineração de resíduos urbanos passaram a monitorizar e comunicar as suas emissões no âmbito do CELE. No entanto, não são obrigadas a devolver licenças de emissão para as suas emissões. As emissões provenientes do tratamento de resíduos estarão sujeitas a metas nacionais de redução ao abrigo do Regulamento Partilha de Esforços [Regulamento (UE) 2018/842]</w:t>
      </w:r>
      <w:r w:rsidR="00D00679" w:rsidRPr="0039102C">
        <w:rPr>
          <w:rStyle w:val="FootnoteReference"/>
          <w:rFonts w:cs="Times New Roman"/>
          <w:noProof/>
        </w:rPr>
        <w:footnoteReference w:id="7"/>
      </w:r>
      <w:r w:rsidRPr="0039102C">
        <w:rPr>
          <w:noProof/>
        </w:rPr>
        <w:t>.</w:t>
      </w:r>
    </w:p>
    <w:p w14:paraId="59104185" w14:textId="48FFA12C" w:rsidR="003754EE" w:rsidRPr="0039102C" w:rsidRDefault="00F27D7B" w:rsidP="50C721A3">
      <w:pPr>
        <w:pStyle w:val="CMR-text"/>
        <w:rPr>
          <w:rFonts w:cs="Times New Roman"/>
          <w:noProof/>
        </w:rPr>
      </w:pPr>
      <w:r w:rsidRPr="0039102C">
        <w:rPr>
          <w:noProof/>
        </w:rPr>
        <w:t>Na secção 1 do documento de trabalho dos serviços da Comissão que acompanha o presente relatório podem ser consultadas informações (relativas à situação existente em 2024) sobre as instalações, os operadores de aeronaves e as companhias de transporte marítimo, bem como as emissões de GEE, abrangidos pelo CELE.</w:t>
      </w:r>
    </w:p>
    <w:p w14:paraId="0472DEF2" w14:textId="5D3B8548" w:rsidR="002A77C7" w:rsidRPr="0039102C" w:rsidRDefault="00981812" w:rsidP="00EC4FC3">
      <w:pPr>
        <w:pStyle w:val="CMR-Subheading"/>
        <w:rPr>
          <w:noProof/>
        </w:rPr>
      </w:pPr>
      <w:bookmarkStart w:id="11" w:name="_Toc180513392"/>
      <w:bookmarkStart w:id="12" w:name="_Toc218529276"/>
      <w:bookmarkStart w:id="13" w:name="bookmark58"/>
      <w:r w:rsidRPr="0039102C">
        <w:rPr>
          <w:noProof/>
        </w:rPr>
        <w:t>CELE 2 — O novo sistema de comércio de licenças de emissão para os setores dos edifícios, do transporte rodoviário e outros setores</w:t>
      </w:r>
      <w:bookmarkEnd w:id="11"/>
      <w:bookmarkEnd w:id="12"/>
    </w:p>
    <w:bookmarkEnd w:id="13"/>
    <w:p w14:paraId="7D7D3DFB" w14:textId="11D6F32C" w:rsidR="00CD7286" w:rsidRPr="0039102C" w:rsidRDefault="46BD1937" w:rsidP="50C721A3">
      <w:pPr>
        <w:pStyle w:val="CMR-text"/>
        <w:rPr>
          <w:rFonts w:eastAsia="Calibri" w:cs="Times New Roman"/>
          <w:noProof/>
        </w:rPr>
      </w:pPr>
      <w:r w:rsidRPr="0039102C">
        <w:rPr>
          <w:noProof/>
        </w:rPr>
        <w:t>No âmbito da revisão de 2023 da Diretiva CELE, foi criado um novo sistema de comércio de licenças de emissão (CELE 2) para abranger as emissões de CO</w:t>
      </w:r>
      <w:r w:rsidRPr="0039102C">
        <w:rPr>
          <w:noProof/>
          <w:vertAlign w:val="subscript"/>
        </w:rPr>
        <w:t>2</w:t>
      </w:r>
      <w:r w:rsidRPr="0039102C">
        <w:rPr>
          <w:noProof/>
        </w:rPr>
        <w:t xml:space="preserve"> provenientes da combustão de combustíveis em edifícios, no transporte rodoviário e noutros setores (principalmente a pequena indústria não abrangida pelo atual CELE).</w:t>
      </w:r>
    </w:p>
    <w:p w14:paraId="7F3734C8" w14:textId="7E3B9ED2" w:rsidR="00E662C8" w:rsidRPr="0039102C" w:rsidRDefault="004F3320" w:rsidP="00B17867">
      <w:pPr>
        <w:pStyle w:val="CMR-text"/>
        <w:rPr>
          <w:rFonts w:eastAsia="Calibri" w:cs="Times New Roman"/>
          <w:noProof/>
        </w:rPr>
      </w:pPr>
      <w:r w:rsidRPr="0039102C">
        <w:rPr>
          <w:noProof/>
        </w:rPr>
        <w:t>O CELE 2 é distinto do atual CELE. Embora ambos sejam sistemas de «limitação e comércio de emissões», o CELE 2 abrange as emissões a montante, o que significa que os fornecedores de combustíveis (entidades regulamentadas) são obrigados a monitorizar e a comunicar as emissões correspondentes à combustão de combustíveis que introduzem no consumo nos setores abrangidos pelo CELE 2, bem como a comprar e a devolver as licenças de emissão correspondentes a essas emissões. A partir de janeiro de 2025, as entidades regulamentadas abrangidas pelo CELE 2 são obrigadas a possuir um título de emissão de GEE e um plano de monitorização aprovado para o controlo e a comunicação das suas emissões anuais.</w:t>
      </w:r>
    </w:p>
    <w:p w14:paraId="1B06BD3E" w14:textId="11AE2558" w:rsidR="006E1E23" w:rsidRPr="0039102C" w:rsidRDefault="007B36A8" w:rsidP="004877AA">
      <w:pPr>
        <w:pStyle w:val="CMR-text"/>
        <w:rPr>
          <w:rFonts w:eastAsia="Calibri" w:cs="Times New Roman"/>
          <w:noProof/>
        </w:rPr>
      </w:pPr>
      <w:r w:rsidRPr="0039102C">
        <w:rPr>
          <w:noProof/>
        </w:rPr>
        <w:t>A comunicação anual das emissões verificadas será obrigatória para as emissões libertadas a partir de 2025, devendo os relatórios ser apresentados até 30 de abril do ano seguinte, pelo que as emissões relativas a 2025 devem ser comunicadas em 2026. As entidades regulamentadas são obrigadas a devolver o número de licenças de emissão correspondente às suas emissões até 31 de maio do ano de comunicação. Esta obrigação pode ser adiada por um ano em caso de preços excecionalmente elevados do gás ou do petróleo no primeiro semestre de 2026. Ver o ponto 11 relativamente ao quadro de execução e aos documentos comprovativos do CELE 2.</w:t>
      </w:r>
    </w:p>
    <w:p w14:paraId="6B4CEC35" w14:textId="0DC99E69" w:rsidR="001F37A3" w:rsidRPr="0039102C" w:rsidRDefault="002D1BB3" w:rsidP="7577C652">
      <w:pPr>
        <w:pStyle w:val="CMR-text"/>
        <w:rPr>
          <w:rFonts w:eastAsia="Calibri" w:cs="Times New Roman"/>
          <w:noProof/>
        </w:rPr>
      </w:pPr>
      <w:r w:rsidRPr="0039102C">
        <w:rPr>
          <w:noProof/>
        </w:rPr>
        <w:t>Em dezembro de 2024, a Comissão publicou o número de licenças de emissão a nível da UE para o CELE 2 em 2027. Este limite máximo é fixado em 1 036 288 784 licenças de emissão para 2027, para a UE27 e para os três Estados da Associação Europeia de Comércio Livre (EFTA) membros do EEE. O limite máximo do CELE 2 para 2027 foi calculado com base na média das emissões de CO</w:t>
      </w:r>
      <w:r w:rsidRPr="0039102C">
        <w:rPr>
          <w:noProof/>
          <w:vertAlign w:val="subscript"/>
        </w:rPr>
        <w:t>2</w:t>
      </w:r>
      <w:r w:rsidRPr="0039102C">
        <w:rPr>
          <w:noProof/>
        </w:rPr>
        <w:t xml:space="preserve"> provenientes da combustão de combustíveis nas atividades do CELE 2 entre 2016 e 2018. Em conformidade com a Diretiva CELE, essa média é reduzida até ao ano de 2027 do seguinte modo: i) até 2024, através de uma trajetória de redução linear coerente com a trajetória para todas as emissões abrangidas pelo Regulamento Partilha de Esforços (RPE) e ii) para o período de 2025-2027, através de um fator de redução linear anual de 5,1 %.</w:t>
      </w:r>
    </w:p>
    <w:p w14:paraId="023DC044" w14:textId="25597D8C" w:rsidR="004877AA" w:rsidRPr="0039102C" w:rsidRDefault="00FD385D" w:rsidP="00B17867">
      <w:pPr>
        <w:pStyle w:val="CMR-text"/>
        <w:rPr>
          <w:rFonts w:eastAsia="Calibri" w:cs="Times New Roman"/>
          <w:noProof/>
        </w:rPr>
      </w:pPr>
      <w:r w:rsidRPr="0039102C">
        <w:rPr>
          <w:noProof/>
        </w:rPr>
        <w:t>O limite máximo do CELE 2 aplicável a partir de 2028 será determinado até junho de 2027, com base nas emissões médias de CO</w:t>
      </w:r>
      <w:r w:rsidRPr="0039102C">
        <w:rPr>
          <w:noProof/>
          <w:vertAlign w:val="subscript"/>
        </w:rPr>
        <w:t>2</w:t>
      </w:r>
      <w:r w:rsidRPr="0039102C">
        <w:rPr>
          <w:noProof/>
        </w:rPr>
        <w:t xml:space="preserve"> comunicadas pelas entidades regulamentadas do CELE 2 para os anos de 2024 a 2026. Os Estados-Membros podem optar por incluir unilateralmente no CELE 2 as emissões de CO</w:t>
      </w:r>
      <w:r w:rsidRPr="0039102C">
        <w:rPr>
          <w:noProof/>
          <w:vertAlign w:val="subscript"/>
        </w:rPr>
        <w:t>2</w:t>
      </w:r>
      <w:r w:rsidRPr="0039102C">
        <w:rPr>
          <w:noProof/>
        </w:rPr>
        <w:t xml:space="preserve"> provenientes de atividades não incluídas no âmbito de aplicação da Diretiva CELE, sob reserva de aprovação pela Comissão Europeia. Até à data, a Comissão aprovou a opção de inclusão de atividades adicionais por parte da Áustria, da Finlândia, dos Países Baixos e da Suécia. O limite máximo do CELE 2 para 2027 será alterado de modo a refletir as emissões adicionais decorrentes das opções nacionais de inclusão.</w:t>
      </w:r>
    </w:p>
    <w:p w14:paraId="6C168E36" w14:textId="7DF576D6" w:rsidR="00400A0B" w:rsidRPr="0039102C" w:rsidRDefault="00482AFF" w:rsidP="00B17867">
      <w:pPr>
        <w:pStyle w:val="CMR-text"/>
        <w:rPr>
          <w:rFonts w:eastAsia="Calibri" w:cs="Times New Roman"/>
          <w:noProof/>
        </w:rPr>
      </w:pPr>
      <w:r w:rsidRPr="0039102C">
        <w:rPr>
          <w:noProof/>
        </w:rPr>
        <w:t>O CELE 2 complementa as metas nacionais de redução das emissões ao abrigo do RPE. Os Estados</w:t>
      </w:r>
      <w:r w:rsidR="00217ECB">
        <w:rPr>
          <w:noProof/>
        </w:rPr>
        <w:noBreakHyphen/>
      </w:r>
      <w:r w:rsidRPr="0039102C">
        <w:rPr>
          <w:noProof/>
        </w:rPr>
        <w:t>Membros devem aplicar políticas complementares nos setores abrangidos pelo CELE 2, não só para alcançar os seus objetivos, mas também para manter sob controlo os preços do CELE 2. Em setembro de 2025, a Comissão publicou uma panorâmica de políticas e medidas eficazes que podem ajudar a reduzir as emissões nos setores do transporte rodoviário e da construção</w:t>
      </w:r>
      <w:r w:rsidR="002D78B9" w:rsidRPr="0039102C">
        <w:rPr>
          <w:rStyle w:val="FootnoteReference"/>
          <w:rFonts w:eastAsia="Calibri" w:cs="Times New Roman"/>
          <w:noProof/>
        </w:rPr>
        <w:footnoteReference w:id="8"/>
      </w:r>
      <w:r w:rsidRPr="0039102C">
        <w:rPr>
          <w:noProof/>
        </w:rPr>
        <w:t>.</w:t>
      </w:r>
    </w:p>
    <w:p w14:paraId="65544CC7" w14:textId="76D3CE2B" w:rsidR="00981812" w:rsidRPr="0039102C" w:rsidRDefault="00981812" w:rsidP="00EC4FC3">
      <w:pPr>
        <w:pStyle w:val="CMR-Subheading"/>
        <w:rPr>
          <w:noProof/>
        </w:rPr>
      </w:pPr>
      <w:bookmarkStart w:id="14" w:name="_Toc180513393"/>
      <w:bookmarkStart w:id="15" w:name="_Toc218529277"/>
      <w:r w:rsidRPr="0039102C">
        <w:rPr>
          <w:noProof/>
        </w:rPr>
        <w:t>Fundo Social em matéria de Clima</w:t>
      </w:r>
      <w:bookmarkEnd w:id="14"/>
      <w:bookmarkEnd w:id="15"/>
    </w:p>
    <w:p w14:paraId="4F6B61D4" w14:textId="3737D93C" w:rsidR="0514A328" w:rsidRPr="0039102C" w:rsidRDefault="00B94D6D" w:rsidP="00A31D0C">
      <w:pPr>
        <w:pStyle w:val="CMR-text"/>
        <w:rPr>
          <w:rFonts w:eastAsia="Calibri" w:cs="Times New Roman"/>
          <w:noProof/>
        </w:rPr>
      </w:pPr>
      <w:r w:rsidRPr="0039102C">
        <w:rPr>
          <w:noProof/>
        </w:rPr>
        <w:t>O Fundo Social em matéria de Clima (FSC) foi criado juntamente com o CELE 2 a fim de proporcionar aos Estados-Membros financiamento para fazer face aos impactos sociais decorrentes da inclusão dos setores dos edifícios e do transporte rodoviário no novo sistema e de apoiar os grupos mais vulneráveis, em especial os agregados familiares em situação de pobreza energética ou de mobilidade.</w:t>
      </w:r>
    </w:p>
    <w:p w14:paraId="49134771" w14:textId="749594CE" w:rsidR="0514A328" w:rsidRPr="0039102C" w:rsidRDefault="0514A328">
      <w:pPr>
        <w:pStyle w:val="CMR-text"/>
        <w:rPr>
          <w:rFonts w:eastAsia="Calibri" w:cs="Times New Roman"/>
          <w:noProof/>
        </w:rPr>
      </w:pPr>
      <w:r w:rsidRPr="0039102C">
        <w:rPr>
          <w:noProof/>
        </w:rPr>
        <w:t>Durante o período de 2026-2032, o Fundo disponibilizará 65 mil milhões de EUR (a preços correntes), financiados através das receitas afetadas externas geradas principalmente pela venda em leilão de licenças de emissão do CELE 2, bem como pela venda em leilão de 50 milhões de licenças de emissão do atual CELE (já iniciada em 2025). A dotação financeira do Fundo atribuída a cada Estado-Membro foi estabelecida com base nas emissões, no perfil populacional, na pobreza energética e de mobilidade e nos indicadores de prosperidade relativa. Estava previsto que os Estados-Membros apresentassem à Comissão planos sociais nacionais em matéria de clima para aprovação até 30 de junho de 2025, definindo a forma como tencionam aplicar os seus recursos do FSC. Incluindo uma contribuição mínima de 25 % para os respetivos planos que os Estados-Membros são obrigados a assegurar, o FSC mobilizará, pelo menos, 86 700 milhões de EUR.</w:t>
      </w:r>
    </w:p>
    <w:p w14:paraId="7CA7185C" w14:textId="2A98BE98" w:rsidR="006D7E6C" w:rsidRPr="0039102C" w:rsidRDefault="006D7E6C" w:rsidP="00EC4FC3">
      <w:pPr>
        <w:pStyle w:val="CMR-SubHead2"/>
        <w:rPr>
          <w:noProof/>
        </w:rPr>
      </w:pPr>
      <w:bookmarkStart w:id="16" w:name="_Toc218529278"/>
      <w:r w:rsidRPr="0039102C">
        <w:rPr>
          <w:noProof/>
        </w:rPr>
        <w:t>Planos sociais em matéria de clima</w:t>
      </w:r>
      <w:bookmarkEnd w:id="16"/>
    </w:p>
    <w:p w14:paraId="36618F50" w14:textId="297AA404" w:rsidR="00527522" w:rsidRPr="0039102C" w:rsidRDefault="0514A328">
      <w:pPr>
        <w:pStyle w:val="CMR-text"/>
        <w:rPr>
          <w:rFonts w:eastAsia="Calibri" w:cs="Times New Roman"/>
          <w:noProof/>
        </w:rPr>
      </w:pPr>
      <w:r w:rsidRPr="0039102C">
        <w:rPr>
          <w:noProof/>
        </w:rPr>
        <w:t>Os planos sociais em matéria de clima devem incluir uma análise dos efeitos prováveis do CELE 2 nos grupos vulneráveis, bem como medidas estruturais e investimentos para atenuar esses efeitos, tendo em vista os grupos vulneráveis identificados. As medidas e os investimentos podem abranger a melhoria da eficiência energética e a renovação de edifícios, o desenvolvimento de sistemas de aquecimento e arrefecimento limpos e a integração de energias renováveis, bem como a implantação de soluções de mobilidade com nível nulo de emissões e, em casos devidamente justificados, com baixas emissões, incluindo transportes públicos.</w:t>
      </w:r>
    </w:p>
    <w:p w14:paraId="4188892B" w14:textId="1767C88F" w:rsidR="00B24028" w:rsidRPr="0039102C" w:rsidRDefault="0514A328" w:rsidP="00B24028">
      <w:pPr>
        <w:pStyle w:val="CMR-text"/>
        <w:rPr>
          <w:rFonts w:eastAsia="Calibri" w:cs="Times New Roman"/>
          <w:noProof/>
        </w:rPr>
      </w:pPr>
      <w:r w:rsidRPr="0039102C">
        <w:rPr>
          <w:noProof/>
        </w:rPr>
        <w:t>Todas as medidas e investimentos devem respeitar o princípio de «não prejudicar significativamente» no que diz respeito aos seis objetivos ambientais descritos no Regulamento Taxonomia [Regulamento (UE) 2020/852]. Os Estados-Membros também têm a opção de gastar uma parte limitada da sua dotação do FSC em apoio direto temporário ao rendimento. Além disso, os Estados-Membros devem assegurar a coerência das políticas com os seus planos nacionais em matéria de energia e clima (PNEC), podendo os planos sociais em matéria de clima incluir medidas de acompanhamento para reforçar a coerência e os incentivos a alternativas limpas.</w:t>
      </w:r>
    </w:p>
    <w:p w14:paraId="0F225FCF" w14:textId="6186524D" w:rsidR="0514A328" w:rsidRPr="0039102C" w:rsidRDefault="08BC77B9" w:rsidP="2DC1D0FA">
      <w:pPr>
        <w:pStyle w:val="CMR-text"/>
        <w:rPr>
          <w:rFonts w:eastAsia="Calibri" w:cs="Times New Roman"/>
          <w:noProof/>
        </w:rPr>
      </w:pPr>
      <w:r w:rsidRPr="0039102C">
        <w:rPr>
          <w:noProof/>
        </w:rPr>
        <w:t>Já em 2023, a Comissão criou um grupo de peritos específico composto por representantes dos Estados</w:t>
      </w:r>
      <w:r w:rsidR="00217ECB">
        <w:rPr>
          <w:noProof/>
        </w:rPr>
        <w:noBreakHyphen/>
      </w:r>
      <w:r w:rsidRPr="0039102C">
        <w:rPr>
          <w:noProof/>
        </w:rPr>
        <w:t>Membros, que se reúne com regularidade, a fim de debater e trocar boas práticas. A Comissão publicou igualmente várias notas temáticas e documentos de orientação. Em junho de 2024, foram publicadas duas notas sobre boas práticas relativas a medidas e investimentos eficazes em termos de custos e sobre consultas públicas adequadas. Em março de 2025, foram publicados dois documentos de orientação sobre a elaboração dos planos sociais em matéria de clima e sobre a aplicação do princípio de «não prejudicar significativamente». O documento de orientação mais recente sobre o acompanhamento e a execução foi publicado em outubro de 2025</w:t>
      </w:r>
      <w:r w:rsidR="00AE66E2" w:rsidRPr="0039102C">
        <w:rPr>
          <w:rStyle w:val="FootnoteReference"/>
          <w:rFonts w:eastAsia="Calibri" w:cs="Times New Roman"/>
          <w:noProof/>
        </w:rPr>
        <w:footnoteReference w:id="9"/>
      </w:r>
      <w:r w:rsidRPr="0039102C">
        <w:rPr>
          <w:noProof/>
        </w:rPr>
        <w:t>. Além disso, a Comissão criou uma plataforma para os Estados-Membros apresentarem questões à medida que vão surgindo.</w:t>
      </w:r>
    </w:p>
    <w:p w14:paraId="69974877" w14:textId="79104D6E" w:rsidR="0514A328" w:rsidRPr="0039102C" w:rsidRDefault="0514A328" w:rsidP="00A31D0C">
      <w:pPr>
        <w:pStyle w:val="CMR-text"/>
        <w:rPr>
          <w:rFonts w:eastAsia="Calibri" w:cs="Times New Roman"/>
          <w:noProof/>
        </w:rPr>
      </w:pPr>
      <w:r w:rsidRPr="0039102C">
        <w:rPr>
          <w:noProof/>
        </w:rPr>
        <w:t>A Comissão apoiou diretamente 10 Estados-Membros na elaboração dos planos sociais em matéria de clima, através do instrumento de assistência técnica. O apoio abrangeu uma avaliação inicial dos impactos do CELE 2 e dos grupos vulneráveis, a participação das partes interessadas e a elaboração de uma lista restrita e a caracterização das medidas e investimentos pertinentes.</w:t>
      </w:r>
    </w:p>
    <w:p w14:paraId="1F0AD4D2" w14:textId="0B72811E" w:rsidR="0514A328" w:rsidRPr="0039102C" w:rsidRDefault="0514A328" w:rsidP="00A31D0C">
      <w:pPr>
        <w:pStyle w:val="CMR-text"/>
        <w:rPr>
          <w:rFonts w:eastAsia="Calibri" w:cs="Times New Roman"/>
          <w:noProof/>
        </w:rPr>
      </w:pPr>
      <w:r w:rsidRPr="0039102C">
        <w:rPr>
          <w:noProof/>
        </w:rPr>
        <w:t>No final de 2024 e no início de 2025, os Estados-Membros lançaram consultas obrigatórias das partes interessadas sobre os seus planos sociais em matéria de clima. As consultas prosseguirão até à apresentação oficial dos planos. Paralelamente, em junho de 2025, o comissário Wopke Hoekstra presidiu ao primeiro diálogo sobre a aplicação do CELE 2 e do FSC, reunindo um grupo diversificado de partes interessadas de setores como as bombas de calor, o setor automóvel, a renovação de edifícios, a micromobilidade, o abastecimento de combustível e a sociedade civil.</w:t>
      </w:r>
    </w:p>
    <w:p w14:paraId="3BDF8E68" w14:textId="01775FAA" w:rsidR="004874BD" w:rsidRPr="0039102C" w:rsidRDefault="00D07057">
      <w:pPr>
        <w:pStyle w:val="CMR-text"/>
        <w:rPr>
          <w:rFonts w:eastAsia="Calibri" w:cs="Times New Roman"/>
          <w:noProof/>
        </w:rPr>
      </w:pPr>
      <w:r w:rsidRPr="0039102C">
        <w:rPr>
          <w:noProof/>
        </w:rPr>
        <w:t>Até meados de outubro de 2025, dois Estados-Membros tinham apresentado oficialmente os seus planos à Comissão para avaliação (Letónia e Suécia). A Comissão reviu igualmente os projetos de planos sociais em matéria de clima de cerca de 15 países. A Comissão tem trabalhado em estreita colaboração com todos os Estados-Membros ao longo do processo de (pré-)apresentação e avaliação, incentivando fortemente os Estados-Membros a aplicar rapidamente o FSC e a prestar apoio aos grupos vulneráveis.</w:t>
      </w:r>
    </w:p>
    <w:p w14:paraId="5C949C6D" w14:textId="5B9DA30B" w:rsidR="00026106" w:rsidRPr="0039102C" w:rsidRDefault="00966D14">
      <w:pPr>
        <w:pStyle w:val="CMR-text"/>
        <w:rPr>
          <w:rFonts w:eastAsia="Calibri" w:cs="Times New Roman"/>
          <w:noProof/>
        </w:rPr>
      </w:pPr>
      <w:r w:rsidRPr="0039102C">
        <w:rPr>
          <w:noProof/>
        </w:rPr>
        <w:t>A Comissão dispõe de cinco meses para avaliar os planos formalmente apresentados, podendo apresentar observações ou solicitar informações adicionais ao Estado-Membro em causa no prazo de dois meses a contar da sua receção.</w:t>
      </w:r>
    </w:p>
    <w:p w14:paraId="131CE6B0" w14:textId="205DCA2F" w:rsidR="00613B80" w:rsidRPr="0039102C" w:rsidRDefault="00613B80" w:rsidP="00EC4FC3">
      <w:pPr>
        <w:pStyle w:val="CMR-Heading"/>
        <w:rPr>
          <w:noProof/>
        </w:rPr>
      </w:pPr>
      <w:bookmarkStart w:id="17" w:name="_Toc180513394"/>
      <w:bookmarkStart w:id="18" w:name="_Toc218529279"/>
      <w:r w:rsidRPr="0039102C">
        <w:rPr>
          <w:noProof/>
        </w:rPr>
        <w:t>Limite máximo de emissões</w:t>
      </w:r>
      <w:bookmarkEnd w:id="17"/>
      <w:bookmarkEnd w:id="18"/>
    </w:p>
    <w:p w14:paraId="0D948825" w14:textId="4984D63B" w:rsidR="006E7BA3" w:rsidRPr="0039102C" w:rsidRDefault="00974DEC" w:rsidP="001856AF">
      <w:pPr>
        <w:pStyle w:val="CMR-text"/>
        <w:rPr>
          <w:rFonts w:cs="Times New Roman"/>
          <w:noProof/>
        </w:rPr>
      </w:pPr>
      <w:r w:rsidRPr="0039102C">
        <w:rPr>
          <w:noProof/>
        </w:rPr>
        <w:t>O limite máximo do CELE fixa o volume máximo absoluto de emissões que as entidades regulamentadas podem emitir durante uma fase de comércio. Corresponde ao número de licenças emitidas para esse período, sendo que uma licença corresponde a uma tonelada de emissões de CO</w:t>
      </w:r>
      <w:r w:rsidRPr="0039102C">
        <w:rPr>
          <w:noProof/>
          <w:vertAlign w:val="subscript"/>
        </w:rPr>
        <w:t>2</w:t>
      </w:r>
      <w:r w:rsidRPr="0039102C">
        <w:rPr>
          <w:noProof/>
        </w:rPr>
        <w:t>eq (equivalente de dióxido de carbono). O limite máximo diminui anualmente para assegurar que a UE cumpre a sua meta global de redução das emissões. Isto proporciona às empresas abrangidas pelo CELE segurança quanto à escassez prevista da oferta de licenças de emissão.</w:t>
      </w:r>
    </w:p>
    <w:p w14:paraId="6B352AA6" w14:textId="081B76B2" w:rsidR="00DF6D65" w:rsidRPr="0039102C" w:rsidRDefault="00133030" w:rsidP="001856AF">
      <w:pPr>
        <w:pStyle w:val="CMR-text"/>
        <w:rPr>
          <w:rFonts w:cs="Times New Roman"/>
          <w:noProof/>
        </w:rPr>
      </w:pPr>
      <w:r w:rsidRPr="0039102C">
        <w:rPr>
          <w:noProof/>
        </w:rPr>
        <w:t>O limite máximo está atualmente fixado para reduzir as emissões abrangidas pelo CELE em 62 % até 2030, em comparação com 2005. De 2024 a 2027, o limite máximo diminui anualmente à taxa de 4,3 % das emissões de referência previstas nos artigos 3.º-C e 9.º da Diretiva CELE</w:t>
      </w:r>
      <w:r w:rsidR="006C6F89" w:rsidRPr="0039102C">
        <w:rPr>
          <w:rStyle w:val="FootnoteReference"/>
          <w:rFonts w:cs="Times New Roman"/>
          <w:noProof/>
        </w:rPr>
        <w:footnoteReference w:id="10"/>
      </w:r>
      <w:r w:rsidRPr="0039102C">
        <w:rPr>
          <w:noProof/>
        </w:rPr>
        <w:t>. A partir de 2028, a taxa de redução anual será de 4,4 %.</w:t>
      </w:r>
    </w:p>
    <w:p w14:paraId="0F5846FD" w14:textId="20A5354D" w:rsidR="00983DBA" w:rsidRPr="0039102C" w:rsidRDefault="00281708" w:rsidP="00DF6D65">
      <w:pPr>
        <w:pStyle w:val="CMR-text"/>
        <w:rPr>
          <w:rFonts w:cs="Times New Roman"/>
          <w:noProof/>
        </w:rPr>
      </w:pPr>
      <w:r w:rsidRPr="0039102C">
        <w:rPr>
          <w:noProof/>
        </w:rPr>
        <w:t>Aplicam-se cálculos separados do limite máximo às emissões no âmbito do CELE provenientes da produção de eletricidade e calor, da produção industrial e do transporte marítimo (em conformidade com o artigo 9.º da Diretiva CELE), bem como da aviação (em conformidade com o artigo 3.º-C da Diretiva CELE).</w:t>
      </w:r>
    </w:p>
    <w:p w14:paraId="58D375CF" w14:textId="7CFA8C02" w:rsidR="00983DBA" w:rsidRPr="0039102C" w:rsidRDefault="00281708" w:rsidP="00983DBA">
      <w:pPr>
        <w:pStyle w:val="CMR-text"/>
        <w:numPr>
          <w:ilvl w:val="0"/>
          <w:numId w:val="40"/>
        </w:numPr>
        <w:rPr>
          <w:rFonts w:cs="Times New Roman"/>
          <w:noProof/>
        </w:rPr>
      </w:pPr>
      <w:r w:rsidRPr="0039102C">
        <w:rPr>
          <w:noProof/>
        </w:rPr>
        <w:t>Em 2024, foram emitidas 1 386 051 745 licenças de emissão para a produção de eletricidade e calor, para a produção industrial e para o transporte marítimo</w:t>
      </w:r>
      <w:r w:rsidR="00C65038" w:rsidRPr="0039102C">
        <w:rPr>
          <w:rStyle w:val="FootnoteReference"/>
          <w:rFonts w:cs="Times New Roman"/>
          <w:noProof/>
        </w:rPr>
        <w:footnoteReference w:id="11"/>
      </w:r>
      <w:r w:rsidRPr="0039102C">
        <w:rPr>
          <w:noProof/>
        </w:rPr>
        <w:t>, tendo sido emitidas 27 563 529 licenças de emissão para a aviação</w:t>
      </w:r>
      <w:r w:rsidR="003939EE" w:rsidRPr="0039102C">
        <w:rPr>
          <w:rStyle w:val="FootnoteReference"/>
          <w:rFonts w:cs="Times New Roman"/>
          <w:noProof/>
        </w:rPr>
        <w:footnoteReference w:id="12"/>
      </w:r>
      <w:r w:rsidRPr="0039102C">
        <w:rPr>
          <w:noProof/>
        </w:rPr>
        <w:t>.</w:t>
      </w:r>
    </w:p>
    <w:p w14:paraId="3B5007E6" w14:textId="32DA1C0B" w:rsidR="00DF6D65" w:rsidRPr="0039102C" w:rsidRDefault="0015388E" w:rsidP="00A31D0C">
      <w:pPr>
        <w:pStyle w:val="CMR-text"/>
        <w:numPr>
          <w:ilvl w:val="0"/>
          <w:numId w:val="40"/>
        </w:numPr>
        <w:rPr>
          <w:rFonts w:cs="Times New Roman"/>
          <w:noProof/>
        </w:rPr>
      </w:pPr>
      <w:r w:rsidRPr="0039102C">
        <w:rPr>
          <w:noProof/>
        </w:rPr>
        <w:t>Em 2025, foram emitidas 1 298 127 514 licenças de emissão para a produção de eletricidade e calor, para a produção industrial e para o transporte marítimo, tendo sido emitidas 26 233 302 licenças de emissão para a aviação.</w:t>
      </w:r>
    </w:p>
    <w:p w14:paraId="165084D0" w14:textId="74729A73" w:rsidR="000527CF" w:rsidRPr="0039102C" w:rsidRDefault="3FB8DF5E" w:rsidP="00FE2381">
      <w:pPr>
        <w:pStyle w:val="CMR-text"/>
        <w:rPr>
          <w:rFonts w:cs="Times New Roman"/>
          <w:noProof/>
        </w:rPr>
      </w:pPr>
      <w:r w:rsidRPr="0039102C">
        <w:rPr>
          <w:noProof/>
        </w:rPr>
        <w:t>Nos termos do artigo 9.º da Diretiva CELE, o limite máximo para 2026 deve ser reduzido em 27 milhões de licenças de emissão (em consonância com a meta global do CELE de redução das emissões até 2030).</w:t>
      </w:r>
    </w:p>
    <w:p w14:paraId="1B525BA6" w14:textId="6B9C206A" w:rsidR="000527CF" w:rsidRPr="0039102C" w:rsidRDefault="1D086358" w:rsidP="00FE2381">
      <w:pPr>
        <w:pStyle w:val="CMR-text"/>
        <w:rPr>
          <w:rFonts w:cs="Times New Roman"/>
          <w:noProof/>
        </w:rPr>
      </w:pPr>
      <w:r w:rsidRPr="0039102C">
        <w:rPr>
          <w:noProof/>
        </w:rPr>
        <w:t>Ao mesmo tempo, o limite máximo deve ser aumentado para refletir o alargamento do âmbito do CELE às emissões de N</w:t>
      </w:r>
      <w:r w:rsidRPr="0039102C">
        <w:rPr>
          <w:noProof/>
          <w:vertAlign w:val="subscript"/>
        </w:rPr>
        <w:t>2</w:t>
      </w:r>
      <w:r w:rsidRPr="0039102C">
        <w:rPr>
          <w:noProof/>
        </w:rPr>
        <w:t>O e CH</w:t>
      </w:r>
      <w:r w:rsidRPr="0039102C">
        <w:rPr>
          <w:noProof/>
          <w:vertAlign w:val="subscript"/>
        </w:rPr>
        <w:t>4</w:t>
      </w:r>
      <w:r w:rsidRPr="0039102C">
        <w:rPr>
          <w:noProof/>
        </w:rPr>
        <w:t xml:space="preserve"> provenientes do transporte marítimo.</w:t>
      </w:r>
    </w:p>
    <w:p w14:paraId="3CE1B039" w14:textId="5F947F69" w:rsidR="00662872" w:rsidRPr="0039102C" w:rsidRDefault="5AFC1DA4" w:rsidP="00FE2381">
      <w:pPr>
        <w:pStyle w:val="CMR-text"/>
        <w:rPr>
          <w:rFonts w:cs="Times New Roman"/>
          <w:noProof/>
        </w:rPr>
      </w:pPr>
      <w:r w:rsidRPr="0039102C">
        <w:rPr>
          <w:noProof/>
        </w:rPr>
        <w:t>Com base nas emissões do ano mais recente para o qual existem dados disponíveis</w:t>
      </w:r>
      <w:r w:rsidR="001569F0" w:rsidRPr="0039102C">
        <w:rPr>
          <w:rStyle w:val="FootnoteReference"/>
          <w:rFonts w:cs="Times New Roman"/>
          <w:noProof/>
        </w:rPr>
        <w:footnoteReference w:id="13"/>
      </w:r>
      <w:r w:rsidRPr="0039102C">
        <w:rPr>
          <w:noProof/>
        </w:rPr>
        <w:t>, este aumento ascende a 2 375 680 licenças de emissão. Estas licenças de emissão adicionais serão leiloadas e acrescentadas ao Fundo de Inovação, inteiramente financiado pelo CELE (ver ponto 8.2).</w:t>
      </w:r>
    </w:p>
    <w:p w14:paraId="02D7B956" w14:textId="409827B8" w:rsidR="00D009F9" w:rsidRPr="0039102C" w:rsidRDefault="00962167" w:rsidP="00FE2381">
      <w:pPr>
        <w:pStyle w:val="CMR-text"/>
        <w:rPr>
          <w:rFonts w:cs="Times New Roman"/>
          <w:noProof/>
        </w:rPr>
      </w:pPr>
      <w:r w:rsidRPr="0039102C">
        <w:rPr>
          <w:noProof/>
        </w:rPr>
        <w:t>Além disso, a lista de instalações excluídas por determinados Estados-Membros ao abrigo do artigo 27.º da Diretiva CELE foi atualizada para o período de 2026-2030, resultando em pequenos ajustamentos do limite máximo e do fator de redução linear a partir de 2026.</w:t>
      </w:r>
    </w:p>
    <w:p w14:paraId="20391F1B" w14:textId="5EE8D78D" w:rsidR="00FE2381" w:rsidRPr="0039102C" w:rsidRDefault="2595B433" w:rsidP="0081523A">
      <w:pPr>
        <w:pStyle w:val="CMR-text"/>
        <w:rPr>
          <w:rFonts w:cs="Times New Roman"/>
          <w:noProof/>
        </w:rPr>
      </w:pPr>
      <w:r w:rsidRPr="0039102C">
        <w:rPr>
          <w:noProof/>
        </w:rPr>
        <w:t>Em 2026, serão emitidas 1 185 420 090 licenças de emissão para a produção de eletricidade e calor, para a produção industrial e para o transporte marítimo, ao passo que para a aviação serão emitidas 24 903 076 licenças de emissão</w:t>
      </w:r>
      <w:r w:rsidR="0081523A" w:rsidRPr="0039102C">
        <w:rPr>
          <w:rStyle w:val="FootnoteReference"/>
          <w:rFonts w:cs="Times New Roman"/>
          <w:noProof/>
        </w:rPr>
        <w:footnoteReference w:id="14"/>
      </w:r>
      <w:r w:rsidRPr="0039102C">
        <w:rPr>
          <w:noProof/>
        </w:rPr>
        <w:t>.</w:t>
      </w:r>
    </w:p>
    <w:p w14:paraId="0E5ABA0A" w14:textId="25A23875" w:rsidR="00281708" w:rsidRPr="0039102C" w:rsidRDefault="006B068B" w:rsidP="001856AF">
      <w:pPr>
        <w:pStyle w:val="CMR-text"/>
        <w:rPr>
          <w:rFonts w:cs="Times New Roman"/>
          <w:noProof/>
        </w:rPr>
      </w:pPr>
      <w:r w:rsidRPr="0039102C">
        <w:rPr>
          <w:noProof/>
        </w:rPr>
        <w:t>O quadro 1 indica as quantidades totais de licenças emitidas para os diferentes setores no âmbito do limite máximo do CELE.</w:t>
      </w:r>
    </w:p>
    <w:p w14:paraId="18316AD5" w14:textId="480E6C80" w:rsidR="00F950F8" w:rsidRPr="0039102C" w:rsidRDefault="00F950F8" w:rsidP="00AD0AB1">
      <w:pPr>
        <w:pStyle w:val="Caption"/>
        <w:keepNext/>
        <w:rPr>
          <w:noProof/>
          <w:sz w:val="20"/>
        </w:rPr>
      </w:pPr>
      <w:bookmarkStart w:id="19" w:name="_Ref176771273"/>
      <w:r w:rsidRPr="0039102C">
        <w:rPr>
          <w:noProof/>
        </w:rPr>
        <w:t xml:space="preserve">Quadro </w:t>
      </w:r>
      <w:r w:rsidR="003B51C5" w:rsidRPr="0039102C">
        <w:rPr>
          <w:noProof/>
          <w:sz w:val="20"/>
        </w:rPr>
        <w:fldChar w:fldCharType="begin"/>
      </w:r>
      <w:r w:rsidR="003B51C5" w:rsidRPr="0039102C">
        <w:rPr>
          <w:noProof/>
          <w:sz w:val="20"/>
        </w:rPr>
        <w:instrText xml:space="preserve"> SEQ Table \* ARABIC </w:instrText>
      </w:r>
      <w:r w:rsidR="003B51C5" w:rsidRPr="0039102C">
        <w:rPr>
          <w:noProof/>
          <w:sz w:val="20"/>
        </w:rPr>
        <w:fldChar w:fldCharType="separate"/>
      </w:r>
      <w:r w:rsidR="004722B7" w:rsidRPr="0039102C">
        <w:rPr>
          <w:noProof/>
          <w:sz w:val="20"/>
        </w:rPr>
        <w:t>1</w:t>
      </w:r>
      <w:r w:rsidR="003B51C5" w:rsidRPr="0039102C">
        <w:rPr>
          <w:noProof/>
          <w:sz w:val="20"/>
        </w:rPr>
        <w:fldChar w:fldCharType="end"/>
      </w:r>
      <w:bookmarkEnd w:id="19"/>
      <w:r w:rsidRPr="0039102C">
        <w:rPr>
          <w:noProof/>
        </w:rPr>
        <w:t>.</w:t>
      </w:r>
      <w:r w:rsidRPr="0039102C">
        <w:rPr>
          <w:noProof/>
          <w:sz w:val="20"/>
        </w:rPr>
        <w:t xml:space="preserve"> Limite máximo do CELE (2021-2026). São aplicáveis cálculos separados dos limites máximos para: as emissões provenientes da produção de eletricidade e calor, da produção industrial e, a partir de 2024, do transporte marítimo, e ii) as emissões das atividades de aviação abrangidas pelo CELE. A partir de 1 de janeiro de 2024, o âmbito de aplicação do CELE no setor da aviação passou a abranger as emissões da maioria dos voos entre o EEE e as nove regiões ultraperiféricas da UE, bem como as dos voos com partida nessas regiões e destino à Suíça ou ao Reino Unido (ver ponto 9). A quantidade total de licenças de emissão atribuídas às atividades de aviação a partir de 2024 reflete o âmbito alargado do CELE para a aviação.</w:t>
      </w:r>
    </w:p>
    <w:tbl>
      <w:tblPr>
        <w:tblStyle w:val="TableGridLight"/>
        <w:tblpPr w:leftFromText="180" w:rightFromText="180" w:vertAnchor="text" w:horzAnchor="margin" w:tblpY="-10"/>
        <w:tblW w:w="5000" w:type="pct"/>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705"/>
        <w:gridCol w:w="4701"/>
        <w:gridCol w:w="3610"/>
      </w:tblGrid>
      <w:tr w:rsidR="00C56D4C" w:rsidRPr="0039102C" w14:paraId="61489489" w14:textId="77777777" w:rsidTr="00864A9D">
        <w:trPr>
          <w:cantSplit/>
        </w:trPr>
        <w:tc>
          <w:tcPr>
            <w:tcW w:w="391" w:type="pct"/>
            <w:vAlign w:val="center"/>
          </w:tcPr>
          <w:p w14:paraId="20E4C149" w14:textId="77777777" w:rsidR="006946F0" w:rsidRPr="0039102C" w:rsidRDefault="006946F0" w:rsidP="00296014">
            <w:pPr>
              <w:pStyle w:val="CMR-tables"/>
              <w:rPr>
                <w:rFonts w:cs="Times New Roman"/>
                <w:b/>
                <w:noProof/>
                <w:szCs w:val="20"/>
              </w:rPr>
            </w:pPr>
            <w:r w:rsidRPr="0039102C">
              <w:rPr>
                <w:b/>
                <w:noProof/>
              </w:rPr>
              <w:t>Ano</w:t>
            </w:r>
          </w:p>
        </w:tc>
        <w:tc>
          <w:tcPr>
            <w:tcW w:w="2607" w:type="pct"/>
            <w:vAlign w:val="center"/>
          </w:tcPr>
          <w:p w14:paraId="02D7D3E2" w14:textId="71374727" w:rsidR="006946F0" w:rsidRPr="0039102C" w:rsidRDefault="00AF553C" w:rsidP="00296014">
            <w:pPr>
              <w:pStyle w:val="CMR-tables"/>
              <w:jc w:val="center"/>
              <w:rPr>
                <w:rFonts w:cs="Times New Roman"/>
                <w:b/>
                <w:noProof/>
                <w:szCs w:val="20"/>
              </w:rPr>
            </w:pPr>
            <w:r w:rsidRPr="0039102C">
              <w:rPr>
                <w:b/>
                <w:noProof/>
              </w:rPr>
              <w:t>Quantidade total de licenças de emissão atribuídas à produção de eletricidade e calor, à produção industrial e ao transporte marítimo</w:t>
            </w:r>
          </w:p>
        </w:tc>
        <w:tc>
          <w:tcPr>
            <w:tcW w:w="2002" w:type="pct"/>
            <w:vAlign w:val="center"/>
          </w:tcPr>
          <w:p w14:paraId="2CE827B8" w14:textId="0C97F6FC" w:rsidR="006946F0" w:rsidRPr="0039102C" w:rsidRDefault="00AF553C" w:rsidP="00296014">
            <w:pPr>
              <w:pStyle w:val="CMR-tables"/>
              <w:jc w:val="center"/>
              <w:rPr>
                <w:rFonts w:cs="Times New Roman"/>
                <w:b/>
                <w:noProof/>
                <w:szCs w:val="20"/>
              </w:rPr>
            </w:pPr>
            <w:r w:rsidRPr="0039102C">
              <w:rPr>
                <w:b/>
                <w:noProof/>
              </w:rPr>
              <w:t>Quantidade total de licenças de emissão atribuídas às atividades de aviação</w:t>
            </w:r>
          </w:p>
        </w:tc>
      </w:tr>
      <w:tr w:rsidR="00C56D4C" w:rsidRPr="0039102C" w14:paraId="55206652" w14:textId="77777777" w:rsidTr="00864A9D">
        <w:trPr>
          <w:cantSplit/>
        </w:trPr>
        <w:tc>
          <w:tcPr>
            <w:tcW w:w="391" w:type="pct"/>
            <w:shd w:val="clear" w:color="auto" w:fill="D9E2F3" w:themeFill="accent1" w:themeFillTint="33"/>
            <w:vAlign w:val="center"/>
          </w:tcPr>
          <w:p w14:paraId="387742AE" w14:textId="77777777" w:rsidR="006946F0" w:rsidRPr="0039102C" w:rsidRDefault="006946F0" w:rsidP="00296014">
            <w:pPr>
              <w:pStyle w:val="CMR-tables"/>
              <w:jc w:val="center"/>
              <w:rPr>
                <w:rFonts w:cs="Times New Roman"/>
                <w:noProof/>
                <w:szCs w:val="20"/>
              </w:rPr>
            </w:pPr>
            <w:r w:rsidRPr="0039102C">
              <w:rPr>
                <w:noProof/>
              </w:rPr>
              <w:t>2021</w:t>
            </w:r>
          </w:p>
        </w:tc>
        <w:tc>
          <w:tcPr>
            <w:tcW w:w="2607" w:type="pct"/>
            <w:shd w:val="clear" w:color="auto" w:fill="D9E2F3" w:themeFill="accent1" w:themeFillTint="33"/>
            <w:vAlign w:val="center"/>
          </w:tcPr>
          <w:p w14:paraId="5245F12A" w14:textId="77777777" w:rsidR="006946F0" w:rsidRPr="0039102C" w:rsidRDefault="006946F0" w:rsidP="00296014">
            <w:pPr>
              <w:pStyle w:val="CMR-tables"/>
              <w:jc w:val="center"/>
              <w:rPr>
                <w:rFonts w:cs="Times New Roman"/>
                <w:noProof/>
                <w:szCs w:val="20"/>
              </w:rPr>
            </w:pPr>
            <w:r w:rsidRPr="0039102C">
              <w:rPr>
                <w:noProof/>
              </w:rPr>
              <w:t>1 571 583 007</w:t>
            </w:r>
          </w:p>
        </w:tc>
        <w:tc>
          <w:tcPr>
            <w:tcW w:w="2002" w:type="pct"/>
            <w:shd w:val="clear" w:color="auto" w:fill="D9E2F3" w:themeFill="accent1" w:themeFillTint="33"/>
            <w:vAlign w:val="center"/>
          </w:tcPr>
          <w:p w14:paraId="6041BDEF" w14:textId="77777777" w:rsidR="006946F0" w:rsidRPr="0039102C" w:rsidRDefault="006946F0" w:rsidP="00296014">
            <w:pPr>
              <w:pStyle w:val="CMR-tables"/>
              <w:jc w:val="center"/>
              <w:rPr>
                <w:rFonts w:cs="Times New Roman"/>
                <w:noProof/>
                <w:szCs w:val="20"/>
              </w:rPr>
            </w:pPr>
            <w:r w:rsidRPr="0039102C">
              <w:rPr>
                <w:noProof/>
              </w:rPr>
              <w:t>28 306 545</w:t>
            </w:r>
          </w:p>
        </w:tc>
      </w:tr>
      <w:tr w:rsidR="00C56D4C" w:rsidRPr="0039102C" w14:paraId="4E137D5E" w14:textId="77777777" w:rsidTr="00864A9D">
        <w:trPr>
          <w:cantSplit/>
        </w:trPr>
        <w:tc>
          <w:tcPr>
            <w:tcW w:w="391" w:type="pct"/>
            <w:vAlign w:val="center"/>
          </w:tcPr>
          <w:p w14:paraId="5702323A" w14:textId="77777777" w:rsidR="006946F0" w:rsidRPr="0039102C" w:rsidRDefault="006946F0" w:rsidP="00296014">
            <w:pPr>
              <w:pStyle w:val="CMR-tables"/>
              <w:jc w:val="center"/>
              <w:rPr>
                <w:rFonts w:cs="Times New Roman"/>
                <w:noProof/>
                <w:szCs w:val="20"/>
              </w:rPr>
            </w:pPr>
            <w:r w:rsidRPr="0039102C">
              <w:rPr>
                <w:noProof/>
              </w:rPr>
              <w:t>2022</w:t>
            </w:r>
          </w:p>
        </w:tc>
        <w:tc>
          <w:tcPr>
            <w:tcW w:w="2607" w:type="pct"/>
            <w:vAlign w:val="center"/>
          </w:tcPr>
          <w:p w14:paraId="0A4DBE21" w14:textId="77777777" w:rsidR="006946F0" w:rsidRPr="0039102C" w:rsidRDefault="006946F0" w:rsidP="00296014">
            <w:pPr>
              <w:pStyle w:val="CMR-tables"/>
              <w:jc w:val="center"/>
              <w:rPr>
                <w:rFonts w:cs="Times New Roman"/>
                <w:noProof/>
                <w:szCs w:val="20"/>
              </w:rPr>
            </w:pPr>
            <w:r w:rsidRPr="0039102C">
              <w:rPr>
                <w:noProof/>
              </w:rPr>
              <w:t>1 528 579 492</w:t>
            </w:r>
          </w:p>
        </w:tc>
        <w:tc>
          <w:tcPr>
            <w:tcW w:w="2002" w:type="pct"/>
            <w:vAlign w:val="center"/>
          </w:tcPr>
          <w:p w14:paraId="6383B068" w14:textId="77777777" w:rsidR="006946F0" w:rsidRPr="0039102C" w:rsidRDefault="006946F0" w:rsidP="00296014">
            <w:pPr>
              <w:pStyle w:val="CMR-tables"/>
              <w:jc w:val="center"/>
              <w:rPr>
                <w:rFonts w:cs="Times New Roman"/>
                <w:noProof/>
                <w:szCs w:val="20"/>
              </w:rPr>
            </w:pPr>
            <w:r w:rsidRPr="0039102C">
              <w:rPr>
                <w:noProof/>
              </w:rPr>
              <w:t>27 268 379</w:t>
            </w:r>
          </w:p>
        </w:tc>
      </w:tr>
      <w:tr w:rsidR="00C56D4C" w:rsidRPr="0039102C" w14:paraId="1C6C5600" w14:textId="77777777" w:rsidTr="00864A9D">
        <w:trPr>
          <w:cantSplit/>
        </w:trPr>
        <w:tc>
          <w:tcPr>
            <w:tcW w:w="391" w:type="pct"/>
            <w:shd w:val="clear" w:color="auto" w:fill="D9E2F3" w:themeFill="accent1" w:themeFillTint="33"/>
            <w:vAlign w:val="center"/>
          </w:tcPr>
          <w:p w14:paraId="5CBD5517" w14:textId="77777777" w:rsidR="006946F0" w:rsidRPr="0039102C" w:rsidRDefault="006946F0" w:rsidP="00296014">
            <w:pPr>
              <w:pStyle w:val="CMR-tables"/>
              <w:jc w:val="center"/>
              <w:rPr>
                <w:rFonts w:cs="Times New Roman"/>
                <w:noProof/>
                <w:szCs w:val="20"/>
              </w:rPr>
            </w:pPr>
            <w:r w:rsidRPr="0039102C">
              <w:rPr>
                <w:noProof/>
              </w:rPr>
              <w:t>2023</w:t>
            </w:r>
          </w:p>
        </w:tc>
        <w:tc>
          <w:tcPr>
            <w:tcW w:w="2607" w:type="pct"/>
            <w:shd w:val="clear" w:color="auto" w:fill="D9E2F3" w:themeFill="accent1" w:themeFillTint="33"/>
            <w:vAlign w:val="center"/>
          </w:tcPr>
          <w:p w14:paraId="66763A4E" w14:textId="5842DC1C" w:rsidR="006946F0" w:rsidRPr="0039102C" w:rsidRDefault="00436AD0" w:rsidP="00296014">
            <w:pPr>
              <w:pStyle w:val="CMR-tables"/>
              <w:jc w:val="center"/>
              <w:rPr>
                <w:rFonts w:cs="Times New Roman"/>
                <w:noProof/>
                <w:szCs w:val="20"/>
              </w:rPr>
            </w:pPr>
            <w:r w:rsidRPr="0039102C">
              <w:rPr>
                <w:noProof/>
              </w:rPr>
              <w:t>1 485 575 977</w:t>
            </w:r>
          </w:p>
        </w:tc>
        <w:tc>
          <w:tcPr>
            <w:tcW w:w="2002" w:type="pct"/>
            <w:shd w:val="clear" w:color="auto" w:fill="D9E2F3" w:themeFill="accent1" w:themeFillTint="33"/>
            <w:vAlign w:val="center"/>
          </w:tcPr>
          <w:p w14:paraId="60A7B234" w14:textId="566B3B93" w:rsidR="006946F0" w:rsidRPr="0039102C" w:rsidRDefault="009F64FD" w:rsidP="00296014">
            <w:pPr>
              <w:pStyle w:val="CMR-tables"/>
              <w:jc w:val="center"/>
              <w:rPr>
                <w:rFonts w:cs="Times New Roman"/>
                <w:noProof/>
                <w:szCs w:val="20"/>
              </w:rPr>
            </w:pPr>
            <w:r w:rsidRPr="0039102C">
              <w:rPr>
                <w:noProof/>
              </w:rPr>
              <w:t>26 341 779</w:t>
            </w:r>
          </w:p>
        </w:tc>
      </w:tr>
      <w:tr w:rsidR="00C56D4C" w:rsidRPr="0039102C" w14:paraId="283F842A" w14:textId="77777777" w:rsidTr="00864A9D">
        <w:trPr>
          <w:cantSplit/>
        </w:trPr>
        <w:tc>
          <w:tcPr>
            <w:tcW w:w="391" w:type="pct"/>
            <w:vAlign w:val="bottom"/>
          </w:tcPr>
          <w:p w14:paraId="032C0111" w14:textId="77777777" w:rsidR="006946F0" w:rsidRPr="0039102C" w:rsidRDefault="006946F0" w:rsidP="00296014">
            <w:pPr>
              <w:pStyle w:val="CMR-tables"/>
              <w:jc w:val="center"/>
              <w:rPr>
                <w:rFonts w:cs="Times New Roman"/>
                <w:noProof/>
                <w:szCs w:val="20"/>
              </w:rPr>
            </w:pPr>
            <w:r w:rsidRPr="0039102C">
              <w:rPr>
                <w:noProof/>
              </w:rPr>
              <w:t>2024</w:t>
            </w:r>
          </w:p>
        </w:tc>
        <w:tc>
          <w:tcPr>
            <w:tcW w:w="2607" w:type="pct"/>
            <w:vAlign w:val="center"/>
          </w:tcPr>
          <w:p w14:paraId="4A318C18" w14:textId="77777777" w:rsidR="006946F0" w:rsidRPr="0039102C" w:rsidRDefault="006946F0" w:rsidP="00296014">
            <w:pPr>
              <w:pStyle w:val="CMR-tables"/>
              <w:jc w:val="center"/>
              <w:rPr>
                <w:rFonts w:cs="Times New Roman"/>
                <w:noProof/>
                <w:szCs w:val="20"/>
              </w:rPr>
            </w:pPr>
            <w:r w:rsidRPr="0039102C">
              <w:rPr>
                <w:noProof/>
              </w:rPr>
              <w:t>1 386 051 745</w:t>
            </w:r>
          </w:p>
        </w:tc>
        <w:tc>
          <w:tcPr>
            <w:tcW w:w="2002" w:type="pct"/>
            <w:vAlign w:val="center"/>
          </w:tcPr>
          <w:p w14:paraId="69D840EC" w14:textId="774E7AE5" w:rsidR="006946F0" w:rsidRPr="0039102C" w:rsidRDefault="42E1C883" w:rsidP="00296014">
            <w:pPr>
              <w:pStyle w:val="CMR-tables"/>
              <w:jc w:val="center"/>
              <w:rPr>
                <w:rFonts w:cs="Times New Roman"/>
                <w:noProof/>
                <w:szCs w:val="20"/>
              </w:rPr>
            </w:pPr>
            <w:r w:rsidRPr="0039102C">
              <w:rPr>
                <w:noProof/>
              </w:rPr>
              <w:t>27 563 529</w:t>
            </w:r>
          </w:p>
        </w:tc>
      </w:tr>
      <w:tr w:rsidR="001F688D" w:rsidRPr="0039102C" w14:paraId="2766BED2" w14:textId="77777777" w:rsidTr="00864A9D">
        <w:trPr>
          <w:cantSplit/>
        </w:trPr>
        <w:tc>
          <w:tcPr>
            <w:tcW w:w="391" w:type="pct"/>
            <w:shd w:val="clear" w:color="auto" w:fill="D9E2F3" w:themeFill="accent1" w:themeFillTint="33"/>
            <w:vAlign w:val="bottom"/>
          </w:tcPr>
          <w:p w14:paraId="3D9B9779" w14:textId="7D18574C" w:rsidR="001F688D" w:rsidRPr="0039102C" w:rsidRDefault="001F688D" w:rsidP="001F688D">
            <w:pPr>
              <w:pStyle w:val="CMR-tables"/>
              <w:jc w:val="center"/>
              <w:rPr>
                <w:rFonts w:cs="Times New Roman"/>
                <w:noProof/>
                <w:szCs w:val="20"/>
              </w:rPr>
            </w:pPr>
            <w:r w:rsidRPr="0039102C">
              <w:rPr>
                <w:noProof/>
              </w:rPr>
              <w:t>2025</w:t>
            </w:r>
          </w:p>
        </w:tc>
        <w:tc>
          <w:tcPr>
            <w:tcW w:w="2607" w:type="pct"/>
            <w:shd w:val="clear" w:color="auto" w:fill="D9E2F3" w:themeFill="accent1" w:themeFillTint="33"/>
            <w:vAlign w:val="center"/>
          </w:tcPr>
          <w:p w14:paraId="150EC3C4" w14:textId="18CDA3FF" w:rsidR="001F688D" w:rsidRPr="0039102C" w:rsidRDefault="00C1337B" w:rsidP="001F688D">
            <w:pPr>
              <w:pStyle w:val="CMR-tables"/>
              <w:jc w:val="center"/>
              <w:rPr>
                <w:rFonts w:cs="Times New Roman"/>
                <w:noProof/>
                <w:szCs w:val="20"/>
              </w:rPr>
            </w:pPr>
            <w:r w:rsidRPr="0039102C">
              <w:rPr>
                <w:noProof/>
              </w:rPr>
              <w:t>1 298 127 514</w:t>
            </w:r>
          </w:p>
        </w:tc>
        <w:tc>
          <w:tcPr>
            <w:tcW w:w="2002" w:type="pct"/>
            <w:shd w:val="clear" w:color="auto" w:fill="D9E2F3" w:themeFill="accent1" w:themeFillTint="33"/>
            <w:vAlign w:val="center"/>
          </w:tcPr>
          <w:p w14:paraId="727902A1" w14:textId="5F828338" w:rsidR="001F688D" w:rsidRPr="0039102C" w:rsidRDefault="00076600" w:rsidP="001F688D">
            <w:pPr>
              <w:pStyle w:val="CMR-tables"/>
              <w:jc w:val="center"/>
              <w:rPr>
                <w:rFonts w:cs="Times New Roman"/>
                <w:noProof/>
                <w:szCs w:val="20"/>
              </w:rPr>
            </w:pPr>
            <w:r w:rsidRPr="0039102C">
              <w:rPr>
                <w:noProof/>
              </w:rPr>
              <w:t>26 233 302</w:t>
            </w:r>
          </w:p>
        </w:tc>
      </w:tr>
      <w:tr w:rsidR="001F688D" w:rsidRPr="0039102C" w14:paraId="0FD56625" w14:textId="77777777" w:rsidTr="00864A9D">
        <w:trPr>
          <w:cantSplit/>
        </w:trPr>
        <w:tc>
          <w:tcPr>
            <w:tcW w:w="391" w:type="pct"/>
            <w:vAlign w:val="bottom"/>
          </w:tcPr>
          <w:p w14:paraId="612C9F18" w14:textId="0B2F6F2A" w:rsidR="001F688D" w:rsidRPr="0039102C" w:rsidRDefault="001F688D" w:rsidP="001F688D">
            <w:pPr>
              <w:pStyle w:val="CMR-tables"/>
              <w:jc w:val="center"/>
              <w:rPr>
                <w:rFonts w:cs="Times New Roman"/>
                <w:noProof/>
                <w:szCs w:val="20"/>
              </w:rPr>
            </w:pPr>
            <w:r w:rsidRPr="0039102C">
              <w:rPr>
                <w:noProof/>
              </w:rPr>
              <w:t>2026</w:t>
            </w:r>
          </w:p>
        </w:tc>
        <w:tc>
          <w:tcPr>
            <w:tcW w:w="2607" w:type="pct"/>
            <w:vAlign w:val="center"/>
          </w:tcPr>
          <w:p w14:paraId="07E03E7A" w14:textId="3C19C421" w:rsidR="001F688D" w:rsidRPr="0039102C" w:rsidRDefault="00E1646E" w:rsidP="001F688D">
            <w:pPr>
              <w:pStyle w:val="CMR-tables"/>
              <w:jc w:val="center"/>
              <w:rPr>
                <w:rFonts w:cs="Times New Roman"/>
                <w:noProof/>
                <w:szCs w:val="20"/>
              </w:rPr>
            </w:pPr>
            <w:r w:rsidRPr="0039102C">
              <w:rPr>
                <w:noProof/>
              </w:rPr>
              <w:t>1 185 420 090</w:t>
            </w:r>
          </w:p>
        </w:tc>
        <w:tc>
          <w:tcPr>
            <w:tcW w:w="2002" w:type="pct"/>
            <w:vAlign w:val="center"/>
          </w:tcPr>
          <w:p w14:paraId="40C9913B" w14:textId="6C676262" w:rsidR="001F688D" w:rsidRPr="0039102C" w:rsidRDefault="002C7AFD" w:rsidP="001F688D">
            <w:pPr>
              <w:pStyle w:val="CMR-tables"/>
              <w:jc w:val="center"/>
              <w:rPr>
                <w:rFonts w:cs="Times New Roman"/>
                <w:noProof/>
                <w:szCs w:val="20"/>
              </w:rPr>
            </w:pPr>
            <w:r w:rsidRPr="0039102C">
              <w:rPr>
                <w:noProof/>
              </w:rPr>
              <w:t>24 903 076</w:t>
            </w:r>
          </w:p>
        </w:tc>
      </w:tr>
    </w:tbl>
    <w:p w14:paraId="719CD660" w14:textId="316A5CBF" w:rsidR="003B46B7" w:rsidRPr="0039102C" w:rsidRDefault="001D3D34" w:rsidP="003B46B7">
      <w:pPr>
        <w:pStyle w:val="CMR-text"/>
        <w:rPr>
          <w:rFonts w:cs="Times New Roman"/>
          <w:noProof/>
        </w:rPr>
      </w:pPr>
      <w:r w:rsidRPr="0039102C">
        <w:rPr>
          <w:noProof/>
        </w:rPr>
        <w:t>A figura 1 ilustra as alterações do limite máximo ao longo de todas as fases do CELE, incluindo os ajustamentos previstos.</w:t>
      </w:r>
    </w:p>
    <w:p w14:paraId="0CAFB56D" w14:textId="28D90E6C" w:rsidR="00CF29E9" w:rsidRPr="0039102C" w:rsidRDefault="00CF29E9" w:rsidP="001856AF">
      <w:pPr>
        <w:pStyle w:val="CMR-text"/>
        <w:rPr>
          <w:rFonts w:cs="Times New Roman"/>
          <w:noProof/>
        </w:rPr>
      </w:pPr>
    </w:p>
    <w:p w14:paraId="1EACF626" w14:textId="3A7D989E" w:rsidR="00586F89" w:rsidRPr="0039102C" w:rsidRDefault="00FB46B8" w:rsidP="00095218">
      <w:pPr>
        <w:rPr>
          <w:rFonts w:ascii="Times New Roman" w:hAnsi="Times New Roman" w:cs="Times New Roman"/>
          <w:noProof/>
        </w:rPr>
        <w:sectPr w:rsidR="00586F89" w:rsidRPr="0039102C" w:rsidSect="00DE0A30">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20"/>
          <w:docGrid w:linePitch="360"/>
        </w:sectPr>
      </w:pPr>
      <w:r w:rsidRPr="0039102C">
        <w:rPr>
          <w:noProof/>
        </w:rPr>
        <w:br w:type="page"/>
      </w:r>
    </w:p>
    <w:p w14:paraId="298B4050" w14:textId="5D4C3703" w:rsidR="00CB7227" w:rsidRPr="0039102C" w:rsidRDefault="00B64DFD" w:rsidP="00CB7227">
      <w:pPr>
        <w:pStyle w:val="CMR-text"/>
        <w:keepNext/>
        <w:rPr>
          <w:rFonts w:cs="Times New Roman"/>
          <w:noProof/>
        </w:rPr>
      </w:pPr>
      <w:r w:rsidRPr="0039102C">
        <w:rPr>
          <w:noProof/>
          <w:lang w:val="en-GB" w:eastAsia="en-GB"/>
        </w:rPr>
        <mc:AlternateContent>
          <mc:Choice Requires="wpg">
            <w:drawing>
              <wp:anchor distT="0" distB="0" distL="114300" distR="114300" simplePos="0" relativeHeight="251658240" behindDoc="0" locked="0" layoutInCell="1" allowOverlap="1" wp14:anchorId="73843CD6" wp14:editId="28F417C5">
                <wp:simplePos x="0" y="0"/>
                <wp:positionH relativeFrom="margin">
                  <wp:posOffset>-629392</wp:posOffset>
                </wp:positionH>
                <wp:positionV relativeFrom="paragraph">
                  <wp:posOffset>154379</wp:posOffset>
                </wp:positionV>
                <wp:extent cx="10034649" cy="3072384"/>
                <wp:effectExtent l="0" t="0" r="5080" b="13970"/>
                <wp:wrapNone/>
                <wp:docPr id="14" name="Group 13">
                  <a:extLst xmlns:a="http://schemas.openxmlformats.org/drawingml/2006/main">
                    <a:ext uri="{FF2B5EF4-FFF2-40B4-BE49-F238E27FC236}">
                      <a16:creationId xmlns:a16="http://schemas.microsoft.com/office/drawing/2014/main" id="{ADF00BAB-2B47-A65E-2F4E-7EAFA14FC351}"/>
                    </a:ext>
                  </a:extLst>
                </wp:docPr>
                <wp:cNvGraphicFramePr/>
                <a:graphic xmlns:a="http://schemas.openxmlformats.org/drawingml/2006/main">
                  <a:graphicData uri="http://schemas.microsoft.com/office/word/2010/wordprocessingGroup">
                    <wpg:wgp>
                      <wpg:cNvGrpSpPr/>
                      <wpg:grpSpPr>
                        <a:xfrm>
                          <a:off x="0" y="0"/>
                          <a:ext cx="10034649" cy="3072384"/>
                          <a:chOff x="152142" y="-54909"/>
                          <a:chExt cx="12192000" cy="3294517"/>
                        </a:xfrm>
                      </wpg:grpSpPr>
                      <wpg:grpSp>
                        <wpg:cNvPr id="1337808088" name="Group 1337808088">
                          <a:extLst>
                            <a:ext uri="{FF2B5EF4-FFF2-40B4-BE49-F238E27FC236}">
                              <a16:creationId xmlns:a16="http://schemas.microsoft.com/office/drawing/2014/main" id="{20B9392E-5058-4EE4-83A3-6DA798EFCEC8}"/>
                            </a:ext>
                          </a:extLst>
                        </wpg:cNvPr>
                        <wpg:cNvGrpSpPr/>
                        <wpg:grpSpPr>
                          <a:xfrm>
                            <a:off x="152142" y="-54909"/>
                            <a:ext cx="12192000" cy="3294517"/>
                            <a:chOff x="152142" y="-53110"/>
                            <a:chExt cx="12192000" cy="3186567"/>
                          </a:xfrm>
                        </wpg:grpSpPr>
                        <wpg:graphicFrame>
                          <wpg:cNvPr id="1984049462" name="Chart 1984049462">
                            <a:extLst>
                              <a:ext uri="{FF2B5EF4-FFF2-40B4-BE49-F238E27FC236}">
                                <a16:creationId xmlns:a16="http://schemas.microsoft.com/office/drawing/2014/main" id="{51948686-7680-46B8-86CA-0A4483050B68}"/>
                              </a:ext>
                            </a:extLst>
                          </wpg:cNvPr>
                          <wpg:cNvFrPr>
                            <a:graphicFrameLocks/>
                          </wpg:cNvFrPr>
                          <wpg:xfrm>
                            <a:off x="152142" y="-53110"/>
                            <a:ext cx="12192000" cy="3186567"/>
                          </wpg:xfrm>
                          <a:graphic>
                            <a:graphicData uri="http://schemas.openxmlformats.org/drawingml/2006/chart">
                              <c:chart xmlns:c="http://schemas.openxmlformats.org/drawingml/2006/chart" xmlns:r="http://schemas.openxmlformats.org/officeDocument/2006/relationships" r:id="rId24"/>
                            </a:graphicData>
                          </a:graphic>
                        </wpg:graphicFrame>
                        <wpg:grpSp>
                          <wpg:cNvPr id="408161355" name="Group 408161355">
                            <a:extLst>
                              <a:ext uri="{FF2B5EF4-FFF2-40B4-BE49-F238E27FC236}">
                                <a16:creationId xmlns:a16="http://schemas.microsoft.com/office/drawing/2014/main" id="{236BDC30-3C28-4594-A126-1C667CAF722A}"/>
                              </a:ext>
                            </a:extLst>
                          </wpg:cNvPr>
                          <wpg:cNvGrpSpPr/>
                          <wpg:grpSpPr>
                            <a:xfrm>
                              <a:off x="761432" y="0"/>
                              <a:ext cx="11543269" cy="1883844"/>
                              <a:chOff x="761432" y="0"/>
                              <a:chExt cx="11543269" cy="1883844"/>
                            </a:xfrm>
                          </wpg:grpSpPr>
                          <wps:wsp>
                            <wps:cNvPr id="1393576556" name="TextBox 4">
                              <a:extLst>
                                <a:ext uri="{FF2B5EF4-FFF2-40B4-BE49-F238E27FC236}">
                                  <a16:creationId xmlns:a16="http://schemas.microsoft.com/office/drawing/2014/main" id="{273E9B15-A855-4AB8-98DC-7CDEA3A13A7F}"/>
                                </a:ext>
                              </a:extLst>
                            </wps:cNvPr>
                            <wps:cNvSpPr txBox="1"/>
                            <wps:spPr>
                              <a:xfrm>
                                <a:off x="761432" y="174503"/>
                                <a:ext cx="1276350" cy="447637"/>
                              </a:xfrm>
                              <a:prstGeom prst="rect">
                                <a:avLst/>
                              </a:prstGeom>
                              <a:solidFill>
                                <a:srgbClr val="E7E6E6">
                                  <a:lumMod val="90000"/>
                                </a:srgbClr>
                              </a:solidFill>
                              <a:ln w="12700" cap="flat" cmpd="sng" algn="ctr">
                                <a:solidFill>
                                  <a:sysClr val="windowText" lastClr="000000"/>
                                </a:solidFill>
                                <a:prstDash val="solid"/>
                                <a:miter lim="800000"/>
                              </a:ln>
                              <a:effectLst/>
                            </wps:spPr>
                            <wps:txbx>
                              <w:txbxContent>
                                <w:p w14:paraId="6490598F" w14:textId="77777777" w:rsidR="00B64DFD" w:rsidRPr="00B64DFD" w:rsidRDefault="00B64DFD" w:rsidP="00B64DFD">
                                  <w:pPr>
                                    <w:pStyle w:val="CMR-footnote"/>
                                    <w:spacing w:before="0" w:after="0"/>
                                    <w:jc w:val="center"/>
                                    <w:rPr>
                                      <w14:ligatures w14:val="none"/>
                                    </w:rPr>
                                  </w:pPr>
                                  <w:r>
                                    <w:t>2005</w:t>
                                  </w:r>
                                </w:p>
                                <w:p w14:paraId="10C8BCF0" w14:textId="77777777" w:rsidR="00B64DFD" w:rsidRPr="00B64DFD" w:rsidRDefault="00B64DFD" w:rsidP="00B64DFD">
                                  <w:pPr>
                                    <w:pStyle w:val="CMR-footnote"/>
                                    <w:spacing w:before="0" w:after="0"/>
                                    <w:jc w:val="center"/>
                                    <w:rPr>
                                      <w:b/>
                                      <w:bCs/>
                                    </w:rPr>
                                  </w:pPr>
                                  <w:r>
                                    <w:rPr>
                                      <w:b/>
                                    </w:rPr>
                                    <w:t>2 300 milhões</w:t>
                                  </w:r>
                                </w:p>
                              </w:txbxContent>
                            </wps:txbx>
                            <wps:bodyPr wrap="square" rtlCol="0">
                              <a:noAutofit/>
                            </wps:bodyPr>
                          </wps:wsp>
                          <wps:wsp>
                            <wps:cNvPr id="1015961637" name="TextBox 5">
                              <a:extLst>
                                <a:ext uri="{FF2B5EF4-FFF2-40B4-BE49-F238E27FC236}">
                                  <a16:creationId xmlns:a16="http://schemas.microsoft.com/office/drawing/2014/main" id="{813B61D9-FA18-4FE5-BC13-E72A4C5896B3}"/>
                                </a:ext>
                              </a:extLst>
                            </wps:cNvPr>
                            <wps:cNvSpPr txBox="1"/>
                            <wps:spPr>
                              <a:xfrm>
                                <a:off x="2256009" y="245658"/>
                                <a:ext cx="1778882" cy="376493"/>
                              </a:xfrm>
                              <a:prstGeom prst="rect">
                                <a:avLst/>
                              </a:prstGeom>
                              <a:solidFill>
                                <a:srgbClr val="ED7D31">
                                  <a:lumMod val="20000"/>
                                  <a:lumOff val="80000"/>
                                </a:srgbClr>
                              </a:solidFill>
                              <a:ln w="12700" cap="flat" cmpd="sng" algn="ctr">
                                <a:solidFill>
                                  <a:srgbClr val="ED7D31"/>
                                </a:solidFill>
                                <a:prstDash val="solid"/>
                                <a:miter lim="800000"/>
                              </a:ln>
                              <a:effectLst/>
                            </wps:spPr>
                            <wps:txbx>
                              <w:txbxContent>
                                <w:p w14:paraId="0004EB94" w14:textId="77777777" w:rsidR="00B64DFD" w:rsidRDefault="00B64DFD" w:rsidP="00B64DFD">
                                  <w:pPr>
                                    <w:pStyle w:val="CMR-footnote"/>
                                    <w:spacing w:before="0" w:after="0"/>
                                    <w:jc w:val="center"/>
                                    <w:rPr>
                                      <w14:ligatures w14:val="none"/>
                                    </w:rPr>
                                  </w:pPr>
                                  <w:r>
                                    <w:t>Média 2008-12</w:t>
                                  </w:r>
                                </w:p>
                                <w:p w14:paraId="57CE3C92" w14:textId="3B13DCE6" w:rsidR="00B64DFD" w:rsidRDefault="00B64DFD" w:rsidP="00B64DFD">
                                  <w:pPr>
                                    <w:pStyle w:val="CMR-footnote"/>
                                    <w:spacing w:before="0" w:after="0"/>
                                    <w:jc w:val="center"/>
                                    <w:rPr>
                                      <w:b/>
                                      <w:bCs/>
                                    </w:rPr>
                                  </w:pPr>
                                  <w:r>
                                    <w:rPr>
                                      <w:b/>
                                    </w:rPr>
                                    <w:t>2200 milhões</w:t>
                                  </w:r>
                                </w:p>
                              </w:txbxContent>
                            </wps:txbx>
                            <wps:bodyPr wrap="square" rtlCol="0">
                              <a:noAutofit/>
                            </wps:bodyPr>
                          </wps:wsp>
                          <wps:wsp>
                            <wps:cNvPr id="255803615" name="TextBox 6">
                              <a:extLst>
                                <a:ext uri="{FF2B5EF4-FFF2-40B4-BE49-F238E27FC236}">
                                  <a16:creationId xmlns:a16="http://schemas.microsoft.com/office/drawing/2014/main" id="{0222080B-5534-4901-A95F-C4F628C5E81F}"/>
                                </a:ext>
                              </a:extLst>
                            </wps:cNvPr>
                            <wps:cNvSpPr txBox="1"/>
                            <wps:spPr>
                              <a:xfrm>
                                <a:off x="3873365" y="538682"/>
                                <a:ext cx="1057835" cy="407858"/>
                              </a:xfrm>
                              <a:prstGeom prst="rect">
                                <a:avLst/>
                              </a:prstGeom>
                              <a:solidFill>
                                <a:srgbClr val="70AD47">
                                  <a:lumMod val="20000"/>
                                  <a:lumOff val="80000"/>
                                </a:srgbClr>
                              </a:solidFill>
                              <a:ln w="12700" cap="flat" cmpd="sng" algn="ctr">
                                <a:solidFill>
                                  <a:srgbClr val="70AD47"/>
                                </a:solidFill>
                                <a:prstDash val="solid"/>
                                <a:miter lim="800000"/>
                              </a:ln>
                              <a:effectLst/>
                            </wps:spPr>
                            <wps:txbx>
                              <w:txbxContent>
                                <w:p w14:paraId="1DF68289" w14:textId="77777777" w:rsidR="00B64DFD" w:rsidRDefault="00B64DFD" w:rsidP="00B64DFD">
                                  <w:pPr>
                                    <w:pStyle w:val="CMR-footnote"/>
                                    <w:spacing w:before="0" w:after="0"/>
                                    <w:jc w:val="center"/>
                                    <w:rPr>
                                      <w14:ligatures w14:val="none"/>
                                    </w:rPr>
                                  </w:pPr>
                                  <w:r>
                                    <w:t>2013</w:t>
                                  </w:r>
                                </w:p>
                                <w:p w14:paraId="14FA8CC7" w14:textId="77777777" w:rsidR="00B64DFD" w:rsidRDefault="00B64DFD" w:rsidP="00B64DFD">
                                  <w:pPr>
                                    <w:pStyle w:val="CMR-footnote"/>
                                    <w:spacing w:before="0" w:after="0"/>
                                    <w:jc w:val="center"/>
                                    <w:rPr>
                                      <w:b/>
                                      <w:bCs/>
                                    </w:rPr>
                                  </w:pPr>
                                  <w:r>
                                    <w:rPr>
                                      <w:b/>
                                    </w:rPr>
                                    <w:t>2100 milhões</w:t>
                                  </w:r>
                                </w:p>
                              </w:txbxContent>
                            </wps:txbx>
                            <wps:bodyPr wrap="square" rtlCol="0">
                              <a:noAutofit/>
                            </wps:bodyPr>
                          </wps:wsp>
                          <wps:wsp>
                            <wps:cNvPr id="1032649367" name="TextBox 7">
                              <a:extLst>
                                <a:ext uri="{FF2B5EF4-FFF2-40B4-BE49-F238E27FC236}">
                                  <a16:creationId xmlns:a16="http://schemas.microsoft.com/office/drawing/2014/main" id="{42B73A03-AF41-4B64-B531-4ED06F3AA28F}"/>
                                </a:ext>
                              </a:extLst>
                            </wps:cNvPr>
                            <wps:cNvSpPr txBox="1"/>
                            <wps:spPr>
                              <a:xfrm>
                                <a:off x="6574876" y="591413"/>
                                <a:ext cx="1896214" cy="521918"/>
                              </a:xfrm>
                              <a:prstGeom prst="rect">
                                <a:avLst/>
                              </a:prstGeom>
                              <a:solidFill>
                                <a:srgbClr val="70AD47">
                                  <a:lumMod val="20000"/>
                                  <a:lumOff val="80000"/>
                                </a:srgbClr>
                              </a:solidFill>
                              <a:ln w="12700" cap="flat" cmpd="sng" algn="ctr">
                                <a:solidFill>
                                  <a:srgbClr val="70AD47"/>
                                </a:solidFill>
                                <a:prstDash val="solid"/>
                                <a:miter lim="800000"/>
                              </a:ln>
                              <a:effectLst/>
                            </wps:spPr>
                            <wps:txbx>
                              <w:txbxContent>
                                <w:p w14:paraId="6AF75AF3" w14:textId="77777777" w:rsidR="00B64DFD" w:rsidRDefault="00B64DFD" w:rsidP="006E3B52">
                                  <w:pPr>
                                    <w:pStyle w:val="CMR-footnote"/>
                                    <w:spacing w:before="0" w:after="0"/>
                                    <w:jc w:val="center"/>
                                    <w:rPr>
                                      <w14:ligatures w14:val="none"/>
                                    </w:rPr>
                                  </w:pPr>
                                  <w:r>
                                    <w:t>2020</w:t>
                                  </w:r>
                                </w:p>
                                <w:p w14:paraId="2E690002" w14:textId="77777777" w:rsidR="00B64DFD" w:rsidRDefault="00B64DFD" w:rsidP="006E3B52">
                                  <w:pPr>
                                    <w:pStyle w:val="CMR-footnote"/>
                                    <w:spacing w:before="0" w:after="0"/>
                                    <w:jc w:val="center"/>
                                    <w:rPr>
                                      <w:b/>
                                    </w:rPr>
                                  </w:pPr>
                                  <w:r>
                                    <w:rPr>
                                      <w:b/>
                                    </w:rPr>
                                    <w:t>1800 milhões</w:t>
                                  </w:r>
                                </w:p>
                                <w:p w14:paraId="0D321D94" w14:textId="77777777" w:rsidR="00B64DFD" w:rsidRDefault="00B64DFD" w:rsidP="006E3B52">
                                  <w:pPr>
                                    <w:pStyle w:val="CMR-footnote"/>
                                    <w:spacing w:before="0" w:after="0"/>
                                    <w:jc w:val="center"/>
                                  </w:pPr>
                                  <w:r>
                                    <w:t>(-21 % em relação a 2005)</w:t>
                                  </w:r>
                                </w:p>
                              </w:txbxContent>
                            </wps:txbx>
                            <wps:bodyPr wrap="square" rtlCol="0">
                              <a:noAutofit/>
                            </wps:bodyPr>
                          </wps:wsp>
                          <wps:wsp>
                            <wps:cNvPr id="101244633" name="TextBox 8">
                              <a:extLst>
                                <a:ext uri="{FF2B5EF4-FFF2-40B4-BE49-F238E27FC236}">
                                  <a16:creationId xmlns:a16="http://schemas.microsoft.com/office/drawing/2014/main" id="{4DCCB19F-3492-4795-A666-C89FA0CC7C1A}"/>
                                </a:ext>
                              </a:extLst>
                            </wps:cNvPr>
                            <wps:cNvSpPr txBox="1"/>
                            <wps:spPr>
                              <a:xfrm>
                                <a:off x="11294274" y="1221517"/>
                                <a:ext cx="1010427" cy="662327"/>
                              </a:xfrm>
                              <a:prstGeom prst="rect">
                                <a:avLst/>
                              </a:prstGeom>
                              <a:solidFill>
                                <a:srgbClr val="4472C4">
                                  <a:lumMod val="20000"/>
                                  <a:lumOff val="80000"/>
                                </a:srgbClr>
                              </a:solidFill>
                              <a:ln w="12700" cap="flat" cmpd="sng" algn="ctr">
                                <a:solidFill>
                                  <a:srgbClr val="4472C4"/>
                                </a:solidFill>
                                <a:prstDash val="solid"/>
                                <a:miter lim="800000"/>
                              </a:ln>
                              <a:effectLst/>
                            </wps:spPr>
                            <wps:txbx>
                              <w:txbxContent>
                                <w:p w14:paraId="56A569DE" w14:textId="77777777" w:rsidR="00B64DFD" w:rsidRDefault="00B64DFD" w:rsidP="006E3B52">
                                  <w:pPr>
                                    <w:pStyle w:val="CMR-footnote"/>
                                    <w:spacing w:before="0" w:after="0"/>
                                    <w:jc w:val="center"/>
                                    <w:rPr>
                                      <w14:ligatures w14:val="none"/>
                                    </w:rPr>
                                  </w:pPr>
                                  <w:r>
                                    <w:t>2030:</w:t>
                                  </w:r>
                                </w:p>
                                <w:p w14:paraId="22DB3ED8" w14:textId="77777777" w:rsidR="00B64DFD" w:rsidRDefault="00B64DFD" w:rsidP="006E3B52">
                                  <w:pPr>
                                    <w:pStyle w:val="CMR-footnote"/>
                                    <w:spacing w:before="0" w:after="0"/>
                                    <w:jc w:val="center"/>
                                  </w:pPr>
                                  <w:r>
                                    <w:rPr>
                                      <w:b/>
                                    </w:rPr>
                                    <w:t>-62 % em relação a 2005</w:t>
                                  </w:r>
                                </w:p>
                              </w:txbxContent>
                            </wps:txbx>
                            <wps:bodyPr wrap="square" rtlCol="0">
                              <a:noAutofit/>
                            </wps:bodyPr>
                          </wps:wsp>
                          <wps:wsp>
                            <wps:cNvPr id="551733132" name="TextBox 10">
                              <a:extLst>
                                <a:ext uri="{FF2B5EF4-FFF2-40B4-BE49-F238E27FC236}">
                                  <a16:creationId xmlns:a16="http://schemas.microsoft.com/office/drawing/2014/main" id="{9096F6B3-09E2-410B-80EB-45460B81028F}"/>
                                </a:ext>
                              </a:extLst>
                            </wps:cNvPr>
                            <wps:cNvSpPr txBox="1"/>
                            <wps:spPr>
                              <a:xfrm>
                                <a:off x="4454734" y="0"/>
                                <a:ext cx="3108736" cy="432463"/>
                              </a:xfrm>
                              <a:prstGeom prst="rect">
                                <a:avLst/>
                              </a:prstGeom>
                              <a:solidFill>
                                <a:srgbClr val="FFC000">
                                  <a:lumMod val="20000"/>
                                  <a:lumOff val="80000"/>
                                </a:srgbClr>
                              </a:solidFill>
                              <a:ln w="12700" cap="flat" cmpd="sng" algn="ctr">
                                <a:solidFill>
                                  <a:srgbClr val="FFC000"/>
                                </a:solidFill>
                                <a:prstDash val="solid"/>
                                <a:miter lim="800000"/>
                              </a:ln>
                              <a:effectLst/>
                            </wps:spPr>
                            <wps:txbx>
                              <w:txbxContent>
                                <w:p w14:paraId="5006AC19" w14:textId="77777777" w:rsidR="00B64DFD" w:rsidRDefault="00B64DFD" w:rsidP="00B64DFD">
                                  <w:pPr>
                                    <w:pStyle w:val="CMR-footnote"/>
                                    <w:spacing w:before="0" w:after="0"/>
                                    <w:jc w:val="center"/>
                                    <w:rPr>
                                      <w14:ligatures w14:val="none"/>
                                    </w:rPr>
                                  </w:pPr>
                                  <w:r>
                                    <w:t>Redução do limite máximo (2013-20)</w:t>
                                  </w:r>
                                </w:p>
                                <w:p w14:paraId="2B052DCD" w14:textId="77777777" w:rsidR="00B64DFD" w:rsidRDefault="00B64DFD" w:rsidP="00B64DFD">
                                  <w:pPr>
                                    <w:pStyle w:val="CMR-footnote"/>
                                    <w:spacing w:before="0" w:after="0"/>
                                    <w:jc w:val="center"/>
                                    <w:rPr>
                                      <w:b/>
                                      <w:bCs/>
                                    </w:rPr>
                                  </w:pPr>
                                  <w:r>
                                    <w:rPr>
                                      <w:b/>
                                    </w:rPr>
                                    <w:t>-1,74 % por ano</w:t>
                                  </w:r>
                                </w:p>
                              </w:txbxContent>
                            </wps:txbx>
                            <wps:bodyPr wrap="square" rtlCol="0">
                              <a:noAutofit/>
                            </wps:bodyPr>
                          </wps:wsp>
                          <wps:wsp>
                            <wps:cNvPr id="1893723611" name="TextBox 11">
                              <a:extLst>
                                <a:ext uri="{FF2B5EF4-FFF2-40B4-BE49-F238E27FC236}">
                                  <a16:creationId xmlns:a16="http://schemas.microsoft.com/office/drawing/2014/main" id="{75ED37CD-6B9F-4104-B518-207DF852F48E}"/>
                                </a:ext>
                              </a:extLst>
                            </wps:cNvPr>
                            <wps:cNvSpPr txBox="1"/>
                            <wps:spPr>
                              <a:xfrm>
                                <a:off x="7593552" y="1"/>
                                <a:ext cx="1568939" cy="546268"/>
                              </a:xfrm>
                              <a:prstGeom prst="rect">
                                <a:avLst/>
                              </a:prstGeom>
                              <a:solidFill>
                                <a:srgbClr val="FFC000">
                                  <a:lumMod val="20000"/>
                                  <a:lumOff val="80000"/>
                                </a:srgbClr>
                              </a:solidFill>
                              <a:ln w="12700" cap="flat" cmpd="sng" algn="ctr">
                                <a:solidFill>
                                  <a:srgbClr val="FFC000"/>
                                </a:solidFill>
                                <a:prstDash val="solid"/>
                                <a:miter lim="800000"/>
                              </a:ln>
                              <a:effectLst/>
                            </wps:spPr>
                            <wps:txbx>
                              <w:txbxContent>
                                <w:p w14:paraId="00BAC879" w14:textId="77777777" w:rsidR="00B64DFD" w:rsidRDefault="00B64DFD" w:rsidP="00B64DFD">
                                  <w:pPr>
                                    <w:pStyle w:val="CMR-footnote"/>
                                    <w:spacing w:before="0" w:after="0"/>
                                    <w:jc w:val="center"/>
                                    <w:rPr>
                                      <w14:ligatures w14:val="none"/>
                                    </w:rPr>
                                  </w:pPr>
                                  <w:r>
                                    <w:t>Redução do limite máximo (2021-23)</w:t>
                                  </w:r>
                                </w:p>
                                <w:p w14:paraId="18A989E0" w14:textId="77777777" w:rsidR="00B64DFD" w:rsidRDefault="00B64DFD" w:rsidP="00B64DFD">
                                  <w:pPr>
                                    <w:pStyle w:val="CMR-footnote"/>
                                    <w:spacing w:before="0" w:after="0"/>
                                    <w:jc w:val="center"/>
                                    <w:rPr>
                                      <w:b/>
                                      <w:bCs/>
                                    </w:rPr>
                                  </w:pPr>
                                  <w:r>
                                    <w:rPr>
                                      <w:b/>
                                    </w:rPr>
                                    <w:t>-2,2 % por ano</w:t>
                                  </w:r>
                                </w:p>
                              </w:txbxContent>
                            </wps:txbx>
                            <wps:bodyPr wrap="square" rtlCol="0">
                              <a:noAutofit/>
                            </wps:bodyPr>
                          </wps:wsp>
                        </wpg:grpSp>
                      </wpg:grpSp>
                      <wps:wsp>
                        <wps:cNvPr id="753458949" name="TextBox 11">
                          <a:extLst>
                            <a:ext uri="{FF2B5EF4-FFF2-40B4-BE49-F238E27FC236}">
                              <a16:creationId xmlns:a16="http://schemas.microsoft.com/office/drawing/2014/main" id="{CA5A65A1-06C0-4A22-877E-57C5B186A480}"/>
                            </a:ext>
                          </a:extLst>
                        </wps:cNvPr>
                        <wps:cNvSpPr txBox="1"/>
                        <wps:spPr>
                          <a:xfrm>
                            <a:off x="9207267" y="0"/>
                            <a:ext cx="1478767" cy="556885"/>
                          </a:xfrm>
                          <a:prstGeom prst="rect">
                            <a:avLst/>
                          </a:prstGeom>
                          <a:solidFill>
                            <a:srgbClr val="FFC000">
                              <a:lumMod val="20000"/>
                              <a:lumOff val="80000"/>
                            </a:srgbClr>
                          </a:solidFill>
                          <a:ln w="12700" cap="flat" cmpd="sng" algn="ctr">
                            <a:solidFill>
                              <a:srgbClr val="FFC000"/>
                            </a:solidFill>
                            <a:prstDash val="solid"/>
                            <a:miter lim="800000"/>
                          </a:ln>
                          <a:effectLst/>
                        </wps:spPr>
                        <wps:txbx>
                          <w:txbxContent>
                            <w:p w14:paraId="3B1B0788" w14:textId="77777777" w:rsidR="00B64DFD" w:rsidRDefault="00B64DFD" w:rsidP="006E3B52">
                              <w:pPr>
                                <w:pStyle w:val="CMR-footnote"/>
                                <w:spacing w:before="0" w:after="0"/>
                                <w:jc w:val="center"/>
                                <w:rPr>
                                  <w14:ligatures w14:val="none"/>
                                </w:rPr>
                              </w:pPr>
                              <w:r>
                                <w:t>Redução do limite máximo (2024-27)</w:t>
                              </w:r>
                            </w:p>
                            <w:p w14:paraId="16FCB161" w14:textId="77777777" w:rsidR="00B64DFD" w:rsidRPr="006E3B52" w:rsidRDefault="00B64DFD" w:rsidP="006E3B52">
                              <w:pPr>
                                <w:pStyle w:val="CMR-footnote"/>
                                <w:spacing w:before="0" w:after="0"/>
                                <w:jc w:val="center"/>
                                <w:rPr>
                                  <w:b/>
                                </w:rPr>
                              </w:pPr>
                              <w:r>
                                <w:rPr>
                                  <w:b/>
                                </w:rPr>
                                <w:t>-4,3 % por ano</w:t>
                              </w:r>
                            </w:p>
                          </w:txbxContent>
                        </wps:txbx>
                        <wps:bodyPr wrap="square" rtlCol="0">
                          <a:noAutofit/>
                        </wps:bodyPr>
                      </wps:wsp>
                      <wps:wsp>
                        <wps:cNvPr id="355328055" name="TextBox 12">
                          <a:extLst>
                            <a:ext uri="{FF2B5EF4-FFF2-40B4-BE49-F238E27FC236}">
                              <a16:creationId xmlns:a16="http://schemas.microsoft.com/office/drawing/2014/main" id="{DA84C499-BF2D-4C69-88A8-95F42467B63B}"/>
                            </a:ext>
                          </a:extLst>
                        </wps:cNvPr>
                        <wps:cNvSpPr txBox="1"/>
                        <wps:spPr>
                          <a:xfrm>
                            <a:off x="10724904" y="0"/>
                            <a:ext cx="1447800" cy="556885"/>
                          </a:xfrm>
                          <a:prstGeom prst="rect">
                            <a:avLst/>
                          </a:prstGeom>
                          <a:solidFill>
                            <a:srgbClr val="FFC000">
                              <a:lumMod val="20000"/>
                              <a:lumOff val="80000"/>
                            </a:srgbClr>
                          </a:solidFill>
                          <a:ln w="12700" cap="flat" cmpd="sng" algn="ctr">
                            <a:solidFill>
                              <a:srgbClr val="FFC000"/>
                            </a:solidFill>
                            <a:prstDash val="solid"/>
                            <a:miter lim="800000"/>
                          </a:ln>
                          <a:effectLst/>
                        </wps:spPr>
                        <wps:txbx>
                          <w:txbxContent>
                            <w:p w14:paraId="772DA49C" w14:textId="77777777" w:rsidR="00B64DFD" w:rsidRDefault="00B64DFD" w:rsidP="006E3B52">
                              <w:pPr>
                                <w:pStyle w:val="CMR-footnote"/>
                                <w:spacing w:before="0" w:after="0"/>
                                <w:jc w:val="center"/>
                                <w:rPr>
                                  <w14:ligatures w14:val="none"/>
                                </w:rPr>
                              </w:pPr>
                              <w:r>
                                <w:t>Redução do limite máximo (2028-)</w:t>
                              </w:r>
                            </w:p>
                            <w:p w14:paraId="2D10F4BA" w14:textId="77777777" w:rsidR="00B64DFD" w:rsidRDefault="00B64DFD" w:rsidP="006E3B52">
                              <w:pPr>
                                <w:pStyle w:val="CMR-footnote"/>
                                <w:spacing w:before="0" w:after="0"/>
                                <w:jc w:val="center"/>
                                <w:rPr>
                                  <w:b/>
                                </w:rPr>
                              </w:pPr>
                              <w:r>
                                <w:rPr>
                                  <w:b/>
                                </w:rPr>
                                <w:t>-4,4 % por ano</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73843CD6" id="Group 13" o:spid="_x0000_s1026" style="position:absolute;left:0;text-align:left;margin-left:-49.55pt;margin-top:12.15pt;width:790.15pt;height:241.9pt;z-index:251658240;mso-position-horizontal-relative:margin;mso-width-relative:margin;mso-height-relative:margin" coordorigin="1521,-549" coordsize="121920,32945"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">
                <v:group id="Group 1337808088" o:spid="_x0000_s1027" style="position:absolute;left:1521;top:-549;width:121920;height:32945" coordorigin="1521,-531" coordsize="121920,31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">
                  <v:shape id="Chart 1984049462" o:spid="_x0000_s1028" type="#_x0000_t75" style="position:absolute;left:1447;top:-594;width:122060;height:319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">
                    <v:imagedata r:id="rId25" o:title=""/>
                    <o:lock v:ext="edit" aspectratio="f"/>
                  </v:shape>
                  <v:group id="Group 408161355" o:spid="_x0000_s1029" style="position:absolute;left:7614;width:115433;height:18838" coordorigin="7614" coordsize="115432,18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">
                    <v:shapetype id="_x0000_t202" coordsize="21600,21600" o:spt="202" path="m,l,21600r21600,l21600,xe">
                      <v:stroke joinstyle="miter"/>
                      <v:path gradientshapeok="t" o:connecttype="rect"/>
                    </v:shapetype>
                    <v:shape id="TextBox 4" o:spid="_x0000_s1030" type="#_x0000_t202" style="position:absolute;left:7614;top:1745;width:12763;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" fillcolor="#d0cece" strokecolor="windowText" strokeweight="1pt">
                      <v:textbox>
                        <w:txbxContent>
                          <w:p w14:paraId="6490598F" w14:textId="77777777" w:rsidR="00B64DFD" w:rsidRPr="00B64DFD" w:rsidRDefault="00B64DFD" w:rsidP="00B64DFD">
                            <w:pPr>
                              <w:pStyle w:val="CMR-footnote"/>
                              <w:spacing w:before="0" w:after="0"/>
                              <w:jc w:val="center"/>
                              <w:rPr>
                                <w14:ligatures w14:val="none"/>
                              </w:rPr>
                            </w:pPr>
                            <w:r>
                              <w:t>2005</w:t>
                            </w:r>
                          </w:p>
                          <w:p w14:paraId="10C8BCF0" w14:textId="77777777" w:rsidR="00B64DFD" w:rsidRPr="00B64DFD" w:rsidRDefault="00B64DFD" w:rsidP="00B64DFD">
                            <w:pPr>
                              <w:pStyle w:val="CMR-footnote"/>
                              <w:spacing w:before="0" w:after="0"/>
                              <w:jc w:val="center"/>
                              <w:rPr>
                                <w:b/>
                                <w:bCs/>
                              </w:rPr>
                            </w:pPr>
                            <w:r>
                              <w:rPr>
                                <w:b/>
                              </w:rPr>
                              <w:t>2 300 milhões</w:t>
                            </w:r>
                          </w:p>
                        </w:txbxContent>
                      </v:textbox>
                    </v:shape>
                    <v:shape id="TextBox 5" o:spid="_x0000_s1031" type="#_x0000_t202" style="position:absolute;left:22560;top:2456;width:17788;height:3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" fillcolor="#fbe5d6" strokecolor="#ed7d31" strokeweight="1pt">
                      <v:textbox>
                        <w:txbxContent>
                          <w:p w14:paraId="0004EB94" w14:textId="77777777" w:rsidR="00B64DFD" w:rsidRDefault="00B64DFD" w:rsidP="00B64DFD">
                            <w:pPr>
                              <w:pStyle w:val="CMR-footnote"/>
                              <w:spacing w:before="0" w:after="0"/>
                              <w:jc w:val="center"/>
                              <w:rPr>
                                <w14:ligatures w14:val="none"/>
                              </w:rPr>
                            </w:pPr>
                            <w:r>
                              <w:t>Média 2008-12</w:t>
                            </w:r>
                          </w:p>
                          <w:p w14:paraId="57CE3C92" w14:textId="3B13DCE6" w:rsidR="00B64DFD" w:rsidRDefault="00B64DFD" w:rsidP="00B64DFD">
                            <w:pPr>
                              <w:pStyle w:val="CMR-footnote"/>
                              <w:spacing w:before="0" w:after="0"/>
                              <w:jc w:val="center"/>
                              <w:rPr>
                                <w:b/>
                                <w:bCs/>
                              </w:rPr>
                            </w:pPr>
                            <w:r>
                              <w:rPr>
                                <w:b/>
                              </w:rPr>
                              <w:t>2200 milhões</w:t>
                            </w:r>
                          </w:p>
                        </w:txbxContent>
                      </v:textbox>
                    </v:shape>
                    <v:shape id="TextBox 6" o:spid="_x0000_s1032" type="#_x0000_t202" style="position:absolute;left:38733;top:5386;width:10579;height:4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" fillcolor="#e2f0d9" strokecolor="#70ad47" strokeweight="1pt">
                      <v:textbox>
                        <w:txbxContent>
                          <w:p w14:paraId="1DF68289" w14:textId="77777777" w:rsidR="00B64DFD" w:rsidRDefault="00B64DFD" w:rsidP="00B64DFD">
                            <w:pPr>
                              <w:pStyle w:val="CMR-footnote"/>
                              <w:spacing w:before="0" w:after="0"/>
                              <w:jc w:val="center"/>
                              <w:rPr>
                                <w14:ligatures w14:val="none"/>
                              </w:rPr>
                            </w:pPr>
                            <w:r>
                              <w:t>2013</w:t>
                            </w:r>
                          </w:p>
                          <w:p w14:paraId="14FA8CC7" w14:textId="77777777" w:rsidR="00B64DFD" w:rsidRDefault="00B64DFD" w:rsidP="00B64DFD">
                            <w:pPr>
                              <w:pStyle w:val="CMR-footnote"/>
                              <w:spacing w:before="0" w:after="0"/>
                              <w:jc w:val="center"/>
                              <w:rPr>
                                <w:b/>
                                <w:bCs/>
                              </w:rPr>
                            </w:pPr>
                            <w:r>
                              <w:rPr>
                                <w:b/>
                              </w:rPr>
                              <w:t>2100 milhões</w:t>
                            </w:r>
                          </w:p>
                        </w:txbxContent>
                      </v:textbox>
                    </v:shape>
                    <v:shape id="TextBox 7" o:spid="_x0000_s1033" type="#_x0000_t202" style="position:absolute;left:65748;top:5914;width:18962;height:5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" fillcolor="#e2f0d9" strokecolor="#70ad47" strokeweight="1pt">
                      <v:textbox>
                        <w:txbxContent>
                          <w:p w14:paraId="6AF75AF3" w14:textId="77777777" w:rsidR="00B64DFD" w:rsidRDefault="00B64DFD" w:rsidP="006E3B52">
                            <w:pPr>
                              <w:pStyle w:val="CMR-footnote"/>
                              <w:spacing w:before="0" w:after="0"/>
                              <w:jc w:val="center"/>
                              <w:rPr>
                                <w14:ligatures w14:val="none"/>
                              </w:rPr>
                            </w:pPr>
                            <w:r>
                              <w:t>2020</w:t>
                            </w:r>
                          </w:p>
                          <w:p w14:paraId="2E690002" w14:textId="77777777" w:rsidR="00B64DFD" w:rsidRDefault="00B64DFD" w:rsidP="006E3B52">
                            <w:pPr>
                              <w:pStyle w:val="CMR-footnote"/>
                              <w:spacing w:before="0" w:after="0"/>
                              <w:jc w:val="center"/>
                              <w:rPr>
                                <w:b/>
                              </w:rPr>
                            </w:pPr>
                            <w:r>
                              <w:rPr>
                                <w:b/>
                              </w:rPr>
                              <w:t>1800 milhões</w:t>
                            </w:r>
                          </w:p>
                          <w:p w14:paraId="0D321D94" w14:textId="77777777" w:rsidR="00B64DFD" w:rsidRDefault="00B64DFD" w:rsidP="006E3B52">
                            <w:pPr>
                              <w:pStyle w:val="CMR-footnote"/>
                              <w:spacing w:before="0" w:after="0"/>
                              <w:jc w:val="center"/>
                            </w:pPr>
                            <w:r>
                              <w:t>(-21 % em relação a 2005)</w:t>
                            </w:r>
                          </w:p>
                        </w:txbxContent>
                      </v:textbox>
                    </v:shape>
                    <v:shape id="TextBox 8" o:spid="_x0000_s1034" type="#_x0000_t202" style="position:absolute;left:112942;top:12215;width:10105;height:6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" fillcolor="#dae3f3" strokecolor="#4472c4" strokeweight="1pt">
                      <v:textbox>
                        <w:txbxContent>
                          <w:p w14:paraId="56A569DE" w14:textId="77777777" w:rsidR="00B64DFD" w:rsidRDefault="00B64DFD" w:rsidP="006E3B52">
                            <w:pPr>
                              <w:pStyle w:val="CMR-footnote"/>
                              <w:spacing w:before="0" w:after="0"/>
                              <w:jc w:val="center"/>
                              <w:rPr>
                                <w14:ligatures w14:val="none"/>
                              </w:rPr>
                            </w:pPr>
                            <w:r>
                              <w:t>2030:</w:t>
                            </w:r>
                          </w:p>
                          <w:p w14:paraId="22DB3ED8" w14:textId="77777777" w:rsidR="00B64DFD" w:rsidRDefault="00B64DFD" w:rsidP="006E3B52">
                            <w:pPr>
                              <w:pStyle w:val="CMR-footnote"/>
                              <w:spacing w:before="0" w:after="0"/>
                              <w:jc w:val="center"/>
                            </w:pPr>
                            <w:r>
                              <w:rPr>
                                <w:b/>
                              </w:rPr>
                              <w:t>-62 % em relação a 2005</w:t>
                            </w:r>
                          </w:p>
                        </w:txbxContent>
                      </v:textbox>
                    </v:shape>
                    <v:shape id="TextBox 10" o:spid="_x0000_s1035" type="#_x0000_t202" style="position:absolute;left:44547;width:31087;height:4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" fillcolor="#fff2cc" strokecolor="#ffc000" strokeweight="1pt">
                      <v:textbox>
                        <w:txbxContent>
                          <w:p w14:paraId="5006AC19" w14:textId="77777777" w:rsidR="00B64DFD" w:rsidRDefault="00B64DFD" w:rsidP="00B64DFD">
                            <w:pPr>
                              <w:pStyle w:val="CMR-footnote"/>
                              <w:spacing w:before="0" w:after="0"/>
                              <w:jc w:val="center"/>
                              <w:rPr>
                                <w14:ligatures w14:val="none"/>
                              </w:rPr>
                            </w:pPr>
                            <w:r>
                              <w:t>Redução do limite máximo (2013-20)</w:t>
                            </w:r>
                          </w:p>
                          <w:p w14:paraId="2B052DCD" w14:textId="77777777" w:rsidR="00B64DFD" w:rsidRDefault="00B64DFD" w:rsidP="00B64DFD">
                            <w:pPr>
                              <w:pStyle w:val="CMR-footnote"/>
                              <w:spacing w:before="0" w:after="0"/>
                              <w:jc w:val="center"/>
                              <w:rPr>
                                <w:b/>
                                <w:bCs/>
                              </w:rPr>
                            </w:pPr>
                            <w:r>
                              <w:rPr>
                                <w:b/>
                              </w:rPr>
                              <w:t>-1,74 % por ano</w:t>
                            </w:r>
                          </w:p>
                        </w:txbxContent>
                      </v:textbox>
                    </v:shape>
                    <v:shape id="TextBox 11" o:spid="_x0000_s1036" type="#_x0000_t202" style="position:absolute;left:75935;width:15689;height:5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" fillcolor="#fff2cc" strokecolor="#ffc000" strokeweight="1pt">
                      <v:textbox>
                        <w:txbxContent>
                          <w:p w14:paraId="00BAC879" w14:textId="77777777" w:rsidR="00B64DFD" w:rsidRDefault="00B64DFD" w:rsidP="00B64DFD">
                            <w:pPr>
                              <w:pStyle w:val="CMR-footnote"/>
                              <w:spacing w:before="0" w:after="0"/>
                              <w:jc w:val="center"/>
                              <w:rPr>
                                <w14:ligatures w14:val="none"/>
                              </w:rPr>
                            </w:pPr>
                            <w:r>
                              <w:t>Redução do limite máximo (2021-23)</w:t>
                            </w:r>
                          </w:p>
                          <w:p w14:paraId="18A989E0" w14:textId="77777777" w:rsidR="00B64DFD" w:rsidRDefault="00B64DFD" w:rsidP="00B64DFD">
                            <w:pPr>
                              <w:pStyle w:val="CMR-footnote"/>
                              <w:spacing w:before="0" w:after="0"/>
                              <w:jc w:val="center"/>
                              <w:rPr>
                                <w:b/>
                                <w:bCs/>
                              </w:rPr>
                            </w:pPr>
                            <w:r>
                              <w:rPr>
                                <w:b/>
                              </w:rPr>
                              <w:t>-2,2 % por ano</w:t>
                            </w:r>
                          </w:p>
                        </w:txbxContent>
                      </v:textbox>
                    </v:shape>
                  </v:group>
                </v:group>
                <v:shape id="TextBox 11" o:spid="_x0000_s1037" type="#_x0000_t202" style="position:absolute;left:92072;width:14788;height:5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" fillcolor="#fff2cc" strokecolor="#ffc000" strokeweight="1pt">
                  <v:textbox>
                    <w:txbxContent>
                      <w:p w14:paraId="3B1B0788" w14:textId="77777777" w:rsidR="00B64DFD" w:rsidRDefault="00B64DFD" w:rsidP="006E3B52">
                        <w:pPr>
                          <w:pStyle w:val="CMR-footnote"/>
                          <w:spacing w:before="0" w:after="0"/>
                          <w:jc w:val="center"/>
                          <w:rPr>
                            <w14:ligatures w14:val="none"/>
                          </w:rPr>
                        </w:pPr>
                        <w:r>
                          <w:t>Redução do limite máximo (2024-27)</w:t>
                        </w:r>
                      </w:p>
                      <w:p w14:paraId="16FCB161" w14:textId="77777777" w:rsidR="00B64DFD" w:rsidRPr="006E3B52" w:rsidRDefault="00B64DFD" w:rsidP="006E3B52">
                        <w:pPr>
                          <w:pStyle w:val="CMR-footnote"/>
                          <w:spacing w:before="0" w:after="0"/>
                          <w:jc w:val="center"/>
                          <w:rPr>
                            <w:b/>
                          </w:rPr>
                        </w:pPr>
                        <w:r>
                          <w:rPr>
                            <w:b/>
                          </w:rPr>
                          <w:t>-4,3 % por ano</w:t>
                        </w:r>
                      </w:p>
                    </w:txbxContent>
                  </v:textbox>
                </v:shape>
                <v:shape id="TextBox 12" o:spid="_x0000_s1038" type="#_x0000_t202" style="position:absolute;left:107249;width:14478;height:5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" fillcolor="#fff2cc" strokecolor="#ffc000" strokeweight="1pt">
                  <v:textbox>
                    <w:txbxContent>
                      <w:p w14:paraId="772DA49C" w14:textId="77777777" w:rsidR="00B64DFD" w:rsidRDefault="00B64DFD" w:rsidP="006E3B52">
                        <w:pPr>
                          <w:pStyle w:val="CMR-footnote"/>
                          <w:spacing w:before="0" w:after="0"/>
                          <w:jc w:val="center"/>
                          <w:rPr>
                            <w14:ligatures w14:val="none"/>
                          </w:rPr>
                        </w:pPr>
                        <w:r>
                          <w:t>Redução do limite máximo (2028-)</w:t>
                        </w:r>
                      </w:p>
                      <w:p w14:paraId="2D10F4BA" w14:textId="77777777" w:rsidR="00B64DFD" w:rsidRDefault="00B64DFD" w:rsidP="006E3B52">
                        <w:pPr>
                          <w:pStyle w:val="CMR-footnote"/>
                          <w:spacing w:before="0" w:after="0"/>
                          <w:jc w:val="center"/>
                          <w:rPr>
                            <w:b/>
                          </w:rPr>
                        </w:pPr>
                        <w:r>
                          <w:rPr>
                            <w:b/>
                          </w:rPr>
                          <w:t>-4,4 % por ano</w:t>
                        </w:r>
                      </w:p>
                    </w:txbxContent>
                  </v:textbox>
                </v:shape>
                <w10:wrap anchorx="margin"/>
              </v:group>
            </w:pict>
          </mc:Fallback>
        </mc:AlternateContent>
      </w:r>
    </w:p>
    <w:p w14:paraId="39CB3FF3" w14:textId="77777777" w:rsidR="00B64DFD" w:rsidRPr="0039102C" w:rsidRDefault="00B64DFD" w:rsidP="00CB7227">
      <w:pPr>
        <w:pStyle w:val="Caption"/>
        <w:rPr>
          <w:noProof/>
          <w:sz w:val="20"/>
        </w:rPr>
      </w:pPr>
      <w:bookmarkStart w:id="20" w:name="_Ref176771377"/>
    </w:p>
    <w:p w14:paraId="3CDB67EA" w14:textId="77777777" w:rsidR="00B64DFD" w:rsidRPr="0039102C" w:rsidRDefault="00B64DFD" w:rsidP="00CB7227">
      <w:pPr>
        <w:pStyle w:val="Caption"/>
        <w:rPr>
          <w:noProof/>
          <w:sz w:val="20"/>
        </w:rPr>
      </w:pPr>
    </w:p>
    <w:p w14:paraId="32AC0E02" w14:textId="77777777" w:rsidR="00B64DFD" w:rsidRPr="0039102C" w:rsidRDefault="00B64DFD" w:rsidP="00CB7227">
      <w:pPr>
        <w:pStyle w:val="Caption"/>
        <w:rPr>
          <w:noProof/>
          <w:sz w:val="20"/>
        </w:rPr>
      </w:pPr>
    </w:p>
    <w:p w14:paraId="2222ED8F" w14:textId="77777777" w:rsidR="00B64DFD" w:rsidRPr="0039102C" w:rsidRDefault="00B64DFD" w:rsidP="00CB7227">
      <w:pPr>
        <w:pStyle w:val="Caption"/>
        <w:rPr>
          <w:noProof/>
          <w:sz w:val="20"/>
        </w:rPr>
      </w:pPr>
    </w:p>
    <w:p w14:paraId="7449512D" w14:textId="77777777" w:rsidR="00B64DFD" w:rsidRPr="0039102C" w:rsidRDefault="00B64DFD" w:rsidP="00CB7227">
      <w:pPr>
        <w:pStyle w:val="Caption"/>
        <w:rPr>
          <w:noProof/>
          <w:sz w:val="20"/>
        </w:rPr>
      </w:pPr>
    </w:p>
    <w:p w14:paraId="3B13A6AA" w14:textId="77777777" w:rsidR="00B64DFD" w:rsidRPr="0039102C" w:rsidRDefault="00B64DFD" w:rsidP="00CB7227">
      <w:pPr>
        <w:pStyle w:val="Caption"/>
        <w:rPr>
          <w:noProof/>
          <w:sz w:val="20"/>
        </w:rPr>
      </w:pPr>
    </w:p>
    <w:p w14:paraId="62AB86CD" w14:textId="77777777" w:rsidR="00B64DFD" w:rsidRPr="0039102C" w:rsidRDefault="00B64DFD" w:rsidP="00CB7227">
      <w:pPr>
        <w:pStyle w:val="Caption"/>
        <w:rPr>
          <w:noProof/>
          <w:sz w:val="20"/>
        </w:rPr>
      </w:pPr>
    </w:p>
    <w:p w14:paraId="2A83F9F0" w14:textId="77777777" w:rsidR="00B64DFD" w:rsidRPr="0039102C" w:rsidRDefault="00B64DFD" w:rsidP="00CB7227">
      <w:pPr>
        <w:pStyle w:val="Caption"/>
        <w:rPr>
          <w:noProof/>
          <w:sz w:val="20"/>
        </w:rPr>
      </w:pPr>
    </w:p>
    <w:p w14:paraId="4E411A62" w14:textId="77777777" w:rsidR="00B64DFD" w:rsidRPr="0039102C" w:rsidRDefault="00B64DFD" w:rsidP="00CB7227">
      <w:pPr>
        <w:pStyle w:val="Caption"/>
        <w:rPr>
          <w:noProof/>
          <w:sz w:val="20"/>
        </w:rPr>
      </w:pPr>
    </w:p>
    <w:p w14:paraId="73B53959" w14:textId="77777777" w:rsidR="00B64DFD" w:rsidRPr="0039102C" w:rsidRDefault="00B64DFD" w:rsidP="00CB7227">
      <w:pPr>
        <w:pStyle w:val="Caption"/>
        <w:rPr>
          <w:noProof/>
          <w:sz w:val="20"/>
        </w:rPr>
      </w:pPr>
    </w:p>
    <w:p w14:paraId="021CE465" w14:textId="77777777" w:rsidR="00171B07" w:rsidRPr="0039102C" w:rsidRDefault="00171B07" w:rsidP="00CB7227">
      <w:pPr>
        <w:pStyle w:val="Caption"/>
        <w:rPr>
          <w:noProof/>
          <w:sz w:val="20"/>
        </w:rPr>
      </w:pPr>
    </w:p>
    <w:p w14:paraId="30A35207" w14:textId="77777777" w:rsidR="00171B07" w:rsidRPr="0039102C" w:rsidRDefault="00171B07" w:rsidP="00CB7227">
      <w:pPr>
        <w:pStyle w:val="Caption"/>
        <w:rPr>
          <w:noProof/>
          <w:sz w:val="20"/>
        </w:rPr>
      </w:pPr>
    </w:p>
    <w:p w14:paraId="2899411C" w14:textId="77777777" w:rsidR="00171B07" w:rsidRPr="0039102C" w:rsidRDefault="00171B07" w:rsidP="00CB7227">
      <w:pPr>
        <w:pStyle w:val="Caption"/>
        <w:rPr>
          <w:noProof/>
          <w:sz w:val="20"/>
        </w:rPr>
      </w:pPr>
    </w:p>
    <w:p w14:paraId="3C2ACB36" w14:textId="3CEAE821" w:rsidR="0051775A" w:rsidRPr="0039102C" w:rsidRDefault="00CB7227" w:rsidP="00CB7227">
      <w:pPr>
        <w:pStyle w:val="Caption"/>
        <w:rPr>
          <w:noProof/>
          <w:sz w:val="20"/>
        </w:rPr>
      </w:pPr>
      <w:r w:rsidRPr="0039102C">
        <w:rPr>
          <w:noProof/>
        </w:rPr>
        <w:t xml:space="preserve">Figura </w:t>
      </w:r>
      <w:bookmarkEnd w:id="20"/>
      <w:r w:rsidRPr="0039102C">
        <w:rPr>
          <w:noProof/>
        </w:rPr>
        <w:t>1.</w:t>
      </w:r>
      <w:r w:rsidRPr="0039102C">
        <w:rPr>
          <w:noProof/>
          <w:sz w:val="20"/>
        </w:rPr>
        <w:t xml:space="preserve"> Limite máximo de emissões no CELE, em comparação com as emissões verificadas. O valor tem em conta a revisão de 2023 da Diretiva CELE, ou seja, uma nova base de referência do limite máximo em 2024 e 2026, a inclusão do setor do transporte marítimo no CELE a partir de 2024 e o fator de redução linear de 4,3 % em 2024-2027 e de 4,4 % a partir de 2028. </w:t>
      </w:r>
      <w:r w:rsidRPr="0039102C">
        <w:rPr>
          <w:b/>
          <w:noProof/>
          <w:sz w:val="20"/>
        </w:rPr>
        <w:t xml:space="preserve">O setor da aviação não está incluído. </w:t>
      </w:r>
      <w:r w:rsidRPr="0039102C">
        <w:rPr>
          <w:noProof/>
          <w:sz w:val="20"/>
        </w:rPr>
        <w:t xml:space="preserve">Devido às alterações do âmbito de aplicação, os valores do período 2005-2007 não são diretamente comparáveis com os mais recentes. A partir de 2021, o CELE deixou de abranger as instalações do Reino Unido; à exceção dos produtores de eletricidade na Irlanda do Norte. </w:t>
      </w:r>
      <w:r w:rsidRPr="0039102C">
        <w:rPr>
          <w:b/>
          <w:noProof/>
          <w:sz w:val="20"/>
        </w:rPr>
        <w:t>A partir de 2024, as emissões verificadas na figura incluem igualmente o setor marítimo, pelo que as emissões de 2024 e 2023 não são comparáveis.</w:t>
      </w:r>
      <w:r w:rsidRPr="0039102C">
        <w:rPr>
          <w:noProof/>
          <w:sz w:val="20"/>
        </w:rPr>
        <w:t xml:space="preserve"> Legenda: barras (limite máximo), barras a sombreado claro do período 2014-2016 (licenças de emissão diferidas dos leilões), barras a sombreado claro a partir de 2019 (entradas de licenças de emissão na reserva de estabilização do mercado), barras a sombreado escuro a partir de 2024 (alargamento do âmbito ao setor do transporte marítimo), linha a tracejado (emissões verificadas).</w:t>
      </w:r>
    </w:p>
    <w:p w14:paraId="5EDE9B47" w14:textId="2248C8CD" w:rsidR="004F002D" w:rsidRPr="0039102C" w:rsidRDefault="004F002D" w:rsidP="00711B75">
      <w:pPr>
        <w:pStyle w:val="CMR-text"/>
        <w:rPr>
          <w:rFonts w:cs="Times New Roman"/>
          <w:i/>
          <w:noProof/>
        </w:rPr>
      </w:pPr>
    </w:p>
    <w:p w14:paraId="6C6BC394" w14:textId="77777777" w:rsidR="00586F89" w:rsidRPr="0039102C" w:rsidRDefault="00586F89">
      <w:pPr>
        <w:rPr>
          <w:rFonts w:ascii="Times New Roman" w:hAnsi="Times New Roman" w:cs="Times New Roman"/>
          <w:noProof/>
        </w:rPr>
        <w:sectPr w:rsidR="00586F89" w:rsidRPr="0039102C" w:rsidSect="00D86E5B">
          <w:headerReference w:type="even" r:id="rId26"/>
          <w:headerReference w:type="default" r:id="rId27"/>
          <w:footerReference w:type="even" r:id="rId28"/>
          <w:footerReference w:type="default" r:id="rId29"/>
          <w:headerReference w:type="first" r:id="rId30"/>
          <w:footerReference w:type="first" r:id="rId31"/>
          <w:pgSz w:w="16838" w:h="11906" w:orient="landscape"/>
          <w:pgMar w:top="1440" w:right="1440" w:bottom="1440" w:left="1440" w:header="709" w:footer="709" w:gutter="0"/>
          <w:cols w:space="708"/>
          <w:docGrid w:linePitch="360"/>
        </w:sectPr>
      </w:pPr>
    </w:p>
    <w:p w14:paraId="47B20D80" w14:textId="4F8BEE79" w:rsidR="00613B80" w:rsidRPr="0039102C" w:rsidRDefault="00613B80" w:rsidP="00EC4FC3">
      <w:pPr>
        <w:pStyle w:val="CMR-Heading"/>
        <w:rPr>
          <w:noProof/>
        </w:rPr>
      </w:pPr>
      <w:bookmarkStart w:id="21" w:name="_Toc180513395"/>
      <w:bookmarkStart w:id="22" w:name="_Toc218529280"/>
      <w:r w:rsidRPr="0039102C">
        <w:rPr>
          <w:noProof/>
        </w:rPr>
        <w:t>Leilões de licenças de emissão</w:t>
      </w:r>
      <w:bookmarkEnd w:id="21"/>
      <w:bookmarkEnd w:id="22"/>
    </w:p>
    <w:p w14:paraId="0D1EEB08" w14:textId="1AD817E0" w:rsidR="00E109D2" w:rsidRPr="0039102C" w:rsidRDefault="3293C6BF" w:rsidP="00E109D2">
      <w:pPr>
        <w:pStyle w:val="CMR-text"/>
        <w:rPr>
          <w:rFonts w:cs="Times New Roman"/>
          <w:noProof/>
        </w:rPr>
      </w:pPr>
      <w:r w:rsidRPr="0039102C">
        <w:rPr>
          <w:noProof/>
        </w:rPr>
        <w:t>A venda em leilão é o principal método de distribuição de licenças de emissão no CELE, representando até 57 % do limite máximo</w:t>
      </w:r>
      <w:r w:rsidR="00E109D2" w:rsidRPr="0039102C">
        <w:rPr>
          <w:rStyle w:val="FootnoteReference"/>
          <w:rFonts w:cs="Times New Roman"/>
          <w:noProof/>
        </w:rPr>
        <w:footnoteReference w:id="15"/>
      </w:r>
      <w:r w:rsidRPr="0039102C">
        <w:rPr>
          <w:noProof/>
        </w:rPr>
        <w:t>. O Regulamento Leilões [Regulamento (UE) 2023/2830]</w:t>
      </w:r>
      <w:r w:rsidR="00E109D2" w:rsidRPr="0039102C">
        <w:rPr>
          <w:rStyle w:val="FootnoteReference"/>
          <w:rFonts w:cs="Times New Roman"/>
          <w:noProof/>
        </w:rPr>
        <w:footnoteReference w:id="16"/>
      </w:r>
      <w:r w:rsidRPr="0039102C">
        <w:rPr>
          <w:noProof/>
        </w:rPr>
        <w:t xml:space="preserve"> estabelece regras para assegurar que os leilões se realizam de forma aberta, transparente, harmonizada e não discriminatória. Especifica o calendário, a administração e outros aspetos dos leilões de licenças de emissão.</w:t>
      </w:r>
    </w:p>
    <w:p w14:paraId="762B442E" w14:textId="6F18B6B4" w:rsidR="00E109D2" w:rsidRPr="0039102C" w:rsidRDefault="00E109D2" w:rsidP="00E109D2">
      <w:pPr>
        <w:pStyle w:val="CMR-text"/>
        <w:rPr>
          <w:rFonts w:cs="Times New Roman"/>
          <w:noProof/>
        </w:rPr>
      </w:pPr>
      <w:r w:rsidRPr="0039102C">
        <w:rPr>
          <w:noProof/>
        </w:rPr>
        <w:t>Em 2024, continuaram a realizar-se leilões através da European Energy Exchange AG (EEX):</w:t>
      </w:r>
    </w:p>
    <w:p w14:paraId="74E39457" w14:textId="2225F86D" w:rsidR="00E109D2" w:rsidRPr="0039102C" w:rsidRDefault="00E109D2" w:rsidP="00E109D2">
      <w:pPr>
        <w:pStyle w:val="CMR-text"/>
        <w:numPr>
          <w:ilvl w:val="0"/>
          <w:numId w:val="21"/>
        </w:numPr>
        <w:rPr>
          <w:rFonts w:cs="Times New Roman"/>
          <w:noProof/>
        </w:rPr>
      </w:pPr>
      <w:r w:rsidRPr="0039102C">
        <w:rPr>
          <w:noProof/>
        </w:rPr>
        <w:t>enquanto plataforma comum de leilões para os 25 Estados-Membros que participam num procedimento de adjudicação conjunto,</w:t>
      </w:r>
    </w:p>
    <w:p w14:paraId="59BEC2B8" w14:textId="77777777" w:rsidR="00E109D2" w:rsidRPr="0039102C" w:rsidRDefault="00E109D2" w:rsidP="00E109D2">
      <w:pPr>
        <w:pStyle w:val="CMR-text"/>
        <w:numPr>
          <w:ilvl w:val="0"/>
          <w:numId w:val="21"/>
        </w:numPr>
        <w:rPr>
          <w:rFonts w:cs="Times New Roman"/>
          <w:noProof/>
        </w:rPr>
      </w:pPr>
      <w:r w:rsidRPr="0039102C">
        <w:rPr>
          <w:noProof/>
        </w:rPr>
        <w:t>para a Polónia, que optou por não participar no procedimento de adjudicação conjunto, mas ainda não designou a sua própria plataforma de leilões,</w:t>
      </w:r>
    </w:p>
    <w:p w14:paraId="0640E317" w14:textId="25B829C4" w:rsidR="00E109D2" w:rsidRPr="0039102C" w:rsidRDefault="00E109D2" w:rsidP="00E109D2">
      <w:pPr>
        <w:pStyle w:val="CMR-text"/>
        <w:numPr>
          <w:ilvl w:val="0"/>
          <w:numId w:val="21"/>
        </w:numPr>
        <w:rPr>
          <w:rFonts w:cs="Times New Roman"/>
          <w:noProof/>
        </w:rPr>
      </w:pPr>
      <w:r w:rsidRPr="0039102C">
        <w:rPr>
          <w:noProof/>
        </w:rPr>
        <w:t>para a Islândia, o Listenstaine e a Noruega, depois de o Acordo EEE ter sido alterado em 2019 para permitir a sua participação no acordo de adjudicação conjunta para a plataforma comum de leilões,</w:t>
      </w:r>
    </w:p>
    <w:p w14:paraId="02549F75" w14:textId="25271893" w:rsidR="00E109D2" w:rsidRPr="0039102C" w:rsidRDefault="00E109D2" w:rsidP="00E109D2">
      <w:pPr>
        <w:pStyle w:val="CMR-text"/>
        <w:numPr>
          <w:ilvl w:val="0"/>
          <w:numId w:val="21"/>
        </w:numPr>
        <w:rPr>
          <w:rFonts w:cs="Times New Roman"/>
          <w:noProof/>
        </w:rPr>
      </w:pPr>
      <w:r w:rsidRPr="0039102C">
        <w:rPr>
          <w:noProof/>
        </w:rPr>
        <w:t>para o Reino Unido leiloar licenças de emissão relativas às centrais de produção de eletricidade da Irlanda do Norte,</w:t>
      </w:r>
    </w:p>
    <w:p w14:paraId="03760487" w14:textId="67E6871B" w:rsidR="00E109D2" w:rsidRPr="0039102C" w:rsidRDefault="0080588F" w:rsidP="003F687D">
      <w:pPr>
        <w:pStyle w:val="CMR-text"/>
        <w:numPr>
          <w:ilvl w:val="0"/>
          <w:numId w:val="21"/>
        </w:numPr>
        <w:rPr>
          <w:rFonts w:cs="Times New Roman"/>
          <w:noProof/>
        </w:rPr>
      </w:pPr>
      <w:r w:rsidRPr="0039102C">
        <w:rPr>
          <w:noProof/>
        </w:rPr>
        <w:t>a European Energy Exchange também leiloou licenças de emissão para a Alemanha enquanto a sua plataforma de leilões independente.</w:t>
      </w:r>
    </w:p>
    <w:p w14:paraId="61986B49" w14:textId="0DC92710" w:rsidR="00E109D2" w:rsidRPr="0039102C" w:rsidRDefault="006B068B" w:rsidP="00E109D2">
      <w:pPr>
        <w:pStyle w:val="CMR-text"/>
        <w:rPr>
          <w:rFonts w:cs="Times New Roman"/>
          <w:noProof/>
        </w:rPr>
      </w:pPr>
      <w:r w:rsidRPr="0039102C">
        <w:rPr>
          <w:noProof/>
        </w:rPr>
        <w:t>O quadro 2 mostra uma panorâmica dos volumes anuais de licenças de emissão leiloadas pela European Energy Exchange desde 2021.</w:t>
      </w:r>
    </w:p>
    <w:p w14:paraId="2F58C1DA" w14:textId="53092ACB" w:rsidR="00E109D2" w:rsidRPr="0039102C" w:rsidRDefault="00E109D2" w:rsidP="00E109D2">
      <w:pPr>
        <w:pStyle w:val="Caption"/>
        <w:keepNext/>
        <w:spacing w:line="257" w:lineRule="auto"/>
        <w:rPr>
          <w:noProof/>
          <w:sz w:val="20"/>
        </w:rPr>
      </w:pPr>
      <w:r w:rsidRPr="0039102C">
        <w:rPr>
          <w:noProof/>
          <w:sz w:val="20"/>
        </w:rPr>
        <w:t>Quadro 2. Volumes totais de licenças de emissão leiloadas (2021-2024).</w:t>
      </w:r>
    </w:p>
    <w:tbl>
      <w:tblPr>
        <w:tblStyle w:val="TableGridLight"/>
        <w:tblW w:w="9067"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3256"/>
        <w:gridCol w:w="2480"/>
        <w:gridCol w:w="3331"/>
      </w:tblGrid>
      <w:tr w:rsidR="00E109D2" w:rsidRPr="0039102C" w14:paraId="12BCF78D" w14:textId="77777777" w:rsidTr="00380C53">
        <w:trPr>
          <w:cantSplit/>
          <w:trHeight w:val="470"/>
        </w:trPr>
        <w:tc>
          <w:tcPr>
            <w:tcW w:w="3256" w:type="dxa"/>
            <w:vAlign w:val="center"/>
            <w:hideMark/>
          </w:tcPr>
          <w:p w14:paraId="7B1199CA" w14:textId="77777777" w:rsidR="00E109D2" w:rsidRPr="0039102C" w:rsidRDefault="00E109D2" w:rsidP="00AB164F">
            <w:pPr>
              <w:pStyle w:val="CMR-tables"/>
              <w:keepNext/>
              <w:jc w:val="center"/>
              <w:rPr>
                <w:rFonts w:cs="Times New Roman"/>
                <w:b/>
                <w:noProof/>
                <w:szCs w:val="20"/>
              </w:rPr>
            </w:pPr>
            <w:r w:rsidRPr="0039102C">
              <w:rPr>
                <w:noProof/>
              </w:rPr>
              <w:t>Ano</w:t>
            </w:r>
          </w:p>
        </w:tc>
        <w:tc>
          <w:tcPr>
            <w:tcW w:w="2480" w:type="dxa"/>
            <w:vAlign w:val="center"/>
            <w:hideMark/>
          </w:tcPr>
          <w:p w14:paraId="6D45D32A" w14:textId="77777777" w:rsidR="00E109D2" w:rsidRPr="0039102C" w:rsidRDefault="00E109D2" w:rsidP="00AB164F">
            <w:pPr>
              <w:pStyle w:val="CMR-tables"/>
              <w:keepNext/>
              <w:jc w:val="center"/>
              <w:rPr>
                <w:rFonts w:cs="Times New Roman"/>
                <w:b/>
                <w:noProof/>
                <w:szCs w:val="20"/>
              </w:rPr>
            </w:pPr>
            <w:r w:rsidRPr="0039102C">
              <w:rPr>
                <w:noProof/>
              </w:rPr>
              <w:t>Licenças de emissão gerais</w:t>
            </w:r>
          </w:p>
        </w:tc>
        <w:tc>
          <w:tcPr>
            <w:tcW w:w="3331" w:type="dxa"/>
            <w:vAlign w:val="center"/>
            <w:hideMark/>
          </w:tcPr>
          <w:p w14:paraId="2AC2EAF8" w14:textId="77777777" w:rsidR="00E109D2" w:rsidRPr="0039102C" w:rsidRDefault="00E109D2" w:rsidP="00AB164F">
            <w:pPr>
              <w:pStyle w:val="CMR-tables"/>
              <w:keepNext/>
              <w:jc w:val="center"/>
              <w:rPr>
                <w:rFonts w:cs="Times New Roman"/>
                <w:b/>
                <w:noProof/>
                <w:szCs w:val="20"/>
              </w:rPr>
            </w:pPr>
            <w:r w:rsidRPr="0039102C">
              <w:rPr>
                <w:noProof/>
              </w:rPr>
              <w:t>Licenças de emissão da aviação</w:t>
            </w:r>
          </w:p>
        </w:tc>
      </w:tr>
      <w:tr w:rsidR="00E109D2" w:rsidRPr="0039102C" w14:paraId="1ECAA8EB" w14:textId="77777777" w:rsidTr="00380C53">
        <w:trPr>
          <w:cantSplit/>
          <w:trHeight w:val="470"/>
        </w:trPr>
        <w:tc>
          <w:tcPr>
            <w:tcW w:w="3256" w:type="dxa"/>
            <w:shd w:val="clear" w:color="auto" w:fill="D9E2F3" w:themeFill="accent1" w:themeFillTint="33"/>
            <w:vAlign w:val="center"/>
            <w:hideMark/>
          </w:tcPr>
          <w:p w14:paraId="76718C53" w14:textId="77777777" w:rsidR="00E109D2" w:rsidRPr="0039102C" w:rsidRDefault="00E109D2" w:rsidP="00AB164F">
            <w:pPr>
              <w:pStyle w:val="CMR-tables"/>
              <w:keepNext/>
              <w:jc w:val="center"/>
              <w:rPr>
                <w:rFonts w:cs="Times New Roman"/>
                <w:b/>
                <w:noProof/>
                <w:szCs w:val="20"/>
              </w:rPr>
            </w:pPr>
            <w:r w:rsidRPr="0039102C">
              <w:rPr>
                <w:noProof/>
              </w:rPr>
              <w:t>2021</w:t>
            </w:r>
          </w:p>
        </w:tc>
        <w:tc>
          <w:tcPr>
            <w:tcW w:w="2480" w:type="dxa"/>
            <w:shd w:val="clear" w:color="auto" w:fill="D9E2F3" w:themeFill="accent1" w:themeFillTint="33"/>
            <w:vAlign w:val="center"/>
            <w:hideMark/>
          </w:tcPr>
          <w:p w14:paraId="7D213D84" w14:textId="77777777" w:rsidR="00E109D2" w:rsidRPr="0039102C" w:rsidRDefault="00E109D2" w:rsidP="00AB164F">
            <w:pPr>
              <w:pStyle w:val="CMR-tables"/>
              <w:keepNext/>
              <w:jc w:val="center"/>
              <w:rPr>
                <w:rFonts w:cs="Times New Roman"/>
                <w:b/>
                <w:noProof/>
                <w:szCs w:val="20"/>
              </w:rPr>
            </w:pPr>
            <w:r w:rsidRPr="0039102C">
              <w:rPr>
                <w:noProof/>
              </w:rPr>
              <w:t>582 952 500</w:t>
            </w:r>
          </w:p>
        </w:tc>
        <w:tc>
          <w:tcPr>
            <w:tcW w:w="3331" w:type="dxa"/>
            <w:shd w:val="clear" w:color="auto" w:fill="D9E2F3" w:themeFill="accent1" w:themeFillTint="33"/>
            <w:vAlign w:val="center"/>
            <w:hideMark/>
          </w:tcPr>
          <w:p w14:paraId="7F41EA69" w14:textId="77777777" w:rsidR="00E109D2" w:rsidRPr="0039102C" w:rsidRDefault="00E109D2" w:rsidP="00AB164F">
            <w:pPr>
              <w:pStyle w:val="CMR-tables"/>
              <w:keepNext/>
              <w:jc w:val="center"/>
              <w:rPr>
                <w:rFonts w:cs="Times New Roman"/>
                <w:b/>
                <w:noProof/>
                <w:szCs w:val="20"/>
              </w:rPr>
            </w:pPr>
            <w:r w:rsidRPr="0039102C">
              <w:rPr>
                <w:noProof/>
              </w:rPr>
              <w:t>3 785 500</w:t>
            </w:r>
          </w:p>
        </w:tc>
      </w:tr>
      <w:tr w:rsidR="00E109D2" w:rsidRPr="0039102C" w14:paraId="41AB3907" w14:textId="77777777" w:rsidTr="00380C53">
        <w:trPr>
          <w:cantSplit/>
          <w:trHeight w:val="470"/>
        </w:trPr>
        <w:tc>
          <w:tcPr>
            <w:tcW w:w="3256" w:type="dxa"/>
            <w:vAlign w:val="center"/>
            <w:hideMark/>
          </w:tcPr>
          <w:p w14:paraId="5FBF1310" w14:textId="77777777" w:rsidR="00E109D2" w:rsidRPr="0039102C" w:rsidRDefault="00E109D2" w:rsidP="00AB164F">
            <w:pPr>
              <w:pStyle w:val="CMR-tables"/>
              <w:keepNext/>
              <w:jc w:val="center"/>
              <w:rPr>
                <w:rFonts w:cs="Times New Roman"/>
                <w:b/>
                <w:noProof/>
                <w:szCs w:val="20"/>
              </w:rPr>
            </w:pPr>
            <w:r w:rsidRPr="0039102C">
              <w:rPr>
                <w:noProof/>
              </w:rPr>
              <w:t>2022</w:t>
            </w:r>
          </w:p>
        </w:tc>
        <w:tc>
          <w:tcPr>
            <w:tcW w:w="2480" w:type="dxa"/>
            <w:vAlign w:val="center"/>
            <w:hideMark/>
          </w:tcPr>
          <w:p w14:paraId="404B48E5" w14:textId="77777777" w:rsidR="00E109D2" w:rsidRPr="0039102C" w:rsidRDefault="00E109D2" w:rsidP="00AB164F">
            <w:pPr>
              <w:pStyle w:val="CMR-tables"/>
              <w:keepNext/>
              <w:jc w:val="center"/>
              <w:rPr>
                <w:rFonts w:cs="Times New Roman"/>
                <w:b/>
                <w:noProof/>
                <w:szCs w:val="20"/>
              </w:rPr>
            </w:pPr>
            <w:r w:rsidRPr="0039102C">
              <w:rPr>
                <w:noProof/>
              </w:rPr>
              <w:t>482 389 000</w:t>
            </w:r>
          </w:p>
        </w:tc>
        <w:tc>
          <w:tcPr>
            <w:tcW w:w="3331" w:type="dxa"/>
            <w:vAlign w:val="center"/>
            <w:hideMark/>
          </w:tcPr>
          <w:p w14:paraId="23384B3D" w14:textId="77777777" w:rsidR="00E109D2" w:rsidRPr="0039102C" w:rsidRDefault="00E109D2" w:rsidP="00AB164F">
            <w:pPr>
              <w:pStyle w:val="CMR-tables"/>
              <w:keepNext/>
              <w:jc w:val="center"/>
              <w:rPr>
                <w:rFonts w:cs="Times New Roman"/>
                <w:b/>
                <w:noProof/>
                <w:szCs w:val="20"/>
              </w:rPr>
            </w:pPr>
            <w:r w:rsidRPr="0039102C">
              <w:rPr>
                <w:noProof/>
              </w:rPr>
              <w:t>3 698 000</w:t>
            </w:r>
          </w:p>
        </w:tc>
      </w:tr>
      <w:tr w:rsidR="00E109D2" w:rsidRPr="0039102C" w14:paraId="635F8537" w14:textId="77777777" w:rsidTr="00380C53">
        <w:trPr>
          <w:cantSplit/>
          <w:trHeight w:val="470"/>
        </w:trPr>
        <w:tc>
          <w:tcPr>
            <w:tcW w:w="3256" w:type="dxa"/>
            <w:shd w:val="clear" w:color="auto" w:fill="D9E2F3" w:themeFill="accent1" w:themeFillTint="33"/>
            <w:vAlign w:val="center"/>
          </w:tcPr>
          <w:p w14:paraId="60B7A186" w14:textId="77777777" w:rsidR="00E109D2" w:rsidRPr="0039102C" w:rsidRDefault="00E109D2" w:rsidP="00AB164F">
            <w:pPr>
              <w:pStyle w:val="CMR-tables"/>
              <w:keepNext/>
              <w:jc w:val="center"/>
              <w:rPr>
                <w:rFonts w:cs="Times New Roman"/>
                <w:noProof/>
                <w:szCs w:val="20"/>
              </w:rPr>
            </w:pPr>
            <w:r w:rsidRPr="0039102C">
              <w:rPr>
                <w:noProof/>
              </w:rPr>
              <w:t>2023</w:t>
            </w:r>
          </w:p>
        </w:tc>
        <w:tc>
          <w:tcPr>
            <w:tcW w:w="2480" w:type="dxa"/>
            <w:shd w:val="clear" w:color="auto" w:fill="D9E2F3" w:themeFill="accent1" w:themeFillTint="33"/>
            <w:vAlign w:val="center"/>
          </w:tcPr>
          <w:p w14:paraId="7FBC85AA" w14:textId="77777777" w:rsidR="00E109D2" w:rsidRPr="0039102C" w:rsidRDefault="00E109D2" w:rsidP="00AB164F">
            <w:pPr>
              <w:pStyle w:val="CMR-tables"/>
              <w:keepNext/>
              <w:jc w:val="center"/>
              <w:rPr>
                <w:rFonts w:cs="Times New Roman"/>
                <w:noProof/>
                <w:szCs w:val="20"/>
              </w:rPr>
            </w:pPr>
            <w:r w:rsidRPr="0039102C">
              <w:rPr>
                <w:noProof/>
              </w:rPr>
              <w:t>517 587 000</w:t>
            </w:r>
          </w:p>
        </w:tc>
        <w:tc>
          <w:tcPr>
            <w:tcW w:w="3331" w:type="dxa"/>
            <w:shd w:val="clear" w:color="auto" w:fill="D9E2F3" w:themeFill="accent1" w:themeFillTint="33"/>
            <w:vAlign w:val="center"/>
          </w:tcPr>
          <w:p w14:paraId="7E60D1DA" w14:textId="77777777" w:rsidR="00E109D2" w:rsidRPr="0039102C" w:rsidRDefault="00E109D2" w:rsidP="00AB164F">
            <w:pPr>
              <w:pStyle w:val="CMR-tables"/>
              <w:keepNext/>
              <w:jc w:val="center"/>
              <w:rPr>
                <w:rFonts w:cs="Times New Roman"/>
                <w:noProof/>
                <w:szCs w:val="20"/>
              </w:rPr>
            </w:pPr>
            <w:r w:rsidRPr="0039102C">
              <w:rPr>
                <w:noProof/>
              </w:rPr>
              <w:t>5 720 500</w:t>
            </w:r>
          </w:p>
        </w:tc>
      </w:tr>
      <w:tr w:rsidR="00E109D2" w:rsidRPr="0039102C" w14:paraId="69E5B5B5" w14:textId="77777777" w:rsidTr="00380C53">
        <w:trPr>
          <w:cantSplit/>
          <w:trHeight w:val="288"/>
        </w:trPr>
        <w:tc>
          <w:tcPr>
            <w:tcW w:w="3256" w:type="dxa"/>
            <w:vAlign w:val="center"/>
            <w:hideMark/>
          </w:tcPr>
          <w:p w14:paraId="628673E8" w14:textId="36E20651" w:rsidR="00E109D2" w:rsidRPr="0039102C" w:rsidRDefault="00E109D2" w:rsidP="00AB164F">
            <w:pPr>
              <w:pStyle w:val="CMR-tables"/>
              <w:keepNext/>
              <w:jc w:val="center"/>
              <w:rPr>
                <w:rFonts w:cs="Times New Roman"/>
                <w:b/>
                <w:noProof/>
                <w:szCs w:val="20"/>
              </w:rPr>
            </w:pPr>
            <w:r w:rsidRPr="0039102C">
              <w:rPr>
                <w:noProof/>
              </w:rPr>
              <w:t xml:space="preserve">2024 </w:t>
            </w:r>
          </w:p>
        </w:tc>
        <w:tc>
          <w:tcPr>
            <w:tcW w:w="2480" w:type="dxa"/>
            <w:vAlign w:val="center"/>
          </w:tcPr>
          <w:p w14:paraId="5B197ED2" w14:textId="77777777" w:rsidR="00E109D2" w:rsidRPr="0039102C" w:rsidRDefault="00E109D2" w:rsidP="00AB164F">
            <w:pPr>
              <w:pStyle w:val="CMR-tables"/>
              <w:keepNext/>
              <w:jc w:val="center"/>
              <w:rPr>
                <w:rFonts w:cs="Times New Roman"/>
                <w:b/>
                <w:noProof/>
                <w:szCs w:val="20"/>
              </w:rPr>
            </w:pPr>
            <w:r w:rsidRPr="0039102C">
              <w:rPr>
                <w:noProof/>
              </w:rPr>
              <w:t>592 801 500</w:t>
            </w:r>
          </w:p>
        </w:tc>
        <w:tc>
          <w:tcPr>
            <w:tcW w:w="3331" w:type="dxa"/>
            <w:vAlign w:val="center"/>
          </w:tcPr>
          <w:p w14:paraId="7C231B92" w14:textId="77777777" w:rsidR="00E109D2" w:rsidRPr="0039102C" w:rsidRDefault="00E109D2" w:rsidP="00AB164F">
            <w:pPr>
              <w:pStyle w:val="CMR-tables"/>
              <w:keepNext/>
              <w:jc w:val="center"/>
              <w:rPr>
                <w:rFonts w:cs="Times New Roman"/>
                <w:b/>
                <w:noProof/>
                <w:szCs w:val="20"/>
              </w:rPr>
            </w:pPr>
            <w:r w:rsidRPr="0039102C">
              <w:rPr>
                <w:noProof/>
              </w:rPr>
              <w:t>6 688 500</w:t>
            </w:r>
          </w:p>
        </w:tc>
      </w:tr>
    </w:tbl>
    <w:p w14:paraId="41BABA93" w14:textId="0E5DD887" w:rsidR="00E109D2" w:rsidRPr="0039102C" w:rsidRDefault="00E109D2" w:rsidP="00E109D2">
      <w:pPr>
        <w:pStyle w:val="CMR-text"/>
        <w:rPr>
          <w:rFonts w:cs="Times New Roman"/>
          <w:noProof/>
        </w:rPr>
      </w:pPr>
      <w:r w:rsidRPr="0039102C">
        <w:rPr>
          <w:noProof/>
        </w:rPr>
        <w:t xml:space="preserve">No total, realizaram-se </w:t>
      </w:r>
      <w:r w:rsidR="00C85CAB" w:rsidRPr="0039102C">
        <w:rPr>
          <w:noProof/>
        </w:rPr>
        <w:t xml:space="preserve">221 leilões </w:t>
      </w:r>
      <w:r w:rsidRPr="0039102C">
        <w:rPr>
          <w:noProof/>
        </w:rPr>
        <w:t>em 2024. Não foram cancelados leilões. A partir de janeiro de 2025, as licenças de emissão emitidas para o setor da aviação são licenças de emissão gerais, deixando de constituir uma categoria de licenças de emissão separada.</w:t>
      </w:r>
    </w:p>
    <w:p w14:paraId="33946994" w14:textId="5C5F2CDA" w:rsidR="00E109D2" w:rsidRPr="0039102C" w:rsidRDefault="5B706CD9" w:rsidP="00E109D2">
      <w:pPr>
        <w:pStyle w:val="CMR-text"/>
        <w:rPr>
          <w:rFonts w:cs="Times New Roman"/>
          <w:noProof/>
        </w:rPr>
      </w:pPr>
      <w:r w:rsidRPr="0039102C">
        <w:rPr>
          <w:noProof/>
        </w:rPr>
        <w:t>Desde julho de 2023, os volumes dos leilões passaram a incluir as licenças de emissão atribuídas ao Mecanismo de Recuperação e Resiliência (MRR) ao abrigo do Regulamento REPowerEU [Regulamento (UE) 2023/435]</w:t>
      </w:r>
      <w:r w:rsidR="00E109D2" w:rsidRPr="0039102C">
        <w:rPr>
          <w:rStyle w:val="FootnoteReference"/>
          <w:rFonts w:cs="Times New Roman"/>
          <w:noProof/>
        </w:rPr>
        <w:footnoteReference w:id="17"/>
      </w:r>
      <w:r w:rsidRPr="0039102C">
        <w:rPr>
          <w:noProof/>
        </w:rPr>
        <w:t>. As licenças de emissão leiloadas ao abrigo do Regulamento REPowerEU angariarão 20 mil milhões de EUR para o MRR até 31 de agosto de 2026. Os Estados</w:t>
      </w:r>
      <w:r w:rsidR="00217ECB">
        <w:rPr>
          <w:noProof/>
        </w:rPr>
        <w:noBreakHyphen/>
      </w:r>
      <w:r w:rsidRPr="0039102C">
        <w:rPr>
          <w:noProof/>
        </w:rPr>
        <w:t>Membros utilizarão estes recursos adicionais do MRR para implementar novas reformas e realizar investimentos para impulsionar a transformação no sentido das energias limpas e para reforçar a segurança energética. Até 30 de junho de 2025, foram mobilizados 11,5 mil milhões de EUR para o MRR – REPowerEU, com 164 710 000 licenças de emissão leiloadas.</w:t>
      </w:r>
    </w:p>
    <w:p w14:paraId="5FA313E0" w14:textId="1652F346" w:rsidR="00E109D2" w:rsidRPr="0039102C" w:rsidRDefault="001D3D34" w:rsidP="00E109D2">
      <w:pPr>
        <w:pStyle w:val="CMR-text"/>
        <w:rPr>
          <w:rFonts w:cs="Times New Roman"/>
          <w:noProof/>
        </w:rPr>
      </w:pPr>
      <w:r w:rsidRPr="0039102C">
        <w:rPr>
          <w:noProof/>
        </w:rPr>
        <w:t>A figura 2 mostra uma panorâmica dos preços finais dos leilões no mercado do carbono da UE em 2024 e no primeiro semestre de 2025. O preço de leilão mais elevado em 2024, no valor de 75,35 EUR, foi atingido em 3 de junho. A 23 de fevereiro registou-se o preço mais baixo, no valor de 49,50 EUR. O preço médio em 2024 foi de 64,74 EUR, contra 83,60 EUR em 2023. Os preços dos leilões foram relativamente limitados a um intervalo de variação em 2024, situando-se 182 dos 221 valores (82 %) entre 60 EUR e 75 EUR.</w:t>
      </w:r>
    </w:p>
    <w:p w14:paraId="0E3E72A9" w14:textId="77777777" w:rsidR="00E109D2" w:rsidRPr="0039102C" w:rsidRDefault="3293C6BF" w:rsidP="00E109D2">
      <w:pPr>
        <w:pStyle w:val="CMR-text"/>
        <w:rPr>
          <w:rFonts w:cs="Times New Roman"/>
          <w:noProof/>
        </w:rPr>
      </w:pPr>
      <w:r w:rsidRPr="0039102C">
        <w:rPr>
          <w:noProof/>
        </w:rPr>
        <w:t>A plataforma de leilões publica regularmente os resultados pormenorizados de cada leilão no seu sítio Web</w:t>
      </w:r>
      <w:r w:rsidR="00E109D2" w:rsidRPr="0039102C">
        <w:rPr>
          <w:rStyle w:val="FootnoteReference"/>
          <w:rFonts w:cs="Times New Roman"/>
          <w:noProof/>
        </w:rPr>
        <w:footnoteReference w:id="18"/>
      </w:r>
      <w:r w:rsidRPr="0039102C">
        <w:rPr>
          <w:noProof/>
        </w:rPr>
        <w:t>. Os relatórios de leilões dos países do CELE fornecem mais informações sobre a forma como decorreram os leilões, nomeadamente a participação, as taxas de cobertura e os preços</w:t>
      </w:r>
      <w:r w:rsidR="00E109D2" w:rsidRPr="0039102C">
        <w:rPr>
          <w:rStyle w:val="FootnoteReference"/>
          <w:rFonts w:cs="Times New Roman"/>
          <w:noProof/>
        </w:rPr>
        <w:footnoteReference w:id="19"/>
      </w:r>
      <w:r w:rsidRPr="0039102C">
        <w:rPr>
          <w:noProof/>
        </w:rPr>
        <w:t>.</w:t>
      </w:r>
    </w:p>
    <w:p w14:paraId="71FE1BB5" w14:textId="535DA27F" w:rsidR="003A69EA" w:rsidRDefault="009268F3" w:rsidP="009268F3">
      <w:pPr>
        <w:pStyle w:val="Caption"/>
        <w:keepNext/>
        <w:spacing w:line="257" w:lineRule="auto"/>
        <w:jc w:val="left"/>
        <w:rPr>
          <w:noProof/>
          <w:sz w:val="20"/>
        </w:rPr>
      </w:pPr>
      <w:r w:rsidRPr="0039102C">
        <w:rPr>
          <w:noProof/>
          <w:lang w:val="en-GB" w:eastAsia="en-GB"/>
        </w:rPr>
        <w:drawing>
          <wp:inline distT="0" distB="0" distL="0" distR="0" wp14:anchorId="51EA56D2" wp14:editId="23739C53">
            <wp:extent cx="5731510" cy="3375660"/>
            <wp:effectExtent l="0" t="0" r="2540" b="0"/>
            <wp:docPr id="1874873789" name="Chart 1">
              <a:extLst xmlns:a="http://schemas.openxmlformats.org/drawingml/2006/main">
                <a:ext uri="{FF2B5EF4-FFF2-40B4-BE49-F238E27FC236}">
                  <a16:creationId xmlns:a16="http://schemas.microsoft.com/office/drawing/2014/main" id="{751C2AB8-CCE3-4B4D-8872-B060FB285D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39102C">
        <w:rPr>
          <w:noProof/>
        </w:rPr>
        <w:t>Figura 2.</w:t>
      </w:r>
      <w:r w:rsidRPr="0039102C">
        <w:rPr>
          <w:noProof/>
          <w:sz w:val="20"/>
        </w:rPr>
        <w:t xml:space="preserve"> Preços finais dos leilões de licenças de emissão gerais (de 1 de janeiro de 2024 a 30 de junho de 2025) [EUR/tonelada de CO</w:t>
      </w:r>
      <w:r w:rsidRPr="0039102C">
        <w:rPr>
          <w:noProof/>
          <w:sz w:val="20"/>
          <w:vertAlign w:val="subscript"/>
        </w:rPr>
        <w:t>2</w:t>
      </w:r>
      <w:r w:rsidRPr="0039102C">
        <w:rPr>
          <w:noProof/>
          <w:sz w:val="20"/>
        </w:rPr>
        <w:t>]</w:t>
      </w:r>
    </w:p>
    <w:p w14:paraId="4F865715" w14:textId="77777777" w:rsidR="00C33BD9" w:rsidRPr="00C33BD9" w:rsidRDefault="00C33BD9" w:rsidP="00C33BD9">
      <w:pPr>
        <w:rPr>
          <w:noProof/>
        </w:rPr>
      </w:pPr>
    </w:p>
    <w:p w14:paraId="5BF620E9" w14:textId="2810854B" w:rsidR="00AA2923" w:rsidRPr="0039102C" w:rsidRDefault="00373308" w:rsidP="004F3BD5">
      <w:pPr>
        <w:pStyle w:val="CMR-Subheading"/>
        <w:rPr>
          <w:rFonts w:cs="Times New Roman"/>
          <w:noProof/>
          <w:sz w:val="22"/>
          <w:szCs w:val="22"/>
        </w:rPr>
      </w:pPr>
      <w:bookmarkStart w:id="23" w:name="_Toc218529281"/>
      <w:r w:rsidRPr="0039102C">
        <w:rPr>
          <w:noProof/>
          <w:sz w:val="22"/>
        </w:rPr>
        <w:t>Venda em leilão e anulação de licenças de emissão devido ao alargamento do âmbito marítimo do CELE</w:t>
      </w:r>
      <w:bookmarkEnd w:id="23"/>
    </w:p>
    <w:p w14:paraId="14B5D574" w14:textId="3461EBD3" w:rsidR="00E109D2" w:rsidRPr="0039102C" w:rsidRDefault="00C00F62" w:rsidP="00E109D2">
      <w:pPr>
        <w:pStyle w:val="CMR-text"/>
        <w:rPr>
          <w:rFonts w:cs="Times New Roman"/>
          <w:noProof/>
        </w:rPr>
      </w:pPr>
      <w:r w:rsidRPr="0039102C">
        <w:rPr>
          <w:noProof/>
        </w:rPr>
        <w:t>O transporte marítimo está incluído no CELE com um período inicial de introdução progressiva para 2024 e 2025, em que as companhias de transporte marítimo são obrigadas a devolver licenças de emissão apenas para uma parte das suas emissões (40 % e 70 %, respetivamente). Quando são devolvidas menos licenças do que as emissões verificadas provenientes do transporte marítimo em 2024 e 2025, os Estados-Membros anulam o número de licenças correspondente a essa diferença. Nos termos do artigo 3.º-GB e do artigo 12.º, n.º 3-E, da Diretiva CELE, a diferença deve ser eliminada dos leilões. A anulação para 2024, num total de 54 243 768 licenças de emissão, terá lugar em 2026 através de uma alteração do calendário dos leilões.</w:t>
      </w:r>
    </w:p>
    <w:p w14:paraId="2D8E4983" w14:textId="25338090" w:rsidR="00E109D2" w:rsidRPr="0039102C" w:rsidRDefault="00E109D2" w:rsidP="00E109D2">
      <w:pPr>
        <w:pStyle w:val="CMR-text"/>
        <w:rPr>
          <w:rFonts w:cs="Times New Roman"/>
          <w:noProof/>
        </w:rPr>
      </w:pPr>
      <w:r w:rsidRPr="0039102C">
        <w:rPr>
          <w:noProof/>
        </w:rPr>
        <w:t>O artigo 9.º da Diretiva CELE prevê o aumento, a partir de janeiro de 2026, da quantidade de licenças de emissão para ter em conta a cobertura das emissões de gases com efeito de estufa para além das emissões de CO</w:t>
      </w:r>
      <w:r w:rsidRPr="0039102C">
        <w:rPr>
          <w:noProof/>
          <w:vertAlign w:val="subscript"/>
        </w:rPr>
        <w:t>2</w:t>
      </w:r>
      <w:r w:rsidRPr="0039102C">
        <w:rPr>
          <w:noProof/>
        </w:rPr>
        <w:t xml:space="preserve"> provenientes do transporte marítimo. As licenças de emissão resultantes desse aumento devem ser vendidas em leilão em 2026 e acrescentadas ao Fundo de Inovação através de uma alteração do calendário dos leilões.</w:t>
      </w:r>
    </w:p>
    <w:p w14:paraId="6F161A98" w14:textId="4C53B425" w:rsidR="000F66CB" w:rsidRPr="0039102C" w:rsidRDefault="000F66CB" w:rsidP="00EC4FC3">
      <w:pPr>
        <w:pStyle w:val="CMR-Subheading"/>
        <w:rPr>
          <w:noProof/>
        </w:rPr>
      </w:pPr>
      <w:bookmarkStart w:id="24" w:name="_Ref206606635"/>
      <w:bookmarkStart w:id="25" w:name="_Toc218529282"/>
      <w:r w:rsidRPr="0039102C">
        <w:rPr>
          <w:noProof/>
        </w:rPr>
        <w:t>Flexibilidade do Regulamento Partilha de Esforços</w:t>
      </w:r>
      <w:bookmarkEnd w:id="24"/>
      <w:bookmarkEnd w:id="25"/>
    </w:p>
    <w:p w14:paraId="2DCE827C" w14:textId="1D5CD8BE" w:rsidR="00603B47" w:rsidRPr="0039102C" w:rsidRDefault="00CB67F3">
      <w:pPr>
        <w:pStyle w:val="CMR-text"/>
        <w:rPr>
          <w:rFonts w:cs="Times New Roman"/>
          <w:noProof/>
        </w:rPr>
      </w:pPr>
      <w:r w:rsidRPr="0039102C">
        <w:rPr>
          <w:noProof/>
        </w:rPr>
        <w:t>O Regulamento Partilha de Esforços (RPE) estabelece metas nacionais vinculativas de redução das emissões para os Estados-Membros relativas ao período de 2021-2030. Estas metas abrangem setores excluídos do atual CELE: transportes internos (excluindo a aviação), edifícios, agricultura, resíduos e pequena indústria.</w:t>
      </w:r>
    </w:p>
    <w:p w14:paraId="36DA55C0" w14:textId="0DF3C52C" w:rsidR="008561AD" w:rsidRPr="0039102C" w:rsidRDefault="18A94C7C" w:rsidP="00EC0D81">
      <w:pPr>
        <w:pStyle w:val="CMR-text"/>
        <w:rPr>
          <w:rFonts w:cs="Times New Roman"/>
          <w:noProof/>
        </w:rPr>
      </w:pPr>
      <w:r w:rsidRPr="0039102C">
        <w:rPr>
          <w:noProof/>
        </w:rPr>
        <w:t>O regulamento inclui uma disposição de flexibilidade pontual, segundo a qual nove Estados-Membros</w:t>
      </w:r>
      <w:r w:rsidR="00A96807" w:rsidRPr="0039102C">
        <w:rPr>
          <w:rStyle w:val="FootnoteReference"/>
          <w:rFonts w:cs="Times New Roman"/>
          <w:bCs/>
          <w:noProof/>
        </w:rPr>
        <w:footnoteReference w:id="20"/>
      </w:r>
      <w:r w:rsidRPr="0039102C">
        <w:rPr>
          <w:noProof/>
        </w:rPr>
        <w:t xml:space="preserve"> têm a possibilidade de anular coletivamente até um máximo de 100 milhões de licenças de emissão do CELE para cumprimento da sua meta, a deduzir dos respetivos volumes de leilões.</w:t>
      </w:r>
    </w:p>
    <w:p w14:paraId="6FCD45F0" w14:textId="648FC7C9" w:rsidR="00E109D2" w:rsidRPr="0039102C" w:rsidRDefault="578539C1">
      <w:pPr>
        <w:pStyle w:val="CMR-text"/>
        <w:rPr>
          <w:rFonts w:cs="Times New Roman"/>
          <w:noProof/>
        </w:rPr>
      </w:pPr>
      <w:r w:rsidRPr="0039102C">
        <w:rPr>
          <w:noProof/>
        </w:rPr>
        <w:t>Entre 2021 e 2024, seis</w:t>
      </w:r>
      <w:r w:rsidR="00564985" w:rsidRPr="0039102C">
        <w:rPr>
          <w:rStyle w:val="FootnoteReference"/>
          <w:rFonts w:cs="Times New Roman"/>
          <w:bCs/>
          <w:noProof/>
        </w:rPr>
        <w:footnoteReference w:id="21"/>
      </w:r>
      <w:r w:rsidRPr="0039102C">
        <w:rPr>
          <w:noProof/>
        </w:rPr>
        <w:t xml:space="preserve"> destes oito Estados-Membros utilizaram a «flexibilidade RPE» e deduziram coletivamente 28,8 milhões de licenças de emissão dos seus volumes de leilões. No futuro, a Suécia começará a utilizar a «flexibilidade RPE» a partir de 2025, enquanto a Dinamarca e o Luxemburgo deixarão de utilizar a flexibilidade a partir de 2026.</w:t>
      </w:r>
    </w:p>
    <w:p w14:paraId="5F8C64FB" w14:textId="28D0D584" w:rsidR="000F66CB" w:rsidRPr="0039102C" w:rsidRDefault="000F66CB" w:rsidP="00EC4FC3">
      <w:pPr>
        <w:pStyle w:val="CMR-Subheading"/>
        <w:rPr>
          <w:noProof/>
        </w:rPr>
      </w:pPr>
      <w:bookmarkStart w:id="26" w:name="_Toc218529283"/>
      <w:r w:rsidRPr="0039102C">
        <w:rPr>
          <w:noProof/>
        </w:rPr>
        <w:t>Anulação voluntária de licenças de emissão</w:t>
      </w:r>
      <w:bookmarkEnd w:id="26"/>
    </w:p>
    <w:p w14:paraId="28828CC1" w14:textId="5BDFDBC9" w:rsidR="00863142" w:rsidRPr="0039102C" w:rsidRDefault="00D01696" w:rsidP="000F66CB">
      <w:pPr>
        <w:pStyle w:val="CMR-text"/>
        <w:rPr>
          <w:rFonts w:cs="Times New Roman"/>
          <w:noProof/>
        </w:rPr>
      </w:pPr>
      <w:r w:rsidRPr="0039102C">
        <w:rPr>
          <w:noProof/>
        </w:rPr>
        <w:t>Nos termos do artigo 12.º, n.º 4, da Diretiva CELE, os Estados-Membros são incentivados a anular licenças de emissão em caso de encerramento da capacidade de produção de eletricidade no respetivo território devido a medidas nacionais suplementares. Desta forma, os Estados-Membros podem evitar que a diminuição das emissões daí resultante seja compensada noutros pontos do sistema.</w:t>
      </w:r>
    </w:p>
    <w:p w14:paraId="6AA5EF9E" w14:textId="35FF8DB4" w:rsidR="000F66CB" w:rsidRPr="0039102C" w:rsidRDefault="00863142" w:rsidP="000F66CB">
      <w:pPr>
        <w:pStyle w:val="CMR-text"/>
        <w:rPr>
          <w:rFonts w:cs="Times New Roman"/>
          <w:noProof/>
        </w:rPr>
      </w:pPr>
      <w:r w:rsidRPr="0039102C">
        <w:rPr>
          <w:noProof/>
        </w:rPr>
        <w:t>O Estado-Membro em causa deve informar a Comissão de que tenciona proceder a tal anulação. A anulação faz-se mediante a redução da quantidade total de licenças de emissão a leiloar pelo Estado</w:t>
      </w:r>
      <w:r w:rsidR="00217ECB">
        <w:rPr>
          <w:noProof/>
        </w:rPr>
        <w:noBreakHyphen/>
      </w:r>
      <w:r w:rsidRPr="0039102C">
        <w:rPr>
          <w:noProof/>
        </w:rPr>
        <w:t>Membro, quantidade esta que é limitada ao máximo da soma das emissões correspondentes verificadas durante o período de cinco anos que antecedeu o encerramento. O procedimento aplicável à anulação de licenças de emissão encontra-se estabelecido no artigo 25.º do Regulamento Leilões.</w:t>
      </w:r>
    </w:p>
    <w:p w14:paraId="234BF97E" w14:textId="27EC0A82" w:rsidR="00B712A2" w:rsidRPr="0039102C" w:rsidRDefault="1BAD2891" w:rsidP="000F66CB">
      <w:pPr>
        <w:pStyle w:val="CMR-text"/>
        <w:rPr>
          <w:rFonts w:cs="Times New Roman"/>
          <w:noProof/>
        </w:rPr>
      </w:pPr>
      <w:r w:rsidRPr="0039102C">
        <w:rPr>
          <w:noProof/>
        </w:rPr>
        <w:t>Em dezembro de 2023, a Alemanha notificou a Comissão da sua intenção de anular as licenças de emissão associadas ao encerramento de duas centrais elétricas em 2022, no âmbito da sua política de eliminação progressiva do carvão</w:t>
      </w:r>
      <w:r w:rsidR="000F66CB" w:rsidRPr="0039102C">
        <w:rPr>
          <w:rFonts w:cs="Times New Roman"/>
          <w:noProof/>
          <w:vertAlign w:val="superscript"/>
        </w:rPr>
        <w:footnoteReference w:id="22"/>
      </w:r>
      <w:r w:rsidRPr="0039102C">
        <w:rPr>
          <w:noProof/>
        </w:rPr>
        <w:t>. Prevê-se que as anulações tenham lugar entre 2025 e 2030. O número de licenças de emissão a anular no âmbito da notificação pode ser comunicado anualmente à Comissão.</w:t>
      </w:r>
    </w:p>
    <w:p w14:paraId="7373D892" w14:textId="255BE815" w:rsidR="000F66CB" w:rsidRPr="0039102C" w:rsidRDefault="000F66CB" w:rsidP="000F66CB">
      <w:pPr>
        <w:pStyle w:val="CMR-text"/>
        <w:rPr>
          <w:rFonts w:cs="Times New Roman"/>
          <w:noProof/>
        </w:rPr>
      </w:pPr>
      <w:r w:rsidRPr="0039102C">
        <w:rPr>
          <w:noProof/>
        </w:rPr>
        <w:t>A metodologia para o cálculo do número de licenças de emissão a anular constava da notificação e tem em conta as emissões das capacidades de produção de eletricidade de substituição no mercado da eletricidade, bem como o funcionamento da reserva de estabilização do mercado.</w:t>
      </w:r>
    </w:p>
    <w:p w14:paraId="3FE94397" w14:textId="5BD84850" w:rsidR="000F66CB" w:rsidRPr="0039102C" w:rsidRDefault="6A5786B3" w:rsidP="009269F7">
      <w:pPr>
        <w:pStyle w:val="CMR-text"/>
        <w:rPr>
          <w:rFonts w:cs="Times New Roman"/>
          <w:noProof/>
        </w:rPr>
      </w:pPr>
      <w:r w:rsidRPr="0039102C">
        <w:rPr>
          <w:noProof/>
        </w:rPr>
        <w:t>Em abril de 2025, a Alemanha apresentou à Comissão o número de licenças de emissão a anular relativamente ao ano de 2023, de 1 de setembro a 31 de dezembro de 2025</w:t>
      </w:r>
      <w:r w:rsidR="00135CD1" w:rsidRPr="0039102C">
        <w:rPr>
          <w:rStyle w:val="FootnoteReference"/>
          <w:rFonts w:cs="Times New Roman"/>
          <w:noProof/>
        </w:rPr>
        <w:footnoteReference w:id="23"/>
      </w:r>
      <w:r w:rsidRPr="0039102C">
        <w:rPr>
          <w:noProof/>
        </w:rPr>
        <w:t>. Com base na metodologia notificada, o número de licenças de emissão a anular dependeria do indicador de excedente da reserva de estabilização do mercado no âmbito do CELE (o número total de licenças de emissão em circulação, NTLC) em 2024</w:t>
      </w:r>
      <w:r w:rsidR="00F53E2D" w:rsidRPr="0039102C">
        <w:rPr>
          <w:rStyle w:val="FootnoteReference"/>
          <w:rFonts w:cs="Times New Roman"/>
          <w:noProof/>
        </w:rPr>
        <w:footnoteReference w:id="24"/>
      </w:r>
      <w:r w:rsidRPr="0039102C">
        <w:rPr>
          <w:noProof/>
        </w:rPr>
        <w:t>.</w:t>
      </w:r>
    </w:p>
    <w:p w14:paraId="3B3B93E7" w14:textId="141D5C18" w:rsidR="00923280" w:rsidRPr="0039102C" w:rsidRDefault="00923280" w:rsidP="50C721A3">
      <w:pPr>
        <w:pStyle w:val="CMR-text"/>
        <w:rPr>
          <w:rFonts w:cs="Times New Roman"/>
          <w:noProof/>
        </w:rPr>
      </w:pPr>
      <w:r w:rsidRPr="0039102C">
        <w:rPr>
          <w:noProof/>
        </w:rPr>
        <w:t>A Comissão publicou o NTLC de 2024 em 28 de maio de 2025 (ver ponto 6.1), que correspondeu a 1,15 mil milhões de licenças de emissão. Consequentemente, foram anuladas 514 000 licenças de emissão do volume de leilões da Alemanha, o que já se reflete nos calendários revistos dos leilões de 2025, adotados em 28 de julho de 2025.</w:t>
      </w:r>
    </w:p>
    <w:p w14:paraId="78DAFA45" w14:textId="7E8890E0" w:rsidR="00613B80" w:rsidRPr="0039102C" w:rsidRDefault="00613B80" w:rsidP="00EC4FC3">
      <w:pPr>
        <w:pStyle w:val="CMR-Heading"/>
        <w:rPr>
          <w:noProof/>
        </w:rPr>
      </w:pPr>
      <w:bookmarkStart w:id="27" w:name="_Toc180513396"/>
      <w:bookmarkStart w:id="28" w:name="_Toc218529284"/>
      <w:r w:rsidRPr="0039102C">
        <w:rPr>
          <w:noProof/>
        </w:rPr>
        <w:t>Atribuição de licenças de emissão a título gratuito</w:t>
      </w:r>
      <w:bookmarkEnd w:id="27"/>
      <w:bookmarkEnd w:id="28"/>
    </w:p>
    <w:p w14:paraId="5BCD0397" w14:textId="4562AE61" w:rsidR="009712D9" w:rsidRPr="0039102C" w:rsidRDefault="00133B6C" w:rsidP="005E05CB">
      <w:pPr>
        <w:pStyle w:val="CMR-text"/>
        <w:rPr>
          <w:rFonts w:cs="Times New Roman"/>
          <w:noProof/>
        </w:rPr>
      </w:pPr>
      <w:r w:rsidRPr="0039102C">
        <w:rPr>
          <w:noProof/>
        </w:rPr>
        <w:t>A atribuição de licenças de emissão a título gratuito é uma medida transitória dirigida principalmente aos setores industriais. Embora a venda em leilão seja o principal método de distribuição de licenças no CELE, é atribuído um volume significativo de licenças de emissão às instalações, a título gratuito, para fazer face ao risco de fuga de carbono</w:t>
      </w:r>
      <w:r w:rsidR="00DE42A8" w:rsidRPr="0039102C">
        <w:rPr>
          <w:rStyle w:val="FootnoteReference"/>
          <w:rFonts w:cs="Times New Roman"/>
          <w:noProof/>
        </w:rPr>
        <w:footnoteReference w:id="25"/>
      </w:r>
      <w:r w:rsidRPr="0039102C">
        <w:rPr>
          <w:noProof/>
        </w:rPr>
        <w:t>.</w:t>
      </w:r>
    </w:p>
    <w:p w14:paraId="67F8DD7F" w14:textId="054745F3" w:rsidR="004D3E16" w:rsidRPr="0039102C" w:rsidRDefault="00787D24" w:rsidP="005E05CB">
      <w:pPr>
        <w:pStyle w:val="CMR-text"/>
        <w:rPr>
          <w:rFonts w:cs="Times New Roman"/>
          <w:noProof/>
        </w:rPr>
      </w:pPr>
      <w:r w:rsidRPr="0039102C">
        <w:rPr>
          <w:noProof/>
        </w:rPr>
        <w:t>Uma lista específica de fuga de carbono identifica os setores considerados como estando em risco de fuga de carbono elegíveis para receber licenças de emissão a título gratuito a 100 % dos níveis de referência pertinentes. A lista identifica 63 setores e subsetores que abrangem a maioria das emissões industriais no CELE. Os setores menos expostos recebem licenças de emissão a título gratuito, correspondentes a um máximo de 30 % do valor do parâmetro de referência.</w:t>
      </w:r>
    </w:p>
    <w:p w14:paraId="0DD754BD" w14:textId="75C898C6" w:rsidR="006D09F2" w:rsidRPr="0039102C" w:rsidRDefault="006D09F2" w:rsidP="005E05CB">
      <w:pPr>
        <w:pStyle w:val="CMR-text"/>
        <w:rPr>
          <w:rFonts w:cs="Times New Roman"/>
          <w:noProof/>
        </w:rPr>
      </w:pPr>
      <w:r w:rsidRPr="0039102C">
        <w:rPr>
          <w:noProof/>
        </w:rPr>
        <w:t>A atribuição de licenças de emissão a título gratuito baseia-se em parâmetros de referência relativos ao desempenho, que refletem uma intensidade média de emissões por unidade de produto dos 10 % de instalações mais eficientes em cada setor. Uma vez que devem ser devolvidas relativamente a todas as emissões, as licenças de emissão devem ser compradas no mercado no caso de emissões superiores a esses valores de referência. Os parâmetros de referência também são reduzidos gradualmente, a fim de reforçar o incentivo para que o setor se descarbonize e promova a inovação.</w:t>
      </w:r>
    </w:p>
    <w:p w14:paraId="34444376" w14:textId="2B99E675" w:rsidR="4ACDE71C" w:rsidRPr="0039102C" w:rsidRDefault="31ABD125" w:rsidP="005E05CB">
      <w:pPr>
        <w:pStyle w:val="CMR-text"/>
        <w:rPr>
          <w:rFonts w:cs="Times New Roman"/>
          <w:noProof/>
        </w:rPr>
      </w:pPr>
      <w:r w:rsidRPr="0039102C">
        <w:rPr>
          <w:noProof/>
        </w:rPr>
        <w:t>Em 2021, a Comissão atualizou os valores dos parâmetros de referência para o período de atribuição de 2021-2025</w:t>
      </w:r>
      <w:r w:rsidR="00882D9C" w:rsidRPr="0039102C">
        <w:rPr>
          <w:rStyle w:val="FootnoteReference"/>
          <w:rFonts w:cs="Times New Roman"/>
          <w:noProof/>
        </w:rPr>
        <w:footnoteReference w:id="26"/>
      </w:r>
      <w:r w:rsidRPr="0039102C">
        <w:rPr>
          <w:noProof/>
        </w:rPr>
        <w:t>. Os valores dos parâmetros de referência serão atualizados para o período de atribuição de 2026-2030, um processo que está em curso no momento da redação do presente relatório. De acordo com a Diretiva CELE revista, as taxas de redução anuais dos valores de referência foram aumentadas para estimular uma maior transformação industrial. A taxa mínima aumentará de 0,2 % para 0,3 % por ano e a taxa máxima de 1,6 % para 2,5 % por ano a partir de 2026. A taxa de redução anual aplicável será determinada especificamente para cada parâmetro de referência.</w:t>
      </w:r>
    </w:p>
    <w:p w14:paraId="316E6C73" w14:textId="452F3300" w:rsidR="4ACDE71C" w:rsidRPr="0039102C" w:rsidRDefault="024CF539" w:rsidP="0060292C">
      <w:pPr>
        <w:pStyle w:val="CMR-text"/>
        <w:rPr>
          <w:rFonts w:cs="Times New Roman"/>
          <w:noProof/>
        </w:rPr>
      </w:pPr>
      <w:r w:rsidRPr="0039102C">
        <w:rPr>
          <w:noProof/>
        </w:rPr>
        <w:t>Desde 2021, os volumes de licenças de emissão atribuídas a título gratuito estão a ser ajustados quando ocorrem alterações significativas dos volumes de produção industrial, com base numa comparação entre os volumes iniciais e uma média dos dois anos anteriores</w:t>
      </w:r>
      <w:r w:rsidR="4ACDE71C" w:rsidRPr="0039102C">
        <w:rPr>
          <w:rFonts w:cs="Times New Roman"/>
          <w:noProof/>
          <w:vertAlign w:val="superscript"/>
        </w:rPr>
        <w:footnoteReference w:id="27"/>
      </w:r>
      <w:r w:rsidRPr="0039102C">
        <w:rPr>
          <w:noProof/>
        </w:rPr>
        <w:t>. O limiar para os ajustamentos é fixado em 15 % de aumento ou diminuição da produção e os ajustamentos subsequentes podem ser efetuados entre intervalos mais pequenos de 5 %. Os operadores são obrigados a apresentar às autoridades nacionais competentes relatórios anuais sobre os dados de produção, com base nos quais é possível efetuar ajustamentos aos volumes de licenças de emissão atribuídas a título gratuito. Este rigor acrescentado conduziu a um aumento do número de ajustamentos anuais das licenças de emissão atribuídas a título gratuito. Entre 2021 e 2024, o número médio anual de candidaturas apresentadas foi superior a 3 900, ou seja, cerca de três vezes mais do que a média anual até 2020. Regista-se um aumento dos números de ano para ano, devido aos intervalos mais pequenos de 5 % necessários para as alterações subsequentes da atribuição de licenças de emissão a título gratuito.</w:t>
      </w:r>
    </w:p>
    <w:p w14:paraId="3E4B9C0F" w14:textId="690057EB" w:rsidR="4ACDE71C" w:rsidRPr="0039102C" w:rsidRDefault="31ABD125" w:rsidP="50C721A3">
      <w:pPr>
        <w:pStyle w:val="CMR-text"/>
        <w:rPr>
          <w:rFonts w:cs="Times New Roman"/>
          <w:noProof/>
        </w:rPr>
      </w:pPr>
      <w:r w:rsidRPr="0039102C">
        <w:rPr>
          <w:noProof/>
        </w:rPr>
        <w:t>Inicialmente, o total das licenças de emissão atribuídas a título gratuito para o período de 2021-2025 foi calculado em 2 791 milhões de licenças de emissão para 7 430 instalações. Pressupondo um preço do carbono de 70 EUR/tCO2, o valor desta atribuição de licenças ascenderia a cerca de 39 mil milhões de EUR por ano durante este período. Até meados de 2025, a Comissão tinha adotado 12 decisões para ajustar a atribuição de licenças de emissão a título gratuito devido a alterações da produção industrial, o que resultou numa redução líquida de 173,7 milhões de licenças de emissão</w:t>
      </w:r>
      <w:r w:rsidR="00F43884" w:rsidRPr="0039102C">
        <w:rPr>
          <w:rFonts w:cs="Times New Roman"/>
          <w:noProof/>
          <w:vertAlign w:val="superscript"/>
        </w:rPr>
        <w:footnoteReference w:id="28"/>
      </w:r>
      <w:r w:rsidRPr="0039102C">
        <w:rPr>
          <w:noProof/>
        </w:rPr>
        <w:t>. Paralelamente, no entanto, a Comissão também adotou sete decisões que corrigiram o volume inicial da atribuição de licenças de emissão a título gratuito, acrescentando 2,3 milhões de licenças</w:t>
      </w:r>
      <w:r w:rsidR="00DE3719" w:rsidRPr="0039102C">
        <w:rPr>
          <w:rFonts w:cs="Times New Roman"/>
          <w:noProof/>
          <w:vertAlign w:val="superscript"/>
        </w:rPr>
        <w:footnoteReference w:id="29"/>
      </w:r>
      <w:r w:rsidRPr="0039102C">
        <w:rPr>
          <w:noProof/>
        </w:rPr>
        <w:t>. Esta medida foi necessária devido a erros detetados nos dados apresentados pelas instalações aquando do pedido de atribuição de licenças de emissão a título gratuito. Globalmente, a atribuição de licenças de emissão a título gratuito para o período de 2021-2025 foi reduzida em 171,5 milhões de licenças em comparação com o valor inicial do total de licenças de emissão atribuídas a título gratuito.</w:t>
      </w:r>
    </w:p>
    <w:p w14:paraId="1B668B13" w14:textId="4D39CA55" w:rsidR="4ACDE71C" w:rsidRPr="0039102C" w:rsidRDefault="4ACDE71C" w:rsidP="0060292C">
      <w:pPr>
        <w:pStyle w:val="CMR-text"/>
        <w:rPr>
          <w:rFonts w:cs="Times New Roman"/>
          <w:noProof/>
        </w:rPr>
      </w:pPr>
      <w:r w:rsidRPr="0039102C">
        <w:rPr>
          <w:noProof/>
        </w:rPr>
        <w:t>Os ajustamentos do nível da atribuição de licenças de emissão a título gratuito são efetuados a partir da reserva para novos operadores. Estes ajustamentos incluem igualmente alterações da atribuição de licenças devido à abertura ou ao encerramento de instalações. O volume inicial desta reserva no início de 2021 ascendia a 331,3 milhões de licenças de emissão, incluindo licenças de emissão não atribuídas da fase 3 (2013-2020) e 200 milhões de licenças de emissão da reserva de estabilização do mercado.</w:t>
      </w:r>
    </w:p>
    <w:p w14:paraId="317957E4" w14:textId="411CE952" w:rsidR="0F5F5892" w:rsidRPr="0039102C" w:rsidRDefault="0065476E" w:rsidP="0045336E">
      <w:pPr>
        <w:pStyle w:val="CMR-text"/>
        <w:rPr>
          <w:rFonts w:eastAsiaTheme="minorEastAsia" w:cs="Times New Roman"/>
          <w:i/>
          <w:noProof/>
        </w:rPr>
      </w:pPr>
      <w:r w:rsidRPr="0039102C">
        <w:rPr>
          <w:noProof/>
        </w:rPr>
        <w:t xml:space="preserve">O </w:t>
      </w:r>
      <w:r w:rsidRPr="0039102C">
        <w:rPr>
          <w:noProof/>
          <w:color w:val="000000" w:themeColor="text1"/>
        </w:rPr>
        <w:t>quadro 3</w:t>
      </w:r>
      <w:r w:rsidRPr="0039102C">
        <w:rPr>
          <w:noProof/>
        </w:rPr>
        <w:t xml:space="preserve"> resume os níveis anuais de atribuição de licenças de emissão a título gratuito no período de atribuição de 2021-2025 (tanto os níveis iniciais como os níveis ajustados), mostrando reduções da «atribuição efetiva de licenças de emissão a título gratuito» para os anos de 2024 e 2025. As principais razões para estes volumes reduzidos são os impactos negativos nos níveis de produção de determinados setores devido à pandemia e à crise energética, principalmente em 2022 e 2023. Uma vez que os ajustamentos à atribuição de licenças de emissão a título gratuito se baseiam numa comparação que tem em conta os níveis médios de produção ao longo de dois anos, o pleno efeito de uma diminuição contínua da produção é adiado pelo mesmo período.</w:t>
      </w:r>
    </w:p>
    <w:p w14:paraId="22B44197" w14:textId="0D2FBA2C" w:rsidR="00D82168" w:rsidRPr="0039102C" w:rsidRDefault="00D82168" w:rsidP="0045336E">
      <w:pPr>
        <w:pStyle w:val="Caption"/>
        <w:keepNext/>
        <w:rPr>
          <w:noProof/>
          <w:sz w:val="20"/>
        </w:rPr>
      </w:pPr>
      <w:bookmarkStart w:id="29" w:name="_Ref176771527"/>
      <w:r w:rsidRPr="0039102C">
        <w:rPr>
          <w:noProof/>
          <w:sz w:val="20"/>
        </w:rPr>
        <w:t xml:space="preserve">Quadro </w:t>
      </w:r>
      <w:bookmarkEnd w:id="29"/>
      <w:r w:rsidRPr="0039102C">
        <w:rPr>
          <w:noProof/>
          <w:sz w:val="20"/>
        </w:rPr>
        <w:t>3. Atribuição de licenças de emissão a título gratuito no âmbito do CELE (2021-2025) [milhões de licenças]. Dados extraídos do Registo da União em 30 de junho de 2025.</w:t>
      </w:r>
    </w:p>
    <w:tbl>
      <w:tblPr>
        <w:tblStyle w:val="TableGridLight"/>
        <w:tblW w:w="9013"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ayout w:type="fixed"/>
        <w:tblLook w:val="04A0" w:firstRow="1" w:lastRow="0" w:firstColumn="1" w:lastColumn="0" w:noHBand="0" w:noVBand="1"/>
      </w:tblPr>
      <w:tblGrid>
        <w:gridCol w:w="2263"/>
        <w:gridCol w:w="1125"/>
        <w:gridCol w:w="1125"/>
        <w:gridCol w:w="1125"/>
        <w:gridCol w:w="1125"/>
        <w:gridCol w:w="1125"/>
        <w:gridCol w:w="1125"/>
      </w:tblGrid>
      <w:tr w:rsidR="2FB941BE" w:rsidRPr="0039102C" w14:paraId="1AEE99C6" w14:textId="77777777" w:rsidTr="00380C53">
        <w:trPr>
          <w:cantSplit/>
          <w:trHeight w:val="390"/>
        </w:trPr>
        <w:tc>
          <w:tcPr>
            <w:tcW w:w="2263" w:type="dxa"/>
            <w:vAlign w:val="center"/>
          </w:tcPr>
          <w:p w14:paraId="21370450" w14:textId="3BF16ECE" w:rsidR="2FB941BE" w:rsidRPr="0039102C" w:rsidRDefault="2FB941BE" w:rsidP="00D54832">
            <w:pPr>
              <w:pStyle w:val="CMR-tables"/>
              <w:keepNext/>
              <w:rPr>
                <w:rFonts w:cs="Times New Roman"/>
                <w:b/>
                <w:noProof/>
                <w:szCs w:val="20"/>
              </w:rPr>
            </w:pPr>
            <w:r w:rsidRPr="0039102C">
              <w:rPr>
                <w:b/>
                <w:noProof/>
              </w:rPr>
              <w:t xml:space="preserve">Ano </w:t>
            </w:r>
          </w:p>
        </w:tc>
        <w:tc>
          <w:tcPr>
            <w:tcW w:w="1125" w:type="dxa"/>
            <w:vAlign w:val="center"/>
          </w:tcPr>
          <w:p w14:paraId="7FEEB1D3" w14:textId="16C6B59D" w:rsidR="2FB941BE" w:rsidRPr="0039102C" w:rsidRDefault="2FB941BE" w:rsidP="00D54832">
            <w:pPr>
              <w:pStyle w:val="CMR-tables"/>
              <w:keepNext/>
              <w:jc w:val="center"/>
              <w:rPr>
                <w:rFonts w:cs="Times New Roman"/>
                <w:noProof/>
                <w:szCs w:val="20"/>
              </w:rPr>
            </w:pPr>
            <w:r w:rsidRPr="0039102C">
              <w:rPr>
                <w:noProof/>
              </w:rPr>
              <w:t>2021</w:t>
            </w:r>
          </w:p>
        </w:tc>
        <w:tc>
          <w:tcPr>
            <w:tcW w:w="1125" w:type="dxa"/>
            <w:vAlign w:val="center"/>
          </w:tcPr>
          <w:p w14:paraId="58BBB876" w14:textId="6031FC1C" w:rsidR="2FB941BE" w:rsidRPr="0039102C" w:rsidRDefault="2FB941BE" w:rsidP="00D54832">
            <w:pPr>
              <w:pStyle w:val="CMR-tables"/>
              <w:keepNext/>
              <w:jc w:val="center"/>
              <w:rPr>
                <w:rFonts w:cs="Times New Roman"/>
                <w:noProof/>
                <w:szCs w:val="20"/>
              </w:rPr>
            </w:pPr>
            <w:r w:rsidRPr="0039102C">
              <w:rPr>
                <w:noProof/>
              </w:rPr>
              <w:t>2022</w:t>
            </w:r>
          </w:p>
        </w:tc>
        <w:tc>
          <w:tcPr>
            <w:tcW w:w="1125" w:type="dxa"/>
            <w:vAlign w:val="center"/>
          </w:tcPr>
          <w:p w14:paraId="4B59FE51" w14:textId="78A1A139" w:rsidR="2FB941BE" w:rsidRPr="0039102C" w:rsidRDefault="2FB941BE" w:rsidP="00D54832">
            <w:pPr>
              <w:pStyle w:val="CMR-tables"/>
              <w:keepNext/>
              <w:jc w:val="center"/>
              <w:rPr>
                <w:rFonts w:cs="Times New Roman"/>
                <w:noProof/>
                <w:szCs w:val="20"/>
              </w:rPr>
            </w:pPr>
            <w:r w:rsidRPr="0039102C">
              <w:rPr>
                <w:noProof/>
              </w:rPr>
              <w:t>2023</w:t>
            </w:r>
          </w:p>
        </w:tc>
        <w:tc>
          <w:tcPr>
            <w:tcW w:w="1125" w:type="dxa"/>
            <w:vAlign w:val="center"/>
          </w:tcPr>
          <w:p w14:paraId="1824AC6A" w14:textId="6BB30CDA" w:rsidR="2FB941BE" w:rsidRPr="0039102C" w:rsidRDefault="2FB941BE" w:rsidP="00D54832">
            <w:pPr>
              <w:pStyle w:val="CMR-tables"/>
              <w:keepNext/>
              <w:jc w:val="center"/>
              <w:rPr>
                <w:rFonts w:cs="Times New Roman"/>
                <w:noProof/>
                <w:szCs w:val="20"/>
              </w:rPr>
            </w:pPr>
            <w:r w:rsidRPr="0039102C">
              <w:rPr>
                <w:noProof/>
              </w:rPr>
              <w:t>2024</w:t>
            </w:r>
          </w:p>
        </w:tc>
        <w:tc>
          <w:tcPr>
            <w:tcW w:w="1125" w:type="dxa"/>
            <w:vAlign w:val="center"/>
          </w:tcPr>
          <w:p w14:paraId="3DAC66B8" w14:textId="4F00FEDB" w:rsidR="2FB941BE" w:rsidRPr="0039102C" w:rsidRDefault="2FB941BE" w:rsidP="00D54832">
            <w:pPr>
              <w:pStyle w:val="CMR-tables"/>
              <w:keepNext/>
              <w:jc w:val="center"/>
              <w:rPr>
                <w:rFonts w:cs="Times New Roman"/>
                <w:noProof/>
                <w:szCs w:val="20"/>
              </w:rPr>
            </w:pPr>
            <w:r w:rsidRPr="0039102C">
              <w:rPr>
                <w:noProof/>
              </w:rPr>
              <w:t>2025</w:t>
            </w:r>
          </w:p>
        </w:tc>
        <w:tc>
          <w:tcPr>
            <w:tcW w:w="1125" w:type="dxa"/>
            <w:vAlign w:val="center"/>
          </w:tcPr>
          <w:p w14:paraId="1BC681F4" w14:textId="743DF48B" w:rsidR="2FB941BE" w:rsidRPr="0039102C" w:rsidRDefault="2FB941BE" w:rsidP="00D54832">
            <w:pPr>
              <w:pStyle w:val="CMR-tables"/>
              <w:keepNext/>
              <w:jc w:val="center"/>
              <w:rPr>
                <w:rFonts w:cs="Times New Roman"/>
                <w:b/>
                <w:noProof/>
                <w:szCs w:val="20"/>
              </w:rPr>
            </w:pPr>
            <w:r w:rsidRPr="0039102C">
              <w:rPr>
                <w:b/>
                <w:noProof/>
              </w:rPr>
              <w:t>Total</w:t>
            </w:r>
          </w:p>
        </w:tc>
      </w:tr>
      <w:tr w:rsidR="2FB941BE" w:rsidRPr="0039102C" w14:paraId="394F4B7D" w14:textId="77777777" w:rsidTr="00380C53">
        <w:trPr>
          <w:cantSplit/>
          <w:trHeight w:val="1092"/>
        </w:trPr>
        <w:tc>
          <w:tcPr>
            <w:tcW w:w="2263" w:type="dxa"/>
            <w:shd w:val="clear" w:color="auto" w:fill="D9E2F3" w:themeFill="accent1" w:themeFillTint="33"/>
            <w:vAlign w:val="center"/>
          </w:tcPr>
          <w:p w14:paraId="283BE1A8" w14:textId="7B05D31E" w:rsidR="2FB941BE" w:rsidRPr="0039102C" w:rsidRDefault="2FB941BE" w:rsidP="00D54832">
            <w:pPr>
              <w:pStyle w:val="CMR-tables"/>
              <w:keepNext/>
              <w:rPr>
                <w:rFonts w:cs="Times New Roman"/>
                <w:b/>
                <w:noProof/>
                <w:szCs w:val="20"/>
              </w:rPr>
            </w:pPr>
            <w:r w:rsidRPr="0039102C">
              <w:rPr>
                <w:b/>
                <w:noProof/>
              </w:rPr>
              <w:t>Atribuição inicial de licenças de emissão a título gratuito (UE27 + Islândia, Listenstaine e Noruega)</w:t>
            </w:r>
          </w:p>
        </w:tc>
        <w:tc>
          <w:tcPr>
            <w:tcW w:w="1125" w:type="dxa"/>
            <w:shd w:val="clear" w:color="auto" w:fill="D9E2F3" w:themeFill="accent1" w:themeFillTint="33"/>
            <w:vAlign w:val="center"/>
          </w:tcPr>
          <w:p w14:paraId="31E194ED" w14:textId="2E0C9683" w:rsidR="2FB941BE" w:rsidRPr="0039102C" w:rsidRDefault="2FB941BE" w:rsidP="00E64668">
            <w:pPr>
              <w:pStyle w:val="CMR-tables"/>
              <w:keepNext/>
              <w:jc w:val="center"/>
              <w:rPr>
                <w:rFonts w:cs="Times New Roman"/>
                <w:noProof/>
                <w:szCs w:val="20"/>
              </w:rPr>
            </w:pPr>
            <w:r w:rsidRPr="0039102C">
              <w:rPr>
                <w:noProof/>
              </w:rPr>
              <w:t>559,6</w:t>
            </w:r>
          </w:p>
        </w:tc>
        <w:tc>
          <w:tcPr>
            <w:tcW w:w="1125" w:type="dxa"/>
            <w:shd w:val="clear" w:color="auto" w:fill="D9E2F3" w:themeFill="accent1" w:themeFillTint="33"/>
            <w:vAlign w:val="center"/>
          </w:tcPr>
          <w:p w14:paraId="49DF93B8" w14:textId="33F6E367" w:rsidR="2FB941BE" w:rsidRPr="0039102C" w:rsidRDefault="2FB941BE" w:rsidP="00E64668">
            <w:pPr>
              <w:pStyle w:val="CMR-tables"/>
              <w:keepNext/>
              <w:jc w:val="center"/>
              <w:rPr>
                <w:rFonts w:cs="Times New Roman"/>
                <w:noProof/>
                <w:szCs w:val="20"/>
              </w:rPr>
            </w:pPr>
            <w:r w:rsidRPr="0039102C">
              <w:rPr>
                <w:noProof/>
              </w:rPr>
              <w:t>558,9</w:t>
            </w:r>
          </w:p>
        </w:tc>
        <w:tc>
          <w:tcPr>
            <w:tcW w:w="1125" w:type="dxa"/>
            <w:shd w:val="clear" w:color="auto" w:fill="D9E2F3" w:themeFill="accent1" w:themeFillTint="33"/>
            <w:vAlign w:val="center"/>
          </w:tcPr>
          <w:p w14:paraId="42317239" w14:textId="217EA8A8" w:rsidR="2FB941BE" w:rsidRPr="0039102C" w:rsidRDefault="2FB941BE" w:rsidP="00E64668">
            <w:pPr>
              <w:pStyle w:val="CMR-tables"/>
              <w:keepNext/>
              <w:jc w:val="center"/>
              <w:rPr>
                <w:rFonts w:cs="Times New Roman"/>
                <w:noProof/>
                <w:szCs w:val="20"/>
              </w:rPr>
            </w:pPr>
            <w:r w:rsidRPr="0039102C">
              <w:rPr>
                <w:noProof/>
              </w:rPr>
              <w:t>558,2</w:t>
            </w:r>
          </w:p>
        </w:tc>
        <w:tc>
          <w:tcPr>
            <w:tcW w:w="1125" w:type="dxa"/>
            <w:shd w:val="clear" w:color="auto" w:fill="D9E2F3" w:themeFill="accent1" w:themeFillTint="33"/>
            <w:vAlign w:val="center"/>
          </w:tcPr>
          <w:p w14:paraId="1AE059AA" w14:textId="1318FE64" w:rsidR="2FB941BE" w:rsidRPr="0039102C" w:rsidRDefault="2FB941BE" w:rsidP="00E64668">
            <w:pPr>
              <w:pStyle w:val="CMR-tables"/>
              <w:keepNext/>
              <w:jc w:val="center"/>
              <w:rPr>
                <w:rFonts w:cs="Times New Roman"/>
                <w:noProof/>
                <w:szCs w:val="20"/>
              </w:rPr>
            </w:pPr>
            <w:r w:rsidRPr="0039102C">
              <w:rPr>
                <w:noProof/>
              </w:rPr>
              <w:t>557,5</w:t>
            </w:r>
          </w:p>
        </w:tc>
        <w:tc>
          <w:tcPr>
            <w:tcW w:w="1125" w:type="dxa"/>
            <w:shd w:val="clear" w:color="auto" w:fill="D9E2F3" w:themeFill="accent1" w:themeFillTint="33"/>
            <w:vAlign w:val="center"/>
          </w:tcPr>
          <w:p w14:paraId="0A4B8CF1" w14:textId="40E3EF23" w:rsidR="2FB941BE" w:rsidRPr="0039102C" w:rsidRDefault="2FB941BE" w:rsidP="00E64668">
            <w:pPr>
              <w:pStyle w:val="CMR-tables"/>
              <w:keepNext/>
              <w:jc w:val="center"/>
              <w:rPr>
                <w:rFonts w:cs="Times New Roman"/>
                <w:noProof/>
                <w:szCs w:val="20"/>
              </w:rPr>
            </w:pPr>
            <w:r w:rsidRPr="0039102C">
              <w:rPr>
                <w:noProof/>
              </w:rPr>
              <w:t>556,8</w:t>
            </w:r>
          </w:p>
        </w:tc>
        <w:tc>
          <w:tcPr>
            <w:tcW w:w="1125" w:type="dxa"/>
            <w:shd w:val="clear" w:color="auto" w:fill="D9E2F3" w:themeFill="accent1" w:themeFillTint="33"/>
            <w:vAlign w:val="center"/>
          </w:tcPr>
          <w:p w14:paraId="74E4F36A" w14:textId="3E9AA303" w:rsidR="2FB941BE" w:rsidRPr="0039102C" w:rsidRDefault="2FB941BE" w:rsidP="00E64668">
            <w:pPr>
              <w:pStyle w:val="CMR-tables"/>
              <w:keepNext/>
              <w:jc w:val="center"/>
              <w:rPr>
                <w:rFonts w:cs="Times New Roman"/>
                <w:b/>
                <w:noProof/>
                <w:szCs w:val="20"/>
              </w:rPr>
            </w:pPr>
            <w:r w:rsidRPr="0039102C">
              <w:rPr>
                <w:b/>
                <w:noProof/>
              </w:rPr>
              <w:t>2791,1</w:t>
            </w:r>
          </w:p>
        </w:tc>
      </w:tr>
      <w:tr w:rsidR="2FB941BE" w:rsidRPr="0039102C" w14:paraId="233C0001" w14:textId="77777777" w:rsidTr="00380C53">
        <w:trPr>
          <w:cantSplit/>
          <w:trHeight w:val="802"/>
        </w:trPr>
        <w:tc>
          <w:tcPr>
            <w:tcW w:w="2263" w:type="dxa"/>
            <w:vAlign w:val="center"/>
          </w:tcPr>
          <w:p w14:paraId="3C53EE53" w14:textId="29811B63" w:rsidR="2FB941BE" w:rsidRPr="0039102C" w:rsidRDefault="2FB941BE" w:rsidP="00D54832">
            <w:pPr>
              <w:pStyle w:val="CMR-tables"/>
              <w:keepNext/>
              <w:rPr>
                <w:rFonts w:cs="Times New Roman"/>
                <w:b/>
                <w:noProof/>
                <w:szCs w:val="20"/>
              </w:rPr>
            </w:pPr>
            <w:r w:rsidRPr="0039102C">
              <w:rPr>
                <w:b/>
                <w:noProof/>
              </w:rPr>
              <w:t>Atribuição efetiva de licenças de emissão a título gratuito</w:t>
            </w:r>
          </w:p>
        </w:tc>
        <w:tc>
          <w:tcPr>
            <w:tcW w:w="1125" w:type="dxa"/>
            <w:vAlign w:val="center"/>
          </w:tcPr>
          <w:p w14:paraId="6498E815" w14:textId="74500CB6" w:rsidR="2FB941BE" w:rsidRPr="0039102C" w:rsidRDefault="2FB941BE" w:rsidP="00E64668">
            <w:pPr>
              <w:pStyle w:val="CMR-tables"/>
              <w:keepNext/>
              <w:jc w:val="center"/>
              <w:rPr>
                <w:rFonts w:cs="Times New Roman"/>
                <w:noProof/>
                <w:szCs w:val="20"/>
              </w:rPr>
            </w:pPr>
            <w:r w:rsidRPr="0039102C">
              <w:rPr>
                <w:noProof/>
              </w:rPr>
              <w:t>545,7</w:t>
            </w:r>
          </w:p>
        </w:tc>
        <w:tc>
          <w:tcPr>
            <w:tcW w:w="1125" w:type="dxa"/>
            <w:vAlign w:val="center"/>
          </w:tcPr>
          <w:p w14:paraId="2D43B582" w14:textId="3E04A77D" w:rsidR="2FB941BE" w:rsidRPr="0039102C" w:rsidRDefault="2FB941BE" w:rsidP="00E64668">
            <w:pPr>
              <w:pStyle w:val="CMR-tables"/>
              <w:keepNext/>
              <w:jc w:val="center"/>
              <w:rPr>
                <w:rFonts w:cs="Times New Roman"/>
                <w:noProof/>
                <w:szCs w:val="20"/>
              </w:rPr>
            </w:pPr>
            <w:r w:rsidRPr="0039102C">
              <w:rPr>
                <w:noProof/>
              </w:rPr>
              <w:t>542,4</w:t>
            </w:r>
          </w:p>
        </w:tc>
        <w:tc>
          <w:tcPr>
            <w:tcW w:w="1125" w:type="dxa"/>
            <w:vAlign w:val="center"/>
          </w:tcPr>
          <w:p w14:paraId="647DF859" w14:textId="539A4C89" w:rsidR="2FB941BE" w:rsidRPr="0039102C" w:rsidRDefault="2FB941BE" w:rsidP="00E64668">
            <w:pPr>
              <w:pStyle w:val="CMR-tables"/>
              <w:keepNext/>
              <w:jc w:val="center"/>
              <w:rPr>
                <w:rFonts w:cs="Times New Roman"/>
                <w:noProof/>
                <w:szCs w:val="20"/>
              </w:rPr>
            </w:pPr>
            <w:r w:rsidRPr="0039102C">
              <w:rPr>
                <w:noProof/>
              </w:rPr>
              <w:t>537,0</w:t>
            </w:r>
          </w:p>
        </w:tc>
        <w:tc>
          <w:tcPr>
            <w:tcW w:w="1125" w:type="dxa"/>
            <w:vAlign w:val="center"/>
          </w:tcPr>
          <w:p w14:paraId="4361D595" w14:textId="617713B6" w:rsidR="2FB941BE" w:rsidRPr="0039102C" w:rsidRDefault="00251609" w:rsidP="00E64668">
            <w:pPr>
              <w:pStyle w:val="CMR-tables"/>
              <w:keepNext/>
              <w:jc w:val="center"/>
              <w:rPr>
                <w:rFonts w:cs="Times New Roman"/>
                <w:noProof/>
                <w:szCs w:val="20"/>
              </w:rPr>
            </w:pPr>
            <w:r w:rsidRPr="0039102C">
              <w:rPr>
                <w:noProof/>
              </w:rPr>
              <w:t>499,7</w:t>
            </w:r>
          </w:p>
        </w:tc>
        <w:tc>
          <w:tcPr>
            <w:tcW w:w="1125" w:type="dxa"/>
            <w:vAlign w:val="center"/>
          </w:tcPr>
          <w:p w14:paraId="700B1DCC" w14:textId="303C1532" w:rsidR="2FB941BE" w:rsidRPr="0039102C" w:rsidRDefault="009B197F" w:rsidP="00E64668">
            <w:pPr>
              <w:pStyle w:val="CMR-tables"/>
              <w:keepNext/>
              <w:jc w:val="center"/>
              <w:rPr>
                <w:rFonts w:cs="Times New Roman"/>
                <w:noProof/>
                <w:szCs w:val="20"/>
              </w:rPr>
            </w:pPr>
            <w:r w:rsidRPr="0039102C">
              <w:rPr>
                <w:noProof/>
              </w:rPr>
              <w:t>494,8</w:t>
            </w:r>
          </w:p>
        </w:tc>
        <w:tc>
          <w:tcPr>
            <w:tcW w:w="1125" w:type="dxa"/>
            <w:vAlign w:val="center"/>
          </w:tcPr>
          <w:p w14:paraId="72669C27" w14:textId="0C05DE1B" w:rsidR="2FB941BE" w:rsidRPr="0039102C" w:rsidRDefault="2FB941BE" w:rsidP="00E64668">
            <w:pPr>
              <w:pStyle w:val="CMR-tables"/>
              <w:keepNext/>
              <w:jc w:val="center"/>
              <w:rPr>
                <w:rFonts w:cs="Times New Roman"/>
                <w:b/>
                <w:noProof/>
                <w:szCs w:val="20"/>
              </w:rPr>
            </w:pPr>
            <w:r w:rsidRPr="0039102C">
              <w:rPr>
                <w:b/>
                <w:noProof/>
              </w:rPr>
              <w:t>2619,6</w:t>
            </w:r>
          </w:p>
        </w:tc>
      </w:tr>
      <w:tr w:rsidR="2FB941BE" w:rsidRPr="0039102C" w14:paraId="428691B2" w14:textId="77777777" w:rsidTr="00380C53">
        <w:trPr>
          <w:cantSplit/>
          <w:trHeight w:val="802"/>
        </w:trPr>
        <w:tc>
          <w:tcPr>
            <w:tcW w:w="2263" w:type="dxa"/>
            <w:shd w:val="clear" w:color="auto" w:fill="D9E2F3" w:themeFill="accent1" w:themeFillTint="33"/>
            <w:vAlign w:val="center"/>
          </w:tcPr>
          <w:p w14:paraId="3AF6E7E7" w14:textId="5904779C" w:rsidR="2FB941BE" w:rsidRPr="0039102C" w:rsidRDefault="2FB941BE" w:rsidP="00D54832">
            <w:pPr>
              <w:pStyle w:val="CMR-tables"/>
              <w:keepNext/>
              <w:rPr>
                <w:rFonts w:cs="Times New Roman"/>
                <w:b/>
                <w:noProof/>
                <w:szCs w:val="20"/>
              </w:rPr>
            </w:pPr>
            <w:r w:rsidRPr="0039102C">
              <w:rPr>
                <w:b/>
                <w:noProof/>
              </w:rPr>
              <w:t>Atribuição ajustada e corrigida de licenças de emissão a título gratuito</w:t>
            </w:r>
          </w:p>
        </w:tc>
        <w:tc>
          <w:tcPr>
            <w:tcW w:w="1125" w:type="dxa"/>
            <w:shd w:val="clear" w:color="auto" w:fill="D9E2F3" w:themeFill="accent1" w:themeFillTint="33"/>
            <w:vAlign w:val="center"/>
          </w:tcPr>
          <w:p w14:paraId="68B7EC0D" w14:textId="58267B76" w:rsidR="2FB941BE" w:rsidRPr="0039102C" w:rsidRDefault="2FB941BE" w:rsidP="00E64668">
            <w:pPr>
              <w:pStyle w:val="CMR-tables"/>
              <w:keepNext/>
              <w:jc w:val="center"/>
              <w:rPr>
                <w:rFonts w:cs="Times New Roman"/>
                <w:noProof/>
                <w:szCs w:val="20"/>
              </w:rPr>
            </w:pPr>
            <w:r w:rsidRPr="0039102C">
              <w:rPr>
                <w:noProof/>
              </w:rPr>
              <w:t>-13,9</w:t>
            </w:r>
          </w:p>
        </w:tc>
        <w:tc>
          <w:tcPr>
            <w:tcW w:w="1125" w:type="dxa"/>
            <w:shd w:val="clear" w:color="auto" w:fill="D9E2F3" w:themeFill="accent1" w:themeFillTint="33"/>
            <w:vAlign w:val="center"/>
          </w:tcPr>
          <w:p w14:paraId="61CAE806" w14:textId="575B4CE9" w:rsidR="2FB941BE" w:rsidRPr="0039102C" w:rsidRDefault="2FB941BE" w:rsidP="00E64668">
            <w:pPr>
              <w:pStyle w:val="CMR-tables"/>
              <w:keepNext/>
              <w:jc w:val="center"/>
              <w:rPr>
                <w:rFonts w:cs="Times New Roman"/>
                <w:noProof/>
                <w:szCs w:val="20"/>
              </w:rPr>
            </w:pPr>
            <w:r w:rsidRPr="0039102C">
              <w:rPr>
                <w:noProof/>
              </w:rPr>
              <w:t>-16,5</w:t>
            </w:r>
          </w:p>
        </w:tc>
        <w:tc>
          <w:tcPr>
            <w:tcW w:w="1125" w:type="dxa"/>
            <w:shd w:val="clear" w:color="auto" w:fill="D9E2F3" w:themeFill="accent1" w:themeFillTint="33"/>
            <w:vAlign w:val="center"/>
          </w:tcPr>
          <w:p w14:paraId="4FF4A443" w14:textId="64A267D3" w:rsidR="2FB941BE" w:rsidRPr="0039102C" w:rsidRDefault="2FB941BE" w:rsidP="00E64668">
            <w:pPr>
              <w:pStyle w:val="CMR-tables"/>
              <w:keepNext/>
              <w:jc w:val="center"/>
              <w:rPr>
                <w:rFonts w:cs="Times New Roman"/>
                <w:noProof/>
                <w:szCs w:val="20"/>
              </w:rPr>
            </w:pPr>
            <w:r w:rsidRPr="0039102C">
              <w:rPr>
                <w:noProof/>
              </w:rPr>
              <w:t>-21,2</w:t>
            </w:r>
          </w:p>
        </w:tc>
        <w:tc>
          <w:tcPr>
            <w:tcW w:w="1125" w:type="dxa"/>
            <w:shd w:val="clear" w:color="auto" w:fill="D9E2F3" w:themeFill="accent1" w:themeFillTint="33"/>
            <w:vAlign w:val="center"/>
          </w:tcPr>
          <w:p w14:paraId="54AEBB6A" w14:textId="4575FA0B" w:rsidR="2FB941BE" w:rsidRPr="0039102C" w:rsidRDefault="2FB941BE" w:rsidP="00E64668">
            <w:pPr>
              <w:pStyle w:val="CMR-tables"/>
              <w:keepNext/>
              <w:jc w:val="center"/>
              <w:rPr>
                <w:rFonts w:cs="Times New Roman"/>
                <w:noProof/>
                <w:szCs w:val="20"/>
              </w:rPr>
            </w:pPr>
            <w:r w:rsidRPr="0039102C">
              <w:rPr>
                <w:noProof/>
              </w:rPr>
              <w:t>-57,8</w:t>
            </w:r>
          </w:p>
        </w:tc>
        <w:tc>
          <w:tcPr>
            <w:tcW w:w="1125" w:type="dxa"/>
            <w:shd w:val="clear" w:color="auto" w:fill="D9E2F3" w:themeFill="accent1" w:themeFillTint="33"/>
            <w:vAlign w:val="center"/>
          </w:tcPr>
          <w:p w14:paraId="27D881A3" w14:textId="5A066384" w:rsidR="2FB941BE" w:rsidRPr="0039102C" w:rsidRDefault="2FB941BE" w:rsidP="00E64668">
            <w:pPr>
              <w:pStyle w:val="CMR-tables"/>
              <w:keepNext/>
              <w:jc w:val="center"/>
              <w:rPr>
                <w:rFonts w:cs="Times New Roman"/>
                <w:noProof/>
                <w:szCs w:val="20"/>
              </w:rPr>
            </w:pPr>
            <w:r w:rsidRPr="0039102C">
              <w:rPr>
                <w:noProof/>
              </w:rPr>
              <w:t>-62,0</w:t>
            </w:r>
          </w:p>
        </w:tc>
        <w:tc>
          <w:tcPr>
            <w:tcW w:w="1125" w:type="dxa"/>
            <w:shd w:val="clear" w:color="auto" w:fill="D9E2F3" w:themeFill="accent1" w:themeFillTint="33"/>
            <w:vAlign w:val="center"/>
          </w:tcPr>
          <w:p w14:paraId="4F89833B" w14:textId="4224B1E5" w:rsidR="2FB941BE" w:rsidRPr="0039102C" w:rsidRDefault="2FB941BE" w:rsidP="00E64668">
            <w:pPr>
              <w:pStyle w:val="CMR-tables"/>
              <w:keepNext/>
              <w:jc w:val="center"/>
              <w:rPr>
                <w:rFonts w:cs="Times New Roman"/>
                <w:b/>
                <w:noProof/>
                <w:szCs w:val="20"/>
              </w:rPr>
            </w:pPr>
            <w:r w:rsidRPr="0039102C">
              <w:rPr>
                <w:b/>
                <w:noProof/>
              </w:rPr>
              <w:t>-171,5</w:t>
            </w:r>
          </w:p>
        </w:tc>
      </w:tr>
    </w:tbl>
    <w:p w14:paraId="109EBADC" w14:textId="10C6C896" w:rsidR="00782261" w:rsidRPr="0039102C" w:rsidRDefault="009E19D1" w:rsidP="00782261">
      <w:pPr>
        <w:pStyle w:val="CMR-text"/>
        <w:rPr>
          <w:rFonts w:cs="Times New Roman"/>
          <w:noProof/>
        </w:rPr>
      </w:pPr>
      <w:r w:rsidRPr="0039102C">
        <w:rPr>
          <w:noProof/>
        </w:rPr>
        <w:t>Desde 2013, o CELE assenta no conceito de uma abordagem harmonizada à escala da UE para um sistema transitório de atribuição de licenças de emissão a título gratuito com base em parâmetros de referência. Esta conceção e a utilização de parâmetros de referência permitem situações em que a atribuição de licenças de emissão a título gratuito recebida por instalações individuais pode exceder as emissões verificadas durante um ou mais anos e é autorizada a fazê-lo. No entanto, o excedente de algumas instalações não impede que as emissões globais diminuam e a maioria das instalações incorreria num custo do carbono para obter a quantidade necessária de licenças adicionais para cobrir as suas emissões. As principais razões pelas quais uma instalação pode receber um excedente de licenças de emissão a título gratuito são explicadas a seguir.</w:t>
      </w:r>
    </w:p>
    <w:p w14:paraId="1DAE82AD" w14:textId="1B6D82ED" w:rsidR="001E3B52" w:rsidRPr="0039102C" w:rsidRDefault="00782261" w:rsidP="00782261">
      <w:pPr>
        <w:pStyle w:val="CMR-text"/>
        <w:rPr>
          <w:rFonts w:cs="Times New Roman"/>
          <w:noProof/>
        </w:rPr>
      </w:pPr>
      <w:r w:rsidRPr="0039102C">
        <w:rPr>
          <w:noProof/>
        </w:rPr>
        <w:t>Os valores dos parâmetros de referência são estabelecidos e atualizados regularmente com base no desempenho médio dos 10 % de instalações mais eficientes (com menor intensidade de emissões) que utilizam esse parâmetro de referência. Tal significa que, no âmbito de cada parâmetro de referência, haveria uma série de instalações com um desempenho superior aos restantes 90 % que receberiam licenças de emissão suficientes para cobrir as suas emissões ou mesmo um excedente de licenças de emissão. Além disso, o Regulamento Atribuição de Licenças a Título Gratuito inclui disposições sobre a atribuição de licenças de emissão a título gratuito em caso de exportação e importação de calor ou de gases residuais, que podem diferir da forma como as emissões são comunicadas. As emissões e a atribuição de licenças de emissão a título gratuito nesses casos poderiam ser atribuídas a instalações separadas, resultando numa situação em que uma instalação receberia, aparentemente, mais licenças de emissão do que as suas emissões. Por exemplo, uma instalação química que importe calor de outra instalação recebe licenças de emissão a título gratuito para atenuar os riscos de fuga de carbono, enquanto as emissões são comunicadas pela instalação de produção de calor.</w:t>
      </w:r>
    </w:p>
    <w:p w14:paraId="024D0308" w14:textId="1DE3E52A" w:rsidR="00782261" w:rsidRPr="0039102C" w:rsidRDefault="00782261" w:rsidP="00782261">
      <w:pPr>
        <w:pStyle w:val="CMR-text"/>
        <w:rPr>
          <w:rFonts w:cs="Times New Roman"/>
          <w:noProof/>
        </w:rPr>
      </w:pPr>
      <w:r w:rsidRPr="0039102C">
        <w:rPr>
          <w:noProof/>
        </w:rPr>
        <w:t>São igualmente relevantes para um potencial excesso de licenças de emissão as regras relativas aos ajustamentos anuais da atribuição de licenças de emissão para refletir alterações importantes dos volumes de produção industrial (ver acima). A média de dois anos cria uma «margem de segurança», o que significa que o pleno efeito de uma diminuição significativa da produção só se aplicará plenamente aos níveis de atribuição de licenças de emissão a título gratuito dois anos mais tarde, ou seja, as emissões comunicadas diminuem imediatamente, mas não a atribuição de licenças de emissão a título gratuito.</w:t>
      </w:r>
    </w:p>
    <w:p w14:paraId="076DD4A5" w14:textId="53447D1D" w:rsidR="008949B8" w:rsidRPr="0039102C" w:rsidRDefault="002C446D" w:rsidP="00EC4FC3">
      <w:pPr>
        <w:pStyle w:val="CMR-Subheading"/>
        <w:rPr>
          <w:noProof/>
        </w:rPr>
      </w:pPr>
      <w:bookmarkStart w:id="30" w:name="_Toc218529285"/>
      <w:bookmarkStart w:id="31" w:name="_Toc180513397"/>
      <w:r w:rsidRPr="0039102C">
        <w:rPr>
          <w:noProof/>
        </w:rPr>
        <w:t>Mecanismo de Ajustamento Carbónico Fronteiriço</w:t>
      </w:r>
      <w:bookmarkEnd w:id="30"/>
      <w:bookmarkEnd w:id="31"/>
    </w:p>
    <w:p w14:paraId="7F1238B1" w14:textId="05809229" w:rsidR="00D52984" w:rsidRPr="0039102C" w:rsidRDefault="6FDB8928" w:rsidP="009035AD">
      <w:pPr>
        <w:pStyle w:val="CMR-text"/>
        <w:rPr>
          <w:rFonts w:cs="Times New Roman"/>
          <w:noProof/>
        </w:rPr>
      </w:pPr>
      <w:r w:rsidRPr="0039102C">
        <w:rPr>
          <w:noProof/>
        </w:rPr>
        <w:t>No âmbito do pacote Objetivo 55, foi adotado o Regulamento Mecanismo de Ajustamento Carbónico Fronteiriço [Regulamento (UE) 2023/956]</w:t>
      </w:r>
      <w:r w:rsidR="002C446D" w:rsidRPr="0039102C">
        <w:rPr>
          <w:rStyle w:val="FootnoteReference"/>
          <w:rFonts w:cs="Times New Roman"/>
          <w:noProof/>
        </w:rPr>
        <w:footnoteReference w:id="30"/>
      </w:r>
      <w:r w:rsidRPr="0039102C">
        <w:rPr>
          <w:noProof/>
        </w:rPr>
        <w:t>, a fim de atenuar o risco de fuga de carbono decorrente da eliminação gradual da atribuição de licenças de emissão a título gratuito enquanto a UE reforça a sua ação climática.</w:t>
      </w:r>
    </w:p>
    <w:p w14:paraId="07AE67C3" w14:textId="3073F375" w:rsidR="00CA07B3" w:rsidRPr="0039102C" w:rsidRDefault="5FC30C0E" w:rsidP="009035AD">
      <w:pPr>
        <w:pStyle w:val="CMR-text"/>
        <w:rPr>
          <w:rFonts w:cs="Times New Roman"/>
          <w:noProof/>
        </w:rPr>
      </w:pPr>
      <w:r w:rsidRPr="0039102C">
        <w:rPr>
          <w:noProof/>
        </w:rPr>
        <w:t>Em determinados setores industriais abrangidos pelo CELE (cimento, alumínio, fertilizantes, hidrogénio, ferro e aço), o CBAM substituirá gradualmente a atribuição de licenças de emissão a título gratuito, a partir de 2026. Estes setores representaram cerca de 54 % do total das licenças de emissão atribuídas a título gratuito em 2021-2025.</w:t>
      </w:r>
    </w:p>
    <w:p w14:paraId="4951FDBA" w14:textId="6B4F8AB2" w:rsidR="005941B1" w:rsidRPr="0039102C" w:rsidRDefault="00707524" w:rsidP="00BC4C9A">
      <w:pPr>
        <w:pStyle w:val="CMR-text"/>
        <w:rPr>
          <w:rFonts w:cs="Times New Roman"/>
          <w:noProof/>
        </w:rPr>
      </w:pPr>
      <w:r w:rsidRPr="0039102C">
        <w:rPr>
          <w:noProof/>
        </w:rPr>
        <w:t>Ao garantir o pagamento de um preço equivalente pelas emissões de carbono incorporadas geradas aquando da produção de determinadas mercadorias importadas para a UE, o CBAM garantirá que o preço do carbono nas importações é equivalente ao preço do carbono na produção interna (abrangida pelo CELE) e que os objetivos climáticos da UE não são prejudicados. O CBAM abrangerá as emissões diretas de todos os setores cobertos e as emissões indiretas (associadas à eletricidade consumida nos processos de produção) dos setores do cimento e dos fertilizantes. Numa primeira fase, não serão consideradas as emissões indiretas dos setores elegíveis para receberem auxílios aos custos indiretos do carbono (ou seja, o alumínio, o hidrogénio, o ferro e o aço — ver ponto 8.1).</w:t>
      </w:r>
    </w:p>
    <w:p w14:paraId="3CA1EF75" w14:textId="114CB2E9" w:rsidR="00085A37" w:rsidRPr="0039102C" w:rsidRDefault="00085A37" w:rsidP="00085A37">
      <w:pPr>
        <w:pStyle w:val="CMR-text"/>
        <w:rPr>
          <w:rFonts w:cs="Times New Roman"/>
          <w:noProof/>
        </w:rPr>
      </w:pPr>
      <w:r w:rsidRPr="0039102C">
        <w:rPr>
          <w:noProof/>
        </w:rPr>
        <w:t>Em outubro de 2023, teve início um período transitório durante o qual os importadores comunicam as emissões, mas ainda não são obrigados a efetuar pagamentos. Este período decorre até ao final de 2025, altura em que a plena aplicação será introduzida gradualmente.</w:t>
      </w:r>
    </w:p>
    <w:p w14:paraId="53883DCE" w14:textId="0DAD735F" w:rsidR="001B7142" w:rsidRPr="0039102C" w:rsidRDefault="005941B1" w:rsidP="00BC4C9A">
      <w:pPr>
        <w:pStyle w:val="CMR-text"/>
        <w:rPr>
          <w:rFonts w:cs="Times New Roman"/>
          <w:noProof/>
        </w:rPr>
      </w:pPr>
      <w:r w:rsidRPr="0039102C">
        <w:rPr>
          <w:noProof/>
        </w:rPr>
        <w:t>A partir de 2026, os importadores para a UE de mercadorias abrangidas pelos setores do CBAM terão de adquirir e devolver certificados que abranjam emissões incorporadas. A fim de apoiar os esforços de descarbonização da indústria, a Diretiva CELE canaliza para o Fundo de Inovação (ver ponto 8.2) receitas da venda em leilão de licenças de emissão que deixaram de ser atribuídas a título gratuito, prestando especial atenção a projetos nos setores abrangidos pelo CBAM.</w:t>
      </w:r>
    </w:p>
    <w:p w14:paraId="596F54A1" w14:textId="23BFC6D7" w:rsidR="00E3633C" w:rsidRPr="0039102C" w:rsidRDefault="00085A37" w:rsidP="00BC4C9A">
      <w:pPr>
        <w:pStyle w:val="CMR-text"/>
        <w:rPr>
          <w:rFonts w:cs="Times New Roman"/>
          <w:noProof/>
        </w:rPr>
      </w:pPr>
      <w:r w:rsidRPr="0039102C">
        <w:rPr>
          <w:noProof/>
        </w:rPr>
        <w:t>A UE está também a tomar medidas para simplificar e reforçar o CBAM na sua fase definitiva. Em junho de 2025, o Parlamento Europeu e o Conselho chegaram a um acordo político provisório sobre uma proposta de simplificação do CBAM, tendo esta sido formalmente adotada em setembro de 2025</w:t>
      </w:r>
      <w:r w:rsidRPr="0039102C">
        <w:rPr>
          <w:rStyle w:val="FootnoteReference"/>
          <w:rFonts w:cs="Times New Roman"/>
          <w:noProof/>
        </w:rPr>
        <w:footnoteReference w:id="31"/>
      </w:r>
      <w:r w:rsidRPr="0039102C">
        <w:rPr>
          <w:noProof/>
        </w:rPr>
        <w:t>. Um aspeto fundamental da proposta consiste em aumentar o limiar de isenção, para permitir que sejam isentas anualmente do CBAM até 50 toneladas de mercadorias importadas por importador. Prevê-se que tal isente 90 % das empresas, embora continue a cobrir 99 % das emissões. No momento da redação do presente relatório, a Comissão está também a preparar vários atos de direito derivado (atos delegados e atos de execução) para assegurar a aplicação atempada e efetiva do CBAM quando a fase definitiva tiver início, em 2026.</w:t>
      </w:r>
    </w:p>
    <w:p w14:paraId="4CD281B1" w14:textId="498F4DC3" w:rsidR="00D74578" w:rsidRPr="0039102C" w:rsidRDefault="00C46F62" w:rsidP="00BC4C9A">
      <w:pPr>
        <w:pStyle w:val="CMR-text"/>
        <w:rPr>
          <w:rFonts w:cs="Times New Roman"/>
          <w:noProof/>
        </w:rPr>
      </w:pPr>
      <w:r w:rsidRPr="0039102C">
        <w:rPr>
          <w:noProof/>
        </w:rPr>
        <w:t>A Comissão está também a preparar propostas legislativas para alargar o CBAM a determinadas mercadorias a jusante, a fim de evitar a fuga de carbono a jusante</w:t>
      </w:r>
      <w:r w:rsidR="001D20A1" w:rsidRPr="0039102C">
        <w:rPr>
          <w:rStyle w:val="FootnoteReference"/>
          <w:rFonts w:cs="Times New Roman"/>
          <w:noProof/>
        </w:rPr>
        <w:footnoteReference w:id="32"/>
      </w:r>
      <w:r w:rsidRPr="0039102C">
        <w:rPr>
          <w:noProof/>
        </w:rPr>
        <w:t>, bem como para fazer face ao risco de evasão</w:t>
      </w:r>
      <w:r w:rsidR="001D20A1" w:rsidRPr="0039102C">
        <w:rPr>
          <w:rStyle w:val="FootnoteReference"/>
          <w:rFonts w:cs="Times New Roman"/>
          <w:noProof/>
        </w:rPr>
        <w:footnoteReference w:id="33"/>
      </w:r>
      <w:r w:rsidRPr="0039102C">
        <w:rPr>
          <w:noProof/>
        </w:rPr>
        <w:t xml:space="preserve"> e ajustar as regras aplicáveis às importações de eletricidade.</w:t>
      </w:r>
    </w:p>
    <w:p w14:paraId="7B349234" w14:textId="19A70743" w:rsidR="002D6F58" w:rsidRPr="0039102C" w:rsidRDefault="00D74578" w:rsidP="00BC4C9A">
      <w:pPr>
        <w:pStyle w:val="CMR-text"/>
        <w:rPr>
          <w:rFonts w:cs="Times New Roman"/>
          <w:noProof/>
        </w:rPr>
      </w:pPr>
      <w:r w:rsidRPr="0039102C">
        <w:rPr>
          <w:noProof/>
        </w:rPr>
        <w:t>Ao mesmo tempo, a Comissão publicará uma proposta para fazer face ao risco de fuga de carbono relacionado com as exportações de mercadorias CBAM produzidas na UE, tal como anunciado na Comunicação intitulada «Realizar os objetivos do Pacto da Indústria Limpa I»</w:t>
      </w:r>
      <w:r w:rsidR="00687C48" w:rsidRPr="0039102C">
        <w:rPr>
          <w:rStyle w:val="FootnoteReference"/>
          <w:rFonts w:cs="Times New Roman"/>
          <w:noProof/>
        </w:rPr>
        <w:footnoteReference w:id="34"/>
      </w:r>
      <w:r w:rsidRPr="0039102C">
        <w:rPr>
          <w:noProof/>
        </w:rPr>
        <w:t>. Tal como debatido no relatório sobre o mercado do carbono do ano passado, a eliminação progressiva da atribuição de licenças de emissão a título gratuito significa que os produtores de mercadorias CBAM da UE terão de pagar as suas emissões de carbono incorporadas, enquanto o CBAM aborda a fuga de carbono colocando um preço do carbono equivalente nas mercadorias importadas.</w:t>
      </w:r>
    </w:p>
    <w:p w14:paraId="35C61CAE" w14:textId="4436BB4A" w:rsidR="00415808" w:rsidRPr="0039102C" w:rsidRDefault="009F7EBD" w:rsidP="00BC4C9A">
      <w:pPr>
        <w:pStyle w:val="CMR-text"/>
        <w:rPr>
          <w:rFonts w:cs="Times New Roman"/>
          <w:noProof/>
        </w:rPr>
      </w:pPr>
      <w:r w:rsidRPr="0039102C">
        <w:rPr>
          <w:noProof/>
        </w:rPr>
        <w:t>A Comissão está também a preparar uma análise exaustiva do CBAM para publicação antes do final de 2025, tal como previsto no Regulamento CBAM. Esta revisão avaliará a possibilidade de alargar o âmbito de aplicação do CBAM, os critérios utilizados para identificar as mercadorias CBAM e a metodologia de cálculo das emissões indiretas. Avaliará igualmente o sistema de governação, os custos administrativos, os progressos realizados nos debates internacionais sobre a ação climática e o impacto do CBAM nas importações provenientes de países em desenvolvimento, em especial de países menos desenvolvidos.</w:t>
      </w:r>
    </w:p>
    <w:p w14:paraId="67C5943A" w14:textId="37CE4B84" w:rsidR="00DB484C" w:rsidRPr="0039102C" w:rsidRDefault="00613B80" w:rsidP="00EC4FC3">
      <w:pPr>
        <w:pStyle w:val="CMR-Heading"/>
        <w:rPr>
          <w:noProof/>
        </w:rPr>
      </w:pPr>
      <w:bookmarkStart w:id="32" w:name="_Toc176419518"/>
      <w:bookmarkStart w:id="33" w:name="_Toc176419549"/>
      <w:bookmarkStart w:id="34" w:name="_Toc176419519"/>
      <w:bookmarkStart w:id="35" w:name="_Toc176419550"/>
      <w:bookmarkStart w:id="36" w:name="_Toc180513398"/>
      <w:bookmarkStart w:id="37" w:name="_Toc218529286"/>
      <w:bookmarkEnd w:id="32"/>
      <w:bookmarkEnd w:id="33"/>
      <w:bookmarkEnd w:id="34"/>
      <w:bookmarkEnd w:id="35"/>
      <w:r w:rsidRPr="0039102C">
        <w:rPr>
          <w:noProof/>
        </w:rPr>
        <w:t>Mercado do carbono da UE</w:t>
      </w:r>
      <w:bookmarkEnd w:id="36"/>
      <w:bookmarkEnd w:id="37"/>
    </w:p>
    <w:p w14:paraId="5899D9BF" w14:textId="547E80B1" w:rsidR="00DB484C" w:rsidRPr="0039102C" w:rsidRDefault="00E0576C" w:rsidP="00EC4FC3">
      <w:pPr>
        <w:pStyle w:val="CMR-Subheading"/>
        <w:rPr>
          <w:noProof/>
        </w:rPr>
      </w:pPr>
      <w:bookmarkStart w:id="38" w:name="_Toc180513399"/>
      <w:bookmarkStart w:id="39" w:name="_Ref207551907"/>
      <w:bookmarkStart w:id="40" w:name="_Toc218529287"/>
      <w:r w:rsidRPr="0039102C">
        <w:rPr>
          <w:noProof/>
        </w:rPr>
        <w:t>Equilíbrio entre a oferta e a procura</w:t>
      </w:r>
      <w:bookmarkEnd w:id="38"/>
      <w:bookmarkEnd w:id="39"/>
      <w:bookmarkEnd w:id="40"/>
    </w:p>
    <w:p w14:paraId="59F0CAA7" w14:textId="0033C6F2" w:rsidR="00B244AB" w:rsidRPr="0039102C" w:rsidRDefault="00B244AB" w:rsidP="0006239E">
      <w:pPr>
        <w:pStyle w:val="CMR-text"/>
        <w:rPr>
          <w:rFonts w:cs="Times New Roman"/>
          <w:noProof/>
        </w:rPr>
      </w:pPr>
      <w:r w:rsidRPr="0039102C">
        <w:rPr>
          <w:noProof/>
        </w:rPr>
        <w:t>A reserva de estabilização do mercado (REM) promove o equilíbrio e a resiliência do mercado do carbono, ajustando a oferta de licenças de emissão a leiloar anualmente no CELE. Trata-se de um instrumento assente em regras, inicialmente introduzido para resolver o desequilíbrio estrutural entre a oferta e a procura de licenças de emissão no mercado do carbono da UE, no início da fase 3. Em 2013, o mercado registou um excedente de 2 100 milhões de licenças de emissão. A REM tem contribuído, desde então, para reduzir esse excedente. A curto prazo, a REM reage a choques súbitos entre a oferta e a procura, decorrentes, por exemplo, da recessão económica causada pela pandemia de COVID-19, em 2020.</w:t>
      </w:r>
    </w:p>
    <w:p w14:paraId="059B5DC9" w14:textId="49F18E20" w:rsidR="00B244AB" w:rsidRPr="0039102C" w:rsidRDefault="00B244AB" w:rsidP="0006239E">
      <w:pPr>
        <w:pStyle w:val="CMR-text"/>
        <w:rPr>
          <w:rFonts w:cs="Times New Roman"/>
          <w:noProof/>
        </w:rPr>
      </w:pPr>
      <w:r w:rsidRPr="0039102C">
        <w:rPr>
          <w:noProof/>
        </w:rPr>
        <w:t>A REM ajusta a oferta de licenças de emissão ao mercado do carbono da UE, de acordo com limiares predefinidos em relação ao número total de licenças de emissão em circulação (NTLC). Com base no nível do NTLC, as licenças de emissão são retiradas dos leilões e colocadas na reserva ou retiradas da reserva e vendidas em leilão. Desta forma, a REM promove o equilíbrio e a resiliência face a choques entre a oferta e a procura, permitindo o bom funcionamento do mercado do carbono da UE. A reserva começou a funcionar em 2019 e, desde então, retirou licenças de emissão de circulação todos os anos.</w:t>
      </w:r>
    </w:p>
    <w:p w14:paraId="245BA34F" w14:textId="38482FFF" w:rsidR="00BA6F4D" w:rsidRPr="0039102C" w:rsidRDefault="7AA41F30" w:rsidP="0006239E">
      <w:pPr>
        <w:pStyle w:val="CMR-text"/>
        <w:rPr>
          <w:rFonts w:cs="Times New Roman"/>
          <w:noProof/>
        </w:rPr>
      </w:pPr>
      <w:r w:rsidRPr="0039102C">
        <w:rPr>
          <w:noProof/>
        </w:rPr>
        <w:t>A Comissão publica o NTLC numa base anual. É calculado para o ano anterior, sendo os ajustamentos da oferta efetuados durante os 12 meses seguintes à publicação, de acordo com uma chave específica. Em 28 de maio de 2025, a Comissão publicou a Comunicação relativa ao NTLC de 2024</w:t>
      </w:r>
      <w:r w:rsidR="00B14664" w:rsidRPr="0039102C">
        <w:rPr>
          <w:rStyle w:val="FootnoteReference"/>
          <w:rFonts w:cs="Times New Roman"/>
          <w:noProof/>
        </w:rPr>
        <w:footnoteReference w:id="35"/>
      </w:r>
      <w:r w:rsidRPr="0039102C">
        <w:rPr>
          <w:noProof/>
        </w:rPr>
        <w:t>.</w:t>
      </w:r>
    </w:p>
    <w:p w14:paraId="591D200F" w14:textId="44662A4B" w:rsidR="005819BB" w:rsidRPr="0039102C" w:rsidRDefault="00721126" w:rsidP="00314598">
      <w:pPr>
        <w:pStyle w:val="CMR-text"/>
        <w:rPr>
          <w:rFonts w:cs="Times New Roman"/>
          <w:noProof/>
        </w:rPr>
      </w:pPr>
      <w:r w:rsidRPr="0039102C">
        <w:rPr>
          <w:noProof/>
        </w:rPr>
        <w:t>O NTLC de 2024 totalizou 1,15 mil milhões de licenças de emissão, ou seja, um ligeiro aumento em relação a 2023. Consequentemente, 276 milhões de licenças de emissão (24 % do NTLC) serão retiradas dos leilões entre setembro de 2025 e agosto de 2026.</w:t>
      </w:r>
    </w:p>
    <w:p w14:paraId="2A32D739" w14:textId="1E71653A" w:rsidR="00314598" w:rsidRPr="0039102C" w:rsidRDefault="00544DEC" w:rsidP="00314598">
      <w:pPr>
        <w:pStyle w:val="CMR-text"/>
        <w:rPr>
          <w:rFonts w:cs="Times New Roman"/>
          <w:noProof/>
        </w:rPr>
      </w:pPr>
      <w:r w:rsidRPr="0039102C">
        <w:rPr>
          <w:noProof/>
        </w:rPr>
        <w:t>No início de cada ano, a REM invalida licenças de emissão nos seus ativos acima de um limiar de 400 milhões. Em 1 de janeiro de 2025, a REM invalidou 271 milhões de licenças de emissão, deixando 400 milhões na reserva. Desde 2023, a REM invalidou um total de 3 200 milhões de licenças de emissão.</w:t>
      </w:r>
    </w:p>
    <w:p w14:paraId="6668795C" w14:textId="63F01901" w:rsidR="00701B18" w:rsidRPr="0039102C" w:rsidRDefault="00AE06DF" w:rsidP="0006239E">
      <w:pPr>
        <w:pStyle w:val="CMR-text"/>
        <w:rPr>
          <w:rFonts w:cs="Times New Roman"/>
          <w:noProof/>
          <w:highlight w:val="cyan"/>
        </w:rPr>
      </w:pPr>
      <w:r w:rsidRPr="0039102C">
        <w:rPr>
          <w:noProof/>
        </w:rPr>
        <w:t>A figura 3 ilustra a tendência no excedente de licenças de emissão no mercado do carbono da UE desde 2013. As contribuições nacionais para a REM são apresentadas no ponto II do documento de trabalho dos serviços da Comissão que acompanha o presente relatório.</w:t>
      </w:r>
    </w:p>
    <w:p w14:paraId="4EF13EA9" w14:textId="147025A4" w:rsidR="00E84CD0" w:rsidRPr="0039102C" w:rsidRDefault="009268F3" w:rsidP="000006BA">
      <w:pPr>
        <w:pStyle w:val="Caption"/>
        <w:jc w:val="left"/>
        <w:rPr>
          <w:noProof/>
          <w:sz w:val="20"/>
        </w:rPr>
      </w:pPr>
      <w:r w:rsidRPr="0039102C">
        <w:rPr>
          <w:noProof/>
          <w:lang w:val="en-GB" w:eastAsia="en-GB"/>
        </w:rPr>
        <w:drawing>
          <wp:inline distT="0" distB="0" distL="0" distR="0" wp14:anchorId="2D60CED5" wp14:editId="4885B62B">
            <wp:extent cx="6099645" cy="2394585"/>
            <wp:effectExtent l="0" t="0" r="15875" b="5715"/>
            <wp:docPr id="1005387093"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DCE95C3" w14:textId="2602A7EF" w:rsidR="00966B7E" w:rsidRDefault="00E84CD0" w:rsidP="000006BA">
      <w:pPr>
        <w:pStyle w:val="Caption"/>
        <w:jc w:val="left"/>
        <w:rPr>
          <w:noProof/>
          <w:sz w:val="20"/>
        </w:rPr>
      </w:pPr>
      <w:bookmarkStart w:id="41" w:name="_Ref176771602"/>
      <w:r w:rsidRPr="0039102C">
        <w:rPr>
          <w:noProof/>
          <w:sz w:val="20"/>
        </w:rPr>
        <w:t>Figura 3</w:t>
      </w:r>
      <w:r w:rsidR="003B51C5" w:rsidRPr="0039102C">
        <w:rPr>
          <w:noProof/>
          <w:sz w:val="20"/>
        </w:rPr>
        <w:fldChar w:fldCharType="begin"/>
      </w:r>
      <w:r w:rsidR="003B51C5" w:rsidRPr="0039102C">
        <w:rPr>
          <w:noProof/>
          <w:sz w:val="20"/>
        </w:rPr>
        <w:instrText xml:space="preserve"> SEQ Figure \* ARABIC </w:instrText>
      </w:r>
      <w:r w:rsidR="003B51C5" w:rsidRPr="0039102C">
        <w:rPr>
          <w:noProof/>
          <w:sz w:val="20"/>
        </w:rPr>
        <w:fldChar w:fldCharType="end"/>
      </w:r>
      <w:bookmarkEnd w:id="41"/>
      <w:r w:rsidRPr="0039102C">
        <w:rPr>
          <w:noProof/>
          <w:sz w:val="20"/>
        </w:rPr>
        <w:t>. Excedente de licenças de emissão no CELE (2013-2024).</w:t>
      </w:r>
    </w:p>
    <w:p w14:paraId="57DC9AFF" w14:textId="77777777" w:rsidR="00C33BD9" w:rsidRPr="00C33BD9" w:rsidRDefault="00C33BD9" w:rsidP="00C33BD9">
      <w:pPr>
        <w:rPr>
          <w:noProof/>
        </w:rPr>
      </w:pPr>
    </w:p>
    <w:p w14:paraId="31D5B682" w14:textId="7F451DB6" w:rsidR="090A0939" w:rsidRPr="0039102C" w:rsidRDefault="64FB3A56" w:rsidP="00EC4FC3">
      <w:pPr>
        <w:pStyle w:val="CMR-Subheading"/>
        <w:rPr>
          <w:noProof/>
        </w:rPr>
      </w:pPr>
      <w:bookmarkStart w:id="42" w:name="_Toc180513401"/>
      <w:bookmarkStart w:id="43" w:name="_Toc218529288"/>
      <w:r w:rsidRPr="0039102C">
        <w:rPr>
          <w:noProof/>
        </w:rPr>
        <w:t>Supervisão do mercado</w:t>
      </w:r>
      <w:bookmarkEnd w:id="42"/>
      <w:bookmarkEnd w:id="43"/>
    </w:p>
    <w:p w14:paraId="647F3E25" w14:textId="05410D50" w:rsidR="301D5333" w:rsidRPr="0039102C" w:rsidRDefault="108EF2AA" w:rsidP="0006239E">
      <w:pPr>
        <w:pStyle w:val="CMR-text"/>
        <w:rPr>
          <w:rFonts w:cs="Times New Roman"/>
          <w:noProof/>
        </w:rPr>
      </w:pPr>
      <w:r w:rsidRPr="0039102C">
        <w:rPr>
          <w:noProof/>
        </w:rPr>
        <w:t>O mercado do carbono da UE está sujeito a regras sólidas de supervisão consagradas nos mercados financeiros da UE. É composto por um mercado primário, no qual as licenças de emissão são leiloadas aos participantes no mercado, e por um mercado secundário, em que os participantes no mercado negociam contratos à vista e de derivados de licenças de emissão. Tanto as licenças de emissão à vista como os derivados de licenças de emissão são classificados como instrumentos financeiros ao abrigo da MiFID II — a Diretiva relativa aos mercados de instrumentos financeiros (Diretiva 2014/65/UE)</w:t>
      </w:r>
      <w:r w:rsidR="00EC2FDE" w:rsidRPr="0039102C">
        <w:rPr>
          <w:rStyle w:val="FootnoteReference"/>
          <w:rFonts w:cs="Times New Roman"/>
          <w:noProof/>
        </w:rPr>
        <w:footnoteReference w:id="36"/>
      </w:r>
      <w:r w:rsidRPr="0039102C">
        <w:rPr>
          <w:noProof/>
        </w:rPr>
        <w:t>. Esta classificação reflete-se igualmente no direito derivado, nomeadamente o Regulamento Leilões, que supervisiona o mercado primário (leilões de licenças de emissão).</w:t>
      </w:r>
    </w:p>
    <w:p w14:paraId="4455B3A5" w14:textId="2BA8571C" w:rsidR="003A55BF" w:rsidRPr="0039102C" w:rsidRDefault="108EF2AA" w:rsidP="0006239E">
      <w:pPr>
        <w:pStyle w:val="CMR-text"/>
        <w:rPr>
          <w:rFonts w:cs="Times New Roman"/>
          <w:noProof/>
        </w:rPr>
      </w:pPr>
      <w:r w:rsidRPr="0039102C">
        <w:rPr>
          <w:noProof/>
        </w:rPr>
        <w:t>A supervisão do mercado do carbono da UE é partilhada pelas autoridades financeiras de todos os Estados-Membros</w:t>
      </w:r>
      <w:r w:rsidR="00FB65F5" w:rsidRPr="0039102C">
        <w:rPr>
          <w:rStyle w:val="FootnoteReference"/>
          <w:rFonts w:eastAsia="Times New Roman" w:cs="Times New Roman"/>
          <w:noProof/>
          <w:color w:val="333333"/>
        </w:rPr>
        <w:footnoteReference w:id="37"/>
      </w:r>
      <w:r w:rsidRPr="0039102C">
        <w:rPr>
          <w:noProof/>
        </w:rPr>
        <w:t>, coordenadas pela autoridade reguladora europeia, ou seja, a Autoridade Europeia dos Valores Mobiliários e dos Mercados (ESMA). A ESMA monitoriza o comportamento dos participantes nos mercados através de amplos requisitos em matéria de comunicação de informações e transparência. Além disso, aplicam-se outras regras dos mercados financeiros ao comércio de licenças de emissão, tais como as regras que impedem o abuso de mercado e o abuso de informação privilegiada [Regulamento (CE) n.º 596/2014]</w:t>
      </w:r>
      <w:r w:rsidR="00DE7C5D" w:rsidRPr="0039102C">
        <w:rPr>
          <w:rStyle w:val="FootnoteReference"/>
          <w:rFonts w:eastAsia="Times New Roman" w:cs="Times New Roman"/>
          <w:noProof/>
          <w:color w:val="333333"/>
        </w:rPr>
        <w:footnoteReference w:id="38"/>
      </w:r>
      <w:r w:rsidRPr="0039102C">
        <w:rPr>
          <w:noProof/>
        </w:rPr>
        <w:t>, que obriga os participantes no mercado a comunicar imediatamente ordens e transações suspeitas. As autoridades nacionais, por sua vez, têm poderes para reagir com medidas corretivas ou sanções caso identifiquem abusos de mercado.</w:t>
      </w:r>
    </w:p>
    <w:p w14:paraId="18DF17E4" w14:textId="6B468B1F" w:rsidR="00BA1805" w:rsidRPr="0039102C" w:rsidRDefault="00D82973" w:rsidP="50C721A3">
      <w:pPr>
        <w:pStyle w:val="CMR-text"/>
        <w:rPr>
          <w:rFonts w:cs="Times New Roman"/>
          <w:noProof/>
        </w:rPr>
      </w:pPr>
      <w:r w:rsidRPr="0039102C">
        <w:rPr>
          <w:noProof/>
        </w:rPr>
        <w:t>Na sequência da revisão de 2023 da Diretiva CELE, foram aplicadas várias alterações com vista a melhorar a transparência do mercado do carbono da UE. A ESMA foi incumbida de acompanhar e avaliar regularmente o funcionamento do CELE, abrangendo o mercado primário de leilões e a negociação nos mercados secundários. No seu primeiro relatório anual sobre a monitorização dos mercados do carbono da UE, publicado em 7 de outubro de 2024</w:t>
      </w:r>
      <w:r w:rsidR="00F1285D" w:rsidRPr="0039102C">
        <w:rPr>
          <w:rStyle w:val="FootnoteReference"/>
          <w:rFonts w:cs="Times New Roman"/>
          <w:noProof/>
        </w:rPr>
        <w:footnoteReference w:id="39"/>
      </w:r>
      <w:r w:rsidRPr="0039102C">
        <w:rPr>
          <w:noProof/>
        </w:rPr>
        <w:t>, e com base em dados de 2023, não detetou problemas importantes no funcionamento do mercado. A ESMA identificou a descarbonização do setor da energia e da atividade industrial como fatores determinantes da evolução dos preços nos mercados do carbono da UE.</w:t>
      </w:r>
    </w:p>
    <w:p w14:paraId="2FCE02F7" w14:textId="0C54097E" w:rsidR="00642E53" w:rsidRPr="0039102C" w:rsidRDefault="009B0B48" w:rsidP="00C85649">
      <w:pPr>
        <w:pStyle w:val="CMR-text"/>
        <w:rPr>
          <w:rFonts w:cs="Times New Roman"/>
          <w:noProof/>
        </w:rPr>
      </w:pPr>
      <w:r w:rsidRPr="0039102C">
        <w:rPr>
          <w:noProof/>
        </w:rPr>
        <w:t>No seu relatório mais recente</w:t>
      </w:r>
      <w:r w:rsidR="00C61794" w:rsidRPr="0039102C">
        <w:rPr>
          <w:rStyle w:val="FootnoteReference"/>
          <w:rFonts w:cs="Times New Roman"/>
          <w:noProof/>
        </w:rPr>
        <w:footnoteReference w:id="40"/>
      </w:r>
      <w:r w:rsidRPr="0039102C">
        <w:rPr>
          <w:noProof/>
        </w:rPr>
        <w:t>, publicado em 22 de outubro de 2025 e baseado em dados de mercado de 2024, a ESMA voltou a confirmar que os mercados do carbono evoluíram em consonância com as expectativas do mercado. A análise reafirma os padrões e tendências salientados no relatório anterior. O relatório de 2025 demonstra uma diminuição inicial gradual dos preços do CELE em 2024, seguida de uma estabilização impulsionada pela fraca procura do setor da energia, cuja descarbonização prosseguiu, e por volumes de leilões mais elevados. A ESMA também reconfirmou a persistência da concentração relativa dos leilões, que é atribuída à preferência dos operadores pela aquisição de licenças de emissão através de intermediários financeiros.</w:t>
      </w:r>
    </w:p>
    <w:p w14:paraId="7FE0F5B3" w14:textId="12331CF7" w:rsidR="00BA3BBE" w:rsidRPr="0039102C" w:rsidRDefault="00BA3BBE" w:rsidP="00C85649">
      <w:pPr>
        <w:pStyle w:val="CMR-text"/>
        <w:rPr>
          <w:rFonts w:cs="Times New Roman"/>
          <w:noProof/>
        </w:rPr>
      </w:pPr>
      <w:r w:rsidRPr="0039102C">
        <w:rPr>
          <w:noProof/>
        </w:rPr>
        <w:t>A ESMA observou que a atividade de negociação aumentou 35 % em 2024, atingindo um total de 13,7 mil milhões de toneladas de CO</w:t>
      </w:r>
      <w:r w:rsidRPr="0039102C">
        <w:rPr>
          <w:noProof/>
          <w:vertAlign w:val="subscript"/>
        </w:rPr>
        <w:t>2</w:t>
      </w:r>
      <w:r w:rsidRPr="0039102C">
        <w:rPr>
          <w:noProof/>
        </w:rPr>
        <w:t>eq trocadas em 4,7 milhões de transações. O crescimento do mercado foi principalmente impulsionado pela negociação em plataformas, enquanto a atividade de negociação fora da bolsa (no mercado de balcão) se manteve estável. As empresas de investimento e as instituições de crédito continuam a desempenhar um papel importante tanto nos mercados em bolsa como fora deles, representando 63 % dos volumes totais de negociação.</w:t>
      </w:r>
    </w:p>
    <w:p w14:paraId="5A806A93" w14:textId="3D598AD2" w:rsidR="00E86FD6" w:rsidRPr="0039102C" w:rsidRDefault="007E7958" w:rsidP="009B25EB">
      <w:pPr>
        <w:pStyle w:val="CMR-text"/>
        <w:rPr>
          <w:rFonts w:cs="Times New Roman"/>
          <w:noProof/>
        </w:rPr>
      </w:pPr>
      <w:r w:rsidRPr="0039102C">
        <w:rPr>
          <w:noProof/>
        </w:rPr>
        <w:t>A ESMA salientou que os contratos de futuros, que representaram três quartos dos volumes negociados em 2024, são fundamentais para os mercados de derivados. De um modo geral, o mercado secundário contribui para o bom funcionamento do CELE, facilitando a aquisição de licenças de emissão por entidades responsáveis pela conformidade a intermediários financeiros.</w:t>
      </w:r>
    </w:p>
    <w:p w14:paraId="59993081" w14:textId="2F2F6837" w:rsidR="00D03E38" w:rsidRPr="0039102C" w:rsidRDefault="006C66F1" w:rsidP="00C85649">
      <w:pPr>
        <w:pStyle w:val="CMR-text"/>
        <w:rPr>
          <w:rFonts w:cs="Times New Roman"/>
          <w:noProof/>
        </w:rPr>
      </w:pPr>
      <w:r w:rsidRPr="0039102C">
        <w:rPr>
          <w:noProof/>
        </w:rPr>
        <w:t>A ESMA reiterou a importância de disponibilizar identificadores de entidade jurídica (LEI) às entidades inscritas no Registo da União e apela a um esforço adicional por parte dos administradores nacionais com vista a assegurar a aplicação aos titulares de contas do requisito de registo do LEI no Registo da União. Este aspeto continuará a ser particularmente relevante em 2025, uma vez que o número de titulares de contas continua a aumentar devido ao alargamento do CELE ao setor marítimo e ao lançamento do CELE 2 para os setores da construção, do transporte rodoviário e outros. A ESMA considera que se justifica, a este respeito, uma análise e uma monitorização mais aprofundadas do mercado do carbono.</w:t>
      </w:r>
    </w:p>
    <w:p w14:paraId="5F34B86E" w14:textId="48BDDC39" w:rsidR="00251165" w:rsidRPr="0039102C" w:rsidRDefault="0EE9AD71" w:rsidP="00C85649">
      <w:pPr>
        <w:pStyle w:val="CMR-text"/>
        <w:rPr>
          <w:rFonts w:cs="Times New Roman"/>
          <w:noProof/>
        </w:rPr>
      </w:pPr>
      <w:r w:rsidRPr="0039102C">
        <w:rPr>
          <w:noProof/>
        </w:rPr>
        <w:t>Embora não seja obrigatório dispor de um LEI para abrir uma conta no Registo da União, as entidades que tenham um LEI são obrigadas a comunicá-lo no Registo da União aquando da abertura de uma conta. Além disso, a alteração de 2023 do Regulamento Registo [Regulamento Delegado (UE) 2019/1122]</w:t>
      </w:r>
      <w:r w:rsidR="000C4C3C" w:rsidRPr="0039102C">
        <w:rPr>
          <w:rStyle w:val="FootnoteReference"/>
          <w:rFonts w:cs="Times New Roman"/>
          <w:noProof/>
        </w:rPr>
        <w:footnoteReference w:id="41"/>
      </w:r>
      <w:r w:rsidRPr="0039102C">
        <w:rPr>
          <w:noProof/>
        </w:rPr>
        <w:t xml:space="preserve"> exige que os administradores nacionais verifiquem, até ao final de 2024, as contas que não contêm informações sobre o LEI ou o estado da plataforma de negociação ou da contraparte central a que se refere o quadro III-I do anexo III desse regulamento. Apesar da obrigação de rever as informações sobre a disponibilidade de LEI, essa disponibilidade continua a ser inferior às expectativas.</w:t>
      </w:r>
    </w:p>
    <w:p w14:paraId="5DF6AA9F" w14:textId="36B6532B" w:rsidR="00AC64A9" w:rsidRPr="0039102C" w:rsidRDefault="7560A819" w:rsidP="00C85649">
      <w:pPr>
        <w:pStyle w:val="CMR-text"/>
        <w:rPr>
          <w:rFonts w:cs="Times New Roman"/>
          <w:noProof/>
        </w:rPr>
      </w:pPr>
      <w:r w:rsidRPr="0039102C">
        <w:rPr>
          <w:noProof/>
        </w:rPr>
        <w:t>Em 28 de março de 2024, entrou em vigor a versão revista da MiFID II</w:t>
      </w:r>
      <w:r w:rsidR="0067277D" w:rsidRPr="0039102C">
        <w:rPr>
          <w:rFonts w:cs="Times New Roman"/>
          <w:noProof/>
          <w:vertAlign w:val="superscript"/>
        </w:rPr>
        <w:footnoteReference w:id="42"/>
      </w:r>
      <w:r w:rsidRPr="0039102C">
        <w:rPr>
          <w:noProof/>
        </w:rPr>
        <w:t xml:space="preserve"> e o MiFIR — Regulamento Mercados de Instrumentos Financeiros [Regulamento (UE) 2024/791]</w:t>
      </w:r>
      <w:r w:rsidR="00B362EB" w:rsidRPr="0039102C">
        <w:rPr>
          <w:rFonts w:cs="Times New Roman"/>
          <w:noProof/>
          <w:vertAlign w:val="superscript"/>
        </w:rPr>
        <w:footnoteReference w:id="43"/>
      </w:r>
      <w:r w:rsidRPr="0039102C">
        <w:rPr>
          <w:noProof/>
        </w:rPr>
        <w:t>, que reforçam ainda mais as regras relativas aos mercados financeiros, à transparência e à supervisão. O artigo 57.º do MiFIR alarga os controlos de gestão de posições a plataformas de negociação que negoceiem derivados de licenças de emissão. O artigo 58.º do MiFIR altera o âmbito da comunicação de posições pelas plataformas de negociação e pelas empresas de investimento, excluindo as licenças de emissão, e introduz uma nova obrigação de apresentar relatórios de posição duas vezes por semana</w:t>
      </w:r>
      <w:r w:rsidR="005D5E97" w:rsidRPr="0039102C">
        <w:rPr>
          <w:rFonts w:cs="Times New Roman"/>
          <w:noProof/>
          <w:vertAlign w:val="superscript"/>
        </w:rPr>
        <w:footnoteReference w:id="44"/>
      </w:r>
      <w:r w:rsidRPr="0039102C">
        <w:rPr>
          <w:noProof/>
        </w:rPr>
        <w:t>, melhorando a transparência na negociação de licenças de emissão e respetivos derivados.</w:t>
      </w:r>
    </w:p>
    <w:p w14:paraId="32EA8BB5" w14:textId="3D7D256F" w:rsidR="007C6401" w:rsidRPr="0039102C" w:rsidRDefault="00341EF6" w:rsidP="003D21B9">
      <w:pPr>
        <w:pStyle w:val="CMR-text"/>
        <w:rPr>
          <w:rFonts w:cs="Times New Roman"/>
          <w:noProof/>
        </w:rPr>
      </w:pPr>
      <w:r w:rsidRPr="0039102C">
        <w:rPr>
          <w:noProof/>
        </w:rPr>
        <w:t>Dando seguimento a estas novas regras, a Comissão está a rever o quadro regulamentar aplicável aos mercados de derivados de mercadorias, incluindo as licenças de emissão. Está a avaliar se os limites às posições e os controlos de gestão podem contribuir para prevenir abusos de mercado e promover condições ordenadas de formação dos preços e de liquidação. Além disso, a Comissão está a avaliar os critérios para definir as atividades auxiliares a nível de grupo e a explorar a possibilidade de centralizar e harmonizar a recolha de dados sobre transações no âmbito do MiFIR e do EMIR – Regulamento relativo à Infraestrutura do Mercado Europeu (Regulamento (UE) n.º 648/2012)</w:t>
      </w:r>
      <w:r w:rsidR="00E24CBE" w:rsidRPr="0039102C">
        <w:rPr>
          <w:rStyle w:val="FootnoteReference"/>
          <w:rFonts w:cs="Times New Roman"/>
          <w:noProof/>
        </w:rPr>
        <w:footnoteReference w:id="45"/>
      </w:r>
      <w:r w:rsidRPr="0039102C">
        <w:rPr>
          <w:noProof/>
        </w:rPr>
        <w:t>, bem como a avaliar quais os dados que devem ser públicos e qual a melhor forma de os divulgar. No âmbito deste trabalho, a Comissão realizou uma consulta específica</w:t>
      </w:r>
      <w:r w:rsidR="00476CD9" w:rsidRPr="0039102C">
        <w:rPr>
          <w:rStyle w:val="FootnoteReference"/>
          <w:rFonts w:cs="Times New Roman"/>
          <w:noProof/>
        </w:rPr>
        <w:footnoteReference w:id="46"/>
      </w:r>
      <w:r w:rsidRPr="0039102C">
        <w:rPr>
          <w:noProof/>
        </w:rPr>
        <w:t xml:space="preserve"> sobre a análise do funcionamento dos mercados de derivados de mercadorias e de certos aspetos relacionados com os mercados de energia à vista, que também abrangem as regras dos mercados financeiros aplicáveis às licenças de emissão.</w:t>
      </w:r>
    </w:p>
    <w:p w14:paraId="2B3E0621" w14:textId="0511D6EA" w:rsidR="00EC7AB4" w:rsidRPr="0039102C" w:rsidRDefault="00FF336D" w:rsidP="003D21B9">
      <w:pPr>
        <w:pStyle w:val="CMR-text"/>
        <w:rPr>
          <w:rFonts w:cs="Times New Roman"/>
          <w:noProof/>
        </w:rPr>
      </w:pPr>
      <w:r w:rsidRPr="0039102C">
        <w:rPr>
          <w:noProof/>
        </w:rPr>
        <w:t>As conclusões da consulta específica sobre o quadro dos derivados de mercadorias contribuirão para os trabalhos do Grupo de Missão do Mercado do Gás, criado no início de 2025 no âmbito do plano de ação para a energia a preços acessíveis</w:t>
      </w:r>
      <w:r w:rsidR="00E85050" w:rsidRPr="0039102C">
        <w:rPr>
          <w:rStyle w:val="FootnoteReference"/>
          <w:rFonts w:cs="Times New Roman"/>
          <w:noProof/>
        </w:rPr>
        <w:footnoteReference w:id="47"/>
      </w:r>
      <w:r w:rsidRPr="0039102C">
        <w:rPr>
          <w:noProof/>
        </w:rPr>
        <w:t>, a fim de examinar o funcionamento dos mercados do gás da UE e intervir sempre que necessário e adequado. Uma vez que as regras relativas aos produtos derivados de energia também se aplicam, de um modo geral, ao comércio de licenças de emissão e produtos derivados associados, quaisquer conclusões do grupo de missão, que deverá concluir os seus trabalhos até ao final de 2025, poderão ser pertinentes para os mercados de carbono da UE.</w:t>
      </w:r>
    </w:p>
    <w:p w14:paraId="3DD8AE7E" w14:textId="3164585F" w:rsidR="00613B80" w:rsidRPr="0039102C" w:rsidRDefault="00613B80" w:rsidP="00EC4FC3">
      <w:pPr>
        <w:pStyle w:val="CMR-Heading"/>
        <w:rPr>
          <w:noProof/>
        </w:rPr>
      </w:pPr>
      <w:bookmarkStart w:id="44" w:name="_Toc180513402"/>
      <w:bookmarkStart w:id="45" w:name="_Toc218529289"/>
      <w:r w:rsidRPr="0039102C">
        <w:rPr>
          <w:noProof/>
        </w:rPr>
        <w:t>Tendências das emissões</w:t>
      </w:r>
      <w:bookmarkEnd w:id="44"/>
      <w:bookmarkEnd w:id="45"/>
    </w:p>
    <w:p w14:paraId="265A9ACD" w14:textId="186E7C58" w:rsidR="00155EEB" w:rsidRPr="0039102C" w:rsidRDefault="71BFB6D5" w:rsidP="00B65C51">
      <w:pPr>
        <w:pStyle w:val="CMR-text"/>
        <w:rPr>
          <w:rFonts w:cs="Times New Roman"/>
          <w:noProof/>
        </w:rPr>
      </w:pPr>
      <w:r w:rsidRPr="0039102C">
        <w:rPr>
          <w:noProof/>
        </w:rPr>
        <w:t>Em 2024, as emissões globais no âmbito do CELE ascenderam a 1 187 milhões de toneladas (Mt)</w:t>
      </w:r>
      <w:r w:rsidR="00BA3479" w:rsidRPr="0039102C">
        <w:rPr>
          <w:rStyle w:val="FootnoteReference"/>
          <w:rFonts w:cs="Times New Roman"/>
          <w:noProof/>
        </w:rPr>
        <w:footnoteReference w:id="48"/>
      </w:r>
      <w:r w:rsidRPr="0039102C">
        <w:rPr>
          <w:noProof/>
        </w:rPr>
        <w:t>. Este valor é mais elevado do que em 2023 (1 150,3 Mt de CO</w:t>
      </w:r>
      <w:r w:rsidRPr="0039102C">
        <w:rPr>
          <w:noProof/>
          <w:vertAlign w:val="subscript"/>
        </w:rPr>
        <w:t>2</w:t>
      </w:r>
      <w:r w:rsidRPr="0039102C">
        <w:rPr>
          <w:noProof/>
        </w:rPr>
        <w:t>eq), em parte devido à inclusão do setor marítimo no CELE. Considerando apenas as instalações e os operadores de aeronaves, as emissões abrangidas pelo CELE em 2024 foram 4,4 % inferiores ao nível de 2023.</w:t>
      </w:r>
    </w:p>
    <w:p w14:paraId="6754C0DF" w14:textId="50D00197" w:rsidR="002E0E53" w:rsidRPr="0039102C" w:rsidRDefault="2B9C80DF" w:rsidP="00B65C51">
      <w:pPr>
        <w:pStyle w:val="CMR-text"/>
        <w:rPr>
          <w:rFonts w:cs="Times New Roman"/>
          <w:noProof/>
        </w:rPr>
      </w:pPr>
      <w:r w:rsidRPr="0039102C">
        <w:rPr>
          <w:noProof/>
        </w:rPr>
        <w:t>As emissões das instalações elétricas e industriais ascenderam a 1 033,3 Mt de CO2eq, o que representa uma diminuição de 5,8 % em relação aos níveis de 2023. Dado este progresso, as emissões abrangidas pelo CELE provenientes destas instalações são agora cerca de 50 % inferiores aos níveis de 2005 e estão no bom caminho para alcançar a meta de redução de 62 % estabelecida para 2030. O quadro 4 apresenta os dados relativos às emissões anuais das instalações. As emissões provenientes da aviação e do transporte marítimo são analisadas nos pontos 9 e 10, respetivamente.</w:t>
      </w:r>
    </w:p>
    <w:p w14:paraId="46D38617" w14:textId="28AE2EAE" w:rsidR="006210A4" w:rsidRPr="0039102C" w:rsidRDefault="45F1AB47" w:rsidP="00664AF0">
      <w:pPr>
        <w:pStyle w:val="CMR-text"/>
        <w:rPr>
          <w:rFonts w:cs="Times New Roman"/>
          <w:noProof/>
        </w:rPr>
      </w:pPr>
      <w:r w:rsidRPr="0039102C">
        <w:rPr>
          <w:noProof/>
        </w:rPr>
        <w:t>Os principais contribuintes para a redução global das emissões abrangidas pelo CELE foram os setores do calor e da eletricidade. As emissões provenientes da produção de eletricidade e calor diminuíram 10,7 % em comparação com 2023</w:t>
      </w:r>
      <w:r w:rsidR="00EC5BCA" w:rsidRPr="0039102C">
        <w:rPr>
          <w:rStyle w:val="FootnoteReference"/>
          <w:rFonts w:cs="Times New Roman"/>
          <w:noProof/>
        </w:rPr>
        <w:footnoteReference w:id="49"/>
      </w:r>
      <w:r w:rsidRPr="0039102C">
        <w:rPr>
          <w:noProof/>
        </w:rPr>
        <w:t>, em grande parte devido a um aumento substancial da quota das energias renováveis e da energia nuclear na matriz elétrica, associado a uma menor dependência dos principais combustíveis fósseis, como o gás natural e o carvão (ver ponto 7.1). Esta tendência surgiu apesar dos preços médios mais baixos do carbono em 2024 (na sua maioria dentro do intervalo de 60</w:t>
      </w:r>
      <w:r w:rsidR="00217ECB">
        <w:rPr>
          <w:noProof/>
        </w:rPr>
        <w:noBreakHyphen/>
      </w:r>
      <w:r w:rsidRPr="0039102C">
        <w:rPr>
          <w:noProof/>
        </w:rPr>
        <w:t>75 EUR) e de um aumento global da produção de eletricidade.</w:t>
      </w:r>
    </w:p>
    <w:p w14:paraId="7F47588A" w14:textId="51A6DC0E" w:rsidR="00897B8A" w:rsidRPr="0039102C" w:rsidRDefault="72E16706" w:rsidP="00664AF0">
      <w:pPr>
        <w:pStyle w:val="CMR-text"/>
        <w:rPr>
          <w:rFonts w:cs="Times New Roman"/>
          <w:noProof/>
        </w:rPr>
      </w:pPr>
      <w:r w:rsidRPr="0039102C">
        <w:rPr>
          <w:noProof/>
        </w:rPr>
        <w:t>Em 2024, as energias renováveis e os biocombustíveis foram a principal fonte de eletricidade na UE, captando 47,2 % da quota. A produção global de eletricidade renovável aumentou 7,6 % em 2024, tendo a energia solar registado um aumento extraordinário de 19,3 % e a energia hidroelétrica aumentado 12 %, embora a utilização de biocombustíveis tenha diminuído 5,2 %</w:t>
      </w:r>
      <w:r w:rsidR="00B60243" w:rsidRPr="0039102C">
        <w:rPr>
          <w:rStyle w:val="FootnoteReference"/>
          <w:rFonts w:cs="Times New Roman"/>
          <w:noProof/>
        </w:rPr>
        <w:footnoteReference w:id="50"/>
      </w:r>
      <w:r w:rsidRPr="0039102C">
        <w:rPr>
          <w:noProof/>
        </w:rPr>
        <w:t>.</w:t>
      </w:r>
    </w:p>
    <w:p w14:paraId="5C611B32" w14:textId="7408F764" w:rsidR="003B749F" w:rsidRPr="0039102C" w:rsidRDefault="00C8562E" w:rsidP="00664AF0">
      <w:pPr>
        <w:pStyle w:val="CMR-text"/>
        <w:rPr>
          <w:rFonts w:cs="Times New Roman"/>
          <w:noProof/>
        </w:rPr>
      </w:pPr>
      <w:r w:rsidRPr="0039102C">
        <w:rPr>
          <w:noProof/>
        </w:rPr>
        <w:t>A energia nuclear e a combustão de combustíveis fósseis contribuíram, respetivamente, com 23,5 % e 28,1 % para a produção de eletricidade, o que inclui uma diminuição de 11,9 % da eletricidade produzida a partir do carvão, uma queda de 8,1 % da utilização de gás natural, um aumento de 5,2 % da eletricidade produzida a partir do petróleo e um aumento de 5,1 % da produção de energia nuclear.</w:t>
      </w:r>
    </w:p>
    <w:p w14:paraId="0C5EAE72" w14:textId="11A924BA" w:rsidR="00E2084F" w:rsidRPr="0039102C" w:rsidRDefault="678FB2C1" w:rsidP="00664AF0">
      <w:pPr>
        <w:pStyle w:val="CMR-text"/>
        <w:rPr>
          <w:rFonts w:cs="Times New Roman"/>
          <w:noProof/>
        </w:rPr>
      </w:pPr>
      <w:r w:rsidRPr="0039102C">
        <w:rPr>
          <w:noProof/>
        </w:rPr>
        <w:t>Em 2024, a UE registou outro ano recorde a nível de instalações com capacidade de energia solar, com 65,5 GW adicionados, elevando o total para 338 GW, tal como comunicado pela SolarPower Europe. Segundo a WindEurope, a capacidade de energia eólica atingiu 234 GW, tendo sido instalados 12,9 GW no mesmo ano.</w:t>
      </w:r>
    </w:p>
    <w:p w14:paraId="6AFE5FD0" w14:textId="77231DAD" w:rsidR="00317FAE" w:rsidRPr="0039102C" w:rsidRDefault="55C8FAFD" w:rsidP="00A71432">
      <w:pPr>
        <w:pStyle w:val="CMR-text"/>
        <w:rPr>
          <w:rFonts w:cs="Times New Roman"/>
          <w:noProof/>
        </w:rPr>
      </w:pPr>
      <w:r w:rsidRPr="0039102C">
        <w:rPr>
          <w:rStyle w:val="CMR-textChar"/>
          <w:noProof/>
        </w:rPr>
        <w:t>Em 2024, as emissões das instalações industriais diminuíram ligeiramente em 0,8 %</w:t>
      </w:r>
      <w:r w:rsidRPr="0039102C">
        <w:rPr>
          <w:noProof/>
        </w:rPr>
        <w:t xml:space="preserve"> em comparação com 2023. Apesar da redução global da produção industrial</w:t>
      </w:r>
      <w:r w:rsidR="005A5A04" w:rsidRPr="0039102C">
        <w:rPr>
          <w:rStyle w:val="FootnoteReference"/>
          <w:rFonts w:cs="Times New Roman"/>
          <w:noProof/>
        </w:rPr>
        <w:footnoteReference w:id="51"/>
      </w:r>
      <w:r w:rsidRPr="0039102C">
        <w:rPr>
          <w:noProof/>
        </w:rPr>
        <w:t>, observou-se uma recuperação modesta em alguns setores com utilização intensiva de energia, como o aço, os fertilizantes e os produtos químicos, o que sugere que estes setores estão a intensificar gradualmente a sua atividade após a crise energética desencadeada pelo aumento dos preços do gás natural em 2022, devido à invasão da Ucrânia pela Rússia. A variação da produção em diferentes setores pode justificar a tendência geral para a estagnação das emissões, mesmo que se tenham observado, em 2024, pequenas melhorias da eficiência energética em determinados setores.</w:t>
      </w:r>
    </w:p>
    <w:p w14:paraId="758D68A2" w14:textId="1707BDAD" w:rsidR="009235EF" w:rsidRPr="0039102C" w:rsidRDefault="009235EF" w:rsidP="00787D75">
      <w:pPr>
        <w:pStyle w:val="Caption"/>
        <w:keepNext/>
        <w:rPr>
          <w:noProof/>
          <w:sz w:val="20"/>
        </w:rPr>
      </w:pPr>
      <w:bookmarkStart w:id="46" w:name="_Ref176771676"/>
      <w:r w:rsidRPr="0039102C">
        <w:rPr>
          <w:noProof/>
        </w:rPr>
        <w:t xml:space="preserve">Quadro </w:t>
      </w:r>
      <w:bookmarkEnd w:id="46"/>
      <w:r w:rsidRPr="0039102C">
        <w:rPr>
          <w:noProof/>
        </w:rPr>
        <w:t>4.</w:t>
      </w:r>
      <w:r w:rsidRPr="0039102C">
        <w:rPr>
          <w:noProof/>
          <w:sz w:val="20"/>
        </w:rPr>
        <w:t xml:space="preserve"> Emissões verificadas de instalações abrangidas pelo CELE (2019-2024) [milhões de toneladas de CO</w:t>
      </w:r>
      <w:r w:rsidRPr="0039102C">
        <w:rPr>
          <w:noProof/>
          <w:sz w:val="20"/>
          <w:vertAlign w:val="subscript"/>
        </w:rPr>
        <w:t>2</w:t>
      </w:r>
      <w:r w:rsidRPr="0039102C">
        <w:rPr>
          <w:noProof/>
          <w:sz w:val="20"/>
        </w:rPr>
        <w:t>eq]. Dados extraídos do Registo da União em 1 de outubro de 2025.</w:t>
      </w:r>
    </w:p>
    <w:tbl>
      <w:tblPr>
        <w:tblStyle w:val="TableGridLight"/>
        <w:tblW w:w="5000" w:type="pct"/>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2048"/>
        <w:gridCol w:w="1001"/>
        <w:gridCol w:w="1479"/>
        <w:gridCol w:w="1479"/>
        <w:gridCol w:w="1003"/>
        <w:gridCol w:w="1003"/>
        <w:gridCol w:w="1003"/>
      </w:tblGrid>
      <w:tr w:rsidR="00AE0487" w:rsidRPr="0039102C" w14:paraId="44BC9381" w14:textId="0D09117E" w:rsidTr="000E7DB9">
        <w:trPr>
          <w:cantSplit/>
        </w:trPr>
        <w:tc>
          <w:tcPr>
            <w:tcW w:w="1136" w:type="pct"/>
            <w:vAlign w:val="center"/>
          </w:tcPr>
          <w:p w14:paraId="1E7C9FB8" w14:textId="4F6DAC21" w:rsidR="00AE0487" w:rsidRPr="0039102C" w:rsidRDefault="00AE0487" w:rsidP="005518BD">
            <w:pPr>
              <w:pStyle w:val="CMR-tables"/>
              <w:keepNext/>
              <w:rPr>
                <w:rFonts w:cs="Times New Roman"/>
                <w:b/>
                <w:noProof/>
                <w:szCs w:val="20"/>
              </w:rPr>
            </w:pPr>
            <w:r w:rsidRPr="0039102C">
              <w:rPr>
                <w:b/>
                <w:noProof/>
              </w:rPr>
              <w:t>Ano</w:t>
            </w:r>
          </w:p>
        </w:tc>
        <w:tc>
          <w:tcPr>
            <w:tcW w:w="555" w:type="pct"/>
            <w:vAlign w:val="center"/>
          </w:tcPr>
          <w:p w14:paraId="2E081815" w14:textId="7C9AEE9B" w:rsidR="00AE0487" w:rsidRPr="0039102C" w:rsidRDefault="00AE0487" w:rsidP="005518BD">
            <w:pPr>
              <w:pStyle w:val="CMR-tables"/>
              <w:keepNext/>
              <w:jc w:val="center"/>
              <w:rPr>
                <w:rFonts w:cs="Times New Roman"/>
                <w:noProof/>
                <w:szCs w:val="20"/>
              </w:rPr>
            </w:pPr>
            <w:r w:rsidRPr="0039102C">
              <w:rPr>
                <w:noProof/>
              </w:rPr>
              <w:t>2019</w:t>
            </w:r>
          </w:p>
        </w:tc>
        <w:tc>
          <w:tcPr>
            <w:tcW w:w="820" w:type="pct"/>
            <w:vAlign w:val="center"/>
          </w:tcPr>
          <w:p w14:paraId="0790A6FD" w14:textId="5BF818FD" w:rsidR="00AE0487" w:rsidRPr="0039102C" w:rsidRDefault="00AE0487" w:rsidP="005518BD">
            <w:pPr>
              <w:pStyle w:val="CMR-tables"/>
              <w:keepNext/>
              <w:jc w:val="center"/>
              <w:rPr>
                <w:rFonts w:cs="Times New Roman"/>
                <w:noProof/>
                <w:szCs w:val="20"/>
              </w:rPr>
            </w:pPr>
            <w:r w:rsidRPr="0039102C">
              <w:rPr>
                <w:noProof/>
              </w:rPr>
              <w:t>2020</w:t>
            </w:r>
          </w:p>
        </w:tc>
        <w:tc>
          <w:tcPr>
            <w:tcW w:w="820" w:type="pct"/>
            <w:vAlign w:val="center"/>
          </w:tcPr>
          <w:p w14:paraId="5362E4B7" w14:textId="44293D3D" w:rsidR="00AE0487" w:rsidRPr="0039102C" w:rsidRDefault="00AE0487" w:rsidP="005518BD">
            <w:pPr>
              <w:pStyle w:val="CMR-tables"/>
              <w:keepNext/>
              <w:jc w:val="center"/>
              <w:rPr>
                <w:rFonts w:cs="Times New Roman"/>
                <w:noProof/>
                <w:szCs w:val="20"/>
              </w:rPr>
            </w:pPr>
            <w:r w:rsidRPr="0039102C">
              <w:rPr>
                <w:noProof/>
              </w:rPr>
              <w:t>2021</w:t>
            </w:r>
          </w:p>
        </w:tc>
        <w:tc>
          <w:tcPr>
            <w:tcW w:w="556" w:type="pct"/>
            <w:vAlign w:val="center"/>
          </w:tcPr>
          <w:p w14:paraId="13ED3226" w14:textId="6B0EE53F" w:rsidR="00AE0487" w:rsidRPr="0039102C" w:rsidRDefault="00AE0487" w:rsidP="005518BD">
            <w:pPr>
              <w:pStyle w:val="CMR-tables"/>
              <w:keepNext/>
              <w:jc w:val="center"/>
              <w:rPr>
                <w:rFonts w:cs="Times New Roman"/>
                <w:noProof/>
                <w:szCs w:val="20"/>
              </w:rPr>
            </w:pPr>
            <w:r w:rsidRPr="0039102C">
              <w:rPr>
                <w:noProof/>
              </w:rPr>
              <w:t>2022</w:t>
            </w:r>
          </w:p>
        </w:tc>
        <w:tc>
          <w:tcPr>
            <w:tcW w:w="556" w:type="pct"/>
            <w:vAlign w:val="center"/>
          </w:tcPr>
          <w:p w14:paraId="0DA9A457" w14:textId="54513474" w:rsidR="00AE0487" w:rsidRPr="0039102C" w:rsidRDefault="00AE0487" w:rsidP="005518BD">
            <w:pPr>
              <w:pStyle w:val="CMR-tables"/>
              <w:keepNext/>
              <w:jc w:val="center"/>
              <w:rPr>
                <w:rFonts w:cs="Times New Roman"/>
                <w:noProof/>
                <w:szCs w:val="20"/>
              </w:rPr>
            </w:pPr>
            <w:r w:rsidRPr="0039102C">
              <w:rPr>
                <w:noProof/>
              </w:rPr>
              <w:t>2023</w:t>
            </w:r>
          </w:p>
        </w:tc>
        <w:tc>
          <w:tcPr>
            <w:tcW w:w="556" w:type="pct"/>
          </w:tcPr>
          <w:p w14:paraId="2FF0C612" w14:textId="1488E552" w:rsidR="00AE0487" w:rsidRPr="0039102C" w:rsidRDefault="00AE0487" w:rsidP="005518BD">
            <w:pPr>
              <w:pStyle w:val="CMR-tables"/>
              <w:keepNext/>
              <w:jc w:val="center"/>
              <w:rPr>
                <w:rFonts w:cs="Times New Roman"/>
                <w:noProof/>
                <w:szCs w:val="20"/>
              </w:rPr>
            </w:pPr>
            <w:r w:rsidRPr="0039102C">
              <w:rPr>
                <w:noProof/>
              </w:rPr>
              <w:t>2024</w:t>
            </w:r>
          </w:p>
        </w:tc>
      </w:tr>
      <w:tr w:rsidR="00724F16" w:rsidRPr="0039102C" w14:paraId="499AD4CA" w14:textId="20970132" w:rsidTr="000E7DB9">
        <w:trPr>
          <w:cantSplit/>
          <w:trHeight w:val="884"/>
        </w:trPr>
        <w:tc>
          <w:tcPr>
            <w:tcW w:w="1136" w:type="pct"/>
            <w:shd w:val="clear" w:color="auto" w:fill="D9E2F3" w:themeFill="accent1" w:themeFillTint="33"/>
            <w:vAlign w:val="center"/>
          </w:tcPr>
          <w:p w14:paraId="18C06FAF" w14:textId="137FF181" w:rsidR="00AE0487" w:rsidRPr="0039102C" w:rsidRDefault="00AE0487" w:rsidP="005C4EA4">
            <w:pPr>
              <w:pStyle w:val="CMR-tables"/>
              <w:keepNext/>
              <w:rPr>
                <w:rFonts w:cs="Times New Roman"/>
                <w:b/>
                <w:noProof/>
                <w:szCs w:val="20"/>
              </w:rPr>
            </w:pPr>
            <w:r w:rsidRPr="0039102C">
              <w:rPr>
                <w:b/>
                <w:noProof/>
              </w:rPr>
              <w:t>Emissões verificadas — instalações</w:t>
            </w:r>
          </w:p>
        </w:tc>
        <w:tc>
          <w:tcPr>
            <w:tcW w:w="555" w:type="pct"/>
            <w:shd w:val="clear" w:color="auto" w:fill="D9E2F3" w:themeFill="accent1" w:themeFillTint="33"/>
            <w:vAlign w:val="center"/>
          </w:tcPr>
          <w:p w14:paraId="298950FC" w14:textId="17CC7F5A" w:rsidR="00AE0487" w:rsidRPr="0039102C" w:rsidRDefault="00AE0487" w:rsidP="005518BD">
            <w:pPr>
              <w:pStyle w:val="CMR-tables"/>
              <w:keepNext/>
              <w:jc w:val="center"/>
              <w:rPr>
                <w:rFonts w:cs="Times New Roman"/>
                <w:noProof/>
                <w:szCs w:val="20"/>
              </w:rPr>
            </w:pPr>
            <w:r w:rsidRPr="0039102C">
              <w:rPr>
                <w:noProof/>
              </w:rPr>
              <w:t>1530</w:t>
            </w:r>
          </w:p>
        </w:tc>
        <w:tc>
          <w:tcPr>
            <w:tcW w:w="820" w:type="pct"/>
            <w:shd w:val="clear" w:color="auto" w:fill="D9E2F3" w:themeFill="accent1" w:themeFillTint="33"/>
            <w:vAlign w:val="center"/>
          </w:tcPr>
          <w:p w14:paraId="09F49A93" w14:textId="77777777" w:rsidR="00AE0487" w:rsidRPr="0039102C" w:rsidRDefault="00AE0487" w:rsidP="005518BD">
            <w:pPr>
              <w:pStyle w:val="CMR-tables"/>
              <w:keepNext/>
              <w:jc w:val="center"/>
              <w:rPr>
                <w:rFonts w:cs="Times New Roman"/>
                <w:noProof/>
                <w:szCs w:val="20"/>
              </w:rPr>
            </w:pPr>
            <w:r w:rsidRPr="0039102C">
              <w:rPr>
                <w:noProof/>
              </w:rPr>
              <w:t>1356</w:t>
            </w:r>
          </w:p>
          <w:p w14:paraId="13F4A72B" w14:textId="760ACEC8" w:rsidR="00AE0487" w:rsidRPr="0039102C" w:rsidRDefault="00AE0487" w:rsidP="005518BD">
            <w:pPr>
              <w:pStyle w:val="CMR-tables"/>
              <w:keepNext/>
              <w:jc w:val="center"/>
              <w:rPr>
                <w:rFonts w:cs="Times New Roman"/>
                <w:noProof/>
                <w:szCs w:val="20"/>
              </w:rPr>
            </w:pPr>
            <w:r w:rsidRPr="0039102C">
              <w:rPr>
                <w:noProof/>
              </w:rPr>
              <w:t>(1253, excluindo o Reino Unido)</w:t>
            </w:r>
          </w:p>
        </w:tc>
        <w:tc>
          <w:tcPr>
            <w:tcW w:w="820" w:type="pct"/>
            <w:shd w:val="clear" w:color="auto" w:fill="D9E2F3" w:themeFill="accent1" w:themeFillTint="33"/>
            <w:vAlign w:val="center"/>
          </w:tcPr>
          <w:p w14:paraId="2BBDEB5F" w14:textId="242F700E" w:rsidR="00AE0487" w:rsidRPr="0039102C" w:rsidRDefault="00AE0487" w:rsidP="005518BD">
            <w:pPr>
              <w:pStyle w:val="CMR-tables"/>
              <w:keepNext/>
              <w:jc w:val="center"/>
              <w:rPr>
                <w:rFonts w:cs="Times New Roman"/>
                <w:noProof/>
                <w:szCs w:val="20"/>
              </w:rPr>
            </w:pPr>
            <w:r w:rsidRPr="0039102C">
              <w:rPr>
                <w:noProof/>
              </w:rPr>
              <w:t>1337</w:t>
            </w:r>
          </w:p>
        </w:tc>
        <w:tc>
          <w:tcPr>
            <w:tcW w:w="556" w:type="pct"/>
            <w:shd w:val="clear" w:color="auto" w:fill="D9E2F3" w:themeFill="accent1" w:themeFillTint="33"/>
            <w:vAlign w:val="center"/>
          </w:tcPr>
          <w:p w14:paraId="2FFB71AE" w14:textId="50723019" w:rsidR="00AE0487" w:rsidRPr="0039102C" w:rsidRDefault="00AE0487" w:rsidP="005518BD">
            <w:pPr>
              <w:pStyle w:val="CMR-tables"/>
              <w:keepNext/>
              <w:jc w:val="center"/>
              <w:rPr>
                <w:rFonts w:cs="Times New Roman"/>
                <w:noProof/>
                <w:szCs w:val="20"/>
              </w:rPr>
            </w:pPr>
            <w:r w:rsidRPr="0039102C">
              <w:rPr>
                <w:noProof/>
              </w:rPr>
              <w:t>1313</w:t>
            </w:r>
          </w:p>
        </w:tc>
        <w:tc>
          <w:tcPr>
            <w:tcW w:w="556" w:type="pct"/>
            <w:shd w:val="clear" w:color="auto" w:fill="D9E2F3" w:themeFill="accent1" w:themeFillTint="33"/>
            <w:vAlign w:val="center"/>
          </w:tcPr>
          <w:p w14:paraId="5C44F5B4" w14:textId="607E4692" w:rsidR="00AE0487" w:rsidRPr="0039102C" w:rsidRDefault="00AE0487" w:rsidP="005518BD">
            <w:pPr>
              <w:pStyle w:val="CMR-tables"/>
              <w:keepNext/>
              <w:jc w:val="center"/>
              <w:rPr>
                <w:rFonts w:cs="Times New Roman"/>
                <w:noProof/>
                <w:szCs w:val="20"/>
              </w:rPr>
            </w:pPr>
            <w:r w:rsidRPr="0039102C">
              <w:rPr>
                <w:noProof/>
              </w:rPr>
              <w:t>1096</w:t>
            </w:r>
          </w:p>
        </w:tc>
        <w:tc>
          <w:tcPr>
            <w:tcW w:w="556" w:type="pct"/>
            <w:shd w:val="clear" w:color="auto" w:fill="D9E2F3" w:themeFill="accent1" w:themeFillTint="33"/>
            <w:vAlign w:val="center"/>
          </w:tcPr>
          <w:p w14:paraId="5C158CC4" w14:textId="4A0B1912" w:rsidR="00AE0487" w:rsidRPr="0039102C" w:rsidRDefault="009D020D" w:rsidP="005518BD">
            <w:pPr>
              <w:pStyle w:val="CMR-tables"/>
              <w:keepNext/>
              <w:jc w:val="center"/>
              <w:rPr>
                <w:rFonts w:cs="Times New Roman"/>
                <w:noProof/>
                <w:szCs w:val="20"/>
              </w:rPr>
            </w:pPr>
            <w:r w:rsidRPr="0039102C">
              <w:rPr>
                <w:noProof/>
              </w:rPr>
              <w:t>1033</w:t>
            </w:r>
          </w:p>
        </w:tc>
      </w:tr>
      <w:tr w:rsidR="00AE0487" w:rsidRPr="0039102C" w14:paraId="63DDA08A" w14:textId="68C14FBB" w:rsidTr="000E7DB9">
        <w:trPr>
          <w:cantSplit/>
        </w:trPr>
        <w:tc>
          <w:tcPr>
            <w:tcW w:w="1136" w:type="pct"/>
            <w:vAlign w:val="center"/>
          </w:tcPr>
          <w:p w14:paraId="09577C6D" w14:textId="40A1DBE1" w:rsidR="00AE0487" w:rsidRPr="0039102C" w:rsidRDefault="00AE0487" w:rsidP="005C4EA4">
            <w:pPr>
              <w:pStyle w:val="CMR-tables"/>
              <w:keepNext/>
              <w:rPr>
                <w:rFonts w:cs="Times New Roman"/>
                <w:b/>
                <w:noProof/>
                <w:szCs w:val="20"/>
              </w:rPr>
            </w:pPr>
            <w:r w:rsidRPr="0039102C">
              <w:rPr>
                <w:b/>
                <w:noProof/>
              </w:rPr>
              <w:t>Variação homóloga</w:t>
            </w:r>
          </w:p>
        </w:tc>
        <w:tc>
          <w:tcPr>
            <w:tcW w:w="555" w:type="pct"/>
            <w:vAlign w:val="center"/>
          </w:tcPr>
          <w:p w14:paraId="7C4D1A17" w14:textId="36CCD990" w:rsidR="00AE0487" w:rsidRPr="0039102C" w:rsidRDefault="00AE0487" w:rsidP="005518BD">
            <w:pPr>
              <w:pStyle w:val="CMR-tables"/>
              <w:keepNext/>
              <w:jc w:val="center"/>
              <w:rPr>
                <w:rFonts w:cs="Times New Roman"/>
                <w:noProof/>
                <w:szCs w:val="20"/>
              </w:rPr>
            </w:pPr>
            <w:r w:rsidRPr="0039102C">
              <w:rPr>
                <w:noProof/>
              </w:rPr>
              <w:t>-9,1 %</w:t>
            </w:r>
          </w:p>
        </w:tc>
        <w:tc>
          <w:tcPr>
            <w:tcW w:w="820" w:type="pct"/>
            <w:vAlign w:val="center"/>
          </w:tcPr>
          <w:p w14:paraId="34EEE2E9" w14:textId="5C51E28E" w:rsidR="00AE0487" w:rsidRPr="0039102C" w:rsidRDefault="00AE0487" w:rsidP="005518BD">
            <w:pPr>
              <w:pStyle w:val="CMR-tables"/>
              <w:keepNext/>
              <w:jc w:val="center"/>
              <w:rPr>
                <w:rFonts w:cs="Times New Roman"/>
                <w:noProof/>
                <w:szCs w:val="20"/>
              </w:rPr>
            </w:pPr>
            <w:r w:rsidRPr="0039102C">
              <w:rPr>
                <w:noProof/>
              </w:rPr>
              <w:t>-11,4 %</w:t>
            </w:r>
          </w:p>
        </w:tc>
        <w:tc>
          <w:tcPr>
            <w:tcW w:w="820" w:type="pct"/>
            <w:vAlign w:val="center"/>
          </w:tcPr>
          <w:p w14:paraId="6FD82D6C" w14:textId="77777777" w:rsidR="00AE0487" w:rsidRPr="0039102C" w:rsidRDefault="00AE0487" w:rsidP="005518BD">
            <w:pPr>
              <w:pStyle w:val="CMR-tables"/>
              <w:keepNext/>
              <w:jc w:val="center"/>
              <w:rPr>
                <w:rFonts w:cs="Times New Roman"/>
                <w:noProof/>
                <w:szCs w:val="20"/>
              </w:rPr>
            </w:pPr>
            <w:r w:rsidRPr="0039102C">
              <w:rPr>
                <w:noProof/>
              </w:rPr>
              <w:t>-1,4 %</w:t>
            </w:r>
          </w:p>
          <w:p w14:paraId="4B83D68A" w14:textId="658E57B7" w:rsidR="00AE0487" w:rsidRPr="0039102C" w:rsidRDefault="00AE0487" w:rsidP="005518BD">
            <w:pPr>
              <w:pStyle w:val="CMR-tables"/>
              <w:keepNext/>
              <w:jc w:val="center"/>
              <w:rPr>
                <w:rFonts w:cs="Times New Roman"/>
                <w:noProof/>
                <w:szCs w:val="20"/>
              </w:rPr>
            </w:pPr>
            <w:r w:rsidRPr="0039102C">
              <w:rPr>
                <w:noProof/>
              </w:rPr>
              <w:t>(6,6 %, excluindo o Reino Unido)</w:t>
            </w:r>
          </w:p>
        </w:tc>
        <w:tc>
          <w:tcPr>
            <w:tcW w:w="556" w:type="pct"/>
            <w:vAlign w:val="center"/>
          </w:tcPr>
          <w:p w14:paraId="1BCA5A6E" w14:textId="54A65C0C" w:rsidR="00AE0487" w:rsidRPr="0039102C" w:rsidRDefault="00AE0487" w:rsidP="005518BD">
            <w:pPr>
              <w:pStyle w:val="CMR-tables"/>
              <w:keepNext/>
              <w:jc w:val="center"/>
              <w:rPr>
                <w:rFonts w:cs="Times New Roman"/>
                <w:noProof/>
                <w:szCs w:val="20"/>
              </w:rPr>
            </w:pPr>
            <w:r w:rsidRPr="0039102C">
              <w:rPr>
                <w:noProof/>
              </w:rPr>
              <w:t>-1,8 %</w:t>
            </w:r>
          </w:p>
        </w:tc>
        <w:tc>
          <w:tcPr>
            <w:tcW w:w="556" w:type="pct"/>
            <w:vAlign w:val="center"/>
          </w:tcPr>
          <w:p w14:paraId="3CFBEFD3" w14:textId="5EFE6A67" w:rsidR="00AE0487" w:rsidRPr="0039102C" w:rsidRDefault="00AE0487" w:rsidP="005518BD">
            <w:pPr>
              <w:pStyle w:val="CMR-tables"/>
              <w:keepNext/>
              <w:jc w:val="center"/>
              <w:rPr>
                <w:rFonts w:cs="Times New Roman"/>
                <w:noProof/>
                <w:szCs w:val="20"/>
              </w:rPr>
            </w:pPr>
            <w:r w:rsidRPr="0039102C">
              <w:rPr>
                <w:noProof/>
              </w:rPr>
              <w:t>-16,5 %</w:t>
            </w:r>
          </w:p>
        </w:tc>
        <w:tc>
          <w:tcPr>
            <w:tcW w:w="556" w:type="pct"/>
            <w:vAlign w:val="center"/>
          </w:tcPr>
          <w:p w14:paraId="5B1CB65D" w14:textId="3BCB7FDB" w:rsidR="00AE0487" w:rsidRPr="0039102C" w:rsidRDefault="0040215C" w:rsidP="005518BD">
            <w:pPr>
              <w:pStyle w:val="CMR-tables"/>
              <w:keepNext/>
              <w:jc w:val="center"/>
              <w:rPr>
                <w:rFonts w:cs="Times New Roman"/>
                <w:noProof/>
                <w:szCs w:val="20"/>
              </w:rPr>
            </w:pPr>
            <w:r w:rsidRPr="0039102C">
              <w:rPr>
                <w:noProof/>
              </w:rPr>
              <w:t>-5,7 %</w:t>
            </w:r>
          </w:p>
        </w:tc>
      </w:tr>
      <w:tr w:rsidR="00724F16" w:rsidRPr="0039102C" w14:paraId="669CFA02" w14:textId="503199C8" w:rsidTr="000E7DB9">
        <w:trPr>
          <w:cantSplit/>
        </w:trPr>
        <w:tc>
          <w:tcPr>
            <w:tcW w:w="1136" w:type="pct"/>
            <w:shd w:val="clear" w:color="auto" w:fill="D9E2F3" w:themeFill="accent1" w:themeFillTint="33"/>
            <w:vAlign w:val="center"/>
          </w:tcPr>
          <w:p w14:paraId="4467A8D2" w14:textId="2F07B9B9" w:rsidR="00AE0487" w:rsidRPr="0039102C" w:rsidRDefault="00AE0487" w:rsidP="005C4EA4">
            <w:pPr>
              <w:pStyle w:val="CMR-tables"/>
              <w:keepNext/>
              <w:rPr>
                <w:rFonts w:cs="Times New Roman"/>
                <w:b/>
                <w:noProof/>
                <w:szCs w:val="20"/>
              </w:rPr>
            </w:pPr>
            <w:r w:rsidRPr="0039102C">
              <w:rPr>
                <w:b/>
                <w:noProof/>
              </w:rPr>
              <w:t>Emissões verificadas — produção de eletricidade e calor</w:t>
            </w:r>
          </w:p>
        </w:tc>
        <w:tc>
          <w:tcPr>
            <w:tcW w:w="555" w:type="pct"/>
            <w:shd w:val="clear" w:color="auto" w:fill="D9E2F3" w:themeFill="accent1" w:themeFillTint="33"/>
            <w:vAlign w:val="center"/>
          </w:tcPr>
          <w:p w14:paraId="57C449B8" w14:textId="4721ACD9" w:rsidR="00AE0487" w:rsidRPr="0039102C" w:rsidRDefault="00AE0487" w:rsidP="005518BD">
            <w:pPr>
              <w:pStyle w:val="CMR-tables"/>
              <w:keepNext/>
              <w:jc w:val="center"/>
              <w:rPr>
                <w:rFonts w:cs="Times New Roman"/>
                <w:noProof/>
                <w:szCs w:val="20"/>
              </w:rPr>
            </w:pPr>
            <w:r w:rsidRPr="0039102C">
              <w:rPr>
                <w:noProof/>
              </w:rPr>
              <w:t>822</w:t>
            </w:r>
          </w:p>
        </w:tc>
        <w:tc>
          <w:tcPr>
            <w:tcW w:w="820" w:type="pct"/>
            <w:shd w:val="clear" w:color="auto" w:fill="D9E2F3" w:themeFill="accent1" w:themeFillTint="33"/>
            <w:vAlign w:val="center"/>
          </w:tcPr>
          <w:p w14:paraId="6E69FDD6" w14:textId="77777777" w:rsidR="00AE0487" w:rsidRPr="0039102C" w:rsidRDefault="00AE0487" w:rsidP="005518BD">
            <w:pPr>
              <w:pStyle w:val="CMR-tables"/>
              <w:keepNext/>
              <w:jc w:val="center"/>
              <w:rPr>
                <w:rFonts w:cs="Times New Roman"/>
                <w:noProof/>
                <w:szCs w:val="20"/>
              </w:rPr>
            </w:pPr>
            <w:r w:rsidRPr="0039102C">
              <w:rPr>
                <w:noProof/>
              </w:rPr>
              <w:t>696</w:t>
            </w:r>
          </w:p>
          <w:p w14:paraId="204CF1FC" w14:textId="5B0282F5" w:rsidR="00AE0487" w:rsidRPr="0039102C" w:rsidRDefault="00AE0487" w:rsidP="005518BD">
            <w:pPr>
              <w:pStyle w:val="CMR-tables"/>
              <w:keepNext/>
              <w:jc w:val="center"/>
              <w:rPr>
                <w:rFonts w:cs="Times New Roman"/>
                <w:noProof/>
                <w:szCs w:val="20"/>
              </w:rPr>
            </w:pPr>
            <w:r w:rsidRPr="0039102C">
              <w:rPr>
                <w:noProof/>
              </w:rPr>
              <w:t>(653, excluindo o Reino Unido)</w:t>
            </w:r>
          </w:p>
        </w:tc>
        <w:tc>
          <w:tcPr>
            <w:tcW w:w="820" w:type="pct"/>
            <w:shd w:val="clear" w:color="auto" w:fill="D9E2F3" w:themeFill="accent1" w:themeFillTint="33"/>
            <w:vAlign w:val="center"/>
          </w:tcPr>
          <w:p w14:paraId="42EC17BB" w14:textId="6DC2C133" w:rsidR="00AE0487" w:rsidRPr="0039102C" w:rsidRDefault="00AE0487" w:rsidP="005518BD">
            <w:pPr>
              <w:pStyle w:val="CMR-tables"/>
              <w:keepNext/>
              <w:jc w:val="center"/>
              <w:rPr>
                <w:rFonts w:cs="Times New Roman"/>
                <w:noProof/>
                <w:szCs w:val="20"/>
              </w:rPr>
            </w:pPr>
            <w:r w:rsidRPr="0039102C">
              <w:rPr>
                <w:noProof/>
              </w:rPr>
              <w:t>708</w:t>
            </w:r>
          </w:p>
        </w:tc>
        <w:tc>
          <w:tcPr>
            <w:tcW w:w="556" w:type="pct"/>
            <w:shd w:val="clear" w:color="auto" w:fill="D9E2F3" w:themeFill="accent1" w:themeFillTint="33"/>
            <w:vAlign w:val="center"/>
          </w:tcPr>
          <w:p w14:paraId="765729D6" w14:textId="67B2E561" w:rsidR="00AE0487" w:rsidRPr="0039102C" w:rsidRDefault="00AE0487" w:rsidP="005518BD">
            <w:pPr>
              <w:pStyle w:val="CMR-tables"/>
              <w:keepNext/>
              <w:jc w:val="center"/>
              <w:rPr>
                <w:rFonts w:cs="Times New Roman"/>
                <w:noProof/>
                <w:szCs w:val="20"/>
              </w:rPr>
            </w:pPr>
            <w:r w:rsidRPr="0039102C">
              <w:rPr>
                <w:noProof/>
              </w:rPr>
              <w:t>725</w:t>
            </w:r>
          </w:p>
        </w:tc>
        <w:tc>
          <w:tcPr>
            <w:tcW w:w="556" w:type="pct"/>
            <w:shd w:val="clear" w:color="auto" w:fill="D9E2F3" w:themeFill="accent1" w:themeFillTint="33"/>
            <w:vAlign w:val="center"/>
          </w:tcPr>
          <w:p w14:paraId="08ECECD5" w14:textId="5E00873A" w:rsidR="00AE0487" w:rsidRPr="0039102C" w:rsidRDefault="00AE0487" w:rsidP="005518BD">
            <w:pPr>
              <w:pStyle w:val="CMR-tables"/>
              <w:keepNext/>
              <w:jc w:val="center"/>
              <w:rPr>
                <w:rFonts w:cs="Times New Roman"/>
                <w:noProof/>
                <w:szCs w:val="20"/>
              </w:rPr>
            </w:pPr>
            <w:r w:rsidRPr="0039102C">
              <w:rPr>
                <w:noProof/>
              </w:rPr>
              <w:t>552</w:t>
            </w:r>
          </w:p>
        </w:tc>
        <w:tc>
          <w:tcPr>
            <w:tcW w:w="556" w:type="pct"/>
            <w:shd w:val="clear" w:color="auto" w:fill="D9E2F3" w:themeFill="accent1" w:themeFillTint="33"/>
            <w:vAlign w:val="center"/>
          </w:tcPr>
          <w:p w14:paraId="19E568B2" w14:textId="08F4CEB3" w:rsidR="00AE0487" w:rsidRPr="0039102C" w:rsidRDefault="005211C1" w:rsidP="005518BD">
            <w:pPr>
              <w:pStyle w:val="CMR-tables"/>
              <w:keepNext/>
              <w:jc w:val="center"/>
              <w:rPr>
                <w:rFonts w:cs="Times New Roman"/>
                <w:noProof/>
                <w:szCs w:val="20"/>
              </w:rPr>
            </w:pPr>
            <w:r w:rsidRPr="0039102C">
              <w:rPr>
                <w:noProof/>
              </w:rPr>
              <w:t>493</w:t>
            </w:r>
          </w:p>
        </w:tc>
      </w:tr>
      <w:tr w:rsidR="00AE0487" w:rsidRPr="0039102C" w14:paraId="1CF3F98A" w14:textId="06F57C54" w:rsidTr="000E7DB9">
        <w:trPr>
          <w:cantSplit/>
        </w:trPr>
        <w:tc>
          <w:tcPr>
            <w:tcW w:w="1136" w:type="pct"/>
            <w:vAlign w:val="center"/>
          </w:tcPr>
          <w:p w14:paraId="1B9F43A5" w14:textId="0EA4977D" w:rsidR="00AE0487" w:rsidRPr="0039102C" w:rsidRDefault="00AE0487" w:rsidP="005C4EA4">
            <w:pPr>
              <w:pStyle w:val="CMR-tables"/>
              <w:keepNext/>
              <w:rPr>
                <w:rFonts w:cs="Times New Roman"/>
                <w:b/>
                <w:noProof/>
                <w:szCs w:val="20"/>
              </w:rPr>
            </w:pPr>
            <w:r w:rsidRPr="0039102C">
              <w:rPr>
                <w:b/>
                <w:noProof/>
              </w:rPr>
              <w:t>Variação homóloga</w:t>
            </w:r>
          </w:p>
        </w:tc>
        <w:tc>
          <w:tcPr>
            <w:tcW w:w="555" w:type="pct"/>
            <w:vAlign w:val="center"/>
          </w:tcPr>
          <w:p w14:paraId="47F2D2F4" w14:textId="42327BF2" w:rsidR="00AE0487" w:rsidRPr="0039102C" w:rsidRDefault="00AE0487" w:rsidP="005518BD">
            <w:pPr>
              <w:pStyle w:val="CMR-tables"/>
              <w:keepNext/>
              <w:jc w:val="center"/>
              <w:rPr>
                <w:rFonts w:cs="Times New Roman"/>
                <w:noProof/>
                <w:szCs w:val="20"/>
              </w:rPr>
            </w:pPr>
            <w:r w:rsidRPr="0039102C">
              <w:rPr>
                <w:noProof/>
              </w:rPr>
              <w:t>-14,7 %</w:t>
            </w:r>
          </w:p>
        </w:tc>
        <w:tc>
          <w:tcPr>
            <w:tcW w:w="820" w:type="pct"/>
            <w:vAlign w:val="center"/>
          </w:tcPr>
          <w:p w14:paraId="4993B574" w14:textId="50397E4D" w:rsidR="00AE0487" w:rsidRPr="0039102C" w:rsidRDefault="00AE0487" w:rsidP="005518BD">
            <w:pPr>
              <w:pStyle w:val="CMR-tables"/>
              <w:keepNext/>
              <w:jc w:val="center"/>
              <w:rPr>
                <w:rFonts w:cs="Times New Roman"/>
                <w:noProof/>
                <w:szCs w:val="20"/>
              </w:rPr>
            </w:pPr>
            <w:r w:rsidRPr="0039102C">
              <w:rPr>
                <w:noProof/>
              </w:rPr>
              <w:t>-15,3 %</w:t>
            </w:r>
          </w:p>
        </w:tc>
        <w:tc>
          <w:tcPr>
            <w:tcW w:w="820" w:type="pct"/>
            <w:vAlign w:val="center"/>
          </w:tcPr>
          <w:p w14:paraId="01A38009" w14:textId="77777777" w:rsidR="00AE0487" w:rsidRPr="0039102C" w:rsidRDefault="00AE0487" w:rsidP="005518BD">
            <w:pPr>
              <w:pStyle w:val="CMR-tables"/>
              <w:keepNext/>
              <w:jc w:val="center"/>
              <w:rPr>
                <w:rFonts w:cs="Times New Roman"/>
                <w:noProof/>
                <w:szCs w:val="20"/>
              </w:rPr>
            </w:pPr>
            <w:r w:rsidRPr="0039102C">
              <w:rPr>
                <w:noProof/>
              </w:rPr>
              <w:t>1,6 %</w:t>
            </w:r>
          </w:p>
          <w:p w14:paraId="42A502AD" w14:textId="5C0350EC" w:rsidR="00AE0487" w:rsidRPr="0039102C" w:rsidRDefault="00AE0487" w:rsidP="005518BD">
            <w:pPr>
              <w:pStyle w:val="CMR-tables"/>
              <w:keepNext/>
              <w:jc w:val="center"/>
              <w:rPr>
                <w:rFonts w:cs="Times New Roman"/>
                <w:noProof/>
                <w:szCs w:val="20"/>
              </w:rPr>
            </w:pPr>
            <w:r w:rsidRPr="0039102C">
              <w:rPr>
                <w:noProof/>
              </w:rPr>
              <w:t>(8,5 %, excluindo o Reino Unido)</w:t>
            </w:r>
          </w:p>
        </w:tc>
        <w:tc>
          <w:tcPr>
            <w:tcW w:w="556" w:type="pct"/>
            <w:vAlign w:val="center"/>
          </w:tcPr>
          <w:p w14:paraId="4F647107" w14:textId="07ADB100" w:rsidR="00AE0487" w:rsidRPr="0039102C" w:rsidRDefault="00AE0487" w:rsidP="005518BD">
            <w:pPr>
              <w:pStyle w:val="CMR-tables"/>
              <w:keepNext/>
              <w:jc w:val="center"/>
              <w:rPr>
                <w:rFonts w:cs="Times New Roman"/>
                <w:noProof/>
                <w:szCs w:val="20"/>
              </w:rPr>
            </w:pPr>
            <w:r w:rsidRPr="0039102C">
              <w:rPr>
                <w:noProof/>
              </w:rPr>
              <w:t>2,4 %</w:t>
            </w:r>
          </w:p>
        </w:tc>
        <w:tc>
          <w:tcPr>
            <w:tcW w:w="556" w:type="pct"/>
            <w:vAlign w:val="center"/>
          </w:tcPr>
          <w:p w14:paraId="5B50ECA3" w14:textId="2542262B" w:rsidR="00AE0487" w:rsidRPr="0039102C" w:rsidRDefault="00AE0487" w:rsidP="005518BD">
            <w:pPr>
              <w:pStyle w:val="CMR-tables"/>
              <w:keepNext/>
              <w:jc w:val="center"/>
              <w:rPr>
                <w:rFonts w:cs="Times New Roman"/>
                <w:noProof/>
                <w:szCs w:val="20"/>
              </w:rPr>
            </w:pPr>
            <w:r w:rsidRPr="0039102C">
              <w:rPr>
                <w:noProof/>
              </w:rPr>
              <w:t>-23,9 %</w:t>
            </w:r>
          </w:p>
        </w:tc>
        <w:tc>
          <w:tcPr>
            <w:tcW w:w="556" w:type="pct"/>
            <w:vAlign w:val="center"/>
          </w:tcPr>
          <w:p w14:paraId="12AF5C4A" w14:textId="32AA7036" w:rsidR="00AE0487" w:rsidRPr="0039102C" w:rsidRDefault="007C0F43" w:rsidP="005518BD">
            <w:pPr>
              <w:pStyle w:val="CMR-tables"/>
              <w:keepNext/>
              <w:jc w:val="center"/>
              <w:rPr>
                <w:rFonts w:cs="Times New Roman"/>
                <w:noProof/>
                <w:szCs w:val="20"/>
              </w:rPr>
            </w:pPr>
            <w:r w:rsidRPr="0039102C">
              <w:rPr>
                <w:noProof/>
              </w:rPr>
              <w:t>-10,7 %</w:t>
            </w:r>
          </w:p>
        </w:tc>
      </w:tr>
      <w:tr w:rsidR="00724F16" w:rsidRPr="0039102C" w14:paraId="60FA30C5" w14:textId="0C2CAAAC" w:rsidTr="000E7DB9">
        <w:trPr>
          <w:cantSplit/>
        </w:trPr>
        <w:tc>
          <w:tcPr>
            <w:tcW w:w="1136" w:type="pct"/>
            <w:shd w:val="clear" w:color="auto" w:fill="D9E2F3" w:themeFill="accent1" w:themeFillTint="33"/>
            <w:vAlign w:val="center"/>
          </w:tcPr>
          <w:p w14:paraId="076FC4AA" w14:textId="2F23A96D" w:rsidR="00AE0487" w:rsidRPr="0039102C" w:rsidRDefault="00AE0487" w:rsidP="005C4EA4">
            <w:pPr>
              <w:pStyle w:val="CMR-tables"/>
              <w:keepNext/>
              <w:rPr>
                <w:rFonts w:cs="Times New Roman"/>
                <w:b/>
                <w:noProof/>
                <w:szCs w:val="20"/>
              </w:rPr>
            </w:pPr>
            <w:r w:rsidRPr="0039102C">
              <w:rPr>
                <w:b/>
                <w:noProof/>
              </w:rPr>
              <w:t>Emissões verificadas — produção industrial</w:t>
            </w:r>
          </w:p>
        </w:tc>
        <w:tc>
          <w:tcPr>
            <w:tcW w:w="555" w:type="pct"/>
            <w:shd w:val="clear" w:color="auto" w:fill="D9E2F3" w:themeFill="accent1" w:themeFillTint="33"/>
            <w:vAlign w:val="center"/>
          </w:tcPr>
          <w:p w14:paraId="65D85A43" w14:textId="3DDBA15F" w:rsidR="00AE0487" w:rsidRPr="0039102C" w:rsidRDefault="00AE0487" w:rsidP="005518BD">
            <w:pPr>
              <w:pStyle w:val="CMR-tables"/>
              <w:keepNext/>
              <w:jc w:val="center"/>
              <w:rPr>
                <w:rFonts w:cs="Times New Roman"/>
                <w:noProof/>
                <w:szCs w:val="20"/>
              </w:rPr>
            </w:pPr>
            <w:r w:rsidRPr="0039102C">
              <w:rPr>
                <w:noProof/>
              </w:rPr>
              <w:t>708</w:t>
            </w:r>
          </w:p>
        </w:tc>
        <w:tc>
          <w:tcPr>
            <w:tcW w:w="820" w:type="pct"/>
            <w:shd w:val="clear" w:color="auto" w:fill="D9E2F3" w:themeFill="accent1" w:themeFillTint="33"/>
            <w:vAlign w:val="center"/>
          </w:tcPr>
          <w:p w14:paraId="1344EE89" w14:textId="77777777" w:rsidR="00AE0487" w:rsidRPr="0039102C" w:rsidRDefault="00AE0487" w:rsidP="005518BD">
            <w:pPr>
              <w:pStyle w:val="CMR-tables"/>
              <w:keepNext/>
              <w:jc w:val="center"/>
              <w:rPr>
                <w:rFonts w:cs="Times New Roman"/>
                <w:noProof/>
                <w:szCs w:val="20"/>
              </w:rPr>
            </w:pPr>
            <w:r w:rsidRPr="0039102C">
              <w:rPr>
                <w:noProof/>
              </w:rPr>
              <w:t>660</w:t>
            </w:r>
          </w:p>
          <w:p w14:paraId="380BB87F" w14:textId="272F5C5A" w:rsidR="00AE0487" w:rsidRPr="0039102C" w:rsidRDefault="00AE0487" w:rsidP="005518BD">
            <w:pPr>
              <w:pStyle w:val="CMR-tables"/>
              <w:keepNext/>
              <w:jc w:val="center"/>
              <w:rPr>
                <w:rFonts w:cs="Times New Roman"/>
                <w:noProof/>
                <w:szCs w:val="20"/>
              </w:rPr>
            </w:pPr>
            <w:r w:rsidRPr="0039102C">
              <w:rPr>
                <w:noProof/>
              </w:rPr>
              <w:t>(601, excluindo o Reino Unido)</w:t>
            </w:r>
          </w:p>
        </w:tc>
        <w:tc>
          <w:tcPr>
            <w:tcW w:w="820" w:type="pct"/>
            <w:shd w:val="clear" w:color="auto" w:fill="D9E2F3" w:themeFill="accent1" w:themeFillTint="33"/>
            <w:vAlign w:val="center"/>
          </w:tcPr>
          <w:p w14:paraId="34B1B927" w14:textId="2827D9B0" w:rsidR="00AE0487" w:rsidRPr="0039102C" w:rsidRDefault="00AE0487" w:rsidP="005518BD">
            <w:pPr>
              <w:pStyle w:val="CMR-tables"/>
              <w:keepNext/>
              <w:jc w:val="center"/>
              <w:rPr>
                <w:rFonts w:cs="Times New Roman"/>
                <w:noProof/>
                <w:szCs w:val="20"/>
              </w:rPr>
            </w:pPr>
            <w:r w:rsidRPr="0039102C">
              <w:rPr>
                <w:noProof/>
              </w:rPr>
              <w:t>629</w:t>
            </w:r>
          </w:p>
        </w:tc>
        <w:tc>
          <w:tcPr>
            <w:tcW w:w="556" w:type="pct"/>
            <w:shd w:val="clear" w:color="auto" w:fill="D9E2F3" w:themeFill="accent1" w:themeFillTint="33"/>
            <w:vAlign w:val="center"/>
          </w:tcPr>
          <w:p w14:paraId="2118DEEB" w14:textId="7C73705D" w:rsidR="00AE0487" w:rsidRPr="0039102C" w:rsidRDefault="00AE0487" w:rsidP="005518BD">
            <w:pPr>
              <w:pStyle w:val="CMR-tables"/>
              <w:keepNext/>
              <w:jc w:val="center"/>
              <w:rPr>
                <w:rFonts w:cs="Times New Roman"/>
                <w:noProof/>
                <w:szCs w:val="20"/>
              </w:rPr>
            </w:pPr>
            <w:r w:rsidRPr="0039102C">
              <w:rPr>
                <w:noProof/>
              </w:rPr>
              <w:t>589</w:t>
            </w:r>
          </w:p>
        </w:tc>
        <w:tc>
          <w:tcPr>
            <w:tcW w:w="556" w:type="pct"/>
            <w:shd w:val="clear" w:color="auto" w:fill="D9E2F3" w:themeFill="accent1" w:themeFillTint="33"/>
            <w:vAlign w:val="center"/>
          </w:tcPr>
          <w:p w14:paraId="522C975D" w14:textId="6F89D5C6" w:rsidR="00AE0487" w:rsidRPr="0039102C" w:rsidRDefault="00AE0487" w:rsidP="005518BD">
            <w:pPr>
              <w:pStyle w:val="CMR-tables"/>
              <w:keepNext/>
              <w:jc w:val="center"/>
              <w:rPr>
                <w:rFonts w:cs="Times New Roman"/>
                <w:noProof/>
                <w:szCs w:val="20"/>
              </w:rPr>
            </w:pPr>
            <w:r w:rsidRPr="0039102C">
              <w:rPr>
                <w:noProof/>
              </w:rPr>
              <w:t>544</w:t>
            </w:r>
          </w:p>
        </w:tc>
        <w:tc>
          <w:tcPr>
            <w:tcW w:w="556" w:type="pct"/>
            <w:shd w:val="clear" w:color="auto" w:fill="D9E2F3" w:themeFill="accent1" w:themeFillTint="33"/>
            <w:vAlign w:val="center"/>
          </w:tcPr>
          <w:p w14:paraId="289C3FEF" w14:textId="407EFD0F" w:rsidR="00AE0487" w:rsidRPr="0039102C" w:rsidRDefault="00D37CEC" w:rsidP="005518BD">
            <w:pPr>
              <w:pStyle w:val="CMR-tables"/>
              <w:keepNext/>
              <w:jc w:val="center"/>
              <w:rPr>
                <w:rFonts w:cs="Times New Roman"/>
                <w:noProof/>
                <w:szCs w:val="20"/>
              </w:rPr>
            </w:pPr>
            <w:r w:rsidRPr="0039102C">
              <w:rPr>
                <w:noProof/>
              </w:rPr>
              <w:t>540</w:t>
            </w:r>
          </w:p>
        </w:tc>
      </w:tr>
      <w:tr w:rsidR="00AE0487" w:rsidRPr="0039102C" w14:paraId="20550022" w14:textId="52A13227" w:rsidTr="000E7DB9">
        <w:trPr>
          <w:cantSplit/>
        </w:trPr>
        <w:tc>
          <w:tcPr>
            <w:tcW w:w="1136" w:type="pct"/>
            <w:vAlign w:val="center"/>
          </w:tcPr>
          <w:p w14:paraId="0A9778BE" w14:textId="3FF67A31" w:rsidR="00AE0487" w:rsidRPr="0039102C" w:rsidRDefault="00AE0487" w:rsidP="005C4EA4">
            <w:pPr>
              <w:pStyle w:val="CMR-tables"/>
              <w:keepNext/>
              <w:rPr>
                <w:rFonts w:cs="Times New Roman"/>
                <w:b/>
                <w:noProof/>
                <w:szCs w:val="20"/>
              </w:rPr>
            </w:pPr>
            <w:r w:rsidRPr="0039102C">
              <w:rPr>
                <w:b/>
                <w:noProof/>
              </w:rPr>
              <w:t>Variação homóloga</w:t>
            </w:r>
          </w:p>
        </w:tc>
        <w:tc>
          <w:tcPr>
            <w:tcW w:w="555" w:type="pct"/>
            <w:vAlign w:val="center"/>
          </w:tcPr>
          <w:p w14:paraId="6FFFD97A" w14:textId="1F3B700A" w:rsidR="00AE0487" w:rsidRPr="0039102C" w:rsidRDefault="00AE0487" w:rsidP="005518BD">
            <w:pPr>
              <w:pStyle w:val="CMR-tables"/>
              <w:keepNext/>
              <w:jc w:val="center"/>
              <w:rPr>
                <w:rFonts w:cs="Times New Roman"/>
                <w:noProof/>
                <w:szCs w:val="20"/>
              </w:rPr>
            </w:pPr>
            <w:r w:rsidRPr="0039102C">
              <w:rPr>
                <w:noProof/>
              </w:rPr>
              <w:t>-1,6 %</w:t>
            </w:r>
          </w:p>
        </w:tc>
        <w:tc>
          <w:tcPr>
            <w:tcW w:w="820" w:type="pct"/>
            <w:vAlign w:val="center"/>
          </w:tcPr>
          <w:p w14:paraId="45470FF6" w14:textId="30505F51" w:rsidR="00AE0487" w:rsidRPr="0039102C" w:rsidRDefault="00AE0487" w:rsidP="005518BD">
            <w:pPr>
              <w:pStyle w:val="CMR-tables"/>
              <w:keepNext/>
              <w:jc w:val="center"/>
              <w:rPr>
                <w:rFonts w:cs="Times New Roman"/>
                <w:noProof/>
                <w:szCs w:val="20"/>
              </w:rPr>
            </w:pPr>
            <w:r w:rsidRPr="0039102C">
              <w:rPr>
                <w:noProof/>
              </w:rPr>
              <w:t>-6,9 %</w:t>
            </w:r>
          </w:p>
        </w:tc>
        <w:tc>
          <w:tcPr>
            <w:tcW w:w="820" w:type="pct"/>
            <w:vAlign w:val="center"/>
          </w:tcPr>
          <w:p w14:paraId="5FDC7E38" w14:textId="77777777" w:rsidR="00AE0487" w:rsidRPr="0039102C" w:rsidRDefault="00AE0487" w:rsidP="005518BD">
            <w:pPr>
              <w:pStyle w:val="CMR-tables"/>
              <w:keepNext/>
              <w:jc w:val="center"/>
              <w:rPr>
                <w:rFonts w:cs="Times New Roman"/>
                <w:noProof/>
                <w:szCs w:val="20"/>
              </w:rPr>
            </w:pPr>
            <w:r w:rsidRPr="0039102C">
              <w:rPr>
                <w:noProof/>
              </w:rPr>
              <w:t>-4,7 %</w:t>
            </w:r>
          </w:p>
          <w:p w14:paraId="523C26E9" w14:textId="5B649A5A" w:rsidR="00AE0487" w:rsidRPr="0039102C" w:rsidRDefault="00AE0487" w:rsidP="005518BD">
            <w:pPr>
              <w:pStyle w:val="CMR-tables"/>
              <w:keepNext/>
              <w:jc w:val="center"/>
              <w:rPr>
                <w:rFonts w:cs="Times New Roman"/>
                <w:noProof/>
                <w:szCs w:val="20"/>
              </w:rPr>
            </w:pPr>
            <w:r w:rsidRPr="0039102C">
              <w:rPr>
                <w:noProof/>
              </w:rPr>
              <w:t>(4,7 %, excluindo o Reino Unido)</w:t>
            </w:r>
          </w:p>
        </w:tc>
        <w:tc>
          <w:tcPr>
            <w:tcW w:w="556" w:type="pct"/>
            <w:vAlign w:val="center"/>
          </w:tcPr>
          <w:p w14:paraId="68AD8A9D" w14:textId="7D77AD2D" w:rsidR="00AE0487" w:rsidRPr="0039102C" w:rsidRDefault="00AE0487" w:rsidP="005518BD">
            <w:pPr>
              <w:pStyle w:val="CMR-tables"/>
              <w:keepNext/>
              <w:jc w:val="center"/>
              <w:rPr>
                <w:rFonts w:cs="Times New Roman"/>
                <w:noProof/>
                <w:szCs w:val="20"/>
              </w:rPr>
            </w:pPr>
            <w:r w:rsidRPr="0039102C">
              <w:rPr>
                <w:noProof/>
              </w:rPr>
              <w:t>-6,4 %</w:t>
            </w:r>
          </w:p>
        </w:tc>
        <w:tc>
          <w:tcPr>
            <w:tcW w:w="556" w:type="pct"/>
            <w:vAlign w:val="center"/>
          </w:tcPr>
          <w:p w14:paraId="64AB9E4C" w14:textId="45E8E0D5" w:rsidR="00AE0487" w:rsidRPr="0039102C" w:rsidRDefault="00AE0487" w:rsidP="005518BD">
            <w:pPr>
              <w:pStyle w:val="CMR-tables"/>
              <w:keepNext/>
              <w:jc w:val="center"/>
              <w:rPr>
                <w:rFonts w:cs="Times New Roman"/>
                <w:noProof/>
                <w:szCs w:val="20"/>
              </w:rPr>
            </w:pPr>
            <w:r w:rsidRPr="0039102C">
              <w:rPr>
                <w:noProof/>
              </w:rPr>
              <w:t>-7,5 %</w:t>
            </w:r>
          </w:p>
        </w:tc>
        <w:tc>
          <w:tcPr>
            <w:tcW w:w="556" w:type="pct"/>
            <w:vAlign w:val="center"/>
          </w:tcPr>
          <w:p w14:paraId="0D0DD32B" w14:textId="56F54977" w:rsidR="00AE0487" w:rsidRPr="0039102C" w:rsidRDefault="00265129" w:rsidP="005518BD">
            <w:pPr>
              <w:pStyle w:val="CMR-tables"/>
              <w:keepNext/>
              <w:jc w:val="center"/>
              <w:rPr>
                <w:rFonts w:cs="Times New Roman"/>
                <w:noProof/>
                <w:szCs w:val="20"/>
              </w:rPr>
            </w:pPr>
            <w:r w:rsidRPr="0039102C">
              <w:rPr>
                <w:noProof/>
              </w:rPr>
              <w:t>-0,8 %</w:t>
            </w:r>
          </w:p>
        </w:tc>
      </w:tr>
    </w:tbl>
    <w:p w14:paraId="160A58FE" w14:textId="49605584" w:rsidR="00025260" w:rsidRPr="0039102C" w:rsidRDefault="00025260" w:rsidP="00EC4FC3">
      <w:pPr>
        <w:pStyle w:val="CMR-Subheading"/>
        <w:rPr>
          <w:noProof/>
        </w:rPr>
      </w:pPr>
      <w:bookmarkStart w:id="47" w:name="_Toc218529290"/>
      <w:r w:rsidRPr="0039102C">
        <w:rPr>
          <w:noProof/>
        </w:rPr>
        <w:t>Emissões provenientes da combustão de combustíveis fósseis em instalações</w:t>
      </w:r>
      <w:bookmarkEnd w:id="47"/>
    </w:p>
    <w:p w14:paraId="6A91E1E6" w14:textId="1F04638D" w:rsidR="00AD2322" w:rsidRPr="0039102C" w:rsidRDefault="00176FB3" w:rsidP="00F20957">
      <w:pPr>
        <w:jc w:val="both"/>
        <w:rPr>
          <w:rFonts w:ascii="Times New Roman" w:hAnsi="Times New Roman" w:cs="Times New Roman"/>
          <w:noProof/>
        </w:rPr>
      </w:pPr>
      <w:r w:rsidRPr="0039102C">
        <w:rPr>
          <w:rStyle w:val="CMR-textChar"/>
          <w:rFonts w:cs="Times New Roman"/>
          <w:noProof/>
        </w:rPr>
        <w:fldChar w:fldCharType="begin"/>
      </w:r>
      <w:r w:rsidRPr="0039102C">
        <w:rPr>
          <w:rStyle w:val="CMR-textChar"/>
          <w:rFonts w:cs="Times New Roman"/>
          <w:noProof/>
        </w:rPr>
        <w:instrText xml:space="preserve"> REF _Ref176771715 \h  \* MERGEFORMAT </w:instrText>
      </w:r>
      <w:r w:rsidRPr="0039102C">
        <w:rPr>
          <w:rStyle w:val="CMR-textChar"/>
          <w:rFonts w:cs="Times New Roman"/>
          <w:noProof/>
        </w:rPr>
      </w:r>
      <w:r w:rsidRPr="0039102C">
        <w:rPr>
          <w:rStyle w:val="CMR-textChar"/>
          <w:rFonts w:cs="Times New Roman"/>
          <w:noProof/>
        </w:rPr>
        <w:fldChar w:fldCharType="separate"/>
      </w:r>
      <w:r w:rsidRPr="0039102C">
        <w:rPr>
          <w:rStyle w:val="CMR-textChar"/>
          <w:rFonts w:cs="Times New Roman"/>
          <w:noProof/>
        </w:rPr>
        <w:t xml:space="preserve">Figures 4 </w:t>
      </w:r>
      <w:r w:rsidRPr="0039102C">
        <w:rPr>
          <w:rStyle w:val="CMR-textChar"/>
          <w:rFonts w:cs="Times New Roman"/>
          <w:noProof/>
        </w:rPr>
        <w:fldChar w:fldCharType="end"/>
      </w:r>
      <w:r w:rsidRPr="0039102C">
        <w:rPr>
          <w:rFonts w:ascii="Times New Roman" w:hAnsi="Times New Roman"/>
          <w:noProof/>
        </w:rPr>
        <w:t xml:space="preserve">A </w:t>
      </w:r>
      <w:r w:rsidRPr="0039102C">
        <w:rPr>
          <w:rStyle w:val="CMR-textChar"/>
          <w:noProof/>
        </w:rPr>
        <w:t>e a figura 5 ilustram</w:t>
      </w:r>
      <w:r w:rsidRPr="0039102C">
        <w:rPr>
          <w:rFonts w:ascii="Times New Roman" w:hAnsi="Times New Roman"/>
          <w:noProof/>
        </w:rPr>
        <w:t xml:space="preserve"> as tendências das emissões provenientes da queima de combustíveis fósseis em </w:t>
      </w:r>
      <w:r w:rsidRPr="0039102C">
        <w:rPr>
          <w:rStyle w:val="CMR-textChar"/>
          <w:noProof/>
        </w:rPr>
        <w:t>instalações abrangidas pelo</w:t>
      </w:r>
      <w:r w:rsidRPr="0039102C">
        <w:rPr>
          <w:rFonts w:ascii="Times New Roman" w:hAnsi="Times New Roman"/>
          <w:noProof/>
        </w:rPr>
        <w:t xml:space="preserve"> </w:t>
      </w:r>
      <w:r w:rsidRPr="0039102C">
        <w:rPr>
          <w:rStyle w:val="CMR-textChar"/>
          <w:noProof/>
        </w:rPr>
        <w:t>CELE — em percentagem das emissões totais das instalações e por tipo de combustível, respetivamente</w:t>
      </w:r>
      <w:r w:rsidR="005F69A5" w:rsidRPr="0039102C">
        <w:rPr>
          <w:rStyle w:val="FootnoteReference"/>
          <w:rFonts w:ascii="Times New Roman" w:hAnsi="Times New Roman" w:cs="Times New Roman"/>
          <w:noProof/>
          <w:kern w:val="0"/>
        </w:rPr>
        <w:footnoteReference w:id="52"/>
      </w:r>
      <w:r w:rsidRPr="0039102C">
        <w:rPr>
          <w:rStyle w:val="CMR-textChar"/>
          <w:noProof/>
        </w:rPr>
        <w:t>.</w:t>
      </w:r>
      <w:r w:rsidRPr="0039102C">
        <w:rPr>
          <w:rFonts w:ascii="Times New Roman" w:hAnsi="Times New Roman"/>
          <w:noProof/>
        </w:rPr>
        <w:t xml:space="preserve"> Nem todas as emissões abrangidas pelo CELE provêm da combustão de combustíveis fósseis. Algumas emissões provêm diretamente de processos industriais. A figura 4 mostra a percentagem de emissões provenientes da combustão de combustíveis fósseis nas emissões totais das instalações e a figura </w:t>
      </w:r>
      <w:r w:rsidRPr="0039102C">
        <w:rPr>
          <w:rStyle w:val="CMR-textChar"/>
          <w:noProof/>
        </w:rPr>
        <w:t xml:space="preserve">5 </w:t>
      </w:r>
      <w:r w:rsidRPr="0039102C">
        <w:rPr>
          <w:rFonts w:ascii="Times New Roman" w:hAnsi="Times New Roman"/>
          <w:noProof/>
        </w:rPr>
        <w:t>mostra a repartição das emissões provenientes da combustão por tipo de combustível.</w:t>
      </w:r>
    </w:p>
    <w:p w14:paraId="586B27C5" w14:textId="204A2931" w:rsidR="00C67AE7" w:rsidRPr="0039102C" w:rsidRDefault="33EB2012" w:rsidP="65EC3A73">
      <w:pPr>
        <w:jc w:val="both"/>
        <w:rPr>
          <w:rFonts w:ascii="Times New Roman" w:hAnsi="Times New Roman" w:cs="Times New Roman"/>
          <w:noProof/>
        </w:rPr>
      </w:pPr>
      <w:r w:rsidRPr="0039102C">
        <w:rPr>
          <w:rStyle w:val="CMR-textChar"/>
          <w:noProof/>
        </w:rPr>
        <w:t>No seu conjunto, as emissões registam uma tendência decrescente</w:t>
      </w:r>
      <w:r w:rsidRPr="0039102C">
        <w:rPr>
          <w:rFonts w:ascii="Times New Roman" w:hAnsi="Times New Roman"/>
          <w:noProof/>
        </w:rPr>
        <w:t>, impulsionada pela descarbonização do setor da energia, assente na implantação de energias renováveis, na substituição do carvão por gás natural e na utilização crescente de biomassa</w:t>
      </w:r>
      <w:r w:rsidR="00C75203" w:rsidRPr="0039102C">
        <w:rPr>
          <w:rStyle w:val="FootnoteReference"/>
          <w:rFonts w:ascii="Times New Roman" w:hAnsi="Times New Roman" w:cs="Times New Roman"/>
          <w:noProof/>
          <w:kern w:val="0"/>
        </w:rPr>
        <w:footnoteReference w:id="53"/>
      </w:r>
      <w:r w:rsidRPr="0039102C">
        <w:rPr>
          <w:rFonts w:ascii="Times New Roman" w:hAnsi="Times New Roman"/>
          <w:noProof/>
        </w:rPr>
        <w:t xml:space="preserve">. </w:t>
      </w:r>
      <w:r w:rsidRPr="0039102C">
        <w:rPr>
          <w:rStyle w:val="CMR-textChar"/>
          <w:noProof/>
        </w:rPr>
        <w:t xml:space="preserve">Como mostra a </w:t>
      </w:r>
      <w:r w:rsidR="00740513" w:rsidRPr="0039102C">
        <w:rPr>
          <w:rStyle w:val="CMR-textChar"/>
          <w:rFonts w:cs="Times New Roman"/>
          <w:noProof/>
        </w:rPr>
        <w:fldChar w:fldCharType="begin"/>
      </w:r>
      <w:r w:rsidR="00740513" w:rsidRPr="0039102C">
        <w:rPr>
          <w:rStyle w:val="CMR-textChar"/>
          <w:rFonts w:cs="Times New Roman"/>
          <w:noProof/>
        </w:rPr>
        <w:instrText xml:space="preserve"> REF _Ref176771720 \h </w:instrText>
      </w:r>
      <w:r w:rsidR="00AB0740" w:rsidRPr="0039102C">
        <w:rPr>
          <w:rStyle w:val="CMR-textChar"/>
          <w:rFonts w:cs="Times New Roman"/>
          <w:noProof/>
        </w:rPr>
        <w:instrText xml:space="preserve"> \* MERGEFORMAT </w:instrText>
      </w:r>
      <w:r w:rsidR="00740513" w:rsidRPr="0039102C">
        <w:rPr>
          <w:rStyle w:val="CMR-textChar"/>
          <w:rFonts w:cs="Times New Roman"/>
          <w:noProof/>
        </w:rPr>
      </w:r>
      <w:r w:rsidR="00740513" w:rsidRPr="0039102C">
        <w:rPr>
          <w:rStyle w:val="CMR-textChar"/>
          <w:rFonts w:cs="Times New Roman"/>
          <w:noProof/>
        </w:rPr>
        <w:fldChar w:fldCharType="separate"/>
      </w:r>
      <w:r w:rsidR="2C8CF0AC" w:rsidRPr="0039102C">
        <w:rPr>
          <w:rStyle w:val="CMR-textChar"/>
          <w:rFonts w:cs="Times New Roman"/>
          <w:noProof/>
        </w:rPr>
        <w:t xml:space="preserve">Figure </w:t>
      </w:r>
      <w:r w:rsidR="00740513" w:rsidRPr="0039102C">
        <w:rPr>
          <w:rStyle w:val="CMR-textChar"/>
          <w:rFonts w:cs="Times New Roman"/>
          <w:noProof/>
        </w:rPr>
        <w:fldChar w:fldCharType="end"/>
      </w:r>
      <w:r w:rsidRPr="0039102C">
        <w:rPr>
          <w:rStyle w:val="CMR-textChar"/>
          <w:noProof/>
        </w:rPr>
        <w:t>5, a</w:t>
      </w:r>
      <w:r w:rsidRPr="0039102C">
        <w:rPr>
          <w:rFonts w:ascii="Times New Roman" w:hAnsi="Times New Roman"/>
          <w:noProof/>
        </w:rPr>
        <w:t xml:space="preserve"> tendência de aumento da utilização de hulha registada em 2022 (associada à subida dos preços do gás natural decorrente da invasão da Ucrânia pela Rússia) reverteu-se </w:t>
      </w:r>
      <w:r w:rsidRPr="0039102C">
        <w:rPr>
          <w:rStyle w:val="CMR-textChar"/>
          <w:noProof/>
        </w:rPr>
        <w:t>ao ponto de 2024 registar a percentagem mais baixa de utilização de hulha desde 2013</w:t>
      </w:r>
      <w:r w:rsidRPr="0039102C">
        <w:rPr>
          <w:rFonts w:ascii="Times New Roman" w:hAnsi="Times New Roman"/>
          <w:noProof/>
        </w:rPr>
        <w:t>.</w:t>
      </w:r>
    </w:p>
    <w:p w14:paraId="191CFDD7" w14:textId="2192C376" w:rsidR="00CC46ED" w:rsidRPr="0039102C" w:rsidRDefault="00E02889" w:rsidP="00CC46ED">
      <w:pPr>
        <w:keepNext/>
        <w:jc w:val="both"/>
        <w:rPr>
          <w:rFonts w:ascii="Times New Roman" w:hAnsi="Times New Roman" w:cs="Times New Roman"/>
          <w:noProof/>
        </w:rPr>
      </w:pPr>
      <w:r w:rsidRPr="0039102C">
        <w:rPr>
          <w:noProof/>
          <w:lang w:val="en-GB" w:eastAsia="en-GB"/>
        </w:rPr>
        <w:drawing>
          <wp:inline distT="0" distB="0" distL="0" distR="0" wp14:anchorId="104C70A6" wp14:editId="3312BED6">
            <wp:extent cx="5731510" cy="2432050"/>
            <wp:effectExtent l="0" t="0" r="2540" b="6350"/>
            <wp:docPr id="1304318677" name="Chart 1">
              <a:extLst xmlns:a="http://schemas.openxmlformats.org/drawingml/2006/main">
                <a:ext uri="{FF2B5EF4-FFF2-40B4-BE49-F238E27FC236}">
                  <a16:creationId xmlns:a16="http://schemas.microsoft.com/office/drawing/2014/main" id="{CAADC2EB-1DDE-4DF2-A127-2D6631A56E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011A370A" w14:textId="581B03C2" w:rsidR="001A56DF" w:rsidRPr="0039102C" w:rsidRDefault="00CC46ED" w:rsidP="00CC46ED">
      <w:pPr>
        <w:pStyle w:val="Caption"/>
        <w:rPr>
          <w:noProof/>
          <w:sz w:val="20"/>
        </w:rPr>
      </w:pPr>
      <w:bookmarkStart w:id="48" w:name="_Ref176771715"/>
      <w:r w:rsidRPr="0039102C">
        <w:rPr>
          <w:noProof/>
          <w:sz w:val="20"/>
        </w:rPr>
        <w:t>Figura 4</w:t>
      </w:r>
      <w:r w:rsidR="003B51C5" w:rsidRPr="0039102C">
        <w:rPr>
          <w:noProof/>
          <w:sz w:val="20"/>
        </w:rPr>
        <w:fldChar w:fldCharType="begin"/>
      </w:r>
      <w:r w:rsidR="003B51C5" w:rsidRPr="0039102C">
        <w:rPr>
          <w:noProof/>
          <w:sz w:val="20"/>
        </w:rPr>
        <w:instrText xml:space="preserve"> SEQ Figure \* ARABIC </w:instrText>
      </w:r>
      <w:r w:rsidR="003B51C5" w:rsidRPr="0039102C">
        <w:rPr>
          <w:noProof/>
          <w:sz w:val="20"/>
        </w:rPr>
        <w:fldChar w:fldCharType="end"/>
      </w:r>
      <w:bookmarkEnd w:id="48"/>
      <w:r w:rsidRPr="0039102C">
        <w:rPr>
          <w:noProof/>
          <w:sz w:val="20"/>
        </w:rPr>
        <w:t>. Tendência nas emissões totais provenientes da queima de combustíveis fósseis em instalações abrangidas pelo CELE (2013-2024). Os rótulos mostram a percentagem em relação às emissões totais das instalações.</w:t>
      </w:r>
    </w:p>
    <w:p w14:paraId="6E63846E" w14:textId="01720D12" w:rsidR="00130AC0" w:rsidRPr="0039102C" w:rsidRDefault="005729E4" w:rsidP="00130AC0">
      <w:pPr>
        <w:keepNext/>
        <w:jc w:val="both"/>
        <w:rPr>
          <w:rFonts w:ascii="Times New Roman" w:hAnsi="Times New Roman" w:cs="Times New Roman"/>
          <w:noProof/>
        </w:rPr>
      </w:pPr>
      <w:r w:rsidRPr="005729E4">
        <w:rPr>
          <w:rFonts w:ascii="Times New Roman" w:hAnsi="Times New Roman" w:cs="Times New Roman"/>
          <w:noProof/>
          <w:lang w:val="en-GB" w:eastAsia="en-GB"/>
        </w:rPr>
        <w:drawing>
          <wp:inline distT="0" distB="0" distL="0" distR="0" wp14:anchorId="0F6C27C9" wp14:editId="3DCF11F1">
            <wp:extent cx="5731510" cy="3286760"/>
            <wp:effectExtent l="0" t="0" r="2540" b="8890"/>
            <wp:docPr id="1147805313" name="Picture 1"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805313" name="Picture 1" descr="A graph of different colored bars&#10;&#10;AI-generated content may be incorrect."/>
                    <pic:cNvPicPr/>
                  </pic:nvPicPr>
                  <pic:blipFill>
                    <a:blip r:embed="rId35"/>
                    <a:stretch>
                      <a:fillRect/>
                    </a:stretch>
                  </pic:blipFill>
                  <pic:spPr>
                    <a:xfrm>
                      <a:off x="0" y="0"/>
                      <a:ext cx="5731510" cy="3286760"/>
                    </a:xfrm>
                    <a:prstGeom prst="rect">
                      <a:avLst/>
                    </a:prstGeom>
                  </pic:spPr>
                </pic:pic>
              </a:graphicData>
            </a:graphic>
          </wp:inline>
        </w:drawing>
      </w:r>
    </w:p>
    <w:p w14:paraId="47A9609B" w14:textId="4BF01CBF" w:rsidR="001A56DF" w:rsidRDefault="269DA4C7" w:rsidP="00623DEB">
      <w:pPr>
        <w:jc w:val="both"/>
        <w:rPr>
          <w:rFonts w:ascii="Times New Roman" w:hAnsi="Times New Roman"/>
          <w:i/>
          <w:noProof/>
          <w:sz w:val="20"/>
        </w:rPr>
      </w:pPr>
      <w:bookmarkStart w:id="49" w:name="_Ref176771720"/>
      <w:r w:rsidRPr="0039102C">
        <w:rPr>
          <w:rFonts w:ascii="Times New Roman" w:hAnsi="Times New Roman"/>
          <w:i/>
          <w:noProof/>
          <w:sz w:val="20"/>
        </w:rPr>
        <w:t xml:space="preserve">Figura 5 </w:t>
      </w:r>
      <w:r w:rsidR="00130AC0" w:rsidRPr="0039102C">
        <w:rPr>
          <w:rFonts w:ascii="Times New Roman" w:hAnsi="Times New Roman" w:cs="Times New Roman"/>
          <w:i/>
          <w:noProof/>
          <w:sz w:val="20"/>
        </w:rPr>
        <w:fldChar w:fldCharType="begin"/>
      </w:r>
      <w:r w:rsidR="00130AC0" w:rsidRPr="0039102C">
        <w:rPr>
          <w:rFonts w:ascii="Times New Roman" w:hAnsi="Times New Roman" w:cs="Times New Roman"/>
          <w:i/>
          <w:noProof/>
          <w:sz w:val="20"/>
        </w:rPr>
        <w:instrText xml:space="preserve"> SEQ Figure \* ARABIC </w:instrText>
      </w:r>
      <w:r w:rsidR="00130AC0" w:rsidRPr="0039102C">
        <w:rPr>
          <w:rFonts w:ascii="Times New Roman" w:hAnsi="Times New Roman" w:cs="Times New Roman"/>
          <w:i/>
          <w:noProof/>
          <w:sz w:val="20"/>
        </w:rPr>
        <w:fldChar w:fldCharType="end"/>
      </w:r>
      <w:bookmarkEnd w:id="49"/>
      <w:r w:rsidRPr="0039102C">
        <w:rPr>
          <w:rFonts w:ascii="Times New Roman" w:hAnsi="Times New Roman"/>
          <w:i/>
          <w:noProof/>
          <w:sz w:val="20"/>
        </w:rPr>
        <w:t>. Tendência da percentagem de emissões provenientes da queima de diferentes combustíveis em instalações abrangidas pelo CELE (2013-2024). Os rótulos mostram a percentagem em relação ao total de emissões de combustão das instalações. Não são apresentados rótulos caso as emissões provenientes da queima de um determinado combustível nunca tenham sido superiores a 3 %. «Outros combustíveis fósseis*» refere-se a combustíveis que não constem já da legenda. As emissões provenientes da combustão de biomassa são consideradas emissões com fator de emissão zero no âmbito do CELE, pelo que são indicadas como um complemento das emissões totais de combustão das instalações.</w:t>
      </w:r>
    </w:p>
    <w:p w14:paraId="6ACCC28A" w14:textId="77777777" w:rsidR="005729E4" w:rsidRDefault="005729E4" w:rsidP="00623DEB">
      <w:pPr>
        <w:jc w:val="both"/>
        <w:rPr>
          <w:rFonts w:ascii="Times New Roman" w:hAnsi="Times New Roman"/>
          <w:i/>
          <w:noProof/>
          <w:sz w:val="20"/>
        </w:rPr>
      </w:pPr>
    </w:p>
    <w:p w14:paraId="387070DA" w14:textId="77777777" w:rsidR="005729E4" w:rsidRPr="0039102C" w:rsidRDefault="005729E4" w:rsidP="00623DEB">
      <w:pPr>
        <w:jc w:val="both"/>
        <w:rPr>
          <w:rFonts w:ascii="Times New Roman" w:hAnsi="Times New Roman" w:cs="Times New Roman"/>
          <w:i/>
          <w:iCs/>
          <w:noProof/>
          <w:sz w:val="20"/>
          <w:szCs w:val="20"/>
        </w:rPr>
      </w:pPr>
    </w:p>
    <w:p w14:paraId="3F1F697C" w14:textId="1F6C03D8" w:rsidR="00613B80" w:rsidRPr="0039102C" w:rsidRDefault="00613B80" w:rsidP="00EC4FC3">
      <w:pPr>
        <w:pStyle w:val="CMR-Heading"/>
        <w:rPr>
          <w:noProof/>
        </w:rPr>
      </w:pPr>
      <w:bookmarkStart w:id="50" w:name="_Toc180513403"/>
      <w:bookmarkStart w:id="51" w:name="_Toc218529291"/>
      <w:r w:rsidRPr="0039102C">
        <w:rPr>
          <w:noProof/>
        </w:rPr>
        <w:t>Receitas do CELE</w:t>
      </w:r>
      <w:bookmarkEnd w:id="50"/>
      <w:bookmarkEnd w:id="51"/>
    </w:p>
    <w:p w14:paraId="2FE8FC86" w14:textId="0DDC2B32" w:rsidR="00876E44" w:rsidRPr="0039102C" w:rsidRDefault="00757735" w:rsidP="008C7E4E">
      <w:pPr>
        <w:pStyle w:val="CMR-text"/>
        <w:rPr>
          <w:rFonts w:cs="Times New Roman"/>
          <w:noProof/>
        </w:rPr>
      </w:pPr>
      <w:r w:rsidRPr="0039102C">
        <w:rPr>
          <w:noProof/>
        </w:rPr>
        <w:t>A venda de licenças de emissão nos leilões do CELE gera receitas substanciais a utilizar pelos Estados</w:t>
      </w:r>
      <w:r w:rsidR="00217ECB">
        <w:rPr>
          <w:noProof/>
        </w:rPr>
        <w:noBreakHyphen/>
      </w:r>
      <w:r w:rsidRPr="0039102C">
        <w:rPr>
          <w:noProof/>
        </w:rPr>
        <w:t>Membros para apoiar a ação climática e a transformação energética. Em 2024, as receitas totais dos leilões ascenderam a 38,8 mil milhões de EUR.</w:t>
      </w:r>
    </w:p>
    <w:p w14:paraId="0182454D" w14:textId="5271D9B5" w:rsidR="003F1EDF" w:rsidRPr="0039102C" w:rsidRDefault="00757735" w:rsidP="00876E44">
      <w:pPr>
        <w:pStyle w:val="CMR-text"/>
        <w:numPr>
          <w:ilvl w:val="0"/>
          <w:numId w:val="41"/>
        </w:numPr>
        <w:rPr>
          <w:rFonts w:cs="Times New Roman"/>
          <w:noProof/>
        </w:rPr>
      </w:pPr>
      <w:r w:rsidRPr="0039102C">
        <w:rPr>
          <w:noProof/>
        </w:rPr>
        <w:t>24,4 mil milhões de EUR destinaram-se diretamente aos Estados-Membros e 0,3 mil milhões de EUR à Islândia, ao Listenstaine, à Noruega e à Irlanda do Norte.</w:t>
      </w:r>
    </w:p>
    <w:p w14:paraId="55695E2B" w14:textId="5A38664E" w:rsidR="001302F9" w:rsidRPr="0039102C" w:rsidRDefault="00EF61CA" w:rsidP="00876E44">
      <w:pPr>
        <w:pStyle w:val="CMR-text"/>
        <w:numPr>
          <w:ilvl w:val="0"/>
          <w:numId w:val="41"/>
        </w:numPr>
        <w:rPr>
          <w:rFonts w:cs="Times New Roman"/>
          <w:noProof/>
        </w:rPr>
      </w:pPr>
      <w:r w:rsidRPr="0039102C">
        <w:rPr>
          <w:noProof/>
        </w:rPr>
        <w:t>Um montante de 6,3 mil milhões de EUR foi canalizado para o Fundo de Modernização do CELE e um montante de 2,3 mil milhões de EUR para o Fundo de Inovação do CELE, tendo os restantes 5,6 mil milhões de EUR sido afetados ao Mecanismo de Recuperação e Resiliência, a fim de financiar o plano REPowerEU, que os Estados-Membros utilizam para fazer avançar a transição para as energias limpas e reforçar a segurança energética, através da execução das reformas e dos investimentos incluídos nos capítulos relativos ao REPowerEU dos respetivos planos de recuperação e resiliência.</w:t>
      </w:r>
    </w:p>
    <w:p w14:paraId="3CF0E860" w14:textId="74B9C599" w:rsidR="00757735" w:rsidRPr="0039102C" w:rsidRDefault="00844486" w:rsidP="00B24B3C">
      <w:pPr>
        <w:pStyle w:val="CMR-text"/>
        <w:rPr>
          <w:rFonts w:cs="Times New Roman"/>
          <w:noProof/>
        </w:rPr>
      </w:pPr>
      <w:r w:rsidRPr="0039102C">
        <w:rPr>
          <w:noProof/>
        </w:rPr>
        <w:t>A figura 6 mostra a distribuição das receitas dos leilões de 2024. O ponto 3 do documento de trabalho dos serviços da Comissão que acompanha o presente relatório contém dados pormenorizados sobre as receitas por país e por fundo.</w:t>
      </w:r>
    </w:p>
    <w:p w14:paraId="30BFCBF4" w14:textId="15DE7E6A" w:rsidR="003A7581" w:rsidRPr="0039102C" w:rsidRDefault="005729E4" w:rsidP="00A70C6B">
      <w:pPr>
        <w:pStyle w:val="CMR-tables"/>
        <w:jc w:val="center"/>
        <w:rPr>
          <w:rFonts w:cs="Times New Roman"/>
          <w:noProof/>
          <w:sz w:val="22"/>
          <w:highlight w:val="lightGray"/>
        </w:rPr>
      </w:pPr>
      <w:r w:rsidRPr="005729E4">
        <w:rPr>
          <w:noProof/>
          <w:sz w:val="22"/>
          <w:lang w:val="en-GB" w:eastAsia="en-GB"/>
        </w:rPr>
        <w:drawing>
          <wp:inline distT="0" distB="0" distL="0" distR="0" wp14:anchorId="2E661B75" wp14:editId="6920B8CC">
            <wp:extent cx="5401429" cy="3877216"/>
            <wp:effectExtent l="0" t="0" r="8890" b="9525"/>
            <wp:docPr id="2078236186" name="Picture 1" descr="A blue pie char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236186" name="Picture 1" descr="A blue pie chart with white text&#10;&#10;AI-generated content may be incorrect."/>
                    <pic:cNvPicPr/>
                  </pic:nvPicPr>
                  <pic:blipFill>
                    <a:blip r:embed="rId36"/>
                    <a:stretch>
                      <a:fillRect/>
                    </a:stretch>
                  </pic:blipFill>
                  <pic:spPr>
                    <a:xfrm>
                      <a:off x="0" y="0"/>
                      <a:ext cx="5401429" cy="3877216"/>
                    </a:xfrm>
                    <a:prstGeom prst="rect">
                      <a:avLst/>
                    </a:prstGeom>
                  </pic:spPr>
                </pic:pic>
              </a:graphicData>
            </a:graphic>
          </wp:inline>
        </w:drawing>
      </w:r>
    </w:p>
    <w:p w14:paraId="39B3B42E" w14:textId="0136A18C" w:rsidR="0037499C" w:rsidRPr="0039102C" w:rsidRDefault="003A7581" w:rsidP="009C3C52">
      <w:pPr>
        <w:pStyle w:val="Caption"/>
        <w:rPr>
          <w:noProof/>
          <w:sz w:val="20"/>
        </w:rPr>
      </w:pPr>
      <w:bookmarkStart w:id="52" w:name="_Ref176945887"/>
      <w:r w:rsidRPr="0039102C">
        <w:rPr>
          <w:noProof/>
          <w:sz w:val="20"/>
        </w:rPr>
        <w:t>Figura 6</w:t>
      </w:r>
      <w:r w:rsidR="003B51C5" w:rsidRPr="0039102C">
        <w:rPr>
          <w:noProof/>
          <w:sz w:val="20"/>
        </w:rPr>
        <w:fldChar w:fldCharType="begin"/>
      </w:r>
      <w:r w:rsidR="003B51C5" w:rsidRPr="0039102C">
        <w:rPr>
          <w:noProof/>
          <w:sz w:val="20"/>
        </w:rPr>
        <w:instrText xml:space="preserve"> SEQ Figure \* ARABIC </w:instrText>
      </w:r>
      <w:r w:rsidR="003B51C5" w:rsidRPr="0039102C">
        <w:rPr>
          <w:noProof/>
          <w:sz w:val="20"/>
        </w:rPr>
        <w:fldChar w:fldCharType="end"/>
      </w:r>
      <w:bookmarkEnd w:id="52"/>
      <w:r w:rsidRPr="0039102C">
        <w:rPr>
          <w:noProof/>
          <w:sz w:val="20"/>
        </w:rPr>
        <w:t>. Distribuição das receitas dos leilões do CELE de 2024 entre os orçamentos nacionais, o Fundo de Inovação, o Fundo de Modernização e o Mecanismo de Recuperação e Resiliência</w:t>
      </w:r>
    </w:p>
    <w:p w14:paraId="04351C18" w14:textId="24E9711F" w:rsidR="00C93ED1" w:rsidRPr="0039102C" w:rsidRDefault="00740A55" w:rsidP="000866E8">
      <w:pPr>
        <w:pStyle w:val="CMR-text"/>
        <w:rPr>
          <w:rFonts w:cs="Times New Roman"/>
          <w:noProof/>
        </w:rPr>
      </w:pPr>
      <w:r w:rsidRPr="0039102C">
        <w:rPr>
          <w:noProof/>
        </w:rPr>
        <w:t>Nos termos do artigo 10.º, n.º 3, da Diretiva CELE, os Estados-Membros são obrigados a utilizar a totalidade das receitas obtidas (ou o valor financeiro equivalente) para apoiar a ação climática e a transformação energética. A exceção a essa regra são as receitas que os Estados-Membros gastem em auxílios às indústrias com utilização intensiva de eletricidade para compensar os custos indiretos do carbono (ver ponto 8.1). Os fins específicos são enumerados no artigo 10.º, n.º 3, e incluem a descarbonização industrial, a transformação energética, as tecnologias limpas, a adaptação às alterações climáticas, a descarbonização do setor dos transportes e ações para uma transição justa. A Comissão acompanha de perto o cumprimento desta nova obrigação, para assegurar que todas as receitas do CELE sejam efetivamente despendidas com vista à consecução destes fins.</w:t>
      </w:r>
    </w:p>
    <w:p w14:paraId="516D1734" w14:textId="13A4577E" w:rsidR="009A7085" w:rsidRPr="0039102C" w:rsidRDefault="007B7A7D" w:rsidP="009A7085">
      <w:pPr>
        <w:pStyle w:val="CMR-text"/>
        <w:rPr>
          <w:rFonts w:cs="Times New Roman"/>
          <w:noProof/>
        </w:rPr>
      </w:pPr>
      <w:r w:rsidRPr="0039102C">
        <w:rPr>
          <w:noProof/>
        </w:rPr>
        <w:t>A obrigação abrange as receitas da venda em leilão de licenças de emissão adicionais, resultantes da inclusão do transporte marítimo no CELE, sendo os Estados-Membros incentivados a aumentar o seu contributo para a proteção, o restauro e a melhor gestão dos ecossistemas marinhos, em especial das zonas marinhas protegidas. Além disso, os Estados-Membros que recebem volumes mais elevados de licenças de emissão adicionais, por força do seu elevado rácio entre as companhias de transporte marítimo e a respetiva população, devem utilizar a quota correspondente para fins relacionados com o transporte marítimo.</w:t>
      </w:r>
    </w:p>
    <w:p w14:paraId="5ACC01CE" w14:textId="22BD2BFB" w:rsidR="00B56728" w:rsidRPr="0039102C" w:rsidRDefault="3C3D0526" w:rsidP="001E72FA">
      <w:pPr>
        <w:pStyle w:val="CMR-text"/>
        <w:rPr>
          <w:rFonts w:cs="Times New Roman"/>
          <w:noProof/>
        </w:rPr>
      </w:pPr>
      <w:r w:rsidRPr="0039102C">
        <w:rPr>
          <w:noProof/>
        </w:rPr>
        <w:t>Os Estados-Membros apresentam anualmente à Comissão, ao abrigo do Regulamento Governação [Regulamento (UE) 2018/1999]</w:t>
      </w:r>
      <w:r w:rsidR="00AC7C5E" w:rsidRPr="0039102C">
        <w:rPr>
          <w:rStyle w:val="FootnoteReference"/>
          <w:rFonts w:cs="Times New Roman"/>
          <w:noProof/>
        </w:rPr>
        <w:footnoteReference w:id="54"/>
      </w:r>
      <w:r w:rsidRPr="0039102C">
        <w:rPr>
          <w:noProof/>
        </w:rPr>
        <w:t>, um relatório sobre a forma como utilizam as suas receitas do CELE. Estes relatórios baseiam-se em modelos e são apresentados através da Reportnet 3, gerida pela Agência Europeia do Ambiente</w:t>
      </w:r>
      <w:r w:rsidR="000F529A" w:rsidRPr="0039102C">
        <w:rPr>
          <w:rStyle w:val="FootnoteReference"/>
          <w:rFonts w:cs="Times New Roman"/>
          <w:noProof/>
        </w:rPr>
        <w:footnoteReference w:id="55"/>
      </w:r>
      <w:r w:rsidRPr="0039102C">
        <w:rPr>
          <w:noProof/>
        </w:rPr>
        <w:t>. Estão disponíveis ao público no sítio Web da agência. Os relatórios devem ser suficientemente pormenorizados para avaliar o cumprimento da meta em termos de despesas. Caso contrário, a Comissão pode solicitar que um Estado-Membro volte a apresentar as informações e colmate eventuais lacunas.</w:t>
      </w:r>
    </w:p>
    <w:p w14:paraId="66496439" w14:textId="4E4D004B" w:rsidR="00195726" w:rsidRPr="0039102C" w:rsidRDefault="3AC9B8AD" w:rsidP="00195726">
      <w:pPr>
        <w:pStyle w:val="CMR-text"/>
        <w:rPr>
          <w:rFonts w:cs="Times New Roman"/>
          <w:noProof/>
          <w:highlight w:val="yellow"/>
        </w:rPr>
      </w:pPr>
      <w:r w:rsidRPr="0039102C">
        <w:rPr>
          <w:noProof/>
        </w:rPr>
        <w:t>Dos 24,4 mil milhões de EUR que os Estados-Membros cobraram de receitas do CELE em 2024, 21,2 mil milhões de EUR estão sujeitos à obrigação prevista no artigo 10.º, n.º 3</w:t>
      </w:r>
      <w:r w:rsidR="0055278A" w:rsidRPr="0039102C">
        <w:rPr>
          <w:rStyle w:val="FootnoteReference"/>
          <w:rFonts w:cs="Times New Roman"/>
          <w:noProof/>
        </w:rPr>
        <w:footnoteReference w:id="56"/>
      </w:r>
      <w:r w:rsidRPr="0039102C">
        <w:rPr>
          <w:noProof/>
        </w:rPr>
        <w:t>. A razão prende-se com o facto de 3,2 mil milhões de EUR das receitas de 2024 (13 %) comunicadas terem financiado auxílios às indústrias com utilização intensiva de eletricidade para compensar os custos indiretos do carbono. Embora todas as receitas pertinentes do CELE devam ser consagradas a investimentos relacionados com o clima e a energia, este orçamento não precisa de ser integralmente gasto no ano em que as receitas são geradas. Das receitas de 2023 a utilizar para os fins enumerados no artigo 10.º, n.º 3, 77 % já foram desembolsadas em 2024 e outros 3 % foram afetados a ações específicas. Os futuros relatórios descreverão a forma como os Estados-Membros utilizaram a parte remanescente.</w:t>
      </w:r>
    </w:p>
    <w:p w14:paraId="2587DF9B" w14:textId="7B111B5A" w:rsidR="00C347BD" w:rsidRPr="0039102C" w:rsidRDefault="31C1E0E1" w:rsidP="008C7E4E">
      <w:pPr>
        <w:pStyle w:val="CMR-text"/>
        <w:rPr>
          <w:rFonts w:cs="Times New Roman"/>
          <w:noProof/>
        </w:rPr>
      </w:pPr>
      <w:r w:rsidRPr="0039102C">
        <w:rPr>
          <w:noProof/>
        </w:rPr>
        <w:t>Dos 21,2 mil milhões de EUR, os Estados-Membros declararam</w:t>
      </w:r>
      <w:r w:rsidR="004342FC" w:rsidRPr="0039102C">
        <w:rPr>
          <w:rStyle w:val="FootnoteReference"/>
          <w:rFonts w:cs="Times New Roman"/>
          <w:noProof/>
        </w:rPr>
        <w:footnoteReference w:id="57"/>
      </w:r>
      <w:r w:rsidRPr="0039102C">
        <w:rPr>
          <w:noProof/>
        </w:rPr>
        <w:t xml:space="preserve"> ter já desembolsado 16 400 milhões de EUR e autorizado 500 milhões de EUR para os fins enumerados no artigo 10.º, n.º 3. Ficam assim por afetar, desembolsar e comunicar cerca de 4 300 milhões de EUR.</w:t>
      </w:r>
    </w:p>
    <w:p w14:paraId="33FD0045" w14:textId="62AE9A75" w:rsidR="001D677A" w:rsidRPr="0039102C" w:rsidRDefault="004C7BB7" w:rsidP="008C7E4E">
      <w:pPr>
        <w:pStyle w:val="CMR-text"/>
        <w:rPr>
          <w:rFonts w:cs="Times New Roman"/>
          <w:noProof/>
        </w:rPr>
      </w:pPr>
      <w:r w:rsidRPr="0039102C">
        <w:rPr>
          <w:noProof/>
        </w:rPr>
        <w:t>O quadro 5 inclui uma repartição dos 24,4 mil milhões de EUR cobrados pelos Estados-Membros de receitas do CELE em 2024.</w:t>
      </w:r>
    </w:p>
    <w:p w14:paraId="22DC90AA" w14:textId="2DDC5C15" w:rsidR="003B51C5" w:rsidRPr="0039102C" w:rsidRDefault="003B51C5" w:rsidP="003B51C5">
      <w:pPr>
        <w:pStyle w:val="Caption"/>
        <w:keepNext/>
        <w:rPr>
          <w:noProof/>
          <w:sz w:val="20"/>
        </w:rPr>
      </w:pPr>
      <w:bookmarkStart w:id="53" w:name="_Ref180760941"/>
      <w:r w:rsidRPr="0039102C">
        <w:rPr>
          <w:noProof/>
          <w:sz w:val="20"/>
        </w:rPr>
        <w:t xml:space="preserve">Quadro </w:t>
      </w:r>
      <w:bookmarkEnd w:id="53"/>
      <w:r w:rsidRPr="0039102C">
        <w:rPr>
          <w:noProof/>
          <w:sz w:val="20"/>
        </w:rPr>
        <w:t>5. Repartição dos 24,4 mil milhões de EUR de receitas do CELE que os Estados-Membros cobraram em 2024.</w:t>
      </w:r>
    </w:p>
    <w:tbl>
      <w:tblPr>
        <w:tblStyle w:val="PlainTable5"/>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6948"/>
        <w:gridCol w:w="2068"/>
      </w:tblGrid>
      <w:tr w:rsidR="000E7DB9" w:rsidRPr="0039102C" w14:paraId="5144FFC6" w14:textId="77777777" w:rsidTr="000E7DB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gridSpan w:val="2"/>
            <w:tcBorders>
              <w:bottom w:val="none" w:sz="0" w:space="0" w:color="auto"/>
              <w:right w:val="none" w:sz="0" w:space="0" w:color="auto"/>
            </w:tcBorders>
          </w:tcPr>
          <w:p w14:paraId="04B28FD8" w14:textId="23C1C706" w:rsidR="000E7DB9" w:rsidRPr="0039102C" w:rsidRDefault="000E7DB9" w:rsidP="00A0384F">
            <w:pPr>
              <w:pStyle w:val="CMR-tables"/>
              <w:keepNext/>
              <w:jc w:val="center"/>
              <w:rPr>
                <w:rFonts w:cs="Times New Roman"/>
                <w:b/>
                <w:i w:val="0"/>
                <w:noProof/>
                <w:szCs w:val="20"/>
              </w:rPr>
            </w:pPr>
            <w:r w:rsidRPr="0039102C">
              <w:rPr>
                <w:b/>
                <w:i w:val="0"/>
                <w:noProof/>
              </w:rPr>
              <w:t>Receitas</w:t>
            </w:r>
            <w:r w:rsidRPr="0039102C">
              <w:rPr>
                <w:b/>
                <w:i w:val="0"/>
                <w:noProof/>
              </w:rPr>
              <w:br/>
              <w:t>(mil milhões de EUR)</w:t>
            </w:r>
          </w:p>
        </w:tc>
      </w:tr>
      <w:tr w:rsidR="00381357" w:rsidRPr="0039102C" w14:paraId="21349C27" w14:textId="77777777" w:rsidTr="000E7DB9">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6948" w:type="dxa"/>
            <w:tcBorders>
              <w:right w:val="none" w:sz="0" w:space="0" w:color="auto"/>
            </w:tcBorders>
            <w:shd w:val="clear" w:color="auto" w:fill="D9E2F3" w:themeFill="accent1" w:themeFillTint="33"/>
            <w:vAlign w:val="center"/>
          </w:tcPr>
          <w:p w14:paraId="5B5CFBFB" w14:textId="0BCB3CBB" w:rsidR="005353DB" w:rsidRPr="0039102C" w:rsidRDefault="005353DB" w:rsidP="00A0384F">
            <w:pPr>
              <w:pStyle w:val="CMR-tables"/>
              <w:keepNext/>
              <w:rPr>
                <w:rFonts w:cs="Times New Roman"/>
                <w:i w:val="0"/>
                <w:noProof/>
                <w:szCs w:val="20"/>
              </w:rPr>
            </w:pPr>
            <w:r w:rsidRPr="0039102C">
              <w:rPr>
                <w:i w:val="0"/>
                <w:noProof/>
              </w:rPr>
              <w:t>Receitas declaradas como utilizadas para financiar auxílios aos custos indiretos do carbono</w:t>
            </w:r>
          </w:p>
        </w:tc>
        <w:tc>
          <w:tcPr>
            <w:tcW w:w="2068" w:type="dxa"/>
            <w:shd w:val="clear" w:color="auto" w:fill="D9E2F3" w:themeFill="accent1" w:themeFillTint="33"/>
            <w:vAlign w:val="center"/>
          </w:tcPr>
          <w:p w14:paraId="193BABA5" w14:textId="5CE8BF04" w:rsidR="005353DB" w:rsidRPr="0039102C" w:rsidRDefault="438D9322" w:rsidP="4F1F6D99">
            <w:pPr>
              <w:pStyle w:val="CMR-tables"/>
              <w:keepNext/>
              <w:jc w:val="right"/>
              <w:cnfStyle w:val="000000100000" w:firstRow="0" w:lastRow="0" w:firstColumn="0" w:lastColumn="0" w:oddVBand="0" w:evenVBand="0" w:oddHBand="1" w:evenHBand="0" w:firstRowFirstColumn="0" w:firstRowLastColumn="0" w:lastRowFirstColumn="0" w:lastRowLastColumn="0"/>
              <w:rPr>
                <w:rFonts w:cs="Times New Roman"/>
                <w:noProof/>
                <w:szCs w:val="20"/>
              </w:rPr>
            </w:pPr>
            <w:r w:rsidRPr="0039102C">
              <w:rPr>
                <w:noProof/>
              </w:rPr>
              <w:t>3,2</w:t>
            </w:r>
          </w:p>
        </w:tc>
      </w:tr>
      <w:tr w:rsidR="00C4058D" w:rsidRPr="0039102C" w14:paraId="6CB75938" w14:textId="77777777" w:rsidTr="000E7DB9">
        <w:trPr>
          <w:trHeight w:val="700"/>
        </w:trPr>
        <w:tc>
          <w:tcPr>
            <w:cnfStyle w:val="001000000000" w:firstRow="0" w:lastRow="0" w:firstColumn="1" w:lastColumn="0" w:oddVBand="0" w:evenVBand="0" w:oddHBand="0" w:evenHBand="0" w:firstRowFirstColumn="0" w:firstRowLastColumn="0" w:lastRowFirstColumn="0" w:lastRowLastColumn="0"/>
            <w:tcW w:w="6948" w:type="dxa"/>
            <w:tcBorders>
              <w:right w:val="none" w:sz="0" w:space="0" w:color="auto"/>
            </w:tcBorders>
            <w:vAlign w:val="center"/>
          </w:tcPr>
          <w:p w14:paraId="3C90A9CF" w14:textId="2E314CC1" w:rsidR="005353DB" w:rsidRPr="0039102C" w:rsidRDefault="2AC4E0C5" w:rsidP="00195726">
            <w:pPr>
              <w:pStyle w:val="CMR-tables"/>
              <w:keepNext/>
              <w:rPr>
                <w:rFonts w:cs="Times New Roman"/>
                <w:i w:val="0"/>
                <w:noProof/>
                <w:szCs w:val="20"/>
              </w:rPr>
            </w:pPr>
            <w:r w:rsidRPr="0039102C">
              <w:rPr>
                <w:i w:val="0"/>
                <w:noProof/>
              </w:rPr>
              <w:t>Receitas sujeitas à obrigação prevista no artigo 10.º, n.º 3, e desembolsadas em 2024</w:t>
            </w:r>
          </w:p>
        </w:tc>
        <w:tc>
          <w:tcPr>
            <w:tcW w:w="2068" w:type="dxa"/>
            <w:vAlign w:val="center"/>
          </w:tcPr>
          <w:p w14:paraId="14CF3881" w14:textId="1FC63386" w:rsidR="005353DB" w:rsidRPr="0039102C" w:rsidRDefault="570CF98E" w:rsidP="4F1F6D99">
            <w:pPr>
              <w:pStyle w:val="CMR-tables"/>
              <w:keepNext/>
              <w:jc w:val="right"/>
              <w:cnfStyle w:val="000000000000" w:firstRow="0" w:lastRow="0" w:firstColumn="0" w:lastColumn="0" w:oddVBand="0" w:evenVBand="0" w:oddHBand="0" w:evenHBand="0" w:firstRowFirstColumn="0" w:firstRowLastColumn="0" w:lastRowFirstColumn="0" w:lastRowLastColumn="0"/>
              <w:rPr>
                <w:rFonts w:cs="Times New Roman"/>
                <w:noProof/>
                <w:szCs w:val="20"/>
              </w:rPr>
            </w:pPr>
            <w:r w:rsidRPr="0039102C">
              <w:rPr>
                <w:noProof/>
              </w:rPr>
              <w:t>16,4</w:t>
            </w:r>
          </w:p>
        </w:tc>
      </w:tr>
      <w:tr w:rsidR="00381357" w:rsidRPr="0039102C" w14:paraId="7B6C31E7" w14:textId="77777777" w:rsidTr="000E7DB9">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6948" w:type="dxa"/>
            <w:tcBorders>
              <w:right w:val="none" w:sz="0" w:space="0" w:color="auto"/>
            </w:tcBorders>
            <w:shd w:val="clear" w:color="auto" w:fill="D9E2F3" w:themeFill="accent1" w:themeFillTint="33"/>
            <w:vAlign w:val="center"/>
          </w:tcPr>
          <w:p w14:paraId="50E6A790" w14:textId="48AF8281" w:rsidR="005353DB" w:rsidRPr="0039102C" w:rsidRDefault="00F40F1A" w:rsidP="00A0384F">
            <w:pPr>
              <w:pStyle w:val="CMR-tables"/>
              <w:keepNext/>
              <w:rPr>
                <w:rFonts w:cs="Times New Roman"/>
                <w:i w:val="0"/>
                <w:noProof/>
                <w:szCs w:val="20"/>
              </w:rPr>
            </w:pPr>
            <w:r w:rsidRPr="0039102C">
              <w:rPr>
                <w:i w:val="0"/>
                <w:noProof/>
              </w:rPr>
              <w:t>Receitas cobradas pelos Estados-Membros em 2024, sujeitas à obrigação prevista no artigo 10.º, n.º 3, e autorizadas</w:t>
            </w:r>
          </w:p>
        </w:tc>
        <w:tc>
          <w:tcPr>
            <w:tcW w:w="2068" w:type="dxa"/>
            <w:shd w:val="clear" w:color="auto" w:fill="D9E2F3" w:themeFill="accent1" w:themeFillTint="33"/>
            <w:vAlign w:val="center"/>
          </w:tcPr>
          <w:p w14:paraId="3BB720A5" w14:textId="7C6354E1" w:rsidR="005353DB" w:rsidRPr="0039102C" w:rsidRDefault="11F29C02" w:rsidP="4F1F6D99">
            <w:pPr>
              <w:pStyle w:val="CMR-tables"/>
              <w:keepNext/>
              <w:jc w:val="right"/>
              <w:cnfStyle w:val="000000100000" w:firstRow="0" w:lastRow="0" w:firstColumn="0" w:lastColumn="0" w:oddVBand="0" w:evenVBand="0" w:oddHBand="1" w:evenHBand="0" w:firstRowFirstColumn="0" w:firstRowLastColumn="0" w:lastRowFirstColumn="0" w:lastRowLastColumn="0"/>
              <w:rPr>
                <w:rFonts w:cs="Times New Roman"/>
                <w:noProof/>
                <w:szCs w:val="20"/>
              </w:rPr>
            </w:pPr>
            <w:r w:rsidRPr="0039102C">
              <w:rPr>
                <w:noProof/>
              </w:rPr>
              <w:t>0,5</w:t>
            </w:r>
          </w:p>
        </w:tc>
      </w:tr>
      <w:tr w:rsidR="00C4058D" w:rsidRPr="0039102C" w14:paraId="7E837526" w14:textId="77777777" w:rsidTr="000E7DB9">
        <w:trPr>
          <w:trHeight w:val="700"/>
        </w:trPr>
        <w:tc>
          <w:tcPr>
            <w:cnfStyle w:val="001000000000" w:firstRow="0" w:lastRow="0" w:firstColumn="1" w:lastColumn="0" w:oddVBand="0" w:evenVBand="0" w:oddHBand="0" w:evenHBand="0" w:firstRowFirstColumn="0" w:firstRowLastColumn="0" w:lastRowFirstColumn="0" w:lastRowLastColumn="0"/>
            <w:tcW w:w="6948" w:type="dxa"/>
            <w:tcBorders>
              <w:right w:val="none" w:sz="0" w:space="0" w:color="auto"/>
            </w:tcBorders>
            <w:vAlign w:val="center"/>
          </w:tcPr>
          <w:p w14:paraId="243B7E66" w14:textId="102E70CC" w:rsidR="00F40F1A" w:rsidRPr="0039102C" w:rsidRDefault="001758B7" w:rsidP="00A0384F">
            <w:pPr>
              <w:pStyle w:val="CMR-tables"/>
              <w:keepNext/>
              <w:rPr>
                <w:rFonts w:cs="Times New Roman"/>
                <w:i w:val="0"/>
                <w:noProof/>
                <w:szCs w:val="20"/>
              </w:rPr>
            </w:pPr>
            <w:r w:rsidRPr="0039102C">
              <w:rPr>
                <w:i w:val="0"/>
                <w:noProof/>
              </w:rPr>
              <w:t>Receitas cobradas pelos Estados-Membros em 2024, ainda por afetar, desembolsar e comunicar</w:t>
            </w:r>
          </w:p>
        </w:tc>
        <w:tc>
          <w:tcPr>
            <w:tcW w:w="2068" w:type="dxa"/>
            <w:vAlign w:val="center"/>
          </w:tcPr>
          <w:p w14:paraId="196CD065" w14:textId="0367C4C3" w:rsidR="00F40F1A" w:rsidRPr="0039102C" w:rsidRDefault="29EF7875" w:rsidP="4F1F6D99">
            <w:pPr>
              <w:pStyle w:val="CMR-tables"/>
              <w:keepNext/>
              <w:jc w:val="right"/>
              <w:cnfStyle w:val="000000000000" w:firstRow="0" w:lastRow="0" w:firstColumn="0" w:lastColumn="0" w:oddVBand="0" w:evenVBand="0" w:oddHBand="0" w:evenHBand="0" w:firstRowFirstColumn="0" w:firstRowLastColumn="0" w:lastRowFirstColumn="0" w:lastRowLastColumn="0"/>
              <w:rPr>
                <w:rFonts w:cs="Times New Roman"/>
                <w:noProof/>
                <w:szCs w:val="20"/>
              </w:rPr>
            </w:pPr>
            <w:r w:rsidRPr="0039102C">
              <w:rPr>
                <w:noProof/>
              </w:rPr>
              <w:t>4,3</w:t>
            </w:r>
          </w:p>
        </w:tc>
      </w:tr>
    </w:tbl>
    <w:p w14:paraId="42EB1128" w14:textId="784B3701" w:rsidR="003B1D7C" w:rsidRPr="0039102C" w:rsidRDefault="7B5FD863" w:rsidP="4F1F6D99">
      <w:pPr>
        <w:pStyle w:val="CMR-text"/>
        <w:rPr>
          <w:rFonts w:cs="Times New Roman"/>
          <w:noProof/>
        </w:rPr>
      </w:pPr>
      <w:r w:rsidRPr="0039102C">
        <w:rPr>
          <w:noProof/>
        </w:rPr>
        <w:t>Dos 16,4 mil milhões de EUR de receitas declaradas como geradas e desembolsadas em 2024 para os fins enumerados no artigo 10.º, n.º 3, 3,2 mil milhões de EUR foram utilizados para projetos no domínio do «Aprovisionamento de energia — energias renováveis, redes e armazenamento», 3,3 mil milhões de EUR para «Eficiência energética, aquecimento e arrefecimento de edifícios» e 3,6 mil milhões de EUR para «Transportes públicos e mobilidade». É o caso, por exemplo, de subvenções para a energia eólica marítima e a valorização do biogás na Dinamarca, projetos de reconversão profunda com uma redução de, pelo menos, 40 % do consumo de calor em edifícios residenciais na Lituânia e investimentos no transporte ferroviário e em ciclovias na Eslovénia.</w:t>
      </w:r>
    </w:p>
    <w:p w14:paraId="005D502B" w14:textId="5F685F95" w:rsidR="0075066F" w:rsidRPr="0039102C" w:rsidRDefault="63248229" w:rsidP="008C7E4E">
      <w:pPr>
        <w:pStyle w:val="CMR-text"/>
        <w:rPr>
          <w:rFonts w:cs="Times New Roman"/>
          <w:noProof/>
        </w:rPr>
      </w:pPr>
      <w:r w:rsidRPr="0039102C">
        <w:rPr>
          <w:noProof/>
        </w:rPr>
        <w:t>Além disso, os Estados-Membros comunicaram ter utilizado 0,8 mil milhões de EUR para projetos no domínio da «descarbonização da indústria (tecnologias hipocarbónicas, CUAC e eficiência energética no setor industrial, excluindo o setor da energia)», incluindo o financiamento de projetos de hidrogénio para descarbonizar a indústria na Alemanha.</w:t>
      </w:r>
    </w:p>
    <w:p w14:paraId="2B781472" w14:textId="4227B23E" w:rsidR="00D03EE3" w:rsidRPr="0039102C" w:rsidRDefault="508137E0" w:rsidP="008C7E4E">
      <w:pPr>
        <w:pStyle w:val="CMR-text"/>
        <w:rPr>
          <w:rFonts w:cs="Times New Roman"/>
          <w:noProof/>
        </w:rPr>
      </w:pPr>
      <w:r w:rsidRPr="0039102C">
        <w:rPr>
          <w:noProof/>
        </w:rPr>
        <w:t>Os Estados-Membros comunicaram igualmente ter utilizado 1,4 mil milhões de EUR para medidas e projetos no domínio do «apoio social e transição justa», incluindo o «Fundo Verde» grego, que financia ações para o desenvolvimento de regiões que se encontrem no processo de transição das suas economias para abandonar os combustíveis fósseis, bem como projetos para a proteção e gestão das florestas.</w:t>
      </w:r>
    </w:p>
    <w:p w14:paraId="46ADA7E2" w14:textId="0B66F4E3" w:rsidR="71DAA29C" w:rsidRPr="0039102C" w:rsidRDefault="71DAA29C" w:rsidP="2B39CB23">
      <w:pPr>
        <w:pStyle w:val="CMR-text"/>
        <w:rPr>
          <w:rFonts w:cs="Times New Roman"/>
          <w:noProof/>
        </w:rPr>
      </w:pPr>
      <w:r w:rsidRPr="0039102C">
        <w:rPr>
          <w:noProof/>
        </w:rPr>
        <w:t>Os Estados-Membros comunicaram ainda ter utilizado 0,5 mil milhões de EUR para medidas no domínio dos «transportes rodoviários (automóveis, camiões)», incluindo apoio financeiro para a aquisição de veículos elétricos e/ou híbridos na Suécia, na Letónia, na Roménia e em Malta.</w:t>
      </w:r>
    </w:p>
    <w:p w14:paraId="3F9C7461" w14:textId="07EDC992" w:rsidR="00E51274" w:rsidRPr="0039102C" w:rsidRDefault="5CC62F55" w:rsidP="004B0B27">
      <w:pPr>
        <w:pStyle w:val="CMR-text"/>
        <w:rPr>
          <w:rFonts w:cs="Times New Roman"/>
          <w:noProof/>
        </w:rPr>
      </w:pPr>
      <w:r w:rsidRPr="0039102C">
        <w:rPr>
          <w:noProof/>
        </w:rPr>
        <w:t>Relativamente a 2,8 mil milhões de EUR de desembolsos em 2024, os Estados-Membros comunicaram ações que não se enquadravam em nenhuma categoria nos modelos ou que se enquadravam em várias categorias (nestes casos, os Estados-Membros indicaram «outros» na categoria). Entre os exemplos conta-se o fundo para a biodiversidade em Espanha, que permite a recuperação dos ecossistemas, a implantação de energias renováveis nas zonas rurais e a intensificação de práticas sustentáveis de utilização dos solos que, em conjunto, aumentam a biodiversidade e alcançam reduções mensuráveis das emissões a nível da paisagem.</w:t>
      </w:r>
    </w:p>
    <w:p w14:paraId="61FDE183" w14:textId="485A9FBC" w:rsidR="00C64C83" w:rsidRPr="0039102C" w:rsidRDefault="00C64C83" w:rsidP="004B0B27">
      <w:pPr>
        <w:pStyle w:val="CMR-text"/>
        <w:rPr>
          <w:rFonts w:cs="Times New Roman"/>
          <w:noProof/>
        </w:rPr>
      </w:pPr>
      <w:r w:rsidRPr="0039102C">
        <w:rPr>
          <w:noProof/>
        </w:rPr>
        <w:t>A figura 7 resume a utilização das receitas do CELE pelos Estados-Membros nas diferentes categorias.</w:t>
      </w:r>
    </w:p>
    <w:p w14:paraId="4222462D" w14:textId="2A18426C" w:rsidR="009019DC" w:rsidRPr="0039102C" w:rsidRDefault="009019DC" w:rsidP="009019DC">
      <w:pPr>
        <w:pStyle w:val="CMR-text"/>
        <w:keepNext/>
        <w:rPr>
          <w:rFonts w:cs="Times New Roman"/>
          <w:noProof/>
          <w:highlight w:val="yellow"/>
        </w:rPr>
      </w:pPr>
    </w:p>
    <w:p w14:paraId="7AF12026" w14:textId="1E4BAFCC" w:rsidR="00BB5240" w:rsidRPr="0039102C" w:rsidRDefault="005729E4" w:rsidP="009019DC">
      <w:pPr>
        <w:pStyle w:val="CMR-text"/>
        <w:keepNext/>
        <w:rPr>
          <w:rFonts w:cs="Times New Roman"/>
          <w:noProof/>
          <w:highlight w:val="yellow"/>
        </w:rPr>
      </w:pPr>
      <w:r w:rsidRPr="005729E4">
        <w:rPr>
          <w:rFonts w:cs="Times New Roman"/>
          <w:noProof/>
          <w:lang w:val="en-GB" w:eastAsia="en-GB"/>
        </w:rPr>
        <w:drawing>
          <wp:inline distT="0" distB="0" distL="0" distR="0" wp14:anchorId="58A3E698" wp14:editId="6EC35F3F">
            <wp:extent cx="5731510" cy="3442335"/>
            <wp:effectExtent l="0" t="0" r="2540" b="5715"/>
            <wp:docPr id="1048892175" name="Picture 1" descr="A pie chart with different colored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892175" name="Picture 1" descr="A pie chart with different colored circles&#10;&#10;AI-generated content may be incorrect."/>
                    <pic:cNvPicPr/>
                  </pic:nvPicPr>
                  <pic:blipFill>
                    <a:blip r:embed="rId37"/>
                    <a:stretch>
                      <a:fillRect/>
                    </a:stretch>
                  </pic:blipFill>
                  <pic:spPr>
                    <a:xfrm>
                      <a:off x="0" y="0"/>
                      <a:ext cx="5731510" cy="3442335"/>
                    </a:xfrm>
                    <a:prstGeom prst="rect">
                      <a:avLst/>
                    </a:prstGeom>
                  </pic:spPr>
                </pic:pic>
              </a:graphicData>
            </a:graphic>
          </wp:inline>
        </w:drawing>
      </w:r>
    </w:p>
    <w:p w14:paraId="76EBA519" w14:textId="539501C0" w:rsidR="002D1FDB" w:rsidRPr="0039102C" w:rsidRDefault="27A8E07F" w:rsidP="007C0CA9">
      <w:pPr>
        <w:pStyle w:val="Caption"/>
        <w:rPr>
          <w:noProof/>
          <w:sz w:val="20"/>
        </w:rPr>
      </w:pPr>
      <w:bookmarkStart w:id="54" w:name="_Ref178859783"/>
      <w:r w:rsidRPr="0039102C">
        <w:rPr>
          <w:noProof/>
          <w:sz w:val="20"/>
        </w:rPr>
        <w:t>Figura 7</w:t>
      </w:r>
      <w:r w:rsidR="00154214" w:rsidRPr="0039102C">
        <w:rPr>
          <w:noProof/>
          <w:sz w:val="20"/>
          <w:highlight w:val="yellow"/>
        </w:rPr>
        <w:fldChar w:fldCharType="begin"/>
      </w:r>
      <w:r w:rsidR="00154214" w:rsidRPr="0039102C">
        <w:rPr>
          <w:noProof/>
          <w:sz w:val="20"/>
          <w:highlight w:val="yellow"/>
        </w:rPr>
        <w:instrText xml:space="preserve"> SEQ Figure \* ARABIC </w:instrText>
      </w:r>
      <w:r w:rsidR="00154214" w:rsidRPr="0039102C">
        <w:rPr>
          <w:noProof/>
          <w:sz w:val="20"/>
          <w:highlight w:val="yellow"/>
        </w:rPr>
        <w:fldChar w:fldCharType="end"/>
      </w:r>
      <w:bookmarkEnd w:id="54"/>
      <w:r w:rsidRPr="0039102C">
        <w:rPr>
          <w:noProof/>
          <w:sz w:val="20"/>
        </w:rPr>
        <w:t>. Repartição por categoria dos 16,4 mil milhões de EUR de receitas dos leilões do CELE de 2024 declaradas como desembolsadas. As categorias combinadas abaixo de 500 milhões de EUR incluem (em milhões de EUR): adaptação (105), fins internacionais e financiamento internacional da ação climática (94), LULUCF, agricultura e remoções baseadas no solo (349), despesas administrativas (50), gestão de resíduos (28), transporte marítimo (29), aviação (14), remoções permanentes (3).</w:t>
      </w:r>
    </w:p>
    <w:p w14:paraId="0FCCEF92" w14:textId="57AEC3E4" w:rsidR="004B0B27" w:rsidRPr="0039102C" w:rsidRDefault="4B29D129" w:rsidP="004B0B27">
      <w:pPr>
        <w:pStyle w:val="CMR-text"/>
        <w:rPr>
          <w:rFonts w:cs="Times New Roman"/>
          <w:noProof/>
          <w:highlight w:val="yellow"/>
        </w:rPr>
      </w:pPr>
      <w:r w:rsidRPr="0039102C">
        <w:rPr>
          <w:noProof/>
        </w:rPr>
        <w:t>As receitas dos leilões do CELE têm dado um contributo fundamental para estes e para muitos outros projetos em matéria de ação climática e transformação energética com impacto nos Estados-Membros. Estes projetos contribuíram não só para reduzir as emissões, mas também para assegurar uma transição ecológica justa. Cumpre salientar que os Estados-Membros devem envidar esforços para assegurar a visibilidade da fonte de financiamento das ações ou dos projetos financiados pelas receitas do CELE, a fim de mostrar o contributo do CELE para a descarbonização progressiva e a transição justa. Em relação à maioria das ações comunicadas para 2024, não é claro se o CELE é explicitamente indicado e divulgado como fonte de financiamento, um aspeto que a Comissão tenciona acompanhar.</w:t>
      </w:r>
    </w:p>
    <w:p w14:paraId="331E7ED5" w14:textId="669DDE70" w:rsidR="00836A03" w:rsidRPr="0039102C" w:rsidRDefault="0789B65D" w:rsidP="008C7E4E">
      <w:pPr>
        <w:pStyle w:val="CMR-text"/>
        <w:rPr>
          <w:rFonts w:cs="Times New Roman"/>
          <w:noProof/>
          <w:highlight w:val="lightGray"/>
        </w:rPr>
      </w:pPr>
      <w:r w:rsidRPr="0039102C">
        <w:rPr>
          <w:noProof/>
        </w:rPr>
        <w:t>O Relatório Intercalar sobre a Ação Climática em 2025 inclui uma panorâmica da forma como cada Estado-Membro utilizou as suas receitas do CELE, constante do documento de trabalho dos serviços da Comissão que o acompanha</w:t>
      </w:r>
      <w:r w:rsidR="004B0B27" w:rsidRPr="0039102C">
        <w:rPr>
          <w:rStyle w:val="FootnoteReference"/>
          <w:rFonts w:cs="Times New Roman"/>
          <w:noProof/>
        </w:rPr>
        <w:footnoteReference w:id="58"/>
      </w:r>
      <w:r w:rsidRPr="0039102C">
        <w:rPr>
          <w:noProof/>
        </w:rPr>
        <w:t>.</w:t>
      </w:r>
    </w:p>
    <w:p w14:paraId="22A46E0F" w14:textId="516B5C02" w:rsidR="00613B80" w:rsidRPr="0039102C" w:rsidRDefault="00274D7B" w:rsidP="00EC4FC3">
      <w:pPr>
        <w:pStyle w:val="CMR-Subheading"/>
        <w:rPr>
          <w:noProof/>
        </w:rPr>
      </w:pPr>
      <w:bookmarkStart w:id="55" w:name="_Toc180513404"/>
      <w:bookmarkStart w:id="56" w:name="_Toc218529292"/>
      <w:bookmarkStart w:id="57" w:name="_Ref207549666"/>
      <w:r w:rsidRPr="0039102C">
        <w:rPr>
          <w:noProof/>
        </w:rPr>
        <w:t>Auxílios aos custos indiretos</w:t>
      </w:r>
      <w:bookmarkEnd w:id="55"/>
      <w:bookmarkEnd w:id="56"/>
      <w:bookmarkEnd w:id="57"/>
    </w:p>
    <w:p w14:paraId="2493D434" w14:textId="1EB59318" w:rsidR="00276413" w:rsidRPr="0039102C" w:rsidRDefault="00276413" w:rsidP="50C721A3">
      <w:pPr>
        <w:pStyle w:val="CMR-text"/>
        <w:rPr>
          <w:rFonts w:cs="Times New Roman"/>
          <w:noProof/>
        </w:rPr>
      </w:pPr>
      <w:bookmarkStart w:id="58" w:name="_Hlk212199126"/>
      <w:r w:rsidRPr="0039102C">
        <w:rPr>
          <w:noProof/>
        </w:rPr>
        <w:t>Nos termos do artigo 10.º-A, n.º 6, da Diretiva CELE, os Estados-Membros são incentivados a adotar medidas financeiras a favor de setores ou subsetores com um risco real de fuga de carbono devido aos substanciais custos indiretos do carbono. Trata-se do custo do carbono repercutido nas indústrias com utilização intensiva de eletricidade através das suas faturas de eletricidade, decorrente da aquisição de licenças do CELE por parte das empresas do setor da energia.</w:t>
      </w:r>
    </w:p>
    <w:bookmarkEnd w:id="58"/>
    <w:p w14:paraId="5D3A6959" w14:textId="36D8B571" w:rsidR="00556519" w:rsidRPr="0039102C" w:rsidRDefault="00C766D6" w:rsidP="00CC1F95">
      <w:pPr>
        <w:pStyle w:val="CMR-text"/>
        <w:rPr>
          <w:rFonts w:cs="Times New Roman"/>
          <w:noProof/>
        </w:rPr>
      </w:pPr>
      <w:r w:rsidRPr="0039102C">
        <w:rPr>
          <w:noProof/>
        </w:rPr>
        <w:t>A Comissão adotou orientações relativas aos auxílios estatais no âmbito do CELE para harmonizar as condições nas quais os Estados-Membros disponibilizam estes auxílios e minimizar as distorções da concorrência no mercado interno</w:t>
      </w:r>
      <w:r w:rsidR="00B70E5F" w:rsidRPr="0039102C">
        <w:rPr>
          <w:rStyle w:val="FootnoteReference"/>
          <w:rFonts w:cs="Times New Roman"/>
          <w:noProof/>
        </w:rPr>
        <w:footnoteReference w:id="59"/>
      </w:r>
      <w:r w:rsidRPr="0039102C">
        <w:rPr>
          <w:noProof/>
        </w:rPr>
        <w:t>. Estas orientações identificam os setores com um risco real de fuga de carbono devido aos custos indiretos das emissões e estipulam que os beneficiários devem reinvestir parte do auxílio em projetos que reduzam a sua pegada de carbono direta ou indireta e, consequentemente, a sua exposição ao risco de fuga de carbono.</w:t>
      </w:r>
    </w:p>
    <w:p w14:paraId="21FD8903" w14:textId="30EBC02F" w:rsidR="00CC1F95" w:rsidRPr="0039102C" w:rsidRDefault="00CC1F95" w:rsidP="00CC1F95">
      <w:pPr>
        <w:pStyle w:val="CMR-text"/>
        <w:rPr>
          <w:rFonts w:cs="Times New Roman"/>
          <w:noProof/>
        </w:rPr>
      </w:pPr>
      <w:r w:rsidRPr="0039102C">
        <w:rPr>
          <w:noProof/>
        </w:rPr>
        <w:t>Todos os Estados-Membros que concedem auxílios estatais para compensar os custos das emissões indiretas notificaram o seu regime à Comissão para apreciação dos auxílios estatais, tendo-lhes sido confirmada a compatibilidade do regime com o mercado interno. Os Estados-Membros que concedem essa compensação são obrigados a publicar o montante total da compensação paga, incluindo uma repartição por setor ou subsetor beneficiário.</w:t>
      </w:r>
    </w:p>
    <w:p w14:paraId="6758AC4F" w14:textId="32B592F5" w:rsidR="001E57D5" w:rsidRPr="0039102C" w:rsidRDefault="001E57D5" w:rsidP="00854C42">
      <w:pPr>
        <w:pStyle w:val="CMR-text"/>
        <w:rPr>
          <w:rFonts w:cs="Times New Roman"/>
          <w:noProof/>
        </w:rPr>
      </w:pPr>
      <w:r w:rsidRPr="0039102C">
        <w:rPr>
          <w:noProof/>
        </w:rPr>
        <w:t>Em 2024, 15 Estados-Membros concederam auxílios aos custos indiretos incorridos em 2023. A situação mantém-se inalterada em relação ao ano passado. No entanto, a composição mudou na sequência do termo de um regime de apoio temporário na Áustria e da reintrodução de pagamentos pelos Países Baixos.</w:t>
      </w:r>
    </w:p>
    <w:p w14:paraId="43C775EF" w14:textId="7AD391D9" w:rsidR="001E57D5" w:rsidRPr="0039102C" w:rsidRDefault="00AC538D" w:rsidP="00854C42">
      <w:pPr>
        <w:pStyle w:val="CMR-text"/>
        <w:rPr>
          <w:rFonts w:cs="Times New Roman"/>
          <w:noProof/>
        </w:rPr>
      </w:pPr>
      <w:r w:rsidRPr="0039102C">
        <w:rPr>
          <w:noProof/>
        </w:rPr>
        <w:t>O quadro 6 resume os pagamentos efetuados pelos Estados-Membros e compara-os com as receitas dos leilões de 2023. O total dos pagamentos de custos indiretos efetuados em 2024 ascendeu a cerca de 5,52 mil milhões de EUR. Trata-se de um aumento de 40 % em comparação com os 3,95 mil milhões de EUR desembolsados em 2023, enquanto o número de instalações que receberam auxílios se manteve, em grande medida, inalterado em cerca de 1 850.</w:t>
      </w:r>
    </w:p>
    <w:p w14:paraId="62092554" w14:textId="731E29EE" w:rsidR="004722B7" w:rsidRPr="0039102C" w:rsidRDefault="004722B7" w:rsidP="00854C42">
      <w:pPr>
        <w:pStyle w:val="Caption"/>
        <w:keepNext/>
        <w:rPr>
          <w:noProof/>
          <w:sz w:val="20"/>
        </w:rPr>
      </w:pPr>
      <w:bookmarkStart w:id="59" w:name="_Ref206588751"/>
      <w:r w:rsidRPr="0039102C">
        <w:rPr>
          <w:noProof/>
        </w:rPr>
        <w:t xml:space="preserve">Quadro </w:t>
      </w:r>
      <w:bookmarkEnd w:id="59"/>
      <w:r w:rsidRPr="0039102C">
        <w:rPr>
          <w:noProof/>
        </w:rPr>
        <w:t>6.</w:t>
      </w:r>
      <w:r w:rsidRPr="0039102C">
        <w:rPr>
          <w:noProof/>
          <w:sz w:val="20"/>
        </w:rPr>
        <w:t xml:space="preserve"> Montantes de auxílio para compensar custos indiretos incorridos em 2023 pagos em 2024 a partir das receitas dos leilões do CELE</w:t>
      </w:r>
    </w:p>
    <w:tbl>
      <w:tblPr>
        <w:tblStyle w:val="TableGridLight"/>
        <w:tblW w:w="5000" w:type="pct"/>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1972"/>
        <w:gridCol w:w="1760"/>
        <w:gridCol w:w="1760"/>
        <w:gridCol w:w="1760"/>
        <w:gridCol w:w="1764"/>
      </w:tblGrid>
      <w:tr w:rsidR="001E57D5" w:rsidRPr="0039102C" w14:paraId="32CFDBDB" w14:textId="77777777" w:rsidTr="00EB1066">
        <w:trPr>
          <w:trHeight w:val="300"/>
        </w:trPr>
        <w:tc>
          <w:tcPr>
            <w:tcW w:w="1094" w:type="pct"/>
            <w:tcMar>
              <w:left w:w="108" w:type="dxa"/>
              <w:right w:w="108" w:type="dxa"/>
            </w:tcMar>
            <w:vAlign w:val="center"/>
          </w:tcPr>
          <w:p w14:paraId="7A2E3D5D" w14:textId="77777777" w:rsidR="001E57D5" w:rsidRPr="0039102C" w:rsidRDefault="001E57D5" w:rsidP="00711452">
            <w:pPr>
              <w:pStyle w:val="CMR-text"/>
              <w:spacing w:before="0" w:after="0"/>
              <w:jc w:val="left"/>
              <w:rPr>
                <w:rFonts w:cs="Times New Roman"/>
                <w:noProof/>
                <w:sz w:val="20"/>
                <w:szCs w:val="20"/>
              </w:rPr>
            </w:pPr>
            <w:r w:rsidRPr="0039102C">
              <w:rPr>
                <w:b/>
                <w:noProof/>
                <w:sz w:val="20"/>
              </w:rPr>
              <w:t>Estado-Membro</w:t>
            </w:r>
          </w:p>
        </w:tc>
        <w:tc>
          <w:tcPr>
            <w:tcW w:w="976" w:type="pct"/>
            <w:tcMar>
              <w:left w:w="108" w:type="dxa"/>
              <w:right w:w="108" w:type="dxa"/>
            </w:tcMar>
            <w:vAlign w:val="center"/>
          </w:tcPr>
          <w:p w14:paraId="5AF51E4E" w14:textId="77777777" w:rsidR="001E57D5" w:rsidRPr="0039102C" w:rsidRDefault="001E57D5" w:rsidP="00711452">
            <w:pPr>
              <w:pStyle w:val="CMR-text"/>
              <w:spacing w:before="0" w:after="0"/>
              <w:jc w:val="left"/>
              <w:rPr>
                <w:rFonts w:cs="Times New Roman"/>
                <w:noProof/>
                <w:sz w:val="20"/>
                <w:szCs w:val="20"/>
              </w:rPr>
            </w:pPr>
            <w:r w:rsidRPr="0039102C">
              <w:rPr>
                <w:b/>
                <w:noProof/>
                <w:color w:val="000000" w:themeColor="text1"/>
                <w:sz w:val="20"/>
              </w:rPr>
              <w:t>Montante pago</w:t>
            </w:r>
            <w:r w:rsidRPr="0039102C">
              <w:rPr>
                <w:b/>
                <w:noProof/>
                <w:color w:val="000000" w:themeColor="text1"/>
                <w:sz w:val="20"/>
              </w:rPr>
              <w:cr/>
            </w:r>
            <w:r w:rsidRPr="0039102C">
              <w:rPr>
                <w:b/>
                <w:noProof/>
                <w:color w:val="000000" w:themeColor="text1"/>
                <w:sz w:val="20"/>
              </w:rPr>
              <w:br/>
              <w:t>por custos indiretos</w:t>
            </w:r>
            <w:r w:rsidRPr="0039102C">
              <w:rPr>
                <w:b/>
                <w:noProof/>
                <w:color w:val="000000" w:themeColor="text1"/>
                <w:sz w:val="20"/>
              </w:rPr>
              <w:cr/>
            </w:r>
            <w:r w:rsidRPr="0039102C">
              <w:rPr>
                <w:b/>
                <w:noProof/>
                <w:color w:val="000000" w:themeColor="text1"/>
                <w:sz w:val="20"/>
              </w:rPr>
              <w:br/>
              <w:t>incorridos em 2023</w:t>
            </w:r>
            <w:r w:rsidRPr="0039102C">
              <w:rPr>
                <w:b/>
                <w:noProof/>
                <w:color w:val="000000" w:themeColor="text1"/>
                <w:sz w:val="20"/>
              </w:rPr>
              <w:cr/>
            </w:r>
            <w:r w:rsidRPr="0039102C">
              <w:rPr>
                <w:b/>
                <w:noProof/>
                <w:color w:val="000000" w:themeColor="text1"/>
                <w:sz w:val="20"/>
              </w:rPr>
              <w:br/>
              <w:t>[milhões de EUR]</w:t>
            </w:r>
          </w:p>
        </w:tc>
        <w:tc>
          <w:tcPr>
            <w:tcW w:w="976" w:type="pct"/>
            <w:tcMar>
              <w:left w:w="108" w:type="dxa"/>
              <w:right w:w="108" w:type="dxa"/>
            </w:tcMar>
            <w:vAlign w:val="center"/>
          </w:tcPr>
          <w:p w14:paraId="08988A8E" w14:textId="3F7B2ED6" w:rsidR="001E57D5" w:rsidRPr="0039102C" w:rsidRDefault="001E57D5" w:rsidP="00711452">
            <w:pPr>
              <w:pStyle w:val="CMR-text"/>
              <w:spacing w:before="0" w:after="0"/>
              <w:jc w:val="left"/>
              <w:rPr>
                <w:rFonts w:cs="Times New Roman"/>
                <w:noProof/>
                <w:sz w:val="20"/>
                <w:szCs w:val="20"/>
              </w:rPr>
            </w:pPr>
            <w:r w:rsidRPr="0039102C">
              <w:rPr>
                <w:b/>
                <w:noProof/>
                <w:color w:val="000000" w:themeColor="text1"/>
                <w:sz w:val="20"/>
              </w:rPr>
              <w:t>Número</w:t>
            </w:r>
            <w:r w:rsidRPr="0039102C">
              <w:rPr>
                <w:b/>
                <w:noProof/>
                <w:color w:val="000000" w:themeColor="text1"/>
                <w:sz w:val="20"/>
              </w:rPr>
              <w:cr/>
            </w:r>
            <w:r w:rsidRPr="0039102C">
              <w:rPr>
                <w:b/>
                <w:noProof/>
                <w:color w:val="000000" w:themeColor="text1"/>
                <w:sz w:val="20"/>
              </w:rPr>
              <w:br/>
              <w:t>de beneficiários</w:t>
            </w:r>
            <w:r w:rsidRPr="0039102C">
              <w:rPr>
                <w:b/>
                <w:noProof/>
                <w:color w:val="000000" w:themeColor="text1"/>
                <w:sz w:val="20"/>
              </w:rPr>
              <w:cr/>
            </w:r>
            <w:r w:rsidRPr="0039102C">
              <w:rPr>
                <w:b/>
                <w:noProof/>
                <w:color w:val="000000" w:themeColor="text1"/>
                <w:sz w:val="20"/>
              </w:rPr>
              <w:br/>
              <w:t>(instalações)</w:t>
            </w:r>
          </w:p>
        </w:tc>
        <w:tc>
          <w:tcPr>
            <w:tcW w:w="976" w:type="pct"/>
            <w:tcMar>
              <w:left w:w="108" w:type="dxa"/>
              <w:right w:w="108" w:type="dxa"/>
            </w:tcMar>
            <w:vAlign w:val="center"/>
          </w:tcPr>
          <w:p w14:paraId="5F08127F" w14:textId="0D70F5BE" w:rsidR="001E57D5" w:rsidRPr="0039102C" w:rsidRDefault="001E57D5" w:rsidP="00711452">
            <w:pPr>
              <w:pStyle w:val="CMR-text"/>
              <w:spacing w:before="0" w:after="0"/>
              <w:jc w:val="left"/>
              <w:rPr>
                <w:rFonts w:cs="Times New Roman"/>
                <w:noProof/>
                <w:sz w:val="20"/>
                <w:szCs w:val="20"/>
              </w:rPr>
            </w:pPr>
            <w:r w:rsidRPr="0039102C">
              <w:rPr>
                <w:b/>
                <w:noProof/>
                <w:color w:val="000000" w:themeColor="text1"/>
              </w:rPr>
              <w:t xml:space="preserve">Receitas </w:t>
            </w:r>
            <w:r w:rsidRPr="0039102C">
              <w:rPr>
                <w:b/>
                <w:noProof/>
                <w:color w:val="000000" w:themeColor="text1"/>
              </w:rPr>
              <w:cr/>
            </w:r>
            <w:r w:rsidRPr="0039102C">
              <w:rPr>
                <w:b/>
                <w:noProof/>
                <w:color w:val="000000" w:themeColor="text1"/>
              </w:rPr>
              <w:br/>
              <w:t>das vendas em leilão</w:t>
            </w:r>
            <w:r w:rsidRPr="0039102C">
              <w:rPr>
                <w:b/>
                <w:noProof/>
                <w:color w:val="000000" w:themeColor="text1"/>
              </w:rPr>
              <w:cr/>
            </w:r>
            <w:r w:rsidRPr="0039102C">
              <w:rPr>
                <w:b/>
                <w:noProof/>
                <w:color w:val="000000" w:themeColor="text1"/>
              </w:rPr>
              <w:br/>
              <w:t>em 2023</w:t>
            </w:r>
            <w:hyperlink r:id="rId38" w:anchor="_ftn3">
              <w:r w:rsidRPr="0039102C">
                <w:rPr>
                  <w:rStyle w:val="Hyperlink"/>
                  <w:b/>
                  <w:noProof/>
                  <w:color w:val="000000" w:themeColor="text1"/>
                  <w:sz w:val="20"/>
                  <w:vertAlign w:val="superscript"/>
                </w:rPr>
                <w:t>[3]</w:t>
              </w:r>
            </w:hyperlink>
            <w:r w:rsidRPr="0039102C">
              <w:rPr>
                <w:b/>
                <w:noProof/>
                <w:color w:val="000000" w:themeColor="text1"/>
              </w:rPr>
              <w:cr/>
            </w:r>
            <w:r w:rsidRPr="0039102C">
              <w:rPr>
                <w:b/>
                <w:noProof/>
                <w:color w:val="000000" w:themeColor="text1"/>
              </w:rPr>
              <w:br/>
              <w:t>[milhões de EUR]</w:t>
            </w:r>
          </w:p>
        </w:tc>
        <w:tc>
          <w:tcPr>
            <w:tcW w:w="978" w:type="pct"/>
            <w:tcMar>
              <w:left w:w="108" w:type="dxa"/>
              <w:right w:w="108" w:type="dxa"/>
            </w:tcMar>
            <w:vAlign w:val="center"/>
          </w:tcPr>
          <w:p w14:paraId="53BA72B8" w14:textId="77777777" w:rsidR="001E57D5" w:rsidRPr="0039102C" w:rsidRDefault="001E57D5" w:rsidP="00711452">
            <w:pPr>
              <w:pStyle w:val="CMR-text"/>
              <w:spacing w:before="0" w:after="0"/>
              <w:jc w:val="left"/>
              <w:rPr>
                <w:rFonts w:cs="Times New Roman"/>
                <w:noProof/>
                <w:sz w:val="20"/>
                <w:szCs w:val="20"/>
              </w:rPr>
            </w:pPr>
            <w:r w:rsidRPr="0039102C">
              <w:rPr>
                <w:b/>
                <w:noProof/>
                <w:color w:val="000000" w:themeColor="text1"/>
                <w:sz w:val="20"/>
              </w:rPr>
              <w:t>Dimensão relativa dos auxílios aos custos indiretos face às receitas dos leilões</w:t>
            </w:r>
          </w:p>
        </w:tc>
      </w:tr>
      <w:tr w:rsidR="008B4F92" w:rsidRPr="0039102C" w14:paraId="1EEF044B" w14:textId="77777777" w:rsidTr="00EB1066">
        <w:trPr>
          <w:trHeight w:val="340"/>
        </w:trPr>
        <w:tc>
          <w:tcPr>
            <w:tcW w:w="1094" w:type="pct"/>
            <w:shd w:val="clear" w:color="auto" w:fill="D9E2F3" w:themeFill="accent1" w:themeFillTint="33"/>
            <w:tcMar>
              <w:left w:w="108" w:type="dxa"/>
              <w:right w:w="108" w:type="dxa"/>
            </w:tcMar>
            <w:vAlign w:val="center"/>
          </w:tcPr>
          <w:p w14:paraId="6B322052" w14:textId="77777777" w:rsidR="001E57D5" w:rsidRPr="0039102C" w:rsidRDefault="001E57D5" w:rsidP="00854C42">
            <w:pPr>
              <w:pStyle w:val="CMR-text"/>
              <w:spacing w:before="0" w:after="0" w:line="240" w:lineRule="auto"/>
              <w:rPr>
                <w:rFonts w:cs="Times New Roman"/>
                <w:noProof/>
                <w:sz w:val="20"/>
                <w:szCs w:val="20"/>
              </w:rPr>
            </w:pPr>
            <w:r w:rsidRPr="0039102C">
              <w:rPr>
                <w:noProof/>
                <w:color w:val="000000"/>
                <w:sz w:val="20"/>
              </w:rPr>
              <w:t>Bélgica</w:t>
            </w:r>
          </w:p>
        </w:tc>
        <w:tc>
          <w:tcPr>
            <w:tcW w:w="976" w:type="pct"/>
            <w:shd w:val="clear" w:color="auto" w:fill="D9E2F3" w:themeFill="accent1" w:themeFillTint="33"/>
            <w:tcMar>
              <w:left w:w="108" w:type="dxa"/>
              <w:right w:w="108" w:type="dxa"/>
            </w:tcMar>
            <w:vAlign w:val="center"/>
          </w:tcPr>
          <w:p w14:paraId="7D0ED9BB" w14:textId="77777777" w:rsidR="001E57D5" w:rsidRPr="0039102C" w:rsidRDefault="001E57D5" w:rsidP="00711452">
            <w:pPr>
              <w:pStyle w:val="CMR-text"/>
              <w:spacing w:before="0" w:after="0" w:line="240" w:lineRule="auto"/>
              <w:jc w:val="right"/>
              <w:rPr>
                <w:rFonts w:cs="Times New Roman"/>
                <w:noProof/>
                <w:sz w:val="20"/>
                <w:szCs w:val="20"/>
              </w:rPr>
            </w:pPr>
            <w:r w:rsidRPr="0039102C">
              <w:rPr>
                <w:noProof/>
                <w:color w:val="000000"/>
                <w:sz w:val="20"/>
              </w:rPr>
              <w:t>249,9</w:t>
            </w:r>
          </w:p>
        </w:tc>
        <w:tc>
          <w:tcPr>
            <w:tcW w:w="976" w:type="pct"/>
            <w:shd w:val="clear" w:color="auto" w:fill="D9E2F3" w:themeFill="accent1" w:themeFillTint="33"/>
            <w:tcMar>
              <w:left w:w="108" w:type="dxa"/>
              <w:right w:w="108" w:type="dxa"/>
            </w:tcMar>
            <w:vAlign w:val="center"/>
          </w:tcPr>
          <w:p w14:paraId="3DC3C329" w14:textId="527A067B" w:rsidR="001E57D5" w:rsidRPr="0039102C" w:rsidRDefault="001E57D5" w:rsidP="00711452">
            <w:pPr>
              <w:pStyle w:val="CMR-text"/>
              <w:spacing w:before="0" w:after="0" w:line="240" w:lineRule="auto"/>
              <w:jc w:val="right"/>
              <w:rPr>
                <w:rFonts w:cs="Times New Roman"/>
                <w:noProof/>
                <w:sz w:val="20"/>
                <w:szCs w:val="20"/>
              </w:rPr>
            </w:pPr>
            <w:r w:rsidRPr="0039102C">
              <w:rPr>
                <w:noProof/>
                <w:color w:val="000000"/>
                <w:sz w:val="20"/>
              </w:rPr>
              <w:t>56</w:t>
            </w:r>
          </w:p>
        </w:tc>
        <w:tc>
          <w:tcPr>
            <w:tcW w:w="976" w:type="pct"/>
            <w:shd w:val="clear" w:color="auto" w:fill="D9E2F3" w:themeFill="accent1" w:themeFillTint="33"/>
            <w:tcMar>
              <w:left w:w="108" w:type="dxa"/>
              <w:right w:w="108" w:type="dxa"/>
            </w:tcMar>
            <w:vAlign w:val="center"/>
          </w:tcPr>
          <w:p w14:paraId="1A22C8D9" w14:textId="77777777" w:rsidR="001E57D5" w:rsidRPr="0039102C" w:rsidRDefault="001E57D5" w:rsidP="00711452">
            <w:pPr>
              <w:pStyle w:val="CMR-text"/>
              <w:spacing w:before="0" w:after="0" w:line="240" w:lineRule="auto"/>
              <w:jc w:val="right"/>
              <w:rPr>
                <w:rFonts w:cs="Times New Roman"/>
                <w:noProof/>
                <w:sz w:val="20"/>
                <w:szCs w:val="20"/>
              </w:rPr>
            </w:pPr>
            <w:r w:rsidRPr="0039102C">
              <w:rPr>
                <w:noProof/>
                <w:color w:val="000000"/>
                <w:sz w:val="20"/>
              </w:rPr>
              <w:t>739,9</w:t>
            </w:r>
          </w:p>
        </w:tc>
        <w:tc>
          <w:tcPr>
            <w:tcW w:w="978" w:type="pct"/>
            <w:shd w:val="clear" w:color="auto" w:fill="D9E2F3" w:themeFill="accent1" w:themeFillTint="33"/>
            <w:tcMar>
              <w:left w:w="108" w:type="dxa"/>
              <w:right w:w="108" w:type="dxa"/>
            </w:tcMar>
            <w:vAlign w:val="center"/>
          </w:tcPr>
          <w:p w14:paraId="437FF536" w14:textId="77777777" w:rsidR="001E57D5" w:rsidRPr="0039102C" w:rsidRDefault="001E57D5" w:rsidP="00711452">
            <w:pPr>
              <w:pStyle w:val="CMR-text"/>
              <w:spacing w:before="0" w:after="0" w:line="240" w:lineRule="auto"/>
              <w:jc w:val="right"/>
              <w:rPr>
                <w:rFonts w:cs="Times New Roman"/>
                <w:noProof/>
                <w:sz w:val="20"/>
                <w:szCs w:val="20"/>
              </w:rPr>
            </w:pPr>
            <w:r w:rsidRPr="0039102C">
              <w:rPr>
                <w:noProof/>
                <w:color w:val="000000"/>
                <w:sz w:val="20"/>
              </w:rPr>
              <w:t>33,8 %</w:t>
            </w:r>
          </w:p>
        </w:tc>
      </w:tr>
      <w:tr w:rsidR="001E57D5" w:rsidRPr="0039102C" w14:paraId="763B75EE" w14:textId="77777777" w:rsidTr="00EB1066">
        <w:trPr>
          <w:trHeight w:val="340"/>
        </w:trPr>
        <w:tc>
          <w:tcPr>
            <w:tcW w:w="1094" w:type="pct"/>
            <w:tcMar>
              <w:left w:w="108" w:type="dxa"/>
              <w:right w:w="108" w:type="dxa"/>
            </w:tcMar>
            <w:vAlign w:val="center"/>
          </w:tcPr>
          <w:p w14:paraId="52846565" w14:textId="77777777" w:rsidR="001E57D5" w:rsidRPr="0039102C" w:rsidRDefault="001E57D5" w:rsidP="00854C42">
            <w:pPr>
              <w:pStyle w:val="CMR-text"/>
              <w:spacing w:before="0" w:after="0" w:line="240" w:lineRule="auto"/>
              <w:rPr>
                <w:rFonts w:cs="Times New Roman"/>
                <w:noProof/>
                <w:sz w:val="20"/>
                <w:szCs w:val="20"/>
              </w:rPr>
            </w:pPr>
            <w:r w:rsidRPr="0039102C">
              <w:rPr>
                <w:noProof/>
                <w:color w:val="000000"/>
                <w:sz w:val="20"/>
              </w:rPr>
              <w:t>Chéquia</w:t>
            </w:r>
          </w:p>
        </w:tc>
        <w:tc>
          <w:tcPr>
            <w:tcW w:w="976" w:type="pct"/>
            <w:tcMar>
              <w:left w:w="108" w:type="dxa"/>
              <w:right w:w="108" w:type="dxa"/>
            </w:tcMar>
            <w:vAlign w:val="center"/>
          </w:tcPr>
          <w:p w14:paraId="3C32BDB7" w14:textId="77777777" w:rsidR="001E57D5" w:rsidRPr="0039102C" w:rsidRDefault="001E57D5" w:rsidP="00711452">
            <w:pPr>
              <w:pStyle w:val="CMR-text"/>
              <w:spacing w:before="0" w:after="0" w:line="240" w:lineRule="auto"/>
              <w:jc w:val="right"/>
              <w:rPr>
                <w:rFonts w:cs="Times New Roman"/>
                <w:noProof/>
                <w:sz w:val="20"/>
                <w:szCs w:val="20"/>
              </w:rPr>
            </w:pPr>
            <w:r w:rsidRPr="0039102C">
              <w:rPr>
                <w:noProof/>
                <w:color w:val="000000"/>
                <w:sz w:val="20"/>
              </w:rPr>
              <w:t>60,4</w:t>
            </w:r>
          </w:p>
        </w:tc>
        <w:tc>
          <w:tcPr>
            <w:tcW w:w="976" w:type="pct"/>
            <w:tcMar>
              <w:left w:w="108" w:type="dxa"/>
              <w:right w:w="108" w:type="dxa"/>
            </w:tcMar>
            <w:vAlign w:val="center"/>
          </w:tcPr>
          <w:p w14:paraId="01A4F026" w14:textId="2E577759" w:rsidR="001E57D5" w:rsidRPr="0039102C" w:rsidRDefault="001E57D5" w:rsidP="00711452">
            <w:pPr>
              <w:pStyle w:val="CMR-text"/>
              <w:spacing w:before="0" w:after="0" w:line="240" w:lineRule="auto"/>
              <w:jc w:val="right"/>
              <w:rPr>
                <w:rFonts w:cs="Times New Roman"/>
                <w:noProof/>
                <w:sz w:val="20"/>
                <w:szCs w:val="20"/>
              </w:rPr>
            </w:pPr>
            <w:r w:rsidRPr="0039102C">
              <w:rPr>
                <w:noProof/>
                <w:color w:val="000000"/>
                <w:sz w:val="20"/>
              </w:rPr>
              <w:t>23</w:t>
            </w:r>
          </w:p>
        </w:tc>
        <w:tc>
          <w:tcPr>
            <w:tcW w:w="976" w:type="pct"/>
            <w:tcMar>
              <w:left w:w="108" w:type="dxa"/>
              <w:right w:w="108" w:type="dxa"/>
            </w:tcMar>
            <w:vAlign w:val="center"/>
          </w:tcPr>
          <w:p w14:paraId="2F9D8D0A" w14:textId="77777777" w:rsidR="001E57D5" w:rsidRPr="0039102C" w:rsidRDefault="001E57D5" w:rsidP="00711452">
            <w:pPr>
              <w:pStyle w:val="CMR-text"/>
              <w:spacing w:before="0" w:after="0" w:line="240" w:lineRule="auto"/>
              <w:jc w:val="right"/>
              <w:rPr>
                <w:rFonts w:cs="Times New Roman"/>
                <w:noProof/>
                <w:sz w:val="20"/>
                <w:szCs w:val="20"/>
              </w:rPr>
            </w:pPr>
            <w:r w:rsidRPr="0039102C">
              <w:rPr>
                <w:noProof/>
                <w:color w:val="000000"/>
                <w:sz w:val="20"/>
              </w:rPr>
              <w:t>771,3</w:t>
            </w:r>
          </w:p>
        </w:tc>
        <w:tc>
          <w:tcPr>
            <w:tcW w:w="978" w:type="pct"/>
            <w:tcMar>
              <w:left w:w="108" w:type="dxa"/>
              <w:right w:w="108" w:type="dxa"/>
            </w:tcMar>
            <w:vAlign w:val="center"/>
          </w:tcPr>
          <w:p w14:paraId="4A388B0E" w14:textId="77777777" w:rsidR="001E57D5" w:rsidRPr="0039102C" w:rsidRDefault="001E57D5" w:rsidP="00711452">
            <w:pPr>
              <w:pStyle w:val="CMR-text"/>
              <w:spacing w:before="0" w:after="0" w:line="240" w:lineRule="auto"/>
              <w:jc w:val="right"/>
              <w:rPr>
                <w:rFonts w:cs="Times New Roman"/>
                <w:noProof/>
                <w:sz w:val="20"/>
                <w:szCs w:val="20"/>
              </w:rPr>
            </w:pPr>
            <w:r w:rsidRPr="0039102C">
              <w:rPr>
                <w:noProof/>
                <w:color w:val="000000"/>
                <w:sz w:val="20"/>
              </w:rPr>
              <w:t>7,8 %</w:t>
            </w:r>
          </w:p>
        </w:tc>
      </w:tr>
      <w:tr w:rsidR="008B4F92" w:rsidRPr="0039102C" w14:paraId="7A9DB0D7" w14:textId="77777777" w:rsidTr="00EB1066">
        <w:trPr>
          <w:trHeight w:val="340"/>
        </w:trPr>
        <w:tc>
          <w:tcPr>
            <w:tcW w:w="1094" w:type="pct"/>
            <w:shd w:val="clear" w:color="auto" w:fill="D9E2F3" w:themeFill="accent1" w:themeFillTint="33"/>
            <w:tcMar>
              <w:left w:w="108" w:type="dxa"/>
              <w:right w:w="108" w:type="dxa"/>
            </w:tcMar>
            <w:vAlign w:val="center"/>
          </w:tcPr>
          <w:p w14:paraId="62282BE3" w14:textId="77777777" w:rsidR="001E57D5" w:rsidRPr="0039102C" w:rsidRDefault="001E57D5" w:rsidP="00854C42">
            <w:pPr>
              <w:pStyle w:val="CMR-text"/>
              <w:spacing w:before="0" w:after="0" w:line="240" w:lineRule="auto"/>
              <w:rPr>
                <w:rFonts w:cs="Times New Roman"/>
                <w:noProof/>
                <w:sz w:val="20"/>
                <w:szCs w:val="20"/>
              </w:rPr>
            </w:pPr>
            <w:r w:rsidRPr="0039102C">
              <w:rPr>
                <w:noProof/>
                <w:color w:val="000000"/>
                <w:sz w:val="20"/>
              </w:rPr>
              <w:t>Finlândia</w:t>
            </w:r>
          </w:p>
        </w:tc>
        <w:tc>
          <w:tcPr>
            <w:tcW w:w="976" w:type="pct"/>
            <w:shd w:val="clear" w:color="auto" w:fill="D9E2F3" w:themeFill="accent1" w:themeFillTint="33"/>
            <w:tcMar>
              <w:left w:w="108" w:type="dxa"/>
              <w:right w:w="108" w:type="dxa"/>
            </w:tcMar>
            <w:vAlign w:val="center"/>
          </w:tcPr>
          <w:p w14:paraId="3A288A31" w14:textId="77777777" w:rsidR="001E57D5" w:rsidRPr="0039102C" w:rsidRDefault="001E57D5" w:rsidP="00711452">
            <w:pPr>
              <w:pStyle w:val="CMR-text"/>
              <w:spacing w:before="0" w:after="0" w:line="240" w:lineRule="auto"/>
              <w:jc w:val="right"/>
              <w:rPr>
                <w:rFonts w:cs="Times New Roman"/>
                <w:noProof/>
                <w:sz w:val="20"/>
                <w:szCs w:val="20"/>
              </w:rPr>
            </w:pPr>
            <w:r w:rsidRPr="0039102C">
              <w:rPr>
                <w:noProof/>
                <w:color w:val="000000"/>
                <w:sz w:val="20"/>
              </w:rPr>
              <w:t>143,2</w:t>
            </w:r>
          </w:p>
        </w:tc>
        <w:tc>
          <w:tcPr>
            <w:tcW w:w="976" w:type="pct"/>
            <w:shd w:val="clear" w:color="auto" w:fill="D9E2F3" w:themeFill="accent1" w:themeFillTint="33"/>
            <w:tcMar>
              <w:left w:w="108" w:type="dxa"/>
              <w:right w:w="108" w:type="dxa"/>
            </w:tcMar>
            <w:vAlign w:val="center"/>
          </w:tcPr>
          <w:p w14:paraId="404A54C4" w14:textId="6C8A62ED" w:rsidR="001E57D5" w:rsidRPr="0039102C" w:rsidRDefault="001E57D5" w:rsidP="00711452">
            <w:pPr>
              <w:pStyle w:val="CMR-text"/>
              <w:spacing w:before="0" w:after="0" w:line="240" w:lineRule="auto"/>
              <w:jc w:val="right"/>
              <w:rPr>
                <w:rFonts w:cs="Times New Roman"/>
                <w:noProof/>
                <w:sz w:val="20"/>
                <w:szCs w:val="20"/>
              </w:rPr>
            </w:pPr>
            <w:r w:rsidRPr="0039102C">
              <w:rPr>
                <w:noProof/>
                <w:color w:val="000000"/>
                <w:sz w:val="20"/>
              </w:rPr>
              <w:t>55</w:t>
            </w:r>
          </w:p>
        </w:tc>
        <w:tc>
          <w:tcPr>
            <w:tcW w:w="976" w:type="pct"/>
            <w:shd w:val="clear" w:color="auto" w:fill="D9E2F3" w:themeFill="accent1" w:themeFillTint="33"/>
            <w:tcMar>
              <w:left w:w="108" w:type="dxa"/>
              <w:right w:w="108" w:type="dxa"/>
            </w:tcMar>
            <w:vAlign w:val="center"/>
          </w:tcPr>
          <w:p w14:paraId="7EA2AA4E" w14:textId="77777777" w:rsidR="001E57D5" w:rsidRPr="0039102C" w:rsidRDefault="001E57D5" w:rsidP="00711452">
            <w:pPr>
              <w:pStyle w:val="CMR-text"/>
              <w:spacing w:before="0" w:after="0" w:line="240" w:lineRule="auto"/>
              <w:jc w:val="right"/>
              <w:rPr>
                <w:rFonts w:cs="Times New Roman"/>
                <w:noProof/>
                <w:sz w:val="20"/>
                <w:szCs w:val="20"/>
              </w:rPr>
            </w:pPr>
            <w:r w:rsidRPr="0039102C">
              <w:rPr>
                <w:noProof/>
                <w:color w:val="000000"/>
                <w:sz w:val="20"/>
              </w:rPr>
              <w:t>571,5</w:t>
            </w:r>
          </w:p>
        </w:tc>
        <w:tc>
          <w:tcPr>
            <w:tcW w:w="978" w:type="pct"/>
            <w:shd w:val="clear" w:color="auto" w:fill="D9E2F3" w:themeFill="accent1" w:themeFillTint="33"/>
            <w:tcMar>
              <w:left w:w="108" w:type="dxa"/>
              <w:right w:w="108" w:type="dxa"/>
            </w:tcMar>
            <w:vAlign w:val="center"/>
          </w:tcPr>
          <w:p w14:paraId="416C8100" w14:textId="77777777" w:rsidR="001E57D5" w:rsidRPr="0039102C" w:rsidRDefault="001E57D5" w:rsidP="00711452">
            <w:pPr>
              <w:pStyle w:val="CMR-text"/>
              <w:spacing w:before="0" w:after="0" w:line="240" w:lineRule="auto"/>
              <w:jc w:val="right"/>
              <w:rPr>
                <w:rFonts w:cs="Times New Roman"/>
                <w:noProof/>
                <w:sz w:val="20"/>
                <w:szCs w:val="20"/>
              </w:rPr>
            </w:pPr>
            <w:r w:rsidRPr="0039102C">
              <w:rPr>
                <w:noProof/>
                <w:color w:val="000000"/>
                <w:sz w:val="20"/>
              </w:rPr>
              <w:t>25,1 %</w:t>
            </w:r>
          </w:p>
        </w:tc>
      </w:tr>
      <w:tr w:rsidR="001E57D5" w:rsidRPr="0039102C" w14:paraId="324135A0" w14:textId="77777777" w:rsidTr="00EB1066">
        <w:trPr>
          <w:trHeight w:val="340"/>
        </w:trPr>
        <w:tc>
          <w:tcPr>
            <w:tcW w:w="1094" w:type="pct"/>
            <w:tcMar>
              <w:left w:w="108" w:type="dxa"/>
              <w:right w:w="108" w:type="dxa"/>
            </w:tcMar>
            <w:vAlign w:val="center"/>
          </w:tcPr>
          <w:p w14:paraId="0E963220" w14:textId="77777777" w:rsidR="001E57D5" w:rsidRPr="0039102C" w:rsidRDefault="001E57D5" w:rsidP="00854C42">
            <w:pPr>
              <w:pStyle w:val="CMR-text"/>
              <w:spacing w:before="0" w:after="0" w:line="240" w:lineRule="auto"/>
              <w:rPr>
                <w:rFonts w:cs="Times New Roman"/>
                <w:noProof/>
                <w:sz w:val="20"/>
                <w:szCs w:val="20"/>
              </w:rPr>
            </w:pPr>
            <w:r w:rsidRPr="0039102C">
              <w:rPr>
                <w:noProof/>
                <w:color w:val="000000"/>
                <w:sz w:val="20"/>
              </w:rPr>
              <w:t>França</w:t>
            </w:r>
          </w:p>
        </w:tc>
        <w:tc>
          <w:tcPr>
            <w:tcW w:w="976" w:type="pct"/>
            <w:tcMar>
              <w:left w:w="108" w:type="dxa"/>
              <w:right w:w="108" w:type="dxa"/>
            </w:tcMar>
            <w:vAlign w:val="center"/>
          </w:tcPr>
          <w:p w14:paraId="330DBF95" w14:textId="77777777" w:rsidR="001E57D5" w:rsidRPr="0039102C" w:rsidRDefault="001E57D5" w:rsidP="00711452">
            <w:pPr>
              <w:pStyle w:val="CMR-text"/>
              <w:spacing w:before="0" w:after="0" w:line="240" w:lineRule="auto"/>
              <w:jc w:val="right"/>
              <w:rPr>
                <w:rFonts w:cs="Times New Roman"/>
                <w:noProof/>
                <w:sz w:val="20"/>
                <w:szCs w:val="20"/>
              </w:rPr>
            </w:pPr>
            <w:r w:rsidRPr="0039102C">
              <w:rPr>
                <w:noProof/>
                <w:color w:val="000000"/>
                <w:sz w:val="20"/>
              </w:rPr>
              <w:t>908,8</w:t>
            </w:r>
          </w:p>
        </w:tc>
        <w:tc>
          <w:tcPr>
            <w:tcW w:w="976" w:type="pct"/>
            <w:tcMar>
              <w:left w:w="108" w:type="dxa"/>
              <w:right w:w="108" w:type="dxa"/>
            </w:tcMar>
            <w:vAlign w:val="center"/>
          </w:tcPr>
          <w:p w14:paraId="317B7552" w14:textId="140216E3" w:rsidR="001E57D5" w:rsidRPr="0039102C" w:rsidRDefault="001E57D5" w:rsidP="00711452">
            <w:pPr>
              <w:pStyle w:val="CMR-text"/>
              <w:spacing w:before="0" w:after="0" w:line="240" w:lineRule="auto"/>
              <w:jc w:val="right"/>
              <w:rPr>
                <w:rFonts w:cs="Times New Roman"/>
                <w:noProof/>
                <w:sz w:val="20"/>
                <w:szCs w:val="20"/>
              </w:rPr>
            </w:pPr>
            <w:r w:rsidRPr="0039102C">
              <w:rPr>
                <w:noProof/>
                <w:color w:val="000000"/>
                <w:sz w:val="20"/>
              </w:rPr>
              <w:t>293</w:t>
            </w:r>
          </w:p>
        </w:tc>
        <w:tc>
          <w:tcPr>
            <w:tcW w:w="976" w:type="pct"/>
            <w:tcMar>
              <w:left w:w="108" w:type="dxa"/>
              <w:right w:w="108" w:type="dxa"/>
            </w:tcMar>
            <w:vAlign w:val="center"/>
          </w:tcPr>
          <w:p w14:paraId="68509B7C" w14:textId="77777777" w:rsidR="001E57D5" w:rsidRPr="0039102C" w:rsidRDefault="001E57D5" w:rsidP="00711452">
            <w:pPr>
              <w:pStyle w:val="CMR-text"/>
              <w:spacing w:before="0" w:after="0" w:line="240" w:lineRule="auto"/>
              <w:jc w:val="right"/>
              <w:rPr>
                <w:rFonts w:cs="Times New Roman"/>
                <w:noProof/>
                <w:sz w:val="20"/>
                <w:szCs w:val="20"/>
              </w:rPr>
            </w:pPr>
            <w:r w:rsidRPr="0039102C">
              <w:rPr>
                <w:noProof/>
                <w:color w:val="000000"/>
                <w:sz w:val="20"/>
              </w:rPr>
              <w:t>2060,1</w:t>
            </w:r>
          </w:p>
        </w:tc>
        <w:tc>
          <w:tcPr>
            <w:tcW w:w="978" w:type="pct"/>
            <w:tcMar>
              <w:left w:w="108" w:type="dxa"/>
              <w:right w:w="108" w:type="dxa"/>
            </w:tcMar>
            <w:vAlign w:val="center"/>
          </w:tcPr>
          <w:p w14:paraId="7769D5EF" w14:textId="77777777" w:rsidR="001E57D5" w:rsidRPr="0039102C" w:rsidRDefault="001E57D5" w:rsidP="00711452">
            <w:pPr>
              <w:pStyle w:val="CMR-text"/>
              <w:spacing w:before="0" w:after="0" w:line="240" w:lineRule="auto"/>
              <w:jc w:val="right"/>
              <w:rPr>
                <w:rFonts w:cs="Times New Roman"/>
                <w:noProof/>
                <w:sz w:val="20"/>
                <w:szCs w:val="20"/>
              </w:rPr>
            </w:pPr>
            <w:r w:rsidRPr="0039102C">
              <w:rPr>
                <w:noProof/>
                <w:color w:val="000000"/>
                <w:sz w:val="20"/>
              </w:rPr>
              <w:t>44,1 %</w:t>
            </w:r>
          </w:p>
        </w:tc>
      </w:tr>
      <w:tr w:rsidR="008B4F92" w:rsidRPr="0039102C" w14:paraId="7AC3E53F" w14:textId="77777777" w:rsidTr="00EB1066">
        <w:trPr>
          <w:trHeight w:val="340"/>
        </w:trPr>
        <w:tc>
          <w:tcPr>
            <w:tcW w:w="1094" w:type="pct"/>
            <w:shd w:val="clear" w:color="auto" w:fill="D9E2F3" w:themeFill="accent1" w:themeFillTint="33"/>
            <w:tcMar>
              <w:left w:w="108" w:type="dxa"/>
              <w:right w:w="108" w:type="dxa"/>
            </w:tcMar>
            <w:vAlign w:val="center"/>
          </w:tcPr>
          <w:p w14:paraId="0AB30216" w14:textId="77777777" w:rsidR="001E57D5" w:rsidRPr="0039102C" w:rsidRDefault="001E57D5" w:rsidP="00854C42">
            <w:pPr>
              <w:pStyle w:val="CMR-text"/>
              <w:spacing w:before="0" w:after="0" w:line="240" w:lineRule="auto"/>
              <w:rPr>
                <w:rFonts w:cs="Times New Roman"/>
                <w:noProof/>
                <w:sz w:val="20"/>
                <w:szCs w:val="20"/>
              </w:rPr>
            </w:pPr>
            <w:r w:rsidRPr="0039102C">
              <w:rPr>
                <w:noProof/>
                <w:color w:val="000000"/>
                <w:sz w:val="20"/>
              </w:rPr>
              <w:t>Alemanha</w:t>
            </w:r>
          </w:p>
        </w:tc>
        <w:tc>
          <w:tcPr>
            <w:tcW w:w="976" w:type="pct"/>
            <w:shd w:val="clear" w:color="auto" w:fill="D9E2F3" w:themeFill="accent1" w:themeFillTint="33"/>
            <w:tcMar>
              <w:left w:w="108" w:type="dxa"/>
              <w:right w:w="108" w:type="dxa"/>
            </w:tcMar>
            <w:vAlign w:val="center"/>
          </w:tcPr>
          <w:p w14:paraId="1063B9FF" w14:textId="77777777" w:rsidR="001E57D5" w:rsidRPr="0039102C" w:rsidRDefault="001E57D5" w:rsidP="00711452">
            <w:pPr>
              <w:pStyle w:val="CMR-text"/>
              <w:spacing w:before="0" w:after="0" w:line="240" w:lineRule="auto"/>
              <w:jc w:val="right"/>
              <w:rPr>
                <w:rFonts w:cs="Times New Roman"/>
                <w:noProof/>
                <w:sz w:val="20"/>
                <w:szCs w:val="20"/>
              </w:rPr>
            </w:pPr>
            <w:r w:rsidRPr="0039102C">
              <w:rPr>
                <w:noProof/>
                <w:color w:val="000000"/>
                <w:sz w:val="20"/>
              </w:rPr>
              <w:t>2395,0</w:t>
            </w:r>
          </w:p>
        </w:tc>
        <w:tc>
          <w:tcPr>
            <w:tcW w:w="976" w:type="pct"/>
            <w:shd w:val="clear" w:color="auto" w:fill="D9E2F3" w:themeFill="accent1" w:themeFillTint="33"/>
            <w:tcMar>
              <w:left w:w="108" w:type="dxa"/>
              <w:right w:w="108" w:type="dxa"/>
            </w:tcMar>
            <w:vAlign w:val="center"/>
          </w:tcPr>
          <w:p w14:paraId="5CE3215C" w14:textId="2F34AE73" w:rsidR="001E57D5" w:rsidRPr="0039102C" w:rsidRDefault="001E57D5" w:rsidP="00711452">
            <w:pPr>
              <w:pStyle w:val="CMR-text"/>
              <w:spacing w:before="0" w:after="0" w:line="240" w:lineRule="auto"/>
              <w:jc w:val="right"/>
              <w:rPr>
                <w:rFonts w:cs="Times New Roman"/>
                <w:noProof/>
                <w:sz w:val="20"/>
                <w:szCs w:val="20"/>
              </w:rPr>
            </w:pPr>
            <w:r w:rsidRPr="0039102C">
              <w:rPr>
                <w:noProof/>
                <w:color w:val="000000"/>
                <w:sz w:val="20"/>
              </w:rPr>
              <w:t>707</w:t>
            </w:r>
          </w:p>
        </w:tc>
        <w:tc>
          <w:tcPr>
            <w:tcW w:w="976" w:type="pct"/>
            <w:shd w:val="clear" w:color="auto" w:fill="D9E2F3" w:themeFill="accent1" w:themeFillTint="33"/>
            <w:tcMar>
              <w:left w:w="108" w:type="dxa"/>
              <w:right w:w="108" w:type="dxa"/>
            </w:tcMar>
            <w:vAlign w:val="center"/>
          </w:tcPr>
          <w:p w14:paraId="1083A955" w14:textId="77777777" w:rsidR="001E57D5" w:rsidRPr="0039102C" w:rsidRDefault="001E57D5" w:rsidP="00711452">
            <w:pPr>
              <w:pStyle w:val="CMR-text"/>
              <w:spacing w:before="0" w:after="0" w:line="240" w:lineRule="auto"/>
              <w:jc w:val="right"/>
              <w:rPr>
                <w:rFonts w:cs="Times New Roman"/>
                <w:noProof/>
                <w:sz w:val="20"/>
                <w:szCs w:val="20"/>
              </w:rPr>
            </w:pPr>
            <w:r w:rsidRPr="0039102C">
              <w:rPr>
                <w:noProof/>
                <w:color w:val="000000"/>
                <w:sz w:val="20"/>
              </w:rPr>
              <w:t>7582,5</w:t>
            </w:r>
          </w:p>
        </w:tc>
        <w:tc>
          <w:tcPr>
            <w:tcW w:w="978" w:type="pct"/>
            <w:shd w:val="clear" w:color="auto" w:fill="D9E2F3" w:themeFill="accent1" w:themeFillTint="33"/>
            <w:tcMar>
              <w:left w:w="108" w:type="dxa"/>
              <w:right w:w="108" w:type="dxa"/>
            </w:tcMar>
            <w:vAlign w:val="center"/>
          </w:tcPr>
          <w:p w14:paraId="2603CC5D" w14:textId="77777777" w:rsidR="001E57D5" w:rsidRPr="0039102C" w:rsidRDefault="001E57D5" w:rsidP="00711452">
            <w:pPr>
              <w:pStyle w:val="CMR-text"/>
              <w:spacing w:before="0" w:after="0" w:line="240" w:lineRule="auto"/>
              <w:jc w:val="right"/>
              <w:rPr>
                <w:rFonts w:cs="Times New Roman"/>
                <w:noProof/>
                <w:sz w:val="20"/>
                <w:szCs w:val="20"/>
              </w:rPr>
            </w:pPr>
            <w:r w:rsidRPr="0039102C">
              <w:rPr>
                <w:noProof/>
                <w:color w:val="000000"/>
                <w:sz w:val="20"/>
              </w:rPr>
              <w:t>31,6 %</w:t>
            </w:r>
          </w:p>
        </w:tc>
      </w:tr>
      <w:tr w:rsidR="008B4F92" w:rsidRPr="0039102C" w14:paraId="3EE26B6A" w14:textId="77777777" w:rsidTr="00EB1066">
        <w:trPr>
          <w:trHeight w:val="340"/>
        </w:trPr>
        <w:tc>
          <w:tcPr>
            <w:tcW w:w="1094" w:type="pct"/>
            <w:tcMar>
              <w:left w:w="108" w:type="dxa"/>
              <w:right w:w="108" w:type="dxa"/>
            </w:tcMar>
            <w:vAlign w:val="center"/>
          </w:tcPr>
          <w:p w14:paraId="483E9D71" w14:textId="77777777" w:rsidR="001E57D5" w:rsidRPr="0039102C" w:rsidRDefault="001E57D5" w:rsidP="00854C42">
            <w:pPr>
              <w:pStyle w:val="CMR-text"/>
              <w:spacing w:before="0" w:after="0" w:line="240" w:lineRule="auto"/>
              <w:rPr>
                <w:rFonts w:cs="Times New Roman"/>
                <w:noProof/>
                <w:sz w:val="20"/>
                <w:szCs w:val="20"/>
              </w:rPr>
            </w:pPr>
            <w:r w:rsidRPr="0039102C">
              <w:rPr>
                <w:noProof/>
                <w:color w:val="000000"/>
                <w:sz w:val="20"/>
              </w:rPr>
              <w:t>Grécia</w:t>
            </w:r>
          </w:p>
        </w:tc>
        <w:tc>
          <w:tcPr>
            <w:tcW w:w="976" w:type="pct"/>
            <w:tcMar>
              <w:left w:w="108" w:type="dxa"/>
              <w:right w:w="108" w:type="dxa"/>
            </w:tcMar>
            <w:vAlign w:val="center"/>
          </w:tcPr>
          <w:p w14:paraId="252AE61F" w14:textId="7D1A1810" w:rsidR="001E57D5" w:rsidRPr="0039102C" w:rsidRDefault="00AD5CA7" w:rsidP="00711452">
            <w:pPr>
              <w:pStyle w:val="CMR-text"/>
              <w:spacing w:before="0" w:after="0" w:line="240" w:lineRule="auto"/>
              <w:jc w:val="right"/>
              <w:rPr>
                <w:rFonts w:cs="Times New Roman"/>
                <w:noProof/>
                <w:sz w:val="20"/>
                <w:szCs w:val="20"/>
              </w:rPr>
            </w:pPr>
            <w:r w:rsidRPr="0039102C">
              <w:rPr>
                <w:noProof/>
                <w:color w:val="000000"/>
                <w:sz w:val="20"/>
              </w:rPr>
              <w:t>287,0</w:t>
            </w:r>
          </w:p>
        </w:tc>
        <w:tc>
          <w:tcPr>
            <w:tcW w:w="976" w:type="pct"/>
            <w:tcMar>
              <w:left w:w="108" w:type="dxa"/>
              <w:right w:w="108" w:type="dxa"/>
            </w:tcMar>
            <w:vAlign w:val="center"/>
          </w:tcPr>
          <w:p w14:paraId="79CB0694" w14:textId="7380120D" w:rsidR="001E57D5" w:rsidRPr="0039102C" w:rsidRDefault="00F53165" w:rsidP="00711452">
            <w:pPr>
              <w:pStyle w:val="CMR-text"/>
              <w:spacing w:before="0" w:after="0" w:line="240" w:lineRule="auto"/>
              <w:jc w:val="right"/>
              <w:rPr>
                <w:rFonts w:cs="Times New Roman"/>
                <w:noProof/>
                <w:sz w:val="20"/>
                <w:szCs w:val="20"/>
              </w:rPr>
            </w:pPr>
            <w:r w:rsidRPr="0039102C">
              <w:rPr>
                <w:noProof/>
                <w:color w:val="000000"/>
                <w:sz w:val="20"/>
              </w:rPr>
              <w:t>57</w:t>
            </w:r>
          </w:p>
        </w:tc>
        <w:tc>
          <w:tcPr>
            <w:tcW w:w="976" w:type="pct"/>
            <w:tcMar>
              <w:left w:w="108" w:type="dxa"/>
              <w:right w:w="108" w:type="dxa"/>
            </w:tcMar>
            <w:vAlign w:val="center"/>
          </w:tcPr>
          <w:p w14:paraId="7CC85B5D" w14:textId="4A9E29B4" w:rsidR="001E57D5" w:rsidRPr="0039102C" w:rsidRDefault="00E0690B" w:rsidP="00711452">
            <w:pPr>
              <w:pStyle w:val="CMR-text"/>
              <w:spacing w:before="0" w:after="0" w:line="240" w:lineRule="auto"/>
              <w:jc w:val="right"/>
              <w:rPr>
                <w:rFonts w:cs="Times New Roman"/>
                <w:noProof/>
                <w:sz w:val="20"/>
                <w:szCs w:val="20"/>
              </w:rPr>
            </w:pPr>
            <w:r w:rsidRPr="0039102C">
              <w:rPr>
                <w:noProof/>
                <w:color w:val="000000"/>
                <w:sz w:val="20"/>
              </w:rPr>
              <w:t>1441,8</w:t>
            </w:r>
          </w:p>
        </w:tc>
        <w:tc>
          <w:tcPr>
            <w:tcW w:w="978" w:type="pct"/>
            <w:tcMar>
              <w:left w:w="108" w:type="dxa"/>
              <w:right w:w="108" w:type="dxa"/>
            </w:tcMar>
            <w:vAlign w:val="center"/>
          </w:tcPr>
          <w:p w14:paraId="2D660BE0" w14:textId="7D11A639" w:rsidR="001E57D5" w:rsidRPr="0039102C" w:rsidRDefault="00E0690B" w:rsidP="00711452">
            <w:pPr>
              <w:pStyle w:val="CMR-text"/>
              <w:spacing w:before="0" w:after="0" w:line="240" w:lineRule="auto"/>
              <w:jc w:val="right"/>
              <w:rPr>
                <w:rFonts w:cs="Times New Roman"/>
                <w:noProof/>
                <w:sz w:val="20"/>
                <w:szCs w:val="20"/>
              </w:rPr>
            </w:pPr>
            <w:r w:rsidRPr="0039102C">
              <w:rPr>
                <w:noProof/>
                <w:color w:val="000000"/>
                <w:sz w:val="20"/>
              </w:rPr>
              <w:t>19,9 %</w:t>
            </w:r>
          </w:p>
        </w:tc>
      </w:tr>
      <w:tr w:rsidR="008B4F92" w:rsidRPr="0039102C" w14:paraId="7A1B1A16" w14:textId="77777777" w:rsidTr="00EB1066">
        <w:trPr>
          <w:trHeight w:val="340"/>
        </w:trPr>
        <w:tc>
          <w:tcPr>
            <w:tcW w:w="1094" w:type="pct"/>
            <w:shd w:val="clear" w:color="auto" w:fill="D9E2F3" w:themeFill="accent1" w:themeFillTint="33"/>
            <w:tcMar>
              <w:left w:w="108" w:type="dxa"/>
              <w:right w:w="108" w:type="dxa"/>
            </w:tcMar>
            <w:vAlign w:val="center"/>
          </w:tcPr>
          <w:p w14:paraId="0F3F8F96" w14:textId="77777777" w:rsidR="001E57D5" w:rsidRPr="0039102C" w:rsidRDefault="001E57D5" w:rsidP="00854C42">
            <w:pPr>
              <w:pStyle w:val="CMR-text"/>
              <w:spacing w:before="0" w:after="0" w:line="240" w:lineRule="auto"/>
              <w:rPr>
                <w:rFonts w:cs="Times New Roman"/>
                <w:noProof/>
                <w:sz w:val="20"/>
                <w:szCs w:val="20"/>
              </w:rPr>
            </w:pPr>
            <w:r w:rsidRPr="0039102C">
              <w:rPr>
                <w:noProof/>
                <w:color w:val="000000"/>
                <w:sz w:val="20"/>
              </w:rPr>
              <w:t>Itália</w:t>
            </w:r>
          </w:p>
        </w:tc>
        <w:tc>
          <w:tcPr>
            <w:tcW w:w="976" w:type="pct"/>
            <w:shd w:val="clear" w:color="auto" w:fill="D9E2F3" w:themeFill="accent1" w:themeFillTint="33"/>
            <w:tcMar>
              <w:left w:w="108" w:type="dxa"/>
              <w:right w:w="108" w:type="dxa"/>
            </w:tcMar>
            <w:vAlign w:val="center"/>
          </w:tcPr>
          <w:p w14:paraId="14742B50" w14:textId="77777777" w:rsidR="001E57D5" w:rsidRPr="0039102C" w:rsidRDefault="001E57D5" w:rsidP="00711452">
            <w:pPr>
              <w:pStyle w:val="CMR-text"/>
              <w:spacing w:before="0" w:after="0" w:line="240" w:lineRule="auto"/>
              <w:jc w:val="right"/>
              <w:rPr>
                <w:rFonts w:cs="Times New Roman"/>
                <w:noProof/>
                <w:sz w:val="20"/>
                <w:szCs w:val="20"/>
              </w:rPr>
            </w:pPr>
            <w:r w:rsidRPr="0039102C">
              <w:rPr>
                <w:noProof/>
                <w:color w:val="000000"/>
                <w:sz w:val="20"/>
              </w:rPr>
              <w:t>165,5</w:t>
            </w:r>
          </w:p>
        </w:tc>
        <w:tc>
          <w:tcPr>
            <w:tcW w:w="976" w:type="pct"/>
            <w:shd w:val="clear" w:color="auto" w:fill="D9E2F3" w:themeFill="accent1" w:themeFillTint="33"/>
            <w:tcMar>
              <w:left w:w="108" w:type="dxa"/>
              <w:right w:w="108" w:type="dxa"/>
            </w:tcMar>
            <w:vAlign w:val="center"/>
          </w:tcPr>
          <w:p w14:paraId="47AE49EB" w14:textId="13153D29" w:rsidR="001E57D5" w:rsidRPr="0039102C" w:rsidRDefault="001E57D5" w:rsidP="00711452">
            <w:pPr>
              <w:pStyle w:val="CMR-text"/>
              <w:spacing w:before="0" w:after="0" w:line="240" w:lineRule="auto"/>
              <w:jc w:val="right"/>
              <w:rPr>
                <w:rFonts w:cs="Times New Roman"/>
                <w:noProof/>
                <w:sz w:val="20"/>
                <w:szCs w:val="20"/>
              </w:rPr>
            </w:pPr>
            <w:r w:rsidRPr="0039102C">
              <w:rPr>
                <w:noProof/>
                <w:color w:val="000000"/>
                <w:sz w:val="20"/>
              </w:rPr>
              <w:t>252</w:t>
            </w:r>
          </w:p>
        </w:tc>
        <w:tc>
          <w:tcPr>
            <w:tcW w:w="976" w:type="pct"/>
            <w:shd w:val="clear" w:color="auto" w:fill="D9E2F3" w:themeFill="accent1" w:themeFillTint="33"/>
            <w:tcMar>
              <w:left w:w="108" w:type="dxa"/>
              <w:right w:w="108" w:type="dxa"/>
            </w:tcMar>
            <w:vAlign w:val="center"/>
          </w:tcPr>
          <w:p w14:paraId="04569C82" w14:textId="77777777" w:rsidR="001E57D5" w:rsidRPr="0039102C" w:rsidRDefault="001E57D5" w:rsidP="00711452">
            <w:pPr>
              <w:pStyle w:val="CMR-text"/>
              <w:spacing w:before="0" w:after="0" w:line="240" w:lineRule="auto"/>
              <w:jc w:val="right"/>
              <w:rPr>
                <w:rFonts w:cs="Times New Roman"/>
                <w:noProof/>
                <w:sz w:val="20"/>
                <w:szCs w:val="20"/>
              </w:rPr>
            </w:pPr>
            <w:r w:rsidRPr="0039102C">
              <w:rPr>
                <w:noProof/>
                <w:color w:val="000000"/>
                <w:sz w:val="20"/>
              </w:rPr>
              <w:t>3547,4</w:t>
            </w:r>
          </w:p>
        </w:tc>
        <w:tc>
          <w:tcPr>
            <w:tcW w:w="978" w:type="pct"/>
            <w:shd w:val="clear" w:color="auto" w:fill="D9E2F3" w:themeFill="accent1" w:themeFillTint="33"/>
            <w:tcMar>
              <w:left w:w="108" w:type="dxa"/>
              <w:right w:w="108" w:type="dxa"/>
            </w:tcMar>
            <w:vAlign w:val="center"/>
          </w:tcPr>
          <w:p w14:paraId="09BEDC6E" w14:textId="77777777" w:rsidR="001E57D5" w:rsidRPr="0039102C" w:rsidRDefault="001E57D5" w:rsidP="00711452">
            <w:pPr>
              <w:pStyle w:val="CMR-text"/>
              <w:spacing w:before="0" w:after="0" w:line="240" w:lineRule="auto"/>
              <w:jc w:val="right"/>
              <w:rPr>
                <w:rFonts w:cs="Times New Roman"/>
                <w:noProof/>
                <w:sz w:val="20"/>
                <w:szCs w:val="20"/>
              </w:rPr>
            </w:pPr>
            <w:r w:rsidRPr="0039102C">
              <w:rPr>
                <w:noProof/>
                <w:color w:val="000000"/>
                <w:sz w:val="20"/>
              </w:rPr>
              <w:t>4,7 %</w:t>
            </w:r>
          </w:p>
        </w:tc>
      </w:tr>
      <w:tr w:rsidR="001E57D5" w:rsidRPr="0039102C" w14:paraId="7BCA839A" w14:textId="77777777" w:rsidTr="00EB1066">
        <w:trPr>
          <w:trHeight w:val="340"/>
        </w:trPr>
        <w:tc>
          <w:tcPr>
            <w:tcW w:w="1094" w:type="pct"/>
            <w:tcMar>
              <w:left w:w="108" w:type="dxa"/>
              <w:right w:w="108" w:type="dxa"/>
            </w:tcMar>
            <w:vAlign w:val="center"/>
          </w:tcPr>
          <w:p w14:paraId="7CC4ABAF" w14:textId="77458F40" w:rsidR="001E57D5" w:rsidRPr="0039102C" w:rsidRDefault="001E57D5" w:rsidP="00854C42">
            <w:pPr>
              <w:pStyle w:val="CMR-text"/>
              <w:spacing w:before="0" w:after="0" w:line="240" w:lineRule="auto"/>
              <w:rPr>
                <w:rFonts w:cs="Times New Roman"/>
                <w:noProof/>
                <w:sz w:val="20"/>
                <w:szCs w:val="20"/>
              </w:rPr>
            </w:pPr>
            <w:r w:rsidRPr="0039102C">
              <w:rPr>
                <w:noProof/>
                <w:color w:val="000000"/>
                <w:sz w:val="20"/>
              </w:rPr>
              <w:t>Luxemburgo</w:t>
            </w:r>
          </w:p>
        </w:tc>
        <w:tc>
          <w:tcPr>
            <w:tcW w:w="976" w:type="pct"/>
            <w:tcMar>
              <w:left w:w="108" w:type="dxa"/>
              <w:right w:w="108" w:type="dxa"/>
            </w:tcMar>
            <w:vAlign w:val="center"/>
          </w:tcPr>
          <w:p w14:paraId="1FFB55C8" w14:textId="77777777" w:rsidR="001E57D5" w:rsidRPr="0039102C" w:rsidRDefault="001E57D5" w:rsidP="00711452">
            <w:pPr>
              <w:pStyle w:val="CMR-text"/>
              <w:spacing w:before="0" w:after="0" w:line="240" w:lineRule="auto"/>
              <w:jc w:val="right"/>
              <w:rPr>
                <w:rFonts w:cs="Times New Roman"/>
                <w:noProof/>
                <w:sz w:val="20"/>
                <w:szCs w:val="20"/>
              </w:rPr>
            </w:pPr>
            <w:r w:rsidRPr="0039102C">
              <w:rPr>
                <w:noProof/>
                <w:color w:val="000000"/>
                <w:sz w:val="20"/>
              </w:rPr>
              <w:t>37,6</w:t>
            </w:r>
          </w:p>
        </w:tc>
        <w:tc>
          <w:tcPr>
            <w:tcW w:w="976" w:type="pct"/>
            <w:tcMar>
              <w:left w:w="108" w:type="dxa"/>
              <w:right w:w="108" w:type="dxa"/>
            </w:tcMar>
            <w:vAlign w:val="center"/>
          </w:tcPr>
          <w:p w14:paraId="0816A137" w14:textId="1376E67C" w:rsidR="001E57D5" w:rsidRPr="0039102C" w:rsidRDefault="001E57D5" w:rsidP="00711452">
            <w:pPr>
              <w:pStyle w:val="CMR-text"/>
              <w:spacing w:before="0" w:after="0" w:line="240" w:lineRule="auto"/>
              <w:jc w:val="right"/>
              <w:rPr>
                <w:rFonts w:cs="Times New Roman"/>
                <w:noProof/>
                <w:sz w:val="20"/>
                <w:szCs w:val="20"/>
              </w:rPr>
            </w:pPr>
            <w:r w:rsidRPr="0039102C">
              <w:rPr>
                <w:noProof/>
                <w:color w:val="000000"/>
                <w:sz w:val="20"/>
              </w:rPr>
              <w:t>4</w:t>
            </w:r>
          </w:p>
        </w:tc>
        <w:tc>
          <w:tcPr>
            <w:tcW w:w="976" w:type="pct"/>
            <w:tcMar>
              <w:left w:w="108" w:type="dxa"/>
              <w:right w:w="108" w:type="dxa"/>
            </w:tcMar>
            <w:vAlign w:val="center"/>
          </w:tcPr>
          <w:p w14:paraId="6733805D" w14:textId="77777777" w:rsidR="001E57D5" w:rsidRPr="0039102C" w:rsidRDefault="001E57D5" w:rsidP="00711452">
            <w:pPr>
              <w:pStyle w:val="CMR-text"/>
              <w:spacing w:before="0" w:after="0" w:line="240" w:lineRule="auto"/>
              <w:jc w:val="right"/>
              <w:rPr>
                <w:rFonts w:cs="Times New Roman"/>
                <w:noProof/>
                <w:sz w:val="20"/>
                <w:szCs w:val="20"/>
              </w:rPr>
            </w:pPr>
            <w:r w:rsidRPr="0039102C">
              <w:rPr>
                <w:noProof/>
                <w:color w:val="000000"/>
                <w:sz w:val="20"/>
              </w:rPr>
              <w:t>7,6</w:t>
            </w:r>
          </w:p>
        </w:tc>
        <w:tc>
          <w:tcPr>
            <w:tcW w:w="978" w:type="pct"/>
            <w:tcMar>
              <w:left w:w="108" w:type="dxa"/>
              <w:right w:w="108" w:type="dxa"/>
            </w:tcMar>
            <w:vAlign w:val="center"/>
          </w:tcPr>
          <w:p w14:paraId="3DD05144" w14:textId="77777777" w:rsidR="001E57D5" w:rsidRPr="0039102C" w:rsidRDefault="001E57D5" w:rsidP="00711452">
            <w:pPr>
              <w:pStyle w:val="CMR-text"/>
              <w:spacing w:before="0" w:after="0" w:line="240" w:lineRule="auto"/>
              <w:jc w:val="right"/>
              <w:rPr>
                <w:rFonts w:cs="Times New Roman"/>
                <w:noProof/>
                <w:sz w:val="20"/>
                <w:szCs w:val="20"/>
              </w:rPr>
            </w:pPr>
            <w:r w:rsidRPr="0039102C">
              <w:rPr>
                <w:noProof/>
                <w:color w:val="000000"/>
                <w:sz w:val="20"/>
              </w:rPr>
              <w:t>492,0 %</w:t>
            </w:r>
          </w:p>
        </w:tc>
      </w:tr>
      <w:tr w:rsidR="008B4F92" w:rsidRPr="0039102C" w14:paraId="119E550F" w14:textId="77777777" w:rsidTr="00EB1066">
        <w:trPr>
          <w:trHeight w:val="340"/>
        </w:trPr>
        <w:tc>
          <w:tcPr>
            <w:tcW w:w="1094" w:type="pct"/>
            <w:shd w:val="clear" w:color="auto" w:fill="D9E2F3" w:themeFill="accent1" w:themeFillTint="33"/>
            <w:tcMar>
              <w:left w:w="108" w:type="dxa"/>
              <w:right w:w="108" w:type="dxa"/>
            </w:tcMar>
            <w:vAlign w:val="center"/>
          </w:tcPr>
          <w:p w14:paraId="2327AC59" w14:textId="77777777" w:rsidR="001E57D5" w:rsidRPr="0039102C" w:rsidRDefault="001E57D5" w:rsidP="00854C42">
            <w:pPr>
              <w:pStyle w:val="CMR-text"/>
              <w:spacing w:before="0" w:after="0" w:line="240" w:lineRule="auto"/>
              <w:rPr>
                <w:rFonts w:cs="Times New Roman"/>
                <w:noProof/>
                <w:sz w:val="20"/>
                <w:szCs w:val="20"/>
              </w:rPr>
            </w:pPr>
            <w:r w:rsidRPr="0039102C">
              <w:rPr>
                <w:noProof/>
                <w:color w:val="000000"/>
                <w:sz w:val="20"/>
              </w:rPr>
              <w:t>Países Baixos</w:t>
            </w:r>
          </w:p>
        </w:tc>
        <w:tc>
          <w:tcPr>
            <w:tcW w:w="976" w:type="pct"/>
            <w:shd w:val="clear" w:color="auto" w:fill="D9E2F3" w:themeFill="accent1" w:themeFillTint="33"/>
            <w:tcMar>
              <w:left w:w="108" w:type="dxa"/>
              <w:right w:w="108" w:type="dxa"/>
            </w:tcMar>
            <w:vAlign w:val="center"/>
          </w:tcPr>
          <w:p w14:paraId="440BA07B" w14:textId="77777777" w:rsidR="001E57D5" w:rsidRPr="0039102C" w:rsidRDefault="001E57D5" w:rsidP="00711452">
            <w:pPr>
              <w:pStyle w:val="CMR-text"/>
              <w:spacing w:before="0" w:after="0" w:line="240" w:lineRule="auto"/>
              <w:jc w:val="right"/>
              <w:rPr>
                <w:rFonts w:cs="Times New Roman"/>
                <w:noProof/>
                <w:sz w:val="20"/>
                <w:szCs w:val="20"/>
              </w:rPr>
            </w:pPr>
            <w:r w:rsidRPr="0039102C">
              <w:rPr>
                <w:noProof/>
                <w:color w:val="000000"/>
                <w:sz w:val="20"/>
              </w:rPr>
              <w:t>147,3</w:t>
            </w:r>
          </w:p>
        </w:tc>
        <w:tc>
          <w:tcPr>
            <w:tcW w:w="976" w:type="pct"/>
            <w:shd w:val="clear" w:color="auto" w:fill="D9E2F3" w:themeFill="accent1" w:themeFillTint="33"/>
            <w:tcMar>
              <w:left w:w="108" w:type="dxa"/>
              <w:right w:w="108" w:type="dxa"/>
            </w:tcMar>
            <w:vAlign w:val="center"/>
          </w:tcPr>
          <w:p w14:paraId="0D1879D6" w14:textId="0CA342D7" w:rsidR="001E57D5" w:rsidRPr="0039102C" w:rsidRDefault="00BB65ED" w:rsidP="00711452">
            <w:pPr>
              <w:pStyle w:val="CMR-text"/>
              <w:spacing w:before="0" w:after="0" w:line="240" w:lineRule="auto"/>
              <w:jc w:val="right"/>
              <w:rPr>
                <w:rFonts w:cs="Times New Roman"/>
                <w:noProof/>
                <w:sz w:val="20"/>
                <w:szCs w:val="20"/>
              </w:rPr>
            </w:pPr>
            <w:r w:rsidRPr="0039102C">
              <w:rPr>
                <w:noProof/>
                <w:color w:val="000000"/>
                <w:sz w:val="20"/>
              </w:rPr>
              <w:t>48 </w:t>
            </w:r>
          </w:p>
        </w:tc>
        <w:tc>
          <w:tcPr>
            <w:tcW w:w="976" w:type="pct"/>
            <w:shd w:val="clear" w:color="auto" w:fill="D9E2F3" w:themeFill="accent1" w:themeFillTint="33"/>
            <w:tcMar>
              <w:left w:w="108" w:type="dxa"/>
              <w:right w:w="108" w:type="dxa"/>
            </w:tcMar>
            <w:vAlign w:val="center"/>
          </w:tcPr>
          <w:p w14:paraId="7F06B079" w14:textId="77777777" w:rsidR="001E57D5" w:rsidRPr="0039102C" w:rsidRDefault="001E57D5" w:rsidP="00711452">
            <w:pPr>
              <w:pStyle w:val="CMR-text"/>
              <w:spacing w:before="0" w:after="0" w:line="240" w:lineRule="auto"/>
              <w:jc w:val="right"/>
              <w:rPr>
                <w:rFonts w:cs="Times New Roman"/>
                <w:noProof/>
                <w:sz w:val="20"/>
                <w:szCs w:val="20"/>
              </w:rPr>
            </w:pPr>
            <w:r w:rsidRPr="0039102C">
              <w:rPr>
                <w:noProof/>
                <w:color w:val="000000"/>
                <w:sz w:val="20"/>
              </w:rPr>
              <w:t>1261,1</w:t>
            </w:r>
          </w:p>
        </w:tc>
        <w:tc>
          <w:tcPr>
            <w:tcW w:w="978" w:type="pct"/>
            <w:shd w:val="clear" w:color="auto" w:fill="D9E2F3" w:themeFill="accent1" w:themeFillTint="33"/>
            <w:tcMar>
              <w:left w:w="108" w:type="dxa"/>
              <w:right w:w="108" w:type="dxa"/>
            </w:tcMar>
            <w:vAlign w:val="center"/>
          </w:tcPr>
          <w:p w14:paraId="3EAD18D4" w14:textId="77777777" w:rsidR="001E57D5" w:rsidRPr="0039102C" w:rsidRDefault="001E57D5" w:rsidP="00711452">
            <w:pPr>
              <w:pStyle w:val="CMR-text"/>
              <w:spacing w:before="0" w:after="0" w:line="240" w:lineRule="auto"/>
              <w:jc w:val="right"/>
              <w:rPr>
                <w:rFonts w:cs="Times New Roman"/>
                <w:noProof/>
                <w:sz w:val="20"/>
                <w:szCs w:val="20"/>
              </w:rPr>
            </w:pPr>
            <w:r w:rsidRPr="0039102C">
              <w:rPr>
                <w:noProof/>
                <w:color w:val="000000"/>
                <w:sz w:val="20"/>
              </w:rPr>
              <w:t>11,7 %</w:t>
            </w:r>
          </w:p>
        </w:tc>
      </w:tr>
      <w:tr w:rsidR="001E57D5" w:rsidRPr="0039102C" w14:paraId="63272C19" w14:textId="77777777" w:rsidTr="00EB1066">
        <w:trPr>
          <w:trHeight w:val="340"/>
        </w:trPr>
        <w:tc>
          <w:tcPr>
            <w:tcW w:w="1094" w:type="pct"/>
            <w:tcMar>
              <w:left w:w="108" w:type="dxa"/>
              <w:right w:w="108" w:type="dxa"/>
            </w:tcMar>
            <w:vAlign w:val="center"/>
          </w:tcPr>
          <w:p w14:paraId="0231E457" w14:textId="77777777" w:rsidR="001E57D5" w:rsidRPr="0039102C" w:rsidRDefault="001E57D5" w:rsidP="00854C42">
            <w:pPr>
              <w:pStyle w:val="CMR-text"/>
              <w:spacing w:before="0" w:after="0" w:line="240" w:lineRule="auto"/>
              <w:rPr>
                <w:rFonts w:cs="Times New Roman"/>
                <w:noProof/>
                <w:sz w:val="20"/>
                <w:szCs w:val="20"/>
              </w:rPr>
            </w:pPr>
            <w:r w:rsidRPr="0039102C">
              <w:rPr>
                <w:noProof/>
                <w:color w:val="000000"/>
                <w:sz w:val="20"/>
              </w:rPr>
              <w:t>Polónia</w:t>
            </w:r>
          </w:p>
        </w:tc>
        <w:tc>
          <w:tcPr>
            <w:tcW w:w="976" w:type="pct"/>
            <w:tcMar>
              <w:left w:w="108" w:type="dxa"/>
              <w:right w:w="108" w:type="dxa"/>
            </w:tcMar>
            <w:vAlign w:val="center"/>
          </w:tcPr>
          <w:p w14:paraId="4F118072" w14:textId="6C7F7924" w:rsidR="001E57D5" w:rsidRPr="0039102C" w:rsidRDefault="001E57D5" w:rsidP="00711452">
            <w:pPr>
              <w:pStyle w:val="CMR-text"/>
              <w:spacing w:before="0" w:after="0" w:line="240" w:lineRule="auto"/>
              <w:jc w:val="right"/>
              <w:rPr>
                <w:rFonts w:cs="Times New Roman"/>
                <w:noProof/>
                <w:sz w:val="20"/>
                <w:szCs w:val="20"/>
              </w:rPr>
            </w:pPr>
            <w:r w:rsidRPr="0039102C">
              <w:rPr>
                <w:noProof/>
                <w:color w:val="000000"/>
                <w:sz w:val="20"/>
              </w:rPr>
              <w:t>614,6</w:t>
            </w:r>
          </w:p>
        </w:tc>
        <w:tc>
          <w:tcPr>
            <w:tcW w:w="976" w:type="pct"/>
            <w:tcMar>
              <w:left w:w="108" w:type="dxa"/>
              <w:right w:w="108" w:type="dxa"/>
            </w:tcMar>
            <w:vAlign w:val="center"/>
          </w:tcPr>
          <w:p w14:paraId="6D798103" w14:textId="5374E50F" w:rsidR="001E57D5" w:rsidRPr="0039102C" w:rsidRDefault="001E57D5" w:rsidP="00711452">
            <w:pPr>
              <w:pStyle w:val="CMR-text"/>
              <w:spacing w:before="0" w:after="0" w:line="240" w:lineRule="auto"/>
              <w:jc w:val="right"/>
              <w:rPr>
                <w:rFonts w:cs="Times New Roman"/>
                <w:noProof/>
                <w:sz w:val="20"/>
                <w:szCs w:val="20"/>
              </w:rPr>
            </w:pPr>
            <w:r w:rsidRPr="0039102C">
              <w:rPr>
                <w:noProof/>
                <w:color w:val="000000"/>
                <w:sz w:val="20"/>
              </w:rPr>
              <w:t>97</w:t>
            </w:r>
          </w:p>
        </w:tc>
        <w:tc>
          <w:tcPr>
            <w:tcW w:w="976" w:type="pct"/>
            <w:tcMar>
              <w:left w:w="108" w:type="dxa"/>
              <w:right w:w="108" w:type="dxa"/>
            </w:tcMar>
            <w:vAlign w:val="center"/>
          </w:tcPr>
          <w:p w14:paraId="69573AA3" w14:textId="77777777" w:rsidR="001E57D5" w:rsidRPr="0039102C" w:rsidRDefault="001E57D5" w:rsidP="00711452">
            <w:pPr>
              <w:pStyle w:val="CMR-text"/>
              <w:spacing w:before="0" w:after="0" w:line="240" w:lineRule="auto"/>
              <w:jc w:val="right"/>
              <w:rPr>
                <w:rFonts w:cs="Times New Roman"/>
                <w:noProof/>
                <w:sz w:val="20"/>
                <w:szCs w:val="20"/>
              </w:rPr>
            </w:pPr>
            <w:r w:rsidRPr="0039102C">
              <w:rPr>
                <w:noProof/>
                <w:color w:val="000000"/>
                <w:sz w:val="20"/>
              </w:rPr>
              <w:t>5406,7</w:t>
            </w:r>
          </w:p>
        </w:tc>
        <w:tc>
          <w:tcPr>
            <w:tcW w:w="978" w:type="pct"/>
            <w:tcMar>
              <w:left w:w="108" w:type="dxa"/>
              <w:right w:w="108" w:type="dxa"/>
            </w:tcMar>
            <w:vAlign w:val="center"/>
          </w:tcPr>
          <w:p w14:paraId="52716471" w14:textId="5381D0B8" w:rsidR="001E57D5" w:rsidRPr="0039102C" w:rsidRDefault="001E57D5" w:rsidP="00711452">
            <w:pPr>
              <w:pStyle w:val="CMR-text"/>
              <w:spacing w:before="0" w:after="0" w:line="240" w:lineRule="auto"/>
              <w:jc w:val="right"/>
              <w:rPr>
                <w:rFonts w:cs="Times New Roman"/>
                <w:noProof/>
                <w:sz w:val="20"/>
                <w:szCs w:val="20"/>
              </w:rPr>
            </w:pPr>
            <w:r w:rsidRPr="0039102C">
              <w:rPr>
                <w:noProof/>
                <w:color w:val="000000"/>
                <w:sz w:val="20"/>
              </w:rPr>
              <w:t>11,4 %</w:t>
            </w:r>
          </w:p>
        </w:tc>
      </w:tr>
      <w:tr w:rsidR="008B4F92" w:rsidRPr="0039102C" w14:paraId="6E0C39AE" w14:textId="77777777" w:rsidTr="00EB1066">
        <w:trPr>
          <w:trHeight w:val="340"/>
        </w:trPr>
        <w:tc>
          <w:tcPr>
            <w:tcW w:w="1094" w:type="pct"/>
            <w:shd w:val="clear" w:color="auto" w:fill="D9E2F3" w:themeFill="accent1" w:themeFillTint="33"/>
            <w:tcMar>
              <w:left w:w="108" w:type="dxa"/>
              <w:right w:w="108" w:type="dxa"/>
            </w:tcMar>
            <w:vAlign w:val="center"/>
          </w:tcPr>
          <w:p w14:paraId="70D3AE3F" w14:textId="77777777" w:rsidR="001E57D5" w:rsidRPr="0039102C" w:rsidRDefault="001E57D5" w:rsidP="00854C42">
            <w:pPr>
              <w:pStyle w:val="CMR-text"/>
              <w:spacing w:before="0" w:after="0" w:line="240" w:lineRule="auto"/>
              <w:rPr>
                <w:rFonts w:cs="Times New Roman"/>
                <w:noProof/>
                <w:sz w:val="20"/>
                <w:szCs w:val="20"/>
              </w:rPr>
            </w:pPr>
            <w:r w:rsidRPr="0039102C">
              <w:rPr>
                <w:noProof/>
                <w:color w:val="000000"/>
                <w:sz w:val="20"/>
              </w:rPr>
              <w:t>Portugal</w:t>
            </w:r>
          </w:p>
        </w:tc>
        <w:tc>
          <w:tcPr>
            <w:tcW w:w="976" w:type="pct"/>
            <w:shd w:val="clear" w:color="auto" w:fill="D9E2F3" w:themeFill="accent1" w:themeFillTint="33"/>
            <w:tcMar>
              <w:left w:w="108" w:type="dxa"/>
              <w:right w:w="108" w:type="dxa"/>
            </w:tcMar>
            <w:vAlign w:val="center"/>
          </w:tcPr>
          <w:p w14:paraId="03D087B3" w14:textId="77777777" w:rsidR="001E57D5" w:rsidRPr="0039102C" w:rsidRDefault="001E57D5" w:rsidP="00711452">
            <w:pPr>
              <w:pStyle w:val="CMR-text"/>
              <w:spacing w:before="0" w:after="0" w:line="240" w:lineRule="auto"/>
              <w:jc w:val="right"/>
              <w:rPr>
                <w:rFonts w:cs="Times New Roman"/>
                <w:noProof/>
                <w:sz w:val="20"/>
                <w:szCs w:val="20"/>
              </w:rPr>
            </w:pPr>
            <w:r w:rsidRPr="0039102C">
              <w:rPr>
                <w:noProof/>
                <w:color w:val="000000"/>
                <w:sz w:val="20"/>
              </w:rPr>
              <w:t>25,0</w:t>
            </w:r>
          </w:p>
        </w:tc>
        <w:tc>
          <w:tcPr>
            <w:tcW w:w="976" w:type="pct"/>
            <w:shd w:val="clear" w:color="auto" w:fill="D9E2F3" w:themeFill="accent1" w:themeFillTint="33"/>
            <w:tcMar>
              <w:left w:w="108" w:type="dxa"/>
              <w:right w:w="108" w:type="dxa"/>
            </w:tcMar>
            <w:vAlign w:val="center"/>
          </w:tcPr>
          <w:p w14:paraId="71F28536" w14:textId="46844B43" w:rsidR="001E57D5" w:rsidRPr="0039102C" w:rsidRDefault="001E57D5" w:rsidP="00711452">
            <w:pPr>
              <w:pStyle w:val="CMR-text"/>
              <w:spacing w:before="0" w:after="0" w:line="240" w:lineRule="auto"/>
              <w:jc w:val="right"/>
              <w:rPr>
                <w:rFonts w:cs="Times New Roman"/>
                <w:noProof/>
                <w:sz w:val="20"/>
                <w:szCs w:val="20"/>
              </w:rPr>
            </w:pPr>
            <w:r w:rsidRPr="0039102C">
              <w:rPr>
                <w:noProof/>
                <w:color w:val="000000"/>
                <w:sz w:val="20"/>
              </w:rPr>
              <w:t>23</w:t>
            </w:r>
          </w:p>
        </w:tc>
        <w:tc>
          <w:tcPr>
            <w:tcW w:w="976" w:type="pct"/>
            <w:shd w:val="clear" w:color="auto" w:fill="D9E2F3" w:themeFill="accent1" w:themeFillTint="33"/>
            <w:tcMar>
              <w:left w:w="108" w:type="dxa"/>
              <w:right w:w="108" w:type="dxa"/>
            </w:tcMar>
            <w:vAlign w:val="center"/>
          </w:tcPr>
          <w:p w14:paraId="7FED68BE" w14:textId="77777777" w:rsidR="001E57D5" w:rsidRPr="0039102C" w:rsidRDefault="001E57D5" w:rsidP="00711452">
            <w:pPr>
              <w:pStyle w:val="CMR-text"/>
              <w:spacing w:before="0" w:after="0" w:line="240" w:lineRule="auto"/>
              <w:jc w:val="right"/>
              <w:rPr>
                <w:rFonts w:cs="Times New Roman"/>
                <w:noProof/>
                <w:sz w:val="20"/>
                <w:szCs w:val="20"/>
              </w:rPr>
            </w:pPr>
            <w:r w:rsidRPr="0039102C">
              <w:rPr>
                <w:noProof/>
                <w:color w:val="000000"/>
                <w:sz w:val="20"/>
              </w:rPr>
              <w:t>726,7</w:t>
            </w:r>
          </w:p>
        </w:tc>
        <w:tc>
          <w:tcPr>
            <w:tcW w:w="978" w:type="pct"/>
            <w:shd w:val="clear" w:color="auto" w:fill="D9E2F3" w:themeFill="accent1" w:themeFillTint="33"/>
            <w:tcMar>
              <w:left w:w="108" w:type="dxa"/>
              <w:right w:w="108" w:type="dxa"/>
            </w:tcMar>
            <w:vAlign w:val="center"/>
          </w:tcPr>
          <w:p w14:paraId="51D8323D" w14:textId="77777777" w:rsidR="001E57D5" w:rsidRPr="0039102C" w:rsidRDefault="001E57D5" w:rsidP="00711452">
            <w:pPr>
              <w:pStyle w:val="CMR-text"/>
              <w:spacing w:before="0" w:after="0" w:line="240" w:lineRule="auto"/>
              <w:jc w:val="right"/>
              <w:rPr>
                <w:rFonts w:cs="Times New Roman"/>
                <w:noProof/>
                <w:sz w:val="20"/>
                <w:szCs w:val="20"/>
              </w:rPr>
            </w:pPr>
            <w:r w:rsidRPr="0039102C">
              <w:rPr>
                <w:noProof/>
                <w:color w:val="000000"/>
                <w:sz w:val="20"/>
              </w:rPr>
              <w:t>3,4 %</w:t>
            </w:r>
          </w:p>
        </w:tc>
      </w:tr>
      <w:tr w:rsidR="001E57D5" w:rsidRPr="0039102C" w14:paraId="17E8A34F" w14:textId="77777777" w:rsidTr="00EB1066">
        <w:trPr>
          <w:trHeight w:val="340"/>
        </w:trPr>
        <w:tc>
          <w:tcPr>
            <w:tcW w:w="1094" w:type="pct"/>
            <w:tcMar>
              <w:left w:w="108" w:type="dxa"/>
              <w:right w:w="108" w:type="dxa"/>
            </w:tcMar>
            <w:vAlign w:val="center"/>
          </w:tcPr>
          <w:p w14:paraId="660DBB26" w14:textId="77777777" w:rsidR="001E57D5" w:rsidRPr="0039102C" w:rsidRDefault="001E57D5" w:rsidP="00854C42">
            <w:pPr>
              <w:pStyle w:val="CMR-text"/>
              <w:spacing w:before="0" w:after="0" w:line="240" w:lineRule="auto"/>
              <w:rPr>
                <w:rFonts w:cs="Times New Roman"/>
                <w:noProof/>
                <w:sz w:val="20"/>
                <w:szCs w:val="20"/>
              </w:rPr>
            </w:pPr>
            <w:r w:rsidRPr="0039102C">
              <w:rPr>
                <w:noProof/>
                <w:color w:val="000000"/>
                <w:sz w:val="20"/>
              </w:rPr>
              <w:t>Roménia</w:t>
            </w:r>
          </w:p>
        </w:tc>
        <w:tc>
          <w:tcPr>
            <w:tcW w:w="976" w:type="pct"/>
            <w:tcMar>
              <w:left w:w="108" w:type="dxa"/>
              <w:right w:w="108" w:type="dxa"/>
            </w:tcMar>
            <w:vAlign w:val="center"/>
          </w:tcPr>
          <w:p w14:paraId="37D19339" w14:textId="77777777" w:rsidR="001E57D5" w:rsidRPr="0039102C" w:rsidRDefault="001E57D5" w:rsidP="00711452">
            <w:pPr>
              <w:pStyle w:val="CMR-text"/>
              <w:spacing w:before="0" w:after="0" w:line="240" w:lineRule="auto"/>
              <w:jc w:val="right"/>
              <w:rPr>
                <w:rFonts w:cs="Times New Roman"/>
                <w:noProof/>
                <w:sz w:val="20"/>
                <w:szCs w:val="20"/>
              </w:rPr>
            </w:pPr>
            <w:r w:rsidRPr="0039102C">
              <w:rPr>
                <w:noProof/>
                <w:color w:val="000000"/>
                <w:sz w:val="20"/>
              </w:rPr>
              <w:t>116,7</w:t>
            </w:r>
          </w:p>
        </w:tc>
        <w:tc>
          <w:tcPr>
            <w:tcW w:w="976" w:type="pct"/>
            <w:tcMar>
              <w:left w:w="108" w:type="dxa"/>
              <w:right w:w="108" w:type="dxa"/>
            </w:tcMar>
            <w:vAlign w:val="center"/>
          </w:tcPr>
          <w:p w14:paraId="7E09B331" w14:textId="5C4828DF" w:rsidR="001E57D5" w:rsidRPr="0039102C" w:rsidRDefault="001E57D5" w:rsidP="00711452">
            <w:pPr>
              <w:pStyle w:val="CMR-text"/>
              <w:spacing w:before="0" w:after="0" w:line="240" w:lineRule="auto"/>
              <w:jc w:val="right"/>
              <w:rPr>
                <w:rFonts w:cs="Times New Roman"/>
                <w:noProof/>
                <w:sz w:val="20"/>
                <w:szCs w:val="20"/>
              </w:rPr>
            </w:pPr>
            <w:r w:rsidRPr="0039102C">
              <w:rPr>
                <w:noProof/>
                <w:color w:val="000000"/>
                <w:sz w:val="20"/>
              </w:rPr>
              <w:t>31</w:t>
            </w:r>
          </w:p>
        </w:tc>
        <w:tc>
          <w:tcPr>
            <w:tcW w:w="976" w:type="pct"/>
            <w:tcMar>
              <w:left w:w="108" w:type="dxa"/>
              <w:right w:w="108" w:type="dxa"/>
            </w:tcMar>
            <w:vAlign w:val="center"/>
          </w:tcPr>
          <w:p w14:paraId="552C5590" w14:textId="77777777" w:rsidR="001E57D5" w:rsidRPr="0039102C" w:rsidRDefault="001E57D5" w:rsidP="00711452">
            <w:pPr>
              <w:pStyle w:val="CMR-text"/>
              <w:spacing w:before="0" w:after="0" w:line="240" w:lineRule="auto"/>
              <w:jc w:val="right"/>
              <w:rPr>
                <w:rFonts w:cs="Times New Roman"/>
                <w:noProof/>
                <w:sz w:val="20"/>
                <w:szCs w:val="20"/>
              </w:rPr>
            </w:pPr>
            <w:r w:rsidRPr="0039102C">
              <w:rPr>
                <w:noProof/>
                <w:color w:val="000000"/>
                <w:sz w:val="20"/>
              </w:rPr>
              <w:t>571,8</w:t>
            </w:r>
          </w:p>
        </w:tc>
        <w:tc>
          <w:tcPr>
            <w:tcW w:w="978" w:type="pct"/>
            <w:tcMar>
              <w:left w:w="108" w:type="dxa"/>
              <w:right w:w="108" w:type="dxa"/>
            </w:tcMar>
            <w:vAlign w:val="center"/>
          </w:tcPr>
          <w:p w14:paraId="20DB4B68" w14:textId="77777777" w:rsidR="001E57D5" w:rsidRPr="0039102C" w:rsidRDefault="001E57D5" w:rsidP="00711452">
            <w:pPr>
              <w:pStyle w:val="CMR-text"/>
              <w:spacing w:before="0" w:after="0" w:line="240" w:lineRule="auto"/>
              <w:jc w:val="right"/>
              <w:rPr>
                <w:rFonts w:cs="Times New Roman"/>
                <w:noProof/>
                <w:sz w:val="20"/>
                <w:szCs w:val="20"/>
              </w:rPr>
            </w:pPr>
            <w:r w:rsidRPr="0039102C">
              <w:rPr>
                <w:noProof/>
                <w:color w:val="000000"/>
                <w:sz w:val="20"/>
              </w:rPr>
              <w:t>20,4 %</w:t>
            </w:r>
          </w:p>
        </w:tc>
      </w:tr>
      <w:tr w:rsidR="008B4F92" w:rsidRPr="0039102C" w14:paraId="62CAEE73" w14:textId="77777777" w:rsidTr="00EB1066">
        <w:trPr>
          <w:trHeight w:val="340"/>
        </w:trPr>
        <w:tc>
          <w:tcPr>
            <w:tcW w:w="1094" w:type="pct"/>
            <w:shd w:val="clear" w:color="auto" w:fill="D9E2F3" w:themeFill="accent1" w:themeFillTint="33"/>
            <w:tcMar>
              <w:left w:w="108" w:type="dxa"/>
              <w:right w:w="108" w:type="dxa"/>
            </w:tcMar>
            <w:vAlign w:val="center"/>
          </w:tcPr>
          <w:p w14:paraId="52CDCEF6" w14:textId="77777777" w:rsidR="001E57D5" w:rsidRPr="0039102C" w:rsidRDefault="001E57D5" w:rsidP="00854C42">
            <w:pPr>
              <w:pStyle w:val="CMR-text"/>
              <w:spacing w:before="0" w:after="0" w:line="240" w:lineRule="auto"/>
              <w:rPr>
                <w:rFonts w:cs="Times New Roman"/>
                <w:noProof/>
                <w:sz w:val="20"/>
                <w:szCs w:val="20"/>
              </w:rPr>
            </w:pPr>
            <w:r w:rsidRPr="0039102C">
              <w:rPr>
                <w:noProof/>
                <w:color w:val="000000"/>
                <w:sz w:val="20"/>
              </w:rPr>
              <w:t>Eslováquia</w:t>
            </w:r>
          </w:p>
        </w:tc>
        <w:tc>
          <w:tcPr>
            <w:tcW w:w="976" w:type="pct"/>
            <w:shd w:val="clear" w:color="auto" w:fill="D9E2F3" w:themeFill="accent1" w:themeFillTint="33"/>
            <w:tcMar>
              <w:left w:w="108" w:type="dxa"/>
              <w:right w:w="108" w:type="dxa"/>
            </w:tcMar>
            <w:vAlign w:val="center"/>
          </w:tcPr>
          <w:p w14:paraId="3C899539" w14:textId="77777777" w:rsidR="001E57D5" w:rsidRPr="0039102C" w:rsidRDefault="001E57D5" w:rsidP="00711452">
            <w:pPr>
              <w:pStyle w:val="CMR-text"/>
              <w:spacing w:before="0" w:after="0" w:line="240" w:lineRule="auto"/>
              <w:jc w:val="right"/>
              <w:rPr>
                <w:rFonts w:cs="Times New Roman"/>
                <w:noProof/>
                <w:sz w:val="20"/>
                <w:szCs w:val="20"/>
              </w:rPr>
            </w:pPr>
            <w:r w:rsidRPr="0039102C">
              <w:rPr>
                <w:noProof/>
                <w:color w:val="000000"/>
                <w:sz w:val="20"/>
              </w:rPr>
              <w:t>58,3</w:t>
            </w:r>
          </w:p>
        </w:tc>
        <w:tc>
          <w:tcPr>
            <w:tcW w:w="976" w:type="pct"/>
            <w:shd w:val="clear" w:color="auto" w:fill="D9E2F3" w:themeFill="accent1" w:themeFillTint="33"/>
            <w:tcMar>
              <w:left w:w="108" w:type="dxa"/>
              <w:right w:w="108" w:type="dxa"/>
            </w:tcMar>
            <w:vAlign w:val="center"/>
          </w:tcPr>
          <w:p w14:paraId="052E8E17" w14:textId="5754E38E" w:rsidR="001E57D5" w:rsidRPr="0039102C" w:rsidRDefault="001E57D5" w:rsidP="00711452">
            <w:pPr>
              <w:pStyle w:val="CMR-text"/>
              <w:spacing w:before="0" w:after="0" w:line="240" w:lineRule="auto"/>
              <w:jc w:val="right"/>
              <w:rPr>
                <w:rFonts w:cs="Times New Roman"/>
                <w:noProof/>
                <w:sz w:val="20"/>
                <w:szCs w:val="20"/>
              </w:rPr>
            </w:pPr>
            <w:r w:rsidRPr="0039102C">
              <w:rPr>
                <w:noProof/>
                <w:color w:val="000000"/>
                <w:sz w:val="20"/>
              </w:rPr>
              <w:t>9</w:t>
            </w:r>
          </w:p>
        </w:tc>
        <w:tc>
          <w:tcPr>
            <w:tcW w:w="976" w:type="pct"/>
            <w:shd w:val="clear" w:color="auto" w:fill="D9E2F3" w:themeFill="accent1" w:themeFillTint="33"/>
            <w:tcMar>
              <w:left w:w="108" w:type="dxa"/>
              <w:right w:w="108" w:type="dxa"/>
            </w:tcMar>
            <w:vAlign w:val="center"/>
          </w:tcPr>
          <w:p w14:paraId="660DCEC9" w14:textId="77777777" w:rsidR="001E57D5" w:rsidRPr="0039102C" w:rsidRDefault="001E57D5" w:rsidP="00711452">
            <w:pPr>
              <w:pStyle w:val="CMR-text"/>
              <w:spacing w:before="0" w:after="0" w:line="240" w:lineRule="auto"/>
              <w:jc w:val="right"/>
              <w:rPr>
                <w:rFonts w:cs="Times New Roman"/>
                <w:noProof/>
                <w:sz w:val="20"/>
                <w:szCs w:val="20"/>
              </w:rPr>
            </w:pPr>
            <w:r w:rsidRPr="0039102C">
              <w:rPr>
                <w:noProof/>
                <w:color w:val="000000"/>
                <w:sz w:val="20"/>
              </w:rPr>
              <w:t>377,5</w:t>
            </w:r>
          </w:p>
        </w:tc>
        <w:tc>
          <w:tcPr>
            <w:tcW w:w="978" w:type="pct"/>
            <w:shd w:val="clear" w:color="auto" w:fill="D9E2F3" w:themeFill="accent1" w:themeFillTint="33"/>
            <w:tcMar>
              <w:left w:w="108" w:type="dxa"/>
              <w:right w:w="108" w:type="dxa"/>
            </w:tcMar>
            <w:vAlign w:val="center"/>
          </w:tcPr>
          <w:p w14:paraId="3AC2EB55" w14:textId="77777777" w:rsidR="001E57D5" w:rsidRPr="0039102C" w:rsidRDefault="001E57D5" w:rsidP="00711452">
            <w:pPr>
              <w:pStyle w:val="CMR-text"/>
              <w:spacing w:before="0" w:after="0" w:line="240" w:lineRule="auto"/>
              <w:jc w:val="right"/>
              <w:rPr>
                <w:rFonts w:cs="Times New Roman"/>
                <w:noProof/>
                <w:sz w:val="20"/>
                <w:szCs w:val="20"/>
              </w:rPr>
            </w:pPr>
            <w:r w:rsidRPr="0039102C">
              <w:rPr>
                <w:noProof/>
                <w:color w:val="000000"/>
                <w:sz w:val="20"/>
              </w:rPr>
              <w:t>15,4 %</w:t>
            </w:r>
          </w:p>
        </w:tc>
      </w:tr>
      <w:tr w:rsidR="001E57D5" w:rsidRPr="0039102C" w14:paraId="5F05B83B" w14:textId="77777777" w:rsidTr="00EB1066">
        <w:trPr>
          <w:trHeight w:val="340"/>
        </w:trPr>
        <w:tc>
          <w:tcPr>
            <w:tcW w:w="1094" w:type="pct"/>
            <w:tcMar>
              <w:left w:w="108" w:type="dxa"/>
              <w:right w:w="108" w:type="dxa"/>
            </w:tcMar>
            <w:vAlign w:val="center"/>
          </w:tcPr>
          <w:p w14:paraId="1E2A9210" w14:textId="77777777" w:rsidR="001E57D5" w:rsidRPr="0039102C" w:rsidRDefault="001E57D5" w:rsidP="00854C42">
            <w:pPr>
              <w:pStyle w:val="CMR-text"/>
              <w:spacing w:before="0" w:after="0" w:line="240" w:lineRule="auto"/>
              <w:rPr>
                <w:rFonts w:cs="Times New Roman"/>
                <w:noProof/>
                <w:sz w:val="20"/>
                <w:szCs w:val="20"/>
              </w:rPr>
            </w:pPr>
            <w:r w:rsidRPr="0039102C">
              <w:rPr>
                <w:noProof/>
                <w:color w:val="000000"/>
                <w:sz w:val="20"/>
              </w:rPr>
              <w:t>Eslovénia</w:t>
            </w:r>
          </w:p>
        </w:tc>
        <w:tc>
          <w:tcPr>
            <w:tcW w:w="976" w:type="pct"/>
            <w:tcMar>
              <w:left w:w="108" w:type="dxa"/>
              <w:right w:w="108" w:type="dxa"/>
            </w:tcMar>
            <w:vAlign w:val="center"/>
          </w:tcPr>
          <w:p w14:paraId="623232F2" w14:textId="77777777" w:rsidR="001E57D5" w:rsidRPr="0039102C" w:rsidRDefault="001E57D5" w:rsidP="00711452">
            <w:pPr>
              <w:pStyle w:val="CMR-text"/>
              <w:spacing w:before="0" w:after="0" w:line="240" w:lineRule="auto"/>
              <w:jc w:val="right"/>
              <w:rPr>
                <w:rFonts w:cs="Times New Roman"/>
                <w:noProof/>
                <w:sz w:val="20"/>
                <w:szCs w:val="20"/>
              </w:rPr>
            </w:pPr>
            <w:r w:rsidRPr="0039102C">
              <w:rPr>
                <w:noProof/>
                <w:color w:val="000000"/>
                <w:sz w:val="20"/>
              </w:rPr>
              <w:t>25,4</w:t>
            </w:r>
          </w:p>
        </w:tc>
        <w:tc>
          <w:tcPr>
            <w:tcW w:w="976" w:type="pct"/>
            <w:tcMar>
              <w:left w:w="108" w:type="dxa"/>
              <w:right w:w="108" w:type="dxa"/>
            </w:tcMar>
            <w:vAlign w:val="center"/>
          </w:tcPr>
          <w:p w14:paraId="3AD96487" w14:textId="6EAA91AE" w:rsidR="001E57D5" w:rsidRPr="0039102C" w:rsidRDefault="001E57D5" w:rsidP="00711452">
            <w:pPr>
              <w:pStyle w:val="CMR-text"/>
              <w:spacing w:before="0" w:after="0" w:line="240" w:lineRule="auto"/>
              <w:jc w:val="right"/>
              <w:rPr>
                <w:rFonts w:cs="Times New Roman"/>
                <w:noProof/>
                <w:sz w:val="20"/>
                <w:szCs w:val="20"/>
              </w:rPr>
            </w:pPr>
            <w:r w:rsidRPr="0039102C">
              <w:rPr>
                <w:noProof/>
                <w:color w:val="000000"/>
                <w:sz w:val="20"/>
              </w:rPr>
              <w:t>16</w:t>
            </w:r>
          </w:p>
        </w:tc>
        <w:tc>
          <w:tcPr>
            <w:tcW w:w="976" w:type="pct"/>
            <w:tcMar>
              <w:left w:w="108" w:type="dxa"/>
              <w:right w:w="108" w:type="dxa"/>
            </w:tcMar>
            <w:vAlign w:val="center"/>
          </w:tcPr>
          <w:p w14:paraId="40F25720" w14:textId="77777777" w:rsidR="001E57D5" w:rsidRPr="0039102C" w:rsidRDefault="001E57D5" w:rsidP="00711452">
            <w:pPr>
              <w:pStyle w:val="CMR-text"/>
              <w:spacing w:before="0" w:after="0" w:line="240" w:lineRule="auto"/>
              <w:jc w:val="right"/>
              <w:rPr>
                <w:rFonts w:cs="Times New Roman"/>
                <w:noProof/>
                <w:sz w:val="20"/>
                <w:szCs w:val="20"/>
              </w:rPr>
            </w:pPr>
            <w:r w:rsidRPr="0039102C">
              <w:rPr>
                <w:noProof/>
                <w:color w:val="000000"/>
                <w:sz w:val="20"/>
              </w:rPr>
              <w:t>186,5</w:t>
            </w:r>
          </w:p>
        </w:tc>
        <w:tc>
          <w:tcPr>
            <w:tcW w:w="978" w:type="pct"/>
            <w:tcMar>
              <w:left w:w="108" w:type="dxa"/>
              <w:right w:w="108" w:type="dxa"/>
            </w:tcMar>
            <w:vAlign w:val="center"/>
          </w:tcPr>
          <w:p w14:paraId="2C05366D" w14:textId="77777777" w:rsidR="001E57D5" w:rsidRPr="0039102C" w:rsidRDefault="001E57D5" w:rsidP="00711452">
            <w:pPr>
              <w:pStyle w:val="CMR-text"/>
              <w:spacing w:before="0" w:after="0" w:line="240" w:lineRule="auto"/>
              <w:jc w:val="right"/>
              <w:rPr>
                <w:rFonts w:cs="Times New Roman"/>
                <w:noProof/>
                <w:sz w:val="20"/>
                <w:szCs w:val="20"/>
              </w:rPr>
            </w:pPr>
            <w:r w:rsidRPr="0039102C">
              <w:rPr>
                <w:noProof/>
                <w:color w:val="000000"/>
                <w:sz w:val="20"/>
              </w:rPr>
              <w:t>13,6 %</w:t>
            </w:r>
          </w:p>
        </w:tc>
      </w:tr>
      <w:tr w:rsidR="008B4F92" w:rsidRPr="0039102C" w14:paraId="1C274CE1" w14:textId="77777777" w:rsidTr="00EB1066">
        <w:trPr>
          <w:trHeight w:val="340"/>
        </w:trPr>
        <w:tc>
          <w:tcPr>
            <w:tcW w:w="1094" w:type="pct"/>
            <w:shd w:val="clear" w:color="auto" w:fill="D9E2F3" w:themeFill="accent1" w:themeFillTint="33"/>
            <w:tcMar>
              <w:left w:w="108" w:type="dxa"/>
              <w:right w:w="108" w:type="dxa"/>
            </w:tcMar>
            <w:vAlign w:val="center"/>
          </w:tcPr>
          <w:p w14:paraId="797997F5" w14:textId="77777777" w:rsidR="001E57D5" w:rsidRPr="0039102C" w:rsidRDefault="001E57D5" w:rsidP="00854C42">
            <w:pPr>
              <w:pStyle w:val="CMR-text"/>
              <w:spacing w:before="0" w:after="0" w:line="240" w:lineRule="auto"/>
              <w:rPr>
                <w:rFonts w:cs="Times New Roman"/>
                <w:noProof/>
                <w:sz w:val="20"/>
                <w:szCs w:val="20"/>
              </w:rPr>
            </w:pPr>
            <w:r w:rsidRPr="0039102C">
              <w:rPr>
                <w:noProof/>
                <w:color w:val="000000"/>
                <w:sz w:val="20"/>
              </w:rPr>
              <w:t>Espanha</w:t>
            </w:r>
          </w:p>
        </w:tc>
        <w:tc>
          <w:tcPr>
            <w:tcW w:w="976" w:type="pct"/>
            <w:shd w:val="clear" w:color="auto" w:fill="D9E2F3" w:themeFill="accent1" w:themeFillTint="33"/>
            <w:tcMar>
              <w:left w:w="108" w:type="dxa"/>
              <w:right w:w="108" w:type="dxa"/>
            </w:tcMar>
            <w:vAlign w:val="center"/>
          </w:tcPr>
          <w:p w14:paraId="48C77AC1" w14:textId="77777777" w:rsidR="001E57D5" w:rsidRPr="0039102C" w:rsidRDefault="001E57D5" w:rsidP="00711452">
            <w:pPr>
              <w:pStyle w:val="CMR-text"/>
              <w:spacing w:before="0" w:after="0" w:line="240" w:lineRule="auto"/>
              <w:jc w:val="right"/>
              <w:rPr>
                <w:rFonts w:cs="Times New Roman"/>
                <w:noProof/>
                <w:sz w:val="20"/>
                <w:szCs w:val="20"/>
              </w:rPr>
            </w:pPr>
            <w:r w:rsidRPr="0039102C">
              <w:rPr>
                <w:noProof/>
                <w:color w:val="000000"/>
                <w:sz w:val="20"/>
              </w:rPr>
              <w:t>282,8</w:t>
            </w:r>
          </w:p>
        </w:tc>
        <w:tc>
          <w:tcPr>
            <w:tcW w:w="976" w:type="pct"/>
            <w:shd w:val="clear" w:color="auto" w:fill="D9E2F3" w:themeFill="accent1" w:themeFillTint="33"/>
            <w:tcMar>
              <w:left w:w="108" w:type="dxa"/>
              <w:right w:w="108" w:type="dxa"/>
            </w:tcMar>
            <w:vAlign w:val="center"/>
          </w:tcPr>
          <w:p w14:paraId="27BD158E" w14:textId="20A3AAE9" w:rsidR="001E57D5" w:rsidRPr="0039102C" w:rsidRDefault="001E57D5" w:rsidP="00711452">
            <w:pPr>
              <w:pStyle w:val="CMR-text"/>
              <w:spacing w:before="0" w:after="0" w:line="240" w:lineRule="auto"/>
              <w:jc w:val="right"/>
              <w:rPr>
                <w:rFonts w:cs="Times New Roman"/>
                <w:noProof/>
                <w:sz w:val="20"/>
                <w:szCs w:val="20"/>
              </w:rPr>
            </w:pPr>
            <w:r w:rsidRPr="0039102C">
              <w:rPr>
                <w:noProof/>
                <w:color w:val="000000"/>
                <w:sz w:val="20"/>
              </w:rPr>
              <w:t>191</w:t>
            </w:r>
          </w:p>
        </w:tc>
        <w:tc>
          <w:tcPr>
            <w:tcW w:w="976" w:type="pct"/>
            <w:shd w:val="clear" w:color="auto" w:fill="D9E2F3" w:themeFill="accent1" w:themeFillTint="33"/>
            <w:tcMar>
              <w:left w:w="108" w:type="dxa"/>
              <w:right w:w="108" w:type="dxa"/>
            </w:tcMar>
            <w:vAlign w:val="center"/>
          </w:tcPr>
          <w:p w14:paraId="1BF0C174" w14:textId="77777777" w:rsidR="001E57D5" w:rsidRPr="0039102C" w:rsidRDefault="001E57D5" w:rsidP="00711452">
            <w:pPr>
              <w:pStyle w:val="CMR-text"/>
              <w:spacing w:before="0" w:after="0" w:line="240" w:lineRule="auto"/>
              <w:jc w:val="right"/>
              <w:rPr>
                <w:rFonts w:cs="Times New Roman"/>
                <w:noProof/>
                <w:sz w:val="20"/>
                <w:szCs w:val="20"/>
              </w:rPr>
            </w:pPr>
            <w:r w:rsidRPr="0039102C">
              <w:rPr>
                <w:noProof/>
                <w:color w:val="000000"/>
                <w:sz w:val="20"/>
              </w:rPr>
              <w:t>3514,0</w:t>
            </w:r>
          </w:p>
        </w:tc>
        <w:tc>
          <w:tcPr>
            <w:tcW w:w="978" w:type="pct"/>
            <w:shd w:val="clear" w:color="auto" w:fill="D9E2F3" w:themeFill="accent1" w:themeFillTint="33"/>
            <w:tcMar>
              <w:left w:w="108" w:type="dxa"/>
              <w:right w:w="108" w:type="dxa"/>
            </w:tcMar>
            <w:vAlign w:val="center"/>
          </w:tcPr>
          <w:p w14:paraId="7E3A42F2" w14:textId="77777777" w:rsidR="001E57D5" w:rsidRPr="0039102C" w:rsidRDefault="001E57D5" w:rsidP="00711452">
            <w:pPr>
              <w:pStyle w:val="CMR-text"/>
              <w:spacing w:before="0" w:after="0" w:line="240" w:lineRule="auto"/>
              <w:jc w:val="right"/>
              <w:rPr>
                <w:rFonts w:cs="Times New Roman"/>
                <w:noProof/>
                <w:sz w:val="20"/>
                <w:szCs w:val="20"/>
              </w:rPr>
            </w:pPr>
            <w:r w:rsidRPr="0039102C">
              <w:rPr>
                <w:noProof/>
                <w:color w:val="000000"/>
                <w:sz w:val="20"/>
              </w:rPr>
              <w:t>8,0 %</w:t>
            </w:r>
          </w:p>
        </w:tc>
      </w:tr>
    </w:tbl>
    <w:p w14:paraId="2D13BDF6" w14:textId="4250E84A" w:rsidR="002F4398" w:rsidRPr="0039102C" w:rsidRDefault="62080A7E" w:rsidP="002F4398">
      <w:pPr>
        <w:pStyle w:val="CMR-text"/>
        <w:rPr>
          <w:rFonts w:cs="Times New Roman"/>
          <w:noProof/>
        </w:rPr>
      </w:pPr>
      <w:r w:rsidRPr="0039102C">
        <w:rPr>
          <w:noProof/>
        </w:rPr>
        <w:t>O aumento dos auxílios totais deve-se principalmente ao aumento dos preços das licenças de emissão. Os auxílios num determinado ano baseiam-se no preço a prazo das licenças de emissão no ano anterior. Por conseguinte, os auxílios desembolsados em 2024 para compensar os custos incorridos em 2023 basearam-se no preço médio a prazo de 2022. Este preço foi de 83,59 EUR, o que representa um aumento de cerca de 50 % em comparação com o ano anterior</w:t>
      </w:r>
      <w:r w:rsidR="002F4398" w:rsidRPr="0039102C">
        <w:rPr>
          <w:rStyle w:val="FootnoteReference"/>
          <w:rFonts w:eastAsia="Times New Roman" w:cs="Times New Roman"/>
          <w:noProof/>
        </w:rPr>
        <w:footnoteReference w:id="60"/>
      </w:r>
      <w:r w:rsidRPr="0039102C">
        <w:rPr>
          <w:noProof/>
        </w:rPr>
        <w:t>. O total dos pagamentos de auxílios não aumenta automaticamente na mesma proporção que o preço das licenças de emissão, uma vez que os regimes de compensação dos Estados-Membros dispõem frequentemente de um orçamento máximo calculado para todo o período de aplicação (na maioria dos casos, 2021-2030).</w:t>
      </w:r>
    </w:p>
    <w:p w14:paraId="04815CBD" w14:textId="34EC3786" w:rsidR="002F4398" w:rsidRPr="0039102C" w:rsidRDefault="00E84E0D" w:rsidP="002F4398">
      <w:pPr>
        <w:pStyle w:val="CMR-text"/>
        <w:rPr>
          <w:rFonts w:cs="Times New Roman"/>
          <w:noProof/>
        </w:rPr>
      </w:pPr>
      <w:r w:rsidRPr="0039102C">
        <w:rPr>
          <w:noProof/>
        </w:rPr>
        <w:t>Os pagamentos de auxílios para compensação dos custos indiretos também aumentaram em 2024, quando expressos em percentagem das receitas dos leilões nacionais. O montante pago foi equivalente a 19 % das receitas dos leilões de 2023 cobradas pelos Estados-Membros participantes, em comparação com 16 % em 2022. Por conseguinte, esta percentagem aumentou, mas mais lentamente do que o preço das licenças de emissão e o montante absoluto da compensação paga. Tal deve-se principalmente ao facto de i) o efeito do aumento dos preços das licenças de emissão ser parcialmente contrabalançado pela diminuição do volume absoluto de licenças de emissão leiloadas e ii) os orçamentos atribuídos a cada regime nacional poderem limitar a compensação total.</w:t>
      </w:r>
    </w:p>
    <w:p w14:paraId="2ABD1D18" w14:textId="651AE4F2" w:rsidR="001E57D5" w:rsidRPr="0039102C" w:rsidRDefault="001E57D5" w:rsidP="00854C42">
      <w:pPr>
        <w:pStyle w:val="CMR-text"/>
        <w:rPr>
          <w:rFonts w:cs="Times New Roman"/>
          <w:noProof/>
        </w:rPr>
      </w:pPr>
      <w:r w:rsidRPr="0039102C">
        <w:rPr>
          <w:noProof/>
        </w:rPr>
        <w:t>Os Estados-Membros que despenderem mais de 25 % das receitas dos seus leilões em custos indiretos num dado ano são obrigados a publicar um relatório em que expliquem por que ultrapassaram este limiar. Em 2023, a maioria dos Estados-Membros manteve-se muito abaixo deste nível, embora cinco Estados-Membros tenham despendido mais. Segue-se um resumo das justificações apresentadas por estes Estados-Membros.</w:t>
      </w:r>
    </w:p>
    <w:p w14:paraId="4A45A315" w14:textId="53CE0CE0" w:rsidR="001E57D5" w:rsidRPr="0039102C" w:rsidRDefault="00C77E56" w:rsidP="00854C42">
      <w:pPr>
        <w:pStyle w:val="CMR-text"/>
        <w:rPr>
          <w:rFonts w:cs="Times New Roman"/>
          <w:noProof/>
        </w:rPr>
      </w:pPr>
      <w:r w:rsidRPr="0039102C">
        <w:rPr>
          <w:noProof/>
        </w:rPr>
        <w:t>Os pagamentos de auxílios pela Bélgica, pela França e pelo Luxemburgo excederam este limiar durante a maior parte dos últimos cinco anos. À semelhança de anos anteriores, a elevada percentagem de receitas dos leilões pagas na Bélgica e na França foi atribuída às elevadas quotas nacionais de produção de eletricidade hipocarbónica, que conduziram a receitas dos leilões relativamente baixas em comparação com as respetivas quotas de indústrias eletrointensivas.</w:t>
      </w:r>
    </w:p>
    <w:p w14:paraId="2F4B5805" w14:textId="22D0DBF9" w:rsidR="006A278C" w:rsidRPr="0039102C" w:rsidRDefault="3F599D0F" w:rsidP="006A278C">
      <w:pPr>
        <w:pStyle w:val="CMR-text"/>
        <w:rPr>
          <w:rFonts w:cs="Times New Roman"/>
          <w:noProof/>
        </w:rPr>
      </w:pPr>
      <w:r w:rsidRPr="0039102C">
        <w:rPr>
          <w:noProof/>
        </w:rPr>
        <w:t>No caso do Luxemburgo, as despesas continuaram a ser muito superiores às receitas totais das vendas em leilão. A razão prende-se, em parte, com a sua utilização de licenças de emissão do CELE para compensar as emissões nos setores abrangidos pelo Regulamento Partilha de Esforços</w:t>
      </w:r>
      <w:r w:rsidR="00E3484A" w:rsidRPr="0039102C">
        <w:rPr>
          <w:rStyle w:val="FootnoteReference"/>
          <w:rFonts w:cs="Times New Roman"/>
          <w:noProof/>
        </w:rPr>
        <w:footnoteReference w:id="61"/>
      </w:r>
      <w:r w:rsidRPr="0039102C">
        <w:rPr>
          <w:noProof/>
        </w:rPr>
        <w:t xml:space="preserve">. Esta prática é designada por «flexibilidade RPE» (ver ponto </w:t>
      </w:r>
      <w:r w:rsidR="006A278C" w:rsidRPr="0039102C">
        <w:rPr>
          <w:rFonts w:cs="Times New Roman"/>
          <w:noProof/>
        </w:rPr>
        <w:fldChar w:fldCharType="begin"/>
      </w:r>
      <w:r w:rsidR="006A278C" w:rsidRPr="0039102C">
        <w:rPr>
          <w:rFonts w:cs="Times New Roman"/>
          <w:noProof/>
        </w:rPr>
        <w:instrText xml:space="preserve"> REF _Ref206606635 \r \h </w:instrText>
      </w:r>
      <w:r w:rsidR="00F00D70" w:rsidRPr="0039102C">
        <w:rPr>
          <w:rFonts w:cs="Times New Roman"/>
          <w:noProof/>
        </w:rPr>
        <w:instrText xml:space="preserve"> \* MERGEFORMAT </w:instrText>
      </w:r>
      <w:r w:rsidR="006A278C" w:rsidRPr="0039102C">
        <w:rPr>
          <w:rFonts w:cs="Times New Roman"/>
          <w:noProof/>
        </w:rPr>
      </w:r>
      <w:r w:rsidR="006A278C" w:rsidRPr="0039102C">
        <w:rPr>
          <w:rFonts w:cs="Times New Roman"/>
          <w:noProof/>
        </w:rPr>
        <w:fldChar w:fldCharType="separate"/>
      </w:r>
      <w:r w:rsidR="09E0CE3D" w:rsidRPr="0039102C">
        <w:rPr>
          <w:rFonts w:cs="Times New Roman"/>
          <w:noProof/>
        </w:rPr>
        <w:t>4.2</w:t>
      </w:r>
      <w:r w:rsidR="006A278C" w:rsidRPr="0039102C">
        <w:rPr>
          <w:rFonts w:cs="Times New Roman"/>
          <w:noProof/>
        </w:rPr>
        <w:fldChar w:fldCharType="end"/>
      </w:r>
      <w:r w:rsidRPr="0039102C">
        <w:rPr>
          <w:noProof/>
        </w:rPr>
        <w:t>).</w:t>
      </w:r>
    </w:p>
    <w:p w14:paraId="2FEC9A22" w14:textId="419396D4" w:rsidR="001E57D5" w:rsidRPr="0039102C" w:rsidRDefault="14E8BFD2" w:rsidP="00854C42">
      <w:pPr>
        <w:pStyle w:val="CMR-text"/>
        <w:rPr>
          <w:rFonts w:cs="Times New Roman"/>
          <w:noProof/>
        </w:rPr>
      </w:pPr>
      <w:r w:rsidRPr="0039102C">
        <w:rPr>
          <w:noProof/>
        </w:rPr>
        <w:t>Na Finlândia e na Alemanha, a percentagem das receitas também aumentou para mais de 25 %. Em todos os casos, as autoridades atribuíram esta situação ao aumento dos preços das licenças de emissão que são utilizados como base para a compensação. A análise histórica por parte da autoridade alemã responsável pelo comércio de licenças de emissão revelou que o limiar de 25 % foi excedido quatro vezes desde 2013 e identificou os preços elevados das licenças de emissão como o principal impulsionador nestes casos</w:t>
      </w:r>
      <w:r w:rsidR="007A720D" w:rsidRPr="0039102C">
        <w:rPr>
          <w:rStyle w:val="FootnoteReference"/>
          <w:rFonts w:cs="Times New Roman"/>
          <w:noProof/>
        </w:rPr>
        <w:footnoteReference w:id="62"/>
      </w:r>
      <w:r w:rsidRPr="0039102C">
        <w:rPr>
          <w:noProof/>
        </w:rPr>
        <w:t>.</w:t>
      </w:r>
    </w:p>
    <w:p w14:paraId="191EF956" w14:textId="560E25C5" w:rsidR="00613B80" w:rsidRPr="0039102C" w:rsidRDefault="00613B80" w:rsidP="00EC4FC3">
      <w:pPr>
        <w:pStyle w:val="CMR-Subheading"/>
        <w:rPr>
          <w:noProof/>
        </w:rPr>
      </w:pPr>
      <w:bookmarkStart w:id="60" w:name="_Toc180513405"/>
      <w:bookmarkStart w:id="61" w:name="_Toc218529293"/>
      <w:r w:rsidRPr="0039102C">
        <w:rPr>
          <w:noProof/>
        </w:rPr>
        <w:t>Fundo de Inovação do CELE</w:t>
      </w:r>
      <w:bookmarkEnd w:id="60"/>
      <w:bookmarkEnd w:id="61"/>
    </w:p>
    <w:p w14:paraId="7AC6640E" w14:textId="77CBDFD6" w:rsidR="00B66305" w:rsidRPr="0039102C" w:rsidRDefault="75E7290C" w:rsidP="00B66305">
      <w:pPr>
        <w:pStyle w:val="CMR-text"/>
        <w:rPr>
          <w:rFonts w:cs="Times New Roman"/>
          <w:noProof/>
        </w:rPr>
      </w:pPr>
      <w:r w:rsidRPr="0039102C">
        <w:rPr>
          <w:noProof/>
        </w:rPr>
        <w:t>O Fundo de Inovação é um dos maiores programas de financiamento do mundo para a implantação de soluções e tecnologias inovadoras com emissões baixas ou nulas de carbono nos domínios da indústria, da energia, da mobilidade e dos edifícios de impacto zero, sendo inteiramente financiado pelo CELE. O Fundo concede subvenções a projetos que visem a comercialização de tecnologias hipocarbónicas inovadoras e a introdução no mercado soluções industriais para descarbonizar a Europa e apoiar a transição para a neutralidade climática. Com um orçamento total disponível estimado em 40 mil milhões de EUR (com base num preço do carbono de 75 EUR/tCO2), o Fundo de Inovação lançou onze convites à apresentação de propostas desde 2020, incluindo dois convites para leilões no âmbito do Banco Europeu do Hidrogénio.</w:t>
      </w:r>
    </w:p>
    <w:p w14:paraId="277D1AB3" w14:textId="1EA64BC5" w:rsidR="00FD4030" w:rsidRPr="0039102C" w:rsidRDefault="5EFE6CE4" w:rsidP="00BF11CB">
      <w:pPr>
        <w:pStyle w:val="CMR-text"/>
        <w:rPr>
          <w:rFonts w:cs="Times New Roman"/>
          <w:noProof/>
        </w:rPr>
      </w:pPr>
      <w:r w:rsidRPr="0039102C">
        <w:rPr>
          <w:noProof/>
        </w:rPr>
        <w:t>A Comissão apresenta separadamente relatórios mais pormenorizados sobre a execução do Fundo de Inovação. O terceiro relatório intercalar sobre a execução do Fundo de Inovação está previsto para o quarto trimestre de 2024</w:t>
      </w:r>
      <w:r w:rsidR="00FD4030" w:rsidRPr="0039102C">
        <w:rPr>
          <w:rStyle w:val="FootnoteReference"/>
          <w:rFonts w:cs="Times New Roman"/>
          <w:noProof/>
        </w:rPr>
        <w:footnoteReference w:id="63"/>
      </w:r>
      <w:r w:rsidRPr="0039102C">
        <w:rPr>
          <w:noProof/>
        </w:rPr>
        <w:t>.</w:t>
      </w:r>
    </w:p>
    <w:p w14:paraId="20948735" w14:textId="63571CCF" w:rsidR="00D8362F" w:rsidRPr="0039102C" w:rsidRDefault="749D949E" w:rsidP="00487C69">
      <w:pPr>
        <w:pStyle w:val="CMR-text"/>
        <w:rPr>
          <w:rFonts w:cs="Times New Roman"/>
          <w:noProof/>
        </w:rPr>
      </w:pPr>
      <w:r w:rsidRPr="0039102C">
        <w:rPr>
          <w:noProof/>
        </w:rPr>
        <w:t>Na ronda de convites à apresentação de propostas de 2023, que terminou em fevereiro de 2024 (leilão) e abril de 2024 (tecnologias de impacto zero), 83 projetos aderiram à carteira do Fundo, representando 4,9 mil milhões de EUR em apoio à descarbonização nas indústrias com utilização intensiva de energia, à produção de hidrogénio, à geração de energias renováveis, ao setor da mobilidade (incluindo o transporte marítimo e aéreo) e ao fabrico de tecnologias essenciais de impacto zero. O apoio está repartido por 18 países da UE e do EEE, incluindo projetos assinados pela primeira vez na Estónia e na Eslováquia. Prevê-se que estes projetos resultem na redução de 408 milhões de toneladas de equivalente CO</w:t>
      </w:r>
      <w:r w:rsidRPr="0039102C">
        <w:rPr>
          <w:noProof/>
          <w:vertAlign w:val="subscript"/>
        </w:rPr>
        <w:t>2</w:t>
      </w:r>
      <w:r w:rsidRPr="0039102C">
        <w:rPr>
          <w:noProof/>
        </w:rPr>
        <w:t xml:space="preserve"> nos seus primeiros 10 anos de funcionamento.</w:t>
      </w:r>
    </w:p>
    <w:p w14:paraId="0C7E0565" w14:textId="15731F92" w:rsidR="00912C5A" w:rsidRPr="0039102C" w:rsidRDefault="00100D98" w:rsidP="00487C69">
      <w:pPr>
        <w:pStyle w:val="CMR-text"/>
        <w:rPr>
          <w:rFonts w:cs="Times New Roman"/>
          <w:noProof/>
          <w:highlight w:val="yellow"/>
        </w:rPr>
      </w:pPr>
      <w:r w:rsidRPr="0039102C">
        <w:rPr>
          <w:noProof/>
        </w:rPr>
        <w:t>Em 2023, foi realizado pela primeira vez um leilão para a produção de hidrogénio renovável (RFNBO) no âmbito do Banco Europeu do Hidrogénio. Foram selecionados seis projetos, com um apoio de 694 milhões de EUR, para produzir 1,52 milhões de toneladas de hidrogénio renovável nos seus primeiros 10 anos de funcionamento. Este procedimento de concurso competitivo assegurou um apoio eficaz em termos de custos ao fornecimento de hidrogénio verde aos setores da agricultura, dos transportes marítimos e dos transportes pesados, bem como à produção de metano e metanol sintéticos. Foi utilizada a funcionalidade «leilões como serviço», tendo a Alemanha contribuído com 350 milhões de EUR para uma vertente de financiamento nacional.</w:t>
      </w:r>
    </w:p>
    <w:p w14:paraId="42C32C8B" w14:textId="351A1767" w:rsidR="00F75FC9" w:rsidRPr="0039102C" w:rsidRDefault="00F75FC9" w:rsidP="00487C69">
      <w:pPr>
        <w:pStyle w:val="CMR-text"/>
        <w:rPr>
          <w:rFonts w:cs="Times New Roman"/>
          <w:noProof/>
        </w:rPr>
      </w:pPr>
      <w:r w:rsidRPr="0039102C">
        <w:rPr>
          <w:noProof/>
        </w:rPr>
        <w:t>No convite à apresentação de propostas relativo a subvenções publicado em 2023, foi incluído pela primeira vez um tema relacionado com o fabrico, com 20 projetos apoiados com mil milhões de EUR para produzir tecnologias essenciais na transição para o impacto zero, como eletrolisadores, painéis solares, baterias, bombas de calor e turbinas eólicas. Do mesmo modo, foi incluído pela primeira vez o tema relacionado com projetos-piloto, centrado em projetos altamente inovadores com um profundo potencial de descarbonização, com 19 projetos apoiados com 489 milhões de EUR em vários setores, incluindo a energia hidroelétrica por bombagem, o armazenamento de energia térmica, a energia marítima e a energia das marés, entre outros.</w:t>
      </w:r>
    </w:p>
    <w:p w14:paraId="797CCA67" w14:textId="440E0CAD" w:rsidR="005648C7" w:rsidRPr="0039102C" w:rsidRDefault="005C02D9" w:rsidP="00487C69">
      <w:pPr>
        <w:pStyle w:val="CMR-text"/>
        <w:rPr>
          <w:rFonts w:cs="Times New Roman"/>
          <w:noProof/>
        </w:rPr>
      </w:pPr>
      <w:r w:rsidRPr="0039102C">
        <w:rPr>
          <w:noProof/>
        </w:rPr>
        <w:t>Os restantes projetos diziam respeito ao tema de grande escala (23 projetos com um apoio de 2,8 mil milhões de EUR), de média escala (14 projetos com 434 milhões de EUR) e de pequena escala (7</w:t>
      </w:r>
      <w:r w:rsidR="00C33BD9">
        <w:rPr>
          <w:noProof/>
        </w:rPr>
        <w:t> </w:t>
      </w:r>
      <w:r w:rsidRPr="0039102C">
        <w:rPr>
          <w:noProof/>
        </w:rPr>
        <w:t>projetos com 30 milhões de EUR).</w:t>
      </w:r>
    </w:p>
    <w:p w14:paraId="4B5D1D67" w14:textId="1FC273C2" w:rsidR="00A2564E" w:rsidRPr="0039102C" w:rsidRDefault="005E56C6" w:rsidP="00487C69">
      <w:pPr>
        <w:pStyle w:val="CMR-text"/>
        <w:rPr>
          <w:rFonts w:cs="Times New Roman"/>
          <w:noProof/>
        </w:rPr>
      </w:pPr>
      <w:r w:rsidRPr="0039102C">
        <w:rPr>
          <w:noProof/>
        </w:rPr>
        <w:t>Em julho de 2025, a carteira do Fundo incluía 194 projetos em curso, que deverão receber 11,3 mil milhões de EUR de apoio</w:t>
      </w:r>
      <w:r w:rsidR="00A53F50" w:rsidRPr="0039102C">
        <w:rPr>
          <w:rStyle w:val="FootnoteReference"/>
          <w:rFonts w:cs="Times New Roman"/>
          <w:noProof/>
        </w:rPr>
        <w:footnoteReference w:id="64"/>
      </w:r>
      <w:r w:rsidRPr="0039102C">
        <w:rPr>
          <w:noProof/>
        </w:rPr>
        <w:t>. Estes projetos estão localizados em 27 países da UE/EEE, prevendo-se que alcancem cerca de 860 milhões de reduções de emissões de CO</w:t>
      </w:r>
      <w:r w:rsidRPr="0039102C">
        <w:rPr>
          <w:noProof/>
          <w:vertAlign w:val="subscript"/>
        </w:rPr>
        <w:t>2</w:t>
      </w:r>
      <w:r w:rsidRPr="0039102C">
        <w:rPr>
          <w:noProof/>
        </w:rPr>
        <w:t>eq nos seus primeiros 10 anos de funcionamento.</w:t>
      </w:r>
    </w:p>
    <w:p w14:paraId="32D87AEE" w14:textId="36F7FC35" w:rsidR="00FD4030" w:rsidRPr="0039102C" w:rsidRDefault="5EFE6CE4" w:rsidP="721F4017">
      <w:pPr>
        <w:pStyle w:val="CMR-text"/>
        <w:rPr>
          <w:rFonts w:cs="Times New Roman"/>
          <w:noProof/>
        </w:rPr>
      </w:pPr>
      <w:r w:rsidRPr="0039102C">
        <w:rPr>
          <w:noProof/>
        </w:rPr>
        <w:t>O incentivo decorrente do preço do carbono no âmbito do CELE para estes projetos é muito superior ao montante do financiamento proveniente do CELE. Por exemplo, até à data, os benefícios para as empresas em termos de custos do carbono evitados decorrentes dos projetos apoiados pelo Fundo de Inovação ascendem a cerca de 65 mil milhões de EUR (custos do carbono evitados devido à redução das emissões, com base num preço médio do carbono de 75 EUR/tCO</w:t>
      </w:r>
      <w:r w:rsidRPr="0039102C">
        <w:rPr>
          <w:noProof/>
          <w:vertAlign w:val="subscript"/>
        </w:rPr>
        <w:t>2</w:t>
      </w:r>
      <w:r w:rsidRPr="0039102C">
        <w:rPr>
          <w:noProof/>
        </w:rPr>
        <w:t>). Tal reflete a lógica do CELE segundo a qual o preço do carbono é o principal incentivo a longo prazo, enquanto o Fundo de Inovação complementa este incentivo para acelerar a mudança</w:t>
      </w:r>
      <w:r w:rsidR="00FD4030" w:rsidRPr="0039102C">
        <w:rPr>
          <w:rStyle w:val="FootnoteReference"/>
          <w:rFonts w:cs="Times New Roman"/>
          <w:noProof/>
        </w:rPr>
        <w:footnoteReference w:id="65"/>
      </w:r>
      <w:r w:rsidRPr="0039102C">
        <w:rPr>
          <w:noProof/>
        </w:rPr>
        <w:t>.</w:t>
      </w:r>
    </w:p>
    <w:p w14:paraId="785C75B8" w14:textId="28544FAB" w:rsidR="0001055F" w:rsidRPr="0039102C" w:rsidRDefault="00C77477" w:rsidP="0001055F">
      <w:pPr>
        <w:pStyle w:val="CMR-text"/>
        <w:rPr>
          <w:rFonts w:cs="Times New Roman"/>
          <w:noProof/>
        </w:rPr>
      </w:pPr>
      <w:r w:rsidRPr="0039102C">
        <w:rPr>
          <w:noProof/>
        </w:rPr>
        <w:t>No final de 2024, a Comissão lançou três novos convites à apresentação de propostas com um orçamento total de 4,6 mil milhões de EUR:</w:t>
      </w:r>
    </w:p>
    <w:p w14:paraId="0E1D128D" w14:textId="6711290E" w:rsidR="0001055F" w:rsidRPr="0039102C" w:rsidRDefault="0001055F" w:rsidP="0001055F">
      <w:pPr>
        <w:pStyle w:val="CMR-text"/>
        <w:numPr>
          <w:ilvl w:val="0"/>
          <w:numId w:val="52"/>
        </w:numPr>
        <w:rPr>
          <w:rFonts w:cs="Times New Roman"/>
          <w:noProof/>
        </w:rPr>
      </w:pPr>
      <w:r w:rsidRPr="0039102C">
        <w:rPr>
          <w:noProof/>
        </w:rPr>
        <w:t>Tecnologias de impacto zero: o convite à apresentação de propostas para tecnologias de impacto zero tinha um orçamento de 2,4 mil milhões de EUR e tinha recebido um total de 359</w:t>
      </w:r>
      <w:r w:rsidR="00C33BD9">
        <w:rPr>
          <w:noProof/>
        </w:rPr>
        <w:t> </w:t>
      </w:r>
      <w:r w:rsidRPr="0039102C">
        <w:rPr>
          <w:noProof/>
        </w:rPr>
        <w:t>propostas de 28 países quando foi encerrado, em abril de 2025. No seu conjunto, estes projetos solicitaram 21,7 mil milhões de EUR de apoio, mais de nove vezes o orçamento disponível. Os resultados preliminares mostram que o convite abrangeu domínios fundamentais de descarbonização em várias categorias: indústrias com utilização intensiva de energia (169</w:t>
      </w:r>
      <w:r w:rsidR="00C33BD9">
        <w:rPr>
          <w:noProof/>
        </w:rPr>
        <w:t> </w:t>
      </w:r>
      <w:r w:rsidRPr="0039102C">
        <w:rPr>
          <w:noProof/>
        </w:rPr>
        <w:t>propostas), gestão industrial do dióxido de carbono (24), energias renováveis (67) e armazenamento de energia (43). Introduzida em 2023, a categoria «Mobilidade», que abrange os transportes marítimos, aéreos e rodoviários, reuniu 50 propostas, enquanto o setor dos edifícios recebeu seis propostas. Verificou-se, nomeadamente, um grande interesse por parte de setores como os produtos químicos, o cimento e a cal, as refinarias e o hidrogénio. A Comissão publicará os resultados deste convite à apresentação de propostas no segundo semestre de 2025. </w:t>
      </w:r>
    </w:p>
    <w:p w14:paraId="0C5D64B2" w14:textId="5878F78D" w:rsidR="0001055F" w:rsidRPr="0039102C" w:rsidRDefault="0001055F" w:rsidP="0001055F">
      <w:pPr>
        <w:pStyle w:val="CMR-text"/>
        <w:numPr>
          <w:ilvl w:val="0"/>
          <w:numId w:val="53"/>
        </w:numPr>
        <w:rPr>
          <w:rFonts w:cs="Times New Roman"/>
          <w:noProof/>
        </w:rPr>
      </w:pPr>
      <w:r w:rsidRPr="0039102C">
        <w:rPr>
          <w:noProof/>
        </w:rPr>
        <w:t>Baterias: a Comissão lançou, pela primeira vez, o apoio ao fabrico de células de bateria para veículos elétricos. O convite dispunha de um orçamento de mil milhões de EUR e recebeu 14</w:t>
      </w:r>
      <w:r w:rsidR="00C33BD9">
        <w:rPr>
          <w:noProof/>
        </w:rPr>
        <w:t> </w:t>
      </w:r>
      <w:r w:rsidRPr="0039102C">
        <w:rPr>
          <w:noProof/>
        </w:rPr>
        <w:t>propostas de oito países em abril de 2025. Em julho de 2025, foi anunciada a seleção, para financiamento no âmbito deste convite, de seis projetos provenientes da França (dois), da Alemanha (dois), da Suécia e da Polónia, aos quais foi concedido um apoio combinado de 852 milhões de EUR. Estes projetos terão uma capacidade combinada de fabrico de baterias de cerca de 56 gigawatt-hora (GWh) de células de baterias para veículos elétricos por ano.</w:t>
      </w:r>
    </w:p>
    <w:p w14:paraId="75ECC05A" w14:textId="75B76163" w:rsidR="0001055F" w:rsidRPr="0039102C" w:rsidRDefault="0001055F" w:rsidP="0001055F">
      <w:pPr>
        <w:pStyle w:val="CMR-text"/>
        <w:numPr>
          <w:ilvl w:val="0"/>
          <w:numId w:val="54"/>
        </w:numPr>
        <w:rPr>
          <w:rFonts w:cs="Times New Roman"/>
          <w:noProof/>
        </w:rPr>
      </w:pPr>
      <w:r w:rsidRPr="0039102C">
        <w:rPr>
          <w:noProof/>
        </w:rPr>
        <w:t>Leilão de hidrogénio: o terceiro convite à apresentação de propostas dizia respeito à segunda ronda do leilão do Banco Europeu do Hidrogénio para a produção de hidrogénio renovável. O leilão abriu com um orçamento total de 1,2 mil milhões de EUR, incluindo um novo orçamento específico de 200 milhões de EUR para projetos com compradores do setor marítimo. O leilão encerrou em fevereiro de 2025 com 66 propostas de 11 países. Foram selecionados 15 projetos em cinco países diferentes para a preparação da convenção de subvenção. O regime incluía igualmente dotações nacionais ao abrigo do regime «Leilões como serviço», tendo a Áustria disponibilizado 400 milhões de EUR, a Espanha 280 a 400 milhões de EUR e a Lituânia 36 milhões de EUR. Os 15 projetos selecionados devem apresentar uma garantia de conclusão antes da assinatura da convenção de subvenção. Alguns deles podem decidir não o fazer, retirando-se do processo de seleção e dando oportunidade para que os projetos da lista de reserva sejam convidados a iniciar a preparação da convenção de subvenção. A lista final dos projetos selecionados será publicada até ao final de 2025.</w:t>
      </w:r>
    </w:p>
    <w:p w14:paraId="038BC24A" w14:textId="17201CC3" w:rsidR="00C42B3E" w:rsidRPr="0039102C" w:rsidRDefault="67747637" w:rsidP="00854C42">
      <w:pPr>
        <w:jc w:val="both"/>
        <w:rPr>
          <w:rFonts w:ascii="Times New Roman" w:hAnsi="Times New Roman" w:cs="Times New Roman"/>
          <w:noProof/>
        </w:rPr>
      </w:pPr>
      <w:r w:rsidRPr="0039102C">
        <w:rPr>
          <w:rFonts w:ascii="Times New Roman" w:hAnsi="Times New Roman"/>
          <w:noProof/>
        </w:rPr>
        <w:t>A fim de aumentar a maturidade técnica, financeira e operacional de projetos inovadores, a assistência ao desenvolvimento de projetos (ADP) é administrada através do Banco Europeu de Investimento (BEI). Em 2024, o BEI assinou 23 acordos de ADP e procedeu à sua execução. Desde o início do programa, 62 projetos assinaram um acordo de apoio e foram concluídos. O impacto da ADP é cada vez mais visível, tendo nove projetos, que não tinham tido anteriormente sucesso, obtido uma subvenção no âmbito do convite à apresentação de propostas de 2023 do Fundo de Inovação. A ADP foi também alargada aos promotores de projetos que ainda não se candidataram ao Fundo, com candidaturas diretas junto do BEI</w:t>
      </w:r>
      <w:r w:rsidR="004771E8" w:rsidRPr="0039102C">
        <w:rPr>
          <w:rStyle w:val="FootnoteReference"/>
          <w:rFonts w:ascii="Times New Roman" w:hAnsi="Times New Roman" w:cs="Times New Roman"/>
          <w:noProof/>
        </w:rPr>
        <w:footnoteReference w:id="66"/>
      </w:r>
      <w:r w:rsidRPr="0039102C">
        <w:rPr>
          <w:rFonts w:ascii="Times New Roman" w:hAnsi="Times New Roman"/>
          <w:noProof/>
        </w:rPr>
        <w:t>.</w:t>
      </w:r>
    </w:p>
    <w:p w14:paraId="466CCDC2" w14:textId="3BCA2207" w:rsidR="00FD4030" w:rsidRPr="0039102C" w:rsidRDefault="60DDFD35" w:rsidP="67696D88">
      <w:pPr>
        <w:pStyle w:val="CMR-text"/>
        <w:rPr>
          <w:rFonts w:cs="Times New Roman"/>
          <w:noProof/>
        </w:rPr>
      </w:pPr>
      <w:r w:rsidRPr="0039102C">
        <w:rPr>
          <w:noProof/>
        </w:rPr>
        <w:t>Desde 2023, todos os projetos que cumpram os limiares mínimos para todos os critérios de concessão nos convites regulares à apresentação de propostas para subvenções (independentemente de serem ou não selecionados para o Fundo de Inovação) receberam o Selo STEP (Plataforma de Tecnologias Estratégicas para a Europa)</w:t>
      </w:r>
      <w:r w:rsidR="002F024C" w:rsidRPr="0039102C">
        <w:rPr>
          <w:rStyle w:val="FootnoteReference"/>
          <w:rFonts w:cs="Times New Roman"/>
          <w:noProof/>
        </w:rPr>
        <w:footnoteReference w:id="67"/>
      </w:r>
      <w:r w:rsidRPr="0039102C">
        <w:rPr>
          <w:noProof/>
        </w:rPr>
        <w:t>. O selo é o rótulo de qualidade da UE atribuído a projetos de elevada qualidade que contribuem para os objetivos da STEP e ajudam a facilitar o acesso ao financiamento dos Estados-Membros ou de investidores privados.</w:t>
      </w:r>
    </w:p>
    <w:p w14:paraId="25266B21" w14:textId="568647B3" w:rsidR="00613B80" w:rsidRPr="0039102C" w:rsidRDefault="00613B80" w:rsidP="00EC4FC3">
      <w:pPr>
        <w:pStyle w:val="CMR-Subheading"/>
        <w:rPr>
          <w:noProof/>
        </w:rPr>
      </w:pPr>
      <w:bookmarkStart w:id="62" w:name="_Toc180513406"/>
      <w:bookmarkStart w:id="63" w:name="_Toc218529294"/>
      <w:r w:rsidRPr="0039102C">
        <w:rPr>
          <w:noProof/>
        </w:rPr>
        <w:t>Fundo de Modernização do CELE</w:t>
      </w:r>
      <w:bookmarkEnd w:id="62"/>
      <w:bookmarkEnd w:id="63"/>
    </w:p>
    <w:p w14:paraId="594A88ED" w14:textId="73772A82" w:rsidR="006F078C" w:rsidRPr="0039102C" w:rsidRDefault="00DC0230" w:rsidP="002C03CF">
      <w:pPr>
        <w:pStyle w:val="CMR-text"/>
        <w:rPr>
          <w:rFonts w:cs="Times New Roman"/>
          <w:noProof/>
        </w:rPr>
      </w:pPr>
      <w:r w:rsidRPr="0039102C">
        <w:rPr>
          <w:noProof/>
        </w:rPr>
        <w:t>O Fundo de Modernização é um programa de solidariedade financiado pelo CELE. Prestando um apoio inicial a 10 Estados-Membros de baixo rendimento</w:t>
      </w:r>
      <w:r w:rsidRPr="0039102C">
        <w:rPr>
          <w:rStyle w:val="FootnoteReference"/>
          <w:rFonts w:cs="Times New Roman"/>
          <w:noProof/>
        </w:rPr>
        <w:footnoteReference w:id="68"/>
      </w:r>
      <w:r w:rsidRPr="0039102C">
        <w:rPr>
          <w:noProof/>
        </w:rPr>
        <w:t>, o fundo apoia desde 2024 mais três Estados</w:t>
      </w:r>
      <w:r w:rsidR="00217ECB">
        <w:rPr>
          <w:noProof/>
        </w:rPr>
        <w:noBreakHyphen/>
      </w:r>
      <w:r w:rsidRPr="0039102C">
        <w:rPr>
          <w:noProof/>
        </w:rPr>
        <w:t>Membros da mesma categoria</w:t>
      </w:r>
      <w:r w:rsidR="0069737E" w:rsidRPr="0039102C">
        <w:rPr>
          <w:rStyle w:val="FootnoteReference"/>
          <w:rFonts w:cs="Times New Roman"/>
          <w:noProof/>
        </w:rPr>
        <w:footnoteReference w:id="69"/>
      </w:r>
      <w:r w:rsidRPr="0039102C">
        <w:rPr>
          <w:noProof/>
        </w:rPr>
        <w:t>, na consecução das metas climáticas e energéticas para 2030, ajudando-os a implementar projetos que modernizem os sistemas energéticos e melhorem a eficiência energética. O orçamento do fundo provém da venda em leilão de uma parte do limite máximo do CELE (correspondente a 438 milhões de licenças de emissão), repartida entre os Estados-Membros beneficiários de acordo com uma chave fixa</w:t>
      </w:r>
      <w:r w:rsidR="006F078C" w:rsidRPr="0039102C">
        <w:rPr>
          <w:rStyle w:val="FootnoteReference"/>
          <w:rFonts w:cs="Times New Roman"/>
          <w:noProof/>
        </w:rPr>
        <w:footnoteReference w:id="70"/>
      </w:r>
      <w:r w:rsidRPr="0039102C">
        <w:rPr>
          <w:noProof/>
        </w:rPr>
        <w:t>. Além disso, seis Estados-Membros beneficiários transferiram 320 milhões de licenças de emissão da fase 3 do CELE (2013-2020) para o Fundo de Modernização, elevando a sua dimensão total para mais de 750 milhões de licenças de emissão, ou 56 mil milhões de EUR entre 2021 e 2030, pressupondo um preço médio do carbono de 75 EUR/tCO2.</w:t>
      </w:r>
    </w:p>
    <w:p w14:paraId="1B73E050" w14:textId="14EC109E" w:rsidR="006F078C" w:rsidRPr="0039102C" w:rsidRDefault="00C33D98" w:rsidP="002C03CF">
      <w:pPr>
        <w:pStyle w:val="CMR-text"/>
        <w:rPr>
          <w:rFonts w:cs="Times New Roman"/>
          <w:noProof/>
        </w:rPr>
      </w:pPr>
      <w:r w:rsidRPr="0039102C">
        <w:rPr>
          <w:noProof/>
        </w:rPr>
        <w:t>Embora selecionem os investimentos que pretendem apoiar, os Estados-Membros veem-se obrigados a consagrar a maior parte dos seus recursos ao abrigo do fundo a investimentos prioritários. Tal inclui investimentos na produção e a utilização de eletricidade a partir de fontes renováveis, no aquecimento e arrefecimento, na eficiência energética, no armazenamento e na modernização das redes de energia, bem como a prestação de apoio aos agregados familiares com baixos rendimentos, para combater a pobreza energética, e ações para uma transição justa nas regiões dependentes dos combustíveis fósseis. O BEI analisa as propostas de investimento. A Comissão toma uma decisão de desembolso logo que o BEI confirme o caráter prioritário de um investimento ou recomende o seu financiamento não prioritário pelo Comité de Investimento do Fundo. As decisões de desembolso são emitidas em dois ciclos anuais, abrangendo investimentos em todos os Estados-Membros beneficiários.</w:t>
      </w:r>
    </w:p>
    <w:p w14:paraId="23883846" w14:textId="3DA6B749" w:rsidR="0011429F" w:rsidRPr="0039102C" w:rsidRDefault="2887EC8D" w:rsidP="002C03CF">
      <w:pPr>
        <w:pStyle w:val="CMR-text"/>
        <w:rPr>
          <w:rFonts w:cs="Times New Roman"/>
          <w:noProof/>
        </w:rPr>
      </w:pPr>
      <w:r w:rsidRPr="0039102C">
        <w:rPr>
          <w:noProof/>
        </w:rPr>
        <w:t>Desde janeiro de 2021, foram confirmados cerca de 200 regimes e projetos individuais, num montante total de 19,1 mil milhões de EUR, que foram desembolsados a favor dos Estados-Membros beneficiários. Estas iniciativas dizem principalmente respeito às energias renováveis, à eficiência energética, ao armazenamento de energia e à modernização das redes de energia.</w:t>
      </w:r>
    </w:p>
    <w:p w14:paraId="3BF8A088" w14:textId="3FD24150" w:rsidR="0064552C" w:rsidRPr="0039102C" w:rsidRDefault="55C07573" w:rsidP="002C03CF">
      <w:pPr>
        <w:pStyle w:val="CMR-text"/>
        <w:rPr>
          <w:rFonts w:cs="Times New Roman"/>
          <w:noProof/>
        </w:rPr>
      </w:pPr>
      <w:r w:rsidRPr="0039102C">
        <w:rPr>
          <w:noProof/>
        </w:rPr>
        <w:t>Em junho de 2025, a Comissão adotou a oitava decisão de desembolso</w:t>
      </w:r>
      <w:r w:rsidR="006F078C" w:rsidRPr="0039102C">
        <w:rPr>
          <w:rStyle w:val="FootnoteReference"/>
          <w:rFonts w:cs="Times New Roman"/>
          <w:noProof/>
        </w:rPr>
        <w:footnoteReference w:id="71"/>
      </w:r>
      <w:r w:rsidRPr="0039102C">
        <w:rPr>
          <w:noProof/>
        </w:rPr>
        <w:t xml:space="preserve"> ao abrigo do Fundo de Modernização, naquele que foi o maior montante desde 2021. Nesta base, o BEI efetuou pagamentos num valor total de 3700 milhões de EUR a sete Estados-Membros beneficiários</w:t>
      </w:r>
      <w:r w:rsidR="006F078C" w:rsidRPr="0039102C">
        <w:rPr>
          <w:rStyle w:val="FootnoteReference"/>
          <w:rFonts w:cs="Times New Roman"/>
          <w:noProof/>
        </w:rPr>
        <w:footnoteReference w:id="72"/>
      </w:r>
      <w:r w:rsidRPr="0039102C">
        <w:rPr>
          <w:noProof/>
        </w:rPr>
        <w:t xml:space="preserve"> para financiar 34 propostas de investimento. Os projetos incluem o apoio ao desenvolvimento de um programa de ar limpo que apoie a melhoria da eficiência energética e a substituição de fontes de calor em habitações unifamiliares na Polónia, bem como o aumento da capacidade da rede elétrica na Letónia.</w:t>
      </w:r>
    </w:p>
    <w:p w14:paraId="6F679527" w14:textId="00207315" w:rsidR="00DB11ED" w:rsidRPr="0039102C" w:rsidRDefault="6F920625" w:rsidP="00DB11ED">
      <w:pPr>
        <w:pStyle w:val="CMR-text"/>
        <w:rPr>
          <w:rFonts w:cs="Times New Roman"/>
          <w:noProof/>
        </w:rPr>
      </w:pPr>
      <w:r w:rsidRPr="0039102C">
        <w:rPr>
          <w:noProof/>
        </w:rPr>
        <w:t>As apresentações relativas a uma nova fase de propostas no âmbito do Fundo de Modernização encerraram em 12 de agosto de 2025 para projetos não prioritários e em 9 de setembro de 2025 para projetos prioritários.</w:t>
      </w:r>
    </w:p>
    <w:p w14:paraId="5BBEBFD3" w14:textId="77EB9802" w:rsidR="006F078C" w:rsidRPr="0039102C" w:rsidRDefault="526052FE" w:rsidP="002C03CF">
      <w:pPr>
        <w:pStyle w:val="CMR-text"/>
        <w:rPr>
          <w:rFonts w:cs="Times New Roman"/>
          <w:noProof/>
        </w:rPr>
      </w:pPr>
      <w:r w:rsidRPr="0039102C">
        <w:rPr>
          <w:noProof/>
        </w:rPr>
        <w:t>A partir de 2025, os investimentos também têm de cumprir os requisitos de «não prejudicar significativamente» previstos no Regulamento Taxonomia (exceto no caso de investimentos financiados através da transferência de licenças de emissão).</w:t>
      </w:r>
    </w:p>
    <w:p w14:paraId="2334C0BF" w14:textId="21CD5FD8" w:rsidR="00213E11" w:rsidRPr="0039102C" w:rsidRDefault="00213E11" w:rsidP="00EC4FC3">
      <w:pPr>
        <w:pStyle w:val="CMR-Subheading"/>
        <w:rPr>
          <w:noProof/>
        </w:rPr>
      </w:pPr>
      <w:bookmarkStart w:id="64" w:name="_Toc180513407"/>
      <w:bookmarkStart w:id="65" w:name="_Toc218529295"/>
      <w:r w:rsidRPr="0039102C">
        <w:rPr>
          <w:noProof/>
        </w:rPr>
        <w:t>Fundo de Descarbonização do CELE para a Grécia</w:t>
      </w:r>
      <w:bookmarkEnd w:id="64"/>
      <w:bookmarkEnd w:id="65"/>
    </w:p>
    <w:p w14:paraId="78EA7BA0" w14:textId="68799344" w:rsidR="6DC88DB8" w:rsidRPr="0039102C" w:rsidRDefault="24216302" w:rsidP="2122AAA8">
      <w:pPr>
        <w:pStyle w:val="CMR-text"/>
        <w:rPr>
          <w:rFonts w:cs="Times New Roman"/>
          <w:noProof/>
        </w:rPr>
      </w:pPr>
      <w:r w:rsidRPr="0039102C">
        <w:rPr>
          <w:noProof/>
        </w:rPr>
        <w:t>O artigo 10.º-A, n.º 9, da Diretiva CELE conferiu à Grécia o direito de, em determinadas condições, requerer até 25 milhões de licenças de emissão para descarbonizar o fornecimento de eletricidade das suas ilhas</w:t>
      </w:r>
      <w:r w:rsidR="0097021E" w:rsidRPr="0039102C">
        <w:rPr>
          <w:rStyle w:val="FootnoteReference"/>
          <w:rFonts w:cs="Times New Roman"/>
          <w:noProof/>
        </w:rPr>
        <w:footnoteReference w:id="73"/>
      </w:r>
      <w:r w:rsidRPr="0039102C">
        <w:rPr>
          <w:noProof/>
        </w:rPr>
        <w:t>. A venda em leilão destas licenças financiará o Fundo, que ascenderá, de acordo com as estimativas, a cerca de 2 mil milhões de EUR. A Grécia, a Comissão Europeia e o BEI estão a trabalhar com vista a operacionalizar esta disposição. Em novembro de 2024, o vice-presidente executivo responsável pelo Pacto Ecológico Europeu, Maroš Šefčovič, juntamente com o ministro do Ambiente e da Energia da Grécia, Theodoros Skylakakis, e o vice-presidente do BEI, Ioannis Tsakiris, assinaram um acordo trilateral em Naxos, na Grécia, para criar o fundo nacional de descarbonização do CELE para as ilhas gregas</w:t>
      </w:r>
      <w:r w:rsidR="0B47678D" w:rsidRPr="0039102C">
        <w:rPr>
          <w:rFonts w:cs="Times New Roman"/>
          <w:noProof/>
          <w:vertAlign w:val="superscript"/>
        </w:rPr>
        <w:footnoteReference w:id="74"/>
      </w:r>
      <w:r w:rsidRPr="0039102C">
        <w:rPr>
          <w:noProof/>
        </w:rPr>
        <w:t>.</w:t>
      </w:r>
    </w:p>
    <w:p w14:paraId="4429EB96" w14:textId="1B138567" w:rsidR="6DC88DB8" w:rsidRPr="0039102C" w:rsidRDefault="283A2DEF" w:rsidP="45A3302D">
      <w:pPr>
        <w:pStyle w:val="CMR-text"/>
        <w:rPr>
          <w:rFonts w:cs="Times New Roman"/>
          <w:noProof/>
        </w:rPr>
      </w:pPr>
      <w:r w:rsidRPr="0039102C">
        <w:rPr>
          <w:noProof/>
        </w:rPr>
        <w:t>O BEI será responsável pela avaliação da viabilidade financeira e dos benefícios socioeconómicos da proposta de projeto grega para descarbonizar o fornecimento de eletricidade das suas ilhas. Se estiverem preenchidas todas as condições, as licenças de emissão serão leiloadas e as receitas disponibilizadas para o cofinanciamento de componentes aprovadas do projeto, até a um máximo de 60 %. Em termos concretos, o financiamento deve apoiar projetos de aprovisionamento de energias renováveis nas ilhas, como sistemas fotovoltaicos, parques eólicos marítimos e sistemas de armazenamento autónomos, bem como iniciativas para ligar as ilhas à rede elétrica continental. O fundo contribuirá igualmente para medidas de adaptação às alterações climáticas e reforçará a resiliência contra fenómenos meteorológicos extremos.</w:t>
      </w:r>
    </w:p>
    <w:p w14:paraId="1E7A700B" w14:textId="738BE3E4" w:rsidR="00613B80" w:rsidRPr="0039102C" w:rsidRDefault="00613B80" w:rsidP="00EC4FC3">
      <w:pPr>
        <w:pStyle w:val="CMR-Heading"/>
        <w:rPr>
          <w:noProof/>
        </w:rPr>
      </w:pPr>
      <w:bookmarkStart w:id="66" w:name="_Toc180513408"/>
      <w:bookmarkStart w:id="67" w:name="_Ref207358766"/>
      <w:bookmarkStart w:id="68" w:name="_Toc218529296"/>
      <w:r w:rsidRPr="0039102C">
        <w:rPr>
          <w:noProof/>
        </w:rPr>
        <w:t>Aviação</w:t>
      </w:r>
      <w:bookmarkEnd w:id="66"/>
      <w:bookmarkEnd w:id="67"/>
      <w:bookmarkEnd w:id="68"/>
    </w:p>
    <w:p w14:paraId="62EB8901" w14:textId="56F170E5" w:rsidR="00414F36" w:rsidRPr="0039102C" w:rsidRDefault="5E0A25F4" w:rsidP="00187D4D">
      <w:pPr>
        <w:pStyle w:val="CMR-text"/>
        <w:rPr>
          <w:rStyle w:val="Bodytext1"/>
          <w:rFonts w:cs="Times New Roman"/>
          <w:noProof/>
        </w:rPr>
      </w:pPr>
      <w:r w:rsidRPr="0039102C">
        <w:rPr>
          <w:rStyle w:val="Bodytext1"/>
          <w:noProof/>
        </w:rPr>
        <w:t>O CELE tem regulado as emissões do setor da aviação desde 2012. Legalmente, o sistema abrange todos os voos de partida do EEE e todos os voos de chegada, se não estiverem isentos.</w:t>
      </w:r>
    </w:p>
    <w:p w14:paraId="01E853C9" w14:textId="189BC0EC" w:rsidR="00920844" w:rsidRPr="0039102C" w:rsidRDefault="5E0A25F4" w:rsidP="00187D4D">
      <w:pPr>
        <w:pStyle w:val="CMR-text"/>
        <w:rPr>
          <w:rFonts w:cs="Times New Roman"/>
          <w:noProof/>
        </w:rPr>
      </w:pPr>
      <w:r w:rsidRPr="0039102C">
        <w:rPr>
          <w:rStyle w:val="Bodytext1"/>
          <w:noProof/>
        </w:rPr>
        <w:t>No entanto, em 2013, a UE limitou as obrigações no âmbito do CELE para o setor da aviação aos voos no interior do EEE, a fim de apoiar a adoção de um quadro mundial de medidas baseadas no mercado pela Organização da Aviação Civil Internacional (OACI) para reduzir as emissões da aviação</w:t>
      </w:r>
      <w:r w:rsidR="00187D4D" w:rsidRPr="0039102C">
        <w:rPr>
          <w:rStyle w:val="Bodytext1"/>
          <w:rFonts w:cs="Times New Roman"/>
          <w:noProof/>
          <w:vertAlign w:val="superscript"/>
        </w:rPr>
        <w:footnoteReference w:id="75"/>
      </w:r>
      <w:r w:rsidRPr="0039102C">
        <w:rPr>
          <w:rStyle w:val="Bodytext1"/>
          <w:noProof/>
        </w:rPr>
        <w:t>. Desde então, a limitação da cobertura da Diretiva CELE foi prorrogada três vezes, tendo a revisão de 2023 da Diretiva CELE salientado que deverá tratar-se da última derrogação ao CELE limitada no tempo</w:t>
      </w:r>
      <w:r w:rsidR="00E772AF" w:rsidRPr="0039102C">
        <w:rPr>
          <w:rStyle w:val="FootnoteReference"/>
          <w:rFonts w:cs="Times New Roman"/>
          <w:noProof/>
          <w:lang w:eastAsia="bg-BG" w:bidi="bg-BG"/>
        </w:rPr>
        <w:footnoteReference w:id="76"/>
      </w:r>
      <w:r w:rsidRPr="0039102C">
        <w:rPr>
          <w:rStyle w:val="Bodytext1"/>
          <w:noProof/>
        </w:rPr>
        <w:t>.</w:t>
      </w:r>
      <w:r w:rsidRPr="0039102C">
        <w:rPr>
          <w:noProof/>
        </w:rPr>
        <w:t xml:space="preserve"> Estão isentos numa base contínua os voos com origem e destino em cerca de 75 países menos desenvolvidos e pequenos Estados insulares em desenvolvimento.</w:t>
      </w:r>
    </w:p>
    <w:p w14:paraId="60FF6E22" w14:textId="6100D0ED" w:rsidR="00187D4D" w:rsidRPr="0039102C" w:rsidRDefault="00C46D90" w:rsidP="00187D4D">
      <w:pPr>
        <w:pStyle w:val="CMR-text"/>
        <w:rPr>
          <w:rStyle w:val="Bodytext1"/>
          <w:rFonts w:cs="Times New Roman"/>
          <w:noProof/>
        </w:rPr>
      </w:pPr>
      <w:r w:rsidRPr="0039102C">
        <w:rPr>
          <w:rStyle w:val="Bodytext1"/>
          <w:noProof/>
        </w:rPr>
        <w:t>O CELE abrange, desde 1 de janeiro de 2020, as emissões de voos de partida para a Suíça, sendo o sistema de comércio de licenças de emissão deste país aplicável aos voos com partida para aeroportos do EEE. Tal garante um incentivo à descarbonização, mantendo simultaneamente condições de concorrência equitativas em ambos os sentidos. Desde 1 de janeiro de 2021, o CELE aplica-se aos voos com partida para o Reino Unido, enquanto o sistema de comércio de licenças de emissão do Reino Unido se aplica aos voos com partida para aeroportos do EEE. Tal mantém a cobertura da tarifação do carbono das emissões da aviação, apesar da saída do Reino Unido da UE.</w:t>
      </w:r>
    </w:p>
    <w:p w14:paraId="42310410" w14:textId="753B16BB" w:rsidR="00187D4D" w:rsidRPr="0039102C" w:rsidRDefault="3F0A0337" w:rsidP="00187D4D">
      <w:pPr>
        <w:pStyle w:val="CMR-text"/>
        <w:rPr>
          <w:rStyle w:val="Bodytext1"/>
          <w:rFonts w:cs="Times New Roman"/>
          <w:noProof/>
        </w:rPr>
      </w:pPr>
      <w:r w:rsidRPr="0039102C">
        <w:rPr>
          <w:rStyle w:val="Bodytext1"/>
          <w:noProof/>
        </w:rPr>
        <w:t>Desde 1 de janeiro de 2024, o CELE abrange as emissões da maioria dos voos</w:t>
      </w:r>
      <w:r w:rsidR="00187D4D" w:rsidRPr="0039102C">
        <w:rPr>
          <w:rStyle w:val="FootnoteReference"/>
          <w:rFonts w:cs="Times New Roman"/>
          <w:noProof/>
        </w:rPr>
        <w:footnoteReference w:id="77"/>
      </w:r>
      <w:r w:rsidRPr="0039102C">
        <w:rPr>
          <w:rStyle w:val="Bodytext1"/>
          <w:noProof/>
        </w:rPr>
        <w:t xml:space="preserve"> com origem ou destino nas nove regiões ultraperiféricas da UE, bem como as emissões provenientes de voos com partida nessas regiões e destino à Suíça ou ao Reino Unido. No seu conjunto, tal representa um alargamento da cobertura da tarifação do carbono no âmbito do CELE de cerca de 7 %. A Suíça incluiu igualmente no seu sistema de comércio de licenças de emissão, desde 2024, as emissões dos voos com partida para as regiões ultraperiféricas</w:t>
      </w:r>
      <w:r w:rsidR="00D06F73" w:rsidRPr="0039102C">
        <w:rPr>
          <w:rStyle w:val="FootnoteReference"/>
          <w:rFonts w:cs="Times New Roman"/>
          <w:noProof/>
        </w:rPr>
        <w:footnoteReference w:id="78"/>
      </w:r>
      <w:r w:rsidRPr="0039102C">
        <w:rPr>
          <w:rStyle w:val="Bodytext1"/>
          <w:noProof/>
        </w:rPr>
        <w:t>.</w:t>
      </w:r>
    </w:p>
    <w:p w14:paraId="266618AD" w14:textId="0E5F0AF9" w:rsidR="00537304" w:rsidRPr="0039102C" w:rsidRDefault="23C5340A" w:rsidP="00537304">
      <w:pPr>
        <w:pStyle w:val="CMR-text"/>
        <w:rPr>
          <w:rFonts w:cs="Times New Roman"/>
          <w:noProof/>
        </w:rPr>
      </w:pPr>
      <w:r w:rsidRPr="0039102C">
        <w:rPr>
          <w:rStyle w:val="Bodytext1"/>
          <w:noProof/>
        </w:rPr>
        <w:t xml:space="preserve">Ao mesmo tempo, para facilitar os progressos na OACI, o âmbito intraeuropeu limitado do CELE para a aviação foi prorrogado até ao final de 2026, uma vez que todos os principais países terceiros devem aplicar o Regime de Compensação e Redução das Emissões de Carbono da Aviação Internacional (CORSIA) a partir de 2027. No âmbito da revisão do CELE em meados de 2026, a Comissão é obrigada a avaliar se os países terceiros que se considera estarem a participar no CORSIA representam mais ou menos de 70 % das emissões da aviação internacional, com base nos valores de emissões mais recentes [artigo 28.º-B, n.º 3, alínea b), da Diretiva CELE]. Esta abordagem visa incentivar todos os países que </w:t>
      </w:r>
      <w:r w:rsidRPr="0039102C">
        <w:rPr>
          <w:noProof/>
        </w:rPr>
        <w:t>devem participar no CORSIA quando se tornar «obrigatório» aplicar o regime</w:t>
      </w:r>
      <w:r w:rsidR="00EA2D29" w:rsidRPr="0039102C">
        <w:rPr>
          <w:rStyle w:val="FootnoteReference"/>
          <w:rFonts w:cs="Times New Roman"/>
          <w:noProof/>
          <w:lang w:eastAsia="bg-BG"/>
        </w:rPr>
        <w:footnoteReference w:id="79"/>
      </w:r>
      <w:r w:rsidRPr="0039102C">
        <w:rPr>
          <w:noProof/>
        </w:rPr>
        <w:t>. De um modo geral, a UE incentiva todos os países a que participem.</w:t>
      </w:r>
    </w:p>
    <w:p w14:paraId="35CD6AE8" w14:textId="77777777" w:rsidR="00537304" w:rsidRPr="0039102C" w:rsidRDefault="23C5340A" w:rsidP="00537304">
      <w:pPr>
        <w:pStyle w:val="CMR-text"/>
        <w:rPr>
          <w:rFonts w:cs="Times New Roman"/>
          <w:noProof/>
        </w:rPr>
      </w:pPr>
      <w:r w:rsidRPr="0039102C">
        <w:rPr>
          <w:noProof/>
        </w:rPr>
        <w:t>A avaliação exigida pela Diretiva CELE define parâmetros claros para o cálculo do limiar de 70 %. O numerador contabiliza as emissões da aviação internacional representadas por «Estados enumerados no ato de execução adotado nos termos do artigo 25.º-A, n.º 3», ou seja, Estados que não são países do EEE, a Suíça e o Reino Unido. Por conseguinte, o numerador inclui as emissões provenientes de rotas entre os Estados enumerados no ato de execução, bem como de rotas entre um Estado-Membro do EEE, a Suíça ou o Reino Unido e estes Estados. A avaliação segue o princípio baseado nas rotas, ou seja, partindo do princípio de que qualquer voo nestas rotas está sujeito à compensação do CORSIA, mesmo que seja operado por uma transportadora que voe a partir de um Estado não participante</w:t>
      </w:r>
      <w:r w:rsidR="00537304" w:rsidRPr="0039102C">
        <w:rPr>
          <w:rStyle w:val="FootnoteReference"/>
          <w:rFonts w:cs="Times New Roman"/>
          <w:noProof/>
          <w:lang w:eastAsia="bg-BG"/>
        </w:rPr>
        <w:footnoteReference w:id="80"/>
      </w:r>
      <w:r w:rsidRPr="0039102C">
        <w:rPr>
          <w:noProof/>
        </w:rPr>
        <w:t>. Deste modo, evita-se uma subestimação. O denominador deste cálculo corresponde a todas as «emissões da aviação internacional», ou seja, todas as emissões nas rotas entre dois países da OACI. Serão utilizados neste cálculo os valores publicados</w:t>
      </w:r>
      <w:r w:rsidR="00537304" w:rsidRPr="0039102C">
        <w:rPr>
          <w:rStyle w:val="FootnoteReference"/>
          <w:rFonts w:cs="Times New Roman"/>
          <w:noProof/>
          <w:lang w:eastAsia="bg-BG"/>
        </w:rPr>
        <w:footnoteReference w:id="81"/>
      </w:r>
      <w:r w:rsidRPr="0039102C">
        <w:rPr>
          <w:noProof/>
        </w:rPr>
        <w:t xml:space="preserve"> pelo Secretariado da OACI, que são comunicados diretamente pelos países ou preenchidos, havendo lacunas, pelo Secretariado da OACI de acordo com uma metodologia acordada. O cálculo efetuado é o seguinte:</w:t>
      </w:r>
    </w:p>
    <w:p w14:paraId="035EC969" w14:textId="54F4BEDA" w:rsidR="00E838BB" w:rsidRPr="0039102C" w:rsidRDefault="00DD22DB" w:rsidP="00187D4D">
      <w:pPr>
        <w:pStyle w:val="CMR-text"/>
        <w:rPr>
          <w:rStyle w:val="Bodytext1"/>
          <w:rFonts w:cs="Times New Roman"/>
          <w:noProof/>
          <w:sz w:val="20"/>
          <w:szCs w:val="20"/>
        </w:rPr>
      </w:pPr>
      <m:oMathPara>
        <m:oMath>
          <m:f>
            <m:fPr>
              <m:ctrlPr>
                <w:rPr>
                  <w:rFonts w:ascii="Cambria Math" w:hAnsi="Cambria Math" w:cs="Times New Roman"/>
                  <w:i/>
                  <w:noProof/>
                  <w:sz w:val="16"/>
                  <w:szCs w:val="16"/>
                  <w:lang w:eastAsia="bg-BG"/>
                </w:rPr>
              </m:ctrlPr>
            </m:fPr>
            <m:num>
              <m:r>
                <w:rPr>
                  <w:rFonts w:ascii="Cambria Math" w:hAnsi="Cambria Math" w:cs="Times New Roman"/>
                  <w:noProof/>
                  <w:kern w:val="2"/>
                  <w:sz w:val="16"/>
                  <w:szCs w:val="16"/>
                  <w:lang w:eastAsia="bg-BG"/>
                  <w14:ligatures w14:val="standardContextual"/>
                </w:rPr>
                <m:t>Emissões de CO2 relacionadas com Estados não europeus nas rotas entre países participantes na compensação do CORSIA</m:t>
              </m:r>
            </m:num>
            <m:den>
              <m:r>
                <w:rPr>
                  <w:rFonts w:ascii="Cambria Math" w:hAnsi="Cambria Math" w:cs="Times New Roman"/>
                  <w:noProof/>
                  <w:sz w:val="16"/>
                  <w:szCs w:val="16"/>
                  <w:lang w:eastAsia="bg-BG"/>
                </w:rPr>
                <m:t>Emissões de CO2 nas rotas internacionais</m:t>
              </m:r>
            </m:den>
          </m:f>
        </m:oMath>
      </m:oMathPara>
    </w:p>
    <w:p w14:paraId="6D75C15C" w14:textId="11D3110D" w:rsidR="00187D4D" w:rsidRPr="0039102C" w:rsidRDefault="30A45A5F" w:rsidP="00187D4D">
      <w:pPr>
        <w:pStyle w:val="CMR-text"/>
        <w:rPr>
          <w:rFonts w:cs="Times New Roman"/>
          <w:noProof/>
        </w:rPr>
      </w:pPr>
      <w:r w:rsidRPr="0039102C">
        <w:rPr>
          <w:rStyle w:val="Bodytext1"/>
          <w:noProof/>
        </w:rPr>
        <w:t>Em 2024, foram emitidas cerca de</w:t>
      </w:r>
      <w:r w:rsidRPr="0039102C">
        <w:rPr>
          <w:noProof/>
        </w:rPr>
        <w:t xml:space="preserve"> 27,6 milhões de </w:t>
      </w:r>
      <w:r w:rsidRPr="0039102C">
        <w:rPr>
          <w:rStyle w:val="Bodytext1"/>
          <w:noProof/>
        </w:rPr>
        <w:t>licenças de emissão da aviação, em conformidade com o âmbito de aplicação aplicável do CELE. A atribuição a título gratuito ascendeu a 17,5 milhões de licenças de emissão. Os operadores de aeronaves geridos por administradores nacionais no EEE receberam um pouco mais de 0,3 milhões de licenças de emissão da aviação suíça a título gratuito ao abrigo do sistema de comércio de licenças de emissão da Suíça. Em 2024, foram leiloados cerca de 6,7 milhões de licenças de emissão da aviação.</w:t>
      </w:r>
    </w:p>
    <w:p w14:paraId="0AC3BD1F" w14:textId="6941DEF6" w:rsidR="00B7738B" w:rsidRPr="0039102C" w:rsidRDefault="7B107DC4" w:rsidP="00B7738B">
      <w:pPr>
        <w:pStyle w:val="CMR-text"/>
        <w:rPr>
          <w:rStyle w:val="Bodytext1"/>
          <w:rFonts w:cs="Times New Roman"/>
          <w:noProof/>
        </w:rPr>
      </w:pPr>
      <w:r w:rsidRPr="0039102C">
        <w:rPr>
          <w:noProof/>
        </w:rPr>
        <w:t>As emissões dos operadores de aeronaves continuaram a aumentar em 2024 relativamente a 2023. Em 2024, as emissões ascenderam a 62,6 Mt de CO</w:t>
      </w:r>
      <w:r w:rsidRPr="0039102C">
        <w:rPr>
          <w:noProof/>
          <w:vertAlign w:val="subscript"/>
        </w:rPr>
        <w:t>2</w:t>
      </w:r>
      <w:r w:rsidRPr="0039102C">
        <w:rPr>
          <w:noProof/>
        </w:rPr>
        <w:t xml:space="preserve">eq (incluindo 1,1 Mt de operadores da responsabilidade da Suíça), face a 54,3 Mt em 2023. </w:t>
      </w:r>
      <w:bookmarkStart w:id="69" w:name="bookmark56"/>
      <w:r w:rsidRPr="0039102C">
        <w:rPr>
          <w:noProof/>
        </w:rPr>
        <w:t xml:space="preserve">A razão prendeu-se, em parte, com o alargamento do âmbito geográfico das regiões ultraperiféricas. O quadro 7 </w:t>
      </w:r>
      <w:r w:rsidRPr="0039102C">
        <w:rPr>
          <w:rStyle w:val="Bodytext1"/>
          <w:noProof/>
        </w:rPr>
        <w:t>mostra as emissões verificadas dos operadores de aeronaves, juntamente com os volumes de licenças atribuídas a título gratuito e leiloadas no setor da aviação desde 2019.</w:t>
      </w:r>
      <w:bookmarkEnd w:id="69"/>
      <w:r w:rsidRPr="0039102C">
        <w:rPr>
          <w:rStyle w:val="Bodytext1"/>
          <w:noProof/>
        </w:rPr>
        <w:t xml:space="preserve"> Desde 2021, o CELE deixou de abranger os voos provenientes do Reino Unido.</w:t>
      </w:r>
    </w:p>
    <w:p w14:paraId="1E2EC45E" w14:textId="1F1368E6" w:rsidR="00B7738B" w:rsidRPr="0039102C" w:rsidRDefault="1B2FF804" w:rsidP="00B7738B">
      <w:pPr>
        <w:pStyle w:val="CMR-text"/>
        <w:rPr>
          <w:rStyle w:val="Bodytext1"/>
          <w:rFonts w:cs="Times New Roman"/>
          <w:noProof/>
        </w:rPr>
      </w:pPr>
      <w:r w:rsidRPr="0039102C">
        <w:rPr>
          <w:rStyle w:val="Bodytext1"/>
          <w:noProof/>
        </w:rPr>
        <w:t>No âmbito do pacote Objetivo 55, foram adotadas em 2023 duas reformas relativas ao CELE para a aviação, a fim de fazer avançar a redução das emissões no setor</w:t>
      </w:r>
      <w:r w:rsidR="00B7738B" w:rsidRPr="0039102C">
        <w:rPr>
          <w:rStyle w:val="FootnoteReference"/>
          <w:rFonts w:cs="Times New Roman"/>
          <w:noProof/>
        </w:rPr>
        <w:footnoteReference w:id="82"/>
      </w:r>
      <w:r w:rsidRPr="0039102C">
        <w:rPr>
          <w:rStyle w:val="Bodytext1"/>
          <w:noProof/>
        </w:rPr>
        <w:t xml:space="preserve"> e transpor o CORSIA para o direito da UE no que toca aos voos fora da Europa de companhias aéreas com base na UE</w:t>
      </w:r>
      <w:r w:rsidR="00B7738B" w:rsidRPr="0039102C">
        <w:rPr>
          <w:rStyle w:val="FootnoteReference"/>
          <w:rFonts w:cs="Times New Roman"/>
          <w:noProof/>
        </w:rPr>
        <w:footnoteReference w:id="83"/>
      </w:r>
      <w:r w:rsidRPr="0039102C">
        <w:rPr>
          <w:rStyle w:val="Bodytext1"/>
          <w:noProof/>
        </w:rPr>
        <w:t>. Estão atualmente a ser aplicadas.</w:t>
      </w:r>
    </w:p>
    <w:p w14:paraId="2D670AED" w14:textId="46ABF7C0" w:rsidR="00254618" w:rsidRPr="0039102C" w:rsidRDefault="1B2FF804" w:rsidP="00510DED">
      <w:pPr>
        <w:pStyle w:val="CMR-text"/>
        <w:rPr>
          <w:rStyle w:val="Bodytext1"/>
          <w:rFonts w:cs="Times New Roman"/>
          <w:noProof/>
        </w:rPr>
      </w:pPr>
      <w:r w:rsidRPr="0039102C">
        <w:rPr>
          <w:rStyle w:val="Bodytext1"/>
          <w:noProof/>
        </w:rPr>
        <w:t>Para transpor o CORSIA para o direito da UE, a Comissão adotou, em julho de 2025, a lista de Estados que se considera estarem a aplicar o CORSIA às emissões de 2025</w:t>
      </w:r>
      <w:r w:rsidR="00B7738B" w:rsidRPr="0039102C">
        <w:rPr>
          <w:rStyle w:val="FootnoteReference"/>
          <w:rFonts w:cs="Times New Roman"/>
          <w:noProof/>
        </w:rPr>
        <w:footnoteReference w:id="84"/>
      </w:r>
      <w:r w:rsidRPr="0039102C">
        <w:rPr>
          <w:rStyle w:val="Bodytext1"/>
          <w:noProof/>
        </w:rPr>
        <w:t>. Esta lista é atualizada anualmente. Em julho de 2024, a Comissão publicou as regras de cálculo dos requisitos de compensação ao abrigo do CORSIA</w:t>
      </w:r>
      <w:r w:rsidR="00B7738B" w:rsidRPr="0039102C">
        <w:rPr>
          <w:rStyle w:val="FootnoteReference"/>
          <w:rFonts w:cs="Times New Roman"/>
          <w:noProof/>
        </w:rPr>
        <w:footnoteReference w:id="85"/>
      </w:r>
      <w:r w:rsidRPr="0039102C">
        <w:rPr>
          <w:rStyle w:val="Bodytext1"/>
          <w:noProof/>
        </w:rPr>
        <w:t>. As autoridades competentes dos Estados-Membros aplicarão estas regras às emissões até ao final de 2026.</w:t>
      </w:r>
    </w:p>
    <w:p w14:paraId="58EACB20" w14:textId="4E4C636E" w:rsidR="00510DED" w:rsidRPr="0039102C" w:rsidRDefault="54B487A1" w:rsidP="00510DED">
      <w:pPr>
        <w:pStyle w:val="CMR-text"/>
        <w:rPr>
          <w:rStyle w:val="Bodytext1"/>
          <w:rFonts w:cs="Times New Roman"/>
          <w:noProof/>
        </w:rPr>
      </w:pPr>
      <w:r w:rsidRPr="0039102C">
        <w:rPr>
          <w:rStyle w:val="Bodytext1"/>
          <w:noProof/>
        </w:rPr>
        <w:t>Num passo importante para melhorar a transparência, a Comissão está a publicar mais dados sobre as emissões da aviação, protegendo simultaneamente os dados comercialmente sensíveis. Em junho de 2025, a Comissão publicou dados anuais agregados relativos às emissões de pares de aeródromos no EEE em 2023</w:t>
      </w:r>
      <w:r w:rsidR="00510DED" w:rsidRPr="0039102C">
        <w:rPr>
          <w:rStyle w:val="FootnoteReference"/>
          <w:rFonts w:cs="Times New Roman"/>
          <w:noProof/>
        </w:rPr>
        <w:footnoteReference w:id="86"/>
      </w:r>
      <w:r w:rsidRPr="0039102C">
        <w:rPr>
          <w:rStyle w:val="Bodytext1"/>
          <w:noProof/>
        </w:rPr>
        <w:t>. Este foi um primeiro passo na publicação de todos os dados relativos a 2023.</w:t>
      </w:r>
    </w:p>
    <w:p w14:paraId="032FFBC1" w14:textId="427F6BF5" w:rsidR="00B7738B" w:rsidRPr="0039102C" w:rsidRDefault="00B7738B" w:rsidP="00B7738B">
      <w:pPr>
        <w:pStyle w:val="CMR-text"/>
        <w:rPr>
          <w:rStyle w:val="Bodytext1"/>
          <w:rFonts w:cs="Times New Roman"/>
          <w:noProof/>
          <w:highlight w:val="lightGray"/>
        </w:rPr>
      </w:pPr>
    </w:p>
    <w:p w14:paraId="69A815BA" w14:textId="40AAB203" w:rsidR="00C00C56" w:rsidRPr="0039102C" w:rsidRDefault="00C00C56" w:rsidP="002A00BB">
      <w:pPr>
        <w:pStyle w:val="Caption"/>
        <w:keepNext/>
        <w:rPr>
          <w:noProof/>
          <w:sz w:val="20"/>
        </w:rPr>
      </w:pPr>
      <w:bookmarkStart w:id="70" w:name="_Ref176959178"/>
      <w:r w:rsidRPr="0039102C">
        <w:rPr>
          <w:noProof/>
        </w:rPr>
        <w:t xml:space="preserve">Quadro </w:t>
      </w:r>
      <w:bookmarkEnd w:id="70"/>
      <w:r w:rsidRPr="0039102C">
        <w:rPr>
          <w:noProof/>
        </w:rPr>
        <w:t>7.</w:t>
      </w:r>
      <w:r w:rsidRPr="0039102C">
        <w:rPr>
          <w:noProof/>
          <w:sz w:val="20"/>
        </w:rPr>
        <w:t xml:space="preserve"> Atividades de aviação abrangidas pelo CELE (2019-2024) — emissões verificadas [milhões de toneladas de CO</w:t>
      </w:r>
      <w:r w:rsidRPr="0039102C">
        <w:rPr>
          <w:noProof/>
          <w:sz w:val="20"/>
          <w:vertAlign w:val="subscript"/>
        </w:rPr>
        <w:t>2</w:t>
      </w:r>
      <w:r w:rsidRPr="0039102C">
        <w:rPr>
          <w:noProof/>
          <w:sz w:val="20"/>
        </w:rPr>
        <w:t>eq], licenças atribuídas a título gratuito e licenças leiloadas [milhões de licenças] Dados extraídos do Registo da União em 1 de outubro de 2025.</w:t>
      </w:r>
    </w:p>
    <w:tbl>
      <w:tblPr>
        <w:tblStyle w:val="TableGridLight"/>
        <w:tblW w:w="5000" w:type="pct"/>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2226"/>
        <w:gridCol w:w="1132"/>
        <w:gridCol w:w="1132"/>
        <w:gridCol w:w="1132"/>
        <w:gridCol w:w="1132"/>
        <w:gridCol w:w="1131"/>
        <w:gridCol w:w="1131"/>
      </w:tblGrid>
      <w:tr w:rsidR="007E501C" w:rsidRPr="0039102C" w14:paraId="1B76AD8D" w14:textId="11D2B1C6" w:rsidTr="00A178FF">
        <w:trPr>
          <w:cantSplit/>
        </w:trPr>
        <w:tc>
          <w:tcPr>
            <w:tcW w:w="1234" w:type="pct"/>
            <w:vAlign w:val="center"/>
          </w:tcPr>
          <w:p w14:paraId="74548974" w14:textId="77777777" w:rsidR="007E501C" w:rsidRPr="0039102C" w:rsidRDefault="007E501C" w:rsidP="002A00BB">
            <w:pPr>
              <w:pStyle w:val="CMR-tables"/>
              <w:keepNext/>
              <w:rPr>
                <w:rFonts w:cs="Times New Roman"/>
                <w:b/>
                <w:noProof/>
                <w:szCs w:val="20"/>
              </w:rPr>
            </w:pPr>
            <w:r w:rsidRPr="0039102C">
              <w:rPr>
                <w:rStyle w:val="Other1"/>
                <w:b/>
                <w:noProof/>
              </w:rPr>
              <w:t>Ano</w:t>
            </w:r>
          </w:p>
        </w:tc>
        <w:tc>
          <w:tcPr>
            <w:tcW w:w="628" w:type="pct"/>
            <w:vAlign w:val="center"/>
          </w:tcPr>
          <w:p w14:paraId="6A2A0EB0" w14:textId="77777777" w:rsidR="007E501C" w:rsidRPr="0039102C" w:rsidRDefault="007E501C" w:rsidP="002A00BB">
            <w:pPr>
              <w:pStyle w:val="CMR-tables"/>
              <w:keepNext/>
              <w:jc w:val="center"/>
              <w:rPr>
                <w:rFonts w:cs="Times New Roman"/>
                <w:noProof/>
                <w:szCs w:val="20"/>
              </w:rPr>
            </w:pPr>
            <w:r w:rsidRPr="0039102C">
              <w:rPr>
                <w:rStyle w:val="Other1"/>
                <w:noProof/>
              </w:rPr>
              <w:t>2019</w:t>
            </w:r>
          </w:p>
        </w:tc>
        <w:tc>
          <w:tcPr>
            <w:tcW w:w="628" w:type="pct"/>
            <w:vAlign w:val="center"/>
          </w:tcPr>
          <w:p w14:paraId="6A827756" w14:textId="77777777" w:rsidR="007E501C" w:rsidRPr="0039102C" w:rsidRDefault="007E501C" w:rsidP="002A00BB">
            <w:pPr>
              <w:pStyle w:val="CMR-tables"/>
              <w:keepNext/>
              <w:jc w:val="center"/>
              <w:rPr>
                <w:rFonts w:cs="Times New Roman"/>
                <w:noProof/>
                <w:szCs w:val="20"/>
              </w:rPr>
            </w:pPr>
            <w:r w:rsidRPr="0039102C">
              <w:rPr>
                <w:rStyle w:val="Other1"/>
                <w:noProof/>
              </w:rPr>
              <w:t>2020</w:t>
            </w:r>
          </w:p>
        </w:tc>
        <w:tc>
          <w:tcPr>
            <w:tcW w:w="628" w:type="pct"/>
            <w:vAlign w:val="center"/>
          </w:tcPr>
          <w:p w14:paraId="2A2912AF" w14:textId="726A85AD" w:rsidR="007E501C" w:rsidRPr="0039102C" w:rsidRDefault="007E501C" w:rsidP="002A00BB">
            <w:pPr>
              <w:pStyle w:val="CMR-tables"/>
              <w:keepNext/>
              <w:jc w:val="center"/>
              <w:rPr>
                <w:rFonts w:cs="Times New Roman"/>
                <w:noProof/>
                <w:szCs w:val="20"/>
              </w:rPr>
            </w:pPr>
            <w:r w:rsidRPr="0039102C">
              <w:rPr>
                <w:rStyle w:val="Other1"/>
                <w:noProof/>
              </w:rPr>
              <w:t>2021</w:t>
            </w:r>
          </w:p>
        </w:tc>
        <w:tc>
          <w:tcPr>
            <w:tcW w:w="628" w:type="pct"/>
            <w:vAlign w:val="center"/>
          </w:tcPr>
          <w:p w14:paraId="04BE8165" w14:textId="77777777" w:rsidR="007E501C" w:rsidRPr="0039102C" w:rsidRDefault="007E501C" w:rsidP="002A00BB">
            <w:pPr>
              <w:pStyle w:val="CMR-tables"/>
              <w:keepNext/>
              <w:jc w:val="center"/>
              <w:rPr>
                <w:rFonts w:cs="Times New Roman"/>
                <w:noProof/>
                <w:szCs w:val="20"/>
              </w:rPr>
            </w:pPr>
            <w:r w:rsidRPr="0039102C">
              <w:rPr>
                <w:rStyle w:val="Other1"/>
                <w:noProof/>
              </w:rPr>
              <w:t>2022</w:t>
            </w:r>
          </w:p>
        </w:tc>
        <w:tc>
          <w:tcPr>
            <w:tcW w:w="627" w:type="pct"/>
            <w:vAlign w:val="center"/>
          </w:tcPr>
          <w:p w14:paraId="055F91B8" w14:textId="61CC0C18" w:rsidR="007E501C" w:rsidRPr="0039102C" w:rsidRDefault="007E501C" w:rsidP="002A00BB">
            <w:pPr>
              <w:pStyle w:val="CMR-tables"/>
              <w:keepNext/>
              <w:jc w:val="center"/>
              <w:rPr>
                <w:rStyle w:val="Other1"/>
                <w:rFonts w:cs="Times New Roman"/>
                <w:noProof/>
                <w:szCs w:val="20"/>
              </w:rPr>
            </w:pPr>
            <w:r w:rsidRPr="0039102C">
              <w:rPr>
                <w:noProof/>
              </w:rPr>
              <w:t>2023</w:t>
            </w:r>
          </w:p>
        </w:tc>
        <w:tc>
          <w:tcPr>
            <w:tcW w:w="627" w:type="pct"/>
          </w:tcPr>
          <w:p w14:paraId="7DE551CC" w14:textId="20E59625" w:rsidR="00BB032C" w:rsidRPr="0039102C" w:rsidRDefault="00BB032C" w:rsidP="002A00BB">
            <w:pPr>
              <w:pStyle w:val="CMR-tables"/>
              <w:keepNext/>
              <w:jc w:val="center"/>
              <w:rPr>
                <w:rFonts w:cs="Times New Roman"/>
                <w:noProof/>
                <w:szCs w:val="20"/>
              </w:rPr>
            </w:pPr>
            <w:r w:rsidRPr="0039102C">
              <w:rPr>
                <w:noProof/>
              </w:rPr>
              <w:t>2024</w:t>
            </w:r>
          </w:p>
        </w:tc>
      </w:tr>
      <w:tr w:rsidR="00295821" w:rsidRPr="0039102C" w14:paraId="16402BDD" w14:textId="46BB4DCC" w:rsidTr="00A178FF">
        <w:trPr>
          <w:cantSplit/>
          <w:trHeight w:val="700"/>
        </w:trPr>
        <w:tc>
          <w:tcPr>
            <w:tcW w:w="1234" w:type="pct"/>
            <w:shd w:val="clear" w:color="auto" w:fill="D9E2F3" w:themeFill="accent1" w:themeFillTint="33"/>
            <w:vAlign w:val="center"/>
          </w:tcPr>
          <w:p w14:paraId="32ECB3FE" w14:textId="0522B7DB" w:rsidR="007E501C" w:rsidRPr="0039102C" w:rsidRDefault="007E501C" w:rsidP="002A00BB">
            <w:pPr>
              <w:pStyle w:val="CMR-tables"/>
              <w:keepNext/>
              <w:rPr>
                <w:rFonts w:cs="Times New Roman"/>
                <w:b/>
                <w:noProof/>
                <w:szCs w:val="20"/>
              </w:rPr>
            </w:pPr>
            <w:r w:rsidRPr="0039102C">
              <w:rPr>
                <w:rStyle w:val="Other1"/>
                <w:b/>
                <w:noProof/>
              </w:rPr>
              <w:t>Emissões verificadas — aviação</w:t>
            </w:r>
          </w:p>
        </w:tc>
        <w:tc>
          <w:tcPr>
            <w:tcW w:w="628" w:type="pct"/>
            <w:shd w:val="clear" w:color="auto" w:fill="D9E2F3" w:themeFill="accent1" w:themeFillTint="33"/>
            <w:vAlign w:val="center"/>
          </w:tcPr>
          <w:p w14:paraId="3DC1F2D6" w14:textId="77777777" w:rsidR="007E501C" w:rsidRPr="0039102C" w:rsidRDefault="007E501C" w:rsidP="002A00BB">
            <w:pPr>
              <w:pStyle w:val="CMR-tables"/>
              <w:keepNext/>
              <w:jc w:val="center"/>
              <w:rPr>
                <w:rFonts w:cs="Times New Roman"/>
                <w:noProof/>
                <w:szCs w:val="20"/>
              </w:rPr>
            </w:pPr>
            <w:r w:rsidRPr="0039102C">
              <w:rPr>
                <w:rStyle w:val="Other1"/>
                <w:noProof/>
              </w:rPr>
              <w:t>68,2</w:t>
            </w:r>
          </w:p>
        </w:tc>
        <w:tc>
          <w:tcPr>
            <w:tcW w:w="628" w:type="pct"/>
            <w:shd w:val="clear" w:color="auto" w:fill="D9E2F3" w:themeFill="accent1" w:themeFillTint="33"/>
            <w:vAlign w:val="center"/>
          </w:tcPr>
          <w:p w14:paraId="548DD43B" w14:textId="77777777" w:rsidR="007E501C" w:rsidRPr="0039102C" w:rsidRDefault="007E501C" w:rsidP="002A00BB">
            <w:pPr>
              <w:pStyle w:val="CMR-tables"/>
              <w:keepNext/>
              <w:jc w:val="center"/>
              <w:rPr>
                <w:rFonts w:cs="Times New Roman"/>
                <w:noProof/>
                <w:szCs w:val="20"/>
              </w:rPr>
            </w:pPr>
            <w:r w:rsidRPr="0039102C">
              <w:rPr>
                <w:rStyle w:val="Other1"/>
                <w:noProof/>
              </w:rPr>
              <w:t>25,2</w:t>
            </w:r>
          </w:p>
        </w:tc>
        <w:tc>
          <w:tcPr>
            <w:tcW w:w="628" w:type="pct"/>
            <w:shd w:val="clear" w:color="auto" w:fill="D9E2F3" w:themeFill="accent1" w:themeFillTint="33"/>
            <w:vAlign w:val="center"/>
          </w:tcPr>
          <w:p w14:paraId="6013C921" w14:textId="77777777" w:rsidR="007E501C" w:rsidRPr="0039102C" w:rsidRDefault="007E501C" w:rsidP="002A00BB">
            <w:pPr>
              <w:pStyle w:val="CMR-tables"/>
              <w:keepNext/>
              <w:jc w:val="center"/>
              <w:rPr>
                <w:rFonts w:cs="Times New Roman"/>
                <w:noProof/>
                <w:szCs w:val="20"/>
              </w:rPr>
            </w:pPr>
            <w:r w:rsidRPr="0039102C">
              <w:rPr>
                <w:rStyle w:val="Other1"/>
                <w:noProof/>
              </w:rPr>
              <w:t>27,9</w:t>
            </w:r>
          </w:p>
        </w:tc>
        <w:tc>
          <w:tcPr>
            <w:tcW w:w="628" w:type="pct"/>
            <w:shd w:val="clear" w:color="auto" w:fill="D9E2F3" w:themeFill="accent1" w:themeFillTint="33"/>
            <w:vAlign w:val="center"/>
          </w:tcPr>
          <w:p w14:paraId="7217CDD4" w14:textId="1F03BD35" w:rsidR="007E501C" w:rsidRPr="0039102C" w:rsidRDefault="007E501C" w:rsidP="002A00BB">
            <w:pPr>
              <w:pStyle w:val="CMR-tables"/>
              <w:keepNext/>
              <w:jc w:val="center"/>
              <w:rPr>
                <w:rFonts w:cs="Times New Roman"/>
                <w:noProof/>
                <w:szCs w:val="20"/>
              </w:rPr>
            </w:pPr>
            <w:r w:rsidRPr="0039102C">
              <w:rPr>
                <w:rStyle w:val="Other1"/>
                <w:noProof/>
              </w:rPr>
              <w:t>49,5</w:t>
            </w:r>
          </w:p>
        </w:tc>
        <w:tc>
          <w:tcPr>
            <w:tcW w:w="627" w:type="pct"/>
            <w:shd w:val="clear" w:color="auto" w:fill="D9E2F3" w:themeFill="accent1" w:themeFillTint="33"/>
            <w:vAlign w:val="center"/>
          </w:tcPr>
          <w:p w14:paraId="39FF66E5" w14:textId="028CF321" w:rsidR="007E501C" w:rsidRPr="0039102C" w:rsidRDefault="00315885" w:rsidP="002A00BB">
            <w:pPr>
              <w:pStyle w:val="CMR-tables"/>
              <w:keepNext/>
              <w:jc w:val="center"/>
              <w:rPr>
                <w:rStyle w:val="Other1"/>
                <w:rFonts w:cs="Times New Roman"/>
                <w:noProof/>
                <w:szCs w:val="20"/>
              </w:rPr>
            </w:pPr>
            <w:r w:rsidRPr="0039102C">
              <w:rPr>
                <w:rStyle w:val="Other1"/>
                <w:noProof/>
              </w:rPr>
              <w:t>54,3</w:t>
            </w:r>
          </w:p>
        </w:tc>
        <w:tc>
          <w:tcPr>
            <w:tcW w:w="627" w:type="pct"/>
            <w:shd w:val="clear" w:color="auto" w:fill="D9E2F3" w:themeFill="accent1" w:themeFillTint="33"/>
            <w:vAlign w:val="center"/>
          </w:tcPr>
          <w:p w14:paraId="7E05C718" w14:textId="7457E1AC" w:rsidR="00BB032C" w:rsidRPr="0039102C" w:rsidRDefault="008653DA" w:rsidP="008653DA">
            <w:pPr>
              <w:pStyle w:val="CMR-tables"/>
              <w:keepNext/>
              <w:jc w:val="center"/>
              <w:rPr>
                <w:rStyle w:val="Other1"/>
                <w:rFonts w:cs="Times New Roman"/>
                <w:noProof/>
                <w:szCs w:val="20"/>
              </w:rPr>
            </w:pPr>
            <w:r w:rsidRPr="0039102C">
              <w:rPr>
                <w:rStyle w:val="Other1"/>
                <w:noProof/>
              </w:rPr>
              <w:t>62,6</w:t>
            </w:r>
          </w:p>
        </w:tc>
      </w:tr>
      <w:tr w:rsidR="007E501C" w:rsidRPr="0039102C" w14:paraId="43AF3BC3" w14:textId="48288A5F" w:rsidTr="00A178FF">
        <w:trPr>
          <w:cantSplit/>
          <w:trHeight w:val="700"/>
        </w:trPr>
        <w:tc>
          <w:tcPr>
            <w:tcW w:w="1234" w:type="pct"/>
            <w:vAlign w:val="center"/>
          </w:tcPr>
          <w:p w14:paraId="36DF7BDA" w14:textId="501E18DF" w:rsidR="007E501C" w:rsidRPr="0039102C" w:rsidRDefault="2762F557" w:rsidP="002A00BB">
            <w:pPr>
              <w:pStyle w:val="CMR-tables"/>
              <w:keepNext/>
              <w:rPr>
                <w:rFonts w:cs="Times New Roman"/>
                <w:b/>
                <w:noProof/>
                <w:szCs w:val="20"/>
              </w:rPr>
            </w:pPr>
            <w:r w:rsidRPr="0039102C">
              <w:rPr>
                <w:rStyle w:val="Other1"/>
                <w:b/>
                <w:noProof/>
              </w:rPr>
              <w:t>Variação homóloga</w:t>
            </w:r>
            <w:r w:rsidR="007E501C" w:rsidRPr="0039102C">
              <w:rPr>
                <w:rStyle w:val="Other1"/>
                <w:rFonts w:cs="Times New Roman"/>
                <w:b/>
                <w:noProof/>
                <w:szCs w:val="20"/>
                <w:vertAlign w:val="superscript"/>
              </w:rPr>
              <w:footnoteReference w:id="87"/>
            </w:r>
          </w:p>
        </w:tc>
        <w:tc>
          <w:tcPr>
            <w:tcW w:w="628" w:type="pct"/>
            <w:vAlign w:val="center"/>
          </w:tcPr>
          <w:p w14:paraId="369F275F" w14:textId="0C78C193" w:rsidR="007E501C" w:rsidRPr="0039102C" w:rsidRDefault="00DD1E7A" w:rsidP="002A00BB">
            <w:pPr>
              <w:pStyle w:val="CMR-tables"/>
              <w:keepNext/>
              <w:jc w:val="center"/>
              <w:rPr>
                <w:rFonts w:cs="Times New Roman"/>
                <w:noProof/>
                <w:szCs w:val="20"/>
              </w:rPr>
            </w:pPr>
            <w:r w:rsidRPr="0039102C">
              <w:rPr>
                <w:rStyle w:val="Other1"/>
                <w:noProof/>
              </w:rPr>
              <w:t>+1 %</w:t>
            </w:r>
          </w:p>
        </w:tc>
        <w:tc>
          <w:tcPr>
            <w:tcW w:w="628" w:type="pct"/>
            <w:vAlign w:val="center"/>
          </w:tcPr>
          <w:p w14:paraId="12B644CD" w14:textId="77777777" w:rsidR="007E501C" w:rsidRPr="0039102C" w:rsidRDefault="007E501C" w:rsidP="002A00BB">
            <w:pPr>
              <w:pStyle w:val="CMR-tables"/>
              <w:keepNext/>
              <w:jc w:val="center"/>
              <w:rPr>
                <w:rFonts w:cs="Times New Roman"/>
                <w:noProof/>
                <w:szCs w:val="20"/>
              </w:rPr>
            </w:pPr>
            <w:r w:rsidRPr="0039102C">
              <w:rPr>
                <w:rStyle w:val="Other1"/>
                <w:noProof/>
              </w:rPr>
              <w:t>-63 %</w:t>
            </w:r>
          </w:p>
        </w:tc>
        <w:tc>
          <w:tcPr>
            <w:tcW w:w="628" w:type="pct"/>
            <w:vAlign w:val="center"/>
          </w:tcPr>
          <w:p w14:paraId="757A256A" w14:textId="5CD06BF4" w:rsidR="007E501C" w:rsidRPr="0039102C" w:rsidRDefault="00DD1E7A" w:rsidP="002A00BB">
            <w:pPr>
              <w:pStyle w:val="CMR-tables"/>
              <w:keepNext/>
              <w:jc w:val="center"/>
              <w:rPr>
                <w:rFonts w:cs="Times New Roman"/>
                <w:noProof/>
                <w:szCs w:val="20"/>
              </w:rPr>
            </w:pPr>
            <w:r w:rsidRPr="0039102C">
              <w:rPr>
                <w:rStyle w:val="Other1"/>
                <w:noProof/>
              </w:rPr>
              <w:t>+30 %</w:t>
            </w:r>
          </w:p>
        </w:tc>
        <w:tc>
          <w:tcPr>
            <w:tcW w:w="628" w:type="pct"/>
            <w:vAlign w:val="center"/>
          </w:tcPr>
          <w:p w14:paraId="69FA5582" w14:textId="06815A0E" w:rsidR="007E501C" w:rsidRPr="0039102C" w:rsidRDefault="00DD1E7A" w:rsidP="002A00BB">
            <w:pPr>
              <w:pStyle w:val="CMR-tables"/>
              <w:keepNext/>
              <w:jc w:val="center"/>
              <w:rPr>
                <w:rFonts w:cs="Times New Roman"/>
                <w:noProof/>
                <w:szCs w:val="20"/>
              </w:rPr>
            </w:pPr>
            <w:r w:rsidRPr="0039102C">
              <w:rPr>
                <w:rStyle w:val="Other1"/>
                <w:noProof/>
              </w:rPr>
              <w:t>+77 %</w:t>
            </w:r>
          </w:p>
        </w:tc>
        <w:tc>
          <w:tcPr>
            <w:tcW w:w="627" w:type="pct"/>
            <w:vAlign w:val="center"/>
          </w:tcPr>
          <w:p w14:paraId="461F2748" w14:textId="6A797586" w:rsidR="007E501C" w:rsidRPr="0039102C" w:rsidRDefault="00DD1E7A" w:rsidP="002A00BB">
            <w:pPr>
              <w:pStyle w:val="CMR-tables"/>
              <w:keepNext/>
              <w:jc w:val="center"/>
              <w:rPr>
                <w:rStyle w:val="Other1"/>
                <w:rFonts w:cs="Times New Roman"/>
                <w:noProof/>
                <w:szCs w:val="20"/>
              </w:rPr>
            </w:pPr>
            <w:r w:rsidRPr="0039102C">
              <w:rPr>
                <w:rStyle w:val="Other1"/>
                <w:noProof/>
              </w:rPr>
              <w:t>+9,7 %</w:t>
            </w:r>
          </w:p>
        </w:tc>
        <w:tc>
          <w:tcPr>
            <w:tcW w:w="627" w:type="pct"/>
            <w:vAlign w:val="center"/>
          </w:tcPr>
          <w:p w14:paraId="67C1760C" w14:textId="70AAC5C4" w:rsidR="00BB032C" w:rsidRPr="0039102C" w:rsidRDefault="36804EEB" w:rsidP="002A00BB">
            <w:pPr>
              <w:pStyle w:val="CMR-tables"/>
              <w:keepNext/>
              <w:jc w:val="center"/>
              <w:rPr>
                <w:rStyle w:val="Other1"/>
                <w:rFonts w:cs="Times New Roman"/>
                <w:noProof/>
                <w:szCs w:val="20"/>
              </w:rPr>
            </w:pPr>
            <w:r w:rsidRPr="0039102C">
              <w:rPr>
                <w:rStyle w:val="Other1"/>
                <w:noProof/>
              </w:rPr>
              <w:t>+15,3 %</w:t>
            </w:r>
          </w:p>
        </w:tc>
      </w:tr>
      <w:tr w:rsidR="00107511" w:rsidRPr="0039102C" w14:paraId="50DB2BA5" w14:textId="1C895502" w:rsidTr="00A178FF">
        <w:trPr>
          <w:cantSplit/>
          <w:trHeight w:val="1160"/>
        </w:trPr>
        <w:tc>
          <w:tcPr>
            <w:tcW w:w="1234" w:type="pct"/>
            <w:shd w:val="clear" w:color="auto" w:fill="D9E2F3" w:themeFill="accent1" w:themeFillTint="33"/>
            <w:vAlign w:val="center"/>
          </w:tcPr>
          <w:p w14:paraId="34947205" w14:textId="7542D6BF" w:rsidR="007E501C" w:rsidRPr="0039102C" w:rsidRDefault="35CC395A" w:rsidP="00961535">
            <w:pPr>
              <w:pStyle w:val="CMR-tables"/>
              <w:keepNext/>
              <w:rPr>
                <w:rFonts w:cs="Times New Roman"/>
                <w:b/>
                <w:noProof/>
                <w:szCs w:val="20"/>
              </w:rPr>
            </w:pPr>
            <w:r w:rsidRPr="0039102C">
              <w:rPr>
                <w:rStyle w:val="Other1"/>
                <w:b/>
                <w:noProof/>
              </w:rPr>
              <w:t>Atribuição a título gratuito (UE27 + Islândia, Listenstaine e Noruega + Reino Unido + Suíça)</w:t>
            </w:r>
            <w:r w:rsidR="007E501C" w:rsidRPr="0039102C">
              <w:rPr>
                <w:rStyle w:val="Other1"/>
                <w:rFonts w:cs="Times New Roman"/>
                <w:b/>
                <w:noProof/>
                <w:szCs w:val="20"/>
                <w:vertAlign w:val="superscript"/>
              </w:rPr>
              <w:footnoteReference w:id="88"/>
            </w:r>
          </w:p>
        </w:tc>
        <w:tc>
          <w:tcPr>
            <w:tcW w:w="628" w:type="pct"/>
            <w:shd w:val="clear" w:color="auto" w:fill="D9E2F3" w:themeFill="accent1" w:themeFillTint="33"/>
            <w:vAlign w:val="center"/>
          </w:tcPr>
          <w:p w14:paraId="3DE6FCEA" w14:textId="77777777" w:rsidR="007E501C" w:rsidRPr="0039102C" w:rsidRDefault="2762F557" w:rsidP="002A00BB">
            <w:pPr>
              <w:pStyle w:val="CMR-tables"/>
              <w:keepNext/>
              <w:jc w:val="center"/>
              <w:rPr>
                <w:rFonts w:cs="Times New Roman"/>
                <w:noProof/>
                <w:szCs w:val="20"/>
              </w:rPr>
            </w:pPr>
            <w:r w:rsidRPr="0039102C">
              <w:rPr>
                <w:rStyle w:val="Other1"/>
                <w:noProof/>
              </w:rPr>
              <w:t>31,3</w:t>
            </w:r>
            <w:r w:rsidR="007E501C" w:rsidRPr="0039102C">
              <w:rPr>
                <w:rStyle w:val="Other1"/>
                <w:rFonts w:cs="Times New Roman"/>
                <w:noProof/>
                <w:szCs w:val="20"/>
                <w:vertAlign w:val="superscript"/>
              </w:rPr>
              <w:footnoteReference w:id="89"/>
            </w:r>
          </w:p>
        </w:tc>
        <w:tc>
          <w:tcPr>
            <w:tcW w:w="628" w:type="pct"/>
            <w:shd w:val="clear" w:color="auto" w:fill="D9E2F3" w:themeFill="accent1" w:themeFillTint="33"/>
            <w:vAlign w:val="center"/>
          </w:tcPr>
          <w:p w14:paraId="61816157" w14:textId="77777777" w:rsidR="007E501C" w:rsidRPr="0039102C" w:rsidRDefault="007E501C" w:rsidP="002A00BB">
            <w:pPr>
              <w:pStyle w:val="CMR-tables"/>
              <w:keepNext/>
              <w:jc w:val="center"/>
              <w:rPr>
                <w:rFonts w:cs="Times New Roman"/>
                <w:noProof/>
                <w:szCs w:val="20"/>
              </w:rPr>
            </w:pPr>
            <w:r w:rsidRPr="0039102C">
              <w:rPr>
                <w:rStyle w:val="Other1"/>
                <w:noProof/>
              </w:rPr>
              <w:t>32,5</w:t>
            </w:r>
          </w:p>
        </w:tc>
        <w:tc>
          <w:tcPr>
            <w:tcW w:w="628" w:type="pct"/>
            <w:shd w:val="clear" w:color="auto" w:fill="D9E2F3" w:themeFill="accent1" w:themeFillTint="33"/>
            <w:vAlign w:val="center"/>
          </w:tcPr>
          <w:p w14:paraId="3B80399F" w14:textId="77777777" w:rsidR="007E501C" w:rsidRPr="0039102C" w:rsidRDefault="007E501C" w:rsidP="002A00BB">
            <w:pPr>
              <w:pStyle w:val="CMR-tables"/>
              <w:keepNext/>
              <w:jc w:val="center"/>
              <w:rPr>
                <w:rFonts w:cs="Times New Roman"/>
                <w:noProof/>
                <w:szCs w:val="20"/>
              </w:rPr>
            </w:pPr>
            <w:r w:rsidRPr="0039102C">
              <w:rPr>
                <w:rStyle w:val="Other1"/>
                <w:noProof/>
              </w:rPr>
              <w:t>24,0</w:t>
            </w:r>
          </w:p>
        </w:tc>
        <w:tc>
          <w:tcPr>
            <w:tcW w:w="628" w:type="pct"/>
            <w:shd w:val="clear" w:color="auto" w:fill="D9E2F3" w:themeFill="accent1" w:themeFillTint="33"/>
            <w:vAlign w:val="center"/>
          </w:tcPr>
          <w:p w14:paraId="412F5BA2" w14:textId="77777777" w:rsidR="007E501C" w:rsidRPr="0039102C" w:rsidRDefault="007E501C" w:rsidP="002A00BB">
            <w:pPr>
              <w:pStyle w:val="CMR-tables"/>
              <w:keepNext/>
              <w:jc w:val="center"/>
              <w:rPr>
                <w:rFonts w:cs="Times New Roman"/>
                <w:noProof/>
                <w:szCs w:val="20"/>
              </w:rPr>
            </w:pPr>
            <w:r w:rsidRPr="0039102C">
              <w:rPr>
                <w:rStyle w:val="Other1"/>
                <w:noProof/>
              </w:rPr>
              <w:t>23,1</w:t>
            </w:r>
          </w:p>
        </w:tc>
        <w:tc>
          <w:tcPr>
            <w:tcW w:w="627" w:type="pct"/>
            <w:shd w:val="clear" w:color="auto" w:fill="D9E2F3" w:themeFill="accent1" w:themeFillTint="33"/>
            <w:vAlign w:val="center"/>
          </w:tcPr>
          <w:p w14:paraId="51D481D3" w14:textId="56E7A621" w:rsidR="007E501C" w:rsidRPr="0039102C" w:rsidRDefault="00DF080A" w:rsidP="002A00BB">
            <w:pPr>
              <w:pStyle w:val="CMR-tables"/>
              <w:keepNext/>
              <w:jc w:val="center"/>
              <w:rPr>
                <w:rStyle w:val="Other1"/>
                <w:rFonts w:cs="Times New Roman"/>
                <w:noProof/>
                <w:szCs w:val="20"/>
              </w:rPr>
            </w:pPr>
            <w:r w:rsidRPr="0039102C">
              <w:rPr>
                <w:rStyle w:val="Other1"/>
                <w:noProof/>
              </w:rPr>
              <w:t>22,5</w:t>
            </w:r>
          </w:p>
        </w:tc>
        <w:tc>
          <w:tcPr>
            <w:tcW w:w="627" w:type="pct"/>
            <w:shd w:val="clear" w:color="auto" w:fill="D9E2F3" w:themeFill="accent1" w:themeFillTint="33"/>
            <w:vAlign w:val="center"/>
          </w:tcPr>
          <w:p w14:paraId="3E999487" w14:textId="6DC2F47F" w:rsidR="00BB032C" w:rsidRPr="0039102C" w:rsidRDefault="7059CF8E" w:rsidP="002A00BB">
            <w:pPr>
              <w:pStyle w:val="CMR-tables"/>
              <w:keepNext/>
              <w:jc w:val="center"/>
              <w:rPr>
                <w:rStyle w:val="Other1"/>
                <w:rFonts w:cs="Times New Roman"/>
                <w:noProof/>
                <w:szCs w:val="20"/>
              </w:rPr>
            </w:pPr>
            <w:r w:rsidRPr="0039102C">
              <w:rPr>
                <w:rStyle w:val="Other1"/>
                <w:noProof/>
              </w:rPr>
              <w:t>17,5</w:t>
            </w:r>
          </w:p>
        </w:tc>
      </w:tr>
      <w:tr w:rsidR="6EA2F39D" w:rsidRPr="0039102C" w14:paraId="499F39A7" w14:textId="77777777" w:rsidTr="00EB1066">
        <w:trPr>
          <w:cantSplit/>
          <w:trHeight w:val="1160"/>
        </w:trPr>
        <w:tc>
          <w:tcPr>
            <w:tcW w:w="1234" w:type="pct"/>
            <w:vAlign w:val="center"/>
          </w:tcPr>
          <w:p w14:paraId="2E995FFA" w14:textId="058289E1" w:rsidR="5F7D8720" w:rsidRPr="0039102C" w:rsidRDefault="5F7D8720" w:rsidP="00737D42">
            <w:pPr>
              <w:pStyle w:val="CMR-tables"/>
              <w:rPr>
                <w:rStyle w:val="Other1"/>
                <w:rFonts w:cs="Times New Roman"/>
                <w:b/>
                <w:noProof/>
                <w:kern w:val="2"/>
                <w:szCs w:val="20"/>
                <w14:ligatures w14:val="standardContextual"/>
              </w:rPr>
            </w:pPr>
            <w:r w:rsidRPr="0039102C">
              <w:rPr>
                <w:rStyle w:val="Other1"/>
                <w:b/>
                <w:noProof/>
              </w:rPr>
              <w:t>Licenças de emissão atribuídas para apoiar o abastecimento de combustíveis de aviação sustentáveis (FEETS)</w:t>
            </w:r>
          </w:p>
        </w:tc>
        <w:tc>
          <w:tcPr>
            <w:tcW w:w="628" w:type="pct"/>
            <w:vAlign w:val="center"/>
          </w:tcPr>
          <w:p w14:paraId="10F5EA00" w14:textId="34F49AEA" w:rsidR="6EA2F39D" w:rsidRPr="0039102C" w:rsidRDefault="5F7D8720" w:rsidP="00737D42">
            <w:pPr>
              <w:pStyle w:val="CMR-tables"/>
              <w:jc w:val="center"/>
              <w:rPr>
                <w:rStyle w:val="Other1"/>
                <w:rFonts w:cs="Times New Roman"/>
                <w:noProof/>
                <w:kern w:val="2"/>
                <w:szCs w:val="20"/>
                <w14:ligatures w14:val="standardContextual"/>
              </w:rPr>
            </w:pPr>
            <w:r w:rsidRPr="0039102C">
              <w:rPr>
                <w:rStyle w:val="Other1"/>
                <w:noProof/>
              </w:rPr>
              <w:t>/</w:t>
            </w:r>
          </w:p>
        </w:tc>
        <w:tc>
          <w:tcPr>
            <w:tcW w:w="628" w:type="pct"/>
            <w:vAlign w:val="center"/>
          </w:tcPr>
          <w:p w14:paraId="3EE20562" w14:textId="11EB6ED3" w:rsidR="6EA2F39D" w:rsidRPr="0039102C" w:rsidRDefault="5F7D8720" w:rsidP="00737D42">
            <w:pPr>
              <w:pStyle w:val="CMR-tables"/>
              <w:jc w:val="center"/>
              <w:rPr>
                <w:rStyle w:val="Other1"/>
                <w:rFonts w:cs="Times New Roman"/>
                <w:noProof/>
                <w:kern w:val="2"/>
                <w:szCs w:val="20"/>
                <w14:ligatures w14:val="standardContextual"/>
              </w:rPr>
            </w:pPr>
            <w:r w:rsidRPr="0039102C">
              <w:rPr>
                <w:rStyle w:val="Other1"/>
                <w:noProof/>
              </w:rPr>
              <w:t>/</w:t>
            </w:r>
          </w:p>
        </w:tc>
        <w:tc>
          <w:tcPr>
            <w:tcW w:w="628" w:type="pct"/>
            <w:vAlign w:val="center"/>
          </w:tcPr>
          <w:p w14:paraId="170238C3" w14:textId="2F912480" w:rsidR="6EA2F39D" w:rsidRPr="0039102C" w:rsidRDefault="5F7D8720" w:rsidP="00737D42">
            <w:pPr>
              <w:pStyle w:val="CMR-tables"/>
              <w:jc w:val="center"/>
              <w:rPr>
                <w:rStyle w:val="Other1"/>
                <w:rFonts w:cs="Times New Roman"/>
                <w:noProof/>
                <w:kern w:val="2"/>
                <w:szCs w:val="20"/>
                <w14:ligatures w14:val="standardContextual"/>
              </w:rPr>
            </w:pPr>
            <w:r w:rsidRPr="0039102C">
              <w:rPr>
                <w:rStyle w:val="Other1"/>
                <w:noProof/>
              </w:rPr>
              <w:t>/</w:t>
            </w:r>
          </w:p>
        </w:tc>
        <w:tc>
          <w:tcPr>
            <w:tcW w:w="628" w:type="pct"/>
            <w:vAlign w:val="center"/>
          </w:tcPr>
          <w:p w14:paraId="55071440" w14:textId="4DB68711" w:rsidR="6EA2F39D" w:rsidRPr="0039102C" w:rsidRDefault="5F7D8720" w:rsidP="00737D42">
            <w:pPr>
              <w:pStyle w:val="CMR-tables"/>
              <w:jc w:val="center"/>
              <w:rPr>
                <w:rStyle w:val="Other1"/>
                <w:rFonts w:cs="Times New Roman"/>
                <w:noProof/>
                <w:kern w:val="2"/>
                <w:szCs w:val="20"/>
                <w14:ligatures w14:val="standardContextual"/>
              </w:rPr>
            </w:pPr>
            <w:r w:rsidRPr="0039102C">
              <w:rPr>
                <w:rStyle w:val="Other1"/>
                <w:noProof/>
              </w:rPr>
              <w:t>/</w:t>
            </w:r>
          </w:p>
        </w:tc>
        <w:tc>
          <w:tcPr>
            <w:tcW w:w="627" w:type="pct"/>
            <w:vAlign w:val="center"/>
          </w:tcPr>
          <w:p w14:paraId="2D68E78A" w14:textId="0B5EAA28" w:rsidR="6EA2F39D" w:rsidRPr="0039102C" w:rsidRDefault="5F7D8720" w:rsidP="00737D42">
            <w:pPr>
              <w:pStyle w:val="CMR-tables"/>
              <w:jc w:val="center"/>
              <w:rPr>
                <w:rStyle w:val="Other1"/>
                <w:rFonts w:cs="Times New Roman"/>
                <w:noProof/>
                <w:kern w:val="2"/>
                <w:szCs w:val="20"/>
                <w14:ligatures w14:val="standardContextual"/>
              </w:rPr>
            </w:pPr>
            <w:r w:rsidRPr="0039102C">
              <w:rPr>
                <w:rStyle w:val="Other1"/>
                <w:noProof/>
              </w:rPr>
              <w:t>/</w:t>
            </w:r>
          </w:p>
        </w:tc>
        <w:tc>
          <w:tcPr>
            <w:tcW w:w="627" w:type="pct"/>
            <w:vAlign w:val="center"/>
          </w:tcPr>
          <w:p w14:paraId="68D09F23" w14:textId="46523BCB" w:rsidR="6EA2F39D" w:rsidRPr="0039102C" w:rsidRDefault="5F7D8720" w:rsidP="00737D42">
            <w:pPr>
              <w:pStyle w:val="CMR-tables"/>
              <w:jc w:val="center"/>
              <w:rPr>
                <w:rStyle w:val="Other1"/>
                <w:rFonts w:cs="Times New Roman"/>
                <w:noProof/>
                <w:kern w:val="2"/>
                <w:szCs w:val="20"/>
                <w14:ligatures w14:val="standardContextual"/>
              </w:rPr>
            </w:pPr>
            <w:r w:rsidRPr="0039102C">
              <w:rPr>
                <w:rStyle w:val="Other1"/>
                <w:noProof/>
              </w:rPr>
              <w:t>1,3</w:t>
            </w:r>
          </w:p>
        </w:tc>
      </w:tr>
      <w:tr w:rsidR="007E501C" w:rsidRPr="0039102C" w14:paraId="31465E84" w14:textId="7A487060" w:rsidTr="00A178FF">
        <w:trPr>
          <w:cantSplit/>
          <w:trHeight w:val="1160"/>
        </w:trPr>
        <w:tc>
          <w:tcPr>
            <w:tcW w:w="1234" w:type="pct"/>
            <w:shd w:val="clear" w:color="auto" w:fill="D9E2F3" w:themeFill="accent1" w:themeFillTint="33"/>
            <w:vAlign w:val="center"/>
          </w:tcPr>
          <w:p w14:paraId="032631F6" w14:textId="77777777" w:rsidR="007E501C" w:rsidRPr="0039102C" w:rsidRDefault="46EF4A87" w:rsidP="0A98DA47">
            <w:pPr>
              <w:pStyle w:val="CMR-tables"/>
              <w:keepNext/>
              <w:rPr>
                <w:rFonts w:cs="Times New Roman"/>
                <w:b/>
                <w:noProof/>
                <w:szCs w:val="20"/>
              </w:rPr>
            </w:pPr>
            <w:r w:rsidRPr="0039102C">
              <w:rPr>
                <w:rStyle w:val="Other1"/>
                <w:b/>
                <w:noProof/>
              </w:rPr>
              <w:t>Atribuição a título gratuito da reserva especial para novos operadores e operadores em rápido crescimento</w:t>
            </w:r>
          </w:p>
        </w:tc>
        <w:tc>
          <w:tcPr>
            <w:tcW w:w="628" w:type="pct"/>
            <w:shd w:val="clear" w:color="auto" w:fill="D9E2F3" w:themeFill="accent1" w:themeFillTint="33"/>
            <w:vAlign w:val="center"/>
          </w:tcPr>
          <w:p w14:paraId="6B5755C0" w14:textId="77777777" w:rsidR="007E501C" w:rsidRPr="0039102C" w:rsidRDefault="007E501C" w:rsidP="002A00BB">
            <w:pPr>
              <w:pStyle w:val="CMR-tables"/>
              <w:keepNext/>
              <w:jc w:val="center"/>
              <w:rPr>
                <w:rFonts w:cs="Times New Roman"/>
                <w:noProof/>
                <w:szCs w:val="20"/>
              </w:rPr>
            </w:pPr>
            <w:r w:rsidRPr="0039102C">
              <w:rPr>
                <w:rStyle w:val="Other1"/>
                <w:noProof/>
              </w:rPr>
              <w:t>1,0</w:t>
            </w:r>
          </w:p>
        </w:tc>
        <w:tc>
          <w:tcPr>
            <w:tcW w:w="628" w:type="pct"/>
            <w:shd w:val="clear" w:color="auto" w:fill="D9E2F3" w:themeFill="accent1" w:themeFillTint="33"/>
            <w:vAlign w:val="center"/>
          </w:tcPr>
          <w:p w14:paraId="1081871D" w14:textId="77777777" w:rsidR="007E501C" w:rsidRPr="0039102C" w:rsidRDefault="007E501C" w:rsidP="002A00BB">
            <w:pPr>
              <w:pStyle w:val="CMR-tables"/>
              <w:keepNext/>
              <w:jc w:val="center"/>
              <w:rPr>
                <w:rFonts w:cs="Times New Roman"/>
                <w:noProof/>
                <w:szCs w:val="20"/>
              </w:rPr>
            </w:pPr>
            <w:r w:rsidRPr="0039102C">
              <w:rPr>
                <w:rStyle w:val="Other1"/>
                <w:noProof/>
              </w:rPr>
              <w:t>0,8</w:t>
            </w:r>
          </w:p>
        </w:tc>
        <w:tc>
          <w:tcPr>
            <w:tcW w:w="628" w:type="pct"/>
            <w:shd w:val="clear" w:color="auto" w:fill="D9E2F3" w:themeFill="accent1" w:themeFillTint="33"/>
            <w:vAlign w:val="center"/>
          </w:tcPr>
          <w:p w14:paraId="54291E5A" w14:textId="77777777" w:rsidR="007E501C" w:rsidRPr="0039102C" w:rsidRDefault="007E501C" w:rsidP="002A00BB">
            <w:pPr>
              <w:pStyle w:val="CMR-tables"/>
              <w:keepNext/>
              <w:jc w:val="center"/>
              <w:rPr>
                <w:rFonts w:cs="Times New Roman"/>
                <w:noProof/>
                <w:szCs w:val="20"/>
              </w:rPr>
            </w:pPr>
            <w:r w:rsidRPr="0039102C">
              <w:rPr>
                <w:rStyle w:val="Other1"/>
                <w:noProof/>
              </w:rPr>
              <w:t>0,3</w:t>
            </w:r>
          </w:p>
        </w:tc>
        <w:tc>
          <w:tcPr>
            <w:tcW w:w="628" w:type="pct"/>
            <w:shd w:val="clear" w:color="auto" w:fill="D9E2F3" w:themeFill="accent1" w:themeFillTint="33"/>
            <w:vAlign w:val="center"/>
          </w:tcPr>
          <w:p w14:paraId="487E5316" w14:textId="77777777" w:rsidR="007E501C" w:rsidRPr="0039102C" w:rsidRDefault="007E501C" w:rsidP="002A00BB">
            <w:pPr>
              <w:pStyle w:val="CMR-tables"/>
              <w:keepNext/>
              <w:jc w:val="center"/>
              <w:rPr>
                <w:rFonts w:cs="Times New Roman"/>
                <w:noProof/>
                <w:szCs w:val="20"/>
              </w:rPr>
            </w:pPr>
            <w:r w:rsidRPr="0039102C">
              <w:rPr>
                <w:rStyle w:val="Other1"/>
                <w:noProof/>
              </w:rPr>
              <w:t>0,25</w:t>
            </w:r>
          </w:p>
        </w:tc>
        <w:tc>
          <w:tcPr>
            <w:tcW w:w="627" w:type="pct"/>
            <w:shd w:val="clear" w:color="auto" w:fill="D9E2F3" w:themeFill="accent1" w:themeFillTint="33"/>
            <w:vAlign w:val="center"/>
          </w:tcPr>
          <w:p w14:paraId="5776A82B" w14:textId="078702F0" w:rsidR="007E501C" w:rsidRPr="0039102C" w:rsidRDefault="00F44906" w:rsidP="002A00BB">
            <w:pPr>
              <w:pStyle w:val="CMR-tables"/>
              <w:keepNext/>
              <w:jc w:val="center"/>
              <w:rPr>
                <w:rStyle w:val="Other1"/>
                <w:rFonts w:cs="Times New Roman"/>
                <w:noProof/>
                <w:szCs w:val="20"/>
              </w:rPr>
            </w:pPr>
            <w:r w:rsidRPr="0039102C">
              <w:rPr>
                <w:rStyle w:val="Other1"/>
                <w:noProof/>
              </w:rPr>
              <w:t>0,23</w:t>
            </w:r>
          </w:p>
        </w:tc>
        <w:tc>
          <w:tcPr>
            <w:tcW w:w="627" w:type="pct"/>
            <w:shd w:val="clear" w:color="auto" w:fill="D9E2F3" w:themeFill="accent1" w:themeFillTint="33"/>
            <w:vAlign w:val="center"/>
          </w:tcPr>
          <w:p w14:paraId="16CDFBCC" w14:textId="7BD40996" w:rsidR="00BB032C" w:rsidRPr="0039102C" w:rsidRDefault="6467FE81" w:rsidP="002A00BB">
            <w:pPr>
              <w:pStyle w:val="CMR-tables"/>
              <w:keepNext/>
              <w:jc w:val="center"/>
              <w:rPr>
                <w:rStyle w:val="Other1"/>
                <w:rFonts w:cs="Times New Roman"/>
                <w:noProof/>
                <w:szCs w:val="20"/>
              </w:rPr>
            </w:pPr>
            <w:r w:rsidRPr="0039102C">
              <w:rPr>
                <w:rStyle w:val="Other1"/>
                <w:noProof/>
              </w:rPr>
              <w:t>/</w:t>
            </w:r>
          </w:p>
        </w:tc>
      </w:tr>
      <w:tr w:rsidR="00107511" w:rsidRPr="0039102C" w14:paraId="3B340DB4" w14:textId="19732043" w:rsidTr="00A178FF">
        <w:trPr>
          <w:cantSplit/>
          <w:trHeight w:val="703"/>
        </w:trPr>
        <w:tc>
          <w:tcPr>
            <w:tcW w:w="1234" w:type="pct"/>
            <w:vAlign w:val="center"/>
          </w:tcPr>
          <w:p w14:paraId="73A4BA87" w14:textId="304CA439" w:rsidR="007E501C" w:rsidRPr="0039102C" w:rsidRDefault="007E501C" w:rsidP="002A00BB">
            <w:pPr>
              <w:pStyle w:val="CMR-tables"/>
              <w:keepNext/>
              <w:rPr>
                <w:rFonts w:cs="Times New Roman"/>
                <w:b/>
                <w:noProof/>
                <w:szCs w:val="20"/>
              </w:rPr>
            </w:pPr>
            <w:r w:rsidRPr="0039102C">
              <w:rPr>
                <w:rStyle w:val="Other1"/>
                <w:b/>
                <w:noProof/>
              </w:rPr>
              <w:t xml:space="preserve">Volumes de licenças leiloadas </w:t>
            </w:r>
          </w:p>
        </w:tc>
        <w:tc>
          <w:tcPr>
            <w:tcW w:w="628" w:type="pct"/>
            <w:vAlign w:val="center"/>
          </w:tcPr>
          <w:p w14:paraId="1194BF50" w14:textId="77777777" w:rsidR="007E501C" w:rsidRPr="0039102C" w:rsidRDefault="007E501C" w:rsidP="002A00BB">
            <w:pPr>
              <w:pStyle w:val="CMR-tables"/>
              <w:keepNext/>
              <w:jc w:val="center"/>
              <w:rPr>
                <w:rFonts w:cs="Times New Roman"/>
                <w:noProof/>
                <w:szCs w:val="20"/>
              </w:rPr>
            </w:pPr>
            <w:r w:rsidRPr="0039102C">
              <w:rPr>
                <w:rStyle w:val="Other1"/>
                <w:noProof/>
              </w:rPr>
              <w:t>5,5</w:t>
            </w:r>
          </w:p>
        </w:tc>
        <w:tc>
          <w:tcPr>
            <w:tcW w:w="628" w:type="pct"/>
            <w:vAlign w:val="center"/>
          </w:tcPr>
          <w:p w14:paraId="127C13B1" w14:textId="77777777" w:rsidR="007E501C" w:rsidRPr="0039102C" w:rsidRDefault="007E501C" w:rsidP="002A00BB">
            <w:pPr>
              <w:pStyle w:val="CMR-tables"/>
              <w:keepNext/>
              <w:jc w:val="center"/>
              <w:rPr>
                <w:rFonts w:cs="Times New Roman"/>
                <w:noProof/>
                <w:szCs w:val="20"/>
              </w:rPr>
            </w:pPr>
            <w:r w:rsidRPr="0039102C">
              <w:rPr>
                <w:rStyle w:val="Other1"/>
                <w:noProof/>
              </w:rPr>
              <w:t>9,2</w:t>
            </w:r>
          </w:p>
        </w:tc>
        <w:tc>
          <w:tcPr>
            <w:tcW w:w="628" w:type="pct"/>
            <w:vAlign w:val="center"/>
          </w:tcPr>
          <w:p w14:paraId="3D0C268C" w14:textId="77777777" w:rsidR="007E501C" w:rsidRPr="0039102C" w:rsidRDefault="007E501C" w:rsidP="002A00BB">
            <w:pPr>
              <w:pStyle w:val="CMR-tables"/>
              <w:keepNext/>
              <w:jc w:val="center"/>
              <w:rPr>
                <w:rFonts w:cs="Times New Roman"/>
                <w:noProof/>
                <w:szCs w:val="20"/>
              </w:rPr>
            </w:pPr>
            <w:r w:rsidRPr="0039102C">
              <w:rPr>
                <w:rStyle w:val="Other1"/>
                <w:noProof/>
              </w:rPr>
              <w:t>3,8</w:t>
            </w:r>
          </w:p>
        </w:tc>
        <w:tc>
          <w:tcPr>
            <w:tcW w:w="628" w:type="pct"/>
            <w:vAlign w:val="center"/>
          </w:tcPr>
          <w:p w14:paraId="162F9A02" w14:textId="77777777" w:rsidR="007E501C" w:rsidRPr="0039102C" w:rsidRDefault="007E501C" w:rsidP="002A00BB">
            <w:pPr>
              <w:pStyle w:val="CMR-tables"/>
              <w:keepNext/>
              <w:jc w:val="center"/>
              <w:rPr>
                <w:rFonts w:cs="Times New Roman"/>
                <w:noProof/>
                <w:szCs w:val="20"/>
              </w:rPr>
            </w:pPr>
            <w:r w:rsidRPr="0039102C">
              <w:rPr>
                <w:rStyle w:val="Other1"/>
                <w:noProof/>
              </w:rPr>
              <w:t>3,7</w:t>
            </w:r>
          </w:p>
        </w:tc>
        <w:tc>
          <w:tcPr>
            <w:tcW w:w="627" w:type="pct"/>
            <w:vAlign w:val="center"/>
          </w:tcPr>
          <w:p w14:paraId="0253F7EF" w14:textId="33A8D388" w:rsidR="007E501C" w:rsidRPr="0039102C" w:rsidRDefault="0020596C" w:rsidP="00181A1C">
            <w:pPr>
              <w:pStyle w:val="CMR-tables"/>
              <w:keepNext/>
              <w:jc w:val="center"/>
              <w:rPr>
                <w:rStyle w:val="Other1"/>
                <w:rFonts w:cs="Times New Roman"/>
                <w:noProof/>
                <w:szCs w:val="20"/>
              </w:rPr>
            </w:pPr>
            <w:r w:rsidRPr="0039102C">
              <w:rPr>
                <w:rStyle w:val="Other1"/>
                <w:noProof/>
              </w:rPr>
              <w:t>5,7</w:t>
            </w:r>
          </w:p>
        </w:tc>
        <w:tc>
          <w:tcPr>
            <w:tcW w:w="627" w:type="pct"/>
            <w:vAlign w:val="center"/>
          </w:tcPr>
          <w:p w14:paraId="3E61F7A8" w14:textId="7424B4B0" w:rsidR="00BB032C" w:rsidRPr="0039102C" w:rsidRDefault="1E586E71" w:rsidP="002A00BB">
            <w:pPr>
              <w:pStyle w:val="CMR-tables"/>
              <w:keepNext/>
              <w:jc w:val="center"/>
              <w:rPr>
                <w:rStyle w:val="Other1"/>
                <w:rFonts w:cs="Times New Roman"/>
                <w:noProof/>
                <w:szCs w:val="20"/>
              </w:rPr>
            </w:pPr>
            <w:r w:rsidRPr="0039102C">
              <w:rPr>
                <w:rStyle w:val="Other1"/>
                <w:noProof/>
              </w:rPr>
              <w:t>6,7</w:t>
            </w:r>
          </w:p>
        </w:tc>
      </w:tr>
    </w:tbl>
    <w:p w14:paraId="0F0942C9" w14:textId="638F5544" w:rsidR="00254618" w:rsidRPr="0039102C" w:rsidRDefault="00187D4D" w:rsidP="00187D4D">
      <w:pPr>
        <w:pStyle w:val="CMR-text"/>
        <w:rPr>
          <w:rStyle w:val="Bodytext1"/>
          <w:rFonts w:cs="Times New Roman"/>
          <w:noProof/>
        </w:rPr>
      </w:pPr>
      <w:r w:rsidRPr="0039102C">
        <w:rPr>
          <w:rStyle w:val="Bodytext1"/>
          <w:noProof/>
        </w:rPr>
        <w:t>A revisão de 2023 da Diretiva CELE promoveu a aplicação do princípio do poluidor-pagador no setor da aviação. As licenças de emissão a título gratuito para os operadores de aeronaves serão gradualmente eliminadas até ao final de 2025. Em 2025, são atribuídas aos operadores de aeronaves menos 50 % de licenças de emissão a título gratuito.</w:t>
      </w:r>
    </w:p>
    <w:p w14:paraId="7B2BE992" w14:textId="74F07109" w:rsidR="00187D4D" w:rsidRPr="0039102C" w:rsidRDefault="04CBF91F" w:rsidP="00187D4D">
      <w:pPr>
        <w:pStyle w:val="CMR-text"/>
        <w:rPr>
          <w:rStyle w:val="Bodytext1"/>
          <w:rFonts w:cs="Times New Roman"/>
          <w:noProof/>
        </w:rPr>
      </w:pPr>
      <w:r w:rsidRPr="0039102C">
        <w:rPr>
          <w:noProof/>
        </w:rPr>
        <w:t>A descarbonização da aviação constitui uma necessidade urgente. O preço do carbono no âmbito do CELE já proporciona um incentivo de cerca de 200 EUR por tonelada de combustível de aviação sustentável utilizado, em comparação com o querosene fóssil. Em 2025, a Comissão implementou um mecanismo de apoio adicional no âmbito do CELE para a utilização de combustíveis de aviação sustentáveis. Por cada tonelada de combustível elegível utilizada numa rota do CELE, as companhias aéreas podem solicitar um apoio de cerca de 500 EUR a 7 000 EUR</w:t>
      </w:r>
      <w:r w:rsidR="00835DC2" w:rsidRPr="0039102C">
        <w:rPr>
          <w:rFonts w:cs="Times New Roman"/>
          <w:noProof/>
          <w:vertAlign w:val="superscript"/>
        </w:rPr>
        <w:footnoteReference w:id="90"/>
      </w:r>
      <w:r w:rsidRPr="0039102C">
        <w:rPr>
          <w:noProof/>
        </w:rPr>
        <w:t xml:space="preserve"> por tonelada de combustível. </w:t>
      </w:r>
      <w:r w:rsidRPr="0039102C">
        <w:rPr>
          <w:rStyle w:val="Bodytext1"/>
          <w:noProof/>
        </w:rPr>
        <w:t>Este incentivo encontra-se disponível para os combustíveis elegíveis abastecidos nas rotas abrangidas pelo CELE desde 1 de janeiro de 2024. Para 2024, o incentivo do CELE (uma vez que os operadores não são obrigados a devolver licenças de emissão) ascendeu a cerca de 25 milhões de EUR. Este apoio foi complementado pelo apoio do CELE de cerca de 1,3 milhões de licenças de emissão, no valor aproximado de 100 milhões de EUR</w:t>
      </w:r>
      <w:r w:rsidR="00874A36" w:rsidRPr="0039102C">
        <w:rPr>
          <w:rStyle w:val="FootnoteReference"/>
          <w:rFonts w:cs="Times New Roman"/>
          <w:noProof/>
        </w:rPr>
        <w:footnoteReference w:id="91"/>
      </w:r>
      <w:r w:rsidRPr="0039102C">
        <w:rPr>
          <w:rStyle w:val="Bodytext1"/>
          <w:noProof/>
        </w:rPr>
        <w:t>.</w:t>
      </w:r>
    </w:p>
    <w:p w14:paraId="5EAC9108" w14:textId="0CC6F789" w:rsidR="00187D4D" w:rsidRPr="0039102C" w:rsidRDefault="5E0A25F4" w:rsidP="00187D4D">
      <w:pPr>
        <w:pStyle w:val="CMR-text"/>
        <w:rPr>
          <w:rStyle w:val="Bodytext1"/>
          <w:rFonts w:cs="Times New Roman"/>
          <w:noProof/>
        </w:rPr>
      </w:pPr>
      <w:r w:rsidRPr="0039102C">
        <w:rPr>
          <w:rStyle w:val="Bodytext1"/>
          <w:noProof/>
        </w:rPr>
        <w:t>Reconhecendo que os efeitos da aviação não relacionados com o CO</w:t>
      </w:r>
      <w:r w:rsidRPr="0039102C">
        <w:rPr>
          <w:rStyle w:val="Bodytext1"/>
          <w:noProof/>
          <w:vertAlign w:val="subscript"/>
        </w:rPr>
        <w:t>2</w:t>
      </w:r>
      <w:r w:rsidRPr="0039102C">
        <w:rPr>
          <w:rStyle w:val="Bodytext1"/>
          <w:noProof/>
        </w:rPr>
        <w:t xml:space="preserve"> já não podem ser ignorados</w:t>
      </w:r>
      <w:r w:rsidR="00187D4D" w:rsidRPr="0039102C">
        <w:rPr>
          <w:rStyle w:val="FootnoteReference"/>
          <w:rFonts w:cs="Times New Roman"/>
          <w:noProof/>
        </w:rPr>
        <w:footnoteReference w:id="92"/>
      </w:r>
      <w:r w:rsidRPr="0039102C">
        <w:rPr>
          <w:rStyle w:val="Bodytext1"/>
          <w:noProof/>
        </w:rPr>
        <w:t xml:space="preserve">, </w:t>
      </w:r>
      <w:r w:rsidRPr="0039102C">
        <w:rPr>
          <w:noProof/>
        </w:rPr>
        <w:t>a UE é a primeira jurisdição a introduzir um quadro de monitorização, comunicação e verificação desses efeitos (ver o ponto </w:t>
      </w:r>
      <w:r w:rsidRPr="0039102C">
        <w:rPr>
          <w:rFonts w:cs="Times New Roman"/>
          <w:noProof/>
        </w:rPr>
        <w:fldChar w:fldCharType="begin"/>
      </w:r>
      <w:r w:rsidRPr="0039102C">
        <w:rPr>
          <w:rFonts w:cs="Times New Roman"/>
          <w:noProof/>
        </w:rPr>
        <w:instrText xml:space="preserve"> REF _Ref209099098 \r \h </w:instrText>
      </w:r>
      <w:r w:rsidR="00F00D70" w:rsidRPr="0039102C">
        <w:rPr>
          <w:rFonts w:cs="Times New Roman"/>
          <w:noProof/>
        </w:rPr>
        <w:instrText xml:space="preserve"> \* MERGEFORMAT </w:instrText>
      </w:r>
      <w:r w:rsidRPr="0039102C">
        <w:rPr>
          <w:rFonts w:cs="Times New Roman"/>
          <w:noProof/>
        </w:rPr>
      </w:r>
      <w:r w:rsidRPr="0039102C">
        <w:rPr>
          <w:rFonts w:cs="Times New Roman"/>
          <w:noProof/>
        </w:rPr>
        <w:fldChar w:fldCharType="separate"/>
      </w:r>
      <w:r w:rsidR="00F77B81" w:rsidRPr="0039102C">
        <w:rPr>
          <w:rFonts w:cs="Times New Roman"/>
          <w:noProof/>
        </w:rPr>
        <w:t>11.1.2</w:t>
      </w:r>
      <w:r w:rsidRPr="0039102C">
        <w:rPr>
          <w:rFonts w:cs="Times New Roman"/>
          <w:noProof/>
        </w:rPr>
        <w:fldChar w:fldCharType="end"/>
      </w:r>
      <w:r w:rsidRPr="0039102C">
        <w:rPr>
          <w:noProof/>
        </w:rPr>
        <w:t>).</w:t>
      </w:r>
    </w:p>
    <w:p w14:paraId="5A292A24" w14:textId="0C4E36A7" w:rsidR="00613B80" w:rsidRPr="0039102C" w:rsidRDefault="00F230A3" w:rsidP="00EC4FC3">
      <w:pPr>
        <w:pStyle w:val="CMR-Heading"/>
        <w:rPr>
          <w:noProof/>
        </w:rPr>
      </w:pPr>
      <w:r w:rsidRPr="0039102C">
        <w:rPr>
          <w:noProof/>
        </w:rPr>
        <w:t xml:space="preserve"> </w:t>
      </w:r>
      <w:bookmarkStart w:id="71" w:name="_Toc180513409"/>
      <w:bookmarkStart w:id="72" w:name="_Ref207358781"/>
      <w:bookmarkStart w:id="73" w:name="_Toc218529297"/>
      <w:r w:rsidRPr="0039102C">
        <w:rPr>
          <w:noProof/>
        </w:rPr>
        <w:t>Transporte marítimo</w:t>
      </w:r>
      <w:bookmarkEnd w:id="71"/>
      <w:bookmarkEnd w:id="72"/>
      <w:bookmarkEnd w:id="73"/>
    </w:p>
    <w:p w14:paraId="2FF01EB2" w14:textId="4812F07A" w:rsidR="00777C34" w:rsidRPr="0039102C" w:rsidRDefault="00997185" w:rsidP="00777C34">
      <w:pPr>
        <w:pStyle w:val="CMR-text"/>
        <w:rPr>
          <w:rFonts w:cs="Times New Roman"/>
          <w:iCs/>
          <w:noProof/>
        </w:rPr>
      </w:pPr>
      <w:r w:rsidRPr="0039102C">
        <w:rPr>
          <w:noProof/>
        </w:rPr>
        <w:t>O transporte marítimo é um importante emissor de gases com efeito de estufa. As emissões provenientes das atividades de transporte marítimo estão incluídas no CELE no âmbito da estratégia global da UE para descarbonizar o transporte marítimo. A partir de 1 de janeiro de 2024, o âmbito de aplicação do CELE passou a incluir 50 % das emissões das atividades de transporte marítimo provenientes de viagens com início ou fim fora do EEE e 100 % das emissões produzidas entre dois portos do EEE e quando os navios se encontram num porto do EEE.</w:t>
      </w:r>
    </w:p>
    <w:p w14:paraId="78E9CCF8" w14:textId="21DBBDAF" w:rsidR="000931AB" w:rsidRPr="0039102C" w:rsidRDefault="55503FC6" w:rsidP="00777C34">
      <w:pPr>
        <w:pStyle w:val="CMR-text"/>
        <w:rPr>
          <w:rFonts w:cs="Times New Roman"/>
          <w:noProof/>
        </w:rPr>
      </w:pPr>
      <w:r w:rsidRPr="0039102C">
        <w:rPr>
          <w:noProof/>
        </w:rPr>
        <w:t>Este alargamento do CELE baseia-se nas disposições em vigor para outros setores abrangidos pelo CELE, bem como no Regulamento relativo à monitorização, comunicação e verificação das emissões de dióxido de carbono provenientes do transporte marítimo (MCV do Transporte Marítimo)</w:t>
      </w:r>
      <w:r w:rsidR="00491119" w:rsidRPr="0039102C">
        <w:rPr>
          <w:rFonts w:cs="Times New Roman"/>
          <w:noProof/>
          <w:vertAlign w:val="superscript"/>
        </w:rPr>
        <w:footnoteReference w:id="93"/>
      </w:r>
      <w:r w:rsidRPr="0039102C">
        <w:rPr>
          <w:noProof/>
        </w:rPr>
        <w:t>. Para 2024 e 2025, o CELE para o setor marítimo abrange apenas as emissões de CO</w:t>
      </w:r>
      <w:r w:rsidRPr="0039102C">
        <w:rPr>
          <w:noProof/>
          <w:vertAlign w:val="subscript"/>
        </w:rPr>
        <w:t>2</w:t>
      </w:r>
      <w:r w:rsidRPr="0039102C">
        <w:rPr>
          <w:noProof/>
        </w:rPr>
        <w:t>, mas será alargado ao CH</w:t>
      </w:r>
      <w:r w:rsidRPr="0039102C">
        <w:rPr>
          <w:noProof/>
          <w:vertAlign w:val="subscript"/>
        </w:rPr>
        <w:t>4</w:t>
      </w:r>
      <w:r w:rsidRPr="0039102C">
        <w:rPr>
          <w:noProof/>
        </w:rPr>
        <w:t xml:space="preserve"> e ao N</w:t>
      </w:r>
      <w:r w:rsidRPr="0039102C">
        <w:rPr>
          <w:noProof/>
          <w:vertAlign w:val="subscript"/>
        </w:rPr>
        <w:t>2</w:t>
      </w:r>
      <w:r w:rsidRPr="0039102C">
        <w:rPr>
          <w:noProof/>
        </w:rPr>
        <w:t>O a partir de 2026. As companhias de transporte marítimo comunicaram 89,8 milhões de toneladas de emissões verificadas de CO</w:t>
      </w:r>
      <w:r w:rsidRPr="0039102C">
        <w:rPr>
          <w:noProof/>
          <w:vertAlign w:val="subscript"/>
        </w:rPr>
        <w:t>2</w:t>
      </w:r>
      <w:r w:rsidRPr="0039102C">
        <w:rPr>
          <w:noProof/>
        </w:rPr>
        <w:t xml:space="preserve"> em 2024</w:t>
      </w:r>
      <w:r w:rsidR="00A62408" w:rsidRPr="0039102C">
        <w:rPr>
          <w:rStyle w:val="FootnoteReference"/>
          <w:rFonts w:cs="Times New Roman"/>
          <w:noProof/>
        </w:rPr>
        <w:footnoteReference w:id="94"/>
      </w:r>
      <w:r w:rsidRPr="0039102C">
        <w:rPr>
          <w:noProof/>
        </w:rPr>
        <w:t>.</w:t>
      </w:r>
    </w:p>
    <w:p w14:paraId="58226CF3" w14:textId="045A7866" w:rsidR="00CC36A6" w:rsidRPr="0039102C" w:rsidRDefault="002D692F" w:rsidP="00777C34">
      <w:pPr>
        <w:pStyle w:val="CMR-text"/>
        <w:rPr>
          <w:rFonts w:cs="Times New Roman"/>
          <w:iCs/>
          <w:noProof/>
        </w:rPr>
      </w:pPr>
      <w:r w:rsidRPr="0039102C">
        <w:rPr>
          <w:noProof/>
        </w:rPr>
        <w:t>A obrigação de as companhias de transporte marítimo devolverem licenças de emissão é introduzida gradualmente, através de um período de introdução progressiva até 2026. Durante este período, as companhias de transporte marítimo são obrigadas a devolver licenças de emissão em 2025, para 40 % das emissões comunicadas em 2024, e em 2026, para 70 % das emissões comunicadas em 2025. É efetuada uma redução suplementar para as embarcações da classe de gelo.</w:t>
      </w:r>
    </w:p>
    <w:p w14:paraId="1F6FA0AC" w14:textId="774D46EE" w:rsidR="00777C34" w:rsidRPr="0039102C" w:rsidRDefault="00777C34" w:rsidP="00777C34">
      <w:pPr>
        <w:pStyle w:val="CMR-text"/>
        <w:rPr>
          <w:rFonts w:cs="Times New Roman"/>
          <w:iCs/>
          <w:noProof/>
        </w:rPr>
      </w:pPr>
      <w:r w:rsidRPr="0039102C">
        <w:rPr>
          <w:noProof/>
        </w:rPr>
        <w:t>As companhias de transporte marítimo foram obrigadas a comunicar as suas emissões de 2024 até 31 de março de 2025 e a devolver o número correspondente de licenças de emissão até 30 de setembro de 2025.</w:t>
      </w:r>
    </w:p>
    <w:p w14:paraId="688A704D" w14:textId="6AA70719" w:rsidR="00A57CF3" w:rsidRPr="0039102C" w:rsidRDefault="00777C34" w:rsidP="006A01A7">
      <w:pPr>
        <w:pStyle w:val="CMR-text"/>
        <w:rPr>
          <w:rFonts w:cs="Times New Roman"/>
          <w:iCs/>
          <w:noProof/>
        </w:rPr>
      </w:pPr>
      <w:r w:rsidRPr="0039102C">
        <w:rPr>
          <w:noProof/>
        </w:rPr>
        <w:t>Os requisitos de devolução, após a aplicação das deduções e do coeficiente de introdução progressiva para 2024, corresponderam a 35,6 milhões de licenças de emissão da UE. Para colmatar o fosso entre as emissões verificadas e as licenças de emissão devolvidas provenientes do transporte marítimo, estão a ser anuladas 54 243 768 licenças de emissão para 2024.</w:t>
      </w:r>
    </w:p>
    <w:p w14:paraId="33A9C5F3" w14:textId="463D0C4C" w:rsidR="00553F95" w:rsidRPr="0039102C" w:rsidRDefault="00777C34" w:rsidP="006A01A7">
      <w:pPr>
        <w:pStyle w:val="CMR-text"/>
        <w:rPr>
          <w:rFonts w:cs="Times New Roman"/>
          <w:iCs/>
          <w:noProof/>
        </w:rPr>
      </w:pPr>
      <w:r w:rsidRPr="0039102C">
        <w:rPr>
          <w:noProof/>
        </w:rPr>
        <w:t>A Diretiva CELE inclui uma cláusula de comunicação de informações e de revisão para acompanhar a aplicação do CELE no caso do transporte marítimo, em especial para detetar e combater eventuais comportamentos evasivos numa fase precoce. Além disso, a Comissão reexaminará o CELE no que diz respeito ao transporte marítimo em 2026, nomeadamente através do estudo de um eventual alargamento do seu âmbito de aplicação aos navios de arqueação bruta inferior a 5 000 toneladas, mas não inferior a 400 toneladas, e da avaliação de evoluções pertinentes ao nível da Organização Marítima Internacional (OMI). Em abril de 2025, a OMI aprovou o Quadro de Emissões Líquidas Nulas (QELN da OMI), com que a UE se congratulou, incluindo uma norma mundial para reduzir gradualmente a intensidade das emissões de GEE dos combustíveis navais e um elemento de fixação de preços para as emissões de GEE provenientes do transporte marítimo internacional. Enquanto se aguarda a sua adoção, o acordo constitui um passo importante no sentido do objetivo de emissões líquidas nulas provenientes do transporte marítimo até 2050 ou por volta dessa data, ou seja, próximo de 2050, tal como estabelecido na estratégia de GEE da OMI de 2023. Os debates sobre a adoção do acordo foram adiados para outubro de 2026.</w:t>
      </w:r>
    </w:p>
    <w:p w14:paraId="7842803D" w14:textId="24C84531" w:rsidR="00613B80" w:rsidRPr="0039102C" w:rsidRDefault="001164FE" w:rsidP="00EC4FC3">
      <w:pPr>
        <w:pStyle w:val="CMR-Heading"/>
        <w:rPr>
          <w:noProof/>
        </w:rPr>
      </w:pPr>
      <w:r w:rsidRPr="0039102C">
        <w:rPr>
          <w:noProof/>
        </w:rPr>
        <w:t xml:space="preserve"> </w:t>
      </w:r>
      <w:bookmarkStart w:id="74" w:name="MRR"/>
      <w:bookmarkStart w:id="75" w:name="_Toc180513410"/>
      <w:bookmarkStart w:id="76" w:name="_Toc218529298"/>
      <w:bookmarkEnd w:id="74"/>
      <w:r w:rsidRPr="0039102C">
        <w:rPr>
          <w:noProof/>
        </w:rPr>
        <w:t>Quadro de aplicação do CELE</w:t>
      </w:r>
      <w:bookmarkEnd w:id="75"/>
      <w:bookmarkEnd w:id="76"/>
    </w:p>
    <w:p w14:paraId="0582F955" w14:textId="103AB2C6" w:rsidR="002B2A04" w:rsidRPr="0039102C" w:rsidRDefault="6628522D" w:rsidP="00C9410E">
      <w:pPr>
        <w:pStyle w:val="CMR-text"/>
        <w:rPr>
          <w:rFonts w:cs="Times New Roman"/>
          <w:noProof/>
          <w:highlight w:val="lightGray"/>
        </w:rPr>
      </w:pPr>
      <w:r w:rsidRPr="0039102C">
        <w:rPr>
          <w:noProof/>
        </w:rPr>
        <w:t>O bom funcionamento e a credibilidade ambiental do CELE dependem de um quadro sólido de requisitos de monitorização, comunicação de informações, verificação e acreditação (MRVA). Estes requisitos estão harmonizados no Regulamento Monitorização e Comunicação de Informações e no Regulamento Acreditação e Verificação [Regulamento de Execução (UE) 2018/2067]</w:t>
      </w:r>
      <w:bookmarkStart w:id="77" w:name="_Ref212025534"/>
      <w:r w:rsidR="00C9410E" w:rsidRPr="0039102C">
        <w:rPr>
          <w:rFonts w:cs="Times New Roman"/>
          <w:noProof/>
          <w:vertAlign w:val="superscript"/>
        </w:rPr>
        <w:footnoteReference w:id="95"/>
      </w:r>
      <w:bookmarkEnd w:id="77"/>
      <w:r w:rsidRPr="0039102C">
        <w:rPr>
          <w:noProof/>
        </w:rPr>
        <w:t>. Os países são obrigados a apresentar anualmente um relatório sobre a aplicação destes regulamentos e da Diretiva</w:t>
      </w:r>
      <w:r w:rsidR="00C33BD9">
        <w:rPr>
          <w:noProof/>
        </w:rPr>
        <w:t> </w:t>
      </w:r>
      <w:r w:rsidRPr="0039102C">
        <w:rPr>
          <w:noProof/>
        </w:rPr>
        <w:t>CELE.</w:t>
      </w:r>
    </w:p>
    <w:p w14:paraId="4418CC24" w14:textId="24B1A4A1" w:rsidR="00C9410E" w:rsidRPr="0039102C" w:rsidRDefault="002B2A04" w:rsidP="00C9410E">
      <w:pPr>
        <w:pStyle w:val="CMR-text"/>
        <w:rPr>
          <w:rFonts w:cs="Times New Roman"/>
          <w:noProof/>
        </w:rPr>
      </w:pPr>
      <w:r w:rsidRPr="0039102C">
        <w:rPr>
          <w:noProof/>
        </w:rPr>
        <w:t>O presente ponto sintetiza os principais dados sobre a aplicação do CELE que os países comunicaram nos termos do artigo 21.º da Diretiva CELE para 2024. Os aspetos do quadro de execução para o setor marítimo são descritos em pormenor no ponto 11.6.</w:t>
      </w:r>
    </w:p>
    <w:p w14:paraId="333AF478" w14:textId="351B28C0" w:rsidR="00E35FAB" w:rsidRPr="0039102C" w:rsidRDefault="00E35FAB" w:rsidP="00C9410E">
      <w:pPr>
        <w:pStyle w:val="CMR-text"/>
        <w:rPr>
          <w:rFonts w:cs="Times New Roman"/>
          <w:noProof/>
        </w:rPr>
      </w:pPr>
      <w:r w:rsidRPr="0039102C">
        <w:rPr>
          <w:noProof/>
        </w:rPr>
        <w:t>Até 27 de outubro de 2025, data em que o presente relatório foi concluído, Chipre ainda não tinha apresentado o seu relatório relativo a 2024. À falta dos dados mais recentes relativos a Chipre, o presente ponto utiliza como dados de substituição os dados relativos a 2023 comunicados por esse país, para possibilitar uma comparação anual. Relativamente a todos os outros países, são utilizados os dados relativos a 2024.</w:t>
      </w:r>
    </w:p>
    <w:p w14:paraId="2A3EAA35" w14:textId="4E05693D" w:rsidR="000E3032" w:rsidRPr="0039102C" w:rsidRDefault="000E3032" w:rsidP="00EC4FC3">
      <w:pPr>
        <w:pStyle w:val="CMR-Subheading"/>
        <w:rPr>
          <w:noProof/>
        </w:rPr>
      </w:pPr>
      <w:bookmarkStart w:id="78" w:name="_Toc180513411"/>
      <w:bookmarkStart w:id="79" w:name="_Toc218529299"/>
      <w:r w:rsidRPr="0039102C">
        <w:rPr>
          <w:noProof/>
        </w:rPr>
        <w:t>Monitorização e comunicação das emissões</w:t>
      </w:r>
      <w:bookmarkEnd w:id="78"/>
      <w:bookmarkEnd w:id="79"/>
    </w:p>
    <w:p w14:paraId="207EFD94" w14:textId="40A31E34" w:rsidR="005033E7" w:rsidRPr="0039102C" w:rsidRDefault="151A787A" w:rsidP="00680B54">
      <w:pPr>
        <w:pStyle w:val="CMR-text"/>
        <w:rPr>
          <w:rFonts w:cs="Times New Roman"/>
          <w:noProof/>
        </w:rPr>
      </w:pPr>
      <w:r w:rsidRPr="0039102C">
        <w:rPr>
          <w:noProof/>
        </w:rPr>
        <w:t>O regime de monitorização das emissões do CELE assenta numa abordagem modular que proporciona aos operadores um elevado grau de flexibilidade, garantindo assim tanto a eficiência em termos de custos como a fiabilidade dos dados relativos às emissões. Os operadores podem utilizar várias abordagens de monitorização («baseadas em cálculos» ou «baseadas em medições», e, a título excecional, a «abordagem de recurso»), incluindo uma combinação de métodos para partes individuais de uma instalação. Relativamente aos operadores de aeronaves, só são permitidas abordagens baseadas em cálculos, sendo o consumo de combustível o parâmetro central dos voos.</w:t>
      </w:r>
    </w:p>
    <w:p w14:paraId="456913C3" w14:textId="4CCA90F3" w:rsidR="00680B54" w:rsidRPr="0039102C" w:rsidRDefault="4915D43B" w:rsidP="65EC3A73">
      <w:pPr>
        <w:pStyle w:val="CMR-text"/>
        <w:rPr>
          <w:rFonts w:cs="Times New Roman"/>
          <w:noProof/>
        </w:rPr>
      </w:pPr>
      <w:r w:rsidRPr="0039102C">
        <w:rPr>
          <w:noProof/>
        </w:rPr>
        <w:t>O Regulamento Monitorização e Comunicação de Informações exige que tanto as instalações como os operadores de aeronaves disponham de um plano de monitorização aprovado pela autoridade nacional competente, o que os impede de fazer uma seleção arbitrária das metodologias de monitorização e variações temporais. Em 2024, quatro países</w:t>
      </w:r>
      <w:r w:rsidR="00680B54" w:rsidRPr="0039102C">
        <w:rPr>
          <w:rFonts w:cs="Times New Roman"/>
          <w:noProof/>
          <w:vertAlign w:val="superscript"/>
        </w:rPr>
        <w:footnoteReference w:id="96"/>
      </w:r>
      <w:r w:rsidRPr="0039102C">
        <w:rPr>
          <w:noProof/>
        </w:rPr>
        <w:t xml:space="preserve"> (cinco em 2023) continuavam a permitir que as instalações utilizassem planos de monitorização simplificados nos casos de baixo risco</w:t>
      </w:r>
      <w:r w:rsidR="00680B54" w:rsidRPr="0039102C">
        <w:rPr>
          <w:rFonts w:cs="Times New Roman"/>
          <w:noProof/>
          <w:vertAlign w:val="superscript"/>
        </w:rPr>
        <w:footnoteReference w:id="97"/>
      </w:r>
      <w:r w:rsidRPr="0039102C">
        <w:rPr>
          <w:noProof/>
        </w:rPr>
        <w:t>. No caso da aviação, esta disposição só é utilizada para os pequenos emissores na Bélgica.</w:t>
      </w:r>
    </w:p>
    <w:p w14:paraId="1CB2CACE" w14:textId="2CF74D74" w:rsidR="00797ADF" w:rsidRPr="0039102C" w:rsidRDefault="00B92F09" w:rsidP="65EC3A73">
      <w:pPr>
        <w:pStyle w:val="CMR-text"/>
        <w:rPr>
          <w:rFonts w:cs="Times New Roman"/>
          <w:noProof/>
        </w:rPr>
      </w:pPr>
      <w:r w:rsidRPr="0039102C">
        <w:rPr>
          <w:noProof/>
        </w:rPr>
        <w:t>As instalações continuaram a cumprir os requisitos legais em matéria de monitorização das emissões. A maioria delas utilizou a metodologia baseada no cálculo</w:t>
      </w:r>
      <w:r w:rsidR="00797ADF" w:rsidRPr="0039102C">
        <w:rPr>
          <w:rFonts w:cs="Times New Roman"/>
          <w:noProof/>
          <w:vertAlign w:val="superscript"/>
        </w:rPr>
        <w:footnoteReference w:id="98"/>
      </w:r>
      <w:r w:rsidRPr="0039102C">
        <w:rPr>
          <w:noProof/>
        </w:rPr>
        <w:t xml:space="preserve"> para calcular as suas emissões. Apenas 274 instalações (3,2 %) em 23 países comunicaram a utilização de sistemas de medição contínua de emissões (CEMS). Destas, 221 instalações utilizaram CEMS para medir as emissões de CO</w:t>
      </w:r>
      <w:r w:rsidRPr="0039102C">
        <w:rPr>
          <w:noProof/>
          <w:vertAlign w:val="subscript"/>
        </w:rPr>
        <w:t>2</w:t>
      </w:r>
      <w:r w:rsidRPr="0039102C">
        <w:rPr>
          <w:noProof/>
        </w:rPr>
        <w:t>, 40 para medir o N</w:t>
      </w:r>
      <w:r w:rsidRPr="0039102C">
        <w:rPr>
          <w:noProof/>
          <w:vertAlign w:val="subscript"/>
        </w:rPr>
        <w:t>2</w:t>
      </w:r>
      <w:r w:rsidRPr="0039102C">
        <w:rPr>
          <w:noProof/>
        </w:rPr>
        <w:t>O e 13 para medir ambos os gases. Estes sistemas são utilizados com mais frequência na França. Em 163 instalações, as emissões medidas continham também CO</w:t>
      </w:r>
      <w:r w:rsidRPr="0039102C">
        <w:rPr>
          <w:noProof/>
          <w:vertAlign w:val="subscript"/>
        </w:rPr>
        <w:t>2</w:t>
      </w:r>
      <w:r w:rsidRPr="0039102C">
        <w:rPr>
          <w:noProof/>
        </w:rPr>
        <w:t xml:space="preserve"> biogénico. Das instalações que utilizam CEMS, 189 utilizaram a metodologia para mais de 95 % das suas emissões, enquanto as restantes 85 utilizaram uma combinação entre CEMS e uma metodologia baseada no cálculo.</w:t>
      </w:r>
    </w:p>
    <w:p w14:paraId="121B021A" w14:textId="12278EE0" w:rsidR="00797ADF" w:rsidRPr="0039102C" w:rsidRDefault="12564DF9" w:rsidP="65EC3A73">
      <w:pPr>
        <w:pStyle w:val="CMR-text"/>
        <w:rPr>
          <w:rFonts w:cs="Times New Roman"/>
          <w:noProof/>
        </w:rPr>
      </w:pPr>
      <w:r w:rsidRPr="0039102C">
        <w:rPr>
          <w:noProof/>
        </w:rPr>
        <w:t>Apenas 12 países comunicaram ter utilizado a abordagem de recurso. Esta foi utilizada em 31 instalações, abrangendo aproximadamente 2,0 Mt de CO</w:t>
      </w:r>
      <w:r w:rsidRPr="0039102C">
        <w:rPr>
          <w:noProof/>
          <w:vertAlign w:val="subscript"/>
        </w:rPr>
        <w:t>2</w:t>
      </w:r>
      <w:r w:rsidRPr="0039102C">
        <w:rPr>
          <w:noProof/>
        </w:rPr>
        <w:t>eq (mais seis instalações do que em 2023, mas menos 0,6 Mt de CO</w:t>
      </w:r>
      <w:r w:rsidRPr="0039102C">
        <w:rPr>
          <w:noProof/>
          <w:vertAlign w:val="subscript"/>
        </w:rPr>
        <w:t>2</w:t>
      </w:r>
      <w:r w:rsidRPr="0039102C">
        <w:rPr>
          <w:noProof/>
        </w:rPr>
        <w:t>eq em termos de emissões. Uma instalação situada nos Países Baixos é responsável por 52 % do total de emissões comunicadas utilizando a metodologia de recurso. Tal deve</w:t>
      </w:r>
      <w:r w:rsidR="00217ECB">
        <w:rPr>
          <w:noProof/>
        </w:rPr>
        <w:noBreakHyphen/>
      </w:r>
      <w:r w:rsidRPr="0039102C">
        <w:rPr>
          <w:noProof/>
        </w:rPr>
        <w:t>se à configuração complexa da instalação.</w:t>
      </w:r>
    </w:p>
    <w:p w14:paraId="312C5AF1" w14:textId="0795CB8B" w:rsidR="00797ADF" w:rsidRPr="0039102C" w:rsidRDefault="49BBFFFE" w:rsidP="00797ADF">
      <w:pPr>
        <w:pStyle w:val="CMR-text"/>
        <w:rPr>
          <w:rFonts w:cs="Times New Roman"/>
          <w:noProof/>
        </w:rPr>
      </w:pPr>
      <w:r w:rsidRPr="0039102C">
        <w:rPr>
          <w:noProof/>
        </w:rPr>
        <w:t>A maioria das instalações cumpriram os níveis mínimos</w:t>
      </w:r>
      <w:r w:rsidR="00797ADF" w:rsidRPr="0039102C">
        <w:rPr>
          <w:rFonts w:cs="Times New Roman"/>
          <w:noProof/>
          <w:vertAlign w:val="superscript"/>
        </w:rPr>
        <w:footnoteReference w:id="99"/>
      </w:r>
      <w:r w:rsidRPr="0039102C">
        <w:rPr>
          <w:noProof/>
        </w:rPr>
        <w:t xml:space="preserve"> requeridos pelo Regulamento Monitorização e Comunicação de Informações em 2024. Apenas 97 instalações da categoria C (98 em 2023) se desviaram, num ou mais parâmetros, do requisito de aplicação dos níveis mais elevados aos fluxos</w:t>
      </w:r>
      <w:r w:rsidR="00217ECB">
        <w:rPr>
          <w:noProof/>
        </w:rPr>
        <w:noBreakHyphen/>
      </w:r>
      <w:r w:rsidRPr="0039102C">
        <w:rPr>
          <w:noProof/>
        </w:rPr>
        <w:t>fonte principais. Estavam localizadas em 18 países diferentes (17 em 2023) e representavam 17,1 % das instalações da categoria C. Estes desvios só são autorizados quando o operador demonstrar que o cumprimento do nível mais elevado não é tecnicamente viável ou implica custos excessivos. Caso essas condições deixem de se verificar, o operador deve melhorar o sistema de monitorização em conformidade.</w:t>
      </w:r>
    </w:p>
    <w:p w14:paraId="34A06E91" w14:textId="77777777" w:rsidR="00363737" w:rsidRPr="0039102C" w:rsidRDefault="00363737" w:rsidP="00EC4FC3">
      <w:pPr>
        <w:pStyle w:val="CMR-SubHead2"/>
        <w:rPr>
          <w:noProof/>
        </w:rPr>
      </w:pPr>
      <w:bookmarkStart w:id="80" w:name="_Toc218529300"/>
      <w:r w:rsidRPr="0039102C">
        <w:rPr>
          <w:noProof/>
        </w:rPr>
        <w:t>Monitorização e comunicação das emissões provenientes da incineração de resíduos urbanos</w:t>
      </w:r>
      <w:bookmarkEnd w:id="80"/>
    </w:p>
    <w:p w14:paraId="3AE49F71" w14:textId="60D337C1" w:rsidR="00546775" w:rsidRPr="0039102C" w:rsidRDefault="00F327B6" w:rsidP="00E7304F">
      <w:pPr>
        <w:pStyle w:val="CMR-text"/>
        <w:rPr>
          <w:rFonts w:cs="Times New Roman"/>
          <w:noProof/>
        </w:rPr>
      </w:pPr>
      <w:r w:rsidRPr="0039102C">
        <w:rPr>
          <w:noProof/>
        </w:rPr>
        <w:t>Até 31 de julho de 2026, a Comissão deve avaliar a viabilidade de incluir no CELE as emissões provenientes da incineração de resíduos urbanos (e, eventualmente, de outros processos de gestão de resíduos). Esta avaliação faz parte de uma revisão mais alargada do CELE, cuja proposta está prevista para 2026.</w:t>
      </w:r>
    </w:p>
    <w:p w14:paraId="1633056A" w14:textId="12A0DDA0" w:rsidR="00642392" w:rsidRPr="0039102C" w:rsidRDefault="002D0B4D" w:rsidP="00E7304F">
      <w:pPr>
        <w:pStyle w:val="CMR-text"/>
        <w:rPr>
          <w:rFonts w:cs="Times New Roman"/>
          <w:noProof/>
        </w:rPr>
      </w:pPr>
      <w:r w:rsidRPr="0039102C">
        <w:rPr>
          <w:noProof/>
        </w:rPr>
        <w:t>Desde 1 de janeiro de 2024, as instalações de incineração de resíduos urbanos (acima do limiar de 20 MW de potência térmica nominal) são obrigadas a monitorizar e a comunicar as suas emissões no âmbito do CELE. No entanto, atualmente não são obrigadas a devolver licenças de emissão para as suas emissões. Em 2024, 18 países (17 Estados-Membros e a Noruega) comunicaram emissões provenientes da combustão de combustíveis em instalações de incineração de resíduos urbanos</w:t>
      </w:r>
      <w:r w:rsidR="00AD51ED" w:rsidRPr="0039102C">
        <w:rPr>
          <w:rStyle w:val="FootnoteReference"/>
          <w:rFonts w:cs="Times New Roman"/>
          <w:noProof/>
        </w:rPr>
        <w:footnoteReference w:id="100"/>
      </w:r>
      <w:r w:rsidRPr="0039102C">
        <w:rPr>
          <w:noProof/>
        </w:rPr>
        <w:t>.</w:t>
      </w:r>
    </w:p>
    <w:p w14:paraId="0FF4C79E" w14:textId="1D849072" w:rsidR="00363737" w:rsidRPr="0039102C" w:rsidRDefault="1F8A8195" w:rsidP="00EC4FC3">
      <w:pPr>
        <w:pStyle w:val="CMR-SubHead2"/>
        <w:rPr>
          <w:noProof/>
        </w:rPr>
      </w:pPr>
      <w:r w:rsidRPr="0039102C">
        <w:rPr>
          <w:noProof/>
        </w:rPr>
        <w:t xml:space="preserve"> </w:t>
      </w:r>
      <w:bookmarkStart w:id="81" w:name="_Ref209099098"/>
      <w:bookmarkStart w:id="82" w:name="_Toc218529301"/>
      <w:r w:rsidRPr="0039102C">
        <w:rPr>
          <w:noProof/>
        </w:rPr>
        <w:t>Monitorização e comunicação dos efeitos da aviação não ligados ao CO</w:t>
      </w:r>
      <w:r w:rsidRPr="0039102C">
        <w:rPr>
          <w:noProof/>
          <w:vertAlign w:val="subscript"/>
        </w:rPr>
        <w:t>2</w:t>
      </w:r>
      <w:bookmarkEnd w:id="81"/>
      <w:bookmarkEnd w:id="82"/>
    </w:p>
    <w:p w14:paraId="1E241B90" w14:textId="40B7F795" w:rsidR="00D53392" w:rsidRPr="0039102C" w:rsidRDefault="00363737" w:rsidP="006E00E4">
      <w:pPr>
        <w:pStyle w:val="CMR-text"/>
        <w:rPr>
          <w:rFonts w:cs="Times New Roman"/>
          <w:noProof/>
          <w:color w:val="000000"/>
          <w:shd w:val="clear" w:color="auto" w:fill="FFFFFF"/>
        </w:rPr>
      </w:pPr>
      <w:r w:rsidRPr="0039102C">
        <w:rPr>
          <w:noProof/>
        </w:rPr>
        <w:t>Desde 1 de janeiro de 2025, os operadores de aeronaves têm de monitorizar e comunicar os efeitos da aviação não ligados ao CO</w:t>
      </w:r>
      <w:r w:rsidRPr="0039102C">
        <w:rPr>
          <w:noProof/>
          <w:vertAlign w:val="subscript"/>
        </w:rPr>
        <w:t>2</w:t>
      </w:r>
      <w:r w:rsidRPr="0039102C">
        <w:rPr>
          <w:noProof/>
        </w:rPr>
        <w:t>.</w:t>
      </w:r>
      <w:r w:rsidRPr="0039102C">
        <w:rPr>
          <w:noProof/>
          <w:color w:val="000000" w:themeColor="text1"/>
        </w:rPr>
        <w:t xml:space="preserve"> A obrigação abrange as partículas de sulfato e fuligem, o vapor de água, os óxidos nitrosos e o dióxido de enxofre que as aeronaves emitem durante o voo. A fim de facilitar a aplicação numa fase inicial, até 2026, a obrigação de monitorização e comunicação de informações sobre os efeitos não ligados ao CO</w:t>
      </w:r>
      <w:r w:rsidRPr="0039102C">
        <w:rPr>
          <w:noProof/>
          <w:color w:val="000000" w:themeColor="text1"/>
          <w:vertAlign w:val="subscript"/>
        </w:rPr>
        <w:t>2</w:t>
      </w:r>
      <w:r w:rsidRPr="0039102C">
        <w:rPr>
          <w:noProof/>
          <w:color w:val="000000" w:themeColor="text1"/>
        </w:rPr>
        <w:t xml:space="preserve"> aplica-se apenas aos voos intra-EEE (incluindo as regiões ultraperiféricas), bem como aos voos com partida do EEE para a Suíça e o Reino Unido. É incentivada a comunicação voluntária de informações sobre todas as rotas. A partir de 2027, a obrigação de comunicação de informações aplica-se automaticamente a todos os voos.</w:t>
      </w:r>
    </w:p>
    <w:p w14:paraId="50274EE9" w14:textId="40630A15" w:rsidR="005A5451" w:rsidRPr="0039102C" w:rsidRDefault="00F55976" w:rsidP="5F4B9D88">
      <w:pPr>
        <w:pStyle w:val="CMR-text"/>
        <w:rPr>
          <w:rFonts w:cs="Times New Roman"/>
          <w:noProof/>
          <w:color w:val="000000" w:themeColor="text1"/>
        </w:rPr>
      </w:pPr>
      <w:r w:rsidRPr="0039102C">
        <w:rPr>
          <w:noProof/>
          <w:color w:val="000000" w:themeColor="text1"/>
        </w:rPr>
        <w:t>Os operadores de aeronaves podem optar por um de dois métodos para monitorizar os seus efeitos da aviação não ligados ao CO</w:t>
      </w:r>
      <w:r w:rsidRPr="0039102C">
        <w:rPr>
          <w:noProof/>
          <w:color w:val="000000" w:themeColor="text1"/>
          <w:vertAlign w:val="subscript"/>
        </w:rPr>
        <w:t>2</w:t>
      </w:r>
      <w:r w:rsidRPr="0039102C">
        <w:rPr>
          <w:noProof/>
          <w:color w:val="000000" w:themeColor="text1"/>
        </w:rPr>
        <w:t>. O método C é o método normalizado, que tem em conta as informações meteorológicas e de voo, bem como as propriedades da aeronave e do combustível, ao passo que o método D utiliza uma metodologia de monitorização mais simplificada para calcular as emissões dos operadores de aeronaves com baixas emissões, uma vez que exige principalmente informações de voo e de trajetória. Os dados meteorológicos e os dados sobre as propriedades do combustível podem ser omitidos.</w:t>
      </w:r>
    </w:p>
    <w:p w14:paraId="1D857A29" w14:textId="69CE8C4B" w:rsidR="005A5451" w:rsidRPr="0039102C" w:rsidRDefault="005A5451" w:rsidP="006E00E4">
      <w:pPr>
        <w:pStyle w:val="CMR-text"/>
        <w:rPr>
          <w:rFonts w:cs="Times New Roman"/>
          <w:noProof/>
          <w:color w:val="000000" w:themeColor="text1"/>
        </w:rPr>
      </w:pPr>
      <w:r w:rsidRPr="0039102C">
        <w:rPr>
          <w:noProof/>
          <w:color w:val="000000" w:themeColor="text1"/>
        </w:rPr>
        <w:t>A fim de facilitar o processo de acompanhamento e comunicação de informações, a Comissão está a criar a ferramenta de acompanhamento NEATS. Os primeiros relatórios deverão ser apresentados em 2026.</w:t>
      </w:r>
    </w:p>
    <w:p w14:paraId="7E5E301D" w14:textId="1E71B3ED" w:rsidR="00E74B45" w:rsidRPr="0039102C" w:rsidRDefault="00E74B45" w:rsidP="006E00E4">
      <w:pPr>
        <w:pStyle w:val="CMR-text"/>
        <w:rPr>
          <w:rFonts w:cs="Times New Roman"/>
          <w:noProof/>
          <w:color w:val="000000"/>
          <w:shd w:val="clear" w:color="auto" w:fill="FFFFFF"/>
        </w:rPr>
      </w:pPr>
      <w:r w:rsidRPr="0039102C">
        <w:rPr>
          <w:noProof/>
        </w:rPr>
        <w:t>Até 31 de dezembro de 2027, com base nos resultados da aplicação do quadro de monitorização relativo aos efeitos da aviação não ligados ao CO</w:t>
      </w:r>
      <w:r w:rsidRPr="0039102C">
        <w:rPr>
          <w:noProof/>
          <w:vertAlign w:val="subscript"/>
        </w:rPr>
        <w:t>2</w:t>
      </w:r>
      <w:r w:rsidRPr="0039102C">
        <w:rPr>
          <w:noProof/>
        </w:rPr>
        <w:t>, a Comissão apresentará um relatório e, se for caso disso, uma proposta legislativa para atenuar os efeitos não ligados ao CO</w:t>
      </w:r>
      <w:r w:rsidRPr="0039102C">
        <w:rPr>
          <w:noProof/>
          <w:vertAlign w:val="subscript"/>
        </w:rPr>
        <w:t>2</w:t>
      </w:r>
      <w:r w:rsidRPr="0039102C">
        <w:rPr>
          <w:noProof/>
        </w:rPr>
        <w:t xml:space="preserve">. </w:t>
      </w:r>
    </w:p>
    <w:p w14:paraId="35D3471C" w14:textId="210DB619" w:rsidR="00DA1F61" w:rsidRPr="0039102C" w:rsidRDefault="008E6FA0" w:rsidP="00EC4FC3">
      <w:pPr>
        <w:pStyle w:val="CMR-Subheading"/>
        <w:rPr>
          <w:noProof/>
        </w:rPr>
      </w:pPr>
      <w:bookmarkStart w:id="83" w:name="_Toc180513412"/>
      <w:bookmarkStart w:id="84" w:name="_Toc218529302"/>
      <w:r w:rsidRPr="0039102C">
        <w:rPr>
          <w:noProof/>
        </w:rPr>
        <w:t>Verificação e acreditação</w:t>
      </w:r>
      <w:bookmarkEnd w:id="83"/>
      <w:bookmarkEnd w:id="84"/>
    </w:p>
    <w:p w14:paraId="0DC6EEA8" w14:textId="4DF5E19A" w:rsidR="00DA1F61" w:rsidRPr="0039102C" w:rsidRDefault="48181C28" w:rsidP="00A115B2">
      <w:pPr>
        <w:pStyle w:val="CMR-text"/>
        <w:rPr>
          <w:rFonts w:cs="Times New Roman"/>
          <w:noProof/>
        </w:rPr>
      </w:pPr>
      <w:r w:rsidRPr="0039102C">
        <w:rPr>
          <w:noProof/>
        </w:rPr>
        <w:t>Os verificadores dos relatórios de emissões no âmbito do CELE têm de ser acreditados por um organismo nacional de acreditação, em consonância com o Regulamento Acreditação e Verificação</w:t>
      </w:r>
      <w:r w:rsidR="00186BC8" w:rsidRPr="0039102C">
        <w:rPr>
          <w:rFonts w:cs="Times New Roman"/>
          <w:noProof/>
          <w:vertAlign w:val="superscript"/>
        </w:rPr>
        <w:fldChar w:fldCharType="begin"/>
      </w:r>
      <w:r w:rsidR="00186BC8" w:rsidRPr="0039102C">
        <w:rPr>
          <w:rFonts w:cs="Times New Roman"/>
          <w:noProof/>
          <w:vertAlign w:val="superscript"/>
        </w:rPr>
        <w:instrText xml:space="preserve"> NOTEREF _Ref212025534 \h </w:instrText>
      </w:r>
      <w:r w:rsidR="001632FE" w:rsidRPr="0039102C">
        <w:rPr>
          <w:rFonts w:cs="Times New Roman"/>
          <w:noProof/>
          <w:vertAlign w:val="superscript"/>
        </w:rPr>
        <w:instrText xml:space="preserve"> \* MERGEFORMAT </w:instrText>
      </w:r>
      <w:r w:rsidR="00186BC8" w:rsidRPr="0039102C">
        <w:rPr>
          <w:rFonts w:cs="Times New Roman"/>
          <w:noProof/>
          <w:vertAlign w:val="superscript"/>
        </w:rPr>
      </w:r>
      <w:r w:rsidR="00186BC8" w:rsidRPr="0039102C">
        <w:rPr>
          <w:rFonts w:cs="Times New Roman"/>
          <w:noProof/>
          <w:vertAlign w:val="superscript"/>
        </w:rPr>
        <w:fldChar w:fldCharType="separate"/>
      </w:r>
      <w:r w:rsidR="00186BC8" w:rsidRPr="0039102C">
        <w:rPr>
          <w:rFonts w:cs="Times New Roman"/>
          <w:noProof/>
          <w:vertAlign w:val="superscript"/>
        </w:rPr>
        <w:t>94</w:t>
      </w:r>
      <w:r w:rsidR="00186BC8" w:rsidRPr="0039102C">
        <w:rPr>
          <w:rFonts w:cs="Times New Roman"/>
          <w:noProof/>
          <w:vertAlign w:val="superscript"/>
        </w:rPr>
        <w:fldChar w:fldCharType="end"/>
      </w:r>
      <w:r w:rsidRPr="0039102C">
        <w:rPr>
          <w:noProof/>
        </w:rPr>
        <w:t xml:space="preserve"> e com as normas ISO 17029 e ISO 14065 (normas internacionais ISO utilizadas para acreditar os verificadores). Os verificadores acreditados podem exercer a sua atividade com o reconhecimento mútuo de todos os países do CELE, tirando pleno partido do mercado único. Tal assegura também uma disponibilidade suficiente de serviços em toda a UE. O ponto 4 do documento de trabalho dos serviços da Comissão que acompanha o presente relatório mostra uma panorâmica pormenorizada dos aspetos relacionados com a acreditação e a verificação em 2024.</w:t>
      </w:r>
    </w:p>
    <w:p w14:paraId="23BE5F80" w14:textId="05CDD744" w:rsidR="00DA1F61" w:rsidRPr="0039102C" w:rsidRDefault="48181C28" w:rsidP="65EC3A73">
      <w:pPr>
        <w:pStyle w:val="CMR-text"/>
        <w:rPr>
          <w:rFonts w:cs="Times New Roman"/>
          <w:noProof/>
        </w:rPr>
      </w:pPr>
      <w:r w:rsidRPr="0039102C">
        <w:rPr>
          <w:noProof/>
        </w:rPr>
        <w:t>Em 2024, existiam 94 verificadores acreditados para instalações e 17 para operadores de aeronaves. Além disso, 26 países comunicaram que pelo menos um verificador estrangeiro estava ativo no seu território em 2024, e seis países comunicaram que apenas tinham verificadores estrangeiros, o que demonstra que o reconhecimento mútuo dos verificadores entre os países continua a funcionar com êxito.</w:t>
      </w:r>
    </w:p>
    <w:p w14:paraId="59627B61" w14:textId="06E5039A" w:rsidR="00DA1F61" w:rsidRPr="0039102C" w:rsidRDefault="48181C28" w:rsidP="65EC3A73">
      <w:pPr>
        <w:pStyle w:val="CMR-text"/>
        <w:rPr>
          <w:rFonts w:cs="Times New Roman"/>
          <w:noProof/>
        </w:rPr>
      </w:pPr>
      <w:r w:rsidRPr="0039102C">
        <w:rPr>
          <w:noProof/>
        </w:rPr>
        <w:t>Considera-se que a conformidade dos verificadores com o Regulamento Acreditação e Verificação é elevada. Em relação a 2024, apenas foi comunicada a suspensão de um verificador (Roménia). Ao mesmo tempo, não foi comunicada a retirada da acreditação de nenhum verificador. Em dois casos, o âmbito da acreditação dos verificadores foi reduzido (Dinamarca e França). Em comparação, relativamente a 2023 foram comunicadas zero suspensões, zero retiradas da acreditação e duas reduções do âmbito.</w:t>
      </w:r>
    </w:p>
    <w:p w14:paraId="10BDA97A" w14:textId="1AC7DC1A" w:rsidR="00956A00" w:rsidRPr="0039102C" w:rsidRDefault="64EF1D1C" w:rsidP="00A05E1B">
      <w:pPr>
        <w:pStyle w:val="CMR-text"/>
        <w:rPr>
          <w:rFonts w:cs="Times New Roman"/>
          <w:noProof/>
          <w:shd w:val="clear" w:color="auto" w:fill="FFFFFF"/>
        </w:rPr>
      </w:pPr>
      <w:r w:rsidRPr="0039102C">
        <w:rPr>
          <w:noProof/>
        </w:rPr>
        <w:t>A segunda revisão do Regulamento Monitorização e Comunicação de Informações foi adotada em 18 de junho de 2025</w:t>
      </w:r>
      <w:r w:rsidR="005943E5" w:rsidRPr="0039102C">
        <w:rPr>
          <w:rStyle w:val="FootnoteReference"/>
          <w:rFonts w:cs="Times New Roman"/>
          <w:noProof/>
        </w:rPr>
        <w:footnoteReference w:id="101"/>
      </w:r>
      <w:r w:rsidRPr="0039102C">
        <w:rPr>
          <w:noProof/>
        </w:rPr>
        <w:t xml:space="preserve">. </w:t>
      </w:r>
      <w:r w:rsidRPr="0039102C">
        <w:rPr>
          <w:noProof/>
          <w:shd w:val="clear" w:color="auto" w:fill="FFFFFF"/>
        </w:rPr>
        <w:t>A</w:t>
      </w:r>
      <w:r w:rsidRPr="0039102C">
        <w:rPr>
          <w:noProof/>
        </w:rPr>
        <w:t xml:space="preserve"> revisão </w:t>
      </w:r>
      <w:r w:rsidRPr="0039102C">
        <w:rPr>
          <w:noProof/>
          <w:shd w:val="clear" w:color="auto" w:fill="FFFFFF"/>
        </w:rPr>
        <w:t>tinha</w:t>
      </w:r>
      <w:r w:rsidRPr="0039102C">
        <w:rPr>
          <w:noProof/>
        </w:rPr>
        <w:t xml:space="preserve"> por objetivo</w:t>
      </w:r>
      <w:r w:rsidRPr="0039102C">
        <w:rPr>
          <w:noProof/>
          <w:shd w:val="clear" w:color="auto" w:fill="FFFFFF"/>
        </w:rPr>
        <w:t>:</w:t>
      </w:r>
    </w:p>
    <w:p w14:paraId="61FC4057" w14:textId="111C45F8" w:rsidR="00C53FAD" w:rsidRPr="0039102C" w:rsidRDefault="00D21A20" w:rsidP="002226DD">
      <w:pPr>
        <w:pStyle w:val="CMR-text"/>
        <w:numPr>
          <w:ilvl w:val="0"/>
          <w:numId w:val="28"/>
        </w:numPr>
        <w:rPr>
          <w:rFonts w:cs="Times New Roman"/>
          <w:noProof/>
          <w:shd w:val="clear" w:color="auto" w:fill="FFFFFF"/>
        </w:rPr>
      </w:pPr>
      <w:r w:rsidRPr="0039102C">
        <w:rPr>
          <w:noProof/>
        </w:rPr>
        <w:t>O alinhamento com as revisões incorporadas no Regulamento Monitorização e Comunicação de Informações em 2024:</w:t>
      </w:r>
    </w:p>
    <w:p w14:paraId="554EBC18" w14:textId="20051910" w:rsidR="002608EC" w:rsidRPr="0039102C" w:rsidRDefault="00486238" w:rsidP="004F100B">
      <w:pPr>
        <w:pStyle w:val="CMR-text"/>
        <w:numPr>
          <w:ilvl w:val="1"/>
          <w:numId w:val="28"/>
        </w:numPr>
        <w:rPr>
          <w:rFonts w:cs="Times New Roman"/>
          <w:noProof/>
          <w:shd w:val="clear" w:color="auto" w:fill="FFFFFF"/>
        </w:rPr>
      </w:pPr>
      <w:r w:rsidRPr="0039102C">
        <w:rPr>
          <w:noProof/>
        </w:rPr>
        <w:t>a</w:t>
      </w:r>
      <w:r w:rsidRPr="0039102C">
        <w:rPr>
          <w:noProof/>
          <w:shd w:val="clear" w:color="auto" w:fill="FFFFFF"/>
        </w:rPr>
        <w:t xml:space="preserve"> inclusão de requisitos sobre a </w:t>
      </w:r>
      <w:r w:rsidRPr="0039102C">
        <w:rPr>
          <w:noProof/>
        </w:rPr>
        <w:t>verificação dos relatórios sobre os efeitos da aviação não ligados ao CO</w:t>
      </w:r>
      <w:r w:rsidRPr="0039102C">
        <w:rPr>
          <w:noProof/>
          <w:vertAlign w:val="subscript"/>
        </w:rPr>
        <w:t>2</w:t>
      </w:r>
      <w:r w:rsidRPr="0039102C">
        <w:rPr>
          <w:noProof/>
        </w:rPr>
        <w:t>, as verificações do verificador relacionadas com o transporte de CO</w:t>
      </w:r>
      <w:r w:rsidRPr="0039102C">
        <w:rPr>
          <w:noProof/>
          <w:vertAlign w:val="subscript"/>
        </w:rPr>
        <w:t>2</w:t>
      </w:r>
      <w:r w:rsidRPr="0039102C">
        <w:rPr>
          <w:noProof/>
        </w:rPr>
        <w:t xml:space="preserve"> e CUC, as verificações do verificador relacionadas com a biomassa, os combustíveis renováveis de origem não biológica, os combustíveis de carbono reciclado, os combustíveis sintéticos hipocarbónicos e as verificações do verificador relacionadas com combustíveis de aviação alternativos e combustíveis elegíveis para apoio do CELE,</w:t>
      </w:r>
    </w:p>
    <w:p w14:paraId="3C4D0DC5" w14:textId="7E9F3D6C" w:rsidR="008E27B9" w:rsidRPr="0039102C" w:rsidRDefault="00E76DB0" w:rsidP="004F100B">
      <w:pPr>
        <w:pStyle w:val="CMR-text"/>
        <w:numPr>
          <w:ilvl w:val="1"/>
          <w:numId w:val="28"/>
        </w:numPr>
        <w:rPr>
          <w:rFonts w:cs="Times New Roman"/>
          <w:noProof/>
        </w:rPr>
      </w:pPr>
      <w:r w:rsidRPr="0039102C">
        <w:rPr>
          <w:noProof/>
        </w:rPr>
        <w:t>a especificação da função de verificador no CELE 2 para casos específicos de monitorização simples e uma maior simplificação da verificação nesses casos;</w:t>
      </w:r>
    </w:p>
    <w:p w14:paraId="7B4A767F" w14:textId="05B1FFDC" w:rsidR="00CD7868" w:rsidRPr="00AC6912" w:rsidRDefault="00CD7868" w:rsidP="004F100B">
      <w:pPr>
        <w:pStyle w:val="CMR-text"/>
        <w:numPr>
          <w:ilvl w:val="0"/>
          <w:numId w:val="28"/>
        </w:numPr>
        <w:rPr>
          <w:rFonts w:cs="Times New Roman"/>
          <w:noProof/>
        </w:rPr>
      </w:pPr>
      <w:r w:rsidRPr="0039102C">
        <w:rPr>
          <w:noProof/>
        </w:rPr>
        <w:t>O alinhamento com o Regulamento Atribuição de Licenças a Título Gratuito, a fim de incluir a verificação dos relatórios sobre a neutralidade climática.</w:t>
      </w:r>
    </w:p>
    <w:p w14:paraId="64FB048D" w14:textId="77777777" w:rsidR="00AC6912" w:rsidRPr="0039102C" w:rsidRDefault="00AC6912" w:rsidP="00AC6912">
      <w:pPr>
        <w:pStyle w:val="CMR-text"/>
        <w:rPr>
          <w:rFonts w:cs="Times New Roman"/>
          <w:noProof/>
        </w:rPr>
      </w:pPr>
    </w:p>
    <w:p w14:paraId="783BDE11" w14:textId="79FA1DB2" w:rsidR="00250740" w:rsidRPr="0039102C" w:rsidRDefault="00250740" w:rsidP="00EC4FC3">
      <w:pPr>
        <w:pStyle w:val="CMR-Subheading"/>
        <w:rPr>
          <w:noProof/>
        </w:rPr>
      </w:pPr>
      <w:bookmarkStart w:id="85" w:name="_Toc180513413"/>
      <w:bookmarkStart w:id="86" w:name="_Toc218529303"/>
      <w:r w:rsidRPr="0039102C">
        <w:rPr>
          <w:noProof/>
        </w:rPr>
        <w:t>Documentos de orientação</w:t>
      </w:r>
      <w:bookmarkEnd w:id="85"/>
      <w:bookmarkEnd w:id="86"/>
    </w:p>
    <w:p w14:paraId="5C6AF3F3" w14:textId="5B054C5B" w:rsidR="001D5B15" w:rsidRPr="0039102C" w:rsidRDefault="620E271A" w:rsidP="006A36DC">
      <w:pPr>
        <w:pStyle w:val="CMR-text"/>
        <w:rPr>
          <w:rFonts w:cs="Times New Roman"/>
          <w:noProof/>
        </w:rPr>
      </w:pPr>
      <w:r w:rsidRPr="0039102C">
        <w:rPr>
          <w:noProof/>
        </w:rPr>
        <w:t>A Comissão elaborou documentos de orientação</w:t>
      </w:r>
      <w:r w:rsidR="003444DD" w:rsidRPr="0039102C">
        <w:rPr>
          <w:rStyle w:val="FootnoteReference"/>
          <w:rFonts w:cs="Times New Roman"/>
          <w:noProof/>
        </w:rPr>
        <w:footnoteReference w:id="102"/>
      </w:r>
      <w:r w:rsidRPr="0039102C">
        <w:rPr>
          <w:noProof/>
        </w:rPr>
        <w:t xml:space="preserve"> relativos à monitorização, à comunicação de informações, à verificação e à acreditação. O objetivo consiste em transmitir às autoridades competentes, aos operadores, aos verificadores e a outras partes interessadas instruções pormenorizadas, técnicas e boas práticas sobre a aplicação do CELE. Estas orientações são cruciais para garantir a integridade, a transparência, a harmonização e a exatidão dos dados relativos às emissões no âmbito do CELE. À medida que as metodologias e as tecnologias vão evoluindo, a aplicação das melhores práticas e de novas técnicas contribui para a redução dos erros e para a eficácia global do sistema na redução das emissões de GEE.</w:t>
      </w:r>
    </w:p>
    <w:p w14:paraId="61D51E38" w14:textId="3E0452D1" w:rsidR="00BD5DC4" w:rsidRPr="0039102C" w:rsidRDefault="21B025AC" w:rsidP="006A36DC">
      <w:pPr>
        <w:pStyle w:val="CMR-text"/>
        <w:rPr>
          <w:rFonts w:cs="Times New Roman"/>
          <w:noProof/>
        </w:rPr>
      </w:pPr>
      <w:r w:rsidRPr="0039102C">
        <w:rPr>
          <w:noProof/>
        </w:rPr>
        <w:t>Estes documentos serão atualizados por forma a refletirem as revisões do Regulamento Monitorização e Comunicação de Informações e do Regulamento Acreditação e Verificação. Foi dada prioridade ao documento de orientação geral para as instalações (publicado no início de 2025), seguido dos documentos de orientação para os operadores de aeronaves, sobre «combustíveis biomássicos e outros combustíveis com fator de emissão zero», orientações sobre verificação, etc., que deverão ser publicados no segundo semestre de 2025.</w:t>
      </w:r>
    </w:p>
    <w:p w14:paraId="493C8438" w14:textId="5D8FEB0C" w:rsidR="00CF1586" w:rsidRPr="0039102C" w:rsidRDefault="075C9C17" w:rsidP="006A36DC">
      <w:pPr>
        <w:pStyle w:val="CMR-text"/>
        <w:rPr>
          <w:rFonts w:cs="Times New Roman"/>
          <w:noProof/>
        </w:rPr>
      </w:pPr>
      <w:r w:rsidRPr="0039102C">
        <w:rPr>
          <w:noProof/>
        </w:rPr>
        <w:t>Ao mesmo tempo, todos os modelos de comunicação de informações MCV foram atualizados no início de 2025, a fim de ter em conta as novas disposições dos dois regulamentos. Por último, estão a ser atualizadas as orientações relativas à monitorização e à comunicação de informações no âmbito do CELE 2. As orientações relativas à acreditação e verificação do CELE 2 foram publicadas em junho de 2025</w:t>
      </w:r>
      <w:r w:rsidR="00DC6A6B" w:rsidRPr="0039102C">
        <w:rPr>
          <w:rStyle w:val="FootnoteReference"/>
          <w:rFonts w:cs="Times New Roman"/>
          <w:noProof/>
        </w:rPr>
        <w:footnoteReference w:id="103"/>
      </w:r>
      <w:r w:rsidRPr="0039102C">
        <w:rPr>
          <w:noProof/>
        </w:rPr>
        <w:t>. Prevê-se que todos os documentos de orientação secundários sejam atualizados ao longo de 2025.</w:t>
      </w:r>
    </w:p>
    <w:p w14:paraId="0F4B1BBE" w14:textId="5BCF0190" w:rsidR="00797ADF" w:rsidRPr="0039102C" w:rsidRDefault="00DA1F61" w:rsidP="00EC4FC3">
      <w:pPr>
        <w:pStyle w:val="CMR-Subheading"/>
        <w:rPr>
          <w:noProof/>
        </w:rPr>
      </w:pPr>
      <w:bookmarkStart w:id="87" w:name="_Toc180513414"/>
      <w:bookmarkStart w:id="88" w:name="_Toc218529304"/>
      <w:r w:rsidRPr="0039102C">
        <w:rPr>
          <w:noProof/>
        </w:rPr>
        <w:t>Autoridades nacionais competentes</w:t>
      </w:r>
      <w:bookmarkEnd w:id="87"/>
      <w:bookmarkEnd w:id="88"/>
    </w:p>
    <w:p w14:paraId="5E38C188" w14:textId="62C7D10F" w:rsidR="006922C5" w:rsidRPr="0039102C" w:rsidRDefault="0062721E" w:rsidP="00B47294">
      <w:pPr>
        <w:pStyle w:val="CMR-text"/>
        <w:rPr>
          <w:rFonts w:cs="Times New Roman"/>
          <w:noProof/>
        </w:rPr>
      </w:pPr>
      <w:r w:rsidRPr="0039102C">
        <w:rPr>
          <w:noProof/>
        </w:rPr>
        <w:t>A forma como as autoridades nacionais competentes se organizam com vista à aplicação do CELE difere de país para país. Em alguns países, encontram-se envolvidas várias autoridades locais, ao passo que noutros a aplicação é mais centralizada. Os países escolhem estas abordagens com base na relação custo-eficácia e tempo-eficácia. O ponto 4 do documento de trabalho dos serviços da Comissão que acompanha o presente relatório mostra uma panorâmica da coordenação entre as autoridades competentes que aplicam o CELE.</w:t>
      </w:r>
    </w:p>
    <w:p w14:paraId="42656C07" w14:textId="1E4EF695" w:rsidR="006922C5" w:rsidRPr="0039102C" w:rsidRDefault="2B086B56" w:rsidP="65EC3A73">
      <w:pPr>
        <w:pStyle w:val="CMR-text"/>
        <w:rPr>
          <w:rFonts w:cs="Times New Roman"/>
          <w:noProof/>
          <w:highlight w:val="yellow"/>
        </w:rPr>
      </w:pPr>
      <w:r w:rsidRPr="0039102C">
        <w:rPr>
          <w:noProof/>
        </w:rPr>
        <w:t>Todos os países comunicaram ter pelo menos uma autoridade central competente envolvida na aplicação do CELE em 2024. Em seis países, uma única autoridade central competente era responsável por todas as atividades relacionadas com o CELE</w:t>
      </w:r>
      <w:r w:rsidR="006E7F6D" w:rsidRPr="0039102C">
        <w:rPr>
          <w:rStyle w:val="FootnoteReference"/>
          <w:rFonts w:cs="Times New Roman"/>
          <w:noProof/>
        </w:rPr>
        <w:footnoteReference w:id="104"/>
      </w:r>
      <w:r w:rsidRPr="0039102C">
        <w:rPr>
          <w:noProof/>
        </w:rPr>
        <w:t>. Nos casos em que a responsabilidade pelas atividades relacionadas com o CELE recai sobre várias autoridades competentes, os países indicaram que recorrem a uma ou mais soluções e instrumentos diferentes para coordenar o trabalho dessas autoridades. Estas soluções e instrumentos incluem incumbir uma autoridade central competente do trabalho de monitorização, comunicação de informações, acreditação e verificação (11 países), de uma função de coordenação</w:t>
      </w:r>
      <w:r w:rsidR="006922C5" w:rsidRPr="0039102C">
        <w:rPr>
          <w:rFonts w:cs="Times New Roman"/>
          <w:noProof/>
          <w:vertAlign w:val="superscript"/>
        </w:rPr>
        <w:footnoteReference w:id="105"/>
      </w:r>
      <w:r w:rsidRPr="0039102C">
        <w:rPr>
          <w:noProof/>
        </w:rPr>
        <w:t xml:space="preserve"> (10 países) ou da emissão de instruções e orientações vinculativas destinadas às autoridades locais (cinco países), prestar formação conjunta às autoridades competentes (oito países) e organizar grupos de trabalho ou reuniões regulares entre autoridades (14 países).</w:t>
      </w:r>
    </w:p>
    <w:p w14:paraId="47EE186B" w14:textId="15A00F25" w:rsidR="006922C5" w:rsidRPr="0039102C" w:rsidRDefault="12991094" w:rsidP="65EC3A73">
      <w:pPr>
        <w:pStyle w:val="CMR-text"/>
        <w:rPr>
          <w:rFonts w:cs="Times New Roman"/>
          <w:noProof/>
        </w:rPr>
      </w:pPr>
      <w:r w:rsidRPr="0039102C">
        <w:rPr>
          <w:noProof/>
        </w:rPr>
        <w:t>Em 2024, 16 países não cobraram taxas administrativas aos operadores de instalações pelo licenciamento e aprovação dos planos de monitorização (um número idêntico ao de 2023). Os operadores de aeronaves de 18 países também não tiveram de pagar taxas (17 em 2023). As taxas variaram significativamente entre países e tipos de serviços: de cerca de 19 EUR a 9 300 EUR por uma licença e aprovação de um plano de monitorização para instalações, e de cerca de 2 EUR a 4 700 EUR para os operadores de aeronaves. Para além da aprovação inicial, 13 países comunicaram igualmente que cobravam taxas administrativas de montantes variáveis por alterações importantes dos planos de monitorização. O ponto 4 do documento de trabalho dos serviços da Comissão que acompanha o presente relatório mostra uma panorâmica das taxas administrativas cobradas no âmbito do CELE.</w:t>
      </w:r>
    </w:p>
    <w:p w14:paraId="41148B72" w14:textId="56567976" w:rsidR="000E3032" w:rsidRPr="0039102C" w:rsidRDefault="000E3032" w:rsidP="00EC4FC3">
      <w:pPr>
        <w:pStyle w:val="CMR-Subheading"/>
        <w:rPr>
          <w:noProof/>
        </w:rPr>
      </w:pPr>
      <w:bookmarkStart w:id="89" w:name="_Toc180513415"/>
      <w:bookmarkStart w:id="90" w:name="_Toc218529305"/>
      <w:r w:rsidRPr="0039102C">
        <w:rPr>
          <w:noProof/>
        </w:rPr>
        <w:t>Cumprimento do CELE</w:t>
      </w:r>
      <w:bookmarkEnd w:id="89"/>
      <w:bookmarkEnd w:id="90"/>
    </w:p>
    <w:p w14:paraId="09465D17" w14:textId="4E7E7AB5" w:rsidR="00911AB3" w:rsidRPr="0039102C" w:rsidRDefault="2026E9FA" w:rsidP="0060292C">
      <w:pPr>
        <w:pStyle w:val="CMR-text"/>
        <w:rPr>
          <w:rFonts w:cs="Times New Roman"/>
          <w:noProof/>
        </w:rPr>
      </w:pPr>
      <w:r w:rsidRPr="0039102C">
        <w:rPr>
          <w:noProof/>
        </w:rPr>
        <w:t>O cumprimento do CELE é verificado em ciclos anuais. Para cada ano de funcionamento, um operador de instalações ou de aeronaves deve apresentar um relatório anual de emissões até 31 de março do ano seguinte. Assim que um relatório verificado for controlado por uma autoridade competente, o operador deve devolver o número de licenças de emissão equivalente às suas emissões verificadas até 30 de setembro do mesmo ano.</w:t>
      </w:r>
    </w:p>
    <w:p w14:paraId="2EBB31A4" w14:textId="65365F99" w:rsidR="00493CD0" w:rsidRPr="0039102C" w:rsidRDefault="2026E9FA" w:rsidP="0060292C">
      <w:pPr>
        <w:pStyle w:val="CMR-text"/>
        <w:rPr>
          <w:rFonts w:cs="Times New Roman"/>
          <w:noProof/>
        </w:rPr>
      </w:pPr>
      <w:r w:rsidRPr="0039102C">
        <w:rPr>
          <w:noProof/>
        </w:rPr>
        <w:t>Por cada tonelada de CO2 emitida sem a devolução atempada das licenças de emissão correspondentes, a Diretiva CELE impõe uma multa de 100 EUR</w:t>
      </w:r>
      <w:r w:rsidR="0060292C" w:rsidRPr="0039102C">
        <w:rPr>
          <w:rFonts w:cs="Times New Roman"/>
          <w:noProof/>
          <w:vertAlign w:val="superscript"/>
        </w:rPr>
        <w:footnoteReference w:id="106"/>
      </w:r>
      <w:r w:rsidRPr="0039102C">
        <w:rPr>
          <w:noProof/>
        </w:rPr>
        <w:t>. Este montante acresce ao custo da devolução das licenças devidas. Podem também ser aplicáveis outras sanções às infrações da legislação relativa ao CELE.</w:t>
      </w:r>
    </w:p>
    <w:p w14:paraId="422EF2EF" w14:textId="71FE555C" w:rsidR="0060292C" w:rsidRPr="0039102C" w:rsidRDefault="3078641D" w:rsidP="0060292C">
      <w:pPr>
        <w:pStyle w:val="CMR-text"/>
        <w:rPr>
          <w:rFonts w:cs="Times New Roman"/>
          <w:noProof/>
          <w:highlight w:val="cyan"/>
        </w:rPr>
      </w:pPr>
      <w:r w:rsidRPr="0039102C">
        <w:rPr>
          <w:noProof/>
        </w:rPr>
        <w:t>A secção 4 do documento de trabalho dos serviços da Comissão que acompanha o presente relatório apresenta uma panorâmica pormenorizada das medidas de conformidade e das sanções por emissões excedentárias no âmbito do CELE.</w:t>
      </w:r>
    </w:p>
    <w:p w14:paraId="55C922C2" w14:textId="451D9006" w:rsidR="00AC75B8" w:rsidRPr="0039102C" w:rsidRDefault="3078641D" w:rsidP="65EC3A73">
      <w:pPr>
        <w:pStyle w:val="CMR-text"/>
        <w:rPr>
          <w:rFonts w:cs="Times New Roman"/>
          <w:noProof/>
        </w:rPr>
      </w:pPr>
      <w:r w:rsidRPr="0039102C">
        <w:rPr>
          <w:noProof/>
        </w:rPr>
        <w:t>No ciclo de 2024, o nível de cumprimento do CELE permaneceu muito elevado. À semelhança de anos recentes, os operadores responsáveis por mais de 99 % das emissões provenientes da produção de eletricidade, da produção industrial e da aviação cumpriram as suas obrigações legais atempadamente.</w:t>
      </w:r>
    </w:p>
    <w:p w14:paraId="1E2A957D" w14:textId="66860C3F" w:rsidR="0060292C" w:rsidRPr="0039102C" w:rsidRDefault="3078641D" w:rsidP="65EC3A73">
      <w:pPr>
        <w:pStyle w:val="CMR-text"/>
        <w:rPr>
          <w:rFonts w:cs="Times New Roman"/>
          <w:noProof/>
        </w:rPr>
      </w:pPr>
      <w:r w:rsidRPr="0039102C">
        <w:rPr>
          <w:noProof/>
        </w:rPr>
        <w:t>A eficiência do sistema de cumprimento também melhorou, com uma maior adoção da comunicação de dados por meios eletrónicos. Em 2024, 17 países utilizaram um sistema automatizado para o intercâmbio eletrónico de dados entre operadores ou operadores de aeronaves. Dez países também utilizaram sistemas informáticos automatizados para gerir o fluxo de trabalho para os planos metodológicos de monitorização, os relatórios anuais sobre o nível de atividade e outras trocas de informações sobre os dados relativos à atribuição.</w:t>
      </w:r>
    </w:p>
    <w:p w14:paraId="6E387743" w14:textId="1A2B1BB6" w:rsidR="0060292C" w:rsidRPr="0039102C" w:rsidRDefault="2FE337A4" w:rsidP="65EC3A73">
      <w:pPr>
        <w:pStyle w:val="CMR-text"/>
        <w:rPr>
          <w:rFonts w:cs="Times New Roman"/>
          <w:noProof/>
        </w:rPr>
      </w:pPr>
      <w:r w:rsidRPr="0039102C">
        <w:rPr>
          <w:noProof/>
        </w:rPr>
        <w:t>Devido a circunstâncias excecionais, 12 países (nove em 2023) permitiram que os verificadores realizassem visitas virtuais aos locais</w:t>
      </w:r>
      <w:r w:rsidR="0060292C" w:rsidRPr="0039102C">
        <w:rPr>
          <w:rFonts w:cs="Times New Roman"/>
          <w:noProof/>
          <w:vertAlign w:val="superscript"/>
        </w:rPr>
        <w:footnoteReference w:id="107"/>
      </w:r>
      <w:r w:rsidRPr="0039102C">
        <w:rPr>
          <w:noProof/>
        </w:rPr>
        <w:t>. A autoridade competente aprovou visitas virtuais aos locais para 27 instalações e 46 operadores de aeronaves. Em 2024, o Regulamento Acreditação e Verificação foi alterado para alargar as possibilidades de visitas virtuais aos locais para os setores da aviação. Os verificadores estão agora também autorizados a realizar visitas virtuais aos locais para além de circunstâncias de força maior, desde que estejam preenchidas determinadas condições.</w:t>
      </w:r>
    </w:p>
    <w:p w14:paraId="6EE15525" w14:textId="39C10DEE" w:rsidR="0060292C" w:rsidRPr="0039102C" w:rsidRDefault="1FDA9A19" w:rsidP="65EC3A73">
      <w:pPr>
        <w:pStyle w:val="CMR-text"/>
        <w:rPr>
          <w:rFonts w:cs="Times New Roman"/>
          <w:noProof/>
        </w:rPr>
      </w:pPr>
      <w:r w:rsidRPr="0039102C">
        <w:rPr>
          <w:noProof/>
        </w:rPr>
        <w:t>Os controlos da conformidade dos relatórios anuais sobre as emissões são realizados por todos os países que administram quaisquer operadores, o que não é o caso das instalações no Listenstaine e dos operadores de aeronaves no Listenstaine e na Irlanda do Norte. Para os vários tipos de controlos, é comunicada a percentagem de relatórios de emissões verificados (ver secção 4 do documento de trabalho dos serviços da Comissão que acompanha o presente relatório). Em 2024, a Itália não comunicou os tipos de controlos efetuados; todas as outras autoridades competentes pertinentes verificaram a exaustividade dos relatórios das instalações e a maioria, incluindo a Itália, fê-lo para os relatórios dos operadores de aeronaves. As exceções foram as autoridades competentes na França, na Grécia, na Letónia e na Noruega, tendo a Lituânia comunicado a verificação das emissões em relação a outras fontes.</w:t>
      </w:r>
    </w:p>
    <w:p w14:paraId="558C6526" w14:textId="02D2CD51" w:rsidR="0060292C" w:rsidRPr="0039102C" w:rsidRDefault="27AB0616">
      <w:pPr>
        <w:pStyle w:val="CMR-text"/>
        <w:rPr>
          <w:rFonts w:cs="Times New Roman"/>
          <w:noProof/>
        </w:rPr>
      </w:pPr>
      <w:r w:rsidRPr="0039102C">
        <w:rPr>
          <w:noProof/>
        </w:rPr>
        <w:t>As autoridades competentes de 12 países efetuaram estimativas prudentes para 62 instalações (cerca de 0,55 % do total das instalações, o mesmo que em 2023). No caso de algumas instalações, as emissões foram estimadas para vários anos, tendo sido efetuado um total de 87 estimativas, das quais 33 diziam respeito a 2024, sendo as restantes estimativas prudentes de anos anteriores. Foi efetuada uma estimativa prudente das emissões nos termos do artigo 70.º do Regulamento Monitorização e Comunicação de Informações quando os relatórios anuais sobre as emissões não foram apresentados atempadamente ou quando foi emitido um parecer de verificação negativo devido ao facto de a limitação do âmbito, a inexatidão material ou a não conformidade não proporcionarem clareza suficiente para declarar com garantia razoável que o relatório está isento de inexatidões materiais. Será igualmente efetuada uma estimativa deste tipo se se verificar que o relatório de emissões não está em conformidade com o Regulamento Monitorização e Comunicação de Informações.</w:t>
      </w:r>
    </w:p>
    <w:p w14:paraId="061154A0" w14:textId="6C1B58BE" w:rsidR="0060292C" w:rsidRPr="0039102C" w:rsidRDefault="5F1749CF" w:rsidP="65EC3A73">
      <w:pPr>
        <w:pStyle w:val="CMR-text"/>
        <w:rPr>
          <w:rFonts w:cs="Times New Roman"/>
          <w:noProof/>
        </w:rPr>
      </w:pPr>
      <w:r w:rsidRPr="0039102C">
        <w:rPr>
          <w:noProof/>
        </w:rPr>
        <w:t>Três países comunicaram estimativas prudentes para a aviação (também três em 2023) relativas a 17 operadores de aeronaves (22 em 2023).</w:t>
      </w:r>
    </w:p>
    <w:p w14:paraId="61E82E3A" w14:textId="70285354" w:rsidR="0060292C" w:rsidRPr="0039102C" w:rsidRDefault="48BCFA95" w:rsidP="65EC3A73">
      <w:pPr>
        <w:pStyle w:val="CMR-text"/>
        <w:rPr>
          <w:rFonts w:cs="Times New Roman"/>
          <w:noProof/>
        </w:rPr>
      </w:pPr>
      <w:r w:rsidRPr="0039102C">
        <w:rPr>
          <w:noProof/>
        </w:rPr>
        <w:t>As verificações realizadas pelas autoridades competentes continuam a ser importantes para complementar o trabalho dos verificadores. Para além da verificação dos relatórios de emissões, 18 países comunicaram ter realizado inspeções no local das instalações (19 em 2023). Cinco países</w:t>
      </w:r>
      <w:r w:rsidR="0060292C" w:rsidRPr="0039102C">
        <w:rPr>
          <w:rFonts w:cs="Times New Roman"/>
          <w:noProof/>
          <w:vertAlign w:val="superscript"/>
        </w:rPr>
        <w:footnoteReference w:id="108"/>
      </w:r>
      <w:r w:rsidRPr="0039102C">
        <w:rPr>
          <w:noProof/>
        </w:rPr>
        <w:t xml:space="preserve"> comunicaram inspeções no local no setor da aviação (três em 2023).</w:t>
      </w:r>
    </w:p>
    <w:p w14:paraId="4B759358" w14:textId="5611BA6C" w:rsidR="007F7046" w:rsidRPr="0039102C" w:rsidRDefault="48BCFA95" w:rsidP="65EC3A73">
      <w:pPr>
        <w:pStyle w:val="CMR-text"/>
        <w:rPr>
          <w:rFonts w:cs="Times New Roman"/>
          <w:noProof/>
        </w:rPr>
      </w:pPr>
      <w:r w:rsidRPr="0039102C">
        <w:rPr>
          <w:noProof/>
        </w:rPr>
        <w:t>Em 2024, foram aplicadas coimas a 31 instalações em nove países por não terem devolvido licenças de emissão suficientes para cobrir as suas emissões comunicadas (emissões excedentárias). Para a aviação, seis países comunicaram multas por emissões excedentárias relativamente a 11 operadores de aeronaves. No que diz respeito às obrigações aplicáveis às emissões para as instalações, foi comunicado um total de 47 infrações em 12 países</w:t>
      </w:r>
      <w:r w:rsidR="0060292C" w:rsidRPr="0039102C">
        <w:rPr>
          <w:rFonts w:cs="Times New Roman"/>
          <w:noProof/>
          <w:vertAlign w:val="superscript"/>
        </w:rPr>
        <w:footnoteReference w:id="109"/>
      </w:r>
      <w:r w:rsidRPr="0039102C">
        <w:rPr>
          <w:noProof/>
        </w:rPr>
        <w:t>, o que resultou em 36 sanções com um total combinado de 476,5 milhões de EUR, advertências formais ou notificações formais. No caso das instalações que solicitaram a atribuição de licenças de emissão a título gratuito, foram comunicadas quatro infrações em três países</w:t>
      </w:r>
      <w:r w:rsidR="2026E9FA" w:rsidRPr="0039102C">
        <w:rPr>
          <w:rFonts w:cs="Times New Roman"/>
          <w:noProof/>
          <w:vertAlign w:val="superscript"/>
        </w:rPr>
        <w:footnoteReference w:id="110"/>
      </w:r>
      <w:r w:rsidRPr="0039102C">
        <w:rPr>
          <w:noProof/>
        </w:rPr>
        <w:t>, duas das quais resultaram em coimas, num total de 0,07 milhões de EUR.</w:t>
      </w:r>
    </w:p>
    <w:p w14:paraId="23425870" w14:textId="73C3A8F0" w:rsidR="0060292C" w:rsidRPr="0039102C" w:rsidRDefault="1EDB94C0" w:rsidP="65EC3A73">
      <w:pPr>
        <w:pStyle w:val="CMR-text"/>
        <w:rPr>
          <w:rFonts w:cs="Times New Roman"/>
          <w:noProof/>
        </w:rPr>
      </w:pPr>
      <w:r w:rsidRPr="0039102C">
        <w:rPr>
          <w:noProof/>
        </w:rPr>
        <w:t>Relativamente à aviação, foram comunicadas 19 infrações em seis países</w:t>
      </w:r>
      <w:r w:rsidR="2026E9FA" w:rsidRPr="0039102C">
        <w:rPr>
          <w:rFonts w:cs="Times New Roman"/>
          <w:noProof/>
          <w:vertAlign w:val="superscript"/>
        </w:rPr>
        <w:footnoteReference w:id="111"/>
      </w:r>
      <w:r w:rsidRPr="0039102C">
        <w:rPr>
          <w:noProof/>
        </w:rPr>
        <w:t>, das quais 13 deram origem a coimas, num total de 4,1 milhões de EUR. As principais razões foram o incumprimento dos prazos de comunicação das emissões e a não devolução das licenças de emissão exigidas.</w:t>
      </w:r>
    </w:p>
    <w:p w14:paraId="330D86B0" w14:textId="7D261F0C" w:rsidR="009503C8" w:rsidRPr="0039102C" w:rsidRDefault="00E71ACF" w:rsidP="00EC4FC3">
      <w:pPr>
        <w:pStyle w:val="CMR-Subheading"/>
        <w:rPr>
          <w:noProof/>
        </w:rPr>
      </w:pPr>
      <w:bookmarkStart w:id="91" w:name="_Toc218529306"/>
      <w:r w:rsidRPr="0039102C">
        <w:rPr>
          <w:noProof/>
        </w:rPr>
        <w:t>Quadro de aplicação para o transporte marítimo</w:t>
      </w:r>
      <w:bookmarkEnd w:id="91"/>
    </w:p>
    <w:p w14:paraId="6609B48C" w14:textId="01299349" w:rsidR="00662736" w:rsidRPr="0039102C" w:rsidRDefault="51CC7D28" w:rsidP="00717EB2">
      <w:pPr>
        <w:pStyle w:val="CMR-text"/>
        <w:rPr>
          <w:rFonts w:cs="Times New Roman"/>
          <w:b/>
          <w:bCs/>
          <w:noProof/>
        </w:rPr>
      </w:pPr>
      <w:r w:rsidRPr="0039102C">
        <w:rPr>
          <w:noProof/>
        </w:rPr>
        <w:t>O quadro dos requisitos de monitorização, comunicação de informações, verificação e acreditação aplicáveis ao transporte marítimo baseia-se no quadro estabelecido para outros setores no âmbito do CELE, com as necessárias adaptações. O Regulamento MCV do Transporte Marítimo foi revisto em 2023, a fim de permitir o alargamento do CELE ao transporte marítimo, nomeadamente para ampliar o âmbito de aplicação do sistema MCV ao CH</w:t>
      </w:r>
      <w:r w:rsidRPr="0039102C">
        <w:rPr>
          <w:noProof/>
          <w:vertAlign w:val="subscript"/>
        </w:rPr>
        <w:t>4</w:t>
      </w:r>
      <w:r w:rsidRPr="0039102C">
        <w:rPr>
          <w:noProof/>
        </w:rPr>
        <w:t xml:space="preserve"> e ao N</w:t>
      </w:r>
      <w:r w:rsidRPr="0039102C">
        <w:rPr>
          <w:noProof/>
          <w:vertAlign w:val="subscript"/>
        </w:rPr>
        <w:t>2</w:t>
      </w:r>
      <w:r w:rsidRPr="0039102C">
        <w:rPr>
          <w:noProof/>
        </w:rPr>
        <w:t>O (a partir de 2026) e estabelecer regras para determinar as emissões dos navios no âmbito do CELE e agregá-las a nível da companhia de transporte marítimo. Os atos delegados pertinentes para aplicar o sistema foram adotados em 2023, após o que a Comissão elaborou um conjunto de documentos de orientação para ajudar as partes interessadas a cumprir as suas obrigações jurídicas</w:t>
      </w:r>
      <w:r w:rsidR="002741ED" w:rsidRPr="0039102C">
        <w:rPr>
          <w:rStyle w:val="FootnoteReference"/>
          <w:rFonts w:cs="Times New Roman"/>
          <w:noProof/>
        </w:rPr>
        <w:footnoteReference w:id="112"/>
      </w:r>
      <w:r w:rsidRPr="0039102C">
        <w:rPr>
          <w:noProof/>
        </w:rPr>
        <w:t>.</w:t>
      </w:r>
    </w:p>
    <w:p w14:paraId="504CC7C4" w14:textId="3C8E512A" w:rsidR="00662736" w:rsidRPr="0039102C" w:rsidRDefault="00662736" w:rsidP="00EC4FC3">
      <w:pPr>
        <w:pStyle w:val="CMR-SubHead2"/>
        <w:rPr>
          <w:noProof/>
        </w:rPr>
      </w:pPr>
      <w:bookmarkStart w:id="92" w:name="_Toc218529307"/>
      <w:r w:rsidRPr="0039102C">
        <w:rPr>
          <w:noProof/>
        </w:rPr>
        <w:t>Monitorização e comunicação das emissões</w:t>
      </w:r>
      <w:bookmarkEnd w:id="92"/>
    </w:p>
    <w:p w14:paraId="090828AA" w14:textId="3ACC9163" w:rsidR="004B2A23" w:rsidRPr="0039102C" w:rsidRDefault="00BA7B86" w:rsidP="00717EB2">
      <w:pPr>
        <w:pStyle w:val="CMR-text"/>
        <w:rPr>
          <w:rFonts w:cs="Times New Roman"/>
          <w:noProof/>
        </w:rPr>
      </w:pPr>
      <w:r w:rsidRPr="0039102C">
        <w:rPr>
          <w:noProof/>
        </w:rPr>
        <w:t>Desde 2018, as companhias de transporte marítimo são obrigadas a monitorizar e comunicar as emissões em conformidade com o Regulamento MCV do Transporte Marítimo, nos termos do qual as companhias têm de apresentar planos de monitorização, relatórios de emissões e relatórios de verificação para cada um dos navios sob a sua responsabilidade. A partir de 2024, têm também de fornecer dados por companhia, com dados adicionais comunicados para o CELE, apresentando um relatório agregado de todos os seus navios.</w:t>
      </w:r>
    </w:p>
    <w:p w14:paraId="5E3A49B9" w14:textId="54F24BF2" w:rsidR="00D005B0" w:rsidRPr="0039102C" w:rsidRDefault="00BA7B86" w:rsidP="00717EB2">
      <w:pPr>
        <w:pStyle w:val="CMR-text"/>
        <w:rPr>
          <w:rFonts w:cs="Times New Roman"/>
          <w:b/>
          <w:noProof/>
        </w:rPr>
      </w:pPr>
      <w:r w:rsidRPr="0039102C">
        <w:rPr>
          <w:noProof/>
        </w:rPr>
        <w:t>Para o efeito, é necessário apenas um único processo de monitorização e comunicação de informações, embora os dados a comunicar no âmbito do CELE possam divergir, em certa medida, dos dados a comunicar ao abrigo do Regulamento MCV do Transporte Marítimo, por exemplo no que diz respeito ao âmbito de aplicação (gases com efeito de estufa, cobertura das viagens) e às diferentes derrogações aplicáveis estabelecidas na Diretiva CELE. Além disso, as companhias ativas no âmbito do CELE devem cumprir requisitos adicionais para assegurar que cumprem as obrigações que lhes incumbem por força da Diretiva CELE (por exemplo, obter a aprovação do seu plano de monitorização pela autoridade administradora competente, abrir uma conta de depósito de operador do setor marítimo no Registo da União, etc.), em comparação com as companhias ativas apenas no âmbito do MCV.</w:t>
      </w:r>
    </w:p>
    <w:p w14:paraId="74D0D381" w14:textId="2F702B34" w:rsidR="007627AC" w:rsidRPr="0039102C" w:rsidRDefault="62879E6D">
      <w:pPr>
        <w:pStyle w:val="CMR-text"/>
        <w:rPr>
          <w:rFonts w:cs="Times New Roman"/>
          <w:b/>
          <w:bCs/>
          <w:noProof/>
        </w:rPr>
      </w:pPr>
      <w:r w:rsidRPr="0039102C">
        <w:rPr>
          <w:noProof/>
        </w:rPr>
        <w:t>Em 2024, 3 313 companhias de transporte marítimo apresentaram um relatório de emissões a nível da companhia, abrangendo 13 627 navios. Estas companhias comunicaram 138,3 Mt de CO</w:t>
      </w:r>
      <w:r w:rsidRPr="0039102C">
        <w:rPr>
          <w:noProof/>
          <w:vertAlign w:val="subscript"/>
        </w:rPr>
        <w:t>2</w:t>
      </w:r>
      <w:r w:rsidRPr="0039102C">
        <w:rPr>
          <w:noProof/>
        </w:rPr>
        <w:t xml:space="preserve"> no âmbito mais geral do MCV</w:t>
      </w:r>
      <w:r w:rsidR="00B00AAC" w:rsidRPr="0039102C">
        <w:rPr>
          <w:rStyle w:val="FootnoteReference"/>
          <w:rFonts w:cs="Times New Roman"/>
          <w:noProof/>
        </w:rPr>
        <w:footnoteReference w:id="113"/>
      </w:r>
      <w:r w:rsidRPr="0039102C">
        <w:rPr>
          <w:noProof/>
        </w:rPr>
        <w:t>, resultantes da utilização de 44,7 milhões de toneladas de combustível, das quais os combustíveis fósseis navais</w:t>
      </w:r>
      <w:r w:rsidR="007E36D0" w:rsidRPr="0039102C">
        <w:rPr>
          <w:rStyle w:val="FootnoteReference"/>
          <w:rFonts w:cs="Times New Roman"/>
          <w:noProof/>
        </w:rPr>
        <w:footnoteReference w:id="114"/>
      </w:r>
      <w:r w:rsidRPr="0039102C">
        <w:rPr>
          <w:noProof/>
        </w:rPr>
        <w:t xml:space="preserve"> representaram 99,4 % do consumo comunicado</w:t>
      </w:r>
      <w:r w:rsidR="00E979CF" w:rsidRPr="0039102C">
        <w:rPr>
          <w:rStyle w:val="FootnoteReference"/>
          <w:rFonts w:cs="Times New Roman"/>
          <w:noProof/>
        </w:rPr>
        <w:footnoteReference w:id="115"/>
      </w:r>
      <w:r w:rsidRPr="0039102C">
        <w:rPr>
          <w:noProof/>
        </w:rPr>
        <w:t xml:space="preserve"> e 0,6 % beneficiaram de uma taxa zero.</w:t>
      </w:r>
    </w:p>
    <w:p w14:paraId="534AF5CD" w14:textId="7AEBAADA" w:rsidR="005B5151" w:rsidRPr="0039102C" w:rsidRDefault="4DF18327" w:rsidP="65EC3A73">
      <w:pPr>
        <w:pStyle w:val="CMR-text"/>
        <w:rPr>
          <w:rFonts w:cs="Times New Roman"/>
          <w:b/>
          <w:bCs/>
          <w:noProof/>
        </w:rPr>
      </w:pPr>
      <w:r w:rsidRPr="0039102C">
        <w:rPr>
          <w:noProof/>
        </w:rPr>
        <w:t>As emissões verificadas comunicadas a nível da companhia abrangidas pelo âmbito de aplicação do MCV foram reduzidas, tal como registado no THETIS-MRV, para determinar as emissões abrangidas pelo âmbito de aplicação do CELE após a aplicação das regras pertinentes: taxa zero para os combustíveis elegíveis (0,7 Mt), âmbito geográfico do CELE limitado a 50 % das viagens fora do EEE (48,6 Mt), captura, armazenamento e utilização de carbono (56 toneladas) e derrogações para as pequenas ilhas, para os contratos de serviço público e as obrigações de serviço público e para as regiões ultraperiféricas (3,9 Mt)</w:t>
      </w:r>
      <w:r w:rsidR="00762044" w:rsidRPr="0039102C">
        <w:rPr>
          <w:rStyle w:val="FootnoteReference"/>
          <w:rFonts w:cs="Times New Roman"/>
          <w:b/>
          <w:bCs/>
          <w:noProof/>
        </w:rPr>
        <w:footnoteReference w:id="116"/>
      </w:r>
      <w:r w:rsidRPr="0039102C">
        <w:rPr>
          <w:noProof/>
        </w:rPr>
        <w:t>.</w:t>
      </w:r>
    </w:p>
    <w:p w14:paraId="798CB06D" w14:textId="3E0659C4" w:rsidR="006D6C21" w:rsidRPr="0039102C" w:rsidRDefault="006D6C21" w:rsidP="00EC4FC3">
      <w:pPr>
        <w:pStyle w:val="CMR-SubHead2"/>
        <w:rPr>
          <w:noProof/>
        </w:rPr>
      </w:pPr>
      <w:bookmarkStart w:id="93" w:name="_Toc218529308"/>
      <w:r w:rsidRPr="0039102C">
        <w:rPr>
          <w:noProof/>
        </w:rPr>
        <w:t>Verificação e acreditação</w:t>
      </w:r>
      <w:bookmarkEnd w:id="93"/>
    </w:p>
    <w:p w14:paraId="00CC663E" w14:textId="14AE95B0" w:rsidR="006D6C21" w:rsidRPr="0039102C" w:rsidRDefault="00097B30" w:rsidP="00671D98">
      <w:pPr>
        <w:pStyle w:val="CMR-text"/>
        <w:rPr>
          <w:rFonts w:cs="Times New Roman"/>
          <w:noProof/>
        </w:rPr>
      </w:pPr>
      <w:r w:rsidRPr="0039102C">
        <w:rPr>
          <w:noProof/>
        </w:rPr>
        <w:t>Quanto a outros setores do CELE, o verificador ativo no âmbito do CELE para o setor marítimo tem de ser acreditado por um organismo nacional de acreditação, em consonância com o Regulamento Acreditação e Verificação e com a norma ISO 14065 (uma norma internacional ISO). O verificador realiza as várias atividades exigidas pelo Regulamento MCV do Transporte Marítimo para verificar a aplicação do plano de monitorização e os dados constantes dos relatórios da companhia de transporte marítimo, tanto a nível do navio como da companhia.</w:t>
      </w:r>
    </w:p>
    <w:p w14:paraId="6336B871" w14:textId="08B1407B" w:rsidR="00171EBE" w:rsidRPr="0039102C" w:rsidRDefault="00171EBE" w:rsidP="00171EBE">
      <w:pPr>
        <w:pStyle w:val="CMR-text"/>
        <w:rPr>
          <w:rFonts w:cs="Times New Roman"/>
          <w:noProof/>
        </w:rPr>
      </w:pPr>
      <w:r w:rsidRPr="0039102C">
        <w:rPr>
          <w:noProof/>
        </w:rPr>
        <w:t>Em 2024, estavam ativos 22 verificadores acreditados no âmbito do sistema MCV para o transporte marítimo. Considera-se que a conformidade dos verificadores com as regras em matéria de acreditação e comunicação de informações para o transporte marítimo é elevada. Relativamente a 2024, não foram comunicadas quaisquer suspensões ou retiradas da acreditação de um verificador.</w:t>
      </w:r>
    </w:p>
    <w:p w14:paraId="577EDD7D" w14:textId="04078E80" w:rsidR="0090557D" w:rsidRPr="0039102C" w:rsidRDefault="0090557D" w:rsidP="00EC4FC3">
      <w:pPr>
        <w:pStyle w:val="CMR-SubHead2"/>
        <w:rPr>
          <w:noProof/>
        </w:rPr>
      </w:pPr>
      <w:bookmarkStart w:id="94" w:name="_Toc218529309"/>
      <w:r w:rsidRPr="0039102C">
        <w:rPr>
          <w:noProof/>
        </w:rPr>
        <w:t>Autoridades administradoras</w:t>
      </w:r>
      <w:bookmarkEnd w:id="94"/>
    </w:p>
    <w:p w14:paraId="0507A8A1" w14:textId="690AA0A3" w:rsidR="00C46EE5" w:rsidRPr="0039102C" w:rsidRDefault="16DF4BC3">
      <w:pPr>
        <w:pStyle w:val="CMR-text"/>
        <w:rPr>
          <w:rFonts w:cs="Times New Roman"/>
          <w:bCs/>
          <w:noProof/>
        </w:rPr>
      </w:pPr>
      <w:r w:rsidRPr="0039102C">
        <w:rPr>
          <w:noProof/>
        </w:rPr>
        <w:t>Para um funcionamento harmonioso e eficaz do CELE, é designada uma autoridade administradora num Estado-Membro para cada companhia de transporte marítimo. Trata-se do Estado-Membro ao qual a companhia de transporte marítimo apresenta o plano de monitorização para aprovação, o relatório anual de emissões verificado e o relatório de emissões da companhia, e que administra a companhia de transporte marítimo no que diz respeito à sua conta no registo. Cada companhia de transporte marítimo é adstrita ao respetivo Estado-Membro administrador mediante a aplicação das regras estabelecidas na Diretiva CELE</w:t>
      </w:r>
      <w:r w:rsidR="000C7282" w:rsidRPr="0039102C">
        <w:rPr>
          <w:rStyle w:val="FootnoteReference"/>
          <w:rFonts w:cs="Times New Roman"/>
          <w:noProof/>
        </w:rPr>
        <w:footnoteReference w:id="117"/>
      </w:r>
      <w:r w:rsidRPr="0039102C">
        <w:rPr>
          <w:noProof/>
        </w:rPr>
        <w:t>.</w:t>
      </w:r>
    </w:p>
    <w:p w14:paraId="050AF7F7" w14:textId="7AB1B1E0" w:rsidR="00C6468B" w:rsidRPr="0039102C" w:rsidRDefault="0090557D" w:rsidP="00EC4FC3">
      <w:pPr>
        <w:pStyle w:val="CMR-SubHead2"/>
        <w:rPr>
          <w:noProof/>
        </w:rPr>
      </w:pPr>
      <w:bookmarkStart w:id="95" w:name="_Toc218529310"/>
      <w:r w:rsidRPr="0039102C">
        <w:rPr>
          <w:noProof/>
        </w:rPr>
        <w:t>Conformidade com o CELE para o transporte marítimo</w:t>
      </w:r>
      <w:bookmarkEnd w:id="95"/>
    </w:p>
    <w:p w14:paraId="65DCFEF7" w14:textId="5B0D74F9" w:rsidR="00F44587" w:rsidRPr="0039102C" w:rsidRDefault="0F0313D8" w:rsidP="007F7046">
      <w:pPr>
        <w:pStyle w:val="CMR-text"/>
        <w:rPr>
          <w:rFonts w:cs="Times New Roman"/>
          <w:noProof/>
        </w:rPr>
      </w:pPr>
      <w:r w:rsidRPr="0039102C">
        <w:rPr>
          <w:noProof/>
        </w:rPr>
        <w:t>O ano de 2025 foi o primeiro ano em que as licenças de emissão para as emissões provenientes do transporte marítimo foram devolvidas no âmbito do CELE, com base no que foi comunicado para as atividades de 2024. As companhias de transporte marítimo devolveram licenças de emissão relativas a mais de 99 % dos requisitos de devolução</w:t>
      </w:r>
      <w:r w:rsidR="00EC12E1" w:rsidRPr="0039102C">
        <w:rPr>
          <w:rFonts w:cs="Times New Roman"/>
          <w:noProof/>
          <w:vertAlign w:val="superscript"/>
        </w:rPr>
        <w:footnoteReference w:id="118"/>
      </w:r>
      <w:r w:rsidRPr="0039102C">
        <w:rPr>
          <w:noProof/>
        </w:rPr>
        <w:t xml:space="preserve"> dentro do prazo legal.</w:t>
      </w:r>
    </w:p>
    <w:p w14:paraId="182A3BB9" w14:textId="69C108C0" w:rsidR="00C6468B" w:rsidRPr="0039102C" w:rsidRDefault="00C6468B" w:rsidP="00F44587">
      <w:pPr>
        <w:pStyle w:val="CMR-SubHead2"/>
        <w:rPr>
          <w:noProof/>
        </w:rPr>
      </w:pPr>
      <w:bookmarkStart w:id="96" w:name="_Toc218529311"/>
      <w:r w:rsidRPr="0039102C">
        <w:rPr>
          <w:noProof/>
        </w:rPr>
        <w:t>Aplicação do CELE 2</w:t>
      </w:r>
      <w:bookmarkEnd w:id="96"/>
    </w:p>
    <w:p w14:paraId="2687529C" w14:textId="2C16C93A" w:rsidR="006D6C21" w:rsidRPr="0039102C" w:rsidRDefault="7B9A1957" w:rsidP="50C721A3">
      <w:pPr>
        <w:pStyle w:val="CMR-text"/>
        <w:rPr>
          <w:rFonts w:cs="Times New Roman"/>
          <w:noProof/>
        </w:rPr>
      </w:pPr>
      <w:r w:rsidRPr="0039102C">
        <w:rPr>
          <w:noProof/>
        </w:rPr>
        <w:t>O Regulamento Monitorização e Comunicação de Informações e o Regulamento Acreditação e Verificação também incluem os requisitos de monitorização, comunicação de informações, verificação e acreditação para a aplicação do CELE 2. A fim de facilitar a aplicação do novo sistema, a Comissão elaborou documentos de orientação e modelos para as autoridades nacionais competentes, as entidades regulamentadas e os verificadores</w:t>
      </w:r>
      <w:r w:rsidR="00C6468B" w:rsidRPr="0039102C">
        <w:rPr>
          <w:rStyle w:val="FootnoteReference"/>
          <w:rFonts w:cs="Times New Roman"/>
          <w:noProof/>
        </w:rPr>
        <w:footnoteReference w:id="119"/>
      </w:r>
      <w:r w:rsidRPr="0039102C">
        <w:rPr>
          <w:noProof/>
        </w:rPr>
        <w:t>:</w:t>
      </w:r>
    </w:p>
    <w:p w14:paraId="2269D2FB" w14:textId="331C6B40" w:rsidR="00C6468B" w:rsidRPr="0039102C" w:rsidRDefault="003158AE" w:rsidP="00CE747B">
      <w:pPr>
        <w:pStyle w:val="CMR-text"/>
        <w:numPr>
          <w:ilvl w:val="0"/>
          <w:numId w:val="60"/>
        </w:numPr>
        <w:spacing w:before="120" w:after="120"/>
        <w:ind w:left="714" w:hanging="357"/>
        <w:rPr>
          <w:noProof/>
          <w:szCs w:val="20"/>
        </w:rPr>
      </w:pPr>
      <w:r w:rsidRPr="0039102C">
        <w:rPr>
          <w:noProof/>
        </w:rPr>
        <w:t>orientações gerais sobre o Regulamento Monitorização e Comunicação de Informações para as entidades regulamentadas do CELE 2,</w:t>
      </w:r>
    </w:p>
    <w:p w14:paraId="50CF9CE8" w14:textId="7F92FF3A" w:rsidR="00C6468B" w:rsidRPr="0039102C" w:rsidRDefault="003158AE" w:rsidP="00CE747B">
      <w:pPr>
        <w:pStyle w:val="CMR-text"/>
        <w:numPr>
          <w:ilvl w:val="0"/>
          <w:numId w:val="60"/>
        </w:numPr>
        <w:spacing w:before="120" w:after="120"/>
        <w:ind w:left="714" w:hanging="357"/>
        <w:rPr>
          <w:noProof/>
          <w:szCs w:val="20"/>
        </w:rPr>
      </w:pPr>
      <w:r w:rsidRPr="0039102C">
        <w:rPr>
          <w:noProof/>
        </w:rPr>
        <w:t>modelo de plano de monitorização para entidades regulamentadas,</w:t>
      </w:r>
    </w:p>
    <w:p w14:paraId="47C35330" w14:textId="7E49650E" w:rsidR="00C6468B" w:rsidRPr="0039102C" w:rsidRDefault="003158AE" w:rsidP="00CE747B">
      <w:pPr>
        <w:pStyle w:val="CMR-text"/>
        <w:numPr>
          <w:ilvl w:val="0"/>
          <w:numId w:val="60"/>
        </w:numPr>
        <w:spacing w:before="120" w:after="120"/>
        <w:ind w:left="714" w:hanging="357"/>
        <w:rPr>
          <w:noProof/>
          <w:szCs w:val="20"/>
        </w:rPr>
      </w:pPr>
      <w:r w:rsidRPr="0039102C">
        <w:rPr>
          <w:noProof/>
        </w:rPr>
        <w:t>modelo de relatório anual sobre as emissões para entidades regulamentadas,</w:t>
      </w:r>
    </w:p>
    <w:p w14:paraId="2B5B2949" w14:textId="08D30329" w:rsidR="00C6468B" w:rsidRPr="0039102C" w:rsidRDefault="006D2913" w:rsidP="00CE747B">
      <w:pPr>
        <w:pStyle w:val="CMR-text"/>
        <w:numPr>
          <w:ilvl w:val="0"/>
          <w:numId w:val="60"/>
        </w:numPr>
        <w:spacing w:before="120" w:after="120"/>
        <w:ind w:left="714" w:hanging="357"/>
        <w:rPr>
          <w:noProof/>
          <w:szCs w:val="20"/>
        </w:rPr>
      </w:pPr>
      <w:r w:rsidRPr="0039102C">
        <w:rPr>
          <w:noProof/>
        </w:rPr>
        <w:t>orientações em matéria de acreditação e verificação para o CELE 2,</w:t>
      </w:r>
    </w:p>
    <w:p w14:paraId="1725106F" w14:textId="0693CBB7" w:rsidR="39243AE7" w:rsidRPr="0039102C" w:rsidRDefault="00C6468B" w:rsidP="00CE747B">
      <w:pPr>
        <w:pStyle w:val="CMR-text"/>
        <w:numPr>
          <w:ilvl w:val="0"/>
          <w:numId w:val="60"/>
        </w:numPr>
        <w:spacing w:before="120" w:after="120"/>
        <w:ind w:left="714" w:hanging="357"/>
        <w:rPr>
          <w:noProof/>
          <w:szCs w:val="20"/>
        </w:rPr>
      </w:pPr>
      <w:r w:rsidRPr="0039102C">
        <w:rPr>
          <w:noProof/>
        </w:rPr>
        <w:t>modelo do relatório de verificação do CELE 2.</w:t>
      </w:r>
    </w:p>
    <w:p w14:paraId="1327CC32" w14:textId="01326E45" w:rsidR="000E3032" w:rsidRPr="0039102C" w:rsidRDefault="00E75BFF" w:rsidP="00EC4FC3">
      <w:pPr>
        <w:pStyle w:val="CMR-Heading"/>
        <w:rPr>
          <w:noProof/>
        </w:rPr>
      </w:pPr>
      <w:bookmarkStart w:id="97" w:name="_Toc180513416"/>
      <w:r w:rsidRPr="0039102C">
        <w:rPr>
          <w:noProof/>
        </w:rPr>
        <w:t xml:space="preserve"> </w:t>
      </w:r>
      <w:bookmarkStart w:id="98" w:name="_Toc218529312"/>
      <w:r w:rsidRPr="0039102C">
        <w:rPr>
          <w:noProof/>
        </w:rPr>
        <w:t>O CELE no contexto da governação da UE em matéria de clima e energia</w:t>
      </w:r>
      <w:bookmarkEnd w:id="97"/>
      <w:bookmarkEnd w:id="98"/>
    </w:p>
    <w:p w14:paraId="621D74F7" w14:textId="7E7E0417" w:rsidR="00983C03" w:rsidRPr="0039102C" w:rsidRDefault="409D608C" w:rsidP="00983C03">
      <w:pPr>
        <w:pStyle w:val="CMR-text"/>
        <w:rPr>
          <w:rFonts w:cs="Times New Roman"/>
          <w:noProof/>
        </w:rPr>
      </w:pPr>
      <w:r w:rsidRPr="0039102C">
        <w:rPr>
          <w:noProof/>
        </w:rPr>
        <w:t>O CELE funciona no contexto mais vasto da governação da UE em matéria de clima e energia, incluindo a Diretiva Eficiência Energética [Diretiva (UE) 2023/1791]</w:t>
      </w:r>
      <w:r w:rsidR="00983C03" w:rsidRPr="0039102C">
        <w:rPr>
          <w:rFonts w:cs="Times New Roman"/>
          <w:noProof/>
          <w:vertAlign w:val="superscript"/>
        </w:rPr>
        <w:footnoteReference w:id="120"/>
      </w:r>
      <w:r w:rsidRPr="0039102C">
        <w:rPr>
          <w:noProof/>
        </w:rPr>
        <w:t>, que foi reformulada no âmbito do pacote de reformas Objetivo 55. O objetivo da referida diretiva é alcançar economias de energia através do estabelecimento de metas e obrigações para os Estados-Membros e para as empresas. O sinal de preço do carbono do CELE é tido em conta na escolha das medidas e ações políticas para o efeito. O artigo 35.º, n.º 1, da Diretiva Eficiência Energética exige que o relatório anual da Comissão sobre o funcionamento do mercado europeu do carbono (o presente relatório) tenha em conta a aplicação dessa diretiva.</w:t>
      </w:r>
    </w:p>
    <w:p w14:paraId="1F1D0279" w14:textId="1DC20A64" w:rsidR="00983C03" w:rsidRPr="0039102C" w:rsidRDefault="00983C03" w:rsidP="00983C03">
      <w:pPr>
        <w:pStyle w:val="CMR-text"/>
        <w:rPr>
          <w:rFonts w:cs="Times New Roman"/>
          <w:noProof/>
        </w:rPr>
      </w:pPr>
      <w:r w:rsidRPr="0039102C">
        <w:rPr>
          <w:noProof/>
        </w:rPr>
        <w:t>A Diretiva Eficiência Energética revista introduz novas regras para reduzir o consumo de energia final a nível da UE em 11,7 % até 2030, em comparação com as projeções do cenário de referência da UE de 2020. Todos os Estados-Membros são obrigados a contribuir para a consecução desta meta. Para o efeito, estabelecem contributos e trajetórias indicativos nacionais nos seus planos nacionais integrados em matéria de energia e de clima (PNEC) atualizados ao abrigo do Regulamento Governação. Os Estados-Membros tiveram de apresentar as versões finais dos seus PNEC atualizados até 30 de junho de 2024.</w:t>
      </w:r>
    </w:p>
    <w:p w14:paraId="47E3967C" w14:textId="381570F0" w:rsidR="003A41AC" w:rsidRPr="0039102C" w:rsidRDefault="007915CC" w:rsidP="00983C03">
      <w:pPr>
        <w:pStyle w:val="CMR-text"/>
        <w:rPr>
          <w:rFonts w:cs="Times New Roman"/>
          <w:noProof/>
        </w:rPr>
      </w:pPr>
      <w:r w:rsidRPr="0039102C">
        <w:rPr>
          <w:noProof/>
        </w:rPr>
        <w:t>Em maio de 2025, a Comissão publicou a sua avaliação dos PNEC à escala da UE, na sequência das suas atualizações, a fim de ter em conta as metas para 2030</w:t>
      </w:r>
      <w:r w:rsidR="0048515B" w:rsidRPr="0039102C">
        <w:rPr>
          <w:rStyle w:val="FootnoteReference"/>
          <w:rFonts w:cs="Times New Roman"/>
          <w:noProof/>
        </w:rPr>
        <w:footnoteReference w:id="121"/>
      </w:r>
      <w:r w:rsidRPr="0039102C">
        <w:rPr>
          <w:noProof/>
        </w:rPr>
        <w:t>.</w:t>
      </w:r>
      <w:r w:rsidRPr="0039102C">
        <w:rPr>
          <w:b/>
          <w:noProof/>
        </w:rPr>
        <w:t xml:space="preserve"> </w:t>
      </w:r>
      <w:r w:rsidRPr="0039102C">
        <w:rPr>
          <w:noProof/>
        </w:rPr>
        <w:t>A avaliação foi acompanhada de um documento de trabalho dos serviços da Comissão que apresenta uma avaliação individual dos primeiros 23 planos apresentados</w:t>
      </w:r>
      <w:r w:rsidR="004024EB" w:rsidRPr="0039102C">
        <w:rPr>
          <w:rStyle w:val="FootnoteReference"/>
          <w:rFonts w:cs="Times New Roman"/>
          <w:noProof/>
        </w:rPr>
        <w:footnoteReference w:id="122"/>
      </w:r>
      <w:r w:rsidRPr="0039102C">
        <w:rPr>
          <w:noProof/>
        </w:rPr>
        <w:t>. Subsequentemente, em outubro de 2025, a Comissão publicou a sua avaliação dos PNEC finais da Estónia e da Eslováquia</w:t>
      </w:r>
      <w:r w:rsidR="009E4E7E" w:rsidRPr="0039102C">
        <w:rPr>
          <w:rStyle w:val="FootnoteReference"/>
          <w:rFonts w:cs="Times New Roman"/>
          <w:noProof/>
        </w:rPr>
        <w:footnoteReference w:id="123"/>
      </w:r>
      <w:r w:rsidRPr="0039102C">
        <w:rPr>
          <w:noProof/>
        </w:rPr>
        <w:t>. A Bélgica apresentou a versão final do seu PNEC em outubro de 2025. A Polónia é o único Estado-Membro que ainda não apresentou a versão final do seu PNEC atualizado. As conclusões da análise dos PNEC atualizados são igualmente abordadas no Relatório Intercalar sobre a Ação Climática em 2025</w:t>
      </w:r>
      <w:r w:rsidR="008C1C8A" w:rsidRPr="0039102C">
        <w:rPr>
          <w:rStyle w:val="FootnoteReference"/>
          <w:rFonts w:cs="Times New Roman"/>
          <w:noProof/>
        </w:rPr>
        <w:footnoteReference w:id="124"/>
      </w:r>
      <w:r w:rsidRPr="0039102C">
        <w:rPr>
          <w:noProof/>
        </w:rPr>
        <w:t>.</w:t>
      </w:r>
    </w:p>
    <w:p w14:paraId="36F48E29" w14:textId="62D30B46" w:rsidR="00983C03" w:rsidRPr="0039102C" w:rsidRDefault="00983C03" w:rsidP="00983C03">
      <w:pPr>
        <w:pStyle w:val="CMR-text"/>
        <w:rPr>
          <w:rFonts w:cs="Times New Roman"/>
          <w:noProof/>
        </w:rPr>
      </w:pPr>
      <w:r w:rsidRPr="0039102C">
        <w:rPr>
          <w:noProof/>
        </w:rPr>
        <w:t>O sinal de preço do carbono do CELE contribui para a avaliação das medidas e dos investimentos relacionados com a eficiência energética nos setores abrangidos. Os Estados-Membros também utilizam as receitas dos leilões do CELE para financiar melhorias da eficiência energética (ver ponto 8). Quinze Estados-Membros comunicaram ter gastado 3 300 milhões de EUR das receitas do CELE de 2024 para financiar 63 projetos relacionados com a eficiência energética. Os projetos incluíram investimentos na modernização térmica de edifícios públicos e privados, aconselhamento em matéria de eficiência energética, iluminação pública eficiente, sistemas eficientes de aquecimento e arrefecimento, incluindo aquecimento urbano, bem como investigação e desenvolvimento, todos eles com o objetivo de reduzir o consumo de energia.</w:t>
      </w:r>
    </w:p>
    <w:p w14:paraId="66C3D3F2" w14:textId="7CE9D5B0" w:rsidR="0071029D" w:rsidRPr="0039102C" w:rsidRDefault="009055DF" w:rsidP="00EC4FC3">
      <w:pPr>
        <w:pStyle w:val="CMR-Heading"/>
        <w:rPr>
          <w:noProof/>
        </w:rPr>
      </w:pPr>
      <w:r w:rsidRPr="0039102C">
        <w:rPr>
          <w:noProof/>
        </w:rPr>
        <w:t xml:space="preserve"> </w:t>
      </w:r>
      <w:bookmarkStart w:id="99" w:name="_Toc180513417"/>
      <w:bookmarkStart w:id="100" w:name="_Toc218529313"/>
      <w:r w:rsidRPr="0039102C">
        <w:rPr>
          <w:noProof/>
        </w:rPr>
        <w:t>Ligação entre o CELE e o sistema de comércio de licenças de emissão da Suíça</w:t>
      </w:r>
      <w:bookmarkEnd w:id="99"/>
      <w:bookmarkEnd w:id="100"/>
    </w:p>
    <w:p w14:paraId="1FA6DAF0" w14:textId="45A580F0" w:rsidR="00C85430" w:rsidRPr="0039102C" w:rsidRDefault="38F0252D" w:rsidP="00C85430">
      <w:pPr>
        <w:pStyle w:val="CMR-text"/>
        <w:rPr>
          <w:rFonts w:cs="Times New Roman"/>
          <w:noProof/>
        </w:rPr>
      </w:pPr>
      <w:r w:rsidRPr="0039102C">
        <w:rPr>
          <w:noProof/>
        </w:rPr>
        <w:t>Desde 2020, o CELE e o sistema de comércio de licenças de emissão da Suíça estão ligados por um acordo internacional entre a UE e a Confederação Suíça, o que significa que as licenças de emissão emitidas num sistema podem ser devolvidas para emissões geradas em qualquer um dos dois sistemas. Com o acesso a um mercado mais vasto, os operadores podem conseguir ganhos de eficiência em termos de custos e dispor de mais opções para a redução das emissões. O Acordo de Ligação</w:t>
      </w:r>
      <w:r w:rsidR="00C85430" w:rsidRPr="0039102C">
        <w:rPr>
          <w:rFonts w:cs="Times New Roman"/>
          <w:noProof/>
          <w:vertAlign w:val="superscript"/>
        </w:rPr>
        <w:footnoteReference w:id="125"/>
      </w:r>
      <w:r w:rsidRPr="0039102C">
        <w:rPr>
          <w:noProof/>
        </w:rPr>
        <w:t xml:space="preserve"> estabelece as condições e os requisitos ao abrigo dos quais os dois sistemas estão ligados. Estabelece igualmente um mecanismo para assegurar o respeito das condições de ligação previstas no artigo 25.º da Diretiva</w:t>
      </w:r>
      <w:r w:rsidR="00927719">
        <w:rPr>
          <w:noProof/>
        </w:rPr>
        <w:t> </w:t>
      </w:r>
      <w:r w:rsidRPr="0039102C">
        <w:rPr>
          <w:noProof/>
        </w:rPr>
        <w:t>CELE.</w:t>
      </w:r>
    </w:p>
    <w:p w14:paraId="02BA900F" w14:textId="4E9A09CA" w:rsidR="00E57CBF" w:rsidRPr="0039102C" w:rsidRDefault="00692815" w:rsidP="004E370C">
      <w:pPr>
        <w:pStyle w:val="CMR-text"/>
        <w:rPr>
          <w:rFonts w:cs="Times New Roman"/>
          <w:noProof/>
        </w:rPr>
      </w:pPr>
      <w:r w:rsidRPr="0039102C">
        <w:rPr>
          <w:noProof/>
        </w:rPr>
        <w:t>A inclusão da aviação no Acordo de Ligação constituiu um requisito crucial para a UE. Nos termos do artigo 6.º do referido acordo, a Suíça aplica a mesma abordagem que o CELE às regras em matéria de cobertura geográfica, limites e atribuição. Em conformidade com o artigo 7.º do Acordo de Ligação, tal continua ao abrigo da Diretiva CELE revista.</w:t>
      </w:r>
    </w:p>
    <w:p w14:paraId="08E0BC03" w14:textId="672E8A06" w:rsidR="00692815" w:rsidRPr="0039102C" w:rsidRDefault="00692815" w:rsidP="004E370C">
      <w:pPr>
        <w:pStyle w:val="CMR-text"/>
        <w:rPr>
          <w:rFonts w:cs="Times New Roman"/>
          <w:noProof/>
        </w:rPr>
      </w:pPr>
      <w:r w:rsidRPr="0039102C">
        <w:rPr>
          <w:noProof/>
        </w:rPr>
        <w:t>Os voos domésticos suíços e os voos com destino a aeroportos do EEE são abrangidos pelo sistema de comércio de licenças de emissão da Suíça, ao passo que os voos para a Suíça com partida do EEE são abrangidos pelo CELE. Este acordo mantém a integridade ambiental de ambos os sistemas. Tanto o CELE como o sistema de comércio de licenças de emissão da Suíça abrangem os respetivos voos de partida para o Reino Unido e os voos de/para as regiões ultraperiféricas da UE.</w:t>
      </w:r>
    </w:p>
    <w:p w14:paraId="1C52AC22" w14:textId="06766F8A" w:rsidR="004E370C" w:rsidRPr="0039102C" w:rsidRDefault="00C85430" w:rsidP="004E370C">
      <w:pPr>
        <w:pStyle w:val="CMR-text"/>
        <w:rPr>
          <w:rFonts w:cs="Times New Roman"/>
          <w:noProof/>
          <w:highlight w:val="lightGray"/>
        </w:rPr>
      </w:pPr>
      <w:r w:rsidRPr="0039102C">
        <w:rPr>
          <w:noProof/>
        </w:rPr>
        <w:t>Os quadros 16 e 17 no ponto 5 do documento de trabalho dos serviços da Comissão mostram os principais valores para ambos os sistemas em 2024 no que respeita a licenças de emissão leiloadas, atribuição de licenças a título gratuito e emissões verificadas para instalações e operadores de aeronaves. Quando comparados, mostram que a compatibilidade dos dois sistemas não é uma questão de dimensão, mas sim de requisitos qualitativos, condições de concorrência equitativas e medidas para salvaguardar a integridade do mercado.</w:t>
      </w:r>
    </w:p>
    <w:p w14:paraId="6192AA99" w14:textId="52614A0E" w:rsidR="004E370C" w:rsidRPr="0039102C" w:rsidRDefault="57B434C1" w:rsidP="34CB6D00">
      <w:pPr>
        <w:pStyle w:val="CMR-text"/>
        <w:rPr>
          <w:rFonts w:cs="Times New Roman"/>
          <w:noProof/>
        </w:rPr>
      </w:pPr>
      <w:r w:rsidRPr="0039102C">
        <w:rPr>
          <w:noProof/>
        </w:rPr>
        <w:t>Em conformidade com o Acordo de Ligação, foi criada uma ligação direta entre os registos de ambos os sistemas, a fim de permitir transferências de licenças entre os dois sistemas. Desde 2024, o número de transferências entre ambos os sistemas, ou seja, a execução diária das transações, aumentou consideravelmente, passando de 156 em 2023 para quase 800 em 2024, permitindo que os participantes no mercado da Suíça e da UE atuem como se estivessem num único mercado e melhorando assim a liquidez no mercado ligado. As transferências entre sistemas (registos) são efetuadas diariamente, de segunda a sexta-feira, com exceção de datas específicas associadas a feriados oficiais.</w:t>
      </w:r>
    </w:p>
    <w:p w14:paraId="28EC78E5" w14:textId="08A1BCDB" w:rsidR="00F44BF8" w:rsidRPr="0039102C" w:rsidRDefault="00F44BF8" w:rsidP="004E370C">
      <w:pPr>
        <w:pStyle w:val="CMR-text"/>
        <w:rPr>
          <w:rFonts w:cs="Times New Roman"/>
          <w:noProof/>
        </w:rPr>
      </w:pPr>
      <w:r w:rsidRPr="0039102C">
        <w:rPr>
          <w:noProof/>
        </w:rPr>
        <w:t>Os quadros 8 e 9 apresentam o efeito da ligação entre o CELE e o sistema de comércio de licenças de emissão da Suíça em 2024. Mostram em que medida as companhias de ambos os sistemas utilizaram licenças de emissão emitidas no outro sistema para fins de cumprimento.</w:t>
      </w:r>
    </w:p>
    <w:p w14:paraId="088DBDF8" w14:textId="53A9F892" w:rsidR="006C05A9" w:rsidRPr="0039102C" w:rsidRDefault="1005F31A" w:rsidP="006C05A9">
      <w:pPr>
        <w:pStyle w:val="CMR-text"/>
        <w:rPr>
          <w:rFonts w:cs="Times New Roman"/>
          <w:noProof/>
        </w:rPr>
      </w:pPr>
      <w:r w:rsidRPr="0039102C">
        <w:rPr>
          <w:noProof/>
        </w:rPr>
        <w:t>No total, as entidades regulamentadas do CELE (instalações e operadores de aeronaves) utilizaram 1 578 101 licenças de emissão emitidas ao abrigo do sistema de comércio de licenças de emissão da Suíça para fins de cumprimento em 2024. Trata-se de quase 440 000 licenças de emissão mais do que em 2023 e quase 605 000 licenças de emissão mais do que em 2022, o que denota uma utilização acrescida da flexibilidade proporcionada pela ligação entre o CELE e o sistema de comércio de licenças de emissão da Suíça, bem como um reforço contínuo do conhecimento e da aceitação dessa ligação.</w:t>
      </w:r>
    </w:p>
    <w:p w14:paraId="40BD7E7A" w14:textId="72C4D748" w:rsidR="006C05A9" w:rsidRPr="0039102C" w:rsidRDefault="28C1A5A5" w:rsidP="006C05A9">
      <w:pPr>
        <w:pStyle w:val="CMR-text"/>
        <w:rPr>
          <w:rFonts w:cs="Times New Roman"/>
          <w:noProof/>
        </w:rPr>
      </w:pPr>
      <w:r w:rsidRPr="0039102C">
        <w:rPr>
          <w:noProof/>
        </w:rPr>
        <w:t>As instalações abrangidas pelo CELE utilizaram um número significativamente maior de licenças de emissão da aviação emitidas ao abrigo do sistema de comércio de licenças de emissão da Suíça do que no ano anterior (cerca de 355 000 em 2024, em comparação com 100 000 em 2023). Aumentaram igualmente a utilização das licenças de emissão gerais do sistema de comércio de licenças de emissão da Suíça (cerca de 700 000 em 2024, em comparação com 425 000 em 2023).</w:t>
      </w:r>
    </w:p>
    <w:p w14:paraId="7D54A0FC" w14:textId="3FD6C81E" w:rsidR="000C6517" w:rsidRPr="0039102C" w:rsidRDefault="1005F31A" w:rsidP="006C05A9">
      <w:pPr>
        <w:pStyle w:val="CMR-text"/>
        <w:rPr>
          <w:rFonts w:cs="Times New Roman"/>
          <w:noProof/>
        </w:rPr>
      </w:pPr>
      <w:r w:rsidRPr="0039102C">
        <w:rPr>
          <w:noProof/>
        </w:rPr>
        <w:t>Em 2024, o número de licenças gerais do sistema de comércio de licenças de emissão da Suíça utilizadas pelos operadores de aeronaves da UE para fins de cumprimento manteve-se estável, correspondendo a cerca de 49 000 (face a 50 000 em 2023). O número de licenças de emissão da aviação do sistema de comércio de licenças de emissão da Suíça utilizadas para fins de cumprimento por operadores de aeronaves abrangidos pelo CELE diminuiu, passando de cerca de 560 000 em 2023 para cerca de 470 000 em 2024.</w:t>
      </w:r>
    </w:p>
    <w:p w14:paraId="40A9EEAE" w14:textId="3AB1DEDE" w:rsidR="006C05A9" w:rsidRPr="0039102C" w:rsidRDefault="3B586611" w:rsidP="006C05A9">
      <w:pPr>
        <w:pStyle w:val="CMR-text"/>
        <w:rPr>
          <w:rFonts w:cs="Times New Roman"/>
          <w:noProof/>
        </w:rPr>
      </w:pPr>
      <w:r w:rsidRPr="0039102C">
        <w:rPr>
          <w:noProof/>
        </w:rPr>
        <w:t>Em termos relativos, as licenças emitidas ao abrigo do sistema de comércio de licenças de emissão da Suíça representaram cerca de 0,14 % do total de licenças de emissão devolvidas no CELE em 2024. No entanto, representaram uma percentagem maior de 31,5 % de todas as licenças de emissão do sistema de comércio de licenças de emissão da Suíça nesse ano.</w:t>
      </w:r>
    </w:p>
    <w:p w14:paraId="164896FA" w14:textId="2DC80755" w:rsidR="002F65A3" w:rsidRPr="0039102C" w:rsidRDefault="006C05A9" w:rsidP="50E9F988">
      <w:pPr>
        <w:pStyle w:val="CMR-text"/>
        <w:rPr>
          <w:rFonts w:cs="Times New Roman"/>
          <w:noProof/>
        </w:rPr>
      </w:pPr>
      <w:r w:rsidRPr="0039102C">
        <w:rPr>
          <w:noProof/>
        </w:rPr>
        <w:t>No sistema de comércio de licenças de emissão da Suíça, os operadores da aviação aumentaram substancialmente a sua utilização de licenças de emissão do CELE em 2024 (79,6 %), em comparação com 2023 (51,08 %). Por outro lado, as instalações utilizaram uma percentagem de licenças de emissão do CELE para fins de cumprimento em 2024 (5,19 %) inferior à de 2023 (11,6 %). Em ambos os anos, as instalações do sistema de comércio de licenças de emissão da Suíça não utilizaram licenças de aviação do CELE para fins de cumprimento. Em termos relativos, as licenças de emissão do CELE constituíram 31,37 % de todas as licenças de emissão devolvidas no sistema de comércio de licenças de emissão da Suíça.</w:t>
      </w:r>
      <w:bookmarkStart w:id="101" w:name="_Ref179899508"/>
      <w:bookmarkStart w:id="102" w:name="_Ref179899493"/>
    </w:p>
    <w:p w14:paraId="1F3D5855" w14:textId="7E441E3A" w:rsidR="001F1040" w:rsidRPr="0039102C" w:rsidRDefault="71666FD0" w:rsidP="50E9F988">
      <w:pPr>
        <w:pStyle w:val="CMR-text"/>
        <w:rPr>
          <w:rFonts w:cs="Times New Roman"/>
          <w:noProof/>
        </w:rPr>
      </w:pPr>
      <w:r w:rsidRPr="0039102C">
        <w:rPr>
          <w:noProof/>
        </w:rPr>
        <w:t>O quadro 10 agrega o volume de licenças de emissão (gerais e da aviação) transferidas em nome dos participantes no mercado entre o CELE e o sistema de comércio de licenças de emissão da Suíça desde 2020. O saldo histórico mostra uma saída líquida de 1 284 657 licenças do CELE para o sistema de comércio de licenças de emissão da Suíça. Note-se, no entanto, que os valores podem incluir retransferências destas licenças de emissão.</w:t>
      </w:r>
    </w:p>
    <w:p w14:paraId="53A299E3" w14:textId="77777777" w:rsidR="00B2767E" w:rsidRPr="0039102C" w:rsidRDefault="00B2767E" w:rsidP="50E9F988">
      <w:pPr>
        <w:pStyle w:val="Caption"/>
        <w:keepNext/>
        <w:rPr>
          <w:noProof/>
          <w:szCs w:val="22"/>
          <w:highlight w:val="red"/>
        </w:rPr>
        <w:sectPr w:rsidR="00B2767E" w:rsidRPr="0039102C">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cols w:space="708"/>
          <w:docGrid w:linePitch="360"/>
        </w:sectPr>
      </w:pPr>
    </w:p>
    <w:p w14:paraId="6EF6EB3F" w14:textId="38F8AC80" w:rsidR="00422712" w:rsidRPr="0039102C" w:rsidRDefault="00422712" w:rsidP="00422712">
      <w:pPr>
        <w:pStyle w:val="Caption"/>
        <w:keepNext/>
        <w:rPr>
          <w:noProof/>
          <w:sz w:val="20"/>
        </w:rPr>
      </w:pPr>
      <w:r w:rsidRPr="0039102C">
        <w:rPr>
          <w:noProof/>
          <w:sz w:val="20"/>
        </w:rPr>
        <w:t xml:space="preserve">Quadro </w:t>
      </w:r>
      <w:bookmarkEnd w:id="101"/>
      <w:r w:rsidRPr="0039102C">
        <w:rPr>
          <w:noProof/>
          <w:sz w:val="20"/>
        </w:rPr>
        <w:t>8. Unidades utilizadas em 2024 para fins de cumprimento no Registo da União.</w:t>
      </w:r>
      <w:bookmarkEnd w:id="102"/>
      <w:r w:rsidRPr="0039102C">
        <w:rPr>
          <w:noProof/>
          <w:sz w:val="20"/>
        </w:rPr>
        <w:t xml:space="preserve"> Dados extraídos do Registo da União em 1 de outubro de 2025.</w:t>
      </w:r>
    </w:p>
    <w:tbl>
      <w:tblPr>
        <w:tblStyle w:val="TableGridLight"/>
        <w:tblW w:w="5000" w:type="pct"/>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1129"/>
        <w:gridCol w:w="2452"/>
        <w:gridCol w:w="2427"/>
        <w:gridCol w:w="2335"/>
        <w:gridCol w:w="1515"/>
        <w:gridCol w:w="1384"/>
        <w:gridCol w:w="1336"/>
        <w:gridCol w:w="1370"/>
      </w:tblGrid>
      <w:tr w:rsidR="002B72B3" w:rsidRPr="004574AB" w14:paraId="7122759E" w14:textId="77777777" w:rsidTr="00382783">
        <w:trPr>
          <w:cantSplit/>
          <w:trHeight w:val="454"/>
        </w:trPr>
        <w:tc>
          <w:tcPr>
            <w:tcW w:w="405" w:type="pct"/>
            <w:vMerge w:val="restart"/>
            <w:textDirection w:val="btLr"/>
            <w:vAlign w:val="center"/>
          </w:tcPr>
          <w:p w14:paraId="202E2678" w14:textId="17ABCAD3" w:rsidR="0089087F" w:rsidRPr="004574AB" w:rsidRDefault="00000905" w:rsidP="00BE5E78">
            <w:pPr>
              <w:pStyle w:val="CMR-tables"/>
              <w:keepNext/>
              <w:jc w:val="center"/>
              <w:rPr>
                <w:rFonts w:cs="Times New Roman"/>
                <w:b/>
                <w:noProof/>
                <w:szCs w:val="20"/>
              </w:rPr>
            </w:pPr>
            <w:r w:rsidRPr="004574AB">
              <w:rPr>
                <w:b/>
                <w:noProof/>
                <w:szCs w:val="20"/>
              </w:rPr>
              <w:t>Instalações</w:t>
            </w:r>
          </w:p>
        </w:tc>
        <w:tc>
          <w:tcPr>
            <w:tcW w:w="879" w:type="pct"/>
            <w:vMerge w:val="restart"/>
            <w:vAlign w:val="center"/>
          </w:tcPr>
          <w:p w14:paraId="25869ABE" w14:textId="77777777" w:rsidR="0089087F" w:rsidRPr="004574AB" w:rsidRDefault="0089087F" w:rsidP="00F03925">
            <w:pPr>
              <w:pStyle w:val="CMR-tables"/>
              <w:keepNext/>
              <w:jc w:val="center"/>
              <w:rPr>
                <w:rFonts w:cs="Times New Roman"/>
                <w:b/>
                <w:noProof/>
                <w:szCs w:val="20"/>
              </w:rPr>
            </w:pPr>
            <w:r w:rsidRPr="004574AB">
              <w:rPr>
                <w:b/>
                <w:noProof/>
                <w:szCs w:val="20"/>
              </w:rPr>
              <w:t>Atribuição a título gratuito e venda em leilão</w:t>
            </w:r>
          </w:p>
        </w:tc>
        <w:tc>
          <w:tcPr>
            <w:tcW w:w="870" w:type="pct"/>
            <w:vMerge w:val="restart"/>
            <w:vAlign w:val="center"/>
          </w:tcPr>
          <w:p w14:paraId="37EB3A00" w14:textId="77777777" w:rsidR="0089087F" w:rsidRPr="004574AB" w:rsidRDefault="0089087F" w:rsidP="00F03925">
            <w:pPr>
              <w:pStyle w:val="CMR-tables"/>
              <w:keepNext/>
              <w:jc w:val="center"/>
              <w:rPr>
                <w:rFonts w:cs="Times New Roman"/>
                <w:b/>
                <w:noProof/>
                <w:szCs w:val="20"/>
              </w:rPr>
            </w:pPr>
            <w:r w:rsidRPr="004574AB">
              <w:rPr>
                <w:b/>
                <w:noProof/>
                <w:szCs w:val="20"/>
              </w:rPr>
              <w:t>Emissões verificadas</w:t>
            </w:r>
          </w:p>
        </w:tc>
        <w:tc>
          <w:tcPr>
            <w:tcW w:w="837" w:type="pct"/>
            <w:vMerge w:val="restart"/>
            <w:vAlign w:val="center"/>
          </w:tcPr>
          <w:p w14:paraId="561CD6B5" w14:textId="77777777" w:rsidR="0089087F" w:rsidRPr="004574AB" w:rsidRDefault="0089087F" w:rsidP="00F03925">
            <w:pPr>
              <w:pStyle w:val="CMR-tables"/>
              <w:keepNext/>
              <w:jc w:val="center"/>
              <w:rPr>
                <w:rFonts w:cs="Times New Roman"/>
                <w:b/>
                <w:noProof/>
                <w:szCs w:val="20"/>
              </w:rPr>
            </w:pPr>
            <w:r w:rsidRPr="004574AB">
              <w:rPr>
                <w:b/>
                <w:noProof/>
                <w:szCs w:val="20"/>
              </w:rPr>
              <w:t>Unidades devolvidas</w:t>
            </w:r>
          </w:p>
        </w:tc>
        <w:tc>
          <w:tcPr>
            <w:tcW w:w="1039" w:type="pct"/>
            <w:gridSpan w:val="2"/>
            <w:vAlign w:val="center"/>
          </w:tcPr>
          <w:p w14:paraId="2B65CD40" w14:textId="60913532" w:rsidR="0089087F" w:rsidRPr="004574AB" w:rsidRDefault="0089087F" w:rsidP="00F03925">
            <w:pPr>
              <w:pStyle w:val="CMR-tables"/>
              <w:keepNext/>
              <w:jc w:val="center"/>
              <w:rPr>
                <w:rFonts w:cs="Times New Roman"/>
                <w:b/>
                <w:noProof/>
                <w:szCs w:val="20"/>
              </w:rPr>
            </w:pPr>
            <w:r w:rsidRPr="004574AB">
              <w:rPr>
                <w:b/>
                <w:noProof/>
                <w:szCs w:val="20"/>
              </w:rPr>
              <w:t>Licenças de emissão do CELE</w:t>
            </w:r>
          </w:p>
        </w:tc>
        <w:tc>
          <w:tcPr>
            <w:tcW w:w="971" w:type="pct"/>
            <w:gridSpan w:val="2"/>
            <w:vAlign w:val="center"/>
          </w:tcPr>
          <w:p w14:paraId="7B7FCE83" w14:textId="77777777" w:rsidR="0089087F" w:rsidRPr="004574AB" w:rsidRDefault="0089087F" w:rsidP="00F03925">
            <w:pPr>
              <w:pStyle w:val="CMR-tables"/>
              <w:keepNext/>
              <w:jc w:val="center"/>
              <w:rPr>
                <w:rFonts w:cs="Times New Roman"/>
                <w:b/>
                <w:noProof/>
                <w:szCs w:val="20"/>
              </w:rPr>
            </w:pPr>
            <w:r w:rsidRPr="004574AB">
              <w:rPr>
                <w:b/>
                <w:noProof/>
                <w:szCs w:val="20"/>
              </w:rPr>
              <w:t>Licenças de emissão do sistema de comércio de licenças de emissão da Suíça</w:t>
            </w:r>
          </w:p>
        </w:tc>
      </w:tr>
      <w:tr w:rsidR="00094B10" w:rsidRPr="004574AB" w14:paraId="1754CFD3" w14:textId="77777777" w:rsidTr="00382783">
        <w:trPr>
          <w:cantSplit/>
          <w:trHeight w:val="454"/>
        </w:trPr>
        <w:tc>
          <w:tcPr>
            <w:tcW w:w="405" w:type="pct"/>
            <w:vMerge/>
            <w:vAlign w:val="center"/>
          </w:tcPr>
          <w:p w14:paraId="52071C51" w14:textId="77777777" w:rsidR="0089087F" w:rsidRPr="004574AB" w:rsidRDefault="0089087F" w:rsidP="00BE5E78">
            <w:pPr>
              <w:pStyle w:val="CMR-tables"/>
              <w:keepNext/>
              <w:jc w:val="center"/>
              <w:rPr>
                <w:rFonts w:cs="Times New Roman"/>
                <w:b/>
                <w:noProof/>
                <w:szCs w:val="20"/>
              </w:rPr>
            </w:pPr>
          </w:p>
        </w:tc>
        <w:tc>
          <w:tcPr>
            <w:tcW w:w="879" w:type="pct"/>
            <w:vMerge/>
            <w:vAlign w:val="center"/>
          </w:tcPr>
          <w:p w14:paraId="75D63B3F" w14:textId="77777777" w:rsidR="0089087F" w:rsidRPr="004574AB" w:rsidRDefault="0089087F" w:rsidP="00164DD9">
            <w:pPr>
              <w:pStyle w:val="CMR-tables"/>
              <w:keepNext/>
              <w:jc w:val="center"/>
              <w:rPr>
                <w:rFonts w:cs="Times New Roman"/>
                <w:noProof/>
                <w:szCs w:val="20"/>
              </w:rPr>
            </w:pPr>
          </w:p>
        </w:tc>
        <w:tc>
          <w:tcPr>
            <w:tcW w:w="870" w:type="pct"/>
            <w:vMerge/>
            <w:vAlign w:val="center"/>
          </w:tcPr>
          <w:p w14:paraId="36ABC856" w14:textId="77777777" w:rsidR="0089087F" w:rsidRPr="004574AB" w:rsidRDefault="0089087F" w:rsidP="00164DD9">
            <w:pPr>
              <w:pStyle w:val="CMR-tables"/>
              <w:keepNext/>
              <w:jc w:val="center"/>
              <w:rPr>
                <w:rFonts w:cs="Times New Roman"/>
                <w:noProof/>
                <w:szCs w:val="20"/>
              </w:rPr>
            </w:pPr>
          </w:p>
        </w:tc>
        <w:tc>
          <w:tcPr>
            <w:tcW w:w="837" w:type="pct"/>
            <w:vMerge/>
            <w:vAlign w:val="center"/>
          </w:tcPr>
          <w:p w14:paraId="77316D2C" w14:textId="77777777" w:rsidR="0089087F" w:rsidRPr="004574AB" w:rsidRDefault="0089087F" w:rsidP="00164DD9">
            <w:pPr>
              <w:pStyle w:val="CMR-tables"/>
              <w:keepNext/>
              <w:jc w:val="center"/>
              <w:rPr>
                <w:rFonts w:cs="Times New Roman"/>
                <w:noProof/>
                <w:szCs w:val="20"/>
              </w:rPr>
            </w:pPr>
          </w:p>
        </w:tc>
        <w:tc>
          <w:tcPr>
            <w:tcW w:w="543" w:type="pct"/>
            <w:vAlign w:val="center"/>
          </w:tcPr>
          <w:p w14:paraId="3E361A56" w14:textId="77777777" w:rsidR="0089087F" w:rsidRPr="004574AB" w:rsidRDefault="0089087F" w:rsidP="00164DD9">
            <w:pPr>
              <w:pStyle w:val="CMR-tables"/>
              <w:keepNext/>
              <w:jc w:val="center"/>
              <w:rPr>
                <w:rFonts w:cs="Times New Roman"/>
                <w:i/>
                <w:noProof/>
                <w:szCs w:val="20"/>
              </w:rPr>
            </w:pPr>
            <w:r w:rsidRPr="004574AB">
              <w:rPr>
                <w:i/>
                <w:noProof/>
                <w:szCs w:val="20"/>
              </w:rPr>
              <w:t>Gerais</w:t>
            </w:r>
          </w:p>
        </w:tc>
        <w:tc>
          <w:tcPr>
            <w:tcW w:w="495" w:type="pct"/>
            <w:vAlign w:val="center"/>
          </w:tcPr>
          <w:p w14:paraId="3C9D17B4" w14:textId="77777777" w:rsidR="0089087F" w:rsidRPr="004574AB" w:rsidRDefault="0089087F" w:rsidP="00164DD9">
            <w:pPr>
              <w:pStyle w:val="CMR-tables"/>
              <w:keepNext/>
              <w:jc w:val="center"/>
              <w:rPr>
                <w:rFonts w:cs="Times New Roman"/>
                <w:i/>
                <w:noProof/>
                <w:szCs w:val="20"/>
              </w:rPr>
            </w:pPr>
            <w:r w:rsidRPr="004574AB">
              <w:rPr>
                <w:i/>
                <w:noProof/>
                <w:szCs w:val="20"/>
              </w:rPr>
              <w:t>Aviação</w:t>
            </w:r>
          </w:p>
        </w:tc>
        <w:tc>
          <w:tcPr>
            <w:tcW w:w="479" w:type="pct"/>
            <w:vAlign w:val="center"/>
          </w:tcPr>
          <w:p w14:paraId="71A332A6" w14:textId="77777777" w:rsidR="0089087F" w:rsidRPr="004574AB" w:rsidRDefault="0089087F" w:rsidP="00164DD9">
            <w:pPr>
              <w:pStyle w:val="CMR-tables"/>
              <w:keepNext/>
              <w:jc w:val="center"/>
              <w:rPr>
                <w:rFonts w:cs="Times New Roman"/>
                <w:i/>
                <w:noProof/>
                <w:szCs w:val="20"/>
              </w:rPr>
            </w:pPr>
            <w:r w:rsidRPr="004574AB">
              <w:rPr>
                <w:i/>
                <w:noProof/>
                <w:szCs w:val="20"/>
              </w:rPr>
              <w:t>Gerais</w:t>
            </w:r>
          </w:p>
        </w:tc>
        <w:tc>
          <w:tcPr>
            <w:tcW w:w="492" w:type="pct"/>
            <w:vAlign w:val="center"/>
          </w:tcPr>
          <w:p w14:paraId="1CDAF77A" w14:textId="77777777" w:rsidR="0089087F" w:rsidRPr="004574AB" w:rsidRDefault="0089087F" w:rsidP="00164DD9">
            <w:pPr>
              <w:pStyle w:val="CMR-tables"/>
              <w:keepNext/>
              <w:jc w:val="center"/>
              <w:rPr>
                <w:rFonts w:cs="Times New Roman"/>
                <w:i/>
                <w:noProof/>
                <w:szCs w:val="20"/>
              </w:rPr>
            </w:pPr>
            <w:r w:rsidRPr="004574AB">
              <w:rPr>
                <w:i/>
                <w:noProof/>
                <w:szCs w:val="20"/>
              </w:rPr>
              <w:t>Aviação</w:t>
            </w:r>
          </w:p>
        </w:tc>
      </w:tr>
      <w:tr w:rsidR="00BE5E78" w:rsidRPr="004574AB" w14:paraId="10F5F1E9" w14:textId="77777777" w:rsidTr="00382783">
        <w:trPr>
          <w:trHeight w:val="454"/>
        </w:trPr>
        <w:tc>
          <w:tcPr>
            <w:tcW w:w="405" w:type="pct"/>
            <w:vMerge/>
            <w:vAlign w:val="center"/>
          </w:tcPr>
          <w:p w14:paraId="2BB59697" w14:textId="77777777" w:rsidR="0089087F" w:rsidRPr="004574AB" w:rsidRDefault="0089087F" w:rsidP="001F1040">
            <w:pPr>
              <w:pStyle w:val="CMR-tables"/>
              <w:keepNext/>
              <w:jc w:val="center"/>
              <w:rPr>
                <w:rFonts w:cs="Times New Roman"/>
                <w:b/>
                <w:noProof/>
                <w:szCs w:val="20"/>
              </w:rPr>
            </w:pPr>
          </w:p>
        </w:tc>
        <w:tc>
          <w:tcPr>
            <w:tcW w:w="879" w:type="pct"/>
            <w:shd w:val="clear" w:color="auto" w:fill="D9E2F3" w:themeFill="accent1" w:themeFillTint="33"/>
            <w:vAlign w:val="center"/>
          </w:tcPr>
          <w:p w14:paraId="705ED686" w14:textId="7A7DBACB" w:rsidR="0089087F" w:rsidRPr="004574AB" w:rsidRDefault="005028F6" w:rsidP="001F1040">
            <w:pPr>
              <w:pStyle w:val="CMR-tables"/>
              <w:keepNext/>
              <w:jc w:val="right"/>
              <w:rPr>
                <w:rFonts w:cs="Times New Roman"/>
                <w:noProof/>
                <w:szCs w:val="20"/>
              </w:rPr>
            </w:pPr>
            <w:r w:rsidRPr="004574AB">
              <w:rPr>
                <w:noProof/>
                <w:szCs w:val="20"/>
              </w:rPr>
              <w:t>1 089 612 748</w:t>
            </w:r>
          </w:p>
        </w:tc>
        <w:tc>
          <w:tcPr>
            <w:tcW w:w="870" w:type="pct"/>
            <w:shd w:val="clear" w:color="auto" w:fill="D9E2F3" w:themeFill="accent1" w:themeFillTint="33"/>
            <w:vAlign w:val="center"/>
          </w:tcPr>
          <w:p w14:paraId="0158D150" w14:textId="4314E94D" w:rsidR="0089087F" w:rsidRPr="004574AB" w:rsidRDefault="008233E7" w:rsidP="001F1040">
            <w:pPr>
              <w:pStyle w:val="CMR-tables"/>
              <w:keepNext/>
              <w:jc w:val="right"/>
              <w:rPr>
                <w:rFonts w:cs="Times New Roman"/>
                <w:noProof/>
                <w:szCs w:val="20"/>
              </w:rPr>
            </w:pPr>
            <w:r w:rsidRPr="004574AB">
              <w:rPr>
                <w:noProof/>
                <w:color w:val="000000"/>
                <w:szCs w:val="20"/>
              </w:rPr>
              <w:t>1 033 244 671</w:t>
            </w:r>
          </w:p>
        </w:tc>
        <w:tc>
          <w:tcPr>
            <w:tcW w:w="837" w:type="pct"/>
            <w:shd w:val="clear" w:color="auto" w:fill="D9E2F3" w:themeFill="accent1" w:themeFillTint="33"/>
            <w:vAlign w:val="center"/>
          </w:tcPr>
          <w:p w14:paraId="47629CA4" w14:textId="03ABD064" w:rsidR="0089087F" w:rsidRPr="004574AB" w:rsidRDefault="00DF4550" w:rsidP="001F1040">
            <w:pPr>
              <w:pStyle w:val="CMR-tables"/>
              <w:keepNext/>
              <w:jc w:val="right"/>
              <w:rPr>
                <w:rFonts w:cs="Times New Roman"/>
                <w:noProof/>
                <w:szCs w:val="20"/>
              </w:rPr>
            </w:pPr>
            <w:r w:rsidRPr="004574AB">
              <w:rPr>
                <w:noProof/>
                <w:color w:val="000000"/>
                <w:szCs w:val="20"/>
              </w:rPr>
              <w:t>1 029 808 309</w:t>
            </w:r>
          </w:p>
        </w:tc>
        <w:tc>
          <w:tcPr>
            <w:tcW w:w="543" w:type="pct"/>
            <w:shd w:val="clear" w:color="auto" w:fill="D9E2F3" w:themeFill="accent1" w:themeFillTint="33"/>
            <w:vAlign w:val="center"/>
          </w:tcPr>
          <w:p w14:paraId="2D200A5C" w14:textId="7D786C32" w:rsidR="0089087F" w:rsidRPr="004574AB" w:rsidRDefault="006117F2" w:rsidP="001F1040">
            <w:pPr>
              <w:pStyle w:val="CMR-tables"/>
              <w:keepNext/>
              <w:jc w:val="right"/>
              <w:rPr>
                <w:rFonts w:cs="Times New Roman"/>
                <w:noProof/>
                <w:szCs w:val="20"/>
              </w:rPr>
            </w:pPr>
            <w:r w:rsidRPr="004574AB">
              <w:rPr>
                <w:noProof/>
                <w:color w:val="000000"/>
                <w:szCs w:val="20"/>
              </w:rPr>
              <w:t>1 025 571 370</w:t>
            </w:r>
          </w:p>
        </w:tc>
        <w:tc>
          <w:tcPr>
            <w:tcW w:w="495" w:type="pct"/>
            <w:shd w:val="clear" w:color="auto" w:fill="D9E2F3" w:themeFill="accent1" w:themeFillTint="33"/>
            <w:vAlign w:val="center"/>
          </w:tcPr>
          <w:p w14:paraId="413A3500" w14:textId="168C4235" w:rsidR="0089087F" w:rsidRPr="004574AB" w:rsidRDefault="00761121" w:rsidP="001F1040">
            <w:pPr>
              <w:pStyle w:val="CMR-tables"/>
              <w:keepNext/>
              <w:jc w:val="right"/>
              <w:rPr>
                <w:rFonts w:cs="Times New Roman"/>
                <w:noProof/>
                <w:szCs w:val="20"/>
              </w:rPr>
            </w:pPr>
            <w:r w:rsidRPr="004574AB">
              <w:rPr>
                <w:noProof/>
                <w:color w:val="000000"/>
                <w:szCs w:val="20"/>
              </w:rPr>
              <w:t>3 428 201</w:t>
            </w:r>
          </w:p>
        </w:tc>
        <w:tc>
          <w:tcPr>
            <w:tcW w:w="479" w:type="pct"/>
            <w:shd w:val="clear" w:color="auto" w:fill="D9E2F3" w:themeFill="accent1" w:themeFillTint="33"/>
            <w:vAlign w:val="center"/>
          </w:tcPr>
          <w:p w14:paraId="71102913" w14:textId="48F6D7EA" w:rsidR="0089087F" w:rsidRPr="004574AB" w:rsidRDefault="00A4538C" w:rsidP="001F1040">
            <w:pPr>
              <w:pStyle w:val="CMR-tables"/>
              <w:keepNext/>
              <w:jc w:val="right"/>
              <w:rPr>
                <w:rFonts w:cs="Times New Roman"/>
                <w:noProof/>
                <w:szCs w:val="20"/>
              </w:rPr>
            </w:pPr>
            <w:r w:rsidRPr="004574AB">
              <w:rPr>
                <w:noProof/>
                <w:color w:val="000000"/>
                <w:szCs w:val="20"/>
              </w:rPr>
              <w:t>701 150</w:t>
            </w:r>
          </w:p>
        </w:tc>
        <w:tc>
          <w:tcPr>
            <w:tcW w:w="492" w:type="pct"/>
            <w:shd w:val="clear" w:color="auto" w:fill="D9E2F3" w:themeFill="accent1" w:themeFillTint="33"/>
            <w:vAlign w:val="center"/>
          </w:tcPr>
          <w:p w14:paraId="1404A335" w14:textId="4A0AC157" w:rsidR="0089087F" w:rsidRPr="004574AB" w:rsidRDefault="008C1111" w:rsidP="001F1040">
            <w:pPr>
              <w:pStyle w:val="CMR-tables"/>
              <w:keepNext/>
              <w:jc w:val="right"/>
              <w:rPr>
                <w:rFonts w:cs="Times New Roman"/>
                <w:noProof/>
                <w:szCs w:val="20"/>
              </w:rPr>
            </w:pPr>
            <w:r w:rsidRPr="004574AB">
              <w:rPr>
                <w:noProof/>
                <w:szCs w:val="20"/>
              </w:rPr>
              <w:t>357 341</w:t>
            </w:r>
          </w:p>
        </w:tc>
      </w:tr>
      <w:tr w:rsidR="00FB0646" w:rsidRPr="004574AB" w14:paraId="25D323BF" w14:textId="77777777" w:rsidTr="00382783">
        <w:trPr>
          <w:trHeight w:val="454"/>
        </w:trPr>
        <w:tc>
          <w:tcPr>
            <w:tcW w:w="405" w:type="pct"/>
            <w:vMerge/>
            <w:vAlign w:val="center"/>
          </w:tcPr>
          <w:p w14:paraId="464E4053" w14:textId="77777777" w:rsidR="00FB5954" w:rsidRPr="004574AB" w:rsidRDefault="00FB5954" w:rsidP="001F1040">
            <w:pPr>
              <w:pStyle w:val="CMR-tables"/>
              <w:keepNext/>
              <w:jc w:val="center"/>
              <w:rPr>
                <w:rFonts w:cs="Times New Roman"/>
                <w:b/>
                <w:noProof/>
                <w:szCs w:val="20"/>
              </w:rPr>
            </w:pPr>
          </w:p>
        </w:tc>
        <w:tc>
          <w:tcPr>
            <w:tcW w:w="2586" w:type="pct"/>
            <w:gridSpan w:val="3"/>
            <w:vAlign w:val="center"/>
          </w:tcPr>
          <w:p w14:paraId="43069156" w14:textId="77777777" w:rsidR="00FB5954" w:rsidRPr="004574AB" w:rsidRDefault="00FB5954" w:rsidP="00FB5954">
            <w:pPr>
              <w:pStyle w:val="CMR-tables"/>
              <w:keepNext/>
              <w:jc w:val="center"/>
              <w:rPr>
                <w:rFonts w:cs="Times New Roman"/>
                <w:i/>
                <w:noProof/>
                <w:szCs w:val="20"/>
              </w:rPr>
            </w:pPr>
            <w:r w:rsidRPr="004574AB">
              <w:rPr>
                <w:i/>
                <w:noProof/>
                <w:szCs w:val="20"/>
              </w:rPr>
              <w:t>% do total</w:t>
            </w:r>
          </w:p>
        </w:tc>
        <w:tc>
          <w:tcPr>
            <w:tcW w:w="543" w:type="pct"/>
            <w:vAlign w:val="center"/>
          </w:tcPr>
          <w:p w14:paraId="6E025A45" w14:textId="19A8126E" w:rsidR="00FB5954" w:rsidRPr="004574AB" w:rsidRDefault="00FB5954" w:rsidP="001F1040">
            <w:pPr>
              <w:pStyle w:val="CMR-tables"/>
              <w:keepNext/>
              <w:jc w:val="right"/>
              <w:rPr>
                <w:rFonts w:cs="Times New Roman"/>
                <w:noProof/>
                <w:szCs w:val="20"/>
              </w:rPr>
            </w:pPr>
            <w:r w:rsidRPr="004574AB">
              <w:rPr>
                <w:noProof/>
                <w:color w:val="000000"/>
                <w:szCs w:val="20"/>
              </w:rPr>
              <w:t>99,59</w:t>
            </w:r>
          </w:p>
        </w:tc>
        <w:tc>
          <w:tcPr>
            <w:tcW w:w="495" w:type="pct"/>
            <w:vAlign w:val="center"/>
          </w:tcPr>
          <w:p w14:paraId="6B4DF496" w14:textId="0BCC33A4" w:rsidR="00FB5954" w:rsidRPr="004574AB" w:rsidRDefault="00FB5954" w:rsidP="001F1040">
            <w:pPr>
              <w:pStyle w:val="CMR-tables"/>
              <w:keepNext/>
              <w:jc w:val="right"/>
              <w:rPr>
                <w:rFonts w:cs="Times New Roman"/>
                <w:noProof/>
                <w:szCs w:val="20"/>
              </w:rPr>
            </w:pPr>
            <w:r w:rsidRPr="004574AB">
              <w:rPr>
                <w:noProof/>
                <w:color w:val="000000"/>
                <w:szCs w:val="20"/>
              </w:rPr>
              <w:t>0,31</w:t>
            </w:r>
          </w:p>
        </w:tc>
        <w:tc>
          <w:tcPr>
            <w:tcW w:w="479" w:type="pct"/>
            <w:vAlign w:val="center"/>
          </w:tcPr>
          <w:p w14:paraId="28AD1182" w14:textId="33E5CB5C" w:rsidR="00FB5954" w:rsidRPr="004574AB" w:rsidRDefault="00FB5954" w:rsidP="001F1040">
            <w:pPr>
              <w:pStyle w:val="CMR-tables"/>
              <w:keepNext/>
              <w:jc w:val="right"/>
              <w:rPr>
                <w:rFonts w:cs="Times New Roman"/>
                <w:noProof/>
                <w:szCs w:val="20"/>
              </w:rPr>
            </w:pPr>
            <w:r w:rsidRPr="004574AB">
              <w:rPr>
                <w:noProof/>
                <w:color w:val="000000"/>
                <w:szCs w:val="20"/>
              </w:rPr>
              <w:t>0,07</w:t>
            </w:r>
          </w:p>
        </w:tc>
        <w:tc>
          <w:tcPr>
            <w:tcW w:w="492" w:type="pct"/>
            <w:vAlign w:val="center"/>
          </w:tcPr>
          <w:p w14:paraId="12857B2D" w14:textId="11B7456B" w:rsidR="00FB5954" w:rsidRPr="004574AB" w:rsidRDefault="00FB5954" w:rsidP="001F1040">
            <w:pPr>
              <w:pStyle w:val="CMR-tables"/>
              <w:keepNext/>
              <w:jc w:val="right"/>
              <w:rPr>
                <w:rFonts w:cs="Times New Roman"/>
                <w:noProof/>
                <w:szCs w:val="20"/>
              </w:rPr>
            </w:pPr>
            <w:r w:rsidRPr="004574AB">
              <w:rPr>
                <w:noProof/>
                <w:color w:val="000000"/>
                <w:szCs w:val="20"/>
              </w:rPr>
              <w:t>0,03</w:t>
            </w:r>
          </w:p>
        </w:tc>
      </w:tr>
      <w:tr w:rsidR="00094B10" w:rsidRPr="004574AB" w14:paraId="1BD32780" w14:textId="77777777" w:rsidTr="00382783">
        <w:trPr>
          <w:cantSplit/>
          <w:trHeight w:val="454"/>
        </w:trPr>
        <w:tc>
          <w:tcPr>
            <w:tcW w:w="405" w:type="pct"/>
            <w:vMerge w:val="restart"/>
            <w:textDirection w:val="btLr"/>
            <w:vAlign w:val="center"/>
          </w:tcPr>
          <w:p w14:paraId="300F2B48" w14:textId="2CEE23E5" w:rsidR="0089087F" w:rsidRPr="004574AB" w:rsidRDefault="0089087F" w:rsidP="00BE5E78">
            <w:pPr>
              <w:pStyle w:val="CMR-tables"/>
              <w:keepNext/>
              <w:jc w:val="center"/>
              <w:rPr>
                <w:rFonts w:cs="Times New Roman"/>
                <w:b/>
                <w:noProof/>
                <w:szCs w:val="20"/>
              </w:rPr>
            </w:pPr>
            <w:r w:rsidRPr="004574AB">
              <w:rPr>
                <w:b/>
                <w:noProof/>
                <w:szCs w:val="20"/>
              </w:rPr>
              <w:t>Operadores de aeronaves</w:t>
            </w:r>
          </w:p>
        </w:tc>
        <w:tc>
          <w:tcPr>
            <w:tcW w:w="879" w:type="pct"/>
            <w:vMerge w:val="restart"/>
            <w:vAlign w:val="center"/>
          </w:tcPr>
          <w:p w14:paraId="50FC3B47" w14:textId="2ACF9270" w:rsidR="0089087F" w:rsidRPr="004574AB" w:rsidRDefault="0089087F" w:rsidP="001F1040">
            <w:pPr>
              <w:pStyle w:val="CMR-tables"/>
              <w:keepNext/>
              <w:jc w:val="center"/>
              <w:rPr>
                <w:rFonts w:cs="Times New Roman"/>
                <w:b/>
                <w:noProof/>
                <w:szCs w:val="20"/>
              </w:rPr>
            </w:pPr>
            <w:bookmarkStart w:id="103" w:name="_Ref115772878"/>
            <w:r w:rsidRPr="004574AB">
              <w:rPr>
                <w:b/>
                <w:noProof/>
                <w:szCs w:val="20"/>
              </w:rPr>
              <w:t>Atribuição a título gratuito (incluindo o sistema de comércio de licenças de emissão da Suíça) e venda em leilão</w:t>
            </w:r>
          </w:p>
        </w:tc>
        <w:tc>
          <w:tcPr>
            <w:tcW w:w="870" w:type="pct"/>
            <w:vMerge w:val="restart"/>
            <w:vAlign w:val="center"/>
          </w:tcPr>
          <w:p w14:paraId="777AEFA0" w14:textId="77777777" w:rsidR="0089087F" w:rsidRPr="004574AB" w:rsidRDefault="0089087F" w:rsidP="001F1040">
            <w:pPr>
              <w:pStyle w:val="CMR-tables"/>
              <w:keepNext/>
              <w:jc w:val="center"/>
              <w:rPr>
                <w:rFonts w:cs="Times New Roman"/>
                <w:b/>
                <w:noProof/>
                <w:szCs w:val="20"/>
              </w:rPr>
            </w:pPr>
            <w:r w:rsidRPr="004574AB">
              <w:rPr>
                <w:b/>
                <w:noProof/>
                <w:szCs w:val="20"/>
              </w:rPr>
              <w:t>Emissões verificadas (incluindo no âmbito do sistema de comércio de licenças de emissão da Suíça)</w:t>
            </w:r>
          </w:p>
        </w:tc>
        <w:tc>
          <w:tcPr>
            <w:tcW w:w="837" w:type="pct"/>
            <w:vMerge w:val="restart"/>
            <w:vAlign w:val="center"/>
          </w:tcPr>
          <w:p w14:paraId="4247CF5A" w14:textId="77777777" w:rsidR="0089087F" w:rsidRPr="004574AB" w:rsidRDefault="0089087F" w:rsidP="001F1040">
            <w:pPr>
              <w:pStyle w:val="CMR-tables"/>
              <w:keepNext/>
              <w:jc w:val="center"/>
              <w:rPr>
                <w:rFonts w:cs="Times New Roman"/>
                <w:b/>
                <w:noProof/>
                <w:szCs w:val="20"/>
              </w:rPr>
            </w:pPr>
            <w:r w:rsidRPr="004574AB">
              <w:rPr>
                <w:b/>
                <w:noProof/>
                <w:szCs w:val="20"/>
              </w:rPr>
              <w:t>Unidades devolvidas</w:t>
            </w:r>
          </w:p>
        </w:tc>
        <w:tc>
          <w:tcPr>
            <w:tcW w:w="1039" w:type="pct"/>
            <w:gridSpan w:val="2"/>
            <w:vAlign w:val="center"/>
          </w:tcPr>
          <w:p w14:paraId="57EA7DD8" w14:textId="77777777" w:rsidR="0089087F" w:rsidRPr="004574AB" w:rsidRDefault="0089087F" w:rsidP="001F1040">
            <w:pPr>
              <w:pStyle w:val="CMR-tables"/>
              <w:keepNext/>
              <w:jc w:val="center"/>
              <w:rPr>
                <w:rFonts w:cs="Times New Roman"/>
                <w:b/>
                <w:noProof/>
                <w:szCs w:val="20"/>
              </w:rPr>
            </w:pPr>
            <w:r w:rsidRPr="004574AB">
              <w:rPr>
                <w:b/>
                <w:noProof/>
                <w:szCs w:val="20"/>
              </w:rPr>
              <w:t>Licenças de emissão do CELE</w:t>
            </w:r>
          </w:p>
        </w:tc>
        <w:tc>
          <w:tcPr>
            <w:tcW w:w="971" w:type="pct"/>
            <w:gridSpan w:val="2"/>
            <w:vAlign w:val="center"/>
          </w:tcPr>
          <w:p w14:paraId="59EAB29D" w14:textId="77777777" w:rsidR="0089087F" w:rsidRPr="004574AB" w:rsidRDefault="0089087F" w:rsidP="001F1040">
            <w:pPr>
              <w:pStyle w:val="CMR-tables"/>
              <w:keepNext/>
              <w:jc w:val="center"/>
              <w:rPr>
                <w:rFonts w:cs="Times New Roman"/>
                <w:b/>
                <w:noProof/>
                <w:szCs w:val="20"/>
              </w:rPr>
            </w:pPr>
            <w:r w:rsidRPr="004574AB">
              <w:rPr>
                <w:b/>
                <w:noProof/>
                <w:szCs w:val="20"/>
              </w:rPr>
              <w:t>Licenças de emissão do sistema de comércio de licenças de emissão da Suíça</w:t>
            </w:r>
          </w:p>
        </w:tc>
      </w:tr>
      <w:tr w:rsidR="00094B10" w:rsidRPr="004574AB" w14:paraId="143AC1A9" w14:textId="77777777" w:rsidTr="00382783">
        <w:trPr>
          <w:cantSplit/>
          <w:trHeight w:val="454"/>
        </w:trPr>
        <w:tc>
          <w:tcPr>
            <w:tcW w:w="405" w:type="pct"/>
            <w:vMerge/>
          </w:tcPr>
          <w:p w14:paraId="0E9F13A6" w14:textId="77777777" w:rsidR="0089087F" w:rsidRPr="004574AB" w:rsidRDefault="0089087F" w:rsidP="00164DD9">
            <w:pPr>
              <w:pStyle w:val="CMR-tables"/>
              <w:keepNext/>
              <w:rPr>
                <w:rFonts w:cs="Times New Roman"/>
                <w:noProof/>
                <w:szCs w:val="20"/>
              </w:rPr>
            </w:pPr>
          </w:p>
        </w:tc>
        <w:tc>
          <w:tcPr>
            <w:tcW w:w="879" w:type="pct"/>
            <w:vMerge/>
          </w:tcPr>
          <w:p w14:paraId="07C178FC" w14:textId="77777777" w:rsidR="0089087F" w:rsidRPr="004574AB" w:rsidRDefault="0089087F" w:rsidP="00164DD9">
            <w:pPr>
              <w:pStyle w:val="CMR-tables"/>
              <w:keepNext/>
              <w:rPr>
                <w:rFonts w:cs="Times New Roman"/>
                <w:noProof/>
                <w:szCs w:val="20"/>
              </w:rPr>
            </w:pPr>
          </w:p>
        </w:tc>
        <w:tc>
          <w:tcPr>
            <w:tcW w:w="870" w:type="pct"/>
            <w:vMerge/>
          </w:tcPr>
          <w:p w14:paraId="244B1F6F" w14:textId="77777777" w:rsidR="0089087F" w:rsidRPr="004574AB" w:rsidRDefault="0089087F" w:rsidP="00164DD9">
            <w:pPr>
              <w:pStyle w:val="CMR-tables"/>
              <w:keepNext/>
              <w:rPr>
                <w:rFonts w:cs="Times New Roman"/>
                <w:noProof/>
                <w:szCs w:val="20"/>
              </w:rPr>
            </w:pPr>
          </w:p>
        </w:tc>
        <w:tc>
          <w:tcPr>
            <w:tcW w:w="837" w:type="pct"/>
            <w:vMerge/>
          </w:tcPr>
          <w:p w14:paraId="7101AE87" w14:textId="77777777" w:rsidR="0089087F" w:rsidRPr="004574AB" w:rsidRDefault="0089087F" w:rsidP="00164DD9">
            <w:pPr>
              <w:pStyle w:val="CMR-tables"/>
              <w:keepNext/>
              <w:rPr>
                <w:rFonts w:cs="Times New Roman"/>
                <w:noProof/>
                <w:szCs w:val="20"/>
              </w:rPr>
            </w:pPr>
          </w:p>
        </w:tc>
        <w:tc>
          <w:tcPr>
            <w:tcW w:w="543" w:type="pct"/>
            <w:vAlign w:val="center"/>
          </w:tcPr>
          <w:p w14:paraId="68915CA3" w14:textId="77777777" w:rsidR="0089087F" w:rsidRPr="004574AB" w:rsidRDefault="0089087F" w:rsidP="001F1040">
            <w:pPr>
              <w:pStyle w:val="CMR-tables"/>
              <w:keepNext/>
              <w:jc w:val="center"/>
              <w:rPr>
                <w:rFonts w:cs="Times New Roman"/>
                <w:i/>
                <w:noProof/>
                <w:szCs w:val="20"/>
              </w:rPr>
            </w:pPr>
            <w:r w:rsidRPr="004574AB">
              <w:rPr>
                <w:i/>
                <w:noProof/>
                <w:szCs w:val="20"/>
              </w:rPr>
              <w:t>Gerais</w:t>
            </w:r>
          </w:p>
        </w:tc>
        <w:tc>
          <w:tcPr>
            <w:tcW w:w="495" w:type="pct"/>
            <w:vAlign w:val="center"/>
          </w:tcPr>
          <w:p w14:paraId="2B9BD320" w14:textId="77777777" w:rsidR="0089087F" w:rsidRPr="004574AB" w:rsidRDefault="0089087F" w:rsidP="001F1040">
            <w:pPr>
              <w:pStyle w:val="CMR-tables"/>
              <w:keepNext/>
              <w:jc w:val="center"/>
              <w:rPr>
                <w:rFonts w:cs="Times New Roman"/>
                <w:i/>
                <w:noProof/>
                <w:szCs w:val="20"/>
              </w:rPr>
            </w:pPr>
            <w:r w:rsidRPr="004574AB">
              <w:rPr>
                <w:i/>
                <w:noProof/>
                <w:szCs w:val="20"/>
              </w:rPr>
              <w:t>Aviação</w:t>
            </w:r>
          </w:p>
        </w:tc>
        <w:tc>
          <w:tcPr>
            <w:tcW w:w="479" w:type="pct"/>
            <w:vAlign w:val="center"/>
          </w:tcPr>
          <w:p w14:paraId="13FF3A69" w14:textId="77777777" w:rsidR="0089087F" w:rsidRPr="004574AB" w:rsidRDefault="0089087F" w:rsidP="001F1040">
            <w:pPr>
              <w:pStyle w:val="CMR-tables"/>
              <w:keepNext/>
              <w:jc w:val="center"/>
              <w:rPr>
                <w:rFonts w:cs="Times New Roman"/>
                <w:i/>
                <w:noProof/>
                <w:szCs w:val="20"/>
              </w:rPr>
            </w:pPr>
            <w:r w:rsidRPr="004574AB">
              <w:rPr>
                <w:i/>
                <w:noProof/>
                <w:szCs w:val="20"/>
              </w:rPr>
              <w:t>Gerais</w:t>
            </w:r>
          </w:p>
        </w:tc>
        <w:tc>
          <w:tcPr>
            <w:tcW w:w="492" w:type="pct"/>
            <w:vAlign w:val="center"/>
          </w:tcPr>
          <w:p w14:paraId="41708212" w14:textId="77777777" w:rsidR="0089087F" w:rsidRPr="004574AB" w:rsidRDefault="0089087F" w:rsidP="001F1040">
            <w:pPr>
              <w:pStyle w:val="CMR-tables"/>
              <w:keepNext/>
              <w:jc w:val="center"/>
              <w:rPr>
                <w:rFonts w:cs="Times New Roman"/>
                <w:i/>
                <w:noProof/>
                <w:szCs w:val="20"/>
              </w:rPr>
            </w:pPr>
            <w:r w:rsidRPr="004574AB">
              <w:rPr>
                <w:i/>
                <w:noProof/>
                <w:szCs w:val="20"/>
              </w:rPr>
              <w:t>Aviação</w:t>
            </w:r>
          </w:p>
        </w:tc>
      </w:tr>
      <w:tr w:rsidR="00094B10" w:rsidRPr="004574AB" w14:paraId="097157F6" w14:textId="77777777" w:rsidTr="00382783">
        <w:trPr>
          <w:trHeight w:val="454"/>
        </w:trPr>
        <w:tc>
          <w:tcPr>
            <w:tcW w:w="405" w:type="pct"/>
            <w:vMerge/>
          </w:tcPr>
          <w:p w14:paraId="2D24310F" w14:textId="77777777" w:rsidR="006F164D" w:rsidRPr="004574AB" w:rsidRDefault="006F164D" w:rsidP="006F164D">
            <w:pPr>
              <w:pStyle w:val="CMR-tables"/>
              <w:keepNext/>
              <w:rPr>
                <w:rFonts w:cs="Times New Roman"/>
                <w:noProof/>
                <w:szCs w:val="20"/>
              </w:rPr>
            </w:pPr>
          </w:p>
        </w:tc>
        <w:tc>
          <w:tcPr>
            <w:tcW w:w="879" w:type="pct"/>
            <w:shd w:val="clear" w:color="auto" w:fill="D9E2F3" w:themeFill="accent1" w:themeFillTint="33"/>
            <w:vAlign w:val="center"/>
          </w:tcPr>
          <w:p w14:paraId="607ADCEC" w14:textId="70F03108" w:rsidR="006F164D" w:rsidRPr="004574AB" w:rsidRDefault="12B8845F" w:rsidP="002232F4">
            <w:pPr>
              <w:pStyle w:val="CMR-tables"/>
              <w:keepNext/>
              <w:jc w:val="right"/>
              <w:rPr>
                <w:rFonts w:cs="Times New Roman"/>
                <w:noProof/>
                <w:szCs w:val="20"/>
              </w:rPr>
            </w:pPr>
            <w:r w:rsidRPr="004574AB">
              <w:rPr>
                <w:noProof/>
                <w:color w:val="000000" w:themeColor="text1"/>
                <w:szCs w:val="20"/>
              </w:rPr>
              <w:t>24 270 111</w:t>
            </w:r>
          </w:p>
        </w:tc>
        <w:tc>
          <w:tcPr>
            <w:tcW w:w="870" w:type="pct"/>
            <w:shd w:val="clear" w:color="auto" w:fill="D9E2F3" w:themeFill="accent1" w:themeFillTint="33"/>
            <w:vAlign w:val="center"/>
          </w:tcPr>
          <w:p w14:paraId="647A26B8" w14:textId="0A1F45F6" w:rsidR="006F164D" w:rsidRPr="004574AB" w:rsidRDefault="25FE72E9" w:rsidP="002232F4">
            <w:pPr>
              <w:pStyle w:val="CMR-tables"/>
              <w:keepNext/>
              <w:jc w:val="right"/>
              <w:rPr>
                <w:rFonts w:cs="Times New Roman"/>
                <w:noProof/>
                <w:szCs w:val="20"/>
              </w:rPr>
            </w:pPr>
            <w:r w:rsidRPr="004574AB">
              <w:rPr>
                <w:noProof/>
                <w:color w:val="000000" w:themeColor="text1"/>
                <w:szCs w:val="20"/>
              </w:rPr>
              <w:t>62 247 419</w:t>
            </w:r>
          </w:p>
        </w:tc>
        <w:tc>
          <w:tcPr>
            <w:tcW w:w="837" w:type="pct"/>
            <w:shd w:val="clear" w:color="auto" w:fill="D9E2F3" w:themeFill="accent1" w:themeFillTint="33"/>
            <w:vAlign w:val="center"/>
          </w:tcPr>
          <w:p w14:paraId="3D2C4AA5" w14:textId="4DBAD30C" w:rsidR="006F164D" w:rsidRPr="004574AB" w:rsidRDefault="536A9637" w:rsidP="001F1040">
            <w:pPr>
              <w:pStyle w:val="CMR-tables"/>
              <w:keepNext/>
              <w:jc w:val="right"/>
              <w:rPr>
                <w:rFonts w:cs="Times New Roman"/>
                <w:noProof/>
                <w:szCs w:val="20"/>
              </w:rPr>
            </w:pPr>
            <w:r w:rsidRPr="004574AB">
              <w:rPr>
                <w:noProof/>
                <w:color w:val="000000" w:themeColor="text1"/>
                <w:szCs w:val="20"/>
              </w:rPr>
              <w:t>61 645 450</w:t>
            </w:r>
          </w:p>
        </w:tc>
        <w:tc>
          <w:tcPr>
            <w:tcW w:w="543" w:type="pct"/>
            <w:shd w:val="clear" w:color="auto" w:fill="D9E2F3" w:themeFill="accent1" w:themeFillTint="33"/>
            <w:vAlign w:val="center"/>
          </w:tcPr>
          <w:p w14:paraId="673861B3" w14:textId="2A2E0F36" w:rsidR="006F164D" w:rsidRPr="004574AB" w:rsidRDefault="08894101" w:rsidP="001F1040">
            <w:pPr>
              <w:pStyle w:val="CMR-tables"/>
              <w:keepNext/>
              <w:jc w:val="right"/>
              <w:rPr>
                <w:rFonts w:cs="Times New Roman"/>
                <w:noProof/>
                <w:szCs w:val="20"/>
              </w:rPr>
            </w:pPr>
            <w:r w:rsidRPr="004574AB">
              <w:rPr>
                <w:noProof/>
                <w:color w:val="000000" w:themeColor="text1"/>
                <w:szCs w:val="20"/>
              </w:rPr>
              <w:t>43 299 227</w:t>
            </w:r>
          </w:p>
        </w:tc>
        <w:tc>
          <w:tcPr>
            <w:tcW w:w="495" w:type="pct"/>
            <w:shd w:val="clear" w:color="auto" w:fill="D9E2F3" w:themeFill="accent1" w:themeFillTint="33"/>
            <w:vAlign w:val="center"/>
          </w:tcPr>
          <w:p w14:paraId="7908EDFC" w14:textId="7343F6CC" w:rsidR="006F164D" w:rsidRPr="004574AB" w:rsidRDefault="7E4C1930" w:rsidP="001F1040">
            <w:pPr>
              <w:pStyle w:val="CMR-tables"/>
              <w:keepNext/>
              <w:jc w:val="right"/>
              <w:rPr>
                <w:rFonts w:cs="Times New Roman"/>
                <w:noProof/>
                <w:szCs w:val="20"/>
              </w:rPr>
            </w:pPr>
            <w:r w:rsidRPr="004574AB">
              <w:rPr>
                <w:noProof/>
                <w:color w:val="000000" w:themeColor="text1"/>
                <w:szCs w:val="20"/>
              </w:rPr>
              <w:t>17 826 613</w:t>
            </w:r>
          </w:p>
        </w:tc>
        <w:tc>
          <w:tcPr>
            <w:tcW w:w="479" w:type="pct"/>
            <w:shd w:val="clear" w:color="auto" w:fill="D9E2F3" w:themeFill="accent1" w:themeFillTint="33"/>
            <w:vAlign w:val="center"/>
          </w:tcPr>
          <w:p w14:paraId="669ED435" w14:textId="544AAF96" w:rsidR="006F164D" w:rsidRPr="004574AB" w:rsidRDefault="06613BDB" w:rsidP="001F1040">
            <w:pPr>
              <w:pStyle w:val="CMR-tables"/>
              <w:keepNext/>
              <w:jc w:val="right"/>
              <w:rPr>
                <w:rFonts w:cs="Times New Roman"/>
                <w:noProof/>
                <w:szCs w:val="20"/>
              </w:rPr>
            </w:pPr>
            <w:r w:rsidRPr="004574AB">
              <w:rPr>
                <w:noProof/>
                <w:color w:val="000000" w:themeColor="text1"/>
                <w:szCs w:val="20"/>
              </w:rPr>
              <w:t>49 077</w:t>
            </w:r>
          </w:p>
        </w:tc>
        <w:tc>
          <w:tcPr>
            <w:tcW w:w="492" w:type="pct"/>
            <w:shd w:val="clear" w:color="auto" w:fill="D9E2F3" w:themeFill="accent1" w:themeFillTint="33"/>
            <w:vAlign w:val="center"/>
          </w:tcPr>
          <w:p w14:paraId="763FD23D" w14:textId="67E0A775" w:rsidR="006F164D" w:rsidRPr="004574AB" w:rsidRDefault="20C00B5E" w:rsidP="001F1040">
            <w:pPr>
              <w:pStyle w:val="CMR-tables"/>
              <w:keepNext/>
              <w:jc w:val="right"/>
              <w:rPr>
                <w:rFonts w:cs="Times New Roman"/>
                <w:noProof/>
                <w:szCs w:val="20"/>
              </w:rPr>
            </w:pPr>
            <w:r w:rsidRPr="004574AB">
              <w:rPr>
                <w:noProof/>
                <w:color w:val="000000" w:themeColor="text1"/>
                <w:szCs w:val="20"/>
              </w:rPr>
              <w:t>470 533</w:t>
            </w:r>
          </w:p>
        </w:tc>
      </w:tr>
      <w:tr w:rsidR="00FB0646" w:rsidRPr="004574AB" w14:paraId="0980D5FA" w14:textId="77777777" w:rsidTr="00382783">
        <w:trPr>
          <w:trHeight w:val="454"/>
        </w:trPr>
        <w:tc>
          <w:tcPr>
            <w:tcW w:w="405" w:type="pct"/>
            <w:vMerge/>
          </w:tcPr>
          <w:p w14:paraId="5C483E20" w14:textId="77777777" w:rsidR="008B4FC3" w:rsidRPr="004574AB" w:rsidRDefault="008B4FC3" w:rsidP="008B4FC3">
            <w:pPr>
              <w:pStyle w:val="CMR-tables"/>
              <w:keepNext/>
              <w:rPr>
                <w:rFonts w:cs="Times New Roman"/>
                <w:noProof/>
                <w:szCs w:val="20"/>
              </w:rPr>
            </w:pPr>
          </w:p>
        </w:tc>
        <w:tc>
          <w:tcPr>
            <w:tcW w:w="2586" w:type="pct"/>
            <w:gridSpan w:val="3"/>
            <w:vAlign w:val="center"/>
          </w:tcPr>
          <w:p w14:paraId="5A842F95" w14:textId="77777777" w:rsidR="008B4FC3" w:rsidRPr="004574AB" w:rsidRDefault="008B4FC3" w:rsidP="001F1040">
            <w:pPr>
              <w:pStyle w:val="CMR-tables"/>
              <w:keepNext/>
              <w:jc w:val="center"/>
              <w:rPr>
                <w:rFonts w:cs="Times New Roman"/>
                <w:b/>
                <w:i/>
                <w:noProof/>
                <w:szCs w:val="20"/>
              </w:rPr>
            </w:pPr>
            <w:r w:rsidRPr="004574AB">
              <w:rPr>
                <w:b/>
                <w:i/>
                <w:noProof/>
                <w:szCs w:val="20"/>
              </w:rPr>
              <w:t>% do total</w:t>
            </w:r>
          </w:p>
        </w:tc>
        <w:tc>
          <w:tcPr>
            <w:tcW w:w="543" w:type="pct"/>
            <w:vAlign w:val="center"/>
          </w:tcPr>
          <w:p w14:paraId="1C225ECB" w14:textId="30850FF7" w:rsidR="008B4FC3" w:rsidRPr="004574AB" w:rsidRDefault="5B2CFF49" w:rsidP="001F1040">
            <w:pPr>
              <w:pStyle w:val="CMR-tables"/>
              <w:keepNext/>
              <w:jc w:val="right"/>
              <w:rPr>
                <w:rFonts w:cs="Times New Roman"/>
                <w:noProof/>
                <w:szCs w:val="20"/>
              </w:rPr>
            </w:pPr>
            <w:r w:rsidRPr="004574AB">
              <w:rPr>
                <w:noProof/>
                <w:color w:val="000000" w:themeColor="text1"/>
                <w:szCs w:val="20"/>
              </w:rPr>
              <w:t>70,24</w:t>
            </w:r>
          </w:p>
        </w:tc>
        <w:tc>
          <w:tcPr>
            <w:tcW w:w="495" w:type="pct"/>
            <w:vAlign w:val="center"/>
          </w:tcPr>
          <w:p w14:paraId="6D9B484B" w14:textId="6EB73820" w:rsidR="008B4FC3" w:rsidRPr="004574AB" w:rsidRDefault="76B4BE33" w:rsidP="001F1040">
            <w:pPr>
              <w:pStyle w:val="CMR-tables"/>
              <w:keepNext/>
              <w:jc w:val="right"/>
              <w:rPr>
                <w:rFonts w:cs="Times New Roman"/>
                <w:noProof/>
                <w:szCs w:val="20"/>
              </w:rPr>
            </w:pPr>
            <w:r w:rsidRPr="004574AB">
              <w:rPr>
                <w:noProof/>
                <w:color w:val="000000" w:themeColor="text1"/>
                <w:szCs w:val="20"/>
              </w:rPr>
              <w:t>28,92</w:t>
            </w:r>
          </w:p>
        </w:tc>
        <w:tc>
          <w:tcPr>
            <w:tcW w:w="479" w:type="pct"/>
            <w:vAlign w:val="center"/>
          </w:tcPr>
          <w:p w14:paraId="79314813" w14:textId="05F128DA" w:rsidR="008B4FC3" w:rsidRPr="004574AB" w:rsidRDefault="4537CB61" w:rsidP="001F1040">
            <w:pPr>
              <w:pStyle w:val="CMR-tables"/>
              <w:keepNext/>
              <w:jc w:val="right"/>
              <w:rPr>
                <w:rFonts w:cs="Times New Roman"/>
                <w:noProof/>
                <w:szCs w:val="20"/>
              </w:rPr>
            </w:pPr>
            <w:r w:rsidRPr="004574AB">
              <w:rPr>
                <w:noProof/>
                <w:color w:val="000000" w:themeColor="text1"/>
                <w:szCs w:val="20"/>
              </w:rPr>
              <w:t>0,08</w:t>
            </w:r>
          </w:p>
        </w:tc>
        <w:tc>
          <w:tcPr>
            <w:tcW w:w="492" w:type="pct"/>
            <w:vAlign w:val="center"/>
          </w:tcPr>
          <w:p w14:paraId="72A6F138" w14:textId="0FB8E52D" w:rsidR="008B4FC3" w:rsidRPr="004574AB" w:rsidRDefault="7D3EA5D6" w:rsidP="001F1040">
            <w:pPr>
              <w:pStyle w:val="CMR-tables"/>
              <w:keepNext/>
              <w:jc w:val="right"/>
              <w:rPr>
                <w:rFonts w:cs="Times New Roman"/>
                <w:noProof/>
                <w:szCs w:val="20"/>
              </w:rPr>
            </w:pPr>
            <w:r w:rsidRPr="004574AB">
              <w:rPr>
                <w:noProof/>
                <w:color w:val="000000" w:themeColor="text1"/>
                <w:szCs w:val="20"/>
              </w:rPr>
              <w:t>0,76</w:t>
            </w:r>
          </w:p>
        </w:tc>
      </w:tr>
    </w:tbl>
    <w:p w14:paraId="63DAD843" w14:textId="77777777" w:rsidR="004574AB" w:rsidRDefault="004574AB">
      <w:pPr>
        <w:rPr>
          <w:rFonts w:ascii="Times New Roman" w:eastAsia="Calibri" w:hAnsi="Times New Roman" w:cs="Times New Roman"/>
          <w:bCs/>
          <w:i/>
          <w:noProof/>
          <w:kern w:val="0"/>
          <w:sz w:val="20"/>
          <w:szCs w:val="20"/>
          <w14:ligatures w14:val="none"/>
        </w:rPr>
      </w:pPr>
      <w:bookmarkStart w:id="104" w:name="_Ref179899545"/>
      <w:bookmarkEnd w:id="103"/>
      <w:r>
        <w:rPr>
          <w:noProof/>
          <w:sz w:val="20"/>
        </w:rPr>
        <w:br w:type="page"/>
      </w:r>
    </w:p>
    <w:p w14:paraId="09A1C495" w14:textId="77777777" w:rsidR="004574AB" w:rsidRDefault="004574AB" w:rsidP="00422712">
      <w:pPr>
        <w:pStyle w:val="Caption"/>
        <w:keepNext/>
        <w:rPr>
          <w:noProof/>
          <w:sz w:val="20"/>
        </w:rPr>
      </w:pPr>
    </w:p>
    <w:p w14:paraId="50D8A571" w14:textId="0412855E" w:rsidR="00422712" w:rsidRPr="0039102C" w:rsidRDefault="00422712" w:rsidP="00422712">
      <w:pPr>
        <w:pStyle w:val="Caption"/>
        <w:keepNext/>
        <w:rPr>
          <w:noProof/>
          <w:sz w:val="20"/>
        </w:rPr>
      </w:pPr>
      <w:r w:rsidRPr="0039102C">
        <w:rPr>
          <w:noProof/>
          <w:sz w:val="20"/>
        </w:rPr>
        <w:t xml:space="preserve">Quadro </w:t>
      </w:r>
      <w:bookmarkEnd w:id="104"/>
      <w:r w:rsidRPr="0039102C">
        <w:rPr>
          <w:noProof/>
          <w:sz w:val="20"/>
        </w:rPr>
        <w:t>9. Unidades utilizadas em 2024 para fins de cumprimento no Registo suíço. Os operadores de aeronaves em causa são da responsabilidade da Suíça.</w:t>
      </w:r>
    </w:p>
    <w:tbl>
      <w:tblPr>
        <w:tblStyle w:val="TableGridLight"/>
        <w:tblW w:w="5000" w:type="pct"/>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1057"/>
        <w:gridCol w:w="2625"/>
        <w:gridCol w:w="2516"/>
        <w:gridCol w:w="2162"/>
        <w:gridCol w:w="1331"/>
        <w:gridCol w:w="1504"/>
        <w:gridCol w:w="1400"/>
        <w:gridCol w:w="1353"/>
      </w:tblGrid>
      <w:tr w:rsidR="006036F8" w:rsidRPr="0039102C" w14:paraId="5AD843AC" w14:textId="77777777" w:rsidTr="00382783">
        <w:trPr>
          <w:cantSplit/>
          <w:trHeight w:val="454"/>
        </w:trPr>
        <w:tc>
          <w:tcPr>
            <w:tcW w:w="379" w:type="pct"/>
            <w:vMerge w:val="restart"/>
            <w:textDirection w:val="btLr"/>
            <w:vAlign w:val="center"/>
          </w:tcPr>
          <w:p w14:paraId="61B9642A" w14:textId="70D095DE" w:rsidR="0095203A" w:rsidRPr="0039102C" w:rsidRDefault="00000905" w:rsidP="00F03925">
            <w:pPr>
              <w:pStyle w:val="CMR-tables"/>
              <w:keepNext/>
              <w:ind w:left="113" w:right="113"/>
              <w:jc w:val="center"/>
              <w:rPr>
                <w:rFonts w:cs="Times New Roman"/>
                <w:b/>
                <w:noProof/>
                <w:szCs w:val="20"/>
              </w:rPr>
            </w:pPr>
            <w:r w:rsidRPr="0039102C">
              <w:rPr>
                <w:b/>
                <w:noProof/>
              </w:rPr>
              <w:t>Instalações</w:t>
            </w:r>
          </w:p>
        </w:tc>
        <w:tc>
          <w:tcPr>
            <w:tcW w:w="941" w:type="pct"/>
            <w:vMerge w:val="restart"/>
            <w:vAlign w:val="center"/>
          </w:tcPr>
          <w:p w14:paraId="20448730" w14:textId="77777777" w:rsidR="0095203A" w:rsidRPr="0039102C" w:rsidRDefault="0095203A" w:rsidP="001F1040">
            <w:pPr>
              <w:pStyle w:val="CMR-tables"/>
              <w:keepNext/>
              <w:jc w:val="center"/>
              <w:rPr>
                <w:rFonts w:cs="Times New Roman"/>
                <w:b/>
                <w:noProof/>
                <w:szCs w:val="20"/>
              </w:rPr>
            </w:pPr>
            <w:r w:rsidRPr="0039102C">
              <w:rPr>
                <w:b/>
                <w:noProof/>
              </w:rPr>
              <w:t>Atribuição a título gratuito e venda em leilão</w:t>
            </w:r>
          </w:p>
        </w:tc>
        <w:tc>
          <w:tcPr>
            <w:tcW w:w="902" w:type="pct"/>
            <w:vMerge w:val="restart"/>
            <w:vAlign w:val="center"/>
          </w:tcPr>
          <w:p w14:paraId="0002ED72" w14:textId="77777777" w:rsidR="0095203A" w:rsidRPr="0039102C" w:rsidRDefault="0095203A" w:rsidP="001F1040">
            <w:pPr>
              <w:pStyle w:val="CMR-tables"/>
              <w:keepNext/>
              <w:jc w:val="center"/>
              <w:rPr>
                <w:rFonts w:cs="Times New Roman"/>
                <w:b/>
                <w:noProof/>
                <w:szCs w:val="20"/>
              </w:rPr>
            </w:pPr>
            <w:r w:rsidRPr="0039102C">
              <w:rPr>
                <w:b/>
                <w:noProof/>
              </w:rPr>
              <w:t>Emissões verificadas</w:t>
            </w:r>
          </w:p>
        </w:tc>
        <w:tc>
          <w:tcPr>
            <w:tcW w:w="775" w:type="pct"/>
            <w:vMerge w:val="restart"/>
            <w:vAlign w:val="center"/>
          </w:tcPr>
          <w:p w14:paraId="0B5BD9F3" w14:textId="77777777" w:rsidR="0095203A" w:rsidRPr="0039102C" w:rsidRDefault="0095203A" w:rsidP="001F1040">
            <w:pPr>
              <w:pStyle w:val="CMR-tables"/>
              <w:keepNext/>
              <w:jc w:val="center"/>
              <w:rPr>
                <w:rFonts w:cs="Times New Roman"/>
                <w:b/>
                <w:noProof/>
                <w:szCs w:val="20"/>
              </w:rPr>
            </w:pPr>
            <w:r w:rsidRPr="0039102C">
              <w:rPr>
                <w:b/>
                <w:noProof/>
              </w:rPr>
              <w:t>Unidades devolvidas</w:t>
            </w:r>
          </w:p>
        </w:tc>
        <w:tc>
          <w:tcPr>
            <w:tcW w:w="1016" w:type="pct"/>
            <w:gridSpan w:val="2"/>
            <w:vAlign w:val="center"/>
          </w:tcPr>
          <w:p w14:paraId="5DC50735" w14:textId="77777777" w:rsidR="0095203A" w:rsidRPr="0039102C" w:rsidRDefault="0095203A" w:rsidP="001F1040">
            <w:pPr>
              <w:pStyle w:val="CMR-tables"/>
              <w:keepNext/>
              <w:jc w:val="center"/>
              <w:rPr>
                <w:rFonts w:cs="Times New Roman"/>
                <w:b/>
                <w:noProof/>
                <w:szCs w:val="20"/>
              </w:rPr>
            </w:pPr>
            <w:r w:rsidRPr="0039102C">
              <w:rPr>
                <w:b/>
                <w:noProof/>
              </w:rPr>
              <w:t>Licenças de emissão do CELE</w:t>
            </w:r>
          </w:p>
        </w:tc>
        <w:tc>
          <w:tcPr>
            <w:tcW w:w="987" w:type="pct"/>
            <w:gridSpan w:val="2"/>
            <w:vAlign w:val="center"/>
          </w:tcPr>
          <w:p w14:paraId="6AB2724F" w14:textId="77777777" w:rsidR="0095203A" w:rsidRPr="0039102C" w:rsidRDefault="0095203A" w:rsidP="001F1040">
            <w:pPr>
              <w:pStyle w:val="CMR-tables"/>
              <w:keepNext/>
              <w:jc w:val="center"/>
              <w:rPr>
                <w:rFonts w:cs="Times New Roman"/>
                <w:b/>
                <w:noProof/>
                <w:szCs w:val="20"/>
              </w:rPr>
            </w:pPr>
            <w:r w:rsidRPr="0039102C">
              <w:rPr>
                <w:b/>
                <w:noProof/>
              </w:rPr>
              <w:t>Licenças de emissão do sistema de comércio de licenças de emissão da Suíça</w:t>
            </w:r>
          </w:p>
        </w:tc>
      </w:tr>
      <w:tr w:rsidR="006036F8" w:rsidRPr="0039102C" w14:paraId="65F66B15" w14:textId="77777777" w:rsidTr="00382783">
        <w:trPr>
          <w:trHeight w:val="454"/>
        </w:trPr>
        <w:tc>
          <w:tcPr>
            <w:tcW w:w="379" w:type="pct"/>
            <w:vMerge/>
            <w:textDirection w:val="btLr"/>
            <w:vAlign w:val="center"/>
          </w:tcPr>
          <w:p w14:paraId="35A90ACE" w14:textId="77777777" w:rsidR="0095203A" w:rsidRPr="0039102C" w:rsidRDefault="0095203A" w:rsidP="00F03925">
            <w:pPr>
              <w:pStyle w:val="CMR-tables"/>
              <w:keepNext/>
              <w:ind w:left="113" w:right="113"/>
              <w:jc w:val="center"/>
              <w:rPr>
                <w:rFonts w:cs="Times New Roman"/>
                <w:b/>
                <w:noProof/>
                <w:szCs w:val="20"/>
              </w:rPr>
            </w:pPr>
          </w:p>
        </w:tc>
        <w:tc>
          <w:tcPr>
            <w:tcW w:w="941" w:type="pct"/>
            <w:vMerge/>
          </w:tcPr>
          <w:p w14:paraId="31105B33" w14:textId="77777777" w:rsidR="0095203A" w:rsidRPr="0039102C" w:rsidRDefault="0095203A" w:rsidP="00F03925">
            <w:pPr>
              <w:pStyle w:val="CMR-tables"/>
              <w:keepNext/>
              <w:rPr>
                <w:rFonts w:cs="Times New Roman"/>
                <w:noProof/>
                <w:szCs w:val="20"/>
              </w:rPr>
            </w:pPr>
          </w:p>
        </w:tc>
        <w:tc>
          <w:tcPr>
            <w:tcW w:w="902" w:type="pct"/>
            <w:vMerge/>
          </w:tcPr>
          <w:p w14:paraId="5B878F9D" w14:textId="77777777" w:rsidR="0095203A" w:rsidRPr="0039102C" w:rsidRDefault="0095203A" w:rsidP="00F03925">
            <w:pPr>
              <w:pStyle w:val="CMR-tables"/>
              <w:keepNext/>
              <w:rPr>
                <w:rFonts w:cs="Times New Roman"/>
                <w:noProof/>
                <w:szCs w:val="20"/>
              </w:rPr>
            </w:pPr>
          </w:p>
        </w:tc>
        <w:tc>
          <w:tcPr>
            <w:tcW w:w="775" w:type="pct"/>
            <w:vMerge/>
          </w:tcPr>
          <w:p w14:paraId="7A9D5CF0" w14:textId="77777777" w:rsidR="0095203A" w:rsidRPr="0039102C" w:rsidRDefault="0095203A" w:rsidP="00F03925">
            <w:pPr>
              <w:pStyle w:val="CMR-tables"/>
              <w:keepNext/>
              <w:rPr>
                <w:rFonts w:cs="Times New Roman"/>
                <w:noProof/>
                <w:szCs w:val="20"/>
              </w:rPr>
            </w:pPr>
          </w:p>
        </w:tc>
        <w:tc>
          <w:tcPr>
            <w:tcW w:w="477" w:type="pct"/>
            <w:vAlign w:val="center"/>
          </w:tcPr>
          <w:p w14:paraId="02035A67" w14:textId="77777777" w:rsidR="0095203A" w:rsidRPr="0039102C" w:rsidRDefault="0095203A" w:rsidP="001F1040">
            <w:pPr>
              <w:pStyle w:val="CMR-tables"/>
              <w:keepNext/>
              <w:jc w:val="center"/>
              <w:rPr>
                <w:rFonts w:cs="Times New Roman"/>
                <w:i/>
                <w:noProof/>
                <w:szCs w:val="20"/>
              </w:rPr>
            </w:pPr>
            <w:r w:rsidRPr="0039102C">
              <w:rPr>
                <w:i/>
                <w:noProof/>
              </w:rPr>
              <w:t>Gerais</w:t>
            </w:r>
          </w:p>
        </w:tc>
        <w:tc>
          <w:tcPr>
            <w:tcW w:w="539" w:type="pct"/>
            <w:vAlign w:val="center"/>
          </w:tcPr>
          <w:p w14:paraId="55AFD498" w14:textId="77777777" w:rsidR="0095203A" w:rsidRPr="0039102C" w:rsidRDefault="0095203A" w:rsidP="001F1040">
            <w:pPr>
              <w:pStyle w:val="CMR-tables"/>
              <w:keepNext/>
              <w:jc w:val="center"/>
              <w:rPr>
                <w:rFonts w:cs="Times New Roman"/>
                <w:i/>
                <w:noProof/>
                <w:szCs w:val="20"/>
              </w:rPr>
            </w:pPr>
            <w:r w:rsidRPr="0039102C">
              <w:rPr>
                <w:i/>
                <w:noProof/>
              </w:rPr>
              <w:t>Aviação</w:t>
            </w:r>
          </w:p>
        </w:tc>
        <w:tc>
          <w:tcPr>
            <w:tcW w:w="502" w:type="pct"/>
            <w:vAlign w:val="center"/>
          </w:tcPr>
          <w:p w14:paraId="557BA762" w14:textId="77777777" w:rsidR="0095203A" w:rsidRPr="0039102C" w:rsidRDefault="0095203A" w:rsidP="001F1040">
            <w:pPr>
              <w:pStyle w:val="CMR-tables"/>
              <w:keepNext/>
              <w:jc w:val="center"/>
              <w:rPr>
                <w:rFonts w:cs="Times New Roman"/>
                <w:i/>
                <w:noProof/>
                <w:szCs w:val="20"/>
              </w:rPr>
            </w:pPr>
            <w:r w:rsidRPr="0039102C">
              <w:rPr>
                <w:i/>
                <w:noProof/>
              </w:rPr>
              <w:t>Gerais</w:t>
            </w:r>
          </w:p>
        </w:tc>
        <w:tc>
          <w:tcPr>
            <w:tcW w:w="485" w:type="pct"/>
            <w:vAlign w:val="center"/>
          </w:tcPr>
          <w:p w14:paraId="03D1351E" w14:textId="77777777" w:rsidR="0095203A" w:rsidRPr="0039102C" w:rsidRDefault="0095203A" w:rsidP="001F1040">
            <w:pPr>
              <w:pStyle w:val="CMR-tables"/>
              <w:keepNext/>
              <w:jc w:val="center"/>
              <w:rPr>
                <w:rFonts w:cs="Times New Roman"/>
                <w:i/>
                <w:noProof/>
                <w:szCs w:val="20"/>
              </w:rPr>
            </w:pPr>
            <w:r w:rsidRPr="0039102C">
              <w:rPr>
                <w:i/>
                <w:noProof/>
              </w:rPr>
              <w:t>Aviação</w:t>
            </w:r>
          </w:p>
        </w:tc>
      </w:tr>
      <w:tr w:rsidR="006036F8" w:rsidRPr="0039102C" w14:paraId="599C904F" w14:textId="77777777" w:rsidTr="00382783">
        <w:trPr>
          <w:cantSplit/>
          <w:trHeight w:val="454"/>
        </w:trPr>
        <w:tc>
          <w:tcPr>
            <w:tcW w:w="379" w:type="pct"/>
            <w:vMerge/>
            <w:textDirection w:val="btLr"/>
            <w:vAlign w:val="center"/>
          </w:tcPr>
          <w:p w14:paraId="7E96DF9C" w14:textId="77777777" w:rsidR="00C6376E" w:rsidRPr="0039102C" w:rsidRDefault="00C6376E" w:rsidP="00C6376E">
            <w:pPr>
              <w:pStyle w:val="CMR-tables"/>
              <w:keepNext/>
              <w:ind w:left="113" w:right="113"/>
              <w:jc w:val="center"/>
              <w:rPr>
                <w:rFonts w:cs="Times New Roman"/>
                <w:b/>
                <w:noProof/>
                <w:szCs w:val="20"/>
              </w:rPr>
            </w:pPr>
          </w:p>
        </w:tc>
        <w:tc>
          <w:tcPr>
            <w:tcW w:w="941" w:type="pct"/>
            <w:shd w:val="clear" w:color="auto" w:fill="D9E2F3" w:themeFill="accent1" w:themeFillTint="33"/>
            <w:vAlign w:val="center"/>
          </w:tcPr>
          <w:p w14:paraId="7D0D5BA1" w14:textId="3A0A4BF4" w:rsidR="00C6376E" w:rsidRPr="0039102C" w:rsidRDefault="009C3DE6" w:rsidP="001F1040">
            <w:pPr>
              <w:pStyle w:val="CMR-tables"/>
              <w:keepNext/>
              <w:jc w:val="right"/>
              <w:rPr>
                <w:rFonts w:cs="Times New Roman"/>
                <w:noProof/>
                <w:szCs w:val="20"/>
              </w:rPr>
            </w:pPr>
            <w:r w:rsidRPr="0039102C">
              <w:rPr>
                <w:noProof/>
                <w:color w:val="000000"/>
              </w:rPr>
              <w:t>3 891 680</w:t>
            </w:r>
          </w:p>
        </w:tc>
        <w:tc>
          <w:tcPr>
            <w:tcW w:w="902" w:type="pct"/>
            <w:shd w:val="clear" w:color="auto" w:fill="D9E2F3" w:themeFill="accent1" w:themeFillTint="33"/>
            <w:vAlign w:val="center"/>
          </w:tcPr>
          <w:p w14:paraId="0481285A" w14:textId="73FD5BDB" w:rsidR="00C6376E" w:rsidRPr="0039102C" w:rsidRDefault="0019774B" w:rsidP="001F1040">
            <w:pPr>
              <w:pStyle w:val="CMR-tables"/>
              <w:keepNext/>
              <w:jc w:val="right"/>
              <w:rPr>
                <w:rFonts w:cs="Times New Roman"/>
                <w:noProof/>
                <w:szCs w:val="20"/>
              </w:rPr>
            </w:pPr>
            <w:r w:rsidRPr="0039102C">
              <w:rPr>
                <w:noProof/>
                <w:color w:val="000000"/>
              </w:rPr>
              <w:t>3 694 355</w:t>
            </w:r>
          </w:p>
        </w:tc>
        <w:tc>
          <w:tcPr>
            <w:tcW w:w="775" w:type="pct"/>
            <w:shd w:val="clear" w:color="auto" w:fill="D9E2F3" w:themeFill="accent1" w:themeFillTint="33"/>
            <w:vAlign w:val="center"/>
          </w:tcPr>
          <w:p w14:paraId="69F5B7B8" w14:textId="7FD4FD99" w:rsidR="00C6376E" w:rsidRPr="0039102C" w:rsidRDefault="00482D14" w:rsidP="001F1040">
            <w:pPr>
              <w:pStyle w:val="CMR-tables"/>
              <w:keepNext/>
              <w:jc w:val="right"/>
              <w:rPr>
                <w:rFonts w:cs="Times New Roman"/>
                <w:noProof/>
                <w:szCs w:val="20"/>
              </w:rPr>
            </w:pPr>
            <w:r w:rsidRPr="0039102C">
              <w:rPr>
                <w:noProof/>
                <w:color w:val="000000"/>
              </w:rPr>
              <w:t>3 677 899</w:t>
            </w:r>
          </w:p>
        </w:tc>
        <w:tc>
          <w:tcPr>
            <w:tcW w:w="477" w:type="pct"/>
            <w:shd w:val="clear" w:color="auto" w:fill="D9E2F3" w:themeFill="accent1" w:themeFillTint="33"/>
            <w:vAlign w:val="center"/>
          </w:tcPr>
          <w:p w14:paraId="1296026F" w14:textId="0EB08381" w:rsidR="00C6376E" w:rsidRPr="0039102C" w:rsidRDefault="006B05D8" w:rsidP="001F1040">
            <w:pPr>
              <w:pStyle w:val="CMR-tables"/>
              <w:keepNext/>
              <w:jc w:val="right"/>
              <w:rPr>
                <w:rFonts w:cs="Times New Roman"/>
                <w:noProof/>
                <w:szCs w:val="20"/>
              </w:rPr>
            </w:pPr>
            <w:r w:rsidRPr="0039102C">
              <w:rPr>
                <w:noProof/>
                <w:color w:val="000000"/>
              </w:rPr>
              <w:t>191 006</w:t>
            </w:r>
          </w:p>
        </w:tc>
        <w:tc>
          <w:tcPr>
            <w:tcW w:w="539" w:type="pct"/>
            <w:shd w:val="clear" w:color="auto" w:fill="D9E2F3" w:themeFill="accent1" w:themeFillTint="33"/>
            <w:vAlign w:val="center"/>
          </w:tcPr>
          <w:p w14:paraId="1FE82814" w14:textId="5182CCE9" w:rsidR="00C6376E" w:rsidRPr="0039102C" w:rsidRDefault="00C6376E" w:rsidP="001F1040">
            <w:pPr>
              <w:pStyle w:val="CMR-tables"/>
              <w:keepNext/>
              <w:jc w:val="right"/>
              <w:rPr>
                <w:rFonts w:cs="Times New Roman"/>
                <w:noProof/>
                <w:szCs w:val="20"/>
              </w:rPr>
            </w:pPr>
            <w:r w:rsidRPr="0039102C">
              <w:rPr>
                <w:noProof/>
                <w:color w:val="000000"/>
              </w:rPr>
              <w:t>0</w:t>
            </w:r>
          </w:p>
        </w:tc>
        <w:tc>
          <w:tcPr>
            <w:tcW w:w="502" w:type="pct"/>
            <w:shd w:val="clear" w:color="auto" w:fill="D9E2F3" w:themeFill="accent1" w:themeFillTint="33"/>
            <w:vAlign w:val="center"/>
          </w:tcPr>
          <w:p w14:paraId="2856533F" w14:textId="43E5B7F9" w:rsidR="00C6376E" w:rsidRPr="0039102C" w:rsidRDefault="003A5EB9" w:rsidP="001F1040">
            <w:pPr>
              <w:pStyle w:val="CMR-tables"/>
              <w:keepNext/>
              <w:jc w:val="right"/>
              <w:rPr>
                <w:rFonts w:cs="Times New Roman"/>
                <w:noProof/>
                <w:szCs w:val="20"/>
              </w:rPr>
            </w:pPr>
            <w:r w:rsidRPr="0039102C">
              <w:rPr>
                <w:noProof/>
                <w:color w:val="000000"/>
              </w:rPr>
              <w:t>3 433 205</w:t>
            </w:r>
          </w:p>
        </w:tc>
        <w:tc>
          <w:tcPr>
            <w:tcW w:w="485" w:type="pct"/>
            <w:shd w:val="clear" w:color="auto" w:fill="D9E2F3" w:themeFill="accent1" w:themeFillTint="33"/>
            <w:vAlign w:val="center"/>
          </w:tcPr>
          <w:p w14:paraId="12C45269" w14:textId="02C36137" w:rsidR="00C6376E" w:rsidRPr="0039102C" w:rsidRDefault="00C83EC4" w:rsidP="001F1040">
            <w:pPr>
              <w:pStyle w:val="CMR-tables"/>
              <w:keepNext/>
              <w:jc w:val="right"/>
              <w:rPr>
                <w:rFonts w:cs="Times New Roman"/>
                <w:noProof/>
                <w:szCs w:val="20"/>
              </w:rPr>
            </w:pPr>
            <w:r w:rsidRPr="0039102C">
              <w:rPr>
                <w:noProof/>
                <w:color w:val="000000"/>
              </w:rPr>
              <w:t>53 688</w:t>
            </w:r>
          </w:p>
        </w:tc>
      </w:tr>
      <w:tr w:rsidR="00B42513" w:rsidRPr="0039102C" w14:paraId="4386030F" w14:textId="77777777" w:rsidTr="00382783">
        <w:trPr>
          <w:cantSplit/>
          <w:trHeight w:val="454"/>
        </w:trPr>
        <w:tc>
          <w:tcPr>
            <w:tcW w:w="379" w:type="pct"/>
            <w:vMerge/>
            <w:textDirection w:val="btLr"/>
            <w:vAlign w:val="center"/>
          </w:tcPr>
          <w:p w14:paraId="06D5439F" w14:textId="77777777" w:rsidR="00B42513" w:rsidRPr="0039102C" w:rsidRDefault="00B42513" w:rsidP="00B42513">
            <w:pPr>
              <w:pStyle w:val="CMR-tables"/>
              <w:keepNext/>
              <w:ind w:left="113" w:right="113"/>
              <w:jc w:val="center"/>
              <w:rPr>
                <w:rFonts w:cs="Times New Roman"/>
                <w:b/>
                <w:noProof/>
                <w:szCs w:val="20"/>
              </w:rPr>
            </w:pPr>
          </w:p>
        </w:tc>
        <w:tc>
          <w:tcPr>
            <w:tcW w:w="2618" w:type="pct"/>
            <w:gridSpan w:val="3"/>
            <w:vAlign w:val="center"/>
          </w:tcPr>
          <w:p w14:paraId="3E8FCF7A" w14:textId="77777777" w:rsidR="00B42513" w:rsidRPr="0039102C" w:rsidRDefault="00B42513" w:rsidP="00B42513">
            <w:pPr>
              <w:pStyle w:val="CMR-tables"/>
              <w:keepNext/>
              <w:jc w:val="center"/>
              <w:rPr>
                <w:rFonts w:cs="Times New Roman"/>
                <w:i/>
                <w:noProof/>
                <w:szCs w:val="20"/>
              </w:rPr>
            </w:pPr>
            <w:r w:rsidRPr="0039102C">
              <w:rPr>
                <w:i/>
                <w:noProof/>
              </w:rPr>
              <w:t>% do total</w:t>
            </w:r>
          </w:p>
        </w:tc>
        <w:tc>
          <w:tcPr>
            <w:tcW w:w="477" w:type="pct"/>
            <w:vAlign w:val="center"/>
          </w:tcPr>
          <w:p w14:paraId="2E175550" w14:textId="1C751BCD" w:rsidR="00B42513" w:rsidRPr="0039102C" w:rsidRDefault="005E06C6" w:rsidP="001F1040">
            <w:pPr>
              <w:pStyle w:val="CMR-tables"/>
              <w:keepNext/>
              <w:jc w:val="right"/>
              <w:rPr>
                <w:rFonts w:cs="Times New Roman"/>
                <w:noProof/>
                <w:szCs w:val="20"/>
              </w:rPr>
            </w:pPr>
            <w:r w:rsidRPr="0039102C">
              <w:rPr>
                <w:noProof/>
                <w:color w:val="000000"/>
              </w:rPr>
              <w:t>5,19</w:t>
            </w:r>
          </w:p>
        </w:tc>
        <w:tc>
          <w:tcPr>
            <w:tcW w:w="539" w:type="pct"/>
            <w:vAlign w:val="center"/>
          </w:tcPr>
          <w:p w14:paraId="5030974F" w14:textId="319AE1FD" w:rsidR="00B42513" w:rsidRPr="0039102C" w:rsidRDefault="00B42513" w:rsidP="001F1040">
            <w:pPr>
              <w:pStyle w:val="CMR-tables"/>
              <w:keepNext/>
              <w:jc w:val="right"/>
              <w:rPr>
                <w:rFonts w:cs="Times New Roman"/>
                <w:noProof/>
                <w:szCs w:val="20"/>
              </w:rPr>
            </w:pPr>
            <w:r w:rsidRPr="0039102C">
              <w:rPr>
                <w:noProof/>
              </w:rPr>
              <w:t>-</w:t>
            </w:r>
          </w:p>
        </w:tc>
        <w:tc>
          <w:tcPr>
            <w:tcW w:w="502" w:type="pct"/>
            <w:vAlign w:val="center"/>
          </w:tcPr>
          <w:p w14:paraId="732982D8" w14:textId="53B85061" w:rsidR="00B42513" w:rsidRPr="0039102C" w:rsidRDefault="00B82763" w:rsidP="001F1040">
            <w:pPr>
              <w:pStyle w:val="CMR-tables"/>
              <w:keepNext/>
              <w:jc w:val="right"/>
              <w:rPr>
                <w:rFonts w:cs="Times New Roman"/>
                <w:noProof/>
                <w:szCs w:val="20"/>
              </w:rPr>
            </w:pPr>
            <w:r w:rsidRPr="0039102C">
              <w:rPr>
                <w:noProof/>
              </w:rPr>
              <w:t>93,35</w:t>
            </w:r>
          </w:p>
        </w:tc>
        <w:tc>
          <w:tcPr>
            <w:tcW w:w="485" w:type="pct"/>
            <w:vAlign w:val="center"/>
          </w:tcPr>
          <w:p w14:paraId="1A8D8DCF" w14:textId="60F07FF7" w:rsidR="00B42513" w:rsidRPr="0039102C" w:rsidRDefault="00A8231D" w:rsidP="001F1040">
            <w:pPr>
              <w:pStyle w:val="CMR-tables"/>
              <w:keepNext/>
              <w:jc w:val="right"/>
              <w:rPr>
                <w:rFonts w:cs="Times New Roman"/>
                <w:noProof/>
                <w:szCs w:val="20"/>
              </w:rPr>
            </w:pPr>
            <w:r w:rsidRPr="0039102C">
              <w:rPr>
                <w:noProof/>
              </w:rPr>
              <w:t>1,46</w:t>
            </w:r>
          </w:p>
        </w:tc>
      </w:tr>
      <w:tr w:rsidR="002B72B3" w:rsidRPr="0039102C" w14:paraId="5213CF1A" w14:textId="77777777" w:rsidTr="00382783">
        <w:trPr>
          <w:cantSplit/>
          <w:trHeight w:val="454"/>
        </w:trPr>
        <w:tc>
          <w:tcPr>
            <w:tcW w:w="379" w:type="pct"/>
            <w:vMerge w:val="restart"/>
            <w:textDirection w:val="btLr"/>
            <w:vAlign w:val="center"/>
          </w:tcPr>
          <w:p w14:paraId="5E4EFD57" w14:textId="670CAC72" w:rsidR="0095203A" w:rsidRPr="0039102C" w:rsidRDefault="0095203A" w:rsidP="007818FB">
            <w:pPr>
              <w:pStyle w:val="CMR-tables"/>
              <w:keepNext/>
              <w:ind w:left="113" w:right="113"/>
              <w:jc w:val="center"/>
              <w:rPr>
                <w:rFonts w:cs="Times New Roman"/>
                <w:b/>
                <w:noProof/>
                <w:szCs w:val="20"/>
              </w:rPr>
            </w:pPr>
            <w:r w:rsidRPr="0039102C">
              <w:rPr>
                <w:b/>
                <w:noProof/>
              </w:rPr>
              <w:t>Operadores de aeronaves</w:t>
            </w:r>
          </w:p>
        </w:tc>
        <w:tc>
          <w:tcPr>
            <w:tcW w:w="941" w:type="pct"/>
            <w:vMerge w:val="restart"/>
            <w:vAlign w:val="center"/>
          </w:tcPr>
          <w:p w14:paraId="1759CB06" w14:textId="77777777" w:rsidR="0095203A" w:rsidRPr="0039102C" w:rsidRDefault="0095203A" w:rsidP="001F1040">
            <w:pPr>
              <w:pStyle w:val="CMR-tables"/>
              <w:keepNext/>
              <w:jc w:val="center"/>
              <w:rPr>
                <w:rFonts w:cs="Times New Roman"/>
                <w:b/>
                <w:noProof/>
                <w:szCs w:val="20"/>
              </w:rPr>
            </w:pPr>
            <w:bookmarkStart w:id="105" w:name="_Ref115774290"/>
            <w:r w:rsidRPr="0039102C">
              <w:rPr>
                <w:b/>
                <w:noProof/>
              </w:rPr>
              <w:t>Atribuição a título gratuito (incluindo o CELE) e venda em leilão</w:t>
            </w:r>
          </w:p>
        </w:tc>
        <w:tc>
          <w:tcPr>
            <w:tcW w:w="902" w:type="pct"/>
            <w:vMerge w:val="restart"/>
            <w:vAlign w:val="center"/>
          </w:tcPr>
          <w:p w14:paraId="6ACE658A" w14:textId="77777777" w:rsidR="0095203A" w:rsidRPr="0039102C" w:rsidRDefault="0095203A" w:rsidP="001F1040">
            <w:pPr>
              <w:pStyle w:val="CMR-tables"/>
              <w:keepNext/>
              <w:jc w:val="center"/>
              <w:rPr>
                <w:rFonts w:cs="Times New Roman"/>
                <w:b/>
                <w:noProof/>
                <w:szCs w:val="20"/>
              </w:rPr>
            </w:pPr>
            <w:r w:rsidRPr="0039102C">
              <w:rPr>
                <w:b/>
                <w:noProof/>
              </w:rPr>
              <w:t>Emissões verificadas (incluindo no âmbito do CELE)</w:t>
            </w:r>
          </w:p>
        </w:tc>
        <w:tc>
          <w:tcPr>
            <w:tcW w:w="775" w:type="pct"/>
            <w:vMerge w:val="restart"/>
            <w:vAlign w:val="center"/>
          </w:tcPr>
          <w:p w14:paraId="0B1A6076" w14:textId="77777777" w:rsidR="0095203A" w:rsidRPr="0039102C" w:rsidRDefault="0095203A" w:rsidP="001F1040">
            <w:pPr>
              <w:pStyle w:val="CMR-tables"/>
              <w:keepNext/>
              <w:jc w:val="center"/>
              <w:rPr>
                <w:rFonts w:cs="Times New Roman"/>
                <w:b/>
                <w:noProof/>
                <w:szCs w:val="20"/>
              </w:rPr>
            </w:pPr>
            <w:r w:rsidRPr="0039102C">
              <w:rPr>
                <w:b/>
                <w:noProof/>
              </w:rPr>
              <w:t>Unidades devolvidas</w:t>
            </w:r>
          </w:p>
        </w:tc>
        <w:tc>
          <w:tcPr>
            <w:tcW w:w="1016" w:type="pct"/>
            <w:gridSpan w:val="2"/>
            <w:vAlign w:val="center"/>
          </w:tcPr>
          <w:p w14:paraId="0DF35621" w14:textId="77777777" w:rsidR="0095203A" w:rsidRPr="0039102C" w:rsidRDefault="0095203A" w:rsidP="001F1040">
            <w:pPr>
              <w:pStyle w:val="CMR-tables"/>
              <w:keepNext/>
              <w:jc w:val="center"/>
              <w:rPr>
                <w:rFonts w:cs="Times New Roman"/>
                <w:b/>
                <w:noProof/>
                <w:szCs w:val="20"/>
              </w:rPr>
            </w:pPr>
            <w:r w:rsidRPr="0039102C">
              <w:rPr>
                <w:b/>
                <w:noProof/>
              </w:rPr>
              <w:t>Licenças de emissão do CELE</w:t>
            </w:r>
          </w:p>
        </w:tc>
        <w:tc>
          <w:tcPr>
            <w:tcW w:w="987" w:type="pct"/>
            <w:gridSpan w:val="2"/>
            <w:vAlign w:val="center"/>
          </w:tcPr>
          <w:p w14:paraId="4B3BD980" w14:textId="77777777" w:rsidR="0095203A" w:rsidRPr="0039102C" w:rsidRDefault="0095203A" w:rsidP="001F1040">
            <w:pPr>
              <w:pStyle w:val="CMR-tables"/>
              <w:keepNext/>
              <w:jc w:val="center"/>
              <w:rPr>
                <w:rFonts w:cs="Times New Roman"/>
                <w:b/>
                <w:noProof/>
                <w:szCs w:val="20"/>
              </w:rPr>
            </w:pPr>
            <w:r w:rsidRPr="0039102C">
              <w:rPr>
                <w:b/>
                <w:noProof/>
              </w:rPr>
              <w:t>Licenças de emissão do sistema de comércio de licenças de emissão da Suíça</w:t>
            </w:r>
          </w:p>
        </w:tc>
      </w:tr>
      <w:tr w:rsidR="006036F8" w:rsidRPr="0039102C" w14:paraId="1CA67337" w14:textId="77777777" w:rsidTr="00382783">
        <w:trPr>
          <w:trHeight w:val="454"/>
        </w:trPr>
        <w:tc>
          <w:tcPr>
            <w:tcW w:w="379" w:type="pct"/>
            <w:vMerge/>
          </w:tcPr>
          <w:p w14:paraId="5CFCFCD9" w14:textId="77777777" w:rsidR="0095203A" w:rsidRPr="0039102C" w:rsidRDefault="0095203A" w:rsidP="00F03925">
            <w:pPr>
              <w:pStyle w:val="CMR-tables"/>
              <w:keepNext/>
              <w:rPr>
                <w:rFonts w:cs="Times New Roman"/>
                <w:noProof/>
                <w:szCs w:val="20"/>
              </w:rPr>
            </w:pPr>
          </w:p>
        </w:tc>
        <w:tc>
          <w:tcPr>
            <w:tcW w:w="941" w:type="pct"/>
            <w:vMerge/>
            <w:vAlign w:val="center"/>
          </w:tcPr>
          <w:p w14:paraId="707CF9F4" w14:textId="77777777" w:rsidR="0095203A" w:rsidRPr="0039102C" w:rsidRDefault="0095203A" w:rsidP="00F03925">
            <w:pPr>
              <w:pStyle w:val="CMR-tables"/>
              <w:keepNext/>
              <w:rPr>
                <w:rFonts w:cs="Times New Roman"/>
                <w:noProof/>
                <w:szCs w:val="20"/>
              </w:rPr>
            </w:pPr>
          </w:p>
        </w:tc>
        <w:tc>
          <w:tcPr>
            <w:tcW w:w="902" w:type="pct"/>
            <w:vMerge/>
            <w:vAlign w:val="center"/>
          </w:tcPr>
          <w:p w14:paraId="058DFFC7" w14:textId="77777777" w:rsidR="0095203A" w:rsidRPr="0039102C" w:rsidRDefault="0095203A" w:rsidP="00F03925">
            <w:pPr>
              <w:pStyle w:val="CMR-tables"/>
              <w:keepNext/>
              <w:rPr>
                <w:rFonts w:cs="Times New Roman"/>
                <w:noProof/>
                <w:szCs w:val="20"/>
              </w:rPr>
            </w:pPr>
          </w:p>
        </w:tc>
        <w:tc>
          <w:tcPr>
            <w:tcW w:w="775" w:type="pct"/>
            <w:vMerge/>
            <w:vAlign w:val="center"/>
          </w:tcPr>
          <w:p w14:paraId="339A2BC4" w14:textId="77777777" w:rsidR="0095203A" w:rsidRPr="0039102C" w:rsidRDefault="0095203A" w:rsidP="00F03925">
            <w:pPr>
              <w:pStyle w:val="CMR-tables"/>
              <w:keepNext/>
              <w:rPr>
                <w:rFonts w:cs="Times New Roman"/>
                <w:noProof/>
                <w:szCs w:val="20"/>
              </w:rPr>
            </w:pPr>
          </w:p>
        </w:tc>
        <w:tc>
          <w:tcPr>
            <w:tcW w:w="477" w:type="pct"/>
            <w:vAlign w:val="center"/>
          </w:tcPr>
          <w:p w14:paraId="3C8DDA11" w14:textId="77777777" w:rsidR="0095203A" w:rsidRPr="0039102C" w:rsidRDefault="0095203A" w:rsidP="001F1040">
            <w:pPr>
              <w:pStyle w:val="CMR-tables"/>
              <w:keepNext/>
              <w:jc w:val="center"/>
              <w:rPr>
                <w:rFonts w:cs="Times New Roman"/>
                <w:i/>
                <w:noProof/>
                <w:szCs w:val="20"/>
              </w:rPr>
            </w:pPr>
            <w:r w:rsidRPr="0039102C">
              <w:rPr>
                <w:i/>
                <w:noProof/>
              </w:rPr>
              <w:t>Gerais</w:t>
            </w:r>
          </w:p>
        </w:tc>
        <w:tc>
          <w:tcPr>
            <w:tcW w:w="539" w:type="pct"/>
            <w:vAlign w:val="center"/>
          </w:tcPr>
          <w:p w14:paraId="28F38C2E" w14:textId="77777777" w:rsidR="0095203A" w:rsidRPr="0039102C" w:rsidRDefault="0095203A" w:rsidP="001F1040">
            <w:pPr>
              <w:pStyle w:val="CMR-tables"/>
              <w:keepNext/>
              <w:jc w:val="center"/>
              <w:rPr>
                <w:rFonts w:cs="Times New Roman"/>
                <w:i/>
                <w:noProof/>
                <w:szCs w:val="20"/>
              </w:rPr>
            </w:pPr>
            <w:r w:rsidRPr="0039102C">
              <w:rPr>
                <w:i/>
                <w:noProof/>
              </w:rPr>
              <w:t>Aviação</w:t>
            </w:r>
          </w:p>
        </w:tc>
        <w:tc>
          <w:tcPr>
            <w:tcW w:w="502" w:type="pct"/>
            <w:vAlign w:val="center"/>
          </w:tcPr>
          <w:p w14:paraId="22557790" w14:textId="77777777" w:rsidR="0095203A" w:rsidRPr="0039102C" w:rsidRDefault="0095203A" w:rsidP="001F1040">
            <w:pPr>
              <w:pStyle w:val="CMR-tables"/>
              <w:keepNext/>
              <w:jc w:val="center"/>
              <w:rPr>
                <w:rFonts w:cs="Times New Roman"/>
                <w:i/>
                <w:noProof/>
                <w:szCs w:val="20"/>
              </w:rPr>
            </w:pPr>
            <w:r w:rsidRPr="0039102C">
              <w:rPr>
                <w:i/>
                <w:noProof/>
              </w:rPr>
              <w:t>Gerais</w:t>
            </w:r>
          </w:p>
        </w:tc>
        <w:tc>
          <w:tcPr>
            <w:tcW w:w="485" w:type="pct"/>
            <w:vAlign w:val="center"/>
          </w:tcPr>
          <w:p w14:paraId="43D8814A" w14:textId="77777777" w:rsidR="0095203A" w:rsidRPr="0039102C" w:rsidRDefault="0095203A" w:rsidP="001F1040">
            <w:pPr>
              <w:pStyle w:val="CMR-tables"/>
              <w:keepNext/>
              <w:jc w:val="center"/>
              <w:rPr>
                <w:rFonts w:cs="Times New Roman"/>
                <w:i/>
                <w:noProof/>
                <w:szCs w:val="20"/>
              </w:rPr>
            </w:pPr>
            <w:r w:rsidRPr="0039102C">
              <w:rPr>
                <w:i/>
                <w:noProof/>
              </w:rPr>
              <w:t>Aviação</w:t>
            </w:r>
          </w:p>
        </w:tc>
      </w:tr>
      <w:tr w:rsidR="006036F8" w:rsidRPr="0039102C" w14:paraId="601A0D0F" w14:textId="77777777" w:rsidTr="00382783">
        <w:trPr>
          <w:trHeight w:val="454"/>
        </w:trPr>
        <w:tc>
          <w:tcPr>
            <w:tcW w:w="379" w:type="pct"/>
            <w:vMerge/>
          </w:tcPr>
          <w:p w14:paraId="5C9819A9" w14:textId="77777777" w:rsidR="000B4852" w:rsidRPr="0039102C" w:rsidRDefault="000B4852" w:rsidP="000B4852">
            <w:pPr>
              <w:pStyle w:val="CMR-tables"/>
              <w:keepNext/>
              <w:rPr>
                <w:rFonts w:cs="Times New Roman"/>
                <w:noProof/>
                <w:szCs w:val="20"/>
              </w:rPr>
            </w:pPr>
          </w:p>
        </w:tc>
        <w:tc>
          <w:tcPr>
            <w:tcW w:w="941" w:type="pct"/>
            <w:shd w:val="clear" w:color="auto" w:fill="D9E2F3" w:themeFill="accent1" w:themeFillTint="33"/>
            <w:vAlign w:val="center"/>
          </w:tcPr>
          <w:p w14:paraId="521D557D" w14:textId="20C6226E" w:rsidR="000B4852" w:rsidRPr="0039102C" w:rsidRDefault="37614C91" w:rsidP="001F1040">
            <w:pPr>
              <w:pStyle w:val="CMR-tables"/>
              <w:keepNext/>
              <w:jc w:val="right"/>
              <w:rPr>
                <w:rFonts w:cs="Times New Roman"/>
                <w:noProof/>
                <w:szCs w:val="20"/>
              </w:rPr>
            </w:pPr>
            <w:r w:rsidRPr="0039102C">
              <w:rPr>
                <w:noProof/>
                <w:color w:val="000000" w:themeColor="text1"/>
              </w:rPr>
              <w:t>1 118 087</w:t>
            </w:r>
          </w:p>
        </w:tc>
        <w:tc>
          <w:tcPr>
            <w:tcW w:w="902" w:type="pct"/>
            <w:shd w:val="clear" w:color="auto" w:fill="D9E2F3" w:themeFill="accent1" w:themeFillTint="33"/>
            <w:vAlign w:val="center"/>
          </w:tcPr>
          <w:p w14:paraId="4A65883B" w14:textId="52DE4718" w:rsidR="000B4852" w:rsidRPr="0039102C" w:rsidRDefault="599B81EC" w:rsidP="0A98DA47">
            <w:pPr>
              <w:pStyle w:val="CMR-tables"/>
              <w:keepNext/>
              <w:jc w:val="right"/>
              <w:rPr>
                <w:rFonts w:eastAsia="Times New Roman" w:cs="Times New Roman"/>
                <w:noProof/>
                <w:szCs w:val="20"/>
              </w:rPr>
            </w:pPr>
            <w:r w:rsidRPr="0039102C">
              <w:rPr>
                <w:noProof/>
                <w:color w:val="000000" w:themeColor="text1"/>
              </w:rPr>
              <w:t>1 990 349</w:t>
            </w:r>
          </w:p>
        </w:tc>
        <w:tc>
          <w:tcPr>
            <w:tcW w:w="775" w:type="pct"/>
            <w:shd w:val="clear" w:color="auto" w:fill="D9E2F3" w:themeFill="accent1" w:themeFillTint="33"/>
            <w:vAlign w:val="center"/>
          </w:tcPr>
          <w:p w14:paraId="342827E2" w14:textId="3EF1959B" w:rsidR="000B4852" w:rsidRPr="0039102C" w:rsidRDefault="1B964664" w:rsidP="001F1040">
            <w:pPr>
              <w:pStyle w:val="CMR-tables"/>
              <w:keepNext/>
              <w:jc w:val="right"/>
              <w:rPr>
                <w:rFonts w:cs="Times New Roman"/>
                <w:noProof/>
                <w:szCs w:val="20"/>
              </w:rPr>
            </w:pPr>
            <w:r w:rsidRPr="0039102C">
              <w:rPr>
                <w:noProof/>
                <w:color w:val="000000" w:themeColor="text1"/>
              </w:rPr>
              <w:t>1 990 349</w:t>
            </w:r>
          </w:p>
        </w:tc>
        <w:tc>
          <w:tcPr>
            <w:tcW w:w="477" w:type="pct"/>
            <w:shd w:val="clear" w:color="auto" w:fill="D9E2F3" w:themeFill="accent1" w:themeFillTint="33"/>
            <w:vAlign w:val="center"/>
          </w:tcPr>
          <w:p w14:paraId="038EEAE3" w14:textId="142084B3" w:rsidR="000B4852" w:rsidRPr="0039102C" w:rsidRDefault="5CD5FC3E" w:rsidP="001F1040">
            <w:pPr>
              <w:pStyle w:val="CMR-tables"/>
              <w:keepNext/>
              <w:jc w:val="right"/>
              <w:rPr>
                <w:rFonts w:cs="Times New Roman"/>
                <w:noProof/>
                <w:szCs w:val="20"/>
              </w:rPr>
            </w:pPr>
            <w:r w:rsidRPr="0039102C">
              <w:rPr>
                <w:noProof/>
                <w:color w:val="000000" w:themeColor="text1"/>
              </w:rPr>
              <w:t>1 301 096</w:t>
            </w:r>
          </w:p>
        </w:tc>
        <w:tc>
          <w:tcPr>
            <w:tcW w:w="539" w:type="pct"/>
            <w:shd w:val="clear" w:color="auto" w:fill="D9E2F3" w:themeFill="accent1" w:themeFillTint="33"/>
            <w:vAlign w:val="center"/>
          </w:tcPr>
          <w:p w14:paraId="1CD5BB84" w14:textId="1F7BA9FB" w:rsidR="000B4852" w:rsidRPr="0039102C" w:rsidRDefault="236A9EF5" w:rsidP="001F1040">
            <w:pPr>
              <w:pStyle w:val="CMR-tables"/>
              <w:keepNext/>
              <w:jc w:val="right"/>
              <w:rPr>
                <w:rFonts w:cs="Times New Roman"/>
                <w:noProof/>
                <w:szCs w:val="20"/>
              </w:rPr>
            </w:pPr>
            <w:r w:rsidRPr="0039102C">
              <w:rPr>
                <w:noProof/>
                <w:color w:val="000000" w:themeColor="text1"/>
              </w:rPr>
              <w:t>283 515</w:t>
            </w:r>
          </w:p>
        </w:tc>
        <w:tc>
          <w:tcPr>
            <w:tcW w:w="502" w:type="pct"/>
            <w:shd w:val="clear" w:color="auto" w:fill="D9E2F3" w:themeFill="accent1" w:themeFillTint="33"/>
            <w:vAlign w:val="center"/>
          </w:tcPr>
          <w:p w14:paraId="4E878182" w14:textId="1F848299" w:rsidR="000B4852" w:rsidRPr="0039102C" w:rsidRDefault="18E751FF" w:rsidP="001F1040">
            <w:pPr>
              <w:pStyle w:val="CMR-tables"/>
              <w:keepNext/>
              <w:jc w:val="right"/>
              <w:rPr>
                <w:rFonts w:cs="Times New Roman"/>
                <w:noProof/>
                <w:szCs w:val="20"/>
              </w:rPr>
            </w:pPr>
            <w:r w:rsidRPr="0039102C">
              <w:rPr>
                <w:noProof/>
                <w:color w:val="000000" w:themeColor="text1"/>
              </w:rPr>
              <w:t>3 372</w:t>
            </w:r>
          </w:p>
        </w:tc>
        <w:tc>
          <w:tcPr>
            <w:tcW w:w="485" w:type="pct"/>
            <w:shd w:val="clear" w:color="auto" w:fill="D9E2F3" w:themeFill="accent1" w:themeFillTint="33"/>
            <w:vAlign w:val="center"/>
          </w:tcPr>
          <w:p w14:paraId="3F8027CD" w14:textId="386AF4B2" w:rsidR="000B4852" w:rsidRPr="0039102C" w:rsidRDefault="493CFEAE" w:rsidP="001F1040">
            <w:pPr>
              <w:pStyle w:val="CMR-tables"/>
              <w:keepNext/>
              <w:jc w:val="right"/>
              <w:rPr>
                <w:rFonts w:cs="Times New Roman"/>
                <w:noProof/>
                <w:szCs w:val="20"/>
              </w:rPr>
            </w:pPr>
            <w:r w:rsidRPr="0039102C">
              <w:rPr>
                <w:noProof/>
                <w:color w:val="000000" w:themeColor="text1"/>
              </w:rPr>
              <w:t>402 366</w:t>
            </w:r>
          </w:p>
        </w:tc>
      </w:tr>
      <w:tr w:rsidR="00B72CCE" w:rsidRPr="0039102C" w14:paraId="6FDADB53" w14:textId="77777777" w:rsidTr="00382783">
        <w:trPr>
          <w:trHeight w:val="454"/>
        </w:trPr>
        <w:tc>
          <w:tcPr>
            <w:tcW w:w="379" w:type="pct"/>
            <w:vMerge/>
          </w:tcPr>
          <w:p w14:paraId="0272BE34" w14:textId="77777777" w:rsidR="00B72CCE" w:rsidRPr="0039102C" w:rsidRDefault="00B72CCE" w:rsidP="00B72CCE">
            <w:pPr>
              <w:pStyle w:val="CMR-tables"/>
              <w:keepNext/>
              <w:rPr>
                <w:rFonts w:cs="Times New Roman"/>
                <w:noProof/>
                <w:szCs w:val="20"/>
              </w:rPr>
            </w:pPr>
          </w:p>
        </w:tc>
        <w:tc>
          <w:tcPr>
            <w:tcW w:w="2618" w:type="pct"/>
            <w:gridSpan w:val="3"/>
            <w:vAlign w:val="center"/>
          </w:tcPr>
          <w:p w14:paraId="06F79228" w14:textId="77777777" w:rsidR="00B72CCE" w:rsidRPr="0039102C" w:rsidRDefault="00B72CCE" w:rsidP="00B72CCE">
            <w:pPr>
              <w:pStyle w:val="CMR-tables"/>
              <w:keepNext/>
              <w:jc w:val="center"/>
              <w:rPr>
                <w:rFonts w:cs="Times New Roman"/>
                <w:b/>
                <w:i/>
                <w:noProof/>
                <w:szCs w:val="20"/>
              </w:rPr>
            </w:pPr>
            <w:r w:rsidRPr="0039102C">
              <w:rPr>
                <w:b/>
                <w:i/>
                <w:noProof/>
              </w:rPr>
              <w:t>% do total</w:t>
            </w:r>
          </w:p>
        </w:tc>
        <w:tc>
          <w:tcPr>
            <w:tcW w:w="477" w:type="pct"/>
            <w:vAlign w:val="center"/>
          </w:tcPr>
          <w:p w14:paraId="62AEC406" w14:textId="20E2B20D" w:rsidR="00B72CCE" w:rsidRPr="0039102C" w:rsidRDefault="4518C0D4" w:rsidP="001F1040">
            <w:pPr>
              <w:pStyle w:val="CMR-tables"/>
              <w:keepNext/>
              <w:jc w:val="right"/>
              <w:rPr>
                <w:rFonts w:cs="Times New Roman"/>
                <w:noProof/>
                <w:szCs w:val="20"/>
              </w:rPr>
            </w:pPr>
            <w:r w:rsidRPr="0039102C">
              <w:rPr>
                <w:noProof/>
                <w:color w:val="000000" w:themeColor="text1"/>
              </w:rPr>
              <w:t>65,3</w:t>
            </w:r>
          </w:p>
        </w:tc>
        <w:tc>
          <w:tcPr>
            <w:tcW w:w="539" w:type="pct"/>
            <w:vAlign w:val="center"/>
          </w:tcPr>
          <w:p w14:paraId="65A3138D" w14:textId="690C6785" w:rsidR="00B72CCE" w:rsidRPr="0039102C" w:rsidRDefault="18CE3E28" w:rsidP="001F1040">
            <w:pPr>
              <w:pStyle w:val="CMR-tables"/>
              <w:keepNext/>
              <w:jc w:val="right"/>
              <w:rPr>
                <w:rFonts w:cs="Times New Roman"/>
                <w:noProof/>
                <w:szCs w:val="20"/>
              </w:rPr>
            </w:pPr>
            <w:r w:rsidRPr="0039102C">
              <w:rPr>
                <w:noProof/>
                <w:color w:val="000000" w:themeColor="text1"/>
              </w:rPr>
              <w:t>14,24</w:t>
            </w:r>
          </w:p>
        </w:tc>
        <w:tc>
          <w:tcPr>
            <w:tcW w:w="502" w:type="pct"/>
            <w:vAlign w:val="center"/>
          </w:tcPr>
          <w:p w14:paraId="3C320308" w14:textId="1C5D73A4" w:rsidR="00B72CCE" w:rsidRPr="0039102C" w:rsidRDefault="2689B561" w:rsidP="001F1040">
            <w:pPr>
              <w:pStyle w:val="CMR-tables"/>
              <w:keepNext/>
              <w:jc w:val="right"/>
              <w:rPr>
                <w:rFonts w:cs="Times New Roman"/>
                <w:noProof/>
                <w:szCs w:val="20"/>
              </w:rPr>
            </w:pPr>
            <w:r w:rsidRPr="0039102C">
              <w:rPr>
                <w:noProof/>
                <w:color w:val="000000" w:themeColor="text1"/>
              </w:rPr>
              <w:t>0,17</w:t>
            </w:r>
          </w:p>
        </w:tc>
        <w:tc>
          <w:tcPr>
            <w:tcW w:w="485" w:type="pct"/>
            <w:vAlign w:val="center"/>
          </w:tcPr>
          <w:p w14:paraId="65AB1894" w14:textId="12278CB7" w:rsidR="00B72CCE" w:rsidRPr="0039102C" w:rsidRDefault="228C4266" w:rsidP="001F1040">
            <w:pPr>
              <w:pStyle w:val="CMR-tables"/>
              <w:keepNext/>
              <w:jc w:val="right"/>
              <w:rPr>
                <w:rFonts w:cs="Times New Roman"/>
                <w:noProof/>
                <w:szCs w:val="20"/>
              </w:rPr>
            </w:pPr>
            <w:r w:rsidRPr="0039102C">
              <w:rPr>
                <w:noProof/>
                <w:color w:val="000000" w:themeColor="text1"/>
              </w:rPr>
              <w:t>20,22</w:t>
            </w:r>
          </w:p>
        </w:tc>
      </w:tr>
      <w:bookmarkEnd w:id="105"/>
    </w:tbl>
    <w:p w14:paraId="30EB7862" w14:textId="77777777" w:rsidR="00EB3A56" w:rsidRPr="0039102C" w:rsidRDefault="00EB3A56" w:rsidP="00A63877">
      <w:pPr>
        <w:pStyle w:val="CMR-text"/>
        <w:rPr>
          <w:rFonts w:cs="Times New Roman"/>
          <w:noProof/>
          <w:highlight w:val="yellow"/>
        </w:rPr>
        <w:sectPr w:rsidR="00EB3A56" w:rsidRPr="0039102C" w:rsidSect="00B2767E">
          <w:headerReference w:type="even" r:id="rId45"/>
          <w:headerReference w:type="default" r:id="rId46"/>
          <w:footerReference w:type="even" r:id="rId47"/>
          <w:footerReference w:type="default" r:id="rId48"/>
          <w:headerReference w:type="first" r:id="rId49"/>
          <w:footerReference w:type="first" r:id="rId50"/>
          <w:pgSz w:w="16838" w:h="11906" w:orient="landscape"/>
          <w:pgMar w:top="1440" w:right="1440" w:bottom="1440" w:left="1440" w:header="709" w:footer="709" w:gutter="0"/>
          <w:cols w:space="708"/>
          <w:docGrid w:linePitch="360"/>
        </w:sectPr>
      </w:pPr>
    </w:p>
    <w:p w14:paraId="76CECA03" w14:textId="53F95AA3" w:rsidR="001B6B22" w:rsidRPr="0039102C" w:rsidRDefault="001B6B22" w:rsidP="00BB63DC">
      <w:pPr>
        <w:pStyle w:val="Caption"/>
        <w:keepNext/>
        <w:rPr>
          <w:noProof/>
          <w:sz w:val="20"/>
        </w:rPr>
      </w:pPr>
      <w:bookmarkStart w:id="106" w:name="_Ref176770365"/>
      <w:bookmarkStart w:id="107" w:name="_Ref176770359"/>
      <w:r w:rsidRPr="0039102C">
        <w:rPr>
          <w:noProof/>
          <w:sz w:val="20"/>
        </w:rPr>
        <w:t xml:space="preserve">Quadro </w:t>
      </w:r>
      <w:bookmarkEnd w:id="106"/>
      <w:r w:rsidRPr="0039102C">
        <w:rPr>
          <w:noProof/>
          <w:sz w:val="20"/>
        </w:rPr>
        <w:t>10. Transferências de licenças de emissão entre o CELE e o sistema de comércio de licenças de emissão da Suíça (2020-2023).</w:t>
      </w:r>
      <w:bookmarkEnd w:id="107"/>
    </w:p>
    <w:tbl>
      <w:tblPr>
        <w:tblStyle w:val="TableGridLight"/>
        <w:tblW w:w="5000" w:type="pct"/>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2226"/>
        <w:gridCol w:w="1131"/>
        <w:gridCol w:w="1132"/>
        <w:gridCol w:w="1132"/>
        <w:gridCol w:w="1132"/>
        <w:gridCol w:w="1131"/>
        <w:gridCol w:w="1132"/>
      </w:tblGrid>
      <w:tr w:rsidR="00181A1C" w:rsidRPr="0039102C" w14:paraId="7F42DEAF" w14:textId="77777777" w:rsidTr="00382783">
        <w:trPr>
          <w:cantSplit/>
          <w:trHeight w:val="720"/>
        </w:trPr>
        <w:tc>
          <w:tcPr>
            <w:tcW w:w="1234" w:type="pct"/>
            <w:vAlign w:val="center"/>
          </w:tcPr>
          <w:p w14:paraId="71018D53" w14:textId="47484442" w:rsidR="00181A1C" w:rsidRPr="0039102C" w:rsidRDefault="00181A1C" w:rsidP="00353D57">
            <w:pPr>
              <w:pStyle w:val="CMR-tables"/>
              <w:tabs>
                <w:tab w:val="left" w:pos="2455"/>
              </w:tabs>
              <w:jc w:val="center"/>
              <w:rPr>
                <w:rFonts w:cs="Times New Roman"/>
                <w:noProof/>
                <w:szCs w:val="20"/>
              </w:rPr>
            </w:pPr>
            <w:r w:rsidRPr="0039102C">
              <w:rPr>
                <w:b/>
                <w:noProof/>
              </w:rPr>
              <w:t>Ano</w:t>
            </w:r>
          </w:p>
        </w:tc>
        <w:tc>
          <w:tcPr>
            <w:tcW w:w="627" w:type="pct"/>
            <w:vAlign w:val="center"/>
          </w:tcPr>
          <w:p w14:paraId="6397957F" w14:textId="77777777" w:rsidR="00181A1C" w:rsidRPr="0039102C" w:rsidRDefault="00181A1C" w:rsidP="00353D57">
            <w:pPr>
              <w:pStyle w:val="CMR-tables"/>
              <w:jc w:val="center"/>
              <w:rPr>
                <w:rFonts w:cs="Times New Roman"/>
                <w:noProof/>
                <w:szCs w:val="20"/>
              </w:rPr>
            </w:pPr>
            <w:r w:rsidRPr="0039102C">
              <w:rPr>
                <w:noProof/>
              </w:rPr>
              <w:t>2020</w:t>
            </w:r>
          </w:p>
        </w:tc>
        <w:tc>
          <w:tcPr>
            <w:tcW w:w="628" w:type="pct"/>
            <w:vAlign w:val="center"/>
          </w:tcPr>
          <w:p w14:paraId="494F1C27" w14:textId="77777777" w:rsidR="00181A1C" w:rsidRPr="0039102C" w:rsidRDefault="00181A1C" w:rsidP="00353D57">
            <w:pPr>
              <w:pStyle w:val="CMR-tables"/>
              <w:jc w:val="center"/>
              <w:rPr>
                <w:rFonts w:cs="Times New Roman"/>
                <w:noProof/>
                <w:szCs w:val="20"/>
              </w:rPr>
            </w:pPr>
            <w:r w:rsidRPr="0039102C">
              <w:rPr>
                <w:noProof/>
              </w:rPr>
              <w:t>2021</w:t>
            </w:r>
          </w:p>
        </w:tc>
        <w:tc>
          <w:tcPr>
            <w:tcW w:w="628" w:type="pct"/>
            <w:vAlign w:val="center"/>
          </w:tcPr>
          <w:p w14:paraId="7AF7D709" w14:textId="77777777" w:rsidR="00181A1C" w:rsidRPr="0039102C" w:rsidRDefault="00181A1C" w:rsidP="00353D57">
            <w:pPr>
              <w:pStyle w:val="CMR-tables"/>
              <w:jc w:val="center"/>
              <w:rPr>
                <w:rFonts w:cs="Times New Roman"/>
                <w:noProof/>
                <w:szCs w:val="20"/>
              </w:rPr>
            </w:pPr>
            <w:r w:rsidRPr="0039102C">
              <w:rPr>
                <w:noProof/>
              </w:rPr>
              <w:t>2022</w:t>
            </w:r>
          </w:p>
        </w:tc>
        <w:tc>
          <w:tcPr>
            <w:tcW w:w="628" w:type="pct"/>
            <w:vAlign w:val="center"/>
          </w:tcPr>
          <w:p w14:paraId="0B0FE6C5" w14:textId="42869404" w:rsidR="00181A1C" w:rsidRPr="0039102C" w:rsidRDefault="00181A1C" w:rsidP="00353D57">
            <w:pPr>
              <w:pStyle w:val="CMR-tables"/>
              <w:jc w:val="center"/>
              <w:rPr>
                <w:rFonts w:cs="Times New Roman"/>
                <w:noProof/>
                <w:szCs w:val="20"/>
              </w:rPr>
            </w:pPr>
            <w:r w:rsidRPr="0039102C">
              <w:rPr>
                <w:noProof/>
              </w:rPr>
              <w:t>2023</w:t>
            </w:r>
          </w:p>
        </w:tc>
        <w:tc>
          <w:tcPr>
            <w:tcW w:w="627" w:type="pct"/>
            <w:vAlign w:val="center"/>
          </w:tcPr>
          <w:p w14:paraId="56C6D9C9" w14:textId="257C9615" w:rsidR="00181A1C" w:rsidRPr="0039102C" w:rsidRDefault="00181A1C" w:rsidP="00181A1C">
            <w:pPr>
              <w:pStyle w:val="CMR-tables"/>
              <w:jc w:val="center"/>
              <w:rPr>
                <w:rFonts w:cs="Times New Roman"/>
                <w:noProof/>
                <w:szCs w:val="20"/>
              </w:rPr>
            </w:pPr>
            <w:r w:rsidRPr="0039102C">
              <w:rPr>
                <w:noProof/>
              </w:rPr>
              <w:t>2024</w:t>
            </w:r>
          </w:p>
        </w:tc>
        <w:tc>
          <w:tcPr>
            <w:tcW w:w="628" w:type="pct"/>
            <w:vAlign w:val="center"/>
          </w:tcPr>
          <w:p w14:paraId="1101706E" w14:textId="6379E804" w:rsidR="00181A1C" w:rsidRPr="0039102C" w:rsidRDefault="00181A1C" w:rsidP="00353D57">
            <w:pPr>
              <w:pStyle w:val="CMR-tables"/>
              <w:jc w:val="center"/>
              <w:rPr>
                <w:rFonts w:cs="Times New Roman"/>
                <w:b/>
                <w:noProof/>
                <w:szCs w:val="20"/>
              </w:rPr>
            </w:pPr>
            <w:r w:rsidRPr="0039102C">
              <w:rPr>
                <w:b/>
                <w:noProof/>
              </w:rPr>
              <w:t>Total</w:t>
            </w:r>
          </w:p>
        </w:tc>
      </w:tr>
      <w:tr w:rsidR="00181A1C" w:rsidRPr="0039102C" w14:paraId="26C3505D" w14:textId="77777777" w:rsidTr="00382783">
        <w:trPr>
          <w:cantSplit/>
          <w:trHeight w:val="925"/>
        </w:trPr>
        <w:tc>
          <w:tcPr>
            <w:tcW w:w="1234" w:type="pct"/>
            <w:shd w:val="clear" w:color="auto" w:fill="D9E2F3" w:themeFill="accent1" w:themeFillTint="33"/>
            <w:vAlign w:val="center"/>
          </w:tcPr>
          <w:p w14:paraId="361B88E8" w14:textId="03AC8415" w:rsidR="00181A1C" w:rsidRPr="0039102C" w:rsidRDefault="00181A1C" w:rsidP="00BB63DC">
            <w:pPr>
              <w:pStyle w:val="CMR-tables"/>
              <w:rPr>
                <w:rFonts w:cs="Times New Roman"/>
                <w:b/>
                <w:i/>
                <w:noProof/>
                <w:szCs w:val="20"/>
              </w:rPr>
            </w:pPr>
            <w:r w:rsidRPr="0039102C">
              <w:rPr>
                <w:b/>
                <w:i/>
                <w:noProof/>
              </w:rPr>
              <w:t>Transferência do CELE para o sistema de comércio de licenças de emissão da Suíça</w:t>
            </w:r>
          </w:p>
        </w:tc>
        <w:tc>
          <w:tcPr>
            <w:tcW w:w="627" w:type="pct"/>
            <w:shd w:val="clear" w:color="auto" w:fill="D9E2F3" w:themeFill="accent1" w:themeFillTint="33"/>
            <w:vAlign w:val="center"/>
          </w:tcPr>
          <w:p w14:paraId="595FF6C2" w14:textId="0C53D99F" w:rsidR="00181A1C" w:rsidRPr="0039102C" w:rsidRDefault="00181A1C" w:rsidP="00353D57">
            <w:pPr>
              <w:pStyle w:val="CMR-tables"/>
              <w:jc w:val="right"/>
              <w:rPr>
                <w:rFonts w:cs="Times New Roman"/>
                <w:noProof/>
                <w:szCs w:val="20"/>
              </w:rPr>
            </w:pPr>
            <w:r w:rsidRPr="0039102C">
              <w:rPr>
                <w:noProof/>
              </w:rPr>
              <w:t>475 679</w:t>
            </w:r>
          </w:p>
        </w:tc>
        <w:tc>
          <w:tcPr>
            <w:tcW w:w="628" w:type="pct"/>
            <w:shd w:val="clear" w:color="auto" w:fill="D9E2F3" w:themeFill="accent1" w:themeFillTint="33"/>
            <w:vAlign w:val="center"/>
          </w:tcPr>
          <w:p w14:paraId="518A5F72" w14:textId="602199D0" w:rsidR="00181A1C" w:rsidRPr="0039102C" w:rsidRDefault="00181A1C" w:rsidP="00353D57">
            <w:pPr>
              <w:pStyle w:val="CMR-tables"/>
              <w:jc w:val="right"/>
              <w:rPr>
                <w:rFonts w:cs="Times New Roman"/>
                <w:noProof/>
                <w:szCs w:val="20"/>
              </w:rPr>
            </w:pPr>
            <w:r w:rsidRPr="0039102C">
              <w:rPr>
                <w:noProof/>
              </w:rPr>
              <w:t>1 051 360</w:t>
            </w:r>
          </w:p>
        </w:tc>
        <w:tc>
          <w:tcPr>
            <w:tcW w:w="628" w:type="pct"/>
            <w:shd w:val="clear" w:color="auto" w:fill="D9E2F3" w:themeFill="accent1" w:themeFillTint="33"/>
            <w:vAlign w:val="center"/>
          </w:tcPr>
          <w:p w14:paraId="447C72A1" w14:textId="74111D5C" w:rsidR="00181A1C" w:rsidRPr="0039102C" w:rsidRDefault="00181A1C" w:rsidP="00353D57">
            <w:pPr>
              <w:pStyle w:val="CMR-tables"/>
              <w:jc w:val="right"/>
              <w:rPr>
                <w:rFonts w:cs="Times New Roman"/>
                <w:noProof/>
                <w:szCs w:val="20"/>
              </w:rPr>
            </w:pPr>
            <w:r w:rsidRPr="0039102C">
              <w:rPr>
                <w:noProof/>
              </w:rPr>
              <w:t>1 714 499</w:t>
            </w:r>
          </w:p>
        </w:tc>
        <w:tc>
          <w:tcPr>
            <w:tcW w:w="628" w:type="pct"/>
            <w:shd w:val="clear" w:color="auto" w:fill="D9E2F3" w:themeFill="accent1" w:themeFillTint="33"/>
            <w:vAlign w:val="center"/>
          </w:tcPr>
          <w:p w14:paraId="134AAE3A" w14:textId="543859C0" w:rsidR="00181A1C" w:rsidRPr="0039102C" w:rsidRDefault="00181A1C" w:rsidP="00353D57">
            <w:pPr>
              <w:pStyle w:val="CMR-tables"/>
              <w:jc w:val="right"/>
              <w:rPr>
                <w:rFonts w:cs="Times New Roman"/>
                <w:noProof/>
                <w:szCs w:val="20"/>
              </w:rPr>
            </w:pPr>
            <w:r w:rsidRPr="0039102C">
              <w:rPr>
                <w:noProof/>
              </w:rPr>
              <w:t>2 603 612</w:t>
            </w:r>
          </w:p>
        </w:tc>
        <w:tc>
          <w:tcPr>
            <w:tcW w:w="627" w:type="pct"/>
            <w:shd w:val="clear" w:color="auto" w:fill="D9E2F3" w:themeFill="accent1" w:themeFillTint="33"/>
            <w:vAlign w:val="center"/>
          </w:tcPr>
          <w:p w14:paraId="0E84CB1D" w14:textId="75473045" w:rsidR="00181A1C" w:rsidRPr="0039102C" w:rsidRDefault="00475DBD" w:rsidP="00181A1C">
            <w:pPr>
              <w:pStyle w:val="CMR-tables"/>
              <w:jc w:val="center"/>
              <w:rPr>
                <w:rFonts w:cs="Times New Roman"/>
                <w:noProof/>
                <w:szCs w:val="20"/>
              </w:rPr>
            </w:pPr>
            <w:r w:rsidRPr="0039102C">
              <w:rPr>
                <w:noProof/>
              </w:rPr>
              <w:t>1 591 527</w:t>
            </w:r>
          </w:p>
        </w:tc>
        <w:tc>
          <w:tcPr>
            <w:tcW w:w="628" w:type="pct"/>
            <w:shd w:val="clear" w:color="auto" w:fill="D9E2F3" w:themeFill="accent1" w:themeFillTint="33"/>
            <w:vAlign w:val="center"/>
          </w:tcPr>
          <w:p w14:paraId="754658A3" w14:textId="4713CB51" w:rsidR="00181A1C" w:rsidRPr="0039102C" w:rsidRDefault="000E608E" w:rsidP="00353D57">
            <w:pPr>
              <w:pStyle w:val="CMR-tables"/>
              <w:jc w:val="right"/>
              <w:rPr>
                <w:rFonts w:cs="Times New Roman"/>
                <w:b/>
                <w:noProof/>
                <w:szCs w:val="20"/>
              </w:rPr>
            </w:pPr>
            <w:r w:rsidRPr="0039102C">
              <w:rPr>
                <w:b/>
                <w:noProof/>
              </w:rPr>
              <w:t>7 436 677</w:t>
            </w:r>
          </w:p>
        </w:tc>
      </w:tr>
      <w:tr w:rsidR="00181A1C" w:rsidRPr="0039102C" w14:paraId="3EB83540" w14:textId="77777777" w:rsidTr="00382783">
        <w:trPr>
          <w:cantSplit/>
          <w:trHeight w:val="925"/>
        </w:trPr>
        <w:tc>
          <w:tcPr>
            <w:tcW w:w="1234" w:type="pct"/>
            <w:vAlign w:val="center"/>
          </w:tcPr>
          <w:p w14:paraId="3DAFB15A" w14:textId="03E93676" w:rsidR="00181A1C" w:rsidRPr="0039102C" w:rsidRDefault="00181A1C" w:rsidP="00E56EDC">
            <w:pPr>
              <w:pStyle w:val="CMR-tables"/>
              <w:rPr>
                <w:rFonts w:cs="Times New Roman"/>
                <w:b/>
                <w:i/>
                <w:noProof/>
                <w:szCs w:val="20"/>
              </w:rPr>
            </w:pPr>
            <w:r w:rsidRPr="0039102C">
              <w:rPr>
                <w:b/>
                <w:i/>
                <w:noProof/>
              </w:rPr>
              <w:t>Transferência do sistema de comércio de licenças de emissão da Suíça para o CELE</w:t>
            </w:r>
          </w:p>
        </w:tc>
        <w:tc>
          <w:tcPr>
            <w:tcW w:w="627" w:type="pct"/>
            <w:vAlign w:val="center"/>
          </w:tcPr>
          <w:p w14:paraId="1833997F" w14:textId="77777777" w:rsidR="00181A1C" w:rsidRPr="0039102C" w:rsidRDefault="00181A1C" w:rsidP="00353D57">
            <w:pPr>
              <w:pStyle w:val="CMR-tables"/>
              <w:jc w:val="right"/>
              <w:rPr>
                <w:rFonts w:cs="Times New Roman"/>
                <w:noProof/>
                <w:szCs w:val="20"/>
              </w:rPr>
            </w:pPr>
            <w:r w:rsidRPr="0039102C">
              <w:rPr>
                <w:noProof/>
              </w:rPr>
              <w:t>0</w:t>
            </w:r>
          </w:p>
        </w:tc>
        <w:tc>
          <w:tcPr>
            <w:tcW w:w="628" w:type="pct"/>
            <w:vAlign w:val="center"/>
          </w:tcPr>
          <w:p w14:paraId="0E9461C6" w14:textId="7EB4D824" w:rsidR="00181A1C" w:rsidRPr="0039102C" w:rsidRDefault="00181A1C" w:rsidP="00353D57">
            <w:pPr>
              <w:pStyle w:val="CMR-tables"/>
              <w:jc w:val="right"/>
              <w:rPr>
                <w:rFonts w:cs="Times New Roman"/>
                <w:noProof/>
                <w:szCs w:val="20"/>
              </w:rPr>
            </w:pPr>
            <w:r w:rsidRPr="0039102C">
              <w:rPr>
                <w:noProof/>
              </w:rPr>
              <w:t>1 523 770</w:t>
            </w:r>
          </w:p>
        </w:tc>
        <w:tc>
          <w:tcPr>
            <w:tcW w:w="628" w:type="pct"/>
            <w:vAlign w:val="center"/>
          </w:tcPr>
          <w:p w14:paraId="6D77AB17" w14:textId="7AD4D0FD" w:rsidR="00181A1C" w:rsidRPr="0039102C" w:rsidRDefault="00181A1C" w:rsidP="00353D57">
            <w:pPr>
              <w:pStyle w:val="CMR-tables"/>
              <w:jc w:val="right"/>
              <w:rPr>
                <w:rFonts w:cs="Times New Roman"/>
                <w:noProof/>
                <w:szCs w:val="20"/>
              </w:rPr>
            </w:pPr>
            <w:r w:rsidRPr="0039102C">
              <w:rPr>
                <w:noProof/>
              </w:rPr>
              <w:t>1 215 662</w:t>
            </w:r>
          </w:p>
        </w:tc>
        <w:tc>
          <w:tcPr>
            <w:tcW w:w="628" w:type="pct"/>
            <w:vAlign w:val="center"/>
          </w:tcPr>
          <w:p w14:paraId="2EE7E139" w14:textId="49F37C48" w:rsidR="00181A1C" w:rsidRPr="0039102C" w:rsidRDefault="00181A1C" w:rsidP="00353D57">
            <w:pPr>
              <w:pStyle w:val="CMR-tables"/>
              <w:jc w:val="right"/>
              <w:rPr>
                <w:rFonts w:cs="Times New Roman"/>
                <w:noProof/>
                <w:szCs w:val="20"/>
              </w:rPr>
            </w:pPr>
            <w:r w:rsidRPr="0039102C">
              <w:rPr>
                <w:noProof/>
              </w:rPr>
              <w:t>1 837 292</w:t>
            </w:r>
          </w:p>
        </w:tc>
        <w:tc>
          <w:tcPr>
            <w:tcW w:w="627" w:type="pct"/>
            <w:vAlign w:val="center"/>
          </w:tcPr>
          <w:p w14:paraId="236ACEB7" w14:textId="5D6BACD4" w:rsidR="00181A1C" w:rsidRPr="0039102C" w:rsidRDefault="00F0793A" w:rsidP="00181A1C">
            <w:pPr>
              <w:pStyle w:val="CMR-tables"/>
              <w:jc w:val="center"/>
              <w:rPr>
                <w:rFonts w:cs="Times New Roman"/>
                <w:noProof/>
                <w:szCs w:val="20"/>
              </w:rPr>
            </w:pPr>
            <w:r w:rsidRPr="0039102C">
              <w:rPr>
                <w:noProof/>
              </w:rPr>
              <w:t>1 575 296</w:t>
            </w:r>
          </w:p>
        </w:tc>
        <w:tc>
          <w:tcPr>
            <w:tcW w:w="628" w:type="pct"/>
            <w:vAlign w:val="center"/>
          </w:tcPr>
          <w:p w14:paraId="22EB7A1B" w14:textId="06D22905" w:rsidR="00181A1C" w:rsidRPr="0039102C" w:rsidRDefault="00DB6699" w:rsidP="00353D57">
            <w:pPr>
              <w:pStyle w:val="CMR-tables"/>
              <w:jc w:val="right"/>
              <w:rPr>
                <w:rFonts w:cs="Times New Roman"/>
                <w:b/>
                <w:noProof/>
                <w:szCs w:val="20"/>
              </w:rPr>
            </w:pPr>
            <w:r w:rsidRPr="0039102C">
              <w:rPr>
                <w:b/>
                <w:noProof/>
              </w:rPr>
              <w:t>6 152 020</w:t>
            </w:r>
          </w:p>
        </w:tc>
      </w:tr>
      <w:tr w:rsidR="008F3BB4" w:rsidRPr="0039102C" w14:paraId="3787FB5B" w14:textId="77777777" w:rsidTr="008F3BB4">
        <w:trPr>
          <w:cantSplit/>
          <w:trHeight w:val="720"/>
        </w:trPr>
        <w:tc>
          <w:tcPr>
            <w:tcW w:w="1234" w:type="pct"/>
            <w:shd w:val="clear" w:color="auto" w:fill="D9E2F3" w:themeFill="accent1" w:themeFillTint="33"/>
            <w:vAlign w:val="center"/>
          </w:tcPr>
          <w:p w14:paraId="5518365B" w14:textId="5EE81CC3" w:rsidR="008F3BB4" w:rsidRPr="0039102C" w:rsidRDefault="008F3BB4" w:rsidP="001B6B22">
            <w:pPr>
              <w:pStyle w:val="CMR-tables"/>
              <w:jc w:val="center"/>
              <w:rPr>
                <w:rFonts w:cs="Times New Roman"/>
                <w:noProof/>
                <w:szCs w:val="20"/>
              </w:rPr>
            </w:pPr>
            <w:r w:rsidRPr="0039102C">
              <w:rPr>
                <w:b/>
                <w:noProof/>
              </w:rPr>
              <w:t>Saldo</w:t>
            </w:r>
          </w:p>
        </w:tc>
        <w:tc>
          <w:tcPr>
            <w:tcW w:w="3766" w:type="pct"/>
            <w:gridSpan w:val="6"/>
            <w:shd w:val="clear" w:color="auto" w:fill="D9E2F3" w:themeFill="accent1" w:themeFillTint="33"/>
            <w:vAlign w:val="center"/>
          </w:tcPr>
          <w:p w14:paraId="0F9A8FB6" w14:textId="477C5CCA" w:rsidR="008F3BB4" w:rsidRPr="0039102C" w:rsidRDefault="008F3BB4" w:rsidP="008F3BB4">
            <w:pPr>
              <w:pStyle w:val="CMR-tables"/>
              <w:jc w:val="center"/>
              <w:rPr>
                <w:rFonts w:cs="Times New Roman"/>
                <w:b/>
                <w:noProof/>
                <w:szCs w:val="20"/>
              </w:rPr>
            </w:pPr>
            <w:r w:rsidRPr="0039102C">
              <w:rPr>
                <w:b/>
                <w:noProof/>
              </w:rPr>
              <w:t>1 284 657</w:t>
            </w:r>
          </w:p>
        </w:tc>
      </w:tr>
    </w:tbl>
    <w:p w14:paraId="6CC4EA26" w14:textId="16A010A6" w:rsidR="009538E7" w:rsidRPr="0039102C" w:rsidRDefault="002B069D" w:rsidP="00EC4FC3">
      <w:pPr>
        <w:pStyle w:val="CMR-Heading"/>
        <w:rPr>
          <w:noProof/>
        </w:rPr>
      </w:pPr>
      <w:r w:rsidRPr="0039102C">
        <w:rPr>
          <w:noProof/>
        </w:rPr>
        <w:t xml:space="preserve"> </w:t>
      </w:r>
      <w:bookmarkStart w:id="108" w:name="_Toc218529314"/>
      <w:r w:rsidRPr="0039102C">
        <w:rPr>
          <w:noProof/>
        </w:rPr>
        <w:t>Resumo</w:t>
      </w:r>
      <w:bookmarkEnd w:id="108"/>
    </w:p>
    <w:p w14:paraId="6316762A" w14:textId="23716889" w:rsidR="006464FB" w:rsidRPr="0039102C" w:rsidRDefault="008F58AB" w:rsidP="00DB0E27">
      <w:pPr>
        <w:pStyle w:val="CMR-text"/>
        <w:rPr>
          <w:rStyle w:val="CMR-textChar"/>
          <w:rFonts w:cs="Times New Roman"/>
          <w:noProof/>
        </w:rPr>
      </w:pPr>
      <w:r w:rsidRPr="0039102C">
        <w:rPr>
          <w:rStyle w:val="CMR-textChar"/>
          <w:noProof/>
        </w:rPr>
        <w:t>O relatório apresenta um resumo exaustivo do funcionamento do CELE em 2024 e no primeiro semestre de 2025. Demonstra que o sistema continuou a funcionar bem, com base num quadro abrangente e aplicado de forma eficaz. Explica igualmente quaisquer alterações deste quadro que tenham entrado ou que entrarão brevemente em vigor, em especial o ajustamento do limite máximo para 2026.</w:t>
      </w:r>
    </w:p>
    <w:p w14:paraId="5B009E32" w14:textId="6EEB3C04" w:rsidR="004E379B" w:rsidRPr="0039102C" w:rsidRDefault="006464FB" w:rsidP="00DB0E27">
      <w:pPr>
        <w:pStyle w:val="CMR-text"/>
        <w:rPr>
          <w:rStyle w:val="CMR-textChar"/>
          <w:rFonts w:cs="Times New Roman"/>
          <w:noProof/>
        </w:rPr>
      </w:pPr>
      <w:r w:rsidRPr="0039102C">
        <w:rPr>
          <w:rStyle w:val="CMR-textChar"/>
          <w:noProof/>
        </w:rPr>
        <w:t>As emissões das instalações continuaram a diminuir, impulsionadas por</w:t>
      </w:r>
      <w:r w:rsidRPr="0039102C">
        <w:rPr>
          <w:noProof/>
        </w:rPr>
        <w:t xml:space="preserve"> um aumento da quota das energias renováveis e da energia nuclear na matriz elétrica e por uma menor dependência dos combustíveis fósseis. Graças a </w:t>
      </w:r>
      <w:r w:rsidRPr="0039102C">
        <w:rPr>
          <w:rStyle w:val="CMR-textChar"/>
          <w:noProof/>
        </w:rPr>
        <w:t>esta evolução, as emissões abrangidas pelo CELE provenientes de instalações passaram a ser cerca de 50 % inferiores aos níveis de 2005 e estão no bom caminho para alcançar a meta do CELE para 2030.</w:t>
      </w:r>
    </w:p>
    <w:p w14:paraId="2B65041F" w14:textId="6E55DC57" w:rsidR="008C7AC7" w:rsidRPr="0039102C" w:rsidRDefault="004D6FF7" w:rsidP="008C7AC7">
      <w:pPr>
        <w:pStyle w:val="CMR-text"/>
        <w:rPr>
          <w:rFonts w:cs="Times New Roman"/>
          <w:noProof/>
        </w:rPr>
      </w:pPr>
      <w:r w:rsidRPr="0039102C">
        <w:rPr>
          <w:noProof/>
        </w:rPr>
        <w:t>Um sinal sustentado e sólido do preço do carbono permitiu alcançar mais reduções das emissões no âmbito do CELE em 2024. Segundo a avaliação da ESMA, o mercado do carbono da UE manteve-se estável em 2024 e continuou a funcionar em consonância com os princípios fundamentais do mercado.</w:t>
      </w:r>
    </w:p>
    <w:p w14:paraId="20D920C2" w14:textId="6EF2D9A2" w:rsidR="00610483" w:rsidRPr="0039102C" w:rsidRDefault="00610483" w:rsidP="007B1057">
      <w:pPr>
        <w:pStyle w:val="CMR-text"/>
        <w:rPr>
          <w:rFonts w:cs="Times New Roman"/>
          <w:noProof/>
        </w:rPr>
      </w:pPr>
      <w:r w:rsidRPr="0039102C">
        <w:rPr>
          <w:rStyle w:val="CMR-textChar"/>
          <w:noProof/>
        </w:rPr>
        <w:t xml:space="preserve">As receitas do CELE também permaneceram uma importante fonte de financiamento da ação climática e da transformação energética, com </w:t>
      </w:r>
      <w:r w:rsidRPr="0039102C">
        <w:rPr>
          <w:noProof/>
        </w:rPr>
        <w:t>38,8 mil milhões de EUR gerados em 2024 e distribuídos principalmente pelos orçamentos nacionais, paralelamente ao Fundo de Inovação e ao Fundo de Modernização do CELE, bem como ao MRR para o plano REPowerEU. Até à data, o CELE gerou receitas totais superiores a 230 mil milhões de EUR.</w:t>
      </w:r>
    </w:p>
    <w:p w14:paraId="762DCCFC" w14:textId="75940892" w:rsidR="00AE0A4E" w:rsidRDefault="00FB0147" w:rsidP="007B1057">
      <w:pPr>
        <w:pStyle w:val="CMR-text"/>
        <w:rPr>
          <w:rStyle w:val="CMR-textChar"/>
          <w:noProof/>
        </w:rPr>
      </w:pPr>
      <w:r w:rsidRPr="0039102C">
        <w:rPr>
          <w:rStyle w:val="CMR-textChar"/>
          <w:noProof/>
        </w:rPr>
        <w:t>No seu conjunto, o relatório documenta o funcionamento do CELE como um dos principais incentivos políticos ao investimento na transição para uma indústria limpa, na inovação e na modernização.</w:t>
      </w:r>
    </w:p>
    <w:sectPr w:rsidR="00AE0A4E" w:rsidSect="00653662">
      <w:headerReference w:type="even" r:id="rId51"/>
      <w:headerReference w:type="default" r:id="rId52"/>
      <w:footerReference w:type="even" r:id="rId53"/>
      <w:footerReference w:type="default" r:id="rId54"/>
      <w:headerReference w:type="first" r:id="rId55"/>
      <w:footerReference w:type="first" r:id="rId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DA8A4" w14:textId="77777777" w:rsidR="003375A5" w:rsidRDefault="003375A5" w:rsidP="00187D4D">
      <w:pPr>
        <w:spacing w:after="0" w:line="240" w:lineRule="auto"/>
      </w:pPr>
      <w:r>
        <w:separator/>
      </w:r>
    </w:p>
  </w:endnote>
  <w:endnote w:type="continuationSeparator" w:id="0">
    <w:p w14:paraId="5C59017E" w14:textId="77777777" w:rsidR="003375A5" w:rsidRDefault="003375A5" w:rsidP="00187D4D">
      <w:pPr>
        <w:spacing w:after="0" w:line="240" w:lineRule="auto"/>
      </w:pPr>
      <w:r>
        <w:continuationSeparator/>
      </w:r>
    </w:p>
  </w:endnote>
  <w:endnote w:type="continuationNotice" w:id="1">
    <w:p w14:paraId="24C0D18B" w14:textId="77777777" w:rsidR="003375A5" w:rsidRDefault="003375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0A0AC" w14:textId="282B7A16" w:rsidR="00DD22DB" w:rsidRPr="00DD22DB" w:rsidRDefault="00DD22DB" w:rsidP="00DD22DB">
    <w:pPr>
      <w:pStyle w:val="FooterCoverPage"/>
      <w:rPr>
        <w:rFonts w:ascii="Arial" w:hAnsi="Arial" w:cs="Arial"/>
        <w:b/>
        <w:sz w:val="48"/>
      </w:rPr>
    </w:pPr>
    <w:r w:rsidRPr="00DD22DB">
      <w:rPr>
        <w:rFonts w:ascii="Arial" w:hAnsi="Arial" w:cs="Arial"/>
        <w:b/>
        <w:sz w:val="48"/>
      </w:rPr>
      <w:t>PT</w:t>
    </w:r>
    <w:r w:rsidRPr="00DD22DB">
      <w:rPr>
        <w:rFonts w:ascii="Arial" w:hAnsi="Arial" w:cs="Arial"/>
        <w:b/>
        <w:sz w:val="48"/>
      </w:rPr>
      <w:tab/>
    </w:r>
    <w:r w:rsidRPr="00DD22DB">
      <w:rPr>
        <w:rFonts w:ascii="Arial" w:hAnsi="Arial" w:cs="Arial"/>
        <w:b/>
        <w:sz w:val="48"/>
      </w:rPr>
      <w:tab/>
    </w:r>
    <w:r w:rsidRPr="00DD22DB">
      <w:tab/>
    </w:r>
    <w:r w:rsidRPr="00DD22DB">
      <w:rPr>
        <w:rFonts w:ascii="Arial" w:hAnsi="Arial" w:cs="Arial"/>
        <w:b/>
        <w:sz w:val="48"/>
      </w:rPr>
      <w:t>PT</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B73BB" w14:textId="77777777" w:rsidR="00126559" w:rsidRDefault="0012655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343787"/>
      <w:docPartObj>
        <w:docPartGallery w:val="Page Numbers (Bottom of Page)"/>
        <w:docPartUnique/>
      </w:docPartObj>
    </w:sdtPr>
    <w:sdtEndPr>
      <w:rPr>
        <w:noProof/>
      </w:rPr>
    </w:sdtEndPr>
    <w:sdtContent>
      <w:p w14:paraId="7859BE15" w14:textId="02E73164" w:rsidR="00C459FE" w:rsidRDefault="00C459FE" w:rsidP="00917BE8">
        <w:pPr>
          <w:pStyle w:val="CMR-footnote"/>
        </w:pPr>
        <w:r>
          <w:fldChar w:fldCharType="begin"/>
        </w:r>
        <w:r>
          <w:instrText xml:space="preserve"> PAGE   \* MERGEFORMAT </w:instrText>
        </w:r>
        <w:r>
          <w:fldChar w:fldCharType="separate"/>
        </w:r>
        <w:r w:rsidR="005E68EC">
          <w:rPr>
            <w:noProof/>
          </w:rPr>
          <w:t>14</w:t>
        </w:r>
        <w:r>
          <w:fldChar w:fldCharType="end"/>
        </w:r>
      </w:p>
    </w:sdtContent>
  </w:sdt>
  <w:p w14:paraId="25DE1428" w14:textId="77777777" w:rsidR="00C459FE" w:rsidRDefault="00C459F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14CFA" w14:textId="77777777" w:rsidR="00126559" w:rsidRDefault="0012655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59B3D" w14:textId="77777777" w:rsidR="00890E07" w:rsidRDefault="00890E0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1489614"/>
      <w:docPartObj>
        <w:docPartGallery w:val="Page Numbers (Bottom of Page)"/>
        <w:docPartUnique/>
      </w:docPartObj>
    </w:sdtPr>
    <w:sdtEndPr>
      <w:rPr>
        <w:noProof/>
      </w:rPr>
    </w:sdtEndPr>
    <w:sdtContent>
      <w:p w14:paraId="3E947225" w14:textId="77777777" w:rsidR="00C459FE" w:rsidRDefault="00C459FE" w:rsidP="00917BE8">
        <w:pPr>
          <w:pStyle w:val="CMR-footnote"/>
        </w:pPr>
        <w:r>
          <w:fldChar w:fldCharType="begin"/>
        </w:r>
        <w:r>
          <w:instrText xml:space="preserve"> PAGE   \* MERGEFORMAT </w:instrText>
        </w:r>
        <w:r>
          <w:fldChar w:fldCharType="separate"/>
        </w:r>
        <w:r>
          <w:t>2</w:t>
        </w:r>
        <w:r>
          <w:fldChar w:fldCharType="end"/>
        </w:r>
      </w:p>
    </w:sdtContent>
  </w:sdt>
  <w:p w14:paraId="5FEBCD55" w14:textId="77777777" w:rsidR="00C459FE" w:rsidRDefault="00C459FE">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C65BC" w14:textId="77777777" w:rsidR="00890E07" w:rsidRDefault="00890E0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1638D" w14:textId="77777777" w:rsidR="00890E07" w:rsidRDefault="00890E0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6057874"/>
      <w:docPartObj>
        <w:docPartGallery w:val="Page Numbers (Bottom of Page)"/>
        <w:docPartUnique/>
      </w:docPartObj>
    </w:sdtPr>
    <w:sdtEndPr>
      <w:rPr>
        <w:noProof/>
      </w:rPr>
    </w:sdtEndPr>
    <w:sdtContent>
      <w:p w14:paraId="35DD928A" w14:textId="77777777" w:rsidR="00C459FE" w:rsidRDefault="00C459FE" w:rsidP="00917BE8">
        <w:pPr>
          <w:pStyle w:val="CMR-footnote"/>
        </w:pPr>
        <w:r>
          <w:fldChar w:fldCharType="begin"/>
        </w:r>
        <w:r>
          <w:instrText xml:space="preserve"> PAGE   \* MERGEFORMAT </w:instrText>
        </w:r>
        <w:r>
          <w:fldChar w:fldCharType="separate"/>
        </w:r>
        <w:r>
          <w:t>2</w:t>
        </w:r>
        <w:r>
          <w:fldChar w:fldCharType="end"/>
        </w:r>
      </w:p>
    </w:sdtContent>
  </w:sdt>
  <w:p w14:paraId="104B8D8E" w14:textId="77777777" w:rsidR="00C459FE" w:rsidRDefault="00C459FE">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EA0E9" w14:textId="77777777" w:rsidR="00890E07" w:rsidRDefault="00890E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6981F" w14:textId="7BDE29B1" w:rsidR="00DD22DB" w:rsidRPr="00DD22DB" w:rsidRDefault="00DD22DB" w:rsidP="00DD22DB">
    <w:pPr>
      <w:pStyle w:val="FooterCoverPage"/>
      <w:rPr>
        <w:rFonts w:ascii="Arial" w:hAnsi="Arial" w:cs="Arial"/>
        <w:b/>
        <w:sz w:val="48"/>
      </w:rPr>
    </w:pPr>
    <w:r w:rsidRPr="00DD22DB">
      <w:rPr>
        <w:rFonts w:ascii="Arial" w:hAnsi="Arial" w:cs="Arial"/>
        <w:b/>
        <w:sz w:val="48"/>
      </w:rPr>
      <w:t>PT</w:t>
    </w:r>
    <w:r w:rsidRPr="00DD22DB">
      <w:rPr>
        <w:rFonts w:ascii="Arial" w:hAnsi="Arial" w:cs="Arial"/>
        <w:b/>
        <w:sz w:val="48"/>
      </w:rPr>
      <w:tab/>
    </w:r>
    <w:r w:rsidRPr="00DD22DB">
      <w:rPr>
        <w:rFonts w:ascii="Arial" w:hAnsi="Arial" w:cs="Arial"/>
        <w:b/>
        <w:sz w:val="48"/>
      </w:rPr>
      <w:tab/>
    </w:r>
    <w:r w:rsidRPr="00DD22DB">
      <w:tab/>
    </w:r>
    <w:r w:rsidRPr="00DD22DB">
      <w:rPr>
        <w:rFonts w:ascii="Arial" w:hAnsi="Arial" w:cs="Arial"/>
        <w:b/>
        <w:sz w:val="48"/>
      </w:rPr>
      <w:t>PT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AA6D4" w14:textId="77777777" w:rsidR="00DD22DB" w:rsidRPr="00DD22DB" w:rsidRDefault="00DD22DB" w:rsidP="00DD22DB">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E7B99" w14:textId="77777777" w:rsidR="007B07AD" w:rsidRDefault="007B07A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983863"/>
      <w:docPartObj>
        <w:docPartGallery w:val="Page Numbers (Bottom of Page)"/>
        <w:docPartUnique/>
      </w:docPartObj>
    </w:sdtPr>
    <w:sdtEndPr>
      <w:rPr>
        <w:noProof/>
      </w:rPr>
    </w:sdtEndPr>
    <w:sdtContent>
      <w:p w14:paraId="63396212" w14:textId="107236E2" w:rsidR="008E0063" w:rsidRDefault="008E0063" w:rsidP="00917BE8">
        <w:pPr>
          <w:pStyle w:val="CMR-footnote"/>
        </w:pPr>
        <w:r>
          <w:fldChar w:fldCharType="begin"/>
        </w:r>
        <w:r>
          <w:instrText xml:space="preserve"> PAGE   \* MERGEFORMAT </w:instrText>
        </w:r>
        <w:r>
          <w:fldChar w:fldCharType="separate"/>
        </w:r>
        <w:r w:rsidR="00DD22DB">
          <w:rPr>
            <w:noProof/>
          </w:rPr>
          <w:t>1</w:t>
        </w:r>
        <w:r>
          <w:fldChar w:fldCharType="end"/>
        </w:r>
      </w:p>
    </w:sdtContent>
  </w:sdt>
  <w:p w14:paraId="2B742DF3" w14:textId="77777777" w:rsidR="008E0063" w:rsidRDefault="008E006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70DA3" w14:textId="77777777" w:rsidR="002B6CFB" w:rsidRDefault="002B6CF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F18A6" w14:textId="77777777" w:rsidR="00126559" w:rsidRDefault="0012655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0718881"/>
      <w:docPartObj>
        <w:docPartGallery w:val="Page Numbers (Bottom of Page)"/>
        <w:docPartUnique/>
      </w:docPartObj>
    </w:sdtPr>
    <w:sdtEndPr>
      <w:rPr>
        <w:noProof/>
      </w:rPr>
    </w:sdtEndPr>
    <w:sdtContent>
      <w:p w14:paraId="4D8A8553" w14:textId="0D4D7605" w:rsidR="00126559" w:rsidRDefault="00126559" w:rsidP="00917BE8">
        <w:pPr>
          <w:pStyle w:val="CMR-footnote"/>
        </w:pPr>
        <w:r>
          <w:fldChar w:fldCharType="begin"/>
        </w:r>
        <w:r>
          <w:instrText xml:space="preserve"> PAGE   \* MERGEFORMAT </w:instrText>
        </w:r>
        <w:r>
          <w:fldChar w:fldCharType="separate"/>
        </w:r>
        <w:r w:rsidR="005E68EC">
          <w:rPr>
            <w:noProof/>
          </w:rPr>
          <w:t>10</w:t>
        </w:r>
        <w:r>
          <w:fldChar w:fldCharType="end"/>
        </w:r>
      </w:p>
    </w:sdtContent>
  </w:sdt>
  <w:p w14:paraId="56299D3D" w14:textId="77777777" w:rsidR="00126559" w:rsidRDefault="0012655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B4DDB" w14:textId="77777777" w:rsidR="00126559" w:rsidRDefault="001265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E35C1" w14:textId="77777777" w:rsidR="003375A5" w:rsidRDefault="003375A5" w:rsidP="00187D4D">
      <w:pPr>
        <w:spacing w:after="0" w:line="240" w:lineRule="auto"/>
      </w:pPr>
      <w:r>
        <w:separator/>
      </w:r>
    </w:p>
  </w:footnote>
  <w:footnote w:type="continuationSeparator" w:id="0">
    <w:p w14:paraId="7B4C0767" w14:textId="77777777" w:rsidR="003375A5" w:rsidRDefault="003375A5" w:rsidP="00187D4D">
      <w:pPr>
        <w:spacing w:after="0" w:line="240" w:lineRule="auto"/>
      </w:pPr>
      <w:r>
        <w:continuationSeparator/>
      </w:r>
    </w:p>
  </w:footnote>
  <w:footnote w:type="continuationNotice" w:id="1">
    <w:p w14:paraId="545F8810" w14:textId="77777777" w:rsidR="003375A5" w:rsidRDefault="003375A5">
      <w:pPr>
        <w:spacing w:after="0" w:line="240" w:lineRule="auto"/>
      </w:pPr>
    </w:p>
  </w:footnote>
  <w:footnote w:id="2">
    <w:p w14:paraId="1E4C2BC3" w14:textId="38107BBC" w:rsidR="00317318" w:rsidRPr="0051224B" w:rsidRDefault="00317318" w:rsidP="00917BE8">
      <w:pPr>
        <w:pStyle w:val="CMR-footnote"/>
      </w:pPr>
      <w:r>
        <w:rPr>
          <w:rStyle w:val="FootnoteReference"/>
          <w:rFonts w:cs="Times New Roman"/>
        </w:rPr>
        <w:footnoteRef/>
      </w:r>
      <w:r>
        <w:t xml:space="preserve"> Emissões das instalações abrangidas pelo CELE nos setores da energia e da indústria em 2024, sem o Reino Unido, </w:t>
      </w:r>
      <w:bookmarkStart w:id="4" w:name="_Hlk148353475"/>
      <w:bookmarkStart w:id="5" w:name="_Hlk148353367"/>
      <w:r>
        <w:t xml:space="preserve">mas incluindo o setor da energia </w:t>
      </w:r>
      <w:bookmarkEnd w:id="4"/>
      <w:r>
        <w:t>da Irlanda do Norte</w:t>
      </w:r>
      <w:bookmarkEnd w:id="5"/>
      <w:r>
        <w:t xml:space="preserve">, em comparação com um valor ajustado das mesmas emissões em 2005. Com base no </w:t>
      </w:r>
      <w:hyperlink r:id="rId1" w:history="1">
        <w:r>
          <w:rPr>
            <w:rStyle w:val="Hyperlink"/>
          </w:rPr>
          <w:t>visualizador de dados do CELE</w:t>
        </w:r>
      </w:hyperlink>
      <w:r>
        <w:t xml:space="preserve"> da Agência Europeia do Ambiente; dados extraídos em 31 de agosto de 2025.</w:t>
      </w:r>
    </w:p>
  </w:footnote>
  <w:footnote w:id="3">
    <w:p w14:paraId="5C24AA6B" w14:textId="3B861E64" w:rsidR="00C51F0B" w:rsidRPr="001F1040" w:rsidRDefault="00C51F0B" w:rsidP="00917BE8">
      <w:pPr>
        <w:pStyle w:val="CMR-footnote"/>
      </w:pPr>
      <w:r>
        <w:rPr>
          <w:rStyle w:val="FootnoteReference"/>
        </w:rPr>
        <w:footnoteRef/>
      </w:r>
      <w:r>
        <w:t xml:space="preserve"> Para mais informações, consultar o sítio Web da Comissão, nomeadamente as páginas </w:t>
      </w:r>
      <w:hyperlink r:id="rId2" w:history="1">
        <w:r>
          <w:rPr>
            <w:rStyle w:val="Hyperlink"/>
          </w:rPr>
          <w:t>Mecanismo de Recuperação e Resiliência</w:t>
        </w:r>
      </w:hyperlink>
      <w:r>
        <w:t xml:space="preserve"> e </w:t>
      </w:r>
      <w:hyperlink r:id="rId3" w:anchor="how-repowereu-is-funded" w:history="1">
        <w:r>
          <w:rPr>
            <w:rStyle w:val="Hyperlink"/>
          </w:rPr>
          <w:t>REPowerEU — Energia a preços acessíveis, segura e sustentável para a Europa</w:t>
        </w:r>
      </w:hyperlink>
      <w:r>
        <w:t>.</w:t>
      </w:r>
    </w:p>
  </w:footnote>
  <w:footnote w:id="4">
    <w:p w14:paraId="7F6C3F02" w14:textId="3792D8DD" w:rsidR="00447C9A" w:rsidRDefault="00447C9A" w:rsidP="00917BE8">
      <w:pPr>
        <w:pStyle w:val="CMR-footnote"/>
      </w:pPr>
      <w:r>
        <w:rPr>
          <w:rStyle w:val="FootnoteReference"/>
        </w:rPr>
        <w:footnoteRef/>
      </w:r>
      <w:r>
        <w:t xml:space="preserve"> </w:t>
      </w:r>
      <w:hyperlink r:id="rId4" w:history="1">
        <w:r>
          <w:rPr>
            <w:rStyle w:val="Hyperlink"/>
          </w:rPr>
          <w:t>Diretiva 2003/87/CE</w:t>
        </w:r>
      </w:hyperlink>
      <w:r>
        <w:t xml:space="preserve"> de 13 de outubro de 2003 (JO L 275 de 25.10.2003, p. 32).</w:t>
      </w:r>
    </w:p>
  </w:footnote>
  <w:footnote w:id="5">
    <w:p w14:paraId="1D4D5B59" w14:textId="77777777" w:rsidR="00F65AD8" w:rsidRDefault="00F65AD8" w:rsidP="00917BE8">
      <w:pPr>
        <w:pStyle w:val="CMR-footnote"/>
      </w:pPr>
      <w:r>
        <w:rPr>
          <w:rStyle w:val="FootnoteReference"/>
          <w:rFonts w:cs="Times New Roman"/>
        </w:rPr>
        <w:footnoteRef/>
      </w:r>
      <w:r>
        <w:t xml:space="preserve"> Nos termos do Protocolo relativo à Irlanda/Irlanda do Norte do Acordo de Saída UE-Reino Unido.</w:t>
      </w:r>
    </w:p>
  </w:footnote>
  <w:footnote w:id="6">
    <w:p w14:paraId="229EB085" w14:textId="011FCFA3" w:rsidR="00F00D70" w:rsidRPr="008A04B8" w:rsidRDefault="00F00D70" w:rsidP="00AE66E2">
      <w:pPr>
        <w:pStyle w:val="CMR-footnote"/>
      </w:pPr>
      <w:r>
        <w:rPr>
          <w:rStyle w:val="FootnoteReference"/>
        </w:rPr>
        <w:footnoteRef/>
      </w:r>
      <w:r>
        <w:t xml:space="preserve"> Estes países foram a Itália, os Países Baixos, a Noruega e a Suécia.</w:t>
      </w:r>
    </w:p>
  </w:footnote>
  <w:footnote w:id="7">
    <w:p w14:paraId="0871BB92" w14:textId="741E28E2" w:rsidR="00D00679" w:rsidRPr="001B5200" w:rsidRDefault="00D00679" w:rsidP="00917BE8">
      <w:pPr>
        <w:pStyle w:val="CMR-footnote"/>
      </w:pPr>
      <w:r>
        <w:rPr>
          <w:rStyle w:val="FootnoteReference"/>
        </w:rPr>
        <w:footnoteRef/>
      </w:r>
      <w:r>
        <w:t xml:space="preserve"> </w:t>
      </w:r>
      <w:hyperlink r:id="rId5" w:history="1">
        <w:r>
          <w:rPr>
            <w:rStyle w:val="Hyperlink"/>
          </w:rPr>
          <w:t>Regulamento (UE) 2018/842</w:t>
        </w:r>
      </w:hyperlink>
      <w:r>
        <w:t xml:space="preserve"> de 30 de maio de 2018, JO L 156 de 19.6.2018.</w:t>
      </w:r>
    </w:p>
  </w:footnote>
  <w:footnote w:id="8">
    <w:p w14:paraId="7478BDC4" w14:textId="60F2E69F" w:rsidR="002D78B9" w:rsidRPr="00CF247F" w:rsidRDefault="002D78B9" w:rsidP="00CF247F">
      <w:pPr>
        <w:pStyle w:val="CMR-footnote"/>
      </w:pPr>
      <w:r>
        <w:rPr>
          <w:rStyle w:val="FootnoteReference"/>
        </w:rPr>
        <w:footnoteRef/>
      </w:r>
      <w:r>
        <w:t xml:space="preserve"> </w:t>
      </w:r>
      <w:hyperlink r:id="rId6" w:history="1">
        <w:r>
          <w:rPr>
            <w:rStyle w:val="Hyperlink"/>
            <w:i/>
          </w:rPr>
          <w:t>New study provides toolbox for early decarbonisation in ETS2 sectors</w:t>
        </w:r>
      </w:hyperlink>
      <w:r>
        <w:t xml:space="preserve"> [não traduzido para português], DG Ação Climática, 9.9.2025.</w:t>
      </w:r>
    </w:p>
  </w:footnote>
  <w:footnote w:id="9">
    <w:p w14:paraId="503CEAA2" w14:textId="78AB91B4" w:rsidR="00AE66E2" w:rsidRPr="00AE66E2" w:rsidRDefault="00AE66E2" w:rsidP="00AE66E2">
      <w:pPr>
        <w:pStyle w:val="CMR-footnote"/>
      </w:pPr>
      <w:r>
        <w:rPr>
          <w:rStyle w:val="FootnoteReference"/>
        </w:rPr>
        <w:footnoteRef/>
      </w:r>
      <w:r>
        <w:t xml:space="preserve"> </w:t>
      </w:r>
      <w:hyperlink r:id="rId7" w:history="1">
        <w:r>
          <w:rPr>
            <w:rStyle w:val="Hyperlink"/>
            <w:i/>
          </w:rPr>
          <w:t>Guidance on the implementation of the Social Climate Fund</w:t>
        </w:r>
      </w:hyperlink>
      <w:r>
        <w:t xml:space="preserve"> [não traduzido para português], DG Emprego, Assuntos Sociais e Inclusão, 9.10.2025.</w:t>
      </w:r>
    </w:p>
  </w:footnote>
  <w:footnote w:id="10">
    <w:p w14:paraId="190CB939" w14:textId="77777777" w:rsidR="006C6F89" w:rsidRDefault="006C6F89" w:rsidP="006C6F89">
      <w:pPr>
        <w:pStyle w:val="CMR-footnote"/>
      </w:pPr>
      <w:r>
        <w:rPr>
          <w:rStyle w:val="FootnoteReference"/>
        </w:rPr>
        <w:footnoteRef/>
      </w:r>
      <w:r>
        <w:t xml:space="preserve"> Em 2024 e 2025, o fator de redução linear para a produção de eletricidade e calor, a produção industrial e o transporte marítimo ascendeu a 87 924 231 licenças de emissão e, para a aviação, a 1 330 226 licenças de emissão.</w:t>
      </w:r>
    </w:p>
  </w:footnote>
  <w:footnote w:id="11">
    <w:p w14:paraId="2B6335BD" w14:textId="5B5C9A1F" w:rsidR="00C65038" w:rsidRDefault="00C65038" w:rsidP="00C941D6">
      <w:pPr>
        <w:pStyle w:val="CMR-footnote"/>
      </w:pPr>
      <w:r>
        <w:rPr>
          <w:rStyle w:val="FootnoteReference"/>
        </w:rPr>
        <w:footnoteRef/>
      </w:r>
      <w:r>
        <w:t xml:space="preserve"> Para mais informações, ver </w:t>
      </w:r>
      <w:hyperlink r:id="rId8" w:history="1">
        <w:r>
          <w:rPr>
            <w:rStyle w:val="Hyperlink"/>
          </w:rPr>
          <w:t>Decisão (UE) 2023/1575 da Comissão</w:t>
        </w:r>
      </w:hyperlink>
      <w:r>
        <w:t>, de 27 de julho de 2023, JO L 192 de 31.7.2023, p. 30.</w:t>
      </w:r>
    </w:p>
  </w:footnote>
  <w:footnote w:id="12">
    <w:p w14:paraId="33C5B087" w14:textId="50B5CF00" w:rsidR="003939EE" w:rsidRDefault="003939EE" w:rsidP="00C941D6">
      <w:pPr>
        <w:pStyle w:val="CMR-footnote"/>
      </w:pPr>
      <w:r>
        <w:rPr>
          <w:rStyle w:val="FootnoteReference"/>
        </w:rPr>
        <w:footnoteRef/>
      </w:r>
      <w:r>
        <w:t xml:space="preserve"> Para mais informações, ver </w:t>
      </w:r>
      <w:hyperlink r:id="rId9" w:history="1">
        <w:r>
          <w:rPr>
            <w:rStyle w:val="Hyperlink"/>
          </w:rPr>
          <w:t>Decisão (UE) 2024/1797 da Comissão</w:t>
        </w:r>
      </w:hyperlink>
      <w:r>
        <w:t>, de 27 de junho de 2024, que altera a Decisão (UE) 2023/2440, JO L, 2024/1797, 28.6.2024. ELI: </w:t>
      </w:r>
      <w:hyperlink r:id="rId10" w:tgtFrame="_blank" w:tooltip="Permite aceder ao documento através do seu identificador ELI." w:history="1">
        <w:r>
          <w:rPr>
            <w:rStyle w:val="Hyperlink"/>
          </w:rPr>
          <w:t>http://data.europa.eu/eli/dec/2024/1797/oj</w:t>
        </w:r>
      </w:hyperlink>
    </w:p>
  </w:footnote>
  <w:footnote w:id="13">
    <w:p w14:paraId="050B885F" w14:textId="0CB8CBE4" w:rsidR="001569F0" w:rsidRPr="00854C42" w:rsidRDefault="001569F0" w:rsidP="00C941D6">
      <w:pPr>
        <w:pStyle w:val="CMR-footnote"/>
      </w:pPr>
      <w:r>
        <w:rPr>
          <w:rStyle w:val="FootnoteReference"/>
        </w:rPr>
        <w:footnoteRef/>
      </w:r>
      <w:r>
        <w:t xml:space="preserve"> Dados relativos às emissões comunicados nos termos do Regulamento (UE) 2015/757 para o período de referência de 2024 em 1 de outubro de 2025.</w:t>
      </w:r>
    </w:p>
  </w:footnote>
  <w:footnote w:id="14">
    <w:p w14:paraId="475A0153" w14:textId="57DC4910" w:rsidR="0081523A" w:rsidRDefault="0081523A" w:rsidP="0081523A">
      <w:pPr>
        <w:pStyle w:val="CMR-footnote"/>
      </w:pPr>
      <w:r>
        <w:rPr>
          <w:rStyle w:val="FootnoteReference"/>
        </w:rPr>
        <w:footnoteRef/>
      </w:r>
      <w:r>
        <w:t xml:space="preserve"> Em 2026, o fator de redução linear para a produção de eletricidade e calor, para a produção industrial e para o transporte marítimo ascenderá a 87 913 405 licenças de emissão e, para a aviação, a 1 330 226 licenças de emissão.</w:t>
      </w:r>
    </w:p>
  </w:footnote>
  <w:footnote w:id="15">
    <w:p w14:paraId="727B66D7" w14:textId="77777777" w:rsidR="00E109D2" w:rsidRPr="00A10A9E" w:rsidRDefault="00E109D2" w:rsidP="00E109D2">
      <w:pPr>
        <w:pStyle w:val="CMR-footnote"/>
      </w:pPr>
      <w:r>
        <w:rPr>
          <w:rStyle w:val="FootnoteReference"/>
        </w:rPr>
        <w:footnoteRef/>
      </w:r>
      <w:r>
        <w:t xml:space="preserve"> Na prática, a percentagem exata varia, uma vez que o volume de licenças de emissão leiloadas foi reduzido para contribuir para a reserva de estabilização do mercado, enquanto o volume de licenças de emissão atribuídas a título gratuito não se alterou.</w:t>
      </w:r>
    </w:p>
  </w:footnote>
  <w:footnote w:id="16">
    <w:p w14:paraId="03253E4B" w14:textId="593C2954" w:rsidR="00E109D2" w:rsidRPr="001179E4" w:rsidRDefault="00E109D2" w:rsidP="00E109D2">
      <w:pPr>
        <w:pStyle w:val="CMR-footnote"/>
      </w:pPr>
      <w:r>
        <w:rPr>
          <w:rStyle w:val="FootnoteReference"/>
          <w:rFonts w:cs="Times New Roman"/>
        </w:rPr>
        <w:footnoteRef/>
      </w:r>
      <w:r>
        <w:t xml:space="preserve"> </w:t>
      </w:r>
      <w:hyperlink r:id="rId11" w:history="1">
        <w:r>
          <w:rPr>
            <w:rStyle w:val="Hyperlink"/>
          </w:rPr>
          <w:t>Regulamento Delegado (UE) 2023/2830 da Comissão</w:t>
        </w:r>
      </w:hyperlink>
      <w:r>
        <w:t>, de 17 de outubro de 2023 (JO L 2023/2830 de 20.12.2023). ELI: </w:t>
      </w:r>
      <w:hyperlink r:id="rId12" w:tgtFrame="_blank" w:tooltip="Permite aceder ao documento através do seu identificador ELI." w:history="1">
        <w:r>
          <w:rPr>
            <w:rStyle w:val="Hyperlink"/>
          </w:rPr>
          <w:t>http://data.europa.eu/eli/reg_del/2023/2830/oj</w:t>
        </w:r>
      </w:hyperlink>
      <w:r>
        <w:t>.</w:t>
      </w:r>
    </w:p>
  </w:footnote>
  <w:footnote w:id="17">
    <w:p w14:paraId="46D38435" w14:textId="4DC3BB59" w:rsidR="00E109D2" w:rsidRPr="00507E1D" w:rsidRDefault="00E109D2" w:rsidP="00E109D2">
      <w:pPr>
        <w:pStyle w:val="CMR-footnote"/>
      </w:pPr>
      <w:r>
        <w:rPr>
          <w:rStyle w:val="FootnoteReference"/>
          <w:lang w:val="en-IE"/>
        </w:rPr>
        <w:footnoteRef/>
      </w:r>
      <w:r>
        <w:t xml:space="preserve"> </w:t>
      </w:r>
      <w:hyperlink r:id="rId13" w:history="1">
        <w:r>
          <w:rPr>
            <w:rStyle w:val="Hyperlink"/>
          </w:rPr>
          <w:t>Regulamento (UE) 2023/435</w:t>
        </w:r>
      </w:hyperlink>
      <w:r>
        <w:t>, de 27 de fevereiro de 2023, JO L 63 de 28.2.2023.</w:t>
      </w:r>
    </w:p>
  </w:footnote>
  <w:footnote w:id="18">
    <w:p w14:paraId="4B0CE473" w14:textId="11DA107F" w:rsidR="00E109D2" w:rsidRPr="00785C31" w:rsidRDefault="00E109D2" w:rsidP="00E109D2">
      <w:pPr>
        <w:pStyle w:val="CMR-footnote"/>
      </w:pPr>
      <w:r>
        <w:rPr>
          <w:rStyle w:val="FootnoteReference"/>
          <w:lang w:val="en-IE"/>
        </w:rPr>
        <w:footnoteRef/>
      </w:r>
      <w:r>
        <w:t xml:space="preserve"> </w:t>
      </w:r>
      <w:hyperlink r:id="rId14" w:history="1">
        <w:r>
          <w:rPr>
            <w:rStyle w:val="Hyperlink"/>
          </w:rPr>
          <w:t>EU ETS auctions</w:t>
        </w:r>
      </w:hyperlink>
      <w:r>
        <w:t xml:space="preserve"> [Leilões do CELE], EEX.</w:t>
      </w:r>
    </w:p>
  </w:footnote>
  <w:footnote w:id="19">
    <w:p w14:paraId="48A4F202" w14:textId="75B78B03" w:rsidR="00E109D2" w:rsidRPr="00785C31" w:rsidRDefault="00E109D2" w:rsidP="00E109D2">
      <w:pPr>
        <w:pStyle w:val="CMR-footnote"/>
      </w:pPr>
      <w:r>
        <w:rPr>
          <w:rStyle w:val="FootnoteReference"/>
          <w:rFonts w:cs="Times New Roman"/>
          <w:lang w:val="en-IE"/>
        </w:rPr>
        <w:footnoteRef/>
      </w:r>
      <w:r>
        <w:t xml:space="preserve"> </w:t>
      </w:r>
      <w:hyperlink r:id="rId15" w:anchor="documentation" w:history="1">
        <w:r>
          <w:rPr>
            <w:rStyle w:val="Hyperlink"/>
          </w:rPr>
          <w:t>Auction reports</w:t>
        </w:r>
      </w:hyperlink>
      <w:r>
        <w:t xml:space="preserve"> [Relatórios de leilões], Direção-Geral da Ação Climática.</w:t>
      </w:r>
    </w:p>
  </w:footnote>
  <w:footnote w:id="20">
    <w:p w14:paraId="19544CF4" w14:textId="12F349B7" w:rsidR="00A96807" w:rsidRPr="00854C42" w:rsidRDefault="00A96807" w:rsidP="001214E7">
      <w:pPr>
        <w:pStyle w:val="CMR-footnote"/>
      </w:pPr>
      <w:r>
        <w:rPr>
          <w:rStyle w:val="FootnoteReference"/>
          <w:rFonts w:cs="Times New Roman"/>
          <w:szCs w:val="18"/>
          <w:lang w:val="en-IE"/>
        </w:rPr>
        <w:footnoteRef/>
      </w:r>
      <w:r>
        <w:t xml:space="preserve"> Os nove Estados-Membros são: Bélgica, Dinamarca, Irlanda, Luxemburgo, Malta, Países Baixos, Áustria, Finlândia e Suécia. A disposição relativa à flexibilidade diz respeito aos Estados-Membros cujas metas ao abrigo do Regulamento Partilha de Esforços se situem significativamente acima da média da UE e do seu potencial para proceder a reduções eficazes em termos de custos, bem como aos Estados-Membros que, em 2013, não tenham atribuído quaisquer licenças de emissão do CELE a título gratuito a instalações industriais.</w:t>
      </w:r>
    </w:p>
  </w:footnote>
  <w:footnote w:id="21">
    <w:p w14:paraId="5A2321D7" w14:textId="6220A5B0" w:rsidR="00564985" w:rsidRPr="003F3A6C" w:rsidRDefault="00564985" w:rsidP="001214E7">
      <w:pPr>
        <w:pStyle w:val="CMR-footnote"/>
      </w:pPr>
      <w:r>
        <w:rPr>
          <w:rStyle w:val="FootnoteReference"/>
          <w:rFonts w:cs="Times New Roman"/>
          <w:szCs w:val="18"/>
        </w:rPr>
        <w:footnoteRef/>
      </w:r>
      <w:r>
        <w:t xml:space="preserve"> Os Países Baixos e a Suécia não utilizaram a flexibilidade.</w:t>
      </w:r>
    </w:p>
  </w:footnote>
  <w:footnote w:id="22">
    <w:p w14:paraId="3E483EDE" w14:textId="1F30FEE4" w:rsidR="000F66CB" w:rsidRPr="00E52022" w:rsidRDefault="000F66CB" w:rsidP="00F53E2D">
      <w:pPr>
        <w:pStyle w:val="CMR-footnote"/>
      </w:pPr>
      <w:r>
        <w:rPr>
          <w:rStyle w:val="FootnoteReference"/>
        </w:rPr>
        <w:footnoteRef/>
      </w:r>
      <w:r>
        <w:t xml:space="preserve"> </w:t>
      </w:r>
      <w:hyperlink r:id="rId16" w:history="1">
        <w:r>
          <w:rPr>
            <w:rStyle w:val="Hyperlink"/>
          </w:rPr>
          <w:t>Notification by Germany of voluntary cancellation for plants closed in 2022</w:t>
        </w:r>
      </w:hyperlink>
      <w:r>
        <w:t xml:space="preserve"> [Notificação, pela Alemanha, da anulação voluntária relativamente a centrais encerradas em 2022], Direção-Geral da Ação Climática, 2.5.2024.</w:t>
      </w:r>
    </w:p>
  </w:footnote>
  <w:footnote w:id="23">
    <w:p w14:paraId="0880F23D" w14:textId="16578662" w:rsidR="00135CD1" w:rsidRPr="001B67E1" w:rsidRDefault="00135CD1" w:rsidP="00F53E2D">
      <w:pPr>
        <w:pStyle w:val="CMR-footnote"/>
        <w:rPr>
          <w:rStyle w:val="CMR-footnoteChar"/>
        </w:rPr>
      </w:pPr>
      <w:r>
        <w:rPr>
          <w:rStyle w:val="FootnoteReference"/>
        </w:rPr>
        <w:footnoteRef/>
      </w:r>
      <w:r>
        <w:t xml:space="preserve"> </w:t>
      </w:r>
      <w:hyperlink r:id="rId17" w:history="1">
        <w:r>
          <w:rPr>
            <w:rStyle w:val="Hyperlink"/>
          </w:rPr>
          <w:t>Notification by Germany of voluntary cancellation of allowances in the EU ETS for plants closed in 2023</w:t>
        </w:r>
      </w:hyperlink>
      <w:r>
        <w:t xml:space="preserve"> [Notificação, pela Alemanha, da anulação voluntária de licenças de emissão do CELE relativamente a centrais encerradas em 2023], </w:t>
      </w:r>
      <w:r>
        <w:rPr>
          <w:rStyle w:val="CMR-footnoteChar"/>
        </w:rPr>
        <w:t>Direção</w:t>
      </w:r>
      <w:r w:rsidR="00217ECB">
        <w:rPr>
          <w:rStyle w:val="CMR-footnoteChar"/>
        </w:rPr>
        <w:noBreakHyphen/>
      </w:r>
      <w:r>
        <w:rPr>
          <w:rStyle w:val="CMR-footnoteChar"/>
        </w:rPr>
        <w:t>Geral da Ação Climática, 5.5.2024</w:t>
      </w:r>
      <w:r>
        <w:t>.</w:t>
      </w:r>
    </w:p>
  </w:footnote>
  <w:footnote w:id="24">
    <w:p w14:paraId="034ED44F" w14:textId="0BC65A9F" w:rsidR="00F53E2D" w:rsidRPr="00F53E2D" w:rsidRDefault="00F53E2D" w:rsidP="00F53E2D">
      <w:pPr>
        <w:pStyle w:val="CMR-footnote"/>
      </w:pPr>
      <w:r w:rsidRPr="00C85CAB">
        <w:rPr>
          <w:rStyle w:val="FootnoteReference"/>
        </w:rPr>
        <w:footnoteRef/>
      </w:r>
      <w:r w:rsidRPr="00C85CAB">
        <w:rPr>
          <w:rStyle w:val="FootnoteReference"/>
        </w:rPr>
        <w:t xml:space="preserve"> </w:t>
      </w:r>
      <w:r w:rsidR="00C85CAB">
        <w:t xml:space="preserve"> </w:t>
      </w:r>
      <w:r>
        <w:rPr>
          <w:rStyle w:val="CMR-footnoteChar"/>
        </w:rPr>
        <w:t>Se o NTLC de 2024 fosse superior a 1,096 mil milhões, seriam anuladas 514 000 licenças de emissão. Se o NTLC de 2024 se situasse entre 833 milhões e 1,096 mil milhões, não seriam anuladas quaisquer licenças de emissão</w:t>
      </w:r>
      <w:r>
        <w:t>.</w:t>
      </w:r>
    </w:p>
  </w:footnote>
  <w:footnote w:id="25">
    <w:p w14:paraId="386D41A0" w14:textId="1E6F4E1E" w:rsidR="00DE42A8" w:rsidRPr="00462B46" w:rsidRDefault="00DE42A8" w:rsidP="00F53E2D">
      <w:pPr>
        <w:pStyle w:val="CMR-footnote"/>
        <w:rPr>
          <w:rStyle w:val="CMR-footnoteChar"/>
        </w:rPr>
      </w:pPr>
      <w:r>
        <w:rPr>
          <w:rStyle w:val="FootnoteReference"/>
        </w:rPr>
        <w:footnoteRef/>
      </w:r>
      <w:r>
        <w:t xml:space="preserve"> </w:t>
      </w:r>
      <w:r>
        <w:rPr>
          <w:rStyle w:val="CMR-footnoteChar"/>
        </w:rPr>
        <w:t>Poderia ocorrer fuga de carbono se as atividades regulamentadas pelo CELE fossem deslocalizadas para países terceiros com políticas climáticas menos ambiciosas, conduzindo assim a um aumento das emissões globais de gases com efeito de estufa.</w:t>
      </w:r>
    </w:p>
  </w:footnote>
  <w:footnote w:id="26">
    <w:p w14:paraId="2C18D473" w14:textId="429B6055" w:rsidR="00882D9C" w:rsidRPr="00462B46" w:rsidRDefault="00882D9C" w:rsidP="00917BE8">
      <w:pPr>
        <w:pStyle w:val="CMR-footnote"/>
      </w:pPr>
      <w:r>
        <w:rPr>
          <w:rStyle w:val="FootnoteReference"/>
        </w:rPr>
        <w:footnoteRef/>
      </w:r>
      <w:r>
        <w:t xml:space="preserve"> </w:t>
      </w:r>
      <w:hyperlink r:id="rId18" w:history="1">
        <w:r>
          <w:rPr>
            <w:rStyle w:val="Hyperlink"/>
          </w:rPr>
          <w:t>Regulamento de Execução (UE) 2021/447 da Comissão</w:t>
        </w:r>
      </w:hyperlink>
      <w:r>
        <w:t xml:space="preserve"> </w:t>
      </w:r>
      <w:r>
        <w:rPr>
          <w:rStyle w:val="CMR-footnoteChar"/>
        </w:rPr>
        <w:t>de 12 de março de 2021</w:t>
      </w:r>
      <w:r>
        <w:t xml:space="preserve"> (JO L 87 de </w:t>
      </w:r>
      <w:r>
        <w:rPr>
          <w:rStyle w:val="CMR-footnoteChar"/>
        </w:rPr>
        <w:t>15.3.2021</w:t>
      </w:r>
      <w:r>
        <w:t>).</w:t>
      </w:r>
    </w:p>
  </w:footnote>
  <w:footnote w:id="27">
    <w:p w14:paraId="58F13F43" w14:textId="60237332" w:rsidR="2FB941BE" w:rsidRPr="00917BE8" w:rsidRDefault="2FB941BE" w:rsidP="00917BE8">
      <w:pPr>
        <w:pStyle w:val="CMR-footnote"/>
      </w:pPr>
      <w:r>
        <w:rPr>
          <w:vertAlign w:val="superscript"/>
        </w:rPr>
        <w:footnoteRef/>
      </w:r>
      <w:r>
        <w:rPr>
          <w:vertAlign w:val="superscript"/>
        </w:rPr>
        <w:t xml:space="preserve"> </w:t>
      </w:r>
      <w:hyperlink r:id="rId19" w:history="1">
        <w:r>
          <w:rPr>
            <w:rStyle w:val="Hyperlink"/>
          </w:rPr>
          <w:t>Regulamento de Execução (UE) 2019/1842 da Comissão</w:t>
        </w:r>
      </w:hyperlink>
      <w:r>
        <w:t xml:space="preserve"> de 31 de outubro de 2019 (JO L 282 de 4.11.2019).</w:t>
      </w:r>
    </w:p>
  </w:footnote>
  <w:footnote w:id="28">
    <w:p w14:paraId="310C312F" w14:textId="77777777" w:rsidR="00F43884" w:rsidRPr="00DE5769" w:rsidRDefault="00F43884" w:rsidP="00917BE8">
      <w:pPr>
        <w:pStyle w:val="CMR-footnote"/>
      </w:pPr>
      <w:r>
        <w:rPr>
          <w:vertAlign w:val="superscript"/>
        </w:rPr>
        <w:footnoteRef/>
      </w:r>
      <w:r>
        <w:t xml:space="preserve"> O Órgão de Fiscalização do Acordo Europeu de Comércio Livre adotou igualmente decisões relativas à Islândia, ao Listenstaine e à Noruega.</w:t>
      </w:r>
    </w:p>
  </w:footnote>
  <w:footnote w:id="29">
    <w:p w14:paraId="4E449934" w14:textId="77777777" w:rsidR="00DE3719" w:rsidRDefault="00DE3719" w:rsidP="00917BE8">
      <w:pPr>
        <w:pStyle w:val="CMR-footnote"/>
      </w:pPr>
      <w:r>
        <w:rPr>
          <w:vertAlign w:val="superscript"/>
        </w:rPr>
        <w:footnoteRef/>
      </w:r>
      <w:r>
        <w:rPr>
          <w:vertAlign w:val="superscript"/>
        </w:rPr>
        <w:t xml:space="preserve"> </w:t>
      </w:r>
      <w:r>
        <w:t>O Órgão de Fiscalização do Acordo Europeu de Comércio Livre adotou igualmente decisões relativas à Islândia, ao Listenstaine e à Noruega.</w:t>
      </w:r>
    </w:p>
  </w:footnote>
  <w:footnote w:id="30">
    <w:p w14:paraId="4E4136CC" w14:textId="6588BB88" w:rsidR="002C446D" w:rsidRPr="000525CD" w:rsidDel="00B56C09" w:rsidRDefault="001B056F" w:rsidP="00917BE8">
      <w:pPr>
        <w:pStyle w:val="CMR-footnote"/>
      </w:pPr>
      <w:r>
        <w:rPr>
          <w:rStyle w:val="FootnoteReference"/>
        </w:rPr>
        <w:footnoteRef/>
      </w:r>
      <w:r>
        <w:t xml:space="preserve"> </w:t>
      </w:r>
      <w:hyperlink r:id="rId20" w:history="1">
        <w:r>
          <w:rPr>
            <w:rStyle w:val="Hyperlink"/>
          </w:rPr>
          <w:t>Regulamento (UE) 2023/956</w:t>
        </w:r>
      </w:hyperlink>
      <w:r>
        <w:t xml:space="preserve"> do Parlamento Europeu e do Conselho, de 10 de maio de 2023 (JO L 130 de 16.5.2023).</w:t>
      </w:r>
    </w:p>
  </w:footnote>
  <w:footnote w:id="31">
    <w:p w14:paraId="1351AEB6" w14:textId="0B704692" w:rsidR="00085A37" w:rsidRPr="000525CD" w:rsidRDefault="00085A37" w:rsidP="0087017E">
      <w:pPr>
        <w:pStyle w:val="CMR-footnote"/>
      </w:pPr>
      <w:r>
        <w:rPr>
          <w:rStyle w:val="FootnoteReference"/>
        </w:rPr>
        <w:footnoteRef/>
      </w:r>
      <w:r>
        <w:t xml:space="preserve"> </w:t>
      </w:r>
      <w:hyperlink r:id="rId21" w:history="1">
        <w:r>
          <w:rPr>
            <w:rStyle w:val="Hyperlink"/>
          </w:rPr>
          <w:t>Comissão congratula-se com acordo político para simplificar e reforçar o mecanismo de ajustamento carbónico fronteiriço</w:t>
        </w:r>
      </w:hyperlink>
      <w:r>
        <w:t>, DG Ação Climática, 18.6.2025.</w:t>
      </w:r>
    </w:p>
  </w:footnote>
  <w:footnote w:id="32">
    <w:p w14:paraId="61364EF1" w14:textId="5D63EA09" w:rsidR="001D20A1" w:rsidRPr="00854C42" w:rsidRDefault="001D20A1" w:rsidP="001C1F62">
      <w:pPr>
        <w:pStyle w:val="CMR-footnote"/>
      </w:pPr>
      <w:r>
        <w:rPr>
          <w:rStyle w:val="FootnoteReference"/>
        </w:rPr>
        <w:footnoteRef/>
      </w:r>
      <w:r>
        <w:t xml:space="preserve"> Nos casos em que os custos do carbono para os materiais de base do CBAM possam levar os fabricantes de mercadorias a jusante a deslocar a produção para o estrangeiro, fora do âmbito de aplicação do CELE.</w:t>
      </w:r>
    </w:p>
  </w:footnote>
  <w:footnote w:id="33">
    <w:p w14:paraId="459C219A" w14:textId="1A5D093D" w:rsidR="001D20A1" w:rsidRPr="00854C42" w:rsidRDefault="001D20A1" w:rsidP="001C1F62">
      <w:pPr>
        <w:pStyle w:val="CMR-footnote"/>
      </w:pPr>
      <w:r>
        <w:rPr>
          <w:rStyle w:val="FootnoteReference"/>
        </w:rPr>
        <w:footnoteRef/>
      </w:r>
      <w:r>
        <w:t xml:space="preserve"> O Regulamento CBAM define evasão como práticas insuficientemente motivadas ou sem justificação económica que não seja evitar eficazmente, no todo ou em parte, as obrigações previstas no CBAM.</w:t>
      </w:r>
    </w:p>
  </w:footnote>
  <w:footnote w:id="34">
    <w:p w14:paraId="2FB71EB3" w14:textId="5D1636FB" w:rsidR="00687C48" w:rsidRPr="00687C48" w:rsidRDefault="00687C48" w:rsidP="00317AC4">
      <w:pPr>
        <w:pStyle w:val="CMR-footnote"/>
      </w:pPr>
      <w:r>
        <w:rPr>
          <w:rStyle w:val="FootnoteReference"/>
        </w:rPr>
        <w:footnoteRef/>
      </w:r>
      <w:r>
        <w:t xml:space="preserve"> Ver </w:t>
      </w:r>
      <w:hyperlink r:id="rId22" w:history="1">
        <w:r>
          <w:rPr>
            <w:rStyle w:val="Hyperlink"/>
          </w:rPr>
          <w:t>COM (2025) 378 final</w:t>
        </w:r>
      </w:hyperlink>
      <w:r>
        <w:t>, Realizar os objetivos do Pacto da Indústria Limpa I, 2.7.2025, p. 4.</w:t>
      </w:r>
    </w:p>
  </w:footnote>
  <w:footnote w:id="35">
    <w:p w14:paraId="77F6049B" w14:textId="1991BF70" w:rsidR="00B14664" w:rsidRPr="00B04064" w:rsidRDefault="00B14664" w:rsidP="00917BE8">
      <w:pPr>
        <w:pStyle w:val="CMR-footnote"/>
      </w:pPr>
      <w:r>
        <w:rPr>
          <w:rStyle w:val="FootnoteReference"/>
        </w:rPr>
        <w:footnoteRef/>
      </w:r>
      <w:r w:rsidRPr="0039102C">
        <w:rPr>
          <w:lang w:val="en-IE"/>
        </w:rPr>
        <w:t xml:space="preserve"> </w:t>
      </w:r>
      <w:hyperlink r:id="rId23" w:history="1">
        <w:r w:rsidRPr="0039102C">
          <w:rPr>
            <w:rStyle w:val="Hyperlink"/>
            <w:i/>
            <w:lang w:val="en-IE"/>
          </w:rPr>
          <w:t>Market Stability Reserve under the EU Emissions Trading System to reduce auction volume by 276 million allowances between September 2025 and August 2026</w:t>
        </w:r>
      </w:hyperlink>
      <w:r w:rsidRPr="0039102C">
        <w:rPr>
          <w:lang w:val="en-IE"/>
        </w:rPr>
        <w:t xml:space="preserve"> [não traduzido para português], DG CLIMA, notícia, 28.5.2025. </w:t>
      </w:r>
      <w:r>
        <w:t>Jornal Oficial da UE: Comunicação da Comissão — Publicação do número total de licenças de emissão em circulação em 2024 para efeitos da reserva de estabilização do mercado no âmbito do Sistema de Comércio de Licenças de Emissão da UE (</w:t>
      </w:r>
      <w:hyperlink r:id="rId24" w:history="1">
        <w:r>
          <w:rPr>
            <w:rStyle w:val="Hyperlink"/>
          </w:rPr>
          <w:t>JO C, C/2024/3180</w:t>
        </w:r>
      </w:hyperlink>
      <w:r>
        <w:t>, 4.6.2024).</w:t>
      </w:r>
    </w:p>
  </w:footnote>
  <w:footnote w:id="36">
    <w:p w14:paraId="5121BCE5" w14:textId="0EFCE98A" w:rsidR="00EC2FDE" w:rsidRPr="00657817" w:rsidRDefault="00EC2FDE" w:rsidP="00917BE8">
      <w:pPr>
        <w:pStyle w:val="CMR-footnote"/>
      </w:pPr>
      <w:r>
        <w:rPr>
          <w:rStyle w:val="FootnoteReference"/>
        </w:rPr>
        <w:footnoteRef/>
      </w:r>
      <w:r>
        <w:t xml:space="preserve"> </w:t>
      </w:r>
      <w:hyperlink r:id="rId25" w:history="1">
        <w:r>
          <w:rPr>
            <w:rStyle w:val="Hyperlink"/>
          </w:rPr>
          <w:t>Diretiva 2014/65/CE</w:t>
        </w:r>
      </w:hyperlink>
      <w:r>
        <w:t xml:space="preserve">, de 15 de maio de 2014, </w:t>
      </w:r>
      <w:hyperlink r:id="rId26" w:history="1">
        <w:r>
          <w:rPr>
            <w:rStyle w:val="Hyperlink"/>
          </w:rPr>
          <w:t>JO L 173</w:t>
        </w:r>
      </w:hyperlink>
      <w:r>
        <w:t xml:space="preserve"> de 12.6.2014. Ver </w:t>
      </w:r>
      <w:hyperlink r:id="rId27" w:history="1">
        <w:r>
          <w:rPr>
            <w:rStyle w:val="Hyperlink"/>
          </w:rPr>
          <w:t>versão consolidada</w:t>
        </w:r>
      </w:hyperlink>
      <w:r>
        <w:t>.</w:t>
      </w:r>
    </w:p>
  </w:footnote>
  <w:footnote w:id="37">
    <w:p w14:paraId="23199287" w14:textId="4691A8B6" w:rsidR="00FB65F5" w:rsidRPr="00FC1EC8" w:rsidRDefault="00FB65F5" w:rsidP="00917BE8">
      <w:pPr>
        <w:pStyle w:val="CMR-footnote"/>
      </w:pPr>
      <w:r>
        <w:rPr>
          <w:rStyle w:val="FootnoteReference"/>
        </w:rPr>
        <w:footnoteRef/>
      </w:r>
      <w:r>
        <w:t xml:space="preserve"> Consultar a lista das autoridades nacionais competentes responsáveis nos termos do Regulamento relativo ao abuso de mercado, no </w:t>
      </w:r>
      <w:hyperlink r:id="rId28" w:history="1">
        <w:r>
          <w:rPr>
            <w:rStyle w:val="Hyperlink"/>
          </w:rPr>
          <w:t>sítio Web da ESMA</w:t>
        </w:r>
      </w:hyperlink>
      <w:r>
        <w:t>.</w:t>
      </w:r>
    </w:p>
  </w:footnote>
  <w:footnote w:id="38">
    <w:p w14:paraId="4E9D27D8" w14:textId="1798008B" w:rsidR="00DE7C5D" w:rsidRPr="0083153A" w:rsidRDefault="00DE7C5D" w:rsidP="00917BE8">
      <w:pPr>
        <w:pStyle w:val="CMR-footnote"/>
      </w:pPr>
      <w:r>
        <w:rPr>
          <w:rStyle w:val="FootnoteReference"/>
        </w:rPr>
        <w:footnoteRef/>
      </w:r>
      <w:r>
        <w:t xml:space="preserve"> Regulamento (UE) n.º 596/2014 do Parlamento Europeu e do Conselho, de 16 de abril de 2014, relativo ao abuso de mercado (</w:t>
      </w:r>
      <w:hyperlink r:id="rId29" w:history="1">
        <w:r>
          <w:rPr>
            <w:rStyle w:val="Hyperlink"/>
          </w:rPr>
          <w:t>JO L 173</w:t>
        </w:r>
      </w:hyperlink>
      <w:r>
        <w:t xml:space="preserve"> de 12.6.2014, p. 1). Ver </w:t>
      </w:r>
      <w:hyperlink r:id="rId30" w:history="1">
        <w:r>
          <w:rPr>
            <w:rStyle w:val="Hyperlink"/>
          </w:rPr>
          <w:t>versão consolidada</w:t>
        </w:r>
      </w:hyperlink>
      <w:r>
        <w:t>.</w:t>
      </w:r>
    </w:p>
  </w:footnote>
  <w:footnote w:id="39">
    <w:p w14:paraId="04A29390" w14:textId="53823681" w:rsidR="00F1285D" w:rsidRPr="007C0CA9" w:rsidRDefault="00F1285D" w:rsidP="00917BE8">
      <w:pPr>
        <w:pStyle w:val="CMR-footnote"/>
      </w:pPr>
      <w:r>
        <w:rPr>
          <w:rStyle w:val="FootnoteReference"/>
        </w:rPr>
        <w:footnoteRef/>
      </w:r>
      <w:r>
        <w:t xml:space="preserve"> Relatório de mercado da ESMA intitulado </w:t>
      </w:r>
      <w:hyperlink r:id="rId31" w:history="1">
        <w:r>
          <w:t>«EU carbon markets 2024»</w:t>
        </w:r>
      </w:hyperlink>
      <w:r>
        <w:t xml:space="preserve"> [Mercados do carbono da UE em 2024] (ESMA50</w:t>
      </w:r>
      <w:r w:rsidR="00C33BD9">
        <w:noBreakHyphen/>
      </w:r>
      <w:r>
        <w:t>43599798-10379, 7.10.2024).</w:t>
      </w:r>
    </w:p>
  </w:footnote>
  <w:footnote w:id="40">
    <w:p w14:paraId="1A03BBDF" w14:textId="3CA10637" w:rsidR="00C61794" w:rsidRPr="002843F4" w:rsidRDefault="00C61794">
      <w:pPr>
        <w:pStyle w:val="FootnoteText"/>
      </w:pPr>
      <w:r>
        <w:rPr>
          <w:rStyle w:val="FootnoteReference"/>
        </w:rPr>
        <w:footnoteRef/>
      </w:r>
      <w:r>
        <w:t xml:space="preserve"> </w:t>
      </w:r>
      <w:r>
        <w:rPr>
          <w:rFonts w:ascii="Times New Roman" w:hAnsi="Times New Roman"/>
          <w:sz w:val="18"/>
        </w:rPr>
        <w:t xml:space="preserve">Relatório de mercado da ESMA intitulado </w:t>
      </w:r>
      <w:hyperlink r:id="rId32" w:history="1">
        <w:r>
          <w:rPr>
            <w:rFonts w:ascii="Times New Roman" w:hAnsi="Times New Roman"/>
            <w:sz w:val="18"/>
          </w:rPr>
          <w:t>«EU carbon markets 2025»</w:t>
        </w:r>
      </w:hyperlink>
      <w:r>
        <w:rPr>
          <w:rFonts w:ascii="Times New Roman" w:hAnsi="Times New Roman"/>
          <w:sz w:val="18"/>
        </w:rPr>
        <w:t xml:space="preserve"> [Mercados do carbono da UE em 2024] (</w:t>
      </w:r>
      <w:hyperlink r:id="rId33" w:history="1">
        <w:r>
          <w:rPr>
            <w:rStyle w:val="Hyperlink"/>
            <w:rFonts w:ascii="Times New Roman" w:hAnsi="Times New Roman"/>
            <w:sz w:val="18"/>
          </w:rPr>
          <w:t>ESMA50</w:t>
        </w:r>
        <w:r w:rsidR="00C33BD9">
          <w:rPr>
            <w:rStyle w:val="Hyperlink"/>
            <w:rFonts w:ascii="Times New Roman" w:hAnsi="Times New Roman"/>
            <w:sz w:val="18"/>
          </w:rPr>
          <w:noBreakHyphen/>
        </w:r>
        <w:r>
          <w:rPr>
            <w:rStyle w:val="Hyperlink"/>
            <w:rFonts w:ascii="Times New Roman" w:hAnsi="Times New Roman"/>
            <w:sz w:val="18"/>
          </w:rPr>
          <w:t>481369926-30552</w:t>
        </w:r>
      </w:hyperlink>
      <w:r>
        <w:rPr>
          <w:rFonts w:ascii="Times New Roman" w:hAnsi="Times New Roman"/>
          <w:sz w:val="18"/>
        </w:rPr>
        <w:t>, 22.10.2025).</w:t>
      </w:r>
    </w:p>
  </w:footnote>
  <w:footnote w:id="41">
    <w:p w14:paraId="3717E9EE" w14:textId="108FCE7D" w:rsidR="000C4C3C" w:rsidRPr="00B06A9A" w:rsidRDefault="000C4C3C" w:rsidP="00917BE8">
      <w:pPr>
        <w:pStyle w:val="CMR-footnote"/>
      </w:pPr>
      <w:r>
        <w:rPr>
          <w:rStyle w:val="FootnoteReference"/>
        </w:rPr>
        <w:footnoteRef/>
      </w:r>
      <w:r>
        <w:t xml:space="preserve"> </w:t>
      </w:r>
      <w:hyperlink r:id="rId34" w:history="1">
        <w:r>
          <w:rPr>
            <w:rStyle w:val="Hyperlink"/>
          </w:rPr>
          <w:t>Regulamento Delegado (UE) 2019/1122 da Comissão</w:t>
        </w:r>
      </w:hyperlink>
      <w:r>
        <w:t xml:space="preserve">, de 12 de março de 2019, que complementa a Diretiva 2003/87/CE (JO L 177 de 2.7.2019). Ver </w:t>
      </w:r>
      <w:hyperlink r:id="rId35" w:history="1">
        <w:r>
          <w:rPr>
            <w:rStyle w:val="Hyperlink"/>
          </w:rPr>
          <w:t>versão consolidada</w:t>
        </w:r>
      </w:hyperlink>
      <w:r>
        <w:t>.</w:t>
      </w:r>
    </w:p>
  </w:footnote>
  <w:footnote w:id="42">
    <w:p w14:paraId="6EA1F648" w14:textId="0CC463BD" w:rsidR="00350F38" w:rsidRPr="0083153A" w:rsidRDefault="0067277D" w:rsidP="00917BE8">
      <w:pPr>
        <w:pStyle w:val="CMR-footnote"/>
      </w:pPr>
      <w:r>
        <w:rPr>
          <w:rStyle w:val="FootnoteReference"/>
        </w:rPr>
        <w:footnoteRef/>
      </w:r>
      <w:r>
        <w:t xml:space="preserve"> </w:t>
      </w:r>
      <w:hyperlink r:id="rId36" w:history="1">
        <w:r>
          <w:rPr>
            <w:rStyle w:val="Hyperlink"/>
          </w:rPr>
          <w:t>Diretiva (UE) 2024/790</w:t>
        </w:r>
      </w:hyperlink>
      <w:r>
        <w:t>, de 28 de fevereiro de 2024, que altera a Diretiva 2014/65/UE, JO L 790 de 8.3.2024, ELI:</w:t>
      </w:r>
      <w:r w:rsidR="00C33BD9">
        <w:t> </w:t>
      </w:r>
      <w:hyperlink r:id="rId37" w:history="1">
        <w:r w:rsidR="00C33BD9" w:rsidRPr="005C51FE">
          <w:rPr>
            <w:rStyle w:val="Hyperlink"/>
          </w:rPr>
          <w:t>http://data.europa.eu/eli/dir/2024/790/oj</w:t>
        </w:r>
      </w:hyperlink>
      <w:r>
        <w:t xml:space="preserve">. Ver </w:t>
      </w:r>
      <w:hyperlink r:id="rId38" w:history="1">
        <w:r>
          <w:rPr>
            <w:rStyle w:val="Hyperlink"/>
          </w:rPr>
          <w:t>versão consolidada</w:t>
        </w:r>
      </w:hyperlink>
      <w:r>
        <w:t>.</w:t>
      </w:r>
    </w:p>
  </w:footnote>
  <w:footnote w:id="43">
    <w:p w14:paraId="48DAD65D" w14:textId="4C85A0F8" w:rsidR="00B362EB" w:rsidRPr="0083153A" w:rsidRDefault="00B362EB" w:rsidP="00917BE8">
      <w:pPr>
        <w:pStyle w:val="CMR-footnote"/>
      </w:pPr>
      <w:r>
        <w:rPr>
          <w:rStyle w:val="FootnoteReference"/>
        </w:rPr>
        <w:footnoteRef/>
      </w:r>
      <w:r>
        <w:t xml:space="preserve"> </w:t>
      </w:r>
      <w:hyperlink r:id="rId39" w:history="1">
        <w:r>
          <w:rPr>
            <w:rStyle w:val="Hyperlink"/>
          </w:rPr>
          <w:t>Regulamento (UE) 2024/791</w:t>
        </w:r>
      </w:hyperlink>
      <w:r>
        <w:t>, de 28 de fevereiro de 2024, que altera o Regulamento (UE) n.º 600/2014, JO L 791 de 8.3.2024, ELI: </w:t>
      </w:r>
      <w:hyperlink r:id="rId40" w:tgtFrame="_blank" w:tooltip="Permite aceder ao documento através do seu identificador ELI." w:history="1">
        <w:r>
          <w:rPr>
            <w:rStyle w:val="Hyperlink"/>
          </w:rPr>
          <w:t>http://data.europa.eu/eli/reg/2024/791/oj</w:t>
        </w:r>
      </w:hyperlink>
      <w:r>
        <w:t xml:space="preserve">. Ver </w:t>
      </w:r>
      <w:hyperlink r:id="rId41" w:history="1">
        <w:r>
          <w:rPr>
            <w:rStyle w:val="Hyperlink"/>
          </w:rPr>
          <w:t>versão consolidada</w:t>
        </w:r>
      </w:hyperlink>
      <w:r>
        <w:t>.</w:t>
      </w:r>
    </w:p>
  </w:footnote>
  <w:footnote w:id="44">
    <w:p w14:paraId="04C1ADC5" w14:textId="10FE28B8" w:rsidR="005D5E97" w:rsidRPr="00415A77" w:rsidRDefault="005D5E97" w:rsidP="00917BE8">
      <w:pPr>
        <w:pStyle w:val="CMR-footnote"/>
      </w:pPr>
      <w:r>
        <w:rPr>
          <w:rStyle w:val="FootnoteReference"/>
        </w:rPr>
        <w:footnoteRef/>
      </w:r>
      <w:r>
        <w:t xml:space="preserve"> A obrigação de publicar dois relatórios diz apenas respeito às plataformas de negociação que oferecem tanto futuros como opções. As plataformas de negociação que apenas oferecem futuros continuarão a publicar apenas um relatório.</w:t>
      </w:r>
    </w:p>
  </w:footnote>
  <w:footnote w:id="45">
    <w:p w14:paraId="15261B59" w14:textId="61A4EB52" w:rsidR="00E24CBE" w:rsidRPr="0039102C" w:rsidRDefault="00E24CBE" w:rsidP="00991926">
      <w:pPr>
        <w:pStyle w:val="CMR-footnote"/>
        <w:rPr>
          <w:lang w:val="en-IE"/>
        </w:rPr>
      </w:pPr>
      <w:r>
        <w:rPr>
          <w:rStyle w:val="FootnoteReference"/>
        </w:rPr>
        <w:footnoteRef/>
      </w:r>
      <w:r>
        <w:t xml:space="preserve"> </w:t>
      </w:r>
      <w:hyperlink r:id="rId42" w:history="1">
        <w:r>
          <w:rPr>
            <w:rStyle w:val="Hyperlink"/>
          </w:rPr>
          <w:t>Regulamento (UE) n.º 648/2012</w:t>
        </w:r>
      </w:hyperlink>
      <w:r>
        <w:t xml:space="preserve">, de 4 de julho de 2012, JO L 201 de 27.7.2012. </w:t>
      </w:r>
      <w:r w:rsidRPr="0039102C">
        <w:rPr>
          <w:lang w:val="en-IE"/>
        </w:rPr>
        <w:t xml:space="preserve">Ver </w:t>
      </w:r>
      <w:hyperlink r:id="rId43" w:history="1">
        <w:r w:rsidRPr="0039102C">
          <w:rPr>
            <w:rStyle w:val="Hyperlink"/>
            <w:lang w:val="en-IE"/>
          </w:rPr>
          <w:t>versão consolidada</w:t>
        </w:r>
      </w:hyperlink>
      <w:r w:rsidRPr="0039102C">
        <w:rPr>
          <w:lang w:val="en-IE"/>
        </w:rPr>
        <w:t>.</w:t>
      </w:r>
    </w:p>
  </w:footnote>
  <w:footnote w:id="46">
    <w:p w14:paraId="451215E7" w14:textId="0EE4A134" w:rsidR="00476CD9" w:rsidRPr="000B3CB8" w:rsidRDefault="00476CD9" w:rsidP="00C33BD9">
      <w:pPr>
        <w:pStyle w:val="FootnoteText"/>
        <w:jc w:val="both"/>
        <w:rPr>
          <w:rFonts w:ascii="Times New Roman" w:hAnsi="Times New Roman"/>
          <w:sz w:val="18"/>
        </w:rPr>
      </w:pPr>
      <w:r>
        <w:rPr>
          <w:rStyle w:val="FootnoteReference"/>
        </w:rPr>
        <w:footnoteRef/>
      </w:r>
      <w:r w:rsidRPr="0039102C">
        <w:rPr>
          <w:lang w:val="en-IE"/>
        </w:rPr>
        <w:t xml:space="preserve"> </w:t>
      </w:r>
      <w:hyperlink r:id="rId44" w:history="1">
        <w:r w:rsidRPr="0039102C">
          <w:rPr>
            <w:rFonts w:ascii="Times New Roman" w:hAnsi="Times New Roman"/>
            <w:i/>
            <w:sz w:val="18"/>
            <w:lang w:val="en-IE"/>
          </w:rPr>
          <w:t>Targeted consultation on the review of the functioning of commodity derivatives markets and certain aspects relating to spot energy markets</w:t>
        </w:r>
      </w:hyperlink>
      <w:r w:rsidRPr="0039102C">
        <w:rPr>
          <w:rFonts w:ascii="Times New Roman" w:hAnsi="Times New Roman"/>
          <w:sz w:val="18"/>
          <w:lang w:val="en-IE"/>
        </w:rPr>
        <w:t xml:space="preserve"> [não traduzido para português]. </w:t>
      </w:r>
      <w:r>
        <w:rPr>
          <w:rFonts w:ascii="Times New Roman" w:hAnsi="Times New Roman"/>
          <w:sz w:val="18"/>
        </w:rPr>
        <w:t>26.2.2025</w:t>
      </w:r>
    </w:p>
  </w:footnote>
  <w:footnote w:id="47">
    <w:p w14:paraId="67BB8A1A" w14:textId="240F30E6" w:rsidR="00E85050" w:rsidRPr="007C3EE6" w:rsidRDefault="00E85050" w:rsidP="007C3EE6">
      <w:pPr>
        <w:pStyle w:val="CMR-footnote"/>
      </w:pPr>
      <w:r>
        <w:rPr>
          <w:rStyle w:val="FootnoteReference"/>
        </w:rPr>
        <w:footnoteRef/>
      </w:r>
      <w:r>
        <w:t xml:space="preserve"> </w:t>
      </w:r>
      <w:hyperlink r:id="rId45" w:history="1">
        <w:r>
          <w:rPr>
            <w:rStyle w:val="Hyperlink"/>
          </w:rPr>
          <w:t>Plano de ação para a energia a preços acessíveis — Tirar partido do verdadeiro valor da União da Energia para garantir energia a preços acessíveis, eficiente e limpa para todos os europeus</w:t>
        </w:r>
      </w:hyperlink>
      <w:r>
        <w:t>, publicado em 26 de fevereiro de 2025.</w:t>
      </w:r>
    </w:p>
  </w:footnote>
  <w:footnote w:id="48">
    <w:p w14:paraId="2B2E8F85" w14:textId="4E821BF3" w:rsidR="00BA3479" w:rsidRPr="0057218E" w:rsidRDefault="00BA3479" w:rsidP="00BA3479">
      <w:pPr>
        <w:pStyle w:val="CMR-footnote"/>
      </w:pPr>
      <w:r>
        <w:rPr>
          <w:rStyle w:val="FootnoteReference"/>
          <w:lang w:val="en-IE"/>
        </w:rPr>
        <w:footnoteRef/>
      </w:r>
      <w:r>
        <w:t xml:space="preserve"> Emissões verificadas no âmbito do CELE em 2024, Registo da União, dados extraídos em 1 de outubro de 2025.</w:t>
      </w:r>
    </w:p>
  </w:footnote>
  <w:footnote w:id="49">
    <w:p w14:paraId="7A11C07E" w14:textId="2CCA3716" w:rsidR="00EC5BCA" w:rsidRPr="0057218E" w:rsidRDefault="00EC5BCA" w:rsidP="00EC5BCA">
      <w:pPr>
        <w:pStyle w:val="CMR-footnote"/>
      </w:pPr>
      <w:r>
        <w:rPr>
          <w:rStyle w:val="FootnoteReference"/>
          <w:lang w:val="en-IE"/>
        </w:rPr>
        <w:footnoteRef/>
      </w:r>
      <w:r>
        <w:t xml:space="preserve"> Dois por cento desta diminuição justifica-se igualmente por incoerências de dados que afetam a separação entre as emissões provenientes da produção de eletricidade e as emissões industriais e não pelas tendências do mercado.</w:t>
      </w:r>
    </w:p>
  </w:footnote>
  <w:footnote w:id="50">
    <w:p w14:paraId="52C4DA8C" w14:textId="53428451" w:rsidR="00B60243" w:rsidRPr="0057218E" w:rsidRDefault="00B60243" w:rsidP="00C268B8">
      <w:pPr>
        <w:pStyle w:val="CMR-footnote"/>
      </w:pPr>
      <w:r>
        <w:rPr>
          <w:rStyle w:val="FootnoteReference"/>
          <w:lang w:val="en-IE"/>
        </w:rPr>
        <w:footnoteRef/>
      </w:r>
      <w:hyperlink r:id="rId46" w:history="1">
        <w:r>
          <w:rPr>
            <w:rStyle w:val="Hyperlink"/>
          </w:rPr>
          <w:t>Net electricity generation by type of fuel - monthly data</w:t>
        </w:r>
      </w:hyperlink>
      <w:r>
        <w:t xml:space="preserve"> [Produção líquida de eletricidade por tipo de combustível — dados mensais], Eurostat.</w:t>
      </w:r>
    </w:p>
  </w:footnote>
  <w:footnote w:id="51">
    <w:p w14:paraId="4EBC1CA4" w14:textId="21327AAF" w:rsidR="005A5A04" w:rsidRPr="006D4D91" w:rsidRDefault="005A5A04" w:rsidP="00F47056">
      <w:pPr>
        <w:pStyle w:val="CMR-footnote"/>
      </w:pPr>
      <w:r>
        <w:rPr>
          <w:rStyle w:val="FootnoteReference"/>
          <w:lang w:val="en-IE"/>
        </w:rPr>
        <w:footnoteRef/>
      </w:r>
      <w:hyperlink r:id="rId47" w:history="1">
        <w:r>
          <w:rPr>
            <w:rStyle w:val="Hyperlink"/>
          </w:rPr>
          <w:t>Industrial production down by 1.1% in the euro area and by 0.8% in the EU</w:t>
        </w:r>
      </w:hyperlink>
      <w:r>
        <w:t xml:space="preserve"> [A produção industrial diminuiu 1,1 % na área do euro e 0,8 % na UE], Eurostat, 13.2.2025.</w:t>
      </w:r>
    </w:p>
  </w:footnote>
  <w:footnote w:id="52">
    <w:p w14:paraId="4ECDDB37" w14:textId="066BD990" w:rsidR="005F69A5" w:rsidRPr="00014399" w:rsidRDefault="005F69A5" w:rsidP="00917BE8">
      <w:pPr>
        <w:pStyle w:val="CMR-footnote"/>
      </w:pPr>
      <w:r>
        <w:rPr>
          <w:rStyle w:val="FootnoteReference"/>
        </w:rPr>
        <w:footnoteRef/>
      </w:r>
      <w:r>
        <w:t xml:space="preserve"> Esta análise baseia-se nos dados sobre a aplicação do CELE comunicados anualmente pelos países por força do artigo 21.º da Diretiva CELE (prazo: 30 de junho).</w:t>
      </w:r>
    </w:p>
  </w:footnote>
  <w:footnote w:id="53">
    <w:p w14:paraId="2693315F" w14:textId="72862BC5" w:rsidR="00C75203" w:rsidRPr="00A77F56" w:rsidRDefault="00C75203" w:rsidP="00917BE8">
      <w:pPr>
        <w:pStyle w:val="CMR-footnote"/>
      </w:pPr>
      <w:r>
        <w:rPr>
          <w:rStyle w:val="FootnoteReference"/>
        </w:rPr>
        <w:footnoteRef/>
      </w:r>
      <w:r>
        <w:t xml:space="preserve"> As emissões provenientes de biomassa sustentável com fator de emissão zero representam 22 % das emissões das instalações abrangidas pelo CELE em 2024, às quais acrescem.</w:t>
      </w:r>
    </w:p>
  </w:footnote>
  <w:footnote w:id="54">
    <w:p w14:paraId="7D60956F" w14:textId="5A53514B" w:rsidR="00AC7C5E" w:rsidRPr="00686AC8" w:rsidRDefault="00AC7C5E" w:rsidP="00917BE8">
      <w:pPr>
        <w:pStyle w:val="CMR-footnote"/>
      </w:pPr>
      <w:r>
        <w:rPr>
          <w:rStyle w:val="FootnoteReference"/>
        </w:rPr>
        <w:footnoteRef/>
      </w:r>
      <w:r>
        <w:t xml:space="preserve"> </w:t>
      </w:r>
      <w:hyperlink r:id="rId48" w:history="1">
        <w:r>
          <w:rPr>
            <w:rStyle w:val="Hyperlink"/>
          </w:rPr>
          <w:t>Regulamento (UE) 2018/1999</w:t>
        </w:r>
      </w:hyperlink>
      <w:r>
        <w:t>, de 11 de dezembro de 2018, JO L 328 de 21.12.2018.</w:t>
      </w:r>
    </w:p>
  </w:footnote>
  <w:footnote w:id="55">
    <w:p w14:paraId="2D858616" w14:textId="365D11FD" w:rsidR="000F529A" w:rsidRPr="00B33C4C" w:rsidRDefault="000F529A" w:rsidP="000F529A">
      <w:pPr>
        <w:pStyle w:val="CMR-footnote"/>
      </w:pPr>
      <w:r>
        <w:rPr>
          <w:rStyle w:val="FootnoteReference"/>
        </w:rPr>
        <w:footnoteRef/>
      </w:r>
      <w:r>
        <w:t xml:space="preserve"> </w:t>
      </w:r>
      <w:hyperlink r:id="rId49" w:history="1">
        <w:r>
          <w:rPr>
            <w:rStyle w:val="Hyperlink"/>
          </w:rPr>
          <w:t>Use of ETS auctioning revenues — Reporting year 2025 — GovReg</w:t>
        </w:r>
      </w:hyperlink>
      <w:r>
        <w:t xml:space="preserve"> [Utilização das receitas das vendas em leilão — Ano de relato 2024 — GovReg], Reportnet3, Agência Europeia do Ambiente.</w:t>
      </w:r>
    </w:p>
  </w:footnote>
  <w:footnote w:id="56">
    <w:p w14:paraId="67691B99" w14:textId="49627EFD" w:rsidR="0055278A" w:rsidRPr="008D3427" w:rsidRDefault="0055278A" w:rsidP="00917BE8">
      <w:pPr>
        <w:pStyle w:val="CMR-footnote"/>
      </w:pPr>
      <w:r>
        <w:rPr>
          <w:rStyle w:val="FootnoteReference"/>
        </w:rPr>
        <w:footnoteRef/>
      </w:r>
      <w:r>
        <w:t xml:space="preserve"> Até 4 de junho de 2023, os Estados-Membros foram incentivados a utilizar, pelo menos, 50 % das receitas cobradas para apoiar investimentos na descarbonização e na transformação energética. Relativamente às receitas cobradas a partir de 5 de junho de 2023, aplica-se a obrigação de utilizar a totalidade (ou o valor financeiro equivalente) das mesmas para apoiar a descarbonização e a transformação energética nos setores abrangidos pelo CELE.</w:t>
      </w:r>
    </w:p>
  </w:footnote>
  <w:footnote w:id="57">
    <w:p w14:paraId="20A89585" w14:textId="6CA0DAF8" w:rsidR="004342FC" w:rsidRPr="007C0CA9" w:rsidRDefault="004342FC" w:rsidP="00917BE8">
      <w:pPr>
        <w:pStyle w:val="CMR-footnote"/>
      </w:pPr>
      <w:r>
        <w:rPr>
          <w:rStyle w:val="FootnoteReference"/>
        </w:rPr>
        <w:footnoteRef/>
      </w:r>
      <w:r>
        <w:t xml:space="preserve"> Alguns dos países que cofinanciam ações com as suas receitas do CELE comunicam o valor total da ação cofinanciada; assim, a soma das suas ações é superior à das suas receitas. Os valores indicados no presente ponto foram ajustados para ter em conta o que precede. A título de exemplo, caso a soma das ações fosse o dobro das receitas geradas, partiu-se do princípio de que metade de cada ação e da compensação dos custos indiretos do carbono foi paga a partir das receitas dos leilões.</w:t>
      </w:r>
    </w:p>
  </w:footnote>
  <w:footnote w:id="58">
    <w:p w14:paraId="7E81AC08" w14:textId="709A4B29" w:rsidR="004B0B27" w:rsidRPr="00686AC8" w:rsidRDefault="004B0B27" w:rsidP="00917BE8">
      <w:pPr>
        <w:pStyle w:val="CMR-footnote"/>
      </w:pPr>
      <w:r>
        <w:rPr>
          <w:rStyle w:val="FootnoteReference"/>
        </w:rPr>
        <w:footnoteRef/>
      </w:r>
      <w:r>
        <w:t xml:space="preserve"> Próximo Relatório Intercalar sobre a Ação Climática em 2025 e documento de trabalho dos serviços da Comissão que o acompanha.</w:t>
      </w:r>
    </w:p>
  </w:footnote>
  <w:footnote w:id="59">
    <w:p w14:paraId="134C5793" w14:textId="73C0B0F0" w:rsidR="00B70E5F" w:rsidRPr="00B70E5F" w:rsidRDefault="00B70E5F">
      <w:pPr>
        <w:pStyle w:val="FootnoteText"/>
      </w:pPr>
      <w:r>
        <w:rPr>
          <w:rStyle w:val="FootnoteReference"/>
        </w:rPr>
        <w:footnoteRef/>
      </w:r>
      <w:r>
        <w:t xml:space="preserve"> </w:t>
      </w:r>
      <w:r>
        <w:rPr>
          <w:rStyle w:val="CMR-footnoteChar"/>
        </w:rPr>
        <w:t xml:space="preserve">Orientações relativas a determinadas medidas de auxílio estatal no âmbito do sistema de comércio de licenças de emissão de gases com efeito de estufa após 2021 (2020/C 317/04). Encontra-se em fase de elaboração uma </w:t>
      </w:r>
      <w:hyperlink r:id="rId50" w:history="1">
        <w:r>
          <w:rPr>
            <w:rStyle w:val="Hyperlink"/>
            <w:rFonts w:ascii="Times New Roman" w:hAnsi="Times New Roman"/>
            <w:sz w:val="18"/>
          </w:rPr>
          <w:t>atualização técnica</w:t>
        </w:r>
      </w:hyperlink>
      <w:r>
        <w:rPr>
          <w:rStyle w:val="CMR-footnoteChar"/>
        </w:rPr>
        <w:t xml:space="preserve"> destas orientações.</w:t>
      </w:r>
    </w:p>
  </w:footnote>
  <w:footnote w:id="60">
    <w:p w14:paraId="71CF7AE6" w14:textId="1334FAB6" w:rsidR="002F4398" w:rsidRPr="0087079B" w:rsidRDefault="002F4398" w:rsidP="003453AF">
      <w:pPr>
        <w:pStyle w:val="CMR-footnote"/>
      </w:pPr>
      <w:r>
        <w:rPr>
          <w:rStyle w:val="FootnoteReference"/>
        </w:rPr>
        <w:footnoteRef/>
      </w:r>
      <w:r>
        <w:t xml:space="preserve"> De acordo com as orientações relativas aos auxílios estatais, a compensação dos Estados-Membros deve basear-se na média dos preços a prazo de um ano observados numa dada bolsa de carbono da UE. O preço utilizado pode variar ligeiramente entre cada Estado-Membro, em função da bolsa de carbono da UE utilizada.</w:t>
      </w:r>
    </w:p>
  </w:footnote>
  <w:footnote w:id="61">
    <w:p w14:paraId="59F5941E" w14:textId="1FF92C02" w:rsidR="00E3484A" w:rsidRPr="00854C42" w:rsidRDefault="00E3484A" w:rsidP="003453AF">
      <w:pPr>
        <w:pStyle w:val="CMR-footnote"/>
      </w:pPr>
      <w:r>
        <w:rPr>
          <w:rStyle w:val="FootnoteReference"/>
        </w:rPr>
        <w:footnoteRef/>
      </w:r>
      <w:r>
        <w:t xml:space="preserve"> O RPE permite ao Luxemburgo cancelar 0,4 milhões de licenças de emissão por ano, em média, entre 2021 e 2030, o que equivale a 33,5 milhões de EUR se forem leiloadas ao preço de mercado considerado no presente ponto.</w:t>
      </w:r>
    </w:p>
  </w:footnote>
  <w:footnote w:id="62">
    <w:p w14:paraId="6FBA7AAC" w14:textId="4B924EF2" w:rsidR="007A720D" w:rsidRPr="005729E4" w:rsidRDefault="007A720D" w:rsidP="003453AF">
      <w:pPr>
        <w:pStyle w:val="CMR-footnote"/>
      </w:pPr>
      <w:r>
        <w:rPr>
          <w:rStyle w:val="FootnoteReference"/>
          <w:rFonts w:cs="Times New Roman"/>
        </w:rPr>
        <w:footnoteRef/>
      </w:r>
      <w:r w:rsidRPr="005729E4">
        <w:t xml:space="preserve"> Beihilfen für indirekte CO2-Kosten des Emissionshandels (Strompreiskompensation) in Deutschland für das Jahr 2023 (</w:t>
      </w:r>
      <w:hyperlink r:id="rId51" w:history="1">
        <w:r w:rsidRPr="005729E4">
          <w:rPr>
            <w:rStyle w:val="Hyperlink"/>
          </w:rPr>
          <w:t>hiperligação</w:t>
        </w:r>
      </w:hyperlink>
      <w:r w:rsidRPr="005729E4">
        <w:t>).</w:t>
      </w:r>
    </w:p>
  </w:footnote>
  <w:footnote w:id="63">
    <w:p w14:paraId="544DBF79" w14:textId="50B650F1" w:rsidR="00FD4030" w:rsidRPr="005729E4" w:rsidRDefault="00FD4030" w:rsidP="00917BE8">
      <w:pPr>
        <w:pStyle w:val="CMR-footnote"/>
      </w:pPr>
      <w:r>
        <w:rPr>
          <w:rStyle w:val="FootnoteReference"/>
        </w:rPr>
        <w:footnoteRef/>
      </w:r>
      <w:r w:rsidRPr="005729E4">
        <w:t xml:space="preserve"> </w:t>
      </w:r>
      <w:r w:rsidRPr="005729E4">
        <w:rPr>
          <w:shd w:val="clear" w:color="auto" w:fill="FFFFFF"/>
        </w:rPr>
        <w:t>Comissão Europeia: Direção-Geral da Ação Climática,</w:t>
      </w:r>
      <w:r w:rsidRPr="005729E4">
        <w:rPr>
          <w:i/>
          <w:shd w:val="clear" w:color="auto" w:fill="FFFFFF"/>
        </w:rPr>
        <w:t xml:space="preserve"> Innovation Fund progress report 2023 — Report from the Commission to the European Parliament and the Council on the implementation of the Innovation Fund in 2023</w:t>
      </w:r>
      <w:r w:rsidRPr="005729E4">
        <w:rPr>
          <w:shd w:val="clear" w:color="auto" w:fill="FFFFFF"/>
        </w:rPr>
        <w:t xml:space="preserve"> [não traduzido para português], Serviço das Publicações da União Europeia, 2025 (</w:t>
      </w:r>
      <w:hyperlink r:id="rId52" w:history="1">
        <w:r w:rsidRPr="005729E4">
          <w:rPr>
            <w:rStyle w:val="Hyperlink"/>
            <w:shd w:val="clear" w:color="auto" w:fill="FFFFFF"/>
          </w:rPr>
          <w:t>hiperligação</w:t>
        </w:r>
      </w:hyperlink>
      <w:r w:rsidRPr="005729E4">
        <w:rPr>
          <w:shd w:val="clear" w:color="auto" w:fill="FFFFFF"/>
        </w:rPr>
        <w:t>)</w:t>
      </w:r>
      <w:r w:rsidRPr="005729E4">
        <w:t>.</w:t>
      </w:r>
    </w:p>
  </w:footnote>
  <w:footnote w:id="64">
    <w:p w14:paraId="71E2A34A" w14:textId="6942D34F" w:rsidR="00A53F50" w:rsidRPr="00854C42" w:rsidRDefault="00A53F50" w:rsidP="00C94BD9">
      <w:pPr>
        <w:pStyle w:val="CMR-footnote"/>
      </w:pPr>
      <w:r>
        <w:rPr>
          <w:rStyle w:val="FootnoteReference"/>
        </w:rPr>
        <w:footnoteRef/>
      </w:r>
      <w:r>
        <w:t xml:space="preserve"> </w:t>
      </w:r>
      <w:hyperlink r:id="rId53" w:history="1">
        <w:r>
          <w:rPr>
            <w:rStyle w:val="Hyperlink"/>
          </w:rPr>
          <w:t>Innovation Fund portfolio dashboard</w:t>
        </w:r>
      </w:hyperlink>
      <w:r>
        <w:t xml:space="preserve"> [Painel da carteira do Fundo de Inovação]</w:t>
      </w:r>
    </w:p>
  </w:footnote>
  <w:footnote w:id="65">
    <w:p w14:paraId="50DEDEFC" w14:textId="43121C03" w:rsidR="00FD4030" w:rsidRPr="001E7394" w:rsidRDefault="00FD4030" w:rsidP="00917BE8">
      <w:pPr>
        <w:pStyle w:val="CMR-footnote"/>
      </w:pPr>
      <w:r>
        <w:rPr>
          <w:rStyle w:val="FootnoteReference"/>
        </w:rPr>
        <w:footnoteRef/>
      </w:r>
      <w:r>
        <w:t xml:space="preserve"> Considerando 20 da Diretiva 2009/29/CE, reafirmado no considerando 14 da Diretiva (UE) 2018/410.</w:t>
      </w:r>
    </w:p>
  </w:footnote>
  <w:footnote w:id="66">
    <w:p w14:paraId="3833B0EA" w14:textId="06FF0938" w:rsidR="004771E8" w:rsidRPr="00854C42" w:rsidRDefault="004771E8" w:rsidP="000B3CB8">
      <w:pPr>
        <w:pStyle w:val="CMR-footnote"/>
      </w:pPr>
      <w:r>
        <w:rPr>
          <w:rStyle w:val="FootnoteReference"/>
        </w:rPr>
        <w:footnoteRef/>
      </w:r>
      <w:r>
        <w:t xml:space="preserve"> </w:t>
      </w:r>
      <w:hyperlink r:id="rId54" w:history="1">
        <w:r>
          <w:rPr>
            <w:rStyle w:val="Hyperlink"/>
          </w:rPr>
          <w:t>Fundo de Inovação — Assistência ao desenvolvimento de projetos</w:t>
        </w:r>
      </w:hyperlink>
      <w:r>
        <w:t xml:space="preserve">, BEI. </w:t>
      </w:r>
    </w:p>
  </w:footnote>
  <w:footnote w:id="67">
    <w:p w14:paraId="04CD74F0" w14:textId="44F2EE8A" w:rsidR="002F024C" w:rsidRPr="00854C42" w:rsidRDefault="002F024C" w:rsidP="000B3CB8">
      <w:pPr>
        <w:pStyle w:val="CMR-footnote"/>
      </w:pPr>
      <w:r>
        <w:rPr>
          <w:rStyle w:val="FootnoteReference"/>
        </w:rPr>
        <w:footnoteRef/>
      </w:r>
      <w:r>
        <w:t xml:space="preserve"> </w:t>
      </w:r>
      <w:hyperlink r:id="rId55" w:history="1">
        <w:r>
          <w:rPr>
            <w:rStyle w:val="Hyperlink"/>
          </w:rPr>
          <w:t>Regulamento (UE) 2024/795</w:t>
        </w:r>
      </w:hyperlink>
      <w:r>
        <w:t xml:space="preserve"> de 29 de fevereiro de 2024, JO L 795 de 29.2.2024, ELI: </w:t>
      </w:r>
      <w:hyperlink r:id="rId56" w:tgtFrame="_blank" w:tooltip="Permite aceder ao documento através do seu identificador ELI." w:history="1">
        <w:r>
          <w:rPr>
            <w:rStyle w:val="Hyperlink"/>
          </w:rPr>
          <w:t>http://data.europa.eu/eli/reg/2024/795/oj</w:t>
        </w:r>
      </w:hyperlink>
      <w:r>
        <w:t>.</w:t>
      </w:r>
    </w:p>
  </w:footnote>
  <w:footnote w:id="68">
    <w:p w14:paraId="7F9F7919" w14:textId="45FC19D0" w:rsidR="00DC0230" w:rsidRPr="00273826" w:rsidRDefault="00DC0230" w:rsidP="00DC0230">
      <w:pPr>
        <w:pStyle w:val="CMR-footnote"/>
      </w:pPr>
      <w:r>
        <w:rPr>
          <w:rStyle w:val="FootnoteReference"/>
        </w:rPr>
        <w:footnoteRef/>
      </w:r>
      <w:r>
        <w:t xml:space="preserve"> Os primeiros Estados-Membros beneficiários foram a Bulgária, a Chéquia, a Croácia, a Eslováquia, a Estónia, a Hungria, a Letónia, a Lituânia, a Polónia e a Roménia.</w:t>
      </w:r>
    </w:p>
  </w:footnote>
  <w:footnote w:id="69">
    <w:p w14:paraId="31C067E7" w14:textId="1EE946DD" w:rsidR="0069737E" w:rsidRPr="00450FAB" w:rsidRDefault="0069737E" w:rsidP="00917BE8">
      <w:pPr>
        <w:pStyle w:val="CMR-footnote"/>
      </w:pPr>
      <w:r>
        <w:rPr>
          <w:rStyle w:val="FootnoteReference"/>
        </w:rPr>
        <w:footnoteRef/>
      </w:r>
      <w:r>
        <w:t xml:space="preserve"> A Eslovénia, a Grécia e Portugal foram acrescentados ao conjunto inicial de 10 Estados-Membros, na revisão de 2023 da Diretiva CELE.</w:t>
      </w:r>
    </w:p>
  </w:footnote>
  <w:footnote w:id="70">
    <w:p w14:paraId="00FD60A7" w14:textId="24338B73" w:rsidR="006F078C" w:rsidRPr="00E77C65" w:rsidRDefault="006F078C" w:rsidP="00917BE8">
      <w:pPr>
        <w:pStyle w:val="CMR-footnote"/>
      </w:pPr>
      <w:r>
        <w:rPr>
          <w:rStyle w:val="FootnoteReference"/>
        </w:rPr>
        <w:footnoteRef/>
      </w:r>
      <w:r>
        <w:t xml:space="preserve"> Anexo II-B da Diretiva CELE — chave de repartição do Fundo de Modernização.</w:t>
      </w:r>
    </w:p>
  </w:footnote>
  <w:footnote w:id="71">
    <w:p w14:paraId="1371914E" w14:textId="4947CA81" w:rsidR="006F078C" w:rsidRPr="0039102C" w:rsidRDefault="006F078C" w:rsidP="00917BE8">
      <w:pPr>
        <w:pStyle w:val="CMR-footnote"/>
        <w:rPr>
          <w:lang w:val="en-IE"/>
        </w:rPr>
      </w:pPr>
      <w:r>
        <w:rPr>
          <w:rStyle w:val="FootnoteReference"/>
        </w:rPr>
        <w:footnoteRef/>
      </w:r>
      <w:r w:rsidRPr="0039102C">
        <w:rPr>
          <w:lang w:val="en-IE"/>
        </w:rPr>
        <w:t xml:space="preserve"> </w:t>
      </w:r>
      <w:hyperlink r:id="rId57" w:history="1">
        <w:r w:rsidRPr="0039102C">
          <w:rPr>
            <w:rStyle w:val="Hyperlink"/>
            <w:lang w:val="en-IE"/>
          </w:rPr>
          <w:t>C</w:t>
        </w:r>
        <w:r w:rsidR="003A2A5C">
          <w:rPr>
            <w:rStyle w:val="Hyperlink"/>
            <w:lang w:val="en-IE"/>
          </w:rPr>
          <w:t xml:space="preserve"> </w:t>
        </w:r>
        <w:r w:rsidRPr="0039102C">
          <w:rPr>
            <w:rStyle w:val="Hyperlink"/>
            <w:lang w:val="en-IE"/>
          </w:rPr>
          <w:t xml:space="preserve">(2024) 4190 final </w:t>
        </w:r>
      </w:hyperlink>
      <w:r w:rsidRPr="0039102C">
        <w:rPr>
          <w:lang w:val="en-IE"/>
        </w:rPr>
        <w:t>— Commission Decision of 12.06.2024 on the disbursement of revenues from the Modernisation Fund under Directive 2003/87/EC - First biannual disbursement cycle of 2024 [não disponível em português].</w:t>
      </w:r>
    </w:p>
  </w:footnote>
  <w:footnote w:id="72">
    <w:p w14:paraId="06E01E61" w14:textId="5263773B" w:rsidR="006F078C" w:rsidRPr="007E51E1" w:rsidRDefault="006F078C" w:rsidP="00917BE8">
      <w:pPr>
        <w:pStyle w:val="CMR-footnote"/>
      </w:pPr>
      <w:r>
        <w:rPr>
          <w:rStyle w:val="FootnoteReference"/>
        </w:rPr>
        <w:footnoteRef/>
      </w:r>
      <w:r>
        <w:t xml:space="preserve"> A quinta decisão de desembolso ao abrigo do Fundo de Modernização autorizou pagamentos à Roménia (1100 milhões de EUR), à Chéquia (835 milhões de EUR), à Polónia (698 milhões de EUR), à Hungria (77 milhões de EUR), à Bulgária (65 milhões de EUR), à Lituânia (59 milhões de EUR), à Croácia (52 milhões de EUR), à Eslováquia (35 milhões de EUR), à Letónia (27 milhões de EUR) e à Estónia (24 milhões de EUR).</w:t>
      </w:r>
    </w:p>
  </w:footnote>
  <w:footnote w:id="73">
    <w:p w14:paraId="016F644E" w14:textId="70AD9EC1" w:rsidR="0097021E" w:rsidRPr="0041661C" w:rsidRDefault="0097021E" w:rsidP="00917BE8">
      <w:pPr>
        <w:pStyle w:val="CMR-footnote"/>
      </w:pPr>
      <w:r>
        <w:rPr>
          <w:rStyle w:val="FootnoteReference"/>
        </w:rPr>
        <w:footnoteRef/>
      </w:r>
      <w:r>
        <w:t xml:space="preserve"> Foram reservadas 25 milhões de licenças de emissão, com vista à sua eventual utilização ao abrigo do artigo 10.º-A, n.º 9, da Diretiva CELE (Comunicação da Comissão — Publicação do número total de licenças de emissão em circulação em 2021 para efeitos da reserva de estabilização do mercado no âmbito do Sistema de Comércio de Licenças de Emissão da UE estabelecido pela Diretiva 2003/87/CE, bem como do número de licenças de emissão não atribuídas no período 2013-2020 (2022/C 195/02, C/2022/2780, </w:t>
      </w:r>
      <w:hyperlink r:id="rId58" w:history="1">
        <w:r>
          <w:rPr>
            <w:rStyle w:val="Hyperlink"/>
          </w:rPr>
          <w:t>JO C 195</w:t>
        </w:r>
      </w:hyperlink>
      <w:r>
        <w:t xml:space="preserve"> de 13.5.2022).</w:t>
      </w:r>
    </w:p>
  </w:footnote>
  <w:footnote w:id="74">
    <w:p w14:paraId="1695B285" w14:textId="29E82107" w:rsidR="2EE81C63" w:rsidRPr="0039102C" w:rsidRDefault="2EE81C63" w:rsidP="00B05891">
      <w:pPr>
        <w:pStyle w:val="CMR-footnote"/>
        <w:rPr>
          <w:lang w:val="en-IE"/>
        </w:rPr>
      </w:pPr>
      <w:r>
        <w:rPr>
          <w:rStyle w:val="FootnoteReference"/>
          <w:rFonts w:cs="Times New Roman"/>
        </w:rPr>
        <w:footnoteRef/>
      </w:r>
      <w:r w:rsidRPr="0039102C">
        <w:rPr>
          <w:rStyle w:val="FootnoteReference"/>
          <w:lang w:val="en-IE"/>
        </w:rPr>
        <w:t xml:space="preserve"> </w:t>
      </w:r>
      <w:hyperlink r:id="rId59" w:history="1">
        <w:r w:rsidRPr="0039102C">
          <w:rPr>
            <w:rStyle w:val="Hyperlink"/>
            <w:i/>
            <w:color w:val="auto"/>
            <w:u w:val="none"/>
            <w:lang w:val="en-IE"/>
          </w:rPr>
          <w:t>Executive Vice-President Šefčovič signs agreement between Greece, European Investment Bank and the Commission on a Decarbonisation Fund for Greek islands</w:t>
        </w:r>
        <w:r w:rsidRPr="0039102C">
          <w:rPr>
            <w:rStyle w:val="Hyperlink"/>
            <w:color w:val="auto"/>
            <w:u w:val="none"/>
            <w:lang w:val="en-IE"/>
          </w:rPr>
          <w:t xml:space="preserve"> [não traduzido para português] – Comissão Europeia</w:t>
        </w:r>
      </w:hyperlink>
      <w:r w:rsidRPr="0039102C">
        <w:rPr>
          <w:lang w:val="en-IE"/>
        </w:rPr>
        <w:t>.</w:t>
      </w:r>
    </w:p>
  </w:footnote>
  <w:footnote w:id="75">
    <w:p w14:paraId="704629AD" w14:textId="04564CE4" w:rsidR="00187D4D" w:rsidRPr="002B6EB7" w:rsidRDefault="00187D4D" w:rsidP="00917BE8">
      <w:pPr>
        <w:pStyle w:val="CMR-footnote"/>
      </w:pPr>
      <w:r>
        <w:rPr>
          <w:rStyle w:val="FootnoteReference"/>
          <w:rFonts w:cs="Times New Roman"/>
        </w:rPr>
        <w:footnoteRef/>
      </w:r>
      <w:r>
        <w:rPr>
          <w:rStyle w:val="FootnoteReference"/>
        </w:rPr>
        <w:t xml:space="preserve"> </w:t>
      </w:r>
      <w:hyperlink r:id="rId60" w:history="1">
        <w:r>
          <w:rPr>
            <w:rStyle w:val="Hyperlink"/>
          </w:rPr>
          <w:t>Decisão n.º 377/2013/UE</w:t>
        </w:r>
      </w:hyperlink>
      <w:r>
        <w:t xml:space="preserve">, de 24 de abril de 2013, que derroga temporariamente a Diretiva 2003/87/CE, </w:t>
      </w:r>
      <w:hyperlink r:id="rId61" w:history="1">
        <w:r>
          <w:t>JO L 113</w:t>
        </w:r>
      </w:hyperlink>
      <w:r>
        <w:t xml:space="preserve"> de 25.4.2013.</w:t>
      </w:r>
    </w:p>
  </w:footnote>
  <w:footnote w:id="76">
    <w:p w14:paraId="447BC223" w14:textId="41137DF7" w:rsidR="00E772AF" w:rsidRPr="00E772AF" w:rsidRDefault="00E772AF" w:rsidP="00917BE8">
      <w:pPr>
        <w:pStyle w:val="CMR-footnote"/>
      </w:pPr>
      <w:r>
        <w:rPr>
          <w:rStyle w:val="FootnoteReference"/>
        </w:rPr>
        <w:footnoteRef/>
      </w:r>
      <w:r>
        <w:t xml:space="preserve"> Considerando 30 da </w:t>
      </w:r>
      <w:hyperlink r:id="rId62" w:history="1">
        <w:r>
          <w:rPr>
            <w:rStyle w:val="Hyperlink"/>
          </w:rPr>
          <w:t>Diretiva (UE) 2023/958</w:t>
        </w:r>
      </w:hyperlink>
      <w:r>
        <w:t xml:space="preserve"> que revê a Diretiva CELE.</w:t>
      </w:r>
    </w:p>
  </w:footnote>
  <w:footnote w:id="77">
    <w:p w14:paraId="49B64EBA" w14:textId="2DF65F73" w:rsidR="00187D4D" w:rsidRPr="0010031B" w:rsidRDefault="00187D4D" w:rsidP="00917BE8">
      <w:pPr>
        <w:pStyle w:val="CMR-footnote"/>
      </w:pPr>
      <w:r>
        <w:rPr>
          <w:rStyle w:val="FootnoteReference"/>
          <w:rFonts w:cs="Times New Roman"/>
        </w:rPr>
        <w:footnoteRef/>
      </w:r>
      <w:r>
        <w:t xml:space="preserve"> É concedida uma derrogação temporária do CELE, até 2030, para as emissões provenientes de voos entre um aeródromo numa região ultraperiférica de um Estado-Membro e um aeródromo no </w:t>
      </w:r>
      <w:r>
        <w:rPr>
          <w:rStyle w:val="Hyperlink"/>
        </w:rPr>
        <w:t>mesmo</w:t>
      </w:r>
      <w:r>
        <w:t xml:space="preserve"> Estado-Membro.</w:t>
      </w:r>
    </w:p>
  </w:footnote>
  <w:footnote w:id="78">
    <w:p w14:paraId="0E271AE1" w14:textId="23254F62" w:rsidR="00D06F73" w:rsidRPr="0041661C" w:rsidRDefault="00D06F73" w:rsidP="00917BE8">
      <w:pPr>
        <w:pStyle w:val="CMR-footnote"/>
      </w:pPr>
      <w:r>
        <w:rPr>
          <w:rStyle w:val="FootnoteReference"/>
          <w:rFonts w:cs="Times New Roman"/>
        </w:rPr>
        <w:footnoteRef/>
      </w:r>
      <w:r>
        <w:t xml:space="preserve"> </w:t>
      </w:r>
      <w:hyperlink r:id="rId63" w:anchor=":~:text=From%202024%2C%20flights%20from%20Switzerland,exempt%20from%20the%20Swiss%20ETS." w:history="1">
        <w:r>
          <w:rPr>
            <w:rStyle w:val="Hyperlink"/>
          </w:rPr>
          <w:t>Atribuição adicional de licenças de emissão a título gratuito para voos para regiões ultraperiféricas</w:t>
        </w:r>
      </w:hyperlink>
      <w:r>
        <w:t>, sistema de comércio de licenças de emissão para operadores de aeronaves, Serviço Federal do Ambiente, 31.8.2024.</w:t>
      </w:r>
    </w:p>
  </w:footnote>
  <w:footnote w:id="79">
    <w:p w14:paraId="62E53C40" w14:textId="303337EE" w:rsidR="00EA2D29" w:rsidRPr="00854C42" w:rsidRDefault="00EA2D29" w:rsidP="0001718C">
      <w:pPr>
        <w:pStyle w:val="CMR-footnote"/>
      </w:pPr>
      <w:r>
        <w:rPr>
          <w:rStyle w:val="FootnoteReference"/>
        </w:rPr>
        <w:footnoteRef/>
      </w:r>
      <w:r>
        <w:t xml:space="preserve"> Os países registaram a maior percentagem de atividade de aviação internacional em 2018, medida em «receitas por toneladas-quilómetro», ou seja, o volume de carga ou de passageiros pagos que uma companhia aérea movimentou e a distância percorrida. Estes 34 Estados constam da lista </w:t>
      </w:r>
      <w:hyperlink r:id="rId64" w:history="1">
        <w:r>
          <w:rPr>
            <w:rStyle w:val="Hyperlink"/>
          </w:rPr>
          <w:t>International-RTK-rankings_2018_SIDS_LDC_LLDC.pdf</w:t>
        </w:r>
      </w:hyperlink>
      <w:r>
        <w:t>.</w:t>
      </w:r>
    </w:p>
  </w:footnote>
  <w:footnote w:id="80">
    <w:p w14:paraId="32877F82" w14:textId="77777777" w:rsidR="00537304" w:rsidRPr="00817A49" w:rsidRDefault="00537304" w:rsidP="0001718C">
      <w:pPr>
        <w:pStyle w:val="CMR-footnote"/>
      </w:pPr>
      <w:r>
        <w:rPr>
          <w:rStyle w:val="FootnoteReference"/>
        </w:rPr>
        <w:footnoteRef/>
      </w:r>
      <w:r>
        <w:t xml:space="preserve"> A abordagem do CORSIA baseada em rotas significa que, onde quer que a companhia aérea esteja sediada, deve estar sempre sujeita a requisitos de compensação nas rotas entre dois Estados participantes. O «país de origem» da companhia aérea é o único responsável pela conformidade da companhia aérea com o CORSIA. Por exemplo: a companhia aérea A do país A, que está isenta do CORSIA, deve continuar a participar na compensação quando voa em rotas abrangidas entre os países participantes B e C. Para que existam condições de concorrência equitativas, o país A deve ser responsável por assegurar a conformidade da companhia aérea A nestes voos.</w:t>
      </w:r>
    </w:p>
  </w:footnote>
  <w:footnote w:id="81">
    <w:p w14:paraId="133372F9" w14:textId="0784EF0A" w:rsidR="00537304" w:rsidRPr="00343627" w:rsidRDefault="00537304" w:rsidP="0001718C">
      <w:pPr>
        <w:pStyle w:val="CMR-footnote"/>
      </w:pPr>
      <w:r>
        <w:rPr>
          <w:rStyle w:val="FootnoteReference"/>
        </w:rPr>
        <w:footnoteRef/>
      </w:r>
      <w:r>
        <w:t xml:space="preserve"> O Secretariado da OACI publica anualmente este documento; em 2024, foi publicado em outubro, intitulado </w:t>
      </w:r>
      <w:r>
        <w:rPr>
          <w:i/>
        </w:rPr>
        <w:t>Total Annual CO2 Emissions and Information for Aeroplane Operators</w:t>
      </w:r>
      <w:r>
        <w:t xml:space="preserve">, acessível na parte III deste sítio Web: </w:t>
      </w:r>
      <w:hyperlink r:id="rId65" w:history="1">
        <w:r>
          <w:rPr>
            <w:rStyle w:val="Hyperlink"/>
          </w:rPr>
          <w:t>https://www.icao.int/environmental-protection/CORSIA/Pages/CCR.aspx</w:t>
        </w:r>
      </w:hyperlink>
    </w:p>
  </w:footnote>
  <w:footnote w:id="82">
    <w:p w14:paraId="5A41783C" w14:textId="41558914" w:rsidR="00B7738B" w:rsidRPr="00DD0C39" w:rsidRDefault="00B7738B" w:rsidP="00917BE8">
      <w:pPr>
        <w:pStyle w:val="CMR-footnote"/>
      </w:pPr>
      <w:r>
        <w:rPr>
          <w:rStyle w:val="FootnoteReference"/>
        </w:rPr>
        <w:footnoteRef/>
      </w:r>
      <w:r>
        <w:t xml:space="preserve"> </w:t>
      </w:r>
      <w:hyperlink r:id="rId66" w:history="1">
        <w:r>
          <w:rPr>
            <w:rStyle w:val="Hyperlink"/>
          </w:rPr>
          <w:t>Diretiva (UE) 2023/958</w:t>
        </w:r>
      </w:hyperlink>
      <w:r>
        <w:t>, de 10 de maio de 2023, que altera a Diretiva 2003/87/UE, JO L 130 de 16.5.2023.</w:t>
      </w:r>
    </w:p>
  </w:footnote>
  <w:footnote w:id="83">
    <w:p w14:paraId="1CAE71A9" w14:textId="737E81AB" w:rsidR="00B7738B" w:rsidRPr="009D0D66" w:rsidRDefault="00B7738B" w:rsidP="00917BE8">
      <w:pPr>
        <w:pStyle w:val="CMR-footnote"/>
      </w:pPr>
      <w:r>
        <w:rPr>
          <w:rStyle w:val="FootnoteReference"/>
        </w:rPr>
        <w:footnoteRef/>
      </w:r>
      <w:r>
        <w:t xml:space="preserve"> </w:t>
      </w:r>
      <w:hyperlink r:id="rId67" w:history="1">
        <w:r>
          <w:rPr>
            <w:rStyle w:val="Hyperlink"/>
          </w:rPr>
          <w:t>Decisão (UE) 2023/136</w:t>
        </w:r>
      </w:hyperlink>
      <w:r>
        <w:t>, de 18 de janeiro de 2023, que altera a Diretiva 2003/87/UE, JO L 19 de 20.1.2023.</w:t>
      </w:r>
    </w:p>
  </w:footnote>
  <w:footnote w:id="84">
    <w:p w14:paraId="6B4B2E64" w14:textId="6B5A3A94" w:rsidR="00B7738B" w:rsidRPr="00165606" w:rsidRDefault="00B7738B" w:rsidP="00917BE8">
      <w:pPr>
        <w:pStyle w:val="CMR-footnote"/>
      </w:pPr>
      <w:r>
        <w:rPr>
          <w:rStyle w:val="FootnoteReference"/>
        </w:rPr>
        <w:footnoteRef/>
      </w:r>
      <w:r>
        <w:t xml:space="preserve"> </w:t>
      </w:r>
      <w:hyperlink r:id="rId68" w:history="1">
        <w:r>
          <w:rPr>
            <w:rStyle w:val="Hyperlink"/>
          </w:rPr>
          <w:t>Regulamento de Execução (UE) 2025/1500 da Comissão</w:t>
        </w:r>
      </w:hyperlink>
      <w:r>
        <w:t xml:space="preserve"> de 23 de julho de 2025, JO L 1500 de 24.7.2025, ELI: </w:t>
      </w:r>
      <w:hyperlink r:id="rId69" w:tooltip="Permite aceder ao documento através do seu identificador ELI." w:history="1">
        <w:r>
          <w:rPr>
            <w:rStyle w:val="Hyperlink"/>
          </w:rPr>
          <w:t>http://data.europa.eu/eli/dec/2022/1500/oj</w:t>
        </w:r>
      </w:hyperlink>
    </w:p>
  </w:footnote>
  <w:footnote w:id="85">
    <w:p w14:paraId="3E3FB5E7" w14:textId="3F695E8A" w:rsidR="00B7738B" w:rsidRPr="00165606" w:rsidRDefault="00B7738B" w:rsidP="00917BE8">
      <w:pPr>
        <w:pStyle w:val="CMR-footnote"/>
      </w:pPr>
      <w:r>
        <w:rPr>
          <w:rStyle w:val="FootnoteReference"/>
        </w:rPr>
        <w:footnoteRef/>
      </w:r>
      <w:r>
        <w:t xml:space="preserve"> </w:t>
      </w:r>
      <w:hyperlink r:id="rId70" w:history="1">
        <w:r>
          <w:rPr>
            <w:rStyle w:val="Hyperlink"/>
          </w:rPr>
          <w:t>Regulamento de Execução (UE) 2024/1879 da Comissão</w:t>
        </w:r>
      </w:hyperlink>
      <w:r>
        <w:t xml:space="preserve"> de 9 de julho de 2024, JO L 1879 de 10.7.2024, ELI: </w:t>
      </w:r>
      <w:hyperlink r:id="rId71" w:tooltip="Permite aceder ao documento através do seu identificador ELI." w:history="1">
        <w:r>
          <w:rPr>
            <w:rStyle w:val="Hyperlink"/>
          </w:rPr>
          <w:t>http://data.europa.eu/eli/reg_impl/2024/1879/oj</w:t>
        </w:r>
      </w:hyperlink>
      <w:r>
        <w:t>.</w:t>
      </w:r>
    </w:p>
  </w:footnote>
  <w:footnote w:id="86">
    <w:p w14:paraId="34F555C0" w14:textId="28513DB3" w:rsidR="00510DED" w:rsidRPr="00165606" w:rsidRDefault="00510DED" w:rsidP="00917BE8">
      <w:pPr>
        <w:pStyle w:val="CMR-footnote"/>
      </w:pPr>
      <w:r>
        <w:rPr>
          <w:rStyle w:val="FootnoteReference"/>
        </w:rPr>
        <w:footnoteRef/>
      </w:r>
      <w:r>
        <w:t xml:space="preserve"> </w:t>
      </w:r>
      <w:hyperlink r:id="rId72" w:history="1">
        <w:r>
          <w:rPr>
            <w:rStyle w:val="Hyperlink"/>
            <w:i/>
          </w:rPr>
          <w:t>Publication of 2023 emissions data from aviation</w:t>
        </w:r>
      </w:hyperlink>
      <w:r>
        <w:t xml:space="preserve"> [não traduzido para português] — Comissão Europeia, Direção-Geral da Ação Climática, 19.6.2025.</w:t>
      </w:r>
    </w:p>
  </w:footnote>
  <w:footnote w:id="87">
    <w:p w14:paraId="304D4757" w14:textId="7399C8F2" w:rsidR="007E501C" w:rsidRPr="004D1C4F" w:rsidRDefault="007E501C" w:rsidP="00917BE8">
      <w:pPr>
        <w:pStyle w:val="CMR-footnote"/>
      </w:pPr>
      <w:r>
        <w:rPr>
          <w:vertAlign w:val="superscript"/>
        </w:rPr>
        <w:footnoteRef/>
      </w:r>
      <w:r>
        <w:rPr>
          <w:rStyle w:val="Footnote1"/>
          <w:sz w:val="18"/>
          <w:vertAlign w:val="superscript"/>
        </w:rPr>
        <w:t xml:space="preserve"> </w:t>
      </w:r>
      <w:r>
        <w:rPr>
          <w:rStyle w:val="Footnote1"/>
          <w:sz w:val="18"/>
        </w:rPr>
        <w:t>Considerando a atualização do âmbito de aplicação do CELE na aviação (sem voos provenientes do Reino Unido). Os dados dos operadores de aeronaves da responsabilidade da Suíça estão incluídos apenas nas entradas de 2020-2023.</w:t>
      </w:r>
    </w:p>
  </w:footnote>
  <w:footnote w:id="88">
    <w:p w14:paraId="3D522878" w14:textId="77777777" w:rsidR="007E501C" w:rsidRPr="004D1C4F" w:rsidRDefault="007E501C" w:rsidP="00917BE8">
      <w:pPr>
        <w:pStyle w:val="CMR-footnote"/>
      </w:pPr>
      <w:r>
        <w:rPr>
          <w:vertAlign w:val="superscript"/>
        </w:rPr>
        <w:footnoteRef/>
      </w:r>
      <w:r>
        <w:t xml:space="preserve"> </w:t>
      </w:r>
      <w:r>
        <w:rPr>
          <w:rStyle w:val="Footnote1"/>
          <w:sz w:val="18"/>
        </w:rPr>
        <w:t>Estes valores não têm em conta todos os encerramentos de operadores de aeronaves e as licenças de emissão atribuídas a título gratuito a partir da</w:t>
      </w:r>
      <w:r>
        <w:t xml:space="preserve"> </w:t>
      </w:r>
      <w:r>
        <w:rPr>
          <w:rStyle w:val="Footnote1"/>
          <w:sz w:val="18"/>
        </w:rPr>
        <w:t>reserva especial para novos operadores e operadores em rápido crescimento, nem as devoluções em 2012 devido à alteração do âmbito de aplicação. Fontes: Diário de Operações da UE, Direção-Geral da Ação Climática.</w:t>
      </w:r>
    </w:p>
  </w:footnote>
  <w:footnote w:id="89">
    <w:p w14:paraId="13E74802" w14:textId="6560C57B" w:rsidR="007E501C" w:rsidRPr="00D06F73" w:rsidRDefault="007E501C" w:rsidP="00917BE8">
      <w:pPr>
        <w:pStyle w:val="CMR-footnote"/>
      </w:pPr>
      <w:r>
        <w:rPr>
          <w:vertAlign w:val="superscript"/>
        </w:rPr>
        <w:footnoteRef/>
      </w:r>
      <w:r>
        <w:rPr>
          <w:rStyle w:val="Footnote1"/>
          <w:sz w:val="18"/>
        </w:rPr>
        <w:t xml:space="preserve"> Tendo em conta os números retidos devido ao encerramento de operadores de aeronaves, a atribuição efetiva em</w:t>
      </w:r>
      <w:r>
        <w:t xml:space="preserve"> </w:t>
      </w:r>
      <w:r>
        <w:rPr>
          <w:rStyle w:val="Footnote1"/>
          <w:sz w:val="18"/>
        </w:rPr>
        <w:t>2019 seria inferior em 4 milhões ao valor apresentado — ver nota de rodapé 8 do Aviso C/2020/8643 (JO C 428 de 11.12.2020). A atribuição de licenças de emissão ao Reino Unido (4,31 milhões de licenças de emissão do total estabelecido para 2019) foi suspensa em 2019 devido às medidas de salvaguarda adotadas pela Comissão para proteger a integridade ambiental do CELE nos casos em que o direito da UE deixe de se aplicar a um Estado-Membro que saia da UE. A atribuição de licenças de emissão foi retomada em 2020.</w:t>
      </w:r>
    </w:p>
  </w:footnote>
  <w:footnote w:id="90">
    <w:p w14:paraId="734C21DB" w14:textId="57F68F84" w:rsidR="00835DC2" w:rsidRDefault="00835DC2" w:rsidP="00E309CF">
      <w:pPr>
        <w:pStyle w:val="CMR-footnote"/>
      </w:pPr>
      <w:r>
        <w:rPr>
          <w:rStyle w:val="FootnoteReference"/>
        </w:rPr>
        <w:footnoteRef/>
      </w:r>
      <w:r>
        <w:t xml:space="preserve"> Este sistema de apoio abrange a totalidade ou parte da diferença de preço remanescente entre o querosene fóssil e os combustíveis de aviação elegíveis utilizados por operadores de aeronaves comerciais individuais nos seus voos abrangidos pela tarifação efetiva do carbono através do CELE, incentivando estes operadores de aeronaves a optar por combustíveis mais limpos. </w:t>
      </w:r>
    </w:p>
    <w:p w14:paraId="4ABBB6EF" w14:textId="35578DC2" w:rsidR="00835DC2" w:rsidRDefault="00DD22DB" w:rsidP="00927719">
      <w:pPr>
        <w:pStyle w:val="CMR-footnote"/>
      </w:pPr>
      <w:hyperlink r:id="rId73" w:history="1">
        <w:r w:rsidR="00835DC2">
          <w:rPr>
            <w:rStyle w:val="Hyperlink"/>
          </w:rPr>
          <w:t>Regulamento Delegado (UE) 2025/723 da Comissão</w:t>
        </w:r>
      </w:hyperlink>
      <w:r w:rsidR="00835DC2">
        <w:t>, de 6 de fevereiro de 2025 (JO L, 2025/723, 16.4.2025, ELI: </w:t>
      </w:r>
      <w:hyperlink r:id="rId74" w:tgtFrame="_blank" w:tooltip="Permite aceder ao documento através do seu identificador ELI." w:history="1">
        <w:r w:rsidR="00835DC2">
          <w:rPr>
            <w:rStyle w:val="Hyperlink"/>
          </w:rPr>
          <w:t>http://data.europa.eu/eli/reg_del/2025/723/oj</w:t>
        </w:r>
      </w:hyperlink>
      <w:r w:rsidR="00835DC2">
        <w:t>.</w:t>
      </w:r>
    </w:p>
    <w:p w14:paraId="1E65C9B7" w14:textId="014CE07A" w:rsidR="00835DC2" w:rsidRPr="00D039FA" w:rsidRDefault="00DD22DB" w:rsidP="00927719">
      <w:pPr>
        <w:pStyle w:val="CMR-footnote"/>
      </w:pPr>
      <w:hyperlink r:id="rId75" w:history="1">
        <w:r w:rsidR="00C33BD9" w:rsidRPr="005C51FE">
          <w:rPr>
            <w:rStyle w:val="Hyperlink"/>
          </w:rPr>
          <w:t>Comunicação</w:t>
        </w:r>
        <w:r w:rsidR="00C33BD9" w:rsidRPr="005C51FE">
          <w:rPr>
            <w:rStyle w:val="Hyperlink"/>
            <w:rFonts w:ascii="Roboto" w:hAnsi="Roboto"/>
            <w:sz w:val="21"/>
            <w:shd w:val="clear" w:color="auto" w:fill="FFFFFF"/>
          </w:rPr>
          <w:t xml:space="preserve"> </w:t>
        </w:r>
        <w:r w:rsidR="00C33BD9" w:rsidRPr="005C51FE">
          <w:rPr>
            <w:rStyle w:val="Hyperlink"/>
          </w:rPr>
          <w:t>C/2025/3186</w:t>
        </w:r>
      </w:hyperlink>
      <w:r w:rsidR="00835DC2">
        <w:t xml:space="preserve"> da Comissão, JO C, 2025/2934, 27.5.2025, ELI: </w:t>
      </w:r>
      <w:hyperlink r:id="rId76" w:tgtFrame="_blank" w:tooltip="Permite aceder ao documento através do seu identificador ELI." w:history="1">
        <w:r w:rsidR="00835DC2">
          <w:rPr>
            <w:rStyle w:val="Hyperlink"/>
          </w:rPr>
          <w:t>http://data.europa.eu/eli/C/2025/2934/oj</w:t>
        </w:r>
      </w:hyperlink>
      <w:r w:rsidR="00835DC2">
        <w:t>.</w:t>
      </w:r>
    </w:p>
  </w:footnote>
  <w:footnote w:id="91">
    <w:p w14:paraId="6B464388" w14:textId="02EE045F" w:rsidR="00874A36" w:rsidRPr="000F417B" w:rsidRDefault="00874A36" w:rsidP="000F417B">
      <w:pPr>
        <w:pStyle w:val="CMR-footnote"/>
      </w:pPr>
      <w:r>
        <w:rPr>
          <w:rStyle w:val="FootnoteReference"/>
          <w:rFonts w:cs="Times New Roman"/>
          <w:szCs w:val="18"/>
        </w:rPr>
        <w:footnoteRef/>
      </w:r>
      <w:r>
        <w:t xml:space="preserve"> </w:t>
      </w:r>
      <w:hyperlink r:id="rId77" w:history="1">
        <w:r>
          <w:rPr>
            <w:rStyle w:val="Hyperlink"/>
          </w:rPr>
          <w:t>Decisão da Comissão</w:t>
        </w:r>
      </w:hyperlink>
      <w:r>
        <w:t>, de 12 de setembro de 2025, JO C, 2025/5004, 16.9.2025, ELI: </w:t>
      </w:r>
      <w:hyperlink r:id="rId78" w:tgtFrame="_blank" w:tooltip="Permite aceder ao documento através do seu identificador ELI." w:history="1">
        <w:r>
          <w:rPr>
            <w:rStyle w:val="Hyperlink"/>
          </w:rPr>
          <w:t>http://data.europa.eu/eli/C/2025/5004/oj</w:t>
        </w:r>
      </w:hyperlink>
      <w:r>
        <w:t>.</w:t>
      </w:r>
    </w:p>
  </w:footnote>
  <w:footnote w:id="92">
    <w:p w14:paraId="749E8F4B" w14:textId="4C5DD29E" w:rsidR="00187D4D" w:rsidRPr="00D06F73" w:rsidRDefault="00187D4D" w:rsidP="00917BE8">
      <w:pPr>
        <w:pStyle w:val="CMR-footnote"/>
      </w:pPr>
      <w:r>
        <w:rPr>
          <w:rStyle w:val="FootnoteReference"/>
          <w:rFonts w:cs="Times New Roman"/>
        </w:rPr>
        <w:footnoteRef/>
      </w:r>
      <w:r>
        <w:rPr>
          <w:rStyle w:val="Bodytext1"/>
        </w:rPr>
        <w:t xml:space="preserve"> O impacto global da aviação mundial no clima é consideravelmente mais elevado do que a componente de CO</w:t>
      </w:r>
      <w:r>
        <w:rPr>
          <w:rStyle w:val="Bodytext1"/>
          <w:vertAlign w:val="subscript"/>
        </w:rPr>
        <w:t>2</w:t>
      </w:r>
      <w:r>
        <w:rPr>
          <w:rStyle w:val="Bodytext1"/>
        </w:rPr>
        <w:t xml:space="preserve"> por si só. Estima-se que o impacto global da aviação seja duas a quatro vezes o das emissões de CO</w:t>
      </w:r>
      <w:r>
        <w:rPr>
          <w:rStyle w:val="Bodytext1"/>
          <w:vertAlign w:val="subscript"/>
        </w:rPr>
        <w:t>2</w:t>
      </w:r>
      <w:r>
        <w:rPr>
          <w:rStyle w:val="Bodytext1"/>
        </w:rPr>
        <w:t xml:space="preserve"> quando considerados os efeitos não ligados ao CO</w:t>
      </w:r>
      <w:r>
        <w:rPr>
          <w:rStyle w:val="Bodytext1"/>
          <w:vertAlign w:val="subscript"/>
        </w:rPr>
        <w:t>2</w:t>
      </w:r>
      <w:r>
        <w:rPr>
          <w:rStyle w:val="Bodytext1"/>
        </w:rPr>
        <w:t>. Limitar estas emissões é importante, uma vez que o Painel Intergovernamental sobre as Alterações Climáticas (PIAC) identificou a aviação (e o transporte marítimo) internacional, no seu Sexto Relatório de Avaliação sobre a atenuação das alterações climáticas, como setores cujos objetivos climáticos ficam aquém do necessário para reduzir o aumento da temperatura mundial em conformidade com o Acordo de Paris.</w:t>
      </w:r>
    </w:p>
  </w:footnote>
  <w:footnote w:id="93">
    <w:p w14:paraId="5062C338" w14:textId="1ED224B3" w:rsidR="00491119" w:rsidRPr="00D8427E" w:rsidRDefault="00491119" w:rsidP="00491119">
      <w:pPr>
        <w:pStyle w:val="CMR-footnote"/>
      </w:pPr>
      <w:r>
        <w:rPr>
          <w:rStyle w:val="FootnoteReference"/>
        </w:rPr>
        <w:footnoteRef/>
      </w:r>
      <w:r>
        <w:t xml:space="preserve"> </w:t>
      </w:r>
      <w:r>
        <w:rPr>
          <w:rStyle w:val="CMR-footnoteChar"/>
        </w:rPr>
        <w:t>Regulamento (UE) 2015/757 do Parlamento Europeu e do Conselho, de 29 de abril de 2015, relativo à monitorização, comunicação e verificação das emissões de dióxido de carbono provenientes do transporte marítimo e que altera a Diretiva 2009/16/CE</w:t>
      </w:r>
      <w:r>
        <w:t xml:space="preserve"> (</w:t>
      </w:r>
      <w:hyperlink r:id="rId79" w:history="1">
        <w:r>
          <w:rPr>
            <w:rStyle w:val="Hyperlink"/>
          </w:rPr>
          <w:t>JO L 123</w:t>
        </w:r>
      </w:hyperlink>
      <w:r>
        <w:rPr>
          <w:rStyle w:val="CMR-footnoteChar"/>
        </w:rPr>
        <w:t xml:space="preserve"> de 19.5.2015, p. 55).</w:t>
      </w:r>
    </w:p>
  </w:footnote>
  <w:footnote w:id="94">
    <w:p w14:paraId="48DD177C" w14:textId="002A7168" w:rsidR="00A62408" w:rsidRPr="00B92F09" w:rsidRDefault="00A62408">
      <w:pPr>
        <w:pStyle w:val="FootnoteText"/>
      </w:pPr>
      <w:r>
        <w:rPr>
          <w:rStyle w:val="FootnoteReference"/>
        </w:rPr>
        <w:footnoteRef/>
      </w:r>
      <w:r>
        <w:t xml:space="preserve"> </w:t>
      </w:r>
      <w:r>
        <w:rPr>
          <w:rStyle w:val="CMR-footnoteChar"/>
        </w:rPr>
        <w:t>Emissões verificadas relativas ao transporte marítimo no Registo da União em 15 de outubro de 2025.</w:t>
      </w:r>
    </w:p>
  </w:footnote>
  <w:footnote w:id="95">
    <w:p w14:paraId="215AAC90" w14:textId="4A3F3EAE" w:rsidR="00C9410E" w:rsidRDefault="00C9410E" w:rsidP="00917BE8">
      <w:pPr>
        <w:pStyle w:val="CMR-footnote"/>
      </w:pPr>
      <w:r>
        <w:rPr>
          <w:rStyle w:val="FootnoteReference"/>
        </w:rPr>
        <w:footnoteRef/>
      </w:r>
      <w:r>
        <w:t xml:space="preserve"> </w:t>
      </w:r>
      <w:hyperlink r:id="rId80" w:history="1">
        <w:r>
          <w:rPr>
            <w:rStyle w:val="Hyperlink"/>
          </w:rPr>
          <w:t>Regulamento de Execução (UE) 2018/2067 da Comissão</w:t>
        </w:r>
      </w:hyperlink>
      <w:r>
        <w:t xml:space="preserve">, de 19 de dezembro de 2018 (JO L 334 de 31.12.2018). O regulamento foi alterado em 2020 pelo Regulamento (UE) 2020/2084 da Comissão, em 2024 pelo Regulamento (UE) 2024/1321 e em 2025 pelo Regulamento (UE) 2025/1192. Ver </w:t>
      </w:r>
      <w:hyperlink r:id="rId81" w:history="1">
        <w:r>
          <w:rPr>
            <w:rStyle w:val="Hyperlink"/>
          </w:rPr>
          <w:t>versão consolidada</w:t>
        </w:r>
      </w:hyperlink>
      <w:r>
        <w:t>.</w:t>
      </w:r>
    </w:p>
  </w:footnote>
  <w:footnote w:id="96">
    <w:p w14:paraId="6B27E885" w14:textId="7D0FE43E" w:rsidR="00680B54" w:rsidRDefault="00680B54" w:rsidP="00917BE8">
      <w:pPr>
        <w:pStyle w:val="CMR-footnote"/>
      </w:pPr>
      <w:r>
        <w:rPr>
          <w:rStyle w:val="FootnoteReference"/>
        </w:rPr>
        <w:footnoteRef/>
      </w:r>
      <w:r>
        <w:t xml:space="preserve"> A Dinamarca, a Finlândia, a Lituânia e os Países Baixos. A Hungria deixou de comunicar informações com base em relatórios simplificados.</w:t>
      </w:r>
    </w:p>
  </w:footnote>
  <w:footnote w:id="97">
    <w:p w14:paraId="7510177F" w14:textId="1A386E79" w:rsidR="00680B54" w:rsidRDefault="00680B54" w:rsidP="00917BE8">
      <w:pPr>
        <w:pStyle w:val="CMR-footnote"/>
      </w:pPr>
      <w:r>
        <w:rPr>
          <w:rStyle w:val="FootnoteReference"/>
          <w:rFonts w:cs="Times New Roman"/>
        </w:rPr>
        <w:footnoteRef/>
      </w:r>
      <w:r>
        <w:t xml:space="preserve"> Artigo 13.º do Regulamento Monitorização e Comunicação de Informações.</w:t>
      </w:r>
    </w:p>
  </w:footnote>
  <w:footnote w:id="98">
    <w:p w14:paraId="3C5C2679" w14:textId="77777777" w:rsidR="00797ADF" w:rsidRPr="0051224B" w:rsidRDefault="00797ADF" w:rsidP="00917BE8">
      <w:pPr>
        <w:pStyle w:val="CMR-footnote"/>
      </w:pPr>
      <w:r>
        <w:rPr>
          <w:rStyle w:val="FootnoteReference"/>
        </w:rPr>
        <w:footnoteRef/>
      </w:r>
      <w:r>
        <w:t xml:space="preserve"> O principal motivo prende-se com o facto de a metodologia baseada em medições envolver uma quantidade significativa de recursos e de conhecimento técnico, algo que falta a muitos operadores mais pequenos.</w:t>
      </w:r>
    </w:p>
  </w:footnote>
  <w:footnote w:id="99">
    <w:p w14:paraId="363CBFE8" w14:textId="5958C6AB" w:rsidR="00797ADF" w:rsidRPr="0051224B" w:rsidRDefault="00797ADF" w:rsidP="00917BE8">
      <w:pPr>
        <w:pStyle w:val="CMR-footnote"/>
      </w:pPr>
      <w:r>
        <w:rPr>
          <w:rStyle w:val="FootnoteReference"/>
        </w:rPr>
        <w:footnoteRef/>
      </w:r>
      <w:r>
        <w:t xml:space="preserve"> O Regulamento Monitorização e Comunicação de Informações exige que todos os operadores cumpram determinados níveis mínimos. As instalações que emitam mais de 50 kt de CO</w:t>
      </w:r>
      <w:r>
        <w:rPr>
          <w:vertAlign w:val="subscript"/>
        </w:rPr>
        <w:t>2</w:t>
      </w:r>
      <w:r>
        <w:t xml:space="preserve"> devem cumprir o nível mais elevado para os fluxos-fonte principais (o que significa uma qualidade de dados mais fiável), ao passo que as fontes de menor dimensão estão sujeitas a requisitos menos rigorosos, por razões de eficiência em termos de custos.</w:t>
      </w:r>
    </w:p>
  </w:footnote>
  <w:footnote w:id="100">
    <w:p w14:paraId="50D464A6" w14:textId="3286A1FE" w:rsidR="00AD51ED" w:rsidRPr="00685D02" w:rsidRDefault="00AD51ED" w:rsidP="00685D02">
      <w:pPr>
        <w:pStyle w:val="CMR-footnote"/>
      </w:pPr>
      <w:r>
        <w:rPr>
          <w:rStyle w:val="FootnoteReference"/>
        </w:rPr>
        <w:footnoteRef/>
      </w:r>
      <w:r>
        <w:t xml:space="preserve"> Nem todos os países abrangidos pelo CELE têm capacidade de incineração de resíduos urbanos ou instalações abrangidas pela obrigação de monitorização do CELE.</w:t>
      </w:r>
    </w:p>
  </w:footnote>
  <w:footnote w:id="101">
    <w:p w14:paraId="43521A73" w14:textId="5A24365B" w:rsidR="005943E5" w:rsidRPr="000B3CB8" w:rsidRDefault="005943E5">
      <w:pPr>
        <w:pStyle w:val="FootnoteText"/>
      </w:pPr>
      <w:r>
        <w:rPr>
          <w:rStyle w:val="FootnoteReference"/>
        </w:rPr>
        <w:footnoteRef/>
      </w:r>
      <w:r>
        <w:t xml:space="preserve"> </w:t>
      </w:r>
      <w:hyperlink r:id="rId82" w:history="1">
        <w:r>
          <w:rPr>
            <w:rStyle w:val="Hyperlink"/>
            <w:rFonts w:ascii="Times New Roman" w:hAnsi="Times New Roman"/>
            <w:sz w:val="18"/>
          </w:rPr>
          <w:t>Regulamento de Execução (UE) 2025/1192 da Comissão</w:t>
        </w:r>
      </w:hyperlink>
      <w:r>
        <w:rPr>
          <w:rStyle w:val="CMR-footnoteChar"/>
        </w:rPr>
        <w:t>, JO L 1192 de 19.6.2025, ELI:</w:t>
      </w:r>
      <w:r>
        <w:rPr>
          <w:rFonts w:ascii="Times New Roman" w:hAnsi="Times New Roman"/>
          <w:sz w:val="18"/>
        </w:rPr>
        <w:t> </w:t>
      </w:r>
      <w:hyperlink r:id="rId83" w:tgtFrame="_blank" w:tooltip="Permite aceder ao documento através do seu identificador ELI." w:history="1">
        <w:r>
          <w:rPr>
            <w:rStyle w:val="Hyperlink"/>
            <w:rFonts w:ascii="Times New Roman" w:hAnsi="Times New Roman"/>
            <w:sz w:val="18"/>
          </w:rPr>
          <w:t>http://data.europa.eu/eli/reg_impl/2025/1192/oj</w:t>
        </w:r>
      </w:hyperlink>
      <w:r>
        <w:rPr>
          <w:rStyle w:val="CMR-footnoteChar"/>
        </w:rPr>
        <w:t>.</w:t>
      </w:r>
    </w:p>
  </w:footnote>
  <w:footnote w:id="102">
    <w:p w14:paraId="6F30665F" w14:textId="320C327D" w:rsidR="003444DD" w:rsidRPr="000C3E9D" w:rsidRDefault="003444DD" w:rsidP="00917BE8">
      <w:pPr>
        <w:pStyle w:val="CMR-footnote"/>
      </w:pPr>
      <w:r>
        <w:rPr>
          <w:rStyle w:val="CMR-footnoteChar"/>
          <w:vertAlign w:val="superscript"/>
        </w:rPr>
        <w:footnoteRef/>
      </w:r>
      <w:r>
        <w:t xml:space="preserve"> </w:t>
      </w:r>
      <w:hyperlink r:id="rId84" w:anchor="documentation" w:history="1">
        <w:r>
          <w:rPr>
            <w:rStyle w:val="Hyperlink"/>
          </w:rPr>
          <w:t>Monitoring, reporting and verification of EU ETS emissions</w:t>
        </w:r>
      </w:hyperlink>
      <w:r>
        <w:t xml:space="preserve"> [Monitorização, comunicação e verificação das emissões abrangidas pelo CELE], Direção-Geral da Ação Climática, 31.8.2024.</w:t>
      </w:r>
    </w:p>
  </w:footnote>
  <w:footnote w:id="103">
    <w:p w14:paraId="2425B4D8" w14:textId="46E9FC0F" w:rsidR="00DC6A6B" w:rsidRPr="00DC6A6B" w:rsidRDefault="00DC6A6B" w:rsidP="00DC6A6B">
      <w:pPr>
        <w:pStyle w:val="CMR-footnote"/>
      </w:pPr>
      <w:r>
        <w:rPr>
          <w:rStyle w:val="FootnoteReference"/>
        </w:rPr>
        <w:footnoteRef/>
      </w:r>
      <w:r>
        <w:t xml:space="preserve"> Documento de orientação, </w:t>
      </w:r>
      <w:r>
        <w:rPr>
          <w:i/>
        </w:rPr>
        <w:t>The Accreditation and Verification Regulation</w:t>
      </w:r>
      <w:r>
        <w:t xml:space="preserve"> – </w:t>
      </w:r>
      <w:hyperlink r:id="rId85" w:history="1">
        <w:r>
          <w:rPr>
            <w:rStyle w:val="Hyperlink"/>
          </w:rPr>
          <w:t>ETS2 Verification Guidance</w:t>
        </w:r>
      </w:hyperlink>
      <w:r>
        <w:t xml:space="preserve"> [não traduzido para português], junho de 2025.</w:t>
      </w:r>
    </w:p>
  </w:footnote>
  <w:footnote w:id="104">
    <w:p w14:paraId="5AFCC636" w14:textId="1977A704" w:rsidR="006E7F6D" w:rsidRPr="006E7F6D" w:rsidRDefault="006E7F6D" w:rsidP="006E7F6D">
      <w:pPr>
        <w:pStyle w:val="CMR-footnote"/>
      </w:pPr>
      <w:r>
        <w:rPr>
          <w:rStyle w:val="FootnoteReference"/>
        </w:rPr>
        <w:footnoteRef/>
      </w:r>
      <w:r>
        <w:t xml:space="preserve"> Estes países foram a Chéquia, a Dinamarca, a Irlanda, a Islândia, a Itália e o Listenstaine.</w:t>
      </w:r>
    </w:p>
  </w:footnote>
  <w:footnote w:id="105">
    <w:p w14:paraId="142B8C7A" w14:textId="77777777" w:rsidR="006922C5" w:rsidRPr="0051224B" w:rsidRDefault="006922C5" w:rsidP="00917BE8">
      <w:pPr>
        <w:pStyle w:val="CMR-footnote"/>
      </w:pPr>
      <w:r>
        <w:rPr>
          <w:rStyle w:val="FootnoteReference"/>
        </w:rPr>
        <w:footnoteRef/>
      </w:r>
      <w:r>
        <w:t xml:space="preserve"> Nos casos em que as autoridades regionais/locais são responsáveis pelo trabalho de monitorização, comunicação de informações e verificação, a autoridade central competente complementa esse trabalho analisando os documentos pertinentes (como os planos de monitorização), a fim de monitorizar a qualidade dos processos de monitorização, comunicação de informações e verificação.</w:t>
      </w:r>
    </w:p>
  </w:footnote>
  <w:footnote w:id="106">
    <w:p w14:paraId="2BFA6A7C" w14:textId="77777777" w:rsidR="0060292C" w:rsidRPr="0051224B" w:rsidRDefault="0060292C" w:rsidP="00917BE8">
      <w:pPr>
        <w:pStyle w:val="CMR-footnote"/>
      </w:pPr>
      <w:r>
        <w:rPr>
          <w:rStyle w:val="FootnoteReference"/>
        </w:rPr>
        <w:footnoteRef/>
      </w:r>
      <w:r>
        <w:t xml:space="preserve"> A multa é indexada à inflação.</w:t>
      </w:r>
    </w:p>
  </w:footnote>
  <w:footnote w:id="107">
    <w:p w14:paraId="40D3E7D2" w14:textId="7029701F" w:rsidR="0060292C" w:rsidRPr="0051224B" w:rsidRDefault="0060292C" w:rsidP="00917BE8">
      <w:pPr>
        <w:pStyle w:val="CMR-footnote"/>
      </w:pPr>
      <w:r>
        <w:rPr>
          <w:rStyle w:val="FootnoteReference"/>
        </w:rPr>
        <w:footnoteRef/>
      </w:r>
      <w:r>
        <w:t xml:space="preserve"> O artigo 34.º-A do Regulamento Acreditação e Verificação permite que o verificador efetue uma visita virtual, se circunstâncias excecionais e imprevisíveis o impedirem de realizar uma visita ao local. Tal só é permitido mediante a aprovação da autoridade competente e se estiverem preenchidas determinadas condições.</w:t>
      </w:r>
    </w:p>
  </w:footnote>
  <w:footnote w:id="108">
    <w:p w14:paraId="3E293956" w14:textId="77777777" w:rsidR="0060292C" w:rsidRPr="0051224B" w:rsidRDefault="0060292C" w:rsidP="00917BE8">
      <w:pPr>
        <w:pStyle w:val="CMR-footnote"/>
      </w:pPr>
      <w:r>
        <w:rPr>
          <w:rStyle w:val="FootnoteReference"/>
        </w:rPr>
        <w:footnoteRef/>
      </w:r>
      <w:r>
        <w:t xml:space="preserve"> Outros dois países (Irlanda do Norte e Listenstaine) não gerem operadores de aeronaves.</w:t>
      </w:r>
    </w:p>
  </w:footnote>
  <w:footnote w:id="109">
    <w:p w14:paraId="4E895F80" w14:textId="2C444FA2" w:rsidR="0060292C" w:rsidRPr="0051224B" w:rsidRDefault="0060292C" w:rsidP="00917BE8">
      <w:pPr>
        <w:pStyle w:val="CMR-footnote"/>
      </w:pPr>
      <w:r>
        <w:rPr>
          <w:rStyle w:val="FootnoteReference"/>
        </w:rPr>
        <w:footnoteRef/>
      </w:r>
      <w:r>
        <w:t xml:space="preserve"> Os 12 países são a Croácia (5), a Chéquia (5), a Finlândia (1), a França (4), a Hungria (6), a Itália (3), a Letónia (1), a Lituânia (2), os Países Baixos (1), a Polónia (18), a Espanha (1) e a Suécia (1).</w:t>
      </w:r>
    </w:p>
  </w:footnote>
  <w:footnote w:id="110">
    <w:p w14:paraId="682CED34" w14:textId="37313D0B" w:rsidR="65EC3A73" w:rsidRDefault="65EC3A73" w:rsidP="007F7046">
      <w:pPr>
        <w:pStyle w:val="CMR-footnote"/>
        <w:rPr>
          <w:rFonts w:ascii="Segoe UI" w:eastAsia="Segoe UI" w:hAnsi="Segoe UI" w:cs="Segoe UI"/>
          <w:sz w:val="24"/>
          <w:szCs w:val="24"/>
        </w:rPr>
      </w:pPr>
      <w:r>
        <w:rPr>
          <w:vertAlign w:val="superscript"/>
        </w:rPr>
        <w:footnoteRef/>
      </w:r>
      <w:r>
        <w:rPr>
          <w:vertAlign w:val="superscript"/>
        </w:rPr>
        <w:t xml:space="preserve"> </w:t>
      </w:r>
      <w:r>
        <w:t>Os três países são a Hungria (1), a Letónia (1) e a Suécia (2).</w:t>
      </w:r>
    </w:p>
  </w:footnote>
  <w:footnote w:id="111">
    <w:p w14:paraId="3A73A4AE" w14:textId="26BDB95E" w:rsidR="65EC3A73" w:rsidRDefault="65EC3A73" w:rsidP="007F7046">
      <w:pPr>
        <w:pStyle w:val="CMR-footnote"/>
        <w:rPr>
          <w:rFonts w:ascii="Segoe UI" w:eastAsia="Segoe UI" w:hAnsi="Segoe UI" w:cs="Segoe UI"/>
          <w:sz w:val="24"/>
          <w:szCs w:val="24"/>
        </w:rPr>
      </w:pPr>
      <w:r>
        <w:rPr>
          <w:vertAlign w:val="superscript"/>
        </w:rPr>
        <w:footnoteRef/>
      </w:r>
      <w:r>
        <w:rPr>
          <w:vertAlign w:val="superscript"/>
        </w:rPr>
        <w:t xml:space="preserve"> </w:t>
      </w:r>
      <w:r>
        <w:t>Os seis países são a Dinamarca (2), a Croácia (2), a Itália (6), a Letónia (2), a Espanha (6) e a Suécia (1).</w:t>
      </w:r>
    </w:p>
  </w:footnote>
  <w:footnote w:id="112">
    <w:p w14:paraId="6E4F07F1" w14:textId="6E58599B" w:rsidR="002741ED" w:rsidRPr="002741ED" w:rsidRDefault="002741ED" w:rsidP="00EC37FE">
      <w:pPr>
        <w:pStyle w:val="CMR-footnote"/>
      </w:pPr>
      <w:r>
        <w:rPr>
          <w:vertAlign w:val="superscript"/>
        </w:rPr>
        <w:footnoteRef/>
      </w:r>
      <w:r>
        <w:t xml:space="preserve"> À data da redação do presente relatório, foram finalizados três documentos de orientação principais em 2024/2025, que estão atualmente disponíveis ao público: as orientações gerais MCV/CELE para as companhias de transporte marítimo (documento de orientação n.º 1), as orientações gerais sobre o processo de aprovação dos planos de monitorização pelas autoridades administradoras (documento de orientação n.º 2) e as orientações gerais sobre acreditação e verificação (documento de orientação n.º 3).</w:t>
      </w:r>
    </w:p>
  </w:footnote>
  <w:footnote w:id="113">
    <w:p w14:paraId="2893B7D9" w14:textId="30F28251" w:rsidR="00E979CF" w:rsidRPr="00B00AAC" w:rsidRDefault="00B00AAC" w:rsidP="00854C42">
      <w:pPr>
        <w:pStyle w:val="CMR-footnote"/>
      </w:pPr>
      <w:r>
        <w:rPr>
          <w:vertAlign w:val="superscript"/>
        </w:rPr>
        <w:footnoteRef/>
      </w:r>
      <w:r>
        <w:rPr>
          <w:vertAlign w:val="superscript"/>
        </w:rPr>
        <w:t xml:space="preserve"> </w:t>
      </w:r>
      <w:r>
        <w:t>Este valor abrange as emissões dos navios sob a responsabilidade das companhias de transporte marítimo ativas no âmbito do CELE, excluindo os navios e as atividades abrangidos apenas pelo âmbito de aplicação do MCV (por exemplo, devido à arqueação bruta, ao tipo de navio) e excluindo as emissões de metano e de óxido nitroso. Os dados mencionados na presente secção foram extraídos do THETIS-MRV, tal como comunicados nos relatórios a nível da companhia apresentados pelas companhias de transporte marítimo em 15 de outubro de 2025.</w:t>
      </w:r>
    </w:p>
  </w:footnote>
  <w:footnote w:id="114">
    <w:p w14:paraId="46418883" w14:textId="627E31A5" w:rsidR="007E36D0" w:rsidRPr="007E36D0" w:rsidRDefault="007E36D0" w:rsidP="00927719">
      <w:pPr>
        <w:pStyle w:val="FootnoteText"/>
        <w:jc w:val="both"/>
      </w:pPr>
      <w:r>
        <w:rPr>
          <w:rStyle w:val="FootnoteReference"/>
        </w:rPr>
        <w:footnoteRef/>
      </w:r>
      <w:r>
        <w:t xml:space="preserve"> </w:t>
      </w:r>
      <w:r>
        <w:rPr>
          <w:rStyle w:val="CMR-footnoteChar"/>
        </w:rPr>
        <w:t>Combustíveis abrangidos pela classe de «combustíveis fósseis», em conformidade com a classificação constante do anexo I, parte A, do Regulamento (UE) 2015/757.</w:t>
      </w:r>
    </w:p>
  </w:footnote>
  <w:footnote w:id="115">
    <w:p w14:paraId="3427D247" w14:textId="753E7F37" w:rsidR="00E979CF" w:rsidRPr="00820150" w:rsidRDefault="00E979CF" w:rsidP="00820150">
      <w:pPr>
        <w:pStyle w:val="CMR-footnote"/>
        <w:rPr>
          <w:b/>
        </w:rPr>
      </w:pPr>
      <w:r>
        <w:rPr>
          <w:vertAlign w:val="superscript"/>
        </w:rPr>
        <w:footnoteRef/>
      </w:r>
      <w:r>
        <w:rPr>
          <w:vertAlign w:val="superscript"/>
        </w:rPr>
        <w:t xml:space="preserve"> </w:t>
      </w:r>
      <w:r>
        <w:t xml:space="preserve">Tal como em períodos de comunicação anteriores no âmbito do sistema MCV antes do alargamento do CELE ao transporte marítimo, as companhias de transporte marítimo basearam-se exclusivamente na abordagem de cálculo para determinar as emissões. </w:t>
      </w:r>
    </w:p>
  </w:footnote>
  <w:footnote w:id="116">
    <w:p w14:paraId="0F24F632" w14:textId="1AD61F78" w:rsidR="00762044" w:rsidRPr="00854C42" w:rsidRDefault="00762044" w:rsidP="00854C42">
      <w:pPr>
        <w:pStyle w:val="CMR-footnote"/>
      </w:pPr>
      <w:r>
        <w:rPr>
          <w:vertAlign w:val="superscript"/>
        </w:rPr>
        <w:footnoteRef/>
      </w:r>
      <w:r>
        <w:rPr>
          <w:vertAlign w:val="superscript"/>
        </w:rPr>
        <w:t xml:space="preserve"> </w:t>
      </w:r>
      <w:r>
        <w:t>Foram deduzidos mais 0,5 Mt na sequência da aplicação voluntária da dedução para os navios de classe de gelo.</w:t>
      </w:r>
    </w:p>
  </w:footnote>
  <w:footnote w:id="117">
    <w:p w14:paraId="7EB71A63" w14:textId="06BD0963" w:rsidR="000C7282" w:rsidRPr="000C7282" w:rsidRDefault="000C7282" w:rsidP="00F5668E">
      <w:pPr>
        <w:pStyle w:val="CMR-footnote"/>
      </w:pPr>
      <w:r>
        <w:rPr>
          <w:rStyle w:val="FootnoteReference"/>
        </w:rPr>
        <w:footnoteRef/>
      </w:r>
      <w:r>
        <w:t xml:space="preserve"> </w:t>
      </w:r>
      <w:r>
        <w:rPr>
          <w:rStyle w:val="CMR-footnoteChar"/>
        </w:rPr>
        <w:t>Artigo 3.º-GF da Diretiva CELE.</w:t>
      </w:r>
    </w:p>
  </w:footnote>
  <w:footnote w:id="118">
    <w:p w14:paraId="77BB684A" w14:textId="77777777" w:rsidR="00EC12E1" w:rsidRDefault="00EC12E1" w:rsidP="00EC12E1">
      <w:pPr>
        <w:pStyle w:val="CMR-footnote"/>
      </w:pPr>
      <w:r>
        <w:rPr>
          <w:vertAlign w:val="superscript"/>
        </w:rPr>
        <w:footnoteRef/>
      </w:r>
      <w:r>
        <w:t xml:space="preserve"> A quantidade de licenças de emissão devidas comunicada é determinada com base nos valores comunicados pelas companhias no Registo da União em 1 de outubro de 2025.</w:t>
      </w:r>
    </w:p>
  </w:footnote>
  <w:footnote w:id="119">
    <w:p w14:paraId="0A4D5F44" w14:textId="1CCA739D" w:rsidR="00495EF0" w:rsidRPr="008A04B8" w:rsidRDefault="00C6468B" w:rsidP="00F5668E">
      <w:pPr>
        <w:pStyle w:val="CMR-footnote"/>
      </w:pPr>
      <w:r>
        <w:rPr>
          <w:rStyle w:val="FootnoteReference"/>
        </w:rPr>
        <w:footnoteRef/>
      </w:r>
      <w:r>
        <w:t xml:space="preserve"> </w:t>
      </w:r>
      <w:hyperlink r:id="rId86" w:anchor="documentation" w:history="1">
        <w:r>
          <w:rPr>
            <w:rStyle w:val="Hyperlink"/>
          </w:rPr>
          <w:t>ETS2:</w:t>
        </w:r>
      </w:hyperlink>
      <w:hyperlink r:id="rId87" w:anchor="documentation" w:history="1">
        <w:r>
          <w:rPr>
            <w:rStyle w:val="Hyperlink"/>
          </w:rPr>
          <w:t>buildings, road transport and additional sectors</w:t>
        </w:r>
      </w:hyperlink>
      <w:r>
        <w:t xml:space="preserve"> [CELE 2: edifícios, transporte rodoviário e setores adicionais] </w:t>
      </w:r>
      <w:r>
        <w:rPr>
          <w:rStyle w:val="CMR-footnoteChar"/>
        </w:rPr>
        <w:t>, DG</w:t>
      </w:r>
      <w:r w:rsidR="00927719">
        <w:rPr>
          <w:rStyle w:val="CMR-footnoteChar"/>
        </w:rPr>
        <w:t> </w:t>
      </w:r>
      <w:r>
        <w:rPr>
          <w:rStyle w:val="CMR-footnoteChar"/>
        </w:rPr>
        <w:t xml:space="preserve">Ação Climática. </w:t>
      </w:r>
    </w:p>
  </w:footnote>
  <w:footnote w:id="120">
    <w:p w14:paraId="2D6E6D53" w14:textId="3CCA65A1" w:rsidR="00983C03" w:rsidRDefault="00983C03" w:rsidP="00F5668E">
      <w:pPr>
        <w:pStyle w:val="CMR-footnote"/>
      </w:pPr>
      <w:r>
        <w:rPr>
          <w:rStyle w:val="FootnoteReference"/>
        </w:rPr>
        <w:footnoteRef/>
      </w:r>
      <w:r>
        <w:t xml:space="preserve"> </w:t>
      </w:r>
      <w:hyperlink r:id="rId88" w:history="1">
        <w:r>
          <w:rPr>
            <w:rStyle w:val="Hyperlink"/>
          </w:rPr>
          <w:t>Diretiva (UE) 2023/1791</w:t>
        </w:r>
      </w:hyperlink>
      <w:r>
        <w:t xml:space="preserve">, de 13 de setembro de 2023, que altera o Regulamento (UE) 2023/955 (reformulação), </w:t>
      </w:r>
      <w:hyperlink r:id="rId89" w:history="1">
        <w:r>
          <w:rPr>
            <w:rStyle w:val="Hyperlink"/>
          </w:rPr>
          <w:t>JO L 231</w:t>
        </w:r>
      </w:hyperlink>
      <w:r>
        <w:t xml:space="preserve"> de 20.9.2023.</w:t>
      </w:r>
    </w:p>
  </w:footnote>
  <w:footnote w:id="121">
    <w:p w14:paraId="1C348AE9" w14:textId="795052BF" w:rsidR="0048515B" w:rsidRPr="001F4341" w:rsidRDefault="0048515B" w:rsidP="001F4341">
      <w:pPr>
        <w:pStyle w:val="CMR-footnote"/>
      </w:pPr>
      <w:r>
        <w:rPr>
          <w:rStyle w:val="FootnoteReference"/>
        </w:rPr>
        <w:footnoteRef/>
      </w:r>
      <w:r>
        <w:t xml:space="preserve"> </w:t>
      </w:r>
      <w:hyperlink r:id="rId90" w:history="1">
        <w:r>
          <w:rPr>
            <w:rStyle w:val="Hyperlink"/>
          </w:rPr>
          <w:t>COM (2025) 274 final</w:t>
        </w:r>
      </w:hyperlink>
      <w:r>
        <w:t xml:space="preserve"> – Avaliação à escala da UE das versões finais das atualizações dos planos nacionais integrados em matéria de energia e de clima – Cumprir os objetivos da União em matéria de energia e de clima para 2030, 27.5.2025. Consultar o </w:t>
      </w:r>
      <w:hyperlink r:id="rId91" w:history="1">
        <w:r>
          <w:rPr>
            <w:rStyle w:val="Hyperlink"/>
          </w:rPr>
          <w:t>documento de trabalho dos serviços da Comissão</w:t>
        </w:r>
      </w:hyperlink>
      <w:r>
        <w:t xml:space="preserve"> que acompanha a comunicação.</w:t>
      </w:r>
    </w:p>
  </w:footnote>
  <w:footnote w:id="122">
    <w:p w14:paraId="0EE382D7" w14:textId="1983683E" w:rsidR="004024EB" w:rsidRPr="004024EB" w:rsidRDefault="004024EB" w:rsidP="004024EB">
      <w:pPr>
        <w:pStyle w:val="CMR-footnote"/>
      </w:pPr>
      <w:r>
        <w:rPr>
          <w:rStyle w:val="FootnoteReference"/>
        </w:rPr>
        <w:footnoteRef/>
      </w:r>
      <w:r>
        <w:t xml:space="preserve"> Ver a nota de rodapé 121.</w:t>
      </w:r>
    </w:p>
  </w:footnote>
  <w:footnote w:id="123">
    <w:p w14:paraId="0BE665C6" w14:textId="6142D9EE" w:rsidR="009E4E7E" w:rsidRPr="009E4E7E" w:rsidRDefault="009E4E7E" w:rsidP="008C5AA6">
      <w:pPr>
        <w:pStyle w:val="CMR-footnote"/>
      </w:pPr>
      <w:r>
        <w:rPr>
          <w:rStyle w:val="FootnoteReference"/>
        </w:rPr>
        <w:footnoteRef/>
      </w:r>
      <w:r>
        <w:t xml:space="preserve"> Avaliação pela Comissão das versões finais dos PNEC atualizados da </w:t>
      </w:r>
      <w:hyperlink r:id="rId92" w:history="1">
        <w:r>
          <w:rPr>
            <w:rStyle w:val="Hyperlink"/>
          </w:rPr>
          <w:t>Estónia</w:t>
        </w:r>
      </w:hyperlink>
      <w:r>
        <w:t xml:space="preserve"> e da </w:t>
      </w:r>
      <w:hyperlink r:id="rId93" w:history="1">
        <w:r>
          <w:rPr>
            <w:rStyle w:val="Hyperlink"/>
          </w:rPr>
          <w:t>Eslováquia</w:t>
        </w:r>
      </w:hyperlink>
      <w:r>
        <w:t xml:space="preserve"> (SWD/2025/282).</w:t>
      </w:r>
    </w:p>
  </w:footnote>
  <w:footnote w:id="124">
    <w:p w14:paraId="39D12CE9" w14:textId="5CAF5D45" w:rsidR="008C1C8A" w:rsidRPr="008C1C8A" w:rsidRDefault="008C1C8A">
      <w:pPr>
        <w:pStyle w:val="FootnoteText"/>
      </w:pPr>
      <w:r>
        <w:rPr>
          <w:rStyle w:val="FootnoteReference"/>
        </w:rPr>
        <w:footnoteRef/>
      </w:r>
      <w:r>
        <w:t xml:space="preserve"> </w:t>
      </w:r>
      <w:hyperlink r:id="rId94" w:history="1">
        <w:r>
          <w:rPr>
            <w:rStyle w:val="Hyperlink"/>
            <w:rFonts w:ascii="Times New Roman" w:hAnsi="Times New Roman"/>
            <w:sz w:val="18"/>
          </w:rPr>
          <w:t>https://climate.ec.europa.eu/eu-action/climate-strategies-targets/progress-climate-action/eu-climate-action-progress-report-2025_en</w:t>
        </w:r>
      </w:hyperlink>
    </w:p>
  </w:footnote>
  <w:footnote w:id="125">
    <w:p w14:paraId="353DF671" w14:textId="2D5067F6" w:rsidR="00C85430" w:rsidRPr="00D17201" w:rsidRDefault="00C85430" w:rsidP="00917BE8">
      <w:pPr>
        <w:pStyle w:val="CMR-footnote"/>
      </w:pPr>
      <w:r>
        <w:rPr>
          <w:rStyle w:val="FootnoteReference"/>
        </w:rPr>
        <w:footnoteRef/>
      </w:r>
      <w:r>
        <w:t xml:space="preserve"> </w:t>
      </w:r>
      <w:r>
        <w:rPr>
          <w:shd w:val="clear" w:color="auto" w:fill="FFFFFF"/>
        </w:rPr>
        <w:t>Acordo entre a União Europeia e a Confederação Suíça sobre a ligação dos respetivos regimes de comércio de licenças de emissão de gases com efeito de estufa</w:t>
      </w:r>
      <w:r>
        <w:t xml:space="preserve"> (</w:t>
      </w:r>
      <w:hyperlink r:id="rId95" w:history="1">
        <w:r>
          <w:rPr>
            <w:rStyle w:val="Hyperlink"/>
            <w:color w:val="337AB7"/>
            <w:sz w:val="19"/>
            <w:shd w:val="clear" w:color="auto" w:fill="FFFFFF"/>
          </w:rPr>
          <w:t>JO L 322</w:t>
        </w:r>
      </w:hyperlink>
      <w:r>
        <w:t xml:space="preserve"> de 7.12.2017).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A28E3" w14:textId="77777777" w:rsidR="00DD22DB" w:rsidRPr="00DD22DB" w:rsidRDefault="00DD22DB" w:rsidP="00DD22DB">
    <w:pPr>
      <w:pStyle w:val="HeaderCoverPage"/>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6CC05" w14:textId="77777777" w:rsidR="00126559" w:rsidRDefault="0012655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44143" w14:textId="77777777" w:rsidR="00126559" w:rsidRDefault="0012655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60FAF" w14:textId="77777777" w:rsidR="00126559" w:rsidRDefault="0012655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1AA27" w14:textId="77777777" w:rsidR="00890E07" w:rsidRDefault="00890E0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38B0C" w14:textId="77777777" w:rsidR="00890E07" w:rsidRDefault="00890E0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DDED0" w14:textId="77777777" w:rsidR="00890E07" w:rsidRDefault="00890E0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2D2C4" w14:textId="77777777" w:rsidR="00890E07" w:rsidRDefault="00890E0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DC37B" w14:textId="77777777" w:rsidR="00890E07" w:rsidRDefault="00890E0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DAF3C" w14:textId="77777777" w:rsidR="00890E07" w:rsidRDefault="00890E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E83A7" w14:textId="77777777" w:rsidR="00DD22DB" w:rsidRPr="00DD22DB" w:rsidRDefault="00DD22DB" w:rsidP="00DD22DB">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6546E" w14:textId="77777777" w:rsidR="00DD22DB" w:rsidRPr="00DD22DB" w:rsidRDefault="00DD22DB" w:rsidP="00DD22DB">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A443C" w14:textId="77777777" w:rsidR="00464745" w:rsidRDefault="0046474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ACF6B" w14:textId="77777777" w:rsidR="000C3DBF" w:rsidRDefault="000C3DB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E5E03" w14:textId="77777777" w:rsidR="00535E6D" w:rsidRDefault="00535E6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58AEA" w14:textId="77777777" w:rsidR="00126559" w:rsidRDefault="0012655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DC9BE" w14:textId="77777777" w:rsidR="00126559" w:rsidRDefault="0012655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AA1B4" w14:textId="77777777" w:rsidR="00126559" w:rsidRDefault="001265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A59F9"/>
    <w:multiLevelType w:val="hybridMultilevel"/>
    <w:tmpl w:val="C8BEBD42"/>
    <w:lvl w:ilvl="0" w:tplc="18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CA6EB0"/>
    <w:multiLevelType w:val="hybridMultilevel"/>
    <w:tmpl w:val="28B2BF22"/>
    <w:lvl w:ilvl="0" w:tplc="1B586B54">
      <w:start w:val="1"/>
      <w:numFmt w:val="bullet"/>
      <w:lvlText w:val=""/>
      <w:lvlJc w:val="left"/>
      <w:pPr>
        <w:ind w:left="1440" w:hanging="360"/>
      </w:pPr>
      <w:rPr>
        <w:rFonts w:ascii="Symbol" w:hAnsi="Symbol"/>
      </w:rPr>
    </w:lvl>
    <w:lvl w:ilvl="1" w:tplc="153CF760">
      <w:start w:val="1"/>
      <w:numFmt w:val="bullet"/>
      <w:lvlText w:val=""/>
      <w:lvlJc w:val="left"/>
      <w:pPr>
        <w:ind w:left="1440" w:hanging="360"/>
      </w:pPr>
      <w:rPr>
        <w:rFonts w:ascii="Symbol" w:hAnsi="Symbol"/>
      </w:rPr>
    </w:lvl>
    <w:lvl w:ilvl="2" w:tplc="9F46CB0A">
      <w:start w:val="1"/>
      <w:numFmt w:val="bullet"/>
      <w:lvlText w:val=""/>
      <w:lvlJc w:val="left"/>
      <w:pPr>
        <w:ind w:left="1440" w:hanging="360"/>
      </w:pPr>
      <w:rPr>
        <w:rFonts w:ascii="Symbol" w:hAnsi="Symbol"/>
      </w:rPr>
    </w:lvl>
    <w:lvl w:ilvl="3" w:tplc="D05E25E8">
      <w:start w:val="1"/>
      <w:numFmt w:val="bullet"/>
      <w:lvlText w:val=""/>
      <w:lvlJc w:val="left"/>
      <w:pPr>
        <w:ind w:left="1440" w:hanging="360"/>
      </w:pPr>
      <w:rPr>
        <w:rFonts w:ascii="Symbol" w:hAnsi="Symbol"/>
      </w:rPr>
    </w:lvl>
    <w:lvl w:ilvl="4" w:tplc="AF062E6C">
      <w:start w:val="1"/>
      <w:numFmt w:val="bullet"/>
      <w:lvlText w:val=""/>
      <w:lvlJc w:val="left"/>
      <w:pPr>
        <w:ind w:left="1440" w:hanging="360"/>
      </w:pPr>
      <w:rPr>
        <w:rFonts w:ascii="Symbol" w:hAnsi="Symbol"/>
      </w:rPr>
    </w:lvl>
    <w:lvl w:ilvl="5" w:tplc="65003C18">
      <w:start w:val="1"/>
      <w:numFmt w:val="bullet"/>
      <w:lvlText w:val=""/>
      <w:lvlJc w:val="left"/>
      <w:pPr>
        <w:ind w:left="1440" w:hanging="360"/>
      </w:pPr>
      <w:rPr>
        <w:rFonts w:ascii="Symbol" w:hAnsi="Symbol"/>
      </w:rPr>
    </w:lvl>
    <w:lvl w:ilvl="6" w:tplc="E116BFE6">
      <w:start w:val="1"/>
      <w:numFmt w:val="bullet"/>
      <w:lvlText w:val=""/>
      <w:lvlJc w:val="left"/>
      <w:pPr>
        <w:ind w:left="1440" w:hanging="360"/>
      </w:pPr>
      <w:rPr>
        <w:rFonts w:ascii="Symbol" w:hAnsi="Symbol"/>
      </w:rPr>
    </w:lvl>
    <w:lvl w:ilvl="7" w:tplc="82D6D324">
      <w:start w:val="1"/>
      <w:numFmt w:val="bullet"/>
      <w:lvlText w:val=""/>
      <w:lvlJc w:val="left"/>
      <w:pPr>
        <w:ind w:left="1440" w:hanging="360"/>
      </w:pPr>
      <w:rPr>
        <w:rFonts w:ascii="Symbol" w:hAnsi="Symbol"/>
      </w:rPr>
    </w:lvl>
    <w:lvl w:ilvl="8" w:tplc="AAB2FF3C">
      <w:start w:val="1"/>
      <w:numFmt w:val="bullet"/>
      <w:lvlText w:val=""/>
      <w:lvlJc w:val="left"/>
      <w:pPr>
        <w:ind w:left="1440" w:hanging="360"/>
      </w:pPr>
      <w:rPr>
        <w:rFonts w:ascii="Symbol" w:hAnsi="Symbol"/>
      </w:rPr>
    </w:lvl>
  </w:abstractNum>
  <w:abstractNum w:abstractNumId="2" w15:restartNumberingAfterBreak="0">
    <w:nsid w:val="0BBD7281"/>
    <w:multiLevelType w:val="hybridMultilevel"/>
    <w:tmpl w:val="2EB88E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74785C"/>
    <w:multiLevelType w:val="hybridMultilevel"/>
    <w:tmpl w:val="AB2A1AC8"/>
    <w:lvl w:ilvl="0" w:tplc="BC2EA328">
      <w:start w:val="16"/>
      <w:numFmt w:val="bullet"/>
      <w:lvlText w:val="-"/>
      <w:lvlJc w:val="left"/>
      <w:pPr>
        <w:ind w:left="644" w:hanging="360"/>
      </w:pPr>
      <w:rPr>
        <w:rFonts w:ascii="Calibri" w:eastAsiaTheme="minorHAns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DBD32C1"/>
    <w:multiLevelType w:val="hybridMultilevel"/>
    <w:tmpl w:val="A5B0C8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E3B1A87"/>
    <w:multiLevelType w:val="hybridMultilevel"/>
    <w:tmpl w:val="7B16A150"/>
    <w:lvl w:ilvl="0" w:tplc="31A4A7D8">
      <w:start w:val="1"/>
      <w:numFmt w:val="bullet"/>
      <w:lvlText w:val="-"/>
      <w:lvlJc w:val="left"/>
      <w:pPr>
        <w:ind w:left="720" w:hanging="360"/>
      </w:pPr>
      <w:rPr>
        <w:rFonts w:ascii="Aptos" w:hAnsi="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AA5363"/>
    <w:multiLevelType w:val="hybridMultilevel"/>
    <w:tmpl w:val="73F6FF88"/>
    <w:lvl w:ilvl="0" w:tplc="2D64AD06">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3A3B234"/>
    <w:multiLevelType w:val="hybridMultilevel"/>
    <w:tmpl w:val="196E05DE"/>
    <w:lvl w:ilvl="0" w:tplc="92AC529C">
      <w:start w:val="1"/>
      <w:numFmt w:val="bullet"/>
      <w:lvlText w:val="-"/>
      <w:lvlJc w:val="left"/>
      <w:pPr>
        <w:ind w:left="720" w:hanging="360"/>
      </w:pPr>
      <w:rPr>
        <w:rFonts w:ascii="Aptos" w:hAnsi="Aptos" w:hint="default"/>
      </w:rPr>
    </w:lvl>
    <w:lvl w:ilvl="1" w:tplc="BC3A7EBC">
      <w:start w:val="1"/>
      <w:numFmt w:val="bullet"/>
      <w:lvlText w:val="o"/>
      <w:lvlJc w:val="left"/>
      <w:pPr>
        <w:ind w:left="1440" w:hanging="360"/>
      </w:pPr>
      <w:rPr>
        <w:rFonts w:ascii="Courier New" w:hAnsi="Courier New" w:hint="default"/>
      </w:rPr>
    </w:lvl>
    <w:lvl w:ilvl="2" w:tplc="5B2C04E6">
      <w:start w:val="1"/>
      <w:numFmt w:val="bullet"/>
      <w:lvlText w:val=""/>
      <w:lvlJc w:val="left"/>
      <w:pPr>
        <w:ind w:left="2160" w:hanging="360"/>
      </w:pPr>
      <w:rPr>
        <w:rFonts w:ascii="Wingdings" w:hAnsi="Wingdings" w:hint="default"/>
      </w:rPr>
    </w:lvl>
    <w:lvl w:ilvl="3" w:tplc="45FE90C6">
      <w:start w:val="1"/>
      <w:numFmt w:val="bullet"/>
      <w:lvlText w:val=""/>
      <w:lvlJc w:val="left"/>
      <w:pPr>
        <w:ind w:left="2880" w:hanging="360"/>
      </w:pPr>
      <w:rPr>
        <w:rFonts w:ascii="Symbol" w:hAnsi="Symbol" w:hint="default"/>
      </w:rPr>
    </w:lvl>
    <w:lvl w:ilvl="4" w:tplc="A29A5682">
      <w:start w:val="1"/>
      <w:numFmt w:val="bullet"/>
      <w:lvlText w:val="o"/>
      <w:lvlJc w:val="left"/>
      <w:pPr>
        <w:ind w:left="3600" w:hanging="360"/>
      </w:pPr>
      <w:rPr>
        <w:rFonts w:ascii="Courier New" w:hAnsi="Courier New" w:hint="default"/>
      </w:rPr>
    </w:lvl>
    <w:lvl w:ilvl="5" w:tplc="27CE5DC0">
      <w:start w:val="1"/>
      <w:numFmt w:val="bullet"/>
      <w:lvlText w:val=""/>
      <w:lvlJc w:val="left"/>
      <w:pPr>
        <w:ind w:left="4320" w:hanging="360"/>
      </w:pPr>
      <w:rPr>
        <w:rFonts w:ascii="Wingdings" w:hAnsi="Wingdings" w:hint="default"/>
      </w:rPr>
    </w:lvl>
    <w:lvl w:ilvl="6" w:tplc="F2A65B46">
      <w:start w:val="1"/>
      <w:numFmt w:val="bullet"/>
      <w:lvlText w:val=""/>
      <w:lvlJc w:val="left"/>
      <w:pPr>
        <w:ind w:left="5040" w:hanging="360"/>
      </w:pPr>
      <w:rPr>
        <w:rFonts w:ascii="Symbol" w:hAnsi="Symbol" w:hint="default"/>
      </w:rPr>
    </w:lvl>
    <w:lvl w:ilvl="7" w:tplc="E1EA7F48">
      <w:start w:val="1"/>
      <w:numFmt w:val="bullet"/>
      <w:lvlText w:val="o"/>
      <w:lvlJc w:val="left"/>
      <w:pPr>
        <w:ind w:left="5760" w:hanging="360"/>
      </w:pPr>
      <w:rPr>
        <w:rFonts w:ascii="Courier New" w:hAnsi="Courier New" w:hint="default"/>
      </w:rPr>
    </w:lvl>
    <w:lvl w:ilvl="8" w:tplc="5E3CAFBC">
      <w:start w:val="1"/>
      <w:numFmt w:val="bullet"/>
      <w:lvlText w:val=""/>
      <w:lvlJc w:val="left"/>
      <w:pPr>
        <w:ind w:left="6480" w:hanging="360"/>
      </w:pPr>
      <w:rPr>
        <w:rFonts w:ascii="Wingdings" w:hAnsi="Wingdings" w:hint="default"/>
      </w:rPr>
    </w:lvl>
  </w:abstractNum>
  <w:abstractNum w:abstractNumId="8" w15:restartNumberingAfterBreak="0">
    <w:nsid w:val="14E13037"/>
    <w:multiLevelType w:val="hybridMultilevel"/>
    <w:tmpl w:val="DEBEBF52"/>
    <w:lvl w:ilvl="0" w:tplc="3F52A286">
      <w:start w:val="1"/>
      <w:numFmt w:val="bullet"/>
      <w:lvlText w:val=""/>
      <w:lvlJc w:val="left"/>
      <w:pPr>
        <w:ind w:left="1020" w:hanging="360"/>
      </w:pPr>
      <w:rPr>
        <w:rFonts w:ascii="Symbol" w:hAnsi="Symbol"/>
      </w:rPr>
    </w:lvl>
    <w:lvl w:ilvl="1" w:tplc="7F5C7FFC">
      <w:start w:val="1"/>
      <w:numFmt w:val="bullet"/>
      <w:lvlText w:val=""/>
      <w:lvlJc w:val="left"/>
      <w:pPr>
        <w:ind w:left="1020" w:hanging="360"/>
      </w:pPr>
      <w:rPr>
        <w:rFonts w:ascii="Symbol" w:hAnsi="Symbol"/>
      </w:rPr>
    </w:lvl>
    <w:lvl w:ilvl="2" w:tplc="81F633BA">
      <w:start w:val="1"/>
      <w:numFmt w:val="bullet"/>
      <w:lvlText w:val=""/>
      <w:lvlJc w:val="left"/>
      <w:pPr>
        <w:ind w:left="1020" w:hanging="360"/>
      </w:pPr>
      <w:rPr>
        <w:rFonts w:ascii="Symbol" w:hAnsi="Symbol"/>
      </w:rPr>
    </w:lvl>
    <w:lvl w:ilvl="3" w:tplc="F4506AA8">
      <w:start w:val="1"/>
      <w:numFmt w:val="bullet"/>
      <w:lvlText w:val=""/>
      <w:lvlJc w:val="left"/>
      <w:pPr>
        <w:ind w:left="1020" w:hanging="360"/>
      </w:pPr>
      <w:rPr>
        <w:rFonts w:ascii="Symbol" w:hAnsi="Symbol"/>
      </w:rPr>
    </w:lvl>
    <w:lvl w:ilvl="4" w:tplc="11961136">
      <w:start w:val="1"/>
      <w:numFmt w:val="bullet"/>
      <w:lvlText w:val=""/>
      <w:lvlJc w:val="left"/>
      <w:pPr>
        <w:ind w:left="1020" w:hanging="360"/>
      </w:pPr>
      <w:rPr>
        <w:rFonts w:ascii="Symbol" w:hAnsi="Symbol"/>
      </w:rPr>
    </w:lvl>
    <w:lvl w:ilvl="5" w:tplc="A4049604">
      <w:start w:val="1"/>
      <w:numFmt w:val="bullet"/>
      <w:lvlText w:val=""/>
      <w:lvlJc w:val="left"/>
      <w:pPr>
        <w:ind w:left="1020" w:hanging="360"/>
      </w:pPr>
      <w:rPr>
        <w:rFonts w:ascii="Symbol" w:hAnsi="Symbol"/>
      </w:rPr>
    </w:lvl>
    <w:lvl w:ilvl="6" w:tplc="7CD8D7D2">
      <w:start w:val="1"/>
      <w:numFmt w:val="bullet"/>
      <w:lvlText w:val=""/>
      <w:lvlJc w:val="left"/>
      <w:pPr>
        <w:ind w:left="1020" w:hanging="360"/>
      </w:pPr>
      <w:rPr>
        <w:rFonts w:ascii="Symbol" w:hAnsi="Symbol"/>
      </w:rPr>
    </w:lvl>
    <w:lvl w:ilvl="7" w:tplc="36585476">
      <w:start w:val="1"/>
      <w:numFmt w:val="bullet"/>
      <w:lvlText w:val=""/>
      <w:lvlJc w:val="left"/>
      <w:pPr>
        <w:ind w:left="1020" w:hanging="360"/>
      </w:pPr>
      <w:rPr>
        <w:rFonts w:ascii="Symbol" w:hAnsi="Symbol"/>
      </w:rPr>
    </w:lvl>
    <w:lvl w:ilvl="8" w:tplc="CE88E732">
      <w:start w:val="1"/>
      <w:numFmt w:val="bullet"/>
      <w:lvlText w:val=""/>
      <w:lvlJc w:val="left"/>
      <w:pPr>
        <w:ind w:left="1020" w:hanging="360"/>
      </w:pPr>
      <w:rPr>
        <w:rFonts w:ascii="Symbol" w:hAnsi="Symbol"/>
      </w:rPr>
    </w:lvl>
  </w:abstractNum>
  <w:abstractNum w:abstractNumId="9" w15:restartNumberingAfterBreak="0">
    <w:nsid w:val="158D6C86"/>
    <w:multiLevelType w:val="hybridMultilevel"/>
    <w:tmpl w:val="542217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5A05FB9"/>
    <w:multiLevelType w:val="hybridMultilevel"/>
    <w:tmpl w:val="221AC820"/>
    <w:lvl w:ilvl="0" w:tplc="BC2EA328">
      <w:start w:val="16"/>
      <w:numFmt w:val="bullet"/>
      <w:lvlText w:val="-"/>
      <w:lvlJc w:val="left"/>
      <w:pPr>
        <w:ind w:left="644"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8B7524E"/>
    <w:multiLevelType w:val="multilevel"/>
    <w:tmpl w:val="5C5CB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C611CC"/>
    <w:multiLevelType w:val="hybridMultilevel"/>
    <w:tmpl w:val="FE9C41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E363A9C"/>
    <w:multiLevelType w:val="hybridMultilevel"/>
    <w:tmpl w:val="8206C04C"/>
    <w:lvl w:ilvl="0" w:tplc="1809000F">
      <w:start w:val="1"/>
      <w:numFmt w:val="decimal"/>
      <w:lvlText w:val="%1."/>
      <w:lvlJc w:val="left"/>
      <w:pPr>
        <w:ind w:left="1571" w:hanging="360"/>
      </w:pPr>
    </w:lvl>
    <w:lvl w:ilvl="1" w:tplc="18090019" w:tentative="1">
      <w:start w:val="1"/>
      <w:numFmt w:val="lowerLetter"/>
      <w:lvlText w:val="%2."/>
      <w:lvlJc w:val="left"/>
      <w:pPr>
        <w:ind w:left="2291" w:hanging="360"/>
      </w:pPr>
    </w:lvl>
    <w:lvl w:ilvl="2" w:tplc="1809001B" w:tentative="1">
      <w:start w:val="1"/>
      <w:numFmt w:val="lowerRoman"/>
      <w:lvlText w:val="%3."/>
      <w:lvlJc w:val="right"/>
      <w:pPr>
        <w:ind w:left="3011" w:hanging="180"/>
      </w:pPr>
    </w:lvl>
    <w:lvl w:ilvl="3" w:tplc="1809000F" w:tentative="1">
      <w:start w:val="1"/>
      <w:numFmt w:val="decimal"/>
      <w:lvlText w:val="%4."/>
      <w:lvlJc w:val="left"/>
      <w:pPr>
        <w:ind w:left="3731" w:hanging="360"/>
      </w:pPr>
    </w:lvl>
    <w:lvl w:ilvl="4" w:tplc="18090019" w:tentative="1">
      <w:start w:val="1"/>
      <w:numFmt w:val="lowerLetter"/>
      <w:lvlText w:val="%5."/>
      <w:lvlJc w:val="left"/>
      <w:pPr>
        <w:ind w:left="4451" w:hanging="360"/>
      </w:pPr>
    </w:lvl>
    <w:lvl w:ilvl="5" w:tplc="1809001B" w:tentative="1">
      <w:start w:val="1"/>
      <w:numFmt w:val="lowerRoman"/>
      <w:lvlText w:val="%6."/>
      <w:lvlJc w:val="right"/>
      <w:pPr>
        <w:ind w:left="5171" w:hanging="180"/>
      </w:pPr>
    </w:lvl>
    <w:lvl w:ilvl="6" w:tplc="1809000F" w:tentative="1">
      <w:start w:val="1"/>
      <w:numFmt w:val="decimal"/>
      <w:lvlText w:val="%7."/>
      <w:lvlJc w:val="left"/>
      <w:pPr>
        <w:ind w:left="5891" w:hanging="360"/>
      </w:pPr>
    </w:lvl>
    <w:lvl w:ilvl="7" w:tplc="18090019" w:tentative="1">
      <w:start w:val="1"/>
      <w:numFmt w:val="lowerLetter"/>
      <w:lvlText w:val="%8."/>
      <w:lvlJc w:val="left"/>
      <w:pPr>
        <w:ind w:left="6611" w:hanging="360"/>
      </w:pPr>
    </w:lvl>
    <w:lvl w:ilvl="8" w:tplc="1809001B" w:tentative="1">
      <w:start w:val="1"/>
      <w:numFmt w:val="lowerRoman"/>
      <w:lvlText w:val="%9."/>
      <w:lvlJc w:val="right"/>
      <w:pPr>
        <w:ind w:left="7331" w:hanging="180"/>
      </w:pPr>
    </w:lvl>
  </w:abstractNum>
  <w:abstractNum w:abstractNumId="14" w15:restartNumberingAfterBreak="0">
    <w:nsid w:val="1F094CF3"/>
    <w:multiLevelType w:val="hybridMultilevel"/>
    <w:tmpl w:val="B7CC879C"/>
    <w:lvl w:ilvl="0" w:tplc="E4ECDBEC">
      <w:start w:val="1"/>
      <w:numFmt w:val="bullet"/>
      <w:lvlText w:val=""/>
      <w:lvlJc w:val="left"/>
      <w:pPr>
        <w:ind w:left="1020" w:hanging="360"/>
      </w:pPr>
      <w:rPr>
        <w:rFonts w:ascii="Symbol" w:hAnsi="Symbol"/>
      </w:rPr>
    </w:lvl>
    <w:lvl w:ilvl="1" w:tplc="7EA2A198">
      <w:start w:val="1"/>
      <w:numFmt w:val="bullet"/>
      <w:lvlText w:val=""/>
      <w:lvlJc w:val="left"/>
      <w:pPr>
        <w:ind w:left="1020" w:hanging="360"/>
      </w:pPr>
      <w:rPr>
        <w:rFonts w:ascii="Symbol" w:hAnsi="Symbol"/>
      </w:rPr>
    </w:lvl>
    <w:lvl w:ilvl="2" w:tplc="B6DC88E8">
      <w:start w:val="1"/>
      <w:numFmt w:val="bullet"/>
      <w:lvlText w:val=""/>
      <w:lvlJc w:val="left"/>
      <w:pPr>
        <w:ind w:left="1020" w:hanging="360"/>
      </w:pPr>
      <w:rPr>
        <w:rFonts w:ascii="Symbol" w:hAnsi="Symbol"/>
      </w:rPr>
    </w:lvl>
    <w:lvl w:ilvl="3" w:tplc="CC489318">
      <w:start w:val="1"/>
      <w:numFmt w:val="bullet"/>
      <w:lvlText w:val=""/>
      <w:lvlJc w:val="left"/>
      <w:pPr>
        <w:ind w:left="1020" w:hanging="360"/>
      </w:pPr>
      <w:rPr>
        <w:rFonts w:ascii="Symbol" w:hAnsi="Symbol"/>
      </w:rPr>
    </w:lvl>
    <w:lvl w:ilvl="4" w:tplc="6B5E7B4C">
      <w:start w:val="1"/>
      <w:numFmt w:val="bullet"/>
      <w:lvlText w:val=""/>
      <w:lvlJc w:val="left"/>
      <w:pPr>
        <w:ind w:left="1020" w:hanging="360"/>
      </w:pPr>
      <w:rPr>
        <w:rFonts w:ascii="Symbol" w:hAnsi="Symbol"/>
      </w:rPr>
    </w:lvl>
    <w:lvl w:ilvl="5" w:tplc="A5EE422A">
      <w:start w:val="1"/>
      <w:numFmt w:val="bullet"/>
      <w:lvlText w:val=""/>
      <w:lvlJc w:val="left"/>
      <w:pPr>
        <w:ind w:left="1020" w:hanging="360"/>
      </w:pPr>
      <w:rPr>
        <w:rFonts w:ascii="Symbol" w:hAnsi="Symbol"/>
      </w:rPr>
    </w:lvl>
    <w:lvl w:ilvl="6" w:tplc="AB961CE2">
      <w:start w:val="1"/>
      <w:numFmt w:val="bullet"/>
      <w:lvlText w:val=""/>
      <w:lvlJc w:val="left"/>
      <w:pPr>
        <w:ind w:left="1020" w:hanging="360"/>
      </w:pPr>
      <w:rPr>
        <w:rFonts w:ascii="Symbol" w:hAnsi="Symbol"/>
      </w:rPr>
    </w:lvl>
    <w:lvl w:ilvl="7" w:tplc="4E04749A">
      <w:start w:val="1"/>
      <w:numFmt w:val="bullet"/>
      <w:lvlText w:val=""/>
      <w:lvlJc w:val="left"/>
      <w:pPr>
        <w:ind w:left="1020" w:hanging="360"/>
      </w:pPr>
      <w:rPr>
        <w:rFonts w:ascii="Symbol" w:hAnsi="Symbol"/>
      </w:rPr>
    </w:lvl>
    <w:lvl w:ilvl="8" w:tplc="B314979A">
      <w:start w:val="1"/>
      <w:numFmt w:val="bullet"/>
      <w:lvlText w:val=""/>
      <w:lvlJc w:val="left"/>
      <w:pPr>
        <w:ind w:left="1020" w:hanging="360"/>
      </w:pPr>
      <w:rPr>
        <w:rFonts w:ascii="Symbol" w:hAnsi="Symbol"/>
      </w:rPr>
    </w:lvl>
  </w:abstractNum>
  <w:abstractNum w:abstractNumId="15" w15:restartNumberingAfterBreak="0">
    <w:nsid w:val="20342DF5"/>
    <w:multiLevelType w:val="multilevel"/>
    <w:tmpl w:val="97CE3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1685294"/>
    <w:multiLevelType w:val="multilevel"/>
    <w:tmpl w:val="C98232A4"/>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66528E9"/>
    <w:multiLevelType w:val="hybridMultilevel"/>
    <w:tmpl w:val="38FA603A"/>
    <w:lvl w:ilvl="0" w:tplc="1809000F">
      <w:start w:val="1"/>
      <w:numFmt w:val="decimal"/>
      <w:lvlText w:val="%1."/>
      <w:lvlJc w:val="left"/>
      <w:pPr>
        <w:ind w:left="1083" w:hanging="360"/>
      </w:pPr>
    </w:lvl>
    <w:lvl w:ilvl="1" w:tplc="18090019" w:tentative="1">
      <w:start w:val="1"/>
      <w:numFmt w:val="lowerLetter"/>
      <w:lvlText w:val="%2."/>
      <w:lvlJc w:val="left"/>
      <w:pPr>
        <w:ind w:left="1803" w:hanging="360"/>
      </w:pPr>
    </w:lvl>
    <w:lvl w:ilvl="2" w:tplc="1809001B" w:tentative="1">
      <w:start w:val="1"/>
      <w:numFmt w:val="lowerRoman"/>
      <w:lvlText w:val="%3."/>
      <w:lvlJc w:val="right"/>
      <w:pPr>
        <w:ind w:left="2523" w:hanging="180"/>
      </w:pPr>
    </w:lvl>
    <w:lvl w:ilvl="3" w:tplc="1809000F" w:tentative="1">
      <w:start w:val="1"/>
      <w:numFmt w:val="decimal"/>
      <w:lvlText w:val="%4."/>
      <w:lvlJc w:val="left"/>
      <w:pPr>
        <w:ind w:left="3243" w:hanging="360"/>
      </w:pPr>
    </w:lvl>
    <w:lvl w:ilvl="4" w:tplc="18090019" w:tentative="1">
      <w:start w:val="1"/>
      <w:numFmt w:val="lowerLetter"/>
      <w:lvlText w:val="%5."/>
      <w:lvlJc w:val="left"/>
      <w:pPr>
        <w:ind w:left="3963" w:hanging="360"/>
      </w:pPr>
    </w:lvl>
    <w:lvl w:ilvl="5" w:tplc="1809001B" w:tentative="1">
      <w:start w:val="1"/>
      <w:numFmt w:val="lowerRoman"/>
      <w:lvlText w:val="%6."/>
      <w:lvlJc w:val="right"/>
      <w:pPr>
        <w:ind w:left="4683" w:hanging="180"/>
      </w:pPr>
    </w:lvl>
    <w:lvl w:ilvl="6" w:tplc="1809000F" w:tentative="1">
      <w:start w:val="1"/>
      <w:numFmt w:val="decimal"/>
      <w:lvlText w:val="%7."/>
      <w:lvlJc w:val="left"/>
      <w:pPr>
        <w:ind w:left="5403" w:hanging="360"/>
      </w:pPr>
    </w:lvl>
    <w:lvl w:ilvl="7" w:tplc="18090019" w:tentative="1">
      <w:start w:val="1"/>
      <w:numFmt w:val="lowerLetter"/>
      <w:lvlText w:val="%8."/>
      <w:lvlJc w:val="left"/>
      <w:pPr>
        <w:ind w:left="6123" w:hanging="360"/>
      </w:pPr>
    </w:lvl>
    <w:lvl w:ilvl="8" w:tplc="1809001B" w:tentative="1">
      <w:start w:val="1"/>
      <w:numFmt w:val="lowerRoman"/>
      <w:lvlText w:val="%9."/>
      <w:lvlJc w:val="right"/>
      <w:pPr>
        <w:ind w:left="6843" w:hanging="180"/>
      </w:pPr>
    </w:lvl>
  </w:abstractNum>
  <w:abstractNum w:abstractNumId="18" w15:restartNumberingAfterBreak="0">
    <w:nsid w:val="2719114C"/>
    <w:multiLevelType w:val="hybridMultilevel"/>
    <w:tmpl w:val="A4025A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C2304A8"/>
    <w:multiLevelType w:val="hybridMultilevel"/>
    <w:tmpl w:val="8C82B8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07F2CAF"/>
    <w:multiLevelType w:val="hybridMultilevel"/>
    <w:tmpl w:val="C6461B02"/>
    <w:lvl w:ilvl="0" w:tplc="95FA03E6">
      <w:start w:val="1"/>
      <w:numFmt w:val="bullet"/>
      <w:lvlText w:val=""/>
      <w:lvlJc w:val="left"/>
      <w:pPr>
        <w:ind w:left="1020" w:hanging="360"/>
      </w:pPr>
      <w:rPr>
        <w:rFonts w:ascii="Symbol" w:hAnsi="Symbol"/>
      </w:rPr>
    </w:lvl>
    <w:lvl w:ilvl="1" w:tplc="016006E0">
      <w:start w:val="1"/>
      <w:numFmt w:val="bullet"/>
      <w:lvlText w:val=""/>
      <w:lvlJc w:val="left"/>
      <w:pPr>
        <w:ind w:left="1020" w:hanging="360"/>
      </w:pPr>
      <w:rPr>
        <w:rFonts w:ascii="Symbol" w:hAnsi="Symbol"/>
      </w:rPr>
    </w:lvl>
    <w:lvl w:ilvl="2" w:tplc="32A08A1C">
      <w:start w:val="1"/>
      <w:numFmt w:val="bullet"/>
      <w:lvlText w:val=""/>
      <w:lvlJc w:val="left"/>
      <w:pPr>
        <w:ind w:left="1020" w:hanging="360"/>
      </w:pPr>
      <w:rPr>
        <w:rFonts w:ascii="Symbol" w:hAnsi="Symbol"/>
      </w:rPr>
    </w:lvl>
    <w:lvl w:ilvl="3" w:tplc="EF96EC48">
      <w:start w:val="1"/>
      <w:numFmt w:val="bullet"/>
      <w:lvlText w:val=""/>
      <w:lvlJc w:val="left"/>
      <w:pPr>
        <w:ind w:left="1020" w:hanging="360"/>
      </w:pPr>
      <w:rPr>
        <w:rFonts w:ascii="Symbol" w:hAnsi="Symbol"/>
      </w:rPr>
    </w:lvl>
    <w:lvl w:ilvl="4" w:tplc="18D87820">
      <w:start w:val="1"/>
      <w:numFmt w:val="bullet"/>
      <w:lvlText w:val=""/>
      <w:lvlJc w:val="left"/>
      <w:pPr>
        <w:ind w:left="1020" w:hanging="360"/>
      </w:pPr>
      <w:rPr>
        <w:rFonts w:ascii="Symbol" w:hAnsi="Symbol"/>
      </w:rPr>
    </w:lvl>
    <w:lvl w:ilvl="5" w:tplc="0246ADBE">
      <w:start w:val="1"/>
      <w:numFmt w:val="bullet"/>
      <w:lvlText w:val=""/>
      <w:lvlJc w:val="left"/>
      <w:pPr>
        <w:ind w:left="1020" w:hanging="360"/>
      </w:pPr>
      <w:rPr>
        <w:rFonts w:ascii="Symbol" w:hAnsi="Symbol"/>
      </w:rPr>
    </w:lvl>
    <w:lvl w:ilvl="6" w:tplc="FD08DA5C">
      <w:start w:val="1"/>
      <w:numFmt w:val="bullet"/>
      <w:lvlText w:val=""/>
      <w:lvlJc w:val="left"/>
      <w:pPr>
        <w:ind w:left="1020" w:hanging="360"/>
      </w:pPr>
      <w:rPr>
        <w:rFonts w:ascii="Symbol" w:hAnsi="Symbol"/>
      </w:rPr>
    </w:lvl>
    <w:lvl w:ilvl="7" w:tplc="8B62BE76">
      <w:start w:val="1"/>
      <w:numFmt w:val="bullet"/>
      <w:lvlText w:val=""/>
      <w:lvlJc w:val="left"/>
      <w:pPr>
        <w:ind w:left="1020" w:hanging="360"/>
      </w:pPr>
      <w:rPr>
        <w:rFonts w:ascii="Symbol" w:hAnsi="Symbol"/>
      </w:rPr>
    </w:lvl>
    <w:lvl w:ilvl="8" w:tplc="6D106C9E">
      <w:start w:val="1"/>
      <w:numFmt w:val="bullet"/>
      <w:lvlText w:val=""/>
      <w:lvlJc w:val="left"/>
      <w:pPr>
        <w:ind w:left="1020" w:hanging="360"/>
      </w:pPr>
      <w:rPr>
        <w:rFonts w:ascii="Symbol" w:hAnsi="Symbol"/>
      </w:rPr>
    </w:lvl>
  </w:abstractNum>
  <w:abstractNum w:abstractNumId="21" w15:restartNumberingAfterBreak="0">
    <w:nsid w:val="31AF43A9"/>
    <w:multiLevelType w:val="multilevel"/>
    <w:tmpl w:val="CFDE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24C4148"/>
    <w:multiLevelType w:val="hybridMultilevel"/>
    <w:tmpl w:val="6C0A31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307E3EF"/>
    <w:multiLevelType w:val="hybridMultilevel"/>
    <w:tmpl w:val="D1820AD4"/>
    <w:lvl w:ilvl="0" w:tplc="B9A6C5FE">
      <w:start w:val="1"/>
      <w:numFmt w:val="bullet"/>
      <w:lvlText w:val="-"/>
      <w:lvlJc w:val="left"/>
      <w:pPr>
        <w:ind w:left="720" w:hanging="360"/>
      </w:pPr>
      <w:rPr>
        <w:rFonts w:ascii="Aptos" w:hAnsi="Aptos" w:hint="default"/>
      </w:rPr>
    </w:lvl>
    <w:lvl w:ilvl="1" w:tplc="426A4198">
      <w:start w:val="1"/>
      <w:numFmt w:val="bullet"/>
      <w:lvlText w:val="o"/>
      <w:lvlJc w:val="left"/>
      <w:pPr>
        <w:ind w:left="1440" w:hanging="360"/>
      </w:pPr>
      <w:rPr>
        <w:rFonts w:ascii="Courier New" w:hAnsi="Courier New" w:hint="default"/>
      </w:rPr>
    </w:lvl>
    <w:lvl w:ilvl="2" w:tplc="B2CAA618">
      <w:start w:val="1"/>
      <w:numFmt w:val="bullet"/>
      <w:lvlText w:val=""/>
      <w:lvlJc w:val="left"/>
      <w:pPr>
        <w:ind w:left="2160" w:hanging="360"/>
      </w:pPr>
      <w:rPr>
        <w:rFonts w:ascii="Wingdings" w:hAnsi="Wingdings" w:hint="default"/>
      </w:rPr>
    </w:lvl>
    <w:lvl w:ilvl="3" w:tplc="7ED053AA">
      <w:start w:val="1"/>
      <w:numFmt w:val="bullet"/>
      <w:lvlText w:val=""/>
      <w:lvlJc w:val="left"/>
      <w:pPr>
        <w:ind w:left="2880" w:hanging="360"/>
      </w:pPr>
      <w:rPr>
        <w:rFonts w:ascii="Symbol" w:hAnsi="Symbol" w:hint="default"/>
      </w:rPr>
    </w:lvl>
    <w:lvl w:ilvl="4" w:tplc="0408E026">
      <w:start w:val="1"/>
      <w:numFmt w:val="bullet"/>
      <w:lvlText w:val="o"/>
      <w:lvlJc w:val="left"/>
      <w:pPr>
        <w:ind w:left="3600" w:hanging="360"/>
      </w:pPr>
      <w:rPr>
        <w:rFonts w:ascii="Courier New" w:hAnsi="Courier New" w:hint="default"/>
      </w:rPr>
    </w:lvl>
    <w:lvl w:ilvl="5" w:tplc="CB42170E">
      <w:start w:val="1"/>
      <w:numFmt w:val="bullet"/>
      <w:lvlText w:val=""/>
      <w:lvlJc w:val="left"/>
      <w:pPr>
        <w:ind w:left="4320" w:hanging="360"/>
      </w:pPr>
      <w:rPr>
        <w:rFonts w:ascii="Wingdings" w:hAnsi="Wingdings" w:hint="default"/>
      </w:rPr>
    </w:lvl>
    <w:lvl w:ilvl="6" w:tplc="E59AD784">
      <w:start w:val="1"/>
      <w:numFmt w:val="bullet"/>
      <w:lvlText w:val=""/>
      <w:lvlJc w:val="left"/>
      <w:pPr>
        <w:ind w:left="5040" w:hanging="360"/>
      </w:pPr>
      <w:rPr>
        <w:rFonts w:ascii="Symbol" w:hAnsi="Symbol" w:hint="default"/>
      </w:rPr>
    </w:lvl>
    <w:lvl w:ilvl="7" w:tplc="76225D74">
      <w:start w:val="1"/>
      <w:numFmt w:val="bullet"/>
      <w:lvlText w:val="o"/>
      <w:lvlJc w:val="left"/>
      <w:pPr>
        <w:ind w:left="5760" w:hanging="360"/>
      </w:pPr>
      <w:rPr>
        <w:rFonts w:ascii="Courier New" w:hAnsi="Courier New" w:hint="default"/>
      </w:rPr>
    </w:lvl>
    <w:lvl w:ilvl="8" w:tplc="87CC3728">
      <w:start w:val="1"/>
      <w:numFmt w:val="bullet"/>
      <w:lvlText w:val=""/>
      <w:lvlJc w:val="left"/>
      <w:pPr>
        <w:ind w:left="6480" w:hanging="360"/>
      </w:pPr>
      <w:rPr>
        <w:rFonts w:ascii="Wingdings" w:hAnsi="Wingdings" w:hint="default"/>
      </w:rPr>
    </w:lvl>
  </w:abstractNum>
  <w:abstractNum w:abstractNumId="24" w15:restartNumberingAfterBreak="0">
    <w:nsid w:val="36520CCC"/>
    <w:multiLevelType w:val="hybridMultilevel"/>
    <w:tmpl w:val="78BC41F2"/>
    <w:lvl w:ilvl="0" w:tplc="31A4A7D8">
      <w:start w:val="1"/>
      <w:numFmt w:val="bullet"/>
      <w:lvlText w:val="-"/>
      <w:lvlJc w:val="left"/>
      <w:pPr>
        <w:ind w:left="720" w:hanging="360"/>
      </w:pPr>
      <w:rPr>
        <w:rFonts w:ascii="Aptos" w:hAnsi="Aptos" w:hint="default"/>
      </w:rPr>
    </w:lvl>
    <w:lvl w:ilvl="1" w:tplc="8EF031D0">
      <w:start w:val="1"/>
      <w:numFmt w:val="bullet"/>
      <w:lvlText w:val="o"/>
      <w:lvlJc w:val="left"/>
      <w:pPr>
        <w:ind w:left="1440" w:hanging="360"/>
      </w:pPr>
      <w:rPr>
        <w:rFonts w:ascii="Courier New" w:hAnsi="Courier New" w:hint="default"/>
      </w:rPr>
    </w:lvl>
    <w:lvl w:ilvl="2" w:tplc="5444101A">
      <w:start w:val="1"/>
      <w:numFmt w:val="bullet"/>
      <w:lvlText w:val=""/>
      <w:lvlJc w:val="left"/>
      <w:pPr>
        <w:ind w:left="2160" w:hanging="360"/>
      </w:pPr>
      <w:rPr>
        <w:rFonts w:ascii="Wingdings" w:hAnsi="Wingdings" w:hint="default"/>
      </w:rPr>
    </w:lvl>
    <w:lvl w:ilvl="3" w:tplc="3CBC7BDE">
      <w:start w:val="1"/>
      <w:numFmt w:val="bullet"/>
      <w:lvlText w:val=""/>
      <w:lvlJc w:val="left"/>
      <w:pPr>
        <w:ind w:left="2880" w:hanging="360"/>
      </w:pPr>
      <w:rPr>
        <w:rFonts w:ascii="Symbol" w:hAnsi="Symbol" w:hint="default"/>
      </w:rPr>
    </w:lvl>
    <w:lvl w:ilvl="4" w:tplc="56009C36">
      <w:start w:val="1"/>
      <w:numFmt w:val="bullet"/>
      <w:lvlText w:val="o"/>
      <w:lvlJc w:val="left"/>
      <w:pPr>
        <w:ind w:left="3600" w:hanging="360"/>
      </w:pPr>
      <w:rPr>
        <w:rFonts w:ascii="Courier New" w:hAnsi="Courier New" w:hint="default"/>
      </w:rPr>
    </w:lvl>
    <w:lvl w:ilvl="5" w:tplc="2D5A4A6C">
      <w:start w:val="1"/>
      <w:numFmt w:val="bullet"/>
      <w:lvlText w:val=""/>
      <w:lvlJc w:val="left"/>
      <w:pPr>
        <w:ind w:left="4320" w:hanging="360"/>
      </w:pPr>
      <w:rPr>
        <w:rFonts w:ascii="Wingdings" w:hAnsi="Wingdings" w:hint="default"/>
      </w:rPr>
    </w:lvl>
    <w:lvl w:ilvl="6" w:tplc="889E93AC">
      <w:start w:val="1"/>
      <w:numFmt w:val="bullet"/>
      <w:lvlText w:val=""/>
      <w:lvlJc w:val="left"/>
      <w:pPr>
        <w:ind w:left="5040" w:hanging="360"/>
      </w:pPr>
      <w:rPr>
        <w:rFonts w:ascii="Symbol" w:hAnsi="Symbol" w:hint="default"/>
      </w:rPr>
    </w:lvl>
    <w:lvl w:ilvl="7" w:tplc="B5DAF9F0">
      <w:start w:val="1"/>
      <w:numFmt w:val="bullet"/>
      <w:lvlText w:val="o"/>
      <w:lvlJc w:val="left"/>
      <w:pPr>
        <w:ind w:left="5760" w:hanging="360"/>
      </w:pPr>
      <w:rPr>
        <w:rFonts w:ascii="Courier New" w:hAnsi="Courier New" w:hint="default"/>
      </w:rPr>
    </w:lvl>
    <w:lvl w:ilvl="8" w:tplc="FB521048">
      <w:start w:val="1"/>
      <w:numFmt w:val="bullet"/>
      <w:lvlText w:val=""/>
      <w:lvlJc w:val="left"/>
      <w:pPr>
        <w:ind w:left="6480" w:hanging="360"/>
      </w:pPr>
      <w:rPr>
        <w:rFonts w:ascii="Wingdings" w:hAnsi="Wingdings" w:hint="default"/>
      </w:rPr>
    </w:lvl>
  </w:abstractNum>
  <w:abstractNum w:abstractNumId="25" w15:restartNumberingAfterBreak="0">
    <w:nsid w:val="37E45A90"/>
    <w:multiLevelType w:val="hybridMultilevel"/>
    <w:tmpl w:val="8F38C6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39152369"/>
    <w:multiLevelType w:val="hybridMultilevel"/>
    <w:tmpl w:val="2850F2DE"/>
    <w:lvl w:ilvl="0" w:tplc="08090001">
      <w:start w:val="1"/>
      <w:numFmt w:val="bullet"/>
      <w:lvlText w:val=""/>
      <w:lvlJc w:val="left"/>
      <w:pPr>
        <w:ind w:left="720" w:hanging="360"/>
      </w:pPr>
      <w:rPr>
        <w:rFonts w:ascii="Symbol" w:hAnsi="Symbol"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C246E5D"/>
    <w:multiLevelType w:val="hybridMultilevel"/>
    <w:tmpl w:val="825EED68"/>
    <w:lvl w:ilvl="0" w:tplc="72861EFC">
      <w:start w:val="1"/>
      <w:numFmt w:val="bullet"/>
      <w:lvlText w:val=""/>
      <w:lvlJc w:val="left"/>
      <w:pPr>
        <w:ind w:left="1020" w:hanging="360"/>
      </w:pPr>
      <w:rPr>
        <w:rFonts w:ascii="Symbol" w:hAnsi="Symbol"/>
      </w:rPr>
    </w:lvl>
    <w:lvl w:ilvl="1" w:tplc="0A2A6E3C">
      <w:start w:val="1"/>
      <w:numFmt w:val="bullet"/>
      <w:lvlText w:val=""/>
      <w:lvlJc w:val="left"/>
      <w:pPr>
        <w:ind w:left="1020" w:hanging="360"/>
      </w:pPr>
      <w:rPr>
        <w:rFonts w:ascii="Symbol" w:hAnsi="Symbol"/>
      </w:rPr>
    </w:lvl>
    <w:lvl w:ilvl="2" w:tplc="84F4FDE4">
      <w:start w:val="1"/>
      <w:numFmt w:val="bullet"/>
      <w:lvlText w:val=""/>
      <w:lvlJc w:val="left"/>
      <w:pPr>
        <w:ind w:left="1020" w:hanging="360"/>
      </w:pPr>
      <w:rPr>
        <w:rFonts w:ascii="Symbol" w:hAnsi="Symbol"/>
      </w:rPr>
    </w:lvl>
    <w:lvl w:ilvl="3" w:tplc="BD2497E6">
      <w:start w:val="1"/>
      <w:numFmt w:val="bullet"/>
      <w:lvlText w:val=""/>
      <w:lvlJc w:val="left"/>
      <w:pPr>
        <w:ind w:left="1020" w:hanging="360"/>
      </w:pPr>
      <w:rPr>
        <w:rFonts w:ascii="Symbol" w:hAnsi="Symbol"/>
      </w:rPr>
    </w:lvl>
    <w:lvl w:ilvl="4" w:tplc="DD34B8D8">
      <w:start w:val="1"/>
      <w:numFmt w:val="bullet"/>
      <w:lvlText w:val=""/>
      <w:lvlJc w:val="left"/>
      <w:pPr>
        <w:ind w:left="1020" w:hanging="360"/>
      </w:pPr>
      <w:rPr>
        <w:rFonts w:ascii="Symbol" w:hAnsi="Symbol"/>
      </w:rPr>
    </w:lvl>
    <w:lvl w:ilvl="5" w:tplc="E16442DE">
      <w:start w:val="1"/>
      <w:numFmt w:val="bullet"/>
      <w:lvlText w:val=""/>
      <w:lvlJc w:val="left"/>
      <w:pPr>
        <w:ind w:left="1020" w:hanging="360"/>
      </w:pPr>
      <w:rPr>
        <w:rFonts w:ascii="Symbol" w:hAnsi="Symbol"/>
      </w:rPr>
    </w:lvl>
    <w:lvl w:ilvl="6" w:tplc="A8C05EFE">
      <w:start w:val="1"/>
      <w:numFmt w:val="bullet"/>
      <w:lvlText w:val=""/>
      <w:lvlJc w:val="left"/>
      <w:pPr>
        <w:ind w:left="1020" w:hanging="360"/>
      </w:pPr>
      <w:rPr>
        <w:rFonts w:ascii="Symbol" w:hAnsi="Symbol"/>
      </w:rPr>
    </w:lvl>
    <w:lvl w:ilvl="7" w:tplc="ACA48568">
      <w:start w:val="1"/>
      <w:numFmt w:val="bullet"/>
      <w:lvlText w:val=""/>
      <w:lvlJc w:val="left"/>
      <w:pPr>
        <w:ind w:left="1020" w:hanging="360"/>
      </w:pPr>
      <w:rPr>
        <w:rFonts w:ascii="Symbol" w:hAnsi="Symbol"/>
      </w:rPr>
    </w:lvl>
    <w:lvl w:ilvl="8" w:tplc="87A67908">
      <w:start w:val="1"/>
      <w:numFmt w:val="bullet"/>
      <w:lvlText w:val=""/>
      <w:lvlJc w:val="left"/>
      <w:pPr>
        <w:ind w:left="1020" w:hanging="360"/>
      </w:pPr>
      <w:rPr>
        <w:rFonts w:ascii="Symbol" w:hAnsi="Symbol"/>
      </w:rPr>
    </w:lvl>
  </w:abstractNum>
  <w:abstractNum w:abstractNumId="28" w15:restartNumberingAfterBreak="0">
    <w:nsid w:val="46A271AE"/>
    <w:multiLevelType w:val="hybridMultilevel"/>
    <w:tmpl w:val="E0A81C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0464DD1"/>
    <w:multiLevelType w:val="hybridMultilevel"/>
    <w:tmpl w:val="424A5B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2844FF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2F95A5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C4212CD"/>
    <w:multiLevelType w:val="multilevel"/>
    <w:tmpl w:val="290629E0"/>
    <w:lvl w:ilvl="0">
      <w:start w:val="1"/>
      <w:numFmt w:val="decimal"/>
      <w:lvlText w:val="%1."/>
      <w:lvlJc w:val="left"/>
      <w:pPr>
        <w:ind w:left="360" w:hanging="360"/>
      </w:pPr>
      <w:rPr>
        <w:rFonts w:ascii="Times New Roman" w:hAnsi="Times New Roman"/>
        <w:b/>
        <w:bCs/>
        <w:sz w:val="28"/>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C7B2357"/>
    <w:multiLevelType w:val="multilevel"/>
    <w:tmpl w:val="8586D5F6"/>
    <w:lvl w:ilvl="0">
      <w:start w:val="1"/>
      <w:numFmt w:val="decimal"/>
      <w:pStyle w:val="CMR-Heading"/>
      <w:lvlText w:val="%1."/>
      <w:lvlJc w:val="left"/>
      <w:pPr>
        <w:ind w:left="502" w:hanging="360"/>
      </w:pPr>
      <w:rPr>
        <w:rFonts w:hint="default"/>
        <w:b/>
        <w:bCs/>
      </w:rPr>
    </w:lvl>
    <w:lvl w:ilvl="1">
      <w:start w:val="1"/>
      <w:numFmt w:val="decimal"/>
      <w:pStyle w:val="CMR-Subheading"/>
      <w:lvlText w:val="%1.%2."/>
      <w:lvlJc w:val="left"/>
      <w:pPr>
        <w:ind w:left="999" w:hanging="432"/>
      </w:pPr>
      <w:rPr>
        <w:rFonts w:hint="default"/>
        <w:sz w:val="24"/>
        <w:szCs w:val="24"/>
      </w:rPr>
    </w:lvl>
    <w:lvl w:ilvl="2">
      <w:start w:val="1"/>
      <w:numFmt w:val="decimal"/>
      <w:pStyle w:val="CMR-SubHead2"/>
      <w:lvlText w:val="%1.%2.%3."/>
      <w:lvlJc w:val="left"/>
      <w:pPr>
        <w:ind w:left="107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F493CCB"/>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79F0FD5"/>
    <w:multiLevelType w:val="hybridMultilevel"/>
    <w:tmpl w:val="46EC2C9C"/>
    <w:lvl w:ilvl="0" w:tplc="18090001">
      <w:start w:val="1"/>
      <w:numFmt w:val="bullet"/>
      <w:lvlText w:val=""/>
      <w:lvlJc w:val="left"/>
      <w:pPr>
        <w:ind w:left="776" w:hanging="360"/>
      </w:pPr>
      <w:rPr>
        <w:rFonts w:ascii="Symbol" w:hAnsi="Symbol" w:hint="default"/>
      </w:rPr>
    </w:lvl>
    <w:lvl w:ilvl="1" w:tplc="18090003" w:tentative="1">
      <w:start w:val="1"/>
      <w:numFmt w:val="bullet"/>
      <w:lvlText w:val="o"/>
      <w:lvlJc w:val="left"/>
      <w:pPr>
        <w:ind w:left="1496" w:hanging="360"/>
      </w:pPr>
      <w:rPr>
        <w:rFonts w:ascii="Courier New" w:hAnsi="Courier New" w:cs="Courier New" w:hint="default"/>
      </w:rPr>
    </w:lvl>
    <w:lvl w:ilvl="2" w:tplc="18090005" w:tentative="1">
      <w:start w:val="1"/>
      <w:numFmt w:val="bullet"/>
      <w:lvlText w:val=""/>
      <w:lvlJc w:val="left"/>
      <w:pPr>
        <w:ind w:left="2216" w:hanging="360"/>
      </w:pPr>
      <w:rPr>
        <w:rFonts w:ascii="Wingdings" w:hAnsi="Wingdings" w:hint="default"/>
      </w:rPr>
    </w:lvl>
    <w:lvl w:ilvl="3" w:tplc="18090001" w:tentative="1">
      <w:start w:val="1"/>
      <w:numFmt w:val="bullet"/>
      <w:lvlText w:val=""/>
      <w:lvlJc w:val="left"/>
      <w:pPr>
        <w:ind w:left="2936" w:hanging="360"/>
      </w:pPr>
      <w:rPr>
        <w:rFonts w:ascii="Symbol" w:hAnsi="Symbol" w:hint="default"/>
      </w:rPr>
    </w:lvl>
    <w:lvl w:ilvl="4" w:tplc="18090003" w:tentative="1">
      <w:start w:val="1"/>
      <w:numFmt w:val="bullet"/>
      <w:lvlText w:val="o"/>
      <w:lvlJc w:val="left"/>
      <w:pPr>
        <w:ind w:left="3656" w:hanging="360"/>
      </w:pPr>
      <w:rPr>
        <w:rFonts w:ascii="Courier New" w:hAnsi="Courier New" w:cs="Courier New" w:hint="default"/>
      </w:rPr>
    </w:lvl>
    <w:lvl w:ilvl="5" w:tplc="18090005" w:tentative="1">
      <w:start w:val="1"/>
      <w:numFmt w:val="bullet"/>
      <w:lvlText w:val=""/>
      <w:lvlJc w:val="left"/>
      <w:pPr>
        <w:ind w:left="4376" w:hanging="360"/>
      </w:pPr>
      <w:rPr>
        <w:rFonts w:ascii="Wingdings" w:hAnsi="Wingdings" w:hint="default"/>
      </w:rPr>
    </w:lvl>
    <w:lvl w:ilvl="6" w:tplc="18090001" w:tentative="1">
      <w:start w:val="1"/>
      <w:numFmt w:val="bullet"/>
      <w:lvlText w:val=""/>
      <w:lvlJc w:val="left"/>
      <w:pPr>
        <w:ind w:left="5096" w:hanging="360"/>
      </w:pPr>
      <w:rPr>
        <w:rFonts w:ascii="Symbol" w:hAnsi="Symbol" w:hint="default"/>
      </w:rPr>
    </w:lvl>
    <w:lvl w:ilvl="7" w:tplc="18090003" w:tentative="1">
      <w:start w:val="1"/>
      <w:numFmt w:val="bullet"/>
      <w:lvlText w:val="o"/>
      <w:lvlJc w:val="left"/>
      <w:pPr>
        <w:ind w:left="5816" w:hanging="360"/>
      </w:pPr>
      <w:rPr>
        <w:rFonts w:ascii="Courier New" w:hAnsi="Courier New" w:cs="Courier New" w:hint="default"/>
      </w:rPr>
    </w:lvl>
    <w:lvl w:ilvl="8" w:tplc="18090005" w:tentative="1">
      <w:start w:val="1"/>
      <w:numFmt w:val="bullet"/>
      <w:lvlText w:val=""/>
      <w:lvlJc w:val="left"/>
      <w:pPr>
        <w:ind w:left="6536" w:hanging="360"/>
      </w:pPr>
      <w:rPr>
        <w:rFonts w:ascii="Wingdings" w:hAnsi="Wingdings" w:hint="default"/>
      </w:rPr>
    </w:lvl>
  </w:abstractNum>
  <w:abstractNum w:abstractNumId="36" w15:restartNumberingAfterBreak="0">
    <w:nsid w:val="6A5AC1D0"/>
    <w:multiLevelType w:val="hybridMultilevel"/>
    <w:tmpl w:val="4D8414B6"/>
    <w:lvl w:ilvl="0" w:tplc="E14E0296">
      <w:start w:val="1"/>
      <w:numFmt w:val="bullet"/>
      <w:lvlText w:val="-"/>
      <w:lvlJc w:val="left"/>
      <w:pPr>
        <w:ind w:left="720" w:hanging="360"/>
      </w:pPr>
      <w:rPr>
        <w:rFonts w:ascii="Aptos" w:hAnsi="Aptos" w:hint="default"/>
      </w:rPr>
    </w:lvl>
    <w:lvl w:ilvl="1" w:tplc="A4AE4970">
      <w:start w:val="1"/>
      <w:numFmt w:val="bullet"/>
      <w:lvlText w:val="o"/>
      <w:lvlJc w:val="left"/>
      <w:pPr>
        <w:ind w:left="1440" w:hanging="360"/>
      </w:pPr>
      <w:rPr>
        <w:rFonts w:ascii="Courier New" w:hAnsi="Courier New" w:hint="default"/>
      </w:rPr>
    </w:lvl>
    <w:lvl w:ilvl="2" w:tplc="C93CA7C4">
      <w:start w:val="1"/>
      <w:numFmt w:val="bullet"/>
      <w:lvlText w:val=""/>
      <w:lvlJc w:val="left"/>
      <w:pPr>
        <w:ind w:left="2160" w:hanging="360"/>
      </w:pPr>
      <w:rPr>
        <w:rFonts w:ascii="Wingdings" w:hAnsi="Wingdings" w:hint="default"/>
      </w:rPr>
    </w:lvl>
    <w:lvl w:ilvl="3" w:tplc="832805E4">
      <w:start w:val="1"/>
      <w:numFmt w:val="bullet"/>
      <w:lvlText w:val=""/>
      <w:lvlJc w:val="left"/>
      <w:pPr>
        <w:ind w:left="2880" w:hanging="360"/>
      </w:pPr>
      <w:rPr>
        <w:rFonts w:ascii="Symbol" w:hAnsi="Symbol" w:hint="default"/>
      </w:rPr>
    </w:lvl>
    <w:lvl w:ilvl="4" w:tplc="72025A16">
      <w:start w:val="1"/>
      <w:numFmt w:val="bullet"/>
      <w:lvlText w:val="o"/>
      <w:lvlJc w:val="left"/>
      <w:pPr>
        <w:ind w:left="3600" w:hanging="360"/>
      </w:pPr>
      <w:rPr>
        <w:rFonts w:ascii="Courier New" w:hAnsi="Courier New" w:hint="default"/>
      </w:rPr>
    </w:lvl>
    <w:lvl w:ilvl="5" w:tplc="8D92BB2E">
      <w:start w:val="1"/>
      <w:numFmt w:val="bullet"/>
      <w:lvlText w:val=""/>
      <w:lvlJc w:val="left"/>
      <w:pPr>
        <w:ind w:left="4320" w:hanging="360"/>
      </w:pPr>
      <w:rPr>
        <w:rFonts w:ascii="Wingdings" w:hAnsi="Wingdings" w:hint="default"/>
      </w:rPr>
    </w:lvl>
    <w:lvl w:ilvl="6" w:tplc="73B8DC2A">
      <w:start w:val="1"/>
      <w:numFmt w:val="bullet"/>
      <w:lvlText w:val=""/>
      <w:lvlJc w:val="left"/>
      <w:pPr>
        <w:ind w:left="5040" w:hanging="360"/>
      </w:pPr>
      <w:rPr>
        <w:rFonts w:ascii="Symbol" w:hAnsi="Symbol" w:hint="default"/>
      </w:rPr>
    </w:lvl>
    <w:lvl w:ilvl="7" w:tplc="BE58D412">
      <w:start w:val="1"/>
      <w:numFmt w:val="bullet"/>
      <w:lvlText w:val="o"/>
      <w:lvlJc w:val="left"/>
      <w:pPr>
        <w:ind w:left="5760" w:hanging="360"/>
      </w:pPr>
      <w:rPr>
        <w:rFonts w:ascii="Courier New" w:hAnsi="Courier New" w:hint="default"/>
      </w:rPr>
    </w:lvl>
    <w:lvl w:ilvl="8" w:tplc="417E151A">
      <w:start w:val="1"/>
      <w:numFmt w:val="bullet"/>
      <w:lvlText w:val=""/>
      <w:lvlJc w:val="left"/>
      <w:pPr>
        <w:ind w:left="6480" w:hanging="360"/>
      </w:pPr>
      <w:rPr>
        <w:rFonts w:ascii="Wingdings" w:hAnsi="Wingdings" w:hint="default"/>
      </w:rPr>
    </w:lvl>
  </w:abstractNum>
  <w:abstractNum w:abstractNumId="37" w15:restartNumberingAfterBreak="0">
    <w:nsid w:val="6ABC090A"/>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AD9543C"/>
    <w:multiLevelType w:val="hybridMultilevel"/>
    <w:tmpl w:val="B756FA8E"/>
    <w:lvl w:ilvl="0" w:tplc="F9805A92">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FFF6A63"/>
    <w:multiLevelType w:val="hybridMultilevel"/>
    <w:tmpl w:val="AD5C3926"/>
    <w:lvl w:ilvl="0" w:tplc="90802C94">
      <w:start w:val="16"/>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84F4C01"/>
    <w:multiLevelType w:val="hybridMultilevel"/>
    <w:tmpl w:val="2BFCEB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8CC0B5B"/>
    <w:multiLevelType w:val="multilevel"/>
    <w:tmpl w:val="A094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FD22C1"/>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ABD6630"/>
    <w:multiLevelType w:val="hybridMultilevel"/>
    <w:tmpl w:val="19E6F590"/>
    <w:lvl w:ilvl="0" w:tplc="431A95D4">
      <w:start w:val="1"/>
      <w:numFmt w:val="bullet"/>
      <w:lvlText w:val=""/>
      <w:lvlJc w:val="left"/>
      <w:pPr>
        <w:ind w:left="1020" w:hanging="360"/>
      </w:pPr>
      <w:rPr>
        <w:rFonts w:ascii="Symbol" w:hAnsi="Symbol"/>
      </w:rPr>
    </w:lvl>
    <w:lvl w:ilvl="1" w:tplc="5B1CDEE8">
      <w:start w:val="1"/>
      <w:numFmt w:val="bullet"/>
      <w:lvlText w:val=""/>
      <w:lvlJc w:val="left"/>
      <w:pPr>
        <w:ind w:left="1020" w:hanging="360"/>
      </w:pPr>
      <w:rPr>
        <w:rFonts w:ascii="Symbol" w:hAnsi="Symbol"/>
      </w:rPr>
    </w:lvl>
    <w:lvl w:ilvl="2" w:tplc="E9BEAB2C">
      <w:start w:val="1"/>
      <w:numFmt w:val="bullet"/>
      <w:lvlText w:val=""/>
      <w:lvlJc w:val="left"/>
      <w:pPr>
        <w:ind w:left="1020" w:hanging="360"/>
      </w:pPr>
      <w:rPr>
        <w:rFonts w:ascii="Symbol" w:hAnsi="Symbol"/>
      </w:rPr>
    </w:lvl>
    <w:lvl w:ilvl="3" w:tplc="21947EF8">
      <w:start w:val="1"/>
      <w:numFmt w:val="bullet"/>
      <w:lvlText w:val=""/>
      <w:lvlJc w:val="left"/>
      <w:pPr>
        <w:ind w:left="1020" w:hanging="360"/>
      </w:pPr>
      <w:rPr>
        <w:rFonts w:ascii="Symbol" w:hAnsi="Symbol"/>
      </w:rPr>
    </w:lvl>
    <w:lvl w:ilvl="4" w:tplc="973423C6">
      <w:start w:val="1"/>
      <w:numFmt w:val="bullet"/>
      <w:lvlText w:val=""/>
      <w:lvlJc w:val="left"/>
      <w:pPr>
        <w:ind w:left="1020" w:hanging="360"/>
      </w:pPr>
      <w:rPr>
        <w:rFonts w:ascii="Symbol" w:hAnsi="Symbol"/>
      </w:rPr>
    </w:lvl>
    <w:lvl w:ilvl="5" w:tplc="D0B448D8">
      <w:start w:val="1"/>
      <w:numFmt w:val="bullet"/>
      <w:lvlText w:val=""/>
      <w:lvlJc w:val="left"/>
      <w:pPr>
        <w:ind w:left="1020" w:hanging="360"/>
      </w:pPr>
      <w:rPr>
        <w:rFonts w:ascii="Symbol" w:hAnsi="Symbol"/>
      </w:rPr>
    </w:lvl>
    <w:lvl w:ilvl="6" w:tplc="0F743D14">
      <w:start w:val="1"/>
      <w:numFmt w:val="bullet"/>
      <w:lvlText w:val=""/>
      <w:lvlJc w:val="left"/>
      <w:pPr>
        <w:ind w:left="1020" w:hanging="360"/>
      </w:pPr>
      <w:rPr>
        <w:rFonts w:ascii="Symbol" w:hAnsi="Symbol"/>
      </w:rPr>
    </w:lvl>
    <w:lvl w:ilvl="7" w:tplc="B728F216">
      <w:start w:val="1"/>
      <w:numFmt w:val="bullet"/>
      <w:lvlText w:val=""/>
      <w:lvlJc w:val="left"/>
      <w:pPr>
        <w:ind w:left="1020" w:hanging="360"/>
      </w:pPr>
      <w:rPr>
        <w:rFonts w:ascii="Symbol" w:hAnsi="Symbol"/>
      </w:rPr>
    </w:lvl>
    <w:lvl w:ilvl="8" w:tplc="ED0EDCD6">
      <w:start w:val="1"/>
      <w:numFmt w:val="bullet"/>
      <w:lvlText w:val=""/>
      <w:lvlJc w:val="left"/>
      <w:pPr>
        <w:ind w:left="1020" w:hanging="360"/>
      </w:pPr>
      <w:rPr>
        <w:rFonts w:ascii="Symbol" w:hAnsi="Symbol"/>
      </w:rPr>
    </w:lvl>
  </w:abstractNum>
  <w:abstractNum w:abstractNumId="44" w15:restartNumberingAfterBreak="0">
    <w:nsid w:val="7D9C0406"/>
    <w:multiLevelType w:val="hybridMultilevel"/>
    <w:tmpl w:val="BE368D3E"/>
    <w:lvl w:ilvl="0" w:tplc="EBAEFD54">
      <w:start w:val="1"/>
      <w:numFmt w:val="bullet"/>
      <w:lvlText w:val="-"/>
      <w:lvlJc w:val="left"/>
      <w:pPr>
        <w:ind w:left="720" w:hanging="360"/>
      </w:pPr>
      <w:rPr>
        <w:rFonts w:ascii="Aptos" w:hAnsi="Aptos" w:hint="default"/>
      </w:rPr>
    </w:lvl>
    <w:lvl w:ilvl="1" w:tplc="2890820E">
      <w:start w:val="1"/>
      <w:numFmt w:val="bullet"/>
      <w:lvlText w:val="o"/>
      <w:lvlJc w:val="left"/>
      <w:pPr>
        <w:ind w:left="1440" w:hanging="360"/>
      </w:pPr>
      <w:rPr>
        <w:rFonts w:ascii="Courier New" w:hAnsi="Courier New" w:hint="default"/>
      </w:rPr>
    </w:lvl>
    <w:lvl w:ilvl="2" w:tplc="D3C6EDF2">
      <w:start w:val="1"/>
      <w:numFmt w:val="bullet"/>
      <w:lvlText w:val=""/>
      <w:lvlJc w:val="left"/>
      <w:pPr>
        <w:ind w:left="2160" w:hanging="360"/>
      </w:pPr>
      <w:rPr>
        <w:rFonts w:ascii="Wingdings" w:hAnsi="Wingdings" w:hint="default"/>
      </w:rPr>
    </w:lvl>
    <w:lvl w:ilvl="3" w:tplc="FDAC6E4A">
      <w:start w:val="1"/>
      <w:numFmt w:val="bullet"/>
      <w:lvlText w:val=""/>
      <w:lvlJc w:val="left"/>
      <w:pPr>
        <w:ind w:left="2880" w:hanging="360"/>
      </w:pPr>
      <w:rPr>
        <w:rFonts w:ascii="Symbol" w:hAnsi="Symbol" w:hint="default"/>
      </w:rPr>
    </w:lvl>
    <w:lvl w:ilvl="4" w:tplc="9940BEE6">
      <w:start w:val="1"/>
      <w:numFmt w:val="bullet"/>
      <w:lvlText w:val="o"/>
      <w:lvlJc w:val="left"/>
      <w:pPr>
        <w:ind w:left="3600" w:hanging="360"/>
      </w:pPr>
      <w:rPr>
        <w:rFonts w:ascii="Courier New" w:hAnsi="Courier New" w:hint="default"/>
      </w:rPr>
    </w:lvl>
    <w:lvl w:ilvl="5" w:tplc="2DAEE3B2">
      <w:start w:val="1"/>
      <w:numFmt w:val="bullet"/>
      <w:lvlText w:val=""/>
      <w:lvlJc w:val="left"/>
      <w:pPr>
        <w:ind w:left="4320" w:hanging="360"/>
      </w:pPr>
      <w:rPr>
        <w:rFonts w:ascii="Wingdings" w:hAnsi="Wingdings" w:hint="default"/>
      </w:rPr>
    </w:lvl>
    <w:lvl w:ilvl="6" w:tplc="ABF08878">
      <w:start w:val="1"/>
      <w:numFmt w:val="bullet"/>
      <w:lvlText w:val=""/>
      <w:lvlJc w:val="left"/>
      <w:pPr>
        <w:ind w:left="5040" w:hanging="360"/>
      </w:pPr>
      <w:rPr>
        <w:rFonts w:ascii="Symbol" w:hAnsi="Symbol" w:hint="default"/>
      </w:rPr>
    </w:lvl>
    <w:lvl w:ilvl="7" w:tplc="F8DCC312">
      <w:start w:val="1"/>
      <w:numFmt w:val="bullet"/>
      <w:lvlText w:val="o"/>
      <w:lvlJc w:val="left"/>
      <w:pPr>
        <w:ind w:left="5760" w:hanging="360"/>
      </w:pPr>
      <w:rPr>
        <w:rFonts w:ascii="Courier New" w:hAnsi="Courier New" w:hint="default"/>
      </w:rPr>
    </w:lvl>
    <w:lvl w:ilvl="8" w:tplc="388831AE">
      <w:start w:val="1"/>
      <w:numFmt w:val="bullet"/>
      <w:lvlText w:val=""/>
      <w:lvlJc w:val="left"/>
      <w:pPr>
        <w:ind w:left="6480" w:hanging="360"/>
      </w:pPr>
      <w:rPr>
        <w:rFonts w:ascii="Wingdings" w:hAnsi="Wingdings" w:hint="default"/>
      </w:rPr>
    </w:lvl>
  </w:abstractNum>
  <w:abstractNum w:abstractNumId="45" w15:restartNumberingAfterBreak="0">
    <w:nsid w:val="7E68FE28"/>
    <w:multiLevelType w:val="hybridMultilevel"/>
    <w:tmpl w:val="E9061BA2"/>
    <w:lvl w:ilvl="0" w:tplc="68BA3086">
      <w:start w:val="1"/>
      <w:numFmt w:val="bullet"/>
      <w:lvlText w:val=""/>
      <w:lvlJc w:val="left"/>
      <w:pPr>
        <w:ind w:left="720" w:hanging="360"/>
      </w:pPr>
      <w:rPr>
        <w:rFonts w:ascii="Symbol" w:hAnsi="Symbol" w:hint="default"/>
      </w:rPr>
    </w:lvl>
    <w:lvl w:ilvl="1" w:tplc="ED464CC4">
      <w:start w:val="1"/>
      <w:numFmt w:val="bullet"/>
      <w:lvlText w:val="o"/>
      <w:lvlJc w:val="left"/>
      <w:pPr>
        <w:ind w:left="1440" w:hanging="360"/>
      </w:pPr>
      <w:rPr>
        <w:rFonts w:ascii="Courier New" w:hAnsi="Courier New" w:hint="default"/>
      </w:rPr>
    </w:lvl>
    <w:lvl w:ilvl="2" w:tplc="87403D74">
      <w:start w:val="1"/>
      <w:numFmt w:val="bullet"/>
      <w:lvlText w:val=""/>
      <w:lvlJc w:val="left"/>
      <w:pPr>
        <w:ind w:left="2160" w:hanging="360"/>
      </w:pPr>
      <w:rPr>
        <w:rFonts w:ascii="Wingdings" w:hAnsi="Wingdings" w:hint="default"/>
      </w:rPr>
    </w:lvl>
    <w:lvl w:ilvl="3" w:tplc="F42E0A80">
      <w:start w:val="1"/>
      <w:numFmt w:val="bullet"/>
      <w:lvlText w:val=""/>
      <w:lvlJc w:val="left"/>
      <w:pPr>
        <w:ind w:left="2880" w:hanging="360"/>
      </w:pPr>
      <w:rPr>
        <w:rFonts w:ascii="Symbol" w:hAnsi="Symbol" w:hint="default"/>
      </w:rPr>
    </w:lvl>
    <w:lvl w:ilvl="4" w:tplc="13B429B6">
      <w:start w:val="1"/>
      <w:numFmt w:val="bullet"/>
      <w:lvlText w:val="o"/>
      <w:lvlJc w:val="left"/>
      <w:pPr>
        <w:ind w:left="3600" w:hanging="360"/>
      </w:pPr>
      <w:rPr>
        <w:rFonts w:ascii="Courier New" w:hAnsi="Courier New" w:hint="default"/>
      </w:rPr>
    </w:lvl>
    <w:lvl w:ilvl="5" w:tplc="6F8474F0">
      <w:start w:val="1"/>
      <w:numFmt w:val="bullet"/>
      <w:lvlText w:val=""/>
      <w:lvlJc w:val="left"/>
      <w:pPr>
        <w:ind w:left="4320" w:hanging="360"/>
      </w:pPr>
      <w:rPr>
        <w:rFonts w:ascii="Wingdings" w:hAnsi="Wingdings" w:hint="default"/>
      </w:rPr>
    </w:lvl>
    <w:lvl w:ilvl="6" w:tplc="766EE8BA">
      <w:start w:val="1"/>
      <w:numFmt w:val="bullet"/>
      <w:lvlText w:val=""/>
      <w:lvlJc w:val="left"/>
      <w:pPr>
        <w:ind w:left="5040" w:hanging="360"/>
      </w:pPr>
      <w:rPr>
        <w:rFonts w:ascii="Symbol" w:hAnsi="Symbol" w:hint="default"/>
      </w:rPr>
    </w:lvl>
    <w:lvl w:ilvl="7" w:tplc="BC881F94">
      <w:start w:val="1"/>
      <w:numFmt w:val="bullet"/>
      <w:lvlText w:val="o"/>
      <w:lvlJc w:val="left"/>
      <w:pPr>
        <w:ind w:left="5760" w:hanging="360"/>
      </w:pPr>
      <w:rPr>
        <w:rFonts w:ascii="Courier New" w:hAnsi="Courier New" w:hint="default"/>
      </w:rPr>
    </w:lvl>
    <w:lvl w:ilvl="8" w:tplc="F1CA5528">
      <w:start w:val="1"/>
      <w:numFmt w:val="bullet"/>
      <w:lvlText w:val=""/>
      <w:lvlJc w:val="left"/>
      <w:pPr>
        <w:ind w:left="6480" w:hanging="360"/>
      </w:pPr>
      <w:rPr>
        <w:rFonts w:ascii="Wingdings" w:hAnsi="Wingdings" w:hint="default"/>
      </w:rPr>
    </w:lvl>
  </w:abstractNum>
  <w:num w:numId="1">
    <w:abstractNumId w:val="24"/>
  </w:num>
  <w:num w:numId="2">
    <w:abstractNumId w:val="23"/>
  </w:num>
  <w:num w:numId="3">
    <w:abstractNumId w:val="36"/>
  </w:num>
  <w:num w:numId="4">
    <w:abstractNumId w:val="7"/>
  </w:num>
  <w:num w:numId="5">
    <w:abstractNumId w:val="44"/>
  </w:num>
  <w:num w:numId="6">
    <w:abstractNumId w:val="33"/>
  </w:num>
  <w:num w:numId="7">
    <w:abstractNumId w:val="3"/>
  </w:num>
  <w:num w:numId="8">
    <w:abstractNumId w:val="39"/>
  </w:num>
  <w:num w:numId="9">
    <w:abstractNumId w:val="34"/>
  </w:num>
  <w:num w:numId="10">
    <w:abstractNumId w:val="16"/>
  </w:num>
  <w:num w:numId="11">
    <w:abstractNumId w:val="19"/>
  </w:num>
  <w:num w:numId="12">
    <w:abstractNumId w:val="9"/>
  </w:num>
  <w:num w:numId="13">
    <w:abstractNumId w:val="28"/>
  </w:num>
  <w:num w:numId="14">
    <w:abstractNumId w:val="6"/>
  </w:num>
  <w:num w:numId="15">
    <w:abstractNumId w:val="32"/>
  </w:num>
  <w:num w:numId="16">
    <w:abstractNumId w:val="38"/>
  </w:num>
  <w:num w:numId="17">
    <w:abstractNumId w:val="45"/>
  </w:num>
  <w:num w:numId="18">
    <w:abstractNumId w:val="31"/>
  </w:num>
  <w:num w:numId="19">
    <w:abstractNumId w:val="2"/>
  </w:num>
  <w:num w:numId="20">
    <w:abstractNumId w:val="10"/>
  </w:num>
  <w:num w:numId="21">
    <w:abstractNumId w:val="0"/>
  </w:num>
  <w:num w:numId="22">
    <w:abstractNumId w:val="13"/>
  </w:num>
  <w:num w:numId="23">
    <w:abstractNumId w:val="42"/>
  </w:num>
  <w:num w:numId="24">
    <w:abstractNumId w:val="37"/>
  </w:num>
  <w:num w:numId="25">
    <w:abstractNumId w:val="33"/>
  </w:num>
  <w:num w:numId="26">
    <w:abstractNumId w:val="33"/>
  </w:num>
  <w:num w:numId="27">
    <w:abstractNumId w:val="33"/>
  </w:num>
  <w:num w:numId="28">
    <w:abstractNumId w:val="25"/>
  </w:num>
  <w:num w:numId="29">
    <w:abstractNumId w:val="26"/>
  </w:num>
  <w:num w:numId="30">
    <w:abstractNumId w:val="41"/>
  </w:num>
  <w:num w:numId="31">
    <w:abstractNumId w:val="4"/>
  </w:num>
  <w:num w:numId="32">
    <w:abstractNumId w:val="27"/>
  </w:num>
  <w:num w:numId="33">
    <w:abstractNumId w:val="43"/>
  </w:num>
  <w:num w:numId="34">
    <w:abstractNumId w:val="20"/>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3"/>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12"/>
  </w:num>
  <w:num w:numId="41">
    <w:abstractNumId w:val="22"/>
  </w:num>
  <w:num w:numId="42">
    <w:abstractNumId w:val="18"/>
  </w:num>
  <w:num w:numId="43">
    <w:abstractNumId w:val="17"/>
  </w:num>
  <w:num w:numId="44">
    <w:abstractNumId w:val="33"/>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num>
  <w:num w:numId="47">
    <w:abstractNumId w:val="33"/>
  </w:num>
  <w:num w:numId="48">
    <w:abstractNumId w:val="33"/>
  </w:num>
  <w:num w:numId="49">
    <w:abstractNumId w:val="33"/>
  </w:num>
  <w:num w:numId="50">
    <w:abstractNumId w:val="35"/>
  </w:num>
  <w:num w:numId="51">
    <w:abstractNumId w:val="33"/>
  </w:num>
  <w:num w:numId="52">
    <w:abstractNumId w:val="21"/>
  </w:num>
  <w:num w:numId="53">
    <w:abstractNumId w:val="15"/>
  </w:num>
  <w:num w:numId="54">
    <w:abstractNumId w:val="11"/>
  </w:num>
  <w:num w:numId="55">
    <w:abstractNumId w:val="30"/>
  </w:num>
  <w:num w:numId="56">
    <w:abstractNumId w:val="8"/>
  </w:num>
  <w:num w:numId="57">
    <w:abstractNumId w:val="14"/>
  </w:num>
  <w:num w:numId="58">
    <w:abstractNumId w:val="29"/>
  </w:num>
  <w:num w:numId="59">
    <w:abstractNumId w:val="40"/>
  </w:num>
  <w:num w:numId="60">
    <w:abstractNumId w:val="5"/>
  </w:num>
  <w:num w:numId="61">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9B7EBF48-6A47-4154-855D-1DAFA212C858"/>
    <w:docVar w:name="LW_COVERPAGE_TYPE" w:val="1"/>
    <w:docVar w:name="LW_CROSSREFERENCE" w:val="{SWD(2025) 388 final}"/>
    <w:docVar w:name="LW_DocType" w:val="NORMAL"/>
    <w:docVar w:name="LW_EMISSION" w:val="3.12.2025"/>
    <w:docVar w:name="LW_EMISSION_ISODATE" w:val="2025-12-03"/>
    <w:docVar w:name="LW_EMISSION_LOCATION" w:val="BRX"/>
    <w:docVar w:name="LW_EMISSION_PREFIX" w:val="Bruxelas, "/>
    <w:docVar w:name="LW_EMISSION_SUFFIX" w:val=" "/>
    <w:docVar w:name="LW_ID_DOCTYPE_NONLW" w:val="CP-006"/>
    <w:docVar w:name="LW_LANGUE" w:val="PT"/>
    <w:docVar w:name="LW_LEVEL_OF_SENSITIVITY" w:val="Standard treatment"/>
    <w:docVar w:name="LW_NOM.INST" w:val="COMISSÃO EUROPEIA"/>
    <w:docVar w:name="LW_NOM.INST_JOINTDOC" w:val="&lt;EMPTY&gt;"/>
    <w:docVar w:name="LW_PART_NBR" w:val="1"/>
    <w:docVar w:name="LW_PART_NBR_TOTAL" w:val="1"/>
    <w:docVar w:name="LW_REF.INST.NEW" w:val="COM"/>
    <w:docVar w:name="LW_REF.INST.NEW_ADOPTED" w:val="final"/>
    <w:docVar w:name="LW_REF.INST.NEW_TEXT" w:val="(2025) 735"/>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sobre o funcionamento do mercado europeu do carbono em 2024"/>
    <w:docVar w:name="LW_TYPE.DOC.CP" w:val="RELATÓRIO DA COMISSÃO AO PARLAMENTO EUROPEU E AO CONSELHO"/>
    <w:docVar w:name="LwApiVersions" w:val="LW4CoDe 1.24.5.0; LW 9.2, Build 20251112"/>
  </w:docVars>
  <w:rsids>
    <w:rsidRoot w:val="004F5575"/>
    <w:rsid w:val="0000013C"/>
    <w:rsid w:val="00000258"/>
    <w:rsid w:val="000004BA"/>
    <w:rsid w:val="00000559"/>
    <w:rsid w:val="000005CF"/>
    <w:rsid w:val="000005F9"/>
    <w:rsid w:val="000006BA"/>
    <w:rsid w:val="00000787"/>
    <w:rsid w:val="000008C4"/>
    <w:rsid w:val="000008EB"/>
    <w:rsid w:val="000008FA"/>
    <w:rsid w:val="00000905"/>
    <w:rsid w:val="00000A79"/>
    <w:rsid w:val="00000AA6"/>
    <w:rsid w:val="00000B37"/>
    <w:rsid w:val="00000B59"/>
    <w:rsid w:val="00000CB8"/>
    <w:rsid w:val="00000E2C"/>
    <w:rsid w:val="00000ED1"/>
    <w:rsid w:val="00000EF0"/>
    <w:rsid w:val="00000F16"/>
    <w:rsid w:val="000011E5"/>
    <w:rsid w:val="0000135C"/>
    <w:rsid w:val="00001384"/>
    <w:rsid w:val="000013D3"/>
    <w:rsid w:val="000013F6"/>
    <w:rsid w:val="000014CB"/>
    <w:rsid w:val="00001655"/>
    <w:rsid w:val="000016AE"/>
    <w:rsid w:val="0000190D"/>
    <w:rsid w:val="0000191F"/>
    <w:rsid w:val="00001ACD"/>
    <w:rsid w:val="00001AE8"/>
    <w:rsid w:val="00001B1A"/>
    <w:rsid w:val="00001C25"/>
    <w:rsid w:val="00001D6C"/>
    <w:rsid w:val="00001E7A"/>
    <w:rsid w:val="00001E81"/>
    <w:rsid w:val="00001ECD"/>
    <w:rsid w:val="00001EE6"/>
    <w:rsid w:val="0000207B"/>
    <w:rsid w:val="000021E3"/>
    <w:rsid w:val="0000266F"/>
    <w:rsid w:val="00002720"/>
    <w:rsid w:val="000027DE"/>
    <w:rsid w:val="00002A6F"/>
    <w:rsid w:val="00002AD8"/>
    <w:rsid w:val="00002C1E"/>
    <w:rsid w:val="00002C4A"/>
    <w:rsid w:val="00002C88"/>
    <w:rsid w:val="00002CD2"/>
    <w:rsid w:val="00002F0A"/>
    <w:rsid w:val="00002FDA"/>
    <w:rsid w:val="00003079"/>
    <w:rsid w:val="00003122"/>
    <w:rsid w:val="00003169"/>
    <w:rsid w:val="000031CA"/>
    <w:rsid w:val="000032D0"/>
    <w:rsid w:val="0000334F"/>
    <w:rsid w:val="00003798"/>
    <w:rsid w:val="00003A73"/>
    <w:rsid w:val="00003D65"/>
    <w:rsid w:val="00003E05"/>
    <w:rsid w:val="00003E55"/>
    <w:rsid w:val="00003EB4"/>
    <w:rsid w:val="00003EC4"/>
    <w:rsid w:val="00004085"/>
    <w:rsid w:val="00004096"/>
    <w:rsid w:val="0000414E"/>
    <w:rsid w:val="000046AB"/>
    <w:rsid w:val="0000470D"/>
    <w:rsid w:val="00004783"/>
    <w:rsid w:val="000047ED"/>
    <w:rsid w:val="0000483B"/>
    <w:rsid w:val="00004843"/>
    <w:rsid w:val="0000487E"/>
    <w:rsid w:val="00004883"/>
    <w:rsid w:val="00004984"/>
    <w:rsid w:val="00004B30"/>
    <w:rsid w:val="00004BFC"/>
    <w:rsid w:val="00004D42"/>
    <w:rsid w:val="00004D47"/>
    <w:rsid w:val="000052F1"/>
    <w:rsid w:val="00005446"/>
    <w:rsid w:val="00005501"/>
    <w:rsid w:val="00005650"/>
    <w:rsid w:val="00005661"/>
    <w:rsid w:val="000056BD"/>
    <w:rsid w:val="000056EE"/>
    <w:rsid w:val="0000575A"/>
    <w:rsid w:val="0000580A"/>
    <w:rsid w:val="0000581D"/>
    <w:rsid w:val="00005A7D"/>
    <w:rsid w:val="00005B7D"/>
    <w:rsid w:val="00005B94"/>
    <w:rsid w:val="00005BA0"/>
    <w:rsid w:val="00005BF5"/>
    <w:rsid w:val="00005CAD"/>
    <w:rsid w:val="00005CCB"/>
    <w:rsid w:val="00005D34"/>
    <w:rsid w:val="00005EC1"/>
    <w:rsid w:val="00005F68"/>
    <w:rsid w:val="00005FB8"/>
    <w:rsid w:val="0000604B"/>
    <w:rsid w:val="0000609B"/>
    <w:rsid w:val="0000612E"/>
    <w:rsid w:val="00006141"/>
    <w:rsid w:val="00006166"/>
    <w:rsid w:val="000061E0"/>
    <w:rsid w:val="00006268"/>
    <w:rsid w:val="00006296"/>
    <w:rsid w:val="000063F7"/>
    <w:rsid w:val="00006416"/>
    <w:rsid w:val="0000643E"/>
    <w:rsid w:val="00006458"/>
    <w:rsid w:val="00006538"/>
    <w:rsid w:val="0000668F"/>
    <w:rsid w:val="000068BF"/>
    <w:rsid w:val="00006A14"/>
    <w:rsid w:val="00006B66"/>
    <w:rsid w:val="00006B9D"/>
    <w:rsid w:val="00006E3F"/>
    <w:rsid w:val="00006E71"/>
    <w:rsid w:val="00006E98"/>
    <w:rsid w:val="00006EDD"/>
    <w:rsid w:val="00006F12"/>
    <w:rsid w:val="00006F30"/>
    <w:rsid w:val="00006F69"/>
    <w:rsid w:val="00006FE6"/>
    <w:rsid w:val="0000733C"/>
    <w:rsid w:val="000073EB"/>
    <w:rsid w:val="000074F1"/>
    <w:rsid w:val="000075F8"/>
    <w:rsid w:val="0000768B"/>
    <w:rsid w:val="0000773B"/>
    <w:rsid w:val="000077D1"/>
    <w:rsid w:val="000077E2"/>
    <w:rsid w:val="0000780B"/>
    <w:rsid w:val="00007B79"/>
    <w:rsid w:val="00007C6E"/>
    <w:rsid w:val="00007C8E"/>
    <w:rsid w:val="00007E5D"/>
    <w:rsid w:val="00007E88"/>
    <w:rsid w:val="00007F2E"/>
    <w:rsid w:val="00007F46"/>
    <w:rsid w:val="00007F7B"/>
    <w:rsid w:val="0001000F"/>
    <w:rsid w:val="00010258"/>
    <w:rsid w:val="000103EC"/>
    <w:rsid w:val="00010402"/>
    <w:rsid w:val="00010462"/>
    <w:rsid w:val="0001053C"/>
    <w:rsid w:val="0001055F"/>
    <w:rsid w:val="000105BB"/>
    <w:rsid w:val="000109AE"/>
    <w:rsid w:val="000109CA"/>
    <w:rsid w:val="00010BBA"/>
    <w:rsid w:val="00010BDC"/>
    <w:rsid w:val="00010C1C"/>
    <w:rsid w:val="00010E0A"/>
    <w:rsid w:val="00010EAE"/>
    <w:rsid w:val="00010F71"/>
    <w:rsid w:val="0001103A"/>
    <w:rsid w:val="00011158"/>
    <w:rsid w:val="00011220"/>
    <w:rsid w:val="0001127B"/>
    <w:rsid w:val="00011336"/>
    <w:rsid w:val="000114E2"/>
    <w:rsid w:val="0001150C"/>
    <w:rsid w:val="00011557"/>
    <w:rsid w:val="000116D1"/>
    <w:rsid w:val="00011747"/>
    <w:rsid w:val="00011785"/>
    <w:rsid w:val="00011A07"/>
    <w:rsid w:val="00011B9C"/>
    <w:rsid w:val="00011D1F"/>
    <w:rsid w:val="00011DEF"/>
    <w:rsid w:val="00011E25"/>
    <w:rsid w:val="00011EC5"/>
    <w:rsid w:val="00011EFC"/>
    <w:rsid w:val="0001205E"/>
    <w:rsid w:val="00012109"/>
    <w:rsid w:val="000122E4"/>
    <w:rsid w:val="00012372"/>
    <w:rsid w:val="0001239F"/>
    <w:rsid w:val="000123DE"/>
    <w:rsid w:val="000124A9"/>
    <w:rsid w:val="0001251A"/>
    <w:rsid w:val="000125A8"/>
    <w:rsid w:val="0001269B"/>
    <w:rsid w:val="000128D0"/>
    <w:rsid w:val="000129BA"/>
    <w:rsid w:val="00012BA9"/>
    <w:rsid w:val="00012EDD"/>
    <w:rsid w:val="0001303A"/>
    <w:rsid w:val="00013164"/>
    <w:rsid w:val="0001325D"/>
    <w:rsid w:val="0001348B"/>
    <w:rsid w:val="00013563"/>
    <w:rsid w:val="000135E4"/>
    <w:rsid w:val="00013627"/>
    <w:rsid w:val="00013644"/>
    <w:rsid w:val="000136EF"/>
    <w:rsid w:val="00013796"/>
    <w:rsid w:val="00013868"/>
    <w:rsid w:val="0001386C"/>
    <w:rsid w:val="00013940"/>
    <w:rsid w:val="0001399B"/>
    <w:rsid w:val="00013A0A"/>
    <w:rsid w:val="00013A61"/>
    <w:rsid w:val="00013B3E"/>
    <w:rsid w:val="00013BC7"/>
    <w:rsid w:val="00013E89"/>
    <w:rsid w:val="00013EF1"/>
    <w:rsid w:val="00013EF9"/>
    <w:rsid w:val="00013F7F"/>
    <w:rsid w:val="00013FBE"/>
    <w:rsid w:val="00014165"/>
    <w:rsid w:val="00014174"/>
    <w:rsid w:val="0001418E"/>
    <w:rsid w:val="000141D3"/>
    <w:rsid w:val="00014399"/>
    <w:rsid w:val="00014417"/>
    <w:rsid w:val="0001443D"/>
    <w:rsid w:val="000144F1"/>
    <w:rsid w:val="0001466F"/>
    <w:rsid w:val="0001474A"/>
    <w:rsid w:val="0001474C"/>
    <w:rsid w:val="00014818"/>
    <w:rsid w:val="0001491B"/>
    <w:rsid w:val="0001492A"/>
    <w:rsid w:val="00014B3E"/>
    <w:rsid w:val="00014B72"/>
    <w:rsid w:val="00014C8E"/>
    <w:rsid w:val="00014DC7"/>
    <w:rsid w:val="00014DD7"/>
    <w:rsid w:val="00014F31"/>
    <w:rsid w:val="00015066"/>
    <w:rsid w:val="00015109"/>
    <w:rsid w:val="00015205"/>
    <w:rsid w:val="00015219"/>
    <w:rsid w:val="0001523A"/>
    <w:rsid w:val="000153AA"/>
    <w:rsid w:val="000154C8"/>
    <w:rsid w:val="00015583"/>
    <w:rsid w:val="00015621"/>
    <w:rsid w:val="00015657"/>
    <w:rsid w:val="00015889"/>
    <w:rsid w:val="000158B1"/>
    <w:rsid w:val="00015A4E"/>
    <w:rsid w:val="00015BBE"/>
    <w:rsid w:val="00015BD3"/>
    <w:rsid w:val="00015C92"/>
    <w:rsid w:val="00015EAB"/>
    <w:rsid w:val="00015EC4"/>
    <w:rsid w:val="00015EE6"/>
    <w:rsid w:val="000160D3"/>
    <w:rsid w:val="0001612D"/>
    <w:rsid w:val="00016257"/>
    <w:rsid w:val="000162C4"/>
    <w:rsid w:val="00016370"/>
    <w:rsid w:val="000163A7"/>
    <w:rsid w:val="00016639"/>
    <w:rsid w:val="00016681"/>
    <w:rsid w:val="000166FD"/>
    <w:rsid w:val="00016843"/>
    <w:rsid w:val="00016887"/>
    <w:rsid w:val="000168CD"/>
    <w:rsid w:val="0001691F"/>
    <w:rsid w:val="00016963"/>
    <w:rsid w:val="000169A1"/>
    <w:rsid w:val="00016A82"/>
    <w:rsid w:val="00016B06"/>
    <w:rsid w:val="00016BD6"/>
    <w:rsid w:val="00016CC5"/>
    <w:rsid w:val="00016D46"/>
    <w:rsid w:val="00016E78"/>
    <w:rsid w:val="00016F50"/>
    <w:rsid w:val="00016F59"/>
    <w:rsid w:val="0001707D"/>
    <w:rsid w:val="000170E4"/>
    <w:rsid w:val="0001711B"/>
    <w:rsid w:val="0001718C"/>
    <w:rsid w:val="000171CF"/>
    <w:rsid w:val="000171F5"/>
    <w:rsid w:val="00017234"/>
    <w:rsid w:val="000172A8"/>
    <w:rsid w:val="000172CC"/>
    <w:rsid w:val="000173A8"/>
    <w:rsid w:val="000173C5"/>
    <w:rsid w:val="00017612"/>
    <w:rsid w:val="00017682"/>
    <w:rsid w:val="00017AF6"/>
    <w:rsid w:val="00017BA2"/>
    <w:rsid w:val="00017BAE"/>
    <w:rsid w:val="00017C88"/>
    <w:rsid w:val="00017CA7"/>
    <w:rsid w:val="00017DC3"/>
    <w:rsid w:val="00017DDD"/>
    <w:rsid w:val="00017E16"/>
    <w:rsid w:val="00017E9F"/>
    <w:rsid w:val="00017FBF"/>
    <w:rsid w:val="00020077"/>
    <w:rsid w:val="00020225"/>
    <w:rsid w:val="000202A1"/>
    <w:rsid w:val="000202D9"/>
    <w:rsid w:val="0002034D"/>
    <w:rsid w:val="0002076E"/>
    <w:rsid w:val="00020996"/>
    <w:rsid w:val="000209BC"/>
    <w:rsid w:val="00020AF2"/>
    <w:rsid w:val="00020B39"/>
    <w:rsid w:val="00020BD0"/>
    <w:rsid w:val="00020D30"/>
    <w:rsid w:val="00020F1A"/>
    <w:rsid w:val="00020F5A"/>
    <w:rsid w:val="00020F91"/>
    <w:rsid w:val="00020FD7"/>
    <w:rsid w:val="000210AE"/>
    <w:rsid w:val="00021321"/>
    <w:rsid w:val="000213F2"/>
    <w:rsid w:val="00021417"/>
    <w:rsid w:val="0002145F"/>
    <w:rsid w:val="000214CC"/>
    <w:rsid w:val="000215D2"/>
    <w:rsid w:val="00021AF8"/>
    <w:rsid w:val="00021D1A"/>
    <w:rsid w:val="00021D86"/>
    <w:rsid w:val="00021D8F"/>
    <w:rsid w:val="00021D99"/>
    <w:rsid w:val="00021DC1"/>
    <w:rsid w:val="00022120"/>
    <w:rsid w:val="00022226"/>
    <w:rsid w:val="00022319"/>
    <w:rsid w:val="00022407"/>
    <w:rsid w:val="000224CE"/>
    <w:rsid w:val="00022530"/>
    <w:rsid w:val="00022563"/>
    <w:rsid w:val="00022657"/>
    <w:rsid w:val="000226D3"/>
    <w:rsid w:val="00022778"/>
    <w:rsid w:val="0002278C"/>
    <w:rsid w:val="00022964"/>
    <w:rsid w:val="00022E64"/>
    <w:rsid w:val="0002308D"/>
    <w:rsid w:val="000230E9"/>
    <w:rsid w:val="00023146"/>
    <w:rsid w:val="000231DA"/>
    <w:rsid w:val="000231FC"/>
    <w:rsid w:val="000233B7"/>
    <w:rsid w:val="000234EE"/>
    <w:rsid w:val="00023516"/>
    <w:rsid w:val="00023527"/>
    <w:rsid w:val="000235BB"/>
    <w:rsid w:val="000236AF"/>
    <w:rsid w:val="000236D6"/>
    <w:rsid w:val="00023976"/>
    <w:rsid w:val="00023A47"/>
    <w:rsid w:val="00023DE7"/>
    <w:rsid w:val="00023E46"/>
    <w:rsid w:val="00023E7A"/>
    <w:rsid w:val="00023F00"/>
    <w:rsid w:val="00024175"/>
    <w:rsid w:val="000241EB"/>
    <w:rsid w:val="00024222"/>
    <w:rsid w:val="00024309"/>
    <w:rsid w:val="00024311"/>
    <w:rsid w:val="0002446E"/>
    <w:rsid w:val="000244C1"/>
    <w:rsid w:val="000245FF"/>
    <w:rsid w:val="000246AD"/>
    <w:rsid w:val="000246E3"/>
    <w:rsid w:val="000248AD"/>
    <w:rsid w:val="000249A3"/>
    <w:rsid w:val="000249FD"/>
    <w:rsid w:val="00024ABB"/>
    <w:rsid w:val="00024C3B"/>
    <w:rsid w:val="00024CDD"/>
    <w:rsid w:val="00024CF5"/>
    <w:rsid w:val="00024D7F"/>
    <w:rsid w:val="00024E2C"/>
    <w:rsid w:val="00024F4D"/>
    <w:rsid w:val="0002520C"/>
    <w:rsid w:val="00025260"/>
    <w:rsid w:val="0002548D"/>
    <w:rsid w:val="000254B5"/>
    <w:rsid w:val="000254D8"/>
    <w:rsid w:val="00025549"/>
    <w:rsid w:val="00025630"/>
    <w:rsid w:val="000257A1"/>
    <w:rsid w:val="0002581B"/>
    <w:rsid w:val="00025A05"/>
    <w:rsid w:val="00025AE0"/>
    <w:rsid w:val="00025B20"/>
    <w:rsid w:val="00025F00"/>
    <w:rsid w:val="00026043"/>
    <w:rsid w:val="000260D0"/>
    <w:rsid w:val="00026106"/>
    <w:rsid w:val="00026298"/>
    <w:rsid w:val="000263ED"/>
    <w:rsid w:val="00026811"/>
    <w:rsid w:val="000268C9"/>
    <w:rsid w:val="0002696C"/>
    <w:rsid w:val="00026A55"/>
    <w:rsid w:val="00026A6C"/>
    <w:rsid w:val="00026B6D"/>
    <w:rsid w:val="00026F3E"/>
    <w:rsid w:val="0002703E"/>
    <w:rsid w:val="00027168"/>
    <w:rsid w:val="00027204"/>
    <w:rsid w:val="000273F4"/>
    <w:rsid w:val="000274BD"/>
    <w:rsid w:val="0002752C"/>
    <w:rsid w:val="00027626"/>
    <w:rsid w:val="0002770E"/>
    <w:rsid w:val="00027967"/>
    <w:rsid w:val="00027B26"/>
    <w:rsid w:val="00027DB3"/>
    <w:rsid w:val="00027DEE"/>
    <w:rsid w:val="00027E8B"/>
    <w:rsid w:val="00027E8C"/>
    <w:rsid w:val="00027EB2"/>
    <w:rsid w:val="00027FC4"/>
    <w:rsid w:val="00030007"/>
    <w:rsid w:val="000301EB"/>
    <w:rsid w:val="00030235"/>
    <w:rsid w:val="00030280"/>
    <w:rsid w:val="0003028A"/>
    <w:rsid w:val="0003043B"/>
    <w:rsid w:val="00030628"/>
    <w:rsid w:val="000306F6"/>
    <w:rsid w:val="00030743"/>
    <w:rsid w:val="00030803"/>
    <w:rsid w:val="0003089F"/>
    <w:rsid w:val="00030969"/>
    <w:rsid w:val="000309B8"/>
    <w:rsid w:val="00030A14"/>
    <w:rsid w:val="00030A3A"/>
    <w:rsid w:val="00030B90"/>
    <w:rsid w:val="00030B9A"/>
    <w:rsid w:val="00030C58"/>
    <w:rsid w:val="00030D31"/>
    <w:rsid w:val="00030D37"/>
    <w:rsid w:val="00030E06"/>
    <w:rsid w:val="00030E2E"/>
    <w:rsid w:val="00030E72"/>
    <w:rsid w:val="00030EF3"/>
    <w:rsid w:val="00030F04"/>
    <w:rsid w:val="00031077"/>
    <w:rsid w:val="000310CD"/>
    <w:rsid w:val="00031165"/>
    <w:rsid w:val="00031170"/>
    <w:rsid w:val="00031193"/>
    <w:rsid w:val="00031223"/>
    <w:rsid w:val="000312D3"/>
    <w:rsid w:val="000312D4"/>
    <w:rsid w:val="00031339"/>
    <w:rsid w:val="00031400"/>
    <w:rsid w:val="000314DD"/>
    <w:rsid w:val="000317AD"/>
    <w:rsid w:val="00031854"/>
    <w:rsid w:val="00031858"/>
    <w:rsid w:val="00031913"/>
    <w:rsid w:val="000319A3"/>
    <w:rsid w:val="00031AC7"/>
    <w:rsid w:val="00031C0D"/>
    <w:rsid w:val="00031D47"/>
    <w:rsid w:val="00031DD3"/>
    <w:rsid w:val="00031E90"/>
    <w:rsid w:val="00032099"/>
    <w:rsid w:val="00032164"/>
    <w:rsid w:val="000321AF"/>
    <w:rsid w:val="00032390"/>
    <w:rsid w:val="0003248D"/>
    <w:rsid w:val="0003256F"/>
    <w:rsid w:val="00032614"/>
    <w:rsid w:val="0003261D"/>
    <w:rsid w:val="000328DB"/>
    <w:rsid w:val="00032974"/>
    <w:rsid w:val="00032B47"/>
    <w:rsid w:val="00032BDA"/>
    <w:rsid w:val="00032CDE"/>
    <w:rsid w:val="00032D90"/>
    <w:rsid w:val="00032DDC"/>
    <w:rsid w:val="00032E0F"/>
    <w:rsid w:val="00032FCD"/>
    <w:rsid w:val="00032FF8"/>
    <w:rsid w:val="0003306C"/>
    <w:rsid w:val="000330D3"/>
    <w:rsid w:val="00033161"/>
    <w:rsid w:val="00033249"/>
    <w:rsid w:val="00033318"/>
    <w:rsid w:val="0003337C"/>
    <w:rsid w:val="000333D5"/>
    <w:rsid w:val="00033592"/>
    <w:rsid w:val="000335B0"/>
    <w:rsid w:val="000335B5"/>
    <w:rsid w:val="0003380D"/>
    <w:rsid w:val="0003382D"/>
    <w:rsid w:val="00033849"/>
    <w:rsid w:val="0003385A"/>
    <w:rsid w:val="00033992"/>
    <w:rsid w:val="0003399B"/>
    <w:rsid w:val="000339ED"/>
    <w:rsid w:val="00033C05"/>
    <w:rsid w:val="00033C5C"/>
    <w:rsid w:val="00033D18"/>
    <w:rsid w:val="00033DE1"/>
    <w:rsid w:val="00033E23"/>
    <w:rsid w:val="00033F31"/>
    <w:rsid w:val="000340FC"/>
    <w:rsid w:val="00034108"/>
    <w:rsid w:val="0003412C"/>
    <w:rsid w:val="00034151"/>
    <w:rsid w:val="00034174"/>
    <w:rsid w:val="00034245"/>
    <w:rsid w:val="000342BD"/>
    <w:rsid w:val="00034393"/>
    <w:rsid w:val="00034457"/>
    <w:rsid w:val="0003455B"/>
    <w:rsid w:val="000345C2"/>
    <w:rsid w:val="0003470F"/>
    <w:rsid w:val="00034758"/>
    <w:rsid w:val="000347C8"/>
    <w:rsid w:val="00034869"/>
    <w:rsid w:val="00034969"/>
    <w:rsid w:val="00034981"/>
    <w:rsid w:val="00034AD0"/>
    <w:rsid w:val="00034D7F"/>
    <w:rsid w:val="00034E8D"/>
    <w:rsid w:val="00034ECD"/>
    <w:rsid w:val="00034FE7"/>
    <w:rsid w:val="000350C3"/>
    <w:rsid w:val="0003520A"/>
    <w:rsid w:val="00035259"/>
    <w:rsid w:val="0003531C"/>
    <w:rsid w:val="000353C9"/>
    <w:rsid w:val="0003553B"/>
    <w:rsid w:val="000355F0"/>
    <w:rsid w:val="0003560B"/>
    <w:rsid w:val="00035698"/>
    <w:rsid w:val="000357BC"/>
    <w:rsid w:val="000358C2"/>
    <w:rsid w:val="00035A39"/>
    <w:rsid w:val="00035E07"/>
    <w:rsid w:val="00035E20"/>
    <w:rsid w:val="00035EE2"/>
    <w:rsid w:val="00035F26"/>
    <w:rsid w:val="00036048"/>
    <w:rsid w:val="00036076"/>
    <w:rsid w:val="000361C3"/>
    <w:rsid w:val="000363A3"/>
    <w:rsid w:val="000363C2"/>
    <w:rsid w:val="00036577"/>
    <w:rsid w:val="00036615"/>
    <w:rsid w:val="000366F8"/>
    <w:rsid w:val="000367C4"/>
    <w:rsid w:val="000369FB"/>
    <w:rsid w:val="00036C89"/>
    <w:rsid w:val="00036CD1"/>
    <w:rsid w:val="00036D5C"/>
    <w:rsid w:val="00036DF3"/>
    <w:rsid w:val="00036FD0"/>
    <w:rsid w:val="00037181"/>
    <w:rsid w:val="00037211"/>
    <w:rsid w:val="00037308"/>
    <w:rsid w:val="0003733E"/>
    <w:rsid w:val="000376DC"/>
    <w:rsid w:val="000377B4"/>
    <w:rsid w:val="000377BD"/>
    <w:rsid w:val="00037815"/>
    <w:rsid w:val="0003785D"/>
    <w:rsid w:val="000378E8"/>
    <w:rsid w:val="00037923"/>
    <w:rsid w:val="0003793B"/>
    <w:rsid w:val="00037959"/>
    <w:rsid w:val="00037BEC"/>
    <w:rsid w:val="00037C4C"/>
    <w:rsid w:val="00037C54"/>
    <w:rsid w:val="00037E65"/>
    <w:rsid w:val="00037E91"/>
    <w:rsid w:val="00037F65"/>
    <w:rsid w:val="0004000D"/>
    <w:rsid w:val="0004003E"/>
    <w:rsid w:val="00040071"/>
    <w:rsid w:val="00040300"/>
    <w:rsid w:val="00040517"/>
    <w:rsid w:val="00040537"/>
    <w:rsid w:val="000406D6"/>
    <w:rsid w:val="000406F1"/>
    <w:rsid w:val="00040808"/>
    <w:rsid w:val="0004082D"/>
    <w:rsid w:val="00040B7D"/>
    <w:rsid w:val="00040BA4"/>
    <w:rsid w:val="00040E07"/>
    <w:rsid w:val="00040E57"/>
    <w:rsid w:val="00040FDF"/>
    <w:rsid w:val="0004101D"/>
    <w:rsid w:val="000410BE"/>
    <w:rsid w:val="000412FB"/>
    <w:rsid w:val="00041408"/>
    <w:rsid w:val="00041458"/>
    <w:rsid w:val="000414EA"/>
    <w:rsid w:val="000415A7"/>
    <w:rsid w:val="000417CE"/>
    <w:rsid w:val="000418B3"/>
    <w:rsid w:val="00041A9E"/>
    <w:rsid w:val="00041B42"/>
    <w:rsid w:val="00041BA3"/>
    <w:rsid w:val="00041D46"/>
    <w:rsid w:val="00041D59"/>
    <w:rsid w:val="00041E14"/>
    <w:rsid w:val="00041E24"/>
    <w:rsid w:val="00041F0C"/>
    <w:rsid w:val="00041F8F"/>
    <w:rsid w:val="00041FFE"/>
    <w:rsid w:val="000420D6"/>
    <w:rsid w:val="0004232B"/>
    <w:rsid w:val="00042337"/>
    <w:rsid w:val="0004247F"/>
    <w:rsid w:val="0004256B"/>
    <w:rsid w:val="00042610"/>
    <w:rsid w:val="0004279B"/>
    <w:rsid w:val="00042896"/>
    <w:rsid w:val="00042B9D"/>
    <w:rsid w:val="00042C04"/>
    <w:rsid w:val="00042DD7"/>
    <w:rsid w:val="00042E08"/>
    <w:rsid w:val="0004302E"/>
    <w:rsid w:val="000430E0"/>
    <w:rsid w:val="000431CC"/>
    <w:rsid w:val="0004324D"/>
    <w:rsid w:val="00043317"/>
    <w:rsid w:val="0004334C"/>
    <w:rsid w:val="0004342D"/>
    <w:rsid w:val="00043660"/>
    <w:rsid w:val="0004372D"/>
    <w:rsid w:val="000437B7"/>
    <w:rsid w:val="00043851"/>
    <w:rsid w:val="000438A6"/>
    <w:rsid w:val="00043A15"/>
    <w:rsid w:val="00043B2B"/>
    <w:rsid w:val="00043C36"/>
    <w:rsid w:val="00043D63"/>
    <w:rsid w:val="00043F42"/>
    <w:rsid w:val="00044070"/>
    <w:rsid w:val="000440EF"/>
    <w:rsid w:val="0004424B"/>
    <w:rsid w:val="00044538"/>
    <w:rsid w:val="000445E2"/>
    <w:rsid w:val="0004490A"/>
    <w:rsid w:val="00044ACE"/>
    <w:rsid w:val="00044B49"/>
    <w:rsid w:val="00044C51"/>
    <w:rsid w:val="00044C5F"/>
    <w:rsid w:val="00044DF4"/>
    <w:rsid w:val="00044E96"/>
    <w:rsid w:val="00044F02"/>
    <w:rsid w:val="00044F28"/>
    <w:rsid w:val="00045045"/>
    <w:rsid w:val="00045135"/>
    <w:rsid w:val="0004518E"/>
    <w:rsid w:val="00045251"/>
    <w:rsid w:val="000452CC"/>
    <w:rsid w:val="0004539C"/>
    <w:rsid w:val="0004547A"/>
    <w:rsid w:val="000454C0"/>
    <w:rsid w:val="0004567B"/>
    <w:rsid w:val="000456A0"/>
    <w:rsid w:val="0004574D"/>
    <w:rsid w:val="00045801"/>
    <w:rsid w:val="000458E2"/>
    <w:rsid w:val="00045920"/>
    <w:rsid w:val="00045AB5"/>
    <w:rsid w:val="00045C31"/>
    <w:rsid w:val="00045EBC"/>
    <w:rsid w:val="000460CB"/>
    <w:rsid w:val="0004616A"/>
    <w:rsid w:val="0004621E"/>
    <w:rsid w:val="00046281"/>
    <w:rsid w:val="000462CB"/>
    <w:rsid w:val="000462DC"/>
    <w:rsid w:val="000462F7"/>
    <w:rsid w:val="0004639B"/>
    <w:rsid w:val="0004640E"/>
    <w:rsid w:val="0004648E"/>
    <w:rsid w:val="00046518"/>
    <w:rsid w:val="000465C1"/>
    <w:rsid w:val="00046618"/>
    <w:rsid w:val="00046777"/>
    <w:rsid w:val="00046A4F"/>
    <w:rsid w:val="00046B06"/>
    <w:rsid w:val="00046D75"/>
    <w:rsid w:val="00046D98"/>
    <w:rsid w:val="00046DEC"/>
    <w:rsid w:val="00047039"/>
    <w:rsid w:val="000470FB"/>
    <w:rsid w:val="00047204"/>
    <w:rsid w:val="00047265"/>
    <w:rsid w:val="000472FC"/>
    <w:rsid w:val="00047351"/>
    <w:rsid w:val="000475CE"/>
    <w:rsid w:val="00047623"/>
    <w:rsid w:val="00047829"/>
    <w:rsid w:val="00047937"/>
    <w:rsid w:val="000479D7"/>
    <w:rsid w:val="00047A15"/>
    <w:rsid w:val="00047B3E"/>
    <w:rsid w:val="00047C66"/>
    <w:rsid w:val="00047DFB"/>
    <w:rsid w:val="00047FD1"/>
    <w:rsid w:val="0005000D"/>
    <w:rsid w:val="00050039"/>
    <w:rsid w:val="000500FE"/>
    <w:rsid w:val="0005011B"/>
    <w:rsid w:val="0005033D"/>
    <w:rsid w:val="00050386"/>
    <w:rsid w:val="0005065F"/>
    <w:rsid w:val="000506C3"/>
    <w:rsid w:val="000506D7"/>
    <w:rsid w:val="000509E0"/>
    <w:rsid w:val="00050BB6"/>
    <w:rsid w:val="00050CD1"/>
    <w:rsid w:val="00050D05"/>
    <w:rsid w:val="00050DCB"/>
    <w:rsid w:val="00050E60"/>
    <w:rsid w:val="00050EDD"/>
    <w:rsid w:val="00050EE8"/>
    <w:rsid w:val="00050FF1"/>
    <w:rsid w:val="00051186"/>
    <w:rsid w:val="00051258"/>
    <w:rsid w:val="000512E7"/>
    <w:rsid w:val="0005136C"/>
    <w:rsid w:val="0005143F"/>
    <w:rsid w:val="00051485"/>
    <w:rsid w:val="000514FD"/>
    <w:rsid w:val="0005150D"/>
    <w:rsid w:val="0005155B"/>
    <w:rsid w:val="0005160D"/>
    <w:rsid w:val="000516D6"/>
    <w:rsid w:val="000517FD"/>
    <w:rsid w:val="00051872"/>
    <w:rsid w:val="000518A5"/>
    <w:rsid w:val="000518F8"/>
    <w:rsid w:val="00051B57"/>
    <w:rsid w:val="00051D62"/>
    <w:rsid w:val="00051DA5"/>
    <w:rsid w:val="00051F42"/>
    <w:rsid w:val="00051F54"/>
    <w:rsid w:val="00051F86"/>
    <w:rsid w:val="00052135"/>
    <w:rsid w:val="00052223"/>
    <w:rsid w:val="000524FB"/>
    <w:rsid w:val="000525CD"/>
    <w:rsid w:val="0005267C"/>
    <w:rsid w:val="000527AA"/>
    <w:rsid w:val="000527CF"/>
    <w:rsid w:val="000529B4"/>
    <w:rsid w:val="00052B60"/>
    <w:rsid w:val="00052BEF"/>
    <w:rsid w:val="00052C44"/>
    <w:rsid w:val="00052CB5"/>
    <w:rsid w:val="00052D5A"/>
    <w:rsid w:val="00052E56"/>
    <w:rsid w:val="00052E9D"/>
    <w:rsid w:val="00052EBD"/>
    <w:rsid w:val="00052ED2"/>
    <w:rsid w:val="00052EF2"/>
    <w:rsid w:val="00052F22"/>
    <w:rsid w:val="00052FD1"/>
    <w:rsid w:val="00053080"/>
    <w:rsid w:val="00053249"/>
    <w:rsid w:val="000532DA"/>
    <w:rsid w:val="000532E8"/>
    <w:rsid w:val="00053335"/>
    <w:rsid w:val="00053356"/>
    <w:rsid w:val="00053517"/>
    <w:rsid w:val="000535E4"/>
    <w:rsid w:val="000536DE"/>
    <w:rsid w:val="00053B18"/>
    <w:rsid w:val="00053BBB"/>
    <w:rsid w:val="00053D2B"/>
    <w:rsid w:val="00053D77"/>
    <w:rsid w:val="00053DF2"/>
    <w:rsid w:val="00053E28"/>
    <w:rsid w:val="00053F51"/>
    <w:rsid w:val="00053FD4"/>
    <w:rsid w:val="0005408E"/>
    <w:rsid w:val="00054367"/>
    <w:rsid w:val="00054534"/>
    <w:rsid w:val="0005455C"/>
    <w:rsid w:val="000545D3"/>
    <w:rsid w:val="00054617"/>
    <w:rsid w:val="0005466A"/>
    <w:rsid w:val="0005466D"/>
    <w:rsid w:val="0005474B"/>
    <w:rsid w:val="00054789"/>
    <w:rsid w:val="00054839"/>
    <w:rsid w:val="00054906"/>
    <w:rsid w:val="00054942"/>
    <w:rsid w:val="00054956"/>
    <w:rsid w:val="00054C3A"/>
    <w:rsid w:val="00054D70"/>
    <w:rsid w:val="00055081"/>
    <w:rsid w:val="000550FD"/>
    <w:rsid w:val="00055168"/>
    <w:rsid w:val="0005522D"/>
    <w:rsid w:val="00055309"/>
    <w:rsid w:val="00055337"/>
    <w:rsid w:val="000553A3"/>
    <w:rsid w:val="00055408"/>
    <w:rsid w:val="0005543B"/>
    <w:rsid w:val="000554EE"/>
    <w:rsid w:val="0005556D"/>
    <w:rsid w:val="000555FD"/>
    <w:rsid w:val="00055825"/>
    <w:rsid w:val="00055845"/>
    <w:rsid w:val="00055903"/>
    <w:rsid w:val="00055927"/>
    <w:rsid w:val="0005593E"/>
    <w:rsid w:val="00055A27"/>
    <w:rsid w:val="00055B6B"/>
    <w:rsid w:val="00055C93"/>
    <w:rsid w:val="00055CD4"/>
    <w:rsid w:val="00055DAC"/>
    <w:rsid w:val="00055F73"/>
    <w:rsid w:val="00056385"/>
    <w:rsid w:val="000563C8"/>
    <w:rsid w:val="000565F2"/>
    <w:rsid w:val="000566BF"/>
    <w:rsid w:val="000566E4"/>
    <w:rsid w:val="00056904"/>
    <w:rsid w:val="000569B2"/>
    <w:rsid w:val="00056A4D"/>
    <w:rsid w:val="00056BC0"/>
    <w:rsid w:val="00056BDD"/>
    <w:rsid w:val="00056C97"/>
    <w:rsid w:val="00056CFA"/>
    <w:rsid w:val="00056E92"/>
    <w:rsid w:val="00056ECB"/>
    <w:rsid w:val="00056FB8"/>
    <w:rsid w:val="000570F6"/>
    <w:rsid w:val="000570FF"/>
    <w:rsid w:val="00057163"/>
    <w:rsid w:val="000571D2"/>
    <w:rsid w:val="0005742B"/>
    <w:rsid w:val="00057529"/>
    <w:rsid w:val="00057722"/>
    <w:rsid w:val="00057796"/>
    <w:rsid w:val="00057853"/>
    <w:rsid w:val="000578C2"/>
    <w:rsid w:val="000579F1"/>
    <w:rsid w:val="00057A83"/>
    <w:rsid w:val="00057AAB"/>
    <w:rsid w:val="00057CA5"/>
    <w:rsid w:val="00057D0A"/>
    <w:rsid w:val="00057DC2"/>
    <w:rsid w:val="00057E03"/>
    <w:rsid w:val="00057E42"/>
    <w:rsid w:val="00057F1A"/>
    <w:rsid w:val="00057F38"/>
    <w:rsid w:val="00057FFD"/>
    <w:rsid w:val="0006012F"/>
    <w:rsid w:val="0006024E"/>
    <w:rsid w:val="000602B6"/>
    <w:rsid w:val="000602BB"/>
    <w:rsid w:val="00060301"/>
    <w:rsid w:val="0006034C"/>
    <w:rsid w:val="00060447"/>
    <w:rsid w:val="00060470"/>
    <w:rsid w:val="000607F0"/>
    <w:rsid w:val="0006088C"/>
    <w:rsid w:val="00060A3D"/>
    <w:rsid w:val="00060A3F"/>
    <w:rsid w:val="00060A5D"/>
    <w:rsid w:val="00060BDB"/>
    <w:rsid w:val="00060BEC"/>
    <w:rsid w:val="00060C53"/>
    <w:rsid w:val="00060C88"/>
    <w:rsid w:val="00060CC9"/>
    <w:rsid w:val="00060D68"/>
    <w:rsid w:val="00060DB4"/>
    <w:rsid w:val="00060F0B"/>
    <w:rsid w:val="00060F45"/>
    <w:rsid w:val="00061099"/>
    <w:rsid w:val="000610A7"/>
    <w:rsid w:val="000610E4"/>
    <w:rsid w:val="00061102"/>
    <w:rsid w:val="00061278"/>
    <w:rsid w:val="000612FA"/>
    <w:rsid w:val="00061312"/>
    <w:rsid w:val="00061381"/>
    <w:rsid w:val="000613CB"/>
    <w:rsid w:val="00061935"/>
    <w:rsid w:val="00061A16"/>
    <w:rsid w:val="00061B8B"/>
    <w:rsid w:val="00061C7A"/>
    <w:rsid w:val="00061C8E"/>
    <w:rsid w:val="00061CDC"/>
    <w:rsid w:val="00061CEF"/>
    <w:rsid w:val="00061D75"/>
    <w:rsid w:val="00061DF5"/>
    <w:rsid w:val="00061E74"/>
    <w:rsid w:val="00061F69"/>
    <w:rsid w:val="00061FD8"/>
    <w:rsid w:val="00061FDD"/>
    <w:rsid w:val="00062189"/>
    <w:rsid w:val="000622CE"/>
    <w:rsid w:val="0006239E"/>
    <w:rsid w:val="000623A8"/>
    <w:rsid w:val="0006243D"/>
    <w:rsid w:val="000624F4"/>
    <w:rsid w:val="00062572"/>
    <w:rsid w:val="000625B1"/>
    <w:rsid w:val="00062658"/>
    <w:rsid w:val="00062739"/>
    <w:rsid w:val="0006298C"/>
    <w:rsid w:val="000629B3"/>
    <w:rsid w:val="00062A5E"/>
    <w:rsid w:val="00062C2A"/>
    <w:rsid w:val="00062D6C"/>
    <w:rsid w:val="00062DB3"/>
    <w:rsid w:val="00062FFD"/>
    <w:rsid w:val="00063051"/>
    <w:rsid w:val="000630F8"/>
    <w:rsid w:val="000630FC"/>
    <w:rsid w:val="0006317B"/>
    <w:rsid w:val="000632D5"/>
    <w:rsid w:val="000632E3"/>
    <w:rsid w:val="00063338"/>
    <w:rsid w:val="000633D5"/>
    <w:rsid w:val="000636E1"/>
    <w:rsid w:val="000637D2"/>
    <w:rsid w:val="000637F0"/>
    <w:rsid w:val="0006383C"/>
    <w:rsid w:val="00063949"/>
    <w:rsid w:val="00063952"/>
    <w:rsid w:val="00063992"/>
    <w:rsid w:val="00063A53"/>
    <w:rsid w:val="00063B9D"/>
    <w:rsid w:val="00063BFA"/>
    <w:rsid w:val="00063C95"/>
    <w:rsid w:val="00063F97"/>
    <w:rsid w:val="00063FA7"/>
    <w:rsid w:val="000640DB"/>
    <w:rsid w:val="00064118"/>
    <w:rsid w:val="00064414"/>
    <w:rsid w:val="000645BE"/>
    <w:rsid w:val="000645F5"/>
    <w:rsid w:val="00064715"/>
    <w:rsid w:val="00064771"/>
    <w:rsid w:val="00064A3E"/>
    <w:rsid w:val="00064B52"/>
    <w:rsid w:val="00064E3A"/>
    <w:rsid w:val="00064EC0"/>
    <w:rsid w:val="00064FC0"/>
    <w:rsid w:val="0006502B"/>
    <w:rsid w:val="000650B7"/>
    <w:rsid w:val="0006514F"/>
    <w:rsid w:val="000651B8"/>
    <w:rsid w:val="000651CA"/>
    <w:rsid w:val="0006525B"/>
    <w:rsid w:val="00065373"/>
    <w:rsid w:val="00065518"/>
    <w:rsid w:val="0006555D"/>
    <w:rsid w:val="0006559A"/>
    <w:rsid w:val="0006575C"/>
    <w:rsid w:val="000658D9"/>
    <w:rsid w:val="0006592F"/>
    <w:rsid w:val="000659D8"/>
    <w:rsid w:val="000659F0"/>
    <w:rsid w:val="00065A17"/>
    <w:rsid w:val="00065B22"/>
    <w:rsid w:val="00065B29"/>
    <w:rsid w:val="00065B5D"/>
    <w:rsid w:val="00065CCA"/>
    <w:rsid w:val="00065FC6"/>
    <w:rsid w:val="00065FD7"/>
    <w:rsid w:val="00066058"/>
    <w:rsid w:val="000661E5"/>
    <w:rsid w:val="000662BA"/>
    <w:rsid w:val="0006639D"/>
    <w:rsid w:val="0006646E"/>
    <w:rsid w:val="00066493"/>
    <w:rsid w:val="00066505"/>
    <w:rsid w:val="00066549"/>
    <w:rsid w:val="00066626"/>
    <w:rsid w:val="0006662D"/>
    <w:rsid w:val="000666A0"/>
    <w:rsid w:val="00066748"/>
    <w:rsid w:val="00066791"/>
    <w:rsid w:val="000667E0"/>
    <w:rsid w:val="00066982"/>
    <w:rsid w:val="00066A1F"/>
    <w:rsid w:val="00066A89"/>
    <w:rsid w:val="00066BBC"/>
    <w:rsid w:val="00066BD8"/>
    <w:rsid w:val="00066C08"/>
    <w:rsid w:val="00066C1F"/>
    <w:rsid w:val="00067085"/>
    <w:rsid w:val="00067127"/>
    <w:rsid w:val="0006740A"/>
    <w:rsid w:val="0006750B"/>
    <w:rsid w:val="0006755B"/>
    <w:rsid w:val="00067561"/>
    <w:rsid w:val="000675DB"/>
    <w:rsid w:val="0006765F"/>
    <w:rsid w:val="0006768D"/>
    <w:rsid w:val="000677D3"/>
    <w:rsid w:val="000678C1"/>
    <w:rsid w:val="00067989"/>
    <w:rsid w:val="000679F8"/>
    <w:rsid w:val="00067C25"/>
    <w:rsid w:val="00067C5C"/>
    <w:rsid w:val="00067E99"/>
    <w:rsid w:val="00067ECC"/>
    <w:rsid w:val="00067FA5"/>
    <w:rsid w:val="000700AF"/>
    <w:rsid w:val="000700B5"/>
    <w:rsid w:val="00070107"/>
    <w:rsid w:val="000701D9"/>
    <w:rsid w:val="000701E8"/>
    <w:rsid w:val="0007027C"/>
    <w:rsid w:val="000702EB"/>
    <w:rsid w:val="0007030B"/>
    <w:rsid w:val="00070322"/>
    <w:rsid w:val="000703E1"/>
    <w:rsid w:val="000703F0"/>
    <w:rsid w:val="000704B8"/>
    <w:rsid w:val="000704C2"/>
    <w:rsid w:val="00070685"/>
    <w:rsid w:val="000707A0"/>
    <w:rsid w:val="0007086B"/>
    <w:rsid w:val="000708EE"/>
    <w:rsid w:val="000709A3"/>
    <w:rsid w:val="00070A15"/>
    <w:rsid w:val="00070D6D"/>
    <w:rsid w:val="00070DE4"/>
    <w:rsid w:val="00070E6F"/>
    <w:rsid w:val="00070ECA"/>
    <w:rsid w:val="00071118"/>
    <w:rsid w:val="000711B7"/>
    <w:rsid w:val="000712F8"/>
    <w:rsid w:val="0007148E"/>
    <w:rsid w:val="00071507"/>
    <w:rsid w:val="00071592"/>
    <w:rsid w:val="000715FD"/>
    <w:rsid w:val="0007162B"/>
    <w:rsid w:val="00071746"/>
    <w:rsid w:val="000717A1"/>
    <w:rsid w:val="0007181F"/>
    <w:rsid w:val="0007186D"/>
    <w:rsid w:val="00071B86"/>
    <w:rsid w:val="00071BD8"/>
    <w:rsid w:val="00071CB9"/>
    <w:rsid w:val="00071D27"/>
    <w:rsid w:val="00071D7E"/>
    <w:rsid w:val="00071E6B"/>
    <w:rsid w:val="00071EC5"/>
    <w:rsid w:val="00071F65"/>
    <w:rsid w:val="00071FE6"/>
    <w:rsid w:val="00072055"/>
    <w:rsid w:val="000720FD"/>
    <w:rsid w:val="0007215E"/>
    <w:rsid w:val="000721C5"/>
    <w:rsid w:val="00072432"/>
    <w:rsid w:val="00072568"/>
    <w:rsid w:val="000725FB"/>
    <w:rsid w:val="000729EA"/>
    <w:rsid w:val="000729EF"/>
    <w:rsid w:val="00072C73"/>
    <w:rsid w:val="00072CD6"/>
    <w:rsid w:val="00072D84"/>
    <w:rsid w:val="00072DD3"/>
    <w:rsid w:val="00072DE8"/>
    <w:rsid w:val="00073158"/>
    <w:rsid w:val="0007316D"/>
    <w:rsid w:val="0007319B"/>
    <w:rsid w:val="000732F4"/>
    <w:rsid w:val="00073328"/>
    <w:rsid w:val="00073331"/>
    <w:rsid w:val="000733AE"/>
    <w:rsid w:val="00073637"/>
    <w:rsid w:val="00073776"/>
    <w:rsid w:val="00073929"/>
    <w:rsid w:val="00073A41"/>
    <w:rsid w:val="00073B18"/>
    <w:rsid w:val="00073C22"/>
    <w:rsid w:val="00073CB8"/>
    <w:rsid w:val="00073CDA"/>
    <w:rsid w:val="00073CE8"/>
    <w:rsid w:val="00073EF9"/>
    <w:rsid w:val="00073F0A"/>
    <w:rsid w:val="00074045"/>
    <w:rsid w:val="00074084"/>
    <w:rsid w:val="00074195"/>
    <w:rsid w:val="000743CB"/>
    <w:rsid w:val="0007444C"/>
    <w:rsid w:val="000744E5"/>
    <w:rsid w:val="00074517"/>
    <w:rsid w:val="00074685"/>
    <w:rsid w:val="000746E9"/>
    <w:rsid w:val="0007470B"/>
    <w:rsid w:val="00074731"/>
    <w:rsid w:val="0007473B"/>
    <w:rsid w:val="00074937"/>
    <w:rsid w:val="000749B2"/>
    <w:rsid w:val="00074A0D"/>
    <w:rsid w:val="00074A24"/>
    <w:rsid w:val="00074B27"/>
    <w:rsid w:val="00074B41"/>
    <w:rsid w:val="00074C2E"/>
    <w:rsid w:val="00074C3F"/>
    <w:rsid w:val="00074D19"/>
    <w:rsid w:val="00074F00"/>
    <w:rsid w:val="00074F60"/>
    <w:rsid w:val="00075089"/>
    <w:rsid w:val="000750A1"/>
    <w:rsid w:val="0007519F"/>
    <w:rsid w:val="00075247"/>
    <w:rsid w:val="00075307"/>
    <w:rsid w:val="0007538E"/>
    <w:rsid w:val="000753F5"/>
    <w:rsid w:val="000757CA"/>
    <w:rsid w:val="0007588F"/>
    <w:rsid w:val="000758EC"/>
    <w:rsid w:val="000758F1"/>
    <w:rsid w:val="0007598F"/>
    <w:rsid w:val="000759AC"/>
    <w:rsid w:val="00075AA8"/>
    <w:rsid w:val="00075B1F"/>
    <w:rsid w:val="00075D3D"/>
    <w:rsid w:val="00075D65"/>
    <w:rsid w:val="00075E19"/>
    <w:rsid w:val="00075EC2"/>
    <w:rsid w:val="00075F69"/>
    <w:rsid w:val="0007604C"/>
    <w:rsid w:val="0007608F"/>
    <w:rsid w:val="000760D5"/>
    <w:rsid w:val="0007617A"/>
    <w:rsid w:val="0007617D"/>
    <w:rsid w:val="00076185"/>
    <w:rsid w:val="00076258"/>
    <w:rsid w:val="000762CB"/>
    <w:rsid w:val="00076362"/>
    <w:rsid w:val="0007642D"/>
    <w:rsid w:val="00076471"/>
    <w:rsid w:val="00076495"/>
    <w:rsid w:val="0007654A"/>
    <w:rsid w:val="000765D1"/>
    <w:rsid w:val="00076600"/>
    <w:rsid w:val="00076635"/>
    <w:rsid w:val="00076687"/>
    <w:rsid w:val="000766AC"/>
    <w:rsid w:val="000767AB"/>
    <w:rsid w:val="000767F3"/>
    <w:rsid w:val="0007694A"/>
    <w:rsid w:val="000769A4"/>
    <w:rsid w:val="00076B54"/>
    <w:rsid w:val="00076EF7"/>
    <w:rsid w:val="00076FB0"/>
    <w:rsid w:val="0007709E"/>
    <w:rsid w:val="000770E0"/>
    <w:rsid w:val="0007712B"/>
    <w:rsid w:val="000771FF"/>
    <w:rsid w:val="00077250"/>
    <w:rsid w:val="000773EA"/>
    <w:rsid w:val="00077539"/>
    <w:rsid w:val="000775C0"/>
    <w:rsid w:val="000775CB"/>
    <w:rsid w:val="0007773E"/>
    <w:rsid w:val="000777C7"/>
    <w:rsid w:val="00077823"/>
    <w:rsid w:val="0007785A"/>
    <w:rsid w:val="0007785B"/>
    <w:rsid w:val="00077A08"/>
    <w:rsid w:val="00077A84"/>
    <w:rsid w:val="00077B13"/>
    <w:rsid w:val="00077B32"/>
    <w:rsid w:val="00077C57"/>
    <w:rsid w:val="00077D12"/>
    <w:rsid w:val="00077D1A"/>
    <w:rsid w:val="00077DB3"/>
    <w:rsid w:val="00077EAC"/>
    <w:rsid w:val="00077EC3"/>
    <w:rsid w:val="00077F42"/>
    <w:rsid w:val="00080016"/>
    <w:rsid w:val="000801A7"/>
    <w:rsid w:val="0008028C"/>
    <w:rsid w:val="000803D7"/>
    <w:rsid w:val="0008051D"/>
    <w:rsid w:val="000807FB"/>
    <w:rsid w:val="0008088D"/>
    <w:rsid w:val="000809BC"/>
    <w:rsid w:val="00080A40"/>
    <w:rsid w:val="00080A56"/>
    <w:rsid w:val="00080AD4"/>
    <w:rsid w:val="00080D18"/>
    <w:rsid w:val="00080DA0"/>
    <w:rsid w:val="00080DBD"/>
    <w:rsid w:val="00080DD2"/>
    <w:rsid w:val="00080E49"/>
    <w:rsid w:val="00080EAC"/>
    <w:rsid w:val="00080EFC"/>
    <w:rsid w:val="00080F0B"/>
    <w:rsid w:val="00080F3F"/>
    <w:rsid w:val="00080FE9"/>
    <w:rsid w:val="000810EE"/>
    <w:rsid w:val="00081228"/>
    <w:rsid w:val="00081243"/>
    <w:rsid w:val="000812F7"/>
    <w:rsid w:val="00081326"/>
    <w:rsid w:val="00081396"/>
    <w:rsid w:val="000813DA"/>
    <w:rsid w:val="000813FF"/>
    <w:rsid w:val="00081568"/>
    <w:rsid w:val="000815B6"/>
    <w:rsid w:val="00081622"/>
    <w:rsid w:val="00081777"/>
    <w:rsid w:val="000817FD"/>
    <w:rsid w:val="00081853"/>
    <w:rsid w:val="00081924"/>
    <w:rsid w:val="00081A28"/>
    <w:rsid w:val="00081C1F"/>
    <w:rsid w:val="00081CBF"/>
    <w:rsid w:val="00081D63"/>
    <w:rsid w:val="00081D7B"/>
    <w:rsid w:val="00081D88"/>
    <w:rsid w:val="00081DA4"/>
    <w:rsid w:val="00081DBA"/>
    <w:rsid w:val="00081E95"/>
    <w:rsid w:val="00081EE4"/>
    <w:rsid w:val="00081FA9"/>
    <w:rsid w:val="00081FF0"/>
    <w:rsid w:val="00082031"/>
    <w:rsid w:val="0008203F"/>
    <w:rsid w:val="000820BA"/>
    <w:rsid w:val="000820C1"/>
    <w:rsid w:val="000820ED"/>
    <w:rsid w:val="000826AA"/>
    <w:rsid w:val="000826E8"/>
    <w:rsid w:val="000826EE"/>
    <w:rsid w:val="0008270D"/>
    <w:rsid w:val="000828D7"/>
    <w:rsid w:val="00082ADA"/>
    <w:rsid w:val="00082C7C"/>
    <w:rsid w:val="00082CEA"/>
    <w:rsid w:val="00082D03"/>
    <w:rsid w:val="00082F1F"/>
    <w:rsid w:val="00082F74"/>
    <w:rsid w:val="00083256"/>
    <w:rsid w:val="000832B8"/>
    <w:rsid w:val="00083355"/>
    <w:rsid w:val="000833AF"/>
    <w:rsid w:val="0008360C"/>
    <w:rsid w:val="00083615"/>
    <w:rsid w:val="00083688"/>
    <w:rsid w:val="00083735"/>
    <w:rsid w:val="00083737"/>
    <w:rsid w:val="000837B3"/>
    <w:rsid w:val="00083827"/>
    <w:rsid w:val="000838B7"/>
    <w:rsid w:val="00083A4C"/>
    <w:rsid w:val="00083C4D"/>
    <w:rsid w:val="00083C4E"/>
    <w:rsid w:val="00083D1F"/>
    <w:rsid w:val="00083E14"/>
    <w:rsid w:val="00083E99"/>
    <w:rsid w:val="000842AA"/>
    <w:rsid w:val="00084319"/>
    <w:rsid w:val="00084400"/>
    <w:rsid w:val="00084418"/>
    <w:rsid w:val="00084452"/>
    <w:rsid w:val="000844B4"/>
    <w:rsid w:val="000845BD"/>
    <w:rsid w:val="000845EE"/>
    <w:rsid w:val="00084674"/>
    <w:rsid w:val="000846B8"/>
    <w:rsid w:val="00084780"/>
    <w:rsid w:val="00084CAE"/>
    <w:rsid w:val="00084D28"/>
    <w:rsid w:val="00084D9E"/>
    <w:rsid w:val="00084DDC"/>
    <w:rsid w:val="00084FE1"/>
    <w:rsid w:val="000850F0"/>
    <w:rsid w:val="0008516F"/>
    <w:rsid w:val="00085171"/>
    <w:rsid w:val="000855A5"/>
    <w:rsid w:val="0008572F"/>
    <w:rsid w:val="00085779"/>
    <w:rsid w:val="0008580E"/>
    <w:rsid w:val="00085886"/>
    <w:rsid w:val="000859D4"/>
    <w:rsid w:val="00085A2A"/>
    <w:rsid w:val="00085A37"/>
    <w:rsid w:val="00085AB7"/>
    <w:rsid w:val="00085BAC"/>
    <w:rsid w:val="00085BAE"/>
    <w:rsid w:val="00085C3D"/>
    <w:rsid w:val="00085E9B"/>
    <w:rsid w:val="00085F02"/>
    <w:rsid w:val="00085F77"/>
    <w:rsid w:val="00085FFC"/>
    <w:rsid w:val="00086028"/>
    <w:rsid w:val="00086062"/>
    <w:rsid w:val="0008609F"/>
    <w:rsid w:val="000860A9"/>
    <w:rsid w:val="000860BD"/>
    <w:rsid w:val="00086332"/>
    <w:rsid w:val="00086366"/>
    <w:rsid w:val="000865E5"/>
    <w:rsid w:val="00086638"/>
    <w:rsid w:val="000866E8"/>
    <w:rsid w:val="00086868"/>
    <w:rsid w:val="0008688F"/>
    <w:rsid w:val="00086973"/>
    <w:rsid w:val="00086B16"/>
    <w:rsid w:val="00086B81"/>
    <w:rsid w:val="00086CD4"/>
    <w:rsid w:val="00086F45"/>
    <w:rsid w:val="0008717E"/>
    <w:rsid w:val="00087337"/>
    <w:rsid w:val="0008758B"/>
    <w:rsid w:val="000875B6"/>
    <w:rsid w:val="00087630"/>
    <w:rsid w:val="0008795F"/>
    <w:rsid w:val="00087A44"/>
    <w:rsid w:val="00087CD6"/>
    <w:rsid w:val="00087D10"/>
    <w:rsid w:val="00087DAB"/>
    <w:rsid w:val="00087ECF"/>
    <w:rsid w:val="00090020"/>
    <w:rsid w:val="00090067"/>
    <w:rsid w:val="0009009E"/>
    <w:rsid w:val="000900FC"/>
    <w:rsid w:val="00090198"/>
    <w:rsid w:val="000902AC"/>
    <w:rsid w:val="00090392"/>
    <w:rsid w:val="00090563"/>
    <w:rsid w:val="00090589"/>
    <w:rsid w:val="000907C9"/>
    <w:rsid w:val="0009088E"/>
    <w:rsid w:val="00090944"/>
    <w:rsid w:val="00090A2A"/>
    <w:rsid w:val="00090BFC"/>
    <w:rsid w:val="00090E17"/>
    <w:rsid w:val="00090EB3"/>
    <w:rsid w:val="00090EDE"/>
    <w:rsid w:val="00090F06"/>
    <w:rsid w:val="00090F73"/>
    <w:rsid w:val="00090FDE"/>
    <w:rsid w:val="00091011"/>
    <w:rsid w:val="0009101E"/>
    <w:rsid w:val="00091150"/>
    <w:rsid w:val="0009115B"/>
    <w:rsid w:val="00091169"/>
    <w:rsid w:val="00091283"/>
    <w:rsid w:val="00091559"/>
    <w:rsid w:val="00091771"/>
    <w:rsid w:val="0009185E"/>
    <w:rsid w:val="00091AA3"/>
    <w:rsid w:val="00091BBB"/>
    <w:rsid w:val="00091BE9"/>
    <w:rsid w:val="00091BF3"/>
    <w:rsid w:val="00091BF5"/>
    <w:rsid w:val="00091D21"/>
    <w:rsid w:val="00091D4D"/>
    <w:rsid w:val="00091DB0"/>
    <w:rsid w:val="00091E51"/>
    <w:rsid w:val="00091F47"/>
    <w:rsid w:val="0009203C"/>
    <w:rsid w:val="000920A6"/>
    <w:rsid w:val="000921FA"/>
    <w:rsid w:val="00092330"/>
    <w:rsid w:val="000924F5"/>
    <w:rsid w:val="0009252F"/>
    <w:rsid w:val="0009271B"/>
    <w:rsid w:val="0009278B"/>
    <w:rsid w:val="000927A3"/>
    <w:rsid w:val="000927C7"/>
    <w:rsid w:val="00092928"/>
    <w:rsid w:val="00092AF2"/>
    <w:rsid w:val="00092B8B"/>
    <w:rsid w:val="00092C21"/>
    <w:rsid w:val="00092C8F"/>
    <w:rsid w:val="00092CFF"/>
    <w:rsid w:val="00092DB8"/>
    <w:rsid w:val="000930FD"/>
    <w:rsid w:val="0009312D"/>
    <w:rsid w:val="00093143"/>
    <w:rsid w:val="000931AB"/>
    <w:rsid w:val="00093292"/>
    <w:rsid w:val="0009337A"/>
    <w:rsid w:val="00093386"/>
    <w:rsid w:val="00093476"/>
    <w:rsid w:val="000934A1"/>
    <w:rsid w:val="000935FE"/>
    <w:rsid w:val="000936D1"/>
    <w:rsid w:val="00093755"/>
    <w:rsid w:val="00093794"/>
    <w:rsid w:val="000938AE"/>
    <w:rsid w:val="0009394C"/>
    <w:rsid w:val="00093A52"/>
    <w:rsid w:val="00093CDC"/>
    <w:rsid w:val="00093D2E"/>
    <w:rsid w:val="00093D48"/>
    <w:rsid w:val="00093F3D"/>
    <w:rsid w:val="00093F5B"/>
    <w:rsid w:val="00093F81"/>
    <w:rsid w:val="00094083"/>
    <w:rsid w:val="000940D0"/>
    <w:rsid w:val="000942CD"/>
    <w:rsid w:val="00094548"/>
    <w:rsid w:val="000946CC"/>
    <w:rsid w:val="000946F0"/>
    <w:rsid w:val="000949D0"/>
    <w:rsid w:val="00094A65"/>
    <w:rsid w:val="00094A88"/>
    <w:rsid w:val="00094ACA"/>
    <w:rsid w:val="00094B10"/>
    <w:rsid w:val="00094B3A"/>
    <w:rsid w:val="00094E31"/>
    <w:rsid w:val="00094E70"/>
    <w:rsid w:val="00094EAB"/>
    <w:rsid w:val="00094F00"/>
    <w:rsid w:val="00094F07"/>
    <w:rsid w:val="00094FB1"/>
    <w:rsid w:val="00094FC8"/>
    <w:rsid w:val="00095013"/>
    <w:rsid w:val="00095100"/>
    <w:rsid w:val="00095218"/>
    <w:rsid w:val="000952D3"/>
    <w:rsid w:val="00095393"/>
    <w:rsid w:val="00095467"/>
    <w:rsid w:val="0009548D"/>
    <w:rsid w:val="000955F1"/>
    <w:rsid w:val="00095780"/>
    <w:rsid w:val="000957D5"/>
    <w:rsid w:val="00095979"/>
    <w:rsid w:val="00095AFC"/>
    <w:rsid w:val="00095B60"/>
    <w:rsid w:val="00095C88"/>
    <w:rsid w:val="00095CED"/>
    <w:rsid w:val="00095D54"/>
    <w:rsid w:val="00095D87"/>
    <w:rsid w:val="00095D98"/>
    <w:rsid w:val="00095DC7"/>
    <w:rsid w:val="00095F21"/>
    <w:rsid w:val="00095F6D"/>
    <w:rsid w:val="00096035"/>
    <w:rsid w:val="00096252"/>
    <w:rsid w:val="000963C2"/>
    <w:rsid w:val="0009642B"/>
    <w:rsid w:val="000964F6"/>
    <w:rsid w:val="0009683E"/>
    <w:rsid w:val="00096914"/>
    <w:rsid w:val="0009697F"/>
    <w:rsid w:val="00096A3F"/>
    <w:rsid w:val="00096A57"/>
    <w:rsid w:val="00096B40"/>
    <w:rsid w:val="00096B89"/>
    <w:rsid w:val="00096BCD"/>
    <w:rsid w:val="00096C66"/>
    <w:rsid w:val="00096CAB"/>
    <w:rsid w:val="00096D24"/>
    <w:rsid w:val="00096D42"/>
    <w:rsid w:val="00096DBA"/>
    <w:rsid w:val="00096DD3"/>
    <w:rsid w:val="00096E59"/>
    <w:rsid w:val="00096EB9"/>
    <w:rsid w:val="00096FB5"/>
    <w:rsid w:val="00097005"/>
    <w:rsid w:val="0009706F"/>
    <w:rsid w:val="000971C9"/>
    <w:rsid w:val="00097281"/>
    <w:rsid w:val="0009743B"/>
    <w:rsid w:val="0009743E"/>
    <w:rsid w:val="00097454"/>
    <w:rsid w:val="000974A4"/>
    <w:rsid w:val="0009758D"/>
    <w:rsid w:val="0009782F"/>
    <w:rsid w:val="00097855"/>
    <w:rsid w:val="0009785E"/>
    <w:rsid w:val="00097B30"/>
    <w:rsid w:val="00097B64"/>
    <w:rsid w:val="00097B79"/>
    <w:rsid w:val="00097BE9"/>
    <w:rsid w:val="00097D49"/>
    <w:rsid w:val="000A01B2"/>
    <w:rsid w:val="000A01C5"/>
    <w:rsid w:val="000A0214"/>
    <w:rsid w:val="000A02AD"/>
    <w:rsid w:val="000A031E"/>
    <w:rsid w:val="000A04F0"/>
    <w:rsid w:val="000A05AB"/>
    <w:rsid w:val="000A070B"/>
    <w:rsid w:val="000A0719"/>
    <w:rsid w:val="000A09CF"/>
    <w:rsid w:val="000A0A45"/>
    <w:rsid w:val="000A0C88"/>
    <w:rsid w:val="000A0CEE"/>
    <w:rsid w:val="000A0D05"/>
    <w:rsid w:val="000A0D33"/>
    <w:rsid w:val="000A0DC7"/>
    <w:rsid w:val="000A0DF2"/>
    <w:rsid w:val="000A0FE6"/>
    <w:rsid w:val="000A1022"/>
    <w:rsid w:val="000A1132"/>
    <w:rsid w:val="000A1284"/>
    <w:rsid w:val="000A134E"/>
    <w:rsid w:val="000A13C8"/>
    <w:rsid w:val="000A14FF"/>
    <w:rsid w:val="000A15B3"/>
    <w:rsid w:val="000A170D"/>
    <w:rsid w:val="000A178E"/>
    <w:rsid w:val="000A19B0"/>
    <w:rsid w:val="000A1A88"/>
    <w:rsid w:val="000A1AE2"/>
    <w:rsid w:val="000A1B6F"/>
    <w:rsid w:val="000A1B70"/>
    <w:rsid w:val="000A1BC4"/>
    <w:rsid w:val="000A1C5B"/>
    <w:rsid w:val="000A1D91"/>
    <w:rsid w:val="000A1E4F"/>
    <w:rsid w:val="000A1EB3"/>
    <w:rsid w:val="000A226D"/>
    <w:rsid w:val="000A2415"/>
    <w:rsid w:val="000A24B4"/>
    <w:rsid w:val="000A252A"/>
    <w:rsid w:val="000A2588"/>
    <w:rsid w:val="000A26E0"/>
    <w:rsid w:val="000A26E9"/>
    <w:rsid w:val="000A26F0"/>
    <w:rsid w:val="000A270B"/>
    <w:rsid w:val="000A28CB"/>
    <w:rsid w:val="000A2A16"/>
    <w:rsid w:val="000A2A7C"/>
    <w:rsid w:val="000A2B57"/>
    <w:rsid w:val="000A2C07"/>
    <w:rsid w:val="000A2C77"/>
    <w:rsid w:val="000A2F00"/>
    <w:rsid w:val="000A2F5E"/>
    <w:rsid w:val="000A300E"/>
    <w:rsid w:val="000A3192"/>
    <w:rsid w:val="000A31F5"/>
    <w:rsid w:val="000A324D"/>
    <w:rsid w:val="000A3260"/>
    <w:rsid w:val="000A33C5"/>
    <w:rsid w:val="000A3444"/>
    <w:rsid w:val="000A3485"/>
    <w:rsid w:val="000A3600"/>
    <w:rsid w:val="000A36E0"/>
    <w:rsid w:val="000A36E7"/>
    <w:rsid w:val="000A37D2"/>
    <w:rsid w:val="000A3914"/>
    <w:rsid w:val="000A3946"/>
    <w:rsid w:val="000A39ED"/>
    <w:rsid w:val="000A3A1B"/>
    <w:rsid w:val="000A3B62"/>
    <w:rsid w:val="000A3C3A"/>
    <w:rsid w:val="000A3DDD"/>
    <w:rsid w:val="000A3E50"/>
    <w:rsid w:val="000A4029"/>
    <w:rsid w:val="000A4331"/>
    <w:rsid w:val="000A445A"/>
    <w:rsid w:val="000A44E3"/>
    <w:rsid w:val="000A4523"/>
    <w:rsid w:val="000A4561"/>
    <w:rsid w:val="000A4660"/>
    <w:rsid w:val="000A4772"/>
    <w:rsid w:val="000A4964"/>
    <w:rsid w:val="000A4A2A"/>
    <w:rsid w:val="000A4A79"/>
    <w:rsid w:val="000A4AEF"/>
    <w:rsid w:val="000A4B27"/>
    <w:rsid w:val="000A4B9A"/>
    <w:rsid w:val="000A4BD0"/>
    <w:rsid w:val="000A4C57"/>
    <w:rsid w:val="000A4D84"/>
    <w:rsid w:val="000A4EA1"/>
    <w:rsid w:val="000A51C1"/>
    <w:rsid w:val="000A527B"/>
    <w:rsid w:val="000A52A2"/>
    <w:rsid w:val="000A52CA"/>
    <w:rsid w:val="000A5353"/>
    <w:rsid w:val="000A566C"/>
    <w:rsid w:val="000A57FE"/>
    <w:rsid w:val="000A57FF"/>
    <w:rsid w:val="000A5868"/>
    <w:rsid w:val="000A5959"/>
    <w:rsid w:val="000A598F"/>
    <w:rsid w:val="000A5B29"/>
    <w:rsid w:val="000A5B52"/>
    <w:rsid w:val="000A5B70"/>
    <w:rsid w:val="000A5CCC"/>
    <w:rsid w:val="000A5CF2"/>
    <w:rsid w:val="000A5CFB"/>
    <w:rsid w:val="000A6040"/>
    <w:rsid w:val="000A6243"/>
    <w:rsid w:val="000A62EF"/>
    <w:rsid w:val="000A635C"/>
    <w:rsid w:val="000A64E4"/>
    <w:rsid w:val="000A65DB"/>
    <w:rsid w:val="000A65EB"/>
    <w:rsid w:val="000A6632"/>
    <w:rsid w:val="000A66C6"/>
    <w:rsid w:val="000A68A2"/>
    <w:rsid w:val="000A6A91"/>
    <w:rsid w:val="000A6ABD"/>
    <w:rsid w:val="000A6AF9"/>
    <w:rsid w:val="000A6B6D"/>
    <w:rsid w:val="000A6BE7"/>
    <w:rsid w:val="000A6C29"/>
    <w:rsid w:val="000A6C65"/>
    <w:rsid w:val="000A6C81"/>
    <w:rsid w:val="000A6D00"/>
    <w:rsid w:val="000A6E18"/>
    <w:rsid w:val="000A6E86"/>
    <w:rsid w:val="000A6F8B"/>
    <w:rsid w:val="000A6F91"/>
    <w:rsid w:val="000A706F"/>
    <w:rsid w:val="000A70B4"/>
    <w:rsid w:val="000A7170"/>
    <w:rsid w:val="000A7270"/>
    <w:rsid w:val="000A72A6"/>
    <w:rsid w:val="000A730E"/>
    <w:rsid w:val="000A731B"/>
    <w:rsid w:val="000A7467"/>
    <w:rsid w:val="000A7476"/>
    <w:rsid w:val="000A75A9"/>
    <w:rsid w:val="000A75D9"/>
    <w:rsid w:val="000A75F1"/>
    <w:rsid w:val="000A76B5"/>
    <w:rsid w:val="000A7794"/>
    <w:rsid w:val="000A77E8"/>
    <w:rsid w:val="000A7820"/>
    <w:rsid w:val="000A789F"/>
    <w:rsid w:val="000A78E1"/>
    <w:rsid w:val="000A797D"/>
    <w:rsid w:val="000A7992"/>
    <w:rsid w:val="000A7B3B"/>
    <w:rsid w:val="000A7BBF"/>
    <w:rsid w:val="000A7BDF"/>
    <w:rsid w:val="000A7C4E"/>
    <w:rsid w:val="000A7C6D"/>
    <w:rsid w:val="000A7D74"/>
    <w:rsid w:val="000A7E90"/>
    <w:rsid w:val="000B0224"/>
    <w:rsid w:val="000B033A"/>
    <w:rsid w:val="000B0467"/>
    <w:rsid w:val="000B0581"/>
    <w:rsid w:val="000B065E"/>
    <w:rsid w:val="000B0678"/>
    <w:rsid w:val="000B081E"/>
    <w:rsid w:val="000B082F"/>
    <w:rsid w:val="000B0D20"/>
    <w:rsid w:val="000B0ED7"/>
    <w:rsid w:val="000B0FCF"/>
    <w:rsid w:val="000B1021"/>
    <w:rsid w:val="000B109E"/>
    <w:rsid w:val="000B10D6"/>
    <w:rsid w:val="000B11EC"/>
    <w:rsid w:val="000B11F0"/>
    <w:rsid w:val="000B12D6"/>
    <w:rsid w:val="000B12E5"/>
    <w:rsid w:val="000B1305"/>
    <w:rsid w:val="000B13D9"/>
    <w:rsid w:val="000B13E8"/>
    <w:rsid w:val="000B1463"/>
    <w:rsid w:val="000B1540"/>
    <w:rsid w:val="000B16DB"/>
    <w:rsid w:val="000B16DF"/>
    <w:rsid w:val="000B190F"/>
    <w:rsid w:val="000B1931"/>
    <w:rsid w:val="000B1985"/>
    <w:rsid w:val="000B19B3"/>
    <w:rsid w:val="000B1AB3"/>
    <w:rsid w:val="000B1C57"/>
    <w:rsid w:val="000B1E1B"/>
    <w:rsid w:val="000B1FB0"/>
    <w:rsid w:val="000B1FFA"/>
    <w:rsid w:val="000B2069"/>
    <w:rsid w:val="000B20DA"/>
    <w:rsid w:val="000B20DE"/>
    <w:rsid w:val="000B21A8"/>
    <w:rsid w:val="000B247E"/>
    <w:rsid w:val="000B25E9"/>
    <w:rsid w:val="000B284A"/>
    <w:rsid w:val="000B2B62"/>
    <w:rsid w:val="000B2C77"/>
    <w:rsid w:val="000B2CDF"/>
    <w:rsid w:val="000B2CFD"/>
    <w:rsid w:val="000B2D8F"/>
    <w:rsid w:val="000B2E35"/>
    <w:rsid w:val="000B2E39"/>
    <w:rsid w:val="000B2EAB"/>
    <w:rsid w:val="000B2F87"/>
    <w:rsid w:val="000B3027"/>
    <w:rsid w:val="000B30AB"/>
    <w:rsid w:val="000B3139"/>
    <w:rsid w:val="000B3165"/>
    <w:rsid w:val="000B31C4"/>
    <w:rsid w:val="000B31FB"/>
    <w:rsid w:val="000B3378"/>
    <w:rsid w:val="000B3456"/>
    <w:rsid w:val="000B3458"/>
    <w:rsid w:val="000B358D"/>
    <w:rsid w:val="000B3636"/>
    <w:rsid w:val="000B364E"/>
    <w:rsid w:val="000B373D"/>
    <w:rsid w:val="000B3749"/>
    <w:rsid w:val="000B3793"/>
    <w:rsid w:val="000B37E3"/>
    <w:rsid w:val="000B38DA"/>
    <w:rsid w:val="000B3903"/>
    <w:rsid w:val="000B39EA"/>
    <w:rsid w:val="000B3A8C"/>
    <w:rsid w:val="000B3C96"/>
    <w:rsid w:val="000B3CB8"/>
    <w:rsid w:val="000B3DC5"/>
    <w:rsid w:val="000B3DD1"/>
    <w:rsid w:val="000B3E86"/>
    <w:rsid w:val="000B3F57"/>
    <w:rsid w:val="000B3F58"/>
    <w:rsid w:val="000B4047"/>
    <w:rsid w:val="000B4048"/>
    <w:rsid w:val="000B4060"/>
    <w:rsid w:val="000B408F"/>
    <w:rsid w:val="000B41F4"/>
    <w:rsid w:val="000B4400"/>
    <w:rsid w:val="000B44D5"/>
    <w:rsid w:val="000B451D"/>
    <w:rsid w:val="000B4673"/>
    <w:rsid w:val="000B46D3"/>
    <w:rsid w:val="000B4723"/>
    <w:rsid w:val="000B47A1"/>
    <w:rsid w:val="000B4852"/>
    <w:rsid w:val="000B487D"/>
    <w:rsid w:val="000B499E"/>
    <w:rsid w:val="000B4A93"/>
    <w:rsid w:val="000B4C36"/>
    <w:rsid w:val="000B4E89"/>
    <w:rsid w:val="000B4FBF"/>
    <w:rsid w:val="000B52AB"/>
    <w:rsid w:val="000B545A"/>
    <w:rsid w:val="000B5623"/>
    <w:rsid w:val="000B57EE"/>
    <w:rsid w:val="000B5892"/>
    <w:rsid w:val="000B5B0A"/>
    <w:rsid w:val="000B5B6B"/>
    <w:rsid w:val="000B5C30"/>
    <w:rsid w:val="000B5C79"/>
    <w:rsid w:val="000B5E8E"/>
    <w:rsid w:val="000B5EEC"/>
    <w:rsid w:val="000B5F42"/>
    <w:rsid w:val="000B5FB3"/>
    <w:rsid w:val="000B61CC"/>
    <w:rsid w:val="000B6257"/>
    <w:rsid w:val="000B6348"/>
    <w:rsid w:val="000B6424"/>
    <w:rsid w:val="000B66D6"/>
    <w:rsid w:val="000B672A"/>
    <w:rsid w:val="000B695F"/>
    <w:rsid w:val="000B6A6B"/>
    <w:rsid w:val="000B6B2F"/>
    <w:rsid w:val="000B6B90"/>
    <w:rsid w:val="000B6C10"/>
    <w:rsid w:val="000B6D35"/>
    <w:rsid w:val="000B6DAD"/>
    <w:rsid w:val="000B6EBA"/>
    <w:rsid w:val="000B6F4C"/>
    <w:rsid w:val="000B6FE9"/>
    <w:rsid w:val="000B70E5"/>
    <w:rsid w:val="000B7112"/>
    <w:rsid w:val="000B716B"/>
    <w:rsid w:val="000B7506"/>
    <w:rsid w:val="000B76BE"/>
    <w:rsid w:val="000B77A1"/>
    <w:rsid w:val="000B7A64"/>
    <w:rsid w:val="000B7B86"/>
    <w:rsid w:val="000B7C13"/>
    <w:rsid w:val="000B7E27"/>
    <w:rsid w:val="000B7E4D"/>
    <w:rsid w:val="000B7EC8"/>
    <w:rsid w:val="000B7F56"/>
    <w:rsid w:val="000C0035"/>
    <w:rsid w:val="000C00DE"/>
    <w:rsid w:val="000C01D8"/>
    <w:rsid w:val="000C031F"/>
    <w:rsid w:val="000C046C"/>
    <w:rsid w:val="000C063B"/>
    <w:rsid w:val="000C069E"/>
    <w:rsid w:val="000C06FE"/>
    <w:rsid w:val="000C097C"/>
    <w:rsid w:val="000C09C8"/>
    <w:rsid w:val="000C0A38"/>
    <w:rsid w:val="000C0B8C"/>
    <w:rsid w:val="000C0BF9"/>
    <w:rsid w:val="000C0C72"/>
    <w:rsid w:val="000C0D0E"/>
    <w:rsid w:val="000C0D6A"/>
    <w:rsid w:val="000C0D6F"/>
    <w:rsid w:val="000C0F72"/>
    <w:rsid w:val="000C0FD0"/>
    <w:rsid w:val="000C1032"/>
    <w:rsid w:val="000C12FA"/>
    <w:rsid w:val="000C1506"/>
    <w:rsid w:val="000C15E9"/>
    <w:rsid w:val="000C16B2"/>
    <w:rsid w:val="000C17EA"/>
    <w:rsid w:val="000C1808"/>
    <w:rsid w:val="000C189F"/>
    <w:rsid w:val="000C18B8"/>
    <w:rsid w:val="000C194E"/>
    <w:rsid w:val="000C19C7"/>
    <w:rsid w:val="000C1D6D"/>
    <w:rsid w:val="000C1E63"/>
    <w:rsid w:val="000C1F31"/>
    <w:rsid w:val="000C2468"/>
    <w:rsid w:val="000C2530"/>
    <w:rsid w:val="000C269C"/>
    <w:rsid w:val="000C2BE1"/>
    <w:rsid w:val="000C2C4D"/>
    <w:rsid w:val="000C2D0F"/>
    <w:rsid w:val="000C2DBB"/>
    <w:rsid w:val="000C2E24"/>
    <w:rsid w:val="000C2EB8"/>
    <w:rsid w:val="000C2F89"/>
    <w:rsid w:val="000C30A0"/>
    <w:rsid w:val="000C312A"/>
    <w:rsid w:val="000C3177"/>
    <w:rsid w:val="000C3347"/>
    <w:rsid w:val="000C33A9"/>
    <w:rsid w:val="000C36BD"/>
    <w:rsid w:val="000C36C3"/>
    <w:rsid w:val="000C372B"/>
    <w:rsid w:val="000C3760"/>
    <w:rsid w:val="000C392F"/>
    <w:rsid w:val="000C3982"/>
    <w:rsid w:val="000C3997"/>
    <w:rsid w:val="000C39BC"/>
    <w:rsid w:val="000C3BCF"/>
    <w:rsid w:val="000C3D75"/>
    <w:rsid w:val="000C3DBF"/>
    <w:rsid w:val="000C3E44"/>
    <w:rsid w:val="000C3E9D"/>
    <w:rsid w:val="000C3ED4"/>
    <w:rsid w:val="000C3F97"/>
    <w:rsid w:val="000C3FF2"/>
    <w:rsid w:val="000C40BE"/>
    <w:rsid w:val="000C41DF"/>
    <w:rsid w:val="000C4297"/>
    <w:rsid w:val="000C42AB"/>
    <w:rsid w:val="000C439C"/>
    <w:rsid w:val="000C45CF"/>
    <w:rsid w:val="000C46A5"/>
    <w:rsid w:val="000C49A8"/>
    <w:rsid w:val="000C49DC"/>
    <w:rsid w:val="000C4A6F"/>
    <w:rsid w:val="000C4A9D"/>
    <w:rsid w:val="000C4AAC"/>
    <w:rsid w:val="000C4B79"/>
    <w:rsid w:val="000C4BFB"/>
    <w:rsid w:val="000C4C0D"/>
    <w:rsid w:val="000C4C3C"/>
    <w:rsid w:val="000C4C5D"/>
    <w:rsid w:val="000C4E87"/>
    <w:rsid w:val="000C4F11"/>
    <w:rsid w:val="000C4F2A"/>
    <w:rsid w:val="000C4F92"/>
    <w:rsid w:val="000C4FBE"/>
    <w:rsid w:val="000C518A"/>
    <w:rsid w:val="000C522D"/>
    <w:rsid w:val="000C5285"/>
    <w:rsid w:val="000C52D8"/>
    <w:rsid w:val="000C5355"/>
    <w:rsid w:val="000C5379"/>
    <w:rsid w:val="000C550E"/>
    <w:rsid w:val="000C5533"/>
    <w:rsid w:val="000C5595"/>
    <w:rsid w:val="000C55D4"/>
    <w:rsid w:val="000C580C"/>
    <w:rsid w:val="000C588A"/>
    <w:rsid w:val="000C58BB"/>
    <w:rsid w:val="000C58C9"/>
    <w:rsid w:val="000C591B"/>
    <w:rsid w:val="000C5A6F"/>
    <w:rsid w:val="000C5BB6"/>
    <w:rsid w:val="000C5C53"/>
    <w:rsid w:val="000C5CA1"/>
    <w:rsid w:val="000C5D07"/>
    <w:rsid w:val="000C5D16"/>
    <w:rsid w:val="000C5D94"/>
    <w:rsid w:val="000C5DB4"/>
    <w:rsid w:val="000C5E44"/>
    <w:rsid w:val="000C5E5B"/>
    <w:rsid w:val="000C5E65"/>
    <w:rsid w:val="000C5ED6"/>
    <w:rsid w:val="000C5FC3"/>
    <w:rsid w:val="000C60E6"/>
    <w:rsid w:val="000C618D"/>
    <w:rsid w:val="000C64D8"/>
    <w:rsid w:val="000C6517"/>
    <w:rsid w:val="000C652F"/>
    <w:rsid w:val="000C6537"/>
    <w:rsid w:val="000C6673"/>
    <w:rsid w:val="000C676D"/>
    <w:rsid w:val="000C6774"/>
    <w:rsid w:val="000C68CF"/>
    <w:rsid w:val="000C68FC"/>
    <w:rsid w:val="000C690C"/>
    <w:rsid w:val="000C6974"/>
    <w:rsid w:val="000C69D1"/>
    <w:rsid w:val="000C6A4B"/>
    <w:rsid w:val="000C6A85"/>
    <w:rsid w:val="000C6B22"/>
    <w:rsid w:val="000C6CE0"/>
    <w:rsid w:val="000C6D10"/>
    <w:rsid w:val="000C6D14"/>
    <w:rsid w:val="000C6D65"/>
    <w:rsid w:val="000C6E73"/>
    <w:rsid w:val="000C6EA6"/>
    <w:rsid w:val="000C6FBE"/>
    <w:rsid w:val="000C7132"/>
    <w:rsid w:val="000C717B"/>
    <w:rsid w:val="000C7282"/>
    <w:rsid w:val="000C7363"/>
    <w:rsid w:val="000C746A"/>
    <w:rsid w:val="000C7478"/>
    <w:rsid w:val="000C76FC"/>
    <w:rsid w:val="000C7722"/>
    <w:rsid w:val="000C779F"/>
    <w:rsid w:val="000C78EB"/>
    <w:rsid w:val="000C7C9D"/>
    <w:rsid w:val="000C7D3D"/>
    <w:rsid w:val="000C7ECD"/>
    <w:rsid w:val="000C7FA1"/>
    <w:rsid w:val="000D00AE"/>
    <w:rsid w:val="000D0294"/>
    <w:rsid w:val="000D0373"/>
    <w:rsid w:val="000D03B3"/>
    <w:rsid w:val="000D040E"/>
    <w:rsid w:val="000D0413"/>
    <w:rsid w:val="000D0638"/>
    <w:rsid w:val="000D0697"/>
    <w:rsid w:val="000D0757"/>
    <w:rsid w:val="000D07B1"/>
    <w:rsid w:val="000D07B2"/>
    <w:rsid w:val="000D0834"/>
    <w:rsid w:val="000D09CD"/>
    <w:rsid w:val="000D0A15"/>
    <w:rsid w:val="000D0AD3"/>
    <w:rsid w:val="000D0C3E"/>
    <w:rsid w:val="000D0CE5"/>
    <w:rsid w:val="000D0D86"/>
    <w:rsid w:val="000D0DBA"/>
    <w:rsid w:val="000D0ED0"/>
    <w:rsid w:val="000D10E9"/>
    <w:rsid w:val="000D1226"/>
    <w:rsid w:val="000D1291"/>
    <w:rsid w:val="000D14D0"/>
    <w:rsid w:val="000D15C0"/>
    <w:rsid w:val="000D1657"/>
    <w:rsid w:val="000D1697"/>
    <w:rsid w:val="000D1765"/>
    <w:rsid w:val="000D197E"/>
    <w:rsid w:val="000D1AA3"/>
    <w:rsid w:val="000D1ACF"/>
    <w:rsid w:val="000D1C27"/>
    <w:rsid w:val="000D1E8B"/>
    <w:rsid w:val="000D1EC5"/>
    <w:rsid w:val="000D1FA6"/>
    <w:rsid w:val="000D213B"/>
    <w:rsid w:val="000D21EF"/>
    <w:rsid w:val="000D2345"/>
    <w:rsid w:val="000D2356"/>
    <w:rsid w:val="000D24C2"/>
    <w:rsid w:val="000D251D"/>
    <w:rsid w:val="000D2534"/>
    <w:rsid w:val="000D25D5"/>
    <w:rsid w:val="000D2650"/>
    <w:rsid w:val="000D26D0"/>
    <w:rsid w:val="000D2745"/>
    <w:rsid w:val="000D2A2E"/>
    <w:rsid w:val="000D2A49"/>
    <w:rsid w:val="000D2AB4"/>
    <w:rsid w:val="000D2AE1"/>
    <w:rsid w:val="000D2B39"/>
    <w:rsid w:val="000D2D31"/>
    <w:rsid w:val="000D2D4B"/>
    <w:rsid w:val="000D2DE6"/>
    <w:rsid w:val="000D2DF5"/>
    <w:rsid w:val="000D2F4D"/>
    <w:rsid w:val="000D312A"/>
    <w:rsid w:val="000D31A2"/>
    <w:rsid w:val="000D326F"/>
    <w:rsid w:val="000D3277"/>
    <w:rsid w:val="000D337E"/>
    <w:rsid w:val="000D338F"/>
    <w:rsid w:val="000D3452"/>
    <w:rsid w:val="000D379D"/>
    <w:rsid w:val="000D382D"/>
    <w:rsid w:val="000D3830"/>
    <w:rsid w:val="000D3864"/>
    <w:rsid w:val="000D396F"/>
    <w:rsid w:val="000D3A96"/>
    <w:rsid w:val="000D3B9A"/>
    <w:rsid w:val="000D3EA8"/>
    <w:rsid w:val="000D3EBF"/>
    <w:rsid w:val="000D3ECE"/>
    <w:rsid w:val="000D3FD8"/>
    <w:rsid w:val="000D42C2"/>
    <w:rsid w:val="000D42E2"/>
    <w:rsid w:val="000D434F"/>
    <w:rsid w:val="000D4504"/>
    <w:rsid w:val="000D4662"/>
    <w:rsid w:val="000D47EF"/>
    <w:rsid w:val="000D47F5"/>
    <w:rsid w:val="000D4A5F"/>
    <w:rsid w:val="000D4AAC"/>
    <w:rsid w:val="000D4B3E"/>
    <w:rsid w:val="000D4BBD"/>
    <w:rsid w:val="000D4FEE"/>
    <w:rsid w:val="000D52AC"/>
    <w:rsid w:val="000D52C9"/>
    <w:rsid w:val="000D5307"/>
    <w:rsid w:val="000D546C"/>
    <w:rsid w:val="000D5576"/>
    <w:rsid w:val="000D559D"/>
    <w:rsid w:val="000D588B"/>
    <w:rsid w:val="000D59FA"/>
    <w:rsid w:val="000D5A58"/>
    <w:rsid w:val="000D5AF4"/>
    <w:rsid w:val="000D5B09"/>
    <w:rsid w:val="000D5B2F"/>
    <w:rsid w:val="000D5B38"/>
    <w:rsid w:val="000D5D48"/>
    <w:rsid w:val="000D5E08"/>
    <w:rsid w:val="000D5EA5"/>
    <w:rsid w:val="000D6029"/>
    <w:rsid w:val="000D6082"/>
    <w:rsid w:val="000D64B4"/>
    <w:rsid w:val="000D65E9"/>
    <w:rsid w:val="000D661A"/>
    <w:rsid w:val="000D671C"/>
    <w:rsid w:val="000D67C0"/>
    <w:rsid w:val="000D684C"/>
    <w:rsid w:val="000D6946"/>
    <w:rsid w:val="000D6B50"/>
    <w:rsid w:val="000D6C38"/>
    <w:rsid w:val="000D6C47"/>
    <w:rsid w:val="000D6C89"/>
    <w:rsid w:val="000D6CD2"/>
    <w:rsid w:val="000D6D57"/>
    <w:rsid w:val="000D6E68"/>
    <w:rsid w:val="000D6F0F"/>
    <w:rsid w:val="000D6F34"/>
    <w:rsid w:val="000D6FCB"/>
    <w:rsid w:val="000D7130"/>
    <w:rsid w:val="000D728D"/>
    <w:rsid w:val="000D72A5"/>
    <w:rsid w:val="000D7332"/>
    <w:rsid w:val="000D73CC"/>
    <w:rsid w:val="000D743D"/>
    <w:rsid w:val="000D74D3"/>
    <w:rsid w:val="000D74E6"/>
    <w:rsid w:val="000D7562"/>
    <w:rsid w:val="000D7580"/>
    <w:rsid w:val="000D758A"/>
    <w:rsid w:val="000D765F"/>
    <w:rsid w:val="000D774E"/>
    <w:rsid w:val="000D7802"/>
    <w:rsid w:val="000D78AF"/>
    <w:rsid w:val="000D7987"/>
    <w:rsid w:val="000D7BD7"/>
    <w:rsid w:val="000D7C87"/>
    <w:rsid w:val="000D7D18"/>
    <w:rsid w:val="000D7F64"/>
    <w:rsid w:val="000D7F7F"/>
    <w:rsid w:val="000D7FBD"/>
    <w:rsid w:val="000E00EE"/>
    <w:rsid w:val="000E01FC"/>
    <w:rsid w:val="000E0299"/>
    <w:rsid w:val="000E0480"/>
    <w:rsid w:val="000E04DB"/>
    <w:rsid w:val="000E0561"/>
    <w:rsid w:val="000E0597"/>
    <w:rsid w:val="000E05B5"/>
    <w:rsid w:val="000E0682"/>
    <w:rsid w:val="000E0822"/>
    <w:rsid w:val="000E0879"/>
    <w:rsid w:val="000E09AA"/>
    <w:rsid w:val="000E0BB7"/>
    <w:rsid w:val="000E0BE6"/>
    <w:rsid w:val="000E0C51"/>
    <w:rsid w:val="000E0E3D"/>
    <w:rsid w:val="000E0EF1"/>
    <w:rsid w:val="000E0FD7"/>
    <w:rsid w:val="000E1125"/>
    <w:rsid w:val="000E11A6"/>
    <w:rsid w:val="000E1306"/>
    <w:rsid w:val="000E1336"/>
    <w:rsid w:val="000E1378"/>
    <w:rsid w:val="000E1386"/>
    <w:rsid w:val="000E1394"/>
    <w:rsid w:val="000E13B2"/>
    <w:rsid w:val="000E1582"/>
    <w:rsid w:val="000E17B7"/>
    <w:rsid w:val="000E17ED"/>
    <w:rsid w:val="000E1880"/>
    <w:rsid w:val="000E192C"/>
    <w:rsid w:val="000E19C0"/>
    <w:rsid w:val="000E19C8"/>
    <w:rsid w:val="000E1A72"/>
    <w:rsid w:val="000E1BBC"/>
    <w:rsid w:val="000E1C02"/>
    <w:rsid w:val="000E1C3B"/>
    <w:rsid w:val="000E1D68"/>
    <w:rsid w:val="000E1D84"/>
    <w:rsid w:val="000E1D85"/>
    <w:rsid w:val="000E1DD3"/>
    <w:rsid w:val="000E1E5F"/>
    <w:rsid w:val="000E1E91"/>
    <w:rsid w:val="000E204A"/>
    <w:rsid w:val="000E2055"/>
    <w:rsid w:val="000E21A4"/>
    <w:rsid w:val="000E21D3"/>
    <w:rsid w:val="000E2288"/>
    <w:rsid w:val="000E2346"/>
    <w:rsid w:val="000E2468"/>
    <w:rsid w:val="000E25BC"/>
    <w:rsid w:val="000E25FD"/>
    <w:rsid w:val="000E2779"/>
    <w:rsid w:val="000E288C"/>
    <w:rsid w:val="000E2976"/>
    <w:rsid w:val="000E2AAA"/>
    <w:rsid w:val="000E2B3F"/>
    <w:rsid w:val="000E2C27"/>
    <w:rsid w:val="000E2C6A"/>
    <w:rsid w:val="000E2E60"/>
    <w:rsid w:val="000E2FB2"/>
    <w:rsid w:val="000E3032"/>
    <w:rsid w:val="000E30C5"/>
    <w:rsid w:val="000E3222"/>
    <w:rsid w:val="000E3302"/>
    <w:rsid w:val="000E3318"/>
    <w:rsid w:val="000E33AA"/>
    <w:rsid w:val="000E3448"/>
    <w:rsid w:val="000E3541"/>
    <w:rsid w:val="000E354D"/>
    <w:rsid w:val="000E3596"/>
    <w:rsid w:val="000E35B5"/>
    <w:rsid w:val="000E35C9"/>
    <w:rsid w:val="000E37CD"/>
    <w:rsid w:val="000E37EB"/>
    <w:rsid w:val="000E386E"/>
    <w:rsid w:val="000E3AF9"/>
    <w:rsid w:val="000E3B0D"/>
    <w:rsid w:val="000E3B12"/>
    <w:rsid w:val="000E3B66"/>
    <w:rsid w:val="000E3CA2"/>
    <w:rsid w:val="000E3F21"/>
    <w:rsid w:val="000E4092"/>
    <w:rsid w:val="000E4095"/>
    <w:rsid w:val="000E4211"/>
    <w:rsid w:val="000E4326"/>
    <w:rsid w:val="000E43EF"/>
    <w:rsid w:val="000E4679"/>
    <w:rsid w:val="000E46AB"/>
    <w:rsid w:val="000E48F2"/>
    <w:rsid w:val="000E4A62"/>
    <w:rsid w:val="000E4B2F"/>
    <w:rsid w:val="000E4B65"/>
    <w:rsid w:val="000E4B9D"/>
    <w:rsid w:val="000E4D60"/>
    <w:rsid w:val="000E4DBB"/>
    <w:rsid w:val="000E4EE1"/>
    <w:rsid w:val="000E4FF0"/>
    <w:rsid w:val="000E50C1"/>
    <w:rsid w:val="000E526C"/>
    <w:rsid w:val="000E535B"/>
    <w:rsid w:val="000E54CA"/>
    <w:rsid w:val="000E55A5"/>
    <w:rsid w:val="000E58C3"/>
    <w:rsid w:val="000E594E"/>
    <w:rsid w:val="000E59EB"/>
    <w:rsid w:val="000E5B41"/>
    <w:rsid w:val="000E5C54"/>
    <w:rsid w:val="000E5C75"/>
    <w:rsid w:val="000E5C86"/>
    <w:rsid w:val="000E5DF6"/>
    <w:rsid w:val="000E5EA3"/>
    <w:rsid w:val="000E5F01"/>
    <w:rsid w:val="000E5F7C"/>
    <w:rsid w:val="000E608E"/>
    <w:rsid w:val="000E622D"/>
    <w:rsid w:val="000E6326"/>
    <w:rsid w:val="000E638E"/>
    <w:rsid w:val="000E654A"/>
    <w:rsid w:val="000E658E"/>
    <w:rsid w:val="000E65BE"/>
    <w:rsid w:val="000E65FB"/>
    <w:rsid w:val="000E667E"/>
    <w:rsid w:val="000E69BB"/>
    <w:rsid w:val="000E69FF"/>
    <w:rsid w:val="000E6B4F"/>
    <w:rsid w:val="000E6BED"/>
    <w:rsid w:val="000E6C63"/>
    <w:rsid w:val="000E6CA9"/>
    <w:rsid w:val="000E6E91"/>
    <w:rsid w:val="000E6FF6"/>
    <w:rsid w:val="000E6FFF"/>
    <w:rsid w:val="000E70E2"/>
    <w:rsid w:val="000E7489"/>
    <w:rsid w:val="000E7503"/>
    <w:rsid w:val="000E7752"/>
    <w:rsid w:val="000E7793"/>
    <w:rsid w:val="000E77C6"/>
    <w:rsid w:val="000E7806"/>
    <w:rsid w:val="000E789E"/>
    <w:rsid w:val="000E7B41"/>
    <w:rsid w:val="000E7B4F"/>
    <w:rsid w:val="000E7BE0"/>
    <w:rsid w:val="000E7C08"/>
    <w:rsid w:val="000E7CF8"/>
    <w:rsid w:val="000E7D3C"/>
    <w:rsid w:val="000E7D59"/>
    <w:rsid w:val="000E7DB9"/>
    <w:rsid w:val="000E7E34"/>
    <w:rsid w:val="000E7EDF"/>
    <w:rsid w:val="000F0125"/>
    <w:rsid w:val="000F0216"/>
    <w:rsid w:val="000F022E"/>
    <w:rsid w:val="000F023D"/>
    <w:rsid w:val="000F0264"/>
    <w:rsid w:val="000F0409"/>
    <w:rsid w:val="000F04D6"/>
    <w:rsid w:val="000F05D4"/>
    <w:rsid w:val="000F0640"/>
    <w:rsid w:val="000F069E"/>
    <w:rsid w:val="000F0741"/>
    <w:rsid w:val="000F07F4"/>
    <w:rsid w:val="000F08CC"/>
    <w:rsid w:val="000F097D"/>
    <w:rsid w:val="000F0AAC"/>
    <w:rsid w:val="000F0ACE"/>
    <w:rsid w:val="000F0C4E"/>
    <w:rsid w:val="000F0C76"/>
    <w:rsid w:val="000F0FA0"/>
    <w:rsid w:val="000F1028"/>
    <w:rsid w:val="000F102D"/>
    <w:rsid w:val="000F1055"/>
    <w:rsid w:val="000F1301"/>
    <w:rsid w:val="000F130D"/>
    <w:rsid w:val="000F140B"/>
    <w:rsid w:val="000F1485"/>
    <w:rsid w:val="000F1617"/>
    <w:rsid w:val="000F1739"/>
    <w:rsid w:val="000F18F3"/>
    <w:rsid w:val="000F193E"/>
    <w:rsid w:val="000F1A64"/>
    <w:rsid w:val="000F1ADA"/>
    <w:rsid w:val="000F1B77"/>
    <w:rsid w:val="000F1BE0"/>
    <w:rsid w:val="000F1D08"/>
    <w:rsid w:val="000F1D66"/>
    <w:rsid w:val="000F1D74"/>
    <w:rsid w:val="000F1D92"/>
    <w:rsid w:val="000F1DE8"/>
    <w:rsid w:val="000F1EF7"/>
    <w:rsid w:val="000F1F16"/>
    <w:rsid w:val="000F1F54"/>
    <w:rsid w:val="000F1FB9"/>
    <w:rsid w:val="000F2094"/>
    <w:rsid w:val="000F22C7"/>
    <w:rsid w:val="000F23DB"/>
    <w:rsid w:val="000F2475"/>
    <w:rsid w:val="000F2487"/>
    <w:rsid w:val="000F2764"/>
    <w:rsid w:val="000F2866"/>
    <w:rsid w:val="000F28D9"/>
    <w:rsid w:val="000F298D"/>
    <w:rsid w:val="000F2B2A"/>
    <w:rsid w:val="000F2B87"/>
    <w:rsid w:val="000F2B99"/>
    <w:rsid w:val="000F2D66"/>
    <w:rsid w:val="000F320F"/>
    <w:rsid w:val="000F35F6"/>
    <w:rsid w:val="000F393C"/>
    <w:rsid w:val="000F39D6"/>
    <w:rsid w:val="000F3A8C"/>
    <w:rsid w:val="000F3AEC"/>
    <w:rsid w:val="000F3BAB"/>
    <w:rsid w:val="000F3CCE"/>
    <w:rsid w:val="000F3E27"/>
    <w:rsid w:val="000F3E4E"/>
    <w:rsid w:val="000F3F2B"/>
    <w:rsid w:val="000F3FF3"/>
    <w:rsid w:val="000F417B"/>
    <w:rsid w:val="000F42D9"/>
    <w:rsid w:val="000F438F"/>
    <w:rsid w:val="000F4404"/>
    <w:rsid w:val="000F47E0"/>
    <w:rsid w:val="000F4A5A"/>
    <w:rsid w:val="000F4B20"/>
    <w:rsid w:val="000F4B2F"/>
    <w:rsid w:val="000F4B49"/>
    <w:rsid w:val="000F4C3C"/>
    <w:rsid w:val="000F4CC2"/>
    <w:rsid w:val="000F4CD8"/>
    <w:rsid w:val="000F4E32"/>
    <w:rsid w:val="000F50EB"/>
    <w:rsid w:val="000F5133"/>
    <w:rsid w:val="000F513A"/>
    <w:rsid w:val="000F5188"/>
    <w:rsid w:val="000F5208"/>
    <w:rsid w:val="000F529A"/>
    <w:rsid w:val="000F529D"/>
    <w:rsid w:val="000F5360"/>
    <w:rsid w:val="000F54AD"/>
    <w:rsid w:val="000F560C"/>
    <w:rsid w:val="000F5629"/>
    <w:rsid w:val="000F5710"/>
    <w:rsid w:val="000F5784"/>
    <w:rsid w:val="000F57EC"/>
    <w:rsid w:val="000F5870"/>
    <w:rsid w:val="000F58FD"/>
    <w:rsid w:val="000F5A1D"/>
    <w:rsid w:val="000F5A2F"/>
    <w:rsid w:val="000F5A48"/>
    <w:rsid w:val="000F5AFC"/>
    <w:rsid w:val="000F5CEA"/>
    <w:rsid w:val="000F5E64"/>
    <w:rsid w:val="000F5EC2"/>
    <w:rsid w:val="000F5FBE"/>
    <w:rsid w:val="000F6114"/>
    <w:rsid w:val="000F6126"/>
    <w:rsid w:val="000F635E"/>
    <w:rsid w:val="000F6403"/>
    <w:rsid w:val="000F6449"/>
    <w:rsid w:val="000F6481"/>
    <w:rsid w:val="000F6592"/>
    <w:rsid w:val="000F6619"/>
    <w:rsid w:val="000F66CB"/>
    <w:rsid w:val="000F67A2"/>
    <w:rsid w:val="000F6A1B"/>
    <w:rsid w:val="000F6B87"/>
    <w:rsid w:val="000F6B98"/>
    <w:rsid w:val="000F6CD3"/>
    <w:rsid w:val="000F6F40"/>
    <w:rsid w:val="000F6FF9"/>
    <w:rsid w:val="000F71D6"/>
    <w:rsid w:val="000F7226"/>
    <w:rsid w:val="000F7299"/>
    <w:rsid w:val="000F72CF"/>
    <w:rsid w:val="000F7391"/>
    <w:rsid w:val="000F7392"/>
    <w:rsid w:val="000F73F9"/>
    <w:rsid w:val="000F7402"/>
    <w:rsid w:val="000F7642"/>
    <w:rsid w:val="000F77F3"/>
    <w:rsid w:val="000F78C8"/>
    <w:rsid w:val="000F7A01"/>
    <w:rsid w:val="000F7AD1"/>
    <w:rsid w:val="000F7AEA"/>
    <w:rsid w:val="000F7CD0"/>
    <w:rsid w:val="000F7D5A"/>
    <w:rsid w:val="000F7DEE"/>
    <w:rsid w:val="000F7DFB"/>
    <w:rsid w:val="000F7E93"/>
    <w:rsid w:val="000F7EE4"/>
    <w:rsid w:val="000F7F7F"/>
    <w:rsid w:val="0010003E"/>
    <w:rsid w:val="00100097"/>
    <w:rsid w:val="001000BB"/>
    <w:rsid w:val="001000C4"/>
    <w:rsid w:val="00100170"/>
    <w:rsid w:val="00100228"/>
    <w:rsid w:val="001002C9"/>
    <w:rsid w:val="0010031B"/>
    <w:rsid w:val="0010031F"/>
    <w:rsid w:val="00100324"/>
    <w:rsid w:val="001003B6"/>
    <w:rsid w:val="001005AF"/>
    <w:rsid w:val="001006F7"/>
    <w:rsid w:val="00100751"/>
    <w:rsid w:val="0010085D"/>
    <w:rsid w:val="001008A0"/>
    <w:rsid w:val="00100915"/>
    <w:rsid w:val="00100929"/>
    <w:rsid w:val="00100957"/>
    <w:rsid w:val="00100984"/>
    <w:rsid w:val="0010099F"/>
    <w:rsid w:val="00100A7C"/>
    <w:rsid w:val="00100B79"/>
    <w:rsid w:val="00100D98"/>
    <w:rsid w:val="00100DB2"/>
    <w:rsid w:val="00100DE4"/>
    <w:rsid w:val="00100E50"/>
    <w:rsid w:val="00100F0D"/>
    <w:rsid w:val="00101078"/>
    <w:rsid w:val="00101089"/>
    <w:rsid w:val="001010A1"/>
    <w:rsid w:val="001010B1"/>
    <w:rsid w:val="00101209"/>
    <w:rsid w:val="00101341"/>
    <w:rsid w:val="00101449"/>
    <w:rsid w:val="001014E0"/>
    <w:rsid w:val="00101798"/>
    <w:rsid w:val="001017AA"/>
    <w:rsid w:val="00101921"/>
    <w:rsid w:val="00101AC5"/>
    <w:rsid w:val="00101BB5"/>
    <w:rsid w:val="00101C45"/>
    <w:rsid w:val="00101C54"/>
    <w:rsid w:val="00101C67"/>
    <w:rsid w:val="00101D2B"/>
    <w:rsid w:val="00101EFA"/>
    <w:rsid w:val="00101F2B"/>
    <w:rsid w:val="0010204F"/>
    <w:rsid w:val="00102062"/>
    <w:rsid w:val="00102315"/>
    <w:rsid w:val="00102355"/>
    <w:rsid w:val="0010236F"/>
    <w:rsid w:val="0010258C"/>
    <w:rsid w:val="0010258F"/>
    <w:rsid w:val="001027C9"/>
    <w:rsid w:val="001027F4"/>
    <w:rsid w:val="00102815"/>
    <w:rsid w:val="00102A39"/>
    <w:rsid w:val="00102CAE"/>
    <w:rsid w:val="00102D24"/>
    <w:rsid w:val="00102D78"/>
    <w:rsid w:val="00102D9B"/>
    <w:rsid w:val="00102DEA"/>
    <w:rsid w:val="00102EC0"/>
    <w:rsid w:val="00102F0A"/>
    <w:rsid w:val="00102FDD"/>
    <w:rsid w:val="001031FC"/>
    <w:rsid w:val="0010329C"/>
    <w:rsid w:val="0010348A"/>
    <w:rsid w:val="0010361B"/>
    <w:rsid w:val="001037EF"/>
    <w:rsid w:val="0010386B"/>
    <w:rsid w:val="001038DE"/>
    <w:rsid w:val="00103903"/>
    <w:rsid w:val="00103B74"/>
    <w:rsid w:val="00103E53"/>
    <w:rsid w:val="00103F02"/>
    <w:rsid w:val="00103F96"/>
    <w:rsid w:val="00104126"/>
    <w:rsid w:val="00104133"/>
    <w:rsid w:val="001041F0"/>
    <w:rsid w:val="001042A7"/>
    <w:rsid w:val="001044AC"/>
    <w:rsid w:val="00104518"/>
    <w:rsid w:val="0010457A"/>
    <w:rsid w:val="00104693"/>
    <w:rsid w:val="0010469D"/>
    <w:rsid w:val="001046A9"/>
    <w:rsid w:val="00104707"/>
    <w:rsid w:val="00104752"/>
    <w:rsid w:val="001047FC"/>
    <w:rsid w:val="0010483F"/>
    <w:rsid w:val="0010488A"/>
    <w:rsid w:val="0010493F"/>
    <w:rsid w:val="00104984"/>
    <w:rsid w:val="00104A4D"/>
    <w:rsid w:val="00104C33"/>
    <w:rsid w:val="00104C37"/>
    <w:rsid w:val="00104C6F"/>
    <w:rsid w:val="00104D5B"/>
    <w:rsid w:val="00104D5E"/>
    <w:rsid w:val="00104F40"/>
    <w:rsid w:val="0010501C"/>
    <w:rsid w:val="00105046"/>
    <w:rsid w:val="00105067"/>
    <w:rsid w:val="001051C9"/>
    <w:rsid w:val="0010541C"/>
    <w:rsid w:val="001054D4"/>
    <w:rsid w:val="00105548"/>
    <w:rsid w:val="001055A9"/>
    <w:rsid w:val="001055D3"/>
    <w:rsid w:val="00105608"/>
    <w:rsid w:val="00105683"/>
    <w:rsid w:val="001056CE"/>
    <w:rsid w:val="00105716"/>
    <w:rsid w:val="0010588F"/>
    <w:rsid w:val="0010594D"/>
    <w:rsid w:val="0010599A"/>
    <w:rsid w:val="001059D7"/>
    <w:rsid w:val="001059ED"/>
    <w:rsid w:val="00105A0A"/>
    <w:rsid w:val="00105CF3"/>
    <w:rsid w:val="00105D59"/>
    <w:rsid w:val="00105DFD"/>
    <w:rsid w:val="00105FAC"/>
    <w:rsid w:val="001060CF"/>
    <w:rsid w:val="00106109"/>
    <w:rsid w:val="00106231"/>
    <w:rsid w:val="00106238"/>
    <w:rsid w:val="00106358"/>
    <w:rsid w:val="0010637E"/>
    <w:rsid w:val="00106479"/>
    <w:rsid w:val="001064D2"/>
    <w:rsid w:val="001065CA"/>
    <w:rsid w:val="001065CF"/>
    <w:rsid w:val="0010667B"/>
    <w:rsid w:val="001066B7"/>
    <w:rsid w:val="0010677C"/>
    <w:rsid w:val="00106965"/>
    <w:rsid w:val="00106D8A"/>
    <w:rsid w:val="00106EAE"/>
    <w:rsid w:val="00106F61"/>
    <w:rsid w:val="0010700B"/>
    <w:rsid w:val="0010707E"/>
    <w:rsid w:val="00107511"/>
    <w:rsid w:val="00107551"/>
    <w:rsid w:val="001075A8"/>
    <w:rsid w:val="001075C8"/>
    <w:rsid w:val="0010763F"/>
    <w:rsid w:val="001076B1"/>
    <w:rsid w:val="001076D6"/>
    <w:rsid w:val="00107863"/>
    <w:rsid w:val="00107945"/>
    <w:rsid w:val="00107988"/>
    <w:rsid w:val="00107A5C"/>
    <w:rsid w:val="00107A91"/>
    <w:rsid w:val="00107AAB"/>
    <w:rsid w:val="00107BA9"/>
    <w:rsid w:val="00107BF5"/>
    <w:rsid w:val="00107D46"/>
    <w:rsid w:val="00107E17"/>
    <w:rsid w:val="00107F05"/>
    <w:rsid w:val="00107FB8"/>
    <w:rsid w:val="0011001D"/>
    <w:rsid w:val="0011049B"/>
    <w:rsid w:val="001104FC"/>
    <w:rsid w:val="0011058A"/>
    <w:rsid w:val="0011087F"/>
    <w:rsid w:val="00110935"/>
    <w:rsid w:val="00110BCC"/>
    <w:rsid w:val="00110C81"/>
    <w:rsid w:val="00110CDA"/>
    <w:rsid w:val="00110D3C"/>
    <w:rsid w:val="00110DB9"/>
    <w:rsid w:val="00110E33"/>
    <w:rsid w:val="00110F98"/>
    <w:rsid w:val="00111014"/>
    <w:rsid w:val="00111055"/>
    <w:rsid w:val="001111F7"/>
    <w:rsid w:val="0011133A"/>
    <w:rsid w:val="00111397"/>
    <w:rsid w:val="001113BB"/>
    <w:rsid w:val="0011151E"/>
    <w:rsid w:val="0011166C"/>
    <w:rsid w:val="0011172B"/>
    <w:rsid w:val="00111865"/>
    <w:rsid w:val="0011198C"/>
    <w:rsid w:val="00111AF4"/>
    <w:rsid w:val="00111AF7"/>
    <w:rsid w:val="00111B15"/>
    <w:rsid w:val="00111B23"/>
    <w:rsid w:val="00111BA1"/>
    <w:rsid w:val="00111BF4"/>
    <w:rsid w:val="00111C2D"/>
    <w:rsid w:val="00111EA6"/>
    <w:rsid w:val="00111F10"/>
    <w:rsid w:val="00111F76"/>
    <w:rsid w:val="00112013"/>
    <w:rsid w:val="0011211E"/>
    <w:rsid w:val="0011220B"/>
    <w:rsid w:val="00112246"/>
    <w:rsid w:val="001122F0"/>
    <w:rsid w:val="00112386"/>
    <w:rsid w:val="00112463"/>
    <w:rsid w:val="00112472"/>
    <w:rsid w:val="0011281D"/>
    <w:rsid w:val="0011283D"/>
    <w:rsid w:val="00112901"/>
    <w:rsid w:val="0011298B"/>
    <w:rsid w:val="00112A7D"/>
    <w:rsid w:val="00112A98"/>
    <w:rsid w:val="00112C9C"/>
    <w:rsid w:val="00112E6C"/>
    <w:rsid w:val="00112F62"/>
    <w:rsid w:val="00112FED"/>
    <w:rsid w:val="001130F2"/>
    <w:rsid w:val="001132A7"/>
    <w:rsid w:val="00113303"/>
    <w:rsid w:val="0011343B"/>
    <w:rsid w:val="0011358B"/>
    <w:rsid w:val="0011375A"/>
    <w:rsid w:val="00113855"/>
    <w:rsid w:val="00113988"/>
    <w:rsid w:val="00113A21"/>
    <w:rsid w:val="00113B14"/>
    <w:rsid w:val="00113B6B"/>
    <w:rsid w:val="00113C6D"/>
    <w:rsid w:val="00113C90"/>
    <w:rsid w:val="00113DA2"/>
    <w:rsid w:val="00113E62"/>
    <w:rsid w:val="00113F01"/>
    <w:rsid w:val="00113F8F"/>
    <w:rsid w:val="00114068"/>
    <w:rsid w:val="001140BC"/>
    <w:rsid w:val="0011419F"/>
    <w:rsid w:val="0011429F"/>
    <w:rsid w:val="00114318"/>
    <w:rsid w:val="00114330"/>
    <w:rsid w:val="00114586"/>
    <w:rsid w:val="001145F5"/>
    <w:rsid w:val="00114623"/>
    <w:rsid w:val="00114624"/>
    <w:rsid w:val="001147AC"/>
    <w:rsid w:val="00114BF1"/>
    <w:rsid w:val="00114D19"/>
    <w:rsid w:val="00114D8E"/>
    <w:rsid w:val="0011507A"/>
    <w:rsid w:val="00115160"/>
    <w:rsid w:val="0011517A"/>
    <w:rsid w:val="0011518E"/>
    <w:rsid w:val="001151A2"/>
    <w:rsid w:val="00115253"/>
    <w:rsid w:val="00115298"/>
    <w:rsid w:val="001152F4"/>
    <w:rsid w:val="00115465"/>
    <w:rsid w:val="00115704"/>
    <w:rsid w:val="00115779"/>
    <w:rsid w:val="00115807"/>
    <w:rsid w:val="0011582E"/>
    <w:rsid w:val="001158D1"/>
    <w:rsid w:val="0011596C"/>
    <w:rsid w:val="00115A60"/>
    <w:rsid w:val="00115A91"/>
    <w:rsid w:val="00115B2B"/>
    <w:rsid w:val="00115BA3"/>
    <w:rsid w:val="00115BD0"/>
    <w:rsid w:val="00115D7B"/>
    <w:rsid w:val="00115EEB"/>
    <w:rsid w:val="00115EF1"/>
    <w:rsid w:val="00115F0D"/>
    <w:rsid w:val="00115FE7"/>
    <w:rsid w:val="001162C8"/>
    <w:rsid w:val="001163DB"/>
    <w:rsid w:val="001164FE"/>
    <w:rsid w:val="00116560"/>
    <w:rsid w:val="001165F0"/>
    <w:rsid w:val="001166CF"/>
    <w:rsid w:val="001167C9"/>
    <w:rsid w:val="00116A24"/>
    <w:rsid w:val="00116CFA"/>
    <w:rsid w:val="00116D6F"/>
    <w:rsid w:val="00116E0E"/>
    <w:rsid w:val="00116E92"/>
    <w:rsid w:val="00116EEA"/>
    <w:rsid w:val="00117009"/>
    <w:rsid w:val="00117014"/>
    <w:rsid w:val="0011706B"/>
    <w:rsid w:val="00117118"/>
    <w:rsid w:val="00117166"/>
    <w:rsid w:val="0011717A"/>
    <w:rsid w:val="00117305"/>
    <w:rsid w:val="0011734F"/>
    <w:rsid w:val="0011747E"/>
    <w:rsid w:val="001174A7"/>
    <w:rsid w:val="00117557"/>
    <w:rsid w:val="0011764A"/>
    <w:rsid w:val="00117728"/>
    <w:rsid w:val="00117932"/>
    <w:rsid w:val="00117A28"/>
    <w:rsid w:val="00117A78"/>
    <w:rsid w:val="00117AF2"/>
    <w:rsid w:val="00117B8B"/>
    <w:rsid w:val="00117EBF"/>
    <w:rsid w:val="0012006A"/>
    <w:rsid w:val="00120147"/>
    <w:rsid w:val="001203AE"/>
    <w:rsid w:val="001203ED"/>
    <w:rsid w:val="0012056C"/>
    <w:rsid w:val="001206EE"/>
    <w:rsid w:val="0012071B"/>
    <w:rsid w:val="0012082E"/>
    <w:rsid w:val="00120BE5"/>
    <w:rsid w:val="00120CCD"/>
    <w:rsid w:val="00120E8D"/>
    <w:rsid w:val="00120F3D"/>
    <w:rsid w:val="00120F76"/>
    <w:rsid w:val="00120FF4"/>
    <w:rsid w:val="00121110"/>
    <w:rsid w:val="0012114F"/>
    <w:rsid w:val="001211E6"/>
    <w:rsid w:val="00121208"/>
    <w:rsid w:val="0012120E"/>
    <w:rsid w:val="00121290"/>
    <w:rsid w:val="0012142E"/>
    <w:rsid w:val="001214E7"/>
    <w:rsid w:val="0012158A"/>
    <w:rsid w:val="001215A2"/>
    <w:rsid w:val="00121684"/>
    <w:rsid w:val="00121837"/>
    <w:rsid w:val="001218FA"/>
    <w:rsid w:val="001219F0"/>
    <w:rsid w:val="00121A3D"/>
    <w:rsid w:val="00121EEA"/>
    <w:rsid w:val="001220E6"/>
    <w:rsid w:val="001221F0"/>
    <w:rsid w:val="001221FC"/>
    <w:rsid w:val="00122216"/>
    <w:rsid w:val="00122244"/>
    <w:rsid w:val="0012236A"/>
    <w:rsid w:val="00122396"/>
    <w:rsid w:val="00122424"/>
    <w:rsid w:val="001225E9"/>
    <w:rsid w:val="001229AF"/>
    <w:rsid w:val="00122A94"/>
    <w:rsid w:val="00122D28"/>
    <w:rsid w:val="00122E22"/>
    <w:rsid w:val="00122FB9"/>
    <w:rsid w:val="00123080"/>
    <w:rsid w:val="00123125"/>
    <w:rsid w:val="00123204"/>
    <w:rsid w:val="0012372F"/>
    <w:rsid w:val="00123753"/>
    <w:rsid w:val="001237A7"/>
    <w:rsid w:val="001237B4"/>
    <w:rsid w:val="001237F3"/>
    <w:rsid w:val="0012390D"/>
    <w:rsid w:val="00123973"/>
    <w:rsid w:val="001239DD"/>
    <w:rsid w:val="001239ED"/>
    <w:rsid w:val="00123A3B"/>
    <w:rsid w:val="00123A7A"/>
    <w:rsid w:val="00123AA5"/>
    <w:rsid w:val="00123BAE"/>
    <w:rsid w:val="00123BF4"/>
    <w:rsid w:val="00123C03"/>
    <w:rsid w:val="00123C7A"/>
    <w:rsid w:val="00123D72"/>
    <w:rsid w:val="00123D73"/>
    <w:rsid w:val="00123FA1"/>
    <w:rsid w:val="00124066"/>
    <w:rsid w:val="00124165"/>
    <w:rsid w:val="0012428F"/>
    <w:rsid w:val="001242AE"/>
    <w:rsid w:val="0012436A"/>
    <w:rsid w:val="001243F8"/>
    <w:rsid w:val="0012457F"/>
    <w:rsid w:val="001247AE"/>
    <w:rsid w:val="00124861"/>
    <w:rsid w:val="00124A03"/>
    <w:rsid w:val="00124AC2"/>
    <w:rsid w:val="00124B39"/>
    <w:rsid w:val="00124C12"/>
    <w:rsid w:val="00124C1D"/>
    <w:rsid w:val="00124C44"/>
    <w:rsid w:val="00124C9A"/>
    <w:rsid w:val="00124CA2"/>
    <w:rsid w:val="00124DC7"/>
    <w:rsid w:val="00124E02"/>
    <w:rsid w:val="00124E49"/>
    <w:rsid w:val="00124E93"/>
    <w:rsid w:val="00124EC8"/>
    <w:rsid w:val="00125003"/>
    <w:rsid w:val="0012518F"/>
    <w:rsid w:val="0012533D"/>
    <w:rsid w:val="00125356"/>
    <w:rsid w:val="0012555E"/>
    <w:rsid w:val="001255E5"/>
    <w:rsid w:val="001256B4"/>
    <w:rsid w:val="0012570E"/>
    <w:rsid w:val="001258E4"/>
    <w:rsid w:val="0012599B"/>
    <w:rsid w:val="0012599D"/>
    <w:rsid w:val="00125A1E"/>
    <w:rsid w:val="00125A24"/>
    <w:rsid w:val="00125AB1"/>
    <w:rsid w:val="00125B00"/>
    <w:rsid w:val="00125B38"/>
    <w:rsid w:val="00125B95"/>
    <w:rsid w:val="00125BFD"/>
    <w:rsid w:val="00125C95"/>
    <w:rsid w:val="00125DC6"/>
    <w:rsid w:val="00125E06"/>
    <w:rsid w:val="00125FAF"/>
    <w:rsid w:val="001261BB"/>
    <w:rsid w:val="001261DB"/>
    <w:rsid w:val="001261DC"/>
    <w:rsid w:val="0012622C"/>
    <w:rsid w:val="00126307"/>
    <w:rsid w:val="00126559"/>
    <w:rsid w:val="00126935"/>
    <w:rsid w:val="00126D25"/>
    <w:rsid w:val="00126E48"/>
    <w:rsid w:val="00126ED1"/>
    <w:rsid w:val="00127021"/>
    <w:rsid w:val="001270AC"/>
    <w:rsid w:val="0012715A"/>
    <w:rsid w:val="001271F2"/>
    <w:rsid w:val="001273DD"/>
    <w:rsid w:val="001273DF"/>
    <w:rsid w:val="0012749B"/>
    <w:rsid w:val="001274C0"/>
    <w:rsid w:val="00127532"/>
    <w:rsid w:val="00127765"/>
    <w:rsid w:val="00127780"/>
    <w:rsid w:val="00127843"/>
    <w:rsid w:val="00127863"/>
    <w:rsid w:val="00127897"/>
    <w:rsid w:val="001278B4"/>
    <w:rsid w:val="001279D3"/>
    <w:rsid w:val="00127BCF"/>
    <w:rsid w:val="00127C0B"/>
    <w:rsid w:val="00127D55"/>
    <w:rsid w:val="00127E41"/>
    <w:rsid w:val="00127ED0"/>
    <w:rsid w:val="00127F5E"/>
    <w:rsid w:val="00127F79"/>
    <w:rsid w:val="00127FC2"/>
    <w:rsid w:val="0012C851"/>
    <w:rsid w:val="00130000"/>
    <w:rsid w:val="0013004D"/>
    <w:rsid w:val="00130064"/>
    <w:rsid w:val="001300A9"/>
    <w:rsid w:val="0013010C"/>
    <w:rsid w:val="00130136"/>
    <w:rsid w:val="001301CB"/>
    <w:rsid w:val="001302F9"/>
    <w:rsid w:val="00130378"/>
    <w:rsid w:val="001303C8"/>
    <w:rsid w:val="00130424"/>
    <w:rsid w:val="0013052E"/>
    <w:rsid w:val="0013058F"/>
    <w:rsid w:val="00130659"/>
    <w:rsid w:val="00130910"/>
    <w:rsid w:val="00130A36"/>
    <w:rsid w:val="00130AC0"/>
    <w:rsid w:val="00130BDC"/>
    <w:rsid w:val="00130BEA"/>
    <w:rsid w:val="00130C03"/>
    <w:rsid w:val="00130C1E"/>
    <w:rsid w:val="00130CA4"/>
    <w:rsid w:val="00130F9C"/>
    <w:rsid w:val="0013106F"/>
    <w:rsid w:val="00131070"/>
    <w:rsid w:val="001311D3"/>
    <w:rsid w:val="0013134B"/>
    <w:rsid w:val="00131588"/>
    <w:rsid w:val="001315C2"/>
    <w:rsid w:val="0013165A"/>
    <w:rsid w:val="0013165D"/>
    <w:rsid w:val="00131679"/>
    <w:rsid w:val="0013167A"/>
    <w:rsid w:val="001316EE"/>
    <w:rsid w:val="00131846"/>
    <w:rsid w:val="00131955"/>
    <w:rsid w:val="00131B81"/>
    <w:rsid w:val="00131B8C"/>
    <w:rsid w:val="00132167"/>
    <w:rsid w:val="001321A7"/>
    <w:rsid w:val="00132372"/>
    <w:rsid w:val="00132381"/>
    <w:rsid w:val="0013240D"/>
    <w:rsid w:val="0013253B"/>
    <w:rsid w:val="00132629"/>
    <w:rsid w:val="00132655"/>
    <w:rsid w:val="0013269C"/>
    <w:rsid w:val="001326A0"/>
    <w:rsid w:val="001328AF"/>
    <w:rsid w:val="0013291B"/>
    <w:rsid w:val="00132AC1"/>
    <w:rsid w:val="00132ACD"/>
    <w:rsid w:val="00132AE9"/>
    <w:rsid w:val="00132B41"/>
    <w:rsid w:val="00132B7F"/>
    <w:rsid w:val="00132C18"/>
    <w:rsid w:val="00132CF1"/>
    <w:rsid w:val="00133030"/>
    <w:rsid w:val="001330AC"/>
    <w:rsid w:val="00133147"/>
    <w:rsid w:val="00133A4E"/>
    <w:rsid w:val="00133B6C"/>
    <w:rsid w:val="00133BF8"/>
    <w:rsid w:val="00133DD9"/>
    <w:rsid w:val="00133E93"/>
    <w:rsid w:val="00133FD8"/>
    <w:rsid w:val="00134050"/>
    <w:rsid w:val="001340A3"/>
    <w:rsid w:val="001340C7"/>
    <w:rsid w:val="00134122"/>
    <w:rsid w:val="00134188"/>
    <w:rsid w:val="001341E6"/>
    <w:rsid w:val="001342D9"/>
    <w:rsid w:val="001343E8"/>
    <w:rsid w:val="0013442B"/>
    <w:rsid w:val="00134496"/>
    <w:rsid w:val="001345C4"/>
    <w:rsid w:val="00134640"/>
    <w:rsid w:val="00134651"/>
    <w:rsid w:val="00134687"/>
    <w:rsid w:val="0013474E"/>
    <w:rsid w:val="00134803"/>
    <w:rsid w:val="00134836"/>
    <w:rsid w:val="0013486C"/>
    <w:rsid w:val="001348D0"/>
    <w:rsid w:val="00134964"/>
    <w:rsid w:val="00134A77"/>
    <w:rsid w:val="00134A9C"/>
    <w:rsid w:val="00134ADF"/>
    <w:rsid w:val="00134BAC"/>
    <w:rsid w:val="00134BC5"/>
    <w:rsid w:val="00134C65"/>
    <w:rsid w:val="00134D6E"/>
    <w:rsid w:val="00134D8D"/>
    <w:rsid w:val="00134DF6"/>
    <w:rsid w:val="00134E45"/>
    <w:rsid w:val="00134E5F"/>
    <w:rsid w:val="00134F56"/>
    <w:rsid w:val="00134F9B"/>
    <w:rsid w:val="00135098"/>
    <w:rsid w:val="001350EE"/>
    <w:rsid w:val="00135128"/>
    <w:rsid w:val="00135336"/>
    <w:rsid w:val="00135433"/>
    <w:rsid w:val="00135609"/>
    <w:rsid w:val="001356A5"/>
    <w:rsid w:val="001357FB"/>
    <w:rsid w:val="001359F7"/>
    <w:rsid w:val="00135A19"/>
    <w:rsid w:val="00135BC8"/>
    <w:rsid w:val="00135C6D"/>
    <w:rsid w:val="00135C77"/>
    <w:rsid w:val="00135C7C"/>
    <w:rsid w:val="00135CD1"/>
    <w:rsid w:val="00135E1D"/>
    <w:rsid w:val="00135E42"/>
    <w:rsid w:val="00135EA0"/>
    <w:rsid w:val="00135F6D"/>
    <w:rsid w:val="0013613C"/>
    <w:rsid w:val="001363D5"/>
    <w:rsid w:val="00136531"/>
    <w:rsid w:val="001365B6"/>
    <w:rsid w:val="00136682"/>
    <w:rsid w:val="00136690"/>
    <w:rsid w:val="00136723"/>
    <w:rsid w:val="0013676C"/>
    <w:rsid w:val="001367B2"/>
    <w:rsid w:val="001369AE"/>
    <w:rsid w:val="00136A19"/>
    <w:rsid w:val="00136A2A"/>
    <w:rsid w:val="00136D29"/>
    <w:rsid w:val="00136D6C"/>
    <w:rsid w:val="00136FDD"/>
    <w:rsid w:val="00136FF6"/>
    <w:rsid w:val="00137004"/>
    <w:rsid w:val="001370EB"/>
    <w:rsid w:val="0013711C"/>
    <w:rsid w:val="001371E0"/>
    <w:rsid w:val="001371E2"/>
    <w:rsid w:val="00137346"/>
    <w:rsid w:val="0013737B"/>
    <w:rsid w:val="00137387"/>
    <w:rsid w:val="001373C5"/>
    <w:rsid w:val="001374B3"/>
    <w:rsid w:val="0013751B"/>
    <w:rsid w:val="00137567"/>
    <w:rsid w:val="001376F4"/>
    <w:rsid w:val="00137702"/>
    <w:rsid w:val="0013770D"/>
    <w:rsid w:val="0013775A"/>
    <w:rsid w:val="00137A73"/>
    <w:rsid w:val="00137A7E"/>
    <w:rsid w:val="00137C55"/>
    <w:rsid w:val="00137C7B"/>
    <w:rsid w:val="00137DD4"/>
    <w:rsid w:val="00137E34"/>
    <w:rsid w:val="00137E60"/>
    <w:rsid w:val="00137F2D"/>
    <w:rsid w:val="0014004B"/>
    <w:rsid w:val="001400E8"/>
    <w:rsid w:val="0014035E"/>
    <w:rsid w:val="0014037C"/>
    <w:rsid w:val="001403F5"/>
    <w:rsid w:val="0014042A"/>
    <w:rsid w:val="0014042E"/>
    <w:rsid w:val="001404C7"/>
    <w:rsid w:val="0014050D"/>
    <w:rsid w:val="00140561"/>
    <w:rsid w:val="0014057C"/>
    <w:rsid w:val="00140699"/>
    <w:rsid w:val="00140776"/>
    <w:rsid w:val="00140809"/>
    <w:rsid w:val="001408FE"/>
    <w:rsid w:val="001409CA"/>
    <w:rsid w:val="00140A30"/>
    <w:rsid w:val="00140A52"/>
    <w:rsid w:val="00140B11"/>
    <w:rsid w:val="00140B38"/>
    <w:rsid w:val="00140B92"/>
    <w:rsid w:val="00140CA3"/>
    <w:rsid w:val="00140D68"/>
    <w:rsid w:val="00140DC6"/>
    <w:rsid w:val="00141014"/>
    <w:rsid w:val="00141029"/>
    <w:rsid w:val="0014108A"/>
    <w:rsid w:val="001410FC"/>
    <w:rsid w:val="0014110D"/>
    <w:rsid w:val="00141158"/>
    <w:rsid w:val="00141275"/>
    <w:rsid w:val="0014141C"/>
    <w:rsid w:val="001415B6"/>
    <w:rsid w:val="001415C8"/>
    <w:rsid w:val="00141639"/>
    <w:rsid w:val="001416B1"/>
    <w:rsid w:val="00141936"/>
    <w:rsid w:val="0014194E"/>
    <w:rsid w:val="00141A0F"/>
    <w:rsid w:val="00141A7B"/>
    <w:rsid w:val="00141B27"/>
    <w:rsid w:val="00141B3F"/>
    <w:rsid w:val="00141C20"/>
    <w:rsid w:val="00141D3D"/>
    <w:rsid w:val="00141D53"/>
    <w:rsid w:val="00141DAC"/>
    <w:rsid w:val="00141DDB"/>
    <w:rsid w:val="00141ECE"/>
    <w:rsid w:val="00142031"/>
    <w:rsid w:val="00142058"/>
    <w:rsid w:val="0014217F"/>
    <w:rsid w:val="001421CB"/>
    <w:rsid w:val="001421CD"/>
    <w:rsid w:val="00142318"/>
    <w:rsid w:val="001423BB"/>
    <w:rsid w:val="00142471"/>
    <w:rsid w:val="001424CF"/>
    <w:rsid w:val="001427AF"/>
    <w:rsid w:val="00142A6A"/>
    <w:rsid w:val="00142BA6"/>
    <w:rsid w:val="00142C60"/>
    <w:rsid w:val="00142C87"/>
    <w:rsid w:val="00142D1D"/>
    <w:rsid w:val="00142D95"/>
    <w:rsid w:val="00142E12"/>
    <w:rsid w:val="00142F55"/>
    <w:rsid w:val="001430FB"/>
    <w:rsid w:val="00143148"/>
    <w:rsid w:val="001431AB"/>
    <w:rsid w:val="001431BE"/>
    <w:rsid w:val="001431F0"/>
    <w:rsid w:val="00143255"/>
    <w:rsid w:val="001432EA"/>
    <w:rsid w:val="00143324"/>
    <w:rsid w:val="0014335B"/>
    <w:rsid w:val="001433EF"/>
    <w:rsid w:val="00143429"/>
    <w:rsid w:val="00143503"/>
    <w:rsid w:val="0014355D"/>
    <w:rsid w:val="0014357A"/>
    <w:rsid w:val="0014362E"/>
    <w:rsid w:val="00143763"/>
    <w:rsid w:val="00143771"/>
    <w:rsid w:val="00143800"/>
    <w:rsid w:val="00143875"/>
    <w:rsid w:val="001438BA"/>
    <w:rsid w:val="0014397B"/>
    <w:rsid w:val="00143B82"/>
    <w:rsid w:val="00143C54"/>
    <w:rsid w:val="00143C96"/>
    <w:rsid w:val="00143D6E"/>
    <w:rsid w:val="00143D77"/>
    <w:rsid w:val="00143D91"/>
    <w:rsid w:val="00143E89"/>
    <w:rsid w:val="00143EA5"/>
    <w:rsid w:val="00143EF5"/>
    <w:rsid w:val="00143F06"/>
    <w:rsid w:val="00144138"/>
    <w:rsid w:val="00144376"/>
    <w:rsid w:val="0014454D"/>
    <w:rsid w:val="0014475A"/>
    <w:rsid w:val="001449DA"/>
    <w:rsid w:val="00144A46"/>
    <w:rsid w:val="00144AE9"/>
    <w:rsid w:val="00144AEE"/>
    <w:rsid w:val="00144CA3"/>
    <w:rsid w:val="00144E03"/>
    <w:rsid w:val="00144EB6"/>
    <w:rsid w:val="00144F15"/>
    <w:rsid w:val="00145181"/>
    <w:rsid w:val="0014523F"/>
    <w:rsid w:val="00145246"/>
    <w:rsid w:val="0014525F"/>
    <w:rsid w:val="001452EC"/>
    <w:rsid w:val="001452FC"/>
    <w:rsid w:val="0014535A"/>
    <w:rsid w:val="0014539C"/>
    <w:rsid w:val="001454F8"/>
    <w:rsid w:val="00145575"/>
    <w:rsid w:val="0014560C"/>
    <w:rsid w:val="00145616"/>
    <w:rsid w:val="001459B2"/>
    <w:rsid w:val="00145A26"/>
    <w:rsid w:val="00145B2A"/>
    <w:rsid w:val="00145BA3"/>
    <w:rsid w:val="00145C2D"/>
    <w:rsid w:val="00145CBC"/>
    <w:rsid w:val="00145D51"/>
    <w:rsid w:val="00145DC0"/>
    <w:rsid w:val="00145E97"/>
    <w:rsid w:val="00145F05"/>
    <w:rsid w:val="00145FFB"/>
    <w:rsid w:val="0014601E"/>
    <w:rsid w:val="00146098"/>
    <w:rsid w:val="00146101"/>
    <w:rsid w:val="00146106"/>
    <w:rsid w:val="00146142"/>
    <w:rsid w:val="001461E1"/>
    <w:rsid w:val="001461E3"/>
    <w:rsid w:val="00146236"/>
    <w:rsid w:val="00146263"/>
    <w:rsid w:val="00146366"/>
    <w:rsid w:val="001463C8"/>
    <w:rsid w:val="00146433"/>
    <w:rsid w:val="001464E1"/>
    <w:rsid w:val="0014652D"/>
    <w:rsid w:val="0014653E"/>
    <w:rsid w:val="00146610"/>
    <w:rsid w:val="00146657"/>
    <w:rsid w:val="0014688E"/>
    <w:rsid w:val="00146A83"/>
    <w:rsid w:val="00146B69"/>
    <w:rsid w:val="001470B0"/>
    <w:rsid w:val="0014727C"/>
    <w:rsid w:val="00147705"/>
    <w:rsid w:val="00147AA0"/>
    <w:rsid w:val="00147E62"/>
    <w:rsid w:val="00147E9F"/>
    <w:rsid w:val="00147EE6"/>
    <w:rsid w:val="00147F23"/>
    <w:rsid w:val="0015017A"/>
    <w:rsid w:val="00150209"/>
    <w:rsid w:val="0015027D"/>
    <w:rsid w:val="0015031C"/>
    <w:rsid w:val="00150559"/>
    <w:rsid w:val="00150565"/>
    <w:rsid w:val="00150568"/>
    <w:rsid w:val="001505B9"/>
    <w:rsid w:val="00150668"/>
    <w:rsid w:val="00150819"/>
    <w:rsid w:val="001508FD"/>
    <w:rsid w:val="0015095D"/>
    <w:rsid w:val="00150BC7"/>
    <w:rsid w:val="00150C77"/>
    <w:rsid w:val="00150D39"/>
    <w:rsid w:val="00150E0D"/>
    <w:rsid w:val="00150F72"/>
    <w:rsid w:val="0015107F"/>
    <w:rsid w:val="0015115F"/>
    <w:rsid w:val="001511FC"/>
    <w:rsid w:val="00151265"/>
    <w:rsid w:val="001512E6"/>
    <w:rsid w:val="001512E9"/>
    <w:rsid w:val="0015159D"/>
    <w:rsid w:val="001516BB"/>
    <w:rsid w:val="001516CE"/>
    <w:rsid w:val="001518DC"/>
    <w:rsid w:val="00151A7E"/>
    <w:rsid w:val="00151CD3"/>
    <w:rsid w:val="00151E10"/>
    <w:rsid w:val="00151E63"/>
    <w:rsid w:val="00151EB3"/>
    <w:rsid w:val="00151EFC"/>
    <w:rsid w:val="00151F30"/>
    <w:rsid w:val="00151FB0"/>
    <w:rsid w:val="001520DC"/>
    <w:rsid w:val="001520E3"/>
    <w:rsid w:val="00152110"/>
    <w:rsid w:val="0015213D"/>
    <w:rsid w:val="00152392"/>
    <w:rsid w:val="001523A4"/>
    <w:rsid w:val="00152475"/>
    <w:rsid w:val="00152479"/>
    <w:rsid w:val="00152B7A"/>
    <w:rsid w:val="00152C7C"/>
    <w:rsid w:val="00152C98"/>
    <w:rsid w:val="00152C9B"/>
    <w:rsid w:val="00152D66"/>
    <w:rsid w:val="00152D7A"/>
    <w:rsid w:val="00152E37"/>
    <w:rsid w:val="00152E7F"/>
    <w:rsid w:val="00152EE1"/>
    <w:rsid w:val="00152F74"/>
    <w:rsid w:val="00152FCB"/>
    <w:rsid w:val="00153137"/>
    <w:rsid w:val="00153258"/>
    <w:rsid w:val="001532AF"/>
    <w:rsid w:val="00153335"/>
    <w:rsid w:val="001533DE"/>
    <w:rsid w:val="0015349F"/>
    <w:rsid w:val="001534DC"/>
    <w:rsid w:val="00153503"/>
    <w:rsid w:val="00153553"/>
    <w:rsid w:val="001536B2"/>
    <w:rsid w:val="001536E4"/>
    <w:rsid w:val="00153854"/>
    <w:rsid w:val="0015388E"/>
    <w:rsid w:val="00153A85"/>
    <w:rsid w:val="00153A89"/>
    <w:rsid w:val="00153B25"/>
    <w:rsid w:val="00153C1E"/>
    <w:rsid w:val="00153C96"/>
    <w:rsid w:val="00153CEA"/>
    <w:rsid w:val="00153D0C"/>
    <w:rsid w:val="00153D7C"/>
    <w:rsid w:val="00153D85"/>
    <w:rsid w:val="00153D8F"/>
    <w:rsid w:val="001540B2"/>
    <w:rsid w:val="001540DA"/>
    <w:rsid w:val="00154133"/>
    <w:rsid w:val="00154214"/>
    <w:rsid w:val="001542DE"/>
    <w:rsid w:val="00154360"/>
    <w:rsid w:val="0015455D"/>
    <w:rsid w:val="0015456A"/>
    <w:rsid w:val="001545E2"/>
    <w:rsid w:val="001546E4"/>
    <w:rsid w:val="0015496B"/>
    <w:rsid w:val="001549DA"/>
    <w:rsid w:val="00154A14"/>
    <w:rsid w:val="00154A66"/>
    <w:rsid w:val="00154BF4"/>
    <w:rsid w:val="00154BF5"/>
    <w:rsid w:val="00154CA8"/>
    <w:rsid w:val="00154D7D"/>
    <w:rsid w:val="00154F35"/>
    <w:rsid w:val="0015516A"/>
    <w:rsid w:val="001551E8"/>
    <w:rsid w:val="0015526E"/>
    <w:rsid w:val="001552F6"/>
    <w:rsid w:val="00155597"/>
    <w:rsid w:val="001555CF"/>
    <w:rsid w:val="001556B7"/>
    <w:rsid w:val="001556F8"/>
    <w:rsid w:val="00155732"/>
    <w:rsid w:val="0015579C"/>
    <w:rsid w:val="001557BF"/>
    <w:rsid w:val="00155862"/>
    <w:rsid w:val="00155915"/>
    <w:rsid w:val="00155AC1"/>
    <w:rsid w:val="00155BA3"/>
    <w:rsid w:val="00155D2B"/>
    <w:rsid w:val="00155DAF"/>
    <w:rsid w:val="00155E7C"/>
    <w:rsid w:val="00155E9C"/>
    <w:rsid w:val="00155EEB"/>
    <w:rsid w:val="00155EF2"/>
    <w:rsid w:val="00155FF3"/>
    <w:rsid w:val="00156182"/>
    <w:rsid w:val="001561A3"/>
    <w:rsid w:val="001562B9"/>
    <w:rsid w:val="0015657E"/>
    <w:rsid w:val="00156645"/>
    <w:rsid w:val="001566AA"/>
    <w:rsid w:val="001566C9"/>
    <w:rsid w:val="001566F2"/>
    <w:rsid w:val="00156738"/>
    <w:rsid w:val="001567D3"/>
    <w:rsid w:val="001568DE"/>
    <w:rsid w:val="001569E1"/>
    <w:rsid w:val="001569F0"/>
    <w:rsid w:val="00156ACB"/>
    <w:rsid w:val="00156DEE"/>
    <w:rsid w:val="00156EC5"/>
    <w:rsid w:val="00156FF2"/>
    <w:rsid w:val="00157031"/>
    <w:rsid w:val="001572B9"/>
    <w:rsid w:val="001572BA"/>
    <w:rsid w:val="00157316"/>
    <w:rsid w:val="0015742D"/>
    <w:rsid w:val="001574C0"/>
    <w:rsid w:val="0015756E"/>
    <w:rsid w:val="001575B7"/>
    <w:rsid w:val="001575DE"/>
    <w:rsid w:val="00157602"/>
    <w:rsid w:val="0015767C"/>
    <w:rsid w:val="001576F6"/>
    <w:rsid w:val="00157780"/>
    <w:rsid w:val="0015778C"/>
    <w:rsid w:val="0015784E"/>
    <w:rsid w:val="0015795B"/>
    <w:rsid w:val="00157A68"/>
    <w:rsid w:val="00157A87"/>
    <w:rsid w:val="00157BDD"/>
    <w:rsid w:val="00157C98"/>
    <w:rsid w:val="00157E42"/>
    <w:rsid w:val="00157E72"/>
    <w:rsid w:val="00157F88"/>
    <w:rsid w:val="0016010D"/>
    <w:rsid w:val="00160122"/>
    <w:rsid w:val="00160141"/>
    <w:rsid w:val="00160340"/>
    <w:rsid w:val="00160571"/>
    <w:rsid w:val="00160606"/>
    <w:rsid w:val="0016063B"/>
    <w:rsid w:val="00160742"/>
    <w:rsid w:val="00160779"/>
    <w:rsid w:val="0016090A"/>
    <w:rsid w:val="00160932"/>
    <w:rsid w:val="001609EE"/>
    <w:rsid w:val="00160B4D"/>
    <w:rsid w:val="00160C5C"/>
    <w:rsid w:val="00160D46"/>
    <w:rsid w:val="00160ECF"/>
    <w:rsid w:val="00160F15"/>
    <w:rsid w:val="00160F75"/>
    <w:rsid w:val="00161182"/>
    <w:rsid w:val="001612AB"/>
    <w:rsid w:val="0016130A"/>
    <w:rsid w:val="00161349"/>
    <w:rsid w:val="0016135B"/>
    <w:rsid w:val="0016135F"/>
    <w:rsid w:val="00161426"/>
    <w:rsid w:val="0016151B"/>
    <w:rsid w:val="00161609"/>
    <w:rsid w:val="0016160F"/>
    <w:rsid w:val="00161653"/>
    <w:rsid w:val="001616F9"/>
    <w:rsid w:val="00161766"/>
    <w:rsid w:val="0016181B"/>
    <w:rsid w:val="00161970"/>
    <w:rsid w:val="00161A70"/>
    <w:rsid w:val="00161A95"/>
    <w:rsid w:val="00161B89"/>
    <w:rsid w:val="00161F6A"/>
    <w:rsid w:val="00161F6B"/>
    <w:rsid w:val="00161F6D"/>
    <w:rsid w:val="00161FC8"/>
    <w:rsid w:val="00162105"/>
    <w:rsid w:val="0016219E"/>
    <w:rsid w:val="001621DA"/>
    <w:rsid w:val="001622BE"/>
    <w:rsid w:val="00162315"/>
    <w:rsid w:val="0016234E"/>
    <w:rsid w:val="001623E5"/>
    <w:rsid w:val="001623F0"/>
    <w:rsid w:val="001624D5"/>
    <w:rsid w:val="00162530"/>
    <w:rsid w:val="001625E3"/>
    <w:rsid w:val="001626A3"/>
    <w:rsid w:val="00162777"/>
    <w:rsid w:val="001627DA"/>
    <w:rsid w:val="00162903"/>
    <w:rsid w:val="00162A83"/>
    <w:rsid w:val="00162B6E"/>
    <w:rsid w:val="00162B72"/>
    <w:rsid w:val="00162D7F"/>
    <w:rsid w:val="00162D8F"/>
    <w:rsid w:val="00162E3E"/>
    <w:rsid w:val="00162F19"/>
    <w:rsid w:val="00162F50"/>
    <w:rsid w:val="00162F87"/>
    <w:rsid w:val="00163026"/>
    <w:rsid w:val="0016314E"/>
    <w:rsid w:val="001631D5"/>
    <w:rsid w:val="001631ED"/>
    <w:rsid w:val="001632AE"/>
    <w:rsid w:val="001632FE"/>
    <w:rsid w:val="00163301"/>
    <w:rsid w:val="00163351"/>
    <w:rsid w:val="001633AB"/>
    <w:rsid w:val="001635B0"/>
    <w:rsid w:val="00163695"/>
    <w:rsid w:val="0016383B"/>
    <w:rsid w:val="00163885"/>
    <w:rsid w:val="00163911"/>
    <w:rsid w:val="00163919"/>
    <w:rsid w:val="00163982"/>
    <w:rsid w:val="00163BF4"/>
    <w:rsid w:val="00163C2F"/>
    <w:rsid w:val="00163C67"/>
    <w:rsid w:val="00163C6C"/>
    <w:rsid w:val="00163D3D"/>
    <w:rsid w:val="00163EBE"/>
    <w:rsid w:val="00163EDE"/>
    <w:rsid w:val="00163F80"/>
    <w:rsid w:val="0016407A"/>
    <w:rsid w:val="0016417E"/>
    <w:rsid w:val="001641CC"/>
    <w:rsid w:val="001641E1"/>
    <w:rsid w:val="001642BC"/>
    <w:rsid w:val="001642FB"/>
    <w:rsid w:val="0016441C"/>
    <w:rsid w:val="00164626"/>
    <w:rsid w:val="00164659"/>
    <w:rsid w:val="00164713"/>
    <w:rsid w:val="00164986"/>
    <w:rsid w:val="00164AB8"/>
    <w:rsid w:val="00164BBC"/>
    <w:rsid w:val="00164D1B"/>
    <w:rsid w:val="00164DD9"/>
    <w:rsid w:val="00164E6B"/>
    <w:rsid w:val="00164FF7"/>
    <w:rsid w:val="00165148"/>
    <w:rsid w:val="001651B6"/>
    <w:rsid w:val="001652FC"/>
    <w:rsid w:val="00165603"/>
    <w:rsid w:val="00165606"/>
    <w:rsid w:val="00165A06"/>
    <w:rsid w:val="00165B69"/>
    <w:rsid w:val="00165BFA"/>
    <w:rsid w:val="00165C39"/>
    <w:rsid w:val="00165DFC"/>
    <w:rsid w:val="001660A7"/>
    <w:rsid w:val="001661B5"/>
    <w:rsid w:val="001662FA"/>
    <w:rsid w:val="00166458"/>
    <w:rsid w:val="00166531"/>
    <w:rsid w:val="00166697"/>
    <w:rsid w:val="001667DE"/>
    <w:rsid w:val="001669B6"/>
    <w:rsid w:val="00166A3D"/>
    <w:rsid w:val="00166B1E"/>
    <w:rsid w:val="00166B67"/>
    <w:rsid w:val="00166C28"/>
    <w:rsid w:val="00166E6F"/>
    <w:rsid w:val="00166FA5"/>
    <w:rsid w:val="00167026"/>
    <w:rsid w:val="00167078"/>
    <w:rsid w:val="0016742B"/>
    <w:rsid w:val="00167600"/>
    <w:rsid w:val="00167622"/>
    <w:rsid w:val="001678AC"/>
    <w:rsid w:val="00167A3C"/>
    <w:rsid w:val="00167A94"/>
    <w:rsid w:val="00167B0E"/>
    <w:rsid w:val="00167B66"/>
    <w:rsid w:val="00167CAD"/>
    <w:rsid w:val="00167CC3"/>
    <w:rsid w:val="00167CF4"/>
    <w:rsid w:val="00167DE4"/>
    <w:rsid w:val="00167E5E"/>
    <w:rsid w:val="00167ECF"/>
    <w:rsid w:val="00167F81"/>
    <w:rsid w:val="00167FCB"/>
    <w:rsid w:val="00167FD4"/>
    <w:rsid w:val="00170013"/>
    <w:rsid w:val="0017008C"/>
    <w:rsid w:val="001700BA"/>
    <w:rsid w:val="001701E5"/>
    <w:rsid w:val="00170252"/>
    <w:rsid w:val="001703FB"/>
    <w:rsid w:val="00170495"/>
    <w:rsid w:val="0017052D"/>
    <w:rsid w:val="001706C0"/>
    <w:rsid w:val="00170777"/>
    <w:rsid w:val="00170904"/>
    <w:rsid w:val="0017095D"/>
    <w:rsid w:val="0017096C"/>
    <w:rsid w:val="001709A4"/>
    <w:rsid w:val="001709C9"/>
    <w:rsid w:val="00170A32"/>
    <w:rsid w:val="00170A6C"/>
    <w:rsid w:val="00170B16"/>
    <w:rsid w:val="00170B75"/>
    <w:rsid w:val="00170D74"/>
    <w:rsid w:val="00170FC5"/>
    <w:rsid w:val="00171010"/>
    <w:rsid w:val="0017130D"/>
    <w:rsid w:val="00171325"/>
    <w:rsid w:val="001713A7"/>
    <w:rsid w:val="001715FB"/>
    <w:rsid w:val="0017169B"/>
    <w:rsid w:val="001716C8"/>
    <w:rsid w:val="0017188A"/>
    <w:rsid w:val="00171965"/>
    <w:rsid w:val="001719F2"/>
    <w:rsid w:val="00171A97"/>
    <w:rsid w:val="00171AA7"/>
    <w:rsid w:val="00171ADC"/>
    <w:rsid w:val="00171B07"/>
    <w:rsid w:val="00171C2A"/>
    <w:rsid w:val="00171C4C"/>
    <w:rsid w:val="00171D0D"/>
    <w:rsid w:val="00171D98"/>
    <w:rsid w:val="00171E2C"/>
    <w:rsid w:val="00171E60"/>
    <w:rsid w:val="00171EBE"/>
    <w:rsid w:val="00171EF3"/>
    <w:rsid w:val="0017204B"/>
    <w:rsid w:val="00172075"/>
    <w:rsid w:val="00172108"/>
    <w:rsid w:val="00172266"/>
    <w:rsid w:val="00172269"/>
    <w:rsid w:val="001722F1"/>
    <w:rsid w:val="001723EC"/>
    <w:rsid w:val="001726EE"/>
    <w:rsid w:val="00172792"/>
    <w:rsid w:val="0017282C"/>
    <w:rsid w:val="0017288C"/>
    <w:rsid w:val="001728E7"/>
    <w:rsid w:val="001729D3"/>
    <w:rsid w:val="001729F3"/>
    <w:rsid w:val="00172A99"/>
    <w:rsid w:val="00172AC5"/>
    <w:rsid w:val="00172B29"/>
    <w:rsid w:val="00172B8B"/>
    <w:rsid w:val="00172C04"/>
    <w:rsid w:val="00172D0D"/>
    <w:rsid w:val="00172E35"/>
    <w:rsid w:val="00172E71"/>
    <w:rsid w:val="00172ED5"/>
    <w:rsid w:val="00173060"/>
    <w:rsid w:val="0017307F"/>
    <w:rsid w:val="0017312E"/>
    <w:rsid w:val="001731F1"/>
    <w:rsid w:val="00173222"/>
    <w:rsid w:val="00173261"/>
    <w:rsid w:val="001732D5"/>
    <w:rsid w:val="0017334B"/>
    <w:rsid w:val="001734AF"/>
    <w:rsid w:val="001734ED"/>
    <w:rsid w:val="001735FE"/>
    <w:rsid w:val="00173883"/>
    <w:rsid w:val="0017394A"/>
    <w:rsid w:val="00173A1F"/>
    <w:rsid w:val="00173BA4"/>
    <w:rsid w:val="00173BAE"/>
    <w:rsid w:val="00173BF4"/>
    <w:rsid w:val="00173DF3"/>
    <w:rsid w:val="00173F84"/>
    <w:rsid w:val="00173F91"/>
    <w:rsid w:val="0017417A"/>
    <w:rsid w:val="00174187"/>
    <w:rsid w:val="0017437C"/>
    <w:rsid w:val="0017439B"/>
    <w:rsid w:val="0017448A"/>
    <w:rsid w:val="00174585"/>
    <w:rsid w:val="00174770"/>
    <w:rsid w:val="00174778"/>
    <w:rsid w:val="0017491D"/>
    <w:rsid w:val="00174970"/>
    <w:rsid w:val="001749CB"/>
    <w:rsid w:val="00174AB2"/>
    <w:rsid w:val="00174C7B"/>
    <w:rsid w:val="00174DC4"/>
    <w:rsid w:val="00174E23"/>
    <w:rsid w:val="00174FAD"/>
    <w:rsid w:val="00174FBD"/>
    <w:rsid w:val="0017509E"/>
    <w:rsid w:val="0017522B"/>
    <w:rsid w:val="001752AD"/>
    <w:rsid w:val="0017535D"/>
    <w:rsid w:val="00175555"/>
    <w:rsid w:val="0017584D"/>
    <w:rsid w:val="001758B7"/>
    <w:rsid w:val="001759CA"/>
    <w:rsid w:val="00175AF3"/>
    <w:rsid w:val="00175C01"/>
    <w:rsid w:val="00175C02"/>
    <w:rsid w:val="00175DA9"/>
    <w:rsid w:val="00175E45"/>
    <w:rsid w:val="00175F23"/>
    <w:rsid w:val="00176151"/>
    <w:rsid w:val="00176217"/>
    <w:rsid w:val="00176230"/>
    <w:rsid w:val="0017624A"/>
    <w:rsid w:val="00176418"/>
    <w:rsid w:val="00176630"/>
    <w:rsid w:val="0017678F"/>
    <w:rsid w:val="00176CB4"/>
    <w:rsid w:val="00176F16"/>
    <w:rsid w:val="00176FA5"/>
    <w:rsid w:val="00176FB3"/>
    <w:rsid w:val="001770EE"/>
    <w:rsid w:val="001770FD"/>
    <w:rsid w:val="00177574"/>
    <w:rsid w:val="001776B8"/>
    <w:rsid w:val="0017770C"/>
    <w:rsid w:val="00177886"/>
    <w:rsid w:val="001778D9"/>
    <w:rsid w:val="00177A5A"/>
    <w:rsid w:val="00177B41"/>
    <w:rsid w:val="00177B8E"/>
    <w:rsid w:val="00177BCE"/>
    <w:rsid w:val="00177BDA"/>
    <w:rsid w:val="00177C87"/>
    <w:rsid w:val="00177CB9"/>
    <w:rsid w:val="00177CBC"/>
    <w:rsid w:val="00177E07"/>
    <w:rsid w:val="00177EA9"/>
    <w:rsid w:val="00177F10"/>
    <w:rsid w:val="0017BEAD"/>
    <w:rsid w:val="00180020"/>
    <w:rsid w:val="00180038"/>
    <w:rsid w:val="001800E9"/>
    <w:rsid w:val="0018021D"/>
    <w:rsid w:val="0018027B"/>
    <w:rsid w:val="001802DE"/>
    <w:rsid w:val="00180438"/>
    <w:rsid w:val="00180507"/>
    <w:rsid w:val="0018059B"/>
    <w:rsid w:val="00180602"/>
    <w:rsid w:val="0018062C"/>
    <w:rsid w:val="0018069F"/>
    <w:rsid w:val="001806D4"/>
    <w:rsid w:val="00180796"/>
    <w:rsid w:val="001808CC"/>
    <w:rsid w:val="0018096B"/>
    <w:rsid w:val="00180A0E"/>
    <w:rsid w:val="00180A5F"/>
    <w:rsid w:val="00180ABB"/>
    <w:rsid w:val="00180B21"/>
    <w:rsid w:val="00180CAD"/>
    <w:rsid w:val="00180D1D"/>
    <w:rsid w:val="00180F1C"/>
    <w:rsid w:val="00180F2F"/>
    <w:rsid w:val="00180F5E"/>
    <w:rsid w:val="0018101E"/>
    <w:rsid w:val="001811C2"/>
    <w:rsid w:val="00181320"/>
    <w:rsid w:val="0018149D"/>
    <w:rsid w:val="001816E6"/>
    <w:rsid w:val="00181A1C"/>
    <w:rsid w:val="00181C10"/>
    <w:rsid w:val="00181C65"/>
    <w:rsid w:val="00181D2F"/>
    <w:rsid w:val="00181F66"/>
    <w:rsid w:val="00181FFA"/>
    <w:rsid w:val="00182053"/>
    <w:rsid w:val="00182095"/>
    <w:rsid w:val="001821AC"/>
    <w:rsid w:val="00182203"/>
    <w:rsid w:val="0018227D"/>
    <w:rsid w:val="0018231D"/>
    <w:rsid w:val="00182330"/>
    <w:rsid w:val="00182671"/>
    <w:rsid w:val="001826D5"/>
    <w:rsid w:val="001828B7"/>
    <w:rsid w:val="001829F3"/>
    <w:rsid w:val="00182A33"/>
    <w:rsid w:val="00182B4D"/>
    <w:rsid w:val="00182DBF"/>
    <w:rsid w:val="00183179"/>
    <w:rsid w:val="00183261"/>
    <w:rsid w:val="001832F3"/>
    <w:rsid w:val="00183375"/>
    <w:rsid w:val="001833FA"/>
    <w:rsid w:val="00183430"/>
    <w:rsid w:val="0018349E"/>
    <w:rsid w:val="001835DC"/>
    <w:rsid w:val="0018362F"/>
    <w:rsid w:val="001836AD"/>
    <w:rsid w:val="00183804"/>
    <w:rsid w:val="0018386D"/>
    <w:rsid w:val="00183894"/>
    <w:rsid w:val="00183B92"/>
    <w:rsid w:val="00183C0C"/>
    <w:rsid w:val="00183CE9"/>
    <w:rsid w:val="00183D95"/>
    <w:rsid w:val="00183EE6"/>
    <w:rsid w:val="00183FD6"/>
    <w:rsid w:val="0018400B"/>
    <w:rsid w:val="00184032"/>
    <w:rsid w:val="00184047"/>
    <w:rsid w:val="00184144"/>
    <w:rsid w:val="001841B9"/>
    <w:rsid w:val="001841C4"/>
    <w:rsid w:val="001841CE"/>
    <w:rsid w:val="0018434A"/>
    <w:rsid w:val="00184356"/>
    <w:rsid w:val="00184420"/>
    <w:rsid w:val="00184511"/>
    <w:rsid w:val="00184553"/>
    <w:rsid w:val="00184575"/>
    <w:rsid w:val="00184599"/>
    <w:rsid w:val="001846D8"/>
    <w:rsid w:val="00184817"/>
    <w:rsid w:val="0018482E"/>
    <w:rsid w:val="00184899"/>
    <w:rsid w:val="0018489A"/>
    <w:rsid w:val="00184935"/>
    <w:rsid w:val="001849C7"/>
    <w:rsid w:val="00184A86"/>
    <w:rsid w:val="00184AE2"/>
    <w:rsid w:val="00184B23"/>
    <w:rsid w:val="00184B51"/>
    <w:rsid w:val="00184C72"/>
    <w:rsid w:val="00184D36"/>
    <w:rsid w:val="00184E77"/>
    <w:rsid w:val="00184E88"/>
    <w:rsid w:val="00184EB5"/>
    <w:rsid w:val="00184F99"/>
    <w:rsid w:val="00184FB0"/>
    <w:rsid w:val="00184FD5"/>
    <w:rsid w:val="0018501C"/>
    <w:rsid w:val="00185153"/>
    <w:rsid w:val="001851CB"/>
    <w:rsid w:val="001852D6"/>
    <w:rsid w:val="001852FC"/>
    <w:rsid w:val="00185302"/>
    <w:rsid w:val="0018533E"/>
    <w:rsid w:val="00185394"/>
    <w:rsid w:val="001853C8"/>
    <w:rsid w:val="001853F3"/>
    <w:rsid w:val="001854A3"/>
    <w:rsid w:val="001855D0"/>
    <w:rsid w:val="001856AF"/>
    <w:rsid w:val="001856B7"/>
    <w:rsid w:val="00185736"/>
    <w:rsid w:val="00185822"/>
    <w:rsid w:val="00185922"/>
    <w:rsid w:val="001859DA"/>
    <w:rsid w:val="00185A04"/>
    <w:rsid w:val="00185A1B"/>
    <w:rsid w:val="00185A47"/>
    <w:rsid w:val="00185A71"/>
    <w:rsid w:val="00185B6A"/>
    <w:rsid w:val="00185DB9"/>
    <w:rsid w:val="00185EF0"/>
    <w:rsid w:val="001862ED"/>
    <w:rsid w:val="00186389"/>
    <w:rsid w:val="00186481"/>
    <w:rsid w:val="00186693"/>
    <w:rsid w:val="0018669A"/>
    <w:rsid w:val="0018683E"/>
    <w:rsid w:val="0018692A"/>
    <w:rsid w:val="00186A94"/>
    <w:rsid w:val="00186BC8"/>
    <w:rsid w:val="00186C20"/>
    <w:rsid w:val="00186C83"/>
    <w:rsid w:val="00186CFB"/>
    <w:rsid w:val="00186D35"/>
    <w:rsid w:val="00186D63"/>
    <w:rsid w:val="00186D6F"/>
    <w:rsid w:val="00186D8A"/>
    <w:rsid w:val="00186DD6"/>
    <w:rsid w:val="00186E9C"/>
    <w:rsid w:val="00186F00"/>
    <w:rsid w:val="001870A0"/>
    <w:rsid w:val="001870BA"/>
    <w:rsid w:val="00187548"/>
    <w:rsid w:val="001877EF"/>
    <w:rsid w:val="001878EE"/>
    <w:rsid w:val="00187A89"/>
    <w:rsid w:val="00187B1F"/>
    <w:rsid w:val="00187BC0"/>
    <w:rsid w:val="00187C27"/>
    <w:rsid w:val="00187C8D"/>
    <w:rsid w:val="00187CB0"/>
    <w:rsid w:val="00187D4D"/>
    <w:rsid w:val="001900DB"/>
    <w:rsid w:val="00190264"/>
    <w:rsid w:val="001902E9"/>
    <w:rsid w:val="0019030A"/>
    <w:rsid w:val="00190311"/>
    <w:rsid w:val="0019040A"/>
    <w:rsid w:val="001904CC"/>
    <w:rsid w:val="0019056C"/>
    <w:rsid w:val="0019059E"/>
    <w:rsid w:val="0019063D"/>
    <w:rsid w:val="0019068D"/>
    <w:rsid w:val="00190708"/>
    <w:rsid w:val="00190811"/>
    <w:rsid w:val="001909E3"/>
    <w:rsid w:val="00190BBB"/>
    <w:rsid w:val="00190C3C"/>
    <w:rsid w:val="00190C44"/>
    <w:rsid w:val="00190C8D"/>
    <w:rsid w:val="00190D7B"/>
    <w:rsid w:val="00190EE1"/>
    <w:rsid w:val="00190FD5"/>
    <w:rsid w:val="00191171"/>
    <w:rsid w:val="001911F0"/>
    <w:rsid w:val="00191227"/>
    <w:rsid w:val="00191249"/>
    <w:rsid w:val="001912F1"/>
    <w:rsid w:val="001912FE"/>
    <w:rsid w:val="00191347"/>
    <w:rsid w:val="00191358"/>
    <w:rsid w:val="001913C2"/>
    <w:rsid w:val="001913C6"/>
    <w:rsid w:val="0019140B"/>
    <w:rsid w:val="00191488"/>
    <w:rsid w:val="00191677"/>
    <w:rsid w:val="001916D7"/>
    <w:rsid w:val="00191951"/>
    <w:rsid w:val="00191A1B"/>
    <w:rsid w:val="00191B54"/>
    <w:rsid w:val="00191CD8"/>
    <w:rsid w:val="00191F8E"/>
    <w:rsid w:val="00192091"/>
    <w:rsid w:val="0019216E"/>
    <w:rsid w:val="00192381"/>
    <w:rsid w:val="001923E5"/>
    <w:rsid w:val="001924E2"/>
    <w:rsid w:val="0019257A"/>
    <w:rsid w:val="001925F2"/>
    <w:rsid w:val="001925FB"/>
    <w:rsid w:val="00192745"/>
    <w:rsid w:val="00192782"/>
    <w:rsid w:val="00192889"/>
    <w:rsid w:val="00192943"/>
    <w:rsid w:val="00192A6C"/>
    <w:rsid w:val="00192C21"/>
    <w:rsid w:val="00192F74"/>
    <w:rsid w:val="00192F89"/>
    <w:rsid w:val="0019311C"/>
    <w:rsid w:val="00193122"/>
    <w:rsid w:val="00193136"/>
    <w:rsid w:val="0019340C"/>
    <w:rsid w:val="0019343C"/>
    <w:rsid w:val="00193450"/>
    <w:rsid w:val="00193477"/>
    <w:rsid w:val="001934C0"/>
    <w:rsid w:val="00193543"/>
    <w:rsid w:val="00193594"/>
    <w:rsid w:val="001936C0"/>
    <w:rsid w:val="00193731"/>
    <w:rsid w:val="00193784"/>
    <w:rsid w:val="0019384A"/>
    <w:rsid w:val="00193949"/>
    <w:rsid w:val="00193A9F"/>
    <w:rsid w:val="00193BC1"/>
    <w:rsid w:val="00193C28"/>
    <w:rsid w:val="00193D9A"/>
    <w:rsid w:val="00193FEA"/>
    <w:rsid w:val="00194343"/>
    <w:rsid w:val="00194555"/>
    <w:rsid w:val="0019456D"/>
    <w:rsid w:val="0019475F"/>
    <w:rsid w:val="001947FF"/>
    <w:rsid w:val="0019496D"/>
    <w:rsid w:val="00194B01"/>
    <w:rsid w:val="00194CB5"/>
    <w:rsid w:val="00194EFA"/>
    <w:rsid w:val="0019511C"/>
    <w:rsid w:val="00195298"/>
    <w:rsid w:val="001952B0"/>
    <w:rsid w:val="00195433"/>
    <w:rsid w:val="001956C1"/>
    <w:rsid w:val="001956D7"/>
    <w:rsid w:val="00195726"/>
    <w:rsid w:val="001957A2"/>
    <w:rsid w:val="0019583C"/>
    <w:rsid w:val="0019592D"/>
    <w:rsid w:val="00195ABB"/>
    <w:rsid w:val="00195BB2"/>
    <w:rsid w:val="00195BC1"/>
    <w:rsid w:val="00195C3B"/>
    <w:rsid w:val="00195C84"/>
    <w:rsid w:val="00195E32"/>
    <w:rsid w:val="00195E80"/>
    <w:rsid w:val="00195E8F"/>
    <w:rsid w:val="00195F04"/>
    <w:rsid w:val="00195F2A"/>
    <w:rsid w:val="001962F6"/>
    <w:rsid w:val="001964BD"/>
    <w:rsid w:val="001964CD"/>
    <w:rsid w:val="0019653F"/>
    <w:rsid w:val="00196854"/>
    <w:rsid w:val="001969D6"/>
    <w:rsid w:val="00196A86"/>
    <w:rsid w:val="00196CA8"/>
    <w:rsid w:val="00196DBA"/>
    <w:rsid w:val="00196E31"/>
    <w:rsid w:val="00196F44"/>
    <w:rsid w:val="001970F7"/>
    <w:rsid w:val="00197256"/>
    <w:rsid w:val="001972D1"/>
    <w:rsid w:val="0019732F"/>
    <w:rsid w:val="0019738F"/>
    <w:rsid w:val="00197405"/>
    <w:rsid w:val="001974C2"/>
    <w:rsid w:val="0019774B"/>
    <w:rsid w:val="0019778D"/>
    <w:rsid w:val="00197A49"/>
    <w:rsid w:val="00197B66"/>
    <w:rsid w:val="00197CBE"/>
    <w:rsid w:val="00197DB1"/>
    <w:rsid w:val="00197E8B"/>
    <w:rsid w:val="00197EC2"/>
    <w:rsid w:val="001A0273"/>
    <w:rsid w:val="001A0575"/>
    <w:rsid w:val="001A05D5"/>
    <w:rsid w:val="001A0863"/>
    <w:rsid w:val="001A08D3"/>
    <w:rsid w:val="001A09BD"/>
    <w:rsid w:val="001A09FE"/>
    <w:rsid w:val="001A0AD9"/>
    <w:rsid w:val="001A0BA4"/>
    <w:rsid w:val="001A0CC1"/>
    <w:rsid w:val="001A0D87"/>
    <w:rsid w:val="001A0DF2"/>
    <w:rsid w:val="001A0FEB"/>
    <w:rsid w:val="001A116D"/>
    <w:rsid w:val="001A1184"/>
    <w:rsid w:val="001A120F"/>
    <w:rsid w:val="001A125D"/>
    <w:rsid w:val="001A12DF"/>
    <w:rsid w:val="001A12F3"/>
    <w:rsid w:val="001A15FE"/>
    <w:rsid w:val="001A174B"/>
    <w:rsid w:val="001A18B2"/>
    <w:rsid w:val="001A19DF"/>
    <w:rsid w:val="001A19EA"/>
    <w:rsid w:val="001A1B65"/>
    <w:rsid w:val="001A1B81"/>
    <w:rsid w:val="001A1C81"/>
    <w:rsid w:val="001A1CEC"/>
    <w:rsid w:val="001A1D51"/>
    <w:rsid w:val="001A1E0B"/>
    <w:rsid w:val="001A1E73"/>
    <w:rsid w:val="001A20E4"/>
    <w:rsid w:val="001A2111"/>
    <w:rsid w:val="001A2254"/>
    <w:rsid w:val="001A24F0"/>
    <w:rsid w:val="001A26DF"/>
    <w:rsid w:val="001A2741"/>
    <w:rsid w:val="001A275F"/>
    <w:rsid w:val="001A2A5C"/>
    <w:rsid w:val="001A2AA6"/>
    <w:rsid w:val="001A2AEE"/>
    <w:rsid w:val="001A2BA2"/>
    <w:rsid w:val="001A2C3E"/>
    <w:rsid w:val="001A2D1F"/>
    <w:rsid w:val="001A2D2A"/>
    <w:rsid w:val="001A3163"/>
    <w:rsid w:val="001A3378"/>
    <w:rsid w:val="001A33FE"/>
    <w:rsid w:val="001A3410"/>
    <w:rsid w:val="001A342D"/>
    <w:rsid w:val="001A347F"/>
    <w:rsid w:val="001A3523"/>
    <w:rsid w:val="001A3579"/>
    <w:rsid w:val="001A3615"/>
    <w:rsid w:val="001A365C"/>
    <w:rsid w:val="001A38F4"/>
    <w:rsid w:val="001A39A2"/>
    <w:rsid w:val="001A39B7"/>
    <w:rsid w:val="001A39E7"/>
    <w:rsid w:val="001A3A22"/>
    <w:rsid w:val="001A3A62"/>
    <w:rsid w:val="001A3A7A"/>
    <w:rsid w:val="001A3B11"/>
    <w:rsid w:val="001A3C88"/>
    <w:rsid w:val="001A3D90"/>
    <w:rsid w:val="001A3E96"/>
    <w:rsid w:val="001A40A7"/>
    <w:rsid w:val="001A4209"/>
    <w:rsid w:val="001A429F"/>
    <w:rsid w:val="001A4594"/>
    <w:rsid w:val="001A46C7"/>
    <w:rsid w:val="001A4834"/>
    <w:rsid w:val="001A4847"/>
    <w:rsid w:val="001A4918"/>
    <w:rsid w:val="001A49FA"/>
    <w:rsid w:val="001A4AF6"/>
    <w:rsid w:val="001A4BB2"/>
    <w:rsid w:val="001A4C18"/>
    <w:rsid w:val="001A4C52"/>
    <w:rsid w:val="001A4CA8"/>
    <w:rsid w:val="001A4D47"/>
    <w:rsid w:val="001A4D53"/>
    <w:rsid w:val="001A4DA2"/>
    <w:rsid w:val="001A4DE6"/>
    <w:rsid w:val="001A4E92"/>
    <w:rsid w:val="001A4EB1"/>
    <w:rsid w:val="001A5158"/>
    <w:rsid w:val="001A5396"/>
    <w:rsid w:val="001A53D2"/>
    <w:rsid w:val="001A53F3"/>
    <w:rsid w:val="001A545D"/>
    <w:rsid w:val="001A54DC"/>
    <w:rsid w:val="001A55BD"/>
    <w:rsid w:val="001A55E4"/>
    <w:rsid w:val="001A566E"/>
    <w:rsid w:val="001A56DF"/>
    <w:rsid w:val="001A5976"/>
    <w:rsid w:val="001A5ACA"/>
    <w:rsid w:val="001A5B5B"/>
    <w:rsid w:val="001A5B69"/>
    <w:rsid w:val="001A5C11"/>
    <w:rsid w:val="001A5E03"/>
    <w:rsid w:val="001A5E3E"/>
    <w:rsid w:val="001A5EB5"/>
    <w:rsid w:val="001A5FC3"/>
    <w:rsid w:val="001A6154"/>
    <w:rsid w:val="001A623E"/>
    <w:rsid w:val="001A6250"/>
    <w:rsid w:val="001A62BA"/>
    <w:rsid w:val="001A63FB"/>
    <w:rsid w:val="001A657F"/>
    <w:rsid w:val="001A66DA"/>
    <w:rsid w:val="001A6A7F"/>
    <w:rsid w:val="001A6CE3"/>
    <w:rsid w:val="001A6D06"/>
    <w:rsid w:val="001A6D61"/>
    <w:rsid w:val="001A6DD3"/>
    <w:rsid w:val="001A6E60"/>
    <w:rsid w:val="001A704E"/>
    <w:rsid w:val="001A707F"/>
    <w:rsid w:val="001A716F"/>
    <w:rsid w:val="001A72C5"/>
    <w:rsid w:val="001A7365"/>
    <w:rsid w:val="001A737E"/>
    <w:rsid w:val="001A771C"/>
    <w:rsid w:val="001A77D1"/>
    <w:rsid w:val="001A77EB"/>
    <w:rsid w:val="001A77F1"/>
    <w:rsid w:val="001A7843"/>
    <w:rsid w:val="001A7866"/>
    <w:rsid w:val="001A7A22"/>
    <w:rsid w:val="001A7AEB"/>
    <w:rsid w:val="001A7AEF"/>
    <w:rsid w:val="001A7BC2"/>
    <w:rsid w:val="001A7D2C"/>
    <w:rsid w:val="001A7F6B"/>
    <w:rsid w:val="001B00F6"/>
    <w:rsid w:val="001B02F3"/>
    <w:rsid w:val="001B0426"/>
    <w:rsid w:val="001B049F"/>
    <w:rsid w:val="001B04AD"/>
    <w:rsid w:val="001B04DC"/>
    <w:rsid w:val="001B0502"/>
    <w:rsid w:val="001B0556"/>
    <w:rsid w:val="001B056F"/>
    <w:rsid w:val="001B07AE"/>
    <w:rsid w:val="001B08EE"/>
    <w:rsid w:val="001B0976"/>
    <w:rsid w:val="001B0A20"/>
    <w:rsid w:val="001B0A70"/>
    <w:rsid w:val="001B0C74"/>
    <w:rsid w:val="001B0C96"/>
    <w:rsid w:val="001B0E4D"/>
    <w:rsid w:val="001B0F4C"/>
    <w:rsid w:val="001B1003"/>
    <w:rsid w:val="001B10ED"/>
    <w:rsid w:val="001B10F4"/>
    <w:rsid w:val="001B11A2"/>
    <w:rsid w:val="001B123D"/>
    <w:rsid w:val="001B1278"/>
    <w:rsid w:val="001B1368"/>
    <w:rsid w:val="001B14D1"/>
    <w:rsid w:val="001B1538"/>
    <w:rsid w:val="001B15ED"/>
    <w:rsid w:val="001B1881"/>
    <w:rsid w:val="001B1957"/>
    <w:rsid w:val="001B1AA8"/>
    <w:rsid w:val="001B1C72"/>
    <w:rsid w:val="001B1CCE"/>
    <w:rsid w:val="001B1F20"/>
    <w:rsid w:val="001B1F46"/>
    <w:rsid w:val="001B1FC1"/>
    <w:rsid w:val="001B2008"/>
    <w:rsid w:val="001B2043"/>
    <w:rsid w:val="001B23B9"/>
    <w:rsid w:val="001B248D"/>
    <w:rsid w:val="001B2688"/>
    <w:rsid w:val="001B26A8"/>
    <w:rsid w:val="001B2738"/>
    <w:rsid w:val="001B27FB"/>
    <w:rsid w:val="001B29FD"/>
    <w:rsid w:val="001B2A46"/>
    <w:rsid w:val="001B2B62"/>
    <w:rsid w:val="001B2BF6"/>
    <w:rsid w:val="001B2CF5"/>
    <w:rsid w:val="001B2E7E"/>
    <w:rsid w:val="001B2E8D"/>
    <w:rsid w:val="001B2F2C"/>
    <w:rsid w:val="001B301E"/>
    <w:rsid w:val="001B30B7"/>
    <w:rsid w:val="001B3178"/>
    <w:rsid w:val="001B3197"/>
    <w:rsid w:val="001B319B"/>
    <w:rsid w:val="001B32E5"/>
    <w:rsid w:val="001B3321"/>
    <w:rsid w:val="001B3348"/>
    <w:rsid w:val="001B34B3"/>
    <w:rsid w:val="001B3560"/>
    <w:rsid w:val="001B35BF"/>
    <w:rsid w:val="001B35C7"/>
    <w:rsid w:val="001B37F7"/>
    <w:rsid w:val="001B384E"/>
    <w:rsid w:val="001B38AF"/>
    <w:rsid w:val="001B390E"/>
    <w:rsid w:val="001B3CD4"/>
    <w:rsid w:val="001B3D0F"/>
    <w:rsid w:val="001B3D36"/>
    <w:rsid w:val="001B3DCB"/>
    <w:rsid w:val="001B3E64"/>
    <w:rsid w:val="001B3EC0"/>
    <w:rsid w:val="001B424A"/>
    <w:rsid w:val="001B447C"/>
    <w:rsid w:val="001B4488"/>
    <w:rsid w:val="001B4584"/>
    <w:rsid w:val="001B464D"/>
    <w:rsid w:val="001B4759"/>
    <w:rsid w:val="001B47D2"/>
    <w:rsid w:val="001B49CD"/>
    <w:rsid w:val="001B49D7"/>
    <w:rsid w:val="001B4A84"/>
    <w:rsid w:val="001B4A8C"/>
    <w:rsid w:val="001B4A8D"/>
    <w:rsid w:val="001B4D45"/>
    <w:rsid w:val="001B4EDF"/>
    <w:rsid w:val="001B5007"/>
    <w:rsid w:val="001B512E"/>
    <w:rsid w:val="001B5200"/>
    <w:rsid w:val="001B52A6"/>
    <w:rsid w:val="001B52D1"/>
    <w:rsid w:val="001B5399"/>
    <w:rsid w:val="001B5444"/>
    <w:rsid w:val="001B54D3"/>
    <w:rsid w:val="001B55CD"/>
    <w:rsid w:val="001B56ED"/>
    <w:rsid w:val="001B575D"/>
    <w:rsid w:val="001B57FA"/>
    <w:rsid w:val="001B59C3"/>
    <w:rsid w:val="001B5A2F"/>
    <w:rsid w:val="001B5B20"/>
    <w:rsid w:val="001B5B8B"/>
    <w:rsid w:val="001B5C4C"/>
    <w:rsid w:val="001B5D01"/>
    <w:rsid w:val="001B5DA8"/>
    <w:rsid w:val="001B5DDE"/>
    <w:rsid w:val="001B5F2B"/>
    <w:rsid w:val="001B5F80"/>
    <w:rsid w:val="001B5FEB"/>
    <w:rsid w:val="001B60BA"/>
    <w:rsid w:val="001B617C"/>
    <w:rsid w:val="001B6180"/>
    <w:rsid w:val="001B61D4"/>
    <w:rsid w:val="001B6252"/>
    <w:rsid w:val="001B62C7"/>
    <w:rsid w:val="001B63B1"/>
    <w:rsid w:val="001B64FF"/>
    <w:rsid w:val="001B6515"/>
    <w:rsid w:val="001B65FB"/>
    <w:rsid w:val="001B67E1"/>
    <w:rsid w:val="001B6910"/>
    <w:rsid w:val="001B6A55"/>
    <w:rsid w:val="001B6B22"/>
    <w:rsid w:val="001B7142"/>
    <w:rsid w:val="001B717D"/>
    <w:rsid w:val="001B71D6"/>
    <w:rsid w:val="001B728D"/>
    <w:rsid w:val="001B730D"/>
    <w:rsid w:val="001B73C8"/>
    <w:rsid w:val="001B7405"/>
    <w:rsid w:val="001B74D0"/>
    <w:rsid w:val="001B7581"/>
    <w:rsid w:val="001B7714"/>
    <w:rsid w:val="001B793D"/>
    <w:rsid w:val="001B7BFD"/>
    <w:rsid w:val="001B7C32"/>
    <w:rsid w:val="001B7D13"/>
    <w:rsid w:val="001B7DA0"/>
    <w:rsid w:val="001B7DC0"/>
    <w:rsid w:val="001B7EA2"/>
    <w:rsid w:val="001B7ED3"/>
    <w:rsid w:val="001B7F0E"/>
    <w:rsid w:val="001B7FA3"/>
    <w:rsid w:val="001C010E"/>
    <w:rsid w:val="001C020E"/>
    <w:rsid w:val="001C0245"/>
    <w:rsid w:val="001C02D9"/>
    <w:rsid w:val="001C03C4"/>
    <w:rsid w:val="001C049E"/>
    <w:rsid w:val="001C06A9"/>
    <w:rsid w:val="001C0820"/>
    <w:rsid w:val="001C0871"/>
    <w:rsid w:val="001C0AE3"/>
    <w:rsid w:val="001C0BA3"/>
    <w:rsid w:val="001C0D0A"/>
    <w:rsid w:val="001C0D2C"/>
    <w:rsid w:val="001C0DC0"/>
    <w:rsid w:val="001C0DD0"/>
    <w:rsid w:val="001C0E57"/>
    <w:rsid w:val="001C0F51"/>
    <w:rsid w:val="001C116F"/>
    <w:rsid w:val="001C1170"/>
    <w:rsid w:val="001C1524"/>
    <w:rsid w:val="001C1565"/>
    <w:rsid w:val="001C1574"/>
    <w:rsid w:val="001C15C3"/>
    <w:rsid w:val="001C1762"/>
    <w:rsid w:val="001C17E0"/>
    <w:rsid w:val="001C1809"/>
    <w:rsid w:val="001C1925"/>
    <w:rsid w:val="001C1A66"/>
    <w:rsid w:val="001C1AB9"/>
    <w:rsid w:val="001C1BD3"/>
    <w:rsid w:val="001C1DF2"/>
    <w:rsid w:val="001C1F62"/>
    <w:rsid w:val="001C1F88"/>
    <w:rsid w:val="001C1FF3"/>
    <w:rsid w:val="001C2147"/>
    <w:rsid w:val="001C21D8"/>
    <w:rsid w:val="001C2271"/>
    <w:rsid w:val="001C22B5"/>
    <w:rsid w:val="001C236C"/>
    <w:rsid w:val="001C23BF"/>
    <w:rsid w:val="001C23F1"/>
    <w:rsid w:val="001C2417"/>
    <w:rsid w:val="001C2503"/>
    <w:rsid w:val="001C25F7"/>
    <w:rsid w:val="001C26C1"/>
    <w:rsid w:val="001C2920"/>
    <w:rsid w:val="001C2ADB"/>
    <w:rsid w:val="001C2E71"/>
    <w:rsid w:val="001C2F40"/>
    <w:rsid w:val="001C2F80"/>
    <w:rsid w:val="001C2FFA"/>
    <w:rsid w:val="001C30BB"/>
    <w:rsid w:val="001C31AF"/>
    <w:rsid w:val="001C32C1"/>
    <w:rsid w:val="001C32EA"/>
    <w:rsid w:val="001C32FD"/>
    <w:rsid w:val="001C3396"/>
    <w:rsid w:val="001C33B0"/>
    <w:rsid w:val="001C340A"/>
    <w:rsid w:val="001C3556"/>
    <w:rsid w:val="001C3657"/>
    <w:rsid w:val="001C36B0"/>
    <w:rsid w:val="001C36F8"/>
    <w:rsid w:val="001C3852"/>
    <w:rsid w:val="001C3901"/>
    <w:rsid w:val="001C39DA"/>
    <w:rsid w:val="001C3AA7"/>
    <w:rsid w:val="001C3C74"/>
    <w:rsid w:val="001C3E6E"/>
    <w:rsid w:val="001C3EDE"/>
    <w:rsid w:val="001C3FD9"/>
    <w:rsid w:val="001C4179"/>
    <w:rsid w:val="001C42A1"/>
    <w:rsid w:val="001C42AE"/>
    <w:rsid w:val="001C4314"/>
    <w:rsid w:val="001C4356"/>
    <w:rsid w:val="001C4379"/>
    <w:rsid w:val="001C4587"/>
    <w:rsid w:val="001C4589"/>
    <w:rsid w:val="001C4679"/>
    <w:rsid w:val="001C46EC"/>
    <w:rsid w:val="001C48A8"/>
    <w:rsid w:val="001C48C9"/>
    <w:rsid w:val="001C49A1"/>
    <w:rsid w:val="001C49A8"/>
    <w:rsid w:val="001C4A2B"/>
    <w:rsid w:val="001C4A93"/>
    <w:rsid w:val="001C4AA2"/>
    <w:rsid w:val="001C4B60"/>
    <w:rsid w:val="001C4B9C"/>
    <w:rsid w:val="001C4F0A"/>
    <w:rsid w:val="001C4FD4"/>
    <w:rsid w:val="001C507C"/>
    <w:rsid w:val="001C51C8"/>
    <w:rsid w:val="001C5202"/>
    <w:rsid w:val="001C5312"/>
    <w:rsid w:val="001C5314"/>
    <w:rsid w:val="001C54C1"/>
    <w:rsid w:val="001C54DF"/>
    <w:rsid w:val="001C576E"/>
    <w:rsid w:val="001C57C6"/>
    <w:rsid w:val="001C5800"/>
    <w:rsid w:val="001C5843"/>
    <w:rsid w:val="001C5952"/>
    <w:rsid w:val="001C5A69"/>
    <w:rsid w:val="001C5AE9"/>
    <w:rsid w:val="001C5B29"/>
    <w:rsid w:val="001C5BB8"/>
    <w:rsid w:val="001C5BE7"/>
    <w:rsid w:val="001C5C55"/>
    <w:rsid w:val="001C5CE7"/>
    <w:rsid w:val="001C5D27"/>
    <w:rsid w:val="001C5D6C"/>
    <w:rsid w:val="001C5EDC"/>
    <w:rsid w:val="001C5FB6"/>
    <w:rsid w:val="001C5FB8"/>
    <w:rsid w:val="001C6129"/>
    <w:rsid w:val="001C616E"/>
    <w:rsid w:val="001C62B2"/>
    <w:rsid w:val="001C6368"/>
    <w:rsid w:val="001C65C1"/>
    <w:rsid w:val="001C66C6"/>
    <w:rsid w:val="001C66E9"/>
    <w:rsid w:val="001C671A"/>
    <w:rsid w:val="001C6734"/>
    <w:rsid w:val="001C678F"/>
    <w:rsid w:val="001C686C"/>
    <w:rsid w:val="001C68C5"/>
    <w:rsid w:val="001C6A77"/>
    <w:rsid w:val="001C6B28"/>
    <w:rsid w:val="001C6BD0"/>
    <w:rsid w:val="001C6CAE"/>
    <w:rsid w:val="001C6E10"/>
    <w:rsid w:val="001C6F78"/>
    <w:rsid w:val="001C7082"/>
    <w:rsid w:val="001C711D"/>
    <w:rsid w:val="001C7169"/>
    <w:rsid w:val="001C71F4"/>
    <w:rsid w:val="001C749C"/>
    <w:rsid w:val="001C7538"/>
    <w:rsid w:val="001C7852"/>
    <w:rsid w:val="001C79DF"/>
    <w:rsid w:val="001C7C0E"/>
    <w:rsid w:val="001C7C22"/>
    <w:rsid w:val="001C7E73"/>
    <w:rsid w:val="001D0104"/>
    <w:rsid w:val="001D01B6"/>
    <w:rsid w:val="001D0296"/>
    <w:rsid w:val="001D0367"/>
    <w:rsid w:val="001D038F"/>
    <w:rsid w:val="001D039B"/>
    <w:rsid w:val="001D0415"/>
    <w:rsid w:val="001D08F2"/>
    <w:rsid w:val="001D090B"/>
    <w:rsid w:val="001D09FB"/>
    <w:rsid w:val="001D0ACF"/>
    <w:rsid w:val="001D0B6A"/>
    <w:rsid w:val="001D0BE6"/>
    <w:rsid w:val="001D0BF2"/>
    <w:rsid w:val="001D0C2F"/>
    <w:rsid w:val="001D0CBF"/>
    <w:rsid w:val="001D0DC0"/>
    <w:rsid w:val="001D0E3C"/>
    <w:rsid w:val="001D107C"/>
    <w:rsid w:val="001D1512"/>
    <w:rsid w:val="001D1571"/>
    <w:rsid w:val="001D15E2"/>
    <w:rsid w:val="001D1844"/>
    <w:rsid w:val="001D1858"/>
    <w:rsid w:val="001D18A1"/>
    <w:rsid w:val="001D19A8"/>
    <w:rsid w:val="001D1CFC"/>
    <w:rsid w:val="001D1D58"/>
    <w:rsid w:val="001D2081"/>
    <w:rsid w:val="001D20A1"/>
    <w:rsid w:val="001D21FC"/>
    <w:rsid w:val="001D22A7"/>
    <w:rsid w:val="001D233E"/>
    <w:rsid w:val="001D2398"/>
    <w:rsid w:val="001D245B"/>
    <w:rsid w:val="001D24AB"/>
    <w:rsid w:val="001D24EE"/>
    <w:rsid w:val="001D2858"/>
    <w:rsid w:val="001D293E"/>
    <w:rsid w:val="001D29FE"/>
    <w:rsid w:val="001D2BE8"/>
    <w:rsid w:val="001D2C9C"/>
    <w:rsid w:val="001D2D41"/>
    <w:rsid w:val="001D2EC3"/>
    <w:rsid w:val="001D2EC5"/>
    <w:rsid w:val="001D2EE9"/>
    <w:rsid w:val="001D2F74"/>
    <w:rsid w:val="001D2FD6"/>
    <w:rsid w:val="001D304B"/>
    <w:rsid w:val="001D309F"/>
    <w:rsid w:val="001D30EA"/>
    <w:rsid w:val="001D33D9"/>
    <w:rsid w:val="001D3416"/>
    <w:rsid w:val="001D379E"/>
    <w:rsid w:val="001D3892"/>
    <w:rsid w:val="001D3AB0"/>
    <w:rsid w:val="001D3D34"/>
    <w:rsid w:val="001D3D3D"/>
    <w:rsid w:val="001D3DA8"/>
    <w:rsid w:val="001D3DFF"/>
    <w:rsid w:val="001D3E46"/>
    <w:rsid w:val="001D3F16"/>
    <w:rsid w:val="001D403C"/>
    <w:rsid w:val="001D4063"/>
    <w:rsid w:val="001D410A"/>
    <w:rsid w:val="001D41BE"/>
    <w:rsid w:val="001D4300"/>
    <w:rsid w:val="001D43B1"/>
    <w:rsid w:val="001D444C"/>
    <w:rsid w:val="001D44D5"/>
    <w:rsid w:val="001D4599"/>
    <w:rsid w:val="001D45CA"/>
    <w:rsid w:val="001D45E4"/>
    <w:rsid w:val="001D4606"/>
    <w:rsid w:val="001D467D"/>
    <w:rsid w:val="001D4775"/>
    <w:rsid w:val="001D47E2"/>
    <w:rsid w:val="001D47F9"/>
    <w:rsid w:val="001D4905"/>
    <w:rsid w:val="001D4952"/>
    <w:rsid w:val="001D49C0"/>
    <w:rsid w:val="001D49C1"/>
    <w:rsid w:val="001D49CE"/>
    <w:rsid w:val="001D4A2B"/>
    <w:rsid w:val="001D4B0A"/>
    <w:rsid w:val="001D4DB3"/>
    <w:rsid w:val="001D4F00"/>
    <w:rsid w:val="001D4FD9"/>
    <w:rsid w:val="001D51C2"/>
    <w:rsid w:val="001D51D7"/>
    <w:rsid w:val="001D53BE"/>
    <w:rsid w:val="001D55C9"/>
    <w:rsid w:val="001D5760"/>
    <w:rsid w:val="001D58F5"/>
    <w:rsid w:val="001D5962"/>
    <w:rsid w:val="001D5B15"/>
    <w:rsid w:val="001D5B5F"/>
    <w:rsid w:val="001D5B68"/>
    <w:rsid w:val="001D5C2A"/>
    <w:rsid w:val="001D5C6A"/>
    <w:rsid w:val="001D5C9B"/>
    <w:rsid w:val="001D5CE8"/>
    <w:rsid w:val="001D5DD6"/>
    <w:rsid w:val="001D5E2C"/>
    <w:rsid w:val="001D5E8E"/>
    <w:rsid w:val="001D5ECE"/>
    <w:rsid w:val="001D5F0D"/>
    <w:rsid w:val="001D5F34"/>
    <w:rsid w:val="001D61D4"/>
    <w:rsid w:val="001D620A"/>
    <w:rsid w:val="001D62C2"/>
    <w:rsid w:val="001D65AD"/>
    <w:rsid w:val="001D66A1"/>
    <w:rsid w:val="001D66F0"/>
    <w:rsid w:val="001D677A"/>
    <w:rsid w:val="001D687C"/>
    <w:rsid w:val="001D6971"/>
    <w:rsid w:val="001D69CF"/>
    <w:rsid w:val="001D6A21"/>
    <w:rsid w:val="001D6A30"/>
    <w:rsid w:val="001D6B2F"/>
    <w:rsid w:val="001D6B5B"/>
    <w:rsid w:val="001D6C6F"/>
    <w:rsid w:val="001D6D1E"/>
    <w:rsid w:val="001D6E45"/>
    <w:rsid w:val="001D6F71"/>
    <w:rsid w:val="001D7222"/>
    <w:rsid w:val="001D729E"/>
    <w:rsid w:val="001D73FB"/>
    <w:rsid w:val="001D7427"/>
    <w:rsid w:val="001D744D"/>
    <w:rsid w:val="001D7456"/>
    <w:rsid w:val="001D7538"/>
    <w:rsid w:val="001D753B"/>
    <w:rsid w:val="001D764C"/>
    <w:rsid w:val="001D7688"/>
    <w:rsid w:val="001D7AEF"/>
    <w:rsid w:val="001D7B3B"/>
    <w:rsid w:val="001D7B67"/>
    <w:rsid w:val="001D7B6B"/>
    <w:rsid w:val="001D7B97"/>
    <w:rsid w:val="001D7BEE"/>
    <w:rsid w:val="001D7D5C"/>
    <w:rsid w:val="001D7EEC"/>
    <w:rsid w:val="001D7F46"/>
    <w:rsid w:val="001D7F4A"/>
    <w:rsid w:val="001D7F58"/>
    <w:rsid w:val="001E0019"/>
    <w:rsid w:val="001E011A"/>
    <w:rsid w:val="001E02B1"/>
    <w:rsid w:val="001E02D3"/>
    <w:rsid w:val="001E033A"/>
    <w:rsid w:val="001E039B"/>
    <w:rsid w:val="001E0578"/>
    <w:rsid w:val="001E062F"/>
    <w:rsid w:val="001E0641"/>
    <w:rsid w:val="001E0658"/>
    <w:rsid w:val="001E06B1"/>
    <w:rsid w:val="001E08F8"/>
    <w:rsid w:val="001E092A"/>
    <w:rsid w:val="001E09B2"/>
    <w:rsid w:val="001E0A3C"/>
    <w:rsid w:val="001E0AC3"/>
    <w:rsid w:val="001E0BC6"/>
    <w:rsid w:val="001E0C79"/>
    <w:rsid w:val="001E0C95"/>
    <w:rsid w:val="001E0D06"/>
    <w:rsid w:val="001E0D5A"/>
    <w:rsid w:val="001E0D5F"/>
    <w:rsid w:val="001E0E6F"/>
    <w:rsid w:val="001E10A5"/>
    <w:rsid w:val="001E10F2"/>
    <w:rsid w:val="001E1205"/>
    <w:rsid w:val="001E1361"/>
    <w:rsid w:val="001E1484"/>
    <w:rsid w:val="001E153A"/>
    <w:rsid w:val="001E18C3"/>
    <w:rsid w:val="001E1A93"/>
    <w:rsid w:val="001E1BA4"/>
    <w:rsid w:val="001E1C3C"/>
    <w:rsid w:val="001E1F14"/>
    <w:rsid w:val="001E1F16"/>
    <w:rsid w:val="001E1F5D"/>
    <w:rsid w:val="001E2316"/>
    <w:rsid w:val="001E237A"/>
    <w:rsid w:val="001E2498"/>
    <w:rsid w:val="001E24CA"/>
    <w:rsid w:val="001E24E3"/>
    <w:rsid w:val="001E25E0"/>
    <w:rsid w:val="001E264E"/>
    <w:rsid w:val="001E2695"/>
    <w:rsid w:val="001E2732"/>
    <w:rsid w:val="001E27DC"/>
    <w:rsid w:val="001E29C3"/>
    <w:rsid w:val="001E29F8"/>
    <w:rsid w:val="001E2A84"/>
    <w:rsid w:val="001E2B3C"/>
    <w:rsid w:val="001E2CA2"/>
    <w:rsid w:val="001E2DC2"/>
    <w:rsid w:val="001E2F20"/>
    <w:rsid w:val="001E3108"/>
    <w:rsid w:val="001E3121"/>
    <w:rsid w:val="001E31BA"/>
    <w:rsid w:val="001E328B"/>
    <w:rsid w:val="001E33CE"/>
    <w:rsid w:val="001E3685"/>
    <w:rsid w:val="001E37BB"/>
    <w:rsid w:val="001E3817"/>
    <w:rsid w:val="001E386B"/>
    <w:rsid w:val="001E39D6"/>
    <w:rsid w:val="001E3A9B"/>
    <w:rsid w:val="001E3AEA"/>
    <w:rsid w:val="001E3B52"/>
    <w:rsid w:val="001E3BF2"/>
    <w:rsid w:val="001E3C14"/>
    <w:rsid w:val="001E3C37"/>
    <w:rsid w:val="001E4088"/>
    <w:rsid w:val="001E440D"/>
    <w:rsid w:val="001E470E"/>
    <w:rsid w:val="001E4851"/>
    <w:rsid w:val="001E4A50"/>
    <w:rsid w:val="001E4AC6"/>
    <w:rsid w:val="001E4C9B"/>
    <w:rsid w:val="001E4D1E"/>
    <w:rsid w:val="001E516A"/>
    <w:rsid w:val="001E51CC"/>
    <w:rsid w:val="001E5274"/>
    <w:rsid w:val="001E545D"/>
    <w:rsid w:val="001E5522"/>
    <w:rsid w:val="001E55E1"/>
    <w:rsid w:val="001E567F"/>
    <w:rsid w:val="001E57D5"/>
    <w:rsid w:val="001E5866"/>
    <w:rsid w:val="001E5993"/>
    <w:rsid w:val="001E59C9"/>
    <w:rsid w:val="001E5D43"/>
    <w:rsid w:val="001E5D9D"/>
    <w:rsid w:val="001E5DD3"/>
    <w:rsid w:val="001E5F06"/>
    <w:rsid w:val="001E5FAD"/>
    <w:rsid w:val="001E602E"/>
    <w:rsid w:val="001E605A"/>
    <w:rsid w:val="001E6175"/>
    <w:rsid w:val="001E6193"/>
    <w:rsid w:val="001E6305"/>
    <w:rsid w:val="001E6315"/>
    <w:rsid w:val="001E64CB"/>
    <w:rsid w:val="001E655F"/>
    <w:rsid w:val="001E663C"/>
    <w:rsid w:val="001E6681"/>
    <w:rsid w:val="001E68AE"/>
    <w:rsid w:val="001E69C4"/>
    <w:rsid w:val="001E6A6C"/>
    <w:rsid w:val="001E6DEA"/>
    <w:rsid w:val="001E6F37"/>
    <w:rsid w:val="001E72A5"/>
    <w:rsid w:val="001E72FA"/>
    <w:rsid w:val="001E7331"/>
    <w:rsid w:val="001E734A"/>
    <w:rsid w:val="001E749F"/>
    <w:rsid w:val="001E7505"/>
    <w:rsid w:val="001E7785"/>
    <w:rsid w:val="001E77F9"/>
    <w:rsid w:val="001E7895"/>
    <w:rsid w:val="001E799C"/>
    <w:rsid w:val="001E7B4E"/>
    <w:rsid w:val="001E7B5B"/>
    <w:rsid w:val="001E7B82"/>
    <w:rsid w:val="001E7B83"/>
    <w:rsid w:val="001E7C14"/>
    <w:rsid w:val="001E7D09"/>
    <w:rsid w:val="001E7DE3"/>
    <w:rsid w:val="001E7E9E"/>
    <w:rsid w:val="001E7EF3"/>
    <w:rsid w:val="001E7F07"/>
    <w:rsid w:val="001E7F25"/>
    <w:rsid w:val="001E7FD6"/>
    <w:rsid w:val="001F01D6"/>
    <w:rsid w:val="001F0259"/>
    <w:rsid w:val="001F032C"/>
    <w:rsid w:val="001F0350"/>
    <w:rsid w:val="001F039C"/>
    <w:rsid w:val="001F0592"/>
    <w:rsid w:val="001F059E"/>
    <w:rsid w:val="001F0608"/>
    <w:rsid w:val="001F06C6"/>
    <w:rsid w:val="001F06C8"/>
    <w:rsid w:val="001F0761"/>
    <w:rsid w:val="001F0B22"/>
    <w:rsid w:val="001F0B9F"/>
    <w:rsid w:val="001F0C69"/>
    <w:rsid w:val="001F0D82"/>
    <w:rsid w:val="001F0DE4"/>
    <w:rsid w:val="001F0F89"/>
    <w:rsid w:val="001F1040"/>
    <w:rsid w:val="001F10EC"/>
    <w:rsid w:val="001F119A"/>
    <w:rsid w:val="001F1250"/>
    <w:rsid w:val="001F127E"/>
    <w:rsid w:val="001F14A4"/>
    <w:rsid w:val="001F15FE"/>
    <w:rsid w:val="001F15FF"/>
    <w:rsid w:val="001F18DC"/>
    <w:rsid w:val="001F1BAB"/>
    <w:rsid w:val="001F1D56"/>
    <w:rsid w:val="001F1E50"/>
    <w:rsid w:val="001F1E51"/>
    <w:rsid w:val="001F1EE2"/>
    <w:rsid w:val="001F1F85"/>
    <w:rsid w:val="001F216D"/>
    <w:rsid w:val="001F233A"/>
    <w:rsid w:val="001F2370"/>
    <w:rsid w:val="001F23E8"/>
    <w:rsid w:val="001F24C7"/>
    <w:rsid w:val="001F26C1"/>
    <w:rsid w:val="001F28EB"/>
    <w:rsid w:val="001F2927"/>
    <w:rsid w:val="001F2B0B"/>
    <w:rsid w:val="001F2BA6"/>
    <w:rsid w:val="001F2C0E"/>
    <w:rsid w:val="001F2E3D"/>
    <w:rsid w:val="001F2E59"/>
    <w:rsid w:val="001F2F34"/>
    <w:rsid w:val="001F2F6F"/>
    <w:rsid w:val="001F3042"/>
    <w:rsid w:val="001F3050"/>
    <w:rsid w:val="001F313B"/>
    <w:rsid w:val="001F324B"/>
    <w:rsid w:val="001F32CF"/>
    <w:rsid w:val="001F3381"/>
    <w:rsid w:val="001F353C"/>
    <w:rsid w:val="001F357A"/>
    <w:rsid w:val="001F36C1"/>
    <w:rsid w:val="001F37A3"/>
    <w:rsid w:val="001F37BB"/>
    <w:rsid w:val="001F3BBE"/>
    <w:rsid w:val="001F3C1F"/>
    <w:rsid w:val="001F3D88"/>
    <w:rsid w:val="001F3F3D"/>
    <w:rsid w:val="001F3F6A"/>
    <w:rsid w:val="001F3FCB"/>
    <w:rsid w:val="001F3FDD"/>
    <w:rsid w:val="001F4088"/>
    <w:rsid w:val="001F4146"/>
    <w:rsid w:val="001F4149"/>
    <w:rsid w:val="001F422E"/>
    <w:rsid w:val="001F4341"/>
    <w:rsid w:val="001F4430"/>
    <w:rsid w:val="001F44A6"/>
    <w:rsid w:val="001F4526"/>
    <w:rsid w:val="001F4544"/>
    <w:rsid w:val="001F45C4"/>
    <w:rsid w:val="001F4656"/>
    <w:rsid w:val="001F46B3"/>
    <w:rsid w:val="001F46BB"/>
    <w:rsid w:val="001F47D5"/>
    <w:rsid w:val="001F4877"/>
    <w:rsid w:val="001F4883"/>
    <w:rsid w:val="001F48FE"/>
    <w:rsid w:val="001F4946"/>
    <w:rsid w:val="001F4A76"/>
    <w:rsid w:val="001F4B36"/>
    <w:rsid w:val="001F4C24"/>
    <w:rsid w:val="001F4C8F"/>
    <w:rsid w:val="001F4F08"/>
    <w:rsid w:val="001F4F69"/>
    <w:rsid w:val="001F507C"/>
    <w:rsid w:val="001F5201"/>
    <w:rsid w:val="001F5334"/>
    <w:rsid w:val="001F539D"/>
    <w:rsid w:val="001F5403"/>
    <w:rsid w:val="001F5462"/>
    <w:rsid w:val="001F5481"/>
    <w:rsid w:val="001F5515"/>
    <w:rsid w:val="001F5662"/>
    <w:rsid w:val="001F56EB"/>
    <w:rsid w:val="001F5758"/>
    <w:rsid w:val="001F5771"/>
    <w:rsid w:val="001F5842"/>
    <w:rsid w:val="001F58F7"/>
    <w:rsid w:val="001F5A18"/>
    <w:rsid w:val="001F5AA9"/>
    <w:rsid w:val="001F5AAA"/>
    <w:rsid w:val="001F5ABC"/>
    <w:rsid w:val="001F5B20"/>
    <w:rsid w:val="001F5B6B"/>
    <w:rsid w:val="001F5BB0"/>
    <w:rsid w:val="001F5EF2"/>
    <w:rsid w:val="001F5F0C"/>
    <w:rsid w:val="001F6024"/>
    <w:rsid w:val="001F60CF"/>
    <w:rsid w:val="001F6160"/>
    <w:rsid w:val="001F662B"/>
    <w:rsid w:val="001F688D"/>
    <w:rsid w:val="001F6B04"/>
    <w:rsid w:val="001F6C77"/>
    <w:rsid w:val="001F6D7D"/>
    <w:rsid w:val="001F6E91"/>
    <w:rsid w:val="001F7038"/>
    <w:rsid w:val="001F71C8"/>
    <w:rsid w:val="001F7221"/>
    <w:rsid w:val="001F730D"/>
    <w:rsid w:val="001F7326"/>
    <w:rsid w:val="001F73A1"/>
    <w:rsid w:val="001F7478"/>
    <w:rsid w:val="001F74C5"/>
    <w:rsid w:val="001F77A0"/>
    <w:rsid w:val="001F7938"/>
    <w:rsid w:val="001F7940"/>
    <w:rsid w:val="001F79A2"/>
    <w:rsid w:val="001F7B10"/>
    <w:rsid w:val="001F7B6C"/>
    <w:rsid w:val="001F7CEB"/>
    <w:rsid w:val="001F7CEE"/>
    <w:rsid w:val="001F7E14"/>
    <w:rsid w:val="001FE7B2"/>
    <w:rsid w:val="002000B0"/>
    <w:rsid w:val="002000DD"/>
    <w:rsid w:val="00200116"/>
    <w:rsid w:val="0020013C"/>
    <w:rsid w:val="00200246"/>
    <w:rsid w:val="0020035A"/>
    <w:rsid w:val="002003FC"/>
    <w:rsid w:val="00200481"/>
    <w:rsid w:val="0020054E"/>
    <w:rsid w:val="0020060B"/>
    <w:rsid w:val="00200732"/>
    <w:rsid w:val="00200756"/>
    <w:rsid w:val="002008F3"/>
    <w:rsid w:val="00200957"/>
    <w:rsid w:val="002009EF"/>
    <w:rsid w:val="00200B24"/>
    <w:rsid w:val="00200B39"/>
    <w:rsid w:val="00200BB9"/>
    <w:rsid w:val="00200C0F"/>
    <w:rsid w:val="00200C91"/>
    <w:rsid w:val="00200D1C"/>
    <w:rsid w:val="00200D87"/>
    <w:rsid w:val="00200EFF"/>
    <w:rsid w:val="00200F41"/>
    <w:rsid w:val="00200FC9"/>
    <w:rsid w:val="002010DE"/>
    <w:rsid w:val="0020112F"/>
    <w:rsid w:val="002011B8"/>
    <w:rsid w:val="0020127D"/>
    <w:rsid w:val="00201358"/>
    <w:rsid w:val="002014FE"/>
    <w:rsid w:val="0020152E"/>
    <w:rsid w:val="002016AA"/>
    <w:rsid w:val="002016C0"/>
    <w:rsid w:val="0020172F"/>
    <w:rsid w:val="002017A6"/>
    <w:rsid w:val="002017A7"/>
    <w:rsid w:val="002018F9"/>
    <w:rsid w:val="002019A9"/>
    <w:rsid w:val="002019B9"/>
    <w:rsid w:val="002019D7"/>
    <w:rsid w:val="00201A81"/>
    <w:rsid w:val="00201A89"/>
    <w:rsid w:val="00201AB7"/>
    <w:rsid w:val="00201C3B"/>
    <w:rsid w:val="00201CC2"/>
    <w:rsid w:val="00201D99"/>
    <w:rsid w:val="00201E1B"/>
    <w:rsid w:val="00202367"/>
    <w:rsid w:val="0020236C"/>
    <w:rsid w:val="002023DE"/>
    <w:rsid w:val="00202640"/>
    <w:rsid w:val="0020273F"/>
    <w:rsid w:val="0020299E"/>
    <w:rsid w:val="00202B42"/>
    <w:rsid w:val="00202C02"/>
    <w:rsid w:val="00202C08"/>
    <w:rsid w:val="00202C64"/>
    <w:rsid w:val="00202CE1"/>
    <w:rsid w:val="00202D0E"/>
    <w:rsid w:val="00202D12"/>
    <w:rsid w:val="00202EF4"/>
    <w:rsid w:val="00202F12"/>
    <w:rsid w:val="00202F31"/>
    <w:rsid w:val="00202F3F"/>
    <w:rsid w:val="002031A9"/>
    <w:rsid w:val="00203241"/>
    <w:rsid w:val="00203292"/>
    <w:rsid w:val="00203327"/>
    <w:rsid w:val="002033A6"/>
    <w:rsid w:val="00203572"/>
    <w:rsid w:val="0020364E"/>
    <w:rsid w:val="002037D7"/>
    <w:rsid w:val="0020381F"/>
    <w:rsid w:val="002039F7"/>
    <w:rsid w:val="00203A08"/>
    <w:rsid w:val="00203A16"/>
    <w:rsid w:val="00203C9F"/>
    <w:rsid w:val="00203CAC"/>
    <w:rsid w:val="00203D8D"/>
    <w:rsid w:val="00204147"/>
    <w:rsid w:val="0020424A"/>
    <w:rsid w:val="00204378"/>
    <w:rsid w:val="002043A5"/>
    <w:rsid w:val="002043AE"/>
    <w:rsid w:val="002045A4"/>
    <w:rsid w:val="0020465B"/>
    <w:rsid w:val="002048EA"/>
    <w:rsid w:val="00204AB5"/>
    <w:rsid w:val="00204B1A"/>
    <w:rsid w:val="00204B3D"/>
    <w:rsid w:val="00204CD8"/>
    <w:rsid w:val="00204F71"/>
    <w:rsid w:val="00204F72"/>
    <w:rsid w:val="00205123"/>
    <w:rsid w:val="0020515D"/>
    <w:rsid w:val="00205186"/>
    <w:rsid w:val="002052B6"/>
    <w:rsid w:val="00205366"/>
    <w:rsid w:val="002053E9"/>
    <w:rsid w:val="0020545B"/>
    <w:rsid w:val="00205549"/>
    <w:rsid w:val="002055C1"/>
    <w:rsid w:val="002056F7"/>
    <w:rsid w:val="00205713"/>
    <w:rsid w:val="0020577B"/>
    <w:rsid w:val="0020589C"/>
    <w:rsid w:val="00205917"/>
    <w:rsid w:val="0020596B"/>
    <w:rsid w:val="0020596C"/>
    <w:rsid w:val="00205C2D"/>
    <w:rsid w:val="00205CF5"/>
    <w:rsid w:val="00205D76"/>
    <w:rsid w:val="00205DB8"/>
    <w:rsid w:val="00205ED6"/>
    <w:rsid w:val="00205FD6"/>
    <w:rsid w:val="002060EE"/>
    <w:rsid w:val="002061BE"/>
    <w:rsid w:val="002061ED"/>
    <w:rsid w:val="00206235"/>
    <w:rsid w:val="0020628E"/>
    <w:rsid w:val="00206316"/>
    <w:rsid w:val="00206319"/>
    <w:rsid w:val="0020638C"/>
    <w:rsid w:val="002063AA"/>
    <w:rsid w:val="0020640E"/>
    <w:rsid w:val="00206544"/>
    <w:rsid w:val="00206766"/>
    <w:rsid w:val="0020677B"/>
    <w:rsid w:val="00206905"/>
    <w:rsid w:val="00206961"/>
    <w:rsid w:val="00206A01"/>
    <w:rsid w:val="00206AC0"/>
    <w:rsid w:val="00206C53"/>
    <w:rsid w:val="00206C5F"/>
    <w:rsid w:val="00206C9B"/>
    <w:rsid w:val="00206D85"/>
    <w:rsid w:val="00206DCC"/>
    <w:rsid w:val="00206EBC"/>
    <w:rsid w:val="00206ED2"/>
    <w:rsid w:val="00206F16"/>
    <w:rsid w:val="00206FB2"/>
    <w:rsid w:val="0020711E"/>
    <w:rsid w:val="0020712F"/>
    <w:rsid w:val="0020722B"/>
    <w:rsid w:val="002072D6"/>
    <w:rsid w:val="00207337"/>
    <w:rsid w:val="00207369"/>
    <w:rsid w:val="00207377"/>
    <w:rsid w:val="002073FC"/>
    <w:rsid w:val="00207402"/>
    <w:rsid w:val="00207453"/>
    <w:rsid w:val="002075C4"/>
    <w:rsid w:val="002075CB"/>
    <w:rsid w:val="00207680"/>
    <w:rsid w:val="002076E9"/>
    <w:rsid w:val="00207734"/>
    <w:rsid w:val="0020775E"/>
    <w:rsid w:val="00207792"/>
    <w:rsid w:val="002077AD"/>
    <w:rsid w:val="0020788E"/>
    <w:rsid w:val="0020793B"/>
    <w:rsid w:val="0020795E"/>
    <w:rsid w:val="00207A3F"/>
    <w:rsid w:val="00207AB6"/>
    <w:rsid w:val="00207B1A"/>
    <w:rsid w:val="0021033C"/>
    <w:rsid w:val="002103A0"/>
    <w:rsid w:val="002103C6"/>
    <w:rsid w:val="0021048F"/>
    <w:rsid w:val="00210492"/>
    <w:rsid w:val="002105E8"/>
    <w:rsid w:val="002105F3"/>
    <w:rsid w:val="00210630"/>
    <w:rsid w:val="00210637"/>
    <w:rsid w:val="0021072A"/>
    <w:rsid w:val="00210748"/>
    <w:rsid w:val="0021076A"/>
    <w:rsid w:val="00210817"/>
    <w:rsid w:val="002109BB"/>
    <w:rsid w:val="002109FF"/>
    <w:rsid w:val="00210A27"/>
    <w:rsid w:val="00210B01"/>
    <w:rsid w:val="00210B0F"/>
    <w:rsid w:val="00210B8B"/>
    <w:rsid w:val="00210BC5"/>
    <w:rsid w:val="00210BE6"/>
    <w:rsid w:val="00210BEA"/>
    <w:rsid w:val="00210BF6"/>
    <w:rsid w:val="00210CF3"/>
    <w:rsid w:val="00210D3D"/>
    <w:rsid w:val="00210D70"/>
    <w:rsid w:val="00210E72"/>
    <w:rsid w:val="00210E85"/>
    <w:rsid w:val="00210EAB"/>
    <w:rsid w:val="00210F90"/>
    <w:rsid w:val="00210FD0"/>
    <w:rsid w:val="0021108B"/>
    <w:rsid w:val="00211111"/>
    <w:rsid w:val="0021114E"/>
    <w:rsid w:val="0021117A"/>
    <w:rsid w:val="002111D3"/>
    <w:rsid w:val="0021120D"/>
    <w:rsid w:val="00211224"/>
    <w:rsid w:val="002113A6"/>
    <w:rsid w:val="002115C8"/>
    <w:rsid w:val="0021169B"/>
    <w:rsid w:val="0021176A"/>
    <w:rsid w:val="0021185F"/>
    <w:rsid w:val="00211894"/>
    <w:rsid w:val="00211971"/>
    <w:rsid w:val="00211AAC"/>
    <w:rsid w:val="00211B8B"/>
    <w:rsid w:val="00211C17"/>
    <w:rsid w:val="00211D37"/>
    <w:rsid w:val="00211DF6"/>
    <w:rsid w:val="00211EE3"/>
    <w:rsid w:val="002121C5"/>
    <w:rsid w:val="002122CB"/>
    <w:rsid w:val="002124F5"/>
    <w:rsid w:val="002125B3"/>
    <w:rsid w:val="00212750"/>
    <w:rsid w:val="002127DC"/>
    <w:rsid w:val="002129DB"/>
    <w:rsid w:val="00212AAE"/>
    <w:rsid w:val="00212E41"/>
    <w:rsid w:val="00212EF5"/>
    <w:rsid w:val="0021317F"/>
    <w:rsid w:val="002131CA"/>
    <w:rsid w:val="00213231"/>
    <w:rsid w:val="00213368"/>
    <w:rsid w:val="002133D0"/>
    <w:rsid w:val="002133ED"/>
    <w:rsid w:val="00213401"/>
    <w:rsid w:val="0021344B"/>
    <w:rsid w:val="002135D3"/>
    <w:rsid w:val="002135D7"/>
    <w:rsid w:val="00213659"/>
    <w:rsid w:val="00213706"/>
    <w:rsid w:val="0021389E"/>
    <w:rsid w:val="00213909"/>
    <w:rsid w:val="00213C52"/>
    <w:rsid w:val="00213CAD"/>
    <w:rsid w:val="00213CCF"/>
    <w:rsid w:val="00213D6A"/>
    <w:rsid w:val="00213E11"/>
    <w:rsid w:val="00213EE8"/>
    <w:rsid w:val="00213EFC"/>
    <w:rsid w:val="00213F7D"/>
    <w:rsid w:val="00213F8C"/>
    <w:rsid w:val="00213FF2"/>
    <w:rsid w:val="00214093"/>
    <w:rsid w:val="00214129"/>
    <w:rsid w:val="002141E6"/>
    <w:rsid w:val="002141EC"/>
    <w:rsid w:val="00214232"/>
    <w:rsid w:val="002143FB"/>
    <w:rsid w:val="0021441B"/>
    <w:rsid w:val="00214458"/>
    <w:rsid w:val="00214472"/>
    <w:rsid w:val="00214503"/>
    <w:rsid w:val="002145AD"/>
    <w:rsid w:val="00214662"/>
    <w:rsid w:val="002147FD"/>
    <w:rsid w:val="0021485E"/>
    <w:rsid w:val="0021493E"/>
    <w:rsid w:val="00214A33"/>
    <w:rsid w:val="00214EE0"/>
    <w:rsid w:val="00214F46"/>
    <w:rsid w:val="00214FF4"/>
    <w:rsid w:val="0021512F"/>
    <w:rsid w:val="00215205"/>
    <w:rsid w:val="00215208"/>
    <w:rsid w:val="0021526F"/>
    <w:rsid w:val="00215326"/>
    <w:rsid w:val="002155B4"/>
    <w:rsid w:val="002155E0"/>
    <w:rsid w:val="0021560C"/>
    <w:rsid w:val="002156C6"/>
    <w:rsid w:val="002156EE"/>
    <w:rsid w:val="0021570F"/>
    <w:rsid w:val="002157AB"/>
    <w:rsid w:val="00215816"/>
    <w:rsid w:val="002159CC"/>
    <w:rsid w:val="002159E2"/>
    <w:rsid w:val="00215A38"/>
    <w:rsid w:val="00215AD4"/>
    <w:rsid w:val="00215CB3"/>
    <w:rsid w:val="00215D97"/>
    <w:rsid w:val="00215E20"/>
    <w:rsid w:val="00215FB7"/>
    <w:rsid w:val="00215FE0"/>
    <w:rsid w:val="00216066"/>
    <w:rsid w:val="00216135"/>
    <w:rsid w:val="002161DE"/>
    <w:rsid w:val="002162FC"/>
    <w:rsid w:val="0021632B"/>
    <w:rsid w:val="00216436"/>
    <w:rsid w:val="0021646A"/>
    <w:rsid w:val="002167A0"/>
    <w:rsid w:val="00216873"/>
    <w:rsid w:val="0021688A"/>
    <w:rsid w:val="002168EA"/>
    <w:rsid w:val="00216B27"/>
    <w:rsid w:val="00216B54"/>
    <w:rsid w:val="00216B94"/>
    <w:rsid w:val="00216BFA"/>
    <w:rsid w:val="00216D41"/>
    <w:rsid w:val="00216DA1"/>
    <w:rsid w:val="00216EE5"/>
    <w:rsid w:val="00216F35"/>
    <w:rsid w:val="00217065"/>
    <w:rsid w:val="00217090"/>
    <w:rsid w:val="00217155"/>
    <w:rsid w:val="00217268"/>
    <w:rsid w:val="00217349"/>
    <w:rsid w:val="00217418"/>
    <w:rsid w:val="00217436"/>
    <w:rsid w:val="00217445"/>
    <w:rsid w:val="002174CE"/>
    <w:rsid w:val="002175F1"/>
    <w:rsid w:val="00217688"/>
    <w:rsid w:val="00217714"/>
    <w:rsid w:val="0021779F"/>
    <w:rsid w:val="00217819"/>
    <w:rsid w:val="0021786F"/>
    <w:rsid w:val="002178F4"/>
    <w:rsid w:val="00217A3A"/>
    <w:rsid w:val="00217B0F"/>
    <w:rsid w:val="00217C05"/>
    <w:rsid w:val="00217E10"/>
    <w:rsid w:val="00217ECB"/>
    <w:rsid w:val="00217EF0"/>
    <w:rsid w:val="00217F7B"/>
    <w:rsid w:val="00220104"/>
    <w:rsid w:val="00220157"/>
    <w:rsid w:val="00220231"/>
    <w:rsid w:val="002203C5"/>
    <w:rsid w:val="002205B1"/>
    <w:rsid w:val="002205C5"/>
    <w:rsid w:val="00220972"/>
    <w:rsid w:val="002209BE"/>
    <w:rsid w:val="00220A61"/>
    <w:rsid w:val="00220BA4"/>
    <w:rsid w:val="00220D5A"/>
    <w:rsid w:val="00220D9C"/>
    <w:rsid w:val="00220E81"/>
    <w:rsid w:val="00220FA2"/>
    <w:rsid w:val="0022118B"/>
    <w:rsid w:val="0022135B"/>
    <w:rsid w:val="0022137A"/>
    <w:rsid w:val="002213A3"/>
    <w:rsid w:val="0022140D"/>
    <w:rsid w:val="0022151B"/>
    <w:rsid w:val="00221589"/>
    <w:rsid w:val="002217E2"/>
    <w:rsid w:val="0022185A"/>
    <w:rsid w:val="00221863"/>
    <w:rsid w:val="002218D2"/>
    <w:rsid w:val="00221BD5"/>
    <w:rsid w:val="00221D95"/>
    <w:rsid w:val="00221E78"/>
    <w:rsid w:val="00221E7A"/>
    <w:rsid w:val="00221FF2"/>
    <w:rsid w:val="00222087"/>
    <w:rsid w:val="002221C6"/>
    <w:rsid w:val="00222215"/>
    <w:rsid w:val="002222D8"/>
    <w:rsid w:val="00222338"/>
    <w:rsid w:val="00222350"/>
    <w:rsid w:val="0022238F"/>
    <w:rsid w:val="0022248A"/>
    <w:rsid w:val="002226BB"/>
    <w:rsid w:val="002226DD"/>
    <w:rsid w:val="00222735"/>
    <w:rsid w:val="00222863"/>
    <w:rsid w:val="00222915"/>
    <w:rsid w:val="00222A5D"/>
    <w:rsid w:val="00222B9B"/>
    <w:rsid w:val="00222BAD"/>
    <w:rsid w:val="00222BC0"/>
    <w:rsid w:val="00222E94"/>
    <w:rsid w:val="00222F2E"/>
    <w:rsid w:val="00222F9F"/>
    <w:rsid w:val="00223102"/>
    <w:rsid w:val="002232F4"/>
    <w:rsid w:val="002232F7"/>
    <w:rsid w:val="002232F9"/>
    <w:rsid w:val="002232FE"/>
    <w:rsid w:val="002233D8"/>
    <w:rsid w:val="002233F4"/>
    <w:rsid w:val="0022342E"/>
    <w:rsid w:val="002236F5"/>
    <w:rsid w:val="0022374E"/>
    <w:rsid w:val="00223786"/>
    <w:rsid w:val="00223787"/>
    <w:rsid w:val="002237C2"/>
    <w:rsid w:val="002237C9"/>
    <w:rsid w:val="00223805"/>
    <w:rsid w:val="002238EC"/>
    <w:rsid w:val="00223DB5"/>
    <w:rsid w:val="00223FC4"/>
    <w:rsid w:val="00224011"/>
    <w:rsid w:val="00224042"/>
    <w:rsid w:val="00224077"/>
    <w:rsid w:val="002241AA"/>
    <w:rsid w:val="002241D6"/>
    <w:rsid w:val="00224364"/>
    <w:rsid w:val="00224428"/>
    <w:rsid w:val="002245C5"/>
    <w:rsid w:val="0022474B"/>
    <w:rsid w:val="002249A9"/>
    <w:rsid w:val="002249B4"/>
    <w:rsid w:val="00224A0D"/>
    <w:rsid w:val="00224A4A"/>
    <w:rsid w:val="00224A62"/>
    <w:rsid w:val="00224C03"/>
    <w:rsid w:val="00224CDD"/>
    <w:rsid w:val="00224D60"/>
    <w:rsid w:val="00224D82"/>
    <w:rsid w:val="00224E1F"/>
    <w:rsid w:val="00224F2B"/>
    <w:rsid w:val="00225112"/>
    <w:rsid w:val="00225186"/>
    <w:rsid w:val="0022520F"/>
    <w:rsid w:val="0022530B"/>
    <w:rsid w:val="00225485"/>
    <w:rsid w:val="002254A1"/>
    <w:rsid w:val="0022554D"/>
    <w:rsid w:val="002256B0"/>
    <w:rsid w:val="00225892"/>
    <w:rsid w:val="00225899"/>
    <w:rsid w:val="0022599A"/>
    <w:rsid w:val="00225AD0"/>
    <w:rsid w:val="00225B45"/>
    <w:rsid w:val="00225BC1"/>
    <w:rsid w:val="00225D3D"/>
    <w:rsid w:val="00225DB0"/>
    <w:rsid w:val="00225DD8"/>
    <w:rsid w:val="00225EC8"/>
    <w:rsid w:val="00226069"/>
    <w:rsid w:val="00226098"/>
    <w:rsid w:val="00226105"/>
    <w:rsid w:val="002261B1"/>
    <w:rsid w:val="00226342"/>
    <w:rsid w:val="002265D1"/>
    <w:rsid w:val="0022661A"/>
    <w:rsid w:val="00226622"/>
    <w:rsid w:val="0022664C"/>
    <w:rsid w:val="0022669A"/>
    <w:rsid w:val="002266C0"/>
    <w:rsid w:val="002267B9"/>
    <w:rsid w:val="0022685C"/>
    <w:rsid w:val="0022687E"/>
    <w:rsid w:val="00226A6B"/>
    <w:rsid w:val="00226BDD"/>
    <w:rsid w:val="00226E4D"/>
    <w:rsid w:val="00226E9B"/>
    <w:rsid w:val="00226EEC"/>
    <w:rsid w:val="00226FC4"/>
    <w:rsid w:val="00227090"/>
    <w:rsid w:val="00227159"/>
    <w:rsid w:val="002271AF"/>
    <w:rsid w:val="002271F0"/>
    <w:rsid w:val="002271F4"/>
    <w:rsid w:val="00227206"/>
    <w:rsid w:val="00227279"/>
    <w:rsid w:val="002272E5"/>
    <w:rsid w:val="0022739D"/>
    <w:rsid w:val="002273DB"/>
    <w:rsid w:val="00227424"/>
    <w:rsid w:val="0022748C"/>
    <w:rsid w:val="002274F5"/>
    <w:rsid w:val="00227571"/>
    <w:rsid w:val="00227A8E"/>
    <w:rsid w:val="00227AC9"/>
    <w:rsid w:val="00227AEF"/>
    <w:rsid w:val="00227B24"/>
    <w:rsid w:val="00227BDE"/>
    <w:rsid w:val="00227E62"/>
    <w:rsid w:val="00227F0C"/>
    <w:rsid w:val="00227FE7"/>
    <w:rsid w:val="00230251"/>
    <w:rsid w:val="002305C1"/>
    <w:rsid w:val="002305D4"/>
    <w:rsid w:val="0023062D"/>
    <w:rsid w:val="00230704"/>
    <w:rsid w:val="0023071E"/>
    <w:rsid w:val="00230743"/>
    <w:rsid w:val="0023080E"/>
    <w:rsid w:val="00230897"/>
    <w:rsid w:val="002309A4"/>
    <w:rsid w:val="002309CF"/>
    <w:rsid w:val="00230C17"/>
    <w:rsid w:val="00230CD0"/>
    <w:rsid w:val="00230DA5"/>
    <w:rsid w:val="00230DC1"/>
    <w:rsid w:val="00230EF3"/>
    <w:rsid w:val="00230F4D"/>
    <w:rsid w:val="00231187"/>
    <w:rsid w:val="00231244"/>
    <w:rsid w:val="00231256"/>
    <w:rsid w:val="00231334"/>
    <w:rsid w:val="002314AD"/>
    <w:rsid w:val="002315DA"/>
    <w:rsid w:val="0023165A"/>
    <w:rsid w:val="00231749"/>
    <w:rsid w:val="002317E0"/>
    <w:rsid w:val="00231A2D"/>
    <w:rsid w:val="00231AB4"/>
    <w:rsid w:val="00231AB6"/>
    <w:rsid w:val="00231AD4"/>
    <w:rsid w:val="00231D9D"/>
    <w:rsid w:val="00231E22"/>
    <w:rsid w:val="00231E2B"/>
    <w:rsid w:val="00231F78"/>
    <w:rsid w:val="00231FC5"/>
    <w:rsid w:val="002320C0"/>
    <w:rsid w:val="002320D5"/>
    <w:rsid w:val="00232187"/>
    <w:rsid w:val="00232263"/>
    <w:rsid w:val="00232280"/>
    <w:rsid w:val="0023229D"/>
    <w:rsid w:val="002322BC"/>
    <w:rsid w:val="002322BE"/>
    <w:rsid w:val="00232382"/>
    <w:rsid w:val="00232550"/>
    <w:rsid w:val="002325DF"/>
    <w:rsid w:val="0023269F"/>
    <w:rsid w:val="00232711"/>
    <w:rsid w:val="0023286F"/>
    <w:rsid w:val="002328A8"/>
    <w:rsid w:val="002329A8"/>
    <w:rsid w:val="00232B98"/>
    <w:rsid w:val="00232C27"/>
    <w:rsid w:val="00232C93"/>
    <w:rsid w:val="00232D0B"/>
    <w:rsid w:val="00232D8E"/>
    <w:rsid w:val="00233013"/>
    <w:rsid w:val="00233056"/>
    <w:rsid w:val="00233222"/>
    <w:rsid w:val="0023336E"/>
    <w:rsid w:val="002333E9"/>
    <w:rsid w:val="00233474"/>
    <w:rsid w:val="00233559"/>
    <w:rsid w:val="0023368F"/>
    <w:rsid w:val="002336B0"/>
    <w:rsid w:val="00233796"/>
    <w:rsid w:val="002337D3"/>
    <w:rsid w:val="00233821"/>
    <w:rsid w:val="00233880"/>
    <w:rsid w:val="00233896"/>
    <w:rsid w:val="002339BF"/>
    <w:rsid w:val="002339F3"/>
    <w:rsid w:val="00233A52"/>
    <w:rsid w:val="00233B02"/>
    <w:rsid w:val="00233BB0"/>
    <w:rsid w:val="00233C28"/>
    <w:rsid w:val="00233C97"/>
    <w:rsid w:val="00233CFD"/>
    <w:rsid w:val="00233EA0"/>
    <w:rsid w:val="00233F7A"/>
    <w:rsid w:val="00233FAC"/>
    <w:rsid w:val="0023407B"/>
    <w:rsid w:val="00234145"/>
    <w:rsid w:val="00234196"/>
    <w:rsid w:val="002344C7"/>
    <w:rsid w:val="00234549"/>
    <w:rsid w:val="00234611"/>
    <w:rsid w:val="002346D3"/>
    <w:rsid w:val="00234814"/>
    <w:rsid w:val="00234986"/>
    <w:rsid w:val="002349AA"/>
    <w:rsid w:val="002349C6"/>
    <w:rsid w:val="002349E3"/>
    <w:rsid w:val="00234B1C"/>
    <w:rsid w:val="00234B41"/>
    <w:rsid w:val="00234D3F"/>
    <w:rsid w:val="00234D55"/>
    <w:rsid w:val="00234DF3"/>
    <w:rsid w:val="00235385"/>
    <w:rsid w:val="002353B9"/>
    <w:rsid w:val="00235445"/>
    <w:rsid w:val="0023549B"/>
    <w:rsid w:val="00235696"/>
    <w:rsid w:val="002358EC"/>
    <w:rsid w:val="00235916"/>
    <w:rsid w:val="00235A9F"/>
    <w:rsid w:val="00235AA6"/>
    <w:rsid w:val="00235B80"/>
    <w:rsid w:val="00235BA1"/>
    <w:rsid w:val="00235BD7"/>
    <w:rsid w:val="00235C61"/>
    <w:rsid w:val="00235F08"/>
    <w:rsid w:val="00235F50"/>
    <w:rsid w:val="00235F5A"/>
    <w:rsid w:val="00235FE0"/>
    <w:rsid w:val="00235FE4"/>
    <w:rsid w:val="00236112"/>
    <w:rsid w:val="00236138"/>
    <w:rsid w:val="0023615C"/>
    <w:rsid w:val="002361C3"/>
    <w:rsid w:val="002363B0"/>
    <w:rsid w:val="00236524"/>
    <w:rsid w:val="002366C3"/>
    <w:rsid w:val="00236743"/>
    <w:rsid w:val="00236756"/>
    <w:rsid w:val="002367A7"/>
    <w:rsid w:val="00236967"/>
    <w:rsid w:val="00236ADE"/>
    <w:rsid w:val="00236C72"/>
    <w:rsid w:val="00236D62"/>
    <w:rsid w:val="00236E8A"/>
    <w:rsid w:val="00236F8D"/>
    <w:rsid w:val="00236FD6"/>
    <w:rsid w:val="00237058"/>
    <w:rsid w:val="00237092"/>
    <w:rsid w:val="002370C6"/>
    <w:rsid w:val="00237276"/>
    <w:rsid w:val="00237344"/>
    <w:rsid w:val="002373A4"/>
    <w:rsid w:val="00237682"/>
    <w:rsid w:val="002376A3"/>
    <w:rsid w:val="002376CD"/>
    <w:rsid w:val="00237783"/>
    <w:rsid w:val="002377AB"/>
    <w:rsid w:val="002377E5"/>
    <w:rsid w:val="002377E9"/>
    <w:rsid w:val="00237830"/>
    <w:rsid w:val="00237837"/>
    <w:rsid w:val="002378CC"/>
    <w:rsid w:val="00237A3D"/>
    <w:rsid w:val="00237B8C"/>
    <w:rsid w:val="00237C88"/>
    <w:rsid w:val="00237E24"/>
    <w:rsid w:val="00237F90"/>
    <w:rsid w:val="00240267"/>
    <w:rsid w:val="00240275"/>
    <w:rsid w:val="0024031D"/>
    <w:rsid w:val="00240348"/>
    <w:rsid w:val="002403CC"/>
    <w:rsid w:val="0024057B"/>
    <w:rsid w:val="002405CE"/>
    <w:rsid w:val="002406B2"/>
    <w:rsid w:val="002406D6"/>
    <w:rsid w:val="00240834"/>
    <w:rsid w:val="0024088E"/>
    <w:rsid w:val="002408B7"/>
    <w:rsid w:val="002408F5"/>
    <w:rsid w:val="00240CBD"/>
    <w:rsid w:val="00240D19"/>
    <w:rsid w:val="00240D50"/>
    <w:rsid w:val="00240EC7"/>
    <w:rsid w:val="00240F23"/>
    <w:rsid w:val="00240F2E"/>
    <w:rsid w:val="00240F5F"/>
    <w:rsid w:val="00240F8F"/>
    <w:rsid w:val="00241071"/>
    <w:rsid w:val="0024112A"/>
    <w:rsid w:val="00241226"/>
    <w:rsid w:val="0024124E"/>
    <w:rsid w:val="002412A6"/>
    <w:rsid w:val="002412C0"/>
    <w:rsid w:val="00241474"/>
    <w:rsid w:val="002414EE"/>
    <w:rsid w:val="002415E8"/>
    <w:rsid w:val="00241614"/>
    <w:rsid w:val="00241645"/>
    <w:rsid w:val="00241728"/>
    <w:rsid w:val="00241761"/>
    <w:rsid w:val="002418CF"/>
    <w:rsid w:val="0024193A"/>
    <w:rsid w:val="00241953"/>
    <w:rsid w:val="0024196E"/>
    <w:rsid w:val="00241983"/>
    <w:rsid w:val="00241AED"/>
    <w:rsid w:val="00241B63"/>
    <w:rsid w:val="00241B79"/>
    <w:rsid w:val="00241C20"/>
    <w:rsid w:val="00241E0A"/>
    <w:rsid w:val="002421A0"/>
    <w:rsid w:val="00242238"/>
    <w:rsid w:val="0024224B"/>
    <w:rsid w:val="00242495"/>
    <w:rsid w:val="0024249C"/>
    <w:rsid w:val="002424E1"/>
    <w:rsid w:val="002424FF"/>
    <w:rsid w:val="00242573"/>
    <w:rsid w:val="002425F5"/>
    <w:rsid w:val="00242633"/>
    <w:rsid w:val="0024282E"/>
    <w:rsid w:val="00242896"/>
    <w:rsid w:val="0024296D"/>
    <w:rsid w:val="00242986"/>
    <w:rsid w:val="00242A33"/>
    <w:rsid w:val="00242B13"/>
    <w:rsid w:val="00242B2F"/>
    <w:rsid w:val="00242CC3"/>
    <w:rsid w:val="00242CC6"/>
    <w:rsid w:val="00242CFA"/>
    <w:rsid w:val="00242D38"/>
    <w:rsid w:val="00242DD1"/>
    <w:rsid w:val="00242DD5"/>
    <w:rsid w:val="00242E49"/>
    <w:rsid w:val="00242F56"/>
    <w:rsid w:val="002431D8"/>
    <w:rsid w:val="0024323B"/>
    <w:rsid w:val="00243243"/>
    <w:rsid w:val="00243304"/>
    <w:rsid w:val="0024345C"/>
    <w:rsid w:val="0024350C"/>
    <w:rsid w:val="00243566"/>
    <w:rsid w:val="002435DA"/>
    <w:rsid w:val="002435F5"/>
    <w:rsid w:val="00243727"/>
    <w:rsid w:val="002437C3"/>
    <w:rsid w:val="00243845"/>
    <w:rsid w:val="002438DD"/>
    <w:rsid w:val="00243B73"/>
    <w:rsid w:val="00243BE5"/>
    <w:rsid w:val="00243E7E"/>
    <w:rsid w:val="00243F2A"/>
    <w:rsid w:val="00244000"/>
    <w:rsid w:val="00244061"/>
    <w:rsid w:val="0024408C"/>
    <w:rsid w:val="002441C9"/>
    <w:rsid w:val="00244445"/>
    <w:rsid w:val="002444A2"/>
    <w:rsid w:val="00244502"/>
    <w:rsid w:val="00244606"/>
    <w:rsid w:val="0024464E"/>
    <w:rsid w:val="00244812"/>
    <w:rsid w:val="00244878"/>
    <w:rsid w:val="00244D20"/>
    <w:rsid w:val="00244D46"/>
    <w:rsid w:val="00245054"/>
    <w:rsid w:val="002452CD"/>
    <w:rsid w:val="0024548B"/>
    <w:rsid w:val="0024565E"/>
    <w:rsid w:val="0024582F"/>
    <w:rsid w:val="00245BC8"/>
    <w:rsid w:val="00245C38"/>
    <w:rsid w:val="00245D4F"/>
    <w:rsid w:val="00245D54"/>
    <w:rsid w:val="00245EAA"/>
    <w:rsid w:val="00246228"/>
    <w:rsid w:val="002463E9"/>
    <w:rsid w:val="0024645E"/>
    <w:rsid w:val="00246517"/>
    <w:rsid w:val="0024658C"/>
    <w:rsid w:val="002465B0"/>
    <w:rsid w:val="002465C2"/>
    <w:rsid w:val="002465CF"/>
    <w:rsid w:val="002466C7"/>
    <w:rsid w:val="0024682B"/>
    <w:rsid w:val="00246839"/>
    <w:rsid w:val="00246A3C"/>
    <w:rsid w:val="00246A87"/>
    <w:rsid w:val="00246A99"/>
    <w:rsid w:val="00246C51"/>
    <w:rsid w:val="00246D8B"/>
    <w:rsid w:val="0024700D"/>
    <w:rsid w:val="0024716F"/>
    <w:rsid w:val="00247326"/>
    <w:rsid w:val="00247550"/>
    <w:rsid w:val="002475C9"/>
    <w:rsid w:val="002476CA"/>
    <w:rsid w:val="00247783"/>
    <w:rsid w:val="00247844"/>
    <w:rsid w:val="002478BD"/>
    <w:rsid w:val="00247976"/>
    <w:rsid w:val="002479C4"/>
    <w:rsid w:val="00247C28"/>
    <w:rsid w:val="00247C72"/>
    <w:rsid w:val="00247D1E"/>
    <w:rsid w:val="00247E75"/>
    <w:rsid w:val="00247EA6"/>
    <w:rsid w:val="00247F86"/>
    <w:rsid w:val="0024EFE4"/>
    <w:rsid w:val="00250108"/>
    <w:rsid w:val="002501F1"/>
    <w:rsid w:val="00250386"/>
    <w:rsid w:val="002503E4"/>
    <w:rsid w:val="0025046A"/>
    <w:rsid w:val="0025048B"/>
    <w:rsid w:val="0025049D"/>
    <w:rsid w:val="002504E6"/>
    <w:rsid w:val="0025050D"/>
    <w:rsid w:val="002505AD"/>
    <w:rsid w:val="00250690"/>
    <w:rsid w:val="00250724"/>
    <w:rsid w:val="00250740"/>
    <w:rsid w:val="00250750"/>
    <w:rsid w:val="002507A7"/>
    <w:rsid w:val="00250858"/>
    <w:rsid w:val="00250876"/>
    <w:rsid w:val="00250908"/>
    <w:rsid w:val="00250951"/>
    <w:rsid w:val="00250965"/>
    <w:rsid w:val="002509F9"/>
    <w:rsid w:val="00250B55"/>
    <w:rsid w:val="00250B92"/>
    <w:rsid w:val="00250E1E"/>
    <w:rsid w:val="00250F54"/>
    <w:rsid w:val="0025105D"/>
    <w:rsid w:val="002510CB"/>
    <w:rsid w:val="00251117"/>
    <w:rsid w:val="00251165"/>
    <w:rsid w:val="00251219"/>
    <w:rsid w:val="0025128C"/>
    <w:rsid w:val="0025132C"/>
    <w:rsid w:val="00251609"/>
    <w:rsid w:val="002516D5"/>
    <w:rsid w:val="002518F0"/>
    <w:rsid w:val="00251939"/>
    <w:rsid w:val="00251C11"/>
    <w:rsid w:val="00251C4C"/>
    <w:rsid w:val="00251D8F"/>
    <w:rsid w:val="00251F6A"/>
    <w:rsid w:val="00252097"/>
    <w:rsid w:val="00252098"/>
    <w:rsid w:val="0025217D"/>
    <w:rsid w:val="0025225D"/>
    <w:rsid w:val="0025238A"/>
    <w:rsid w:val="002523B2"/>
    <w:rsid w:val="002524A7"/>
    <w:rsid w:val="002524C6"/>
    <w:rsid w:val="00252576"/>
    <w:rsid w:val="002525FB"/>
    <w:rsid w:val="00252676"/>
    <w:rsid w:val="0025268A"/>
    <w:rsid w:val="002526A1"/>
    <w:rsid w:val="00252718"/>
    <w:rsid w:val="0025271A"/>
    <w:rsid w:val="0025274E"/>
    <w:rsid w:val="00252995"/>
    <w:rsid w:val="00252A55"/>
    <w:rsid w:val="00252A58"/>
    <w:rsid w:val="00252D05"/>
    <w:rsid w:val="00252F8D"/>
    <w:rsid w:val="00252FD8"/>
    <w:rsid w:val="00252FF5"/>
    <w:rsid w:val="00253550"/>
    <w:rsid w:val="0025359F"/>
    <w:rsid w:val="002535AD"/>
    <w:rsid w:val="002535F8"/>
    <w:rsid w:val="002535F9"/>
    <w:rsid w:val="002537DA"/>
    <w:rsid w:val="002538C8"/>
    <w:rsid w:val="0025390D"/>
    <w:rsid w:val="00253948"/>
    <w:rsid w:val="00253DD6"/>
    <w:rsid w:val="00253F45"/>
    <w:rsid w:val="00253F6C"/>
    <w:rsid w:val="00254144"/>
    <w:rsid w:val="00254227"/>
    <w:rsid w:val="00254238"/>
    <w:rsid w:val="002542DB"/>
    <w:rsid w:val="002543C3"/>
    <w:rsid w:val="002544B4"/>
    <w:rsid w:val="00254618"/>
    <w:rsid w:val="0025461E"/>
    <w:rsid w:val="002546C2"/>
    <w:rsid w:val="00254840"/>
    <w:rsid w:val="002548A1"/>
    <w:rsid w:val="00254949"/>
    <w:rsid w:val="00254A44"/>
    <w:rsid w:val="00254A54"/>
    <w:rsid w:val="00254A55"/>
    <w:rsid w:val="00254C45"/>
    <w:rsid w:val="00254C6C"/>
    <w:rsid w:val="00254D65"/>
    <w:rsid w:val="00254E06"/>
    <w:rsid w:val="002552B5"/>
    <w:rsid w:val="0025558F"/>
    <w:rsid w:val="002555B6"/>
    <w:rsid w:val="0025573E"/>
    <w:rsid w:val="002558EA"/>
    <w:rsid w:val="002559F5"/>
    <w:rsid w:val="00255AB9"/>
    <w:rsid w:val="00255CA1"/>
    <w:rsid w:val="00255CDF"/>
    <w:rsid w:val="00255CFA"/>
    <w:rsid w:val="00255EF4"/>
    <w:rsid w:val="00255F2D"/>
    <w:rsid w:val="00255F81"/>
    <w:rsid w:val="002566A0"/>
    <w:rsid w:val="00256772"/>
    <w:rsid w:val="00256787"/>
    <w:rsid w:val="00256868"/>
    <w:rsid w:val="002568C4"/>
    <w:rsid w:val="00256A3C"/>
    <w:rsid w:val="00256A3D"/>
    <w:rsid w:val="00256BCE"/>
    <w:rsid w:val="00256C1A"/>
    <w:rsid w:val="00256EF0"/>
    <w:rsid w:val="00256F30"/>
    <w:rsid w:val="0025716C"/>
    <w:rsid w:val="00257252"/>
    <w:rsid w:val="00257458"/>
    <w:rsid w:val="00257499"/>
    <w:rsid w:val="0025759B"/>
    <w:rsid w:val="002576FE"/>
    <w:rsid w:val="002577AA"/>
    <w:rsid w:val="00257838"/>
    <w:rsid w:val="00257923"/>
    <w:rsid w:val="00257AED"/>
    <w:rsid w:val="00257B22"/>
    <w:rsid w:val="00257B96"/>
    <w:rsid w:val="00257BBC"/>
    <w:rsid w:val="00257D2C"/>
    <w:rsid w:val="0026023A"/>
    <w:rsid w:val="00260420"/>
    <w:rsid w:val="002604DC"/>
    <w:rsid w:val="002605EF"/>
    <w:rsid w:val="002606BE"/>
    <w:rsid w:val="0026072C"/>
    <w:rsid w:val="0026078D"/>
    <w:rsid w:val="00260855"/>
    <w:rsid w:val="002608EC"/>
    <w:rsid w:val="00260903"/>
    <w:rsid w:val="00260B43"/>
    <w:rsid w:val="00260B52"/>
    <w:rsid w:val="00260C32"/>
    <w:rsid w:val="00260C66"/>
    <w:rsid w:val="00260C79"/>
    <w:rsid w:val="00260D70"/>
    <w:rsid w:val="00260E36"/>
    <w:rsid w:val="00260FF3"/>
    <w:rsid w:val="002610A4"/>
    <w:rsid w:val="0026113C"/>
    <w:rsid w:val="00261440"/>
    <w:rsid w:val="00261505"/>
    <w:rsid w:val="002615F3"/>
    <w:rsid w:val="002616A2"/>
    <w:rsid w:val="0026170C"/>
    <w:rsid w:val="0026171B"/>
    <w:rsid w:val="00261832"/>
    <w:rsid w:val="0026186D"/>
    <w:rsid w:val="00261AA8"/>
    <w:rsid w:val="00261AF4"/>
    <w:rsid w:val="00261AF5"/>
    <w:rsid w:val="00261B98"/>
    <w:rsid w:val="00261D36"/>
    <w:rsid w:val="00261D58"/>
    <w:rsid w:val="00261DE7"/>
    <w:rsid w:val="00261DF1"/>
    <w:rsid w:val="002620BA"/>
    <w:rsid w:val="002620CF"/>
    <w:rsid w:val="002620FA"/>
    <w:rsid w:val="002622F4"/>
    <w:rsid w:val="00262307"/>
    <w:rsid w:val="002623DA"/>
    <w:rsid w:val="002625B4"/>
    <w:rsid w:val="002625EF"/>
    <w:rsid w:val="00262766"/>
    <w:rsid w:val="00262984"/>
    <w:rsid w:val="002629AD"/>
    <w:rsid w:val="002629FE"/>
    <w:rsid w:val="00262B2D"/>
    <w:rsid w:val="00262C88"/>
    <w:rsid w:val="00262DCB"/>
    <w:rsid w:val="00262FB1"/>
    <w:rsid w:val="002630D1"/>
    <w:rsid w:val="002631FE"/>
    <w:rsid w:val="002632C9"/>
    <w:rsid w:val="00263450"/>
    <w:rsid w:val="002634AA"/>
    <w:rsid w:val="00263590"/>
    <w:rsid w:val="002635B3"/>
    <w:rsid w:val="002636AF"/>
    <w:rsid w:val="0026373D"/>
    <w:rsid w:val="002637FF"/>
    <w:rsid w:val="0026382E"/>
    <w:rsid w:val="0026385F"/>
    <w:rsid w:val="00263985"/>
    <w:rsid w:val="00263DB3"/>
    <w:rsid w:val="00263DD2"/>
    <w:rsid w:val="00263DF9"/>
    <w:rsid w:val="00263F43"/>
    <w:rsid w:val="00263F78"/>
    <w:rsid w:val="00263F7C"/>
    <w:rsid w:val="00263F80"/>
    <w:rsid w:val="00263FCA"/>
    <w:rsid w:val="002641DF"/>
    <w:rsid w:val="0026423C"/>
    <w:rsid w:val="002642D4"/>
    <w:rsid w:val="0026432E"/>
    <w:rsid w:val="00264426"/>
    <w:rsid w:val="002644AC"/>
    <w:rsid w:val="002644DA"/>
    <w:rsid w:val="00264536"/>
    <w:rsid w:val="0026455F"/>
    <w:rsid w:val="00264639"/>
    <w:rsid w:val="00264641"/>
    <w:rsid w:val="002647F0"/>
    <w:rsid w:val="00264869"/>
    <w:rsid w:val="00264897"/>
    <w:rsid w:val="00264A0A"/>
    <w:rsid w:val="00264A6D"/>
    <w:rsid w:val="00264C1D"/>
    <w:rsid w:val="00264CA8"/>
    <w:rsid w:val="00264CAC"/>
    <w:rsid w:val="00264CD3"/>
    <w:rsid w:val="00264CEF"/>
    <w:rsid w:val="00264CF7"/>
    <w:rsid w:val="00264D6E"/>
    <w:rsid w:val="00264FC1"/>
    <w:rsid w:val="002650AA"/>
    <w:rsid w:val="00265129"/>
    <w:rsid w:val="00265330"/>
    <w:rsid w:val="002653A8"/>
    <w:rsid w:val="00265436"/>
    <w:rsid w:val="0026549A"/>
    <w:rsid w:val="00265576"/>
    <w:rsid w:val="0026561A"/>
    <w:rsid w:val="0026563B"/>
    <w:rsid w:val="00265643"/>
    <w:rsid w:val="002658E9"/>
    <w:rsid w:val="0026593C"/>
    <w:rsid w:val="0026594F"/>
    <w:rsid w:val="00265AD0"/>
    <w:rsid w:val="00265BBA"/>
    <w:rsid w:val="00265C73"/>
    <w:rsid w:val="00265E0B"/>
    <w:rsid w:val="00265EDC"/>
    <w:rsid w:val="00265EE0"/>
    <w:rsid w:val="00265EFC"/>
    <w:rsid w:val="00265F0D"/>
    <w:rsid w:val="00265FC6"/>
    <w:rsid w:val="0026600B"/>
    <w:rsid w:val="0026601B"/>
    <w:rsid w:val="002662B2"/>
    <w:rsid w:val="00266476"/>
    <w:rsid w:val="0026647C"/>
    <w:rsid w:val="00266989"/>
    <w:rsid w:val="00266A00"/>
    <w:rsid w:val="00266B73"/>
    <w:rsid w:val="00266C22"/>
    <w:rsid w:val="00266C42"/>
    <w:rsid w:val="00266F80"/>
    <w:rsid w:val="00266FC4"/>
    <w:rsid w:val="00266FD5"/>
    <w:rsid w:val="00267009"/>
    <w:rsid w:val="00267093"/>
    <w:rsid w:val="002672DF"/>
    <w:rsid w:val="002674E2"/>
    <w:rsid w:val="0026777C"/>
    <w:rsid w:val="002677C6"/>
    <w:rsid w:val="00267896"/>
    <w:rsid w:val="00267946"/>
    <w:rsid w:val="00267A39"/>
    <w:rsid w:val="00267A59"/>
    <w:rsid w:val="00267AF6"/>
    <w:rsid w:val="00267AFB"/>
    <w:rsid w:val="00267B56"/>
    <w:rsid w:val="00267C5C"/>
    <w:rsid w:val="00267C6D"/>
    <w:rsid w:val="00267CD4"/>
    <w:rsid w:val="00267D59"/>
    <w:rsid w:val="00267DB4"/>
    <w:rsid w:val="00267FE3"/>
    <w:rsid w:val="0027003F"/>
    <w:rsid w:val="0027018D"/>
    <w:rsid w:val="00270266"/>
    <w:rsid w:val="0027037A"/>
    <w:rsid w:val="00270767"/>
    <w:rsid w:val="002708F5"/>
    <w:rsid w:val="00270915"/>
    <w:rsid w:val="00270984"/>
    <w:rsid w:val="00270AFE"/>
    <w:rsid w:val="00270B0A"/>
    <w:rsid w:val="00270B6C"/>
    <w:rsid w:val="00270C7B"/>
    <w:rsid w:val="00270D11"/>
    <w:rsid w:val="00270D69"/>
    <w:rsid w:val="00270E5D"/>
    <w:rsid w:val="00270EBA"/>
    <w:rsid w:val="00270F4E"/>
    <w:rsid w:val="00270F79"/>
    <w:rsid w:val="0027118C"/>
    <w:rsid w:val="002711BA"/>
    <w:rsid w:val="002713A7"/>
    <w:rsid w:val="002713CC"/>
    <w:rsid w:val="002714AD"/>
    <w:rsid w:val="0027159B"/>
    <w:rsid w:val="002717D8"/>
    <w:rsid w:val="0027187A"/>
    <w:rsid w:val="00271D6B"/>
    <w:rsid w:val="00271DA9"/>
    <w:rsid w:val="00271DAD"/>
    <w:rsid w:val="00271DC1"/>
    <w:rsid w:val="00271E81"/>
    <w:rsid w:val="00271FDF"/>
    <w:rsid w:val="0027212C"/>
    <w:rsid w:val="00272157"/>
    <w:rsid w:val="002722D9"/>
    <w:rsid w:val="002723A5"/>
    <w:rsid w:val="002723B9"/>
    <w:rsid w:val="00272493"/>
    <w:rsid w:val="002726E2"/>
    <w:rsid w:val="00272776"/>
    <w:rsid w:val="002727DF"/>
    <w:rsid w:val="002728F5"/>
    <w:rsid w:val="00272963"/>
    <w:rsid w:val="00272CA7"/>
    <w:rsid w:val="00272DF8"/>
    <w:rsid w:val="00272E27"/>
    <w:rsid w:val="00273063"/>
    <w:rsid w:val="0027313F"/>
    <w:rsid w:val="00273202"/>
    <w:rsid w:val="002732C2"/>
    <w:rsid w:val="002733A3"/>
    <w:rsid w:val="002734E1"/>
    <w:rsid w:val="002734E5"/>
    <w:rsid w:val="0027360E"/>
    <w:rsid w:val="00273645"/>
    <w:rsid w:val="00273742"/>
    <w:rsid w:val="00273773"/>
    <w:rsid w:val="002738E9"/>
    <w:rsid w:val="002739B0"/>
    <w:rsid w:val="00273CDA"/>
    <w:rsid w:val="00273DEE"/>
    <w:rsid w:val="00273E16"/>
    <w:rsid w:val="00273E95"/>
    <w:rsid w:val="00273F27"/>
    <w:rsid w:val="00274064"/>
    <w:rsid w:val="002740EF"/>
    <w:rsid w:val="002741D4"/>
    <w:rsid w:val="002741ED"/>
    <w:rsid w:val="00274216"/>
    <w:rsid w:val="00274251"/>
    <w:rsid w:val="002743AD"/>
    <w:rsid w:val="00274495"/>
    <w:rsid w:val="0027449C"/>
    <w:rsid w:val="0027453F"/>
    <w:rsid w:val="00274574"/>
    <w:rsid w:val="002745C8"/>
    <w:rsid w:val="00274695"/>
    <w:rsid w:val="002746DD"/>
    <w:rsid w:val="00274778"/>
    <w:rsid w:val="002747A2"/>
    <w:rsid w:val="0027489F"/>
    <w:rsid w:val="002748A1"/>
    <w:rsid w:val="002748CA"/>
    <w:rsid w:val="00274B16"/>
    <w:rsid w:val="00274B7A"/>
    <w:rsid w:val="00274B7D"/>
    <w:rsid w:val="00274C7D"/>
    <w:rsid w:val="00274D7B"/>
    <w:rsid w:val="00274E68"/>
    <w:rsid w:val="00274FA1"/>
    <w:rsid w:val="00274FAB"/>
    <w:rsid w:val="002751AA"/>
    <w:rsid w:val="0027529F"/>
    <w:rsid w:val="00275341"/>
    <w:rsid w:val="00275410"/>
    <w:rsid w:val="002754F8"/>
    <w:rsid w:val="0027554B"/>
    <w:rsid w:val="002756B4"/>
    <w:rsid w:val="00275838"/>
    <w:rsid w:val="00275A5D"/>
    <w:rsid w:val="00275B86"/>
    <w:rsid w:val="00275C13"/>
    <w:rsid w:val="00275CFE"/>
    <w:rsid w:val="00275FA0"/>
    <w:rsid w:val="00275FF8"/>
    <w:rsid w:val="0027610E"/>
    <w:rsid w:val="0027621B"/>
    <w:rsid w:val="00276282"/>
    <w:rsid w:val="002762A2"/>
    <w:rsid w:val="00276321"/>
    <w:rsid w:val="00276386"/>
    <w:rsid w:val="0027640E"/>
    <w:rsid w:val="00276413"/>
    <w:rsid w:val="00276443"/>
    <w:rsid w:val="002767D7"/>
    <w:rsid w:val="00276866"/>
    <w:rsid w:val="00276AD2"/>
    <w:rsid w:val="00276DDA"/>
    <w:rsid w:val="00276DFC"/>
    <w:rsid w:val="00276E2F"/>
    <w:rsid w:val="00276ED7"/>
    <w:rsid w:val="00276F16"/>
    <w:rsid w:val="00276FA6"/>
    <w:rsid w:val="00276FB8"/>
    <w:rsid w:val="00277050"/>
    <w:rsid w:val="00277069"/>
    <w:rsid w:val="00277158"/>
    <w:rsid w:val="00277204"/>
    <w:rsid w:val="00277220"/>
    <w:rsid w:val="00277292"/>
    <w:rsid w:val="002772C2"/>
    <w:rsid w:val="002772FF"/>
    <w:rsid w:val="00277372"/>
    <w:rsid w:val="00277452"/>
    <w:rsid w:val="00277507"/>
    <w:rsid w:val="002775E1"/>
    <w:rsid w:val="002778DA"/>
    <w:rsid w:val="00277914"/>
    <w:rsid w:val="00277991"/>
    <w:rsid w:val="00277C62"/>
    <w:rsid w:val="00277DDF"/>
    <w:rsid w:val="00277F98"/>
    <w:rsid w:val="00280089"/>
    <w:rsid w:val="002802AC"/>
    <w:rsid w:val="002802EA"/>
    <w:rsid w:val="002804E1"/>
    <w:rsid w:val="0028053D"/>
    <w:rsid w:val="002805D8"/>
    <w:rsid w:val="00280705"/>
    <w:rsid w:val="0028089A"/>
    <w:rsid w:val="00280971"/>
    <w:rsid w:val="00280975"/>
    <w:rsid w:val="00280976"/>
    <w:rsid w:val="00280A2C"/>
    <w:rsid w:val="00280B61"/>
    <w:rsid w:val="00280BE7"/>
    <w:rsid w:val="00280BF4"/>
    <w:rsid w:val="00280CF9"/>
    <w:rsid w:val="00280ED1"/>
    <w:rsid w:val="00280F09"/>
    <w:rsid w:val="00280F24"/>
    <w:rsid w:val="00280F3B"/>
    <w:rsid w:val="00280FE0"/>
    <w:rsid w:val="00281186"/>
    <w:rsid w:val="00281238"/>
    <w:rsid w:val="002813D9"/>
    <w:rsid w:val="002813FF"/>
    <w:rsid w:val="00281452"/>
    <w:rsid w:val="002815B5"/>
    <w:rsid w:val="002816D2"/>
    <w:rsid w:val="00281708"/>
    <w:rsid w:val="00281799"/>
    <w:rsid w:val="002819EB"/>
    <w:rsid w:val="00281A47"/>
    <w:rsid w:val="00281A5D"/>
    <w:rsid w:val="00281A62"/>
    <w:rsid w:val="00281D8D"/>
    <w:rsid w:val="00281D97"/>
    <w:rsid w:val="00281E27"/>
    <w:rsid w:val="00281E31"/>
    <w:rsid w:val="00281E68"/>
    <w:rsid w:val="00281F2B"/>
    <w:rsid w:val="00281F3D"/>
    <w:rsid w:val="00281F5D"/>
    <w:rsid w:val="00281FCF"/>
    <w:rsid w:val="0028213D"/>
    <w:rsid w:val="002821CD"/>
    <w:rsid w:val="00282266"/>
    <w:rsid w:val="0028249D"/>
    <w:rsid w:val="002824E6"/>
    <w:rsid w:val="0028270C"/>
    <w:rsid w:val="00282840"/>
    <w:rsid w:val="00282922"/>
    <w:rsid w:val="002829D3"/>
    <w:rsid w:val="00282B1D"/>
    <w:rsid w:val="00283080"/>
    <w:rsid w:val="0028312C"/>
    <w:rsid w:val="00283189"/>
    <w:rsid w:val="0028326B"/>
    <w:rsid w:val="00283305"/>
    <w:rsid w:val="002833DD"/>
    <w:rsid w:val="00283CAC"/>
    <w:rsid w:val="00283D18"/>
    <w:rsid w:val="00283E48"/>
    <w:rsid w:val="00283F33"/>
    <w:rsid w:val="00283F6C"/>
    <w:rsid w:val="0028400C"/>
    <w:rsid w:val="0028405C"/>
    <w:rsid w:val="00284075"/>
    <w:rsid w:val="002840DC"/>
    <w:rsid w:val="00284231"/>
    <w:rsid w:val="002843F4"/>
    <w:rsid w:val="0028445F"/>
    <w:rsid w:val="002844EE"/>
    <w:rsid w:val="00284553"/>
    <w:rsid w:val="0028471A"/>
    <w:rsid w:val="002847AE"/>
    <w:rsid w:val="0028482B"/>
    <w:rsid w:val="00284873"/>
    <w:rsid w:val="002848D4"/>
    <w:rsid w:val="00284B14"/>
    <w:rsid w:val="00284C73"/>
    <w:rsid w:val="002852B5"/>
    <w:rsid w:val="002852EB"/>
    <w:rsid w:val="00285307"/>
    <w:rsid w:val="00285379"/>
    <w:rsid w:val="002854E4"/>
    <w:rsid w:val="00285664"/>
    <w:rsid w:val="00285777"/>
    <w:rsid w:val="0028577B"/>
    <w:rsid w:val="002857DE"/>
    <w:rsid w:val="00285820"/>
    <w:rsid w:val="002858E7"/>
    <w:rsid w:val="0028593E"/>
    <w:rsid w:val="00285B78"/>
    <w:rsid w:val="00285BAD"/>
    <w:rsid w:val="00285C00"/>
    <w:rsid w:val="00285CF4"/>
    <w:rsid w:val="00285DAE"/>
    <w:rsid w:val="00285EC7"/>
    <w:rsid w:val="00285EF3"/>
    <w:rsid w:val="00285FE2"/>
    <w:rsid w:val="00286013"/>
    <w:rsid w:val="002860E9"/>
    <w:rsid w:val="0028614F"/>
    <w:rsid w:val="002861BD"/>
    <w:rsid w:val="00286319"/>
    <w:rsid w:val="00286322"/>
    <w:rsid w:val="00286416"/>
    <w:rsid w:val="0028654A"/>
    <w:rsid w:val="00286753"/>
    <w:rsid w:val="00286754"/>
    <w:rsid w:val="0028676C"/>
    <w:rsid w:val="0028677C"/>
    <w:rsid w:val="002867C0"/>
    <w:rsid w:val="0028696D"/>
    <w:rsid w:val="00286995"/>
    <w:rsid w:val="00286BCA"/>
    <w:rsid w:val="00286C6A"/>
    <w:rsid w:val="00286CE3"/>
    <w:rsid w:val="00286D1A"/>
    <w:rsid w:val="00286E26"/>
    <w:rsid w:val="00286F33"/>
    <w:rsid w:val="00286FDC"/>
    <w:rsid w:val="00287049"/>
    <w:rsid w:val="0028709E"/>
    <w:rsid w:val="002873B5"/>
    <w:rsid w:val="00287467"/>
    <w:rsid w:val="0028750E"/>
    <w:rsid w:val="002875BF"/>
    <w:rsid w:val="002876A2"/>
    <w:rsid w:val="00287941"/>
    <w:rsid w:val="00287DA0"/>
    <w:rsid w:val="00287DA4"/>
    <w:rsid w:val="00287DD2"/>
    <w:rsid w:val="00287E4F"/>
    <w:rsid w:val="00287EBF"/>
    <w:rsid w:val="00290031"/>
    <w:rsid w:val="00290122"/>
    <w:rsid w:val="00290190"/>
    <w:rsid w:val="002902F8"/>
    <w:rsid w:val="00290356"/>
    <w:rsid w:val="002903DE"/>
    <w:rsid w:val="0029047E"/>
    <w:rsid w:val="00290485"/>
    <w:rsid w:val="00290641"/>
    <w:rsid w:val="0029071A"/>
    <w:rsid w:val="00290D4D"/>
    <w:rsid w:val="002911CF"/>
    <w:rsid w:val="002912E9"/>
    <w:rsid w:val="00291324"/>
    <w:rsid w:val="00291331"/>
    <w:rsid w:val="00291354"/>
    <w:rsid w:val="00291355"/>
    <w:rsid w:val="00291483"/>
    <w:rsid w:val="00291527"/>
    <w:rsid w:val="002915C1"/>
    <w:rsid w:val="002915D7"/>
    <w:rsid w:val="002915F5"/>
    <w:rsid w:val="00291829"/>
    <w:rsid w:val="002918CC"/>
    <w:rsid w:val="00291975"/>
    <w:rsid w:val="002919CA"/>
    <w:rsid w:val="00291A59"/>
    <w:rsid w:val="00291AEF"/>
    <w:rsid w:val="00291AF2"/>
    <w:rsid w:val="00291B1C"/>
    <w:rsid w:val="00291C15"/>
    <w:rsid w:val="00291CAF"/>
    <w:rsid w:val="00291EB8"/>
    <w:rsid w:val="00291EEA"/>
    <w:rsid w:val="00291F04"/>
    <w:rsid w:val="00292486"/>
    <w:rsid w:val="00292950"/>
    <w:rsid w:val="00292992"/>
    <w:rsid w:val="002929D9"/>
    <w:rsid w:val="00292AC6"/>
    <w:rsid w:val="00292C40"/>
    <w:rsid w:val="00292CD9"/>
    <w:rsid w:val="00292CF0"/>
    <w:rsid w:val="00292E56"/>
    <w:rsid w:val="00292EE2"/>
    <w:rsid w:val="00292FCE"/>
    <w:rsid w:val="00292FE8"/>
    <w:rsid w:val="0029306D"/>
    <w:rsid w:val="002930A2"/>
    <w:rsid w:val="00293106"/>
    <w:rsid w:val="00293202"/>
    <w:rsid w:val="00293260"/>
    <w:rsid w:val="00293320"/>
    <w:rsid w:val="002934EB"/>
    <w:rsid w:val="00293650"/>
    <w:rsid w:val="00293702"/>
    <w:rsid w:val="002937F8"/>
    <w:rsid w:val="0029385E"/>
    <w:rsid w:val="00293890"/>
    <w:rsid w:val="002938A5"/>
    <w:rsid w:val="00293A27"/>
    <w:rsid w:val="00293B71"/>
    <w:rsid w:val="00293C52"/>
    <w:rsid w:val="00293CED"/>
    <w:rsid w:val="00293E1F"/>
    <w:rsid w:val="00293F0C"/>
    <w:rsid w:val="00293FF8"/>
    <w:rsid w:val="002940ED"/>
    <w:rsid w:val="002943B1"/>
    <w:rsid w:val="0029456B"/>
    <w:rsid w:val="0029487F"/>
    <w:rsid w:val="0029495C"/>
    <w:rsid w:val="00294A35"/>
    <w:rsid w:val="00294B59"/>
    <w:rsid w:val="00294C11"/>
    <w:rsid w:val="00294CD2"/>
    <w:rsid w:val="00294DF7"/>
    <w:rsid w:val="00294F70"/>
    <w:rsid w:val="00295041"/>
    <w:rsid w:val="00295063"/>
    <w:rsid w:val="0029524C"/>
    <w:rsid w:val="002952BC"/>
    <w:rsid w:val="002952D8"/>
    <w:rsid w:val="00295676"/>
    <w:rsid w:val="00295821"/>
    <w:rsid w:val="002958FA"/>
    <w:rsid w:val="00295A93"/>
    <w:rsid w:val="00295ABA"/>
    <w:rsid w:val="00295B3D"/>
    <w:rsid w:val="00295B47"/>
    <w:rsid w:val="00295B5B"/>
    <w:rsid w:val="00295C2C"/>
    <w:rsid w:val="00295C6A"/>
    <w:rsid w:val="00295D07"/>
    <w:rsid w:val="00295D33"/>
    <w:rsid w:val="00295E1E"/>
    <w:rsid w:val="00296014"/>
    <w:rsid w:val="00296117"/>
    <w:rsid w:val="00296179"/>
    <w:rsid w:val="002961BF"/>
    <w:rsid w:val="00296201"/>
    <w:rsid w:val="00296259"/>
    <w:rsid w:val="00296292"/>
    <w:rsid w:val="002962C1"/>
    <w:rsid w:val="002963CD"/>
    <w:rsid w:val="002965FA"/>
    <w:rsid w:val="00296700"/>
    <w:rsid w:val="00296709"/>
    <w:rsid w:val="00296784"/>
    <w:rsid w:val="00296852"/>
    <w:rsid w:val="002968D3"/>
    <w:rsid w:val="002968FF"/>
    <w:rsid w:val="0029694A"/>
    <w:rsid w:val="002969D0"/>
    <w:rsid w:val="00296A09"/>
    <w:rsid w:val="00296D48"/>
    <w:rsid w:val="00296E11"/>
    <w:rsid w:val="002970DE"/>
    <w:rsid w:val="00297125"/>
    <w:rsid w:val="00297268"/>
    <w:rsid w:val="002973CD"/>
    <w:rsid w:val="002973D6"/>
    <w:rsid w:val="0029757E"/>
    <w:rsid w:val="0029781B"/>
    <w:rsid w:val="002978BC"/>
    <w:rsid w:val="00297E02"/>
    <w:rsid w:val="00297F27"/>
    <w:rsid w:val="002A0067"/>
    <w:rsid w:val="002A00BB"/>
    <w:rsid w:val="002A0284"/>
    <w:rsid w:val="002A0308"/>
    <w:rsid w:val="002A0519"/>
    <w:rsid w:val="002A06F0"/>
    <w:rsid w:val="002A0714"/>
    <w:rsid w:val="002A097A"/>
    <w:rsid w:val="002A0D1F"/>
    <w:rsid w:val="002A0D26"/>
    <w:rsid w:val="002A0DF1"/>
    <w:rsid w:val="002A0EC1"/>
    <w:rsid w:val="002A0EFA"/>
    <w:rsid w:val="002A112C"/>
    <w:rsid w:val="002A121E"/>
    <w:rsid w:val="002A12B4"/>
    <w:rsid w:val="002A137A"/>
    <w:rsid w:val="002A13B1"/>
    <w:rsid w:val="002A13C1"/>
    <w:rsid w:val="002A13EC"/>
    <w:rsid w:val="002A1487"/>
    <w:rsid w:val="002A14B8"/>
    <w:rsid w:val="002A18D0"/>
    <w:rsid w:val="002A19B2"/>
    <w:rsid w:val="002A1A99"/>
    <w:rsid w:val="002A1BC6"/>
    <w:rsid w:val="002A1BFF"/>
    <w:rsid w:val="002A1DF3"/>
    <w:rsid w:val="002A1E77"/>
    <w:rsid w:val="002A1FB4"/>
    <w:rsid w:val="002A2015"/>
    <w:rsid w:val="002A20D9"/>
    <w:rsid w:val="002A2311"/>
    <w:rsid w:val="002A2563"/>
    <w:rsid w:val="002A25C3"/>
    <w:rsid w:val="002A2739"/>
    <w:rsid w:val="002A2823"/>
    <w:rsid w:val="002A285B"/>
    <w:rsid w:val="002A2872"/>
    <w:rsid w:val="002A298A"/>
    <w:rsid w:val="002A2AE7"/>
    <w:rsid w:val="002A2BEA"/>
    <w:rsid w:val="002A2E75"/>
    <w:rsid w:val="002A2E9C"/>
    <w:rsid w:val="002A2FF9"/>
    <w:rsid w:val="002A310F"/>
    <w:rsid w:val="002A31F7"/>
    <w:rsid w:val="002A3281"/>
    <w:rsid w:val="002A32C3"/>
    <w:rsid w:val="002A35CA"/>
    <w:rsid w:val="002A3601"/>
    <w:rsid w:val="002A36D4"/>
    <w:rsid w:val="002A373A"/>
    <w:rsid w:val="002A3752"/>
    <w:rsid w:val="002A37F9"/>
    <w:rsid w:val="002A3913"/>
    <w:rsid w:val="002A391D"/>
    <w:rsid w:val="002A397E"/>
    <w:rsid w:val="002A39D9"/>
    <w:rsid w:val="002A3A0B"/>
    <w:rsid w:val="002A3A2D"/>
    <w:rsid w:val="002A3AE0"/>
    <w:rsid w:val="002A3B69"/>
    <w:rsid w:val="002A3CAA"/>
    <w:rsid w:val="002A3D50"/>
    <w:rsid w:val="002A3D84"/>
    <w:rsid w:val="002A410B"/>
    <w:rsid w:val="002A421A"/>
    <w:rsid w:val="002A4511"/>
    <w:rsid w:val="002A461F"/>
    <w:rsid w:val="002A4646"/>
    <w:rsid w:val="002A475B"/>
    <w:rsid w:val="002A4781"/>
    <w:rsid w:val="002A47C2"/>
    <w:rsid w:val="002A47D0"/>
    <w:rsid w:val="002A4914"/>
    <w:rsid w:val="002A4AB5"/>
    <w:rsid w:val="002A4B53"/>
    <w:rsid w:val="002A4BC6"/>
    <w:rsid w:val="002A4D1E"/>
    <w:rsid w:val="002A4DC6"/>
    <w:rsid w:val="002A4DDD"/>
    <w:rsid w:val="002A4E0D"/>
    <w:rsid w:val="002A4E58"/>
    <w:rsid w:val="002A4E9C"/>
    <w:rsid w:val="002A4E9F"/>
    <w:rsid w:val="002A4F23"/>
    <w:rsid w:val="002A509C"/>
    <w:rsid w:val="002A50D8"/>
    <w:rsid w:val="002A50F2"/>
    <w:rsid w:val="002A5176"/>
    <w:rsid w:val="002A51B0"/>
    <w:rsid w:val="002A51C4"/>
    <w:rsid w:val="002A51F7"/>
    <w:rsid w:val="002A5229"/>
    <w:rsid w:val="002A52AA"/>
    <w:rsid w:val="002A5403"/>
    <w:rsid w:val="002A5426"/>
    <w:rsid w:val="002A5455"/>
    <w:rsid w:val="002A54A6"/>
    <w:rsid w:val="002A55A2"/>
    <w:rsid w:val="002A5A01"/>
    <w:rsid w:val="002A5C04"/>
    <w:rsid w:val="002A5C1B"/>
    <w:rsid w:val="002A5CAC"/>
    <w:rsid w:val="002A5D78"/>
    <w:rsid w:val="002A60AA"/>
    <w:rsid w:val="002A61AA"/>
    <w:rsid w:val="002A627A"/>
    <w:rsid w:val="002A6333"/>
    <w:rsid w:val="002A6447"/>
    <w:rsid w:val="002A64C5"/>
    <w:rsid w:val="002A6623"/>
    <w:rsid w:val="002A6687"/>
    <w:rsid w:val="002A66C6"/>
    <w:rsid w:val="002A675A"/>
    <w:rsid w:val="002A69FD"/>
    <w:rsid w:val="002A6A01"/>
    <w:rsid w:val="002A6AD4"/>
    <w:rsid w:val="002A6B31"/>
    <w:rsid w:val="002A6BA3"/>
    <w:rsid w:val="002A6C6D"/>
    <w:rsid w:val="002A6D53"/>
    <w:rsid w:val="002A6DF1"/>
    <w:rsid w:val="002A6DF3"/>
    <w:rsid w:val="002A6EB8"/>
    <w:rsid w:val="002A6EE2"/>
    <w:rsid w:val="002A6F1D"/>
    <w:rsid w:val="002A6FCA"/>
    <w:rsid w:val="002A7125"/>
    <w:rsid w:val="002A738D"/>
    <w:rsid w:val="002A74DB"/>
    <w:rsid w:val="002A750E"/>
    <w:rsid w:val="002A754C"/>
    <w:rsid w:val="002A757C"/>
    <w:rsid w:val="002A76A7"/>
    <w:rsid w:val="002A771A"/>
    <w:rsid w:val="002A77C7"/>
    <w:rsid w:val="002A78AB"/>
    <w:rsid w:val="002A7939"/>
    <w:rsid w:val="002A794C"/>
    <w:rsid w:val="002A79A1"/>
    <w:rsid w:val="002A7A79"/>
    <w:rsid w:val="002A7CCE"/>
    <w:rsid w:val="002A7D1E"/>
    <w:rsid w:val="002A7D1F"/>
    <w:rsid w:val="002A7F76"/>
    <w:rsid w:val="002A7F7F"/>
    <w:rsid w:val="002A7F98"/>
    <w:rsid w:val="002B0030"/>
    <w:rsid w:val="002B00F5"/>
    <w:rsid w:val="002B018D"/>
    <w:rsid w:val="002B018F"/>
    <w:rsid w:val="002B01AC"/>
    <w:rsid w:val="002B02BF"/>
    <w:rsid w:val="002B0377"/>
    <w:rsid w:val="002B069D"/>
    <w:rsid w:val="002B079E"/>
    <w:rsid w:val="002B07B2"/>
    <w:rsid w:val="002B08D0"/>
    <w:rsid w:val="002B092D"/>
    <w:rsid w:val="002B0995"/>
    <w:rsid w:val="002B0A15"/>
    <w:rsid w:val="002B0A16"/>
    <w:rsid w:val="002B0ADA"/>
    <w:rsid w:val="002B0B6F"/>
    <w:rsid w:val="002B0C15"/>
    <w:rsid w:val="002B0C1F"/>
    <w:rsid w:val="002B0EF0"/>
    <w:rsid w:val="002B0F17"/>
    <w:rsid w:val="002B10E7"/>
    <w:rsid w:val="002B10EB"/>
    <w:rsid w:val="002B1207"/>
    <w:rsid w:val="002B120A"/>
    <w:rsid w:val="002B1466"/>
    <w:rsid w:val="002B1683"/>
    <w:rsid w:val="002B16AE"/>
    <w:rsid w:val="002B1859"/>
    <w:rsid w:val="002B190D"/>
    <w:rsid w:val="002B19C5"/>
    <w:rsid w:val="002B1A68"/>
    <w:rsid w:val="002B1B45"/>
    <w:rsid w:val="002B1C93"/>
    <w:rsid w:val="002B1D44"/>
    <w:rsid w:val="002B1E5C"/>
    <w:rsid w:val="002B1FEE"/>
    <w:rsid w:val="002B2032"/>
    <w:rsid w:val="002B2338"/>
    <w:rsid w:val="002B24B6"/>
    <w:rsid w:val="002B24EC"/>
    <w:rsid w:val="002B2672"/>
    <w:rsid w:val="002B272F"/>
    <w:rsid w:val="002B27CA"/>
    <w:rsid w:val="002B2807"/>
    <w:rsid w:val="002B28EE"/>
    <w:rsid w:val="002B2A04"/>
    <w:rsid w:val="002B2AAF"/>
    <w:rsid w:val="002B2D50"/>
    <w:rsid w:val="002B2D6C"/>
    <w:rsid w:val="002B2EB6"/>
    <w:rsid w:val="002B2F43"/>
    <w:rsid w:val="002B2F5F"/>
    <w:rsid w:val="002B2F82"/>
    <w:rsid w:val="002B2F8C"/>
    <w:rsid w:val="002B2F9F"/>
    <w:rsid w:val="002B316F"/>
    <w:rsid w:val="002B31DA"/>
    <w:rsid w:val="002B3283"/>
    <w:rsid w:val="002B3492"/>
    <w:rsid w:val="002B34D7"/>
    <w:rsid w:val="002B3507"/>
    <w:rsid w:val="002B352A"/>
    <w:rsid w:val="002B35A5"/>
    <w:rsid w:val="002B363B"/>
    <w:rsid w:val="002B3722"/>
    <w:rsid w:val="002B375A"/>
    <w:rsid w:val="002B396A"/>
    <w:rsid w:val="002B39C3"/>
    <w:rsid w:val="002B3B7A"/>
    <w:rsid w:val="002B3C7E"/>
    <w:rsid w:val="002B3E4C"/>
    <w:rsid w:val="002B3E91"/>
    <w:rsid w:val="002B3E9E"/>
    <w:rsid w:val="002B402A"/>
    <w:rsid w:val="002B4093"/>
    <w:rsid w:val="002B40F7"/>
    <w:rsid w:val="002B41DD"/>
    <w:rsid w:val="002B4243"/>
    <w:rsid w:val="002B431D"/>
    <w:rsid w:val="002B4339"/>
    <w:rsid w:val="002B443B"/>
    <w:rsid w:val="002B44BA"/>
    <w:rsid w:val="002B45AD"/>
    <w:rsid w:val="002B4627"/>
    <w:rsid w:val="002B492A"/>
    <w:rsid w:val="002B4A69"/>
    <w:rsid w:val="002B4A7C"/>
    <w:rsid w:val="002B4CBD"/>
    <w:rsid w:val="002B4CC5"/>
    <w:rsid w:val="002B4D1B"/>
    <w:rsid w:val="002B4DB5"/>
    <w:rsid w:val="002B4DF6"/>
    <w:rsid w:val="002B4E28"/>
    <w:rsid w:val="002B4E76"/>
    <w:rsid w:val="002B4F91"/>
    <w:rsid w:val="002B529F"/>
    <w:rsid w:val="002B53C0"/>
    <w:rsid w:val="002B542C"/>
    <w:rsid w:val="002B55CC"/>
    <w:rsid w:val="002B55DD"/>
    <w:rsid w:val="002B56CC"/>
    <w:rsid w:val="002B57C2"/>
    <w:rsid w:val="002B580F"/>
    <w:rsid w:val="002B5935"/>
    <w:rsid w:val="002B5939"/>
    <w:rsid w:val="002B5A75"/>
    <w:rsid w:val="002B5B84"/>
    <w:rsid w:val="002B5BCF"/>
    <w:rsid w:val="002B5CBA"/>
    <w:rsid w:val="002B5F46"/>
    <w:rsid w:val="002B5FA1"/>
    <w:rsid w:val="002B5FA8"/>
    <w:rsid w:val="002B6058"/>
    <w:rsid w:val="002B619A"/>
    <w:rsid w:val="002B63BF"/>
    <w:rsid w:val="002B661C"/>
    <w:rsid w:val="002B667E"/>
    <w:rsid w:val="002B6698"/>
    <w:rsid w:val="002B6700"/>
    <w:rsid w:val="002B6876"/>
    <w:rsid w:val="002B68CE"/>
    <w:rsid w:val="002B6902"/>
    <w:rsid w:val="002B6A1F"/>
    <w:rsid w:val="002B6A5C"/>
    <w:rsid w:val="002B6AC6"/>
    <w:rsid w:val="002B6AD3"/>
    <w:rsid w:val="002B6AF6"/>
    <w:rsid w:val="002B6B47"/>
    <w:rsid w:val="002B6B5E"/>
    <w:rsid w:val="002B6BF6"/>
    <w:rsid w:val="002B6CDD"/>
    <w:rsid w:val="002B6CFB"/>
    <w:rsid w:val="002B6E09"/>
    <w:rsid w:val="002B6E21"/>
    <w:rsid w:val="002B6EB7"/>
    <w:rsid w:val="002B7048"/>
    <w:rsid w:val="002B7167"/>
    <w:rsid w:val="002B7289"/>
    <w:rsid w:val="002B72B3"/>
    <w:rsid w:val="002B731D"/>
    <w:rsid w:val="002B7353"/>
    <w:rsid w:val="002B7433"/>
    <w:rsid w:val="002B74A0"/>
    <w:rsid w:val="002B753C"/>
    <w:rsid w:val="002B76B2"/>
    <w:rsid w:val="002B76CC"/>
    <w:rsid w:val="002B776A"/>
    <w:rsid w:val="002B7855"/>
    <w:rsid w:val="002B7867"/>
    <w:rsid w:val="002B7895"/>
    <w:rsid w:val="002B795D"/>
    <w:rsid w:val="002B7972"/>
    <w:rsid w:val="002B7999"/>
    <w:rsid w:val="002B79DD"/>
    <w:rsid w:val="002B7B5A"/>
    <w:rsid w:val="002B7BBF"/>
    <w:rsid w:val="002B7F44"/>
    <w:rsid w:val="002B7FD3"/>
    <w:rsid w:val="002B7FDE"/>
    <w:rsid w:val="002C011F"/>
    <w:rsid w:val="002C0223"/>
    <w:rsid w:val="002C02D1"/>
    <w:rsid w:val="002C0361"/>
    <w:rsid w:val="002C0384"/>
    <w:rsid w:val="002C03CF"/>
    <w:rsid w:val="002C0487"/>
    <w:rsid w:val="002C0491"/>
    <w:rsid w:val="002C04B2"/>
    <w:rsid w:val="002C058F"/>
    <w:rsid w:val="002C0700"/>
    <w:rsid w:val="002C0762"/>
    <w:rsid w:val="002C0B2D"/>
    <w:rsid w:val="002C0B30"/>
    <w:rsid w:val="002C0BC3"/>
    <w:rsid w:val="002C0DB8"/>
    <w:rsid w:val="002C0DEE"/>
    <w:rsid w:val="002C0F42"/>
    <w:rsid w:val="002C1041"/>
    <w:rsid w:val="002C109D"/>
    <w:rsid w:val="002C1148"/>
    <w:rsid w:val="002C12D8"/>
    <w:rsid w:val="002C131E"/>
    <w:rsid w:val="002C1411"/>
    <w:rsid w:val="002C1430"/>
    <w:rsid w:val="002C1449"/>
    <w:rsid w:val="002C14A4"/>
    <w:rsid w:val="002C15D8"/>
    <w:rsid w:val="002C1704"/>
    <w:rsid w:val="002C170A"/>
    <w:rsid w:val="002C17A6"/>
    <w:rsid w:val="002C17D0"/>
    <w:rsid w:val="002C1837"/>
    <w:rsid w:val="002C19B8"/>
    <w:rsid w:val="002C1A20"/>
    <w:rsid w:val="002C1A90"/>
    <w:rsid w:val="002C1CFC"/>
    <w:rsid w:val="002C1DAE"/>
    <w:rsid w:val="002C1E32"/>
    <w:rsid w:val="002C1E4A"/>
    <w:rsid w:val="002C1F25"/>
    <w:rsid w:val="002C1F63"/>
    <w:rsid w:val="002C2255"/>
    <w:rsid w:val="002C235E"/>
    <w:rsid w:val="002C2483"/>
    <w:rsid w:val="002C2485"/>
    <w:rsid w:val="002C269B"/>
    <w:rsid w:val="002C2786"/>
    <w:rsid w:val="002C284D"/>
    <w:rsid w:val="002C287F"/>
    <w:rsid w:val="002C2954"/>
    <w:rsid w:val="002C2A65"/>
    <w:rsid w:val="002C2A70"/>
    <w:rsid w:val="002C2AE2"/>
    <w:rsid w:val="002C2B31"/>
    <w:rsid w:val="002C2B70"/>
    <w:rsid w:val="002C2C59"/>
    <w:rsid w:val="002C2CC1"/>
    <w:rsid w:val="002C2F1F"/>
    <w:rsid w:val="002C2F61"/>
    <w:rsid w:val="002C2FAC"/>
    <w:rsid w:val="002C30EB"/>
    <w:rsid w:val="002C3156"/>
    <w:rsid w:val="002C31A2"/>
    <w:rsid w:val="002C3237"/>
    <w:rsid w:val="002C3249"/>
    <w:rsid w:val="002C331F"/>
    <w:rsid w:val="002C336F"/>
    <w:rsid w:val="002C33F6"/>
    <w:rsid w:val="002C34B0"/>
    <w:rsid w:val="002C34FC"/>
    <w:rsid w:val="002C352B"/>
    <w:rsid w:val="002C36DC"/>
    <w:rsid w:val="002C387A"/>
    <w:rsid w:val="002C3930"/>
    <w:rsid w:val="002C39AA"/>
    <w:rsid w:val="002C3A6A"/>
    <w:rsid w:val="002C3AA2"/>
    <w:rsid w:val="002C3ABB"/>
    <w:rsid w:val="002C3B01"/>
    <w:rsid w:val="002C3B8C"/>
    <w:rsid w:val="002C3C02"/>
    <w:rsid w:val="002C3C53"/>
    <w:rsid w:val="002C3D1A"/>
    <w:rsid w:val="002C3D7B"/>
    <w:rsid w:val="002C3D9B"/>
    <w:rsid w:val="002C3DE2"/>
    <w:rsid w:val="002C3E57"/>
    <w:rsid w:val="002C4015"/>
    <w:rsid w:val="002C40BF"/>
    <w:rsid w:val="002C417B"/>
    <w:rsid w:val="002C41B0"/>
    <w:rsid w:val="002C42A1"/>
    <w:rsid w:val="002C42B0"/>
    <w:rsid w:val="002C436F"/>
    <w:rsid w:val="002C4386"/>
    <w:rsid w:val="002C4458"/>
    <w:rsid w:val="002C446D"/>
    <w:rsid w:val="002C4474"/>
    <w:rsid w:val="002C44ED"/>
    <w:rsid w:val="002C44EE"/>
    <w:rsid w:val="002C4744"/>
    <w:rsid w:val="002C4951"/>
    <w:rsid w:val="002C4A33"/>
    <w:rsid w:val="002C4A6C"/>
    <w:rsid w:val="002C4CA3"/>
    <w:rsid w:val="002C4CC4"/>
    <w:rsid w:val="002C4D2E"/>
    <w:rsid w:val="002C4DC5"/>
    <w:rsid w:val="002C4E42"/>
    <w:rsid w:val="002C4E86"/>
    <w:rsid w:val="002C4FAC"/>
    <w:rsid w:val="002C5048"/>
    <w:rsid w:val="002C5053"/>
    <w:rsid w:val="002C5057"/>
    <w:rsid w:val="002C50C4"/>
    <w:rsid w:val="002C5111"/>
    <w:rsid w:val="002C5167"/>
    <w:rsid w:val="002C5170"/>
    <w:rsid w:val="002C51E0"/>
    <w:rsid w:val="002C547C"/>
    <w:rsid w:val="002C5483"/>
    <w:rsid w:val="002C5489"/>
    <w:rsid w:val="002C5497"/>
    <w:rsid w:val="002C54BB"/>
    <w:rsid w:val="002C5537"/>
    <w:rsid w:val="002C5544"/>
    <w:rsid w:val="002C55CB"/>
    <w:rsid w:val="002C563C"/>
    <w:rsid w:val="002C56AA"/>
    <w:rsid w:val="002C582E"/>
    <w:rsid w:val="002C5911"/>
    <w:rsid w:val="002C5932"/>
    <w:rsid w:val="002C5939"/>
    <w:rsid w:val="002C5BA3"/>
    <w:rsid w:val="002C5C24"/>
    <w:rsid w:val="002C5C30"/>
    <w:rsid w:val="002C5DE8"/>
    <w:rsid w:val="002C5E2F"/>
    <w:rsid w:val="002C5F84"/>
    <w:rsid w:val="002C5FD2"/>
    <w:rsid w:val="002C5FD8"/>
    <w:rsid w:val="002C6089"/>
    <w:rsid w:val="002C60A7"/>
    <w:rsid w:val="002C60E9"/>
    <w:rsid w:val="002C6156"/>
    <w:rsid w:val="002C643F"/>
    <w:rsid w:val="002C65AF"/>
    <w:rsid w:val="002C6696"/>
    <w:rsid w:val="002C66B0"/>
    <w:rsid w:val="002C682F"/>
    <w:rsid w:val="002C68F0"/>
    <w:rsid w:val="002C6959"/>
    <w:rsid w:val="002C69BA"/>
    <w:rsid w:val="002C69CC"/>
    <w:rsid w:val="002C6AAF"/>
    <w:rsid w:val="002C6AEE"/>
    <w:rsid w:val="002C6B56"/>
    <w:rsid w:val="002C6B8B"/>
    <w:rsid w:val="002C6C2D"/>
    <w:rsid w:val="002C6DE8"/>
    <w:rsid w:val="002C6FFA"/>
    <w:rsid w:val="002C7058"/>
    <w:rsid w:val="002C70A9"/>
    <w:rsid w:val="002C7315"/>
    <w:rsid w:val="002C739E"/>
    <w:rsid w:val="002C73BF"/>
    <w:rsid w:val="002C7664"/>
    <w:rsid w:val="002C76E8"/>
    <w:rsid w:val="002C7727"/>
    <w:rsid w:val="002C7883"/>
    <w:rsid w:val="002C78CF"/>
    <w:rsid w:val="002C78FE"/>
    <w:rsid w:val="002C7945"/>
    <w:rsid w:val="002C797D"/>
    <w:rsid w:val="002C7AF9"/>
    <w:rsid w:val="002C7AFD"/>
    <w:rsid w:val="002C7CD8"/>
    <w:rsid w:val="002C7D5E"/>
    <w:rsid w:val="002C7E26"/>
    <w:rsid w:val="002C7E9E"/>
    <w:rsid w:val="002C7EA7"/>
    <w:rsid w:val="002C7F0D"/>
    <w:rsid w:val="002C7F37"/>
    <w:rsid w:val="002D035A"/>
    <w:rsid w:val="002D04A4"/>
    <w:rsid w:val="002D05D7"/>
    <w:rsid w:val="002D080B"/>
    <w:rsid w:val="002D098F"/>
    <w:rsid w:val="002D0B4D"/>
    <w:rsid w:val="002D0E42"/>
    <w:rsid w:val="002D1265"/>
    <w:rsid w:val="002D12FD"/>
    <w:rsid w:val="002D1330"/>
    <w:rsid w:val="002D1379"/>
    <w:rsid w:val="002D13F2"/>
    <w:rsid w:val="002D1514"/>
    <w:rsid w:val="002D1687"/>
    <w:rsid w:val="002D169D"/>
    <w:rsid w:val="002D1715"/>
    <w:rsid w:val="002D17AC"/>
    <w:rsid w:val="002D17B8"/>
    <w:rsid w:val="002D17EA"/>
    <w:rsid w:val="002D18DB"/>
    <w:rsid w:val="002D195A"/>
    <w:rsid w:val="002D19B1"/>
    <w:rsid w:val="002D1B0A"/>
    <w:rsid w:val="002D1BB3"/>
    <w:rsid w:val="002D1C1A"/>
    <w:rsid w:val="002D1C5B"/>
    <w:rsid w:val="002D1E4F"/>
    <w:rsid w:val="002D1F47"/>
    <w:rsid w:val="002D1F4F"/>
    <w:rsid w:val="002D1FDB"/>
    <w:rsid w:val="002D2030"/>
    <w:rsid w:val="002D21F0"/>
    <w:rsid w:val="002D2216"/>
    <w:rsid w:val="002D22A3"/>
    <w:rsid w:val="002D23B1"/>
    <w:rsid w:val="002D2500"/>
    <w:rsid w:val="002D252F"/>
    <w:rsid w:val="002D25BD"/>
    <w:rsid w:val="002D2622"/>
    <w:rsid w:val="002D26A3"/>
    <w:rsid w:val="002D2853"/>
    <w:rsid w:val="002D287B"/>
    <w:rsid w:val="002D28E2"/>
    <w:rsid w:val="002D2909"/>
    <w:rsid w:val="002D2910"/>
    <w:rsid w:val="002D2991"/>
    <w:rsid w:val="002D29CD"/>
    <w:rsid w:val="002D2AEC"/>
    <w:rsid w:val="002D2AFF"/>
    <w:rsid w:val="002D2E64"/>
    <w:rsid w:val="002D2FA6"/>
    <w:rsid w:val="002D3060"/>
    <w:rsid w:val="002D315F"/>
    <w:rsid w:val="002D32A6"/>
    <w:rsid w:val="002D32C2"/>
    <w:rsid w:val="002D3309"/>
    <w:rsid w:val="002D3322"/>
    <w:rsid w:val="002D33ED"/>
    <w:rsid w:val="002D3440"/>
    <w:rsid w:val="002D3467"/>
    <w:rsid w:val="002D35B2"/>
    <w:rsid w:val="002D3656"/>
    <w:rsid w:val="002D3674"/>
    <w:rsid w:val="002D36D2"/>
    <w:rsid w:val="002D37A5"/>
    <w:rsid w:val="002D3861"/>
    <w:rsid w:val="002D39BE"/>
    <w:rsid w:val="002D39D4"/>
    <w:rsid w:val="002D3A26"/>
    <w:rsid w:val="002D3ACF"/>
    <w:rsid w:val="002D3B7F"/>
    <w:rsid w:val="002D3C21"/>
    <w:rsid w:val="002D3D16"/>
    <w:rsid w:val="002D3D53"/>
    <w:rsid w:val="002D3DB8"/>
    <w:rsid w:val="002D4047"/>
    <w:rsid w:val="002D405F"/>
    <w:rsid w:val="002D4075"/>
    <w:rsid w:val="002D42A5"/>
    <w:rsid w:val="002D4369"/>
    <w:rsid w:val="002D4420"/>
    <w:rsid w:val="002D44A8"/>
    <w:rsid w:val="002D457B"/>
    <w:rsid w:val="002D4592"/>
    <w:rsid w:val="002D45A0"/>
    <w:rsid w:val="002D4749"/>
    <w:rsid w:val="002D487E"/>
    <w:rsid w:val="002D492C"/>
    <w:rsid w:val="002D4B06"/>
    <w:rsid w:val="002D4BF4"/>
    <w:rsid w:val="002D4DBD"/>
    <w:rsid w:val="002D50E0"/>
    <w:rsid w:val="002D5146"/>
    <w:rsid w:val="002D518E"/>
    <w:rsid w:val="002D51B7"/>
    <w:rsid w:val="002D5232"/>
    <w:rsid w:val="002D529D"/>
    <w:rsid w:val="002D5390"/>
    <w:rsid w:val="002D53EB"/>
    <w:rsid w:val="002D54EF"/>
    <w:rsid w:val="002D559B"/>
    <w:rsid w:val="002D564B"/>
    <w:rsid w:val="002D5686"/>
    <w:rsid w:val="002D5700"/>
    <w:rsid w:val="002D573A"/>
    <w:rsid w:val="002D586C"/>
    <w:rsid w:val="002D58D6"/>
    <w:rsid w:val="002D5A9D"/>
    <w:rsid w:val="002D5B14"/>
    <w:rsid w:val="002D5B59"/>
    <w:rsid w:val="002D5B5D"/>
    <w:rsid w:val="002D5C62"/>
    <w:rsid w:val="002D5CF7"/>
    <w:rsid w:val="002D5ED9"/>
    <w:rsid w:val="002D5F85"/>
    <w:rsid w:val="002D602F"/>
    <w:rsid w:val="002D6212"/>
    <w:rsid w:val="002D62C3"/>
    <w:rsid w:val="002D63FC"/>
    <w:rsid w:val="002D649F"/>
    <w:rsid w:val="002D6570"/>
    <w:rsid w:val="002D65C8"/>
    <w:rsid w:val="002D6606"/>
    <w:rsid w:val="002D66FC"/>
    <w:rsid w:val="002D670A"/>
    <w:rsid w:val="002D6724"/>
    <w:rsid w:val="002D67D8"/>
    <w:rsid w:val="002D6812"/>
    <w:rsid w:val="002D690E"/>
    <w:rsid w:val="002D691D"/>
    <w:rsid w:val="002D692F"/>
    <w:rsid w:val="002D6F58"/>
    <w:rsid w:val="002D7240"/>
    <w:rsid w:val="002D7337"/>
    <w:rsid w:val="002D74B5"/>
    <w:rsid w:val="002D75AE"/>
    <w:rsid w:val="002D7777"/>
    <w:rsid w:val="002D7817"/>
    <w:rsid w:val="002D786A"/>
    <w:rsid w:val="002D78B9"/>
    <w:rsid w:val="002D7999"/>
    <w:rsid w:val="002D7B03"/>
    <w:rsid w:val="002D7B1B"/>
    <w:rsid w:val="002D7B5E"/>
    <w:rsid w:val="002D7CE7"/>
    <w:rsid w:val="002D7D65"/>
    <w:rsid w:val="002D7F67"/>
    <w:rsid w:val="002D7FC8"/>
    <w:rsid w:val="002E00B6"/>
    <w:rsid w:val="002E024A"/>
    <w:rsid w:val="002E026A"/>
    <w:rsid w:val="002E02E2"/>
    <w:rsid w:val="002E04D6"/>
    <w:rsid w:val="002E0674"/>
    <w:rsid w:val="002E06E7"/>
    <w:rsid w:val="002E06EE"/>
    <w:rsid w:val="002E08B2"/>
    <w:rsid w:val="002E09E5"/>
    <w:rsid w:val="002E0A74"/>
    <w:rsid w:val="002E0ADC"/>
    <w:rsid w:val="002E0C91"/>
    <w:rsid w:val="002E0E53"/>
    <w:rsid w:val="002E1019"/>
    <w:rsid w:val="002E1166"/>
    <w:rsid w:val="002E1184"/>
    <w:rsid w:val="002E11E6"/>
    <w:rsid w:val="002E1330"/>
    <w:rsid w:val="002E137F"/>
    <w:rsid w:val="002E13E4"/>
    <w:rsid w:val="002E14FF"/>
    <w:rsid w:val="002E16E6"/>
    <w:rsid w:val="002E175F"/>
    <w:rsid w:val="002E17DB"/>
    <w:rsid w:val="002E19A4"/>
    <w:rsid w:val="002E1B5D"/>
    <w:rsid w:val="002E1B95"/>
    <w:rsid w:val="002E1C30"/>
    <w:rsid w:val="002E1CA6"/>
    <w:rsid w:val="002E1D42"/>
    <w:rsid w:val="002E206C"/>
    <w:rsid w:val="002E20BF"/>
    <w:rsid w:val="002E211C"/>
    <w:rsid w:val="002E2135"/>
    <w:rsid w:val="002E22F5"/>
    <w:rsid w:val="002E23C6"/>
    <w:rsid w:val="002E2794"/>
    <w:rsid w:val="002E28E2"/>
    <w:rsid w:val="002E293F"/>
    <w:rsid w:val="002E2949"/>
    <w:rsid w:val="002E2966"/>
    <w:rsid w:val="002E2A37"/>
    <w:rsid w:val="002E2A6A"/>
    <w:rsid w:val="002E2BAD"/>
    <w:rsid w:val="002E2BB1"/>
    <w:rsid w:val="002E2BD7"/>
    <w:rsid w:val="002E2CDC"/>
    <w:rsid w:val="002E2DEA"/>
    <w:rsid w:val="002E3016"/>
    <w:rsid w:val="002E30E6"/>
    <w:rsid w:val="002E3153"/>
    <w:rsid w:val="002E31AB"/>
    <w:rsid w:val="002E31E2"/>
    <w:rsid w:val="002E3358"/>
    <w:rsid w:val="002E3387"/>
    <w:rsid w:val="002E3436"/>
    <w:rsid w:val="002E3515"/>
    <w:rsid w:val="002E35DD"/>
    <w:rsid w:val="002E364C"/>
    <w:rsid w:val="002E37F1"/>
    <w:rsid w:val="002E38A3"/>
    <w:rsid w:val="002E39DF"/>
    <w:rsid w:val="002E3BEE"/>
    <w:rsid w:val="002E3D0E"/>
    <w:rsid w:val="002E3D64"/>
    <w:rsid w:val="002E3E1E"/>
    <w:rsid w:val="002E3E68"/>
    <w:rsid w:val="002E3ED1"/>
    <w:rsid w:val="002E3F6D"/>
    <w:rsid w:val="002E4048"/>
    <w:rsid w:val="002E4099"/>
    <w:rsid w:val="002E41BD"/>
    <w:rsid w:val="002E43BF"/>
    <w:rsid w:val="002E43C9"/>
    <w:rsid w:val="002E43D0"/>
    <w:rsid w:val="002E4497"/>
    <w:rsid w:val="002E45AC"/>
    <w:rsid w:val="002E4674"/>
    <w:rsid w:val="002E4721"/>
    <w:rsid w:val="002E472E"/>
    <w:rsid w:val="002E47CE"/>
    <w:rsid w:val="002E488D"/>
    <w:rsid w:val="002E48B4"/>
    <w:rsid w:val="002E490A"/>
    <w:rsid w:val="002E4AF7"/>
    <w:rsid w:val="002E4B31"/>
    <w:rsid w:val="002E4BB6"/>
    <w:rsid w:val="002E4CC4"/>
    <w:rsid w:val="002E4CE4"/>
    <w:rsid w:val="002E4CE6"/>
    <w:rsid w:val="002E4DBC"/>
    <w:rsid w:val="002E4DE7"/>
    <w:rsid w:val="002E5055"/>
    <w:rsid w:val="002E52CC"/>
    <w:rsid w:val="002E53BA"/>
    <w:rsid w:val="002E53E2"/>
    <w:rsid w:val="002E54E3"/>
    <w:rsid w:val="002E54E5"/>
    <w:rsid w:val="002E5591"/>
    <w:rsid w:val="002E56E0"/>
    <w:rsid w:val="002E5724"/>
    <w:rsid w:val="002E57F5"/>
    <w:rsid w:val="002E59E6"/>
    <w:rsid w:val="002E5A59"/>
    <w:rsid w:val="002E5B80"/>
    <w:rsid w:val="002E5B93"/>
    <w:rsid w:val="002E5C32"/>
    <w:rsid w:val="002E5EB7"/>
    <w:rsid w:val="002E5F82"/>
    <w:rsid w:val="002E5F84"/>
    <w:rsid w:val="002E605F"/>
    <w:rsid w:val="002E6061"/>
    <w:rsid w:val="002E6102"/>
    <w:rsid w:val="002E6220"/>
    <w:rsid w:val="002E645F"/>
    <w:rsid w:val="002E6527"/>
    <w:rsid w:val="002E65C0"/>
    <w:rsid w:val="002E65C2"/>
    <w:rsid w:val="002E65E0"/>
    <w:rsid w:val="002E66B3"/>
    <w:rsid w:val="002E67A8"/>
    <w:rsid w:val="002E6893"/>
    <w:rsid w:val="002E698C"/>
    <w:rsid w:val="002E69F1"/>
    <w:rsid w:val="002E6AA8"/>
    <w:rsid w:val="002E6ACF"/>
    <w:rsid w:val="002E6B03"/>
    <w:rsid w:val="002E6C73"/>
    <w:rsid w:val="002E6E93"/>
    <w:rsid w:val="002E71C1"/>
    <w:rsid w:val="002E7320"/>
    <w:rsid w:val="002E732D"/>
    <w:rsid w:val="002E73EA"/>
    <w:rsid w:val="002E748A"/>
    <w:rsid w:val="002E751A"/>
    <w:rsid w:val="002E755C"/>
    <w:rsid w:val="002E76B5"/>
    <w:rsid w:val="002E78BD"/>
    <w:rsid w:val="002E7B36"/>
    <w:rsid w:val="002E7B78"/>
    <w:rsid w:val="002E7C77"/>
    <w:rsid w:val="002E7C96"/>
    <w:rsid w:val="002E7D1E"/>
    <w:rsid w:val="002E7D7B"/>
    <w:rsid w:val="002E7D84"/>
    <w:rsid w:val="002E7E57"/>
    <w:rsid w:val="002F024C"/>
    <w:rsid w:val="002F03C1"/>
    <w:rsid w:val="002F04A4"/>
    <w:rsid w:val="002F04A5"/>
    <w:rsid w:val="002F05C6"/>
    <w:rsid w:val="002F07DA"/>
    <w:rsid w:val="002F08C1"/>
    <w:rsid w:val="002F0A02"/>
    <w:rsid w:val="002F0A5A"/>
    <w:rsid w:val="002F0A8C"/>
    <w:rsid w:val="002F0C21"/>
    <w:rsid w:val="002F0C65"/>
    <w:rsid w:val="002F0F0B"/>
    <w:rsid w:val="002F100B"/>
    <w:rsid w:val="002F103E"/>
    <w:rsid w:val="002F1052"/>
    <w:rsid w:val="002F1213"/>
    <w:rsid w:val="002F1257"/>
    <w:rsid w:val="002F1340"/>
    <w:rsid w:val="002F156E"/>
    <w:rsid w:val="002F15B4"/>
    <w:rsid w:val="002F1765"/>
    <w:rsid w:val="002F1770"/>
    <w:rsid w:val="002F186E"/>
    <w:rsid w:val="002F1981"/>
    <w:rsid w:val="002F1A46"/>
    <w:rsid w:val="002F1B33"/>
    <w:rsid w:val="002F1B8E"/>
    <w:rsid w:val="002F1BB2"/>
    <w:rsid w:val="002F1BCB"/>
    <w:rsid w:val="002F1C65"/>
    <w:rsid w:val="002F1C70"/>
    <w:rsid w:val="002F1CCD"/>
    <w:rsid w:val="002F1CD5"/>
    <w:rsid w:val="002F1DF5"/>
    <w:rsid w:val="002F1E56"/>
    <w:rsid w:val="002F1EC1"/>
    <w:rsid w:val="002F2157"/>
    <w:rsid w:val="002F2183"/>
    <w:rsid w:val="002F2216"/>
    <w:rsid w:val="002F2266"/>
    <w:rsid w:val="002F229B"/>
    <w:rsid w:val="002F2353"/>
    <w:rsid w:val="002F2438"/>
    <w:rsid w:val="002F2444"/>
    <w:rsid w:val="002F253C"/>
    <w:rsid w:val="002F25F6"/>
    <w:rsid w:val="002F26AB"/>
    <w:rsid w:val="002F2717"/>
    <w:rsid w:val="002F277F"/>
    <w:rsid w:val="002F27F8"/>
    <w:rsid w:val="002F299D"/>
    <w:rsid w:val="002F2A4C"/>
    <w:rsid w:val="002F2C8A"/>
    <w:rsid w:val="002F2FB8"/>
    <w:rsid w:val="002F301E"/>
    <w:rsid w:val="002F30B8"/>
    <w:rsid w:val="002F310C"/>
    <w:rsid w:val="002F3173"/>
    <w:rsid w:val="002F329B"/>
    <w:rsid w:val="002F3303"/>
    <w:rsid w:val="002F333D"/>
    <w:rsid w:val="002F3413"/>
    <w:rsid w:val="002F3659"/>
    <w:rsid w:val="002F3678"/>
    <w:rsid w:val="002F36AE"/>
    <w:rsid w:val="002F37C3"/>
    <w:rsid w:val="002F37C7"/>
    <w:rsid w:val="002F38AF"/>
    <w:rsid w:val="002F38E7"/>
    <w:rsid w:val="002F3ADA"/>
    <w:rsid w:val="002F3D1E"/>
    <w:rsid w:val="002F3D2F"/>
    <w:rsid w:val="002F3D37"/>
    <w:rsid w:val="002F3DC6"/>
    <w:rsid w:val="002F3DF3"/>
    <w:rsid w:val="002F3E24"/>
    <w:rsid w:val="002F3F90"/>
    <w:rsid w:val="002F4064"/>
    <w:rsid w:val="002F4110"/>
    <w:rsid w:val="002F41A2"/>
    <w:rsid w:val="002F424A"/>
    <w:rsid w:val="002F42F4"/>
    <w:rsid w:val="002F4398"/>
    <w:rsid w:val="002F443D"/>
    <w:rsid w:val="002F44FB"/>
    <w:rsid w:val="002F492E"/>
    <w:rsid w:val="002F4A01"/>
    <w:rsid w:val="002F4A39"/>
    <w:rsid w:val="002F4A52"/>
    <w:rsid w:val="002F4C44"/>
    <w:rsid w:val="002F4CAC"/>
    <w:rsid w:val="002F4D2A"/>
    <w:rsid w:val="002F4DC4"/>
    <w:rsid w:val="002F4E20"/>
    <w:rsid w:val="002F4E82"/>
    <w:rsid w:val="002F4FA6"/>
    <w:rsid w:val="002F516B"/>
    <w:rsid w:val="002F520E"/>
    <w:rsid w:val="002F52D0"/>
    <w:rsid w:val="002F549F"/>
    <w:rsid w:val="002F54F2"/>
    <w:rsid w:val="002F5514"/>
    <w:rsid w:val="002F5669"/>
    <w:rsid w:val="002F57FA"/>
    <w:rsid w:val="002F58AF"/>
    <w:rsid w:val="002F595A"/>
    <w:rsid w:val="002F595B"/>
    <w:rsid w:val="002F5A2E"/>
    <w:rsid w:val="002F5ABB"/>
    <w:rsid w:val="002F5B0F"/>
    <w:rsid w:val="002F5CC8"/>
    <w:rsid w:val="002F5D6E"/>
    <w:rsid w:val="002F5D7D"/>
    <w:rsid w:val="002F5DD9"/>
    <w:rsid w:val="002F5E2F"/>
    <w:rsid w:val="002F6092"/>
    <w:rsid w:val="002F6146"/>
    <w:rsid w:val="002F6186"/>
    <w:rsid w:val="002F61E2"/>
    <w:rsid w:val="002F61E3"/>
    <w:rsid w:val="002F6231"/>
    <w:rsid w:val="002F623A"/>
    <w:rsid w:val="002F62CF"/>
    <w:rsid w:val="002F643F"/>
    <w:rsid w:val="002F644C"/>
    <w:rsid w:val="002F64F4"/>
    <w:rsid w:val="002F6512"/>
    <w:rsid w:val="002F65A3"/>
    <w:rsid w:val="002F6657"/>
    <w:rsid w:val="002F6659"/>
    <w:rsid w:val="002F6743"/>
    <w:rsid w:val="002F6758"/>
    <w:rsid w:val="002F67CC"/>
    <w:rsid w:val="002F680C"/>
    <w:rsid w:val="002F6822"/>
    <w:rsid w:val="002F688C"/>
    <w:rsid w:val="002F692E"/>
    <w:rsid w:val="002F6A66"/>
    <w:rsid w:val="002F6C75"/>
    <w:rsid w:val="002F6D26"/>
    <w:rsid w:val="002F6D37"/>
    <w:rsid w:val="002F6D50"/>
    <w:rsid w:val="002F6FA3"/>
    <w:rsid w:val="002F725A"/>
    <w:rsid w:val="002F7281"/>
    <w:rsid w:val="002F7345"/>
    <w:rsid w:val="002F739E"/>
    <w:rsid w:val="002F73E3"/>
    <w:rsid w:val="002F740F"/>
    <w:rsid w:val="002F7441"/>
    <w:rsid w:val="002F749E"/>
    <w:rsid w:val="002F74CF"/>
    <w:rsid w:val="002F773F"/>
    <w:rsid w:val="002F7776"/>
    <w:rsid w:val="002F7793"/>
    <w:rsid w:val="002F77AA"/>
    <w:rsid w:val="002F789B"/>
    <w:rsid w:val="002F7901"/>
    <w:rsid w:val="002F7928"/>
    <w:rsid w:val="002F7AD2"/>
    <w:rsid w:val="002F7B62"/>
    <w:rsid w:val="002F7B93"/>
    <w:rsid w:val="002F7D8A"/>
    <w:rsid w:val="002F7DF4"/>
    <w:rsid w:val="002F7E22"/>
    <w:rsid w:val="002F7EDF"/>
    <w:rsid w:val="00300048"/>
    <w:rsid w:val="00300173"/>
    <w:rsid w:val="00300220"/>
    <w:rsid w:val="00300299"/>
    <w:rsid w:val="00300441"/>
    <w:rsid w:val="003004B1"/>
    <w:rsid w:val="003004BF"/>
    <w:rsid w:val="0030051F"/>
    <w:rsid w:val="0030053A"/>
    <w:rsid w:val="00300604"/>
    <w:rsid w:val="003006FB"/>
    <w:rsid w:val="00300738"/>
    <w:rsid w:val="00300784"/>
    <w:rsid w:val="00300890"/>
    <w:rsid w:val="003009D9"/>
    <w:rsid w:val="003009DC"/>
    <w:rsid w:val="00300A1C"/>
    <w:rsid w:val="00300A3F"/>
    <w:rsid w:val="00300AB8"/>
    <w:rsid w:val="00300AC9"/>
    <w:rsid w:val="00300BE5"/>
    <w:rsid w:val="00300D5E"/>
    <w:rsid w:val="00300DB7"/>
    <w:rsid w:val="00300E37"/>
    <w:rsid w:val="00300FFB"/>
    <w:rsid w:val="003010FC"/>
    <w:rsid w:val="0030117C"/>
    <w:rsid w:val="00301200"/>
    <w:rsid w:val="0030140E"/>
    <w:rsid w:val="00301455"/>
    <w:rsid w:val="00301572"/>
    <w:rsid w:val="0030169D"/>
    <w:rsid w:val="003016B7"/>
    <w:rsid w:val="003017CD"/>
    <w:rsid w:val="0030197E"/>
    <w:rsid w:val="00301A62"/>
    <w:rsid w:val="00301B8D"/>
    <w:rsid w:val="00301C0A"/>
    <w:rsid w:val="00301C12"/>
    <w:rsid w:val="00301C38"/>
    <w:rsid w:val="00301C4F"/>
    <w:rsid w:val="00301CF9"/>
    <w:rsid w:val="00301D8E"/>
    <w:rsid w:val="00301F87"/>
    <w:rsid w:val="00302079"/>
    <w:rsid w:val="00302133"/>
    <w:rsid w:val="00302234"/>
    <w:rsid w:val="003023F4"/>
    <w:rsid w:val="003024BC"/>
    <w:rsid w:val="003025C6"/>
    <w:rsid w:val="0030287C"/>
    <w:rsid w:val="00302C2D"/>
    <w:rsid w:val="00302CB4"/>
    <w:rsid w:val="00302CC1"/>
    <w:rsid w:val="00302DD6"/>
    <w:rsid w:val="00302DDF"/>
    <w:rsid w:val="00302E00"/>
    <w:rsid w:val="00302EA1"/>
    <w:rsid w:val="00302F58"/>
    <w:rsid w:val="0030303F"/>
    <w:rsid w:val="0030306B"/>
    <w:rsid w:val="003032B1"/>
    <w:rsid w:val="00303359"/>
    <w:rsid w:val="003033AA"/>
    <w:rsid w:val="00303440"/>
    <w:rsid w:val="00303468"/>
    <w:rsid w:val="00303471"/>
    <w:rsid w:val="00303487"/>
    <w:rsid w:val="0030355F"/>
    <w:rsid w:val="00303695"/>
    <w:rsid w:val="003036D8"/>
    <w:rsid w:val="003036F5"/>
    <w:rsid w:val="0030386B"/>
    <w:rsid w:val="00303886"/>
    <w:rsid w:val="0030389C"/>
    <w:rsid w:val="0030389E"/>
    <w:rsid w:val="003038EA"/>
    <w:rsid w:val="003038F6"/>
    <w:rsid w:val="00303903"/>
    <w:rsid w:val="003039C0"/>
    <w:rsid w:val="00303A13"/>
    <w:rsid w:val="00303A7B"/>
    <w:rsid w:val="00303B28"/>
    <w:rsid w:val="00303C4F"/>
    <w:rsid w:val="00303C7C"/>
    <w:rsid w:val="00303CBC"/>
    <w:rsid w:val="00303D39"/>
    <w:rsid w:val="00303E07"/>
    <w:rsid w:val="00304111"/>
    <w:rsid w:val="00304134"/>
    <w:rsid w:val="00304177"/>
    <w:rsid w:val="0030423C"/>
    <w:rsid w:val="00304481"/>
    <w:rsid w:val="003044B3"/>
    <w:rsid w:val="00304511"/>
    <w:rsid w:val="00304591"/>
    <w:rsid w:val="003047E4"/>
    <w:rsid w:val="00304904"/>
    <w:rsid w:val="00304908"/>
    <w:rsid w:val="003049E7"/>
    <w:rsid w:val="00304AFC"/>
    <w:rsid w:val="00304BCA"/>
    <w:rsid w:val="00304BF0"/>
    <w:rsid w:val="00304CA5"/>
    <w:rsid w:val="00304F7D"/>
    <w:rsid w:val="003051A3"/>
    <w:rsid w:val="003051FA"/>
    <w:rsid w:val="00305266"/>
    <w:rsid w:val="00305320"/>
    <w:rsid w:val="0030538D"/>
    <w:rsid w:val="0030545A"/>
    <w:rsid w:val="0030545B"/>
    <w:rsid w:val="0030552F"/>
    <w:rsid w:val="00305539"/>
    <w:rsid w:val="00305584"/>
    <w:rsid w:val="0030559B"/>
    <w:rsid w:val="003055DB"/>
    <w:rsid w:val="00305711"/>
    <w:rsid w:val="00305AFA"/>
    <w:rsid w:val="00305CED"/>
    <w:rsid w:val="003060C7"/>
    <w:rsid w:val="00306144"/>
    <w:rsid w:val="003063FE"/>
    <w:rsid w:val="00306454"/>
    <w:rsid w:val="00306538"/>
    <w:rsid w:val="0030657B"/>
    <w:rsid w:val="00306599"/>
    <w:rsid w:val="0030659E"/>
    <w:rsid w:val="003065C1"/>
    <w:rsid w:val="00306686"/>
    <w:rsid w:val="0030668C"/>
    <w:rsid w:val="003066B0"/>
    <w:rsid w:val="0030677C"/>
    <w:rsid w:val="00306797"/>
    <w:rsid w:val="003067C0"/>
    <w:rsid w:val="003067E4"/>
    <w:rsid w:val="0030681D"/>
    <w:rsid w:val="00306A50"/>
    <w:rsid w:val="00306B16"/>
    <w:rsid w:val="00306B66"/>
    <w:rsid w:val="00306C14"/>
    <w:rsid w:val="00306CDA"/>
    <w:rsid w:val="00306D4E"/>
    <w:rsid w:val="00306D4F"/>
    <w:rsid w:val="00306DCE"/>
    <w:rsid w:val="00306E20"/>
    <w:rsid w:val="00306F1E"/>
    <w:rsid w:val="00306F8B"/>
    <w:rsid w:val="00307148"/>
    <w:rsid w:val="0030724B"/>
    <w:rsid w:val="003072F3"/>
    <w:rsid w:val="00307335"/>
    <w:rsid w:val="0030738B"/>
    <w:rsid w:val="0030762C"/>
    <w:rsid w:val="00307681"/>
    <w:rsid w:val="003078C4"/>
    <w:rsid w:val="00307BA4"/>
    <w:rsid w:val="00307C95"/>
    <w:rsid w:val="00307CA2"/>
    <w:rsid w:val="00307CCA"/>
    <w:rsid w:val="00307E6A"/>
    <w:rsid w:val="00307E9E"/>
    <w:rsid w:val="00307F0B"/>
    <w:rsid w:val="00310036"/>
    <w:rsid w:val="00310047"/>
    <w:rsid w:val="00310087"/>
    <w:rsid w:val="003100CA"/>
    <w:rsid w:val="0031013D"/>
    <w:rsid w:val="0031048D"/>
    <w:rsid w:val="0031054D"/>
    <w:rsid w:val="003106C3"/>
    <w:rsid w:val="00310BBB"/>
    <w:rsid w:val="00310BEC"/>
    <w:rsid w:val="00310CCE"/>
    <w:rsid w:val="00310D8D"/>
    <w:rsid w:val="00310E85"/>
    <w:rsid w:val="00311032"/>
    <w:rsid w:val="00311059"/>
    <w:rsid w:val="00311142"/>
    <w:rsid w:val="0031121D"/>
    <w:rsid w:val="003114BD"/>
    <w:rsid w:val="00311600"/>
    <w:rsid w:val="003118C4"/>
    <w:rsid w:val="00311984"/>
    <w:rsid w:val="003119CC"/>
    <w:rsid w:val="003119DC"/>
    <w:rsid w:val="003119E4"/>
    <w:rsid w:val="00311B04"/>
    <w:rsid w:val="00311F12"/>
    <w:rsid w:val="00312059"/>
    <w:rsid w:val="00312156"/>
    <w:rsid w:val="003121B4"/>
    <w:rsid w:val="003123C9"/>
    <w:rsid w:val="0031249E"/>
    <w:rsid w:val="00312662"/>
    <w:rsid w:val="003127E5"/>
    <w:rsid w:val="00312981"/>
    <w:rsid w:val="00312A26"/>
    <w:rsid w:val="00312A83"/>
    <w:rsid w:val="00312AEC"/>
    <w:rsid w:val="00312B1F"/>
    <w:rsid w:val="00312BC2"/>
    <w:rsid w:val="00312D33"/>
    <w:rsid w:val="00312DB3"/>
    <w:rsid w:val="00313192"/>
    <w:rsid w:val="00313297"/>
    <w:rsid w:val="003132C0"/>
    <w:rsid w:val="00313387"/>
    <w:rsid w:val="0031389B"/>
    <w:rsid w:val="00313984"/>
    <w:rsid w:val="00313B58"/>
    <w:rsid w:val="00313BE5"/>
    <w:rsid w:val="00313C4A"/>
    <w:rsid w:val="00313D30"/>
    <w:rsid w:val="00313FCD"/>
    <w:rsid w:val="00314019"/>
    <w:rsid w:val="003140EA"/>
    <w:rsid w:val="00314171"/>
    <w:rsid w:val="003141DB"/>
    <w:rsid w:val="003141F9"/>
    <w:rsid w:val="0031425F"/>
    <w:rsid w:val="00314309"/>
    <w:rsid w:val="003144BF"/>
    <w:rsid w:val="00314533"/>
    <w:rsid w:val="00314538"/>
    <w:rsid w:val="0031455B"/>
    <w:rsid w:val="00314598"/>
    <w:rsid w:val="0031462B"/>
    <w:rsid w:val="00314657"/>
    <w:rsid w:val="003146B2"/>
    <w:rsid w:val="003146BD"/>
    <w:rsid w:val="00314778"/>
    <w:rsid w:val="0031480C"/>
    <w:rsid w:val="0031482C"/>
    <w:rsid w:val="003149B9"/>
    <w:rsid w:val="003149E2"/>
    <w:rsid w:val="00314B2C"/>
    <w:rsid w:val="00314B3F"/>
    <w:rsid w:val="00314B43"/>
    <w:rsid w:val="00314B7C"/>
    <w:rsid w:val="00314BED"/>
    <w:rsid w:val="00314CA4"/>
    <w:rsid w:val="00314D04"/>
    <w:rsid w:val="00314D46"/>
    <w:rsid w:val="00314E20"/>
    <w:rsid w:val="00314E22"/>
    <w:rsid w:val="00314F1C"/>
    <w:rsid w:val="0031506A"/>
    <w:rsid w:val="00315226"/>
    <w:rsid w:val="003152A7"/>
    <w:rsid w:val="003152E0"/>
    <w:rsid w:val="0031540B"/>
    <w:rsid w:val="00315538"/>
    <w:rsid w:val="0031555D"/>
    <w:rsid w:val="00315780"/>
    <w:rsid w:val="00315885"/>
    <w:rsid w:val="003158AE"/>
    <w:rsid w:val="00315907"/>
    <w:rsid w:val="0031594B"/>
    <w:rsid w:val="003159A9"/>
    <w:rsid w:val="00315A21"/>
    <w:rsid w:val="00315A5E"/>
    <w:rsid w:val="00315ABD"/>
    <w:rsid w:val="00315B0A"/>
    <w:rsid w:val="00315B1A"/>
    <w:rsid w:val="00315BE0"/>
    <w:rsid w:val="00315C28"/>
    <w:rsid w:val="00315C30"/>
    <w:rsid w:val="00315C57"/>
    <w:rsid w:val="00315CAB"/>
    <w:rsid w:val="00315D27"/>
    <w:rsid w:val="00315E28"/>
    <w:rsid w:val="00316223"/>
    <w:rsid w:val="00316295"/>
    <w:rsid w:val="0031646E"/>
    <w:rsid w:val="0031649B"/>
    <w:rsid w:val="00316605"/>
    <w:rsid w:val="0031667C"/>
    <w:rsid w:val="0031698C"/>
    <w:rsid w:val="00316991"/>
    <w:rsid w:val="003169BF"/>
    <w:rsid w:val="003169E8"/>
    <w:rsid w:val="00316A2B"/>
    <w:rsid w:val="00316A6B"/>
    <w:rsid w:val="00316B69"/>
    <w:rsid w:val="00316F4C"/>
    <w:rsid w:val="00316FC1"/>
    <w:rsid w:val="00316FE0"/>
    <w:rsid w:val="003171A9"/>
    <w:rsid w:val="00317318"/>
    <w:rsid w:val="003173E5"/>
    <w:rsid w:val="00317488"/>
    <w:rsid w:val="00317505"/>
    <w:rsid w:val="003175C6"/>
    <w:rsid w:val="00317639"/>
    <w:rsid w:val="00317680"/>
    <w:rsid w:val="00317794"/>
    <w:rsid w:val="0031785E"/>
    <w:rsid w:val="003178B2"/>
    <w:rsid w:val="003178C2"/>
    <w:rsid w:val="00317966"/>
    <w:rsid w:val="003179CA"/>
    <w:rsid w:val="00317AAE"/>
    <w:rsid w:val="00317AC4"/>
    <w:rsid w:val="00317C27"/>
    <w:rsid w:val="00317C7B"/>
    <w:rsid w:val="00317DAD"/>
    <w:rsid w:val="00317DC3"/>
    <w:rsid w:val="00317E44"/>
    <w:rsid w:val="00317E63"/>
    <w:rsid w:val="00317F64"/>
    <w:rsid w:val="00317F91"/>
    <w:rsid w:val="00317FAE"/>
    <w:rsid w:val="00320092"/>
    <w:rsid w:val="00320276"/>
    <w:rsid w:val="00320352"/>
    <w:rsid w:val="003203A7"/>
    <w:rsid w:val="0032040F"/>
    <w:rsid w:val="00320556"/>
    <w:rsid w:val="0032076A"/>
    <w:rsid w:val="003208E0"/>
    <w:rsid w:val="003208EC"/>
    <w:rsid w:val="00320AD4"/>
    <w:rsid w:val="00320BFC"/>
    <w:rsid w:val="00320C29"/>
    <w:rsid w:val="00320D72"/>
    <w:rsid w:val="00320DEA"/>
    <w:rsid w:val="00320DEB"/>
    <w:rsid w:val="00320E00"/>
    <w:rsid w:val="00320E38"/>
    <w:rsid w:val="00320E3E"/>
    <w:rsid w:val="00320E65"/>
    <w:rsid w:val="00320EA9"/>
    <w:rsid w:val="00320FC8"/>
    <w:rsid w:val="0032128A"/>
    <w:rsid w:val="003212FD"/>
    <w:rsid w:val="0032136B"/>
    <w:rsid w:val="0032138A"/>
    <w:rsid w:val="0032147B"/>
    <w:rsid w:val="00321522"/>
    <w:rsid w:val="0032160D"/>
    <w:rsid w:val="00321745"/>
    <w:rsid w:val="0032175F"/>
    <w:rsid w:val="00321772"/>
    <w:rsid w:val="0032183E"/>
    <w:rsid w:val="00321841"/>
    <w:rsid w:val="003218FE"/>
    <w:rsid w:val="003219C7"/>
    <w:rsid w:val="00321A6D"/>
    <w:rsid w:val="00321BEB"/>
    <w:rsid w:val="00321DBC"/>
    <w:rsid w:val="00321E05"/>
    <w:rsid w:val="00321E33"/>
    <w:rsid w:val="00321FE4"/>
    <w:rsid w:val="0032204B"/>
    <w:rsid w:val="003220A8"/>
    <w:rsid w:val="00322206"/>
    <w:rsid w:val="00322258"/>
    <w:rsid w:val="003222C9"/>
    <w:rsid w:val="003222E4"/>
    <w:rsid w:val="003222FA"/>
    <w:rsid w:val="00322493"/>
    <w:rsid w:val="003224E8"/>
    <w:rsid w:val="00322520"/>
    <w:rsid w:val="00322561"/>
    <w:rsid w:val="003226D0"/>
    <w:rsid w:val="003226D8"/>
    <w:rsid w:val="00322773"/>
    <w:rsid w:val="00322781"/>
    <w:rsid w:val="00322A24"/>
    <w:rsid w:val="00322AAF"/>
    <w:rsid w:val="00322EC5"/>
    <w:rsid w:val="00322F1E"/>
    <w:rsid w:val="00322F57"/>
    <w:rsid w:val="00322F84"/>
    <w:rsid w:val="003230F6"/>
    <w:rsid w:val="00323196"/>
    <w:rsid w:val="003232C2"/>
    <w:rsid w:val="00323418"/>
    <w:rsid w:val="0032341E"/>
    <w:rsid w:val="003234CD"/>
    <w:rsid w:val="0032351E"/>
    <w:rsid w:val="00323572"/>
    <w:rsid w:val="003235D7"/>
    <w:rsid w:val="003235E8"/>
    <w:rsid w:val="00323679"/>
    <w:rsid w:val="003236B6"/>
    <w:rsid w:val="003236FA"/>
    <w:rsid w:val="00323705"/>
    <w:rsid w:val="003237DE"/>
    <w:rsid w:val="0032385A"/>
    <w:rsid w:val="00323872"/>
    <w:rsid w:val="003239F5"/>
    <w:rsid w:val="00323BCC"/>
    <w:rsid w:val="00323C8E"/>
    <w:rsid w:val="00323D59"/>
    <w:rsid w:val="00323D6A"/>
    <w:rsid w:val="00323D83"/>
    <w:rsid w:val="00323E06"/>
    <w:rsid w:val="00323F8D"/>
    <w:rsid w:val="00323FE9"/>
    <w:rsid w:val="00324051"/>
    <w:rsid w:val="003240BD"/>
    <w:rsid w:val="003241ED"/>
    <w:rsid w:val="00324206"/>
    <w:rsid w:val="003242A0"/>
    <w:rsid w:val="00324489"/>
    <w:rsid w:val="0032462E"/>
    <w:rsid w:val="003246D2"/>
    <w:rsid w:val="003246ED"/>
    <w:rsid w:val="00324810"/>
    <w:rsid w:val="003248E9"/>
    <w:rsid w:val="00324A8C"/>
    <w:rsid w:val="00324A91"/>
    <w:rsid w:val="00324AA6"/>
    <w:rsid w:val="00324C6A"/>
    <w:rsid w:val="00324C7C"/>
    <w:rsid w:val="00324C84"/>
    <w:rsid w:val="00324D8B"/>
    <w:rsid w:val="00324FDE"/>
    <w:rsid w:val="00325005"/>
    <w:rsid w:val="0032517A"/>
    <w:rsid w:val="00325638"/>
    <w:rsid w:val="0032565B"/>
    <w:rsid w:val="00325698"/>
    <w:rsid w:val="003256FD"/>
    <w:rsid w:val="00325742"/>
    <w:rsid w:val="00325755"/>
    <w:rsid w:val="0032578F"/>
    <w:rsid w:val="00325A51"/>
    <w:rsid w:val="00325AB1"/>
    <w:rsid w:val="00325AE0"/>
    <w:rsid w:val="00325B26"/>
    <w:rsid w:val="00325B73"/>
    <w:rsid w:val="00325C68"/>
    <w:rsid w:val="00325C79"/>
    <w:rsid w:val="00325CF2"/>
    <w:rsid w:val="00325F40"/>
    <w:rsid w:val="00326162"/>
    <w:rsid w:val="00326329"/>
    <w:rsid w:val="003263C0"/>
    <w:rsid w:val="00326432"/>
    <w:rsid w:val="0032645B"/>
    <w:rsid w:val="00326686"/>
    <w:rsid w:val="003266BF"/>
    <w:rsid w:val="00326956"/>
    <w:rsid w:val="00326996"/>
    <w:rsid w:val="00326B37"/>
    <w:rsid w:val="00326B5E"/>
    <w:rsid w:val="00326B80"/>
    <w:rsid w:val="00326BDE"/>
    <w:rsid w:val="00326C73"/>
    <w:rsid w:val="00326D32"/>
    <w:rsid w:val="00326E80"/>
    <w:rsid w:val="00326F18"/>
    <w:rsid w:val="00327132"/>
    <w:rsid w:val="0032719C"/>
    <w:rsid w:val="003271ED"/>
    <w:rsid w:val="003273AD"/>
    <w:rsid w:val="00327618"/>
    <w:rsid w:val="0032765F"/>
    <w:rsid w:val="00327661"/>
    <w:rsid w:val="0032766D"/>
    <w:rsid w:val="003276EC"/>
    <w:rsid w:val="003277D0"/>
    <w:rsid w:val="0032791A"/>
    <w:rsid w:val="00327955"/>
    <w:rsid w:val="00327977"/>
    <w:rsid w:val="00327D4A"/>
    <w:rsid w:val="00327D87"/>
    <w:rsid w:val="00327DA2"/>
    <w:rsid w:val="00327DA9"/>
    <w:rsid w:val="00327F9B"/>
    <w:rsid w:val="00327FA2"/>
    <w:rsid w:val="0033001C"/>
    <w:rsid w:val="00330038"/>
    <w:rsid w:val="003300A1"/>
    <w:rsid w:val="003301AE"/>
    <w:rsid w:val="0033029C"/>
    <w:rsid w:val="003302B7"/>
    <w:rsid w:val="00330381"/>
    <w:rsid w:val="003303F3"/>
    <w:rsid w:val="003306F1"/>
    <w:rsid w:val="00330751"/>
    <w:rsid w:val="00330778"/>
    <w:rsid w:val="003309B4"/>
    <w:rsid w:val="00330C1B"/>
    <w:rsid w:val="00330C75"/>
    <w:rsid w:val="00330CDC"/>
    <w:rsid w:val="00330DD9"/>
    <w:rsid w:val="00330ED3"/>
    <w:rsid w:val="00330FB3"/>
    <w:rsid w:val="00331181"/>
    <w:rsid w:val="003311D8"/>
    <w:rsid w:val="00331217"/>
    <w:rsid w:val="00331243"/>
    <w:rsid w:val="003313FE"/>
    <w:rsid w:val="00331420"/>
    <w:rsid w:val="003314BA"/>
    <w:rsid w:val="00331507"/>
    <w:rsid w:val="00331663"/>
    <w:rsid w:val="00331862"/>
    <w:rsid w:val="00331894"/>
    <w:rsid w:val="0033199E"/>
    <w:rsid w:val="003319CA"/>
    <w:rsid w:val="00331A8D"/>
    <w:rsid w:val="00331AF7"/>
    <w:rsid w:val="00331AF9"/>
    <w:rsid w:val="00331B43"/>
    <w:rsid w:val="00331C24"/>
    <w:rsid w:val="00331C3B"/>
    <w:rsid w:val="00331CCB"/>
    <w:rsid w:val="00331D29"/>
    <w:rsid w:val="00331F7E"/>
    <w:rsid w:val="003320B8"/>
    <w:rsid w:val="003320F9"/>
    <w:rsid w:val="003321F9"/>
    <w:rsid w:val="0033220B"/>
    <w:rsid w:val="003322D9"/>
    <w:rsid w:val="00332440"/>
    <w:rsid w:val="0033248E"/>
    <w:rsid w:val="00332868"/>
    <w:rsid w:val="00332958"/>
    <w:rsid w:val="00332A15"/>
    <w:rsid w:val="00332B59"/>
    <w:rsid w:val="00332C84"/>
    <w:rsid w:val="00332EEF"/>
    <w:rsid w:val="00332FDD"/>
    <w:rsid w:val="003330BA"/>
    <w:rsid w:val="00333210"/>
    <w:rsid w:val="003335C1"/>
    <w:rsid w:val="003335E6"/>
    <w:rsid w:val="003335FF"/>
    <w:rsid w:val="00333612"/>
    <w:rsid w:val="003337AD"/>
    <w:rsid w:val="00333817"/>
    <w:rsid w:val="003338AA"/>
    <w:rsid w:val="00333976"/>
    <w:rsid w:val="00333A2E"/>
    <w:rsid w:val="00333AE6"/>
    <w:rsid w:val="00333B0F"/>
    <w:rsid w:val="00333D0D"/>
    <w:rsid w:val="00333D9F"/>
    <w:rsid w:val="00333DD6"/>
    <w:rsid w:val="00333F92"/>
    <w:rsid w:val="00334225"/>
    <w:rsid w:val="0033430A"/>
    <w:rsid w:val="0033444B"/>
    <w:rsid w:val="003344B0"/>
    <w:rsid w:val="003344DB"/>
    <w:rsid w:val="00334546"/>
    <w:rsid w:val="00334783"/>
    <w:rsid w:val="003347A5"/>
    <w:rsid w:val="0033480C"/>
    <w:rsid w:val="003348DC"/>
    <w:rsid w:val="00334A33"/>
    <w:rsid w:val="00334AA3"/>
    <w:rsid w:val="00334E60"/>
    <w:rsid w:val="00334EE2"/>
    <w:rsid w:val="00334F8E"/>
    <w:rsid w:val="00334F9A"/>
    <w:rsid w:val="00334F9D"/>
    <w:rsid w:val="00335002"/>
    <w:rsid w:val="0033530B"/>
    <w:rsid w:val="003354FE"/>
    <w:rsid w:val="0033559A"/>
    <w:rsid w:val="0033559F"/>
    <w:rsid w:val="003356E7"/>
    <w:rsid w:val="00335774"/>
    <w:rsid w:val="003357A9"/>
    <w:rsid w:val="00335876"/>
    <w:rsid w:val="00335889"/>
    <w:rsid w:val="0033599E"/>
    <w:rsid w:val="00335C51"/>
    <w:rsid w:val="00335C87"/>
    <w:rsid w:val="00335CFF"/>
    <w:rsid w:val="00335E2A"/>
    <w:rsid w:val="00335F81"/>
    <w:rsid w:val="0033603F"/>
    <w:rsid w:val="0033609D"/>
    <w:rsid w:val="003360B1"/>
    <w:rsid w:val="003364F5"/>
    <w:rsid w:val="003365AC"/>
    <w:rsid w:val="00336605"/>
    <w:rsid w:val="00336684"/>
    <w:rsid w:val="00336760"/>
    <w:rsid w:val="003368F2"/>
    <w:rsid w:val="003369A1"/>
    <w:rsid w:val="00336A81"/>
    <w:rsid w:val="00336B01"/>
    <w:rsid w:val="00336B83"/>
    <w:rsid w:val="00336C0F"/>
    <w:rsid w:val="00336C7B"/>
    <w:rsid w:val="00336CD1"/>
    <w:rsid w:val="00336D0E"/>
    <w:rsid w:val="00336D0F"/>
    <w:rsid w:val="00336D8F"/>
    <w:rsid w:val="00336DF0"/>
    <w:rsid w:val="00336E14"/>
    <w:rsid w:val="00336EB9"/>
    <w:rsid w:val="00336F36"/>
    <w:rsid w:val="00336FC3"/>
    <w:rsid w:val="00337133"/>
    <w:rsid w:val="0033721F"/>
    <w:rsid w:val="003372BC"/>
    <w:rsid w:val="003372E9"/>
    <w:rsid w:val="0033736B"/>
    <w:rsid w:val="00337371"/>
    <w:rsid w:val="00337587"/>
    <w:rsid w:val="003375A5"/>
    <w:rsid w:val="00337608"/>
    <w:rsid w:val="00337868"/>
    <w:rsid w:val="003378FC"/>
    <w:rsid w:val="0033793A"/>
    <w:rsid w:val="0033794D"/>
    <w:rsid w:val="00337A43"/>
    <w:rsid w:val="00337A84"/>
    <w:rsid w:val="00337AA1"/>
    <w:rsid w:val="00337C55"/>
    <w:rsid w:val="00337CA3"/>
    <w:rsid w:val="00337D21"/>
    <w:rsid w:val="00337E16"/>
    <w:rsid w:val="00337E31"/>
    <w:rsid w:val="00337ECE"/>
    <w:rsid w:val="00337EFF"/>
    <w:rsid w:val="00337FE2"/>
    <w:rsid w:val="003400F8"/>
    <w:rsid w:val="0034011E"/>
    <w:rsid w:val="003401BA"/>
    <w:rsid w:val="003401FA"/>
    <w:rsid w:val="003402F0"/>
    <w:rsid w:val="003404DC"/>
    <w:rsid w:val="0034050E"/>
    <w:rsid w:val="00340677"/>
    <w:rsid w:val="00340935"/>
    <w:rsid w:val="003409D9"/>
    <w:rsid w:val="00340A5E"/>
    <w:rsid w:val="00340BC8"/>
    <w:rsid w:val="00340CC4"/>
    <w:rsid w:val="00340D8C"/>
    <w:rsid w:val="00340E52"/>
    <w:rsid w:val="00340EF2"/>
    <w:rsid w:val="00340F8D"/>
    <w:rsid w:val="00341040"/>
    <w:rsid w:val="00341119"/>
    <w:rsid w:val="00341212"/>
    <w:rsid w:val="0034138B"/>
    <w:rsid w:val="003413BC"/>
    <w:rsid w:val="00341463"/>
    <w:rsid w:val="003414A4"/>
    <w:rsid w:val="003415A6"/>
    <w:rsid w:val="003418C7"/>
    <w:rsid w:val="003418F5"/>
    <w:rsid w:val="00341943"/>
    <w:rsid w:val="00341A7B"/>
    <w:rsid w:val="00341C4E"/>
    <w:rsid w:val="00341CD4"/>
    <w:rsid w:val="00341CF9"/>
    <w:rsid w:val="00341E50"/>
    <w:rsid w:val="00341E83"/>
    <w:rsid w:val="00341EF6"/>
    <w:rsid w:val="00341F3A"/>
    <w:rsid w:val="00341FFC"/>
    <w:rsid w:val="0034205F"/>
    <w:rsid w:val="00342074"/>
    <w:rsid w:val="003420DA"/>
    <w:rsid w:val="00342210"/>
    <w:rsid w:val="00342279"/>
    <w:rsid w:val="00342328"/>
    <w:rsid w:val="0034235B"/>
    <w:rsid w:val="0034270F"/>
    <w:rsid w:val="0034274B"/>
    <w:rsid w:val="0034275B"/>
    <w:rsid w:val="003427EE"/>
    <w:rsid w:val="0034281D"/>
    <w:rsid w:val="0034285D"/>
    <w:rsid w:val="00342891"/>
    <w:rsid w:val="00342928"/>
    <w:rsid w:val="00342AE1"/>
    <w:rsid w:val="00342B1D"/>
    <w:rsid w:val="00342B76"/>
    <w:rsid w:val="00342CDE"/>
    <w:rsid w:val="00342D24"/>
    <w:rsid w:val="00342E92"/>
    <w:rsid w:val="00342EE9"/>
    <w:rsid w:val="00342EEB"/>
    <w:rsid w:val="00342FDD"/>
    <w:rsid w:val="00343048"/>
    <w:rsid w:val="003430B4"/>
    <w:rsid w:val="003430C6"/>
    <w:rsid w:val="0034318D"/>
    <w:rsid w:val="003431C8"/>
    <w:rsid w:val="0034337E"/>
    <w:rsid w:val="0034340F"/>
    <w:rsid w:val="003435C8"/>
    <w:rsid w:val="0034367D"/>
    <w:rsid w:val="003436F3"/>
    <w:rsid w:val="00343863"/>
    <w:rsid w:val="00343886"/>
    <w:rsid w:val="00343A9A"/>
    <w:rsid w:val="00343BB9"/>
    <w:rsid w:val="00343C68"/>
    <w:rsid w:val="00343CFC"/>
    <w:rsid w:val="00343EFB"/>
    <w:rsid w:val="00343F34"/>
    <w:rsid w:val="00344050"/>
    <w:rsid w:val="003440B4"/>
    <w:rsid w:val="0034418F"/>
    <w:rsid w:val="00344277"/>
    <w:rsid w:val="003444DD"/>
    <w:rsid w:val="0034460D"/>
    <w:rsid w:val="003447F2"/>
    <w:rsid w:val="0034486F"/>
    <w:rsid w:val="0034492D"/>
    <w:rsid w:val="00344944"/>
    <w:rsid w:val="00344A3E"/>
    <w:rsid w:val="00344AEF"/>
    <w:rsid w:val="00344C45"/>
    <w:rsid w:val="00344C7C"/>
    <w:rsid w:val="00344C96"/>
    <w:rsid w:val="00344CA9"/>
    <w:rsid w:val="00344CC7"/>
    <w:rsid w:val="00344CF0"/>
    <w:rsid w:val="00344D4D"/>
    <w:rsid w:val="00344DA0"/>
    <w:rsid w:val="00344EEF"/>
    <w:rsid w:val="00344F6B"/>
    <w:rsid w:val="00344FDF"/>
    <w:rsid w:val="003450A9"/>
    <w:rsid w:val="003450BA"/>
    <w:rsid w:val="003450E8"/>
    <w:rsid w:val="00345129"/>
    <w:rsid w:val="0034523B"/>
    <w:rsid w:val="00345287"/>
    <w:rsid w:val="003452EE"/>
    <w:rsid w:val="003453AF"/>
    <w:rsid w:val="0034573E"/>
    <w:rsid w:val="0034584C"/>
    <w:rsid w:val="003459EC"/>
    <w:rsid w:val="00345B0B"/>
    <w:rsid w:val="00345B64"/>
    <w:rsid w:val="00345BE4"/>
    <w:rsid w:val="00345C42"/>
    <w:rsid w:val="00345D05"/>
    <w:rsid w:val="00345EB8"/>
    <w:rsid w:val="00345F2C"/>
    <w:rsid w:val="00345F97"/>
    <w:rsid w:val="00346150"/>
    <w:rsid w:val="0034615A"/>
    <w:rsid w:val="00346296"/>
    <w:rsid w:val="0034647C"/>
    <w:rsid w:val="0034651A"/>
    <w:rsid w:val="003465D1"/>
    <w:rsid w:val="003465FD"/>
    <w:rsid w:val="00346860"/>
    <w:rsid w:val="00346918"/>
    <w:rsid w:val="00346B81"/>
    <w:rsid w:val="00346BD5"/>
    <w:rsid w:val="00346DA7"/>
    <w:rsid w:val="00346DDD"/>
    <w:rsid w:val="00346DFA"/>
    <w:rsid w:val="00346E13"/>
    <w:rsid w:val="00346E89"/>
    <w:rsid w:val="00347028"/>
    <w:rsid w:val="0034706E"/>
    <w:rsid w:val="003474D7"/>
    <w:rsid w:val="003474F9"/>
    <w:rsid w:val="003476A2"/>
    <w:rsid w:val="003476C0"/>
    <w:rsid w:val="003478E9"/>
    <w:rsid w:val="003479C8"/>
    <w:rsid w:val="003479D5"/>
    <w:rsid w:val="00347B2F"/>
    <w:rsid w:val="00347DFC"/>
    <w:rsid w:val="00347F4D"/>
    <w:rsid w:val="00347F8A"/>
    <w:rsid w:val="0035004F"/>
    <w:rsid w:val="0035016B"/>
    <w:rsid w:val="0035024C"/>
    <w:rsid w:val="003504E0"/>
    <w:rsid w:val="003506C2"/>
    <w:rsid w:val="003507DF"/>
    <w:rsid w:val="00350924"/>
    <w:rsid w:val="00350C93"/>
    <w:rsid w:val="00350D8D"/>
    <w:rsid w:val="00350DA3"/>
    <w:rsid w:val="00350DC0"/>
    <w:rsid w:val="00350F38"/>
    <w:rsid w:val="00350FDD"/>
    <w:rsid w:val="00351034"/>
    <w:rsid w:val="00351259"/>
    <w:rsid w:val="0035127D"/>
    <w:rsid w:val="003512B4"/>
    <w:rsid w:val="00351360"/>
    <w:rsid w:val="003513CD"/>
    <w:rsid w:val="0035157C"/>
    <w:rsid w:val="00351641"/>
    <w:rsid w:val="003516F8"/>
    <w:rsid w:val="003517F6"/>
    <w:rsid w:val="003518E0"/>
    <w:rsid w:val="0035193A"/>
    <w:rsid w:val="00351954"/>
    <w:rsid w:val="00351A11"/>
    <w:rsid w:val="00351ABC"/>
    <w:rsid w:val="00351CE0"/>
    <w:rsid w:val="00351D7F"/>
    <w:rsid w:val="00351D93"/>
    <w:rsid w:val="00351ED7"/>
    <w:rsid w:val="00351F20"/>
    <w:rsid w:val="00351FCA"/>
    <w:rsid w:val="003521CF"/>
    <w:rsid w:val="00352379"/>
    <w:rsid w:val="00352382"/>
    <w:rsid w:val="003523F2"/>
    <w:rsid w:val="0035274F"/>
    <w:rsid w:val="0035275E"/>
    <w:rsid w:val="00352781"/>
    <w:rsid w:val="003528AA"/>
    <w:rsid w:val="00352903"/>
    <w:rsid w:val="00352A63"/>
    <w:rsid w:val="00352C5D"/>
    <w:rsid w:val="00352CB2"/>
    <w:rsid w:val="00352E62"/>
    <w:rsid w:val="0035314B"/>
    <w:rsid w:val="00353405"/>
    <w:rsid w:val="00353713"/>
    <w:rsid w:val="00353739"/>
    <w:rsid w:val="00353775"/>
    <w:rsid w:val="00353880"/>
    <w:rsid w:val="0035388D"/>
    <w:rsid w:val="0035391E"/>
    <w:rsid w:val="00353935"/>
    <w:rsid w:val="00353986"/>
    <w:rsid w:val="00353AF8"/>
    <w:rsid w:val="00353B4E"/>
    <w:rsid w:val="00353C06"/>
    <w:rsid w:val="00353CA2"/>
    <w:rsid w:val="00353D57"/>
    <w:rsid w:val="00353E0C"/>
    <w:rsid w:val="00353EC8"/>
    <w:rsid w:val="00354107"/>
    <w:rsid w:val="0035415A"/>
    <w:rsid w:val="00354189"/>
    <w:rsid w:val="00354237"/>
    <w:rsid w:val="003542ED"/>
    <w:rsid w:val="0035446D"/>
    <w:rsid w:val="00354519"/>
    <w:rsid w:val="0035460D"/>
    <w:rsid w:val="003549AB"/>
    <w:rsid w:val="00354A25"/>
    <w:rsid w:val="00354A34"/>
    <w:rsid w:val="00354A54"/>
    <w:rsid w:val="00354C97"/>
    <w:rsid w:val="00354DCA"/>
    <w:rsid w:val="00354E2F"/>
    <w:rsid w:val="00354E8C"/>
    <w:rsid w:val="00354EAB"/>
    <w:rsid w:val="003550FB"/>
    <w:rsid w:val="00355110"/>
    <w:rsid w:val="003552B6"/>
    <w:rsid w:val="00355360"/>
    <w:rsid w:val="00355367"/>
    <w:rsid w:val="00355418"/>
    <w:rsid w:val="0035552A"/>
    <w:rsid w:val="0035565C"/>
    <w:rsid w:val="0035570D"/>
    <w:rsid w:val="00355879"/>
    <w:rsid w:val="003558B0"/>
    <w:rsid w:val="00355965"/>
    <w:rsid w:val="003559AA"/>
    <w:rsid w:val="003559BF"/>
    <w:rsid w:val="00355A8A"/>
    <w:rsid w:val="00355AA9"/>
    <w:rsid w:val="00355AE1"/>
    <w:rsid w:val="00355B46"/>
    <w:rsid w:val="00355B68"/>
    <w:rsid w:val="00355B78"/>
    <w:rsid w:val="00355BD8"/>
    <w:rsid w:val="00355D30"/>
    <w:rsid w:val="00355D66"/>
    <w:rsid w:val="00355DB4"/>
    <w:rsid w:val="00355E41"/>
    <w:rsid w:val="00355E64"/>
    <w:rsid w:val="00355EDD"/>
    <w:rsid w:val="003560D4"/>
    <w:rsid w:val="003561DC"/>
    <w:rsid w:val="00356473"/>
    <w:rsid w:val="00356484"/>
    <w:rsid w:val="003564AE"/>
    <w:rsid w:val="003564F1"/>
    <w:rsid w:val="00356577"/>
    <w:rsid w:val="00356633"/>
    <w:rsid w:val="003566E2"/>
    <w:rsid w:val="00356759"/>
    <w:rsid w:val="00356879"/>
    <w:rsid w:val="003568CA"/>
    <w:rsid w:val="00356934"/>
    <w:rsid w:val="00356B8A"/>
    <w:rsid w:val="00356C60"/>
    <w:rsid w:val="00356E09"/>
    <w:rsid w:val="00356EF5"/>
    <w:rsid w:val="00356F3C"/>
    <w:rsid w:val="00356F5A"/>
    <w:rsid w:val="00356F65"/>
    <w:rsid w:val="00356F9D"/>
    <w:rsid w:val="00357085"/>
    <w:rsid w:val="003570BB"/>
    <w:rsid w:val="00357267"/>
    <w:rsid w:val="00357305"/>
    <w:rsid w:val="00357336"/>
    <w:rsid w:val="00357378"/>
    <w:rsid w:val="003573B5"/>
    <w:rsid w:val="00357492"/>
    <w:rsid w:val="0035749C"/>
    <w:rsid w:val="00357547"/>
    <w:rsid w:val="0035759E"/>
    <w:rsid w:val="003575A7"/>
    <w:rsid w:val="003577DD"/>
    <w:rsid w:val="003579C2"/>
    <w:rsid w:val="00357B2F"/>
    <w:rsid w:val="00357BD6"/>
    <w:rsid w:val="00357CDE"/>
    <w:rsid w:val="00357CE7"/>
    <w:rsid w:val="00357DA3"/>
    <w:rsid w:val="00357DC8"/>
    <w:rsid w:val="00357EDC"/>
    <w:rsid w:val="00357F0C"/>
    <w:rsid w:val="00360005"/>
    <w:rsid w:val="00360016"/>
    <w:rsid w:val="0036016B"/>
    <w:rsid w:val="00360251"/>
    <w:rsid w:val="0036031F"/>
    <w:rsid w:val="00360340"/>
    <w:rsid w:val="003605B3"/>
    <w:rsid w:val="00360667"/>
    <w:rsid w:val="003607BA"/>
    <w:rsid w:val="003607C5"/>
    <w:rsid w:val="00360845"/>
    <w:rsid w:val="003608F3"/>
    <w:rsid w:val="00360912"/>
    <w:rsid w:val="00360AFA"/>
    <w:rsid w:val="00360B61"/>
    <w:rsid w:val="00360D37"/>
    <w:rsid w:val="00360D83"/>
    <w:rsid w:val="00360E24"/>
    <w:rsid w:val="00360F3E"/>
    <w:rsid w:val="00360F8C"/>
    <w:rsid w:val="00360F99"/>
    <w:rsid w:val="00360FB8"/>
    <w:rsid w:val="00360FDE"/>
    <w:rsid w:val="003610E8"/>
    <w:rsid w:val="003610FB"/>
    <w:rsid w:val="00361151"/>
    <w:rsid w:val="0036147F"/>
    <w:rsid w:val="00361488"/>
    <w:rsid w:val="003614D6"/>
    <w:rsid w:val="00361635"/>
    <w:rsid w:val="0036178B"/>
    <w:rsid w:val="00361832"/>
    <w:rsid w:val="003618C9"/>
    <w:rsid w:val="003618E4"/>
    <w:rsid w:val="00361956"/>
    <w:rsid w:val="003619A3"/>
    <w:rsid w:val="00361A67"/>
    <w:rsid w:val="00361B42"/>
    <w:rsid w:val="00361B80"/>
    <w:rsid w:val="00361C2D"/>
    <w:rsid w:val="00361C31"/>
    <w:rsid w:val="00361CA7"/>
    <w:rsid w:val="00361F5B"/>
    <w:rsid w:val="00361F89"/>
    <w:rsid w:val="00362075"/>
    <w:rsid w:val="00362078"/>
    <w:rsid w:val="00362146"/>
    <w:rsid w:val="003621AE"/>
    <w:rsid w:val="003621C8"/>
    <w:rsid w:val="0036227E"/>
    <w:rsid w:val="003622DD"/>
    <w:rsid w:val="0036247E"/>
    <w:rsid w:val="0036251C"/>
    <w:rsid w:val="00362576"/>
    <w:rsid w:val="0036262E"/>
    <w:rsid w:val="00362718"/>
    <w:rsid w:val="00362834"/>
    <w:rsid w:val="00362875"/>
    <w:rsid w:val="0036296B"/>
    <w:rsid w:val="00362ACE"/>
    <w:rsid w:val="00362B39"/>
    <w:rsid w:val="00362C2E"/>
    <w:rsid w:val="00362D27"/>
    <w:rsid w:val="00362DAB"/>
    <w:rsid w:val="00362DDB"/>
    <w:rsid w:val="003630E7"/>
    <w:rsid w:val="0036311D"/>
    <w:rsid w:val="00363233"/>
    <w:rsid w:val="00363239"/>
    <w:rsid w:val="00363505"/>
    <w:rsid w:val="0036351D"/>
    <w:rsid w:val="00363609"/>
    <w:rsid w:val="00363639"/>
    <w:rsid w:val="00363737"/>
    <w:rsid w:val="0036377E"/>
    <w:rsid w:val="00363835"/>
    <w:rsid w:val="00363846"/>
    <w:rsid w:val="003639CA"/>
    <w:rsid w:val="003639E8"/>
    <w:rsid w:val="00363ACE"/>
    <w:rsid w:val="00363B45"/>
    <w:rsid w:val="00363C2C"/>
    <w:rsid w:val="00363D7C"/>
    <w:rsid w:val="00363E80"/>
    <w:rsid w:val="00363EDD"/>
    <w:rsid w:val="00363F3B"/>
    <w:rsid w:val="00363F93"/>
    <w:rsid w:val="0036418D"/>
    <w:rsid w:val="003642B0"/>
    <w:rsid w:val="0036439A"/>
    <w:rsid w:val="00364417"/>
    <w:rsid w:val="0036448F"/>
    <w:rsid w:val="00364530"/>
    <w:rsid w:val="00364867"/>
    <w:rsid w:val="00364869"/>
    <w:rsid w:val="003648FC"/>
    <w:rsid w:val="00364C34"/>
    <w:rsid w:val="00364CB7"/>
    <w:rsid w:val="00364D1F"/>
    <w:rsid w:val="00364E28"/>
    <w:rsid w:val="00364F36"/>
    <w:rsid w:val="00365004"/>
    <w:rsid w:val="0036510C"/>
    <w:rsid w:val="003651A5"/>
    <w:rsid w:val="0036523D"/>
    <w:rsid w:val="00365346"/>
    <w:rsid w:val="003653C0"/>
    <w:rsid w:val="0036540E"/>
    <w:rsid w:val="00365461"/>
    <w:rsid w:val="003655B5"/>
    <w:rsid w:val="00365661"/>
    <w:rsid w:val="003656E5"/>
    <w:rsid w:val="00365723"/>
    <w:rsid w:val="00365833"/>
    <w:rsid w:val="003658CB"/>
    <w:rsid w:val="00365995"/>
    <w:rsid w:val="003659EB"/>
    <w:rsid w:val="00365A65"/>
    <w:rsid w:val="00365B77"/>
    <w:rsid w:val="00365BCC"/>
    <w:rsid w:val="00365C62"/>
    <w:rsid w:val="00365C92"/>
    <w:rsid w:val="00365D94"/>
    <w:rsid w:val="00365DEA"/>
    <w:rsid w:val="00365DFA"/>
    <w:rsid w:val="00365ED6"/>
    <w:rsid w:val="00365EEB"/>
    <w:rsid w:val="003660A8"/>
    <w:rsid w:val="003660C5"/>
    <w:rsid w:val="003662FA"/>
    <w:rsid w:val="00366640"/>
    <w:rsid w:val="003667CA"/>
    <w:rsid w:val="003668B2"/>
    <w:rsid w:val="0036697D"/>
    <w:rsid w:val="00366A41"/>
    <w:rsid w:val="00366A5F"/>
    <w:rsid w:val="00366B0E"/>
    <w:rsid w:val="00366B91"/>
    <w:rsid w:val="00366C52"/>
    <w:rsid w:val="00366D50"/>
    <w:rsid w:val="00366E91"/>
    <w:rsid w:val="00366F94"/>
    <w:rsid w:val="0036708C"/>
    <w:rsid w:val="003670FF"/>
    <w:rsid w:val="00367206"/>
    <w:rsid w:val="00367213"/>
    <w:rsid w:val="00367316"/>
    <w:rsid w:val="0036734E"/>
    <w:rsid w:val="00367426"/>
    <w:rsid w:val="003674E5"/>
    <w:rsid w:val="003674ED"/>
    <w:rsid w:val="003674EF"/>
    <w:rsid w:val="003675DF"/>
    <w:rsid w:val="00367897"/>
    <w:rsid w:val="00367A51"/>
    <w:rsid w:val="00367ACF"/>
    <w:rsid w:val="00367B3D"/>
    <w:rsid w:val="00367B5D"/>
    <w:rsid w:val="00367C6E"/>
    <w:rsid w:val="00367D9A"/>
    <w:rsid w:val="00367F8E"/>
    <w:rsid w:val="00367FFE"/>
    <w:rsid w:val="0037001B"/>
    <w:rsid w:val="0037004F"/>
    <w:rsid w:val="00370145"/>
    <w:rsid w:val="003702CA"/>
    <w:rsid w:val="0037042B"/>
    <w:rsid w:val="0037056A"/>
    <w:rsid w:val="00370673"/>
    <w:rsid w:val="003706B9"/>
    <w:rsid w:val="003707D7"/>
    <w:rsid w:val="003707DD"/>
    <w:rsid w:val="00370887"/>
    <w:rsid w:val="00370962"/>
    <w:rsid w:val="00370AF5"/>
    <w:rsid w:val="00370B4C"/>
    <w:rsid w:val="00370CCC"/>
    <w:rsid w:val="00370D65"/>
    <w:rsid w:val="00370F1F"/>
    <w:rsid w:val="003712C7"/>
    <w:rsid w:val="0037150B"/>
    <w:rsid w:val="0037156A"/>
    <w:rsid w:val="003715B0"/>
    <w:rsid w:val="003715C2"/>
    <w:rsid w:val="003715E8"/>
    <w:rsid w:val="00371620"/>
    <w:rsid w:val="00371801"/>
    <w:rsid w:val="003718A6"/>
    <w:rsid w:val="003718C5"/>
    <w:rsid w:val="0037195E"/>
    <w:rsid w:val="00371A2D"/>
    <w:rsid w:val="00371ACE"/>
    <w:rsid w:val="00371C6C"/>
    <w:rsid w:val="00371C80"/>
    <w:rsid w:val="00371CAF"/>
    <w:rsid w:val="00371D32"/>
    <w:rsid w:val="00371D51"/>
    <w:rsid w:val="00371D8A"/>
    <w:rsid w:val="00371DB8"/>
    <w:rsid w:val="0037211C"/>
    <w:rsid w:val="00372152"/>
    <w:rsid w:val="0037217A"/>
    <w:rsid w:val="003721DE"/>
    <w:rsid w:val="00372258"/>
    <w:rsid w:val="0037243C"/>
    <w:rsid w:val="00372449"/>
    <w:rsid w:val="00372763"/>
    <w:rsid w:val="0037284A"/>
    <w:rsid w:val="00372942"/>
    <w:rsid w:val="00372955"/>
    <w:rsid w:val="00372A98"/>
    <w:rsid w:val="00372BF5"/>
    <w:rsid w:val="00372C0F"/>
    <w:rsid w:val="00372C84"/>
    <w:rsid w:val="00372D46"/>
    <w:rsid w:val="00372D86"/>
    <w:rsid w:val="00372DBD"/>
    <w:rsid w:val="00372DD7"/>
    <w:rsid w:val="0037301D"/>
    <w:rsid w:val="003730A2"/>
    <w:rsid w:val="003730BF"/>
    <w:rsid w:val="003732E7"/>
    <w:rsid w:val="00373308"/>
    <w:rsid w:val="00373335"/>
    <w:rsid w:val="003734B0"/>
    <w:rsid w:val="0037360C"/>
    <w:rsid w:val="003736AE"/>
    <w:rsid w:val="003736B7"/>
    <w:rsid w:val="003736EB"/>
    <w:rsid w:val="00373766"/>
    <w:rsid w:val="003737C8"/>
    <w:rsid w:val="003737FE"/>
    <w:rsid w:val="00373828"/>
    <w:rsid w:val="0037386C"/>
    <w:rsid w:val="003738FC"/>
    <w:rsid w:val="00373976"/>
    <w:rsid w:val="003739EB"/>
    <w:rsid w:val="00373B64"/>
    <w:rsid w:val="00373C0E"/>
    <w:rsid w:val="00373D37"/>
    <w:rsid w:val="00373E07"/>
    <w:rsid w:val="00374164"/>
    <w:rsid w:val="003742A7"/>
    <w:rsid w:val="003742EC"/>
    <w:rsid w:val="003743CF"/>
    <w:rsid w:val="00374405"/>
    <w:rsid w:val="00374675"/>
    <w:rsid w:val="0037499C"/>
    <w:rsid w:val="00374A66"/>
    <w:rsid w:val="00374A7C"/>
    <w:rsid w:val="00374B06"/>
    <w:rsid w:val="00374B91"/>
    <w:rsid w:val="00374C09"/>
    <w:rsid w:val="00374C2F"/>
    <w:rsid w:val="00374C94"/>
    <w:rsid w:val="00374CFA"/>
    <w:rsid w:val="00374F9A"/>
    <w:rsid w:val="00375076"/>
    <w:rsid w:val="00375148"/>
    <w:rsid w:val="003751BB"/>
    <w:rsid w:val="003751F7"/>
    <w:rsid w:val="0037522A"/>
    <w:rsid w:val="00375305"/>
    <w:rsid w:val="003753B8"/>
    <w:rsid w:val="00375429"/>
    <w:rsid w:val="0037546F"/>
    <w:rsid w:val="003754EE"/>
    <w:rsid w:val="00375564"/>
    <w:rsid w:val="003756B8"/>
    <w:rsid w:val="0037571A"/>
    <w:rsid w:val="00375834"/>
    <w:rsid w:val="00375943"/>
    <w:rsid w:val="00375B4F"/>
    <w:rsid w:val="00375BB7"/>
    <w:rsid w:val="00375D31"/>
    <w:rsid w:val="00375D92"/>
    <w:rsid w:val="00375DD6"/>
    <w:rsid w:val="003761DB"/>
    <w:rsid w:val="00376211"/>
    <w:rsid w:val="003762D3"/>
    <w:rsid w:val="00376310"/>
    <w:rsid w:val="003764AA"/>
    <w:rsid w:val="003765B1"/>
    <w:rsid w:val="00376697"/>
    <w:rsid w:val="003767AB"/>
    <w:rsid w:val="003768D6"/>
    <w:rsid w:val="00376926"/>
    <w:rsid w:val="003769A0"/>
    <w:rsid w:val="003769B1"/>
    <w:rsid w:val="00376A24"/>
    <w:rsid w:val="00376B2B"/>
    <w:rsid w:val="00376B83"/>
    <w:rsid w:val="00376B9D"/>
    <w:rsid w:val="00376BA8"/>
    <w:rsid w:val="00376E75"/>
    <w:rsid w:val="00376F05"/>
    <w:rsid w:val="003770C3"/>
    <w:rsid w:val="00377151"/>
    <w:rsid w:val="00377304"/>
    <w:rsid w:val="00377480"/>
    <w:rsid w:val="0037761B"/>
    <w:rsid w:val="00377667"/>
    <w:rsid w:val="0037766E"/>
    <w:rsid w:val="00377683"/>
    <w:rsid w:val="003776A7"/>
    <w:rsid w:val="003776CA"/>
    <w:rsid w:val="003777A7"/>
    <w:rsid w:val="003779B0"/>
    <w:rsid w:val="00377AD0"/>
    <w:rsid w:val="00377B16"/>
    <w:rsid w:val="00377CA6"/>
    <w:rsid w:val="00377E10"/>
    <w:rsid w:val="00377E54"/>
    <w:rsid w:val="00377E90"/>
    <w:rsid w:val="00377F4A"/>
    <w:rsid w:val="00377FD6"/>
    <w:rsid w:val="0038015A"/>
    <w:rsid w:val="00380236"/>
    <w:rsid w:val="00380249"/>
    <w:rsid w:val="00380338"/>
    <w:rsid w:val="0038038F"/>
    <w:rsid w:val="003805E9"/>
    <w:rsid w:val="003805F5"/>
    <w:rsid w:val="00380674"/>
    <w:rsid w:val="003806B7"/>
    <w:rsid w:val="00380784"/>
    <w:rsid w:val="00380823"/>
    <w:rsid w:val="003809AB"/>
    <w:rsid w:val="003809AD"/>
    <w:rsid w:val="00380BA8"/>
    <w:rsid w:val="00380C53"/>
    <w:rsid w:val="00380E03"/>
    <w:rsid w:val="00380F3A"/>
    <w:rsid w:val="003810FD"/>
    <w:rsid w:val="003811FB"/>
    <w:rsid w:val="00381357"/>
    <w:rsid w:val="003813E9"/>
    <w:rsid w:val="003816C2"/>
    <w:rsid w:val="0038189E"/>
    <w:rsid w:val="00381AD3"/>
    <w:rsid w:val="00381B94"/>
    <w:rsid w:val="00381D7C"/>
    <w:rsid w:val="00381DE1"/>
    <w:rsid w:val="00381E57"/>
    <w:rsid w:val="00381E75"/>
    <w:rsid w:val="00381F58"/>
    <w:rsid w:val="00381FE8"/>
    <w:rsid w:val="0038221F"/>
    <w:rsid w:val="003822CE"/>
    <w:rsid w:val="00382477"/>
    <w:rsid w:val="00382738"/>
    <w:rsid w:val="00382783"/>
    <w:rsid w:val="00382CDC"/>
    <w:rsid w:val="00382CED"/>
    <w:rsid w:val="003830AA"/>
    <w:rsid w:val="003831D3"/>
    <w:rsid w:val="0038330F"/>
    <w:rsid w:val="003833F9"/>
    <w:rsid w:val="00383412"/>
    <w:rsid w:val="00383422"/>
    <w:rsid w:val="003834BF"/>
    <w:rsid w:val="003836C5"/>
    <w:rsid w:val="0038372D"/>
    <w:rsid w:val="00383779"/>
    <w:rsid w:val="00383880"/>
    <w:rsid w:val="00383A5C"/>
    <w:rsid w:val="00383A64"/>
    <w:rsid w:val="00383BDC"/>
    <w:rsid w:val="00383C6F"/>
    <w:rsid w:val="00383C7D"/>
    <w:rsid w:val="00383D0D"/>
    <w:rsid w:val="00383D69"/>
    <w:rsid w:val="00383E40"/>
    <w:rsid w:val="00383E9B"/>
    <w:rsid w:val="00383ED8"/>
    <w:rsid w:val="00383F48"/>
    <w:rsid w:val="00384014"/>
    <w:rsid w:val="0038413C"/>
    <w:rsid w:val="0038415A"/>
    <w:rsid w:val="003841F0"/>
    <w:rsid w:val="00384277"/>
    <w:rsid w:val="003842EA"/>
    <w:rsid w:val="00384309"/>
    <w:rsid w:val="00384404"/>
    <w:rsid w:val="00384484"/>
    <w:rsid w:val="0038455E"/>
    <w:rsid w:val="0038469C"/>
    <w:rsid w:val="00384B75"/>
    <w:rsid w:val="00384BA4"/>
    <w:rsid w:val="00384C41"/>
    <w:rsid w:val="00384C58"/>
    <w:rsid w:val="00384CED"/>
    <w:rsid w:val="0038503E"/>
    <w:rsid w:val="003851E3"/>
    <w:rsid w:val="0038546C"/>
    <w:rsid w:val="00385748"/>
    <w:rsid w:val="003859FD"/>
    <w:rsid w:val="00385B36"/>
    <w:rsid w:val="00385B70"/>
    <w:rsid w:val="00385C66"/>
    <w:rsid w:val="00385CCD"/>
    <w:rsid w:val="00385E09"/>
    <w:rsid w:val="00385E61"/>
    <w:rsid w:val="00385F65"/>
    <w:rsid w:val="00385FA9"/>
    <w:rsid w:val="003860DB"/>
    <w:rsid w:val="003862CE"/>
    <w:rsid w:val="00386331"/>
    <w:rsid w:val="003863A4"/>
    <w:rsid w:val="00386426"/>
    <w:rsid w:val="00386463"/>
    <w:rsid w:val="003865B2"/>
    <w:rsid w:val="003865F0"/>
    <w:rsid w:val="00386707"/>
    <w:rsid w:val="00386797"/>
    <w:rsid w:val="0038681E"/>
    <w:rsid w:val="00386871"/>
    <w:rsid w:val="003868F8"/>
    <w:rsid w:val="0038692C"/>
    <w:rsid w:val="00386B3D"/>
    <w:rsid w:val="00386C0D"/>
    <w:rsid w:val="00386D52"/>
    <w:rsid w:val="00386EFE"/>
    <w:rsid w:val="00386F3B"/>
    <w:rsid w:val="0038707A"/>
    <w:rsid w:val="003870CD"/>
    <w:rsid w:val="00387290"/>
    <w:rsid w:val="003872FA"/>
    <w:rsid w:val="0038731A"/>
    <w:rsid w:val="003873C4"/>
    <w:rsid w:val="00387586"/>
    <w:rsid w:val="00387621"/>
    <w:rsid w:val="00387787"/>
    <w:rsid w:val="003877D6"/>
    <w:rsid w:val="003878E5"/>
    <w:rsid w:val="00387994"/>
    <w:rsid w:val="003879D5"/>
    <w:rsid w:val="00387A81"/>
    <w:rsid w:val="00387B14"/>
    <w:rsid w:val="00387B90"/>
    <w:rsid w:val="00387C54"/>
    <w:rsid w:val="00387C74"/>
    <w:rsid w:val="00387CD2"/>
    <w:rsid w:val="00387D6D"/>
    <w:rsid w:val="00387E77"/>
    <w:rsid w:val="00387F1B"/>
    <w:rsid w:val="00387F61"/>
    <w:rsid w:val="00387FA7"/>
    <w:rsid w:val="00387FF3"/>
    <w:rsid w:val="003900B6"/>
    <w:rsid w:val="00390382"/>
    <w:rsid w:val="003903CE"/>
    <w:rsid w:val="0039046C"/>
    <w:rsid w:val="003906E9"/>
    <w:rsid w:val="003907A9"/>
    <w:rsid w:val="0039082E"/>
    <w:rsid w:val="00390977"/>
    <w:rsid w:val="003909E9"/>
    <w:rsid w:val="00390A39"/>
    <w:rsid w:val="00390AF2"/>
    <w:rsid w:val="00390C10"/>
    <w:rsid w:val="00390E34"/>
    <w:rsid w:val="00390E9E"/>
    <w:rsid w:val="00390FB6"/>
    <w:rsid w:val="00390FD6"/>
    <w:rsid w:val="0039102C"/>
    <w:rsid w:val="0039124F"/>
    <w:rsid w:val="003914F8"/>
    <w:rsid w:val="0039158D"/>
    <w:rsid w:val="0039177D"/>
    <w:rsid w:val="003917B3"/>
    <w:rsid w:val="00391933"/>
    <w:rsid w:val="00391A6F"/>
    <w:rsid w:val="00391AAE"/>
    <w:rsid w:val="00391AE1"/>
    <w:rsid w:val="00391F24"/>
    <w:rsid w:val="00391FD3"/>
    <w:rsid w:val="00392137"/>
    <w:rsid w:val="003921C4"/>
    <w:rsid w:val="003923E5"/>
    <w:rsid w:val="00392572"/>
    <w:rsid w:val="00392608"/>
    <w:rsid w:val="00392746"/>
    <w:rsid w:val="00392774"/>
    <w:rsid w:val="00392783"/>
    <w:rsid w:val="003927F9"/>
    <w:rsid w:val="00392893"/>
    <w:rsid w:val="003929A7"/>
    <w:rsid w:val="00392AA7"/>
    <w:rsid w:val="00392E34"/>
    <w:rsid w:val="00392E4D"/>
    <w:rsid w:val="00392F0E"/>
    <w:rsid w:val="00392F37"/>
    <w:rsid w:val="00392F5C"/>
    <w:rsid w:val="00392F96"/>
    <w:rsid w:val="00393240"/>
    <w:rsid w:val="003932AF"/>
    <w:rsid w:val="003932F9"/>
    <w:rsid w:val="0039333A"/>
    <w:rsid w:val="00393421"/>
    <w:rsid w:val="0039352E"/>
    <w:rsid w:val="0039358F"/>
    <w:rsid w:val="003935C0"/>
    <w:rsid w:val="0039368A"/>
    <w:rsid w:val="003936C6"/>
    <w:rsid w:val="0039377F"/>
    <w:rsid w:val="003937FF"/>
    <w:rsid w:val="003939AF"/>
    <w:rsid w:val="003939EE"/>
    <w:rsid w:val="00393B8E"/>
    <w:rsid w:val="00393BD5"/>
    <w:rsid w:val="00393C15"/>
    <w:rsid w:val="00393D02"/>
    <w:rsid w:val="00393EDB"/>
    <w:rsid w:val="00393FA0"/>
    <w:rsid w:val="0039412D"/>
    <w:rsid w:val="003941DA"/>
    <w:rsid w:val="003942A2"/>
    <w:rsid w:val="00394366"/>
    <w:rsid w:val="003945B2"/>
    <w:rsid w:val="00394613"/>
    <w:rsid w:val="003947BE"/>
    <w:rsid w:val="003947E1"/>
    <w:rsid w:val="003947E3"/>
    <w:rsid w:val="0039496A"/>
    <w:rsid w:val="00394AB8"/>
    <w:rsid w:val="00394B23"/>
    <w:rsid w:val="00394BC3"/>
    <w:rsid w:val="00394BFB"/>
    <w:rsid w:val="00394DB1"/>
    <w:rsid w:val="00394DD7"/>
    <w:rsid w:val="00394E94"/>
    <w:rsid w:val="00394E9B"/>
    <w:rsid w:val="00394F3D"/>
    <w:rsid w:val="0039510B"/>
    <w:rsid w:val="00395169"/>
    <w:rsid w:val="003952B9"/>
    <w:rsid w:val="0039540A"/>
    <w:rsid w:val="003955AF"/>
    <w:rsid w:val="00395645"/>
    <w:rsid w:val="0039566D"/>
    <w:rsid w:val="003956E0"/>
    <w:rsid w:val="00395790"/>
    <w:rsid w:val="003957C4"/>
    <w:rsid w:val="003958B5"/>
    <w:rsid w:val="00395991"/>
    <w:rsid w:val="003959B8"/>
    <w:rsid w:val="003959C3"/>
    <w:rsid w:val="00395A19"/>
    <w:rsid w:val="00395B1C"/>
    <w:rsid w:val="00395B37"/>
    <w:rsid w:val="00395BB5"/>
    <w:rsid w:val="00395D6E"/>
    <w:rsid w:val="00395FE3"/>
    <w:rsid w:val="003960F9"/>
    <w:rsid w:val="0039614D"/>
    <w:rsid w:val="00396165"/>
    <w:rsid w:val="003961C5"/>
    <w:rsid w:val="00396252"/>
    <w:rsid w:val="0039625F"/>
    <w:rsid w:val="0039631E"/>
    <w:rsid w:val="003963A1"/>
    <w:rsid w:val="00396500"/>
    <w:rsid w:val="003968AD"/>
    <w:rsid w:val="00396ADA"/>
    <w:rsid w:val="00396C22"/>
    <w:rsid w:val="00396D3C"/>
    <w:rsid w:val="00396F10"/>
    <w:rsid w:val="00396F2D"/>
    <w:rsid w:val="0039704C"/>
    <w:rsid w:val="003970AA"/>
    <w:rsid w:val="0039712A"/>
    <w:rsid w:val="00397315"/>
    <w:rsid w:val="0039734E"/>
    <w:rsid w:val="00397411"/>
    <w:rsid w:val="003974D5"/>
    <w:rsid w:val="003975A2"/>
    <w:rsid w:val="0039763E"/>
    <w:rsid w:val="00397663"/>
    <w:rsid w:val="003976B0"/>
    <w:rsid w:val="003978B5"/>
    <w:rsid w:val="0039795F"/>
    <w:rsid w:val="00397C52"/>
    <w:rsid w:val="00397C67"/>
    <w:rsid w:val="00397CC8"/>
    <w:rsid w:val="00397D0E"/>
    <w:rsid w:val="00397E4D"/>
    <w:rsid w:val="00397F24"/>
    <w:rsid w:val="0039A9A1"/>
    <w:rsid w:val="003A01DC"/>
    <w:rsid w:val="003A02CF"/>
    <w:rsid w:val="003A035F"/>
    <w:rsid w:val="003A036A"/>
    <w:rsid w:val="003A03BE"/>
    <w:rsid w:val="003A04B1"/>
    <w:rsid w:val="003A04DF"/>
    <w:rsid w:val="003A0545"/>
    <w:rsid w:val="003A06A4"/>
    <w:rsid w:val="003A0B4F"/>
    <w:rsid w:val="003A0E6D"/>
    <w:rsid w:val="003A0F1B"/>
    <w:rsid w:val="003A1037"/>
    <w:rsid w:val="003A1058"/>
    <w:rsid w:val="003A10C0"/>
    <w:rsid w:val="003A12DD"/>
    <w:rsid w:val="003A1331"/>
    <w:rsid w:val="003A1333"/>
    <w:rsid w:val="003A1397"/>
    <w:rsid w:val="003A1529"/>
    <w:rsid w:val="003A15A6"/>
    <w:rsid w:val="003A16EC"/>
    <w:rsid w:val="003A174D"/>
    <w:rsid w:val="003A1889"/>
    <w:rsid w:val="003A19C0"/>
    <w:rsid w:val="003A19C8"/>
    <w:rsid w:val="003A1A57"/>
    <w:rsid w:val="003A1A83"/>
    <w:rsid w:val="003A1B51"/>
    <w:rsid w:val="003A1BA9"/>
    <w:rsid w:val="003A1D84"/>
    <w:rsid w:val="003A1DC0"/>
    <w:rsid w:val="003A1E86"/>
    <w:rsid w:val="003A1F17"/>
    <w:rsid w:val="003A2197"/>
    <w:rsid w:val="003A2221"/>
    <w:rsid w:val="003A22A9"/>
    <w:rsid w:val="003A22CE"/>
    <w:rsid w:val="003A2459"/>
    <w:rsid w:val="003A24CA"/>
    <w:rsid w:val="003A24EB"/>
    <w:rsid w:val="003A2552"/>
    <w:rsid w:val="003A25CC"/>
    <w:rsid w:val="003A25E0"/>
    <w:rsid w:val="003A2739"/>
    <w:rsid w:val="003A2796"/>
    <w:rsid w:val="003A2908"/>
    <w:rsid w:val="003A2969"/>
    <w:rsid w:val="003A29F9"/>
    <w:rsid w:val="003A2A5C"/>
    <w:rsid w:val="003A2ADB"/>
    <w:rsid w:val="003A2AF6"/>
    <w:rsid w:val="003A2D49"/>
    <w:rsid w:val="003A2DAF"/>
    <w:rsid w:val="003A2E0D"/>
    <w:rsid w:val="003A2E89"/>
    <w:rsid w:val="003A2E8E"/>
    <w:rsid w:val="003A302F"/>
    <w:rsid w:val="003A30E7"/>
    <w:rsid w:val="003A311A"/>
    <w:rsid w:val="003A31E6"/>
    <w:rsid w:val="003A32AF"/>
    <w:rsid w:val="003A3439"/>
    <w:rsid w:val="003A347A"/>
    <w:rsid w:val="003A353D"/>
    <w:rsid w:val="003A3557"/>
    <w:rsid w:val="003A355C"/>
    <w:rsid w:val="003A3612"/>
    <w:rsid w:val="003A3663"/>
    <w:rsid w:val="003A369B"/>
    <w:rsid w:val="003A36ED"/>
    <w:rsid w:val="003A3794"/>
    <w:rsid w:val="003A3919"/>
    <w:rsid w:val="003A3968"/>
    <w:rsid w:val="003A39E7"/>
    <w:rsid w:val="003A3A34"/>
    <w:rsid w:val="003A3B37"/>
    <w:rsid w:val="003A3CA4"/>
    <w:rsid w:val="003A3F74"/>
    <w:rsid w:val="003A3F9C"/>
    <w:rsid w:val="003A404D"/>
    <w:rsid w:val="003A41AC"/>
    <w:rsid w:val="003A4215"/>
    <w:rsid w:val="003A4226"/>
    <w:rsid w:val="003A42C2"/>
    <w:rsid w:val="003A43FD"/>
    <w:rsid w:val="003A4504"/>
    <w:rsid w:val="003A45BE"/>
    <w:rsid w:val="003A45F7"/>
    <w:rsid w:val="003A46B6"/>
    <w:rsid w:val="003A46D8"/>
    <w:rsid w:val="003A477C"/>
    <w:rsid w:val="003A47C2"/>
    <w:rsid w:val="003A4A18"/>
    <w:rsid w:val="003A4ADD"/>
    <w:rsid w:val="003A4B03"/>
    <w:rsid w:val="003A4BE8"/>
    <w:rsid w:val="003A4C5F"/>
    <w:rsid w:val="003A4D17"/>
    <w:rsid w:val="003A4EB7"/>
    <w:rsid w:val="003A4ED0"/>
    <w:rsid w:val="003A4F84"/>
    <w:rsid w:val="003A5260"/>
    <w:rsid w:val="003A527C"/>
    <w:rsid w:val="003A530A"/>
    <w:rsid w:val="003A538E"/>
    <w:rsid w:val="003A53BF"/>
    <w:rsid w:val="003A543C"/>
    <w:rsid w:val="003A5508"/>
    <w:rsid w:val="003A55BF"/>
    <w:rsid w:val="003A56D6"/>
    <w:rsid w:val="003A56DB"/>
    <w:rsid w:val="003A581F"/>
    <w:rsid w:val="003A59B9"/>
    <w:rsid w:val="003A59F6"/>
    <w:rsid w:val="003A5A40"/>
    <w:rsid w:val="003A5BE7"/>
    <w:rsid w:val="003A5C73"/>
    <w:rsid w:val="003A5DB9"/>
    <w:rsid w:val="003A5E9A"/>
    <w:rsid w:val="003A5EB9"/>
    <w:rsid w:val="003A5F0D"/>
    <w:rsid w:val="003A5F1E"/>
    <w:rsid w:val="003A5F2A"/>
    <w:rsid w:val="003A5FC2"/>
    <w:rsid w:val="003A6063"/>
    <w:rsid w:val="003A60B0"/>
    <w:rsid w:val="003A6117"/>
    <w:rsid w:val="003A61A6"/>
    <w:rsid w:val="003A61F2"/>
    <w:rsid w:val="003A62DF"/>
    <w:rsid w:val="003A64C2"/>
    <w:rsid w:val="003A694B"/>
    <w:rsid w:val="003A69EA"/>
    <w:rsid w:val="003A6AB2"/>
    <w:rsid w:val="003A6C7F"/>
    <w:rsid w:val="003A6CCD"/>
    <w:rsid w:val="003A6F2F"/>
    <w:rsid w:val="003A6FC0"/>
    <w:rsid w:val="003A7031"/>
    <w:rsid w:val="003A706F"/>
    <w:rsid w:val="003A7152"/>
    <w:rsid w:val="003A7159"/>
    <w:rsid w:val="003A72C7"/>
    <w:rsid w:val="003A7393"/>
    <w:rsid w:val="003A73E4"/>
    <w:rsid w:val="003A742E"/>
    <w:rsid w:val="003A7581"/>
    <w:rsid w:val="003A75B5"/>
    <w:rsid w:val="003A772F"/>
    <w:rsid w:val="003A77DF"/>
    <w:rsid w:val="003A78E6"/>
    <w:rsid w:val="003A79BD"/>
    <w:rsid w:val="003A7C6C"/>
    <w:rsid w:val="003A7C6E"/>
    <w:rsid w:val="003A7ECA"/>
    <w:rsid w:val="003A7F1F"/>
    <w:rsid w:val="003A7F74"/>
    <w:rsid w:val="003B0015"/>
    <w:rsid w:val="003B00C8"/>
    <w:rsid w:val="003B02C2"/>
    <w:rsid w:val="003B02DD"/>
    <w:rsid w:val="003B0333"/>
    <w:rsid w:val="003B0365"/>
    <w:rsid w:val="003B0421"/>
    <w:rsid w:val="003B047C"/>
    <w:rsid w:val="003B04DB"/>
    <w:rsid w:val="003B0595"/>
    <w:rsid w:val="003B081A"/>
    <w:rsid w:val="003B0831"/>
    <w:rsid w:val="003B0935"/>
    <w:rsid w:val="003B094C"/>
    <w:rsid w:val="003B09BC"/>
    <w:rsid w:val="003B0A35"/>
    <w:rsid w:val="003B0A7F"/>
    <w:rsid w:val="003B0BF3"/>
    <w:rsid w:val="003B0C23"/>
    <w:rsid w:val="003B0C53"/>
    <w:rsid w:val="003B0C6E"/>
    <w:rsid w:val="003B0C77"/>
    <w:rsid w:val="003B0D58"/>
    <w:rsid w:val="003B0E0E"/>
    <w:rsid w:val="003B0E8B"/>
    <w:rsid w:val="003B0EB8"/>
    <w:rsid w:val="003B0ED7"/>
    <w:rsid w:val="003B0EEB"/>
    <w:rsid w:val="003B0F1B"/>
    <w:rsid w:val="003B0F33"/>
    <w:rsid w:val="003B0F69"/>
    <w:rsid w:val="003B10E9"/>
    <w:rsid w:val="003B128A"/>
    <w:rsid w:val="003B1304"/>
    <w:rsid w:val="003B131F"/>
    <w:rsid w:val="003B1330"/>
    <w:rsid w:val="003B13A2"/>
    <w:rsid w:val="003B144F"/>
    <w:rsid w:val="003B1504"/>
    <w:rsid w:val="003B1507"/>
    <w:rsid w:val="003B17AA"/>
    <w:rsid w:val="003B186D"/>
    <w:rsid w:val="003B1A6F"/>
    <w:rsid w:val="003B1BA3"/>
    <w:rsid w:val="003B1D73"/>
    <w:rsid w:val="003B1D7C"/>
    <w:rsid w:val="003B1E74"/>
    <w:rsid w:val="003B2013"/>
    <w:rsid w:val="003B2203"/>
    <w:rsid w:val="003B228A"/>
    <w:rsid w:val="003B2390"/>
    <w:rsid w:val="003B2412"/>
    <w:rsid w:val="003B244F"/>
    <w:rsid w:val="003B24F8"/>
    <w:rsid w:val="003B25FD"/>
    <w:rsid w:val="003B2614"/>
    <w:rsid w:val="003B2642"/>
    <w:rsid w:val="003B278D"/>
    <w:rsid w:val="003B27D7"/>
    <w:rsid w:val="003B2859"/>
    <w:rsid w:val="003B2958"/>
    <w:rsid w:val="003B2A72"/>
    <w:rsid w:val="003B2A7B"/>
    <w:rsid w:val="003B2B7D"/>
    <w:rsid w:val="003B2D80"/>
    <w:rsid w:val="003B2DAE"/>
    <w:rsid w:val="003B2DD7"/>
    <w:rsid w:val="003B2E16"/>
    <w:rsid w:val="003B2EAF"/>
    <w:rsid w:val="003B2F6C"/>
    <w:rsid w:val="003B3220"/>
    <w:rsid w:val="003B32A6"/>
    <w:rsid w:val="003B32CC"/>
    <w:rsid w:val="003B3401"/>
    <w:rsid w:val="003B36DB"/>
    <w:rsid w:val="003B36EB"/>
    <w:rsid w:val="003B3763"/>
    <w:rsid w:val="003B3A09"/>
    <w:rsid w:val="003B3A26"/>
    <w:rsid w:val="003B3C6E"/>
    <w:rsid w:val="003B3D29"/>
    <w:rsid w:val="003B3DC6"/>
    <w:rsid w:val="003B3DFE"/>
    <w:rsid w:val="003B3F0D"/>
    <w:rsid w:val="003B3FBF"/>
    <w:rsid w:val="003B405D"/>
    <w:rsid w:val="003B40AB"/>
    <w:rsid w:val="003B4253"/>
    <w:rsid w:val="003B42A0"/>
    <w:rsid w:val="003B42EF"/>
    <w:rsid w:val="003B430F"/>
    <w:rsid w:val="003B43A3"/>
    <w:rsid w:val="003B4624"/>
    <w:rsid w:val="003B46B7"/>
    <w:rsid w:val="003B4719"/>
    <w:rsid w:val="003B474F"/>
    <w:rsid w:val="003B4754"/>
    <w:rsid w:val="003B4837"/>
    <w:rsid w:val="003B48A0"/>
    <w:rsid w:val="003B4B71"/>
    <w:rsid w:val="003B4BF1"/>
    <w:rsid w:val="003B4D81"/>
    <w:rsid w:val="003B4DBA"/>
    <w:rsid w:val="003B4E84"/>
    <w:rsid w:val="003B4F3A"/>
    <w:rsid w:val="003B51C5"/>
    <w:rsid w:val="003B546A"/>
    <w:rsid w:val="003B5577"/>
    <w:rsid w:val="003B5608"/>
    <w:rsid w:val="003B569F"/>
    <w:rsid w:val="003B5737"/>
    <w:rsid w:val="003B5752"/>
    <w:rsid w:val="003B5753"/>
    <w:rsid w:val="003B57D1"/>
    <w:rsid w:val="003B57D9"/>
    <w:rsid w:val="003B5A04"/>
    <w:rsid w:val="003B5A6D"/>
    <w:rsid w:val="003B5C5E"/>
    <w:rsid w:val="003B5C99"/>
    <w:rsid w:val="003B5DA9"/>
    <w:rsid w:val="003B5F55"/>
    <w:rsid w:val="003B5FAA"/>
    <w:rsid w:val="003B6106"/>
    <w:rsid w:val="003B62D6"/>
    <w:rsid w:val="003B63C0"/>
    <w:rsid w:val="003B66F4"/>
    <w:rsid w:val="003B6886"/>
    <w:rsid w:val="003B68E4"/>
    <w:rsid w:val="003B699B"/>
    <w:rsid w:val="003B6D5B"/>
    <w:rsid w:val="003B6DEB"/>
    <w:rsid w:val="003B6E0E"/>
    <w:rsid w:val="003B6E3C"/>
    <w:rsid w:val="003B6F0B"/>
    <w:rsid w:val="003B6F80"/>
    <w:rsid w:val="003B6F93"/>
    <w:rsid w:val="003B6FC1"/>
    <w:rsid w:val="003B7015"/>
    <w:rsid w:val="003B7036"/>
    <w:rsid w:val="003B7172"/>
    <w:rsid w:val="003B7283"/>
    <w:rsid w:val="003B72A5"/>
    <w:rsid w:val="003B72D0"/>
    <w:rsid w:val="003B741D"/>
    <w:rsid w:val="003B749F"/>
    <w:rsid w:val="003B74D1"/>
    <w:rsid w:val="003B7631"/>
    <w:rsid w:val="003B76D2"/>
    <w:rsid w:val="003B7722"/>
    <w:rsid w:val="003B789A"/>
    <w:rsid w:val="003B7AA1"/>
    <w:rsid w:val="003B7BB6"/>
    <w:rsid w:val="003B7C97"/>
    <w:rsid w:val="003B7DD3"/>
    <w:rsid w:val="003B7E09"/>
    <w:rsid w:val="003B7E24"/>
    <w:rsid w:val="003B7E55"/>
    <w:rsid w:val="003B7FB6"/>
    <w:rsid w:val="003C0057"/>
    <w:rsid w:val="003C014A"/>
    <w:rsid w:val="003C029E"/>
    <w:rsid w:val="003C0442"/>
    <w:rsid w:val="003C04F6"/>
    <w:rsid w:val="003C0542"/>
    <w:rsid w:val="003C0663"/>
    <w:rsid w:val="003C06A8"/>
    <w:rsid w:val="003C0796"/>
    <w:rsid w:val="003C0A1E"/>
    <w:rsid w:val="003C0B1C"/>
    <w:rsid w:val="003C0B22"/>
    <w:rsid w:val="003C0B2D"/>
    <w:rsid w:val="003C0B37"/>
    <w:rsid w:val="003C0B84"/>
    <w:rsid w:val="003C0BB0"/>
    <w:rsid w:val="003C0CC7"/>
    <w:rsid w:val="003C0CF3"/>
    <w:rsid w:val="003C0F2F"/>
    <w:rsid w:val="003C0F83"/>
    <w:rsid w:val="003C10A0"/>
    <w:rsid w:val="003C12BD"/>
    <w:rsid w:val="003C15C6"/>
    <w:rsid w:val="003C1854"/>
    <w:rsid w:val="003C19FE"/>
    <w:rsid w:val="003C1A5C"/>
    <w:rsid w:val="003C1A6C"/>
    <w:rsid w:val="003C1AA2"/>
    <w:rsid w:val="003C1AEB"/>
    <w:rsid w:val="003C1C88"/>
    <w:rsid w:val="003C1CA8"/>
    <w:rsid w:val="003C1D63"/>
    <w:rsid w:val="003C1DA9"/>
    <w:rsid w:val="003C1DF2"/>
    <w:rsid w:val="003C1FA9"/>
    <w:rsid w:val="003C2030"/>
    <w:rsid w:val="003C2043"/>
    <w:rsid w:val="003C2090"/>
    <w:rsid w:val="003C2152"/>
    <w:rsid w:val="003C2350"/>
    <w:rsid w:val="003C23E1"/>
    <w:rsid w:val="003C24E2"/>
    <w:rsid w:val="003C27EE"/>
    <w:rsid w:val="003C2962"/>
    <w:rsid w:val="003C29F4"/>
    <w:rsid w:val="003C2A55"/>
    <w:rsid w:val="003C2A7E"/>
    <w:rsid w:val="003C2AC0"/>
    <w:rsid w:val="003C2D04"/>
    <w:rsid w:val="003C2E5F"/>
    <w:rsid w:val="003C2F46"/>
    <w:rsid w:val="003C2F6C"/>
    <w:rsid w:val="003C306A"/>
    <w:rsid w:val="003C31CD"/>
    <w:rsid w:val="003C3229"/>
    <w:rsid w:val="003C32FD"/>
    <w:rsid w:val="003C37F4"/>
    <w:rsid w:val="003C381E"/>
    <w:rsid w:val="003C38E2"/>
    <w:rsid w:val="003C39B4"/>
    <w:rsid w:val="003C3B01"/>
    <w:rsid w:val="003C3B35"/>
    <w:rsid w:val="003C3C88"/>
    <w:rsid w:val="003C3D13"/>
    <w:rsid w:val="003C3D37"/>
    <w:rsid w:val="003C3DEA"/>
    <w:rsid w:val="003C3E36"/>
    <w:rsid w:val="003C3E44"/>
    <w:rsid w:val="003C3EA6"/>
    <w:rsid w:val="003C3F0D"/>
    <w:rsid w:val="003C400A"/>
    <w:rsid w:val="003C40EF"/>
    <w:rsid w:val="003C4185"/>
    <w:rsid w:val="003C41D9"/>
    <w:rsid w:val="003C42AE"/>
    <w:rsid w:val="003C4311"/>
    <w:rsid w:val="003C43D0"/>
    <w:rsid w:val="003C43E5"/>
    <w:rsid w:val="003C44CE"/>
    <w:rsid w:val="003C4535"/>
    <w:rsid w:val="003C4632"/>
    <w:rsid w:val="003C4649"/>
    <w:rsid w:val="003C4970"/>
    <w:rsid w:val="003C4CB4"/>
    <w:rsid w:val="003C4E2B"/>
    <w:rsid w:val="003C4EA5"/>
    <w:rsid w:val="003C4F5C"/>
    <w:rsid w:val="003C4F7A"/>
    <w:rsid w:val="003C5108"/>
    <w:rsid w:val="003C51A8"/>
    <w:rsid w:val="003C521D"/>
    <w:rsid w:val="003C538C"/>
    <w:rsid w:val="003C589E"/>
    <w:rsid w:val="003C58D6"/>
    <w:rsid w:val="003C58E5"/>
    <w:rsid w:val="003C5A1E"/>
    <w:rsid w:val="003C5A23"/>
    <w:rsid w:val="003C5B3A"/>
    <w:rsid w:val="003C5E05"/>
    <w:rsid w:val="003C5E28"/>
    <w:rsid w:val="003C5EA7"/>
    <w:rsid w:val="003C5F0D"/>
    <w:rsid w:val="003C5F2E"/>
    <w:rsid w:val="003C5F5C"/>
    <w:rsid w:val="003C5F74"/>
    <w:rsid w:val="003C6029"/>
    <w:rsid w:val="003C6091"/>
    <w:rsid w:val="003C6123"/>
    <w:rsid w:val="003C61B5"/>
    <w:rsid w:val="003C61F7"/>
    <w:rsid w:val="003C628C"/>
    <w:rsid w:val="003C645A"/>
    <w:rsid w:val="003C66C1"/>
    <w:rsid w:val="003C66D7"/>
    <w:rsid w:val="003C6775"/>
    <w:rsid w:val="003C6978"/>
    <w:rsid w:val="003C69D3"/>
    <w:rsid w:val="003C6C13"/>
    <w:rsid w:val="003C6C17"/>
    <w:rsid w:val="003C6C27"/>
    <w:rsid w:val="003C6ED8"/>
    <w:rsid w:val="003C6EEE"/>
    <w:rsid w:val="003C7034"/>
    <w:rsid w:val="003C7091"/>
    <w:rsid w:val="003C7110"/>
    <w:rsid w:val="003C7111"/>
    <w:rsid w:val="003C7187"/>
    <w:rsid w:val="003C718F"/>
    <w:rsid w:val="003C7227"/>
    <w:rsid w:val="003C724E"/>
    <w:rsid w:val="003C72D9"/>
    <w:rsid w:val="003C75CF"/>
    <w:rsid w:val="003C77EA"/>
    <w:rsid w:val="003C79C8"/>
    <w:rsid w:val="003C7A8E"/>
    <w:rsid w:val="003C7B43"/>
    <w:rsid w:val="003C7D75"/>
    <w:rsid w:val="003C7E20"/>
    <w:rsid w:val="003C7EFA"/>
    <w:rsid w:val="003C7F60"/>
    <w:rsid w:val="003D0029"/>
    <w:rsid w:val="003D005D"/>
    <w:rsid w:val="003D0074"/>
    <w:rsid w:val="003D00D2"/>
    <w:rsid w:val="003D01F9"/>
    <w:rsid w:val="003D02A1"/>
    <w:rsid w:val="003D031D"/>
    <w:rsid w:val="003D042F"/>
    <w:rsid w:val="003D0471"/>
    <w:rsid w:val="003D0683"/>
    <w:rsid w:val="003D06C2"/>
    <w:rsid w:val="003D091E"/>
    <w:rsid w:val="003D0960"/>
    <w:rsid w:val="003D0A54"/>
    <w:rsid w:val="003D0D04"/>
    <w:rsid w:val="003D0D33"/>
    <w:rsid w:val="003D0DFE"/>
    <w:rsid w:val="003D112A"/>
    <w:rsid w:val="003D117D"/>
    <w:rsid w:val="003D1192"/>
    <w:rsid w:val="003D1241"/>
    <w:rsid w:val="003D1285"/>
    <w:rsid w:val="003D12C6"/>
    <w:rsid w:val="003D1302"/>
    <w:rsid w:val="003D1424"/>
    <w:rsid w:val="003D142D"/>
    <w:rsid w:val="003D1470"/>
    <w:rsid w:val="003D14D1"/>
    <w:rsid w:val="003D14D2"/>
    <w:rsid w:val="003D150C"/>
    <w:rsid w:val="003D151B"/>
    <w:rsid w:val="003D16A4"/>
    <w:rsid w:val="003D16BE"/>
    <w:rsid w:val="003D16E9"/>
    <w:rsid w:val="003D172A"/>
    <w:rsid w:val="003D1754"/>
    <w:rsid w:val="003D1771"/>
    <w:rsid w:val="003D1786"/>
    <w:rsid w:val="003D1BAD"/>
    <w:rsid w:val="003D1C68"/>
    <w:rsid w:val="003D1DF6"/>
    <w:rsid w:val="003D1E06"/>
    <w:rsid w:val="003D1E37"/>
    <w:rsid w:val="003D1F21"/>
    <w:rsid w:val="003D1FD0"/>
    <w:rsid w:val="003D1FDA"/>
    <w:rsid w:val="003D202A"/>
    <w:rsid w:val="003D207B"/>
    <w:rsid w:val="003D20E5"/>
    <w:rsid w:val="003D2106"/>
    <w:rsid w:val="003D21B9"/>
    <w:rsid w:val="003D2204"/>
    <w:rsid w:val="003D22AA"/>
    <w:rsid w:val="003D2339"/>
    <w:rsid w:val="003D244B"/>
    <w:rsid w:val="003D250F"/>
    <w:rsid w:val="003D25E2"/>
    <w:rsid w:val="003D27D7"/>
    <w:rsid w:val="003D2817"/>
    <w:rsid w:val="003D28B3"/>
    <w:rsid w:val="003D2981"/>
    <w:rsid w:val="003D29C1"/>
    <w:rsid w:val="003D2B68"/>
    <w:rsid w:val="003D2D57"/>
    <w:rsid w:val="003D2F41"/>
    <w:rsid w:val="003D2F5F"/>
    <w:rsid w:val="003D2F76"/>
    <w:rsid w:val="003D2F92"/>
    <w:rsid w:val="003D31E3"/>
    <w:rsid w:val="003D329D"/>
    <w:rsid w:val="003D32A1"/>
    <w:rsid w:val="003D3312"/>
    <w:rsid w:val="003D331A"/>
    <w:rsid w:val="003D33C7"/>
    <w:rsid w:val="003D33D6"/>
    <w:rsid w:val="003D34D0"/>
    <w:rsid w:val="003D3574"/>
    <w:rsid w:val="003D35A8"/>
    <w:rsid w:val="003D35C4"/>
    <w:rsid w:val="003D377C"/>
    <w:rsid w:val="003D3817"/>
    <w:rsid w:val="003D3A07"/>
    <w:rsid w:val="003D3B8A"/>
    <w:rsid w:val="003D3BC6"/>
    <w:rsid w:val="003D3C52"/>
    <w:rsid w:val="003D3C5C"/>
    <w:rsid w:val="003D3C8F"/>
    <w:rsid w:val="003D3D64"/>
    <w:rsid w:val="003D4005"/>
    <w:rsid w:val="003D417A"/>
    <w:rsid w:val="003D41B0"/>
    <w:rsid w:val="003D41E4"/>
    <w:rsid w:val="003D43A3"/>
    <w:rsid w:val="003D44E4"/>
    <w:rsid w:val="003D45AD"/>
    <w:rsid w:val="003D45C9"/>
    <w:rsid w:val="003D462D"/>
    <w:rsid w:val="003D4694"/>
    <w:rsid w:val="003D46AA"/>
    <w:rsid w:val="003D46AB"/>
    <w:rsid w:val="003D46DA"/>
    <w:rsid w:val="003D474D"/>
    <w:rsid w:val="003D4902"/>
    <w:rsid w:val="003D4989"/>
    <w:rsid w:val="003D49C3"/>
    <w:rsid w:val="003D49E4"/>
    <w:rsid w:val="003D4D24"/>
    <w:rsid w:val="003D4D9C"/>
    <w:rsid w:val="003D4DE5"/>
    <w:rsid w:val="003D4E02"/>
    <w:rsid w:val="003D4EC3"/>
    <w:rsid w:val="003D4FFA"/>
    <w:rsid w:val="003D50D1"/>
    <w:rsid w:val="003D5168"/>
    <w:rsid w:val="003D5214"/>
    <w:rsid w:val="003D5313"/>
    <w:rsid w:val="003D542E"/>
    <w:rsid w:val="003D5438"/>
    <w:rsid w:val="003D5534"/>
    <w:rsid w:val="003D553D"/>
    <w:rsid w:val="003D5562"/>
    <w:rsid w:val="003D55F2"/>
    <w:rsid w:val="003D566F"/>
    <w:rsid w:val="003D56BD"/>
    <w:rsid w:val="003D5A84"/>
    <w:rsid w:val="003D5AF9"/>
    <w:rsid w:val="003D5BA6"/>
    <w:rsid w:val="003D5C3E"/>
    <w:rsid w:val="003D5C97"/>
    <w:rsid w:val="003D5D78"/>
    <w:rsid w:val="003D5E99"/>
    <w:rsid w:val="003D5F0D"/>
    <w:rsid w:val="003D61DF"/>
    <w:rsid w:val="003D6365"/>
    <w:rsid w:val="003D6553"/>
    <w:rsid w:val="003D6576"/>
    <w:rsid w:val="003D65C4"/>
    <w:rsid w:val="003D6643"/>
    <w:rsid w:val="003D697E"/>
    <w:rsid w:val="003D6B18"/>
    <w:rsid w:val="003D6C8C"/>
    <w:rsid w:val="003D6D2E"/>
    <w:rsid w:val="003D6F2D"/>
    <w:rsid w:val="003D7063"/>
    <w:rsid w:val="003D715D"/>
    <w:rsid w:val="003D7203"/>
    <w:rsid w:val="003D725E"/>
    <w:rsid w:val="003D728E"/>
    <w:rsid w:val="003D7353"/>
    <w:rsid w:val="003D73A0"/>
    <w:rsid w:val="003D7442"/>
    <w:rsid w:val="003D75A1"/>
    <w:rsid w:val="003D7746"/>
    <w:rsid w:val="003D7776"/>
    <w:rsid w:val="003D77B2"/>
    <w:rsid w:val="003D78DA"/>
    <w:rsid w:val="003D7B02"/>
    <w:rsid w:val="003D7CA5"/>
    <w:rsid w:val="003D7F8A"/>
    <w:rsid w:val="003E0029"/>
    <w:rsid w:val="003E00F2"/>
    <w:rsid w:val="003E0150"/>
    <w:rsid w:val="003E030B"/>
    <w:rsid w:val="003E04BA"/>
    <w:rsid w:val="003E04DE"/>
    <w:rsid w:val="003E05EA"/>
    <w:rsid w:val="003E05F1"/>
    <w:rsid w:val="003E0607"/>
    <w:rsid w:val="003E0665"/>
    <w:rsid w:val="003E06FC"/>
    <w:rsid w:val="003E094A"/>
    <w:rsid w:val="003E0986"/>
    <w:rsid w:val="003E0A76"/>
    <w:rsid w:val="003E0D2F"/>
    <w:rsid w:val="003E0DF1"/>
    <w:rsid w:val="003E0F43"/>
    <w:rsid w:val="003E0F85"/>
    <w:rsid w:val="003E1003"/>
    <w:rsid w:val="003E1012"/>
    <w:rsid w:val="003E101E"/>
    <w:rsid w:val="003E116E"/>
    <w:rsid w:val="003E124F"/>
    <w:rsid w:val="003E12F0"/>
    <w:rsid w:val="003E13C8"/>
    <w:rsid w:val="003E14AA"/>
    <w:rsid w:val="003E14AB"/>
    <w:rsid w:val="003E14DE"/>
    <w:rsid w:val="003E14E4"/>
    <w:rsid w:val="003E14E7"/>
    <w:rsid w:val="003E152E"/>
    <w:rsid w:val="003E17CE"/>
    <w:rsid w:val="003E1965"/>
    <w:rsid w:val="003E1DB2"/>
    <w:rsid w:val="003E20A9"/>
    <w:rsid w:val="003E20D0"/>
    <w:rsid w:val="003E213C"/>
    <w:rsid w:val="003E215F"/>
    <w:rsid w:val="003E2202"/>
    <w:rsid w:val="003E242D"/>
    <w:rsid w:val="003E2493"/>
    <w:rsid w:val="003E24C8"/>
    <w:rsid w:val="003E25D5"/>
    <w:rsid w:val="003E2619"/>
    <w:rsid w:val="003E2A49"/>
    <w:rsid w:val="003E2AA0"/>
    <w:rsid w:val="003E2AD1"/>
    <w:rsid w:val="003E2BE1"/>
    <w:rsid w:val="003E2C3C"/>
    <w:rsid w:val="003E2DA2"/>
    <w:rsid w:val="003E2F89"/>
    <w:rsid w:val="003E303C"/>
    <w:rsid w:val="003E307B"/>
    <w:rsid w:val="003E316F"/>
    <w:rsid w:val="003E31A0"/>
    <w:rsid w:val="003E324D"/>
    <w:rsid w:val="003E328E"/>
    <w:rsid w:val="003E32E5"/>
    <w:rsid w:val="003E32E7"/>
    <w:rsid w:val="003E32F0"/>
    <w:rsid w:val="003E346B"/>
    <w:rsid w:val="003E34EE"/>
    <w:rsid w:val="003E36E1"/>
    <w:rsid w:val="003E3732"/>
    <w:rsid w:val="003E3752"/>
    <w:rsid w:val="003E37E0"/>
    <w:rsid w:val="003E3970"/>
    <w:rsid w:val="003E399A"/>
    <w:rsid w:val="003E3A6E"/>
    <w:rsid w:val="003E3BFB"/>
    <w:rsid w:val="003E3DBF"/>
    <w:rsid w:val="003E3FEA"/>
    <w:rsid w:val="003E40A6"/>
    <w:rsid w:val="003E4240"/>
    <w:rsid w:val="003E42AF"/>
    <w:rsid w:val="003E433D"/>
    <w:rsid w:val="003E440B"/>
    <w:rsid w:val="003E469E"/>
    <w:rsid w:val="003E49AC"/>
    <w:rsid w:val="003E49EC"/>
    <w:rsid w:val="003E4A39"/>
    <w:rsid w:val="003E4AC1"/>
    <w:rsid w:val="003E4B83"/>
    <w:rsid w:val="003E4D4D"/>
    <w:rsid w:val="003E4D91"/>
    <w:rsid w:val="003E4E42"/>
    <w:rsid w:val="003E4FFD"/>
    <w:rsid w:val="003E5033"/>
    <w:rsid w:val="003E5070"/>
    <w:rsid w:val="003E50B8"/>
    <w:rsid w:val="003E50C6"/>
    <w:rsid w:val="003E5235"/>
    <w:rsid w:val="003E54D1"/>
    <w:rsid w:val="003E5802"/>
    <w:rsid w:val="003E59A0"/>
    <w:rsid w:val="003E59CF"/>
    <w:rsid w:val="003E5A7E"/>
    <w:rsid w:val="003E5B6A"/>
    <w:rsid w:val="003E5CB3"/>
    <w:rsid w:val="003E5D9F"/>
    <w:rsid w:val="003E5F8B"/>
    <w:rsid w:val="003E60D8"/>
    <w:rsid w:val="003E6201"/>
    <w:rsid w:val="003E6329"/>
    <w:rsid w:val="003E63A6"/>
    <w:rsid w:val="003E6470"/>
    <w:rsid w:val="003E64B7"/>
    <w:rsid w:val="003E663E"/>
    <w:rsid w:val="003E677A"/>
    <w:rsid w:val="003E6A75"/>
    <w:rsid w:val="003E6B54"/>
    <w:rsid w:val="003E6D45"/>
    <w:rsid w:val="003E6FD5"/>
    <w:rsid w:val="003E7054"/>
    <w:rsid w:val="003E7281"/>
    <w:rsid w:val="003E73C9"/>
    <w:rsid w:val="003E73E6"/>
    <w:rsid w:val="003E743B"/>
    <w:rsid w:val="003E7455"/>
    <w:rsid w:val="003E758B"/>
    <w:rsid w:val="003E7789"/>
    <w:rsid w:val="003E78E2"/>
    <w:rsid w:val="003E78F9"/>
    <w:rsid w:val="003E7989"/>
    <w:rsid w:val="003E7B41"/>
    <w:rsid w:val="003E7C18"/>
    <w:rsid w:val="003E7FC9"/>
    <w:rsid w:val="003EA5F3"/>
    <w:rsid w:val="003F021C"/>
    <w:rsid w:val="003F0272"/>
    <w:rsid w:val="003F04EB"/>
    <w:rsid w:val="003F0561"/>
    <w:rsid w:val="003F06B5"/>
    <w:rsid w:val="003F07BD"/>
    <w:rsid w:val="003F07DE"/>
    <w:rsid w:val="003F08B1"/>
    <w:rsid w:val="003F0A74"/>
    <w:rsid w:val="003F0A8B"/>
    <w:rsid w:val="003F0E0A"/>
    <w:rsid w:val="003F0E43"/>
    <w:rsid w:val="003F1031"/>
    <w:rsid w:val="003F1036"/>
    <w:rsid w:val="003F1129"/>
    <w:rsid w:val="003F1160"/>
    <w:rsid w:val="003F1286"/>
    <w:rsid w:val="003F1325"/>
    <w:rsid w:val="003F13B7"/>
    <w:rsid w:val="003F14B3"/>
    <w:rsid w:val="003F1501"/>
    <w:rsid w:val="003F16A0"/>
    <w:rsid w:val="003F16CA"/>
    <w:rsid w:val="003F16F0"/>
    <w:rsid w:val="003F17DE"/>
    <w:rsid w:val="003F1819"/>
    <w:rsid w:val="003F1967"/>
    <w:rsid w:val="003F1ADE"/>
    <w:rsid w:val="003F1C1C"/>
    <w:rsid w:val="003F1CBC"/>
    <w:rsid w:val="003F1D50"/>
    <w:rsid w:val="003F1DE8"/>
    <w:rsid w:val="003F1EDF"/>
    <w:rsid w:val="003F1F5B"/>
    <w:rsid w:val="003F1FF7"/>
    <w:rsid w:val="003F206C"/>
    <w:rsid w:val="003F2098"/>
    <w:rsid w:val="003F20BC"/>
    <w:rsid w:val="003F2149"/>
    <w:rsid w:val="003F217D"/>
    <w:rsid w:val="003F22B2"/>
    <w:rsid w:val="003F272E"/>
    <w:rsid w:val="003F276F"/>
    <w:rsid w:val="003F2966"/>
    <w:rsid w:val="003F29C3"/>
    <w:rsid w:val="003F2B21"/>
    <w:rsid w:val="003F2BF2"/>
    <w:rsid w:val="003F2CDB"/>
    <w:rsid w:val="003F2CF6"/>
    <w:rsid w:val="003F2DEE"/>
    <w:rsid w:val="003F2FC9"/>
    <w:rsid w:val="003F30AF"/>
    <w:rsid w:val="003F3197"/>
    <w:rsid w:val="003F328D"/>
    <w:rsid w:val="003F33C6"/>
    <w:rsid w:val="003F3611"/>
    <w:rsid w:val="003F370B"/>
    <w:rsid w:val="003F3805"/>
    <w:rsid w:val="003F3878"/>
    <w:rsid w:val="003F3A0D"/>
    <w:rsid w:val="003F3B20"/>
    <w:rsid w:val="003F3C8E"/>
    <w:rsid w:val="003F3CB1"/>
    <w:rsid w:val="003F3D24"/>
    <w:rsid w:val="003F3D2C"/>
    <w:rsid w:val="003F3D45"/>
    <w:rsid w:val="003F3EFC"/>
    <w:rsid w:val="003F3FDB"/>
    <w:rsid w:val="003F428E"/>
    <w:rsid w:val="003F4293"/>
    <w:rsid w:val="003F432F"/>
    <w:rsid w:val="003F4467"/>
    <w:rsid w:val="003F450C"/>
    <w:rsid w:val="003F4552"/>
    <w:rsid w:val="003F463E"/>
    <w:rsid w:val="003F4659"/>
    <w:rsid w:val="003F46F9"/>
    <w:rsid w:val="003F4702"/>
    <w:rsid w:val="003F47B5"/>
    <w:rsid w:val="003F48B1"/>
    <w:rsid w:val="003F48C4"/>
    <w:rsid w:val="003F49BC"/>
    <w:rsid w:val="003F49C5"/>
    <w:rsid w:val="003F4B62"/>
    <w:rsid w:val="003F4C61"/>
    <w:rsid w:val="003F4D22"/>
    <w:rsid w:val="003F4D2B"/>
    <w:rsid w:val="003F4D34"/>
    <w:rsid w:val="003F4E5E"/>
    <w:rsid w:val="003F4F73"/>
    <w:rsid w:val="003F507D"/>
    <w:rsid w:val="003F5158"/>
    <w:rsid w:val="003F518D"/>
    <w:rsid w:val="003F5221"/>
    <w:rsid w:val="003F5285"/>
    <w:rsid w:val="003F53D2"/>
    <w:rsid w:val="003F53D8"/>
    <w:rsid w:val="003F5490"/>
    <w:rsid w:val="003F5572"/>
    <w:rsid w:val="003F5658"/>
    <w:rsid w:val="003F57CA"/>
    <w:rsid w:val="003F57F3"/>
    <w:rsid w:val="003F5B9C"/>
    <w:rsid w:val="003F5BB1"/>
    <w:rsid w:val="003F5C5B"/>
    <w:rsid w:val="003F5C64"/>
    <w:rsid w:val="003F5D9B"/>
    <w:rsid w:val="003F5E03"/>
    <w:rsid w:val="003F5ECF"/>
    <w:rsid w:val="003F5EE1"/>
    <w:rsid w:val="003F5FB7"/>
    <w:rsid w:val="003F600B"/>
    <w:rsid w:val="003F6147"/>
    <w:rsid w:val="003F61B1"/>
    <w:rsid w:val="003F62CC"/>
    <w:rsid w:val="003F62D3"/>
    <w:rsid w:val="003F6315"/>
    <w:rsid w:val="003F6375"/>
    <w:rsid w:val="003F644F"/>
    <w:rsid w:val="003F64AA"/>
    <w:rsid w:val="003F6601"/>
    <w:rsid w:val="003F66EE"/>
    <w:rsid w:val="003F6747"/>
    <w:rsid w:val="003F67A1"/>
    <w:rsid w:val="003F687D"/>
    <w:rsid w:val="003F69AC"/>
    <w:rsid w:val="003F6A70"/>
    <w:rsid w:val="003F6A7E"/>
    <w:rsid w:val="003F6B38"/>
    <w:rsid w:val="003F6C28"/>
    <w:rsid w:val="003F6C66"/>
    <w:rsid w:val="003F6CB4"/>
    <w:rsid w:val="003F6CF6"/>
    <w:rsid w:val="003F6D85"/>
    <w:rsid w:val="003F6EB2"/>
    <w:rsid w:val="003F6EC0"/>
    <w:rsid w:val="003F7063"/>
    <w:rsid w:val="003F71ED"/>
    <w:rsid w:val="003F731F"/>
    <w:rsid w:val="003F7445"/>
    <w:rsid w:val="003F74D5"/>
    <w:rsid w:val="003F74EA"/>
    <w:rsid w:val="003F75AA"/>
    <w:rsid w:val="003F76A5"/>
    <w:rsid w:val="003F7994"/>
    <w:rsid w:val="003F7A2F"/>
    <w:rsid w:val="003F7A90"/>
    <w:rsid w:val="003F7B47"/>
    <w:rsid w:val="003F7B5E"/>
    <w:rsid w:val="003F7C4E"/>
    <w:rsid w:val="003F7CF4"/>
    <w:rsid w:val="003F7DA1"/>
    <w:rsid w:val="003F7F6E"/>
    <w:rsid w:val="00400079"/>
    <w:rsid w:val="0040008F"/>
    <w:rsid w:val="004000E5"/>
    <w:rsid w:val="0040018F"/>
    <w:rsid w:val="004001B7"/>
    <w:rsid w:val="004002A5"/>
    <w:rsid w:val="004006E5"/>
    <w:rsid w:val="004006F5"/>
    <w:rsid w:val="00400883"/>
    <w:rsid w:val="00400A0B"/>
    <w:rsid w:val="00400A0D"/>
    <w:rsid w:val="00400B89"/>
    <w:rsid w:val="00400C43"/>
    <w:rsid w:val="00400CA1"/>
    <w:rsid w:val="00400DEF"/>
    <w:rsid w:val="00400EC0"/>
    <w:rsid w:val="00401043"/>
    <w:rsid w:val="00401182"/>
    <w:rsid w:val="004011CF"/>
    <w:rsid w:val="00401308"/>
    <w:rsid w:val="0040139A"/>
    <w:rsid w:val="0040147E"/>
    <w:rsid w:val="004014A1"/>
    <w:rsid w:val="00401572"/>
    <w:rsid w:val="004015BA"/>
    <w:rsid w:val="004016D7"/>
    <w:rsid w:val="0040181D"/>
    <w:rsid w:val="00401949"/>
    <w:rsid w:val="00401C51"/>
    <w:rsid w:val="00401CE8"/>
    <w:rsid w:val="00401D97"/>
    <w:rsid w:val="00401DAE"/>
    <w:rsid w:val="00401F16"/>
    <w:rsid w:val="00402018"/>
    <w:rsid w:val="00402045"/>
    <w:rsid w:val="004020B3"/>
    <w:rsid w:val="004020F4"/>
    <w:rsid w:val="0040215C"/>
    <w:rsid w:val="004021A7"/>
    <w:rsid w:val="0040226A"/>
    <w:rsid w:val="004022AB"/>
    <w:rsid w:val="00402336"/>
    <w:rsid w:val="004023FC"/>
    <w:rsid w:val="004024EB"/>
    <w:rsid w:val="004025ED"/>
    <w:rsid w:val="00402840"/>
    <w:rsid w:val="00402866"/>
    <w:rsid w:val="0040291D"/>
    <w:rsid w:val="00402A84"/>
    <w:rsid w:val="00402AA4"/>
    <w:rsid w:val="00402B98"/>
    <w:rsid w:val="00402C86"/>
    <w:rsid w:val="00402D98"/>
    <w:rsid w:val="00402E1E"/>
    <w:rsid w:val="00402E46"/>
    <w:rsid w:val="00402EEE"/>
    <w:rsid w:val="00402F96"/>
    <w:rsid w:val="00403291"/>
    <w:rsid w:val="004033CF"/>
    <w:rsid w:val="0040363D"/>
    <w:rsid w:val="0040369F"/>
    <w:rsid w:val="004037A4"/>
    <w:rsid w:val="004037C2"/>
    <w:rsid w:val="00403926"/>
    <w:rsid w:val="00403A21"/>
    <w:rsid w:val="00403B09"/>
    <w:rsid w:val="00403BB8"/>
    <w:rsid w:val="00403C1D"/>
    <w:rsid w:val="00403D66"/>
    <w:rsid w:val="00403DD7"/>
    <w:rsid w:val="00403EDF"/>
    <w:rsid w:val="00403FD9"/>
    <w:rsid w:val="004041F7"/>
    <w:rsid w:val="004042BA"/>
    <w:rsid w:val="004042CC"/>
    <w:rsid w:val="0040431D"/>
    <w:rsid w:val="00404334"/>
    <w:rsid w:val="004044AE"/>
    <w:rsid w:val="004044FD"/>
    <w:rsid w:val="00404532"/>
    <w:rsid w:val="004045A7"/>
    <w:rsid w:val="004045E7"/>
    <w:rsid w:val="004045E8"/>
    <w:rsid w:val="0040473D"/>
    <w:rsid w:val="0040489B"/>
    <w:rsid w:val="00404991"/>
    <w:rsid w:val="004049E7"/>
    <w:rsid w:val="00404A29"/>
    <w:rsid w:val="00404B20"/>
    <w:rsid w:val="00405066"/>
    <w:rsid w:val="004050D5"/>
    <w:rsid w:val="004050E1"/>
    <w:rsid w:val="00405203"/>
    <w:rsid w:val="00405233"/>
    <w:rsid w:val="004052DD"/>
    <w:rsid w:val="004053F5"/>
    <w:rsid w:val="0040543B"/>
    <w:rsid w:val="00405471"/>
    <w:rsid w:val="00405477"/>
    <w:rsid w:val="00405524"/>
    <w:rsid w:val="00405537"/>
    <w:rsid w:val="00405670"/>
    <w:rsid w:val="004056D6"/>
    <w:rsid w:val="004057FB"/>
    <w:rsid w:val="0040584B"/>
    <w:rsid w:val="00405905"/>
    <w:rsid w:val="00405A78"/>
    <w:rsid w:val="00405BDA"/>
    <w:rsid w:val="00405C1F"/>
    <w:rsid w:val="00405C84"/>
    <w:rsid w:val="00405D48"/>
    <w:rsid w:val="00405E17"/>
    <w:rsid w:val="00405F7B"/>
    <w:rsid w:val="00406004"/>
    <w:rsid w:val="00406137"/>
    <w:rsid w:val="004061EE"/>
    <w:rsid w:val="00406397"/>
    <w:rsid w:val="004065D5"/>
    <w:rsid w:val="004065DB"/>
    <w:rsid w:val="0040663A"/>
    <w:rsid w:val="00406678"/>
    <w:rsid w:val="00406726"/>
    <w:rsid w:val="004068CC"/>
    <w:rsid w:val="00406AC5"/>
    <w:rsid w:val="00406B0D"/>
    <w:rsid w:val="00406BDB"/>
    <w:rsid w:val="00406C6C"/>
    <w:rsid w:val="00406D09"/>
    <w:rsid w:val="00406E6B"/>
    <w:rsid w:val="00406F13"/>
    <w:rsid w:val="00406FB7"/>
    <w:rsid w:val="00406FBA"/>
    <w:rsid w:val="00406FF3"/>
    <w:rsid w:val="0040709E"/>
    <w:rsid w:val="004071FE"/>
    <w:rsid w:val="00407315"/>
    <w:rsid w:val="00407457"/>
    <w:rsid w:val="00407716"/>
    <w:rsid w:val="00407851"/>
    <w:rsid w:val="00407B9A"/>
    <w:rsid w:val="00407BC1"/>
    <w:rsid w:val="00407C67"/>
    <w:rsid w:val="00407C8D"/>
    <w:rsid w:val="00407E4F"/>
    <w:rsid w:val="00407EC8"/>
    <w:rsid w:val="00407F34"/>
    <w:rsid w:val="00407F35"/>
    <w:rsid w:val="00407F6E"/>
    <w:rsid w:val="00410049"/>
    <w:rsid w:val="004100B0"/>
    <w:rsid w:val="00410183"/>
    <w:rsid w:val="0041058C"/>
    <w:rsid w:val="004105A6"/>
    <w:rsid w:val="004105AA"/>
    <w:rsid w:val="004105C6"/>
    <w:rsid w:val="00410756"/>
    <w:rsid w:val="004109B9"/>
    <w:rsid w:val="00410C0A"/>
    <w:rsid w:val="00410C86"/>
    <w:rsid w:val="00410DEB"/>
    <w:rsid w:val="00410E77"/>
    <w:rsid w:val="00410FD9"/>
    <w:rsid w:val="0041112D"/>
    <w:rsid w:val="00411137"/>
    <w:rsid w:val="00411220"/>
    <w:rsid w:val="0041123D"/>
    <w:rsid w:val="00411266"/>
    <w:rsid w:val="00411334"/>
    <w:rsid w:val="00411547"/>
    <w:rsid w:val="00411645"/>
    <w:rsid w:val="00411804"/>
    <w:rsid w:val="00411827"/>
    <w:rsid w:val="004118A5"/>
    <w:rsid w:val="0041190A"/>
    <w:rsid w:val="00411967"/>
    <w:rsid w:val="0041196D"/>
    <w:rsid w:val="004119E1"/>
    <w:rsid w:val="00411A3F"/>
    <w:rsid w:val="00411ABE"/>
    <w:rsid w:val="00411AEE"/>
    <w:rsid w:val="00411B48"/>
    <w:rsid w:val="00411BF0"/>
    <w:rsid w:val="00411C24"/>
    <w:rsid w:val="00411C5E"/>
    <w:rsid w:val="00411C94"/>
    <w:rsid w:val="00411CAE"/>
    <w:rsid w:val="00411ED4"/>
    <w:rsid w:val="0041237B"/>
    <w:rsid w:val="004123CE"/>
    <w:rsid w:val="00412461"/>
    <w:rsid w:val="0041250E"/>
    <w:rsid w:val="0041257F"/>
    <w:rsid w:val="004126A7"/>
    <w:rsid w:val="004126B9"/>
    <w:rsid w:val="00412AED"/>
    <w:rsid w:val="00412B1A"/>
    <w:rsid w:val="00412B48"/>
    <w:rsid w:val="00412B74"/>
    <w:rsid w:val="00412B77"/>
    <w:rsid w:val="00412BF1"/>
    <w:rsid w:val="00413172"/>
    <w:rsid w:val="0041325B"/>
    <w:rsid w:val="00413293"/>
    <w:rsid w:val="00413436"/>
    <w:rsid w:val="004134A5"/>
    <w:rsid w:val="00413517"/>
    <w:rsid w:val="00413541"/>
    <w:rsid w:val="004137A8"/>
    <w:rsid w:val="0041380D"/>
    <w:rsid w:val="00413810"/>
    <w:rsid w:val="0041381F"/>
    <w:rsid w:val="0041388E"/>
    <w:rsid w:val="004139BA"/>
    <w:rsid w:val="00413A70"/>
    <w:rsid w:val="00413AB5"/>
    <w:rsid w:val="00413B07"/>
    <w:rsid w:val="00413CC2"/>
    <w:rsid w:val="00413D87"/>
    <w:rsid w:val="00413EBB"/>
    <w:rsid w:val="00413F5A"/>
    <w:rsid w:val="00414040"/>
    <w:rsid w:val="00414053"/>
    <w:rsid w:val="004140E0"/>
    <w:rsid w:val="00414105"/>
    <w:rsid w:val="0041410D"/>
    <w:rsid w:val="00414129"/>
    <w:rsid w:val="00414137"/>
    <w:rsid w:val="00414198"/>
    <w:rsid w:val="00414199"/>
    <w:rsid w:val="0041439A"/>
    <w:rsid w:val="004143AD"/>
    <w:rsid w:val="004143B5"/>
    <w:rsid w:val="0041450D"/>
    <w:rsid w:val="0041457C"/>
    <w:rsid w:val="00414711"/>
    <w:rsid w:val="00414823"/>
    <w:rsid w:val="00414A0A"/>
    <w:rsid w:val="00414A59"/>
    <w:rsid w:val="00414AB8"/>
    <w:rsid w:val="00414B1B"/>
    <w:rsid w:val="00414BA8"/>
    <w:rsid w:val="00414D44"/>
    <w:rsid w:val="00414D99"/>
    <w:rsid w:val="00414E68"/>
    <w:rsid w:val="00414EE4"/>
    <w:rsid w:val="00414F0F"/>
    <w:rsid w:val="00414F1D"/>
    <w:rsid w:val="00414F30"/>
    <w:rsid w:val="00414F36"/>
    <w:rsid w:val="00414FED"/>
    <w:rsid w:val="00415235"/>
    <w:rsid w:val="004152FA"/>
    <w:rsid w:val="004155BD"/>
    <w:rsid w:val="00415643"/>
    <w:rsid w:val="0041566E"/>
    <w:rsid w:val="00415692"/>
    <w:rsid w:val="004156D7"/>
    <w:rsid w:val="004156FD"/>
    <w:rsid w:val="00415808"/>
    <w:rsid w:val="004158FC"/>
    <w:rsid w:val="00415A77"/>
    <w:rsid w:val="00415BAA"/>
    <w:rsid w:val="00415BC1"/>
    <w:rsid w:val="00415C74"/>
    <w:rsid w:val="00415ED8"/>
    <w:rsid w:val="00415F44"/>
    <w:rsid w:val="0041608C"/>
    <w:rsid w:val="004160E5"/>
    <w:rsid w:val="00416125"/>
    <w:rsid w:val="00416136"/>
    <w:rsid w:val="00416313"/>
    <w:rsid w:val="004163B5"/>
    <w:rsid w:val="00416445"/>
    <w:rsid w:val="0041661C"/>
    <w:rsid w:val="0041663D"/>
    <w:rsid w:val="004166E7"/>
    <w:rsid w:val="00416713"/>
    <w:rsid w:val="00416A4A"/>
    <w:rsid w:val="00416C87"/>
    <w:rsid w:val="00416D4F"/>
    <w:rsid w:val="00416EA0"/>
    <w:rsid w:val="00416F33"/>
    <w:rsid w:val="0041707A"/>
    <w:rsid w:val="004170BF"/>
    <w:rsid w:val="0041716E"/>
    <w:rsid w:val="004171A3"/>
    <w:rsid w:val="004171DF"/>
    <w:rsid w:val="0041726F"/>
    <w:rsid w:val="00417417"/>
    <w:rsid w:val="0041751C"/>
    <w:rsid w:val="00417545"/>
    <w:rsid w:val="0041775E"/>
    <w:rsid w:val="0041794F"/>
    <w:rsid w:val="004179D7"/>
    <w:rsid w:val="00417B20"/>
    <w:rsid w:val="00417B24"/>
    <w:rsid w:val="00417BE5"/>
    <w:rsid w:val="00417C1C"/>
    <w:rsid w:val="00417D15"/>
    <w:rsid w:val="00417DF3"/>
    <w:rsid w:val="00417F36"/>
    <w:rsid w:val="00420008"/>
    <w:rsid w:val="004201B6"/>
    <w:rsid w:val="00420303"/>
    <w:rsid w:val="00420358"/>
    <w:rsid w:val="004205CD"/>
    <w:rsid w:val="004205D4"/>
    <w:rsid w:val="00420619"/>
    <w:rsid w:val="00420749"/>
    <w:rsid w:val="00420883"/>
    <w:rsid w:val="0042099D"/>
    <w:rsid w:val="004209C6"/>
    <w:rsid w:val="004209F4"/>
    <w:rsid w:val="00420A2B"/>
    <w:rsid w:val="00420C47"/>
    <w:rsid w:val="00420CD1"/>
    <w:rsid w:val="00420D61"/>
    <w:rsid w:val="00420EA8"/>
    <w:rsid w:val="00420EFA"/>
    <w:rsid w:val="00420F6D"/>
    <w:rsid w:val="0042108E"/>
    <w:rsid w:val="004210CB"/>
    <w:rsid w:val="00421216"/>
    <w:rsid w:val="004212F5"/>
    <w:rsid w:val="0042131D"/>
    <w:rsid w:val="00421477"/>
    <w:rsid w:val="00421534"/>
    <w:rsid w:val="00421612"/>
    <w:rsid w:val="0042162C"/>
    <w:rsid w:val="004216EF"/>
    <w:rsid w:val="00421727"/>
    <w:rsid w:val="004217C5"/>
    <w:rsid w:val="0042181D"/>
    <w:rsid w:val="00421899"/>
    <w:rsid w:val="00421B53"/>
    <w:rsid w:val="00421C83"/>
    <w:rsid w:val="00421CA0"/>
    <w:rsid w:val="00421D90"/>
    <w:rsid w:val="00421DE1"/>
    <w:rsid w:val="00422305"/>
    <w:rsid w:val="00422365"/>
    <w:rsid w:val="004224C3"/>
    <w:rsid w:val="00422631"/>
    <w:rsid w:val="00422712"/>
    <w:rsid w:val="0042272D"/>
    <w:rsid w:val="00422739"/>
    <w:rsid w:val="0042294B"/>
    <w:rsid w:val="00422B51"/>
    <w:rsid w:val="00422B7E"/>
    <w:rsid w:val="00422B92"/>
    <w:rsid w:val="00422BA6"/>
    <w:rsid w:val="00422CB4"/>
    <w:rsid w:val="00422CDF"/>
    <w:rsid w:val="00422E32"/>
    <w:rsid w:val="0042305F"/>
    <w:rsid w:val="004230EC"/>
    <w:rsid w:val="00423230"/>
    <w:rsid w:val="004232B1"/>
    <w:rsid w:val="004233D9"/>
    <w:rsid w:val="00423403"/>
    <w:rsid w:val="0042340D"/>
    <w:rsid w:val="004234E3"/>
    <w:rsid w:val="004235D1"/>
    <w:rsid w:val="00423603"/>
    <w:rsid w:val="00423637"/>
    <w:rsid w:val="004237C2"/>
    <w:rsid w:val="00423873"/>
    <w:rsid w:val="00423890"/>
    <w:rsid w:val="00423917"/>
    <w:rsid w:val="0042398A"/>
    <w:rsid w:val="00423AF6"/>
    <w:rsid w:val="00423B09"/>
    <w:rsid w:val="00423B51"/>
    <w:rsid w:val="00423C8A"/>
    <w:rsid w:val="00424016"/>
    <w:rsid w:val="00424068"/>
    <w:rsid w:val="004240A1"/>
    <w:rsid w:val="0042426B"/>
    <w:rsid w:val="004242F3"/>
    <w:rsid w:val="004243AE"/>
    <w:rsid w:val="004244CC"/>
    <w:rsid w:val="004244CE"/>
    <w:rsid w:val="004245C2"/>
    <w:rsid w:val="004245DA"/>
    <w:rsid w:val="00424885"/>
    <w:rsid w:val="0042496D"/>
    <w:rsid w:val="0042497D"/>
    <w:rsid w:val="00424AB5"/>
    <w:rsid w:val="00424AF0"/>
    <w:rsid w:val="00424C7D"/>
    <w:rsid w:val="00424CCA"/>
    <w:rsid w:val="00424D21"/>
    <w:rsid w:val="00424D8D"/>
    <w:rsid w:val="00424DE3"/>
    <w:rsid w:val="00424F75"/>
    <w:rsid w:val="00425009"/>
    <w:rsid w:val="004250AE"/>
    <w:rsid w:val="0042519F"/>
    <w:rsid w:val="0042521C"/>
    <w:rsid w:val="004252BA"/>
    <w:rsid w:val="004252C4"/>
    <w:rsid w:val="004252F4"/>
    <w:rsid w:val="004255F4"/>
    <w:rsid w:val="00425655"/>
    <w:rsid w:val="0042565A"/>
    <w:rsid w:val="004258CD"/>
    <w:rsid w:val="00425955"/>
    <w:rsid w:val="0042599F"/>
    <w:rsid w:val="00425A94"/>
    <w:rsid w:val="00425A95"/>
    <w:rsid w:val="00425B31"/>
    <w:rsid w:val="00425B72"/>
    <w:rsid w:val="00425D63"/>
    <w:rsid w:val="00425D80"/>
    <w:rsid w:val="00425DAB"/>
    <w:rsid w:val="00425F23"/>
    <w:rsid w:val="00425F7F"/>
    <w:rsid w:val="00425FE7"/>
    <w:rsid w:val="004260C5"/>
    <w:rsid w:val="004260DD"/>
    <w:rsid w:val="0042639A"/>
    <w:rsid w:val="00426425"/>
    <w:rsid w:val="004264B0"/>
    <w:rsid w:val="00426592"/>
    <w:rsid w:val="00426633"/>
    <w:rsid w:val="00426720"/>
    <w:rsid w:val="004267A5"/>
    <w:rsid w:val="004267F4"/>
    <w:rsid w:val="00426922"/>
    <w:rsid w:val="004269E4"/>
    <w:rsid w:val="00426D29"/>
    <w:rsid w:val="00426E05"/>
    <w:rsid w:val="00426E72"/>
    <w:rsid w:val="00426F19"/>
    <w:rsid w:val="00426FF6"/>
    <w:rsid w:val="00426FFA"/>
    <w:rsid w:val="00427022"/>
    <w:rsid w:val="004270F9"/>
    <w:rsid w:val="00427107"/>
    <w:rsid w:val="004271B7"/>
    <w:rsid w:val="00427253"/>
    <w:rsid w:val="00427270"/>
    <w:rsid w:val="00427299"/>
    <w:rsid w:val="0042734B"/>
    <w:rsid w:val="0042748D"/>
    <w:rsid w:val="004274D9"/>
    <w:rsid w:val="00427515"/>
    <w:rsid w:val="00427591"/>
    <w:rsid w:val="004277C4"/>
    <w:rsid w:val="00427819"/>
    <w:rsid w:val="0042786D"/>
    <w:rsid w:val="004278DD"/>
    <w:rsid w:val="0042792C"/>
    <w:rsid w:val="00427950"/>
    <w:rsid w:val="004279AF"/>
    <w:rsid w:val="00427B00"/>
    <w:rsid w:val="00427B06"/>
    <w:rsid w:val="00427CBF"/>
    <w:rsid w:val="00427DED"/>
    <w:rsid w:val="004301CB"/>
    <w:rsid w:val="004301DF"/>
    <w:rsid w:val="004304E0"/>
    <w:rsid w:val="00430704"/>
    <w:rsid w:val="004307DB"/>
    <w:rsid w:val="0043085C"/>
    <w:rsid w:val="0043091C"/>
    <w:rsid w:val="00430A7D"/>
    <w:rsid w:val="00430AA8"/>
    <w:rsid w:val="00430AFF"/>
    <w:rsid w:val="00430B2B"/>
    <w:rsid w:val="00430C54"/>
    <w:rsid w:val="00430D94"/>
    <w:rsid w:val="00430DA4"/>
    <w:rsid w:val="00430DB5"/>
    <w:rsid w:val="00430E96"/>
    <w:rsid w:val="00430F69"/>
    <w:rsid w:val="00431039"/>
    <w:rsid w:val="0043106A"/>
    <w:rsid w:val="004310C6"/>
    <w:rsid w:val="00431226"/>
    <w:rsid w:val="004312A1"/>
    <w:rsid w:val="00431324"/>
    <w:rsid w:val="00431371"/>
    <w:rsid w:val="004313AC"/>
    <w:rsid w:val="00431410"/>
    <w:rsid w:val="004315B4"/>
    <w:rsid w:val="00431739"/>
    <w:rsid w:val="00431773"/>
    <w:rsid w:val="004317AA"/>
    <w:rsid w:val="004317CC"/>
    <w:rsid w:val="004317F6"/>
    <w:rsid w:val="00431945"/>
    <w:rsid w:val="00431A7F"/>
    <w:rsid w:val="00431A82"/>
    <w:rsid w:val="00431AE8"/>
    <w:rsid w:val="00431D24"/>
    <w:rsid w:val="00431EE0"/>
    <w:rsid w:val="00431FD0"/>
    <w:rsid w:val="00432105"/>
    <w:rsid w:val="00432168"/>
    <w:rsid w:val="00432199"/>
    <w:rsid w:val="00432229"/>
    <w:rsid w:val="004322AB"/>
    <w:rsid w:val="004323A1"/>
    <w:rsid w:val="0043240C"/>
    <w:rsid w:val="0043241B"/>
    <w:rsid w:val="00432443"/>
    <w:rsid w:val="004325FE"/>
    <w:rsid w:val="004326D9"/>
    <w:rsid w:val="00432878"/>
    <w:rsid w:val="00432A86"/>
    <w:rsid w:val="00432C14"/>
    <w:rsid w:val="00432D69"/>
    <w:rsid w:val="00432DA5"/>
    <w:rsid w:val="00432DED"/>
    <w:rsid w:val="00432F17"/>
    <w:rsid w:val="00432FB6"/>
    <w:rsid w:val="004333BE"/>
    <w:rsid w:val="004335B6"/>
    <w:rsid w:val="00433724"/>
    <w:rsid w:val="0043378F"/>
    <w:rsid w:val="00433806"/>
    <w:rsid w:val="00433894"/>
    <w:rsid w:val="004338E4"/>
    <w:rsid w:val="00433924"/>
    <w:rsid w:val="00433B80"/>
    <w:rsid w:val="00433B8C"/>
    <w:rsid w:val="00433BA4"/>
    <w:rsid w:val="00433C46"/>
    <w:rsid w:val="00433CA2"/>
    <w:rsid w:val="00433E96"/>
    <w:rsid w:val="00433EF4"/>
    <w:rsid w:val="00433F25"/>
    <w:rsid w:val="00434024"/>
    <w:rsid w:val="0043402E"/>
    <w:rsid w:val="004340E6"/>
    <w:rsid w:val="0043410C"/>
    <w:rsid w:val="004342FC"/>
    <w:rsid w:val="004345CD"/>
    <w:rsid w:val="00434606"/>
    <w:rsid w:val="00434680"/>
    <w:rsid w:val="00434A02"/>
    <w:rsid w:val="00434B32"/>
    <w:rsid w:val="00434BBA"/>
    <w:rsid w:val="00434BF3"/>
    <w:rsid w:val="00434C09"/>
    <w:rsid w:val="00434C28"/>
    <w:rsid w:val="00434EE4"/>
    <w:rsid w:val="00434FCD"/>
    <w:rsid w:val="00434FD2"/>
    <w:rsid w:val="00435018"/>
    <w:rsid w:val="0043504F"/>
    <w:rsid w:val="0043505C"/>
    <w:rsid w:val="00435080"/>
    <w:rsid w:val="004350FB"/>
    <w:rsid w:val="004351DC"/>
    <w:rsid w:val="0043529C"/>
    <w:rsid w:val="004352A3"/>
    <w:rsid w:val="004353D2"/>
    <w:rsid w:val="004354DC"/>
    <w:rsid w:val="004355D6"/>
    <w:rsid w:val="0043565C"/>
    <w:rsid w:val="00435740"/>
    <w:rsid w:val="004357EB"/>
    <w:rsid w:val="004359DF"/>
    <w:rsid w:val="00435A99"/>
    <w:rsid w:val="00435B79"/>
    <w:rsid w:val="00435C6A"/>
    <w:rsid w:val="00435CD1"/>
    <w:rsid w:val="00435CD4"/>
    <w:rsid w:val="00435EE0"/>
    <w:rsid w:val="00435EFD"/>
    <w:rsid w:val="0043614B"/>
    <w:rsid w:val="004362BE"/>
    <w:rsid w:val="00436366"/>
    <w:rsid w:val="00436380"/>
    <w:rsid w:val="00436575"/>
    <w:rsid w:val="004365D9"/>
    <w:rsid w:val="004368FE"/>
    <w:rsid w:val="00436972"/>
    <w:rsid w:val="00436A3C"/>
    <w:rsid w:val="00436AD0"/>
    <w:rsid w:val="00436BC6"/>
    <w:rsid w:val="00436C60"/>
    <w:rsid w:val="00436D16"/>
    <w:rsid w:val="00436D46"/>
    <w:rsid w:val="00436D91"/>
    <w:rsid w:val="00436DF4"/>
    <w:rsid w:val="00436E7D"/>
    <w:rsid w:val="00436F14"/>
    <w:rsid w:val="00436F54"/>
    <w:rsid w:val="00436F98"/>
    <w:rsid w:val="00436FFD"/>
    <w:rsid w:val="004373D4"/>
    <w:rsid w:val="00437750"/>
    <w:rsid w:val="004377ED"/>
    <w:rsid w:val="00437875"/>
    <w:rsid w:val="004379A5"/>
    <w:rsid w:val="00437A01"/>
    <w:rsid w:val="00437A37"/>
    <w:rsid w:val="00437AC8"/>
    <w:rsid w:val="00437B04"/>
    <w:rsid w:val="00437B5D"/>
    <w:rsid w:val="00437B7C"/>
    <w:rsid w:val="00437BBD"/>
    <w:rsid w:val="00437C33"/>
    <w:rsid w:val="00437C5A"/>
    <w:rsid w:val="00437CEE"/>
    <w:rsid w:val="00437D31"/>
    <w:rsid w:val="00437D3C"/>
    <w:rsid w:val="00437DF7"/>
    <w:rsid w:val="00437F60"/>
    <w:rsid w:val="00440068"/>
    <w:rsid w:val="00440087"/>
    <w:rsid w:val="004400B8"/>
    <w:rsid w:val="00440155"/>
    <w:rsid w:val="00440212"/>
    <w:rsid w:val="00440219"/>
    <w:rsid w:val="004402E8"/>
    <w:rsid w:val="0044036D"/>
    <w:rsid w:val="004403C2"/>
    <w:rsid w:val="00440401"/>
    <w:rsid w:val="0044057F"/>
    <w:rsid w:val="004405DA"/>
    <w:rsid w:val="0044062F"/>
    <w:rsid w:val="0044065F"/>
    <w:rsid w:val="00440667"/>
    <w:rsid w:val="00440682"/>
    <w:rsid w:val="004407EA"/>
    <w:rsid w:val="00440811"/>
    <w:rsid w:val="004408FA"/>
    <w:rsid w:val="00440925"/>
    <w:rsid w:val="00440B75"/>
    <w:rsid w:val="00440BEB"/>
    <w:rsid w:val="00440C87"/>
    <w:rsid w:val="00440DA1"/>
    <w:rsid w:val="00440F03"/>
    <w:rsid w:val="00441404"/>
    <w:rsid w:val="00441627"/>
    <w:rsid w:val="0044169F"/>
    <w:rsid w:val="004416CF"/>
    <w:rsid w:val="00441742"/>
    <w:rsid w:val="00441759"/>
    <w:rsid w:val="0044180B"/>
    <w:rsid w:val="00441821"/>
    <w:rsid w:val="0044188C"/>
    <w:rsid w:val="00441A43"/>
    <w:rsid w:val="00441A94"/>
    <w:rsid w:val="00441BD5"/>
    <w:rsid w:val="00441BFD"/>
    <w:rsid w:val="00441CEB"/>
    <w:rsid w:val="00441F12"/>
    <w:rsid w:val="00441F87"/>
    <w:rsid w:val="00442079"/>
    <w:rsid w:val="004421FD"/>
    <w:rsid w:val="00442220"/>
    <w:rsid w:val="004424D4"/>
    <w:rsid w:val="00442552"/>
    <w:rsid w:val="00442608"/>
    <w:rsid w:val="0044262A"/>
    <w:rsid w:val="004427FB"/>
    <w:rsid w:val="00442976"/>
    <w:rsid w:val="00442990"/>
    <w:rsid w:val="00442A0C"/>
    <w:rsid w:val="00442AE1"/>
    <w:rsid w:val="00442B3C"/>
    <w:rsid w:val="00442C33"/>
    <w:rsid w:val="00442D01"/>
    <w:rsid w:val="00442E0C"/>
    <w:rsid w:val="00442E64"/>
    <w:rsid w:val="004430A3"/>
    <w:rsid w:val="004433D2"/>
    <w:rsid w:val="004433D8"/>
    <w:rsid w:val="0044341F"/>
    <w:rsid w:val="004434BC"/>
    <w:rsid w:val="00443528"/>
    <w:rsid w:val="0044354E"/>
    <w:rsid w:val="00443710"/>
    <w:rsid w:val="00443835"/>
    <w:rsid w:val="00443A94"/>
    <w:rsid w:val="00443BB6"/>
    <w:rsid w:val="00443C43"/>
    <w:rsid w:val="00443C47"/>
    <w:rsid w:val="00443E94"/>
    <w:rsid w:val="00443FD3"/>
    <w:rsid w:val="00444052"/>
    <w:rsid w:val="004440AB"/>
    <w:rsid w:val="004440E5"/>
    <w:rsid w:val="00444341"/>
    <w:rsid w:val="0044443F"/>
    <w:rsid w:val="00444493"/>
    <w:rsid w:val="004444DB"/>
    <w:rsid w:val="00444779"/>
    <w:rsid w:val="004447A6"/>
    <w:rsid w:val="004448DA"/>
    <w:rsid w:val="00444AA8"/>
    <w:rsid w:val="00444B27"/>
    <w:rsid w:val="00444C38"/>
    <w:rsid w:val="00444E02"/>
    <w:rsid w:val="00444E99"/>
    <w:rsid w:val="00444FB2"/>
    <w:rsid w:val="00445062"/>
    <w:rsid w:val="00445123"/>
    <w:rsid w:val="004451B5"/>
    <w:rsid w:val="004452B2"/>
    <w:rsid w:val="004452BC"/>
    <w:rsid w:val="00445314"/>
    <w:rsid w:val="004453DE"/>
    <w:rsid w:val="0044541D"/>
    <w:rsid w:val="00445513"/>
    <w:rsid w:val="00445594"/>
    <w:rsid w:val="0044569E"/>
    <w:rsid w:val="004456B2"/>
    <w:rsid w:val="004456B6"/>
    <w:rsid w:val="0044570F"/>
    <w:rsid w:val="00445830"/>
    <w:rsid w:val="00445835"/>
    <w:rsid w:val="00445A3F"/>
    <w:rsid w:val="00445A9D"/>
    <w:rsid w:val="00445B9B"/>
    <w:rsid w:val="00445E6E"/>
    <w:rsid w:val="00445F9C"/>
    <w:rsid w:val="00446000"/>
    <w:rsid w:val="004462A1"/>
    <w:rsid w:val="00446442"/>
    <w:rsid w:val="0044649C"/>
    <w:rsid w:val="004464EA"/>
    <w:rsid w:val="0044659A"/>
    <w:rsid w:val="004465A8"/>
    <w:rsid w:val="0044675C"/>
    <w:rsid w:val="00446823"/>
    <w:rsid w:val="00446917"/>
    <w:rsid w:val="00446A2A"/>
    <w:rsid w:val="00446B6C"/>
    <w:rsid w:val="00446CBD"/>
    <w:rsid w:val="00446DB7"/>
    <w:rsid w:val="00446E77"/>
    <w:rsid w:val="00446F6F"/>
    <w:rsid w:val="00446FCA"/>
    <w:rsid w:val="00447060"/>
    <w:rsid w:val="004470B7"/>
    <w:rsid w:val="00447320"/>
    <w:rsid w:val="0044741B"/>
    <w:rsid w:val="004479BB"/>
    <w:rsid w:val="00447BC8"/>
    <w:rsid w:val="00447C9A"/>
    <w:rsid w:val="00447DCE"/>
    <w:rsid w:val="00447EEE"/>
    <w:rsid w:val="00447F4B"/>
    <w:rsid w:val="004500FE"/>
    <w:rsid w:val="00450166"/>
    <w:rsid w:val="004503B9"/>
    <w:rsid w:val="004503D9"/>
    <w:rsid w:val="0045048B"/>
    <w:rsid w:val="00450544"/>
    <w:rsid w:val="0045054D"/>
    <w:rsid w:val="004505E3"/>
    <w:rsid w:val="00450823"/>
    <w:rsid w:val="00450857"/>
    <w:rsid w:val="004509A5"/>
    <w:rsid w:val="004509BC"/>
    <w:rsid w:val="00450B56"/>
    <w:rsid w:val="00450BF8"/>
    <w:rsid w:val="00450C98"/>
    <w:rsid w:val="00450D8F"/>
    <w:rsid w:val="00450E3A"/>
    <w:rsid w:val="00450ED3"/>
    <w:rsid w:val="00450F4C"/>
    <w:rsid w:val="00450FAB"/>
    <w:rsid w:val="00450FB8"/>
    <w:rsid w:val="00451000"/>
    <w:rsid w:val="00451031"/>
    <w:rsid w:val="004510B4"/>
    <w:rsid w:val="004511AB"/>
    <w:rsid w:val="004511CB"/>
    <w:rsid w:val="004511DB"/>
    <w:rsid w:val="004512EC"/>
    <w:rsid w:val="0045135D"/>
    <w:rsid w:val="00451383"/>
    <w:rsid w:val="004513AD"/>
    <w:rsid w:val="004513F2"/>
    <w:rsid w:val="00451592"/>
    <w:rsid w:val="004515B1"/>
    <w:rsid w:val="004516D4"/>
    <w:rsid w:val="004516EC"/>
    <w:rsid w:val="00451723"/>
    <w:rsid w:val="00451773"/>
    <w:rsid w:val="0045182E"/>
    <w:rsid w:val="00451893"/>
    <w:rsid w:val="00451957"/>
    <w:rsid w:val="00451A86"/>
    <w:rsid w:val="00451BBD"/>
    <w:rsid w:val="00451C87"/>
    <w:rsid w:val="00451CB0"/>
    <w:rsid w:val="00451E1C"/>
    <w:rsid w:val="00451E4F"/>
    <w:rsid w:val="00451F21"/>
    <w:rsid w:val="00451F44"/>
    <w:rsid w:val="00451FF7"/>
    <w:rsid w:val="004521D0"/>
    <w:rsid w:val="0045240A"/>
    <w:rsid w:val="0045241D"/>
    <w:rsid w:val="004526D2"/>
    <w:rsid w:val="004527F7"/>
    <w:rsid w:val="004528EB"/>
    <w:rsid w:val="004528F4"/>
    <w:rsid w:val="00452A19"/>
    <w:rsid w:val="00452AED"/>
    <w:rsid w:val="00452B42"/>
    <w:rsid w:val="00452B47"/>
    <w:rsid w:val="00452B71"/>
    <w:rsid w:val="00452C14"/>
    <w:rsid w:val="00452F87"/>
    <w:rsid w:val="00453037"/>
    <w:rsid w:val="0045306B"/>
    <w:rsid w:val="00453090"/>
    <w:rsid w:val="00453233"/>
    <w:rsid w:val="00453236"/>
    <w:rsid w:val="004532A9"/>
    <w:rsid w:val="00453350"/>
    <w:rsid w:val="0045336E"/>
    <w:rsid w:val="0045337B"/>
    <w:rsid w:val="00453503"/>
    <w:rsid w:val="004535A1"/>
    <w:rsid w:val="0045368E"/>
    <w:rsid w:val="004537E1"/>
    <w:rsid w:val="004537E9"/>
    <w:rsid w:val="0045381B"/>
    <w:rsid w:val="0045383E"/>
    <w:rsid w:val="00453935"/>
    <w:rsid w:val="00453A2F"/>
    <w:rsid w:val="00453A68"/>
    <w:rsid w:val="00453AAF"/>
    <w:rsid w:val="00453AE7"/>
    <w:rsid w:val="00453B6C"/>
    <w:rsid w:val="00453BB5"/>
    <w:rsid w:val="00453DA4"/>
    <w:rsid w:val="00453EBD"/>
    <w:rsid w:val="00453F28"/>
    <w:rsid w:val="004541F2"/>
    <w:rsid w:val="0045422A"/>
    <w:rsid w:val="004543DA"/>
    <w:rsid w:val="004547A5"/>
    <w:rsid w:val="004547AB"/>
    <w:rsid w:val="0045487F"/>
    <w:rsid w:val="004549C2"/>
    <w:rsid w:val="00454B74"/>
    <w:rsid w:val="00454C4F"/>
    <w:rsid w:val="004550E1"/>
    <w:rsid w:val="004551B4"/>
    <w:rsid w:val="004551B8"/>
    <w:rsid w:val="004551DD"/>
    <w:rsid w:val="004552A4"/>
    <w:rsid w:val="004553B6"/>
    <w:rsid w:val="00455487"/>
    <w:rsid w:val="0045574D"/>
    <w:rsid w:val="00455851"/>
    <w:rsid w:val="00455875"/>
    <w:rsid w:val="004558D0"/>
    <w:rsid w:val="00455937"/>
    <w:rsid w:val="004559F8"/>
    <w:rsid w:val="00455AF6"/>
    <w:rsid w:val="00455D75"/>
    <w:rsid w:val="00456084"/>
    <w:rsid w:val="00456133"/>
    <w:rsid w:val="0045614B"/>
    <w:rsid w:val="00456195"/>
    <w:rsid w:val="004561A3"/>
    <w:rsid w:val="00456302"/>
    <w:rsid w:val="00456399"/>
    <w:rsid w:val="004563F3"/>
    <w:rsid w:val="004564BD"/>
    <w:rsid w:val="0045656B"/>
    <w:rsid w:val="004565F6"/>
    <w:rsid w:val="00456627"/>
    <w:rsid w:val="00456788"/>
    <w:rsid w:val="0045679A"/>
    <w:rsid w:val="004567F3"/>
    <w:rsid w:val="00456896"/>
    <w:rsid w:val="00456933"/>
    <w:rsid w:val="004569C2"/>
    <w:rsid w:val="00456BEB"/>
    <w:rsid w:val="00456D4D"/>
    <w:rsid w:val="00456D79"/>
    <w:rsid w:val="00456F18"/>
    <w:rsid w:val="00456F8E"/>
    <w:rsid w:val="00457011"/>
    <w:rsid w:val="00457088"/>
    <w:rsid w:val="004572E6"/>
    <w:rsid w:val="004574AB"/>
    <w:rsid w:val="00457562"/>
    <w:rsid w:val="004575FB"/>
    <w:rsid w:val="0045772E"/>
    <w:rsid w:val="004578E9"/>
    <w:rsid w:val="00457949"/>
    <w:rsid w:val="00457A6F"/>
    <w:rsid w:val="00457ABB"/>
    <w:rsid w:val="00457AFE"/>
    <w:rsid w:val="00457B38"/>
    <w:rsid w:val="00457CF7"/>
    <w:rsid w:val="00460137"/>
    <w:rsid w:val="004601C2"/>
    <w:rsid w:val="004601E9"/>
    <w:rsid w:val="004601FD"/>
    <w:rsid w:val="00460221"/>
    <w:rsid w:val="0046032C"/>
    <w:rsid w:val="0046043F"/>
    <w:rsid w:val="004604DF"/>
    <w:rsid w:val="0046065B"/>
    <w:rsid w:val="00460713"/>
    <w:rsid w:val="0046075C"/>
    <w:rsid w:val="004608AA"/>
    <w:rsid w:val="0046097E"/>
    <w:rsid w:val="004609AA"/>
    <w:rsid w:val="004609F7"/>
    <w:rsid w:val="00460C4C"/>
    <w:rsid w:val="00460DA1"/>
    <w:rsid w:val="00460E4A"/>
    <w:rsid w:val="00460F02"/>
    <w:rsid w:val="004611FF"/>
    <w:rsid w:val="0046130C"/>
    <w:rsid w:val="004613D0"/>
    <w:rsid w:val="004613F6"/>
    <w:rsid w:val="00461570"/>
    <w:rsid w:val="004615CB"/>
    <w:rsid w:val="004616A8"/>
    <w:rsid w:val="00461725"/>
    <w:rsid w:val="0046174E"/>
    <w:rsid w:val="00461798"/>
    <w:rsid w:val="00461A62"/>
    <w:rsid w:val="00461C3C"/>
    <w:rsid w:val="00461C79"/>
    <w:rsid w:val="00461C7F"/>
    <w:rsid w:val="00461E03"/>
    <w:rsid w:val="00461EB2"/>
    <w:rsid w:val="00461F5E"/>
    <w:rsid w:val="00462149"/>
    <w:rsid w:val="004621F9"/>
    <w:rsid w:val="004623B4"/>
    <w:rsid w:val="0046245D"/>
    <w:rsid w:val="0046249D"/>
    <w:rsid w:val="00462826"/>
    <w:rsid w:val="0046288B"/>
    <w:rsid w:val="0046292D"/>
    <w:rsid w:val="00462962"/>
    <w:rsid w:val="00462A33"/>
    <w:rsid w:val="00462B46"/>
    <w:rsid w:val="00462BCB"/>
    <w:rsid w:val="00462C83"/>
    <w:rsid w:val="00462C97"/>
    <w:rsid w:val="00462C9F"/>
    <w:rsid w:val="00462D11"/>
    <w:rsid w:val="00462D3B"/>
    <w:rsid w:val="00462E0F"/>
    <w:rsid w:val="00462EAF"/>
    <w:rsid w:val="004630C5"/>
    <w:rsid w:val="004631EC"/>
    <w:rsid w:val="00463304"/>
    <w:rsid w:val="004633A2"/>
    <w:rsid w:val="004633B8"/>
    <w:rsid w:val="0046357D"/>
    <w:rsid w:val="0046357E"/>
    <w:rsid w:val="0046366C"/>
    <w:rsid w:val="00463687"/>
    <w:rsid w:val="0046373D"/>
    <w:rsid w:val="004637E3"/>
    <w:rsid w:val="0046386D"/>
    <w:rsid w:val="0046398B"/>
    <w:rsid w:val="00463B99"/>
    <w:rsid w:val="00463E1D"/>
    <w:rsid w:val="00463E24"/>
    <w:rsid w:val="00463EE2"/>
    <w:rsid w:val="00463F71"/>
    <w:rsid w:val="00463F7F"/>
    <w:rsid w:val="00463FD3"/>
    <w:rsid w:val="00464024"/>
    <w:rsid w:val="0046429F"/>
    <w:rsid w:val="004642C2"/>
    <w:rsid w:val="00464461"/>
    <w:rsid w:val="004644BF"/>
    <w:rsid w:val="0046452C"/>
    <w:rsid w:val="004645BA"/>
    <w:rsid w:val="004645BC"/>
    <w:rsid w:val="004646E5"/>
    <w:rsid w:val="00464745"/>
    <w:rsid w:val="00464992"/>
    <w:rsid w:val="00464A24"/>
    <w:rsid w:val="00464A54"/>
    <w:rsid w:val="00464A82"/>
    <w:rsid w:val="00464A95"/>
    <w:rsid w:val="00464CBF"/>
    <w:rsid w:val="00464E06"/>
    <w:rsid w:val="00464E23"/>
    <w:rsid w:val="00464F2E"/>
    <w:rsid w:val="004651E4"/>
    <w:rsid w:val="004653BB"/>
    <w:rsid w:val="004653D2"/>
    <w:rsid w:val="00465415"/>
    <w:rsid w:val="00465454"/>
    <w:rsid w:val="004654DA"/>
    <w:rsid w:val="004655B2"/>
    <w:rsid w:val="004656D2"/>
    <w:rsid w:val="00465735"/>
    <w:rsid w:val="0046576B"/>
    <w:rsid w:val="00465799"/>
    <w:rsid w:val="00465816"/>
    <w:rsid w:val="004658CB"/>
    <w:rsid w:val="004658F6"/>
    <w:rsid w:val="0046591D"/>
    <w:rsid w:val="00465A98"/>
    <w:rsid w:val="00465AB9"/>
    <w:rsid w:val="00465BE7"/>
    <w:rsid w:val="00465C06"/>
    <w:rsid w:val="00465D1F"/>
    <w:rsid w:val="00465D2C"/>
    <w:rsid w:val="00465E82"/>
    <w:rsid w:val="004660CF"/>
    <w:rsid w:val="00466215"/>
    <w:rsid w:val="0046624E"/>
    <w:rsid w:val="00466465"/>
    <w:rsid w:val="00466544"/>
    <w:rsid w:val="00466678"/>
    <w:rsid w:val="004666BF"/>
    <w:rsid w:val="00466755"/>
    <w:rsid w:val="00466775"/>
    <w:rsid w:val="004667C3"/>
    <w:rsid w:val="004668AC"/>
    <w:rsid w:val="004668D2"/>
    <w:rsid w:val="00466963"/>
    <w:rsid w:val="0046696A"/>
    <w:rsid w:val="00466A05"/>
    <w:rsid w:val="00466A55"/>
    <w:rsid w:val="00466A5F"/>
    <w:rsid w:val="00466B06"/>
    <w:rsid w:val="00466B28"/>
    <w:rsid w:val="00466C44"/>
    <w:rsid w:val="00466EE2"/>
    <w:rsid w:val="00467287"/>
    <w:rsid w:val="004674DC"/>
    <w:rsid w:val="00467735"/>
    <w:rsid w:val="00467789"/>
    <w:rsid w:val="0046780E"/>
    <w:rsid w:val="00467848"/>
    <w:rsid w:val="0046787C"/>
    <w:rsid w:val="004679F0"/>
    <w:rsid w:val="00467A3A"/>
    <w:rsid w:val="00467A91"/>
    <w:rsid w:val="00467BB0"/>
    <w:rsid w:val="00467CDD"/>
    <w:rsid w:val="00467D2B"/>
    <w:rsid w:val="00467E06"/>
    <w:rsid w:val="00467E18"/>
    <w:rsid w:val="00467E7C"/>
    <w:rsid w:val="00467F0C"/>
    <w:rsid w:val="0047005D"/>
    <w:rsid w:val="004702DC"/>
    <w:rsid w:val="004702EA"/>
    <w:rsid w:val="004706E2"/>
    <w:rsid w:val="0047079F"/>
    <w:rsid w:val="0047086D"/>
    <w:rsid w:val="00470896"/>
    <w:rsid w:val="004708AB"/>
    <w:rsid w:val="0047092A"/>
    <w:rsid w:val="00470BA7"/>
    <w:rsid w:val="00470C37"/>
    <w:rsid w:val="00470CB0"/>
    <w:rsid w:val="00470D09"/>
    <w:rsid w:val="00470D76"/>
    <w:rsid w:val="00470DC4"/>
    <w:rsid w:val="00470E7B"/>
    <w:rsid w:val="00470FF8"/>
    <w:rsid w:val="00471024"/>
    <w:rsid w:val="004711E5"/>
    <w:rsid w:val="00471460"/>
    <w:rsid w:val="0047150A"/>
    <w:rsid w:val="00471549"/>
    <w:rsid w:val="004715A5"/>
    <w:rsid w:val="00471691"/>
    <w:rsid w:val="004716C1"/>
    <w:rsid w:val="004718D0"/>
    <w:rsid w:val="00471A0E"/>
    <w:rsid w:val="00471B77"/>
    <w:rsid w:val="00471BCC"/>
    <w:rsid w:val="00471D68"/>
    <w:rsid w:val="00471D6F"/>
    <w:rsid w:val="00471D8F"/>
    <w:rsid w:val="00471D9A"/>
    <w:rsid w:val="00471DD4"/>
    <w:rsid w:val="00471DDC"/>
    <w:rsid w:val="00471E5B"/>
    <w:rsid w:val="00471FB1"/>
    <w:rsid w:val="0047202F"/>
    <w:rsid w:val="00472140"/>
    <w:rsid w:val="00472182"/>
    <w:rsid w:val="004722B6"/>
    <w:rsid w:val="004722B7"/>
    <w:rsid w:val="0047230C"/>
    <w:rsid w:val="00472353"/>
    <w:rsid w:val="004723FC"/>
    <w:rsid w:val="00472658"/>
    <w:rsid w:val="004726F7"/>
    <w:rsid w:val="00472743"/>
    <w:rsid w:val="004727CB"/>
    <w:rsid w:val="004727CE"/>
    <w:rsid w:val="00472921"/>
    <w:rsid w:val="00472AAB"/>
    <w:rsid w:val="00472ED2"/>
    <w:rsid w:val="00472F30"/>
    <w:rsid w:val="00472F55"/>
    <w:rsid w:val="00473237"/>
    <w:rsid w:val="00473347"/>
    <w:rsid w:val="0047361B"/>
    <w:rsid w:val="004736A2"/>
    <w:rsid w:val="00473820"/>
    <w:rsid w:val="00473921"/>
    <w:rsid w:val="00473958"/>
    <w:rsid w:val="00473B9A"/>
    <w:rsid w:val="00473CB6"/>
    <w:rsid w:val="00473CF3"/>
    <w:rsid w:val="00473D73"/>
    <w:rsid w:val="00473E59"/>
    <w:rsid w:val="00473F5C"/>
    <w:rsid w:val="0047409A"/>
    <w:rsid w:val="004740CF"/>
    <w:rsid w:val="00474151"/>
    <w:rsid w:val="00474168"/>
    <w:rsid w:val="00474182"/>
    <w:rsid w:val="00474185"/>
    <w:rsid w:val="004743B6"/>
    <w:rsid w:val="00474488"/>
    <w:rsid w:val="004745AC"/>
    <w:rsid w:val="004746BE"/>
    <w:rsid w:val="0047479B"/>
    <w:rsid w:val="0047483E"/>
    <w:rsid w:val="00474AC8"/>
    <w:rsid w:val="00474BF7"/>
    <w:rsid w:val="00474CD2"/>
    <w:rsid w:val="00474CE8"/>
    <w:rsid w:val="00474D2E"/>
    <w:rsid w:val="00474D71"/>
    <w:rsid w:val="00474D7F"/>
    <w:rsid w:val="00474F82"/>
    <w:rsid w:val="00475448"/>
    <w:rsid w:val="00475472"/>
    <w:rsid w:val="00475493"/>
    <w:rsid w:val="004754B7"/>
    <w:rsid w:val="00475536"/>
    <w:rsid w:val="004755C9"/>
    <w:rsid w:val="004755D6"/>
    <w:rsid w:val="00475618"/>
    <w:rsid w:val="00475653"/>
    <w:rsid w:val="00475705"/>
    <w:rsid w:val="0047584B"/>
    <w:rsid w:val="004759AF"/>
    <w:rsid w:val="00475AFD"/>
    <w:rsid w:val="00475AFF"/>
    <w:rsid w:val="00475D58"/>
    <w:rsid w:val="00475DBD"/>
    <w:rsid w:val="00475F40"/>
    <w:rsid w:val="00475F71"/>
    <w:rsid w:val="00475FD8"/>
    <w:rsid w:val="00476041"/>
    <w:rsid w:val="0047622B"/>
    <w:rsid w:val="004766F0"/>
    <w:rsid w:val="00476862"/>
    <w:rsid w:val="00476872"/>
    <w:rsid w:val="00476A33"/>
    <w:rsid w:val="00476A40"/>
    <w:rsid w:val="00476AFA"/>
    <w:rsid w:val="00476B14"/>
    <w:rsid w:val="00476B19"/>
    <w:rsid w:val="00476B99"/>
    <w:rsid w:val="00476C63"/>
    <w:rsid w:val="00476CD9"/>
    <w:rsid w:val="00476DB7"/>
    <w:rsid w:val="00476F2E"/>
    <w:rsid w:val="00476F7A"/>
    <w:rsid w:val="004770FE"/>
    <w:rsid w:val="00477130"/>
    <w:rsid w:val="004771E8"/>
    <w:rsid w:val="00477330"/>
    <w:rsid w:val="0047734F"/>
    <w:rsid w:val="00477508"/>
    <w:rsid w:val="0047770A"/>
    <w:rsid w:val="0047778E"/>
    <w:rsid w:val="00477883"/>
    <w:rsid w:val="00477995"/>
    <w:rsid w:val="004779FB"/>
    <w:rsid w:val="00477AAA"/>
    <w:rsid w:val="00477D0E"/>
    <w:rsid w:val="00477E34"/>
    <w:rsid w:val="00477E8A"/>
    <w:rsid w:val="00480093"/>
    <w:rsid w:val="004802F2"/>
    <w:rsid w:val="00480373"/>
    <w:rsid w:val="0048040D"/>
    <w:rsid w:val="00480478"/>
    <w:rsid w:val="004804FF"/>
    <w:rsid w:val="004807A1"/>
    <w:rsid w:val="004808D9"/>
    <w:rsid w:val="004808F5"/>
    <w:rsid w:val="00480A9E"/>
    <w:rsid w:val="00480B18"/>
    <w:rsid w:val="00480BF3"/>
    <w:rsid w:val="00480C5B"/>
    <w:rsid w:val="00480D08"/>
    <w:rsid w:val="00480D98"/>
    <w:rsid w:val="004811F1"/>
    <w:rsid w:val="00481200"/>
    <w:rsid w:val="0048121C"/>
    <w:rsid w:val="004814D8"/>
    <w:rsid w:val="00481528"/>
    <w:rsid w:val="0048153B"/>
    <w:rsid w:val="004815CE"/>
    <w:rsid w:val="00481643"/>
    <w:rsid w:val="00481648"/>
    <w:rsid w:val="00481669"/>
    <w:rsid w:val="00481801"/>
    <w:rsid w:val="00481876"/>
    <w:rsid w:val="00481904"/>
    <w:rsid w:val="00481BC2"/>
    <w:rsid w:val="00481BE5"/>
    <w:rsid w:val="00481CAE"/>
    <w:rsid w:val="00481D94"/>
    <w:rsid w:val="00481F58"/>
    <w:rsid w:val="00481FF9"/>
    <w:rsid w:val="00482021"/>
    <w:rsid w:val="00482148"/>
    <w:rsid w:val="00482169"/>
    <w:rsid w:val="0048230A"/>
    <w:rsid w:val="00482317"/>
    <w:rsid w:val="00482355"/>
    <w:rsid w:val="004825AE"/>
    <w:rsid w:val="00482692"/>
    <w:rsid w:val="00482753"/>
    <w:rsid w:val="0048276D"/>
    <w:rsid w:val="0048278B"/>
    <w:rsid w:val="004828E0"/>
    <w:rsid w:val="00482978"/>
    <w:rsid w:val="00482AFF"/>
    <w:rsid w:val="00482B8F"/>
    <w:rsid w:val="00482C40"/>
    <w:rsid w:val="00482D14"/>
    <w:rsid w:val="00482E6B"/>
    <w:rsid w:val="00482ED6"/>
    <w:rsid w:val="00483036"/>
    <w:rsid w:val="00483050"/>
    <w:rsid w:val="004830E7"/>
    <w:rsid w:val="0048318F"/>
    <w:rsid w:val="004831C1"/>
    <w:rsid w:val="00483278"/>
    <w:rsid w:val="00483322"/>
    <w:rsid w:val="00483443"/>
    <w:rsid w:val="00483502"/>
    <w:rsid w:val="004835C9"/>
    <w:rsid w:val="004836ED"/>
    <w:rsid w:val="004836F3"/>
    <w:rsid w:val="004837DC"/>
    <w:rsid w:val="0048383C"/>
    <w:rsid w:val="00483852"/>
    <w:rsid w:val="00483870"/>
    <w:rsid w:val="00483896"/>
    <w:rsid w:val="00483BB8"/>
    <w:rsid w:val="00483C5A"/>
    <w:rsid w:val="00483CFF"/>
    <w:rsid w:val="00483DC4"/>
    <w:rsid w:val="00483DFE"/>
    <w:rsid w:val="00483E2D"/>
    <w:rsid w:val="00483F3E"/>
    <w:rsid w:val="00483FEA"/>
    <w:rsid w:val="004841F5"/>
    <w:rsid w:val="00484297"/>
    <w:rsid w:val="00484350"/>
    <w:rsid w:val="00484476"/>
    <w:rsid w:val="004846B9"/>
    <w:rsid w:val="00484797"/>
    <w:rsid w:val="004847BE"/>
    <w:rsid w:val="0048487A"/>
    <w:rsid w:val="00484991"/>
    <w:rsid w:val="004849A9"/>
    <w:rsid w:val="00484A4C"/>
    <w:rsid w:val="00484B6D"/>
    <w:rsid w:val="00484C25"/>
    <w:rsid w:val="00484C71"/>
    <w:rsid w:val="00484D28"/>
    <w:rsid w:val="00484D3F"/>
    <w:rsid w:val="00485019"/>
    <w:rsid w:val="0048508F"/>
    <w:rsid w:val="0048515B"/>
    <w:rsid w:val="00485191"/>
    <w:rsid w:val="004851D1"/>
    <w:rsid w:val="004853B1"/>
    <w:rsid w:val="004853C4"/>
    <w:rsid w:val="00485773"/>
    <w:rsid w:val="004857FF"/>
    <w:rsid w:val="004858DC"/>
    <w:rsid w:val="0048599F"/>
    <w:rsid w:val="00485BA7"/>
    <w:rsid w:val="00485CF8"/>
    <w:rsid w:val="00485D68"/>
    <w:rsid w:val="00485D81"/>
    <w:rsid w:val="00485DB9"/>
    <w:rsid w:val="00485DC6"/>
    <w:rsid w:val="00485E08"/>
    <w:rsid w:val="00485E4D"/>
    <w:rsid w:val="0048602F"/>
    <w:rsid w:val="0048605B"/>
    <w:rsid w:val="004860E7"/>
    <w:rsid w:val="00486238"/>
    <w:rsid w:val="0048633C"/>
    <w:rsid w:val="00486351"/>
    <w:rsid w:val="004863F5"/>
    <w:rsid w:val="00486437"/>
    <w:rsid w:val="00486569"/>
    <w:rsid w:val="004866CC"/>
    <w:rsid w:val="004867EA"/>
    <w:rsid w:val="00486856"/>
    <w:rsid w:val="00486887"/>
    <w:rsid w:val="00486B92"/>
    <w:rsid w:val="00486D70"/>
    <w:rsid w:val="00486EE2"/>
    <w:rsid w:val="00486FDB"/>
    <w:rsid w:val="00487208"/>
    <w:rsid w:val="0048728E"/>
    <w:rsid w:val="0048737E"/>
    <w:rsid w:val="00487410"/>
    <w:rsid w:val="004874BD"/>
    <w:rsid w:val="0048759A"/>
    <w:rsid w:val="004875E8"/>
    <w:rsid w:val="004877AA"/>
    <w:rsid w:val="0048786B"/>
    <w:rsid w:val="004878D3"/>
    <w:rsid w:val="00487BAA"/>
    <w:rsid w:val="00487C69"/>
    <w:rsid w:val="00487EFD"/>
    <w:rsid w:val="00487FEC"/>
    <w:rsid w:val="0048FE0B"/>
    <w:rsid w:val="00490069"/>
    <w:rsid w:val="0049010A"/>
    <w:rsid w:val="0049017C"/>
    <w:rsid w:val="004901B8"/>
    <w:rsid w:val="004901D0"/>
    <w:rsid w:val="00490334"/>
    <w:rsid w:val="004904B5"/>
    <w:rsid w:val="004904CE"/>
    <w:rsid w:val="00490518"/>
    <w:rsid w:val="004905F0"/>
    <w:rsid w:val="00490778"/>
    <w:rsid w:val="004909F4"/>
    <w:rsid w:val="00490C32"/>
    <w:rsid w:val="00490F12"/>
    <w:rsid w:val="00490F78"/>
    <w:rsid w:val="00490FCE"/>
    <w:rsid w:val="00491010"/>
    <w:rsid w:val="00491070"/>
    <w:rsid w:val="00491111"/>
    <w:rsid w:val="00491119"/>
    <w:rsid w:val="004911A8"/>
    <w:rsid w:val="0049138C"/>
    <w:rsid w:val="00491391"/>
    <w:rsid w:val="0049141E"/>
    <w:rsid w:val="00491487"/>
    <w:rsid w:val="004914C2"/>
    <w:rsid w:val="0049157E"/>
    <w:rsid w:val="00491615"/>
    <w:rsid w:val="004916BC"/>
    <w:rsid w:val="00491791"/>
    <w:rsid w:val="004917AF"/>
    <w:rsid w:val="00491954"/>
    <w:rsid w:val="004919A1"/>
    <w:rsid w:val="004919D0"/>
    <w:rsid w:val="00491ABD"/>
    <w:rsid w:val="00491B5B"/>
    <w:rsid w:val="00491BBC"/>
    <w:rsid w:val="00491D57"/>
    <w:rsid w:val="00491DC0"/>
    <w:rsid w:val="00491DE4"/>
    <w:rsid w:val="00491E30"/>
    <w:rsid w:val="004920D2"/>
    <w:rsid w:val="0049216A"/>
    <w:rsid w:val="00492176"/>
    <w:rsid w:val="0049218E"/>
    <w:rsid w:val="004924FA"/>
    <w:rsid w:val="004927A9"/>
    <w:rsid w:val="00492ABB"/>
    <w:rsid w:val="00492BC5"/>
    <w:rsid w:val="00492CB7"/>
    <w:rsid w:val="00492CE7"/>
    <w:rsid w:val="00492D17"/>
    <w:rsid w:val="00492DD9"/>
    <w:rsid w:val="00492E36"/>
    <w:rsid w:val="00492F57"/>
    <w:rsid w:val="00493139"/>
    <w:rsid w:val="00493192"/>
    <w:rsid w:val="004931DB"/>
    <w:rsid w:val="004933B1"/>
    <w:rsid w:val="004933B8"/>
    <w:rsid w:val="00493457"/>
    <w:rsid w:val="00493816"/>
    <w:rsid w:val="00493AA2"/>
    <w:rsid w:val="00493ACF"/>
    <w:rsid w:val="00493CD0"/>
    <w:rsid w:val="00493E44"/>
    <w:rsid w:val="00493EF1"/>
    <w:rsid w:val="00493F67"/>
    <w:rsid w:val="00493F6D"/>
    <w:rsid w:val="00494035"/>
    <w:rsid w:val="00494068"/>
    <w:rsid w:val="004940F1"/>
    <w:rsid w:val="00494132"/>
    <w:rsid w:val="0049458A"/>
    <w:rsid w:val="00494678"/>
    <w:rsid w:val="0049467F"/>
    <w:rsid w:val="004946C5"/>
    <w:rsid w:val="0049487D"/>
    <w:rsid w:val="004948C4"/>
    <w:rsid w:val="004948DA"/>
    <w:rsid w:val="0049491F"/>
    <w:rsid w:val="00494A0B"/>
    <w:rsid w:val="00494AD7"/>
    <w:rsid w:val="00494BB1"/>
    <w:rsid w:val="00494D43"/>
    <w:rsid w:val="00494E6A"/>
    <w:rsid w:val="00494EEA"/>
    <w:rsid w:val="00495072"/>
    <w:rsid w:val="00495096"/>
    <w:rsid w:val="00495103"/>
    <w:rsid w:val="0049523B"/>
    <w:rsid w:val="00495306"/>
    <w:rsid w:val="0049560C"/>
    <w:rsid w:val="00495619"/>
    <w:rsid w:val="004956A2"/>
    <w:rsid w:val="00495718"/>
    <w:rsid w:val="00495752"/>
    <w:rsid w:val="0049597C"/>
    <w:rsid w:val="004959A6"/>
    <w:rsid w:val="00495A22"/>
    <w:rsid w:val="00495AEE"/>
    <w:rsid w:val="00495B09"/>
    <w:rsid w:val="00495BF0"/>
    <w:rsid w:val="00495C16"/>
    <w:rsid w:val="00495C77"/>
    <w:rsid w:val="00495E45"/>
    <w:rsid w:val="00495EF0"/>
    <w:rsid w:val="0049600D"/>
    <w:rsid w:val="0049611F"/>
    <w:rsid w:val="0049625A"/>
    <w:rsid w:val="0049627D"/>
    <w:rsid w:val="00496309"/>
    <w:rsid w:val="0049637C"/>
    <w:rsid w:val="004965B6"/>
    <w:rsid w:val="0049661C"/>
    <w:rsid w:val="0049676C"/>
    <w:rsid w:val="0049684E"/>
    <w:rsid w:val="00496955"/>
    <w:rsid w:val="00496A47"/>
    <w:rsid w:val="00496A94"/>
    <w:rsid w:val="00496B24"/>
    <w:rsid w:val="00496C1D"/>
    <w:rsid w:val="00496DE8"/>
    <w:rsid w:val="00496EF8"/>
    <w:rsid w:val="00497004"/>
    <w:rsid w:val="004970CF"/>
    <w:rsid w:val="00497163"/>
    <w:rsid w:val="004971A5"/>
    <w:rsid w:val="0049723F"/>
    <w:rsid w:val="00497260"/>
    <w:rsid w:val="004972A6"/>
    <w:rsid w:val="004972F7"/>
    <w:rsid w:val="004973A9"/>
    <w:rsid w:val="004973C9"/>
    <w:rsid w:val="004973F7"/>
    <w:rsid w:val="00497458"/>
    <w:rsid w:val="004974BC"/>
    <w:rsid w:val="0049762F"/>
    <w:rsid w:val="004976BA"/>
    <w:rsid w:val="004977E8"/>
    <w:rsid w:val="00497A21"/>
    <w:rsid w:val="00497ACA"/>
    <w:rsid w:val="00497BD7"/>
    <w:rsid w:val="00497C49"/>
    <w:rsid w:val="00497C54"/>
    <w:rsid w:val="00497C59"/>
    <w:rsid w:val="00497C67"/>
    <w:rsid w:val="00497D52"/>
    <w:rsid w:val="00497D55"/>
    <w:rsid w:val="00497D5C"/>
    <w:rsid w:val="00497E73"/>
    <w:rsid w:val="00497F58"/>
    <w:rsid w:val="004A00B6"/>
    <w:rsid w:val="004A02B3"/>
    <w:rsid w:val="004A02FC"/>
    <w:rsid w:val="004A0308"/>
    <w:rsid w:val="004A04FA"/>
    <w:rsid w:val="004A0655"/>
    <w:rsid w:val="004A074F"/>
    <w:rsid w:val="004A0752"/>
    <w:rsid w:val="004A08E0"/>
    <w:rsid w:val="004A09A6"/>
    <w:rsid w:val="004A0A95"/>
    <w:rsid w:val="004A0B3F"/>
    <w:rsid w:val="004A0B56"/>
    <w:rsid w:val="004A0CFE"/>
    <w:rsid w:val="004A0D8D"/>
    <w:rsid w:val="004A1014"/>
    <w:rsid w:val="004A1064"/>
    <w:rsid w:val="004A10D4"/>
    <w:rsid w:val="004A11C4"/>
    <w:rsid w:val="004A1317"/>
    <w:rsid w:val="004A1362"/>
    <w:rsid w:val="004A14A8"/>
    <w:rsid w:val="004A1541"/>
    <w:rsid w:val="004A15B2"/>
    <w:rsid w:val="004A18EE"/>
    <w:rsid w:val="004A1A35"/>
    <w:rsid w:val="004A1A9F"/>
    <w:rsid w:val="004A1CEE"/>
    <w:rsid w:val="004A22EE"/>
    <w:rsid w:val="004A2386"/>
    <w:rsid w:val="004A23D4"/>
    <w:rsid w:val="004A24E3"/>
    <w:rsid w:val="004A25A0"/>
    <w:rsid w:val="004A26C1"/>
    <w:rsid w:val="004A2756"/>
    <w:rsid w:val="004A2758"/>
    <w:rsid w:val="004A2836"/>
    <w:rsid w:val="004A284A"/>
    <w:rsid w:val="004A2925"/>
    <w:rsid w:val="004A2B79"/>
    <w:rsid w:val="004A2F10"/>
    <w:rsid w:val="004A2F74"/>
    <w:rsid w:val="004A3029"/>
    <w:rsid w:val="004A3203"/>
    <w:rsid w:val="004A33A6"/>
    <w:rsid w:val="004A34D3"/>
    <w:rsid w:val="004A35E8"/>
    <w:rsid w:val="004A35F0"/>
    <w:rsid w:val="004A393F"/>
    <w:rsid w:val="004A3953"/>
    <w:rsid w:val="004A3AF9"/>
    <w:rsid w:val="004A3BE5"/>
    <w:rsid w:val="004A3CB3"/>
    <w:rsid w:val="004A3D44"/>
    <w:rsid w:val="004A3F8B"/>
    <w:rsid w:val="004A3FB1"/>
    <w:rsid w:val="004A3FB4"/>
    <w:rsid w:val="004A42AB"/>
    <w:rsid w:val="004A4490"/>
    <w:rsid w:val="004A4594"/>
    <w:rsid w:val="004A46F3"/>
    <w:rsid w:val="004A472A"/>
    <w:rsid w:val="004A47C0"/>
    <w:rsid w:val="004A4807"/>
    <w:rsid w:val="004A4848"/>
    <w:rsid w:val="004A4863"/>
    <w:rsid w:val="004A4B7D"/>
    <w:rsid w:val="004A4C54"/>
    <w:rsid w:val="004A4DF5"/>
    <w:rsid w:val="004A4E22"/>
    <w:rsid w:val="004A4E89"/>
    <w:rsid w:val="004A50AF"/>
    <w:rsid w:val="004A51E9"/>
    <w:rsid w:val="004A542C"/>
    <w:rsid w:val="004A54ED"/>
    <w:rsid w:val="004A569E"/>
    <w:rsid w:val="004A5718"/>
    <w:rsid w:val="004A5840"/>
    <w:rsid w:val="004A585B"/>
    <w:rsid w:val="004A59F8"/>
    <w:rsid w:val="004A5BB8"/>
    <w:rsid w:val="004A5BE6"/>
    <w:rsid w:val="004A5DA8"/>
    <w:rsid w:val="004A5F37"/>
    <w:rsid w:val="004A5F47"/>
    <w:rsid w:val="004A5F5C"/>
    <w:rsid w:val="004A5FEB"/>
    <w:rsid w:val="004A6126"/>
    <w:rsid w:val="004A615B"/>
    <w:rsid w:val="004A6206"/>
    <w:rsid w:val="004A6320"/>
    <w:rsid w:val="004A635F"/>
    <w:rsid w:val="004A66F4"/>
    <w:rsid w:val="004A6794"/>
    <w:rsid w:val="004A6825"/>
    <w:rsid w:val="004A688C"/>
    <w:rsid w:val="004A6933"/>
    <w:rsid w:val="004A697C"/>
    <w:rsid w:val="004A6B80"/>
    <w:rsid w:val="004A6B8B"/>
    <w:rsid w:val="004A6B8F"/>
    <w:rsid w:val="004A6C6B"/>
    <w:rsid w:val="004A6CD6"/>
    <w:rsid w:val="004A6CF8"/>
    <w:rsid w:val="004A6D58"/>
    <w:rsid w:val="004A6D67"/>
    <w:rsid w:val="004A6D7D"/>
    <w:rsid w:val="004A6DF8"/>
    <w:rsid w:val="004A6E8D"/>
    <w:rsid w:val="004A6EDC"/>
    <w:rsid w:val="004A7041"/>
    <w:rsid w:val="004A720D"/>
    <w:rsid w:val="004A72DB"/>
    <w:rsid w:val="004A7342"/>
    <w:rsid w:val="004A73A2"/>
    <w:rsid w:val="004A7444"/>
    <w:rsid w:val="004A74A5"/>
    <w:rsid w:val="004A7896"/>
    <w:rsid w:val="004A7920"/>
    <w:rsid w:val="004A7AED"/>
    <w:rsid w:val="004A7B5E"/>
    <w:rsid w:val="004A7BE4"/>
    <w:rsid w:val="004A7CF7"/>
    <w:rsid w:val="004A7D16"/>
    <w:rsid w:val="004A7D5F"/>
    <w:rsid w:val="004A7DF2"/>
    <w:rsid w:val="004A7E13"/>
    <w:rsid w:val="004A7E7C"/>
    <w:rsid w:val="004A7E8F"/>
    <w:rsid w:val="004A7EB6"/>
    <w:rsid w:val="004B0238"/>
    <w:rsid w:val="004B029F"/>
    <w:rsid w:val="004B02F6"/>
    <w:rsid w:val="004B03DD"/>
    <w:rsid w:val="004B080C"/>
    <w:rsid w:val="004B0872"/>
    <w:rsid w:val="004B08C9"/>
    <w:rsid w:val="004B0989"/>
    <w:rsid w:val="004B099F"/>
    <w:rsid w:val="004B0AAA"/>
    <w:rsid w:val="004B0AE2"/>
    <w:rsid w:val="004B0B27"/>
    <w:rsid w:val="004B0BF1"/>
    <w:rsid w:val="004B0EE0"/>
    <w:rsid w:val="004B0F81"/>
    <w:rsid w:val="004B1091"/>
    <w:rsid w:val="004B10D2"/>
    <w:rsid w:val="004B111F"/>
    <w:rsid w:val="004B11DD"/>
    <w:rsid w:val="004B1215"/>
    <w:rsid w:val="004B127B"/>
    <w:rsid w:val="004B12DD"/>
    <w:rsid w:val="004B1352"/>
    <w:rsid w:val="004B16EE"/>
    <w:rsid w:val="004B17E3"/>
    <w:rsid w:val="004B1887"/>
    <w:rsid w:val="004B1931"/>
    <w:rsid w:val="004B19F6"/>
    <w:rsid w:val="004B1A98"/>
    <w:rsid w:val="004B1AB0"/>
    <w:rsid w:val="004B1B76"/>
    <w:rsid w:val="004B1FDB"/>
    <w:rsid w:val="004B2138"/>
    <w:rsid w:val="004B21CA"/>
    <w:rsid w:val="004B21FB"/>
    <w:rsid w:val="004B2216"/>
    <w:rsid w:val="004B22F9"/>
    <w:rsid w:val="004B233E"/>
    <w:rsid w:val="004B234F"/>
    <w:rsid w:val="004B23FE"/>
    <w:rsid w:val="004B24C8"/>
    <w:rsid w:val="004B2602"/>
    <w:rsid w:val="004B264E"/>
    <w:rsid w:val="004B28EC"/>
    <w:rsid w:val="004B29F9"/>
    <w:rsid w:val="004B2A23"/>
    <w:rsid w:val="004B2A88"/>
    <w:rsid w:val="004B2BE2"/>
    <w:rsid w:val="004B2C02"/>
    <w:rsid w:val="004B2C18"/>
    <w:rsid w:val="004B2DBB"/>
    <w:rsid w:val="004B2DC0"/>
    <w:rsid w:val="004B2DFD"/>
    <w:rsid w:val="004B2F27"/>
    <w:rsid w:val="004B2FCF"/>
    <w:rsid w:val="004B3240"/>
    <w:rsid w:val="004B351B"/>
    <w:rsid w:val="004B3542"/>
    <w:rsid w:val="004B3680"/>
    <w:rsid w:val="004B369E"/>
    <w:rsid w:val="004B38E2"/>
    <w:rsid w:val="004B3D48"/>
    <w:rsid w:val="004B3DAA"/>
    <w:rsid w:val="004B4027"/>
    <w:rsid w:val="004B405C"/>
    <w:rsid w:val="004B4080"/>
    <w:rsid w:val="004B40CD"/>
    <w:rsid w:val="004B40D1"/>
    <w:rsid w:val="004B4138"/>
    <w:rsid w:val="004B41C2"/>
    <w:rsid w:val="004B4225"/>
    <w:rsid w:val="004B446B"/>
    <w:rsid w:val="004B44AA"/>
    <w:rsid w:val="004B454A"/>
    <w:rsid w:val="004B455C"/>
    <w:rsid w:val="004B45E8"/>
    <w:rsid w:val="004B45FA"/>
    <w:rsid w:val="004B46A7"/>
    <w:rsid w:val="004B4734"/>
    <w:rsid w:val="004B482C"/>
    <w:rsid w:val="004B487B"/>
    <w:rsid w:val="004B4924"/>
    <w:rsid w:val="004B497E"/>
    <w:rsid w:val="004B49AE"/>
    <w:rsid w:val="004B4B33"/>
    <w:rsid w:val="004B4B79"/>
    <w:rsid w:val="004B4BE3"/>
    <w:rsid w:val="004B4D1D"/>
    <w:rsid w:val="004B4F57"/>
    <w:rsid w:val="004B4F83"/>
    <w:rsid w:val="004B4FE9"/>
    <w:rsid w:val="004B5048"/>
    <w:rsid w:val="004B5142"/>
    <w:rsid w:val="004B5193"/>
    <w:rsid w:val="004B51FD"/>
    <w:rsid w:val="004B528E"/>
    <w:rsid w:val="004B529C"/>
    <w:rsid w:val="004B532E"/>
    <w:rsid w:val="004B55E9"/>
    <w:rsid w:val="004B5858"/>
    <w:rsid w:val="004B585F"/>
    <w:rsid w:val="004B592D"/>
    <w:rsid w:val="004B59E2"/>
    <w:rsid w:val="004B5A55"/>
    <w:rsid w:val="004B5A5E"/>
    <w:rsid w:val="004B5CCF"/>
    <w:rsid w:val="004B5E2C"/>
    <w:rsid w:val="004B5E5D"/>
    <w:rsid w:val="004B5EA0"/>
    <w:rsid w:val="004B5EF4"/>
    <w:rsid w:val="004B62EA"/>
    <w:rsid w:val="004B63DF"/>
    <w:rsid w:val="004B63F6"/>
    <w:rsid w:val="004B6580"/>
    <w:rsid w:val="004B65A6"/>
    <w:rsid w:val="004B66EB"/>
    <w:rsid w:val="004B6748"/>
    <w:rsid w:val="004B6912"/>
    <w:rsid w:val="004B69E0"/>
    <w:rsid w:val="004B6AB8"/>
    <w:rsid w:val="004B6AF6"/>
    <w:rsid w:val="004B6B52"/>
    <w:rsid w:val="004B6B5B"/>
    <w:rsid w:val="004B6B7D"/>
    <w:rsid w:val="004B6CA1"/>
    <w:rsid w:val="004B6D3B"/>
    <w:rsid w:val="004B6E2D"/>
    <w:rsid w:val="004B6ED5"/>
    <w:rsid w:val="004B73AC"/>
    <w:rsid w:val="004B7421"/>
    <w:rsid w:val="004B74F4"/>
    <w:rsid w:val="004B751E"/>
    <w:rsid w:val="004B7814"/>
    <w:rsid w:val="004B782E"/>
    <w:rsid w:val="004B7915"/>
    <w:rsid w:val="004B7960"/>
    <w:rsid w:val="004B7A48"/>
    <w:rsid w:val="004B7A8F"/>
    <w:rsid w:val="004B7B42"/>
    <w:rsid w:val="004B7C08"/>
    <w:rsid w:val="004B7C24"/>
    <w:rsid w:val="004B7CED"/>
    <w:rsid w:val="004B7D94"/>
    <w:rsid w:val="004B7DB9"/>
    <w:rsid w:val="004B7E0F"/>
    <w:rsid w:val="004B7E7B"/>
    <w:rsid w:val="004C00DB"/>
    <w:rsid w:val="004C00E8"/>
    <w:rsid w:val="004C0203"/>
    <w:rsid w:val="004C02AB"/>
    <w:rsid w:val="004C02F2"/>
    <w:rsid w:val="004C031F"/>
    <w:rsid w:val="004C04E0"/>
    <w:rsid w:val="004C05F5"/>
    <w:rsid w:val="004C06D3"/>
    <w:rsid w:val="004C0804"/>
    <w:rsid w:val="004C0953"/>
    <w:rsid w:val="004C0A8C"/>
    <w:rsid w:val="004C0B80"/>
    <w:rsid w:val="004C0BCC"/>
    <w:rsid w:val="004C0C5C"/>
    <w:rsid w:val="004C0CD5"/>
    <w:rsid w:val="004C0EFF"/>
    <w:rsid w:val="004C0FC1"/>
    <w:rsid w:val="004C0FD0"/>
    <w:rsid w:val="004C122C"/>
    <w:rsid w:val="004C153E"/>
    <w:rsid w:val="004C1554"/>
    <w:rsid w:val="004C16A3"/>
    <w:rsid w:val="004C16E4"/>
    <w:rsid w:val="004C16F0"/>
    <w:rsid w:val="004C1735"/>
    <w:rsid w:val="004C193A"/>
    <w:rsid w:val="004C199C"/>
    <w:rsid w:val="004C1BC8"/>
    <w:rsid w:val="004C1BD0"/>
    <w:rsid w:val="004C1CBB"/>
    <w:rsid w:val="004C1D21"/>
    <w:rsid w:val="004C1FDE"/>
    <w:rsid w:val="004C212C"/>
    <w:rsid w:val="004C214C"/>
    <w:rsid w:val="004C219D"/>
    <w:rsid w:val="004C219F"/>
    <w:rsid w:val="004C257D"/>
    <w:rsid w:val="004C2657"/>
    <w:rsid w:val="004C2889"/>
    <w:rsid w:val="004C28A0"/>
    <w:rsid w:val="004C28BC"/>
    <w:rsid w:val="004C28CC"/>
    <w:rsid w:val="004C2A4C"/>
    <w:rsid w:val="004C2B3C"/>
    <w:rsid w:val="004C2D01"/>
    <w:rsid w:val="004C2D6C"/>
    <w:rsid w:val="004C2DD5"/>
    <w:rsid w:val="004C2FBE"/>
    <w:rsid w:val="004C2FCB"/>
    <w:rsid w:val="004C301A"/>
    <w:rsid w:val="004C30BF"/>
    <w:rsid w:val="004C335A"/>
    <w:rsid w:val="004C344A"/>
    <w:rsid w:val="004C35B4"/>
    <w:rsid w:val="004C37EF"/>
    <w:rsid w:val="004C38AE"/>
    <w:rsid w:val="004C38B6"/>
    <w:rsid w:val="004C394F"/>
    <w:rsid w:val="004C3AF2"/>
    <w:rsid w:val="004C3DD6"/>
    <w:rsid w:val="004C3E71"/>
    <w:rsid w:val="004C3F64"/>
    <w:rsid w:val="004C40A7"/>
    <w:rsid w:val="004C4267"/>
    <w:rsid w:val="004C4770"/>
    <w:rsid w:val="004C47D9"/>
    <w:rsid w:val="004C47E1"/>
    <w:rsid w:val="004C48A9"/>
    <w:rsid w:val="004C4946"/>
    <w:rsid w:val="004C4972"/>
    <w:rsid w:val="004C4A78"/>
    <w:rsid w:val="004C51D6"/>
    <w:rsid w:val="004C51DE"/>
    <w:rsid w:val="004C5339"/>
    <w:rsid w:val="004C53CA"/>
    <w:rsid w:val="004C5592"/>
    <w:rsid w:val="004C5727"/>
    <w:rsid w:val="004C57F3"/>
    <w:rsid w:val="004C5849"/>
    <w:rsid w:val="004C590E"/>
    <w:rsid w:val="004C5978"/>
    <w:rsid w:val="004C598B"/>
    <w:rsid w:val="004C5ABA"/>
    <w:rsid w:val="004C5AE9"/>
    <w:rsid w:val="004C5B58"/>
    <w:rsid w:val="004C5B6D"/>
    <w:rsid w:val="004C5B75"/>
    <w:rsid w:val="004C5F54"/>
    <w:rsid w:val="004C604A"/>
    <w:rsid w:val="004C6083"/>
    <w:rsid w:val="004C6085"/>
    <w:rsid w:val="004C6160"/>
    <w:rsid w:val="004C6583"/>
    <w:rsid w:val="004C66B5"/>
    <w:rsid w:val="004C66D8"/>
    <w:rsid w:val="004C6A42"/>
    <w:rsid w:val="004C6A75"/>
    <w:rsid w:val="004C6A84"/>
    <w:rsid w:val="004C6A8B"/>
    <w:rsid w:val="004C6AAB"/>
    <w:rsid w:val="004C6B05"/>
    <w:rsid w:val="004C6B34"/>
    <w:rsid w:val="004C6C11"/>
    <w:rsid w:val="004C6C7A"/>
    <w:rsid w:val="004C6D36"/>
    <w:rsid w:val="004C6D47"/>
    <w:rsid w:val="004C6DC7"/>
    <w:rsid w:val="004C6DD1"/>
    <w:rsid w:val="004C6E91"/>
    <w:rsid w:val="004C6ED2"/>
    <w:rsid w:val="004C6EF6"/>
    <w:rsid w:val="004C6F10"/>
    <w:rsid w:val="004C7010"/>
    <w:rsid w:val="004C7140"/>
    <w:rsid w:val="004C7219"/>
    <w:rsid w:val="004C730F"/>
    <w:rsid w:val="004C738A"/>
    <w:rsid w:val="004C739C"/>
    <w:rsid w:val="004C748F"/>
    <w:rsid w:val="004C7683"/>
    <w:rsid w:val="004C76F0"/>
    <w:rsid w:val="004C7892"/>
    <w:rsid w:val="004C7911"/>
    <w:rsid w:val="004C793F"/>
    <w:rsid w:val="004C7BA2"/>
    <w:rsid w:val="004C7BB7"/>
    <w:rsid w:val="004C7BBB"/>
    <w:rsid w:val="004C7BEE"/>
    <w:rsid w:val="004C7E5B"/>
    <w:rsid w:val="004C7EDC"/>
    <w:rsid w:val="004C7F78"/>
    <w:rsid w:val="004D01EE"/>
    <w:rsid w:val="004D02BC"/>
    <w:rsid w:val="004D0372"/>
    <w:rsid w:val="004D0400"/>
    <w:rsid w:val="004D041C"/>
    <w:rsid w:val="004D056A"/>
    <w:rsid w:val="004D062C"/>
    <w:rsid w:val="004D07A3"/>
    <w:rsid w:val="004D0880"/>
    <w:rsid w:val="004D0DDA"/>
    <w:rsid w:val="004D0F83"/>
    <w:rsid w:val="004D1016"/>
    <w:rsid w:val="004D115A"/>
    <w:rsid w:val="004D11EB"/>
    <w:rsid w:val="004D1257"/>
    <w:rsid w:val="004D13A8"/>
    <w:rsid w:val="004D1425"/>
    <w:rsid w:val="004D156B"/>
    <w:rsid w:val="004D1636"/>
    <w:rsid w:val="004D169D"/>
    <w:rsid w:val="004D1817"/>
    <w:rsid w:val="004D18C3"/>
    <w:rsid w:val="004D195F"/>
    <w:rsid w:val="004D1AA0"/>
    <w:rsid w:val="004D1C4F"/>
    <w:rsid w:val="004D1E3F"/>
    <w:rsid w:val="004D1E98"/>
    <w:rsid w:val="004D1F2A"/>
    <w:rsid w:val="004D1FB4"/>
    <w:rsid w:val="004D2047"/>
    <w:rsid w:val="004D21AE"/>
    <w:rsid w:val="004D21BF"/>
    <w:rsid w:val="004D21D9"/>
    <w:rsid w:val="004D2212"/>
    <w:rsid w:val="004D226E"/>
    <w:rsid w:val="004D241C"/>
    <w:rsid w:val="004D24F1"/>
    <w:rsid w:val="004D2626"/>
    <w:rsid w:val="004D265C"/>
    <w:rsid w:val="004D2952"/>
    <w:rsid w:val="004D29E5"/>
    <w:rsid w:val="004D2A34"/>
    <w:rsid w:val="004D2C44"/>
    <w:rsid w:val="004D2E4C"/>
    <w:rsid w:val="004D2E6D"/>
    <w:rsid w:val="004D2F11"/>
    <w:rsid w:val="004D2F3E"/>
    <w:rsid w:val="004D3027"/>
    <w:rsid w:val="004D3077"/>
    <w:rsid w:val="004D316A"/>
    <w:rsid w:val="004D3175"/>
    <w:rsid w:val="004D31EC"/>
    <w:rsid w:val="004D3374"/>
    <w:rsid w:val="004D3409"/>
    <w:rsid w:val="004D3602"/>
    <w:rsid w:val="004D367A"/>
    <w:rsid w:val="004D36DF"/>
    <w:rsid w:val="004D3731"/>
    <w:rsid w:val="004D38C2"/>
    <w:rsid w:val="004D3917"/>
    <w:rsid w:val="004D3927"/>
    <w:rsid w:val="004D3A88"/>
    <w:rsid w:val="004D3AEA"/>
    <w:rsid w:val="004D3B06"/>
    <w:rsid w:val="004D3D41"/>
    <w:rsid w:val="004D3D95"/>
    <w:rsid w:val="004D3E16"/>
    <w:rsid w:val="004D3E97"/>
    <w:rsid w:val="004D3EBD"/>
    <w:rsid w:val="004D402F"/>
    <w:rsid w:val="004D40C0"/>
    <w:rsid w:val="004D40DB"/>
    <w:rsid w:val="004D40EA"/>
    <w:rsid w:val="004D4126"/>
    <w:rsid w:val="004D427B"/>
    <w:rsid w:val="004D4472"/>
    <w:rsid w:val="004D44BC"/>
    <w:rsid w:val="004D45C3"/>
    <w:rsid w:val="004D45C4"/>
    <w:rsid w:val="004D45D1"/>
    <w:rsid w:val="004D46B4"/>
    <w:rsid w:val="004D488E"/>
    <w:rsid w:val="004D489D"/>
    <w:rsid w:val="004D48F0"/>
    <w:rsid w:val="004D497D"/>
    <w:rsid w:val="004D4AF4"/>
    <w:rsid w:val="004D4B28"/>
    <w:rsid w:val="004D4B72"/>
    <w:rsid w:val="004D4B83"/>
    <w:rsid w:val="004D4BA6"/>
    <w:rsid w:val="004D4CA9"/>
    <w:rsid w:val="004D4D4A"/>
    <w:rsid w:val="004D5112"/>
    <w:rsid w:val="004D51F8"/>
    <w:rsid w:val="004D5243"/>
    <w:rsid w:val="004D5404"/>
    <w:rsid w:val="004D55E4"/>
    <w:rsid w:val="004D58E8"/>
    <w:rsid w:val="004D5961"/>
    <w:rsid w:val="004D5E0B"/>
    <w:rsid w:val="004D5E9F"/>
    <w:rsid w:val="004D5EDA"/>
    <w:rsid w:val="004D6062"/>
    <w:rsid w:val="004D6097"/>
    <w:rsid w:val="004D6122"/>
    <w:rsid w:val="004D6152"/>
    <w:rsid w:val="004D6505"/>
    <w:rsid w:val="004D65F2"/>
    <w:rsid w:val="004D6661"/>
    <w:rsid w:val="004D6777"/>
    <w:rsid w:val="004D6818"/>
    <w:rsid w:val="004D68EF"/>
    <w:rsid w:val="004D6DE0"/>
    <w:rsid w:val="004D6F59"/>
    <w:rsid w:val="004D6FF7"/>
    <w:rsid w:val="004D7085"/>
    <w:rsid w:val="004D70D1"/>
    <w:rsid w:val="004D711C"/>
    <w:rsid w:val="004D712A"/>
    <w:rsid w:val="004D712D"/>
    <w:rsid w:val="004D7149"/>
    <w:rsid w:val="004D717B"/>
    <w:rsid w:val="004D738C"/>
    <w:rsid w:val="004D73EB"/>
    <w:rsid w:val="004D73F5"/>
    <w:rsid w:val="004D74CD"/>
    <w:rsid w:val="004D75C2"/>
    <w:rsid w:val="004D76F2"/>
    <w:rsid w:val="004D77E1"/>
    <w:rsid w:val="004D77EE"/>
    <w:rsid w:val="004D7BCD"/>
    <w:rsid w:val="004D7BED"/>
    <w:rsid w:val="004D7E23"/>
    <w:rsid w:val="004D7F5D"/>
    <w:rsid w:val="004D7F6B"/>
    <w:rsid w:val="004D7FA7"/>
    <w:rsid w:val="004D7FD3"/>
    <w:rsid w:val="004E014E"/>
    <w:rsid w:val="004E047C"/>
    <w:rsid w:val="004E0515"/>
    <w:rsid w:val="004E0577"/>
    <w:rsid w:val="004E05AE"/>
    <w:rsid w:val="004E0778"/>
    <w:rsid w:val="004E07B0"/>
    <w:rsid w:val="004E07E2"/>
    <w:rsid w:val="004E09BF"/>
    <w:rsid w:val="004E0B2D"/>
    <w:rsid w:val="004E0C2F"/>
    <w:rsid w:val="004E0C46"/>
    <w:rsid w:val="004E0CC8"/>
    <w:rsid w:val="004E0DAB"/>
    <w:rsid w:val="004E0E09"/>
    <w:rsid w:val="004E0E7F"/>
    <w:rsid w:val="004E0EC3"/>
    <w:rsid w:val="004E0F5E"/>
    <w:rsid w:val="004E10E2"/>
    <w:rsid w:val="004E13A8"/>
    <w:rsid w:val="004E13F6"/>
    <w:rsid w:val="004E146A"/>
    <w:rsid w:val="004E14CF"/>
    <w:rsid w:val="004E171B"/>
    <w:rsid w:val="004E174C"/>
    <w:rsid w:val="004E1991"/>
    <w:rsid w:val="004E1AB5"/>
    <w:rsid w:val="004E1AF4"/>
    <w:rsid w:val="004E1B62"/>
    <w:rsid w:val="004E1B8F"/>
    <w:rsid w:val="004E1CD9"/>
    <w:rsid w:val="004E1D23"/>
    <w:rsid w:val="004E1DA3"/>
    <w:rsid w:val="004E1EDB"/>
    <w:rsid w:val="004E2069"/>
    <w:rsid w:val="004E2094"/>
    <w:rsid w:val="004E20AA"/>
    <w:rsid w:val="004E20B9"/>
    <w:rsid w:val="004E20CB"/>
    <w:rsid w:val="004E20FD"/>
    <w:rsid w:val="004E2187"/>
    <w:rsid w:val="004E22B9"/>
    <w:rsid w:val="004E23B6"/>
    <w:rsid w:val="004E2403"/>
    <w:rsid w:val="004E26AC"/>
    <w:rsid w:val="004E26C9"/>
    <w:rsid w:val="004E26FF"/>
    <w:rsid w:val="004E28DF"/>
    <w:rsid w:val="004E2940"/>
    <w:rsid w:val="004E2A21"/>
    <w:rsid w:val="004E2A33"/>
    <w:rsid w:val="004E2A95"/>
    <w:rsid w:val="004E2C4B"/>
    <w:rsid w:val="004E2C58"/>
    <w:rsid w:val="004E2DA4"/>
    <w:rsid w:val="004E2DD8"/>
    <w:rsid w:val="004E2E39"/>
    <w:rsid w:val="004E3043"/>
    <w:rsid w:val="004E31DB"/>
    <w:rsid w:val="004E3235"/>
    <w:rsid w:val="004E3325"/>
    <w:rsid w:val="004E3330"/>
    <w:rsid w:val="004E3391"/>
    <w:rsid w:val="004E3430"/>
    <w:rsid w:val="004E364E"/>
    <w:rsid w:val="004E36F5"/>
    <w:rsid w:val="004E3703"/>
    <w:rsid w:val="004E370C"/>
    <w:rsid w:val="004E378B"/>
    <w:rsid w:val="004E379B"/>
    <w:rsid w:val="004E37B3"/>
    <w:rsid w:val="004E3859"/>
    <w:rsid w:val="004E38BC"/>
    <w:rsid w:val="004E38C6"/>
    <w:rsid w:val="004E38F8"/>
    <w:rsid w:val="004E3A4D"/>
    <w:rsid w:val="004E3A67"/>
    <w:rsid w:val="004E3B11"/>
    <w:rsid w:val="004E3B75"/>
    <w:rsid w:val="004E3BAC"/>
    <w:rsid w:val="004E3BDC"/>
    <w:rsid w:val="004E3D41"/>
    <w:rsid w:val="004E3D73"/>
    <w:rsid w:val="004E3DC4"/>
    <w:rsid w:val="004E3DEA"/>
    <w:rsid w:val="004E3EF1"/>
    <w:rsid w:val="004E3FCE"/>
    <w:rsid w:val="004E416A"/>
    <w:rsid w:val="004E4252"/>
    <w:rsid w:val="004E4265"/>
    <w:rsid w:val="004E448A"/>
    <w:rsid w:val="004E465C"/>
    <w:rsid w:val="004E46CD"/>
    <w:rsid w:val="004E4715"/>
    <w:rsid w:val="004E485C"/>
    <w:rsid w:val="004E49AF"/>
    <w:rsid w:val="004E49FD"/>
    <w:rsid w:val="004E4A78"/>
    <w:rsid w:val="004E4AF2"/>
    <w:rsid w:val="004E4EA8"/>
    <w:rsid w:val="004E4F94"/>
    <w:rsid w:val="004E5072"/>
    <w:rsid w:val="004E50BF"/>
    <w:rsid w:val="004E50CA"/>
    <w:rsid w:val="004E53CB"/>
    <w:rsid w:val="004E53FA"/>
    <w:rsid w:val="004E54B1"/>
    <w:rsid w:val="004E556A"/>
    <w:rsid w:val="004E55D7"/>
    <w:rsid w:val="004E569A"/>
    <w:rsid w:val="004E5724"/>
    <w:rsid w:val="004E5894"/>
    <w:rsid w:val="004E590C"/>
    <w:rsid w:val="004E5943"/>
    <w:rsid w:val="004E5968"/>
    <w:rsid w:val="004E5C48"/>
    <w:rsid w:val="004E5C5F"/>
    <w:rsid w:val="004E5E44"/>
    <w:rsid w:val="004E61D5"/>
    <w:rsid w:val="004E6329"/>
    <w:rsid w:val="004E6492"/>
    <w:rsid w:val="004E6539"/>
    <w:rsid w:val="004E661B"/>
    <w:rsid w:val="004E6647"/>
    <w:rsid w:val="004E679D"/>
    <w:rsid w:val="004E67AC"/>
    <w:rsid w:val="004E6828"/>
    <w:rsid w:val="004E6E87"/>
    <w:rsid w:val="004E6F60"/>
    <w:rsid w:val="004E6FE0"/>
    <w:rsid w:val="004E71C6"/>
    <w:rsid w:val="004E76FD"/>
    <w:rsid w:val="004E77FB"/>
    <w:rsid w:val="004E782D"/>
    <w:rsid w:val="004E786A"/>
    <w:rsid w:val="004E787F"/>
    <w:rsid w:val="004E78B1"/>
    <w:rsid w:val="004E7943"/>
    <w:rsid w:val="004E7E10"/>
    <w:rsid w:val="004F002D"/>
    <w:rsid w:val="004F00CA"/>
    <w:rsid w:val="004F0240"/>
    <w:rsid w:val="004F0246"/>
    <w:rsid w:val="004F0421"/>
    <w:rsid w:val="004F073D"/>
    <w:rsid w:val="004F0770"/>
    <w:rsid w:val="004F08B3"/>
    <w:rsid w:val="004F098F"/>
    <w:rsid w:val="004F0B5E"/>
    <w:rsid w:val="004F0B60"/>
    <w:rsid w:val="004F0CE1"/>
    <w:rsid w:val="004F0D3C"/>
    <w:rsid w:val="004F0D54"/>
    <w:rsid w:val="004F0D6E"/>
    <w:rsid w:val="004F0DDB"/>
    <w:rsid w:val="004F0E1D"/>
    <w:rsid w:val="004F0E38"/>
    <w:rsid w:val="004F100B"/>
    <w:rsid w:val="004F1078"/>
    <w:rsid w:val="004F10C2"/>
    <w:rsid w:val="004F1254"/>
    <w:rsid w:val="004F1273"/>
    <w:rsid w:val="004F13C0"/>
    <w:rsid w:val="004F142F"/>
    <w:rsid w:val="004F143F"/>
    <w:rsid w:val="004F1502"/>
    <w:rsid w:val="004F1764"/>
    <w:rsid w:val="004F1825"/>
    <w:rsid w:val="004F1888"/>
    <w:rsid w:val="004F18AD"/>
    <w:rsid w:val="004F18FB"/>
    <w:rsid w:val="004F1925"/>
    <w:rsid w:val="004F1BB4"/>
    <w:rsid w:val="004F1CFE"/>
    <w:rsid w:val="004F1DB7"/>
    <w:rsid w:val="004F2144"/>
    <w:rsid w:val="004F2268"/>
    <w:rsid w:val="004F22CD"/>
    <w:rsid w:val="004F2360"/>
    <w:rsid w:val="004F23B3"/>
    <w:rsid w:val="004F23D1"/>
    <w:rsid w:val="004F258F"/>
    <w:rsid w:val="004F25B3"/>
    <w:rsid w:val="004F267B"/>
    <w:rsid w:val="004F290D"/>
    <w:rsid w:val="004F2C58"/>
    <w:rsid w:val="004F2F01"/>
    <w:rsid w:val="004F2FA2"/>
    <w:rsid w:val="004F3015"/>
    <w:rsid w:val="004F3133"/>
    <w:rsid w:val="004F322A"/>
    <w:rsid w:val="004F3320"/>
    <w:rsid w:val="004F3366"/>
    <w:rsid w:val="004F33A0"/>
    <w:rsid w:val="004F3678"/>
    <w:rsid w:val="004F369B"/>
    <w:rsid w:val="004F36B9"/>
    <w:rsid w:val="004F37C9"/>
    <w:rsid w:val="004F38A0"/>
    <w:rsid w:val="004F3943"/>
    <w:rsid w:val="004F3AEC"/>
    <w:rsid w:val="004F3BC6"/>
    <w:rsid w:val="004F3BD5"/>
    <w:rsid w:val="004F3BE2"/>
    <w:rsid w:val="004F3C5C"/>
    <w:rsid w:val="004F3C85"/>
    <w:rsid w:val="004F3D12"/>
    <w:rsid w:val="004F3F1D"/>
    <w:rsid w:val="004F3F2B"/>
    <w:rsid w:val="004F3FCF"/>
    <w:rsid w:val="004F405A"/>
    <w:rsid w:val="004F40BA"/>
    <w:rsid w:val="004F41C4"/>
    <w:rsid w:val="004F42C4"/>
    <w:rsid w:val="004F42FC"/>
    <w:rsid w:val="004F4508"/>
    <w:rsid w:val="004F4756"/>
    <w:rsid w:val="004F47B5"/>
    <w:rsid w:val="004F4A47"/>
    <w:rsid w:val="004F4BBD"/>
    <w:rsid w:val="004F4C70"/>
    <w:rsid w:val="004F4F45"/>
    <w:rsid w:val="004F5069"/>
    <w:rsid w:val="004F507D"/>
    <w:rsid w:val="004F50FD"/>
    <w:rsid w:val="004F5283"/>
    <w:rsid w:val="004F52E3"/>
    <w:rsid w:val="004F552B"/>
    <w:rsid w:val="004F5575"/>
    <w:rsid w:val="004F576D"/>
    <w:rsid w:val="004F59C2"/>
    <w:rsid w:val="004F5A9C"/>
    <w:rsid w:val="004F5B73"/>
    <w:rsid w:val="004F5BA2"/>
    <w:rsid w:val="004F5BE1"/>
    <w:rsid w:val="004F5F27"/>
    <w:rsid w:val="004F60DC"/>
    <w:rsid w:val="004F6238"/>
    <w:rsid w:val="004F6322"/>
    <w:rsid w:val="004F63F5"/>
    <w:rsid w:val="004F647A"/>
    <w:rsid w:val="004F65F6"/>
    <w:rsid w:val="004F6885"/>
    <w:rsid w:val="004F68C9"/>
    <w:rsid w:val="004F68F6"/>
    <w:rsid w:val="004F694E"/>
    <w:rsid w:val="004F695F"/>
    <w:rsid w:val="004F6976"/>
    <w:rsid w:val="004F6997"/>
    <w:rsid w:val="004F6A1B"/>
    <w:rsid w:val="004F6AE8"/>
    <w:rsid w:val="004F6B37"/>
    <w:rsid w:val="004F6B89"/>
    <w:rsid w:val="004F6BBA"/>
    <w:rsid w:val="004F6BC5"/>
    <w:rsid w:val="004F6C10"/>
    <w:rsid w:val="004F6DB5"/>
    <w:rsid w:val="004F6E42"/>
    <w:rsid w:val="004F6F47"/>
    <w:rsid w:val="004F6F84"/>
    <w:rsid w:val="004F70DC"/>
    <w:rsid w:val="004F715F"/>
    <w:rsid w:val="004F717F"/>
    <w:rsid w:val="004F72C3"/>
    <w:rsid w:val="004F736B"/>
    <w:rsid w:val="004F73AB"/>
    <w:rsid w:val="004F73DF"/>
    <w:rsid w:val="004F73E5"/>
    <w:rsid w:val="004F750D"/>
    <w:rsid w:val="004F7625"/>
    <w:rsid w:val="004F781A"/>
    <w:rsid w:val="004F7875"/>
    <w:rsid w:val="004F78F8"/>
    <w:rsid w:val="004F78FA"/>
    <w:rsid w:val="004F7909"/>
    <w:rsid w:val="004F7D20"/>
    <w:rsid w:val="004F7D2E"/>
    <w:rsid w:val="004F7D3A"/>
    <w:rsid w:val="004F7D97"/>
    <w:rsid w:val="004F7F53"/>
    <w:rsid w:val="00500003"/>
    <w:rsid w:val="005000D2"/>
    <w:rsid w:val="00500413"/>
    <w:rsid w:val="00500657"/>
    <w:rsid w:val="0050094C"/>
    <w:rsid w:val="00500A38"/>
    <w:rsid w:val="00500AD4"/>
    <w:rsid w:val="00500AE5"/>
    <w:rsid w:val="00500B00"/>
    <w:rsid w:val="00500B3C"/>
    <w:rsid w:val="00500B67"/>
    <w:rsid w:val="00500BD5"/>
    <w:rsid w:val="00500D73"/>
    <w:rsid w:val="00500DE2"/>
    <w:rsid w:val="00500DE4"/>
    <w:rsid w:val="00500DE8"/>
    <w:rsid w:val="00500EB9"/>
    <w:rsid w:val="00501032"/>
    <w:rsid w:val="00501057"/>
    <w:rsid w:val="0050105B"/>
    <w:rsid w:val="00501205"/>
    <w:rsid w:val="00501246"/>
    <w:rsid w:val="0050125D"/>
    <w:rsid w:val="00501380"/>
    <w:rsid w:val="005014C1"/>
    <w:rsid w:val="005015F0"/>
    <w:rsid w:val="0050164A"/>
    <w:rsid w:val="005018B2"/>
    <w:rsid w:val="00501918"/>
    <w:rsid w:val="00501A51"/>
    <w:rsid w:val="00501D4B"/>
    <w:rsid w:val="00501D61"/>
    <w:rsid w:val="00501E38"/>
    <w:rsid w:val="00501E6E"/>
    <w:rsid w:val="00501E74"/>
    <w:rsid w:val="00501E8E"/>
    <w:rsid w:val="00501FD7"/>
    <w:rsid w:val="00502077"/>
    <w:rsid w:val="005021A6"/>
    <w:rsid w:val="005022C9"/>
    <w:rsid w:val="005023A6"/>
    <w:rsid w:val="00502452"/>
    <w:rsid w:val="0050247B"/>
    <w:rsid w:val="0050255D"/>
    <w:rsid w:val="00502614"/>
    <w:rsid w:val="0050264D"/>
    <w:rsid w:val="00502753"/>
    <w:rsid w:val="005028F6"/>
    <w:rsid w:val="0050290B"/>
    <w:rsid w:val="00502947"/>
    <w:rsid w:val="00502993"/>
    <w:rsid w:val="00502A75"/>
    <w:rsid w:val="00502B48"/>
    <w:rsid w:val="00502BEA"/>
    <w:rsid w:val="00502C1C"/>
    <w:rsid w:val="00502C84"/>
    <w:rsid w:val="00502CF3"/>
    <w:rsid w:val="00502E10"/>
    <w:rsid w:val="00502F09"/>
    <w:rsid w:val="0050301A"/>
    <w:rsid w:val="00503267"/>
    <w:rsid w:val="0050328E"/>
    <w:rsid w:val="005033BA"/>
    <w:rsid w:val="005033E7"/>
    <w:rsid w:val="005033EE"/>
    <w:rsid w:val="00503450"/>
    <w:rsid w:val="0050351E"/>
    <w:rsid w:val="00503587"/>
    <w:rsid w:val="005035C1"/>
    <w:rsid w:val="0050365D"/>
    <w:rsid w:val="005037AA"/>
    <w:rsid w:val="005037B5"/>
    <w:rsid w:val="00503AFB"/>
    <w:rsid w:val="00503B54"/>
    <w:rsid w:val="00503BE1"/>
    <w:rsid w:val="00503CB7"/>
    <w:rsid w:val="00503D15"/>
    <w:rsid w:val="00503D47"/>
    <w:rsid w:val="00503D56"/>
    <w:rsid w:val="0050400E"/>
    <w:rsid w:val="00504039"/>
    <w:rsid w:val="00504101"/>
    <w:rsid w:val="00504338"/>
    <w:rsid w:val="0050434B"/>
    <w:rsid w:val="005043A8"/>
    <w:rsid w:val="00504524"/>
    <w:rsid w:val="005048DE"/>
    <w:rsid w:val="00504B13"/>
    <w:rsid w:val="00504B3A"/>
    <w:rsid w:val="00504B9F"/>
    <w:rsid w:val="00504D67"/>
    <w:rsid w:val="005050FF"/>
    <w:rsid w:val="0050515D"/>
    <w:rsid w:val="005051FB"/>
    <w:rsid w:val="00505214"/>
    <w:rsid w:val="005054EE"/>
    <w:rsid w:val="005055DF"/>
    <w:rsid w:val="00505636"/>
    <w:rsid w:val="00505681"/>
    <w:rsid w:val="00505729"/>
    <w:rsid w:val="00505850"/>
    <w:rsid w:val="005058E0"/>
    <w:rsid w:val="005059A5"/>
    <w:rsid w:val="00505B13"/>
    <w:rsid w:val="00505B4C"/>
    <w:rsid w:val="00505C1E"/>
    <w:rsid w:val="00505DE6"/>
    <w:rsid w:val="00505E0D"/>
    <w:rsid w:val="00505EC0"/>
    <w:rsid w:val="00505F2D"/>
    <w:rsid w:val="00505F9B"/>
    <w:rsid w:val="005060AB"/>
    <w:rsid w:val="005060E2"/>
    <w:rsid w:val="0050616C"/>
    <w:rsid w:val="005061F3"/>
    <w:rsid w:val="005062A2"/>
    <w:rsid w:val="005063CB"/>
    <w:rsid w:val="005065A6"/>
    <w:rsid w:val="00506632"/>
    <w:rsid w:val="0050675E"/>
    <w:rsid w:val="00506858"/>
    <w:rsid w:val="00506859"/>
    <w:rsid w:val="00506B59"/>
    <w:rsid w:val="00506B94"/>
    <w:rsid w:val="00506BBD"/>
    <w:rsid w:val="00506C73"/>
    <w:rsid w:val="00506CEB"/>
    <w:rsid w:val="00506D4E"/>
    <w:rsid w:val="00506E07"/>
    <w:rsid w:val="00506E2A"/>
    <w:rsid w:val="00506E36"/>
    <w:rsid w:val="00506E7F"/>
    <w:rsid w:val="00506F1E"/>
    <w:rsid w:val="00506F4D"/>
    <w:rsid w:val="005070CB"/>
    <w:rsid w:val="005073F5"/>
    <w:rsid w:val="00507444"/>
    <w:rsid w:val="005074FB"/>
    <w:rsid w:val="0050752F"/>
    <w:rsid w:val="0050762A"/>
    <w:rsid w:val="005076FF"/>
    <w:rsid w:val="00507802"/>
    <w:rsid w:val="00507807"/>
    <w:rsid w:val="0050788C"/>
    <w:rsid w:val="005079CB"/>
    <w:rsid w:val="00507A8B"/>
    <w:rsid w:val="00507BE0"/>
    <w:rsid w:val="00507BEC"/>
    <w:rsid w:val="00507D57"/>
    <w:rsid w:val="00507D84"/>
    <w:rsid w:val="00507E13"/>
    <w:rsid w:val="00507E1D"/>
    <w:rsid w:val="00507F14"/>
    <w:rsid w:val="00507F23"/>
    <w:rsid w:val="00510015"/>
    <w:rsid w:val="00510075"/>
    <w:rsid w:val="005100E8"/>
    <w:rsid w:val="0051012D"/>
    <w:rsid w:val="00510160"/>
    <w:rsid w:val="005101FF"/>
    <w:rsid w:val="005102F4"/>
    <w:rsid w:val="005103B0"/>
    <w:rsid w:val="00510422"/>
    <w:rsid w:val="005104CC"/>
    <w:rsid w:val="00510592"/>
    <w:rsid w:val="00510594"/>
    <w:rsid w:val="00510646"/>
    <w:rsid w:val="005107A1"/>
    <w:rsid w:val="005107B1"/>
    <w:rsid w:val="00510981"/>
    <w:rsid w:val="005109EA"/>
    <w:rsid w:val="00510A75"/>
    <w:rsid w:val="00510B73"/>
    <w:rsid w:val="00510C07"/>
    <w:rsid w:val="00510C77"/>
    <w:rsid w:val="00510CBE"/>
    <w:rsid w:val="00510DED"/>
    <w:rsid w:val="00510FA6"/>
    <w:rsid w:val="00511067"/>
    <w:rsid w:val="005111D7"/>
    <w:rsid w:val="00511216"/>
    <w:rsid w:val="005112CE"/>
    <w:rsid w:val="0051141E"/>
    <w:rsid w:val="005116E3"/>
    <w:rsid w:val="0051188F"/>
    <w:rsid w:val="005118F9"/>
    <w:rsid w:val="005119E7"/>
    <w:rsid w:val="005119FB"/>
    <w:rsid w:val="00511A03"/>
    <w:rsid w:val="00511CA6"/>
    <w:rsid w:val="00511CCB"/>
    <w:rsid w:val="00511DA7"/>
    <w:rsid w:val="00511DFE"/>
    <w:rsid w:val="00511ED8"/>
    <w:rsid w:val="00511F52"/>
    <w:rsid w:val="00511F9A"/>
    <w:rsid w:val="00511FB5"/>
    <w:rsid w:val="00512125"/>
    <w:rsid w:val="0051213B"/>
    <w:rsid w:val="00512212"/>
    <w:rsid w:val="0051227E"/>
    <w:rsid w:val="005124C1"/>
    <w:rsid w:val="00512646"/>
    <w:rsid w:val="005126A8"/>
    <w:rsid w:val="00512731"/>
    <w:rsid w:val="0051284B"/>
    <w:rsid w:val="00512873"/>
    <w:rsid w:val="00512878"/>
    <w:rsid w:val="00512991"/>
    <w:rsid w:val="00512AD8"/>
    <w:rsid w:val="00512B4E"/>
    <w:rsid w:val="00512B7D"/>
    <w:rsid w:val="00512C3A"/>
    <w:rsid w:val="00512D28"/>
    <w:rsid w:val="00512D30"/>
    <w:rsid w:val="00512DFD"/>
    <w:rsid w:val="00512F4B"/>
    <w:rsid w:val="00513226"/>
    <w:rsid w:val="00513380"/>
    <w:rsid w:val="005134D3"/>
    <w:rsid w:val="00513540"/>
    <w:rsid w:val="00513542"/>
    <w:rsid w:val="00513575"/>
    <w:rsid w:val="00513810"/>
    <w:rsid w:val="0051391A"/>
    <w:rsid w:val="0051396D"/>
    <w:rsid w:val="00513A52"/>
    <w:rsid w:val="00513EFE"/>
    <w:rsid w:val="00513F2C"/>
    <w:rsid w:val="00514281"/>
    <w:rsid w:val="00514350"/>
    <w:rsid w:val="00514413"/>
    <w:rsid w:val="0051446E"/>
    <w:rsid w:val="005144E0"/>
    <w:rsid w:val="0051465D"/>
    <w:rsid w:val="0051469E"/>
    <w:rsid w:val="005147BC"/>
    <w:rsid w:val="0051480A"/>
    <w:rsid w:val="0051484C"/>
    <w:rsid w:val="00514A74"/>
    <w:rsid w:val="00514AA9"/>
    <w:rsid w:val="00514AE5"/>
    <w:rsid w:val="00514AEE"/>
    <w:rsid w:val="00514BCC"/>
    <w:rsid w:val="00514D52"/>
    <w:rsid w:val="00514DD5"/>
    <w:rsid w:val="00514DED"/>
    <w:rsid w:val="00514E24"/>
    <w:rsid w:val="00514E7A"/>
    <w:rsid w:val="00514F2C"/>
    <w:rsid w:val="00514F89"/>
    <w:rsid w:val="0051504E"/>
    <w:rsid w:val="005150AF"/>
    <w:rsid w:val="005150E2"/>
    <w:rsid w:val="005151A7"/>
    <w:rsid w:val="005151DD"/>
    <w:rsid w:val="00515398"/>
    <w:rsid w:val="0051549D"/>
    <w:rsid w:val="00515684"/>
    <w:rsid w:val="005156E1"/>
    <w:rsid w:val="005158B4"/>
    <w:rsid w:val="005158FD"/>
    <w:rsid w:val="0051590D"/>
    <w:rsid w:val="00515A63"/>
    <w:rsid w:val="00515B11"/>
    <w:rsid w:val="00515B6C"/>
    <w:rsid w:val="00515C19"/>
    <w:rsid w:val="00515C31"/>
    <w:rsid w:val="00516095"/>
    <w:rsid w:val="005160FA"/>
    <w:rsid w:val="00516133"/>
    <w:rsid w:val="005163D2"/>
    <w:rsid w:val="005164A5"/>
    <w:rsid w:val="0051651F"/>
    <w:rsid w:val="0051660A"/>
    <w:rsid w:val="00516666"/>
    <w:rsid w:val="00516813"/>
    <w:rsid w:val="0051688B"/>
    <w:rsid w:val="0051688E"/>
    <w:rsid w:val="00516895"/>
    <w:rsid w:val="00516906"/>
    <w:rsid w:val="00516BED"/>
    <w:rsid w:val="00516C37"/>
    <w:rsid w:val="00516C73"/>
    <w:rsid w:val="00516DAA"/>
    <w:rsid w:val="00516DBB"/>
    <w:rsid w:val="00516E41"/>
    <w:rsid w:val="00516F2A"/>
    <w:rsid w:val="00516F5C"/>
    <w:rsid w:val="00516F6A"/>
    <w:rsid w:val="00516FE1"/>
    <w:rsid w:val="00517206"/>
    <w:rsid w:val="00517279"/>
    <w:rsid w:val="0051728B"/>
    <w:rsid w:val="00517429"/>
    <w:rsid w:val="0051756E"/>
    <w:rsid w:val="00517706"/>
    <w:rsid w:val="00517715"/>
    <w:rsid w:val="00517743"/>
    <w:rsid w:val="0051775A"/>
    <w:rsid w:val="005177D8"/>
    <w:rsid w:val="00517887"/>
    <w:rsid w:val="005178D1"/>
    <w:rsid w:val="00517A29"/>
    <w:rsid w:val="00517AF8"/>
    <w:rsid w:val="00517CE7"/>
    <w:rsid w:val="00520267"/>
    <w:rsid w:val="0052029F"/>
    <w:rsid w:val="0052036B"/>
    <w:rsid w:val="005203DE"/>
    <w:rsid w:val="005203FD"/>
    <w:rsid w:val="005205BC"/>
    <w:rsid w:val="005206BB"/>
    <w:rsid w:val="00520774"/>
    <w:rsid w:val="005207F4"/>
    <w:rsid w:val="005208FC"/>
    <w:rsid w:val="00520BDF"/>
    <w:rsid w:val="00520C3E"/>
    <w:rsid w:val="00520C49"/>
    <w:rsid w:val="00520E78"/>
    <w:rsid w:val="00520EE5"/>
    <w:rsid w:val="00520F96"/>
    <w:rsid w:val="00520F99"/>
    <w:rsid w:val="005210F6"/>
    <w:rsid w:val="00521149"/>
    <w:rsid w:val="005211B1"/>
    <w:rsid w:val="005211C1"/>
    <w:rsid w:val="005211FD"/>
    <w:rsid w:val="005212B6"/>
    <w:rsid w:val="005213B1"/>
    <w:rsid w:val="005213BA"/>
    <w:rsid w:val="005213CD"/>
    <w:rsid w:val="005213F6"/>
    <w:rsid w:val="00521468"/>
    <w:rsid w:val="00521566"/>
    <w:rsid w:val="00521628"/>
    <w:rsid w:val="00521769"/>
    <w:rsid w:val="005217A2"/>
    <w:rsid w:val="0052183E"/>
    <w:rsid w:val="00521A46"/>
    <w:rsid w:val="00521AEC"/>
    <w:rsid w:val="00521B23"/>
    <w:rsid w:val="00521C44"/>
    <w:rsid w:val="00521CA4"/>
    <w:rsid w:val="00521D90"/>
    <w:rsid w:val="00521E2C"/>
    <w:rsid w:val="00521E4A"/>
    <w:rsid w:val="00521E65"/>
    <w:rsid w:val="00521EA1"/>
    <w:rsid w:val="00521F0D"/>
    <w:rsid w:val="00521F22"/>
    <w:rsid w:val="00521F92"/>
    <w:rsid w:val="00521FDE"/>
    <w:rsid w:val="005220E7"/>
    <w:rsid w:val="005220F9"/>
    <w:rsid w:val="00522360"/>
    <w:rsid w:val="00522446"/>
    <w:rsid w:val="00522478"/>
    <w:rsid w:val="005224C1"/>
    <w:rsid w:val="0052258B"/>
    <w:rsid w:val="005227AB"/>
    <w:rsid w:val="0052295C"/>
    <w:rsid w:val="005229E5"/>
    <w:rsid w:val="00522A4E"/>
    <w:rsid w:val="00522AC3"/>
    <w:rsid w:val="00522B42"/>
    <w:rsid w:val="00522B7C"/>
    <w:rsid w:val="00522C13"/>
    <w:rsid w:val="00522C5B"/>
    <w:rsid w:val="00522D93"/>
    <w:rsid w:val="00522F2B"/>
    <w:rsid w:val="00523055"/>
    <w:rsid w:val="0052324D"/>
    <w:rsid w:val="005232BF"/>
    <w:rsid w:val="0052356A"/>
    <w:rsid w:val="005235B2"/>
    <w:rsid w:val="0052364B"/>
    <w:rsid w:val="005236BA"/>
    <w:rsid w:val="00523AEE"/>
    <w:rsid w:val="00523B8D"/>
    <w:rsid w:val="00524309"/>
    <w:rsid w:val="0052430E"/>
    <w:rsid w:val="00524459"/>
    <w:rsid w:val="00524487"/>
    <w:rsid w:val="00524553"/>
    <w:rsid w:val="0052459B"/>
    <w:rsid w:val="0052465B"/>
    <w:rsid w:val="00524782"/>
    <w:rsid w:val="00524787"/>
    <w:rsid w:val="005249E4"/>
    <w:rsid w:val="00524B02"/>
    <w:rsid w:val="00524C5E"/>
    <w:rsid w:val="00524D74"/>
    <w:rsid w:val="00524DA1"/>
    <w:rsid w:val="00524E1A"/>
    <w:rsid w:val="00525173"/>
    <w:rsid w:val="005251A6"/>
    <w:rsid w:val="005251CF"/>
    <w:rsid w:val="0052530C"/>
    <w:rsid w:val="0052547D"/>
    <w:rsid w:val="0052548A"/>
    <w:rsid w:val="005254F3"/>
    <w:rsid w:val="00525546"/>
    <w:rsid w:val="00525839"/>
    <w:rsid w:val="00525875"/>
    <w:rsid w:val="00525A5E"/>
    <w:rsid w:val="00525AAB"/>
    <w:rsid w:val="00525BA4"/>
    <w:rsid w:val="00525C5C"/>
    <w:rsid w:val="00525F28"/>
    <w:rsid w:val="00526094"/>
    <w:rsid w:val="00526215"/>
    <w:rsid w:val="005262D4"/>
    <w:rsid w:val="005264F5"/>
    <w:rsid w:val="00526879"/>
    <w:rsid w:val="0052693B"/>
    <w:rsid w:val="005269DD"/>
    <w:rsid w:val="00526AA2"/>
    <w:rsid w:val="00526B95"/>
    <w:rsid w:val="00526C33"/>
    <w:rsid w:val="00526DF4"/>
    <w:rsid w:val="00526E91"/>
    <w:rsid w:val="00526F48"/>
    <w:rsid w:val="005270A4"/>
    <w:rsid w:val="00527105"/>
    <w:rsid w:val="0052731C"/>
    <w:rsid w:val="005273C8"/>
    <w:rsid w:val="00527522"/>
    <w:rsid w:val="0052758F"/>
    <w:rsid w:val="005275D2"/>
    <w:rsid w:val="0052768F"/>
    <w:rsid w:val="00527755"/>
    <w:rsid w:val="00527850"/>
    <w:rsid w:val="005278A1"/>
    <w:rsid w:val="005278B3"/>
    <w:rsid w:val="005278F9"/>
    <w:rsid w:val="00527BDD"/>
    <w:rsid w:val="00527F02"/>
    <w:rsid w:val="0053001C"/>
    <w:rsid w:val="00530251"/>
    <w:rsid w:val="005303F8"/>
    <w:rsid w:val="00530591"/>
    <w:rsid w:val="005305E9"/>
    <w:rsid w:val="0053081A"/>
    <w:rsid w:val="00530820"/>
    <w:rsid w:val="005309DF"/>
    <w:rsid w:val="00530A28"/>
    <w:rsid w:val="00530A7C"/>
    <w:rsid w:val="00530C00"/>
    <w:rsid w:val="00530C6B"/>
    <w:rsid w:val="00530D8F"/>
    <w:rsid w:val="00530DE8"/>
    <w:rsid w:val="00530FB2"/>
    <w:rsid w:val="00531048"/>
    <w:rsid w:val="00531087"/>
    <w:rsid w:val="005312D4"/>
    <w:rsid w:val="005312DE"/>
    <w:rsid w:val="005312DF"/>
    <w:rsid w:val="0053130B"/>
    <w:rsid w:val="00531396"/>
    <w:rsid w:val="005314B8"/>
    <w:rsid w:val="005315EC"/>
    <w:rsid w:val="0053163D"/>
    <w:rsid w:val="00531707"/>
    <w:rsid w:val="0053170F"/>
    <w:rsid w:val="00531870"/>
    <w:rsid w:val="005318A2"/>
    <w:rsid w:val="00531A73"/>
    <w:rsid w:val="00531B6E"/>
    <w:rsid w:val="00531BA7"/>
    <w:rsid w:val="00531BE2"/>
    <w:rsid w:val="00531C5D"/>
    <w:rsid w:val="00531CE5"/>
    <w:rsid w:val="00531CF8"/>
    <w:rsid w:val="00531DAA"/>
    <w:rsid w:val="00531E2E"/>
    <w:rsid w:val="0053217E"/>
    <w:rsid w:val="0053222E"/>
    <w:rsid w:val="005322C8"/>
    <w:rsid w:val="00532304"/>
    <w:rsid w:val="00532361"/>
    <w:rsid w:val="005323F1"/>
    <w:rsid w:val="00532423"/>
    <w:rsid w:val="0053244C"/>
    <w:rsid w:val="00532630"/>
    <w:rsid w:val="00532771"/>
    <w:rsid w:val="005327BB"/>
    <w:rsid w:val="00532870"/>
    <w:rsid w:val="005328E2"/>
    <w:rsid w:val="00532A06"/>
    <w:rsid w:val="00532A1B"/>
    <w:rsid w:val="00532B8F"/>
    <w:rsid w:val="00532BA1"/>
    <w:rsid w:val="00532BB2"/>
    <w:rsid w:val="00532BF4"/>
    <w:rsid w:val="00532C9B"/>
    <w:rsid w:val="00532DD1"/>
    <w:rsid w:val="00532EB8"/>
    <w:rsid w:val="00532FB9"/>
    <w:rsid w:val="00532FBF"/>
    <w:rsid w:val="00532FD5"/>
    <w:rsid w:val="0053304F"/>
    <w:rsid w:val="00533127"/>
    <w:rsid w:val="00533174"/>
    <w:rsid w:val="00533189"/>
    <w:rsid w:val="0053340A"/>
    <w:rsid w:val="00533420"/>
    <w:rsid w:val="0053348C"/>
    <w:rsid w:val="0053363A"/>
    <w:rsid w:val="00533644"/>
    <w:rsid w:val="005337C6"/>
    <w:rsid w:val="0053387C"/>
    <w:rsid w:val="005338B3"/>
    <w:rsid w:val="00533965"/>
    <w:rsid w:val="00533A2C"/>
    <w:rsid w:val="00533ABB"/>
    <w:rsid w:val="00533AEE"/>
    <w:rsid w:val="00533AFB"/>
    <w:rsid w:val="00533B8C"/>
    <w:rsid w:val="00533F54"/>
    <w:rsid w:val="00533F84"/>
    <w:rsid w:val="005340DB"/>
    <w:rsid w:val="0053428C"/>
    <w:rsid w:val="005343DB"/>
    <w:rsid w:val="0053445F"/>
    <w:rsid w:val="005345F4"/>
    <w:rsid w:val="0053472D"/>
    <w:rsid w:val="005348F8"/>
    <w:rsid w:val="00534966"/>
    <w:rsid w:val="00534980"/>
    <w:rsid w:val="00534A4D"/>
    <w:rsid w:val="00534BE8"/>
    <w:rsid w:val="00534C1B"/>
    <w:rsid w:val="00534FCC"/>
    <w:rsid w:val="00535055"/>
    <w:rsid w:val="005350C2"/>
    <w:rsid w:val="00535212"/>
    <w:rsid w:val="0053521D"/>
    <w:rsid w:val="005352B4"/>
    <w:rsid w:val="005352F6"/>
    <w:rsid w:val="005353DB"/>
    <w:rsid w:val="00535421"/>
    <w:rsid w:val="00535445"/>
    <w:rsid w:val="00535648"/>
    <w:rsid w:val="00535687"/>
    <w:rsid w:val="00535696"/>
    <w:rsid w:val="00535772"/>
    <w:rsid w:val="005357B7"/>
    <w:rsid w:val="00535B95"/>
    <w:rsid w:val="00535C53"/>
    <w:rsid w:val="00535C71"/>
    <w:rsid w:val="00535D21"/>
    <w:rsid w:val="00535D83"/>
    <w:rsid w:val="00535DDF"/>
    <w:rsid w:val="00535E6D"/>
    <w:rsid w:val="00536349"/>
    <w:rsid w:val="00536466"/>
    <w:rsid w:val="00536504"/>
    <w:rsid w:val="005365A2"/>
    <w:rsid w:val="005366E5"/>
    <w:rsid w:val="00536830"/>
    <w:rsid w:val="0053687B"/>
    <w:rsid w:val="005368CB"/>
    <w:rsid w:val="00536AE1"/>
    <w:rsid w:val="00536B1E"/>
    <w:rsid w:val="00536BD4"/>
    <w:rsid w:val="00536CE4"/>
    <w:rsid w:val="00536D1D"/>
    <w:rsid w:val="00536D29"/>
    <w:rsid w:val="00536DDA"/>
    <w:rsid w:val="00536EA1"/>
    <w:rsid w:val="00536F46"/>
    <w:rsid w:val="00537016"/>
    <w:rsid w:val="00537130"/>
    <w:rsid w:val="0053717D"/>
    <w:rsid w:val="005371E3"/>
    <w:rsid w:val="00537290"/>
    <w:rsid w:val="005372EF"/>
    <w:rsid w:val="00537304"/>
    <w:rsid w:val="00537350"/>
    <w:rsid w:val="005376B9"/>
    <w:rsid w:val="005376F6"/>
    <w:rsid w:val="005377D5"/>
    <w:rsid w:val="0053783E"/>
    <w:rsid w:val="00537939"/>
    <w:rsid w:val="005379B4"/>
    <w:rsid w:val="00537B70"/>
    <w:rsid w:val="00537BA1"/>
    <w:rsid w:val="00537BFA"/>
    <w:rsid w:val="00537D4B"/>
    <w:rsid w:val="00537EB1"/>
    <w:rsid w:val="00537ED4"/>
    <w:rsid w:val="00537FA8"/>
    <w:rsid w:val="00540122"/>
    <w:rsid w:val="0054012C"/>
    <w:rsid w:val="0054018D"/>
    <w:rsid w:val="00540195"/>
    <w:rsid w:val="005401ED"/>
    <w:rsid w:val="005402E5"/>
    <w:rsid w:val="00540321"/>
    <w:rsid w:val="00540424"/>
    <w:rsid w:val="0054065A"/>
    <w:rsid w:val="00540706"/>
    <w:rsid w:val="0054077E"/>
    <w:rsid w:val="00540786"/>
    <w:rsid w:val="005408EA"/>
    <w:rsid w:val="00540954"/>
    <w:rsid w:val="00540A1C"/>
    <w:rsid w:val="00540BAF"/>
    <w:rsid w:val="00540BDF"/>
    <w:rsid w:val="00540D70"/>
    <w:rsid w:val="00540EAB"/>
    <w:rsid w:val="00540FC1"/>
    <w:rsid w:val="0054100D"/>
    <w:rsid w:val="00541077"/>
    <w:rsid w:val="0054110A"/>
    <w:rsid w:val="0054114B"/>
    <w:rsid w:val="005411B5"/>
    <w:rsid w:val="005411D5"/>
    <w:rsid w:val="0054132A"/>
    <w:rsid w:val="00541541"/>
    <w:rsid w:val="0054155C"/>
    <w:rsid w:val="00541592"/>
    <w:rsid w:val="005416E0"/>
    <w:rsid w:val="0054176B"/>
    <w:rsid w:val="005417B8"/>
    <w:rsid w:val="005417DD"/>
    <w:rsid w:val="00541A0B"/>
    <w:rsid w:val="00541A4F"/>
    <w:rsid w:val="00541BD0"/>
    <w:rsid w:val="00541BF7"/>
    <w:rsid w:val="00541C6F"/>
    <w:rsid w:val="00541E83"/>
    <w:rsid w:val="00541EA3"/>
    <w:rsid w:val="00541FC7"/>
    <w:rsid w:val="00542119"/>
    <w:rsid w:val="0054217F"/>
    <w:rsid w:val="0054220F"/>
    <w:rsid w:val="0054228F"/>
    <w:rsid w:val="00542359"/>
    <w:rsid w:val="0054241D"/>
    <w:rsid w:val="0054256A"/>
    <w:rsid w:val="005425CB"/>
    <w:rsid w:val="00542859"/>
    <w:rsid w:val="00542884"/>
    <w:rsid w:val="005428FA"/>
    <w:rsid w:val="005429E4"/>
    <w:rsid w:val="00542AD3"/>
    <w:rsid w:val="00542CDC"/>
    <w:rsid w:val="00542CF7"/>
    <w:rsid w:val="00542DCB"/>
    <w:rsid w:val="00542DCC"/>
    <w:rsid w:val="00542F31"/>
    <w:rsid w:val="00542F5C"/>
    <w:rsid w:val="00543126"/>
    <w:rsid w:val="00543145"/>
    <w:rsid w:val="005431D5"/>
    <w:rsid w:val="005433E0"/>
    <w:rsid w:val="0054354D"/>
    <w:rsid w:val="00543555"/>
    <w:rsid w:val="005436A9"/>
    <w:rsid w:val="00543708"/>
    <w:rsid w:val="005437AD"/>
    <w:rsid w:val="0054390B"/>
    <w:rsid w:val="00543AD4"/>
    <w:rsid w:val="00543B59"/>
    <w:rsid w:val="00543CED"/>
    <w:rsid w:val="00543CFF"/>
    <w:rsid w:val="00543DA4"/>
    <w:rsid w:val="00543E01"/>
    <w:rsid w:val="00543F62"/>
    <w:rsid w:val="00543F97"/>
    <w:rsid w:val="00543FFD"/>
    <w:rsid w:val="00544011"/>
    <w:rsid w:val="005441E2"/>
    <w:rsid w:val="005442DE"/>
    <w:rsid w:val="00544323"/>
    <w:rsid w:val="00544342"/>
    <w:rsid w:val="00544344"/>
    <w:rsid w:val="005443AB"/>
    <w:rsid w:val="005443E4"/>
    <w:rsid w:val="00544520"/>
    <w:rsid w:val="00544659"/>
    <w:rsid w:val="005448E3"/>
    <w:rsid w:val="00544925"/>
    <w:rsid w:val="005449CA"/>
    <w:rsid w:val="00544B96"/>
    <w:rsid w:val="00544DEC"/>
    <w:rsid w:val="00544F47"/>
    <w:rsid w:val="00544FCE"/>
    <w:rsid w:val="00544FD0"/>
    <w:rsid w:val="00544FD4"/>
    <w:rsid w:val="00545013"/>
    <w:rsid w:val="00545196"/>
    <w:rsid w:val="00545266"/>
    <w:rsid w:val="005453EE"/>
    <w:rsid w:val="005455C6"/>
    <w:rsid w:val="005456AE"/>
    <w:rsid w:val="00545831"/>
    <w:rsid w:val="00545ACF"/>
    <w:rsid w:val="00545BB2"/>
    <w:rsid w:val="00545BEB"/>
    <w:rsid w:val="00545D42"/>
    <w:rsid w:val="00545D72"/>
    <w:rsid w:val="00545E25"/>
    <w:rsid w:val="00545F53"/>
    <w:rsid w:val="0054602C"/>
    <w:rsid w:val="00546137"/>
    <w:rsid w:val="0054616A"/>
    <w:rsid w:val="0054632F"/>
    <w:rsid w:val="00546360"/>
    <w:rsid w:val="0054638B"/>
    <w:rsid w:val="00546413"/>
    <w:rsid w:val="00546484"/>
    <w:rsid w:val="0054652E"/>
    <w:rsid w:val="00546550"/>
    <w:rsid w:val="005465F8"/>
    <w:rsid w:val="00546633"/>
    <w:rsid w:val="00546775"/>
    <w:rsid w:val="0054693F"/>
    <w:rsid w:val="005469C3"/>
    <w:rsid w:val="005469EB"/>
    <w:rsid w:val="00546A53"/>
    <w:rsid w:val="00546BED"/>
    <w:rsid w:val="00546C64"/>
    <w:rsid w:val="00546D67"/>
    <w:rsid w:val="00546DD5"/>
    <w:rsid w:val="00546E0A"/>
    <w:rsid w:val="00546EBA"/>
    <w:rsid w:val="00546F7D"/>
    <w:rsid w:val="00547117"/>
    <w:rsid w:val="00547141"/>
    <w:rsid w:val="00547198"/>
    <w:rsid w:val="00547274"/>
    <w:rsid w:val="005472F9"/>
    <w:rsid w:val="0054735F"/>
    <w:rsid w:val="00547396"/>
    <w:rsid w:val="0054739C"/>
    <w:rsid w:val="0054740B"/>
    <w:rsid w:val="0054740C"/>
    <w:rsid w:val="00547419"/>
    <w:rsid w:val="0054774D"/>
    <w:rsid w:val="005477D2"/>
    <w:rsid w:val="0054795B"/>
    <w:rsid w:val="005479C7"/>
    <w:rsid w:val="00547A47"/>
    <w:rsid w:val="00547BCE"/>
    <w:rsid w:val="00547C76"/>
    <w:rsid w:val="00547C97"/>
    <w:rsid w:val="00547DE4"/>
    <w:rsid w:val="00547DEF"/>
    <w:rsid w:val="00547EE1"/>
    <w:rsid w:val="00547F6D"/>
    <w:rsid w:val="00547FD7"/>
    <w:rsid w:val="00550136"/>
    <w:rsid w:val="0055013F"/>
    <w:rsid w:val="00550159"/>
    <w:rsid w:val="00550180"/>
    <w:rsid w:val="005501E6"/>
    <w:rsid w:val="00550221"/>
    <w:rsid w:val="0055027C"/>
    <w:rsid w:val="005502B1"/>
    <w:rsid w:val="0055035F"/>
    <w:rsid w:val="00550444"/>
    <w:rsid w:val="005504AC"/>
    <w:rsid w:val="005504FD"/>
    <w:rsid w:val="0055050C"/>
    <w:rsid w:val="005506A7"/>
    <w:rsid w:val="00550751"/>
    <w:rsid w:val="005509FE"/>
    <w:rsid w:val="00550A12"/>
    <w:rsid w:val="00550AE8"/>
    <w:rsid w:val="00550B0B"/>
    <w:rsid w:val="00550B86"/>
    <w:rsid w:val="00550B9B"/>
    <w:rsid w:val="00550E1F"/>
    <w:rsid w:val="00550E72"/>
    <w:rsid w:val="00550F73"/>
    <w:rsid w:val="00551075"/>
    <w:rsid w:val="005510A8"/>
    <w:rsid w:val="0055110D"/>
    <w:rsid w:val="00551232"/>
    <w:rsid w:val="00551300"/>
    <w:rsid w:val="00551360"/>
    <w:rsid w:val="005514ED"/>
    <w:rsid w:val="0055154F"/>
    <w:rsid w:val="00551601"/>
    <w:rsid w:val="00551670"/>
    <w:rsid w:val="005516D8"/>
    <w:rsid w:val="00551716"/>
    <w:rsid w:val="00551751"/>
    <w:rsid w:val="005517FE"/>
    <w:rsid w:val="005518BD"/>
    <w:rsid w:val="0055194A"/>
    <w:rsid w:val="00551A6C"/>
    <w:rsid w:val="00551AF3"/>
    <w:rsid w:val="00551AFE"/>
    <w:rsid w:val="00551B38"/>
    <w:rsid w:val="00551BA3"/>
    <w:rsid w:val="00551C8D"/>
    <w:rsid w:val="00552045"/>
    <w:rsid w:val="0055204D"/>
    <w:rsid w:val="005521BB"/>
    <w:rsid w:val="00552201"/>
    <w:rsid w:val="0055233E"/>
    <w:rsid w:val="00552380"/>
    <w:rsid w:val="00552421"/>
    <w:rsid w:val="005526A8"/>
    <w:rsid w:val="00552725"/>
    <w:rsid w:val="0055278A"/>
    <w:rsid w:val="00552829"/>
    <w:rsid w:val="005528C3"/>
    <w:rsid w:val="005528DB"/>
    <w:rsid w:val="00552AED"/>
    <w:rsid w:val="00552BA0"/>
    <w:rsid w:val="00552C6F"/>
    <w:rsid w:val="00552C84"/>
    <w:rsid w:val="00552CA7"/>
    <w:rsid w:val="00552CA8"/>
    <w:rsid w:val="00552D1B"/>
    <w:rsid w:val="00552D33"/>
    <w:rsid w:val="00552DEF"/>
    <w:rsid w:val="00552EC9"/>
    <w:rsid w:val="0055319F"/>
    <w:rsid w:val="00553246"/>
    <w:rsid w:val="00553415"/>
    <w:rsid w:val="00553445"/>
    <w:rsid w:val="00553482"/>
    <w:rsid w:val="005535F9"/>
    <w:rsid w:val="0055371B"/>
    <w:rsid w:val="00553741"/>
    <w:rsid w:val="005537CF"/>
    <w:rsid w:val="00553A6B"/>
    <w:rsid w:val="00553AF8"/>
    <w:rsid w:val="00553B0C"/>
    <w:rsid w:val="00553D0D"/>
    <w:rsid w:val="00553F7A"/>
    <w:rsid w:val="00553F95"/>
    <w:rsid w:val="005540E1"/>
    <w:rsid w:val="0055421D"/>
    <w:rsid w:val="005542E6"/>
    <w:rsid w:val="00554308"/>
    <w:rsid w:val="0055433C"/>
    <w:rsid w:val="0055438C"/>
    <w:rsid w:val="00554402"/>
    <w:rsid w:val="005544CF"/>
    <w:rsid w:val="005548C4"/>
    <w:rsid w:val="005549D8"/>
    <w:rsid w:val="00554A43"/>
    <w:rsid w:val="00554AB1"/>
    <w:rsid w:val="00554CB1"/>
    <w:rsid w:val="00554E19"/>
    <w:rsid w:val="00554E1C"/>
    <w:rsid w:val="00554E71"/>
    <w:rsid w:val="00554EC0"/>
    <w:rsid w:val="00554EC4"/>
    <w:rsid w:val="00554EC5"/>
    <w:rsid w:val="005550CF"/>
    <w:rsid w:val="005550F1"/>
    <w:rsid w:val="005552A6"/>
    <w:rsid w:val="005552FE"/>
    <w:rsid w:val="00555348"/>
    <w:rsid w:val="0055534E"/>
    <w:rsid w:val="0055543F"/>
    <w:rsid w:val="005554D2"/>
    <w:rsid w:val="005557A6"/>
    <w:rsid w:val="00555809"/>
    <w:rsid w:val="00555846"/>
    <w:rsid w:val="0055598C"/>
    <w:rsid w:val="005559ED"/>
    <w:rsid w:val="00555B1A"/>
    <w:rsid w:val="00555DDB"/>
    <w:rsid w:val="00555DFE"/>
    <w:rsid w:val="00555EE9"/>
    <w:rsid w:val="00555F33"/>
    <w:rsid w:val="0055602D"/>
    <w:rsid w:val="0055608D"/>
    <w:rsid w:val="005560CA"/>
    <w:rsid w:val="00556116"/>
    <w:rsid w:val="00556310"/>
    <w:rsid w:val="00556312"/>
    <w:rsid w:val="0055633B"/>
    <w:rsid w:val="005563FA"/>
    <w:rsid w:val="0055641C"/>
    <w:rsid w:val="00556519"/>
    <w:rsid w:val="005565C6"/>
    <w:rsid w:val="005565ED"/>
    <w:rsid w:val="0055663F"/>
    <w:rsid w:val="00556709"/>
    <w:rsid w:val="0055676D"/>
    <w:rsid w:val="00556862"/>
    <w:rsid w:val="005569F8"/>
    <w:rsid w:val="00556A09"/>
    <w:rsid w:val="00556C29"/>
    <w:rsid w:val="00556C94"/>
    <w:rsid w:val="00556D13"/>
    <w:rsid w:val="00556E1D"/>
    <w:rsid w:val="00556EC8"/>
    <w:rsid w:val="00556ED8"/>
    <w:rsid w:val="005570EE"/>
    <w:rsid w:val="0055721C"/>
    <w:rsid w:val="005572FB"/>
    <w:rsid w:val="0055740A"/>
    <w:rsid w:val="0055753A"/>
    <w:rsid w:val="00557751"/>
    <w:rsid w:val="00557769"/>
    <w:rsid w:val="0055782B"/>
    <w:rsid w:val="00557A3F"/>
    <w:rsid w:val="00557A92"/>
    <w:rsid w:val="00557AEA"/>
    <w:rsid w:val="00557B1B"/>
    <w:rsid w:val="00557C2D"/>
    <w:rsid w:val="00557E3B"/>
    <w:rsid w:val="00557E72"/>
    <w:rsid w:val="00557EAA"/>
    <w:rsid w:val="0056004C"/>
    <w:rsid w:val="005601E8"/>
    <w:rsid w:val="00560249"/>
    <w:rsid w:val="005602A5"/>
    <w:rsid w:val="00560310"/>
    <w:rsid w:val="0056031A"/>
    <w:rsid w:val="005605AD"/>
    <w:rsid w:val="00560623"/>
    <w:rsid w:val="00560736"/>
    <w:rsid w:val="005609A5"/>
    <w:rsid w:val="005609AE"/>
    <w:rsid w:val="005609BF"/>
    <w:rsid w:val="005609F6"/>
    <w:rsid w:val="00560A0B"/>
    <w:rsid w:val="00560BE3"/>
    <w:rsid w:val="00560CF7"/>
    <w:rsid w:val="00560D92"/>
    <w:rsid w:val="00560E4E"/>
    <w:rsid w:val="00560FDC"/>
    <w:rsid w:val="005610BB"/>
    <w:rsid w:val="00561299"/>
    <w:rsid w:val="0056133B"/>
    <w:rsid w:val="0056145F"/>
    <w:rsid w:val="00561469"/>
    <w:rsid w:val="0056152A"/>
    <w:rsid w:val="00561715"/>
    <w:rsid w:val="00561772"/>
    <w:rsid w:val="00561831"/>
    <w:rsid w:val="00561851"/>
    <w:rsid w:val="005619A5"/>
    <w:rsid w:val="00561AE3"/>
    <w:rsid w:val="00561BFB"/>
    <w:rsid w:val="00561CC4"/>
    <w:rsid w:val="00561CC9"/>
    <w:rsid w:val="00561DCF"/>
    <w:rsid w:val="00561E0B"/>
    <w:rsid w:val="00561F42"/>
    <w:rsid w:val="00561F60"/>
    <w:rsid w:val="00561F78"/>
    <w:rsid w:val="0056210F"/>
    <w:rsid w:val="00562161"/>
    <w:rsid w:val="005621D7"/>
    <w:rsid w:val="00562257"/>
    <w:rsid w:val="005623B7"/>
    <w:rsid w:val="005624BB"/>
    <w:rsid w:val="005624C2"/>
    <w:rsid w:val="0056255A"/>
    <w:rsid w:val="00562566"/>
    <w:rsid w:val="00562595"/>
    <w:rsid w:val="00562765"/>
    <w:rsid w:val="00562786"/>
    <w:rsid w:val="00562919"/>
    <w:rsid w:val="0056297B"/>
    <w:rsid w:val="00562A01"/>
    <w:rsid w:val="00562A97"/>
    <w:rsid w:val="00562AA5"/>
    <w:rsid w:val="00562C11"/>
    <w:rsid w:val="00562CD5"/>
    <w:rsid w:val="00563047"/>
    <w:rsid w:val="0056317F"/>
    <w:rsid w:val="0056322F"/>
    <w:rsid w:val="00563306"/>
    <w:rsid w:val="00563340"/>
    <w:rsid w:val="00563398"/>
    <w:rsid w:val="0056351A"/>
    <w:rsid w:val="00563585"/>
    <w:rsid w:val="005637E4"/>
    <w:rsid w:val="00563967"/>
    <w:rsid w:val="005639D0"/>
    <w:rsid w:val="00563AE5"/>
    <w:rsid w:val="00563BD1"/>
    <w:rsid w:val="00563D5B"/>
    <w:rsid w:val="00563E06"/>
    <w:rsid w:val="00563E66"/>
    <w:rsid w:val="00563F77"/>
    <w:rsid w:val="005641F4"/>
    <w:rsid w:val="005641FC"/>
    <w:rsid w:val="005643FE"/>
    <w:rsid w:val="005644CA"/>
    <w:rsid w:val="0056479B"/>
    <w:rsid w:val="005647BB"/>
    <w:rsid w:val="005647BE"/>
    <w:rsid w:val="005648C7"/>
    <w:rsid w:val="005648FF"/>
    <w:rsid w:val="00564927"/>
    <w:rsid w:val="00564946"/>
    <w:rsid w:val="0056496F"/>
    <w:rsid w:val="00564985"/>
    <w:rsid w:val="005649F6"/>
    <w:rsid w:val="00564B66"/>
    <w:rsid w:val="00564D81"/>
    <w:rsid w:val="00564D93"/>
    <w:rsid w:val="00564DAD"/>
    <w:rsid w:val="00564F80"/>
    <w:rsid w:val="00564FE5"/>
    <w:rsid w:val="00565113"/>
    <w:rsid w:val="0056528F"/>
    <w:rsid w:val="0056531B"/>
    <w:rsid w:val="00565374"/>
    <w:rsid w:val="005654DE"/>
    <w:rsid w:val="005654E7"/>
    <w:rsid w:val="005656D5"/>
    <w:rsid w:val="00565725"/>
    <w:rsid w:val="00565739"/>
    <w:rsid w:val="00565746"/>
    <w:rsid w:val="00565B05"/>
    <w:rsid w:val="00565C71"/>
    <w:rsid w:val="00565CB6"/>
    <w:rsid w:val="00565EA8"/>
    <w:rsid w:val="00565F42"/>
    <w:rsid w:val="00565FEA"/>
    <w:rsid w:val="00566005"/>
    <w:rsid w:val="005660D3"/>
    <w:rsid w:val="0056613C"/>
    <w:rsid w:val="005661C7"/>
    <w:rsid w:val="005662B1"/>
    <w:rsid w:val="0056645F"/>
    <w:rsid w:val="005664A4"/>
    <w:rsid w:val="00566541"/>
    <w:rsid w:val="005665CE"/>
    <w:rsid w:val="00566629"/>
    <w:rsid w:val="00566740"/>
    <w:rsid w:val="00566787"/>
    <w:rsid w:val="005667E0"/>
    <w:rsid w:val="005667E6"/>
    <w:rsid w:val="0056680E"/>
    <w:rsid w:val="005668D2"/>
    <w:rsid w:val="00566921"/>
    <w:rsid w:val="00566993"/>
    <w:rsid w:val="005669AD"/>
    <w:rsid w:val="00566ADF"/>
    <w:rsid w:val="00566B47"/>
    <w:rsid w:val="00566BA1"/>
    <w:rsid w:val="00566DFB"/>
    <w:rsid w:val="00567060"/>
    <w:rsid w:val="0056717F"/>
    <w:rsid w:val="0056738C"/>
    <w:rsid w:val="00567396"/>
    <w:rsid w:val="005673CB"/>
    <w:rsid w:val="0056750B"/>
    <w:rsid w:val="005675E0"/>
    <w:rsid w:val="005677DD"/>
    <w:rsid w:val="00567962"/>
    <w:rsid w:val="00567AC4"/>
    <w:rsid w:val="00567B69"/>
    <w:rsid w:val="00567C29"/>
    <w:rsid w:val="00567DFA"/>
    <w:rsid w:val="00570055"/>
    <w:rsid w:val="00570186"/>
    <w:rsid w:val="00570194"/>
    <w:rsid w:val="005701DB"/>
    <w:rsid w:val="00570266"/>
    <w:rsid w:val="005703AD"/>
    <w:rsid w:val="005703B1"/>
    <w:rsid w:val="005703FA"/>
    <w:rsid w:val="005704D1"/>
    <w:rsid w:val="005705B5"/>
    <w:rsid w:val="0057069E"/>
    <w:rsid w:val="005706F6"/>
    <w:rsid w:val="00570710"/>
    <w:rsid w:val="0057071E"/>
    <w:rsid w:val="005707B1"/>
    <w:rsid w:val="0057082B"/>
    <w:rsid w:val="005708A7"/>
    <w:rsid w:val="005708CE"/>
    <w:rsid w:val="00570C03"/>
    <w:rsid w:val="00570C92"/>
    <w:rsid w:val="00570DEC"/>
    <w:rsid w:val="00570E57"/>
    <w:rsid w:val="00570EA7"/>
    <w:rsid w:val="005710EA"/>
    <w:rsid w:val="005712A2"/>
    <w:rsid w:val="00571396"/>
    <w:rsid w:val="00571463"/>
    <w:rsid w:val="005714D8"/>
    <w:rsid w:val="00571658"/>
    <w:rsid w:val="0057193F"/>
    <w:rsid w:val="00571A81"/>
    <w:rsid w:val="00571B16"/>
    <w:rsid w:val="00571B4F"/>
    <w:rsid w:val="00571B9C"/>
    <w:rsid w:val="00571BE3"/>
    <w:rsid w:val="00571C7C"/>
    <w:rsid w:val="00571D69"/>
    <w:rsid w:val="00571D96"/>
    <w:rsid w:val="00571E64"/>
    <w:rsid w:val="0057211B"/>
    <w:rsid w:val="0057218E"/>
    <w:rsid w:val="005721E2"/>
    <w:rsid w:val="005722BE"/>
    <w:rsid w:val="0057232D"/>
    <w:rsid w:val="00572336"/>
    <w:rsid w:val="0057233D"/>
    <w:rsid w:val="00572367"/>
    <w:rsid w:val="00572470"/>
    <w:rsid w:val="00572626"/>
    <w:rsid w:val="0057263E"/>
    <w:rsid w:val="00572645"/>
    <w:rsid w:val="00572671"/>
    <w:rsid w:val="00572983"/>
    <w:rsid w:val="005729E4"/>
    <w:rsid w:val="00572A1A"/>
    <w:rsid w:val="00572ACE"/>
    <w:rsid w:val="00572C7F"/>
    <w:rsid w:val="00572D2B"/>
    <w:rsid w:val="00572E23"/>
    <w:rsid w:val="00572EC2"/>
    <w:rsid w:val="00572ECC"/>
    <w:rsid w:val="00572F45"/>
    <w:rsid w:val="00573213"/>
    <w:rsid w:val="0057325D"/>
    <w:rsid w:val="005732D6"/>
    <w:rsid w:val="005732E9"/>
    <w:rsid w:val="005733B8"/>
    <w:rsid w:val="00573543"/>
    <w:rsid w:val="00573549"/>
    <w:rsid w:val="005735D5"/>
    <w:rsid w:val="0057362E"/>
    <w:rsid w:val="00573930"/>
    <w:rsid w:val="0057398C"/>
    <w:rsid w:val="00573A64"/>
    <w:rsid w:val="00573AA9"/>
    <w:rsid w:val="00573B1C"/>
    <w:rsid w:val="00573B32"/>
    <w:rsid w:val="00573B8A"/>
    <w:rsid w:val="00573D6F"/>
    <w:rsid w:val="00573F06"/>
    <w:rsid w:val="00573FFE"/>
    <w:rsid w:val="00574171"/>
    <w:rsid w:val="005741E9"/>
    <w:rsid w:val="0057420E"/>
    <w:rsid w:val="00574255"/>
    <w:rsid w:val="00574256"/>
    <w:rsid w:val="005742E5"/>
    <w:rsid w:val="00574430"/>
    <w:rsid w:val="0057468A"/>
    <w:rsid w:val="005747A2"/>
    <w:rsid w:val="005747B8"/>
    <w:rsid w:val="0057488B"/>
    <w:rsid w:val="005748D0"/>
    <w:rsid w:val="005749C5"/>
    <w:rsid w:val="00574B79"/>
    <w:rsid w:val="00574E23"/>
    <w:rsid w:val="00574E5F"/>
    <w:rsid w:val="00574F1E"/>
    <w:rsid w:val="00574FC1"/>
    <w:rsid w:val="005751DE"/>
    <w:rsid w:val="00575233"/>
    <w:rsid w:val="00575329"/>
    <w:rsid w:val="00575354"/>
    <w:rsid w:val="00575453"/>
    <w:rsid w:val="005755AA"/>
    <w:rsid w:val="00575643"/>
    <w:rsid w:val="0057573A"/>
    <w:rsid w:val="0057588A"/>
    <w:rsid w:val="005758A2"/>
    <w:rsid w:val="00575993"/>
    <w:rsid w:val="00575D03"/>
    <w:rsid w:val="00575E61"/>
    <w:rsid w:val="00575F43"/>
    <w:rsid w:val="00576196"/>
    <w:rsid w:val="0057627D"/>
    <w:rsid w:val="005762E2"/>
    <w:rsid w:val="005765CA"/>
    <w:rsid w:val="00576627"/>
    <w:rsid w:val="00576671"/>
    <w:rsid w:val="00576778"/>
    <w:rsid w:val="00576B66"/>
    <w:rsid w:val="00576C55"/>
    <w:rsid w:val="00576C98"/>
    <w:rsid w:val="00576CE6"/>
    <w:rsid w:val="00576E0D"/>
    <w:rsid w:val="00576E49"/>
    <w:rsid w:val="00576EB2"/>
    <w:rsid w:val="00576F78"/>
    <w:rsid w:val="00576F99"/>
    <w:rsid w:val="005770EC"/>
    <w:rsid w:val="00577158"/>
    <w:rsid w:val="005774ED"/>
    <w:rsid w:val="00577520"/>
    <w:rsid w:val="00577535"/>
    <w:rsid w:val="005775E4"/>
    <w:rsid w:val="00577648"/>
    <w:rsid w:val="00577695"/>
    <w:rsid w:val="005776FC"/>
    <w:rsid w:val="00577828"/>
    <w:rsid w:val="00577855"/>
    <w:rsid w:val="00577975"/>
    <w:rsid w:val="0057798B"/>
    <w:rsid w:val="00577B38"/>
    <w:rsid w:val="00577B94"/>
    <w:rsid w:val="00577BCC"/>
    <w:rsid w:val="00577CE8"/>
    <w:rsid w:val="00577D34"/>
    <w:rsid w:val="00577F3E"/>
    <w:rsid w:val="00577F79"/>
    <w:rsid w:val="00580072"/>
    <w:rsid w:val="00580126"/>
    <w:rsid w:val="0058017E"/>
    <w:rsid w:val="0058029F"/>
    <w:rsid w:val="005802F6"/>
    <w:rsid w:val="00580460"/>
    <w:rsid w:val="005804ED"/>
    <w:rsid w:val="005805F2"/>
    <w:rsid w:val="005806F2"/>
    <w:rsid w:val="0058077D"/>
    <w:rsid w:val="00580811"/>
    <w:rsid w:val="005808A0"/>
    <w:rsid w:val="005809B5"/>
    <w:rsid w:val="00580A91"/>
    <w:rsid w:val="00580AF3"/>
    <w:rsid w:val="00580D5D"/>
    <w:rsid w:val="00580EC9"/>
    <w:rsid w:val="00580F1A"/>
    <w:rsid w:val="00580F2A"/>
    <w:rsid w:val="00580F4E"/>
    <w:rsid w:val="00580F7C"/>
    <w:rsid w:val="0058102B"/>
    <w:rsid w:val="005810F1"/>
    <w:rsid w:val="00581222"/>
    <w:rsid w:val="0058122A"/>
    <w:rsid w:val="005814D7"/>
    <w:rsid w:val="00581631"/>
    <w:rsid w:val="0058172B"/>
    <w:rsid w:val="0058188E"/>
    <w:rsid w:val="0058188F"/>
    <w:rsid w:val="00581924"/>
    <w:rsid w:val="005819BB"/>
    <w:rsid w:val="00581CC4"/>
    <w:rsid w:val="00581D2A"/>
    <w:rsid w:val="00581D8C"/>
    <w:rsid w:val="00581DB2"/>
    <w:rsid w:val="00581DD0"/>
    <w:rsid w:val="00581E3E"/>
    <w:rsid w:val="00581E49"/>
    <w:rsid w:val="00581EE2"/>
    <w:rsid w:val="00582097"/>
    <w:rsid w:val="00582247"/>
    <w:rsid w:val="005822A0"/>
    <w:rsid w:val="00582374"/>
    <w:rsid w:val="00582559"/>
    <w:rsid w:val="0058257B"/>
    <w:rsid w:val="0058258F"/>
    <w:rsid w:val="0058259E"/>
    <w:rsid w:val="0058267A"/>
    <w:rsid w:val="005826B0"/>
    <w:rsid w:val="005826D6"/>
    <w:rsid w:val="00582726"/>
    <w:rsid w:val="00582771"/>
    <w:rsid w:val="00582830"/>
    <w:rsid w:val="00582B65"/>
    <w:rsid w:val="00582C14"/>
    <w:rsid w:val="00582D8F"/>
    <w:rsid w:val="00583265"/>
    <w:rsid w:val="005833F7"/>
    <w:rsid w:val="00583402"/>
    <w:rsid w:val="00583478"/>
    <w:rsid w:val="00583BF6"/>
    <w:rsid w:val="00583CBB"/>
    <w:rsid w:val="00583E1B"/>
    <w:rsid w:val="005840CB"/>
    <w:rsid w:val="00584169"/>
    <w:rsid w:val="005841CF"/>
    <w:rsid w:val="0058425A"/>
    <w:rsid w:val="00584260"/>
    <w:rsid w:val="005843B8"/>
    <w:rsid w:val="005843E2"/>
    <w:rsid w:val="00584465"/>
    <w:rsid w:val="00584518"/>
    <w:rsid w:val="00584569"/>
    <w:rsid w:val="00584617"/>
    <w:rsid w:val="00584694"/>
    <w:rsid w:val="00584786"/>
    <w:rsid w:val="00584932"/>
    <w:rsid w:val="005849EC"/>
    <w:rsid w:val="005849F7"/>
    <w:rsid w:val="00584A3A"/>
    <w:rsid w:val="00584A3D"/>
    <w:rsid w:val="00584A40"/>
    <w:rsid w:val="00584D92"/>
    <w:rsid w:val="00584F00"/>
    <w:rsid w:val="00584FC2"/>
    <w:rsid w:val="00585426"/>
    <w:rsid w:val="00585589"/>
    <w:rsid w:val="00585618"/>
    <w:rsid w:val="0058566D"/>
    <w:rsid w:val="00585697"/>
    <w:rsid w:val="005856C4"/>
    <w:rsid w:val="005856E9"/>
    <w:rsid w:val="005857B7"/>
    <w:rsid w:val="0058585C"/>
    <w:rsid w:val="00585949"/>
    <w:rsid w:val="00585A6D"/>
    <w:rsid w:val="00585B12"/>
    <w:rsid w:val="00585B76"/>
    <w:rsid w:val="00585C91"/>
    <w:rsid w:val="00585DB7"/>
    <w:rsid w:val="00585DE9"/>
    <w:rsid w:val="00585F11"/>
    <w:rsid w:val="00585F35"/>
    <w:rsid w:val="005860E6"/>
    <w:rsid w:val="00586140"/>
    <w:rsid w:val="0058614E"/>
    <w:rsid w:val="00586195"/>
    <w:rsid w:val="005861F3"/>
    <w:rsid w:val="00586207"/>
    <w:rsid w:val="005863A5"/>
    <w:rsid w:val="005863D4"/>
    <w:rsid w:val="0058669F"/>
    <w:rsid w:val="00586781"/>
    <w:rsid w:val="005867AC"/>
    <w:rsid w:val="005867E4"/>
    <w:rsid w:val="0058688E"/>
    <w:rsid w:val="0058699C"/>
    <w:rsid w:val="00586A1B"/>
    <w:rsid w:val="00586A26"/>
    <w:rsid w:val="00586A67"/>
    <w:rsid w:val="00586AAA"/>
    <w:rsid w:val="00586B91"/>
    <w:rsid w:val="00586CD2"/>
    <w:rsid w:val="00586D41"/>
    <w:rsid w:val="00586E8F"/>
    <w:rsid w:val="00586EB7"/>
    <w:rsid w:val="00586F89"/>
    <w:rsid w:val="00587070"/>
    <w:rsid w:val="00587290"/>
    <w:rsid w:val="005872F1"/>
    <w:rsid w:val="0058736A"/>
    <w:rsid w:val="00587372"/>
    <w:rsid w:val="0058737E"/>
    <w:rsid w:val="005873C5"/>
    <w:rsid w:val="00587415"/>
    <w:rsid w:val="005875D1"/>
    <w:rsid w:val="005875EC"/>
    <w:rsid w:val="005875ED"/>
    <w:rsid w:val="005876FB"/>
    <w:rsid w:val="005877B7"/>
    <w:rsid w:val="00587854"/>
    <w:rsid w:val="005879A3"/>
    <w:rsid w:val="00587A7E"/>
    <w:rsid w:val="00587A96"/>
    <w:rsid w:val="00587AE8"/>
    <w:rsid w:val="00587B32"/>
    <w:rsid w:val="00587BD3"/>
    <w:rsid w:val="00587D3D"/>
    <w:rsid w:val="00587D40"/>
    <w:rsid w:val="00587E95"/>
    <w:rsid w:val="00587F10"/>
    <w:rsid w:val="0059010D"/>
    <w:rsid w:val="00590176"/>
    <w:rsid w:val="00590285"/>
    <w:rsid w:val="005902C1"/>
    <w:rsid w:val="005902CA"/>
    <w:rsid w:val="00590401"/>
    <w:rsid w:val="00590454"/>
    <w:rsid w:val="0059047E"/>
    <w:rsid w:val="00590494"/>
    <w:rsid w:val="0059072F"/>
    <w:rsid w:val="0059077F"/>
    <w:rsid w:val="00590788"/>
    <w:rsid w:val="005907F4"/>
    <w:rsid w:val="00590920"/>
    <w:rsid w:val="0059092E"/>
    <w:rsid w:val="00590948"/>
    <w:rsid w:val="005909A4"/>
    <w:rsid w:val="00590A0F"/>
    <w:rsid w:val="00590ACA"/>
    <w:rsid w:val="00590AD3"/>
    <w:rsid w:val="00590B1C"/>
    <w:rsid w:val="00590F01"/>
    <w:rsid w:val="0059101B"/>
    <w:rsid w:val="00591034"/>
    <w:rsid w:val="0059111B"/>
    <w:rsid w:val="00591218"/>
    <w:rsid w:val="00591225"/>
    <w:rsid w:val="00591387"/>
    <w:rsid w:val="00591394"/>
    <w:rsid w:val="00591404"/>
    <w:rsid w:val="00591468"/>
    <w:rsid w:val="005915DA"/>
    <w:rsid w:val="00591629"/>
    <w:rsid w:val="005916BD"/>
    <w:rsid w:val="005916C5"/>
    <w:rsid w:val="0059190C"/>
    <w:rsid w:val="00591939"/>
    <w:rsid w:val="00591C46"/>
    <w:rsid w:val="00591CE3"/>
    <w:rsid w:val="00591F61"/>
    <w:rsid w:val="0059207A"/>
    <w:rsid w:val="005920EC"/>
    <w:rsid w:val="00592142"/>
    <w:rsid w:val="005921FC"/>
    <w:rsid w:val="005922ED"/>
    <w:rsid w:val="00592302"/>
    <w:rsid w:val="00592372"/>
    <w:rsid w:val="005923B1"/>
    <w:rsid w:val="005923F1"/>
    <w:rsid w:val="00592401"/>
    <w:rsid w:val="005924BB"/>
    <w:rsid w:val="0059264B"/>
    <w:rsid w:val="0059269E"/>
    <w:rsid w:val="00592716"/>
    <w:rsid w:val="00592897"/>
    <w:rsid w:val="00592942"/>
    <w:rsid w:val="00592979"/>
    <w:rsid w:val="005929BA"/>
    <w:rsid w:val="00592AC2"/>
    <w:rsid w:val="00592B0E"/>
    <w:rsid w:val="00592B1B"/>
    <w:rsid w:val="00592D0B"/>
    <w:rsid w:val="00592D20"/>
    <w:rsid w:val="00592D79"/>
    <w:rsid w:val="00592D88"/>
    <w:rsid w:val="00592E80"/>
    <w:rsid w:val="00592FB2"/>
    <w:rsid w:val="00592FB7"/>
    <w:rsid w:val="0059317C"/>
    <w:rsid w:val="005931A6"/>
    <w:rsid w:val="005931B3"/>
    <w:rsid w:val="00593274"/>
    <w:rsid w:val="005933C4"/>
    <w:rsid w:val="00593752"/>
    <w:rsid w:val="0059375E"/>
    <w:rsid w:val="005937F5"/>
    <w:rsid w:val="00593A0C"/>
    <w:rsid w:val="00593A65"/>
    <w:rsid w:val="00593A71"/>
    <w:rsid w:val="00593C85"/>
    <w:rsid w:val="00593D38"/>
    <w:rsid w:val="00593DED"/>
    <w:rsid w:val="00593E88"/>
    <w:rsid w:val="00593ECF"/>
    <w:rsid w:val="00594089"/>
    <w:rsid w:val="0059412A"/>
    <w:rsid w:val="00594148"/>
    <w:rsid w:val="005941B1"/>
    <w:rsid w:val="005942BC"/>
    <w:rsid w:val="005942E4"/>
    <w:rsid w:val="00594300"/>
    <w:rsid w:val="00594362"/>
    <w:rsid w:val="005943E5"/>
    <w:rsid w:val="0059444B"/>
    <w:rsid w:val="0059461E"/>
    <w:rsid w:val="00594773"/>
    <w:rsid w:val="005948E0"/>
    <w:rsid w:val="00594B51"/>
    <w:rsid w:val="00594B8D"/>
    <w:rsid w:val="00594D8A"/>
    <w:rsid w:val="00594FEA"/>
    <w:rsid w:val="0059500B"/>
    <w:rsid w:val="00595120"/>
    <w:rsid w:val="005952AC"/>
    <w:rsid w:val="005952FC"/>
    <w:rsid w:val="00595351"/>
    <w:rsid w:val="005953C5"/>
    <w:rsid w:val="0059546D"/>
    <w:rsid w:val="005954C2"/>
    <w:rsid w:val="005954F8"/>
    <w:rsid w:val="00595711"/>
    <w:rsid w:val="00595715"/>
    <w:rsid w:val="0059577A"/>
    <w:rsid w:val="005957C8"/>
    <w:rsid w:val="005958B5"/>
    <w:rsid w:val="00595FBE"/>
    <w:rsid w:val="00595FE7"/>
    <w:rsid w:val="00595FEA"/>
    <w:rsid w:val="00596063"/>
    <w:rsid w:val="00596097"/>
    <w:rsid w:val="00596138"/>
    <w:rsid w:val="00596371"/>
    <w:rsid w:val="005963D1"/>
    <w:rsid w:val="0059649E"/>
    <w:rsid w:val="005965C7"/>
    <w:rsid w:val="0059664D"/>
    <w:rsid w:val="005966E6"/>
    <w:rsid w:val="00596745"/>
    <w:rsid w:val="00596AB5"/>
    <w:rsid w:val="00596ADC"/>
    <w:rsid w:val="00596DA6"/>
    <w:rsid w:val="00596DB7"/>
    <w:rsid w:val="00596E49"/>
    <w:rsid w:val="00596FC9"/>
    <w:rsid w:val="005970AD"/>
    <w:rsid w:val="005971D4"/>
    <w:rsid w:val="005972DC"/>
    <w:rsid w:val="0059743E"/>
    <w:rsid w:val="00597495"/>
    <w:rsid w:val="00597582"/>
    <w:rsid w:val="0059759E"/>
    <w:rsid w:val="0059766D"/>
    <w:rsid w:val="005976E1"/>
    <w:rsid w:val="0059778F"/>
    <w:rsid w:val="00597857"/>
    <w:rsid w:val="00597A0A"/>
    <w:rsid w:val="00597ABC"/>
    <w:rsid w:val="00597BDE"/>
    <w:rsid w:val="00597D06"/>
    <w:rsid w:val="00597E34"/>
    <w:rsid w:val="00597F09"/>
    <w:rsid w:val="00597F0A"/>
    <w:rsid w:val="00597F68"/>
    <w:rsid w:val="00597F71"/>
    <w:rsid w:val="00597FC1"/>
    <w:rsid w:val="00597FF8"/>
    <w:rsid w:val="005A00D3"/>
    <w:rsid w:val="005A01D1"/>
    <w:rsid w:val="005A0424"/>
    <w:rsid w:val="005A043C"/>
    <w:rsid w:val="005A045D"/>
    <w:rsid w:val="005A046F"/>
    <w:rsid w:val="005A04B4"/>
    <w:rsid w:val="005A050E"/>
    <w:rsid w:val="005A057E"/>
    <w:rsid w:val="005A063A"/>
    <w:rsid w:val="005A0811"/>
    <w:rsid w:val="005A082D"/>
    <w:rsid w:val="005A0A06"/>
    <w:rsid w:val="005A0A7B"/>
    <w:rsid w:val="005A0A90"/>
    <w:rsid w:val="005A0C1E"/>
    <w:rsid w:val="005A0CA8"/>
    <w:rsid w:val="005A0DF0"/>
    <w:rsid w:val="005A0EEA"/>
    <w:rsid w:val="005A1050"/>
    <w:rsid w:val="005A10DC"/>
    <w:rsid w:val="005A11C1"/>
    <w:rsid w:val="005A11F0"/>
    <w:rsid w:val="005A1297"/>
    <w:rsid w:val="005A1353"/>
    <w:rsid w:val="005A1380"/>
    <w:rsid w:val="005A13C9"/>
    <w:rsid w:val="005A15BA"/>
    <w:rsid w:val="005A16ED"/>
    <w:rsid w:val="005A1840"/>
    <w:rsid w:val="005A18E4"/>
    <w:rsid w:val="005A1935"/>
    <w:rsid w:val="005A193A"/>
    <w:rsid w:val="005A1971"/>
    <w:rsid w:val="005A1981"/>
    <w:rsid w:val="005A1A2A"/>
    <w:rsid w:val="005A1AFC"/>
    <w:rsid w:val="005A1B10"/>
    <w:rsid w:val="005A1C74"/>
    <w:rsid w:val="005A1C80"/>
    <w:rsid w:val="005A1D69"/>
    <w:rsid w:val="005A1DEA"/>
    <w:rsid w:val="005A1F3E"/>
    <w:rsid w:val="005A1FF2"/>
    <w:rsid w:val="005A2017"/>
    <w:rsid w:val="005A2297"/>
    <w:rsid w:val="005A23C8"/>
    <w:rsid w:val="005A2419"/>
    <w:rsid w:val="005A24FA"/>
    <w:rsid w:val="005A2543"/>
    <w:rsid w:val="005A2575"/>
    <w:rsid w:val="005A278A"/>
    <w:rsid w:val="005A27DA"/>
    <w:rsid w:val="005A283C"/>
    <w:rsid w:val="005A28D1"/>
    <w:rsid w:val="005A2910"/>
    <w:rsid w:val="005A2A13"/>
    <w:rsid w:val="005A2A8C"/>
    <w:rsid w:val="005A2AC0"/>
    <w:rsid w:val="005A2B26"/>
    <w:rsid w:val="005A2D7D"/>
    <w:rsid w:val="005A2E8D"/>
    <w:rsid w:val="005A2EA1"/>
    <w:rsid w:val="005A2F09"/>
    <w:rsid w:val="005A3092"/>
    <w:rsid w:val="005A3099"/>
    <w:rsid w:val="005A30DE"/>
    <w:rsid w:val="005A31ED"/>
    <w:rsid w:val="005A321E"/>
    <w:rsid w:val="005A3250"/>
    <w:rsid w:val="005A349E"/>
    <w:rsid w:val="005A34A1"/>
    <w:rsid w:val="005A351B"/>
    <w:rsid w:val="005A35F7"/>
    <w:rsid w:val="005A36A4"/>
    <w:rsid w:val="005A36E2"/>
    <w:rsid w:val="005A3805"/>
    <w:rsid w:val="005A380A"/>
    <w:rsid w:val="005A38DA"/>
    <w:rsid w:val="005A39F2"/>
    <w:rsid w:val="005A3C0C"/>
    <w:rsid w:val="005A3C5C"/>
    <w:rsid w:val="005A3D7F"/>
    <w:rsid w:val="005A3DA0"/>
    <w:rsid w:val="005A3E28"/>
    <w:rsid w:val="005A3F90"/>
    <w:rsid w:val="005A401B"/>
    <w:rsid w:val="005A407B"/>
    <w:rsid w:val="005A4291"/>
    <w:rsid w:val="005A42CB"/>
    <w:rsid w:val="005A4420"/>
    <w:rsid w:val="005A45DF"/>
    <w:rsid w:val="005A4761"/>
    <w:rsid w:val="005A47A8"/>
    <w:rsid w:val="005A49AA"/>
    <w:rsid w:val="005A4AC7"/>
    <w:rsid w:val="005A4C2A"/>
    <w:rsid w:val="005A4CE8"/>
    <w:rsid w:val="005A4EB0"/>
    <w:rsid w:val="005A4F14"/>
    <w:rsid w:val="005A4F5F"/>
    <w:rsid w:val="005A4F6C"/>
    <w:rsid w:val="005A4FB8"/>
    <w:rsid w:val="005A5091"/>
    <w:rsid w:val="005A517D"/>
    <w:rsid w:val="005A5356"/>
    <w:rsid w:val="005A5451"/>
    <w:rsid w:val="005A54E0"/>
    <w:rsid w:val="005A55A9"/>
    <w:rsid w:val="005A5622"/>
    <w:rsid w:val="005A564C"/>
    <w:rsid w:val="005A56E1"/>
    <w:rsid w:val="005A5743"/>
    <w:rsid w:val="005A583A"/>
    <w:rsid w:val="005A58B1"/>
    <w:rsid w:val="005A58E3"/>
    <w:rsid w:val="005A5A04"/>
    <w:rsid w:val="005A5FBC"/>
    <w:rsid w:val="005A61DB"/>
    <w:rsid w:val="005A61F1"/>
    <w:rsid w:val="005A6283"/>
    <w:rsid w:val="005A6322"/>
    <w:rsid w:val="005A636C"/>
    <w:rsid w:val="005A638B"/>
    <w:rsid w:val="005A63B8"/>
    <w:rsid w:val="005A660F"/>
    <w:rsid w:val="005A6645"/>
    <w:rsid w:val="005A671E"/>
    <w:rsid w:val="005A6733"/>
    <w:rsid w:val="005A69C4"/>
    <w:rsid w:val="005A6A8B"/>
    <w:rsid w:val="005A6B1A"/>
    <w:rsid w:val="005A6D20"/>
    <w:rsid w:val="005A6DA2"/>
    <w:rsid w:val="005A6E9B"/>
    <w:rsid w:val="005A72AC"/>
    <w:rsid w:val="005A744F"/>
    <w:rsid w:val="005A7556"/>
    <w:rsid w:val="005A76A4"/>
    <w:rsid w:val="005A76F6"/>
    <w:rsid w:val="005A771D"/>
    <w:rsid w:val="005A783F"/>
    <w:rsid w:val="005A78D2"/>
    <w:rsid w:val="005A7B33"/>
    <w:rsid w:val="005A7B60"/>
    <w:rsid w:val="005A7C0A"/>
    <w:rsid w:val="005A7D1D"/>
    <w:rsid w:val="005B00FB"/>
    <w:rsid w:val="005B0127"/>
    <w:rsid w:val="005B04CC"/>
    <w:rsid w:val="005B05F0"/>
    <w:rsid w:val="005B0631"/>
    <w:rsid w:val="005B0654"/>
    <w:rsid w:val="005B0681"/>
    <w:rsid w:val="005B0897"/>
    <w:rsid w:val="005B0AFF"/>
    <w:rsid w:val="005B0D0B"/>
    <w:rsid w:val="005B0DA4"/>
    <w:rsid w:val="005B0E77"/>
    <w:rsid w:val="005B0F45"/>
    <w:rsid w:val="005B103C"/>
    <w:rsid w:val="005B1065"/>
    <w:rsid w:val="005B106F"/>
    <w:rsid w:val="005B11AC"/>
    <w:rsid w:val="005B1264"/>
    <w:rsid w:val="005B13EA"/>
    <w:rsid w:val="005B14C9"/>
    <w:rsid w:val="005B150E"/>
    <w:rsid w:val="005B1611"/>
    <w:rsid w:val="005B175B"/>
    <w:rsid w:val="005B1786"/>
    <w:rsid w:val="005B18AF"/>
    <w:rsid w:val="005B1910"/>
    <w:rsid w:val="005B1929"/>
    <w:rsid w:val="005B1A25"/>
    <w:rsid w:val="005B1B9D"/>
    <w:rsid w:val="005B1BF5"/>
    <w:rsid w:val="005B1C92"/>
    <w:rsid w:val="005B1CBE"/>
    <w:rsid w:val="005B1E87"/>
    <w:rsid w:val="005B1F73"/>
    <w:rsid w:val="005B2113"/>
    <w:rsid w:val="005B2795"/>
    <w:rsid w:val="005B297B"/>
    <w:rsid w:val="005B29F6"/>
    <w:rsid w:val="005B2B7C"/>
    <w:rsid w:val="005B2CCD"/>
    <w:rsid w:val="005B2D0D"/>
    <w:rsid w:val="005B2E19"/>
    <w:rsid w:val="005B2FA3"/>
    <w:rsid w:val="005B300A"/>
    <w:rsid w:val="005B30D0"/>
    <w:rsid w:val="005B30F9"/>
    <w:rsid w:val="005B31E0"/>
    <w:rsid w:val="005B3389"/>
    <w:rsid w:val="005B34A6"/>
    <w:rsid w:val="005B351C"/>
    <w:rsid w:val="005B3581"/>
    <w:rsid w:val="005B3623"/>
    <w:rsid w:val="005B36DA"/>
    <w:rsid w:val="005B38A4"/>
    <w:rsid w:val="005B396C"/>
    <w:rsid w:val="005B3C0D"/>
    <w:rsid w:val="005B3D89"/>
    <w:rsid w:val="005B3E10"/>
    <w:rsid w:val="005B3F02"/>
    <w:rsid w:val="005B4117"/>
    <w:rsid w:val="005B41D4"/>
    <w:rsid w:val="005B42C8"/>
    <w:rsid w:val="005B44E0"/>
    <w:rsid w:val="005B455C"/>
    <w:rsid w:val="005B45CA"/>
    <w:rsid w:val="005B4698"/>
    <w:rsid w:val="005B46B3"/>
    <w:rsid w:val="005B46C6"/>
    <w:rsid w:val="005B475D"/>
    <w:rsid w:val="005B4801"/>
    <w:rsid w:val="005B4984"/>
    <w:rsid w:val="005B49CC"/>
    <w:rsid w:val="005B4A22"/>
    <w:rsid w:val="005B4A50"/>
    <w:rsid w:val="005B4A92"/>
    <w:rsid w:val="005B4AFC"/>
    <w:rsid w:val="005B4C0A"/>
    <w:rsid w:val="005B4C43"/>
    <w:rsid w:val="005B4C56"/>
    <w:rsid w:val="005B4CD2"/>
    <w:rsid w:val="005B4DB6"/>
    <w:rsid w:val="005B4DB8"/>
    <w:rsid w:val="005B4EAE"/>
    <w:rsid w:val="005B5059"/>
    <w:rsid w:val="005B5151"/>
    <w:rsid w:val="005B5367"/>
    <w:rsid w:val="005B5396"/>
    <w:rsid w:val="005B5468"/>
    <w:rsid w:val="005B55F6"/>
    <w:rsid w:val="005B5606"/>
    <w:rsid w:val="005B56C9"/>
    <w:rsid w:val="005B56D9"/>
    <w:rsid w:val="005B56DB"/>
    <w:rsid w:val="005B5824"/>
    <w:rsid w:val="005B5915"/>
    <w:rsid w:val="005B5917"/>
    <w:rsid w:val="005B59EA"/>
    <w:rsid w:val="005B5A02"/>
    <w:rsid w:val="005B5CFD"/>
    <w:rsid w:val="005B5F8D"/>
    <w:rsid w:val="005B604F"/>
    <w:rsid w:val="005B611C"/>
    <w:rsid w:val="005B6354"/>
    <w:rsid w:val="005B66D7"/>
    <w:rsid w:val="005B66EE"/>
    <w:rsid w:val="005B6AD2"/>
    <w:rsid w:val="005B6B36"/>
    <w:rsid w:val="005B6C55"/>
    <w:rsid w:val="005B6D02"/>
    <w:rsid w:val="005B6D47"/>
    <w:rsid w:val="005B6E15"/>
    <w:rsid w:val="005B7079"/>
    <w:rsid w:val="005B7267"/>
    <w:rsid w:val="005B7308"/>
    <w:rsid w:val="005B73AC"/>
    <w:rsid w:val="005B7668"/>
    <w:rsid w:val="005B789E"/>
    <w:rsid w:val="005B79E3"/>
    <w:rsid w:val="005B7A4F"/>
    <w:rsid w:val="005B7B80"/>
    <w:rsid w:val="005B7C18"/>
    <w:rsid w:val="005C0033"/>
    <w:rsid w:val="005C0034"/>
    <w:rsid w:val="005C0042"/>
    <w:rsid w:val="005C01EC"/>
    <w:rsid w:val="005C02D9"/>
    <w:rsid w:val="005C02FD"/>
    <w:rsid w:val="005C03AB"/>
    <w:rsid w:val="005C046F"/>
    <w:rsid w:val="005C04AE"/>
    <w:rsid w:val="005C0568"/>
    <w:rsid w:val="005C0706"/>
    <w:rsid w:val="005C08B8"/>
    <w:rsid w:val="005C090A"/>
    <w:rsid w:val="005C0A2E"/>
    <w:rsid w:val="005C0A7A"/>
    <w:rsid w:val="005C0D0F"/>
    <w:rsid w:val="005C0D6B"/>
    <w:rsid w:val="005C0FE9"/>
    <w:rsid w:val="005C1029"/>
    <w:rsid w:val="005C10B0"/>
    <w:rsid w:val="005C1324"/>
    <w:rsid w:val="005C13ED"/>
    <w:rsid w:val="005C140A"/>
    <w:rsid w:val="005C14BB"/>
    <w:rsid w:val="005C174F"/>
    <w:rsid w:val="005C1795"/>
    <w:rsid w:val="005C192E"/>
    <w:rsid w:val="005C199A"/>
    <w:rsid w:val="005C1B08"/>
    <w:rsid w:val="005C1B86"/>
    <w:rsid w:val="005C1E34"/>
    <w:rsid w:val="005C1F5A"/>
    <w:rsid w:val="005C1F95"/>
    <w:rsid w:val="005C1FC7"/>
    <w:rsid w:val="005C20F1"/>
    <w:rsid w:val="005C2166"/>
    <w:rsid w:val="005C217D"/>
    <w:rsid w:val="005C22C4"/>
    <w:rsid w:val="005C24F6"/>
    <w:rsid w:val="005C2515"/>
    <w:rsid w:val="005C2824"/>
    <w:rsid w:val="005C2888"/>
    <w:rsid w:val="005C28B3"/>
    <w:rsid w:val="005C2A75"/>
    <w:rsid w:val="005C2F5C"/>
    <w:rsid w:val="005C30B4"/>
    <w:rsid w:val="005C3434"/>
    <w:rsid w:val="005C34F2"/>
    <w:rsid w:val="005C35A9"/>
    <w:rsid w:val="005C36D4"/>
    <w:rsid w:val="005C386E"/>
    <w:rsid w:val="005C397A"/>
    <w:rsid w:val="005C39BD"/>
    <w:rsid w:val="005C3AE7"/>
    <w:rsid w:val="005C3AE9"/>
    <w:rsid w:val="005C3AFB"/>
    <w:rsid w:val="005C3F20"/>
    <w:rsid w:val="005C3F22"/>
    <w:rsid w:val="005C3F70"/>
    <w:rsid w:val="005C404C"/>
    <w:rsid w:val="005C4077"/>
    <w:rsid w:val="005C409A"/>
    <w:rsid w:val="005C4120"/>
    <w:rsid w:val="005C4130"/>
    <w:rsid w:val="005C413A"/>
    <w:rsid w:val="005C4153"/>
    <w:rsid w:val="005C4196"/>
    <w:rsid w:val="005C4211"/>
    <w:rsid w:val="005C427B"/>
    <w:rsid w:val="005C45F7"/>
    <w:rsid w:val="005C467C"/>
    <w:rsid w:val="005C47E0"/>
    <w:rsid w:val="005C4837"/>
    <w:rsid w:val="005C4851"/>
    <w:rsid w:val="005C485A"/>
    <w:rsid w:val="005C488E"/>
    <w:rsid w:val="005C48E6"/>
    <w:rsid w:val="005C48F5"/>
    <w:rsid w:val="005C48F6"/>
    <w:rsid w:val="005C48FF"/>
    <w:rsid w:val="005C4B9B"/>
    <w:rsid w:val="005C4BFB"/>
    <w:rsid w:val="005C4C63"/>
    <w:rsid w:val="005C4D6B"/>
    <w:rsid w:val="005C4DC7"/>
    <w:rsid w:val="005C4E59"/>
    <w:rsid w:val="005C4EA4"/>
    <w:rsid w:val="005C51AB"/>
    <w:rsid w:val="005C51B8"/>
    <w:rsid w:val="005C5219"/>
    <w:rsid w:val="005C528A"/>
    <w:rsid w:val="005C53A8"/>
    <w:rsid w:val="005C54F6"/>
    <w:rsid w:val="005C55E5"/>
    <w:rsid w:val="005C571D"/>
    <w:rsid w:val="005C57B7"/>
    <w:rsid w:val="005C57B9"/>
    <w:rsid w:val="005C5819"/>
    <w:rsid w:val="005C5877"/>
    <w:rsid w:val="005C5978"/>
    <w:rsid w:val="005C59DB"/>
    <w:rsid w:val="005C5A0B"/>
    <w:rsid w:val="005C5BB0"/>
    <w:rsid w:val="005C5BB9"/>
    <w:rsid w:val="005C5C32"/>
    <w:rsid w:val="005C5D2A"/>
    <w:rsid w:val="005C5EFE"/>
    <w:rsid w:val="005C6305"/>
    <w:rsid w:val="005C6392"/>
    <w:rsid w:val="005C63E5"/>
    <w:rsid w:val="005C641F"/>
    <w:rsid w:val="005C649E"/>
    <w:rsid w:val="005C6508"/>
    <w:rsid w:val="005C65EA"/>
    <w:rsid w:val="005C663F"/>
    <w:rsid w:val="005C682F"/>
    <w:rsid w:val="005C688F"/>
    <w:rsid w:val="005C6A26"/>
    <w:rsid w:val="005C6D68"/>
    <w:rsid w:val="005C6D8A"/>
    <w:rsid w:val="005C6DF8"/>
    <w:rsid w:val="005C6FA4"/>
    <w:rsid w:val="005C70A2"/>
    <w:rsid w:val="005C7132"/>
    <w:rsid w:val="005C71BF"/>
    <w:rsid w:val="005C7245"/>
    <w:rsid w:val="005C7407"/>
    <w:rsid w:val="005C757A"/>
    <w:rsid w:val="005C757D"/>
    <w:rsid w:val="005C762E"/>
    <w:rsid w:val="005C7683"/>
    <w:rsid w:val="005C7723"/>
    <w:rsid w:val="005C7735"/>
    <w:rsid w:val="005C7753"/>
    <w:rsid w:val="005C77BF"/>
    <w:rsid w:val="005C785C"/>
    <w:rsid w:val="005C7986"/>
    <w:rsid w:val="005C7A88"/>
    <w:rsid w:val="005C7BAB"/>
    <w:rsid w:val="005C7C4A"/>
    <w:rsid w:val="005C7D26"/>
    <w:rsid w:val="005C7E7F"/>
    <w:rsid w:val="005C7F69"/>
    <w:rsid w:val="005C7F93"/>
    <w:rsid w:val="005C7FBC"/>
    <w:rsid w:val="005C7FC6"/>
    <w:rsid w:val="005D02D8"/>
    <w:rsid w:val="005D044E"/>
    <w:rsid w:val="005D0545"/>
    <w:rsid w:val="005D0831"/>
    <w:rsid w:val="005D0897"/>
    <w:rsid w:val="005D0CFB"/>
    <w:rsid w:val="005D0D9E"/>
    <w:rsid w:val="005D0DC8"/>
    <w:rsid w:val="005D114F"/>
    <w:rsid w:val="005D117F"/>
    <w:rsid w:val="005D13B6"/>
    <w:rsid w:val="005D1440"/>
    <w:rsid w:val="005D14A5"/>
    <w:rsid w:val="005D1838"/>
    <w:rsid w:val="005D1865"/>
    <w:rsid w:val="005D189C"/>
    <w:rsid w:val="005D19E2"/>
    <w:rsid w:val="005D19E6"/>
    <w:rsid w:val="005D1B51"/>
    <w:rsid w:val="005D1B63"/>
    <w:rsid w:val="005D1C55"/>
    <w:rsid w:val="005D1CD3"/>
    <w:rsid w:val="005D1EA2"/>
    <w:rsid w:val="005D201B"/>
    <w:rsid w:val="005D2157"/>
    <w:rsid w:val="005D2210"/>
    <w:rsid w:val="005D228D"/>
    <w:rsid w:val="005D236C"/>
    <w:rsid w:val="005D2383"/>
    <w:rsid w:val="005D2414"/>
    <w:rsid w:val="005D24DA"/>
    <w:rsid w:val="005D2898"/>
    <w:rsid w:val="005D295A"/>
    <w:rsid w:val="005D299E"/>
    <w:rsid w:val="005D2A7A"/>
    <w:rsid w:val="005D2B5B"/>
    <w:rsid w:val="005D2C79"/>
    <w:rsid w:val="005D2CAB"/>
    <w:rsid w:val="005D2D3A"/>
    <w:rsid w:val="005D2D66"/>
    <w:rsid w:val="005D2DDF"/>
    <w:rsid w:val="005D2E0F"/>
    <w:rsid w:val="005D2E55"/>
    <w:rsid w:val="005D2FF2"/>
    <w:rsid w:val="005D3038"/>
    <w:rsid w:val="005D30AB"/>
    <w:rsid w:val="005D30FE"/>
    <w:rsid w:val="005D311F"/>
    <w:rsid w:val="005D31E9"/>
    <w:rsid w:val="005D323B"/>
    <w:rsid w:val="005D32F6"/>
    <w:rsid w:val="005D334F"/>
    <w:rsid w:val="005D340C"/>
    <w:rsid w:val="005D349F"/>
    <w:rsid w:val="005D36AF"/>
    <w:rsid w:val="005D36E1"/>
    <w:rsid w:val="005D3700"/>
    <w:rsid w:val="005D371B"/>
    <w:rsid w:val="005D38B7"/>
    <w:rsid w:val="005D3BC7"/>
    <w:rsid w:val="005D3C51"/>
    <w:rsid w:val="005D3CA0"/>
    <w:rsid w:val="005D3CE9"/>
    <w:rsid w:val="005D3EE9"/>
    <w:rsid w:val="005D407E"/>
    <w:rsid w:val="005D4120"/>
    <w:rsid w:val="005D412B"/>
    <w:rsid w:val="005D4296"/>
    <w:rsid w:val="005D434C"/>
    <w:rsid w:val="005D4486"/>
    <w:rsid w:val="005D46ED"/>
    <w:rsid w:val="005D471E"/>
    <w:rsid w:val="005D47AB"/>
    <w:rsid w:val="005D48B4"/>
    <w:rsid w:val="005D4967"/>
    <w:rsid w:val="005D4ACC"/>
    <w:rsid w:val="005D4BC2"/>
    <w:rsid w:val="005D4D9B"/>
    <w:rsid w:val="005D4DC8"/>
    <w:rsid w:val="005D4E76"/>
    <w:rsid w:val="005D50B1"/>
    <w:rsid w:val="005D50C4"/>
    <w:rsid w:val="005D5172"/>
    <w:rsid w:val="005D5191"/>
    <w:rsid w:val="005D51F6"/>
    <w:rsid w:val="005D5216"/>
    <w:rsid w:val="005D5280"/>
    <w:rsid w:val="005D5327"/>
    <w:rsid w:val="005D5366"/>
    <w:rsid w:val="005D53E1"/>
    <w:rsid w:val="005D53EA"/>
    <w:rsid w:val="005D5440"/>
    <w:rsid w:val="005D54B4"/>
    <w:rsid w:val="005D54F2"/>
    <w:rsid w:val="005D560F"/>
    <w:rsid w:val="005D5662"/>
    <w:rsid w:val="005D5698"/>
    <w:rsid w:val="005D5836"/>
    <w:rsid w:val="005D596F"/>
    <w:rsid w:val="005D59A5"/>
    <w:rsid w:val="005D59ED"/>
    <w:rsid w:val="005D5ADA"/>
    <w:rsid w:val="005D5B73"/>
    <w:rsid w:val="005D5BCF"/>
    <w:rsid w:val="005D5E55"/>
    <w:rsid w:val="005D5E97"/>
    <w:rsid w:val="005D5EF4"/>
    <w:rsid w:val="005D5FBC"/>
    <w:rsid w:val="005D6251"/>
    <w:rsid w:val="005D62B3"/>
    <w:rsid w:val="005D634B"/>
    <w:rsid w:val="005D65CE"/>
    <w:rsid w:val="005D6837"/>
    <w:rsid w:val="005D6A65"/>
    <w:rsid w:val="005D6B25"/>
    <w:rsid w:val="005D6B4F"/>
    <w:rsid w:val="005D6B74"/>
    <w:rsid w:val="005D6B7A"/>
    <w:rsid w:val="005D6BA3"/>
    <w:rsid w:val="005D6C47"/>
    <w:rsid w:val="005D6CB0"/>
    <w:rsid w:val="005D6D97"/>
    <w:rsid w:val="005D6DE2"/>
    <w:rsid w:val="005D6F3B"/>
    <w:rsid w:val="005D6F8A"/>
    <w:rsid w:val="005D7185"/>
    <w:rsid w:val="005D739B"/>
    <w:rsid w:val="005D73C7"/>
    <w:rsid w:val="005D771A"/>
    <w:rsid w:val="005D7734"/>
    <w:rsid w:val="005D7760"/>
    <w:rsid w:val="005D776C"/>
    <w:rsid w:val="005D77FD"/>
    <w:rsid w:val="005D78A9"/>
    <w:rsid w:val="005D78E4"/>
    <w:rsid w:val="005D7983"/>
    <w:rsid w:val="005D79A9"/>
    <w:rsid w:val="005D79D6"/>
    <w:rsid w:val="005D7A5C"/>
    <w:rsid w:val="005D7A81"/>
    <w:rsid w:val="005D7A82"/>
    <w:rsid w:val="005D7AA8"/>
    <w:rsid w:val="005D7AB3"/>
    <w:rsid w:val="005D7D41"/>
    <w:rsid w:val="005E004B"/>
    <w:rsid w:val="005E005C"/>
    <w:rsid w:val="005E05CB"/>
    <w:rsid w:val="005E05F8"/>
    <w:rsid w:val="005E06C6"/>
    <w:rsid w:val="005E0792"/>
    <w:rsid w:val="005E0822"/>
    <w:rsid w:val="005E08DE"/>
    <w:rsid w:val="005E09A4"/>
    <w:rsid w:val="005E0AEA"/>
    <w:rsid w:val="005E0C9E"/>
    <w:rsid w:val="005E0CF0"/>
    <w:rsid w:val="005E0F0B"/>
    <w:rsid w:val="005E0F84"/>
    <w:rsid w:val="005E0FA4"/>
    <w:rsid w:val="005E0FFD"/>
    <w:rsid w:val="005E1034"/>
    <w:rsid w:val="005E10BE"/>
    <w:rsid w:val="005E10CB"/>
    <w:rsid w:val="005E10E9"/>
    <w:rsid w:val="005E1181"/>
    <w:rsid w:val="005E12A6"/>
    <w:rsid w:val="005E12D1"/>
    <w:rsid w:val="005E1343"/>
    <w:rsid w:val="005E14C1"/>
    <w:rsid w:val="005E16E8"/>
    <w:rsid w:val="005E1866"/>
    <w:rsid w:val="005E18C0"/>
    <w:rsid w:val="005E18FF"/>
    <w:rsid w:val="005E1936"/>
    <w:rsid w:val="005E1B47"/>
    <w:rsid w:val="005E1BAB"/>
    <w:rsid w:val="005E1D03"/>
    <w:rsid w:val="005E1D51"/>
    <w:rsid w:val="005E1FD3"/>
    <w:rsid w:val="005E202D"/>
    <w:rsid w:val="005E2184"/>
    <w:rsid w:val="005E22B9"/>
    <w:rsid w:val="005E2380"/>
    <w:rsid w:val="005E2423"/>
    <w:rsid w:val="005E2767"/>
    <w:rsid w:val="005E2785"/>
    <w:rsid w:val="005E2792"/>
    <w:rsid w:val="005E2868"/>
    <w:rsid w:val="005E2948"/>
    <w:rsid w:val="005E29AF"/>
    <w:rsid w:val="005E2A0D"/>
    <w:rsid w:val="005E2A38"/>
    <w:rsid w:val="005E2C31"/>
    <w:rsid w:val="005E2E96"/>
    <w:rsid w:val="005E2F54"/>
    <w:rsid w:val="005E2FC4"/>
    <w:rsid w:val="005E2FEC"/>
    <w:rsid w:val="005E3114"/>
    <w:rsid w:val="005E3118"/>
    <w:rsid w:val="005E3326"/>
    <w:rsid w:val="005E332A"/>
    <w:rsid w:val="005E337B"/>
    <w:rsid w:val="005E3402"/>
    <w:rsid w:val="005E345C"/>
    <w:rsid w:val="005E3663"/>
    <w:rsid w:val="005E372B"/>
    <w:rsid w:val="005E3782"/>
    <w:rsid w:val="005E3A69"/>
    <w:rsid w:val="005E3B98"/>
    <w:rsid w:val="005E3BE9"/>
    <w:rsid w:val="005E3BEB"/>
    <w:rsid w:val="005E3C7E"/>
    <w:rsid w:val="005E3D68"/>
    <w:rsid w:val="005E3EF5"/>
    <w:rsid w:val="005E3F64"/>
    <w:rsid w:val="005E4082"/>
    <w:rsid w:val="005E40FE"/>
    <w:rsid w:val="005E417F"/>
    <w:rsid w:val="005E42FD"/>
    <w:rsid w:val="005E4354"/>
    <w:rsid w:val="005E43F3"/>
    <w:rsid w:val="005E4594"/>
    <w:rsid w:val="005E45C4"/>
    <w:rsid w:val="005E45C6"/>
    <w:rsid w:val="005E46AE"/>
    <w:rsid w:val="005E46D7"/>
    <w:rsid w:val="005E478A"/>
    <w:rsid w:val="005E4923"/>
    <w:rsid w:val="005E49DF"/>
    <w:rsid w:val="005E4AAD"/>
    <w:rsid w:val="005E4C19"/>
    <w:rsid w:val="005E4C72"/>
    <w:rsid w:val="005E4CEE"/>
    <w:rsid w:val="005E4DCE"/>
    <w:rsid w:val="005E4E76"/>
    <w:rsid w:val="005E4F62"/>
    <w:rsid w:val="005E50C4"/>
    <w:rsid w:val="005E521F"/>
    <w:rsid w:val="005E5698"/>
    <w:rsid w:val="005E56C6"/>
    <w:rsid w:val="005E57C0"/>
    <w:rsid w:val="005E582E"/>
    <w:rsid w:val="005E5839"/>
    <w:rsid w:val="005E5942"/>
    <w:rsid w:val="005E59DE"/>
    <w:rsid w:val="005E5AC3"/>
    <w:rsid w:val="005E5B73"/>
    <w:rsid w:val="005E5BF1"/>
    <w:rsid w:val="005E5DE6"/>
    <w:rsid w:val="005E5F73"/>
    <w:rsid w:val="005E60E0"/>
    <w:rsid w:val="005E6248"/>
    <w:rsid w:val="005E62BC"/>
    <w:rsid w:val="005E6359"/>
    <w:rsid w:val="005E6462"/>
    <w:rsid w:val="005E648A"/>
    <w:rsid w:val="005E64CF"/>
    <w:rsid w:val="005E6528"/>
    <w:rsid w:val="005E65C2"/>
    <w:rsid w:val="005E6799"/>
    <w:rsid w:val="005E67FE"/>
    <w:rsid w:val="005E6885"/>
    <w:rsid w:val="005E688B"/>
    <w:rsid w:val="005E68AC"/>
    <w:rsid w:val="005E68B7"/>
    <w:rsid w:val="005E68EC"/>
    <w:rsid w:val="005E695F"/>
    <w:rsid w:val="005E6B59"/>
    <w:rsid w:val="005E6CA8"/>
    <w:rsid w:val="005E6FC4"/>
    <w:rsid w:val="005E715A"/>
    <w:rsid w:val="005E71FF"/>
    <w:rsid w:val="005E72E5"/>
    <w:rsid w:val="005E7359"/>
    <w:rsid w:val="005E7433"/>
    <w:rsid w:val="005E757C"/>
    <w:rsid w:val="005E7583"/>
    <w:rsid w:val="005E7780"/>
    <w:rsid w:val="005E77EE"/>
    <w:rsid w:val="005E794A"/>
    <w:rsid w:val="005E79A5"/>
    <w:rsid w:val="005E7A9F"/>
    <w:rsid w:val="005E7AE8"/>
    <w:rsid w:val="005E7BA1"/>
    <w:rsid w:val="005E7CD0"/>
    <w:rsid w:val="005E7CD7"/>
    <w:rsid w:val="005E7DFB"/>
    <w:rsid w:val="005E7E0B"/>
    <w:rsid w:val="005E7E22"/>
    <w:rsid w:val="005E7EE8"/>
    <w:rsid w:val="005F002F"/>
    <w:rsid w:val="005F024A"/>
    <w:rsid w:val="005F0252"/>
    <w:rsid w:val="005F034D"/>
    <w:rsid w:val="005F058B"/>
    <w:rsid w:val="005F077B"/>
    <w:rsid w:val="005F0929"/>
    <w:rsid w:val="005F092E"/>
    <w:rsid w:val="005F0C6A"/>
    <w:rsid w:val="005F0E5A"/>
    <w:rsid w:val="005F0E67"/>
    <w:rsid w:val="005F10F7"/>
    <w:rsid w:val="005F12EF"/>
    <w:rsid w:val="005F1808"/>
    <w:rsid w:val="005F18D4"/>
    <w:rsid w:val="005F192C"/>
    <w:rsid w:val="005F19D3"/>
    <w:rsid w:val="005F1B87"/>
    <w:rsid w:val="005F1DD6"/>
    <w:rsid w:val="005F1DEC"/>
    <w:rsid w:val="005F1E2E"/>
    <w:rsid w:val="005F1E30"/>
    <w:rsid w:val="005F1E5E"/>
    <w:rsid w:val="005F1F67"/>
    <w:rsid w:val="005F21EF"/>
    <w:rsid w:val="005F22C9"/>
    <w:rsid w:val="005F22E7"/>
    <w:rsid w:val="005F235C"/>
    <w:rsid w:val="005F2375"/>
    <w:rsid w:val="005F23E2"/>
    <w:rsid w:val="005F243B"/>
    <w:rsid w:val="005F245B"/>
    <w:rsid w:val="005F25F9"/>
    <w:rsid w:val="005F27DA"/>
    <w:rsid w:val="005F2806"/>
    <w:rsid w:val="005F29A1"/>
    <w:rsid w:val="005F2A21"/>
    <w:rsid w:val="005F2A30"/>
    <w:rsid w:val="005F2A62"/>
    <w:rsid w:val="005F2AED"/>
    <w:rsid w:val="005F2B2E"/>
    <w:rsid w:val="005F2B30"/>
    <w:rsid w:val="005F2B5E"/>
    <w:rsid w:val="005F2D2F"/>
    <w:rsid w:val="005F2D7F"/>
    <w:rsid w:val="005F2E57"/>
    <w:rsid w:val="005F2F47"/>
    <w:rsid w:val="005F3010"/>
    <w:rsid w:val="005F31CF"/>
    <w:rsid w:val="005F3235"/>
    <w:rsid w:val="005F3353"/>
    <w:rsid w:val="005F336A"/>
    <w:rsid w:val="005F3436"/>
    <w:rsid w:val="005F3499"/>
    <w:rsid w:val="005F34A8"/>
    <w:rsid w:val="005F34CC"/>
    <w:rsid w:val="005F358E"/>
    <w:rsid w:val="005F37A4"/>
    <w:rsid w:val="005F38E0"/>
    <w:rsid w:val="005F38E7"/>
    <w:rsid w:val="005F3AA7"/>
    <w:rsid w:val="005F3B1B"/>
    <w:rsid w:val="005F3B7B"/>
    <w:rsid w:val="005F3BC7"/>
    <w:rsid w:val="005F3C59"/>
    <w:rsid w:val="005F3CDA"/>
    <w:rsid w:val="005F3CF4"/>
    <w:rsid w:val="005F3D16"/>
    <w:rsid w:val="005F3D42"/>
    <w:rsid w:val="005F3D80"/>
    <w:rsid w:val="005F3E75"/>
    <w:rsid w:val="005F3EDF"/>
    <w:rsid w:val="005F40AB"/>
    <w:rsid w:val="005F40FB"/>
    <w:rsid w:val="005F4132"/>
    <w:rsid w:val="005F416C"/>
    <w:rsid w:val="005F439A"/>
    <w:rsid w:val="005F441F"/>
    <w:rsid w:val="005F4439"/>
    <w:rsid w:val="005F444A"/>
    <w:rsid w:val="005F4738"/>
    <w:rsid w:val="005F47E7"/>
    <w:rsid w:val="005F493F"/>
    <w:rsid w:val="005F4965"/>
    <w:rsid w:val="005F4AD9"/>
    <w:rsid w:val="005F4BAA"/>
    <w:rsid w:val="005F4CD4"/>
    <w:rsid w:val="005F4D28"/>
    <w:rsid w:val="005F4FD3"/>
    <w:rsid w:val="005F5222"/>
    <w:rsid w:val="005F5248"/>
    <w:rsid w:val="005F5286"/>
    <w:rsid w:val="005F53F7"/>
    <w:rsid w:val="005F5434"/>
    <w:rsid w:val="005F5510"/>
    <w:rsid w:val="005F56CD"/>
    <w:rsid w:val="005F57B5"/>
    <w:rsid w:val="005F584C"/>
    <w:rsid w:val="005F590E"/>
    <w:rsid w:val="005F5965"/>
    <w:rsid w:val="005F5A92"/>
    <w:rsid w:val="005F5B4B"/>
    <w:rsid w:val="005F5B86"/>
    <w:rsid w:val="005F5C3F"/>
    <w:rsid w:val="005F5CC9"/>
    <w:rsid w:val="005F5D89"/>
    <w:rsid w:val="005F5E29"/>
    <w:rsid w:val="005F5E49"/>
    <w:rsid w:val="005F5F09"/>
    <w:rsid w:val="005F5FE7"/>
    <w:rsid w:val="005F6028"/>
    <w:rsid w:val="005F604A"/>
    <w:rsid w:val="005F617C"/>
    <w:rsid w:val="005F6335"/>
    <w:rsid w:val="005F63D9"/>
    <w:rsid w:val="005F63FF"/>
    <w:rsid w:val="005F6524"/>
    <w:rsid w:val="005F66F2"/>
    <w:rsid w:val="005F6771"/>
    <w:rsid w:val="005F677C"/>
    <w:rsid w:val="005F6787"/>
    <w:rsid w:val="005F68CD"/>
    <w:rsid w:val="005F69A5"/>
    <w:rsid w:val="005F6AE9"/>
    <w:rsid w:val="005F6F11"/>
    <w:rsid w:val="005F6FD6"/>
    <w:rsid w:val="005F712C"/>
    <w:rsid w:val="005F723F"/>
    <w:rsid w:val="005F731A"/>
    <w:rsid w:val="005F7378"/>
    <w:rsid w:val="005F7406"/>
    <w:rsid w:val="005F745A"/>
    <w:rsid w:val="005F74AF"/>
    <w:rsid w:val="005F7501"/>
    <w:rsid w:val="005F7556"/>
    <w:rsid w:val="005F7590"/>
    <w:rsid w:val="005F75F2"/>
    <w:rsid w:val="005F78AA"/>
    <w:rsid w:val="005F78C6"/>
    <w:rsid w:val="005F7A8F"/>
    <w:rsid w:val="005F7B5E"/>
    <w:rsid w:val="005F7B8C"/>
    <w:rsid w:val="005F7BC9"/>
    <w:rsid w:val="005F7C31"/>
    <w:rsid w:val="005F7DCF"/>
    <w:rsid w:val="005F7E31"/>
    <w:rsid w:val="005F7EC7"/>
    <w:rsid w:val="005F7F8A"/>
    <w:rsid w:val="005FB692"/>
    <w:rsid w:val="0060008E"/>
    <w:rsid w:val="006000EF"/>
    <w:rsid w:val="006001B0"/>
    <w:rsid w:val="006001B3"/>
    <w:rsid w:val="006001D6"/>
    <w:rsid w:val="0060029E"/>
    <w:rsid w:val="0060037E"/>
    <w:rsid w:val="0060042A"/>
    <w:rsid w:val="00600485"/>
    <w:rsid w:val="006004B9"/>
    <w:rsid w:val="00600589"/>
    <w:rsid w:val="006006A3"/>
    <w:rsid w:val="00600776"/>
    <w:rsid w:val="006009CF"/>
    <w:rsid w:val="00600A3A"/>
    <w:rsid w:val="00600A63"/>
    <w:rsid w:val="00600A69"/>
    <w:rsid w:val="00600AE3"/>
    <w:rsid w:val="00600B35"/>
    <w:rsid w:val="00600B7E"/>
    <w:rsid w:val="00600BBF"/>
    <w:rsid w:val="00600C00"/>
    <w:rsid w:val="00600C5E"/>
    <w:rsid w:val="00600CA3"/>
    <w:rsid w:val="00600D13"/>
    <w:rsid w:val="00600D62"/>
    <w:rsid w:val="00600E7A"/>
    <w:rsid w:val="00600ECF"/>
    <w:rsid w:val="00600F70"/>
    <w:rsid w:val="00600FF6"/>
    <w:rsid w:val="00601153"/>
    <w:rsid w:val="0060126C"/>
    <w:rsid w:val="00601288"/>
    <w:rsid w:val="00601355"/>
    <w:rsid w:val="0060135D"/>
    <w:rsid w:val="00601376"/>
    <w:rsid w:val="006013CA"/>
    <w:rsid w:val="006013D1"/>
    <w:rsid w:val="0060154B"/>
    <w:rsid w:val="006015DA"/>
    <w:rsid w:val="006015EC"/>
    <w:rsid w:val="00601772"/>
    <w:rsid w:val="006018B6"/>
    <w:rsid w:val="00601965"/>
    <w:rsid w:val="00601AA6"/>
    <w:rsid w:val="00601B0A"/>
    <w:rsid w:val="00601B85"/>
    <w:rsid w:val="00601D5A"/>
    <w:rsid w:val="00601D88"/>
    <w:rsid w:val="00601DC7"/>
    <w:rsid w:val="00601DC8"/>
    <w:rsid w:val="00602099"/>
    <w:rsid w:val="006023C4"/>
    <w:rsid w:val="0060292C"/>
    <w:rsid w:val="006029A2"/>
    <w:rsid w:val="00602A0E"/>
    <w:rsid w:val="00602A5A"/>
    <w:rsid w:val="00602B02"/>
    <w:rsid w:val="00602BA2"/>
    <w:rsid w:val="00602C32"/>
    <w:rsid w:val="00602EB9"/>
    <w:rsid w:val="00602ED4"/>
    <w:rsid w:val="00602FCB"/>
    <w:rsid w:val="00603044"/>
    <w:rsid w:val="006030EA"/>
    <w:rsid w:val="0060311E"/>
    <w:rsid w:val="0060319A"/>
    <w:rsid w:val="006031ED"/>
    <w:rsid w:val="00603207"/>
    <w:rsid w:val="006034F7"/>
    <w:rsid w:val="006036BD"/>
    <w:rsid w:val="006036F8"/>
    <w:rsid w:val="006037D4"/>
    <w:rsid w:val="006037DD"/>
    <w:rsid w:val="006037F9"/>
    <w:rsid w:val="006038E8"/>
    <w:rsid w:val="00603AEB"/>
    <w:rsid w:val="00603B24"/>
    <w:rsid w:val="00603B47"/>
    <w:rsid w:val="006040AF"/>
    <w:rsid w:val="006040D2"/>
    <w:rsid w:val="00604168"/>
    <w:rsid w:val="00604182"/>
    <w:rsid w:val="00604202"/>
    <w:rsid w:val="0060423E"/>
    <w:rsid w:val="006044F9"/>
    <w:rsid w:val="00604532"/>
    <w:rsid w:val="006046F0"/>
    <w:rsid w:val="00604715"/>
    <w:rsid w:val="006047C8"/>
    <w:rsid w:val="006047FA"/>
    <w:rsid w:val="006048B9"/>
    <w:rsid w:val="006048D4"/>
    <w:rsid w:val="00604999"/>
    <w:rsid w:val="00604A53"/>
    <w:rsid w:val="00604B86"/>
    <w:rsid w:val="00604B89"/>
    <w:rsid w:val="00604C2C"/>
    <w:rsid w:val="00604C74"/>
    <w:rsid w:val="00604CC8"/>
    <w:rsid w:val="00604DBA"/>
    <w:rsid w:val="00605280"/>
    <w:rsid w:val="006052D3"/>
    <w:rsid w:val="006053D4"/>
    <w:rsid w:val="0060543B"/>
    <w:rsid w:val="00605456"/>
    <w:rsid w:val="006054FD"/>
    <w:rsid w:val="00605681"/>
    <w:rsid w:val="00605696"/>
    <w:rsid w:val="0060579E"/>
    <w:rsid w:val="006057D3"/>
    <w:rsid w:val="00605856"/>
    <w:rsid w:val="00605875"/>
    <w:rsid w:val="006058D0"/>
    <w:rsid w:val="006058E1"/>
    <w:rsid w:val="00605A72"/>
    <w:rsid w:val="00606050"/>
    <w:rsid w:val="0060607F"/>
    <w:rsid w:val="00606173"/>
    <w:rsid w:val="00606177"/>
    <w:rsid w:val="006061B8"/>
    <w:rsid w:val="006062C1"/>
    <w:rsid w:val="0060644E"/>
    <w:rsid w:val="00606457"/>
    <w:rsid w:val="006064AF"/>
    <w:rsid w:val="006064D6"/>
    <w:rsid w:val="00606537"/>
    <w:rsid w:val="0060669A"/>
    <w:rsid w:val="006066B6"/>
    <w:rsid w:val="00606892"/>
    <w:rsid w:val="00606B23"/>
    <w:rsid w:val="00606BCD"/>
    <w:rsid w:val="00606C21"/>
    <w:rsid w:val="00606C52"/>
    <w:rsid w:val="00606CB3"/>
    <w:rsid w:val="00606CE8"/>
    <w:rsid w:val="00606CF9"/>
    <w:rsid w:val="00606E28"/>
    <w:rsid w:val="00606EC7"/>
    <w:rsid w:val="0060703D"/>
    <w:rsid w:val="006070D4"/>
    <w:rsid w:val="00607142"/>
    <w:rsid w:val="0060721D"/>
    <w:rsid w:val="0060721F"/>
    <w:rsid w:val="006073A7"/>
    <w:rsid w:val="00607505"/>
    <w:rsid w:val="0060780E"/>
    <w:rsid w:val="0060785C"/>
    <w:rsid w:val="0060786E"/>
    <w:rsid w:val="0060790C"/>
    <w:rsid w:val="00607B36"/>
    <w:rsid w:val="00607BAA"/>
    <w:rsid w:val="00607C03"/>
    <w:rsid w:val="00607D88"/>
    <w:rsid w:val="00607DC3"/>
    <w:rsid w:val="00607E00"/>
    <w:rsid w:val="00607E3D"/>
    <w:rsid w:val="00607EFC"/>
    <w:rsid w:val="00607F3E"/>
    <w:rsid w:val="00610148"/>
    <w:rsid w:val="0061033D"/>
    <w:rsid w:val="006103EA"/>
    <w:rsid w:val="00610483"/>
    <w:rsid w:val="00610556"/>
    <w:rsid w:val="006105E7"/>
    <w:rsid w:val="0061065C"/>
    <w:rsid w:val="00610704"/>
    <w:rsid w:val="0061084F"/>
    <w:rsid w:val="006108DD"/>
    <w:rsid w:val="00610A43"/>
    <w:rsid w:val="00610C39"/>
    <w:rsid w:val="00610D43"/>
    <w:rsid w:val="00610D47"/>
    <w:rsid w:val="00610F89"/>
    <w:rsid w:val="006111C2"/>
    <w:rsid w:val="00611222"/>
    <w:rsid w:val="006113BA"/>
    <w:rsid w:val="006115B5"/>
    <w:rsid w:val="006115FC"/>
    <w:rsid w:val="00611784"/>
    <w:rsid w:val="006117F2"/>
    <w:rsid w:val="00611852"/>
    <w:rsid w:val="00611874"/>
    <w:rsid w:val="006119AC"/>
    <w:rsid w:val="006119B8"/>
    <w:rsid w:val="00611BB0"/>
    <w:rsid w:val="00611BBE"/>
    <w:rsid w:val="00611CA5"/>
    <w:rsid w:val="00611E0F"/>
    <w:rsid w:val="00611EAA"/>
    <w:rsid w:val="00611EBA"/>
    <w:rsid w:val="00611EE3"/>
    <w:rsid w:val="00611F75"/>
    <w:rsid w:val="00611FD9"/>
    <w:rsid w:val="0061217F"/>
    <w:rsid w:val="0061219B"/>
    <w:rsid w:val="006121F4"/>
    <w:rsid w:val="00612206"/>
    <w:rsid w:val="0061220A"/>
    <w:rsid w:val="006124D8"/>
    <w:rsid w:val="00612738"/>
    <w:rsid w:val="006128E4"/>
    <w:rsid w:val="0061290D"/>
    <w:rsid w:val="006129BD"/>
    <w:rsid w:val="006129FC"/>
    <w:rsid w:val="00612BCA"/>
    <w:rsid w:val="00612C28"/>
    <w:rsid w:val="00612EDD"/>
    <w:rsid w:val="00612F31"/>
    <w:rsid w:val="00612F76"/>
    <w:rsid w:val="00612F9D"/>
    <w:rsid w:val="006131A7"/>
    <w:rsid w:val="006133D2"/>
    <w:rsid w:val="006136B0"/>
    <w:rsid w:val="00613785"/>
    <w:rsid w:val="0061384A"/>
    <w:rsid w:val="006138B8"/>
    <w:rsid w:val="00613965"/>
    <w:rsid w:val="006139B4"/>
    <w:rsid w:val="00613B80"/>
    <w:rsid w:val="00613B8F"/>
    <w:rsid w:val="00613D09"/>
    <w:rsid w:val="00613D51"/>
    <w:rsid w:val="00613ED8"/>
    <w:rsid w:val="00614029"/>
    <w:rsid w:val="006141CA"/>
    <w:rsid w:val="006142B0"/>
    <w:rsid w:val="006143A2"/>
    <w:rsid w:val="006143A7"/>
    <w:rsid w:val="006143CB"/>
    <w:rsid w:val="00614588"/>
    <w:rsid w:val="00614699"/>
    <w:rsid w:val="0061473D"/>
    <w:rsid w:val="006147C0"/>
    <w:rsid w:val="006147F6"/>
    <w:rsid w:val="006148B7"/>
    <w:rsid w:val="00614CBA"/>
    <w:rsid w:val="00614E3B"/>
    <w:rsid w:val="00614EAF"/>
    <w:rsid w:val="00615000"/>
    <w:rsid w:val="00615227"/>
    <w:rsid w:val="00615241"/>
    <w:rsid w:val="00615292"/>
    <w:rsid w:val="006152CD"/>
    <w:rsid w:val="006153E3"/>
    <w:rsid w:val="00615459"/>
    <w:rsid w:val="006155C5"/>
    <w:rsid w:val="00615718"/>
    <w:rsid w:val="00615799"/>
    <w:rsid w:val="006158E3"/>
    <w:rsid w:val="006158E9"/>
    <w:rsid w:val="0061595B"/>
    <w:rsid w:val="00615AB6"/>
    <w:rsid w:val="00615B44"/>
    <w:rsid w:val="00615BD6"/>
    <w:rsid w:val="00615BE0"/>
    <w:rsid w:val="00615C16"/>
    <w:rsid w:val="00615CDF"/>
    <w:rsid w:val="0061614F"/>
    <w:rsid w:val="00616197"/>
    <w:rsid w:val="00616292"/>
    <w:rsid w:val="006162B4"/>
    <w:rsid w:val="006163BC"/>
    <w:rsid w:val="006163C5"/>
    <w:rsid w:val="006164D2"/>
    <w:rsid w:val="0061663C"/>
    <w:rsid w:val="00616642"/>
    <w:rsid w:val="00616717"/>
    <w:rsid w:val="00616768"/>
    <w:rsid w:val="006169CE"/>
    <w:rsid w:val="006169DA"/>
    <w:rsid w:val="006169DC"/>
    <w:rsid w:val="00616B10"/>
    <w:rsid w:val="00616C5B"/>
    <w:rsid w:val="00616C5E"/>
    <w:rsid w:val="00616C94"/>
    <w:rsid w:val="00616CBD"/>
    <w:rsid w:val="00616CE3"/>
    <w:rsid w:val="00616CF4"/>
    <w:rsid w:val="00616D69"/>
    <w:rsid w:val="00616E2F"/>
    <w:rsid w:val="00616EA5"/>
    <w:rsid w:val="0061719B"/>
    <w:rsid w:val="006172CE"/>
    <w:rsid w:val="0061740C"/>
    <w:rsid w:val="00617434"/>
    <w:rsid w:val="006175C0"/>
    <w:rsid w:val="00617606"/>
    <w:rsid w:val="0061774C"/>
    <w:rsid w:val="006177B2"/>
    <w:rsid w:val="006177FB"/>
    <w:rsid w:val="00617884"/>
    <w:rsid w:val="00617933"/>
    <w:rsid w:val="006179DE"/>
    <w:rsid w:val="006179E8"/>
    <w:rsid w:val="00617B1F"/>
    <w:rsid w:val="00617CA2"/>
    <w:rsid w:val="00617CFC"/>
    <w:rsid w:val="00617D04"/>
    <w:rsid w:val="00617F2E"/>
    <w:rsid w:val="00617F99"/>
    <w:rsid w:val="00620009"/>
    <w:rsid w:val="0062003E"/>
    <w:rsid w:val="0062006D"/>
    <w:rsid w:val="0062008D"/>
    <w:rsid w:val="006200CE"/>
    <w:rsid w:val="006200F6"/>
    <w:rsid w:val="0062011C"/>
    <w:rsid w:val="0062012E"/>
    <w:rsid w:val="00620168"/>
    <w:rsid w:val="0062050B"/>
    <w:rsid w:val="0062053E"/>
    <w:rsid w:val="006206C6"/>
    <w:rsid w:val="006206F9"/>
    <w:rsid w:val="006206FB"/>
    <w:rsid w:val="00620919"/>
    <w:rsid w:val="00620B68"/>
    <w:rsid w:val="00620B9E"/>
    <w:rsid w:val="00620C39"/>
    <w:rsid w:val="00620D6A"/>
    <w:rsid w:val="00620F77"/>
    <w:rsid w:val="00621020"/>
    <w:rsid w:val="0062107F"/>
    <w:rsid w:val="006210A4"/>
    <w:rsid w:val="00621135"/>
    <w:rsid w:val="0062118D"/>
    <w:rsid w:val="006211EC"/>
    <w:rsid w:val="00621310"/>
    <w:rsid w:val="0062140A"/>
    <w:rsid w:val="00621621"/>
    <w:rsid w:val="0062164B"/>
    <w:rsid w:val="0062173B"/>
    <w:rsid w:val="00621768"/>
    <w:rsid w:val="00621928"/>
    <w:rsid w:val="00621A40"/>
    <w:rsid w:val="00621AFC"/>
    <w:rsid w:val="00621CEE"/>
    <w:rsid w:val="00621FF4"/>
    <w:rsid w:val="00622004"/>
    <w:rsid w:val="006220DC"/>
    <w:rsid w:val="006221B2"/>
    <w:rsid w:val="006221CA"/>
    <w:rsid w:val="006221DC"/>
    <w:rsid w:val="006222DB"/>
    <w:rsid w:val="0062235E"/>
    <w:rsid w:val="0062251E"/>
    <w:rsid w:val="0062277F"/>
    <w:rsid w:val="00622911"/>
    <w:rsid w:val="006229C6"/>
    <w:rsid w:val="006229F1"/>
    <w:rsid w:val="00622A9E"/>
    <w:rsid w:val="00622D5C"/>
    <w:rsid w:val="00622D73"/>
    <w:rsid w:val="00622D76"/>
    <w:rsid w:val="00622E17"/>
    <w:rsid w:val="00622E92"/>
    <w:rsid w:val="00622F90"/>
    <w:rsid w:val="00623082"/>
    <w:rsid w:val="006230FB"/>
    <w:rsid w:val="0062317F"/>
    <w:rsid w:val="0062319D"/>
    <w:rsid w:val="0062325A"/>
    <w:rsid w:val="006233C9"/>
    <w:rsid w:val="00623724"/>
    <w:rsid w:val="0062380C"/>
    <w:rsid w:val="006239E8"/>
    <w:rsid w:val="00623B3B"/>
    <w:rsid w:val="00623B92"/>
    <w:rsid w:val="00623BCA"/>
    <w:rsid w:val="00623C56"/>
    <w:rsid w:val="00623D72"/>
    <w:rsid w:val="00623DEB"/>
    <w:rsid w:val="00623DF6"/>
    <w:rsid w:val="00623FB3"/>
    <w:rsid w:val="00624050"/>
    <w:rsid w:val="00624266"/>
    <w:rsid w:val="006244F9"/>
    <w:rsid w:val="00624544"/>
    <w:rsid w:val="0062455D"/>
    <w:rsid w:val="006245E5"/>
    <w:rsid w:val="0062462A"/>
    <w:rsid w:val="0062469D"/>
    <w:rsid w:val="00624865"/>
    <w:rsid w:val="00624B31"/>
    <w:rsid w:val="00624BC0"/>
    <w:rsid w:val="00624CB0"/>
    <w:rsid w:val="00624D5E"/>
    <w:rsid w:val="00624D95"/>
    <w:rsid w:val="00624E4E"/>
    <w:rsid w:val="00624EDF"/>
    <w:rsid w:val="00625046"/>
    <w:rsid w:val="0062506C"/>
    <w:rsid w:val="006252E6"/>
    <w:rsid w:val="006252FD"/>
    <w:rsid w:val="00625326"/>
    <w:rsid w:val="0062541B"/>
    <w:rsid w:val="0062543C"/>
    <w:rsid w:val="0062545D"/>
    <w:rsid w:val="0062548D"/>
    <w:rsid w:val="0062550D"/>
    <w:rsid w:val="00625574"/>
    <w:rsid w:val="0062584F"/>
    <w:rsid w:val="00625913"/>
    <w:rsid w:val="00625927"/>
    <w:rsid w:val="00625A8F"/>
    <w:rsid w:val="00625ABA"/>
    <w:rsid w:val="00625B3D"/>
    <w:rsid w:val="00625C24"/>
    <w:rsid w:val="00625C34"/>
    <w:rsid w:val="00625C79"/>
    <w:rsid w:val="00625CBD"/>
    <w:rsid w:val="00625CF2"/>
    <w:rsid w:val="00625E17"/>
    <w:rsid w:val="00625F0A"/>
    <w:rsid w:val="00625F6D"/>
    <w:rsid w:val="00625F86"/>
    <w:rsid w:val="006260D3"/>
    <w:rsid w:val="00626144"/>
    <w:rsid w:val="006261B7"/>
    <w:rsid w:val="00626290"/>
    <w:rsid w:val="00626544"/>
    <w:rsid w:val="006268C9"/>
    <w:rsid w:val="006268CC"/>
    <w:rsid w:val="0062691A"/>
    <w:rsid w:val="00626AF8"/>
    <w:rsid w:val="00626B5A"/>
    <w:rsid w:val="00626B69"/>
    <w:rsid w:val="00626BD2"/>
    <w:rsid w:val="00626C13"/>
    <w:rsid w:val="00626C1C"/>
    <w:rsid w:val="00626CBF"/>
    <w:rsid w:val="00626F36"/>
    <w:rsid w:val="00626F69"/>
    <w:rsid w:val="00627010"/>
    <w:rsid w:val="00627044"/>
    <w:rsid w:val="00627114"/>
    <w:rsid w:val="0062721E"/>
    <w:rsid w:val="0062729D"/>
    <w:rsid w:val="006272A8"/>
    <w:rsid w:val="0062730C"/>
    <w:rsid w:val="0062733A"/>
    <w:rsid w:val="0062736B"/>
    <w:rsid w:val="00627408"/>
    <w:rsid w:val="006275F6"/>
    <w:rsid w:val="006277A2"/>
    <w:rsid w:val="006277AD"/>
    <w:rsid w:val="00627926"/>
    <w:rsid w:val="0062792B"/>
    <w:rsid w:val="0062796F"/>
    <w:rsid w:val="006279A2"/>
    <w:rsid w:val="00627B1E"/>
    <w:rsid w:val="00627B9D"/>
    <w:rsid w:val="00627C31"/>
    <w:rsid w:val="00627D70"/>
    <w:rsid w:val="00627EC4"/>
    <w:rsid w:val="00627F1A"/>
    <w:rsid w:val="00627FBA"/>
    <w:rsid w:val="00630071"/>
    <w:rsid w:val="0063013B"/>
    <w:rsid w:val="0063046A"/>
    <w:rsid w:val="006305CF"/>
    <w:rsid w:val="00630664"/>
    <w:rsid w:val="0063075E"/>
    <w:rsid w:val="00630946"/>
    <w:rsid w:val="00630A03"/>
    <w:rsid w:val="00630B1C"/>
    <w:rsid w:val="00630CF7"/>
    <w:rsid w:val="00630E27"/>
    <w:rsid w:val="00630FA5"/>
    <w:rsid w:val="00631071"/>
    <w:rsid w:val="006311BF"/>
    <w:rsid w:val="00631291"/>
    <w:rsid w:val="006312BD"/>
    <w:rsid w:val="00631459"/>
    <w:rsid w:val="00631473"/>
    <w:rsid w:val="00631578"/>
    <w:rsid w:val="00631683"/>
    <w:rsid w:val="006316E5"/>
    <w:rsid w:val="006316F5"/>
    <w:rsid w:val="0063198C"/>
    <w:rsid w:val="006319CF"/>
    <w:rsid w:val="00631CF2"/>
    <w:rsid w:val="00631D32"/>
    <w:rsid w:val="00631F2D"/>
    <w:rsid w:val="006321E1"/>
    <w:rsid w:val="006322C1"/>
    <w:rsid w:val="006324AB"/>
    <w:rsid w:val="0063259E"/>
    <w:rsid w:val="00632617"/>
    <w:rsid w:val="00632689"/>
    <w:rsid w:val="0063273C"/>
    <w:rsid w:val="006327B8"/>
    <w:rsid w:val="00632800"/>
    <w:rsid w:val="0063287F"/>
    <w:rsid w:val="006328B4"/>
    <w:rsid w:val="00632935"/>
    <w:rsid w:val="00632A1F"/>
    <w:rsid w:val="00632A67"/>
    <w:rsid w:val="00632BE2"/>
    <w:rsid w:val="00632D49"/>
    <w:rsid w:val="00632DBB"/>
    <w:rsid w:val="00632EC7"/>
    <w:rsid w:val="00632F4E"/>
    <w:rsid w:val="00632F57"/>
    <w:rsid w:val="00632FA3"/>
    <w:rsid w:val="0063305E"/>
    <w:rsid w:val="006330D1"/>
    <w:rsid w:val="006331A5"/>
    <w:rsid w:val="006331C8"/>
    <w:rsid w:val="0063323E"/>
    <w:rsid w:val="00633248"/>
    <w:rsid w:val="006333ED"/>
    <w:rsid w:val="00633571"/>
    <w:rsid w:val="00633780"/>
    <w:rsid w:val="0063386E"/>
    <w:rsid w:val="00633876"/>
    <w:rsid w:val="006338D8"/>
    <w:rsid w:val="006339B5"/>
    <w:rsid w:val="00633AB0"/>
    <w:rsid w:val="00633B03"/>
    <w:rsid w:val="00633C50"/>
    <w:rsid w:val="00633C91"/>
    <w:rsid w:val="00633DFB"/>
    <w:rsid w:val="00633E50"/>
    <w:rsid w:val="00633E83"/>
    <w:rsid w:val="00633F95"/>
    <w:rsid w:val="00633FA6"/>
    <w:rsid w:val="00634071"/>
    <w:rsid w:val="006340F0"/>
    <w:rsid w:val="00634153"/>
    <w:rsid w:val="00634159"/>
    <w:rsid w:val="006342CF"/>
    <w:rsid w:val="0063439D"/>
    <w:rsid w:val="00634409"/>
    <w:rsid w:val="00634411"/>
    <w:rsid w:val="00634744"/>
    <w:rsid w:val="00634757"/>
    <w:rsid w:val="00634910"/>
    <w:rsid w:val="00634926"/>
    <w:rsid w:val="00634A11"/>
    <w:rsid w:val="00634A19"/>
    <w:rsid w:val="00634B35"/>
    <w:rsid w:val="00634C50"/>
    <w:rsid w:val="00634CE2"/>
    <w:rsid w:val="00634ED0"/>
    <w:rsid w:val="00634F3D"/>
    <w:rsid w:val="00635023"/>
    <w:rsid w:val="0063503A"/>
    <w:rsid w:val="006350E5"/>
    <w:rsid w:val="006350F1"/>
    <w:rsid w:val="006351E5"/>
    <w:rsid w:val="006351ED"/>
    <w:rsid w:val="00635242"/>
    <w:rsid w:val="006352D3"/>
    <w:rsid w:val="006353F6"/>
    <w:rsid w:val="006353F8"/>
    <w:rsid w:val="006356D3"/>
    <w:rsid w:val="0063578F"/>
    <w:rsid w:val="006357D6"/>
    <w:rsid w:val="00635808"/>
    <w:rsid w:val="00635823"/>
    <w:rsid w:val="006359AF"/>
    <w:rsid w:val="006359E8"/>
    <w:rsid w:val="006359F8"/>
    <w:rsid w:val="00635A15"/>
    <w:rsid w:val="00635A52"/>
    <w:rsid w:val="00635A9E"/>
    <w:rsid w:val="00635AD0"/>
    <w:rsid w:val="00635CAB"/>
    <w:rsid w:val="00635E49"/>
    <w:rsid w:val="00635F32"/>
    <w:rsid w:val="00635FE3"/>
    <w:rsid w:val="00636022"/>
    <w:rsid w:val="006360D2"/>
    <w:rsid w:val="0063625C"/>
    <w:rsid w:val="00636266"/>
    <w:rsid w:val="00636278"/>
    <w:rsid w:val="006362B2"/>
    <w:rsid w:val="006362D1"/>
    <w:rsid w:val="00636362"/>
    <w:rsid w:val="006363A8"/>
    <w:rsid w:val="00636401"/>
    <w:rsid w:val="00636450"/>
    <w:rsid w:val="00636452"/>
    <w:rsid w:val="00636463"/>
    <w:rsid w:val="006365DA"/>
    <w:rsid w:val="00636623"/>
    <w:rsid w:val="0063666C"/>
    <w:rsid w:val="00636781"/>
    <w:rsid w:val="0063679B"/>
    <w:rsid w:val="006367B6"/>
    <w:rsid w:val="006367BE"/>
    <w:rsid w:val="0063680C"/>
    <w:rsid w:val="006368C3"/>
    <w:rsid w:val="006368D6"/>
    <w:rsid w:val="006368DF"/>
    <w:rsid w:val="0063691F"/>
    <w:rsid w:val="00636AFE"/>
    <w:rsid w:val="00636CD8"/>
    <w:rsid w:val="00636DB5"/>
    <w:rsid w:val="00636E58"/>
    <w:rsid w:val="00636EE4"/>
    <w:rsid w:val="00636FC4"/>
    <w:rsid w:val="006370CA"/>
    <w:rsid w:val="006372CA"/>
    <w:rsid w:val="006372FB"/>
    <w:rsid w:val="006372FC"/>
    <w:rsid w:val="0063733E"/>
    <w:rsid w:val="006373B1"/>
    <w:rsid w:val="006373F7"/>
    <w:rsid w:val="006375A3"/>
    <w:rsid w:val="0063788F"/>
    <w:rsid w:val="006378E7"/>
    <w:rsid w:val="00637948"/>
    <w:rsid w:val="0063799E"/>
    <w:rsid w:val="00637C01"/>
    <w:rsid w:val="00637C33"/>
    <w:rsid w:val="00637D79"/>
    <w:rsid w:val="00637D8E"/>
    <w:rsid w:val="00637DA1"/>
    <w:rsid w:val="00637DED"/>
    <w:rsid w:val="00637DFA"/>
    <w:rsid w:val="00637E27"/>
    <w:rsid w:val="00637E8A"/>
    <w:rsid w:val="00640034"/>
    <w:rsid w:val="00640065"/>
    <w:rsid w:val="006401BF"/>
    <w:rsid w:val="0064034C"/>
    <w:rsid w:val="0064034E"/>
    <w:rsid w:val="00640377"/>
    <w:rsid w:val="006403D0"/>
    <w:rsid w:val="0064047C"/>
    <w:rsid w:val="006406A8"/>
    <w:rsid w:val="0064089E"/>
    <w:rsid w:val="00640960"/>
    <w:rsid w:val="0064098F"/>
    <w:rsid w:val="006409E1"/>
    <w:rsid w:val="00640A70"/>
    <w:rsid w:val="00640BC4"/>
    <w:rsid w:val="00640BC9"/>
    <w:rsid w:val="00640C4C"/>
    <w:rsid w:val="00640C68"/>
    <w:rsid w:val="00640D5C"/>
    <w:rsid w:val="00640D71"/>
    <w:rsid w:val="00640EF7"/>
    <w:rsid w:val="00640F4E"/>
    <w:rsid w:val="006410FA"/>
    <w:rsid w:val="00641182"/>
    <w:rsid w:val="0064129A"/>
    <w:rsid w:val="006413C1"/>
    <w:rsid w:val="006414F1"/>
    <w:rsid w:val="006416B8"/>
    <w:rsid w:val="006416C2"/>
    <w:rsid w:val="0064172D"/>
    <w:rsid w:val="006417FE"/>
    <w:rsid w:val="00641941"/>
    <w:rsid w:val="0064199E"/>
    <w:rsid w:val="00641A74"/>
    <w:rsid w:val="00641C1C"/>
    <w:rsid w:val="00641D85"/>
    <w:rsid w:val="00641D93"/>
    <w:rsid w:val="00641E41"/>
    <w:rsid w:val="00641E74"/>
    <w:rsid w:val="00641F4A"/>
    <w:rsid w:val="00641FA4"/>
    <w:rsid w:val="00642033"/>
    <w:rsid w:val="00642046"/>
    <w:rsid w:val="00642158"/>
    <w:rsid w:val="00642187"/>
    <w:rsid w:val="00642198"/>
    <w:rsid w:val="0064224E"/>
    <w:rsid w:val="0064226D"/>
    <w:rsid w:val="00642392"/>
    <w:rsid w:val="006423F5"/>
    <w:rsid w:val="00642497"/>
    <w:rsid w:val="006424CA"/>
    <w:rsid w:val="00642B6E"/>
    <w:rsid w:val="00642CDD"/>
    <w:rsid w:val="00642DB9"/>
    <w:rsid w:val="00642E53"/>
    <w:rsid w:val="00642E68"/>
    <w:rsid w:val="00642E9F"/>
    <w:rsid w:val="00642F08"/>
    <w:rsid w:val="0064317B"/>
    <w:rsid w:val="006431D4"/>
    <w:rsid w:val="00643260"/>
    <w:rsid w:val="00643362"/>
    <w:rsid w:val="006433A0"/>
    <w:rsid w:val="00643440"/>
    <w:rsid w:val="00643528"/>
    <w:rsid w:val="006436CE"/>
    <w:rsid w:val="00643784"/>
    <w:rsid w:val="006437FD"/>
    <w:rsid w:val="00643901"/>
    <w:rsid w:val="006439FC"/>
    <w:rsid w:val="00643AB7"/>
    <w:rsid w:val="00643ABF"/>
    <w:rsid w:val="00643AC3"/>
    <w:rsid w:val="00643AC7"/>
    <w:rsid w:val="00643AD0"/>
    <w:rsid w:val="00643B05"/>
    <w:rsid w:val="00643BF2"/>
    <w:rsid w:val="00643E7B"/>
    <w:rsid w:val="00643E9B"/>
    <w:rsid w:val="00643F2A"/>
    <w:rsid w:val="00643F58"/>
    <w:rsid w:val="0064406C"/>
    <w:rsid w:val="006441BD"/>
    <w:rsid w:val="00644289"/>
    <w:rsid w:val="00644308"/>
    <w:rsid w:val="0064436F"/>
    <w:rsid w:val="0064438B"/>
    <w:rsid w:val="006443A7"/>
    <w:rsid w:val="006443BA"/>
    <w:rsid w:val="00644517"/>
    <w:rsid w:val="00644663"/>
    <w:rsid w:val="0064477A"/>
    <w:rsid w:val="00644805"/>
    <w:rsid w:val="00644A2C"/>
    <w:rsid w:val="00644ABF"/>
    <w:rsid w:val="00644B38"/>
    <w:rsid w:val="00644BAF"/>
    <w:rsid w:val="00644BCB"/>
    <w:rsid w:val="00644BFD"/>
    <w:rsid w:val="00644C41"/>
    <w:rsid w:val="00644CE9"/>
    <w:rsid w:val="00644D4A"/>
    <w:rsid w:val="00644E4E"/>
    <w:rsid w:val="00644E58"/>
    <w:rsid w:val="00645041"/>
    <w:rsid w:val="00645147"/>
    <w:rsid w:val="0064519C"/>
    <w:rsid w:val="00645337"/>
    <w:rsid w:val="0064539F"/>
    <w:rsid w:val="0064543F"/>
    <w:rsid w:val="0064552C"/>
    <w:rsid w:val="00645636"/>
    <w:rsid w:val="00645668"/>
    <w:rsid w:val="006456CA"/>
    <w:rsid w:val="00645747"/>
    <w:rsid w:val="006457CA"/>
    <w:rsid w:val="00645922"/>
    <w:rsid w:val="006459C7"/>
    <w:rsid w:val="00645A21"/>
    <w:rsid w:val="00645AA9"/>
    <w:rsid w:val="00645ACD"/>
    <w:rsid w:val="00645CA0"/>
    <w:rsid w:val="00645D1D"/>
    <w:rsid w:val="00645D23"/>
    <w:rsid w:val="00645E6A"/>
    <w:rsid w:val="0064609A"/>
    <w:rsid w:val="006460A3"/>
    <w:rsid w:val="006460C6"/>
    <w:rsid w:val="006461C5"/>
    <w:rsid w:val="006461E5"/>
    <w:rsid w:val="006461E9"/>
    <w:rsid w:val="00646348"/>
    <w:rsid w:val="006464FB"/>
    <w:rsid w:val="00646585"/>
    <w:rsid w:val="00646593"/>
    <w:rsid w:val="00646759"/>
    <w:rsid w:val="00646839"/>
    <w:rsid w:val="00646842"/>
    <w:rsid w:val="006468DF"/>
    <w:rsid w:val="00646BC6"/>
    <w:rsid w:val="00646CB2"/>
    <w:rsid w:val="00646CCF"/>
    <w:rsid w:val="00646F4F"/>
    <w:rsid w:val="006470A1"/>
    <w:rsid w:val="00647247"/>
    <w:rsid w:val="006472BD"/>
    <w:rsid w:val="006473FB"/>
    <w:rsid w:val="0064740F"/>
    <w:rsid w:val="006474CF"/>
    <w:rsid w:val="0064754D"/>
    <w:rsid w:val="00647885"/>
    <w:rsid w:val="00647932"/>
    <w:rsid w:val="0064793E"/>
    <w:rsid w:val="00647ACE"/>
    <w:rsid w:val="00647AEA"/>
    <w:rsid w:val="00647B01"/>
    <w:rsid w:val="00647BBC"/>
    <w:rsid w:val="00647C70"/>
    <w:rsid w:val="00647C73"/>
    <w:rsid w:val="00647D21"/>
    <w:rsid w:val="00647D60"/>
    <w:rsid w:val="00647EDA"/>
    <w:rsid w:val="00647EEC"/>
    <w:rsid w:val="00647F13"/>
    <w:rsid w:val="00647FF5"/>
    <w:rsid w:val="006501BC"/>
    <w:rsid w:val="006502CE"/>
    <w:rsid w:val="00650301"/>
    <w:rsid w:val="00650354"/>
    <w:rsid w:val="00650422"/>
    <w:rsid w:val="0065042C"/>
    <w:rsid w:val="00650444"/>
    <w:rsid w:val="006504D2"/>
    <w:rsid w:val="00650647"/>
    <w:rsid w:val="006506C7"/>
    <w:rsid w:val="006506D0"/>
    <w:rsid w:val="00650774"/>
    <w:rsid w:val="00650A6E"/>
    <w:rsid w:val="00650ADF"/>
    <w:rsid w:val="00650B7E"/>
    <w:rsid w:val="00650CFC"/>
    <w:rsid w:val="00650DF4"/>
    <w:rsid w:val="00651042"/>
    <w:rsid w:val="00651063"/>
    <w:rsid w:val="00651129"/>
    <w:rsid w:val="006512DD"/>
    <w:rsid w:val="0065136A"/>
    <w:rsid w:val="006514A6"/>
    <w:rsid w:val="00651502"/>
    <w:rsid w:val="006516F6"/>
    <w:rsid w:val="006516F7"/>
    <w:rsid w:val="0065181B"/>
    <w:rsid w:val="0065194D"/>
    <w:rsid w:val="00651B51"/>
    <w:rsid w:val="00651D1B"/>
    <w:rsid w:val="00651DCE"/>
    <w:rsid w:val="00651E4E"/>
    <w:rsid w:val="00652020"/>
    <w:rsid w:val="00652214"/>
    <w:rsid w:val="00652234"/>
    <w:rsid w:val="0065274A"/>
    <w:rsid w:val="0065279D"/>
    <w:rsid w:val="006527CA"/>
    <w:rsid w:val="00652905"/>
    <w:rsid w:val="00652C0C"/>
    <w:rsid w:val="00652CC7"/>
    <w:rsid w:val="00652DC4"/>
    <w:rsid w:val="00652ED3"/>
    <w:rsid w:val="00652FD0"/>
    <w:rsid w:val="00653161"/>
    <w:rsid w:val="00653191"/>
    <w:rsid w:val="006532C7"/>
    <w:rsid w:val="006533CE"/>
    <w:rsid w:val="00653497"/>
    <w:rsid w:val="0065349D"/>
    <w:rsid w:val="00653553"/>
    <w:rsid w:val="0065356C"/>
    <w:rsid w:val="00653623"/>
    <w:rsid w:val="00653662"/>
    <w:rsid w:val="00653838"/>
    <w:rsid w:val="0065383E"/>
    <w:rsid w:val="00653876"/>
    <w:rsid w:val="00653887"/>
    <w:rsid w:val="006538A2"/>
    <w:rsid w:val="00653914"/>
    <w:rsid w:val="00653AE0"/>
    <w:rsid w:val="00653B55"/>
    <w:rsid w:val="00653D96"/>
    <w:rsid w:val="00653DEA"/>
    <w:rsid w:val="00653DF6"/>
    <w:rsid w:val="00653DFD"/>
    <w:rsid w:val="00653E24"/>
    <w:rsid w:val="00653E6B"/>
    <w:rsid w:val="00654102"/>
    <w:rsid w:val="006541C6"/>
    <w:rsid w:val="0065423F"/>
    <w:rsid w:val="00654363"/>
    <w:rsid w:val="006543B0"/>
    <w:rsid w:val="0065440D"/>
    <w:rsid w:val="006544EA"/>
    <w:rsid w:val="006546B5"/>
    <w:rsid w:val="0065470F"/>
    <w:rsid w:val="0065476E"/>
    <w:rsid w:val="00654A91"/>
    <w:rsid w:val="00654AB8"/>
    <w:rsid w:val="00654B0C"/>
    <w:rsid w:val="00654BE0"/>
    <w:rsid w:val="00654C7B"/>
    <w:rsid w:val="00654E94"/>
    <w:rsid w:val="00655010"/>
    <w:rsid w:val="006550C7"/>
    <w:rsid w:val="006552E0"/>
    <w:rsid w:val="00655373"/>
    <w:rsid w:val="00655388"/>
    <w:rsid w:val="006554BC"/>
    <w:rsid w:val="00655535"/>
    <w:rsid w:val="006555BD"/>
    <w:rsid w:val="0065595F"/>
    <w:rsid w:val="00655A4F"/>
    <w:rsid w:val="00655F29"/>
    <w:rsid w:val="00655FCA"/>
    <w:rsid w:val="00656005"/>
    <w:rsid w:val="0065605A"/>
    <w:rsid w:val="00656280"/>
    <w:rsid w:val="006563EA"/>
    <w:rsid w:val="00656412"/>
    <w:rsid w:val="0065645A"/>
    <w:rsid w:val="006564FC"/>
    <w:rsid w:val="00656512"/>
    <w:rsid w:val="00656517"/>
    <w:rsid w:val="0065653B"/>
    <w:rsid w:val="006565F0"/>
    <w:rsid w:val="00656698"/>
    <w:rsid w:val="00656795"/>
    <w:rsid w:val="006567B4"/>
    <w:rsid w:val="0065686C"/>
    <w:rsid w:val="006568BF"/>
    <w:rsid w:val="0065691D"/>
    <w:rsid w:val="00656932"/>
    <w:rsid w:val="00656944"/>
    <w:rsid w:val="006569C0"/>
    <w:rsid w:val="006569C1"/>
    <w:rsid w:val="00656A1E"/>
    <w:rsid w:val="00656B87"/>
    <w:rsid w:val="00656B98"/>
    <w:rsid w:val="00656C0E"/>
    <w:rsid w:val="00656C2E"/>
    <w:rsid w:val="00656C30"/>
    <w:rsid w:val="00656D71"/>
    <w:rsid w:val="00656EA7"/>
    <w:rsid w:val="00656F0C"/>
    <w:rsid w:val="00656F63"/>
    <w:rsid w:val="00656F8B"/>
    <w:rsid w:val="00657092"/>
    <w:rsid w:val="0065712F"/>
    <w:rsid w:val="00657169"/>
    <w:rsid w:val="006571A8"/>
    <w:rsid w:val="006572DA"/>
    <w:rsid w:val="00657417"/>
    <w:rsid w:val="006575D4"/>
    <w:rsid w:val="0065762D"/>
    <w:rsid w:val="00657685"/>
    <w:rsid w:val="00657717"/>
    <w:rsid w:val="00657724"/>
    <w:rsid w:val="006577CE"/>
    <w:rsid w:val="00657817"/>
    <w:rsid w:val="006579AC"/>
    <w:rsid w:val="006579E4"/>
    <w:rsid w:val="00657A79"/>
    <w:rsid w:val="00657BFC"/>
    <w:rsid w:val="00657C70"/>
    <w:rsid w:val="00657E73"/>
    <w:rsid w:val="00657EE5"/>
    <w:rsid w:val="00660155"/>
    <w:rsid w:val="006601C2"/>
    <w:rsid w:val="0066031F"/>
    <w:rsid w:val="00660478"/>
    <w:rsid w:val="0066065C"/>
    <w:rsid w:val="00660783"/>
    <w:rsid w:val="00660809"/>
    <w:rsid w:val="00660840"/>
    <w:rsid w:val="00660943"/>
    <w:rsid w:val="00660A56"/>
    <w:rsid w:val="00660BA7"/>
    <w:rsid w:val="00660C01"/>
    <w:rsid w:val="00660E66"/>
    <w:rsid w:val="00660F57"/>
    <w:rsid w:val="00661260"/>
    <w:rsid w:val="006612F2"/>
    <w:rsid w:val="00661323"/>
    <w:rsid w:val="00661330"/>
    <w:rsid w:val="0066141A"/>
    <w:rsid w:val="006615B6"/>
    <w:rsid w:val="006615D2"/>
    <w:rsid w:val="006615F4"/>
    <w:rsid w:val="006615F8"/>
    <w:rsid w:val="00661683"/>
    <w:rsid w:val="0066176A"/>
    <w:rsid w:val="006618D2"/>
    <w:rsid w:val="0066195B"/>
    <w:rsid w:val="00661961"/>
    <w:rsid w:val="00661A72"/>
    <w:rsid w:val="00661BAA"/>
    <w:rsid w:val="00661EA1"/>
    <w:rsid w:val="00662002"/>
    <w:rsid w:val="00662031"/>
    <w:rsid w:val="0066226D"/>
    <w:rsid w:val="0066240E"/>
    <w:rsid w:val="006624DA"/>
    <w:rsid w:val="006625FC"/>
    <w:rsid w:val="00662736"/>
    <w:rsid w:val="00662783"/>
    <w:rsid w:val="0066279E"/>
    <w:rsid w:val="00662872"/>
    <w:rsid w:val="00662B25"/>
    <w:rsid w:val="00662D6E"/>
    <w:rsid w:val="00662EDC"/>
    <w:rsid w:val="00662F07"/>
    <w:rsid w:val="00663098"/>
    <w:rsid w:val="006630FE"/>
    <w:rsid w:val="0066310A"/>
    <w:rsid w:val="00663200"/>
    <w:rsid w:val="006632A4"/>
    <w:rsid w:val="00663483"/>
    <w:rsid w:val="006634DF"/>
    <w:rsid w:val="006635C3"/>
    <w:rsid w:val="00663C6D"/>
    <w:rsid w:val="00663EA1"/>
    <w:rsid w:val="00663F07"/>
    <w:rsid w:val="00663F3F"/>
    <w:rsid w:val="006640BF"/>
    <w:rsid w:val="006641D2"/>
    <w:rsid w:val="00664495"/>
    <w:rsid w:val="00664726"/>
    <w:rsid w:val="00664837"/>
    <w:rsid w:val="006648AD"/>
    <w:rsid w:val="00664A1F"/>
    <w:rsid w:val="00664AF0"/>
    <w:rsid w:val="00664BE7"/>
    <w:rsid w:val="00664BE9"/>
    <w:rsid w:val="00664C80"/>
    <w:rsid w:val="00664CC4"/>
    <w:rsid w:val="00664CD6"/>
    <w:rsid w:val="00664EBC"/>
    <w:rsid w:val="0066504D"/>
    <w:rsid w:val="006651CC"/>
    <w:rsid w:val="00665486"/>
    <w:rsid w:val="0066563C"/>
    <w:rsid w:val="00665696"/>
    <w:rsid w:val="006656E3"/>
    <w:rsid w:val="0066572F"/>
    <w:rsid w:val="0066576F"/>
    <w:rsid w:val="00665793"/>
    <w:rsid w:val="006657A1"/>
    <w:rsid w:val="006657AD"/>
    <w:rsid w:val="006659C1"/>
    <w:rsid w:val="00665AB1"/>
    <w:rsid w:val="00665AFA"/>
    <w:rsid w:val="00666144"/>
    <w:rsid w:val="0066619D"/>
    <w:rsid w:val="0066658E"/>
    <w:rsid w:val="00666B5C"/>
    <w:rsid w:val="00666E32"/>
    <w:rsid w:val="00666EF7"/>
    <w:rsid w:val="0066706B"/>
    <w:rsid w:val="00667347"/>
    <w:rsid w:val="00667453"/>
    <w:rsid w:val="0066748D"/>
    <w:rsid w:val="00667522"/>
    <w:rsid w:val="00667535"/>
    <w:rsid w:val="006675B4"/>
    <w:rsid w:val="006675B6"/>
    <w:rsid w:val="006676D3"/>
    <w:rsid w:val="0066772C"/>
    <w:rsid w:val="0066772D"/>
    <w:rsid w:val="00667745"/>
    <w:rsid w:val="00667A48"/>
    <w:rsid w:val="00667AE2"/>
    <w:rsid w:val="00667AF3"/>
    <w:rsid w:val="00667BC3"/>
    <w:rsid w:val="00667BDD"/>
    <w:rsid w:val="00667FDC"/>
    <w:rsid w:val="0067036E"/>
    <w:rsid w:val="00670407"/>
    <w:rsid w:val="00670425"/>
    <w:rsid w:val="0067053E"/>
    <w:rsid w:val="0067061E"/>
    <w:rsid w:val="006706CC"/>
    <w:rsid w:val="006707FA"/>
    <w:rsid w:val="00670883"/>
    <w:rsid w:val="00670898"/>
    <w:rsid w:val="00670A97"/>
    <w:rsid w:val="00670D8C"/>
    <w:rsid w:val="00670E97"/>
    <w:rsid w:val="006710CB"/>
    <w:rsid w:val="0067126D"/>
    <w:rsid w:val="0067144C"/>
    <w:rsid w:val="0067151B"/>
    <w:rsid w:val="0067164C"/>
    <w:rsid w:val="006718E5"/>
    <w:rsid w:val="0067192A"/>
    <w:rsid w:val="00671A09"/>
    <w:rsid w:val="00671A39"/>
    <w:rsid w:val="00671A75"/>
    <w:rsid w:val="00671AA4"/>
    <w:rsid w:val="00671B6A"/>
    <w:rsid w:val="00671CAD"/>
    <w:rsid w:val="00671D95"/>
    <w:rsid w:val="00671D98"/>
    <w:rsid w:val="00671E12"/>
    <w:rsid w:val="00672062"/>
    <w:rsid w:val="0067216E"/>
    <w:rsid w:val="00672184"/>
    <w:rsid w:val="006722CB"/>
    <w:rsid w:val="006723B6"/>
    <w:rsid w:val="00672433"/>
    <w:rsid w:val="006725DC"/>
    <w:rsid w:val="006725FE"/>
    <w:rsid w:val="006726AB"/>
    <w:rsid w:val="0067277D"/>
    <w:rsid w:val="006727DA"/>
    <w:rsid w:val="00672804"/>
    <w:rsid w:val="006728C6"/>
    <w:rsid w:val="00672ACD"/>
    <w:rsid w:val="00672E35"/>
    <w:rsid w:val="00672ED6"/>
    <w:rsid w:val="00673047"/>
    <w:rsid w:val="00673071"/>
    <w:rsid w:val="0067309A"/>
    <w:rsid w:val="00673135"/>
    <w:rsid w:val="006731CF"/>
    <w:rsid w:val="006731E0"/>
    <w:rsid w:val="00673208"/>
    <w:rsid w:val="0067322D"/>
    <w:rsid w:val="00673264"/>
    <w:rsid w:val="00673289"/>
    <w:rsid w:val="006733D5"/>
    <w:rsid w:val="0067351A"/>
    <w:rsid w:val="0067384D"/>
    <w:rsid w:val="006739F6"/>
    <w:rsid w:val="00673A45"/>
    <w:rsid w:val="00673AAF"/>
    <w:rsid w:val="00673AF3"/>
    <w:rsid w:val="00673B1E"/>
    <w:rsid w:val="00673B43"/>
    <w:rsid w:val="00673B5F"/>
    <w:rsid w:val="00673B9A"/>
    <w:rsid w:val="00673C6F"/>
    <w:rsid w:val="00673CD2"/>
    <w:rsid w:val="00673DF5"/>
    <w:rsid w:val="00673E8B"/>
    <w:rsid w:val="00674057"/>
    <w:rsid w:val="006741AF"/>
    <w:rsid w:val="00674527"/>
    <w:rsid w:val="006745D3"/>
    <w:rsid w:val="006745F6"/>
    <w:rsid w:val="00674620"/>
    <w:rsid w:val="00674677"/>
    <w:rsid w:val="00674717"/>
    <w:rsid w:val="006747F9"/>
    <w:rsid w:val="0067486B"/>
    <w:rsid w:val="00674970"/>
    <w:rsid w:val="00674A5C"/>
    <w:rsid w:val="00674EB2"/>
    <w:rsid w:val="0067501E"/>
    <w:rsid w:val="0067511C"/>
    <w:rsid w:val="00675139"/>
    <w:rsid w:val="006752C2"/>
    <w:rsid w:val="006752D8"/>
    <w:rsid w:val="006752E8"/>
    <w:rsid w:val="0067530B"/>
    <w:rsid w:val="00675427"/>
    <w:rsid w:val="0067547C"/>
    <w:rsid w:val="00675631"/>
    <w:rsid w:val="0067566A"/>
    <w:rsid w:val="00675708"/>
    <w:rsid w:val="0067591B"/>
    <w:rsid w:val="006759BA"/>
    <w:rsid w:val="006759CA"/>
    <w:rsid w:val="00675A7E"/>
    <w:rsid w:val="00675B25"/>
    <w:rsid w:val="00675BF1"/>
    <w:rsid w:val="00675CD9"/>
    <w:rsid w:val="00675D3A"/>
    <w:rsid w:val="00675E15"/>
    <w:rsid w:val="00675FAD"/>
    <w:rsid w:val="0067626C"/>
    <w:rsid w:val="006763EE"/>
    <w:rsid w:val="00676547"/>
    <w:rsid w:val="006765ED"/>
    <w:rsid w:val="006765FB"/>
    <w:rsid w:val="006766AD"/>
    <w:rsid w:val="006766E9"/>
    <w:rsid w:val="006768A6"/>
    <w:rsid w:val="00676925"/>
    <w:rsid w:val="00676B82"/>
    <w:rsid w:val="00676C09"/>
    <w:rsid w:val="00676D27"/>
    <w:rsid w:val="00676ED8"/>
    <w:rsid w:val="00676F19"/>
    <w:rsid w:val="00676F21"/>
    <w:rsid w:val="00677025"/>
    <w:rsid w:val="006772AD"/>
    <w:rsid w:val="0067731A"/>
    <w:rsid w:val="00677358"/>
    <w:rsid w:val="006774E4"/>
    <w:rsid w:val="00677530"/>
    <w:rsid w:val="00677573"/>
    <w:rsid w:val="006776F4"/>
    <w:rsid w:val="0067772C"/>
    <w:rsid w:val="006778F3"/>
    <w:rsid w:val="00677981"/>
    <w:rsid w:val="00677ADB"/>
    <w:rsid w:val="00677B0C"/>
    <w:rsid w:val="00677F39"/>
    <w:rsid w:val="00677FA2"/>
    <w:rsid w:val="006800AA"/>
    <w:rsid w:val="00680174"/>
    <w:rsid w:val="00680233"/>
    <w:rsid w:val="00680399"/>
    <w:rsid w:val="006804E9"/>
    <w:rsid w:val="00680893"/>
    <w:rsid w:val="00680895"/>
    <w:rsid w:val="00680948"/>
    <w:rsid w:val="00680B13"/>
    <w:rsid w:val="00680B54"/>
    <w:rsid w:val="00680E5F"/>
    <w:rsid w:val="00680E64"/>
    <w:rsid w:val="00680E73"/>
    <w:rsid w:val="0068120E"/>
    <w:rsid w:val="006812D5"/>
    <w:rsid w:val="0068136C"/>
    <w:rsid w:val="0068138D"/>
    <w:rsid w:val="0068143D"/>
    <w:rsid w:val="00681503"/>
    <w:rsid w:val="00681568"/>
    <w:rsid w:val="00681604"/>
    <w:rsid w:val="00681701"/>
    <w:rsid w:val="00681727"/>
    <w:rsid w:val="006817AE"/>
    <w:rsid w:val="006818D0"/>
    <w:rsid w:val="006818FD"/>
    <w:rsid w:val="0068191F"/>
    <w:rsid w:val="00681AAE"/>
    <w:rsid w:val="00681B04"/>
    <w:rsid w:val="00681E33"/>
    <w:rsid w:val="00681E76"/>
    <w:rsid w:val="00681E9B"/>
    <w:rsid w:val="00682043"/>
    <w:rsid w:val="0068207E"/>
    <w:rsid w:val="006820F3"/>
    <w:rsid w:val="00682125"/>
    <w:rsid w:val="006822CA"/>
    <w:rsid w:val="00682313"/>
    <w:rsid w:val="00682358"/>
    <w:rsid w:val="006825DE"/>
    <w:rsid w:val="00682719"/>
    <w:rsid w:val="0068281B"/>
    <w:rsid w:val="00682A5C"/>
    <w:rsid w:val="00683072"/>
    <w:rsid w:val="00683083"/>
    <w:rsid w:val="0068309A"/>
    <w:rsid w:val="0068318B"/>
    <w:rsid w:val="0068325A"/>
    <w:rsid w:val="00683283"/>
    <w:rsid w:val="006832FF"/>
    <w:rsid w:val="006833A7"/>
    <w:rsid w:val="00683533"/>
    <w:rsid w:val="006835D3"/>
    <w:rsid w:val="006836A7"/>
    <w:rsid w:val="006837D1"/>
    <w:rsid w:val="00683861"/>
    <w:rsid w:val="00683878"/>
    <w:rsid w:val="006838F9"/>
    <w:rsid w:val="0068398A"/>
    <w:rsid w:val="00683CDD"/>
    <w:rsid w:val="00683D31"/>
    <w:rsid w:val="00683D69"/>
    <w:rsid w:val="00683F16"/>
    <w:rsid w:val="00683FD6"/>
    <w:rsid w:val="0068400F"/>
    <w:rsid w:val="0068422B"/>
    <w:rsid w:val="006844B4"/>
    <w:rsid w:val="006844E8"/>
    <w:rsid w:val="00684507"/>
    <w:rsid w:val="0068463B"/>
    <w:rsid w:val="006846F0"/>
    <w:rsid w:val="0068478E"/>
    <w:rsid w:val="0068482A"/>
    <w:rsid w:val="006848F4"/>
    <w:rsid w:val="006849B4"/>
    <w:rsid w:val="00684AC5"/>
    <w:rsid w:val="00684ADD"/>
    <w:rsid w:val="00684BE3"/>
    <w:rsid w:val="00684CBA"/>
    <w:rsid w:val="00684D4E"/>
    <w:rsid w:val="00684F1B"/>
    <w:rsid w:val="00684FAE"/>
    <w:rsid w:val="00685036"/>
    <w:rsid w:val="00685065"/>
    <w:rsid w:val="00685120"/>
    <w:rsid w:val="00685138"/>
    <w:rsid w:val="0068528E"/>
    <w:rsid w:val="00685338"/>
    <w:rsid w:val="00685363"/>
    <w:rsid w:val="006853DA"/>
    <w:rsid w:val="0068543A"/>
    <w:rsid w:val="00685618"/>
    <w:rsid w:val="00685630"/>
    <w:rsid w:val="0068566E"/>
    <w:rsid w:val="00685761"/>
    <w:rsid w:val="0068585C"/>
    <w:rsid w:val="006858BC"/>
    <w:rsid w:val="00685987"/>
    <w:rsid w:val="006859A4"/>
    <w:rsid w:val="00685A28"/>
    <w:rsid w:val="00685BD1"/>
    <w:rsid w:val="00685D02"/>
    <w:rsid w:val="00685D7F"/>
    <w:rsid w:val="00685D93"/>
    <w:rsid w:val="00685D9C"/>
    <w:rsid w:val="00685FDC"/>
    <w:rsid w:val="00686198"/>
    <w:rsid w:val="0068622E"/>
    <w:rsid w:val="006862F2"/>
    <w:rsid w:val="0068639D"/>
    <w:rsid w:val="00686572"/>
    <w:rsid w:val="006867AF"/>
    <w:rsid w:val="00686816"/>
    <w:rsid w:val="00686A24"/>
    <w:rsid w:val="00686A3C"/>
    <w:rsid w:val="00686AC8"/>
    <w:rsid w:val="00686BF6"/>
    <w:rsid w:val="00686CB3"/>
    <w:rsid w:val="00686DE5"/>
    <w:rsid w:val="00686F2E"/>
    <w:rsid w:val="00687075"/>
    <w:rsid w:val="006870F7"/>
    <w:rsid w:val="0068717F"/>
    <w:rsid w:val="006871A5"/>
    <w:rsid w:val="00687277"/>
    <w:rsid w:val="00687374"/>
    <w:rsid w:val="0068749A"/>
    <w:rsid w:val="00687516"/>
    <w:rsid w:val="0068752C"/>
    <w:rsid w:val="00687886"/>
    <w:rsid w:val="00687952"/>
    <w:rsid w:val="00687988"/>
    <w:rsid w:val="00687A53"/>
    <w:rsid w:val="00687B13"/>
    <w:rsid w:val="00687B74"/>
    <w:rsid w:val="00687BA2"/>
    <w:rsid w:val="00687C48"/>
    <w:rsid w:val="00687F3D"/>
    <w:rsid w:val="00687F81"/>
    <w:rsid w:val="006903D5"/>
    <w:rsid w:val="00690953"/>
    <w:rsid w:val="00690962"/>
    <w:rsid w:val="00690AFD"/>
    <w:rsid w:val="00690C47"/>
    <w:rsid w:val="00690D53"/>
    <w:rsid w:val="00690D63"/>
    <w:rsid w:val="00690DC7"/>
    <w:rsid w:val="00690E39"/>
    <w:rsid w:val="006910A7"/>
    <w:rsid w:val="0069110E"/>
    <w:rsid w:val="0069118F"/>
    <w:rsid w:val="006911EF"/>
    <w:rsid w:val="006911F0"/>
    <w:rsid w:val="006911FD"/>
    <w:rsid w:val="0069139D"/>
    <w:rsid w:val="0069147B"/>
    <w:rsid w:val="00691487"/>
    <w:rsid w:val="006917AF"/>
    <w:rsid w:val="00691A36"/>
    <w:rsid w:val="00691A9E"/>
    <w:rsid w:val="00691AAC"/>
    <w:rsid w:val="00691AF6"/>
    <w:rsid w:val="00691C6D"/>
    <w:rsid w:val="00691D7C"/>
    <w:rsid w:val="0069220C"/>
    <w:rsid w:val="006922C5"/>
    <w:rsid w:val="0069251A"/>
    <w:rsid w:val="0069253F"/>
    <w:rsid w:val="0069256A"/>
    <w:rsid w:val="006925B2"/>
    <w:rsid w:val="006926A8"/>
    <w:rsid w:val="00692815"/>
    <w:rsid w:val="006928AF"/>
    <w:rsid w:val="006928D4"/>
    <w:rsid w:val="00692931"/>
    <w:rsid w:val="00692B82"/>
    <w:rsid w:val="00692C7B"/>
    <w:rsid w:val="00692CE2"/>
    <w:rsid w:val="00692E1B"/>
    <w:rsid w:val="006931D8"/>
    <w:rsid w:val="0069333A"/>
    <w:rsid w:val="00693481"/>
    <w:rsid w:val="0069359B"/>
    <w:rsid w:val="0069369B"/>
    <w:rsid w:val="00693795"/>
    <w:rsid w:val="00693836"/>
    <w:rsid w:val="00693843"/>
    <w:rsid w:val="00693A3C"/>
    <w:rsid w:val="00693A8C"/>
    <w:rsid w:val="00693AD8"/>
    <w:rsid w:val="00693AF6"/>
    <w:rsid w:val="00693C57"/>
    <w:rsid w:val="00693D66"/>
    <w:rsid w:val="00693E59"/>
    <w:rsid w:val="00693EEF"/>
    <w:rsid w:val="00693F17"/>
    <w:rsid w:val="006940CD"/>
    <w:rsid w:val="0069410E"/>
    <w:rsid w:val="0069424A"/>
    <w:rsid w:val="00694310"/>
    <w:rsid w:val="00694487"/>
    <w:rsid w:val="006944F9"/>
    <w:rsid w:val="006946E2"/>
    <w:rsid w:val="006946F0"/>
    <w:rsid w:val="0069480C"/>
    <w:rsid w:val="00694885"/>
    <w:rsid w:val="00694934"/>
    <w:rsid w:val="00694A58"/>
    <w:rsid w:val="00694E67"/>
    <w:rsid w:val="00694F60"/>
    <w:rsid w:val="006951E3"/>
    <w:rsid w:val="00695255"/>
    <w:rsid w:val="00695284"/>
    <w:rsid w:val="006952F0"/>
    <w:rsid w:val="006952F4"/>
    <w:rsid w:val="00695403"/>
    <w:rsid w:val="00695471"/>
    <w:rsid w:val="00695496"/>
    <w:rsid w:val="006957FA"/>
    <w:rsid w:val="006957FF"/>
    <w:rsid w:val="00695873"/>
    <w:rsid w:val="006958DB"/>
    <w:rsid w:val="00695AF5"/>
    <w:rsid w:val="00695BB3"/>
    <w:rsid w:val="00695C05"/>
    <w:rsid w:val="00696012"/>
    <w:rsid w:val="00696022"/>
    <w:rsid w:val="00696087"/>
    <w:rsid w:val="00696093"/>
    <w:rsid w:val="006960A1"/>
    <w:rsid w:val="00696258"/>
    <w:rsid w:val="006962C0"/>
    <w:rsid w:val="00696417"/>
    <w:rsid w:val="0069645F"/>
    <w:rsid w:val="00696606"/>
    <w:rsid w:val="006966B9"/>
    <w:rsid w:val="006966D3"/>
    <w:rsid w:val="006966E8"/>
    <w:rsid w:val="0069693C"/>
    <w:rsid w:val="00696AB1"/>
    <w:rsid w:val="00696C9D"/>
    <w:rsid w:val="00696D13"/>
    <w:rsid w:val="00696D6F"/>
    <w:rsid w:val="00696FE2"/>
    <w:rsid w:val="006970A6"/>
    <w:rsid w:val="00697190"/>
    <w:rsid w:val="006972A4"/>
    <w:rsid w:val="006972CF"/>
    <w:rsid w:val="00697379"/>
    <w:rsid w:val="0069737E"/>
    <w:rsid w:val="00697397"/>
    <w:rsid w:val="006973B5"/>
    <w:rsid w:val="0069750F"/>
    <w:rsid w:val="006975AF"/>
    <w:rsid w:val="0069783C"/>
    <w:rsid w:val="0069795F"/>
    <w:rsid w:val="00697A7C"/>
    <w:rsid w:val="00697FE2"/>
    <w:rsid w:val="006A01A7"/>
    <w:rsid w:val="006A01F1"/>
    <w:rsid w:val="006A01FC"/>
    <w:rsid w:val="006A040E"/>
    <w:rsid w:val="006A047C"/>
    <w:rsid w:val="006A0586"/>
    <w:rsid w:val="006A05C0"/>
    <w:rsid w:val="006A05E1"/>
    <w:rsid w:val="006A05EA"/>
    <w:rsid w:val="006A0667"/>
    <w:rsid w:val="006A0884"/>
    <w:rsid w:val="006A09CA"/>
    <w:rsid w:val="006A0A33"/>
    <w:rsid w:val="006A0C77"/>
    <w:rsid w:val="006A0D35"/>
    <w:rsid w:val="006A0DBC"/>
    <w:rsid w:val="006A0E4C"/>
    <w:rsid w:val="006A0E90"/>
    <w:rsid w:val="006A0F07"/>
    <w:rsid w:val="006A0F6E"/>
    <w:rsid w:val="006A0FC2"/>
    <w:rsid w:val="006A15F2"/>
    <w:rsid w:val="006A162C"/>
    <w:rsid w:val="006A178D"/>
    <w:rsid w:val="006A1A17"/>
    <w:rsid w:val="006A1A81"/>
    <w:rsid w:val="006A1C96"/>
    <w:rsid w:val="006A1EAA"/>
    <w:rsid w:val="006A1F25"/>
    <w:rsid w:val="006A2008"/>
    <w:rsid w:val="006A23BC"/>
    <w:rsid w:val="006A26B5"/>
    <w:rsid w:val="006A2746"/>
    <w:rsid w:val="006A278C"/>
    <w:rsid w:val="006A2AB9"/>
    <w:rsid w:val="006A2ABE"/>
    <w:rsid w:val="006A2BCF"/>
    <w:rsid w:val="006A2C23"/>
    <w:rsid w:val="006A2C80"/>
    <w:rsid w:val="006A2C8D"/>
    <w:rsid w:val="006A2C99"/>
    <w:rsid w:val="006A2D18"/>
    <w:rsid w:val="006A2F11"/>
    <w:rsid w:val="006A307F"/>
    <w:rsid w:val="006A3098"/>
    <w:rsid w:val="006A31CC"/>
    <w:rsid w:val="006A328A"/>
    <w:rsid w:val="006A333E"/>
    <w:rsid w:val="006A335B"/>
    <w:rsid w:val="006A34B7"/>
    <w:rsid w:val="006A36DC"/>
    <w:rsid w:val="006A370A"/>
    <w:rsid w:val="006A374A"/>
    <w:rsid w:val="006A38D5"/>
    <w:rsid w:val="006A3A23"/>
    <w:rsid w:val="006A3A74"/>
    <w:rsid w:val="006A3AE4"/>
    <w:rsid w:val="006A3E4F"/>
    <w:rsid w:val="006A4139"/>
    <w:rsid w:val="006A4150"/>
    <w:rsid w:val="006A4314"/>
    <w:rsid w:val="006A4377"/>
    <w:rsid w:val="006A4398"/>
    <w:rsid w:val="006A4409"/>
    <w:rsid w:val="006A445A"/>
    <w:rsid w:val="006A446A"/>
    <w:rsid w:val="006A4536"/>
    <w:rsid w:val="006A4582"/>
    <w:rsid w:val="006A4610"/>
    <w:rsid w:val="006A463B"/>
    <w:rsid w:val="006A4669"/>
    <w:rsid w:val="006A4677"/>
    <w:rsid w:val="006A478F"/>
    <w:rsid w:val="006A47AC"/>
    <w:rsid w:val="006A47C9"/>
    <w:rsid w:val="006A47F5"/>
    <w:rsid w:val="006A49EA"/>
    <w:rsid w:val="006A4B20"/>
    <w:rsid w:val="006A4C00"/>
    <w:rsid w:val="006A4D6E"/>
    <w:rsid w:val="006A4D8C"/>
    <w:rsid w:val="006A4D90"/>
    <w:rsid w:val="006A4DB9"/>
    <w:rsid w:val="006A4DF9"/>
    <w:rsid w:val="006A4ED1"/>
    <w:rsid w:val="006A4FA0"/>
    <w:rsid w:val="006A5010"/>
    <w:rsid w:val="006A5134"/>
    <w:rsid w:val="006A5231"/>
    <w:rsid w:val="006A523A"/>
    <w:rsid w:val="006A5594"/>
    <w:rsid w:val="006A559F"/>
    <w:rsid w:val="006A5713"/>
    <w:rsid w:val="006A5856"/>
    <w:rsid w:val="006A5946"/>
    <w:rsid w:val="006A59A5"/>
    <w:rsid w:val="006A5A01"/>
    <w:rsid w:val="006A5B5B"/>
    <w:rsid w:val="006A5C45"/>
    <w:rsid w:val="006A5C6E"/>
    <w:rsid w:val="006A5DB0"/>
    <w:rsid w:val="006A5FCC"/>
    <w:rsid w:val="006A602F"/>
    <w:rsid w:val="006A6031"/>
    <w:rsid w:val="006A60E3"/>
    <w:rsid w:val="006A6108"/>
    <w:rsid w:val="006A61DC"/>
    <w:rsid w:val="006A6220"/>
    <w:rsid w:val="006A6257"/>
    <w:rsid w:val="006A62A8"/>
    <w:rsid w:val="006A62C2"/>
    <w:rsid w:val="006A6363"/>
    <w:rsid w:val="006A6487"/>
    <w:rsid w:val="006A648E"/>
    <w:rsid w:val="006A64C7"/>
    <w:rsid w:val="006A64F9"/>
    <w:rsid w:val="006A6505"/>
    <w:rsid w:val="006A650A"/>
    <w:rsid w:val="006A6643"/>
    <w:rsid w:val="006A6662"/>
    <w:rsid w:val="006A66BC"/>
    <w:rsid w:val="006A67E7"/>
    <w:rsid w:val="006A6881"/>
    <w:rsid w:val="006A6C64"/>
    <w:rsid w:val="006A6D03"/>
    <w:rsid w:val="006A6D61"/>
    <w:rsid w:val="006A6E9B"/>
    <w:rsid w:val="006A6EAD"/>
    <w:rsid w:val="006A70DE"/>
    <w:rsid w:val="006A7166"/>
    <w:rsid w:val="006A72BE"/>
    <w:rsid w:val="006A73C1"/>
    <w:rsid w:val="006A7403"/>
    <w:rsid w:val="006A74EA"/>
    <w:rsid w:val="006A758E"/>
    <w:rsid w:val="006A771A"/>
    <w:rsid w:val="006A77ED"/>
    <w:rsid w:val="006A789A"/>
    <w:rsid w:val="006A78A0"/>
    <w:rsid w:val="006A79B2"/>
    <w:rsid w:val="006A79E3"/>
    <w:rsid w:val="006A7CD0"/>
    <w:rsid w:val="006A7EC6"/>
    <w:rsid w:val="006B00D2"/>
    <w:rsid w:val="006B013F"/>
    <w:rsid w:val="006B020F"/>
    <w:rsid w:val="006B022D"/>
    <w:rsid w:val="006B04BC"/>
    <w:rsid w:val="006B05D8"/>
    <w:rsid w:val="006B0677"/>
    <w:rsid w:val="006B068B"/>
    <w:rsid w:val="006B0814"/>
    <w:rsid w:val="006B08A1"/>
    <w:rsid w:val="006B0B2B"/>
    <w:rsid w:val="006B0BF1"/>
    <w:rsid w:val="006B0D2A"/>
    <w:rsid w:val="006B0D9B"/>
    <w:rsid w:val="006B0E3F"/>
    <w:rsid w:val="006B0E43"/>
    <w:rsid w:val="006B0E68"/>
    <w:rsid w:val="006B0F71"/>
    <w:rsid w:val="006B0FDD"/>
    <w:rsid w:val="006B0FFB"/>
    <w:rsid w:val="006B1195"/>
    <w:rsid w:val="006B1399"/>
    <w:rsid w:val="006B14F0"/>
    <w:rsid w:val="006B14F6"/>
    <w:rsid w:val="006B1522"/>
    <w:rsid w:val="006B1536"/>
    <w:rsid w:val="006B1910"/>
    <w:rsid w:val="006B19DF"/>
    <w:rsid w:val="006B19FA"/>
    <w:rsid w:val="006B1A04"/>
    <w:rsid w:val="006B1A45"/>
    <w:rsid w:val="006B1A48"/>
    <w:rsid w:val="006B1A5C"/>
    <w:rsid w:val="006B1B7E"/>
    <w:rsid w:val="006B1C7E"/>
    <w:rsid w:val="006B1CF1"/>
    <w:rsid w:val="006B1E5A"/>
    <w:rsid w:val="006B1EBE"/>
    <w:rsid w:val="006B2192"/>
    <w:rsid w:val="006B21C0"/>
    <w:rsid w:val="006B22AF"/>
    <w:rsid w:val="006B23B4"/>
    <w:rsid w:val="006B23C1"/>
    <w:rsid w:val="006B243D"/>
    <w:rsid w:val="006B2479"/>
    <w:rsid w:val="006B257A"/>
    <w:rsid w:val="006B25A2"/>
    <w:rsid w:val="006B2678"/>
    <w:rsid w:val="006B28B6"/>
    <w:rsid w:val="006B2A2D"/>
    <w:rsid w:val="006B2A8B"/>
    <w:rsid w:val="006B2C90"/>
    <w:rsid w:val="006B2D7E"/>
    <w:rsid w:val="006B3074"/>
    <w:rsid w:val="006B3429"/>
    <w:rsid w:val="006B3449"/>
    <w:rsid w:val="006B348F"/>
    <w:rsid w:val="006B3551"/>
    <w:rsid w:val="006B3621"/>
    <w:rsid w:val="006B36B7"/>
    <w:rsid w:val="006B3731"/>
    <w:rsid w:val="006B3855"/>
    <w:rsid w:val="006B389F"/>
    <w:rsid w:val="006B390D"/>
    <w:rsid w:val="006B39DB"/>
    <w:rsid w:val="006B3AA3"/>
    <w:rsid w:val="006B3B65"/>
    <w:rsid w:val="006B3BAB"/>
    <w:rsid w:val="006B3C5A"/>
    <w:rsid w:val="006B3C67"/>
    <w:rsid w:val="006B3DF1"/>
    <w:rsid w:val="006B3E87"/>
    <w:rsid w:val="006B4034"/>
    <w:rsid w:val="006B4157"/>
    <w:rsid w:val="006B4377"/>
    <w:rsid w:val="006B46D6"/>
    <w:rsid w:val="006B47D6"/>
    <w:rsid w:val="006B4862"/>
    <w:rsid w:val="006B4A30"/>
    <w:rsid w:val="006B4A57"/>
    <w:rsid w:val="006B4A74"/>
    <w:rsid w:val="006B4A9A"/>
    <w:rsid w:val="006B4AED"/>
    <w:rsid w:val="006B4B5A"/>
    <w:rsid w:val="006B4D36"/>
    <w:rsid w:val="006B503C"/>
    <w:rsid w:val="006B5094"/>
    <w:rsid w:val="006B50AD"/>
    <w:rsid w:val="006B510F"/>
    <w:rsid w:val="006B51CD"/>
    <w:rsid w:val="006B5530"/>
    <w:rsid w:val="006B5882"/>
    <w:rsid w:val="006B591B"/>
    <w:rsid w:val="006B5A32"/>
    <w:rsid w:val="006B5A98"/>
    <w:rsid w:val="006B5BF5"/>
    <w:rsid w:val="006B5C7C"/>
    <w:rsid w:val="006B5CE8"/>
    <w:rsid w:val="006B5CF5"/>
    <w:rsid w:val="006B5DED"/>
    <w:rsid w:val="006B5FF1"/>
    <w:rsid w:val="006B64C1"/>
    <w:rsid w:val="006B652C"/>
    <w:rsid w:val="006B674A"/>
    <w:rsid w:val="006B6861"/>
    <w:rsid w:val="006B6AF0"/>
    <w:rsid w:val="006B6B35"/>
    <w:rsid w:val="006B6BA9"/>
    <w:rsid w:val="006B6C15"/>
    <w:rsid w:val="006B6D3A"/>
    <w:rsid w:val="006B6D58"/>
    <w:rsid w:val="006B6E36"/>
    <w:rsid w:val="006B7079"/>
    <w:rsid w:val="006B7130"/>
    <w:rsid w:val="006B74E9"/>
    <w:rsid w:val="006B75E0"/>
    <w:rsid w:val="006B774B"/>
    <w:rsid w:val="006B7770"/>
    <w:rsid w:val="006B77FC"/>
    <w:rsid w:val="006B7937"/>
    <w:rsid w:val="006B799C"/>
    <w:rsid w:val="006B7A35"/>
    <w:rsid w:val="006B7CC5"/>
    <w:rsid w:val="006B7CEF"/>
    <w:rsid w:val="006B7E3D"/>
    <w:rsid w:val="006BE8E0"/>
    <w:rsid w:val="006C0025"/>
    <w:rsid w:val="006C0138"/>
    <w:rsid w:val="006C01F8"/>
    <w:rsid w:val="006C0283"/>
    <w:rsid w:val="006C03A8"/>
    <w:rsid w:val="006C044D"/>
    <w:rsid w:val="006C0494"/>
    <w:rsid w:val="006C04B4"/>
    <w:rsid w:val="006C0531"/>
    <w:rsid w:val="006C054B"/>
    <w:rsid w:val="006C056E"/>
    <w:rsid w:val="006C05A9"/>
    <w:rsid w:val="006C0652"/>
    <w:rsid w:val="006C0666"/>
    <w:rsid w:val="006C06E2"/>
    <w:rsid w:val="006C0745"/>
    <w:rsid w:val="006C08B9"/>
    <w:rsid w:val="006C097C"/>
    <w:rsid w:val="006C0A46"/>
    <w:rsid w:val="006C0B6A"/>
    <w:rsid w:val="006C0C0A"/>
    <w:rsid w:val="006C0CFF"/>
    <w:rsid w:val="006C0DC3"/>
    <w:rsid w:val="006C0ED8"/>
    <w:rsid w:val="006C0F81"/>
    <w:rsid w:val="006C1040"/>
    <w:rsid w:val="006C111F"/>
    <w:rsid w:val="006C129F"/>
    <w:rsid w:val="006C13FB"/>
    <w:rsid w:val="006C1517"/>
    <w:rsid w:val="006C1614"/>
    <w:rsid w:val="006C1627"/>
    <w:rsid w:val="006C1770"/>
    <w:rsid w:val="006C1801"/>
    <w:rsid w:val="006C1969"/>
    <w:rsid w:val="006C19DD"/>
    <w:rsid w:val="006C1AC3"/>
    <w:rsid w:val="006C1D8C"/>
    <w:rsid w:val="006C1DD3"/>
    <w:rsid w:val="006C1E0F"/>
    <w:rsid w:val="006C1E8B"/>
    <w:rsid w:val="006C1E93"/>
    <w:rsid w:val="006C1EC4"/>
    <w:rsid w:val="006C1EE5"/>
    <w:rsid w:val="006C1EF0"/>
    <w:rsid w:val="006C2087"/>
    <w:rsid w:val="006C21EF"/>
    <w:rsid w:val="006C22BE"/>
    <w:rsid w:val="006C23EC"/>
    <w:rsid w:val="006C2471"/>
    <w:rsid w:val="006C2518"/>
    <w:rsid w:val="006C2539"/>
    <w:rsid w:val="006C26BE"/>
    <w:rsid w:val="006C292D"/>
    <w:rsid w:val="006C2A57"/>
    <w:rsid w:val="006C2CB0"/>
    <w:rsid w:val="006C2DE8"/>
    <w:rsid w:val="006C3262"/>
    <w:rsid w:val="006C327B"/>
    <w:rsid w:val="006C3282"/>
    <w:rsid w:val="006C32AC"/>
    <w:rsid w:val="006C3358"/>
    <w:rsid w:val="006C3382"/>
    <w:rsid w:val="006C346C"/>
    <w:rsid w:val="006C35E0"/>
    <w:rsid w:val="006C35F1"/>
    <w:rsid w:val="006C36C8"/>
    <w:rsid w:val="006C36DA"/>
    <w:rsid w:val="006C3812"/>
    <w:rsid w:val="006C3885"/>
    <w:rsid w:val="006C3962"/>
    <w:rsid w:val="006C39E8"/>
    <w:rsid w:val="006C3C32"/>
    <w:rsid w:val="006C3C3B"/>
    <w:rsid w:val="006C3D25"/>
    <w:rsid w:val="006C3E16"/>
    <w:rsid w:val="006C3EC2"/>
    <w:rsid w:val="006C3FF3"/>
    <w:rsid w:val="006C407B"/>
    <w:rsid w:val="006C41C4"/>
    <w:rsid w:val="006C42BC"/>
    <w:rsid w:val="006C4341"/>
    <w:rsid w:val="006C4407"/>
    <w:rsid w:val="006C456D"/>
    <w:rsid w:val="006C4747"/>
    <w:rsid w:val="006C4801"/>
    <w:rsid w:val="006C4810"/>
    <w:rsid w:val="006C48BA"/>
    <w:rsid w:val="006C497E"/>
    <w:rsid w:val="006C498D"/>
    <w:rsid w:val="006C4A28"/>
    <w:rsid w:val="006C4B3B"/>
    <w:rsid w:val="006C4C94"/>
    <w:rsid w:val="006C4D73"/>
    <w:rsid w:val="006C4E7C"/>
    <w:rsid w:val="006C4F0C"/>
    <w:rsid w:val="006C5184"/>
    <w:rsid w:val="006C51AE"/>
    <w:rsid w:val="006C51FC"/>
    <w:rsid w:val="006C5233"/>
    <w:rsid w:val="006C5374"/>
    <w:rsid w:val="006C5586"/>
    <w:rsid w:val="006C565D"/>
    <w:rsid w:val="006C573B"/>
    <w:rsid w:val="006C57E0"/>
    <w:rsid w:val="006C5802"/>
    <w:rsid w:val="006C58FC"/>
    <w:rsid w:val="006C5934"/>
    <w:rsid w:val="006C59F8"/>
    <w:rsid w:val="006C5AE5"/>
    <w:rsid w:val="006C5BE2"/>
    <w:rsid w:val="006C5C7A"/>
    <w:rsid w:val="006C5C80"/>
    <w:rsid w:val="006C5D98"/>
    <w:rsid w:val="006C5E00"/>
    <w:rsid w:val="006C5EFD"/>
    <w:rsid w:val="006C65B2"/>
    <w:rsid w:val="006C66F1"/>
    <w:rsid w:val="006C6701"/>
    <w:rsid w:val="006C686C"/>
    <w:rsid w:val="006C6889"/>
    <w:rsid w:val="006C689C"/>
    <w:rsid w:val="006C6928"/>
    <w:rsid w:val="006C699E"/>
    <w:rsid w:val="006C6B8B"/>
    <w:rsid w:val="006C6DC2"/>
    <w:rsid w:val="006C6E14"/>
    <w:rsid w:val="006C6F46"/>
    <w:rsid w:val="006C6F89"/>
    <w:rsid w:val="006C7122"/>
    <w:rsid w:val="006C7146"/>
    <w:rsid w:val="006C72E6"/>
    <w:rsid w:val="006C730D"/>
    <w:rsid w:val="006C735C"/>
    <w:rsid w:val="006C73E7"/>
    <w:rsid w:val="006C7435"/>
    <w:rsid w:val="006C7516"/>
    <w:rsid w:val="006C75DB"/>
    <w:rsid w:val="006C75F3"/>
    <w:rsid w:val="006C76B4"/>
    <w:rsid w:val="006C7735"/>
    <w:rsid w:val="006C774C"/>
    <w:rsid w:val="006C783D"/>
    <w:rsid w:val="006C784F"/>
    <w:rsid w:val="006C7936"/>
    <w:rsid w:val="006C7941"/>
    <w:rsid w:val="006C79CA"/>
    <w:rsid w:val="006C7AC0"/>
    <w:rsid w:val="006C7BC8"/>
    <w:rsid w:val="006C7C39"/>
    <w:rsid w:val="006C7CE1"/>
    <w:rsid w:val="006C7E27"/>
    <w:rsid w:val="006C7E38"/>
    <w:rsid w:val="006C7E6A"/>
    <w:rsid w:val="006C7F16"/>
    <w:rsid w:val="006C7F98"/>
    <w:rsid w:val="006D014E"/>
    <w:rsid w:val="006D0230"/>
    <w:rsid w:val="006D0435"/>
    <w:rsid w:val="006D04C6"/>
    <w:rsid w:val="006D0521"/>
    <w:rsid w:val="006D0596"/>
    <w:rsid w:val="006D09F2"/>
    <w:rsid w:val="006D0A95"/>
    <w:rsid w:val="006D0BDE"/>
    <w:rsid w:val="006D0C73"/>
    <w:rsid w:val="006D0D7C"/>
    <w:rsid w:val="006D0F60"/>
    <w:rsid w:val="006D1088"/>
    <w:rsid w:val="006D10DB"/>
    <w:rsid w:val="006D1280"/>
    <w:rsid w:val="006D1309"/>
    <w:rsid w:val="006D1336"/>
    <w:rsid w:val="006D1499"/>
    <w:rsid w:val="006D14BE"/>
    <w:rsid w:val="006D14DD"/>
    <w:rsid w:val="006D1511"/>
    <w:rsid w:val="006D1724"/>
    <w:rsid w:val="006D174D"/>
    <w:rsid w:val="006D1913"/>
    <w:rsid w:val="006D1947"/>
    <w:rsid w:val="006D19C9"/>
    <w:rsid w:val="006D1AEA"/>
    <w:rsid w:val="006D1D50"/>
    <w:rsid w:val="006D1EBB"/>
    <w:rsid w:val="006D1F57"/>
    <w:rsid w:val="006D2011"/>
    <w:rsid w:val="006D2016"/>
    <w:rsid w:val="006D2083"/>
    <w:rsid w:val="006D21A7"/>
    <w:rsid w:val="006D21D4"/>
    <w:rsid w:val="006D21F0"/>
    <w:rsid w:val="006D2298"/>
    <w:rsid w:val="006D23C7"/>
    <w:rsid w:val="006D251D"/>
    <w:rsid w:val="006D25BC"/>
    <w:rsid w:val="006D263C"/>
    <w:rsid w:val="006D26D3"/>
    <w:rsid w:val="006D2797"/>
    <w:rsid w:val="006D283C"/>
    <w:rsid w:val="006D283D"/>
    <w:rsid w:val="006D284F"/>
    <w:rsid w:val="006D2905"/>
    <w:rsid w:val="006D290B"/>
    <w:rsid w:val="006D2913"/>
    <w:rsid w:val="006D29DB"/>
    <w:rsid w:val="006D29E6"/>
    <w:rsid w:val="006D2A61"/>
    <w:rsid w:val="006D2D15"/>
    <w:rsid w:val="006D2F07"/>
    <w:rsid w:val="006D3026"/>
    <w:rsid w:val="006D3130"/>
    <w:rsid w:val="006D331F"/>
    <w:rsid w:val="006D3332"/>
    <w:rsid w:val="006D33D9"/>
    <w:rsid w:val="006D346F"/>
    <w:rsid w:val="006D348D"/>
    <w:rsid w:val="006D3533"/>
    <w:rsid w:val="006D37E5"/>
    <w:rsid w:val="006D3B69"/>
    <w:rsid w:val="006D3C01"/>
    <w:rsid w:val="006D3C08"/>
    <w:rsid w:val="006D3C40"/>
    <w:rsid w:val="006D3C4E"/>
    <w:rsid w:val="006D3CDC"/>
    <w:rsid w:val="006D3D37"/>
    <w:rsid w:val="006D3DB1"/>
    <w:rsid w:val="006D3E5D"/>
    <w:rsid w:val="006D3E73"/>
    <w:rsid w:val="006D3EE9"/>
    <w:rsid w:val="006D3F5F"/>
    <w:rsid w:val="006D3FB5"/>
    <w:rsid w:val="006D4011"/>
    <w:rsid w:val="006D40E1"/>
    <w:rsid w:val="006D416F"/>
    <w:rsid w:val="006D427A"/>
    <w:rsid w:val="006D42EF"/>
    <w:rsid w:val="006D4654"/>
    <w:rsid w:val="006D4694"/>
    <w:rsid w:val="006D46A9"/>
    <w:rsid w:val="006D4876"/>
    <w:rsid w:val="006D4B67"/>
    <w:rsid w:val="006D4BE2"/>
    <w:rsid w:val="006D4CCA"/>
    <w:rsid w:val="006D4D91"/>
    <w:rsid w:val="006D4D95"/>
    <w:rsid w:val="006D4DDB"/>
    <w:rsid w:val="006D5013"/>
    <w:rsid w:val="006D508F"/>
    <w:rsid w:val="006D50C6"/>
    <w:rsid w:val="006D5120"/>
    <w:rsid w:val="006D5247"/>
    <w:rsid w:val="006D52F8"/>
    <w:rsid w:val="006D5310"/>
    <w:rsid w:val="006D533C"/>
    <w:rsid w:val="006D5484"/>
    <w:rsid w:val="006D54B1"/>
    <w:rsid w:val="006D553E"/>
    <w:rsid w:val="006D55CE"/>
    <w:rsid w:val="006D56B9"/>
    <w:rsid w:val="006D5819"/>
    <w:rsid w:val="006D58BA"/>
    <w:rsid w:val="006D5959"/>
    <w:rsid w:val="006D5A18"/>
    <w:rsid w:val="006D5AAF"/>
    <w:rsid w:val="006D5AD7"/>
    <w:rsid w:val="006D5B14"/>
    <w:rsid w:val="006D5C32"/>
    <w:rsid w:val="006D5D1C"/>
    <w:rsid w:val="006D5EB6"/>
    <w:rsid w:val="006D6264"/>
    <w:rsid w:val="006D626B"/>
    <w:rsid w:val="006D647D"/>
    <w:rsid w:val="006D6582"/>
    <w:rsid w:val="006D66CA"/>
    <w:rsid w:val="006D6AAA"/>
    <w:rsid w:val="006D6B73"/>
    <w:rsid w:val="006D6BEE"/>
    <w:rsid w:val="006D6C21"/>
    <w:rsid w:val="006D6D02"/>
    <w:rsid w:val="006D6D1C"/>
    <w:rsid w:val="006D6D99"/>
    <w:rsid w:val="006D6E8E"/>
    <w:rsid w:val="006D6EF7"/>
    <w:rsid w:val="006D6F9E"/>
    <w:rsid w:val="006D6FC6"/>
    <w:rsid w:val="006D7415"/>
    <w:rsid w:val="006D74F0"/>
    <w:rsid w:val="006D75E2"/>
    <w:rsid w:val="006D770F"/>
    <w:rsid w:val="006D789B"/>
    <w:rsid w:val="006D7A83"/>
    <w:rsid w:val="006D7AC8"/>
    <w:rsid w:val="006D7B36"/>
    <w:rsid w:val="006D7E6C"/>
    <w:rsid w:val="006D7F54"/>
    <w:rsid w:val="006D7FCE"/>
    <w:rsid w:val="006D9E69"/>
    <w:rsid w:val="006DDB90"/>
    <w:rsid w:val="006E0011"/>
    <w:rsid w:val="006E00E4"/>
    <w:rsid w:val="006E0171"/>
    <w:rsid w:val="006E02AA"/>
    <w:rsid w:val="006E031F"/>
    <w:rsid w:val="006E03FF"/>
    <w:rsid w:val="006E047B"/>
    <w:rsid w:val="006E04AF"/>
    <w:rsid w:val="006E04E7"/>
    <w:rsid w:val="006E0577"/>
    <w:rsid w:val="006E05C6"/>
    <w:rsid w:val="006E0735"/>
    <w:rsid w:val="006E0B90"/>
    <w:rsid w:val="006E0D46"/>
    <w:rsid w:val="006E0E31"/>
    <w:rsid w:val="006E0E36"/>
    <w:rsid w:val="006E1010"/>
    <w:rsid w:val="006E1017"/>
    <w:rsid w:val="006E1034"/>
    <w:rsid w:val="006E107C"/>
    <w:rsid w:val="006E1119"/>
    <w:rsid w:val="006E1170"/>
    <w:rsid w:val="006E11CF"/>
    <w:rsid w:val="006E12BC"/>
    <w:rsid w:val="006E13EA"/>
    <w:rsid w:val="006E14C4"/>
    <w:rsid w:val="006E14CD"/>
    <w:rsid w:val="006E160E"/>
    <w:rsid w:val="006E1716"/>
    <w:rsid w:val="006E175E"/>
    <w:rsid w:val="006E181E"/>
    <w:rsid w:val="006E1932"/>
    <w:rsid w:val="006E1988"/>
    <w:rsid w:val="006E19DE"/>
    <w:rsid w:val="006E1A63"/>
    <w:rsid w:val="006E1B55"/>
    <w:rsid w:val="006E1BC9"/>
    <w:rsid w:val="006E1C5B"/>
    <w:rsid w:val="006E1C5D"/>
    <w:rsid w:val="006E1CA4"/>
    <w:rsid w:val="006E1D19"/>
    <w:rsid w:val="006E1E23"/>
    <w:rsid w:val="006E1E40"/>
    <w:rsid w:val="006E1E76"/>
    <w:rsid w:val="006E1F81"/>
    <w:rsid w:val="006E1FFE"/>
    <w:rsid w:val="006E2270"/>
    <w:rsid w:val="006E23C6"/>
    <w:rsid w:val="006E2432"/>
    <w:rsid w:val="006E2445"/>
    <w:rsid w:val="006E2501"/>
    <w:rsid w:val="006E25F6"/>
    <w:rsid w:val="006E26A4"/>
    <w:rsid w:val="006E28B8"/>
    <w:rsid w:val="006E2904"/>
    <w:rsid w:val="006E297C"/>
    <w:rsid w:val="006E2A4D"/>
    <w:rsid w:val="006E2A66"/>
    <w:rsid w:val="006E2B59"/>
    <w:rsid w:val="006E2CB1"/>
    <w:rsid w:val="006E2E20"/>
    <w:rsid w:val="006E2EAB"/>
    <w:rsid w:val="006E310A"/>
    <w:rsid w:val="006E315D"/>
    <w:rsid w:val="006E3330"/>
    <w:rsid w:val="006E3467"/>
    <w:rsid w:val="006E35BF"/>
    <w:rsid w:val="006E37FB"/>
    <w:rsid w:val="006E38F3"/>
    <w:rsid w:val="006E3B52"/>
    <w:rsid w:val="006E3CC5"/>
    <w:rsid w:val="006E3D29"/>
    <w:rsid w:val="006E3DDC"/>
    <w:rsid w:val="006E3E3E"/>
    <w:rsid w:val="006E3F4C"/>
    <w:rsid w:val="006E416F"/>
    <w:rsid w:val="006E4196"/>
    <w:rsid w:val="006E441E"/>
    <w:rsid w:val="006E45FE"/>
    <w:rsid w:val="006E46DA"/>
    <w:rsid w:val="006E470A"/>
    <w:rsid w:val="006E4734"/>
    <w:rsid w:val="006E48D1"/>
    <w:rsid w:val="006E4A29"/>
    <w:rsid w:val="006E4C8C"/>
    <w:rsid w:val="006E4D1E"/>
    <w:rsid w:val="006E4F2F"/>
    <w:rsid w:val="006E4FD9"/>
    <w:rsid w:val="006E5088"/>
    <w:rsid w:val="006E50BA"/>
    <w:rsid w:val="006E5341"/>
    <w:rsid w:val="006E539F"/>
    <w:rsid w:val="006E53B4"/>
    <w:rsid w:val="006E53D7"/>
    <w:rsid w:val="006E567A"/>
    <w:rsid w:val="006E57D5"/>
    <w:rsid w:val="006E5809"/>
    <w:rsid w:val="006E58B6"/>
    <w:rsid w:val="006E59BC"/>
    <w:rsid w:val="006E5A2C"/>
    <w:rsid w:val="006E5C3D"/>
    <w:rsid w:val="006E5C76"/>
    <w:rsid w:val="006E5E8B"/>
    <w:rsid w:val="006E5EF0"/>
    <w:rsid w:val="006E5F43"/>
    <w:rsid w:val="006E5F4D"/>
    <w:rsid w:val="006E62A6"/>
    <w:rsid w:val="006E6306"/>
    <w:rsid w:val="006E6353"/>
    <w:rsid w:val="006E638C"/>
    <w:rsid w:val="006E638E"/>
    <w:rsid w:val="006E63FD"/>
    <w:rsid w:val="006E65C6"/>
    <w:rsid w:val="006E6637"/>
    <w:rsid w:val="006E6644"/>
    <w:rsid w:val="006E66BB"/>
    <w:rsid w:val="006E67BF"/>
    <w:rsid w:val="006E6928"/>
    <w:rsid w:val="006E6AF8"/>
    <w:rsid w:val="006E6C4C"/>
    <w:rsid w:val="006E6C9F"/>
    <w:rsid w:val="006E6E47"/>
    <w:rsid w:val="006E6E7A"/>
    <w:rsid w:val="006E6E97"/>
    <w:rsid w:val="006E6F73"/>
    <w:rsid w:val="006E705F"/>
    <w:rsid w:val="006E7095"/>
    <w:rsid w:val="006E7145"/>
    <w:rsid w:val="006E7209"/>
    <w:rsid w:val="006E727B"/>
    <w:rsid w:val="006E72AC"/>
    <w:rsid w:val="006E72B9"/>
    <w:rsid w:val="006E73E8"/>
    <w:rsid w:val="006E73EA"/>
    <w:rsid w:val="006E7547"/>
    <w:rsid w:val="006E7586"/>
    <w:rsid w:val="006E75D3"/>
    <w:rsid w:val="006E75EE"/>
    <w:rsid w:val="006E7771"/>
    <w:rsid w:val="006E7780"/>
    <w:rsid w:val="006E7782"/>
    <w:rsid w:val="006E77B1"/>
    <w:rsid w:val="006E791B"/>
    <w:rsid w:val="006E79BC"/>
    <w:rsid w:val="006E7A93"/>
    <w:rsid w:val="006E7BA3"/>
    <w:rsid w:val="006E7D3D"/>
    <w:rsid w:val="006E7D7E"/>
    <w:rsid w:val="006E7F6D"/>
    <w:rsid w:val="006E7F73"/>
    <w:rsid w:val="006F033F"/>
    <w:rsid w:val="006F0478"/>
    <w:rsid w:val="006F0631"/>
    <w:rsid w:val="006F078C"/>
    <w:rsid w:val="006F07DB"/>
    <w:rsid w:val="006F0A78"/>
    <w:rsid w:val="006F0B6F"/>
    <w:rsid w:val="006F0B8C"/>
    <w:rsid w:val="006F0D0D"/>
    <w:rsid w:val="006F0D2E"/>
    <w:rsid w:val="006F0ED3"/>
    <w:rsid w:val="006F0F72"/>
    <w:rsid w:val="006F0F85"/>
    <w:rsid w:val="006F10E2"/>
    <w:rsid w:val="006F10FF"/>
    <w:rsid w:val="006F13AA"/>
    <w:rsid w:val="006F13E3"/>
    <w:rsid w:val="006F157D"/>
    <w:rsid w:val="006F164D"/>
    <w:rsid w:val="006F16CD"/>
    <w:rsid w:val="006F17D3"/>
    <w:rsid w:val="006F181E"/>
    <w:rsid w:val="006F18D7"/>
    <w:rsid w:val="006F1BE9"/>
    <w:rsid w:val="006F1CDB"/>
    <w:rsid w:val="006F2208"/>
    <w:rsid w:val="006F2323"/>
    <w:rsid w:val="006F2437"/>
    <w:rsid w:val="006F25BC"/>
    <w:rsid w:val="006F2787"/>
    <w:rsid w:val="006F2BCF"/>
    <w:rsid w:val="006F2C5A"/>
    <w:rsid w:val="006F2C8B"/>
    <w:rsid w:val="006F2CCD"/>
    <w:rsid w:val="006F2DD4"/>
    <w:rsid w:val="006F2E45"/>
    <w:rsid w:val="006F2F89"/>
    <w:rsid w:val="006F306E"/>
    <w:rsid w:val="006F30B1"/>
    <w:rsid w:val="006F30DE"/>
    <w:rsid w:val="006F31DB"/>
    <w:rsid w:val="006F3269"/>
    <w:rsid w:val="006F33EA"/>
    <w:rsid w:val="006F341F"/>
    <w:rsid w:val="006F34E6"/>
    <w:rsid w:val="006F35F2"/>
    <w:rsid w:val="006F3670"/>
    <w:rsid w:val="006F36C8"/>
    <w:rsid w:val="006F37D8"/>
    <w:rsid w:val="006F3807"/>
    <w:rsid w:val="006F38AA"/>
    <w:rsid w:val="006F38B1"/>
    <w:rsid w:val="006F39BB"/>
    <w:rsid w:val="006F3BD0"/>
    <w:rsid w:val="006F3F0C"/>
    <w:rsid w:val="006F40E6"/>
    <w:rsid w:val="006F418B"/>
    <w:rsid w:val="006F42ED"/>
    <w:rsid w:val="006F4572"/>
    <w:rsid w:val="006F458E"/>
    <w:rsid w:val="006F48BF"/>
    <w:rsid w:val="006F4A69"/>
    <w:rsid w:val="006F4B83"/>
    <w:rsid w:val="006F4B84"/>
    <w:rsid w:val="006F4D9D"/>
    <w:rsid w:val="006F4EE1"/>
    <w:rsid w:val="006F4F06"/>
    <w:rsid w:val="006F4F49"/>
    <w:rsid w:val="006F4F61"/>
    <w:rsid w:val="006F4FAC"/>
    <w:rsid w:val="006F5185"/>
    <w:rsid w:val="006F51C2"/>
    <w:rsid w:val="006F5257"/>
    <w:rsid w:val="006F5297"/>
    <w:rsid w:val="006F5394"/>
    <w:rsid w:val="006F54AE"/>
    <w:rsid w:val="006F5580"/>
    <w:rsid w:val="006F55CD"/>
    <w:rsid w:val="006F5688"/>
    <w:rsid w:val="006F58F4"/>
    <w:rsid w:val="006F5B15"/>
    <w:rsid w:val="006F5B20"/>
    <w:rsid w:val="006F5BC2"/>
    <w:rsid w:val="006F5C3E"/>
    <w:rsid w:val="006F5D39"/>
    <w:rsid w:val="006F5FCF"/>
    <w:rsid w:val="006F6071"/>
    <w:rsid w:val="006F60A4"/>
    <w:rsid w:val="006F6140"/>
    <w:rsid w:val="006F619C"/>
    <w:rsid w:val="006F6350"/>
    <w:rsid w:val="006F63F7"/>
    <w:rsid w:val="006F6469"/>
    <w:rsid w:val="006F6499"/>
    <w:rsid w:val="006F66A0"/>
    <w:rsid w:val="006F674B"/>
    <w:rsid w:val="006F675E"/>
    <w:rsid w:val="006F6826"/>
    <w:rsid w:val="006F69E9"/>
    <w:rsid w:val="006F6B0D"/>
    <w:rsid w:val="006F6B54"/>
    <w:rsid w:val="006F6C6C"/>
    <w:rsid w:val="006F6CC3"/>
    <w:rsid w:val="006F6D31"/>
    <w:rsid w:val="006F6E09"/>
    <w:rsid w:val="006F6F8F"/>
    <w:rsid w:val="006F7031"/>
    <w:rsid w:val="006F7100"/>
    <w:rsid w:val="006F7148"/>
    <w:rsid w:val="006F7228"/>
    <w:rsid w:val="006F72BC"/>
    <w:rsid w:val="006F735E"/>
    <w:rsid w:val="006F73A1"/>
    <w:rsid w:val="006F74FA"/>
    <w:rsid w:val="006F7532"/>
    <w:rsid w:val="006F757F"/>
    <w:rsid w:val="006F7652"/>
    <w:rsid w:val="006F765D"/>
    <w:rsid w:val="006F77B8"/>
    <w:rsid w:val="006F77EE"/>
    <w:rsid w:val="006F7E87"/>
    <w:rsid w:val="006F7EA6"/>
    <w:rsid w:val="006F7EB0"/>
    <w:rsid w:val="006F7EE1"/>
    <w:rsid w:val="007002DE"/>
    <w:rsid w:val="00700328"/>
    <w:rsid w:val="007003CD"/>
    <w:rsid w:val="0070047B"/>
    <w:rsid w:val="00700787"/>
    <w:rsid w:val="0070079D"/>
    <w:rsid w:val="007007FB"/>
    <w:rsid w:val="00700809"/>
    <w:rsid w:val="00700909"/>
    <w:rsid w:val="00700BDD"/>
    <w:rsid w:val="00700DD5"/>
    <w:rsid w:val="00700FC0"/>
    <w:rsid w:val="0070101F"/>
    <w:rsid w:val="00701048"/>
    <w:rsid w:val="0070107B"/>
    <w:rsid w:val="00701175"/>
    <w:rsid w:val="007011B8"/>
    <w:rsid w:val="0070145A"/>
    <w:rsid w:val="007014DF"/>
    <w:rsid w:val="0070154D"/>
    <w:rsid w:val="0070160A"/>
    <w:rsid w:val="0070161C"/>
    <w:rsid w:val="007016B8"/>
    <w:rsid w:val="007016B9"/>
    <w:rsid w:val="007016C2"/>
    <w:rsid w:val="007016D0"/>
    <w:rsid w:val="0070177B"/>
    <w:rsid w:val="00701870"/>
    <w:rsid w:val="007018D6"/>
    <w:rsid w:val="00701A16"/>
    <w:rsid w:val="00701A70"/>
    <w:rsid w:val="00701B18"/>
    <w:rsid w:val="00701C09"/>
    <w:rsid w:val="00701CA4"/>
    <w:rsid w:val="00701F4F"/>
    <w:rsid w:val="00701FD8"/>
    <w:rsid w:val="00702036"/>
    <w:rsid w:val="007020BF"/>
    <w:rsid w:val="0070226D"/>
    <w:rsid w:val="007022C8"/>
    <w:rsid w:val="00702467"/>
    <w:rsid w:val="00702628"/>
    <w:rsid w:val="00702783"/>
    <w:rsid w:val="007027BA"/>
    <w:rsid w:val="00702810"/>
    <w:rsid w:val="00702CA7"/>
    <w:rsid w:val="00702E0B"/>
    <w:rsid w:val="00702EDE"/>
    <w:rsid w:val="007030DB"/>
    <w:rsid w:val="0070314F"/>
    <w:rsid w:val="0070319C"/>
    <w:rsid w:val="007031D3"/>
    <w:rsid w:val="00703397"/>
    <w:rsid w:val="007033D9"/>
    <w:rsid w:val="00703540"/>
    <w:rsid w:val="007036C5"/>
    <w:rsid w:val="00703787"/>
    <w:rsid w:val="00703B25"/>
    <w:rsid w:val="00703B30"/>
    <w:rsid w:val="00703BA6"/>
    <w:rsid w:val="00703C83"/>
    <w:rsid w:val="00703FD9"/>
    <w:rsid w:val="007041FF"/>
    <w:rsid w:val="0070420D"/>
    <w:rsid w:val="00704245"/>
    <w:rsid w:val="007043FF"/>
    <w:rsid w:val="00704415"/>
    <w:rsid w:val="0070449A"/>
    <w:rsid w:val="0070458F"/>
    <w:rsid w:val="007045E6"/>
    <w:rsid w:val="00704621"/>
    <w:rsid w:val="007046B2"/>
    <w:rsid w:val="0070478D"/>
    <w:rsid w:val="007047B8"/>
    <w:rsid w:val="00704804"/>
    <w:rsid w:val="007048BC"/>
    <w:rsid w:val="007049FF"/>
    <w:rsid w:val="00704A85"/>
    <w:rsid w:val="00704ED6"/>
    <w:rsid w:val="00704F77"/>
    <w:rsid w:val="00704F87"/>
    <w:rsid w:val="00704F96"/>
    <w:rsid w:val="00705095"/>
    <w:rsid w:val="007050ED"/>
    <w:rsid w:val="00705201"/>
    <w:rsid w:val="00705295"/>
    <w:rsid w:val="007052D7"/>
    <w:rsid w:val="0070534D"/>
    <w:rsid w:val="00705372"/>
    <w:rsid w:val="0070557A"/>
    <w:rsid w:val="0070577A"/>
    <w:rsid w:val="007057ED"/>
    <w:rsid w:val="00705ABC"/>
    <w:rsid w:val="00705C51"/>
    <w:rsid w:val="00705C53"/>
    <w:rsid w:val="00705EAF"/>
    <w:rsid w:val="00705EB7"/>
    <w:rsid w:val="00706027"/>
    <w:rsid w:val="00706045"/>
    <w:rsid w:val="007060DF"/>
    <w:rsid w:val="00706138"/>
    <w:rsid w:val="007061B6"/>
    <w:rsid w:val="0070629E"/>
    <w:rsid w:val="0070648A"/>
    <w:rsid w:val="007066A7"/>
    <w:rsid w:val="0070688B"/>
    <w:rsid w:val="0070693C"/>
    <w:rsid w:val="00706A70"/>
    <w:rsid w:val="00706AA7"/>
    <w:rsid w:val="00706B72"/>
    <w:rsid w:val="00706BE4"/>
    <w:rsid w:val="00706CDD"/>
    <w:rsid w:val="00706F01"/>
    <w:rsid w:val="00706F11"/>
    <w:rsid w:val="00706F25"/>
    <w:rsid w:val="007071AA"/>
    <w:rsid w:val="00707208"/>
    <w:rsid w:val="00707221"/>
    <w:rsid w:val="00707524"/>
    <w:rsid w:val="0070757A"/>
    <w:rsid w:val="0070760C"/>
    <w:rsid w:val="0070761A"/>
    <w:rsid w:val="00707655"/>
    <w:rsid w:val="007077AE"/>
    <w:rsid w:val="00707873"/>
    <w:rsid w:val="007078AB"/>
    <w:rsid w:val="007078C1"/>
    <w:rsid w:val="007079A1"/>
    <w:rsid w:val="00707A8F"/>
    <w:rsid w:val="00707B5A"/>
    <w:rsid w:val="00707B9B"/>
    <w:rsid w:val="00707BEC"/>
    <w:rsid w:val="00707C5A"/>
    <w:rsid w:val="00707F9D"/>
    <w:rsid w:val="00710131"/>
    <w:rsid w:val="00710158"/>
    <w:rsid w:val="0071029D"/>
    <w:rsid w:val="00710472"/>
    <w:rsid w:val="00710595"/>
    <w:rsid w:val="007105FB"/>
    <w:rsid w:val="00710650"/>
    <w:rsid w:val="00710665"/>
    <w:rsid w:val="00710A3E"/>
    <w:rsid w:val="00710B1D"/>
    <w:rsid w:val="00710C6B"/>
    <w:rsid w:val="00710F02"/>
    <w:rsid w:val="007110E3"/>
    <w:rsid w:val="00711452"/>
    <w:rsid w:val="0071170A"/>
    <w:rsid w:val="00711786"/>
    <w:rsid w:val="00711B75"/>
    <w:rsid w:val="00711C39"/>
    <w:rsid w:val="00711D91"/>
    <w:rsid w:val="00711DEC"/>
    <w:rsid w:val="00711EE1"/>
    <w:rsid w:val="0071206E"/>
    <w:rsid w:val="00712415"/>
    <w:rsid w:val="007124D1"/>
    <w:rsid w:val="007124EE"/>
    <w:rsid w:val="007124F6"/>
    <w:rsid w:val="0071255B"/>
    <w:rsid w:val="0071255F"/>
    <w:rsid w:val="0071277F"/>
    <w:rsid w:val="007127CF"/>
    <w:rsid w:val="007127EB"/>
    <w:rsid w:val="00712868"/>
    <w:rsid w:val="007128E8"/>
    <w:rsid w:val="0071297B"/>
    <w:rsid w:val="00712986"/>
    <w:rsid w:val="007129C8"/>
    <w:rsid w:val="00712ABF"/>
    <w:rsid w:val="00712CD9"/>
    <w:rsid w:val="00712E0F"/>
    <w:rsid w:val="00712E8E"/>
    <w:rsid w:val="00712F8D"/>
    <w:rsid w:val="00713012"/>
    <w:rsid w:val="007130F9"/>
    <w:rsid w:val="007130FB"/>
    <w:rsid w:val="0071312F"/>
    <w:rsid w:val="00713282"/>
    <w:rsid w:val="00713292"/>
    <w:rsid w:val="00713339"/>
    <w:rsid w:val="00713371"/>
    <w:rsid w:val="0071350B"/>
    <w:rsid w:val="007135FF"/>
    <w:rsid w:val="00713661"/>
    <w:rsid w:val="00713691"/>
    <w:rsid w:val="007137EC"/>
    <w:rsid w:val="0071383A"/>
    <w:rsid w:val="00713881"/>
    <w:rsid w:val="00713963"/>
    <w:rsid w:val="00713A1E"/>
    <w:rsid w:val="00713A7C"/>
    <w:rsid w:val="00713B24"/>
    <w:rsid w:val="00713BC3"/>
    <w:rsid w:val="00713C06"/>
    <w:rsid w:val="00713CA6"/>
    <w:rsid w:val="007140BB"/>
    <w:rsid w:val="007140EA"/>
    <w:rsid w:val="00714130"/>
    <w:rsid w:val="00714194"/>
    <w:rsid w:val="007142B5"/>
    <w:rsid w:val="0071433D"/>
    <w:rsid w:val="00714352"/>
    <w:rsid w:val="0071454E"/>
    <w:rsid w:val="00714635"/>
    <w:rsid w:val="00714666"/>
    <w:rsid w:val="007147A2"/>
    <w:rsid w:val="0071487E"/>
    <w:rsid w:val="0071494C"/>
    <w:rsid w:val="00714959"/>
    <w:rsid w:val="0071496B"/>
    <w:rsid w:val="0071496E"/>
    <w:rsid w:val="00714AA4"/>
    <w:rsid w:val="00714ACD"/>
    <w:rsid w:val="00714B7D"/>
    <w:rsid w:val="00714D43"/>
    <w:rsid w:val="00714E24"/>
    <w:rsid w:val="00714E4C"/>
    <w:rsid w:val="00714E55"/>
    <w:rsid w:val="00714F3F"/>
    <w:rsid w:val="007150FB"/>
    <w:rsid w:val="00715163"/>
    <w:rsid w:val="0071540B"/>
    <w:rsid w:val="00715462"/>
    <w:rsid w:val="007154C6"/>
    <w:rsid w:val="00715542"/>
    <w:rsid w:val="0071555B"/>
    <w:rsid w:val="00715580"/>
    <w:rsid w:val="0071564E"/>
    <w:rsid w:val="0071581F"/>
    <w:rsid w:val="00715876"/>
    <w:rsid w:val="00715936"/>
    <w:rsid w:val="00715963"/>
    <w:rsid w:val="00715ABC"/>
    <w:rsid w:val="00715ADC"/>
    <w:rsid w:val="00715B8B"/>
    <w:rsid w:val="00715B8D"/>
    <w:rsid w:val="00715BB2"/>
    <w:rsid w:val="00715BC4"/>
    <w:rsid w:val="00715E8A"/>
    <w:rsid w:val="00715F93"/>
    <w:rsid w:val="00715FA3"/>
    <w:rsid w:val="00716078"/>
    <w:rsid w:val="00716100"/>
    <w:rsid w:val="00716164"/>
    <w:rsid w:val="0071616F"/>
    <w:rsid w:val="0071618B"/>
    <w:rsid w:val="007161A2"/>
    <w:rsid w:val="0071633C"/>
    <w:rsid w:val="007165BC"/>
    <w:rsid w:val="00716610"/>
    <w:rsid w:val="0071685D"/>
    <w:rsid w:val="00716985"/>
    <w:rsid w:val="007169F0"/>
    <w:rsid w:val="00716A05"/>
    <w:rsid w:val="00716A3E"/>
    <w:rsid w:val="00716A4A"/>
    <w:rsid w:val="00716AC5"/>
    <w:rsid w:val="00716B38"/>
    <w:rsid w:val="00716B68"/>
    <w:rsid w:val="00716C4A"/>
    <w:rsid w:val="00716C5C"/>
    <w:rsid w:val="00716C82"/>
    <w:rsid w:val="00716D1E"/>
    <w:rsid w:val="00716D77"/>
    <w:rsid w:val="00716ED2"/>
    <w:rsid w:val="00716F89"/>
    <w:rsid w:val="007170F2"/>
    <w:rsid w:val="00717188"/>
    <w:rsid w:val="007172FA"/>
    <w:rsid w:val="00717550"/>
    <w:rsid w:val="007175FE"/>
    <w:rsid w:val="007177BE"/>
    <w:rsid w:val="0071792B"/>
    <w:rsid w:val="007179B2"/>
    <w:rsid w:val="00717A27"/>
    <w:rsid w:val="00717AAF"/>
    <w:rsid w:val="00717CDC"/>
    <w:rsid w:val="00717CF9"/>
    <w:rsid w:val="00717D0A"/>
    <w:rsid w:val="00717DC6"/>
    <w:rsid w:val="00717E2C"/>
    <w:rsid w:val="00717EB2"/>
    <w:rsid w:val="00717F02"/>
    <w:rsid w:val="00717FDA"/>
    <w:rsid w:val="00720067"/>
    <w:rsid w:val="0072025D"/>
    <w:rsid w:val="007202A7"/>
    <w:rsid w:val="007203AE"/>
    <w:rsid w:val="007203ED"/>
    <w:rsid w:val="007204EE"/>
    <w:rsid w:val="00720681"/>
    <w:rsid w:val="00720720"/>
    <w:rsid w:val="00720B8F"/>
    <w:rsid w:val="00720CD3"/>
    <w:rsid w:val="00720CE3"/>
    <w:rsid w:val="00720D25"/>
    <w:rsid w:val="00720E47"/>
    <w:rsid w:val="00720E6F"/>
    <w:rsid w:val="0072104B"/>
    <w:rsid w:val="007210A1"/>
    <w:rsid w:val="00721126"/>
    <w:rsid w:val="0072128C"/>
    <w:rsid w:val="00721299"/>
    <w:rsid w:val="007212AB"/>
    <w:rsid w:val="007213FC"/>
    <w:rsid w:val="0072186C"/>
    <w:rsid w:val="0072195A"/>
    <w:rsid w:val="007219E4"/>
    <w:rsid w:val="00721B1C"/>
    <w:rsid w:val="00721C24"/>
    <w:rsid w:val="00721C78"/>
    <w:rsid w:val="00721CA2"/>
    <w:rsid w:val="00721D02"/>
    <w:rsid w:val="00721D30"/>
    <w:rsid w:val="00721D37"/>
    <w:rsid w:val="00721D9F"/>
    <w:rsid w:val="00721E95"/>
    <w:rsid w:val="00721F89"/>
    <w:rsid w:val="00722100"/>
    <w:rsid w:val="0072217A"/>
    <w:rsid w:val="00722443"/>
    <w:rsid w:val="00722475"/>
    <w:rsid w:val="007224E8"/>
    <w:rsid w:val="00722690"/>
    <w:rsid w:val="007226D6"/>
    <w:rsid w:val="00722721"/>
    <w:rsid w:val="007229DF"/>
    <w:rsid w:val="00722A72"/>
    <w:rsid w:val="00722ADC"/>
    <w:rsid w:val="00722AF9"/>
    <w:rsid w:val="00722B3A"/>
    <w:rsid w:val="00722BC8"/>
    <w:rsid w:val="00722C31"/>
    <w:rsid w:val="00722C36"/>
    <w:rsid w:val="00722DBB"/>
    <w:rsid w:val="00722E48"/>
    <w:rsid w:val="00722F6E"/>
    <w:rsid w:val="0072308B"/>
    <w:rsid w:val="007230CE"/>
    <w:rsid w:val="00723115"/>
    <w:rsid w:val="00723208"/>
    <w:rsid w:val="00723232"/>
    <w:rsid w:val="00723253"/>
    <w:rsid w:val="0072327C"/>
    <w:rsid w:val="00723330"/>
    <w:rsid w:val="0072337D"/>
    <w:rsid w:val="007233F0"/>
    <w:rsid w:val="0072349A"/>
    <w:rsid w:val="007234AF"/>
    <w:rsid w:val="007234B7"/>
    <w:rsid w:val="00723708"/>
    <w:rsid w:val="00723751"/>
    <w:rsid w:val="0072376A"/>
    <w:rsid w:val="0072384C"/>
    <w:rsid w:val="007238B3"/>
    <w:rsid w:val="00723BA7"/>
    <w:rsid w:val="00723C56"/>
    <w:rsid w:val="00723D54"/>
    <w:rsid w:val="00723D71"/>
    <w:rsid w:val="00723EA6"/>
    <w:rsid w:val="00724091"/>
    <w:rsid w:val="0072409F"/>
    <w:rsid w:val="0072429D"/>
    <w:rsid w:val="00724386"/>
    <w:rsid w:val="007244F2"/>
    <w:rsid w:val="007245B9"/>
    <w:rsid w:val="00724647"/>
    <w:rsid w:val="00724757"/>
    <w:rsid w:val="007247AC"/>
    <w:rsid w:val="007247FE"/>
    <w:rsid w:val="00724814"/>
    <w:rsid w:val="00724889"/>
    <w:rsid w:val="0072498F"/>
    <w:rsid w:val="00724A4D"/>
    <w:rsid w:val="00724AEC"/>
    <w:rsid w:val="00724BD9"/>
    <w:rsid w:val="00724BEE"/>
    <w:rsid w:val="00724C27"/>
    <w:rsid w:val="00724CFC"/>
    <w:rsid w:val="00724E77"/>
    <w:rsid w:val="00724ECB"/>
    <w:rsid w:val="00724F16"/>
    <w:rsid w:val="00724F72"/>
    <w:rsid w:val="007250F4"/>
    <w:rsid w:val="00725103"/>
    <w:rsid w:val="00725146"/>
    <w:rsid w:val="007253AD"/>
    <w:rsid w:val="007253F7"/>
    <w:rsid w:val="007254C8"/>
    <w:rsid w:val="007254F2"/>
    <w:rsid w:val="00725583"/>
    <w:rsid w:val="007255E8"/>
    <w:rsid w:val="00725659"/>
    <w:rsid w:val="00725896"/>
    <w:rsid w:val="007258F2"/>
    <w:rsid w:val="0072594F"/>
    <w:rsid w:val="0072595A"/>
    <w:rsid w:val="007259A1"/>
    <w:rsid w:val="007259D8"/>
    <w:rsid w:val="00725AC1"/>
    <w:rsid w:val="00725C51"/>
    <w:rsid w:val="00725F86"/>
    <w:rsid w:val="0072604E"/>
    <w:rsid w:val="00726181"/>
    <w:rsid w:val="0072619A"/>
    <w:rsid w:val="00726238"/>
    <w:rsid w:val="007262CC"/>
    <w:rsid w:val="0072638D"/>
    <w:rsid w:val="00726502"/>
    <w:rsid w:val="0072657E"/>
    <w:rsid w:val="0072659A"/>
    <w:rsid w:val="007265A2"/>
    <w:rsid w:val="00726618"/>
    <w:rsid w:val="00726634"/>
    <w:rsid w:val="007267AD"/>
    <w:rsid w:val="007267C1"/>
    <w:rsid w:val="00726834"/>
    <w:rsid w:val="007268FB"/>
    <w:rsid w:val="007269F0"/>
    <w:rsid w:val="00726C37"/>
    <w:rsid w:val="00726C98"/>
    <w:rsid w:val="00726D67"/>
    <w:rsid w:val="00726D99"/>
    <w:rsid w:val="00726EDD"/>
    <w:rsid w:val="00727049"/>
    <w:rsid w:val="00727092"/>
    <w:rsid w:val="007270B1"/>
    <w:rsid w:val="00727157"/>
    <w:rsid w:val="0072717B"/>
    <w:rsid w:val="007271AD"/>
    <w:rsid w:val="00727264"/>
    <w:rsid w:val="00727434"/>
    <w:rsid w:val="0072753E"/>
    <w:rsid w:val="007275EC"/>
    <w:rsid w:val="00727666"/>
    <w:rsid w:val="00727797"/>
    <w:rsid w:val="00727A67"/>
    <w:rsid w:val="00727AD7"/>
    <w:rsid w:val="00727B62"/>
    <w:rsid w:val="00727BAE"/>
    <w:rsid w:val="00727CE7"/>
    <w:rsid w:val="00727D00"/>
    <w:rsid w:val="00727EC7"/>
    <w:rsid w:val="00727F80"/>
    <w:rsid w:val="00730023"/>
    <w:rsid w:val="00730174"/>
    <w:rsid w:val="007301D0"/>
    <w:rsid w:val="007302F6"/>
    <w:rsid w:val="00730306"/>
    <w:rsid w:val="007303F5"/>
    <w:rsid w:val="00730968"/>
    <w:rsid w:val="007309A3"/>
    <w:rsid w:val="00730AF2"/>
    <w:rsid w:val="00730BCA"/>
    <w:rsid w:val="00730C1E"/>
    <w:rsid w:val="00730CE5"/>
    <w:rsid w:val="00730CF6"/>
    <w:rsid w:val="00730DF3"/>
    <w:rsid w:val="00730E88"/>
    <w:rsid w:val="0073108D"/>
    <w:rsid w:val="007311B3"/>
    <w:rsid w:val="00731439"/>
    <w:rsid w:val="0073149A"/>
    <w:rsid w:val="00731813"/>
    <w:rsid w:val="007318FA"/>
    <w:rsid w:val="00731BC2"/>
    <w:rsid w:val="00731D33"/>
    <w:rsid w:val="00731D59"/>
    <w:rsid w:val="00731EE8"/>
    <w:rsid w:val="00731F6C"/>
    <w:rsid w:val="00731F88"/>
    <w:rsid w:val="00732078"/>
    <w:rsid w:val="00732092"/>
    <w:rsid w:val="00732183"/>
    <w:rsid w:val="007321B5"/>
    <w:rsid w:val="0073236B"/>
    <w:rsid w:val="007323C8"/>
    <w:rsid w:val="00732607"/>
    <w:rsid w:val="0073264B"/>
    <w:rsid w:val="00732673"/>
    <w:rsid w:val="007327AA"/>
    <w:rsid w:val="007328D2"/>
    <w:rsid w:val="00732B13"/>
    <w:rsid w:val="00732C5C"/>
    <w:rsid w:val="00732D1D"/>
    <w:rsid w:val="00732DE4"/>
    <w:rsid w:val="00732E07"/>
    <w:rsid w:val="00732E13"/>
    <w:rsid w:val="00732EAC"/>
    <w:rsid w:val="00732EDF"/>
    <w:rsid w:val="00732F9F"/>
    <w:rsid w:val="00732FFC"/>
    <w:rsid w:val="00733035"/>
    <w:rsid w:val="00733092"/>
    <w:rsid w:val="007330CE"/>
    <w:rsid w:val="0073314C"/>
    <w:rsid w:val="0073328D"/>
    <w:rsid w:val="00733733"/>
    <w:rsid w:val="00733865"/>
    <w:rsid w:val="007338B0"/>
    <w:rsid w:val="00733A08"/>
    <w:rsid w:val="00733BD4"/>
    <w:rsid w:val="00733C99"/>
    <w:rsid w:val="00733CEF"/>
    <w:rsid w:val="00733CF3"/>
    <w:rsid w:val="00733E62"/>
    <w:rsid w:val="00733ECA"/>
    <w:rsid w:val="00734065"/>
    <w:rsid w:val="007340BE"/>
    <w:rsid w:val="00734204"/>
    <w:rsid w:val="00734332"/>
    <w:rsid w:val="00734367"/>
    <w:rsid w:val="007343F6"/>
    <w:rsid w:val="007344CA"/>
    <w:rsid w:val="0073479A"/>
    <w:rsid w:val="00734A1C"/>
    <w:rsid w:val="00734AE1"/>
    <w:rsid w:val="00734CEA"/>
    <w:rsid w:val="00734D33"/>
    <w:rsid w:val="00734EBE"/>
    <w:rsid w:val="00734F1E"/>
    <w:rsid w:val="00734F42"/>
    <w:rsid w:val="00734FC1"/>
    <w:rsid w:val="00735046"/>
    <w:rsid w:val="00735066"/>
    <w:rsid w:val="0073515B"/>
    <w:rsid w:val="00735490"/>
    <w:rsid w:val="00735491"/>
    <w:rsid w:val="007354CC"/>
    <w:rsid w:val="007355DB"/>
    <w:rsid w:val="0073577E"/>
    <w:rsid w:val="00735795"/>
    <w:rsid w:val="007357A9"/>
    <w:rsid w:val="00735882"/>
    <w:rsid w:val="007358DB"/>
    <w:rsid w:val="00735901"/>
    <w:rsid w:val="0073593F"/>
    <w:rsid w:val="007359D9"/>
    <w:rsid w:val="00735A63"/>
    <w:rsid w:val="00735B5B"/>
    <w:rsid w:val="00735C5E"/>
    <w:rsid w:val="00735E21"/>
    <w:rsid w:val="0073613E"/>
    <w:rsid w:val="0073623B"/>
    <w:rsid w:val="00736244"/>
    <w:rsid w:val="0073629C"/>
    <w:rsid w:val="007362A5"/>
    <w:rsid w:val="00736305"/>
    <w:rsid w:val="007364A1"/>
    <w:rsid w:val="00736556"/>
    <w:rsid w:val="00736849"/>
    <w:rsid w:val="00736A32"/>
    <w:rsid w:val="00736A80"/>
    <w:rsid w:val="00736B78"/>
    <w:rsid w:val="00736C06"/>
    <w:rsid w:val="00736EB1"/>
    <w:rsid w:val="00736ED1"/>
    <w:rsid w:val="00736FC4"/>
    <w:rsid w:val="00737186"/>
    <w:rsid w:val="0073734D"/>
    <w:rsid w:val="0073736B"/>
    <w:rsid w:val="007374C7"/>
    <w:rsid w:val="007376B7"/>
    <w:rsid w:val="00737709"/>
    <w:rsid w:val="00737730"/>
    <w:rsid w:val="00737739"/>
    <w:rsid w:val="0073785C"/>
    <w:rsid w:val="00737884"/>
    <w:rsid w:val="00737A4C"/>
    <w:rsid w:val="00737BC5"/>
    <w:rsid w:val="00737D42"/>
    <w:rsid w:val="00737DA6"/>
    <w:rsid w:val="00737F12"/>
    <w:rsid w:val="00740056"/>
    <w:rsid w:val="00740121"/>
    <w:rsid w:val="00740301"/>
    <w:rsid w:val="00740321"/>
    <w:rsid w:val="00740326"/>
    <w:rsid w:val="0074043F"/>
    <w:rsid w:val="00740454"/>
    <w:rsid w:val="0074047E"/>
    <w:rsid w:val="00740513"/>
    <w:rsid w:val="0074051F"/>
    <w:rsid w:val="00740530"/>
    <w:rsid w:val="00740627"/>
    <w:rsid w:val="00740716"/>
    <w:rsid w:val="007408C5"/>
    <w:rsid w:val="00740A55"/>
    <w:rsid w:val="00740C1A"/>
    <w:rsid w:val="00740C6C"/>
    <w:rsid w:val="00740CBA"/>
    <w:rsid w:val="00740D25"/>
    <w:rsid w:val="00740D66"/>
    <w:rsid w:val="00740D94"/>
    <w:rsid w:val="00740FD6"/>
    <w:rsid w:val="007410EA"/>
    <w:rsid w:val="0074112B"/>
    <w:rsid w:val="007411B1"/>
    <w:rsid w:val="007411FE"/>
    <w:rsid w:val="00741257"/>
    <w:rsid w:val="00741285"/>
    <w:rsid w:val="007413C7"/>
    <w:rsid w:val="007413EB"/>
    <w:rsid w:val="00741400"/>
    <w:rsid w:val="007414F3"/>
    <w:rsid w:val="00741576"/>
    <w:rsid w:val="007416BE"/>
    <w:rsid w:val="0074177E"/>
    <w:rsid w:val="007417DD"/>
    <w:rsid w:val="007418B2"/>
    <w:rsid w:val="007419E1"/>
    <w:rsid w:val="00741B69"/>
    <w:rsid w:val="00741DC6"/>
    <w:rsid w:val="00741EFF"/>
    <w:rsid w:val="00741F85"/>
    <w:rsid w:val="00741FA2"/>
    <w:rsid w:val="00742106"/>
    <w:rsid w:val="007421DF"/>
    <w:rsid w:val="007422F8"/>
    <w:rsid w:val="0074245C"/>
    <w:rsid w:val="00742557"/>
    <w:rsid w:val="007427A8"/>
    <w:rsid w:val="007427D3"/>
    <w:rsid w:val="0074285D"/>
    <w:rsid w:val="00742879"/>
    <w:rsid w:val="00742888"/>
    <w:rsid w:val="007428AD"/>
    <w:rsid w:val="007429B2"/>
    <w:rsid w:val="00742AC5"/>
    <w:rsid w:val="00742B9B"/>
    <w:rsid w:val="00742C07"/>
    <w:rsid w:val="00742C1E"/>
    <w:rsid w:val="00742D98"/>
    <w:rsid w:val="00742DDD"/>
    <w:rsid w:val="00742DEC"/>
    <w:rsid w:val="00742F08"/>
    <w:rsid w:val="0074302E"/>
    <w:rsid w:val="007430F9"/>
    <w:rsid w:val="007431AF"/>
    <w:rsid w:val="007431F5"/>
    <w:rsid w:val="0074333A"/>
    <w:rsid w:val="007434B7"/>
    <w:rsid w:val="00743504"/>
    <w:rsid w:val="00743659"/>
    <w:rsid w:val="00743749"/>
    <w:rsid w:val="007437C6"/>
    <w:rsid w:val="00743870"/>
    <w:rsid w:val="007439C1"/>
    <w:rsid w:val="00743AAE"/>
    <w:rsid w:val="00743AC5"/>
    <w:rsid w:val="00743BB2"/>
    <w:rsid w:val="00743F36"/>
    <w:rsid w:val="00743F58"/>
    <w:rsid w:val="00743FB4"/>
    <w:rsid w:val="00744118"/>
    <w:rsid w:val="007441D3"/>
    <w:rsid w:val="00744300"/>
    <w:rsid w:val="0074442F"/>
    <w:rsid w:val="0074444A"/>
    <w:rsid w:val="0074454D"/>
    <w:rsid w:val="00744584"/>
    <w:rsid w:val="007448BE"/>
    <w:rsid w:val="007449B4"/>
    <w:rsid w:val="007449FF"/>
    <w:rsid w:val="00744A42"/>
    <w:rsid w:val="00744AD0"/>
    <w:rsid w:val="00744C10"/>
    <w:rsid w:val="00744C11"/>
    <w:rsid w:val="00744DE4"/>
    <w:rsid w:val="00744EE2"/>
    <w:rsid w:val="00744F0C"/>
    <w:rsid w:val="00744F13"/>
    <w:rsid w:val="007450A2"/>
    <w:rsid w:val="00745463"/>
    <w:rsid w:val="00745588"/>
    <w:rsid w:val="0074571A"/>
    <w:rsid w:val="0074573C"/>
    <w:rsid w:val="00745795"/>
    <w:rsid w:val="00745862"/>
    <w:rsid w:val="00745899"/>
    <w:rsid w:val="00745A18"/>
    <w:rsid w:val="00745B62"/>
    <w:rsid w:val="00745BD9"/>
    <w:rsid w:val="00745EAC"/>
    <w:rsid w:val="007460DA"/>
    <w:rsid w:val="00746139"/>
    <w:rsid w:val="00746215"/>
    <w:rsid w:val="007462CC"/>
    <w:rsid w:val="00746331"/>
    <w:rsid w:val="0074637C"/>
    <w:rsid w:val="00746405"/>
    <w:rsid w:val="007464DE"/>
    <w:rsid w:val="00746565"/>
    <w:rsid w:val="0074666A"/>
    <w:rsid w:val="0074673A"/>
    <w:rsid w:val="00746878"/>
    <w:rsid w:val="007468F2"/>
    <w:rsid w:val="00746913"/>
    <w:rsid w:val="00746A12"/>
    <w:rsid w:val="00746A79"/>
    <w:rsid w:val="00746AC5"/>
    <w:rsid w:val="00746D53"/>
    <w:rsid w:val="00747012"/>
    <w:rsid w:val="007471A1"/>
    <w:rsid w:val="007471B7"/>
    <w:rsid w:val="007471E5"/>
    <w:rsid w:val="0074734F"/>
    <w:rsid w:val="00747461"/>
    <w:rsid w:val="00747529"/>
    <w:rsid w:val="007477A4"/>
    <w:rsid w:val="0074796E"/>
    <w:rsid w:val="00747A06"/>
    <w:rsid w:val="00747A4E"/>
    <w:rsid w:val="00747B70"/>
    <w:rsid w:val="00747C60"/>
    <w:rsid w:val="00747CAC"/>
    <w:rsid w:val="00747DEB"/>
    <w:rsid w:val="00747F78"/>
    <w:rsid w:val="0074B757"/>
    <w:rsid w:val="007501F2"/>
    <w:rsid w:val="0075036C"/>
    <w:rsid w:val="007503E3"/>
    <w:rsid w:val="00750423"/>
    <w:rsid w:val="00750438"/>
    <w:rsid w:val="007504A5"/>
    <w:rsid w:val="0075066F"/>
    <w:rsid w:val="00750A25"/>
    <w:rsid w:val="00750BE8"/>
    <w:rsid w:val="00750C18"/>
    <w:rsid w:val="00750F75"/>
    <w:rsid w:val="00750FDF"/>
    <w:rsid w:val="00751072"/>
    <w:rsid w:val="00751169"/>
    <w:rsid w:val="00751201"/>
    <w:rsid w:val="0075131F"/>
    <w:rsid w:val="00751543"/>
    <w:rsid w:val="00751682"/>
    <w:rsid w:val="007516AE"/>
    <w:rsid w:val="007516D1"/>
    <w:rsid w:val="007518D2"/>
    <w:rsid w:val="007518D8"/>
    <w:rsid w:val="00751911"/>
    <w:rsid w:val="00751949"/>
    <w:rsid w:val="007519B3"/>
    <w:rsid w:val="007519E5"/>
    <w:rsid w:val="00751A1C"/>
    <w:rsid w:val="00751AF8"/>
    <w:rsid w:val="00751CCD"/>
    <w:rsid w:val="00751E60"/>
    <w:rsid w:val="00751E8F"/>
    <w:rsid w:val="00751FEB"/>
    <w:rsid w:val="00751FF9"/>
    <w:rsid w:val="0075208B"/>
    <w:rsid w:val="007520AB"/>
    <w:rsid w:val="007522D2"/>
    <w:rsid w:val="0075231F"/>
    <w:rsid w:val="00752354"/>
    <w:rsid w:val="00752375"/>
    <w:rsid w:val="007525A9"/>
    <w:rsid w:val="0075260E"/>
    <w:rsid w:val="007526BB"/>
    <w:rsid w:val="00752922"/>
    <w:rsid w:val="0075295D"/>
    <w:rsid w:val="00752A7E"/>
    <w:rsid w:val="00752E35"/>
    <w:rsid w:val="00752E3C"/>
    <w:rsid w:val="00752EB4"/>
    <w:rsid w:val="00753169"/>
    <w:rsid w:val="00753270"/>
    <w:rsid w:val="00753273"/>
    <w:rsid w:val="00753473"/>
    <w:rsid w:val="007536D4"/>
    <w:rsid w:val="00753ACE"/>
    <w:rsid w:val="00753CC9"/>
    <w:rsid w:val="00753D4F"/>
    <w:rsid w:val="00753D6F"/>
    <w:rsid w:val="00753D95"/>
    <w:rsid w:val="00753E64"/>
    <w:rsid w:val="00753F13"/>
    <w:rsid w:val="00753FA9"/>
    <w:rsid w:val="00753FF1"/>
    <w:rsid w:val="007541FD"/>
    <w:rsid w:val="0075435F"/>
    <w:rsid w:val="0075449B"/>
    <w:rsid w:val="0075454F"/>
    <w:rsid w:val="00754586"/>
    <w:rsid w:val="00754682"/>
    <w:rsid w:val="007546B6"/>
    <w:rsid w:val="00754700"/>
    <w:rsid w:val="00754711"/>
    <w:rsid w:val="007548BB"/>
    <w:rsid w:val="007548C2"/>
    <w:rsid w:val="0075497C"/>
    <w:rsid w:val="00754993"/>
    <w:rsid w:val="007549C1"/>
    <w:rsid w:val="007549F8"/>
    <w:rsid w:val="00754A88"/>
    <w:rsid w:val="00754AE1"/>
    <w:rsid w:val="00754B22"/>
    <w:rsid w:val="00754BBE"/>
    <w:rsid w:val="00754C65"/>
    <w:rsid w:val="00754D77"/>
    <w:rsid w:val="00754DFF"/>
    <w:rsid w:val="00754EA5"/>
    <w:rsid w:val="00755054"/>
    <w:rsid w:val="0075509A"/>
    <w:rsid w:val="007551CD"/>
    <w:rsid w:val="007552B3"/>
    <w:rsid w:val="0075538B"/>
    <w:rsid w:val="00755450"/>
    <w:rsid w:val="00755461"/>
    <w:rsid w:val="00755512"/>
    <w:rsid w:val="0075551F"/>
    <w:rsid w:val="00755528"/>
    <w:rsid w:val="0075553A"/>
    <w:rsid w:val="00755561"/>
    <w:rsid w:val="00755721"/>
    <w:rsid w:val="00755841"/>
    <w:rsid w:val="007558F2"/>
    <w:rsid w:val="007560A8"/>
    <w:rsid w:val="007560D2"/>
    <w:rsid w:val="0075610F"/>
    <w:rsid w:val="0075611D"/>
    <w:rsid w:val="00756122"/>
    <w:rsid w:val="007562A7"/>
    <w:rsid w:val="007563D2"/>
    <w:rsid w:val="007564D7"/>
    <w:rsid w:val="0075652F"/>
    <w:rsid w:val="00756789"/>
    <w:rsid w:val="00756876"/>
    <w:rsid w:val="00756930"/>
    <w:rsid w:val="0075694B"/>
    <w:rsid w:val="00756AC1"/>
    <w:rsid w:val="00756B3D"/>
    <w:rsid w:val="00756C54"/>
    <w:rsid w:val="00756CAC"/>
    <w:rsid w:val="00756E59"/>
    <w:rsid w:val="00756EA2"/>
    <w:rsid w:val="00756EC0"/>
    <w:rsid w:val="00756FF5"/>
    <w:rsid w:val="0075715B"/>
    <w:rsid w:val="0075722C"/>
    <w:rsid w:val="00757245"/>
    <w:rsid w:val="00757292"/>
    <w:rsid w:val="007572D8"/>
    <w:rsid w:val="00757338"/>
    <w:rsid w:val="00757339"/>
    <w:rsid w:val="007574AB"/>
    <w:rsid w:val="0075756F"/>
    <w:rsid w:val="007575FA"/>
    <w:rsid w:val="00757735"/>
    <w:rsid w:val="00757808"/>
    <w:rsid w:val="00757B06"/>
    <w:rsid w:val="00757BC5"/>
    <w:rsid w:val="00757C6A"/>
    <w:rsid w:val="00757CA4"/>
    <w:rsid w:val="00757E31"/>
    <w:rsid w:val="00757ECC"/>
    <w:rsid w:val="00757FBB"/>
    <w:rsid w:val="00757FE8"/>
    <w:rsid w:val="00760019"/>
    <w:rsid w:val="007600FC"/>
    <w:rsid w:val="007602AB"/>
    <w:rsid w:val="007602F0"/>
    <w:rsid w:val="007603CA"/>
    <w:rsid w:val="007604D5"/>
    <w:rsid w:val="007605A1"/>
    <w:rsid w:val="00760677"/>
    <w:rsid w:val="007606A9"/>
    <w:rsid w:val="007608D8"/>
    <w:rsid w:val="00760938"/>
    <w:rsid w:val="0076098F"/>
    <w:rsid w:val="007609B1"/>
    <w:rsid w:val="00760AB6"/>
    <w:rsid w:val="00760ACC"/>
    <w:rsid w:val="00760B00"/>
    <w:rsid w:val="00760C41"/>
    <w:rsid w:val="00760C42"/>
    <w:rsid w:val="00760D44"/>
    <w:rsid w:val="00760F2F"/>
    <w:rsid w:val="00760F5B"/>
    <w:rsid w:val="0076106E"/>
    <w:rsid w:val="00761121"/>
    <w:rsid w:val="0076113D"/>
    <w:rsid w:val="00761241"/>
    <w:rsid w:val="00761369"/>
    <w:rsid w:val="007613F7"/>
    <w:rsid w:val="007617C0"/>
    <w:rsid w:val="0076186F"/>
    <w:rsid w:val="007619DE"/>
    <w:rsid w:val="00761A6A"/>
    <w:rsid w:val="00761A70"/>
    <w:rsid w:val="00761A91"/>
    <w:rsid w:val="00761B4F"/>
    <w:rsid w:val="00761CA4"/>
    <w:rsid w:val="00761CDE"/>
    <w:rsid w:val="00761D5D"/>
    <w:rsid w:val="00761DB0"/>
    <w:rsid w:val="00761F97"/>
    <w:rsid w:val="00761FC7"/>
    <w:rsid w:val="00761FDE"/>
    <w:rsid w:val="00762020"/>
    <w:rsid w:val="00762044"/>
    <w:rsid w:val="00762083"/>
    <w:rsid w:val="0076210B"/>
    <w:rsid w:val="0076214B"/>
    <w:rsid w:val="0076215C"/>
    <w:rsid w:val="00762164"/>
    <w:rsid w:val="0076233B"/>
    <w:rsid w:val="00762383"/>
    <w:rsid w:val="007623B8"/>
    <w:rsid w:val="00762435"/>
    <w:rsid w:val="00762494"/>
    <w:rsid w:val="007624A7"/>
    <w:rsid w:val="0076266E"/>
    <w:rsid w:val="007627AC"/>
    <w:rsid w:val="0076296E"/>
    <w:rsid w:val="007629C7"/>
    <w:rsid w:val="00762B58"/>
    <w:rsid w:val="00762BCB"/>
    <w:rsid w:val="00762D77"/>
    <w:rsid w:val="00762E00"/>
    <w:rsid w:val="00762E94"/>
    <w:rsid w:val="00762EBE"/>
    <w:rsid w:val="00762F73"/>
    <w:rsid w:val="00763054"/>
    <w:rsid w:val="0076334F"/>
    <w:rsid w:val="007634B9"/>
    <w:rsid w:val="0076360B"/>
    <w:rsid w:val="00763679"/>
    <w:rsid w:val="007636E0"/>
    <w:rsid w:val="00763C27"/>
    <w:rsid w:val="00763C8D"/>
    <w:rsid w:val="00763CDD"/>
    <w:rsid w:val="00763CEC"/>
    <w:rsid w:val="00763D06"/>
    <w:rsid w:val="00763D5B"/>
    <w:rsid w:val="00763F04"/>
    <w:rsid w:val="00763FE2"/>
    <w:rsid w:val="007640A2"/>
    <w:rsid w:val="007640E6"/>
    <w:rsid w:val="00764347"/>
    <w:rsid w:val="0076446C"/>
    <w:rsid w:val="007646FD"/>
    <w:rsid w:val="0076471A"/>
    <w:rsid w:val="0076475C"/>
    <w:rsid w:val="00764A3D"/>
    <w:rsid w:val="00764AE6"/>
    <w:rsid w:val="00764B53"/>
    <w:rsid w:val="00764BB8"/>
    <w:rsid w:val="00764BC3"/>
    <w:rsid w:val="00764C33"/>
    <w:rsid w:val="00764D66"/>
    <w:rsid w:val="00764D87"/>
    <w:rsid w:val="00764E5C"/>
    <w:rsid w:val="00764E84"/>
    <w:rsid w:val="00764F8B"/>
    <w:rsid w:val="00765013"/>
    <w:rsid w:val="00765016"/>
    <w:rsid w:val="0076510C"/>
    <w:rsid w:val="0076546D"/>
    <w:rsid w:val="00765490"/>
    <w:rsid w:val="0076555A"/>
    <w:rsid w:val="007656B0"/>
    <w:rsid w:val="007656C5"/>
    <w:rsid w:val="007658E7"/>
    <w:rsid w:val="007658F6"/>
    <w:rsid w:val="00765A82"/>
    <w:rsid w:val="00765AFC"/>
    <w:rsid w:val="00765B24"/>
    <w:rsid w:val="00765B7E"/>
    <w:rsid w:val="00765BBB"/>
    <w:rsid w:val="00765C94"/>
    <w:rsid w:val="00765CAE"/>
    <w:rsid w:val="00765CFA"/>
    <w:rsid w:val="00765F94"/>
    <w:rsid w:val="00766050"/>
    <w:rsid w:val="0076605C"/>
    <w:rsid w:val="007660FD"/>
    <w:rsid w:val="0076619F"/>
    <w:rsid w:val="007662B5"/>
    <w:rsid w:val="0076650D"/>
    <w:rsid w:val="007665FB"/>
    <w:rsid w:val="0076677E"/>
    <w:rsid w:val="007667C3"/>
    <w:rsid w:val="00766938"/>
    <w:rsid w:val="0076696E"/>
    <w:rsid w:val="0076699F"/>
    <w:rsid w:val="007669AC"/>
    <w:rsid w:val="007669C0"/>
    <w:rsid w:val="00766A58"/>
    <w:rsid w:val="00766A6B"/>
    <w:rsid w:val="00766B9F"/>
    <w:rsid w:val="00766C30"/>
    <w:rsid w:val="00766CA2"/>
    <w:rsid w:val="00766D1A"/>
    <w:rsid w:val="00766D85"/>
    <w:rsid w:val="00766DAB"/>
    <w:rsid w:val="00766E70"/>
    <w:rsid w:val="0076701E"/>
    <w:rsid w:val="00767052"/>
    <w:rsid w:val="0076706D"/>
    <w:rsid w:val="0076708D"/>
    <w:rsid w:val="0076716C"/>
    <w:rsid w:val="007672A7"/>
    <w:rsid w:val="00767775"/>
    <w:rsid w:val="007678AE"/>
    <w:rsid w:val="0076792E"/>
    <w:rsid w:val="0076793B"/>
    <w:rsid w:val="00767B36"/>
    <w:rsid w:val="00767BAC"/>
    <w:rsid w:val="00767BF7"/>
    <w:rsid w:val="00767C62"/>
    <w:rsid w:val="00767EC7"/>
    <w:rsid w:val="007700BC"/>
    <w:rsid w:val="007702DD"/>
    <w:rsid w:val="00770461"/>
    <w:rsid w:val="007704D0"/>
    <w:rsid w:val="00770596"/>
    <w:rsid w:val="0077061B"/>
    <w:rsid w:val="007706E4"/>
    <w:rsid w:val="007707E6"/>
    <w:rsid w:val="00770B14"/>
    <w:rsid w:val="00770B38"/>
    <w:rsid w:val="00770B74"/>
    <w:rsid w:val="00770BDE"/>
    <w:rsid w:val="00770C78"/>
    <w:rsid w:val="00770CD4"/>
    <w:rsid w:val="00770D82"/>
    <w:rsid w:val="00770EAD"/>
    <w:rsid w:val="00770F1A"/>
    <w:rsid w:val="00770F9E"/>
    <w:rsid w:val="007710BB"/>
    <w:rsid w:val="007711F6"/>
    <w:rsid w:val="007711FF"/>
    <w:rsid w:val="007712AB"/>
    <w:rsid w:val="0077170D"/>
    <w:rsid w:val="00771720"/>
    <w:rsid w:val="007717BF"/>
    <w:rsid w:val="007719B0"/>
    <w:rsid w:val="00771A8F"/>
    <w:rsid w:val="00771AC3"/>
    <w:rsid w:val="00771AF8"/>
    <w:rsid w:val="00771CA4"/>
    <w:rsid w:val="00771CE0"/>
    <w:rsid w:val="00771D4F"/>
    <w:rsid w:val="00771E0D"/>
    <w:rsid w:val="00771FCD"/>
    <w:rsid w:val="0077238D"/>
    <w:rsid w:val="00772393"/>
    <w:rsid w:val="007724AB"/>
    <w:rsid w:val="00772613"/>
    <w:rsid w:val="0077274C"/>
    <w:rsid w:val="007727FD"/>
    <w:rsid w:val="00772875"/>
    <w:rsid w:val="0077290F"/>
    <w:rsid w:val="0077294E"/>
    <w:rsid w:val="00772A19"/>
    <w:rsid w:val="00772B47"/>
    <w:rsid w:val="00772BAC"/>
    <w:rsid w:val="00772BEE"/>
    <w:rsid w:val="00772D89"/>
    <w:rsid w:val="00772EEB"/>
    <w:rsid w:val="00773060"/>
    <w:rsid w:val="007730E1"/>
    <w:rsid w:val="007732CD"/>
    <w:rsid w:val="007732FC"/>
    <w:rsid w:val="00773315"/>
    <w:rsid w:val="007733A9"/>
    <w:rsid w:val="007734CD"/>
    <w:rsid w:val="0077368A"/>
    <w:rsid w:val="007736BC"/>
    <w:rsid w:val="007737DB"/>
    <w:rsid w:val="00773AB5"/>
    <w:rsid w:val="00773BFC"/>
    <w:rsid w:val="00773C3F"/>
    <w:rsid w:val="00773E7B"/>
    <w:rsid w:val="00773EC0"/>
    <w:rsid w:val="00773F42"/>
    <w:rsid w:val="00773F5E"/>
    <w:rsid w:val="00773F61"/>
    <w:rsid w:val="007740AE"/>
    <w:rsid w:val="0077429D"/>
    <w:rsid w:val="007742EB"/>
    <w:rsid w:val="00774423"/>
    <w:rsid w:val="007744CB"/>
    <w:rsid w:val="00774503"/>
    <w:rsid w:val="0077450F"/>
    <w:rsid w:val="00774604"/>
    <w:rsid w:val="0077460A"/>
    <w:rsid w:val="00774648"/>
    <w:rsid w:val="00774662"/>
    <w:rsid w:val="00774755"/>
    <w:rsid w:val="007747A9"/>
    <w:rsid w:val="007749BA"/>
    <w:rsid w:val="00774C6C"/>
    <w:rsid w:val="00774C6F"/>
    <w:rsid w:val="00774CA9"/>
    <w:rsid w:val="00774D39"/>
    <w:rsid w:val="00774DE1"/>
    <w:rsid w:val="00774FF3"/>
    <w:rsid w:val="007750F3"/>
    <w:rsid w:val="007751B1"/>
    <w:rsid w:val="007753C4"/>
    <w:rsid w:val="00775480"/>
    <w:rsid w:val="007755B7"/>
    <w:rsid w:val="007755CE"/>
    <w:rsid w:val="007755D1"/>
    <w:rsid w:val="00775639"/>
    <w:rsid w:val="00775697"/>
    <w:rsid w:val="007757C4"/>
    <w:rsid w:val="007758C0"/>
    <w:rsid w:val="00775921"/>
    <w:rsid w:val="00775996"/>
    <w:rsid w:val="007759B4"/>
    <w:rsid w:val="00775A54"/>
    <w:rsid w:val="00775A8F"/>
    <w:rsid w:val="007762DA"/>
    <w:rsid w:val="007763C3"/>
    <w:rsid w:val="00776537"/>
    <w:rsid w:val="00776625"/>
    <w:rsid w:val="007766C0"/>
    <w:rsid w:val="007767A6"/>
    <w:rsid w:val="00776819"/>
    <w:rsid w:val="00776958"/>
    <w:rsid w:val="00776A53"/>
    <w:rsid w:val="00776B95"/>
    <w:rsid w:val="00776C1C"/>
    <w:rsid w:val="00776D87"/>
    <w:rsid w:val="00777035"/>
    <w:rsid w:val="0077707B"/>
    <w:rsid w:val="007773AE"/>
    <w:rsid w:val="007773C9"/>
    <w:rsid w:val="0077744F"/>
    <w:rsid w:val="0077769E"/>
    <w:rsid w:val="007776A8"/>
    <w:rsid w:val="007776C5"/>
    <w:rsid w:val="007776F6"/>
    <w:rsid w:val="00777B13"/>
    <w:rsid w:val="00777C34"/>
    <w:rsid w:val="00777C4F"/>
    <w:rsid w:val="00777C57"/>
    <w:rsid w:val="00777C98"/>
    <w:rsid w:val="00777D10"/>
    <w:rsid w:val="00777D57"/>
    <w:rsid w:val="00777E64"/>
    <w:rsid w:val="00777FC0"/>
    <w:rsid w:val="00780228"/>
    <w:rsid w:val="007803DE"/>
    <w:rsid w:val="007804E8"/>
    <w:rsid w:val="007805F3"/>
    <w:rsid w:val="0078062C"/>
    <w:rsid w:val="0078062E"/>
    <w:rsid w:val="007806A3"/>
    <w:rsid w:val="00780710"/>
    <w:rsid w:val="007807BC"/>
    <w:rsid w:val="007807E8"/>
    <w:rsid w:val="00780818"/>
    <w:rsid w:val="007809EC"/>
    <w:rsid w:val="00780D5C"/>
    <w:rsid w:val="00780D73"/>
    <w:rsid w:val="00780D82"/>
    <w:rsid w:val="00780DC8"/>
    <w:rsid w:val="00780E69"/>
    <w:rsid w:val="00781040"/>
    <w:rsid w:val="00781135"/>
    <w:rsid w:val="00781137"/>
    <w:rsid w:val="00781280"/>
    <w:rsid w:val="00781315"/>
    <w:rsid w:val="0078135B"/>
    <w:rsid w:val="007813A2"/>
    <w:rsid w:val="007813C6"/>
    <w:rsid w:val="007814A1"/>
    <w:rsid w:val="007814B2"/>
    <w:rsid w:val="007815CD"/>
    <w:rsid w:val="0078166C"/>
    <w:rsid w:val="00781803"/>
    <w:rsid w:val="0078185E"/>
    <w:rsid w:val="00781891"/>
    <w:rsid w:val="007818FB"/>
    <w:rsid w:val="00781939"/>
    <w:rsid w:val="0078197E"/>
    <w:rsid w:val="007819F4"/>
    <w:rsid w:val="00781B7F"/>
    <w:rsid w:val="00781BE6"/>
    <w:rsid w:val="00781CB7"/>
    <w:rsid w:val="00781DB1"/>
    <w:rsid w:val="00781F1C"/>
    <w:rsid w:val="0078201F"/>
    <w:rsid w:val="007820F1"/>
    <w:rsid w:val="00782180"/>
    <w:rsid w:val="007821CE"/>
    <w:rsid w:val="007821D9"/>
    <w:rsid w:val="00782213"/>
    <w:rsid w:val="00782261"/>
    <w:rsid w:val="007822B8"/>
    <w:rsid w:val="0078236C"/>
    <w:rsid w:val="0078238C"/>
    <w:rsid w:val="0078240B"/>
    <w:rsid w:val="007825EF"/>
    <w:rsid w:val="00782638"/>
    <w:rsid w:val="007826A8"/>
    <w:rsid w:val="0078277C"/>
    <w:rsid w:val="00782817"/>
    <w:rsid w:val="00782853"/>
    <w:rsid w:val="007828B9"/>
    <w:rsid w:val="00782964"/>
    <w:rsid w:val="00782ADE"/>
    <w:rsid w:val="00782BB4"/>
    <w:rsid w:val="00782C98"/>
    <w:rsid w:val="00782E6C"/>
    <w:rsid w:val="00782F16"/>
    <w:rsid w:val="00782FED"/>
    <w:rsid w:val="007830DB"/>
    <w:rsid w:val="00783193"/>
    <w:rsid w:val="007834D0"/>
    <w:rsid w:val="0078384C"/>
    <w:rsid w:val="0078384F"/>
    <w:rsid w:val="00783863"/>
    <w:rsid w:val="007839AB"/>
    <w:rsid w:val="00783A1E"/>
    <w:rsid w:val="00783A20"/>
    <w:rsid w:val="00783B2A"/>
    <w:rsid w:val="00783C9C"/>
    <w:rsid w:val="00783EB0"/>
    <w:rsid w:val="00783F2D"/>
    <w:rsid w:val="00783F9C"/>
    <w:rsid w:val="00783FB5"/>
    <w:rsid w:val="00783FBF"/>
    <w:rsid w:val="00784080"/>
    <w:rsid w:val="007840B3"/>
    <w:rsid w:val="00784170"/>
    <w:rsid w:val="00784189"/>
    <w:rsid w:val="007843C0"/>
    <w:rsid w:val="007844CA"/>
    <w:rsid w:val="007845B0"/>
    <w:rsid w:val="00784658"/>
    <w:rsid w:val="00784726"/>
    <w:rsid w:val="00784788"/>
    <w:rsid w:val="007847A0"/>
    <w:rsid w:val="007848EF"/>
    <w:rsid w:val="00784F6C"/>
    <w:rsid w:val="00785024"/>
    <w:rsid w:val="0078504E"/>
    <w:rsid w:val="00785071"/>
    <w:rsid w:val="00785207"/>
    <w:rsid w:val="00785251"/>
    <w:rsid w:val="00785335"/>
    <w:rsid w:val="007853FF"/>
    <w:rsid w:val="00785412"/>
    <w:rsid w:val="00785477"/>
    <w:rsid w:val="007854F5"/>
    <w:rsid w:val="00785526"/>
    <w:rsid w:val="00785536"/>
    <w:rsid w:val="0078565E"/>
    <w:rsid w:val="0078577F"/>
    <w:rsid w:val="00785C31"/>
    <w:rsid w:val="00785CAE"/>
    <w:rsid w:val="00785CD2"/>
    <w:rsid w:val="00785D72"/>
    <w:rsid w:val="00785DE4"/>
    <w:rsid w:val="00785E73"/>
    <w:rsid w:val="00786048"/>
    <w:rsid w:val="007862DF"/>
    <w:rsid w:val="0078639A"/>
    <w:rsid w:val="007863C7"/>
    <w:rsid w:val="007864BC"/>
    <w:rsid w:val="0078674B"/>
    <w:rsid w:val="007867C0"/>
    <w:rsid w:val="00786806"/>
    <w:rsid w:val="007868D0"/>
    <w:rsid w:val="00786973"/>
    <w:rsid w:val="00786A1C"/>
    <w:rsid w:val="00786B9D"/>
    <w:rsid w:val="00786C03"/>
    <w:rsid w:val="00786C34"/>
    <w:rsid w:val="00786D5F"/>
    <w:rsid w:val="00786D94"/>
    <w:rsid w:val="00786DAA"/>
    <w:rsid w:val="007870CF"/>
    <w:rsid w:val="00787163"/>
    <w:rsid w:val="0078720B"/>
    <w:rsid w:val="00787356"/>
    <w:rsid w:val="007873B3"/>
    <w:rsid w:val="007874CB"/>
    <w:rsid w:val="00787642"/>
    <w:rsid w:val="00787692"/>
    <w:rsid w:val="007877BD"/>
    <w:rsid w:val="00787800"/>
    <w:rsid w:val="0078789C"/>
    <w:rsid w:val="00787916"/>
    <w:rsid w:val="007879D6"/>
    <w:rsid w:val="00787AD0"/>
    <w:rsid w:val="00787C0C"/>
    <w:rsid w:val="00787C15"/>
    <w:rsid w:val="00787CEE"/>
    <w:rsid w:val="00787D24"/>
    <w:rsid w:val="00787D75"/>
    <w:rsid w:val="00787E11"/>
    <w:rsid w:val="00787E95"/>
    <w:rsid w:val="00790069"/>
    <w:rsid w:val="0079033C"/>
    <w:rsid w:val="00790369"/>
    <w:rsid w:val="00790446"/>
    <w:rsid w:val="00790487"/>
    <w:rsid w:val="00790491"/>
    <w:rsid w:val="007904E6"/>
    <w:rsid w:val="00790740"/>
    <w:rsid w:val="00790832"/>
    <w:rsid w:val="007908D8"/>
    <w:rsid w:val="00790909"/>
    <w:rsid w:val="00790991"/>
    <w:rsid w:val="00790BE4"/>
    <w:rsid w:val="00790CDD"/>
    <w:rsid w:val="00790D8A"/>
    <w:rsid w:val="00790E47"/>
    <w:rsid w:val="00790EC0"/>
    <w:rsid w:val="00790F91"/>
    <w:rsid w:val="007910C7"/>
    <w:rsid w:val="0079125F"/>
    <w:rsid w:val="00791307"/>
    <w:rsid w:val="00791417"/>
    <w:rsid w:val="00791535"/>
    <w:rsid w:val="0079156E"/>
    <w:rsid w:val="007915CC"/>
    <w:rsid w:val="00791640"/>
    <w:rsid w:val="00791946"/>
    <w:rsid w:val="007919EF"/>
    <w:rsid w:val="00791B06"/>
    <w:rsid w:val="00791CF1"/>
    <w:rsid w:val="00791E17"/>
    <w:rsid w:val="007920C1"/>
    <w:rsid w:val="00792178"/>
    <w:rsid w:val="00792439"/>
    <w:rsid w:val="0079244A"/>
    <w:rsid w:val="007924F5"/>
    <w:rsid w:val="00792619"/>
    <w:rsid w:val="0079285B"/>
    <w:rsid w:val="007928B6"/>
    <w:rsid w:val="0079291C"/>
    <w:rsid w:val="00792A4E"/>
    <w:rsid w:val="00792B60"/>
    <w:rsid w:val="00792BD6"/>
    <w:rsid w:val="00792D02"/>
    <w:rsid w:val="00792ED4"/>
    <w:rsid w:val="00792F39"/>
    <w:rsid w:val="00792F9E"/>
    <w:rsid w:val="00793134"/>
    <w:rsid w:val="00793143"/>
    <w:rsid w:val="007931A0"/>
    <w:rsid w:val="007931A8"/>
    <w:rsid w:val="007932E0"/>
    <w:rsid w:val="007932EE"/>
    <w:rsid w:val="00793388"/>
    <w:rsid w:val="007933BF"/>
    <w:rsid w:val="007933C0"/>
    <w:rsid w:val="007933FA"/>
    <w:rsid w:val="0079342F"/>
    <w:rsid w:val="007934DA"/>
    <w:rsid w:val="0079352A"/>
    <w:rsid w:val="007935BA"/>
    <w:rsid w:val="0079367A"/>
    <w:rsid w:val="00793686"/>
    <w:rsid w:val="00793709"/>
    <w:rsid w:val="0079390E"/>
    <w:rsid w:val="00793A78"/>
    <w:rsid w:val="00793AB9"/>
    <w:rsid w:val="00793CE4"/>
    <w:rsid w:val="007940C6"/>
    <w:rsid w:val="0079415F"/>
    <w:rsid w:val="007941DF"/>
    <w:rsid w:val="00794285"/>
    <w:rsid w:val="007942D8"/>
    <w:rsid w:val="00794327"/>
    <w:rsid w:val="00794380"/>
    <w:rsid w:val="007944A5"/>
    <w:rsid w:val="00794690"/>
    <w:rsid w:val="0079471C"/>
    <w:rsid w:val="00794915"/>
    <w:rsid w:val="00794925"/>
    <w:rsid w:val="00794A04"/>
    <w:rsid w:val="00794A61"/>
    <w:rsid w:val="00794AF7"/>
    <w:rsid w:val="00794B18"/>
    <w:rsid w:val="00794B54"/>
    <w:rsid w:val="00794C42"/>
    <w:rsid w:val="00794CB1"/>
    <w:rsid w:val="00794CCE"/>
    <w:rsid w:val="00794D08"/>
    <w:rsid w:val="00794D23"/>
    <w:rsid w:val="00794D4A"/>
    <w:rsid w:val="00794F0A"/>
    <w:rsid w:val="00795039"/>
    <w:rsid w:val="00795496"/>
    <w:rsid w:val="00795569"/>
    <w:rsid w:val="00795668"/>
    <w:rsid w:val="00795798"/>
    <w:rsid w:val="00795956"/>
    <w:rsid w:val="007959C1"/>
    <w:rsid w:val="007959D4"/>
    <w:rsid w:val="007959D6"/>
    <w:rsid w:val="00795B0A"/>
    <w:rsid w:val="00795C35"/>
    <w:rsid w:val="00795C74"/>
    <w:rsid w:val="00795E17"/>
    <w:rsid w:val="00796221"/>
    <w:rsid w:val="00796242"/>
    <w:rsid w:val="00796253"/>
    <w:rsid w:val="00796297"/>
    <w:rsid w:val="007962D4"/>
    <w:rsid w:val="00796390"/>
    <w:rsid w:val="00796488"/>
    <w:rsid w:val="007964AE"/>
    <w:rsid w:val="0079674B"/>
    <w:rsid w:val="007967D1"/>
    <w:rsid w:val="007968E0"/>
    <w:rsid w:val="007969F9"/>
    <w:rsid w:val="00796AF6"/>
    <w:rsid w:val="00796E07"/>
    <w:rsid w:val="00796E9B"/>
    <w:rsid w:val="00796FC5"/>
    <w:rsid w:val="00796FF2"/>
    <w:rsid w:val="00797162"/>
    <w:rsid w:val="007971DA"/>
    <w:rsid w:val="00797379"/>
    <w:rsid w:val="007973AD"/>
    <w:rsid w:val="007973D4"/>
    <w:rsid w:val="0079754B"/>
    <w:rsid w:val="00797598"/>
    <w:rsid w:val="00797620"/>
    <w:rsid w:val="00797645"/>
    <w:rsid w:val="007976BD"/>
    <w:rsid w:val="007977FC"/>
    <w:rsid w:val="00797ACC"/>
    <w:rsid w:val="00797ADF"/>
    <w:rsid w:val="00797B11"/>
    <w:rsid w:val="00797B3C"/>
    <w:rsid w:val="00797B72"/>
    <w:rsid w:val="00797D00"/>
    <w:rsid w:val="00797E0A"/>
    <w:rsid w:val="007A019F"/>
    <w:rsid w:val="007A0236"/>
    <w:rsid w:val="007A0252"/>
    <w:rsid w:val="007A025F"/>
    <w:rsid w:val="007A03BB"/>
    <w:rsid w:val="007A0459"/>
    <w:rsid w:val="007A0496"/>
    <w:rsid w:val="007A04F5"/>
    <w:rsid w:val="007A0529"/>
    <w:rsid w:val="007A0593"/>
    <w:rsid w:val="007A0614"/>
    <w:rsid w:val="007A06D2"/>
    <w:rsid w:val="007A0B00"/>
    <w:rsid w:val="007A0C11"/>
    <w:rsid w:val="007A0CBB"/>
    <w:rsid w:val="007A0EF6"/>
    <w:rsid w:val="007A1220"/>
    <w:rsid w:val="007A1302"/>
    <w:rsid w:val="007A153C"/>
    <w:rsid w:val="007A181D"/>
    <w:rsid w:val="007A1ABC"/>
    <w:rsid w:val="007A1BE8"/>
    <w:rsid w:val="007A1DCF"/>
    <w:rsid w:val="007A1F8C"/>
    <w:rsid w:val="007A2092"/>
    <w:rsid w:val="007A210B"/>
    <w:rsid w:val="007A214C"/>
    <w:rsid w:val="007A2215"/>
    <w:rsid w:val="007A232D"/>
    <w:rsid w:val="007A239A"/>
    <w:rsid w:val="007A23AF"/>
    <w:rsid w:val="007A244D"/>
    <w:rsid w:val="007A2486"/>
    <w:rsid w:val="007A24AB"/>
    <w:rsid w:val="007A2582"/>
    <w:rsid w:val="007A26CC"/>
    <w:rsid w:val="007A2754"/>
    <w:rsid w:val="007A27ED"/>
    <w:rsid w:val="007A2858"/>
    <w:rsid w:val="007A2880"/>
    <w:rsid w:val="007A2C02"/>
    <w:rsid w:val="007A2D1C"/>
    <w:rsid w:val="007A2DAB"/>
    <w:rsid w:val="007A2E90"/>
    <w:rsid w:val="007A313B"/>
    <w:rsid w:val="007A3148"/>
    <w:rsid w:val="007A3318"/>
    <w:rsid w:val="007A342E"/>
    <w:rsid w:val="007A343E"/>
    <w:rsid w:val="007A3458"/>
    <w:rsid w:val="007A3509"/>
    <w:rsid w:val="007A3AB2"/>
    <w:rsid w:val="007A3DC0"/>
    <w:rsid w:val="007A3EAA"/>
    <w:rsid w:val="007A3F2A"/>
    <w:rsid w:val="007A412F"/>
    <w:rsid w:val="007A423F"/>
    <w:rsid w:val="007A428F"/>
    <w:rsid w:val="007A43AD"/>
    <w:rsid w:val="007A44BA"/>
    <w:rsid w:val="007A45BD"/>
    <w:rsid w:val="007A460A"/>
    <w:rsid w:val="007A470E"/>
    <w:rsid w:val="007A4761"/>
    <w:rsid w:val="007A47A9"/>
    <w:rsid w:val="007A486B"/>
    <w:rsid w:val="007A48B2"/>
    <w:rsid w:val="007A4951"/>
    <w:rsid w:val="007A49A4"/>
    <w:rsid w:val="007A4B0E"/>
    <w:rsid w:val="007A4B22"/>
    <w:rsid w:val="007A4B4E"/>
    <w:rsid w:val="007A4B70"/>
    <w:rsid w:val="007A4B98"/>
    <w:rsid w:val="007A4C23"/>
    <w:rsid w:val="007A4D8B"/>
    <w:rsid w:val="007A4E9C"/>
    <w:rsid w:val="007A4EF6"/>
    <w:rsid w:val="007A5008"/>
    <w:rsid w:val="007A50EF"/>
    <w:rsid w:val="007A52CA"/>
    <w:rsid w:val="007A5467"/>
    <w:rsid w:val="007A54CF"/>
    <w:rsid w:val="007A54D7"/>
    <w:rsid w:val="007A5598"/>
    <w:rsid w:val="007A566C"/>
    <w:rsid w:val="007A57B6"/>
    <w:rsid w:val="007A587A"/>
    <w:rsid w:val="007A5909"/>
    <w:rsid w:val="007A59B0"/>
    <w:rsid w:val="007A5ACE"/>
    <w:rsid w:val="007A5AD2"/>
    <w:rsid w:val="007A5BA1"/>
    <w:rsid w:val="007A5C3B"/>
    <w:rsid w:val="007A5CA6"/>
    <w:rsid w:val="007A5D4C"/>
    <w:rsid w:val="007A5D8D"/>
    <w:rsid w:val="007A5DEB"/>
    <w:rsid w:val="007A5F78"/>
    <w:rsid w:val="007A5FC8"/>
    <w:rsid w:val="007A6050"/>
    <w:rsid w:val="007A621D"/>
    <w:rsid w:val="007A6313"/>
    <w:rsid w:val="007A63E0"/>
    <w:rsid w:val="007A645C"/>
    <w:rsid w:val="007A6737"/>
    <w:rsid w:val="007A67E9"/>
    <w:rsid w:val="007A6830"/>
    <w:rsid w:val="007A6873"/>
    <w:rsid w:val="007A68BB"/>
    <w:rsid w:val="007A6B20"/>
    <w:rsid w:val="007A6B95"/>
    <w:rsid w:val="007A6BEF"/>
    <w:rsid w:val="007A6C82"/>
    <w:rsid w:val="007A6CAE"/>
    <w:rsid w:val="007A6E35"/>
    <w:rsid w:val="007A6E73"/>
    <w:rsid w:val="007A6F2E"/>
    <w:rsid w:val="007A6F39"/>
    <w:rsid w:val="007A703B"/>
    <w:rsid w:val="007A714D"/>
    <w:rsid w:val="007A7190"/>
    <w:rsid w:val="007A71DD"/>
    <w:rsid w:val="007A720D"/>
    <w:rsid w:val="007A722C"/>
    <w:rsid w:val="007A730E"/>
    <w:rsid w:val="007A77CE"/>
    <w:rsid w:val="007A7839"/>
    <w:rsid w:val="007A7991"/>
    <w:rsid w:val="007A79B0"/>
    <w:rsid w:val="007A7A2C"/>
    <w:rsid w:val="007A7B3A"/>
    <w:rsid w:val="007A7B69"/>
    <w:rsid w:val="007A7D0A"/>
    <w:rsid w:val="007A7D41"/>
    <w:rsid w:val="007A7EF8"/>
    <w:rsid w:val="007B0010"/>
    <w:rsid w:val="007B032E"/>
    <w:rsid w:val="007B0394"/>
    <w:rsid w:val="007B05B7"/>
    <w:rsid w:val="007B0658"/>
    <w:rsid w:val="007B078A"/>
    <w:rsid w:val="007B07AD"/>
    <w:rsid w:val="007B07D2"/>
    <w:rsid w:val="007B08AD"/>
    <w:rsid w:val="007B0926"/>
    <w:rsid w:val="007B099F"/>
    <w:rsid w:val="007B09E2"/>
    <w:rsid w:val="007B0BA0"/>
    <w:rsid w:val="007B0BDE"/>
    <w:rsid w:val="007B0CA6"/>
    <w:rsid w:val="007B0D84"/>
    <w:rsid w:val="007B0EC1"/>
    <w:rsid w:val="007B1057"/>
    <w:rsid w:val="007B106A"/>
    <w:rsid w:val="007B11C4"/>
    <w:rsid w:val="007B1229"/>
    <w:rsid w:val="007B1258"/>
    <w:rsid w:val="007B12BD"/>
    <w:rsid w:val="007B1311"/>
    <w:rsid w:val="007B134E"/>
    <w:rsid w:val="007B135A"/>
    <w:rsid w:val="007B13F4"/>
    <w:rsid w:val="007B1431"/>
    <w:rsid w:val="007B1509"/>
    <w:rsid w:val="007B1538"/>
    <w:rsid w:val="007B1549"/>
    <w:rsid w:val="007B159B"/>
    <w:rsid w:val="007B15DA"/>
    <w:rsid w:val="007B15F3"/>
    <w:rsid w:val="007B15FE"/>
    <w:rsid w:val="007B19FA"/>
    <w:rsid w:val="007B1B04"/>
    <w:rsid w:val="007B1B79"/>
    <w:rsid w:val="007B1CB4"/>
    <w:rsid w:val="007B1EB2"/>
    <w:rsid w:val="007B1ECE"/>
    <w:rsid w:val="007B1F45"/>
    <w:rsid w:val="007B20C2"/>
    <w:rsid w:val="007B20F4"/>
    <w:rsid w:val="007B2207"/>
    <w:rsid w:val="007B223C"/>
    <w:rsid w:val="007B22EA"/>
    <w:rsid w:val="007B24EE"/>
    <w:rsid w:val="007B2520"/>
    <w:rsid w:val="007B254D"/>
    <w:rsid w:val="007B266C"/>
    <w:rsid w:val="007B26BD"/>
    <w:rsid w:val="007B2752"/>
    <w:rsid w:val="007B2765"/>
    <w:rsid w:val="007B2771"/>
    <w:rsid w:val="007B27D3"/>
    <w:rsid w:val="007B287D"/>
    <w:rsid w:val="007B2917"/>
    <w:rsid w:val="007B2972"/>
    <w:rsid w:val="007B2AAC"/>
    <w:rsid w:val="007B2B59"/>
    <w:rsid w:val="007B2C34"/>
    <w:rsid w:val="007B2DCF"/>
    <w:rsid w:val="007B2DDC"/>
    <w:rsid w:val="007B2F9C"/>
    <w:rsid w:val="007B3292"/>
    <w:rsid w:val="007B32AB"/>
    <w:rsid w:val="007B32DB"/>
    <w:rsid w:val="007B36A8"/>
    <w:rsid w:val="007B36B8"/>
    <w:rsid w:val="007B36ED"/>
    <w:rsid w:val="007B3768"/>
    <w:rsid w:val="007B37A4"/>
    <w:rsid w:val="007B37AB"/>
    <w:rsid w:val="007B37D0"/>
    <w:rsid w:val="007B39ED"/>
    <w:rsid w:val="007B3AC7"/>
    <w:rsid w:val="007B3AD1"/>
    <w:rsid w:val="007B3C75"/>
    <w:rsid w:val="007B3CF2"/>
    <w:rsid w:val="007B3D19"/>
    <w:rsid w:val="007B3F07"/>
    <w:rsid w:val="007B407E"/>
    <w:rsid w:val="007B41D0"/>
    <w:rsid w:val="007B424A"/>
    <w:rsid w:val="007B42CC"/>
    <w:rsid w:val="007B4468"/>
    <w:rsid w:val="007B4620"/>
    <w:rsid w:val="007B46E3"/>
    <w:rsid w:val="007B47EC"/>
    <w:rsid w:val="007B48B3"/>
    <w:rsid w:val="007B4940"/>
    <w:rsid w:val="007B4B24"/>
    <w:rsid w:val="007B4BE0"/>
    <w:rsid w:val="007B4C78"/>
    <w:rsid w:val="007B4E39"/>
    <w:rsid w:val="007B4E51"/>
    <w:rsid w:val="007B5027"/>
    <w:rsid w:val="007B51EC"/>
    <w:rsid w:val="007B51EF"/>
    <w:rsid w:val="007B5306"/>
    <w:rsid w:val="007B56D0"/>
    <w:rsid w:val="007B5706"/>
    <w:rsid w:val="007B57F1"/>
    <w:rsid w:val="007B589C"/>
    <w:rsid w:val="007B5A7C"/>
    <w:rsid w:val="007B5A98"/>
    <w:rsid w:val="007B5B4A"/>
    <w:rsid w:val="007B5CEE"/>
    <w:rsid w:val="007B5E54"/>
    <w:rsid w:val="007B5FBD"/>
    <w:rsid w:val="007B6075"/>
    <w:rsid w:val="007B6138"/>
    <w:rsid w:val="007B6149"/>
    <w:rsid w:val="007B6193"/>
    <w:rsid w:val="007B61A2"/>
    <w:rsid w:val="007B61AF"/>
    <w:rsid w:val="007B6320"/>
    <w:rsid w:val="007B6375"/>
    <w:rsid w:val="007B64B9"/>
    <w:rsid w:val="007B64CE"/>
    <w:rsid w:val="007B65DA"/>
    <w:rsid w:val="007B65E1"/>
    <w:rsid w:val="007B6851"/>
    <w:rsid w:val="007B6A10"/>
    <w:rsid w:val="007B6AC2"/>
    <w:rsid w:val="007B6B44"/>
    <w:rsid w:val="007B6B81"/>
    <w:rsid w:val="007B6C31"/>
    <w:rsid w:val="007B6D5D"/>
    <w:rsid w:val="007B6DFF"/>
    <w:rsid w:val="007B6E30"/>
    <w:rsid w:val="007B70F3"/>
    <w:rsid w:val="007B718E"/>
    <w:rsid w:val="007B71D3"/>
    <w:rsid w:val="007B7332"/>
    <w:rsid w:val="007B73CC"/>
    <w:rsid w:val="007B745F"/>
    <w:rsid w:val="007B746C"/>
    <w:rsid w:val="007B772C"/>
    <w:rsid w:val="007B7736"/>
    <w:rsid w:val="007B7764"/>
    <w:rsid w:val="007B78D3"/>
    <w:rsid w:val="007B7902"/>
    <w:rsid w:val="007B79B8"/>
    <w:rsid w:val="007B7A7D"/>
    <w:rsid w:val="007B7B22"/>
    <w:rsid w:val="007B7D13"/>
    <w:rsid w:val="007B7E00"/>
    <w:rsid w:val="007B7F37"/>
    <w:rsid w:val="007B7F9A"/>
    <w:rsid w:val="007C02D8"/>
    <w:rsid w:val="007C0361"/>
    <w:rsid w:val="007C040A"/>
    <w:rsid w:val="007C0431"/>
    <w:rsid w:val="007C043C"/>
    <w:rsid w:val="007C0508"/>
    <w:rsid w:val="007C0526"/>
    <w:rsid w:val="007C074E"/>
    <w:rsid w:val="007C0794"/>
    <w:rsid w:val="007C084E"/>
    <w:rsid w:val="007C094A"/>
    <w:rsid w:val="007C0982"/>
    <w:rsid w:val="007C0A31"/>
    <w:rsid w:val="007C0A75"/>
    <w:rsid w:val="007C0B23"/>
    <w:rsid w:val="007C0CA9"/>
    <w:rsid w:val="007C0CC9"/>
    <w:rsid w:val="007C0EDC"/>
    <w:rsid w:val="007C0F43"/>
    <w:rsid w:val="007C0F9E"/>
    <w:rsid w:val="007C1095"/>
    <w:rsid w:val="007C10A8"/>
    <w:rsid w:val="007C10D5"/>
    <w:rsid w:val="007C13AA"/>
    <w:rsid w:val="007C13B5"/>
    <w:rsid w:val="007C13D1"/>
    <w:rsid w:val="007C15CA"/>
    <w:rsid w:val="007C1632"/>
    <w:rsid w:val="007C17EB"/>
    <w:rsid w:val="007C190A"/>
    <w:rsid w:val="007C19A5"/>
    <w:rsid w:val="007C1AB5"/>
    <w:rsid w:val="007C1C18"/>
    <w:rsid w:val="007C1C32"/>
    <w:rsid w:val="007C1CDA"/>
    <w:rsid w:val="007C1DF6"/>
    <w:rsid w:val="007C20EA"/>
    <w:rsid w:val="007C21E8"/>
    <w:rsid w:val="007C220E"/>
    <w:rsid w:val="007C235F"/>
    <w:rsid w:val="007C23FD"/>
    <w:rsid w:val="007C2467"/>
    <w:rsid w:val="007C24BD"/>
    <w:rsid w:val="007C25DC"/>
    <w:rsid w:val="007C265B"/>
    <w:rsid w:val="007C28FE"/>
    <w:rsid w:val="007C2A2D"/>
    <w:rsid w:val="007C2CE7"/>
    <w:rsid w:val="007C2D0C"/>
    <w:rsid w:val="007C2D7D"/>
    <w:rsid w:val="007C2FC0"/>
    <w:rsid w:val="007C314D"/>
    <w:rsid w:val="007C3157"/>
    <w:rsid w:val="007C3206"/>
    <w:rsid w:val="007C33AA"/>
    <w:rsid w:val="007C3446"/>
    <w:rsid w:val="007C357B"/>
    <w:rsid w:val="007C36AA"/>
    <w:rsid w:val="007C3715"/>
    <w:rsid w:val="007C37AA"/>
    <w:rsid w:val="007C38A6"/>
    <w:rsid w:val="007C38E4"/>
    <w:rsid w:val="007C395C"/>
    <w:rsid w:val="007C396A"/>
    <w:rsid w:val="007C39F9"/>
    <w:rsid w:val="007C3B0F"/>
    <w:rsid w:val="007C3BF3"/>
    <w:rsid w:val="007C3CE1"/>
    <w:rsid w:val="007C3D31"/>
    <w:rsid w:val="007C3DD1"/>
    <w:rsid w:val="007C3E84"/>
    <w:rsid w:val="007C3EE6"/>
    <w:rsid w:val="007C3F81"/>
    <w:rsid w:val="007C4001"/>
    <w:rsid w:val="007C4075"/>
    <w:rsid w:val="007C40EE"/>
    <w:rsid w:val="007C41B7"/>
    <w:rsid w:val="007C4332"/>
    <w:rsid w:val="007C4342"/>
    <w:rsid w:val="007C4442"/>
    <w:rsid w:val="007C44A9"/>
    <w:rsid w:val="007C4536"/>
    <w:rsid w:val="007C457F"/>
    <w:rsid w:val="007C4586"/>
    <w:rsid w:val="007C45FD"/>
    <w:rsid w:val="007C46E6"/>
    <w:rsid w:val="007C4712"/>
    <w:rsid w:val="007C49AF"/>
    <w:rsid w:val="007C49B3"/>
    <w:rsid w:val="007C49B8"/>
    <w:rsid w:val="007C4A19"/>
    <w:rsid w:val="007C4C75"/>
    <w:rsid w:val="007C51D7"/>
    <w:rsid w:val="007C53E4"/>
    <w:rsid w:val="007C54A0"/>
    <w:rsid w:val="007C558B"/>
    <w:rsid w:val="007C55E2"/>
    <w:rsid w:val="007C56DC"/>
    <w:rsid w:val="007C5739"/>
    <w:rsid w:val="007C57CF"/>
    <w:rsid w:val="007C5887"/>
    <w:rsid w:val="007C5963"/>
    <w:rsid w:val="007C5A58"/>
    <w:rsid w:val="007C5A6B"/>
    <w:rsid w:val="007C5B71"/>
    <w:rsid w:val="007C5BAF"/>
    <w:rsid w:val="007C5BB6"/>
    <w:rsid w:val="007C5BBC"/>
    <w:rsid w:val="007C5C7E"/>
    <w:rsid w:val="007C5CC0"/>
    <w:rsid w:val="007C5CDB"/>
    <w:rsid w:val="007C5D4F"/>
    <w:rsid w:val="007C5E15"/>
    <w:rsid w:val="007C5E4E"/>
    <w:rsid w:val="007C5E69"/>
    <w:rsid w:val="007C5ECF"/>
    <w:rsid w:val="007C6023"/>
    <w:rsid w:val="007C61B1"/>
    <w:rsid w:val="007C6212"/>
    <w:rsid w:val="007C6316"/>
    <w:rsid w:val="007C6341"/>
    <w:rsid w:val="007C6401"/>
    <w:rsid w:val="007C64D9"/>
    <w:rsid w:val="007C6508"/>
    <w:rsid w:val="007C66FB"/>
    <w:rsid w:val="007C66FD"/>
    <w:rsid w:val="007C6852"/>
    <w:rsid w:val="007C6974"/>
    <w:rsid w:val="007C6A19"/>
    <w:rsid w:val="007C6B6D"/>
    <w:rsid w:val="007C6C25"/>
    <w:rsid w:val="007C6C69"/>
    <w:rsid w:val="007C6D52"/>
    <w:rsid w:val="007C70EC"/>
    <w:rsid w:val="007C7167"/>
    <w:rsid w:val="007C7219"/>
    <w:rsid w:val="007C72B7"/>
    <w:rsid w:val="007C7431"/>
    <w:rsid w:val="007C75E4"/>
    <w:rsid w:val="007C7662"/>
    <w:rsid w:val="007C76A3"/>
    <w:rsid w:val="007C771F"/>
    <w:rsid w:val="007C7756"/>
    <w:rsid w:val="007C7922"/>
    <w:rsid w:val="007C7957"/>
    <w:rsid w:val="007C7960"/>
    <w:rsid w:val="007C7B2E"/>
    <w:rsid w:val="007C7C52"/>
    <w:rsid w:val="007C7D36"/>
    <w:rsid w:val="007C7D5E"/>
    <w:rsid w:val="007C7DF7"/>
    <w:rsid w:val="007C7EE6"/>
    <w:rsid w:val="007C7F47"/>
    <w:rsid w:val="007D009E"/>
    <w:rsid w:val="007D0118"/>
    <w:rsid w:val="007D01F1"/>
    <w:rsid w:val="007D02E8"/>
    <w:rsid w:val="007D05E1"/>
    <w:rsid w:val="007D0961"/>
    <w:rsid w:val="007D0AF0"/>
    <w:rsid w:val="007D0B7C"/>
    <w:rsid w:val="007D0BC8"/>
    <w:rsid w:val="007D0BE0"/>
    <w:rsid w:val="007D0C62"/>
    <w:rsid w:val="007D0D76"/>
    <w:rsid w:val="007D0F07"/>
    <w:rsid w:val="007D1255"/>
    <w:rsid w:val="007D1395"/>
    <w:rsid w:val="007D146D"/>
    <w:rsid w:val="007D1553"/>
    <w:rsid w:val="007D162A"/>
    <w:rsid w:val="007D1795"/>
    <w:rsid w:val="007D185E"/>
    <w:rsid w:val="007D18AF"/>
    <w:rsid w:val="007D190C"/>
    <w:rsid w:val="007D1A0A"/>
    <w:rsid w:val="007D1C02"/>
    <w:rsid w:val="007D1D26"/>
    <w:rsid w:val="007D1E64"/>
    <w:rsid w:val="007D1EEC"/>
    <w:rsid w:val="007D204E"/>
    <w:rsid w:val="007D20C3"/>
    <w:rsid w:val="007D2213"/>
    <w:rsid w:val="007D22DF"/>
    <w:rsid w:val="007D2311"/>
    <w:rsid w:val="007D24FF"/>
    <w:rsid w:val="007D26D6"/>
    <w:rsid w:val="007D2883"/>
    <w:rsid w:val="007D299D"/>
    <w:rsid w:val="007D29D9"/>
    <w:rsid w:val="007D2A96"/>
    <w:rsid w:val="007D2B85"/>
    <w:rsid w:val="007D2DB2"/>
    <w:rsid w:val="007D2E8D"/>
    <w:rsid w:val="007D2F57"/>
    <w:rsid w:val="007D2F74"/>
    <w:rsid w:val="007D302E"/>
    <w:rsid w:val="007D3060"/>
    <w:rsid w:val="007D323B"/>
    <w:rsid w:val="007D32DD"/>
    <w:rsid w:val="007D32E8"/>
    <w:rsid w:val="007D341D"/>
    <w:rsid w:val="007D3491"/>
    <w:rsid w:val="007D34D3"/>
    <w:rsid w:val="007D36E1"/>
    <w:rsid w:val="007D372E"/>
    <w:rsid w:val="007D3800"/>
    <w:rsid w:val="007D3832"/>
    <w:rsid w:val="007D3918"/>
    <w:rsid w:val="007D3998"/>
    <w:rsid w:val="007D39AE"/>
    <w:rsid w:val="007D3AD4"/>
    <w:rsid w:val="007D3AE0"/>
    <w:rsid w:val="007D3AE8"/>
    <w:rsid w:val="007D3AEB"/>
    <w:rsid w:val="007D3C9F"/>
    <w:rsid w:val="007D3CE6"/>
    <w:rsid w:val="007D3DBB"/>
    <w:rsid w:val="007D3DD9"/>
    <w:rsid w:val="007D3F58"/>
    <w:rsid w:val="007D3F61"/>
    <w:rsid w:val="007D4194"/>
    <w:rsid w:val="007D41D9"/>
    <w:rsid w:val="007D4308"/>
    <w:rsid w:val="007D4380"/>
    <w:rsid w:val="007D450B"/>
    <w:rsid w:val="007D456A"/>
    <w:rsid w:val="007D457F"/>
    <w:rsid w:val="007D459E"/>
    <w:rsid w:val="007D45A4"/>
    <w:rsid w:val="007D4659"/>
    <w:rsid w:val="007D4715"/>
    <w:rsid w:val="007D4727"/>
    <w:rsid w:val="007D4BC0"/>
    <w:rsid w:val="007D4BEA"/>
    <w:rsid w:val="007D4CBF"/>
    <w:rsid w:val="007D4D0C"/>
    <w:rsid w:val="007D4E82"/>
    <w:rsid w:val="007D4E88"/>
    <w:rsid w:val="007D508B"/>
    <w:rsid w:val="007D5095"/>
    <w:rsid w:val="007D536F"/>
    <w:rsid w:val="007D53D9"/>
    <w:rsid w:val="007D5466"/>
    <w:rsid w:val="007D558E"/>
    <w:rsid w:val="007D55BA"/>
    <w:rsid w:val="007D5689"/>
    <w:rsid w:val="007D585D"/>
    <w:rsid w:val="007D58D2"/>
    <w:rsid w:val="007D5955"/>
    <w:rsid w:val="007D5B69"/>
    <w:rsid w:val="007D5B93"/>
    <w:rsid w:val="007D5BDE"/>
    <w:rsid w:val="007D5BF5"/>
    <w:rsid w:val="007D5C89"/>
    <w:rsid w:val="007D5D6F"/>
    <w:rsid w:val="007D5D7E"/>
    <w:rsid w:val="007D5DDE"/>
    <w:rsid w:val="007D5F57"/>
    <w:rsid w:val="007D5F6C"/>
    <w:rsid w:val="007D5F84"/>
    <w:rsid w:val="007D6075"/>
    <w:rsid w:val="007D60BB"/>
    <w:rsid w:val="007D627B"/>
    <w:rsid w:val="007D62CC"/>
    <w:rsid w:val="007D62F7"/>
    <w:rsid w:val="007D631E"/>
    <w:rsid w:val="007D64CB"/>
    <w:rsid w:val="007D665D"/>
    <w:rsid w:val="007D689D"/>
    <w:rsid w:val="007D6C01"/>
    <w:rsid w:val="007D6C11"/>
    <w:rsid w:val="007D6DCB"/>
    <w:rsid w:val="007D6E12"/>
    <w:rsid w:val="007D6F5F"/>
    <w:rsid w:val="007D6FB2"/>
    <w:rsid w:val="007D7014"/>
    <w:rsid w:val="007D710B"/>
    <w:rsid w:val="007D72F4"/>
    <w:rsid w:val="007D7370"/>
    <w:rsid w:val="007D745F"/>
    <w:rsid w:val="007D7496"/>
    <w:rsid w:val="007D74ED"/>
    <w:rsid w:val="007D7638"/>
    <w:rsid w:val="007D777A"/>
    <w:rsid w:val="007D790A"/>
    <w:rsid w:val="007D7978"/>
    <w:rsid w:val="007D79B2"/>
    <w:rsid w:val="007D79C7"/>
    <w:rsid w:val="007D7C20"/>
    <w:rsid w:val="007D7D24"/>
    <w:rsid w:val="007D7E54"/>
    <w:rsid w:val="007D7EE4"/>
    <w:rsid w:val="007D8FD3"/>
    <w:rsid w:val="007E0056"/>
    <w:rsid w:val="007E018A"/>
    <w:rsid w:val="007E021F"/>
    <w:rsid w:val="007E0241"/>
    <w:rsid w:val="007E0242"/>
    <w:rsid w:val="007E025A"/>
    <w:rsid w:val="007E029B"/>
    <w:rsid w:val="007E0370"/>
    <w:rsid w:val="007E0414"/>
    <w:rsid w:val="007E0451"/>
    <w:rsid w:val="007E04A0"/>
    <w:rsid w:val="007E0506"/>
    <w:rsid w:val="007E07B0"/>
    <w:rsid w:val="007E07CC"/>
    <w:rsid w:val="007E081B"/>
    <w:rsid w:val="007E0A2C"/>
    <w:rsid w:val="007E0A59"/>
    <w:rsid w:val="007E0D43"/>
    <w:rsid w:val="007E0DA6"/>
    <w:rsid w:val="007E0E0E"/>
    <w:rsid w:val="007E0EB1"/>
    <w:rsid w:val="007E0F66"/>
    <w:rsid w:val="007E0FD7"/>
    <w:rsid w:val="007E1117"/>
    <w:rsid w:val="007E111E"/>
    <w:rsid w:val="007E12FF"/>
    <w:rsid w:val="007E1323"/>
    <w:rsid w:val="007E137F"/>
    <w:rsid w:val="007E160C"/>
    <w:rsid w:val="007E16BC"/>
    <w:rsid w:val="007E176D"/>
    <w:rsid w:val="007E179F"/>
    <w:rsid w:val="007E18BC"/>
    <w:rsid w:val="007E18D6"/>
    <w:rsid w:val="007E1944"/>
    <w:rsid w:val="007E1AFE"/>
    <w:rsid w:val="007E1B21"/>
    <w:rsid w:val="007E1B2D"/>
    <w:rsid w:val="007E1B34"/>
    <w:rsid w:val="007E1B67"/>
    <w:rsid w:val="007E1D9D"/>
    <w:rsid w:val="007E1F0E"/>
    <w:rsid w:val="007E1F17"/>
    <w:rsid w:val="007E1F39"/>
    <w:rsid w:val="007E2156"/>
    <w:rsid w:val="007E21BE"/>
    <w:rsid w:val="007E21DB"/>
    <w:rsid w:val="007E2428"/>
    <w:rsid w:val="007E244C"/>
    <w:rsid w:val="007E25D8"/>
    <w:rsid w:val="007E27A4"/>
    <w:rsid w:val="007E2B83"/>
    <w:rsid w:val="007E2C01"/>
    <w:rsid w:val="007E2EDA"/>
    <w:rsid w:val="007E2FDB"/>
    <w:rsid w:val="007E3023"/>
    <w:rsid w:val="007E312D"/>
    <w:rsid w:val="007E319A"/>
    <w:rsid w:val="007E327C"/>
    <w:rsid w:val="007E32F1"/>
    <w:rsid w:val="007E34CD"/>
    <w:rsid w:val="007E34EC"/>
    <w:rsid w:val="007E356A"/>
    <w:rsid w:val="007E35F5"/>
    <w:rsid w:val="007E3659"/>
    <w:rsid w:val="007E36D0"/>
    <w:rsid w:val="007E3762"/>
    <w:rsid w:val="007E3773"/>
    <w:rsid w:val="007E3785"/>
    <w:rsid w:val="007E37C0"/>
    <w:rsid w:val="007E3812"/>
    <w:rsid w:val="007E3904"/>
    <w:rsid w:val="007E3990"/>
    <w:rsid w:val="007E39E3"/>
    <w:rsid w:val="007E3A3F"/>
    <w:rsid w:val="007E3AB9"/>
    <w:rsid w:val="007E3C35"/>
    <w:rsid w:val="007E4128"/>
    <w:rsid w:val="007E4395"/>
    <w:rsid w:val="007E449E"/>
    <w:rsid w:val="007E44FC"/>
    <w:rsid w:val="007E45E4"/>
    <w:rsid w:val="007E46B0"/>
    <w:rsid w:val="007E4789"/>
    <w:rsid w:val="007E47D8"/>
    <w:rsid w:val="007E484A"/>
    <w:rsid w:val="007E4893"/>
    <w:rsid w:val="007E4895"/>
    <w:rsid w:val="007E49BA"/>
    <w:rsid w:val="007E4A8D"/>
    <w:rsid w:val="007E4B6F"/>
    <w:rsid w:val="007E4C4E"/>
    <w:rsid w:val="007E4C84"/>
    <w:rsid w:val="007E4E59"/>
    <w:rsid w:val="007E4E80"/>
    <w:rsid w:val="007E4FF8"/>
    <w:rsid w:val="007E501C"/>
    <w:rsid w:val="007E50AA"/>
    <w:rsid w:val="007E52DF"/>
    <w:rsid w:val="007E530E"/>
    <w:rsid w:val="007E5419"/>
    <w:rsid w:val="007E5442"/>
    <w:rsid w:val="007E5514"/>
    <w:rsid w:val="007E5603"/>
    <w:rsid w:val="007E56EA"/>
    <w:rsid w:val="007E5899"/>
    <w:rsid w:val="007E58E3"/>
    <w:rsid w:val="007E5A66"/>
    <w:rsid w:val="007E5A90"/>
    <w:rsid w:val="007E5AB2"/>
    <w:rsid w:val="007E5B33"/>
    <w:rsid w:val="007E5D5B"/>
    <w:rsid w:val="007E5FBB"/>
    <w:rsid w:val="007E5FFD"/>
    <w:rsid w:val="007E600D"/>
    <w:rsid w:val="007E610F"/>
    <w:rsid w:val="007E6266"/>
    <w:rsid w:val="007E626C"/>
    <w:rsid w:val="007E629C"/>
    <w:rsid w:val="007E62F0"/>
    <w:rsid w:val="007E6336"/>
    <w:rsid w:val="007E6420"/>
    <w:rsid w:val="007E648D"/>
    <w:rsid w:val="007E65FD"/>
    <w:rsid w:val="007E69BD"/>
    <w:rsid w:val="007E69D1"/>
    <w:rsid w:val="007E6A53"/>
    <w:rsid w:val="007E6BE0"/>
    <w:rsid w:val="007E6C09"/>
    <w:rsid w:val="007E6C42"/>
    <w:rsid w:val="007E6F73"/>
    <w:rsid w:val="007E6FBB"/>
    <w:rsid w:val="007E6FE1"/>
    <w:rsid w:val="007E70D7"/>
    <w:rsid w:val="007E7177"/>
    <w:rsid w:val="007E7295"/>
    <w:rsid w:val="007E7448"/>
    <w:rsid w:val="007E75FA"/>
    <w:rsid w:val="007E761D"/>
    <w:rsid w:val="007E7726"/>
    <w:rsid w:val="007E77D3"/>
    <w:rsid w:val="007E7919"/>
    <w:rsid w:val="007E7958"/>
    <w:rsid w:val="007E7991"/>
    <w:rsid w:val="007E7C17"/>
    <w:rsid w:val="007E7C61"/>
    <w:rsid w:val="007E7CA2"/>
    <w:rsid w:val="007E7CD8"/>
    <w:rsid w:val="007E7CFE"/>
    <w:rsid w:val="007E7D34"/>
    <w:rsid w:val="007E7D4D"/>
    <w:rsid w:val="007E7D5F"/>
    <w:rsid w:val="007E7D9F"/>
    <w:rsid w:val="007E7F6F"/>
    <w:rsid w:val="007F0042"/>
    <w:rsid w:val="007F0052"/>
    <w:rsid w:val="007F0093"/>
    <w:rsid w:val="007F009D"/>
    <w:rsid w:val="007F0205"/>
    <w:rsid w:val="007F02A2"/>
    <w:rsid w:val="007F06BA"/>
    <w:rsid w:val="007F08C6"/>
    <w:rsid w:val="007F08DB"/>
    <w:rsid w:val="007F0931"/>
    <w:rsid w:val="007F0957"/>
    <w:rsid w:val="007F097E"/>
    <w:rsid w:val="007F0A9E"/>
    <w:rsid w:val="007F0B60"/>
    <w:rsid w:val="007F0B76"/>
    <w:rsid w:val="007F0C08"/>
    <w:rsid w:val="007F0CC1"/>
    <w:rsid w:val="007F0CD8"/>
    <w:rsid w:val="007F0E31"/>
    <w:rsid w:val="007F0F28"/>
    <w:rsid w:val="007F0FB5"/>
    <w:rsid w:val="007F10D5"/>
    <w:rsid w:val="007F11B5"/>
    <w:rsid w:val="007F128C"/>
    <w:rsid w:val="007F12EA"/>
    <w:rsid w:val="007F147B"/>
    <w:rsid w:val="007F14CA"/>
    <w:rsid w:val="007F1586"/>
    <w:rsid w:val="007F1680"/>
    <w:rsid w:val="007F17C0"/>
    <w:rsid w:val="007F17F1"/>
    <w:rsid w:val="007F18B7"/>
    <w:rsid w:val="007F19A0"/>
    <w:rsid w:val="007F19B1"/>
    <w:rsid w:val="007F19E6"/>
    <w:rsid w:val="007F1B0B"/>
    <w:rsid w:val="007F1CE9"/>
    <w:rsid w:val="007F1D7E"/>
    <w:rsid w:val="007F1DBC"/>
    <w:rsid w:val="007F1DED"/>
    <w:rsid w:val="007F1DFF"/>
    <w:rsid w:val="007F1EB1"/>
    <w:rsid w:val="007F202A"/>
    <w:rsid w:val="007F211E"/>
    <w:rsid w:val="007F22CE"/>
    <w:rsid w:val="007F237D"/>
    <w:rsid w:val="007F2434"/>
    <w:rsid w:val="007F2609"/>
    <w:rsid w:val="007F2803"/>
    <w:rsid w:val="007F287D"/>
    <w:rsid w:val="007F28F4"/>
    <w:rsid w:val="007F2964"/>
    <w:rsid w:val="007F29C5"/>
    <w:rsid w:val="007F29F1"/>
    <w:rsid w:val="007F2A58"/>
    <w:rsid w:val="007F2C1A"/>
    <w:rsid w:val="007F2CBD"/>
    <w:rsid w:val="007F2DA8"/>
    <w:rsid w:val="007F2E02"/>
    <w:rsid w:val="007F2F5A"/>
    <w:rsid w:val="007F301B"/>
    <w:rsid w:val="007F3026"/>
    <w:rsid w:val="007F31C9"/>
    <w:rsid w:val="007F3229"/>
    <w:rsid w:val="007F3298"/>
    <w:rsid w:val="007F32DB"/>
    <w:rsid w:val="007F3488"/>
    <w:rsid w:val="007F34C7"/>
    <w:rsid w:val="007F35B2"/>
    <w:rsid w:val="007F363C"/>
    <w:rsid w:val="007F36A0"/>
    <w:rsid w:val="007F3726"/>
    <w:rsid w:val="007F378E"/>
    <w:rsid w:val="007F3879"/>
    <w:rsid w:val="007F3919"/>
    <w:rsid w:val="007F3B13"/>
    <w:rsid w:val="007F3C2E"/>
    <w:rsid w:val="007F3C37"/>
    <w:rsid w:val="007F3CE4"/>
    <w:rsid w:val="007F3D6D"/>
    <w:rsid w:val="007F3E4A"/>
    <w:rsid w:val="007F3FC8"/>
    <w:rsid w:val="007F3FF9"/>
    <w:rsid w:val="007F413D"/>
    <w:rsid w:val="007F44FF"/>
    <w:rsid w:val="007F451D"/>
    <w:rsid w:val="007F4721"/>
    <w:rsid w:val="007F4A7B"/>
    <w:rsid w:val="007F4B21"/>
    <w:rsid w:val="007F4C2E"/>
    <w:rsid w:val="007F4C47"/>
    <w:rsid w:val="007F4D0C"/>
    <w:rsid w:val="007F4DAB"/>
    <w:rsid w:val="007F4DF9"/>
    <w:rsid w:val="007F4E35"/>
    <w:rsid w:val="007F4EE0"/>
    <w:rsid w:val="007F4F70"/>
    <w:rsid w:val="007F4F8D"/>
    <w:rsid w:val="007F5047"/>
    <w:rsid w:val="007F5052"/>
    <w:rsid w:val="007F5114"/>
    <w:rsid w:val="007F5144"/>
    <w:rsid w:val="007F51B9"/>
    <w:rsid w:val="007F52A5"/>
    <w:rsid w:val="007F52C6"/>
    <w:rsid w:val="007F5405"/>
    <w:rsid w:val="007F5493"/>
    <w:rsid w:val="007F54C6"/>
    <w:rsid w:val="007F5515"/>
    <w:rsid w:val="007F55AD"/>
    <w:rsid w:val="007F5832"/>
    <w:rsid w:val="007F5917"/>
    <w:rsid w:val="007F5A4F"/>
    <w:rsid w:val="007F5A5C"/>
    <w:rsid w:val="007F5B44"/>
    <w:rsid w:val="007F5B8C"/>
    <w:rsid w:val="007F5BA0"/>
    <w:rsid w:val="007F5E56"/>
    <w:rsid w:val="007F5E73"/>
    <w:rsid w:val="007F5E96"/>
    <w:rsid w:val="007F61ED"/>
    <w:rsid w:val="007F6222"/>
    <w:rsid w:val="007F6323"/>
    <w:rsid w:val="007F64E0"/>
    <w:rsid w:val="007F6566"/>
    <w:rsid w:val="007F6743"/>
    <w:rsid w:val="007F6769"/>
    <w:rsid w:val="007F6790"/>
    <w:rsid w:val="007F67FB"/>
    <w:rsid w:val="007F6934"/>
    <w:rsid w:val="007F6B0D"/>
    <w:rsid w:val="007F6C57"/>
    <w:rsid w:val="007F6D61"/>
    <w:rsid w:val="007F6F15"/>
    <w:rsid w:val="007F7046"/>
    <w:rsid w:val="007F7197"/>
    <w:rsid w:val="007F71F4"/>
    <w:rsid w:val="007F72E4"/>
    <w:rsid w:val="007F7345"/>
    <w:rsid w:val="007F744E"/>
    <w:rsid w:val="007F755A"/>
    <w:rsid w:val="007F7885"/>
    <w:rsid w:val="007F78D2"/>
    <w:rsid w:val="007F78F3"/>
    <w:rsid w:val="007F7908"/>
    <w:rsid w:val="007F7916"/>
    <w:rsid w:val="007F7956"/>
    <w:rsid w:val="007F799B"/>
    <w:rsid w:val="007F7A97"/>
    <w:rsid w:val="007F7AD4"/>
    <w:rsid w:val="007F7B53"/>
    <w:rsid w:val="007F7CAA"/>
    <w:rsid w:val="007F7E33"/>
    <w:rsid w:val="007F7EC5"/>
    <w:rsid w:val="007F7ED6"/>
    <w:rsid w:val="007F7FCC"/>
    <w:rsid w:val="00800016"/>
    <w:rsid w:val="00800131"/>
    <w:rsid w:val="00800254"/>
    <w:rsid w:val="008003C9"/>
    <w:rsid w:val="00800428"/>
    <w:rsid w:val="00800489"/>
    <w:rsid w:val="00800597"/>
    <w:rsid w:val="008005B2"/>
    <w:rsid w:val="00800A46"/>
    <w:rsid w:val="00800A7E"/>
    <w:rsid w:val="00800B08"/>
    <w:rsid w:val="00800B93"/>
    <w:rsid w:val="00800B9E"/>
    <w:rsid w:val="00800E05"/>
    <w:rsid w:val="00800E2D"/>
    <w:rsid w:val="00800E71"/>
    <w:rsid w:val="008010A2"/>
    <w:rsid w:val="008010E6"/>
    <w:rsid w:val="00801169"/>
    <w:rsid w:val="0080117D"/>
    <w:rsid w:val="008012C6"/>
    <w:rsid w:val="0080132A"/>
    <w:rsid w:val="00801336"/>
    <w:rsid w:val="0080144F"/>
    <w:rsid w:val="008018D8"/>
    <w:rsid w:val="00801904"/>
    <w:rsid w:val="00801951"/>
    <w:rsid w:val="008019E0"/>
    <w:rsid w:val="00801C67"/>
    <w:rsid w:val="00801E37"/>
    <w:rsid w:val="0080202D"/>
    <w:rsid w:val="00802170"/>
    <w:rsid w:val="00802231"/>
    <w:rsid w:val="00802299"/>
    <w:rsid w:val="0080238E"/>
    <w:rsid w:val="00802445"/>
    <w:rsid w:val="00802546"/>
    <w:rsid w:val="008026CE"/>
    <w:rsid w:val="008027C0"/>
    <w:rsid w:val="008028E4"/>
    <w:rsid w:val="00802B4C"/>
    <w:rsid w:val="00802BE6"/>
    <w:rsid w:val="00802C98"/>
    <w:rsid w:val="00802CCF"/>
    <w:rsid w:val="00802CE1"/>
    <w:rsid w:val="00802D26"/>
    <w:rsid w:val="00802DEE"/>
    <w:rsid w:val="00802E22"/>
    <w:rsid w:val="0080307C"/>
    <w:rsid w:val="00803139"/>
    <w:rsid w:val="00803285"/>
    <w:rsid w:val="008033EF"/>
    <w:rsid w:val="00803412"/>
    <w:rsid w:val="0080342F"/>
    <w:rsid w:val="0080347C"/>
    <w:rsid w:val="0080356E"/>
    <w:rsid w:val="0080385A"/>
    <w:rsid w:val="008039A5"/>
    <w:rsid w:val="008039DD"/>
    <w:rsid w:val="00803AC4"/>
    <w:rsid w:val="00803CA5"/>
    <w:rsid w:val="008040D8"/>
    <w:rsid w:val="008040E2"/>
    <w:rsid w:val="0080413F"/>
    <w:rsid w:val="00804260"/>
    <w:rsid w:val="0080429A"/>
    <w:rsid w:val="008042DA"/>
    <w:rsid w:val="008044BB"/>
    <w:rsid w:val="00804531"/>
    <w:rsid w:val="0080459C"/>
    <w:rsid w:val="0080470D"/>
    <w:rsid w:val="00804815"/>
    <w:rsid w:val="0080488C"/>
    <w:rsid w:val="00804931"/>
    <w:rsid w:val="00804C0C"/>
    <w:rsid w:val="00804F54"/>
    <w:rsid w:val="00804FA3"/>
    <w:rsid w:val="00805003"/>
    <w:rsid w:val="008050E4"/>
    <w:rsid w:val="008050EB"/>
    <w:rsid w:val="00805348"/>
    <w:rsid w:val="00805411"/>
    <w:rsid w:val="0080563C"/>
    <w:rsid w:val="008056DD"/>
    <w:rsid w:val="008057D9"/>
    <w:rsid w:val="0080588F"/>
    <w:rsid w:val="008058A0"/>
    <w:rsid w:val="00805926"/>
    <w:rsid w:val="00805C64"/>
    <w:rsid w:val="00805D12"/>
    <w:rsid w:val="00805D31"/>
    <w:rsid w:val="00805D53"/>
    <w:rsid w:val="00805E7A"/>
    <w:rsid w:val="00805F3B"/>
    <w:rsid w:val="00805FEF"/>
    <w:rsid w:val="008060C9"/>
    <w:rsid w:val="0080618D"/>
    <w:rsid w:val="0080626C"/>
    <w:rsid w:val="008062D6"/>
    <w:rsid w:val="0080639A"/>
    <w:rsid w:val="0080660D"/>
    <w:rsid w:val="008066A4"/>
    <w:rsid w:val="008066DB"/>
    <w:rsid w:val="008066E5"/>
    <w:rsid w:val="00806740"/>
    <w:rsid w:val="00806900"/>
    <w:rsid w:val="00806AF7"/>
    <w:rsid w:val="00806B12"/>
    <w:rsid w:val="00806B44"/>
    <w:rsid w:val="00806B79"/>
    <w:rsid w:val="00806DE5"/>
    <w:rsid w:val="00806E72"/>
    <w:rsid w:val="008070E3"/>
    <w:rsid w:val="00807102"/>
    <w:rsid w:val="00807154"/>
    <w:rsid w:val="008071F4"/>
    <w:rsid w:val="008072DE"/>
    <w:rsid w:val="00807371"/>
    <w:rsid w:val="00807443"/>
    <w:rsid w:val="0080746F"/>
    <w:rsid w:val="00807477"/>
    <w:rsid w:val="008075D9"/>
    <w:rsid w:val="00807667"/>
    <w:rsid w:val="00807678"/>
    <w:rsid w:val="008077E5"/>
    <w:rsid w:val="00807859"/>
    <w:rsid w:val="00807948"/>
    <w:rsid w:val="00807A96"/>
    <w:rsid w:val="00807D6F"/>
    <w:rsid w:val="00807E82"/>
    <w:rsid w:val="00807FB8"/>
    <w:rsid w:val="00807FF8"/>
    <w:rsid w:val="00810039"/>
    <w:rsid w:val="00810069"/>
    <w:rsid w:val="008100D4"/>
    <w:rsid w:val="00810284"/>
    <w:rsid w:val="008103D5"/>
    <w:rsid w:val="008103EA"/>
    <w:rsid w:val="008104F3"/>
    <w:rsid w:val="0081068F"/>
    <w:rsid w:val="0081092A"/>
    <w:rsid w:val="00810A58"/>
    <w:rsid w:val="00810B0F"/>
    <w:rsid w:val="00810B46"/>
    <w:rsid w:val="00810C1C"/>
    <w:rsid w:val="00810C7A"/>
    <w:rsid w:val="00810CBF"/>
    <w:rsid w:val="00810DF1"/>
    <w:rsid w:val="00810EA8"/>
    <w:rsid w:val="00810EFC"/>
    <w:rsid w:val="00810F9C"/>
    <w:rsid w:val="00810FE6"/>
    <w:rsid w:val="0081107B"/>
    <w:rsid w:val="00811328"/>
    <w:rsid w:val="008113F3"/>
    <w:rsid w:val="0081152F"/>
    <w:rsid w:val="0081169E"/>
    <w:rsid w:val="0081175C"/>
    <w:rsid w:val="0081182D"/>
    <w:rsid w:val="0081185F"/>
    <w:rsid w:val="00811861"/>
    <w:rsid w:val="0081186A"/>
    <w:rsid w:val="008118CE"/>
    <w:rsid w:val="0081198F"/>
    <w:rsid w:val="008119EA"/>
    <w:rsid w:val="00811A6B"/>
    <w:rsid w:val="00811AC8"/>
    <w:rsid w:val="00811AC9"/>
    <w:rsid w:val="00811B10"/>
    <w:rsid w:val="00811B24"/>
    <w:rsid w:val="00811B4A"/>
    <w:rsid w:val="00811BD0"/>
    <w:rsid w:val="00811D81"/>
    <w:rsid w:val="00811DEB"/>
    <w:rsid w:val="00811F53"/>
    <w:rsid w:val="00811FB4"/>
    <w:rsid w:val="008120E1"/>
    <w:rsid w:val="00812236"/>
    <w:rsid w:val="0081234E"/>
    <w:rsid w:val="00812375"/>
    <w:rsid w:val="008124E9"/>
    <w:rsid w:val="008126A3"/>
    <w:rsid w:val="008128F4"/>
    <w:rsid w:val="0081295E"/>
    <w:rsid w:val="008129EF"/>
    <w:rsid w:val="00812B9D"/>
    <w:rsid w:val="00812B9E"/>
    <w:rsid w:val="00812BDD"/>
    <w:rsid w:val="00812D31"/>
    <w:rsid w:val="00812D5D"/>
    <w:rsid w:val="00812E56"/>
    <w:rsid w:val="00812EA0"/>
    <w:rsid w:val="008130AC"/>
    <w:rsid w:val="008130D3"/>
    <w:rsid w:val="00813195"/>
    <w:rsid w:val="008131BC"/>
    <w:rsid w:val="008132BA"/>
    <w:rsid w:val="00813386"/>
    <w:rsid w:val="008133B1"/>
    <w:rsid w:val="00813409"/>
    <w:rsid w:val="0081356F"/>
    <w:rsid w:val="00813739"/>
    <w:rsid w:val="008138B9"/>
    <w:rsid w:val="0081390C"/>
    <w:rsid w:val="0081393A"/>
    <w:rsid w:val="00813952"/>
    <w:rsid w:val="008139CC"/>
    <w:rsid w:val="00813A19"/>
    <w:rsid w:val="00813ACF"/>
    <w:rsid w:val="00813B5C"/>
    <w:rsid w:val="00813BB0"/>
    <w:rsid w:val="00813C51"/>
    <w:rsid w:val="00813DC4"/>
    <w:rsid w:val="00813DDC"/>
    <w:rsid w:val="00814040"/>
    <w:rsid w:val="00814049"/>
    <w:rsid w:val="00814097"/>
    <w:rsid w:val="008140C7"/>
    <w:rsid w:val="008142F7"/>
    <w:rsid w:val="00814437"/>
    <w:rsid w:val="008144AF"/>
    <w:rsid w:val="00814514"/>
    <w:rsid w:val="0081455D"/>
    <w:rsid w:val="008145B6"/>
    <w:rsid w:val="008145DC"/>
    <w:rsid w:val="00814645"/>
    <w:rsid w:val="0081467C"/>
    <w:rsid w:val="008146F8"/>
    <w:rsid w:val="008147A6"/>
    <w:rsid w:val="0081499C"/>
    <w:rsid w:val="00814A30"/>
    <w:rsid w:val="00814C76"/>
    <w:rsid w:val="00814C85"/>
    <w:rsid w:val="00814CB8"/>
    <w:rsid w:val="00814D79"/>
    <w:rsid w:val="00814E6A"/>
    <w:rsid w:val="00814EFF"/>
    <w:rsid w:val="00814F99"/>
    <w:rsid w:val="00814FF0"/>
    <w:rsid w:val="00815061"/>
    <w:rsid w:val="00815066"/>
    <w:rsid w:val="0081510C"/>
    <w:rsid w:val="008151DF"/>
    <w:rsid w:val="008151F5"/>
    <w:rsid w:val="0081523A"/>
    <w:rsid w:val="008152BB"/>
    <w:rsid w:val="00815315"/>
    <w:rsid w:val="00815335"/>
    <w:rsid w:val="0081541E"/>
    <w:rsid w:val="0081555C"/>
    <w:rsid w:val="00815717"/>
    <w:rsid w:val="008158FE"/>
    <w:rsid w:val="008159A1"/>
    <w:rsid w:val="00815A97"/>
    <w:rsid w:val="00815C4B"/>
    <w:rsid w:val="00815C5E"/>
    <w:rsid w:val="00815D27"/>
    <w:rsid w:val="00815E16"/>
    <w:rsid w:val="00815E7C"/>
    <w:rsid w:val="008160C9"/>
    <w:rsid w:val="008160EB"/>
    <w:rsid w:val="0081635D"/>
    <w:rsid w:val="00816536"/>
    <w:rsid w:val="0081658A"/>
    <w:rsid w:val="008165EC"/>
    <w:rsid w:val="008166AC"/>
    <w:rsid w:val="00816871"/>
    <w:rsid w:val="008168C6"/>
    <w:rsid w:val="00816B75"/>
    <w:rsid w:val="00816BB6"/>
    <w:rsid w:val="00816C1B"/>
    <w:rsid w:val="00816C87"/>
    <w:rsid w:val="00816D22"/>
    <w:rsid w:val="00816D50"/>
    <w:rsid w:val="00816D5D"/>
    <w:rsid w:val="00816E5B"/>
    <w:rsid w:val="00816E8A"/>
    <w:rsid w:val="00816E8B"/>
    <w:rsid w:val="00817113"/>
    <w:rsid w:val="0081712C"/>
    <w:rsid w:val="0081715E"/>
    <w:rsid w:val="008171EB"/>
    <w:rsid w:val="00817451"/>
    <w:rsid w:val="008175C3"/>
    <w:rsid w:val="0081769B"/>
    <w:rsid w:val="008176A5"/>
    <w:rsid w:val="0081777D"/>
    <w:rsid w:val="00817831"/>
    <w:rsid w:val="00817A1C"/>
    <w:rsid w:val="00817D7A"/>
    <w:rsid w:val="00817F8E"/>
    <w:rsid w:val="00820150"/>
    <w:rsid w:val="00820177"/>
    <w:rsid w:val="0082021D"/>
    <w:rsid w:val="00820397"/>
    <w:rsid w:val="008203F4"/>
    <w:rsid w:val="00820518"/>
    <w:rsid w:val="0082058D"/>
    <w:rsid w:val="008205E6"/>
    <w:rsid w:val="008205F1"/>
    <w:rsid w:val="008206AC"/>
    <w:rsid w:val="00820824"/>
    <w:rsid w:val="00820932"/>
    <w:rsid w:val="00820EFA"/>
    <w:rsid w:val="00820F3A"/>
    <w:rsid w:val="00821047"/>
    <w:rsid w:val="0082126E"/>
    <w:rsid w:val="008212A4"/>
    <w:rsid w:val="00821386"/>
    <w:rsid w:val="008214D1"/>
    <w:rsid w:val="0082164E"/>
    <w:rsid w:val="008217F3"/>
    <w:rsid w:val="008218DF"/>
    <w:rsid w:val="008219C0"/>
    <w:rsid w:val="00821A22"/>
    <w:rsid w:val="00821B00"/>
    <w:rsid w:val="00821CD6"/>
    <w:rsid w:val="00821EDC"/>
    <w:rsid w:val="00822099"/>
    <w:rsid w:val="0082218D"/>
    <w:rsid w:val="008221A0"/>
    <w:rsid w:val="0082221A"/>
    <w:rsid w:val="00822228"/>
    <w:rsid w:val="00822248"/>
    <w:rsid w:val="00822420"/>
    <w:rsid w:val="008224CE"/>
    <w:rsid w:val="0082256B"/>
    <w:rsid w:val="0082260B"/>
    <w:rsid w:val="00822694"/>
    <w:rsid w:val="008227A1"/>
    <w:rsid w:val="00822821"/>
    <w:rsid w:val="00822842"/>
    <w:rsid w:val="00822953"/>
    <w:rsid w:val="00822AB4"/>
    <w:rsid w:val="00822ACC"/>
    <w:rsid w:val="00822B2C"/>
    <w:rsid w:val="00822C7F"/>
    <w:rsid w:val="00822CBC"/>
    <w:rsid w:val="00822D63"/>
    <w:rsid w:val="00822DC4"/>
    <w:rsid w:val="00822E03"/>
    <w:rsid w:val="00822E0E"/>
    <w:rsid w:val="00822E94"/>
    <w:rsid w:val="00822EDD"/>
    <w:rsid w:val="00823043"/>
    <w:rsid w:val="0082304C"/>
    <w:rsid w:val="0082309B"/>
    <w:rsid w:val="008230C3"/>
    <w:rsid w:val="00823145"/>
    <w:rsid w:val="0082319E"/>
    <w:rsid w:val="008231AA"/>
    <w:rsid w:val="008231E4"/>
    <w:rsid w:val="00823218"/>
    <w:rsid w:val="0082325A"/>
    <w:rsid w:val="00823272"/>
    <w:rsid w:val="0082330B"/>
    <w:rsid w:val="00823365"/>
    <w:rsid w:val="008233DD"/>
    <w:rsid w:val="008233E7"/>
    <w:rsid w:val="0082343C"/>
    <w:rsid w:val="00823457"/>
    <w:rsid w:val="0082345A"/>
    <w:rsid w:val="008235CA"/>
    <w:rsid w:val="00823844"/>
    <w:rsid w:val="00823A44"/>
    <w:rsid w:val="00823B0D"/>
    <w:rsid w:val="00823C5D"/>
    <w:rsid w:val="00823F29"/>
    <w:rsid w:val="00823F54"/>
    <w:rsid w:val="0082411C"/>
    <w:rsid w:val="0082442B"/>
    <w:rsid w:val="00824769"/>
    <w:rsid w:val="00824833"/>
    <w:rsid w:val="00824946"/>
    <w:rsid w:val="00824A5A"/>
    <w:rsid w:val="00824D4E"/>
    <w:rsid w:val="00824DC3"/>
    <w:rsid w:val="00824E46"/>
    <w:rsid w:val="00824EE3"/>
    <w:rsid w:val="0082519D"/>
    <w:rsid w:val="00825248"/>
    <w:rsid w:val="0082524E"/>
    <w:rsid w:val="00825269"/>
    <w:rsid w:val="008252F1"/>
    <w:rsid w:val="00825521"/>
    <w:rsid w:val="00825581"/>
    <w:rsid w:val="00825622"/>
    <w:rsid w:val="00825627"/>
    <w:rsid w:val="0082582C"/>
    <w:rsid w:val="0082588D"/>
    <w:rsid w:val="008258AB"/>
    <w:rsid w:val="008258E5"/>
    <w:rsid w:val="008258F7"/>
    <w:rsid w:val="00825A63"/>
    <w:rsid w:val="00825C58"/>
    <w:rsid w:val="00825CC2"/>
    <w:rsid w:val="00825D79"/>
    <w:rsid w:val="00825DB6"/>
    <w:rsid w:val="00825EB6"/>
    <w:rsid w:val="00825EC9"/>
    <w:rsid w:val="00825F49"/>
    <w:rsid w:val="00825F63"/>
    <w:rsid w:val="00825FA5"/>
    <w:rsid w:val="00826206"/>
    <w:rsid w:val="00826268"/>
    <w:rsid w:val="008263A6"/>
    <w:rsid w:val="00826467"/>
    <w:rsid w:val="00826618"/>
    <w:rsid w:val="008266E9"/>
    <w:rsid w:val="008267D1"/>
    <w:rsid w:val="00826800"/>
    <w:rsid w:val="008268E8"/>
    <w:rsid w:val="00826900"/>
    <w:rsid w:val="00826937"/>
    <w:rsid w:val="00826A52"/>
    <w:rsid w:val="00826ACD"/>
    <w:rsid w:val="00826B54"/>
    <w:rsid w:val="00826D96"/>
    <w:rsid w:val="00826F5B"/>
    <w:rsid w:val="00826F60"/>
    <w:rsid w:val="00826F65"/>
    <w:rsid w:val="0082704F"/>
    <w:rsid w:val="00827076"/>
    <w:rsid w:val="00827079"/>
    <w:rsid w:val="008270C6"/>
    <w:rsid w:val="00827106"/>
    <w:rsid w:val="00827230"/>
    <w:rsid w:val="008273A2"/>
    <w:rsid w:val="008273C4"/>
    <w:rsid w:val="00827419"/>
    <w:rsid w:val="0082745D"/>
    <w:rsid w:val="00827961"/>
    <w:rsid w:val="008279EA"/>
    <w:rsid w:val="00827AC1"/>
    <w:rsid w:val="00827B15"/>
    <w:rsid w:val="00827B29"/>
    <w:rsid w:val="00827B6A"/>
    <w:rsid w:val="00827C97"/>
    <w:rsid w:val="00827DCC"/>
    <w:rsid w:val="00827E2D"/>
    <w:rsid w:val="00827E8A"/>
    <w:rsid w:val="00830015"/>
    <w:rsid w:val="00830161"/>
    <w:rsid w:val="008301A1"/>
    <w:rsid w:val="008301AD"/>
    <w:rsid w:val="008301B4"/>
    <w:rsid w:val="0083030C"/>
    <w:rsid w:val="00830319"/>
    <w:rsid w:val="0083034B"/>
    <w:rsid w:val="008303B3"/>
    <w:rsid w:val="008303E6"/>
    <w:rsid w:val="008303F8"/>
    <w:rsid w:val="0083047B"/>
    <w:rsid w:val="00830505"/>
    <w:rsid w:val="008305AE"/>
    <w:rsid w:val="00830605"/>
    <w:rsid w:val="00830619"/>
    <w:rsid w:val="00830638"/>
    <w:rsid w:val="008308F2"/>
    <w:rsid w:val="0083090F"/>
    <w:rsid w:val="00830AD6"/>
    <w:rsid w:val="00830B70"/>
    <w:rsid w:val="00830D75"/>
    <w:rsid w:val="00830E4A"/>
    <w:rsid w:val="00830E84"/>
    <w:rsid w:val="00830EDA"/>
    <w:rsid w:val="00831139"/>
    <w:rsid w:val="0083122F"/>
    <w:rsid w:val="00831310"/>
    <w:rsid w:val="0083153A"/>
    <w:rsid w:val="00831558"/>
    <w:rsid w:val="008315BD"/>
    <w:rsid w:val="0083160A"/>
    <w:rsid w:val="00831680"/>
    <w:rsid w:val="008316A9"/>
    <w:rsid w:val="008316E8"/>
    <w:rsid w:val="0083174F"/>
    <w:rsid w:val="00831873"/>
    <w:rsid w:val="008318D4"/>
    <w:rsid w:val="00831914"/>
    <w:rsid w:val="00831957"/>
    <w:rsid w:val="00831958"/>
    <w:rsid w:val="00831968"/>
    <w:rsid w:val="0083196C"/>
    <w:rsid w:val="008319A3"/>
    <w:rsid w:val="008319B6"/>
    <w:rsid w:val="00831B96"/>
    <w:rsid w:val="00831BB2"/>
    <w:rsid w:val="00831C58"/>
    <w:rsid w:val="00831E22"/>
    <w:rsid w:val="00832028"/>
    <w:rsid w:val="0083216E"/>
    <w:rsid w:val="008321F8"/>
    <w:rsid w:val="00832485"/>
    <w:rsid w:val="008324BA"/>
    <w:rsid w:val="0083258D"/>
    <w:rsid w:val="0083264A"/>
    <w:rsid w:val="00832815"/>
    <w:rsid w:val="008328CF"/>
    <w:rsid w:val="00832A0A"/>
    <w:rsid w:val="00832A3B"/>
    <w:rsid w:val="00832AD0"/>
    <w:rsid w:val="00832B50"/>
    <w:rsid w:val="00832BFE"/>
    <w:rsid w:val="00832C07"/>
    <w:rsid w:val="00832C40"/>
    <w:rsid w:val="00832E63"/>
    <w:rsid w:val="00832EDD"/>
    <w:rsid w:val="00833081"/>
    <w:rsid w:val="008330E2"/>
    <w:rsid w:val="0083320E"/>
    <w:rsid w:val="00833384"/>
    <w:rsid w:val="00833551"/>
    <w:rsid w:val="008336BD"/>
    <w:rsid w:val="00833738"/>
    <w:rsid w:val="00833823"/>
    <w:rsid w:val="00833901"/>
    <w:rsid w:val="008339B3"/>
    <w:rsid w:val="008339CD"/>
    <w:rsid w:val="008339D9"/>
    <w:rsid w:val="00833B28"/>
    <w:rsid w:val="00833B61"/>
    <w:rsid w:val="00833D45"/>
    <w:rsid w:val="00833D51"/>
    <w:rsid w:val="00833E3C"/>
    <w:rsid w:val="00833EC6"/>
    <w:rsid w:val="00833FAD"/>
    <w:rsid w:val="00834069"/>
    <w:rsid w:val="0083407F"/>
    <w:rsid w:val="008340F2"/>
    <w:rsid w:val="00834153"/>
    <w:rsid w:val="00834274"/>
    <w:rsid w:val="008344A3"/>
    <w:rsid w:val="008344E6"/>
    <w:rsid w:val="0083458C"/>
    <w:rsid w:val="00834617"/>
    <w:rsid w:val="008348A1"/>
    <w:rsid w:val="008349D1"/>
    <w:rsid w:val="00834A70"/>
    <w:rsid w:val="00834BD5"/>
    <w:rsid w:val="00834BF0"/>
    <w:rsid w:val="00834C12"/>
    <w:rsid w:val="00834C3B"/>
    <w:rsid w:val="00834E03"/>
    <w:rsid w:val="00835084"/>
    <w:rsid w:val="00835166"/>
    <w:rsid w:val="008352FC"/>
    <w:rsid w:val="008353F0"/>
    <w:rsid w:val="00835576"/>
    <w:rsid w:val="008355F5"/>
    <w:rsid w:val="008355FD"/>
    <w:rsid w:val="00835792"/>
    <w:rsid w:val="0083586D"/>
    <w:rsid w:val="00835931"/>
    <w:rsid w:val="00835A12"/>
    <w:rsid w:val="00835A4D"/>
    <w:rsid w:val="00835B73"/>
    <w:rsid w:val="00835BB1"/>
    <w:rsid w:val="00835C6F"/>
    <w:rsid w:val="00835DC2"/>
    <w:rsid w:val="00835F2F"/>
    <w:rsid w:val="00836313"/>
    <w:rsid w:val="0083639C"/>
    <w:rsid w:val="008363E9"/>
    <w:rsid w:val="00836555"/>
    <w:rsid w:val="00836563"/>
    <w:rsid w:val="00836650"/>
    <w:rsid w:val="008366B0"/>
    <w:rsid w:val="0083677D"/>
    <w:rsid w:val="008368F7"/>
    <w:rsid w:val="00836A03"/>
    <w:rsid w:val="00836AE4"/>
    <w:rsid w:val="00836BC4"/>
    <w:rsid w:val="00836DA6"/>
    <w:rsid w:val="00836DFB"/>
    <w:rsid w:val="00836E48"/>
    <w:rsid w:val="00836EA1"/>
    <w:rsid w:val="00836EFA"/>
    <w:rsid w:val="008372BB"/>
    <w:rsid w:val="0083737F"/>
    <w:rsid w:val="00837519"/>
    <w:rsid w:val="0083772E"/>
    <w:rsid w:val="0083772F"/>
    <w:rsid w:val="00837744"/>
    <w:rsid w:val="00837A2E"/>
    <w:rsid w:val="00837ACC"/>
    <w:rsid w:val="00837D3B"/>
    <w:rsid w:val="00837D47"/>
    <w:rsid w:val="00837F16"/>
    <w:rsid w:val="00840190"/>
    <w:rsid w:val="008401E6"/>
    <w:rsid w:val="0084030B"/>
    <w:rsid w:val="00840451"/>
    <w:rsid w:val="0084048B"/>
    <w:rsid w:val="00840498"/>
    <w:rsid w:val="008404BC"/>
    <w:rsid w:val="0084066E"/>
    <w:rsid w:val="0084069A"/>
    <w:rsid w:val="008408D0"/>
    <w:rsid w:val="00840A66"/>
    <w:rsid w:val="00840B92"/>
    <w:rsid w:val="00840CF1"/>
    <w:rsid w:val="00840E98"/>
    <w:rsid w:val="00840EB5"/>
    <w:rsid w:val="00840FBC"/>
    <w:rsid w:val="008411F4"/>
    <w:rsid w:val="00841263"/>
    <w:rsid w:val="0084126F"/>
    <w:rsid w:val="00841283"/>
    <w:rsid w:val="0084137F"/>
    <w:rsid w:val="008413E0"/>
    <w:rsid w:val="0084142E"/>
    <w:rsid w:val="008414E0"/>
    <w:rsid w:val="00841727"/>
    <w:rsid w:val="0084173B"/>
    <w:rsid w:val="00841894"/>
    <w:rsid w:val="00841A0D"/>
    <w:rsid w:val="00841CC4"/>
    <w:rsid w:val="00841D03"/>
    <w:rsid w:val="00841D7F"/>
    <w:rsid w:val="00841F9E"/>
    <w:rsid w:val="00841FBC"/>
    <w:rsid w:val="00842292"/>
    <w:rsid w:val="008422AD"/>
    <w:rsid w:val="00842334"/>
    <w:rsid w:val="00842425"/>
    <w:rsid w:val="00842448"/>
    <w:rsid w:val="00842627"/>
    <w:rsid w:val="00842668"/>
    <w:rsid w:val="0084292A"/>
    <w:rsid w:val="00842973"/>
    <w:rsid w:val="00842B49"/>
    <w:rsid w:val="00842BF5"/>
    <w:rsid w:val="00842C0F"/>
    <w:rsid w:val="00842CBC"/>
    <w:rsid w:val="00842E2F"/>
    <w:rsid w:val="00842E3B"/>
    <w:rsid w:val="00842F9A"/>
    <w:rsid w:val="00843325"/>
    <w:rsid w:val="0084338A"/>
    <w:rsid w:val="0084349B"/>
    <w:rsid w:val="0084353C"/>
    <w:rsid w:val="008436FA"/>
    <w:rsid w:val="0084387D"/>
    <w:rsid w:val="0084389A"/>
    <w:rsid w:val="008438FD"/>
    <w:rsid w:val="0084395C"/>
    <w:rsid w:val="00843A4F"/>
    <w:rsid w:val="00843CC1"/>
    <w:rsid w:val="00843D20"/>
    <w:rsid w:val="00843D72"/>
    <w:rsid w:val="00843E35"/>
    <w:rsid w:val="00843FEE"/>
    <w:rsid w:val="008441B8"/>
    <w:rsid w:val="00844200"/>
    <w:rsid w:val="00844486"/>
    <w:rsid w:val="00844489"/>
    <w:rsid w:val="00844502"/>
    <w:rsid w:val="00844548"/>
    <w:rsid w:val="008445CE"/>
    <w:rsid w:val="008446BD"/>
    <w:rsid w:val="008447A3"/>
    <w:rsid w:val="008447E8"/>
    <w:rsid w:val="0084485D"/>
    <w:rsid w:val="00844887"/>
    <w:rsid w:val="00844C05"/>
    <w:rsid w:val="00844CF3"/>
    <w:rsid w:val="00844F51"/>
    <w:rsid w:val="00844FB2"/>
    <w:rsid w:val="00844FD1"/>
    <w:rsid w:val="00844FD5"/>
    <w:rsid w:val="00844FE8"/>
    <w:rsid w:val="0084507C"/>
    <w:rsid w:val="008450BA"/>
    <w:rsid w:val="00845126"/>
    <w:rsid w:val="008451C7"/>
    <w:rsid w:val="008451D7"/>
    <w:rsid w:val="008452B4"/>
    <w:rsid w:val="00845471"/>
    <w:rsid w:val="008456EF"/>
    <w:rsid w:val="008457B7"/>
    <w:rsid w:val="00845806"/>
    <w:rsid w:val="0084581E"/>
    <w:rsid w:val="00845CAA"/>
    <w:rsid w:val="00845DB0"/>
    <w:rsid w:val="00845E28"/>
    <w:rsid w:val="00845E70"/>
    <w:rsid w:val="00846027"/>
    <w:rsid w:val="00846108"/>
    <w:rsid w:val="00846142"/>
    <w:rsid w:val="008461AF"/>
    <w:rsid w:val="008461CF"/>
    <w:rsid w:val="00846201"/>
    <w:rsid w:val="00846228"/>
    <w:rsid w:val="00846234"/>
    <w:rsid w:val="008462F9"/>
    <w:rsid w:val="008463C6"/>
    <w:rsid w:val="008464BD"/>
    <w:rsid w:val="00846567"/>
    <w:rsid w:val="0084662C"/>
    <w:rsid w:val="00846763"/>
    <w:rsid w:val="00846837"/>
    <w:rsid w:val="008469B2"/>
    <w:rsid w:val="00846A1D"/>
    <w:rsid w:val="00846C14"/>
    <w:rsid w:val="00846C72"/>
    <w:rsid w:val="00846CD4"/>
    <w:rsid w:val="00846E5A"/>
    <w:rsid w:val="00846E73"/>
    <w:rsid w:val="00846EAE"/>
    <w:rsid w:val="00847029"/>
    <w:rsid w:val="0084705E"/>
    <w:rsid w:val="008470B3"/>
    <w:rsid w:val="00847344"/>
    <w:rsid w:val="008473D3"/>
    <w:rsid w:val="008474A1"/>
    <w:rsid w:val="008478E9"/>
    <w:rsid w:val="00847A13"/>
    <w:rsid w:val="00847A6D"/>
    <w:rsid w:val="00847AC3"/>
    <w:rsid w:val="00847B05"/>
    <w:rsid w:val="00847B47"/>
    <w:rsid w:val="00847D18"/>
    <w:rsid w:val="00847D9F"/>
    <w:rsid w:val="00847DED"/>
    <w:rsid w:val="00847FBB"/>
    <w:rsid w:val="0085004C"/>
    <w:rsid w:val="0085010A"/>
    <w:rsid w:val="00850229"/>
    <w:rsid w:val="0085025B"/>
    <w:rsid w:val="008502F8"/>
    <w:rsid w:val="0085036A"/>
    <w:rsid w:val="008504A3"/>
    <w:rsid w:val="008504E0"/>
    <w:rsid w:val="0085058D"/>
    <w:rsid w:val="0085079A"/>
    <w:rsid w:val="008507BD"/>
    <w:rsid w:val="00850806"/>
    <w:rsid w:val="008509A0"/>
    <w:rsid w:val="00850A41"/>
    <w:rsid w:val="00850AB0"/>
    <w:rsid w:val="00850B8F"/>
    <w:rsid w:val="00850DFD"/>
    <w:rsid w:val="00850E2E"/>
    <w:rsid w:val="00850F68"/>
    <w:rsid w:val="008510DE"/>
    <w:rsid w:val="00851155"/>
    <w:rsid w:val="0085116A"/>
    <w:rsid w:val="00851408"/>
    <w:rsid w:val="0085142A"/>
    <w:rsid w:val="00851430"/>
    <w:rsid w:val="00851481"/>
    <w:rsid w:val="00851817"/>
    <w:rsid w:val="00851965"/>
    <w:rsid w:val="00851970"/>
    <w:rsid w:val="00851AF8"/>
    <w:rsid w:val="00851B14"/>
    <w:rsid w:val="00851C1A"/>
    <w:rsid w:val="00851D56"/>
    <w:rsid w:val="0085202C"/>
    <w:rsid w:val="00852126"/>
    <w:rsid w:val="00852364"/>
    <w:rsid w:val="0085245C"/>
    <w:rsid w:val="00852554"/>
    <w:rsid w:val="008525DC"/>
    <w:rsid w:val="00852622"/>
    <w:rsid w:val="00852649"/>
    <w:rsid w:val="00852799"/>
    <w:rsid w:val="008527FD"/>
    <w:rsid w:val="00852800"/>
    <w:rsid w:val="00852910"/>
    <w:rsid w:val="0085298B"/>
    <w:rsid w:val="00852A21"/>
    <w:rsid w:val="00852A55"/>
    <w:rsid w:val="00852B83"/>
    <w:rsid w:val="00852C87"/>
    <w:rsid w:val="00852CA7"/>
    <w:rsid w:val="00852CC6"/>
    <w:rsid w:val="00852D30"/>
    <w:rsid w:val="00852D42"/>
    <w:rsid w:val="00852D60"/>
    <w:rsid w:val="00852EB4"/>
    <w:rsid w:val="00852EE7"/>
    <w:rsid w:val="00852F96"/>
    <w:rsid w:val="0085315C"/>
    <w:rsid w:val="008533B9"/>
    <w:rsid w:val="00853444"/>
    <w:rsid w:val="0085348D"/>
    <w:rsid w:val="008534C5"/>
    <w:rsid w:val="008534D1"/>
    <w:rsid w:val="00853521"/>
    <w:rsid w:val="0085366B"/>
    <w:rsid w:val="00853833"/>
    <w:rsid w:val="008538B5"/>
    <w:rsid w:val="008538F8"/>
    <w:rsid w:val="008539D1"/>
    <w:rsid w:val="00853A37"/>
    <w:rsid w:val="00853E58"/>
    <w:rsid w:val="0085413A"/>
    <w:rsid w:val="00854179"/>
    <w:rsid w:val="008541EA"/>
    <w:rsid w:val="008542EE"/>
    <w:rsid w:val="0085430D"/>
    <w:rsid w:val="00854652"/>
    <w:rsid w:val="0085465D"/>
    <w:rsid w:val="008546FE"/>
    <w:rsid w:val="00854717"/>
    <w:rsid w:val="008547B2"/>
    <w:rsid w:val="00854803"/>
    <w:rsid w:val="008548EA"/>
    <w:rsid w:val="0085493A"/>
    <w:rsid w:val="00854A99"/>
    <w:rsid w:val="00854B0C"/>
    <w:rsid w:val="00854B58"/>
    <w:rsid w:val="00854B60"/>
    <w:rsid w:val="00854C42"/>
    <w:rsid w:val="00854CBF"/>
    <w:rsid w:val="00854CD7"/>
    <w:rsid w:val="00854D31"/>
    <w:rsid w:val="00854EEC"/>
    <w:rsid w:val="00854FBA"/>
    <w:rsid w:val="00854FED"/>
    <w:rsid w:val="0085501B"/>
    <w:rsid w:val="00855117"/>
    <w:rsid w:val="00855147"/>
    <w:rsid w:val="008551F5"/>
    <w:rsid w:val="00855318"/>
    <w:rsid w:val="00855322"/>
    <w:rsid w:val="0085540B"/>
    <w:rsid w:val="00855475"/>
    <w:rsid w:val="008557D9"/>
    <w:rsid w:val="008558B5"/>
    <w:rsid w:val="008558FA"/>
    <w:rsid w:val="0085594D"/>
    <w:rsid w:val="00855BFB"/>
    <w:rsid w:val="00855C7D"/>
    <w:rsid w:val="00855CA9"/>
    <w:rsid w:val="00855D1A"/>
    <w:rsid w:val="00855E05"/>
    <w:rsid w:val="00855E1B"/>
    <w:rsid w:val="00855F90"/>
    <w:rsid w:val="00856105"/>
    <w:rsid w:val="0085612F"/>
    <w:rsid w:val="00856177"/>
    <w:rsid w:val="0085618B"/>
    <w:rsid w:val="008561AD"/>
    <w:rsid w:val="008562AF"/>
    <w:rsid w:val="008562D0"/>
    <w:rsid w:val="008562E5"/>
    <w:rsid w:val="00856416"/>
    <w:rsid w:val="00856462"/>
    <w:rsid w:val="008564D7"/>
    <w:rsid w:val="008564F5"/>
    <w:rsid w:val="00856658"/>
    <w:rsid w:val="00856767"/>
    <w:rsid w:val="00856771"/>
    <w:rsid w:val="0085686F"/>
    <w:rsid w:val="00856884"/>
    <w:rsid w:val="00856950"/>
    <w:rsid w:val="00856980"/>
    <w:rsid w:val="008569F5"/>
    <w:rsid w:val="00856A26"/>
    <w:rsid w:val="00856A3F"/>
    <w:rsid w:val="00856A6B"/>
    <w:rsid w:val="00856BC7"/>
    <w:rsid w:val="00856CAD"/>
    <w:rsid w:val="00856CCD"/>
    <w:rsid w:val="00856D8B"/>
    <w:rsid w:val="00856D9D"/>
    <w:rsid w:val="00856E5A"/>
    <w:rsid w:val="00856EBF"/>
    <w:rsid w:val="00856EF4"/>
    <w:rsid w:val="00856EFF"/>
    <w:rsid w:val="00856F78"/>
    <w:rsid w:val="0085710B"/>
    <w:rsid w:val="0085723F"/>
    <w:rsid w:val="0085727D"/>
    <w:rsid w:val="008572E8"/>
    <w:rsid w:val="00857607"/>
    <w:rsid w:val="008576A1"/>
    <w:rsid w:val="008576F8"/>
    <w:rsid w:val="00857720"/>
    <w:rsid w:val="00857733"/>
    <w:rsid w:val="008579C3"/>
    <w:rsid w:val="00857A3B"/>
    <w:rsid w:val="00857AE8"/>
    <w:rsid w:val="00857B81"/>
    <w:rsid w:val="00857BBB"/>
    <w:rsid w:val="00857BE7"/>
    <w:rsid w:val="00857BE8"/>
    <w:rsid w:val="00857C32"/>
    <w:rsid w:val="00857EAC"/>
    <w:rsid w:val="00857FD9"/>
    <w:rsid w:val="00857FF2"/>
    <w:rsid w:val="008600A0"/>
    <w:rsid w:val="00860147"/>
    <w:rsid w:val="0086014E"/>
    <w:rsid w:val="00860322"/>
    <w:rsid w:val="00860336"/>
    <w:rsid w:val="0086039E"/>
    <w:rsid w:val="008603D5"/>
    <w:rsid w:val="00860433"/>
    <w:rsid w:val="00860604"/>
    <w:rsid w:val="00860759"/>
    <w:rsid w:val="00860762"/>
    <w:rsid w:val="008607A8"/>
    <w:rsid w:val="00860950"/>
    <w:rsid w:val="00860B52"/>
    <w:rsid w:val="00860B7E"/>
    <w:rsid w:val="00860E4A"/>
    <w:rsid w:val="00860EE7"/>
    <w:rsid w:val="00860F3F"/>
    <w:rsid w:val="00860FBD"/>
    <w:rsid w:val="00861005"/>
    <w:rsid w:val="008610F8"/>
    <w:rsid w:val="008611B6"/>
    <w:rsid w:val="008611D6"/>
    <w:rsid w:val="0086126E"/>
    <w:rsid w:val="00861575"/>
    <w:rsid w:val="008615D5"/>
    <w:rsid w:val="00861736"/>
    <w:rsid w:val="008617D5"/>
    <w:rsid w:val="00861996"/>
    <w:rsid w:val="00861A1A"/>
    <w:rsid w:val="00861CFD"/>
    <w:rsid w:val="00861D31"/>
    <w:rsid w:val="00861E3D"/>
    <w:rsid w:val="00861E50"/>
    <w:rsid w:val="00861E65"/>
    <w:rsid w:val="00861EFB"/>
    <w:rsid w:val="00862043"/>
    <w:rsid w:val="008620AE"/>
    <w:rsid w:val="0086222B"/>
    <w:rsid w:val="0086234D"/>
    <w:rsid w:val="008623C2"/>
    <w:rsid w:val="00862478"/>
    <w:rsid w:val="0086273F"/>
    <w:rsid w:val="00862759"/>
    <w:rsid w:val="00862870"/>
    <w:rsid w:val="0086287B"/>
    <w:rsid w:val="008628D5"/>
    <w:rsid w:val="008629F0"/>
    <w:rsid w:val="00862A8E"/>
    <w:rsid w:val="00862D8C"/>
    <w:rsid w:val="00862DF2"/>
    <w:rsid w:val="00862EA7"/>
    <w:rsid w:val="00862EE7"/>
    <w:rsid w:val="00862F8F"/>
    <w:rsid w:val="008630B9"/>
    <w:rsid w:val="008630E8"/>
    <w:rsid w:val="008630F2"/>
    <w:rsid w:val="008630FF"/>
    <w:rsid w:val="00863120"/>
    <w:rsid w:val="00863142"/>
    <w:rsid w:val="008632FD"/>
    <w:rsid w:val="00863375"/>
    <w:rsid w:val="008633D2"/>
    <w:rsid w:val="00863458"/>
    <w:rsid w:val="00863555"/>
    <w:rsid w:val="00863673"/>
    <w:rsid w:val="00863945"/>
    <w:rsid w:val="0086396D"/>
    <w:rsid w:val="00863B42"/>
    <w:rsid w:val="00863FC5"/>
    <w:rsid w:val="00863FF1"/>
    <w:rsid w:val="0086417D"/>
    <w:rsid w:val="00864303"/>
    <w:rsid w:val="00864397"/>
    <w:rsid w:val="00864435"/>
    <w:rsid w:val="00864525"/>
    <w:rsid w:val="00864535"/>
    <w:rsid w:val="00864581"/>
    <w:rsid w:val="00864701"/>
    <w:rsid w:val="0086484B"/>
    <w:rsid w:val="008648E5"/>
    <w:rsid w:val="00864900"/>
    <w:rsid w:val="00864A89"/>
    <w:rsid w:val="00864A9D"/>
    <w:rsid w:val="00864AD7"/>
    <w:rsid w:val="00864B41"/>
    <w:rsid w:val="00864BF5"/>
    <w:rsid w:val="00864C06"/>
    <w:rsid w:val="00864C8A"/>
    <w:rsid w:val="00864D93"/>
    <w:rsid w:val="00864F5A"/>
    <w:rsid w:val="00864FED"/>
    <w:rsid w:val="008650B5"/>
    <w:rsid w:val="00865154"/>
    <w:rsid w:val="008651A2"/>
    <w:rsid w:val="00865283"/>
    <w:rsid w:val="008652F0"/>
    <w:rsid w:val="008653DA"/>
    <w:rsid w:val="008655C5"/>
    <w:rsid w:val="00865634"/>
    <w:rsid w:val="00865695"/>
    <w:rsid w:val="008656BA"/>
    <w:rsid w:val="00865769"/>
    <w:rsid w:val="008659FC"/>
    <w:rsid w:val="00865EF8"/>
    <w:rsid w:val="00866013"/>
    <w:rsid w:val="008660C7"/>
    <w:rsid w:val="00866127"/>
    <w:rsid w:val="008662AB"/>
    <w:rsid w:val="0086631B"/>
    <w:rsid w:val="0086638A"/>
    <w:rsid w:val="008664B0"/>
    <w:rsid w:val="008664F1"/>
    <w:rsid w:val="0086685A"/>
    <w:rsid w:val="008668B1"/>
    <w:rsid w:val="00866947"/>
    <w:rsid w:val="00866AC1"/>
    <w:rsid w:val="00866AE5"/>
    <w:rsid w:val="00866BC4"/>
    <w:rsid w:val="00866C74"/>
    <w:rsid w:val="00866C8C"/>
    <w:rsid w:val="00866C90"/>
    <w:rsid w:val="00866C94"/>
    <w:rsid w:val="00866E2D"/>
    <w:rsid w:val="00866ED4"/>
    <w:rsid w:val="00866F56"/>
    <w:rsid w:val="00866FDB"/>
    <w:rsid w:val="00867042"/>
    <w:rsid w:val="00867199"/>
    <w:rsid w:val="0086727B"/>
    <w:rsid w:val="00867416"/>
    <w:rsid w:val="008674E7"/>
    <w:rsid w:val="0086756E"/>
    <w:rsid w:val="008676B7"/>
    <w:rsid w:val="008676DE"/>
    <w:rsid w:val="008676FB"/>
    <w:rsid w:val="008677B0"/>
    <w:rsid w:val="008679E7"/>
    <w:rsid w:val="00867A8D"/>
    <w:rsid w:val="00867B87"/>
    <w:rsid w:val="00867B97"/>
    <w:rsid w:val="00867CC6"/>
    <w:rsid w:val="00867F38"/>
    <w:rsid w:val="00870016"/>
    <w:rsid w:val="0087017E"/>
    <w:rsid w:val="008701FE"/>
    <w:rsid w:val="0087035A"/>
    <w:rsid w:val="0087039A"/>
    <w:rsid w:val="008703F2"/>
    <w:rsid w:val="008705CE"/>
    <w:rsid w:val="00870716"/>
    <w:rsid w:val="00870894"/>
    <w:rsid w:val="008708A5"/>
    <w:rsid w:val="00870906"/>
    <w:rsid w:val="0087099C"/>
    <w:rsid w:val="00870A1D"/>
    <w:rsid w:val="00870A39"/>
    <w:rsid w:val="00870AE1"/>
    <w:rsid w:val="00870B90"/>
    <w:rsid w:val="00870BC3"/>
    <w:rsid w:val="00870C23"/>
    <w:rsid w:val="00870D05"/>
    <w:rsid w:val="00870D66"/>
    <w:rsid w:val="00870D8C"/>
    <w:rsid w:val="00870ECB"/>
    <w:rsid w:val="00870EDC"/>
    <w:rsid w:val="00870EF1"/>
    <w:rsid w:val="00870F3A"/>
    <w:rsid w:val="00871125"/>
    <w:rsid w:val="00871155"/>
    <w:rsid w:val="0087119E"/>
    <w:rsid w:val="00871226"/>
    <w:rsid w:val="008713B2"/>
    <w:rsid w:val="008713E0"/>
    <w:rsid w:val="0087144E"/>
    <w:rsid w:val="00871488"/>
    <w:rsid w:val="00871812"/>
    <w:rsid w:val="00871842"/>
    <w:rsid w:val="0087190A"/>
    <w:rsid w:val="00871B28"/>
    <w:rsid w:val="00871B5B"/>
    <w:rsid w:val="00871CBC"/>
    <w:rsid w:val="00871D06"/>
    <w:rsid w:val="00871E1E"/>
    <w:rsid w:val="00871F18"/>
    <w:rsid w:val="00871FCC"/>
    <w:rsid w:val="0087235D"/>
    <w:rsid w:val="008723A3"/>
    <w:rsid w:val="008723C5"/>
    <w:rsid w:val="0087262C"/>
    <w:rsid w:val="00872714"/>
    <w:rsid w:val="00872799"/>
    <w:rsid w:val="008728E9"/>
    <w:rsid w:val="008729E2"/>
    <w:rsid w:val="008729F1"/>
    <w:rsid w:val="00872B70"/>
    <w:rsid w:val="00872BC3"/>
    <w:rsid w:val="00872CD3"/>
    <w:rsid w:val="00872CEA"/>
    <w:rsid w:val="00872EE4"/>
    <w:rsid w:val="0087301A"/>
    <w:rsid w:val="008730FA"/>
    <w:rsid w:val="0087320F"/>
    <w:rsid w:val="00873343"/>
    <w:rsid w:val="008733D2"/>
    <w:rsid w:val="00873452"/>
    <w:rsid w:val="00873532"/>
    <w:rsid w:val="00873584"/>
    <w:rsid w:val="008735D7"/>
    <w:rsid w:val="00873653"/>
    <w:rsid w:val="00873914"/>
    <w:rsid w:val="00873A33"/>
    <w:rsid w:val="00873CA1"/>
    <w:rsid w:val="00873CDE"/>
    <w:rsid w:val="00873D22"/>
    <w:rsid w:val="00873D2F"/>
    <w:rsid w:val="008740F6"/>
    <w:rsid w:val="00874179"/>
    <w:rsid w:val="00874324"/>
    <w:rsid w:val="0087432C"/>
    <w:rsid w:val="008743AB"/>
    <w:rsid w:val="008744A3"/>
    <w:rsid w:val="008745FE"/>
    <w:rsid w:val="00874603"/>
    <w:rsid w:val="0087475E"/>
    <w:rsid w:val="008747D8"/>
    <w:rsid w:val="0087489B"/>
    <w:rsid w:val="00874A36"/>
    <w:rsid w:val="00874B7F"/>
    <w:rsid w:val="00874BFA"/>
    <w:rsid w:val="00874CEB"/>
    <w:rsid w:val="00874F17"/>
    <w:rsid w:val="008751C1"/>
    <w:rsid w:val="00875390"/>
    <w:rsid w:val="0087547C"/>
    <w:rsid w:val="008756C0"/>
    <w:rsid w:val="008756FE"/>
    <w:rsid w:val="0087573C"/>
    <w:rsid w:val="008757B4"/>
    <w:rsid w:val="008758A4"/>
    <w:rsid w:val="00875932"/>
    <w:rsid w:val="00875B2D"/>
    <w:rsid w:val="00875C46"/>
    <w:rsid w:val="00875C47"/>
    <w:rsid w:val="00875D8E"/>
    <w:rsid w:val="00875E6B"/>
    <w:rsid w:val="00875F61"/>
    <w:rsid w:val="00875FDB"/>
    <w:rsid w:val="0087608B"/>
    <w:rsid w:val="008760AE"/>
    <w:rsid w:val="0087628E"/>
    <w:rsid w:val="00876314"/>
    <w:rsid w:val="008763DA"/>
    <w:rsid w:val="00876425"/>
    <w:rsid w:val="00876483"/>
    <w:rsid w:val="008764BA"/>
    <w:rsid w:val="0087660A"/>
    <w:rsid w:val="0087668C"/>
    <w:rsid w:val="008766FB"/>
    <w:rsid w:val="008767FB"/>
    <w:rsid w:val="00876848"/>
    <w:rsid w:val="008768CA"/>
    <w:rsid w:val="00876CDA"/>
    <w:rsid w:val="00876E44"/>
    <w:rsid w:val="00876E52"/>
    <w:rsid w:val="00876E5E"/>
    <w:rsid w:val="00876F6E"/>
    <w:rsid w:val="0087700F"/>
    <w:rsid w:val="008774C6"/>
    <w:rsid w:val="0087763D"/>
    <w:rsid w:val="008777BD"/>
    <w:rsid w:val="008779E8"/>
    <w:rsid w:val="00877A35"/>
    <w:rsid w:val="00877AE3"/>
    <w:rsid w:val="00877B10"/>
    <w:rsid w:val="00877C0C"/>
    <w:rsid w:val="00877CDE"/>
    <w:rsid w:val="00877D48"/>
    <w:rsid w:val="00877D51"/>
    <w:rsid w:val="00877E33"/>
    <w:rsid w:val="00877ECB"/>
    <w:rsid w:val="00877F9F"/>
    <w:rsid w:val="00877FD4"/>
    <w:rsid w:val="00880535"/>
    <w:rsid w:val="008805A7"/>
    <w:rsid w:val="0088073C"/>
    <w:rsid w:val="00880771"/>
    <w:rsid w:val="00880821"/>
    <w:rsid w:val="0088093F"/>
    <w:rsid w:val="00880A41"/>
    <w:rsid w:val="00880B3F"/>
    <w:rsid w:val="00880D61"/>
    <w:rsid w:val="00880D66"/>
    <w:rsid w:val="00880E4E"/>
    <w:rsid w:val="00880E6A"/>
    <w:rsid w:val="00880EC2"/>
    <w:rsid w:val="00880EDB"/>
    <w:rsid w:val="00880F60"/>
    <w:rsid w:val="008814B2"/>
    <w:rsid w:val="0088159E"/>
    <w:rsid w:val="008815F1"/>
    <w:rsid w:val="0088162B"/>
    <w:rsid w:val="008816D6"/>
    <w:rsid w:val="00881787"/>
    <w:rsid w:val="008818E2"/>
    <w:rsid w:val="00881964"/>
    <w:rsid w:val="0088197A"/>
    <w:rsid w:val="00881B23"/>
    <w:rsid w:val="00881B4A"/>
    <w:rsid w:val="00881C0B"/>
    <w:rsid w:val="00881C8E"/>
    <w:rsid w:val="00881D04"/>
    <w:rsid w:val="00881E5E"/>
    <w:rsid w:val="00881EF9"/>
    <w:rsid w:val="00881F18"/>
    <w:rsid w:val="00882143"/>
    <w:rsid w:val="008822D0"/>
    <w:rsid w:val="00882345"/>
    <w:rsid w:val="0088256A"/>
    <w:rsid w:val="008826B7"/>
    <w:rsid w:val="008828BE"/>
    <w:rsid w:val="008829A7"/>
    <w:rsid w:val="008829CB"/>
    <w:rsid w:val="008829D8"/>
    <w:rsid w:val="00882BF4"/>
    <w:rsid w:val="00882D15"/>
    <w:rsid w:val="00882D9C"/>
    <w:rsid w:val="00882E7D"/>
    <w:rsid w:val="00882E81"/>
    <w:rsid w:val="00882ED6"/>
    <w:rsid w:val="00882FDF"/>
    <w:rsid w:val="00883162"/>
    <w:rsid w:val="008831AE"/>
    <w:rsid w:val="008831AF"/>
    <w:rsid w:val="008831B4"/>
    <w:rsid w:val="008831EB"/>
    <w:rsid w:val="0088327F"/>
    <w:rsid w:val="00883291"/>
    <w:rsid w:val="008832F5"/>
    <w:rsid w:val="00883360"/>
    <w:rsid w:val="00883409"/>
    <w:rsid w:val="0088358F"/>
    <w:rsid w:val="00883595"/>
    <w:rsid w:val="0088371A"/>
    <w:rsid w:val="00883770"/>
    <w:rsid w:val="00883847"/>
    <w:rsid w:val="0088397D"/>
    <w:rsid w:val="008839DE"/>
    <w:rsid w:val="00883B93"/>
    <w:rsid w:val="00883C7F"/>
    <w:rsid w:val="00883CA3"/>
    <w:rsid w:val="00883D56"/>
    <w:rsid w:val="00883DAC"/>
    <w:rsid w:val="00883E2B"/>
    <w:rsid w:val="00883E5F"/>
    <w:rsid w:val="00883F5C"/>
    <w:rsid w:val="00883FFD"/>
    <w:rsid w:val="00884091"/>
    <w:rsid w:val="00884277"/>
    <w:rsid w:val="00884392"/>
    <w:rsid w:val="00884555"/>
    <w:rsid w:val="0088463B"/>
    <w:rsid w:val="00884647"/>
    <w:rsid w:val="008846C1"/>
    <w:rsid w:val="008847CE"/>
    <w:rsid w:val="008848FA"/>
    <w:rsid w:val="00884A4D"/>
    <w:rsid w:val="00884B1D"/>
    <w:rsid w:val="00884B97"/>
    <w:rsid w:val="00884D81"/>
    <w:rsid w:val="00884E3C"/>
    <w:rsid w:val="00884E90"/>
    <w:rsid w:val="00884EBE"/>
    <w:rsid w:val="00884F01"/>
    <w:rsid w:val="0088501B"/>
    <w:rsid w:val="00885062"/>
    <w:rsid w:val="00885112"/>
    <w:rsid w:val="00885239"/>
    <w:rsid w:val="00885265"/>
    <w:rsid w:val="008852D5"/>
    <w:rsid w:val="00885616"/>
    <w:rsid w:val="0088563F"/>
    <w:rsid w:val="0088576B"/>
    <w:rsid w:val="00885799"/>
    <w:rsid w:val="008858F9"/>
    <w:rsid w:val="00885A76"/>
    <w:rsid w:val="00885DB2"/>
    <w:rsid w:val="00885E5F"/>
    <w:rsid w:val="00885EAB"/>
    <w:rsid w:val="00885FB2"/>
    <w:rsid w:val="0088608F"/>
    <w:rsid w:val="0088614D"/>
    <w:rsid w:val="008861C8"/>
    <w:rsid w:val="008861D4"/>
    <w:rsid w:val="008862AB"/>
    <w:rsid w:val="0088631F"/>
    <w:rsid w:val="008864CC"/>
    <w:rsid w:val="00886627"/>
    <w:rsid w:val="008866E6"/>
    <w:rsid w:val="0088675F"/>
    <w:rsid w:val="00886761"/>
    <w:rsid w:val="00886771"/>
    <w:rsid w:val="0088677C"/>
    <w:rsid w:val="00886798"/>
    <w:rsid w:val="00886872"/>
    <w:rsid w:val="008868A4"/>
    <w:rsid w:val="008868E1"/>
    <w:rsid w:val="008868FA"/>
    <w:rsid w:val="0088699C"/>
    <w:rsid w:val="00886A01"/>
    <w:rsid w:val="00886A0F"/>
    <w:rsid w:val="00886B3B"/>
    <w:rsid w:val="00886B95"/>
    <w:rsid w:val="00886D79"/>
    <w:rsid w:val="00886E3E"/>
    <w:rsid w:val="00886E7C"/>
    <w:rsid w:val="00886EFF"/>
    <w:rsid w:val="0088712F"/>
    <w:rsid w:val="00887438"/>
    <w:rsid w:val="00887472"/>
    <w:rsid w:val="008874B9"/>
    <w:rsid w:val="00887536"/>
    <w:rsid w:val="008875E1"/>
    <w:rsid w:val="008876A6"/>
    <w:rsid w:val="0088770D"/>
    <w:rsid w:val="00887A1C"/>
    <w:rsid w:val="00887A30"/>
    <w:rsid w:val="00887A80"/>
    <w:rsid w:val="00887B02"/>
    <w:rsid w:val="00887BCB"/>
    <w:rsid w:val="00887C36"/>
    <w:rsid w:val="00887C79"/>
    <w:rsid w:val="00887DB8"/>
    <w:rsid w:val="0088F878"/>
    <w:rsid w:val="00890005"/>
    <w:rsid w:val="00890011"/>
    <w:rsid w:val="0089007D"/>
    <w:rsid w:val="00890117"/>
    <w:rsid w:val="008901A8"/>
    <w:rsid w:val="008902AA"/>
    <w:rsid w:val="008903EB"/>
    <w:rsid w:val="0089066F"/>
    <w:rsid w:val="008906F7"/>
    <w:rsid w:val="0089072F"/>
    <w:rsid w:val="0089087F"/>
    <w:rsid w:val="00890A4F"/>
    <w:rsid w:val="00890A69"/>
    <w:rsid w:val="00890A6D"/>
    <w:rsid w:val="00890BCA"/>
    <w:rsid w:val="00890CC0"/>
    <w:rsid w:val="00890E07"/>
    <w:rsid w:val="00890EF7"/>
    <w:rsid w:val="00890EFF"/>
    <w:rsid w:val="00890F31"/>
    <w:rsid w:val="0089103E"/>
    <w:rsid w:val="008910D4"/>
    <w:rsid w:val="00891157"/>
    <w:rsid w:val="008912BE"/>
    <w:rsid w:val="008913BB"/>
    <w:rsid w:val="008915A1"/>
    <w:rsid w:val="008915AF"/>
    <w:rsid w:val="00891619"/>
    <w:rsid w:val="0089179C"/>
    <w:rsid w:val="00891B6F"/>
    <w:rsid w:val="00891BDB"/>
    <w:rsid w:val="00891E21"/>
    <w:rsid w:val="00891E4A"/>
    <w:rsid w:val="00891F03"/>
    <w:rsid w:val="00891F2F"/>
    <w:rsid w:val="008920C3"/>
    <w:rsid w:val="00892271"/>
    <w:rsid w:val="00892290"/>
    <w:rsid w:val="00892374"/>
    <w:rsid w:val="008924D2"/>
    <w:rsid w:val="00892604"/>
    <w:rsid w:val="0089267F"/>
    <w:rsid w:val="00892A0B"/>
    <w:rsid w:val="00892C78"/>
    <w:rsid w:val="00892CA4"/>
    <w:rsid w:val="00892D2B"/>
    <w:rsid w:val="00892D42"/>
    <w:rsid w:val="00892D4D"/>
    <w:rsid w:val="00892F58"/>
    <w:rsid w:val="00892F7F"/>
    <w:rsid w:val="00892FA6"/>
    <w:rsid w:val="00893093"/>
    <w:rsid w:val="0089317F"/>
    <w:rsid w:val="008931AD"/>
    <w:rsid w:val="008931C4"/>
    <w:rsid w:val="00893237"/>
    <w:rsid w:val="00893320"/>
    <w:rsid w:val="008933BC"/>
    <w:rsid w:val="008936D8"/>
    <w:rsid w:val="008938A2"/>
    <w:rsid w:val="00893917"/>
    <w:rsid w:val="00893B2A"/>
    <w:rsid w:val="00893C02"/>
    <w:rsid w:val="00893CEB"/>
    <w:rsid w:val="00893D30"/>
    <w:rsid w:val="00894717"/>
    <w:rsid w:val="008947E4"/>
    <w:rsid w:val="00894919"/>
    <w:rsid w:val="00894933"/>
    <w:rsid w:val="008949B8"/>
    <w:rsid w:val="008949F3"/>
    <w:rsid w:val="00894AFA"/>
    <w:rsid w:val="00894B09"/>
    <w:rsid w:val="00894E6A"/>
    <w:rsid w:val="00894EE1"/>
    <w:rsid w:val="00894EE7"/>
    <w:rsid w:val="0089513C"/>
    <w:rsid w:val="00895156"/>
    <w:rsid w:val="008951EF"/>
    <w:rsid w:val="00895256"/>
    <w:rsid w:val="00895266"/>
    <w:rsid w:val="00895299"/>
    <w:rsid w:val="0089533C"/>
    <w:rsid w:val="0089541C"/>
    <w:rsid w:val="00895447"/>
    <w:rsid w:val="0089547B"/>
    <w:rsid w:val="0089563E"/>
    <w:rsid w:val="008957C5"/>
    <w:rsid w:val="00895840"/>
    <w:rsid w:val="00895A4A"/>
    <w:rsid w:val="00895A88"/>
    <w:rsid w:val="00895AF8"/>
    <w:rsid w:val="00895C01"/>
    <w:rsid w:val="00895C42"/>
    <w:rsid w:val="00895D1B"/>
    <w:rsid w:val="00895E4F"/>
    <w:rsid w:val="00895E93"/>
    <w:rsid w:val="008960B7"/>
    <w:rsid w:val="0089614B"/>
    <w:rsid w:val="008961C6"/>
    <w:rsid w:val="0089625F"/>
    <w:rsid w:val="008962AB"/>
    <w:rsid w:val="008964D4"/>
    <w:rsid w:val="00896829"/>
    <w:rsid w:val="00896884"/>
    <w:rsid w:val="00896979"/>
    <w:rsid w:val="00896A20"/>
    <w:rsid w:val="00896AD3"/>
    <w:rsid w:val="00896C4C"/>
    <w:rsid w:val="00896C9B"/>
    <w:rsid w:val="00896CF6"/>
    <w:rsid w:val="00896E37"/>
    <w:rsid w:val="00896EC4"/>
    <w:rsid w:val="00896ED2"/>
    <w:rsid w:val="0089708B"/>
    <w:rsid w:val="00897196"/>
    <w:rsid w:val="00897344"/>
    <w:rsid w:val="0089740B"/>
    <w:rsid w:val="008975DC"/>
    <w:rsid w:val="0089761E"/>
    <w:rsid w:val="0089789C"/>
    <w:rsid w:val="0089789D"/>
    <w:rsid w:val="00897A33"/>
    <w:rsid w:val="00897AA2"/>
    <w:rsid w:val="00897AAC"/>
    <w:rsid w:val="00897AB9"/>
    <w:rsid w:val="00897B8A"/>
    <w:rsid w:val="00897BB4"/>
    <w:rsid w:val="00897C7D"/>
    <w:rsid w:val="00897CE0"/>
    <w:rsid w:val="00897D4A"/>
    <w:rsid w:val="00897DF3"/>
    <w:rsid w:val="00897E0C"/>
    <w:rsid w:val="00897E7D"/>
    <w:rsid w:val="008A0040"/>
    <w:rsid w:val="008A0229"/>
    <w:rsid w:val="008A02D2"/>
    <w:rsid w:val="008A0302"/>
    <w:rsid w:val="008A04B8"/>
    <w:rsid w:val="008A054A"/>
    <w:rsid w:val="008A058E"/>
    <w:rsid w:val="008A05A6"/>
    <w:rsid w:val="008A0602"/>
    <w:rsid w:val="008A0632"/>
    <w:rsid w:val="008A0649"/>
    <w:rsid w:val="008A066E"/>
    <w:rsid w:val="008A06A0"/>
    <w:rsid w:val="008A075C"/>
    <w:rsid w:val="008A0882"/>
    <w:rsid w:val="008A09D8"/>
    <w:rsid w:val="008A0AEE"/>
    <w:rsid w:val="008A0B6C"/>
    <w:rsid w:val="008A0BAD"/>
    <w:rsid w:val="008A0CBF"/>
    <w:rsid w:val="008A0CEC"/>
    <w:rsid w:val="008A0E0C"/>
    <w:rsid w:val="008A0E12"/>
    <w:rsid w:val="008A1439"/>
    <w:rsid w:val="008A147C"/>
    <w:rsid w:val="008A1546"/>
    <w:rsid w:val="008A161F"/>
    <w:rsid w:val="008A16BC"/>
    <w:rsid w:val="008A16F1"/>
    <w:rsid w:val="008A180D"/>
    <w:rsid w:val="008A181A"/>
    <w:rsid w:val="008A19D6"/>
    <w:rsid w:val="008A1A63"/>
    <w:rsid w:val="008A1B51"/>
    <w:rsid w:val="008A1BB0"/>
    <w:rsid w:val="008A1BEA"/>
    <w:rsid w:val="008A1D7B"/>
    <w:rsid w:val="008A1EE2"/>
    <w:rsid w:val="008A2311"/>
    <w:rsid w:val="008A2387"/>
    <w:rsid w:val="008A23E6"/>
    <w:rsid w:val="008A24F5"/>
    <w:rsid w:val="008A284C"/>
    <w:rsid w:val="008A2B0D"/>
    <w:rsid w:val="008A2B35"/>
    <w:rsid w:val="008A2B56"/>
    <w:rsid w:val="008A2BAA"/>
    <w:rsid w:val="008A2CA4"/>
    <w:rsid w:val="008A2E39"/>
    <w:rsid w:val="008A2E50"/>
    <w:rsid w:val="008A2E6A"/>
    <w:rsid w:val="008A2FF9"/>
    <w:rsid w:val="008A300A"/>
    <w:rsid w:val="008A3230"/>
    <w:rsid w:val="008A3242"/>
    <w:rsid w:val="008A3249"/>
    <w:rsid w:val="008A32A4"/>
    <w:rsid w:val="008A3347"/>
    <w:rsid w:val="008A33D6"/>
    <w:rsid w:val="008A33F3"/>
    <w:rsid w:val="008A3483"/>
    <w:rsid w:val="008A34EF"/>
    <w:rsid w:val="008A35FF"/>
    <w:rsid w:val="008A36D6"/>
    <w:rsid w:val="008A3756"/>
    <w:rsid w:val="008A37CB"/>
    <w:rsid w:val="008A3996"/>
    <w:rsid w:val="008A3A54"/>
    <w:rsid w:val="008A3A8F"/>
    <w:rsid w:val="008A3A94"/>
    <w:rsid w:val="008A3CC5"/>
    <w:rsid w:val="008A3CC7"/>
    <w:rsid w:val="008A3CD4"/>
    <w:rsid w:val="008A3F07"/>
    <w:rsid w:val="008A3F0B"/>
    <w:rsid w:val="008A3FFC"/>
    <w:rsid w:val="008A4007"/>
    <w:rsid w:val="008A4262"/>
    <w:rsid w:val="008A4280"/>
    <w:rsid w:val="008A42E1"/>
    <w:rsid w:val="008A436B"/>
    <w:rsid w:val="008A43FC"/>
    <w:rsid w:val="008A448B"/>
    <w:rsid w:val="008A48DC"/>
    <w:rsid w:val="008A4B87"/>
    <w:rsid w:val="008A4CC1"/>
    <w:rsid w:val="008A4D9C"/>
    <w:rsid w:val="008A4E20"/>
    <w:rsid w:val="008A4EAE"/>
    <w:rsid w:val="008A5036"/>
    <w:rsid w:val="008A50C5"/>
    <w:rsid w:val="008A5170"/>
    <w:rsid w:val="008A5185"/>
    <w:rsid w:val="008A53DC"/>
    <w:rsid w:val="008A54AC"/>
    <w:rsid w:val="008A553A"/>
    <w:rsid w:val="008A564B"/>
    <w:rsid w:val="008A56AD"/>
    <w:rsid w:val="008A573C"/>
    <w:rsid w:val="008A57C2"/>
    <w:rsid w:val="008A5955"/>
    <w:rsid w:val="008A5B39"/>
    <w:rsid w:val="008A5BC9"/>
    <w:rsid w:val="008A5C7B"/>
    <w:rsid w:val="008A5DBA"/>
    <w:rsid w:val="008A5E28"/>
    <w:rsid w:val="008A5F14"/>
    <w:rsid w:val="008A6090"/>
    <w:rsid w:val="008A6192"/>
    <w:rsid w:val="008A64AA"/>
    <w:rsid w:val="008A6582"/>
    <w:rsid w:val="008A6650"/>
    <w:rsid w:val="008A6664"/>
    <w:rsid w:val="008A668F"/>
    <w:rsid w:val="008A6908"/>
    <w:rsid w:val="008A6A6B"/>
    <w:rsid w:val="008A6A88"/>
    <w:rsid w:val="008A6B3A"/>
    <w:rsid w:val="008A6B3B"/>
    <w:rsid w:val="008A6C3B"/>
    <w:rsid w:val="008A6C8D"/>
    <w:rsid w:val="008A70A1"/>
    <w:rsid w:val="008A70B4"/>
    <w:rsid w:val="008A716C"/>
    <w:rsid w:val="008A725A"/>
    <w:rsid w:val="008A736B"/>
    <w:rsid w:val="008A73A1"/>
    <w:rsid w:val="008A73D7"/>
    <w:rsid w:val="008A744B"/>
    <w:rsid w:val="008A75F0"/>
    <w:rsid w:val="008A7696"/>
    <w:rsid w:val="008A779E"/>
    <w:rsid w:val="008A77D8"/>
    <w:rsid w:val="008A7BA5"/>
    <w:rsid w:val="008A7CE6"/>
    <w:rsid w:val="008A7D01"/>
    <w:rsid w:val="008A7D51"/>
    <w:rsid w:val="008A7E03"/>
    <w:rsid w:val="008B0181"/>
    <w:rsid w:val="008B02FF"/>
    <w:rsid w:val="008B0319"/>
    <w:rsid w:val="008B0381"/>
    <w:rsid w:val="008B050D"/>
    <w:rsid w:val="008B0527"/>
    <w:rsid w:val="008B056F"/>
    <w:rsid w:val="008B05C2"/>
    <w:rsid w:val="008B064A"/>
    <w:rsid w:val="008B080D"/>
    <w:rsid w:val="008B0950"/>
    <w:rsid w:val="008B0990"/>
    <w:rsid w:val="008B09DE"/>
    <w:rsid w:val="008B0BAD"/>
    <w:rsid w:val="008B0CEE"/>
    <w:rsid w:val="008B0D30"/>
    <w:rsid w:val="008B0D95"/>
    <w:rsid w:val="008B0DA3"/>
    <w:rsid w:val="008B0E8E"/>
    <w:rsid w:val="008B0F7C"/>
    <w:rsid w:val="008B0FB1"/>
    <w:rsid w:val="008B1048"/>
    <w:rsid w:val="008B11C2"/>
    <w:rsid w:val="008B135D"/>
    <w:rsid w:val="008B1549"/>
    <w:rsid w:val="008B1554"/>
    <w:rsid w:val="008B16A5"/>
    <w:rsid w:val="008B17BB"/>
    <w:rsid w:val="008B18CF"/>
    <w:rsid w:val="008B1ABA"/>
    <w:rsid w:val="008B1C0F"/>
    <w:rsid w:val="008B1CBD"/>
    <w:rsid w:val="008B1F20"/>
    <w:rsid w:val="008B1F88"/>
    <w:rsid w:val="008B20EC"/>
    <w:rsid w:val="008B2117"/>
    <w:rsid w:val="008B214D"/>
    <w:rsid w:val="008B216C"/>
    <w:rsid w:val="008B24D9"/>
    <w:rsid w:val="008B24E9"/>
    <w:rsid w:val="008B256A"/>
    <w:rsid w:val="008B2807"/>
    <w:rsid w:val="008B292A"/>
    <w:rsid w:val="008B2AA6"/>
    <w:rsid w:val="008B2AB4"/>
    <w:rsid w:val="008B2C4E"/>
    <w:rsid w:val="008B2EFB"/>
    <w:rsid w:val="008B2F15"/>
    <w:rsid w:val="008B3026"/>
    <w:rsid w:val="008B30CD"/>
    <w:rsid w:val="008B31B9"/>
    <w:rsid w:val="008B32B8"/>
    <w:rsid w:val="008B32F8"/>
    <w:rsid w:val="008B337A"/>
    <w:rsid w:val="008B3380"/>
    <w:rsid w:val="008B3451"/>
    <w:rsid w:val="008B372D"/>
    <w:rsid w:val="008B38C5"/>
    <w:rsid w:val="008B3A06"/>
    <w:rsid w:val="008B3A1E"/>
    <w:rsid w:val="008B3C62"/>
    <w:rsid w:val="008B3D0E"/>
    <w:rsid w:val="008B3D5F"/>
    <w:rsid w:val="008B3F16"/>
    <w:rsid w:val="008B3F4C"/>
    <w:rsid w:val="008B3F72"/>
    <w:rsid w:val="008B400E"/>
    <w:rsid w:val="008B40E7"/>
    <w:rsid w:val="008B40EF"/>
    <w:rsid w:val="008B417E"/>
    <w:rsid w:val="008B4202"/>
    <w:rsid w:val="008B427B"/>
    <w:rsid w:val="008B43C8"/>
    <w:rsid w:val="008B43CC"/>
    <w:rsid w:val="008B4490"/>
    <w:rsid w:val="008B44CD"/>
    <w:rsid w:val="008B44ED"/>
    <w:rsid w:val="008B456E"/>
    <w:rsid w:val="008B46E3"/>
    <w:rsid w:val="008B477F"/>
    <w:rsid w:val="008B4804"/>
    <w:rsid w:val="008B4872"/>
    <w:rsid w:val="008B49BA"/>
    <w:rsid w:val="008B49C7"/>
    <w:rsid w:val="008B4A22"/>
    <w:rsid w:val="008B4A39"/>
    <w:rsid w:val="008B4B36"/>
    <w:rsid w:val="008B4CAE"/>
    <w:rsid w:val="008B4D76"/>
    <w:rsid w:val="008B4D7D"/>
    <w:rsid w:val="008B4D85"/>
    <w:rsid w:val="008B4EC1"/>
    <w:rsid w:val="008B4ED1"/>
    <w:rsid w:val="008B4F75"/>
    <w:rsid w:val="008B4F86"/>
    <w:rsid w:val="008B4F92"/>
    <w:rsid w:val="008B4FC3"/>
    <w:rsid w:val="008B50EF"/>
    <w:rsid w:val="008B5140"/>
    <w:rsid w:val="008B522C"/>
    <w:rsid w:val="008B523A"/>
    <w:rsid w:val="008B533F"/>
    <w:rsid w:val="008B5357"/>
    <w:rsid w:val="008B538D"/>
    <w:rsid w:val="008B53C1"/>
    <w:rsid w:val="008B5408"/>
    <w:rsid w:val="008B550D"/>
    <w:rsid w:val="008B576E"/>
    <w:rsid w:val="008B576F"/>
    <w:rsid w:val="008B5939"/>
    <w:rsid w:val="008B5A25"/>
    <w:rsid w:val="008B5B28"/>
    <w:rsid w:val="008B5B4D"/>
    <w:rsid w:val="008B5BEF"/>
    <w:rsid w:val="008B5D95"/>
    <w:rsid w:val="008B5DE9"/>
    <w:rsid w:val="008B5FF4"/>
    <w:rsid w:val="008B6155"/>
    <w:rsid w:val="008B624C"/>
    <w:rsid w:val="008B6313"/>
    <w:rsid w:val="008B64D5"/>
    <w:rsid w:val="008B657A"/>
    <w:rsid w:val="008B6660"/>
    <w:rsid w:val="008B6777"/>
    <w:rsid w:val="008B6787"/>
    <w:rsid w:val="008B67E8"/>
    <w:rsid w:val="008B6814"/>
    <w:rsid w:val="008B68A9"/>
    <w:rsid w:val="008B68F4"/>
    <w:rsid w:val="008B6905"/>
    <w:rsid w:val="008B697B"/>
    <w:rsid w:val="008B6B30"/>
    <w:rsid w:val="008B6C4E"/>
    <w:rsid w:val="008B6C8F"/>
    <w:rsid w:val="008B6CCB"/>
    <w:rsid w:val="008B6DA7"/>
    <w:rsid w:val="008B6E79"/>
    <w:rsid w:val="008B6EFD"/>
    <w:rsid w:val="008B6F03"/>
    <w:rsid w:val="008B6F22"/>
    <w:rsid w:val="008B6F7F"/>
    <w:rsid w:val="008B70B4"/>
    <w:rsid w:val="008B70BB"/>
    <w:rsid w:val="008B7304"/>
    <w:rsid w:val="008B7372"/>
    <w:rsid w:val="008B741A"/>
    <w:rsid w:val="008B74C4"/>
    <w:rsid w:val="008B74DC"/>
    <w:rsid w:val="008B794D"/>
    <w:rsid w:val="008B7A1D"/>
    <w:rsid w:val="008B7A43"/>
    <w:rsid w:val="008B7E43"/>
    <w:rsid w:val="008B7F1F"/>
    <w:rsid w:val="008B7F3E"/>
    <w:rsid w:val="008C020B"/>
    <w:rsid w:val="008C0224"/>
    <w:rsid w:val="008C0380"/>
    <w:rsid w:val="008C0484"/>
    <w:rsid w:val="008C0594"/>
    <w:rsid w:val="008C05AD"/>
    <w:rsid w:val="008C06C8"/>
    <w:rsid w:val="008C088A"/>
    <w:rsid w:val="008C08B5"/>
    <w:rsid w:val="008C08BE"/>
    <w:rsid w:val="008C0948"/>
    <w:rsid w:val="008C0A28"/>
    <w:rsid w:val="008C0A9F"/>
    <w:rsid w:val="008C0CF3"/>
    <w:rsid w:val="008C0DDF"/>
    <w:rsid w:val="008C0E7D"/>
    <w:rsid w:val="008C0EB9"/>
    <w:rsid w:val="008C0FB7"/>
    <w:rsid w:val="008C1111"/>
    <w:rsid w:val="008C1258"/>
    <w:rsid w:val="008C12B6"/>
    <w:rsid w:val="008C12D9"/>
    <w:rsid w:val="008C142E"/>
    <w:rsid w:val="008C144B"/>
    <w:rsid w:val="008C159A"/>
    <w:rsid w:val="008C1A4F"/>
    <w:rsid w:val="008C1B10"/>
    <w:rsid w:val="008C1BDB"/>
    <w:rsid w:val="008C1C8A"/>
    <w:rsid w:val="008C1DBB"/>
    <w:rsid w:val="008C1DF4"/>
    <w:rsid w:val="008C1E00"/>
    <w:rsid w:val="008C1EC6"/>
    <w:rsid w:val="008C207E"/>
    <w:rsid w:val="008C210F"/>
    <w:rsid w:val="008C21AD"/>
    <w:rsid w:val="008C22C1"/>
    <w:rsid w:val="008C230A"/>
    <w:rsid w:val="008C2353"/>
    <w:rsid w:val="008C23AA"/>
    <w:rsid w:val="008C2421"/>
    <w:rsid w:val="008C24CB"/>
    <w:rsid w:val="008C2561"/>
    <w:rsid w:val="008C277D"/>
    <w:rsid w:val="008C2848"/>
    <w:rsid w:val="008C2BE7"/>
    <w:rsid w:val="008C2C2A"/>
    <w:rsid w:val="008C2C62"/>
    <w:rsid w:val="008C2E21"/>
    <w:rsid w:val="008C2E6F"/>
    <w:rsid w:val="008C2F00"/>
    <w:rsid w:val="008C2F45"/>
    <w:rsid w:val="008C2FAB"/>
    <w:rsid w:val="008C2FBB"/>
    <w:rsid w:val="008C2FEE"/>
    <w:rsid w:val="008C3043"/>
    <w:rsid w:val="008C31D2"/>
    <w:rsid w:val="008C3263"/>
    <w:rsid w:val="008C336F"/>
    <w:rsid w:val="008C34CF"/>
    <w:rsid w:val="008C362D"/>
    <w:rsid w:val="008C3654"/>
    <w:rsid w:val="008C3711"/>
    <w:rsid w:val="008C3850"/>
    <w:rsid w:val="008C38D7"/>
    <w:rsid w:val="008C3B85"/>
    <w:rsid w:val="008C3B99"/>
    <w:rsid w:val="008C3BCF"/>
    <w:rsid w:val="008C3CCE"/>
    <w:rsid w:val="008C3E3C"/>
    <w:rsid w:val="008C3E5A"/>
    <w:rsid w:val="008C4041"/>
    <w:rsid w:val="008C4055"/>
    <w:rsid w:val="008C407A"/>
    <w:rsid w:val="008C40EA"/>
    <w:rsid w:val="008C41DC"/>
    <w:rsid w:val="008C4428"/>
    <w:rsid w:val="008C4529"/>
    <w:rsid w:val="008C4A39"/>
    <w:rsid w:val="008C4A7B"/>
    <w:rsid w:val="008C4AD6"/>
    <w:rsid w:val="008C4BF3"/>
    <w:rsid w:val="008C4C35"/>
    <w:rsid w:val="008C4C55"/>
    <w:rsid w:val="008C4D35"/>
    <w:rsid w:val="008C4D8F"/>
    <w:rsid w:val="008C4DF6"/>
    <w:rsid w:val="008C4F09"/>
    <w:rsid w:val="008C4F45"/>
    <w:rsid w:val="008C4FCA"/>
    <w:rsid w:val="008C504F"/>
    <w:rsid w:val="008C50AD"/>
    <w:rsid w:val="008C517C"/>
    <w:rsid w:val="008C51D1"/>
    <w:rsid w:val="008C51E9"/>
    <w:rsid w:val="008C5231"/>
    <w:rsid w:val="008C5252"/>
    <w:rsid w:val="008C53CC"/>
    <w:rsid w:val="008C53DB"/>
    <w:rsid w:val="008C5600"/>
    <w:rsid w:val="008C572A"/>
    <w:rsid w:val="008C5742"/>
    <w:rsid w:val="008C5AA0"/>
    <w:rsid w:val="008C5AA6"/>
    <w:rsid w:val="008C5AE9"/>
    <w:rsid w:val="008C5F7D"/>
    <w:rsid w:val="008C5FEE"/>
    <w:rsid w:val="008C60EE"/>
    <w:rsid w:val="008C62D0"/>
    <w:rsid w:val="008C6429"/>
    <w:rsid w:val="008C67AD"/>
    <w:rsid w:val="008C67DC"/>
    <w:rsid w:val="008C688A"/>
    <w:rsid w:val="008C689D"/>
    <w:rsid w:val="008C6A00"/>
    <w:rsid w:val="008C6A6D"/>
    <w:rsid w:val="008C6AFE"/>
    <w:rsid w:val="008C6B0E"/>
    <w:rsid w:val="008C6B47"/>
    <w:rsid w:val="008C6E7D"/>
    <w:rsid w:val="008C6F35"/>
    <w:rsid w:val="008C6F60"/>
    <w:rsid w:val="008C6FC1"/>
    <w:rsid w:val="008C70D8"/>
    <w:rsid w:val="008C70E7"/>
    <w:rsid w:val="008C711C"/>
    <w:rsid w:val="008C71E1"/>
    <w:rsid w:val="008C7216"/>
    <w:rsid w:val="008C7301"/>
    <w:rsid w:val="008C73E6"/>
    <w:rsid w:val="008C75ED"/>
    <w:rsid w:val="008C7696"/>
    <w:rsid w:val="008C76CB"/>
    <w:rsid w:val="008C770E"/>
    <w:rsid w:val="008C7A64"/>
    <w:rsid w:val="008C7AC7"/>
    <w:rsid w:val="008C7ACF"/>
    <w:rsid w:val="008C7D3B"/>
    <w:rsid w:val="008C7DBA"/>
    <w:rsid w:val="008C7DC3"/>
    <w:rsid w:val="008C7E4E"/>
    <w:rsid w:val="008C7E74"/>
    <w:rsid w:val="008C7F94"/>
    <w:rsid w:val="008D0079"/>
    <w:rsid w:val="008D00C8"/>
    <w:rsid w:val="008D00E0"/>
    <w:rsid w:val="008D00F0"/>
    <w:rsid w:val="008D0120"/>
    <w:rsid w:val="008D02F5"/>
    <w:rsid w:val="008D0336"/>
    <w:rsid w:val="008D0375"/>
    <w:rsid w:val="008D03D0"/>
    <w:rsid w:val="008D046D"/>
    <w:rsid w:val="008D04ED"/>
    <w:rsid w:val="008D05DA"/>
    <w:rsid w:val="008D0662"/>
    <w:rsid w:val="008D0688"/>
    <w:rsid w:val="008D06BE"/>
    <w:rsid w:val="008D08CB"/>
    <w:rsid w:val="008D0971"/>
    <w:rsid w:val="008D0A90"/>
    <w:rsid w:val="008D0D58"/>
    <w:rsid w:val="008D0F8C"/>
    <w:rsid w:val="008D0FDC"/>
    <w:rsid w:val="008D1006"/>
    <w:rsid w:val="008D1014"/>
    <w:rsid w:val="008D139C"/>
    <w:rsid w:val="008D159F"/>
    <w:rsid w:val="008D1794"/>
    <w:rsid w:val="008D1A62"/>
    <w:rsid w:val="008D1BB9"/>
    <w:rsid w:val="008D1C28"/>
    <w:rsid w:val="008D1C67"/>
    <w:rsid w:val="008D1D1D"/>
    <w:rsid w:val="008D1DF3"/>
    <w:rsid w:val="008D1DFE"/>
    <w:rsid w:val="008D1FB9"/>
    <w:rsid w:val="008D2164"/>
    <w:rsid w:val="008D22D1"/>
    <w:rsid w:val="008D23CD"/>
    <w:rsid w:val="008D250A"/>
    <w:rsid w:val="008D26DA"/>
    <w:rsid w:val="008D26EF"/>
    <w:rsid w:val="008D26F7"/>
    <w:rsid w:val="008D274B"/>
    <w:rsid w:val="008D2916"/>
    <w:rsid w:val="008D2A78"/>
    <w:rsid w:val="008D2C5E"/>
    <w:rsid w:val="008D2D78"/>
    <w:rsid w:val="008D2DA7"/>
    <w:rsid w:val="008D2DD5"/>
    <w:rsid w:val="008D2DDF"/>
    <w:rsid w:val="008D2E22"/>
    <w:rsid w:val="008D2EF5"/>
    <w:rsid w:val="008D2F64"/>
    <w:rsid w:val="008D2FC7"/>
    <w:rsid w:val="008D2FF1"/>
    <w:rsid w:val="008D3043"/>
    <w:rsid w:val="008D307B"/>
    <w:rsid w:val="008D30FC"/>
    <w:rsid w:val="008D312E"/>
    <w:rsid w:val="008D3137"/>
    <w:rsid w:val="008D336A"/>
    <w:rsid w:val="008D3427"/>
    <w:rsid w:val="008D34E3"/>
    <w:rsid w:val="008D3539"/>
    <w:rsid w:val="008D3553"/>
    <w:rsid w:val="008D3D02"/>
    <w:rsid w:val="008D3D61"/>
    <w:rsid w:val="008D3E42"/>
    <w:rsid w:val="008D3E62"/>
    <w:rsid w:val="008D3EB4"/>
    <w:rsid w:val="008D4222"/>
    <w:rsid w:val="008D427F"/>
    <w:rsid w:val="008D428C"/>
    <w:rsid w:val="008D4385"/>
    <w:rsid w:val="008D4506"/>
    <w:rsid w:val="008D4553"/>
    <w:rsid w:val="008D4677"/>
    <w:rsid w:val="008D477E"/>
    <w:rsid w:val="008D478E"/>
    <w:rsid w:val="008D4805"/>
    <w:rsid w:val="008D484D"/>
    <w:rsid w:val="008D49B4"/>
    <w:rsid w:val="008D4AC0"/>
    <w:rsid w:val="008D4ACE"/>
    <w:rsid w:val="008D4AD3"/>
    <w:rsid w:val="008D4B2F"/>
    <w:rsid w:val="008D4B43"/>
    <w:rsid w:val="008D4C6F"/>
    <w:rsid w:val="008D4CDB"/>
    <w:rsid w:val="008D4CEB"/>
    <w:rsid w:val="008D4DD0"/>
    <w:rsid w:val="008D4DE0"/>
    <w:rsid w:val="008D4EFA"/>
    <w:rsid w:val="008D5007"/>
    <w:rsid w:val="008D5016"/>
    <w:rsid w:val="008D527F"/>
    <w:rsid w:val="008D5331"/>
    <w:rsid w:val="008D536D"/>
    <w:rsid w:val="008D545F"/>
    <w:rsid w:val="008D5487"/>
    <w:rsid w:val="008D570A"/>
    <w:rsid w:val="008D5719"/>
    <w:rsid w:val="008D5730"/>
    <w:rsid w:val="008D5738"/>
    <w:rsid w:val="008D57C3"/>
    <w:rsid w:val="008D582D"/>
    <w:rsid w:val="008D5905"/>
    <w:rsid w:val="008D5914"/>
    <w:rsid w:val="008D5964"/>
    <w:rsid w:val="008D5BDD"/>
    <w:rsid w:val="008D5C23"/>
    <w:rsid w:val="008D5C5A"/>
    <w:rsid w:val="008D5E55"/>
    <w:rsid w:val="008D5ED2"/>
    <w:rsid w:val="008D5F4D"/>
    <w:rsid w:val="008D5F6D"/>
    <w:rsid w:val="008D6059"/>
    <w:rsid w:val="008D6161"/>
    <w:rsid w:val="008D61E7"/>
    <w:rsid w:val="008D62E0"/>
    <w:rsid w:val="008D6310"/>
    <w:rsid w:val="008D666C"/>
    <w:rsid w:val="008D6763"/>
    <w:rsid w:val="008D6866"/>
    <w:rsid w:val="008D68D2"/>
    <w:rsid w:val="008D6A2D"/>
    <w:rsid w:val="008D6A62"/>
    <w:rsid w:val="008D6BF9"/>
    <w:rsid w:val="008D6C93"/>
    <w:rsid w:val="008D6CFE"/>
    <w:rsid w:val="008D6D50"/>
    <w:rsid w:val="008D6D8E"/>
    <w:rsid w:val="008D6DCE"/>
    <w:rsid w:val="008D7112"/>
    <w:rsid w:val="008D71D1"/>
    <w:rsid w:val="008D71D5"/>
    <w:rsid w:val="008D71E0"/>
    <w:rsid w:val="008D728F"/>
    <w:rsid w:val="008D72DF"/>
    <w:rsid w:val="008D77C1"/>
    <w:rsid w:val="008D7856"/>
    <w:rsid w:val="008D7966"/>
    <w:rsid w:val="008D7DC1"/>
    <w:rsid w:val="008E0063"/>
    <w:rsid w:val="008E03CF"/>
    <w:rsid w:val="008E0432"/>
    <w:rsid w:val="008E071C"/>
    <w:rsid w:val="008E0720"/>
    <w:rsid w:val="008E0745"/>
    <w:rsid w:val="008E085E"/>
    <w:rsid w:val="008E0891"/>
    <w:rsid w:val="008E092A"/>
    <w:rsid w:val="008E0A99"/>
    <w:rsid w:val="008E0B7B"/>
    <w:rsid w:val="008E0B91"/>
    <w:rsid w:val="008E0BDB"/>
    <w:rsid w:val="008E0C36"/>
    <w:rsid w:val="008E0D7E"/>
    <w:rsid w:val="008E0D8C"/>
    <w:rsid w:val="008E0D91"/>
    <w:rsid w:val="008E0DE1"/>
    <w:rsid w:val="008E0DFF"/>
    <w:rsid w:val="008E0EB2"/>
    <w:rsid w:val="008E0FA3"/>
    <w:rsid w:val="008E1027"/>
    <w:rsid w:val="008E1041"/>
    <w:rsid w:val="008E108E"/>
    <w:rsid w:val="008E1186"/>
    <w:rsid w:val="008E12F9"/>
    <w:rsid w:val="008E1374"/>
    <w:rsid w:val="008E1996"/>
    <w:rsid w:val="008E1A30"/>
    <w:rsid w:val="008E1ACE"/>
    <w:rsid w:val="008E1BCA"/>
    <w:rsid w:val="008E1C3E"/>
    <w:rsid w:val="008E1EAF"/>
    <w:rsid w:val="008E1F24"/>
    <w:rsid w:val="008E21A0"/>
    <w:rsid w:val="008E220E"/>
    <w:rsid w:val="008E2244"/>
    <w:rsid w:val="008E22C0"/>
    <w:rsid w:val="008E2304"/>
    <w:rsid w:val="008E23E8"/>
    <w:rsid w:val="008E2422"/>
    <w:rsid w:val="008E2441"/>
    <w:rsid w:val="008E2460"/>
    <w:rsid w:val="008E24C4"/>
    <w:rsid w:val="008E24D6"/>
    <w:rsid w:val="008E26C1"/>
    <w:rsid w:val="008E2748"/>
    <w:rsid w:val="008E27B9"/>
    <w:rsid w:val="008E285B"/>
    <w:rsid w:val="008E288C"/>
    <w:rsid w:val="008E2990"/>
    <w:rsid w:val="008E2A1C"/>
    <w:rsid w:val="008E2A2B"/>
    <w:rsid w:val="008E2C75"/>
    <w:rsid w:val="008E2D13"/>
    <w:rsid w:val="008E2E18"/>
    <w:rsid w:val="008E2E22"/>
    <w:rsid w:val="008E2F22"/>
    <w:rsid w:val="008E30A5"/>
    <w:rsid w:val="008E3182"/>
    <w:rsid w:val="008E31D0"/>
    <w:rsid w:val="008E3441"/>
    <w:rsid w:val="008E34B0"/>
    <w:rsid w:val="008E34F7"/>
    <w:rsid w:val="008E354D"/>
    <w:rsid w:val="008E3569"/>
    <w:rsid w:val="008E35FE"/>
    <w:rsid w:val="008E3657"/>
    <w:rsid w:val="008E3686"/>
    <w:rsid w:val="008E3758"/>
    <w:rsid w:val="008E3832"/>
    <w:rsid w:val="008E38CF"/>
    <w:rsid w:val="008E3960"/>
    <w:rsid w:val="008E398B"/>
    <w:rsid w:val="008E3B66"/>
    <w:rsid w:val="008E3B6B"/>
    <w:rsid w:val="008E3B87"/>
    <w:rsid w:val="008E3BC6"/>
    <w:rsid w:val="008E3CA3"/>
    <w:rsid w:val="008E3DAF"/>
    <w:rsid w:val="008E3F8C"/>
    <w:rsid w:val="008E40E2"/>
    <w:rsid w:val="008E40F7"/>
    <w:rsid w:val="008E4140"/>
    <w:rsid w:val="008E414A"/>
    <w:rsid w:val="008E41A9"/>
    <w:rsid w:val="008E4236"/>
    <w:rsid w:val="008E4269"/>
    <w:rsid w:val="008E4305"/>
    <w:rsid w:val="008E4457"/>
    <w:rsid w:val="008E44A2"/>
    <w:rsid w:val="008E44D6"/>
    <w:rsid w:val="008E44E6"/>
    <w:rsid w:val="008E45CB"/>
    <w:rsid w:val="008E461A"/>
    <w:rsid w:val="008E4671"/>
    <w:rsid w:val="008E4676"/>
    <w:rsid w:val="008E4684"/>
    <w:rsid w:val="008E479B"/>
    <w:rsid w:val="008E47D9"/>
    <w:rsid w:val="008E49DE"/>
    <w:rsid w:val="008E4C2F"/>
    <w:rsid w:val="008E4C94"/>
    <w:rsid w:val="008E4CC1"/>
    <w:rsid w:val="008E4CE5"/>
    <w:rsid w:val="008E4D18"/>
    <w:rsid w:val="008E4E5F"/>
    <w:rsid w:val="008E4E95"/>
    <w:rsid w:val="008E50D5"/>
    <w:rsid w:val="008E50DF"/>
    <w:rsid w:val="008E527B"/>
    <w:rsid w:val="008E5296"/>
    <w:rsid w:val="008E5377"/>
    <w:rsid w:val="008E53B4"/>
    <w:rsid w:val="008E5483"/>
    <w:rsid w:val="008E5628"/>
    <w:rsid w:val="008E5658"/>
    <w:rsid w:val="008E5849"/>
    <w:rsid w:val="008E58A6"/>
    <w:rsid w:val="008E59A1"/>
    <w:rsid w:val="008E5B9B"/>
    <w:rsid w:val="008E5CA0"/>
    <w:rsid w:val="008E5CD1"/>
    <w:rsid w:val="008E5EF6"/>
    <w:rsid w:val="008E6090"/>
    <w:rsid w:val="008E613D"/>
    <w:rsid w:val="008E6272"/>
    <w:rsid w:val="008E640B"/>
    <w:rsid w:val="008E646A"/>
    <w:rsid w:val="008E6552"/>
    <w:rsid w:val="008E6576"/>
    <w:rsid w:val="008E686B"/>
    <w:rsid w:val="008E6A3E"/>
    <w:rsid w:val="008E6BC1"/>
    <w:rsid w:val="008E6C9A"/>
    <w:rsid w:val="008E6E2A"/>
    <w:rsid w:val="008E6FA0"/>
    <w:rsid w:val="008E6FD1"/>
    <w:rsid w:val="008E6FEA"/>
    <w:rsid w:val="008E7030"/>
    <w:rsid w:val="008E70D4"/>
    <w:rsid w:val="008E73DC"/>
    <w:rsid w:val="008E7403"/>
    <w:rsid w:val="008E74E6"/>
    <w:rsid w:val="008E7586"/>
    <w:rsid w:val="008E75EC"/>
    <w:rsid w:val="008E7650"/>
    <w:rsid w:val="008E7766"/>
    <w:rsid w:val="008E7768"/>
    <w:rsid w:val="008E789E"/>
    <w:rsid w:val="008E791C"/>
    <w:rsid w:val="008E79DD"/>
    <w:rsid w:val="008E7ADE"/>
    <w:rsid w:val="008E7B43"/>
    <w:rsid w:val="008E7BC0"/>
    <w:rsid w:val="008E7D07"/>
    <w:rsid w:val="008E7D27"/>
    <w:rsid w:val="008F001E"/>
    <w:rsid w:val="008F0030"/>
    <w:rsid w:val="008F0041"/>
    <w:rsid w:val="008F0087"/>
    <w:rsid w:val="008F0091"/>
    <w:rsid w:val="008F00D9"/>
    <w:rsid w:val="008F011E"/>
    <w:rsid w:val="008F029A"/>
    <w:rsid w:val="008F02CD"/>
    <w:rsid w:val="008F02DC"/>
    <w:rsid w:val="008F046E"/>
    <w:rsid w:val="008F05A1"/>
    <w:rsid w:val="008F0613"/>
    <w:rsid w:val="008F0651"/>
    <w:rsid w:val="008F06D6"/>
    <w:rsid w:val="008F0762"/>
    <w:rsid w:val="008F0944"/>
    <w:rsid w:val="008F09AD"/>
    <w:rsid w:val="008F0BFA"/>
    <w:rsid w:val="008F0C1B"/>
    <w:rsid w:val="008F0F20"/>
    <w:rsid w:val="008F0FFA"/>
    <w:rsid w:val="008F1268"/>
    <w:rsid w:val="008F1323"/>
    <w:rsid w:val="008F133A"/>
    <w:rsid w:val="008F134F"/>
    <w:rsid w:val="008F140F"/>
    <w:rsid w:val="008F15DC"/>
    <w:rsid w:val="008F16B1"/>
    <w:rsid w:val="008F1785"/>
    <w:rsid w:val="008F17BF"/>
    <w:rsid w:val="008F1A8B"/>
    <w:rsid w:val="008F1C96"/>
    <w:rsid w:val="008F1CD8"/>
    <w:rsid w:val="008F1D50"/>
    <w:rsid w:val="008F1D5B"/>
    <w:rsid w:val="008F1F7A"/>
    <w:rsid w:val="008F1FA6"/>
    <w:rsid w:val="008F2231"/>
    <w:rsid w:val="008F22DE"/>
    <w:rsid w:val="008F2497"/>
    <w:rsid w:val="008F249F"/>
    <w:rsid w:val="008F24CD"/>
    <w:rsid w:val="008F262D"/>
    <w:rsid w:val="008F26C8"/>
    <w:rsid w:val="008F2701"/>
    <w:rsid w:val="008F2725"/>
    <w:rsid w:val="008F2795"/>
    <w:rsid w:val="008F27AC"/>
    <w:rsid w:val="008F294D"/>
    <w:rsid w:val="008F294F"/>
    <w:rsid w:val="008F2B05"/>
    <w:rsid w:val="008F2B1E"/>
    <w:rsid w:val="008F2C94"/>
    <w:rsid w:val="008F2F04"/>
    <w:rsid w:val="008F3032"/>
    <w:rsid w:val="008F30FE"/>
    <w:rsid w:val="008F3210"/>
    <w:rsid w:val="008F33D4"/>
    <w:rsid w:val="008F344A"/>
    <w:rsid w:val="008F3A40"/>
    <w:rsid w:val="008F3B05"/>
    <w:rsid w:val="008F3B4A"/>
    <w:rsid w:val="008F3B98"/>
    <w:rsid w:val="008F3BB1"/>
    <w:rsid w:val="008F3BB4"/>
    <w:rsid w:val="008F3BF7"/>
    <w:rsid w:val="008F3C4E"/>
    <w:rsid w:val="008F3C6E"/>
    <w:rsid w:val="008F3D42"/>
    <w:rsid w:val="008F3D9B"/>
    <w:rsid w:val="008F3DA6"/>
    <w:rsid w:val="008F3E0D"/>
    <w:rsid w:val="008F3F2B"/>
    <w:rsid w:val="008F3F80"/>
    <w:rsid w:val="008F4027"/>
    <w:rsid w:val="008F404E"/>
    <w:rsid w:val="008F406F"/>
    <w:rsid w:val="008F40A7"/>
    <w:rsid w:val="008F4317"/>
    <w:rsid w:val="008F43FE"/>
    <w:rsid w:val="008F445B"/>
    <w:rsid w:val="008F452D"/>
    <w:rsid w:val="008F4544"/>
    <w:rsid w:val="008F4694"/>
    <w:rsid w:val="008F46A5"/>
    <w:rsid w:val="008F4700"/>
    <w:rsid w:val="008F475C"/>
    <w:rsid w:val="008F47A2"/>
    <w:rsid w:val="008F4918"/>
    <w:rsid w:val="008F4967"/>
    <w:rsid w:val="008F4A19"/>
    <w:rsid w:val="008F4BF0"/>
    <w:rsid w:val="008F4C86"/>
    <w:rsid w:val="008F4DD8"/>
    <w:rsid w:val="008F4DFA"/>
    <w:rsid w:val="008F4E08"/>
    <w:rsid w:val="008F4E3E"/>
    <w:rsid w:val="008F4EE4"/>
    <w:rsid w:val="008F4FC8"/>
    <w:rsid w:val="008F5050"/>
    <w:rsid w:val="008F515C"/>
    <w:rsid w:val="008F517C"/>
    <w:rsid w:val="008F51D7"/>
    <w:rsid w:val="008F5268"/>
    <w:rsid w:val="008F531A"/>
    <w:rsid w:val="008F531D"/>
    <w:rsid w:val="008F5351"/>
    <w:rsid w:val="008F536D"/>
    <w:rsid w:val="008F5393"/>
    <w:rsid w:val="008F53CF"/>
    <w:rsid w:val="008F547B"/>
    <w:rsid w:val="008F54DC"/>
    <w:rsid w:val="008F5517"/>
    <w:rsid w:val="008F551C"/>
    <w:rsid w:val="008F5530"/>
    <w:rsid w:val="008F5552"/>
    <w:rsid w:val="008F5657"/>
    <w:rsid w:val="008F568E"/>
    <w:rsid w:val="008F5693"/>
    <w:rsid w:val="008F569B"/>
    <w:rsid w:val="008F573F"/>
    <w:rsid w:val="008F5794"/>
    <w:rsid w:val="008F58AB"/>
    <w:rsid w:val="008F5C51"/>
    <w:rsid w:val="008F5D89"/>
    <w:rsid w:val="008F5EFE"/>
    <w:rsid w:val="008F5FBE"/>
    <w:rsid w:val="008F6031"/>
    <w:rsid w:val="008F6084"/>
    <w:rsid w:val="008F62ED"/>
    <w:rsid w:val="008F6321"/>
    <w:rsid w:val="008F63DD"/>
    <w:rsid w:val="008F640D"/>
    <w:rsid w:val="008F6457"/>
    <w:rsid w:val="008F645E"/>
    <w:rsid w:val="008F64E9"/>
    <w:rsid w:val="008F652D"/>
    <w:rsid w:val="008F65D3"/>
    <w:rsid w:val="008F66DA"/>
    <w:rsid w:val="008F6702"/>
    <w:rsid w:val="008F67F8"/>
    <w:rsid w:val="008F6841"/>
    <w:rsid w:val="008F69A8"/>
    <w:rsid w:val="008F69C7"/>
    <w:rsid w:val="008F6A2A"/>
    <w:rsid w:val="008F6ADA"/>
    <w:rsid w:val="008F6B22"/>
    <w:rsid w:val="008F6C1C"/>
    <w:rsid w:val="008F6C8D"/>
    <w:rsid w:val="008F6D49"/>
    <w:rsid w:val="008F70DD"/>
    <w:rsid w:val="008F70ED"/>
    <w:rsid w:val="008F710A"/>
    <w:rsid w:val="008F724C"/>
    <w:rsid w:val="008F7259"/>
    <w:rsid w:val="008F73BC"/>
    <w:rsid w:val="008F740B"/>
    <w:rsid w:val="008F7429"/>
    <w:rsid w:val="008F7436"/>
    <w:rsid w:val="008F7538"/>
    <w:rsid w:val="008F769C"/>
    <w:rsid w:val="008F778A"/>
    <w:rsid w:val="008F7807"/>
    <w:rsid w:val="008F785D"/>
    <w:rsid w:val="008F7928"/>
    <w:rsid w:val="008F7F18"/>
    <w:rsid w:val="008F7FAE"/>
    <w:rsid w:val="0090002E"/>
    <w:rsid w:val="009000CD"/>
    <w:rsid w:val="00900122"/>
    <w:rsid w:val="00900158"/>
    <w:rsid w:val="00900257"/>
    <w:rsid w:val="009002B0"/>
    <w:rsid w:val="00900583"/>
    <w:rsid w:val="00900720"/>
    <w:rsid w:val="00900799"/>
    <w:rsid w:val="00900836"/>
    <w:rsid w:val="00900A17"/>
    <w:rsid w:val="00900B39"/>
    <w:rsid w:val="00900B87"/>
    <w:rsid w:val="00900CCC"/>
    <w:rsid w:val="00900D84"/>
    <w:rsid w:val="00900E82"/>
    <w:rsid w:val="00900FC5"/>
    <w:rsid w:val="009010A3"/>
    <w:rsid w:val="009012EF"/>
    <w:rsid w:val="0090130B"/>
    <w:rsid w:val="009013C3"/>
    <w:rsid w:val="009015FA"/>
    <w:rsid w:val="00901680"/>
    <w:rsid w:val="0090171F"/>
    <w:rsid w:val="0090176C"/>
    <w:rsid w:val="009017FA"/>
    <w:rsid w:val="0090192A"/>
    <w:rsid w:val="00901969"/>
    <w:rsid w:val="009019DC"/>
    <w:rsid w:val="00901A3B"/>
    <w:rsid w:val="00901AE0"/>
    <w:rsid w:val="00901B86"/>
    <w:rsid w:val="00901BD1"/>
    <w:rsid w:val="00901C1B"/>
    <w:rsid w:val="00901E11"/>
    <w:rsid w:val="00901EA9"/>
    <w:rsid w:val="00902214"/>
    <w:rsid w:val="00902261"/>
    <w:rsid w:val="009023B5"/>
    <w:rsid w:val="00902617"/>
    <w:rsid w:val="00902660"/>
    <w:rsid w:val="009026F4"/>
    <w:rsid w:val="009028A9"/>
    <w:rsid w:val="00902B58"/>
    <w:rsid w:val="00902C14"/>
    <w:rsid w:val="00902F2D"/>
    <w:rsid w:val="009030B5"/>
    <w:rsid w:val="00903197"/>
    <w:rsid w:val="0090346D"/>
    <w:rsid w:val="009034F5"/>
    <w:rsid w:val="009035AD"/>
    <w:rsid w:val="009036A1"/>
    <w:rsid w:val="00903844"/>
    <w:rsid w:val="009038DD"/>
    <w:rsid w:val="00903A3F"/>
    <w:rsid w:val="00903BB9"/>
    <w:rsid w:val="00903CA2"/>
    <w:rsid w:val="00903CE9"/>
    <w:rsid w:val="00903E57"/>
    <w:rsid w:val="00903FB4"/>
    <w:rsid w:val="009040FC"/>
    <w:rsid w:val="009041C8"/>
    <w:rsid w:val="00904280"/>
    <w:rsid w:val="009042F1"/>
    <w:rsid w:val="009043AA"/>
    <w:rsid w:val="009043B2"/>
    <w:rsid w:val="009045A3"/>
    <w:rsid w:val="00904658"/>
    <w:rsid w:val="009046B8"/>
    <w:rsid w:val="0090483B"/>
    <w:rsid w:val="009048F0"/>
    <w:rsid w:val="009049AF"/>
    <w:rsid w:val="00904A17"/>
    <w:rsid w:val="00904AAF"/>
    <w:rsid w:val="00904B92"/>
    <w:rsid w:val="00904C2B"/>
    <w:rsid w:val="00905016"/>
    <w:rsid w:val="00905020"/>
    <w:rsid w:val="00905179"/>
    <w:rsid w:val="009051BD"/>
    <w:rsid w:val="00905266"/>
    <w:rsid w:val="00905291"/>
    <w:rsid w:val="0090557D"/>
    <w:rsid w:val="00905596"/>
    <w:rsid w:val="009055DF"/>
    <w:rsid w:val="00905624"/>
    <w:rsid w:val="0090574A"/>
    <w:rsid w:val="00905904"/>
    <w:rsid w:val="00905C73"/>
    <w:rsid w:val="00905DB5"/>
    <w:rsid w:val="00905DC5"/>
    <w:rsid w:val="00905E44"/>
    <w:rsid w:val="00905EC6"/>
    <w:rsid w:val="00905F6D"/>
    <w:rsid w:val="00905FF8"/>
    <w:rsid w:val="00906075"/>
    <w:rsid w:val="009060DB"/>
    <w:rsid w:val="0090610D"/>
    <w:rsid w:val="009061E7"/>
    <w:rsid w:val="0090629D"/>
    <w:rsid w:val="009063DC"/>
    <w:rsid w:val="009064E9"/>
    <w:rsid w:val="0090668B"/>
    <w:rsid w:val="009066BF"/>
    <w:rsid w:val="00906774"/>
    <w:rsid w:val="009067C3"/>
    <w:rsid w:val="00906915"/>
    <w:rsid w:val="009069E8"/>
    <w:rsid w:val="00906A7F"/>
    <w:rsid w:val="00906B4E"/>
    <w:rsid w:val="00906C1B"/>
    <w:rsid w:val="00906C83"/>
    <w:rsid w:val="00906C87"/>
    <w:rsid w:val="00906D37"/>
    <w:rsid w:val="00906E86"/>
    <w:rsid w:val="00906EBD"/>
    <w:rsid w:val="00907313"/>
    <w:rsid w:val="00907451"/>
    <w:rsid w:val="0090756C"/>
    <w:rsid w:val="00907645"/>
    <w:rsid w:val="0090784D"/>
    <w:rsid w:val="009078F8"/>
    <w:rsid w:val="009078FF"/>
    <w:rsid w:val="00907A28"/>
    <w:rsid w:val="00907BB7"/>
    <w:rsid w:val="00907C5D"/>
    <w:rsid w:val="00907CD6"/>
    <w:rsid w:val="00907CEC"/>
    <w:rsid w:val="00907E3A"/>
    <w:rsid w:val="00907E56"/>
    <w:rsid w:val="00907FFE"/>
    <w:rsid w:val="009101B3"/>
    <w:rsid w:val="0091034A"/>
    <w:rsid w:val="0091037A"/>
    <w:rsid w:val="0091042D"/>
    <w:rsid w:val="00910634"/>
    <w:rsid w:val="00910675"/>
    <w:rsid w:val="009106DA"/>
    <w:rsid w:val="009106EC"/>
    <w:rsid w:val="0091073D"/>
    <w:rsid w:val="00910852"/>
    <w:rsid w:val="0091094E"/>
    <w:rsid w:val="009109C5"/>
    <w:rsid w:val="009109F3"/>
    <w:rsid w:val="00910A01"/>
    <w:rsid w:val="00910B96"/>
    <w:rsid w:val="00910E82"/>
    <w:rsid w:val="00911072"/>
    <w:rsid w:val="009110BA"/>
    <w:rsid w:val="009111C9"/>
    <w:rsid w:val="009111ED"/>
    <w:rsid w:val="00911307"/>
    <w:rsid w:val="00911372"/>
    <w:rsid w:val="009116A6"/>
    <w:rsid w:val="009116F6"/>
    <w:rsid w:val="009117F8"/>
    <w:rsid w:val="00911947"/>
    <w:rsid w:val="00911A24"/>
    <w:rsid w:val="00911AB3"/>
    <w:rsid w:val="00911AFB"/>
    <w:rsid w:val="00911BF9"/>
    <w:rsid w:val="00911DFE"/>
    <w:rsid w:val="00911FD3"/>
    <w:rsid w:val="00911FF2"/>
    <w:rsid w:val="00912075"/>
    <w:rsid w:val="009121E7"/>
    <w:rsid w:val="00912244"/>
    <w:rsid w:val="0091239A"/>
    <w:rsid w:val="00912426"/>
    <w:rsid w:val="00912548"/>
    <w:rsid w:val="0091271C"/>
    <w:rsid w:val="0091286A"/>
    <w:rsid w:val="00912A00"/>
    <w:rsid w:val="00912B15"/>
    <w:rsid w:val="00912B3A"/>
    <w:rsid w:val="00912BEA"/>
    <w:rsid w:val="00912C0C"/>
    <w:rsid w:val="00912C5A"/>
    <w:rsid w:val="00912E62"/>
    <w:rsid w:val="00912FC8"/>
    <w:rsid w:val="00912FCD"/>
    <w:rsid w:val="00913112"/>
    <w:rsid w:val="0091314A"/>
    <w:rsid w:val="00913171"/>
    <w:rsid w:val="00913221"/>
    <w:rsid w:val="00913235"/>
    <w:rsid w:val="0091324F"/>
    <w:rsid w:val="00913271"/>
    <w:rsid w:val="009132B2"/>
    <w:rsid w:val="009132D4"/>
    <w:rsid w:val="0091334D"/>
    <w:rsid w:val="00913606"/>
    <w:rsid w:val="009136C9"/>
    <w:rsid w:val="009137CF"/>
    <w:rsid w:val="0091394F"/>
    <w:rsid w:val="00913956"/>
    <w:rsid w:val="00913989"/>
    <w:rsid w:val="00913A50"/>
    <w:rsid w:val="00913ABF"/>
    <w:rsid w:val="00913AC1"/>
    <w:rsid w:val="00913CDB"/>
    <w:rsid w:val="00913E9F"/>
    <w:rsid w:val="00913EB7"/>
    <w:rsid w:val="009141C6"/>
    <w:rsid w:val="00914328"/>
    <w:rsid w:val="0091436A"/>
    <w:rsid w:val="0091494A"/>
    <w:rsid w:val="00914AB5"/>
    <w:rsid w:val="00914B42"/>
    <w:rsid w:val="00914DCC"/>
    <w:rsid w:val="00914F97"/>
    <w:rsid w:val="00915017"/>
    <w:rsid w:val="0091504C"/>
    <w:rsid w:val="009150C7"/>
    <w:rsid w:val="009150D2"/>
    <w:rsid w:val="0091515A"/>
    <w:rsid w:val="0091523B"/>
    <w:rsid w:val="009152D3"/>
    <w:rsid w:val="009154E6"/>
    <w:rsid w:val="00915502"/>
    <w:rsid w:val="00915564"/>
    <w:rsid w:val="0091563B"/>
    <w:rsid w:val="0091569F"/>
    <w:rsid w:val="0091574C"/>
    <w:rsid w:val="00915784"/>
    <w:rsid w:val="00915819"/>
    <w:rsid w:val="009158F1"/>
    <w:rsid w:val="009159DA"/>
    <w:rsid w:val="00915A64"/>
    <w:rsid w:val="00915AFA"/>
    <w:rsid w:val="00915B01"/>
    <w:rsid w:val="00915C4B"/>
    <w:rsid w:val="00915CA2"/>
    <w:rsid w:val="00915D3F"/>
    <w:rsid w:val="00915D7B"/>
    <w:rsid w:val="00915DC0"/>
    <w:rsid w:val="00915DF9"/>
    <w:rsid w:val="00915E18"/>
    <w:rsid w:val="00915E96"/>
    <w:rsid w:val="00915EB1"/>
    <w:rsid w:val="00915FF7"/>
    <w:rsid w:val="00915FFB"/>
    <w:rsid w:val="00916021"/>
    <w:rsid w:val="00916219"/>
    <w:rsid w:val="00916378"/>
    <w:rsid w:val="00916522"/>
    <w:rsid w:val="00916600"/>
    <w:rsid w:val="00916643"/>
    <w:rsid w:val="009167A3"/>
    <w:rsid w:val="00916800"/>
    <w:rsid w:val="0091680D"/>
    <w:rsid w:val="009168C3"/>
    <w:rsid w:val="00916A2A"/>
    <w:rsid w:val="00916A4E"/>
    <w:rsid w:val="00916BB6"/>
    <w:rsid w:val="00916BE3"/>
    <w:rsid w:val="00916BEC"/>
    <w:rsid w:val="00916D2A"/>
    <w:rsid w:val="00916D3F"/>
    <w:rsid w:val="00916DB0"/>
    <w:rsid w:val="00916E05"/>
    <w:rsid w:val="00916E4F"/>
    <w:rsid w:val="00917045"/>
    <w:rsid w:val="009170F6"/>
    <w:rsid w:val="00917302"/>
    <w:rsid w:val="009173B6"/>
    <w:rsid w:val="00917461"/>
    <w:rsid w:val="0091768B"/>
    <w:rsid w:val="009178B1"/>
    <w:rsid w:val="009178EE"/>
    <w:rsid w:val="00917957"/>
    <w:rsid w:val="00917A3F"/>
    <w:rsid w:val="00917A72"/>
    <w:rsid w:val="00917A8B"/>
    <w:rsid w:val="00917BE8"/>
    <w:rsid w:val="00917C09"/>
    <w:rsid w:val="00917CBA"/>
    <w:rsid w:val="00917E54"/>
    <w:rsid w:val="00917F02"/>
    <w:rsid w:val="00917F13"/>
    <w:rsid w:val="00917F2C"/>
    <w:rsid w:val="00917FE2"/>
    <w:rsid w:val="00920030"/>
    <w:rsid w:val="00920487"/>
    <w:rsid w:val="009204B7"/>
    <w:rsid w:val="00920844"/>
    <w:rsid w:val="00920ACF"/>
    <w:rsid w:val="00920B9D"/>
    <w:rsid w:val="00920D71"/>
    <w:rsid w:val="00920DC5"/>
    <w:rsid w:val="00920FBF"/>
    <w:rsid w:val="00920FF1"/>
    <w:rsid w:val="00921151"/>
    <w:rsid w:val="009211DB"/>
    <w:rsid w:val="0092123C"/>
    <w:rsid w:val="00921265"/>
    <w:rsid w:val="0092128B"/>
    <w:rsid w:val="009212DB"/>
    <w:rsid w:val="0092130F"/>
    <w:rsid w:val="009213CA"/>
    <w:rsid w:val="00921463"/>
    <w:rsid w:val="0092149A"/>
    <w:rsid w:val="009217CF"/>
    <w:rsid w:val="009217FE"/>
    <w:rsid w:val="00921A2F"/>
    <w:rsid w:val="00921AF1"/>
    <w:rsid w:val="00921B39"/>
    <w:rsid w:val="00921C0F"/>
    <w:rsid w:val="00921C3C"/>
    <w:rsid w:val="00921CEF"/>
    <w:rsid w:val="00921DEE"/>
    <w:rsid w:val="00921E4E"/>
    <w:rsid w:val="00921E96"/>
    <w:rsid w:val="00921F63"/>
    <w:rsid w:val="00921FC8"/>
    <w:rsid w:val="009220A0"/>
    <w:rsid w:val="00922181"/>
    <w:rsid w:val="0092221D"/>
    <w:rsid w:val="0092224C"/>
    <w:rsid w:val="00922308"/>
    <w:rsid w:val="0092242A"/>
    <w:rsid w:val="00922476"/>
    <w:rsid w:val="0092247F"/>
    <w:rsid w:val="00922524"/>
    <w:rsid w:val="009226F8"/>
    <w:rsid w:val="0092279F"/>
    <w:rsid w:val="009227A9"/>
    <w:rsid w:val="00922827"/>
    <w:rsid w:val="009228A0"/>
    <w:rsid w:val="00922990"/>
    <w:rsid w:val="00922A17"/>
    <w:rsid w:val="00922A36"/>
    <w:rsid w:val="00922BB2"/>
    <w:rsid w:val="00922DC7"/>
    <w:rsid w:val="00922E0A"/>
    <w:rsid w:val="00922F43"/>
    <w:rsid w:val="009230D3"/>
    <w:rsid w:val="00923179"/>
    <w:rsid w:val="009231FA"/>
    <w:rsid w:val="00923280"/>
    <w:rsid w:val="009232A3"/>
    <w:rsid w:val="009232F0"/>
    <w:rsid w:val="0092354D"/>
    <w:rsid w:val="009235E6"/>
    <w:rsid w:val="009235EF"/>
    <w:rsid w:val="0092382F"/>
    <w:rsid w:val="0092387C"/>
    <w:rsid w:val="009238A8"/>
    <w:rsid w:val="009238FF"/>
    <w:rsid w:val="00923936"/>
    <w:rsid w:val="00923946"/>
    <w:rsid w:val="00923B27"/>
    <w:rsid w:val="00923C60"/>
    <w:rsid w:val="00923DDF"/>
    <w:rsid w:val="00923E64"/>
    <w:rsid w:val="00923EBA"/>
    <w:rsid w:val="00923EF1"/>
    <w:rsid w:val="00923F8A"/>
    <w:rsid w:val="00924105"/>
    <w:rsid w:val="00924129"/>
    <w:rsid w:val="00924301"/>
    <w:rsid w:val="0092433C"/>
    <w:rsid w:val="009245B8"/>
    <w:rsid w:val="009245D5"/>
    <w:rsid w:val="009246CE"/>
    <w:rsid w:val="00924ACB"/>
    <w:rsid w:val="00924B01"/>
    <w:rsid w:val="00924BDC"/>
    <w:rsid w:val="00924C22"/>
    <w:rsid w:val="00924C7A"/>
    <w:rsid w:val="00924CE1"/>
    <w:rsid w:val="00924DD1"/>
    <w:rsid w:val="00924E6B"/>
    <w:rsid w:val="00925187"/>
    <w:rsid w:val="009252F8"/>
    <w:rsid w:val="009253CF"/>
    <w:rsid w:val="0092579A"/>
    <w:rsid w:val="00925853"/>
    <w:rsid w:val="00925973"/>
    <w:rsid w:val="009259EA"/>
    <w:rsid w:val="00925A45"/>
    <w:rsid w:val="00925ABB"/>
    <w:rsid w:val="00925ADA"/>
    <w:rsid w:val="00925B43"/>
    <w:rsid w:val="00925B75"/>
    <w:rsid w:val="00925BC6"/>
    <w:rsid w:val="00925C91"/>
    <w:rsid w:val="00925CF9"/>
    <w:rsid w:val="00925D47"/>
    <w:rsid w:val="00925DCD"/>
    <w:rsid w:val="00925E0A"/>
    <w:rsid w:val="00926031"/>
    <w:rsid w:val="0092612D"/>
    <w:rsid w:val="00926170"/>
    <w:rsid w:val="00926288"/>
    <w:rsid w:val="009262AD"/>
    <w:rsid w:val="00926336"/>
    <w:rsid w:val="009266EA"/>
    <w:rsid w:val="00926828"/>
    <w:rsid w:val="009268E7"/>
    <w:rsid w:val="009268F3"/>
    <w:rsid w:val="009269F7"/>
    <w:rsid w:val="00926A02"/>
    <w:rsid w:val="00926BA1"/>
    <w:rsid w:val="00926D12"/>
    <w:rsid w:val="00926D7C"/>
    <w:rsid w:val="00926D9B"/>
    <w:rsid w:val="00926E8A"/>
    <w:rsid w:val="00926E96"/>
    <w:rsid w:val="00926EA1"/>
    <w:rsid w:val="00926F60"/>
    <w:rsid w:val="00927025"/>
    <w:rsid w:val="0092735C"/>
    <w:rsid w:val="00927360"/>
    <w:rsid w:val="009273DD"/>
    <w:rsid w:val="00927436"/>
    <w:rsid w:val="00927490"/>
    <w:rsid w:val="00927585"/>
    <w:rsid w:val="0092768A"/>
    <w:rsid w:val="009276E7"/>
    <w:rsid w:val="00927719"/>
    <w:rsid w:val="00927720"/>
    <w:rsid w:val="0092778F"/>
    <w:rsid w:val="0092780B"/>
    <w:rsid w:val="00927A46"/>
    <w:rsid w:val="00927B01"/>
    <w:rsid w:val="00927B86"/>
    <w:rsid w:val="00927BA2"/>
    <w:rsid w:val="00927BE6"/>
    <w:rsid w:val="00927C53"/>
    <w:rsid w:val="00927C7D"/>
    <w:rsid w:val="00927DEA"/>
    <w:rsid w:val="00927E3D"/>
    <w:rsid w:val="00927F43"/>
    <w:rsid w:val="00927F45"/>
    <w:rsid w:val="00927F46"/>
    <w:rsid w:val="009300BB"/>
    <w:rsid w:val="00930190"/>
    <w:rsid w:val="0093022C"/>
    <w:rsid w:val="00930263"/>
    <w:rsid w:val="009302C8"/>
    <w:rsid w:val="00930518"/>
    <w:rsid w:val="00930565"/>
    <w:rsid w:val="009305C2"/>
    <w:rsid w:val="00930710"/>
    <w:rsid w:val="00930798"/>
    <w:rsid w:val="00930B79"/>
    <w:rsid w:val="00930B87"/>
    <w:rsid w:val="00930BF9"/>
    <w:rsid w:val="00930C01"/>
    <w:rsid w:val="00930C1C"/>
    <w:rsid w:val="00930C75"/>
    <w:rsid w:val="00930CEC"/>
    <w:rsid w:val="00930E91"/>
    <w:rsid w:val="00930EB5"/>
    <w:rsid w:val="00930F06"/>
    <w:rsid w:val="00930F24"/>
    <w:rsid w:val="00930F3D"/>
    <w:rsid w:val="009311AA"/>
    <w:rsid w:val="00931257"/>
    <w:rsid w:val="0093147F"/>
    <w:rsid w:val="009314F6"/>
    <w:rsid w:val="0093154A"/>
    <w:rsid w:val="0093160F"/>
    <w:rsid w:val="00931659"/>
    <w:rsid w:val="009316D8"/>
    <w:rsid w:val="0093170C"/>
    <w:rsid w:val="009317F1"/>
    <w:rsid w:val="00931876"/>
    <w:rsid w:val="00931896"/>
    <w:rsid w:val="009318B0"/>
    <w:rsid w:val="009318E1"/>
    <w:rsid w:val="009319EC"/>
    <w:rsid w:val="00931A0C"/>
    <w:rsid w:val="00931A2F"/>
    <w:rsid w:val="00931A5A"/>
    <w:rsid w:val="00931B33"/>
    <w:rsid w:val="00931CD0"/>
    <w:rsid w:val="00931D60"/>
    <w:rsid w:val="00931D92"/>
    <w:rsid w:val="00931E77"/>
    <w:rsid w:val="00931FBD"/>
    <w:rsid w:val="00931FC2"/>
    <w:rsid w:val="00931FEA"/>
    <w:rsid w:val="00932016"/>
    <w:rsid w:val="009320B0"/>
    <w:rsid w:val="009321BF"/>
    <w:rsid w:val="009321FC"/>
    <w:rsid w:val="0093232D"/>
    <w:rsid w:val="0093242F"/>
    <w:rsid w:val="00932465"/>
    <w:rsid w:val="009324D0"/>
    <w:rsid w:val="00932522"/>
    <w:rsid w:val="0093254F"/>
    <w:rsid w:val="009325C7"/>
    <w:rsid w:val="0093267A"/>
    <w:rsid w:val="0093282A"/>
    <w:rsid w:val="0093296D"/>
    <w:rsid w:val="00932B2B"/>
    <w:rsid w:val="00932B94"/>
    <w:rsid w:val="00932DDD"/>
    <w:rsid w:val="00932EC6"/>
    <w:rsid w:val="0093316A"/>
    <w:rsid w:val="0093330A"/>
    <w:rsid w:val="00933312"/>
    <w:rsid w:val="00933367"/>
    <w:rsid w:val="0093340F"/>
    <w:rsid w:val="0093343F"/>
    <w:rsid w:val="00933446"/>
    <w:rsid w:val="00933452"/>
    <w:rsid w:val="00933521"/>
    <w:rsid w:val="009335E7"/>
    <w:rsid w:val="0093362E"/>
    <w:rsid w:val="00933676"/>
    <w:rsid w:val="009337A7"/>
    <w:rsid w:val="00933817"/>
    <w:rsid w:val="00933A35"/>
    <w:rsid w:val="00933B50"/>
    <w:rsid w:val="00933B6C"/>
    <w:rsid w:val="00933B83"/>
    <w:rsid w:val="00933DC6"/>
    <w:rsid w:val="00933E47"/>
    <w:rsid w:val="00933EEB"/>
    <w:rsid w:val="0093401B"/>
    <w:rsid w:val="009340D3"/>
    <w:rsid w:val="00934148"/>
    <w:rsid w:val="009341BB"/>
    <w:rsid w:val="009342CE"/>
    <w:rsid w:val="0093436E"/>
    <w:rsid w:val="0093442E"/>
    <w:rsid w:val="0093451B"/>
    <w:rsid w:val="00934644"/>
    <w:rsid w:val="00934914"/>
    <w:rsid w:val="009349A2"/>
    <w:rsid w:val="009349E8"/>
    <w:rsid w:val="0093501D"/>
    <w:rsid w:val="009352B5"/>
    <w:rsid w:val="00935460"/>
    <w:rsid w:val="009354CB"/>
    <w:rsid w:val="0093558E"/>
    <w:rsid w:val="009355D8"/>
    <w:rsid w:val="0093566E"/>
    <w:rsid w:val="009357B0"/>
    <w:rsid w:val="009358B5"/>
    <w:rsid w:val="00935CB2"/>
    <w:rsid w:val="00935D83"/>
    <w:rsid w:val="00935DD1"/>
    <w:rsid w:val="00936072"/>
    <w:rsid w:val="0093611C"/>
    <w:rsid w:val="0093623C"/>
    <w:rsid w:val="00936292"/>
    <w:rsid w:val="00936611"/>
    <w:rsid w:val="00936659"/>
    <w:rsid w:val="009366EA"/>
    <w:rsid w:val="00936754"/>
    <w:rsid w:val="0093676A"/>
    <w:rsid w:val="009369B5"/>
    <w:rsid w:val="00936A49"/>
    <w:rsid w:val="00936B6B"/>
    <w:rsid w:val="00936B86"/>
    <w:rsid w:val="00936BA2"/>
    <w:rsid w:val="00936DF7"/>
    <w:rsid w:val="00936E41"/>
    <w:rsid w:val="00936FE1"/>
    <w:rsid w:val="009370E1"/>
    <w:rsid w:val="00937167"/>
    <w:rsid w:val="00937289"/>
    <w:rsid w:val="009372BA"/>
    <w:rsid w:val="00937385"/>
    <w:rsid w:val="009375D8"/>
    <w:rsid w:val="00937691"/>
    <w:rsid w:val="00937796"/>
    <w:rsid w:val="009377A9"/>
    <w:rsid w:val="009377C8"/>
    <w:rsid w:val="00937821"/>
    <w:rsid w:val="00937833"/>
    <w:rsid w:val="00937922"/>
    <w:rsid w:val="00937B80"/>
    <w:rsid w:val="00937CB8"/>
    <w:rsid w:val="00937E02"/>
    <w:rsid w:val="0094007E"/>
    <w:rsid w:val="009400ED"/>
    <w:rsid w:val="0094038C"/>
    <w:rsid w:val="00940397"/>
    <w:rsid w:val="009403C9"/>
    <w:rsid w:val="009403F8"/>
    <w:rsid w:val="0094057D"/>
    <w:rsid w:val="009407DA"/>
    <w:rsid w:val="00940A46"/>
    <w:rsid w:val="00940B6D"/>
    <w:rsid w:val="00940CC9"/>
    <w:rsid w:val="00940CDF"/>
    <w:rsid w:val="00940E88"/>
    <w:rsid w:val="00940EA9"/>
    <w:rsid w:val="00940F72"/>
    <w:rsid w:val="00940FF5"/>
    <w:rsid w:val="009410AB"/>
    <w:rsid w:val="009410F7"/>
    <w:rsid w:val="00941145"/>
    <w:rsid w:val="009412E1"/>
    <w:rsid w:val="0094138D"/>
    <w:rsid w:val="00941479"/>
    <w:rsid w:val="00941488"/>
    <w:rsid w:val="009415E5"/>
    <w:rsid w:val="00941659"/>
    <w:rsid w:val="009418B4"/>
    <w:rsid w:val="0094196D"/>
    <w:rsid w:val="00941A73"/>
    <w:rsid w:val="00941AE8"/>
    <w:rsid w:val="00941BC9"/>
    <w:rsid w:val="00941D36"/>
    <w:rsid w:val="00941D93"/>
    <w:rsid w:val="0094201C"/>
    <w:rsid w:val="00942055"/>
    <w:rsid w:val="0094220C"/>
    <w:rsid w:val="00942216"/>
    <w:rsid w:val="0094221F"/>
    <w:rsid w:val="0094231D"/>
    <w:rsid w:val="009423CE"/>
    <w:rsid w:val="009423D3"/>
    <w:rsid w:val="0094252C"/>
    <w:rsid w:val="00942633"/>
    <w:rsid w:val="009426AB"/>
    <w:rsid w:val="009426BC"/>
    <w:rsid w:val="0094277C"/>
    <w:rsid w:val="0094277F"/>
    <w:rsid w:val="009427C7"/>
    <w:rsid w:val="00942816"/>
    <w:rsid w:val="009428CB"/>
    <w:rsid w:val="00942947"/>
    <w:rsid w:val="00942977"/>
    <w:rsid w:val="00942994"/>
    <w:rsid w:val="00942CE0"/>
    <w:rsid w:val="00942EC3"/>
    <w:rsid w:val="0094301A"/>
    <w:rsid w:val="009430F1"/>
    <w:rsid w:val="0094310E"/>
    <w:rsid w:val="0094320D"/>
    <w:rsid w:val="0094325F"/>
    <w:rsid w:val="00943372"/>
    <w:rsid w:val="009434BB"/>
    <w:rsid w:val="009434C2"/>
    <w:rsid w:val="0094357C"/>
    <w:rsid w:val="00943671"/>
    <w:rsid w:val="00943739"/>
    <w:rsid w:val="00943948"/>
    <w:rsid w:val="00943A3A"/>
    <w:rsid w:val="00943A5B"/>
    <w:rsid w:val="00943AB7"/>
    <w:rsid w:val="00943BA3"/>
    <w:rsid w:val="00943C90"/>
    <w:rsid w:val="00943ECC"/>
    <w:rsid w:val="00944445"/>
    <w:rsid w:val="00944486"/>
    <w:rsid w:val="00944521"/>
    <w:rsid w:val="00944569"/>
    <w:rsid w:val="009446B6"/>
    <w:rsid w:val="00944928"/>
    <w:rsid w:val="00944940"/>
    <w:rsid w:val="00944B6B"/>
    <w:rsid w:val="00944C8A"/>
    <w:rsid w:val="00944D03"/>
    <w:rsid w:val="00944D20"/>
    <w:rsid w:val="00944D3F"/>
    <w:rsid w:val="00944DDB"/>
    <w:rsid w:val="00944E10"/>
    <w:rsid w:val="00944E53"/>
    <w:rsid w:val="00945005"/>
    <w:rsid w:val="0094505D"/>
    <w:rsid w:val="009450AD"/>
    <w:rsid w:val="00945108"/>
    <w:rsid w:val="00945283"/>
    <w:rsid w:val="0094529B"/>
    <w:rsid w:val="009452CA"/>
    <w:rsid w:val="00945329"/>
    <w:rsid w:val="00945654"/>
    <w:rsid w:val="0094580C"/>
    <w:rsid w:val="00945917"/>
    <w:rsid w:val="0094593A"/>
    <w:rsid w:val="00945A3B"/>
    <w:rsid w:val="00945AA5"/>
    <w:rsid w:val="00945ADC"/>
    <w:rsid w:val="00945C2D"/>
    <w:rsid w:val="00945CA9"/>
    <w:rsid w:val="00945D38"/>
    <w:rsid w:val="00945D98"/>
    <w:rsid w:val="00945F8C"/>
    <w:rsid w:val="00946048"/>
    <w:rsid w:val="00946069"/>
    <w:rsid w:val="00946177"/>
    <w:rsid w:val="00946178"/>
    <w:rsid w:val="00946230"/>
    <w:rsid w:val="0094627D"/>
    <w:rsid w:val="00946465"/>
    <w:rsid w:val="0094647C"/>
    <w:rsid w:val="0094653F"/>
    <w:rsid w:val="009465D6"/>
    <w:rsid w:val="00946628"/>
    <w:rsid w:val="00946687"/>
    <w:rsid w:val="0094669D"/>
    <w:rsid w:val="009466C4"/>
    <w:rsid w:val="009466F9"/>
    <w:rsid w:val="00946776"/>
    <w:rsid w:val="009467C1"/>
    <w:rsid w:val="0094689C"/>
    <w:rsid w:val="00946A75"/>
    <w:rsid w:val="00946AA9"/>
    <w:rsid w:val="00946AD3"/>
    <w:rsid w:val="00946AF4"/>
    <w:rsid w:val="00946B06"/>
    <w:rsid w:val="00946D23"/>
    <w:rsid w:val="00946D69"/>
    <w:rsid w:val="00946D6F"/>
    <w:rsid w:val="00946DB9"/>
    <w:rsid w:val="0094716C"/>
    <w:rsid w:val="009471C5"/>
    <w:rsid w:val="0094723A"/>
    <w:rsid w:val="00947367"/>
    <w:rsid w:val="009473A8"/>
    <w:rsid w:val="00947476"/>
    <w:rsid w:val="009475A4"/>
    <w:rsid w:val="009475B3"/>
    <w:rsid w:val="0094762B"/>
    <w:rsid w:val="009476A3"/>
    <w:rsid w:val="0094785E"/>
    <w:rsid w:val="00947883"/>
    <w:rsid w:val="009478FC"/>
    <w:rsid w:val="00947933"/>
    <w:rsid w:val="00947975"/>
    <w:rsid w:val="00947993"/>
    <w:rsid w:val="009479D9"/>
    <w:rsid w:val="00947A13"/>
    <w:rsid w:val="00947CA0"/>
    <w:rsid w:val="00947CFE"/>
    <w:rsid w:val="00947D38"/>
    <w:rsid w:val="0095006A"/>
    <w:rsid w:val="00950101"/>
    <w:rsid w:val="009502FE"/>
    <w:rsid w:val="00950339"/>
    <w:rsid w:val="009503C8"/>
    <w:rsid w:val="009503D1"/>
    <w:rsid w:val="00950414"/>
    <w:rsid w:val="0095041B"/>
    <w:rsid w:val="00950439"/>
    <w:rsid w:val="0095057B"/>
    <w:rsid w:val="009505A2"/>
    <w:rsid w:val="009505D4"/>
    <w:rsid w:val="00950726"/>
    <w:rsid w:val="009507CF"/>
    <w:rsid w:val="009507D2"/>
    <w:rsid w:val="0095089C"/>
    <w:rsid w:val="00950978"/>
    <w:rsid w:val="00950A5F"/>
    <w:rsid w:val="00950AC3"/>
    <w:rsid w:val="00950BAF"/>
    <w:rsid w:val="00950BEB"/>
    <w:rsid w:val="00950C99"/>
    <w:rsid w:val="00950D7D"/>
    <w:rsid w:val="00950DC8"/>
    <w:rsid w:val="00950E2A"/>
    <w:rsid w:val="00950F55"/>
    <w:rsid w:val="00951148"/>
    <w:rsid w:val="009512A2"/>
    <w:rsid w:val="009512BA"/>
    <w:rsid w:val="00951312"/>
    <w:rsid w:val="009513FF"/>
    <w:rsid w:val="0095143D"/>
    <w:rsid w:val="0095180D"/>
    <w:rsid w:val="0095191B"/>
    <w:rsid w:val="00951968"/>
    <w:rsid w:val="00951A03"/>
    <w:rsid w:val="00951A23"/>
    <w:rsid w:val="00951B6A"/>
    <w:rsid w:val="00951BC4"/>
    <w:rsid w:val="00951BE7"/>
    <w:rsid w:val="00951C60"/>
    <w:rsid w:val="00951D9C"/>
    <w:rsid w:val="00951DD8"/>
    <w:rsid w:val="00951DE5"/>
    <w:rsid w:val="00951EDF"/>
    <w:rsid w:val="00951F16"/>
    <w:rsid w:val="0095203A"/>
    <w:rsid w:val="009520C3"/>
    <w:rsid w:val="009520D6"/>
    <w:rsid w:val="0095213F"/>
    <w:rsid w:val="00952204"/>
    <w:rsid w:val="009522FF"/>
    <w:rsid w:val="0095234E"/>
    <w:rsid w:val="0095235C"/>
    <w:rsid w:val="00952537"/>
    <w:rsid w:val="00952595"/>
    <w:rsid w:val="00952622"/>
    <w:rsid w:val="0095271F"/>
    <w:rsid w:val="009527F0"/>
    <w:rsid w:val="009528F8"/>
    <w:rsid w:val="00952958"/>
    <w:rsid w:val="00952A58"/>
    <w:rsid w:val="00952C1E"/>
    <w:rsid w:val="00952C51"/>
    <w:rsid w:val="00952D05"/>
    <w:rsid w:val="00952D35"/>
    <w:rsid w:val="00952E7E"/>
    <w:rsid w:val="00952EEF"/>
    <w:rsid w:val="00952F6A"/>
    <w:rsid w:val="0095312D"/>
    <w:rsid w:val="009531E5"/>
    <w:rsid w:val="0095330E"/>
    <w:rsid w:val="00953444"/>
    <w:rsid w:val="009537F4"/>
    <w:rsid w:val="00953865"/>
    <w:rsid w:val="009538E7"/>
    <w:rsid w:val="00953971"/>
    <w:rsid w:val="00953A17"/>
    <w:rsid w:val="00953A38"/>
    <w:rsid w:val="00953B05"/>
    <w:rsid w:val="00953F23"/>
    <w:rsid w:val="00953FF8"/>
    <w:rsid w:val="0095408B"/>
    <w:rsid w:val="009543D0"/>
    <w:rsid w:val="00954438"/>
    <w:rsid w:val="00954644"/>
    <w:rsid w:val="0095475A"/>
    <w:rsid w:val="00954988"/>
    <w:rsid w:val="00954A1B"/>
    <w:rsid w:val="00954A5E"/>
    <w:rsid w:val="00954B52"/>
    <w:rsid w:val="00954B74"/>
    <w:rsid w:val="00954C07"/>
    <w:rsid w:val="00954E45"/>
    <w:rsid w:val="00954FC3"/>
    <w:rsid w:val="00955041"/>
    <w:rsid w:val="009550B4"/>
    <w:rsid w:val="00955131"/>
    <w:rsid w:val="00955369"/>
    <w:rsid w:val="0095536E"/>
    <w:rsid w:val="0095549B"/>
    <w:rsid w:val="0095557E"/>
    <w:rsid w:val="00955756"/>
    <w:rsid w:val="00955859"/>
    <w:rsid w:val="00955886"/>
    <w:rsid w:val="0095596D"/>
    <w:rsid w:val="00955B0C"/>
    <w:rsid w:val="00955B79"/>
    <w:rsid w:val="00955B8B"/>
    <w:rsid w:val="00955C6E"/>
    <w:rsid w:val="00955D0F"/>
    <w:rsid w:val="00955D14"/>
    <w:rsid w:val="00955D21"/>
    <w:rsid w:val="00955EC7"/>
    <w:rsid w:val="00955ECD"/>
    <w:rsid w:val="00955F06"/>
    <w:rsid w:val="00955F43"/>
    <w:rsid w:val="00955FF0"/>
    <w:rsid w:val="00955FF1"/>
    <w:rsid w:val="00956069"/>
    <w:rsid w:val="00956078"/>
    <w:rsid w:val="0095617B"/>
    <w:rsid w:val="0095623C"/>
    <w:rsid w:val="0095633D"/>
    <w:rsid w:val="00956431"/>
    <w:rsid w:val="00956465"/>
    <w:rsid w:val="00956496"/>
    <w:rsid w:val="009564EB"/>
    <w:rsid w:val="009565E2"/>
    <w:rsid w:val="0095664B"/>
    <w:rsid w:val="0095678D"/>
    <w:rsid w:val="009567DF"/>
    <w:rsid w:val="00956A00"/>
    <w:rsid w:val="00956ACB"/>
    <w:rsid w:val="00956C98"/>
    <w:rsid w:val="00956D49"/>
    <w:rsid w:val="00956DB4"/>
    <w:rsid w:val="00956E3F"/>
    <w:rsid w:val="00956E8F"/>
    <w:rsid w:val="00956F99"/>
    <w:rsid w:val="0095728A"/>
    <w:rsid w:val="009572E4"/>
    <w:rsid w:val="00957306"/>
    <w:rsid w:val="00957360"/>
    <w:rsid w:val="009573E2"/>
    <w:rsid w:val="009574BA"/>
    <w:rsid w:val="0095752E"/>
    <w:rsid w:val="00957746"/>
    <w:rsid w:val="0095782E"/>
    <w:rsid w:val="00957857"/>
    <w:rsid w:val="00957983"/>
    <w:rsid w:val="00957A60"/>
    <w:rsid w:val="00957CAB"/>
    <w:rsid w:val="00957CEE"/>
    <w:rsid w:val="00957D1A"/>
    <w:rsid w:val="00957D3A"/>
    <w:rsid w:val="00957D6F"/>
    <w:rsid w:val="00957D70"/>
    <w:rsid w:val="00957EEF"/>
    <w:rsid w:val="00957F45"/>
    <w:rsid w:val="00960013"/>
    <w:rsid w:val="0096007E"/>
    <w:rsid w:val="0096011C"/>
    <w:rsid w:val="00960183"/>
    <w:rsid w:val="009602C5"/>
    <w:rsid w:val="00960357"/>
    <w:rsid w:val="009603D7"/>
    <w:rsid w:val="00960557"/>
    <w:rsid w:val="00960587"/>
    <w:rsid w:val="009606A4"/>
    <w:rsid w:val="0096088E"/>
    <w:rsid w:val="00960920"/>
    <w:rsid w:val="009609AA"/>
    <w:rsid w:val="009609C6"/>
    <w:rsid w:val="00960B84"/>
    <w:rsid w:val="00960B89"/>
    <w:rsid w:val="00960BEA"/>
    <w:rsid w:val="00960CB2"/>
    <w:rsid w:val="00960D59"/>
    <w:rsid w:val="00960E64"/>
    <w:rsid w:val="00960FF3"/>
    <w:rsid w:val="009610D1"/>
    <w:rsid w:val="009610E0"/>
    <w:rsid w:val="0096119A"/>
    <w:rsid w:val="00961230"/>
    <w:rsid w:val="009612C9"/>
    <w:rsid w:val="00961483"/>
    <w:rsid w:val="00961535"/>
    <w:rsid w:val="00961592"/>
    <w:rsid w:val="009615D3"/>
    <w:rsid w:val="00961643"/>
    <w:rsid w:val="00961650"/>
    <w:rsid w:val="009616B6"/>
    <w:rsid w:val="0096175C"/>
    <w:rsid w:val="009617B4"/>
    <w:rsid w:val="0096181E"/>
    <w:rsid w:val="00961840"/>
    <w:rsid w:val="009618A3"/>
    <w:rsid w:val="009618C1"/>
    <w:rsid w:val="00961904"/>
    <w:rsid w:val="00961960"/>
    <w:rsid w:val="00961A23"/>
    <w:rsid w:val="00961A5A"/>
    <w:rsid w:val="00961A60"/>
    <w:rsid w:val="00961AAC"/>
    <w:rsid w:val="00961BED"/>
    <w:rsid w:val="00961C1A"/>
    <w:rsid w:val="00961C59"/>
    <w:rsid w:val="00961E26"/>
    <w:rsid w:val="00961EC2"/>
    <w:rsid w:val="00961F09"/>
    <w:rsid w:val="00961F97"/>
    <w:rsid w:val="00962025"/>
    <w:rsid w:val="009620CB"/>
    <w:rsid w:val="00962167"/>
    <w:rsid w:val="009621F2"/>
    <w:rsid w:val="0096223C"/>
    <w:rsid w:val="0096231B"/>
    <w:rsid w:val="0096234E"/>
    <w:rsid w:val="009623DA"/>
    <w:rsid w:val="009623F6"/>
    <w:rsid w:val="0096250D"/>
    <w:rsid w:val="0096283F"/>
    <w:rsid w:val="00962860"/>
    <w:rsid w:val="0096298F"/>
    <w:rsid w:val="00962B99"/>
    <w:rsid w:val="00962BAC"/>
    <w:rsid w:val="00962BD0"/>
    <w:rsid w:val="00962CF1"/>
    <w:rsid w:val="00962DF7"/>
    <w:rsid w:val="00962FEB"/>
    <w:rsid w:val="00962FF1"/>
    <w:rsid w:val="00963055"/>
    <w:rsid w:val="009630F3"/>
    <w:rsid w:val="00963121"/>
    <w:rsid w:val="00963130"/>
    <w:rsid w:val="00963201"/>
    <w:rsid w:val="00963399"/>
    <w:rsid w:val="0096339C"/>
    <w:rsid w:val="009633CF"/>
    <w:rsid w:val="0096344B"/>
    <w:rsid w:val="00963535"/>
    <w:rsid w:val="009635DC"/>
    <w:rsid w:val="00963631"/>
    <w:rsid w:val="0096372F"/>
    <w:rsid w:val="00963798"/>
    <w:rsid w:val="009637CB"/>
    <w:rsid w:val="009637CE"/>
    <w:rsid w:val="0096387F"/>
    <w:rsid w:val="009638FB"/>
    <w:rsid w:val="009638FC"/>
    <w:rsid w:val="009639C1"/>
    <w:rsid w:val="00963BD8"/>
    <w:rsid w:val="00963C12"/>
    <w:rsid w:val="00963CCA"/>
    <w:rsid w:val="00963DFE"/>
    <w:rsid w:val="00963ED1"/>
    <w:rsid w:val="00963EF4"/>
    <w:rsid w:val="00963F9D"/>
    <w:rsid w:val="00963FCF"/>
    <w:rsid w:val="00963FE7"/>
    <w:rsid w:val="009641BE"/>
    <w:rsid w:val="009642EA"/>
    <w:rsid w:val="009643C0"/>
    <w:rsid w:val="009644AD"/>
    <w:rsid w:val="00964688"/>
    <w:rsid w:val="009646CB"/>
    <w:rsid w:val="009646D4"/>
    <w:rsid w:val="0096477A"/>
    <w:rsid w:val="00964B16"/>
    <w:rsid w:val="00964B28"/>
    <w:rsid w:val="00964C4B"/>
    <w:rsid w:val="00964C50"/>
    <w:rsid w:val="00964D10"/>
    <w:rsid w:val="00964E56"/>
    <w:rsid w:val="00965084"/>
    <w:rsid w:val="00965193"/>
    <w:rsid w:val="0096523C"/>
    <w:rsid w:val="009652CB"/>
    <w:rsid w:val="0096539D"/>
    <w:rsid w:val="0096554D"/>
    <w:rsid w:val="0096563D"/>
    <w:rsid w:val="00965791"/>
    <w:rsid w:val="00965A7A"/>
    <w:rsid w:val="00965AB1"/>
    <w:rsid w:val="00965C6E"/>
    <w:rsid w:val="00965CE9"/>
    <w:rsid w:val="00965D20"/>
    <w:rsid w:val="00965DB7"/>
    <w:rsid w:val="00965EC8"/>
    <w:rsid w:val="00965F52"/>
    <w:rsid w:val="00965F8F"/>
    <w:rsid w:val="0096605B"/>
    <w:rsid w:val="0096652B"/>
    <w:rsid w:val="00966678"/>
    <w:rsid w:val="0096673D"/>
    <w:rsid w:val="0096676F"/>
    <w:rsid w:val="0096682E"/>
    <w:rsid w:val="009668C2"/>
    <w:rsid w:val="00966A4C"/>
    <w:rsid w:val="00966B7E"/>
    <w:rsid w:val="00966C0A"/>
    <w:rsid w:val="00966D14"/>
    <w:rsid w:val="00966D2E"/>
    <w:rsid w:val="00966DAD"/>
    <w:rsid w:val="00966E1C"/>
    <w:rsid w:val="00966E92"/>
    <w:rsid w:val="00966F84"/>
    <w:rsid w:val="009670B1"/>
    <w:rsid w:val="009670BF"/>
    <w:rsid w:val="009670D4"/>
    <w:rsid w:val="0096717B"/>
    <w:rsid w:val="0096739C"/>
    <w:rsid w:val="009676DD"/>
    <w:rsid w:val="009676EA"/>
    <w:rsid w:val="009677D9"/>
    <w:rsid w:val="00967844"/>
    <w:rsid w:val="009678D9"/>
    <w:rsid w:val="00967AD4"/>
    <w:rsid w:val="00967B0E"/>
    <w:rsid w:val="00967DDD"/>
    <w:rsid w:val="00967F2A"/>
    <w:rsid w:val="00967F57"/>
    <w:rsid w:val="009700C1"/>
    <w:rsid w:val="0097012F"/>
    <w:rsid w:val="0097021E"/>
    <w:rsid w:val="00970228"/>
    <w:rsid w:val="00970298"/>
    <w:rsid w:val="009702A9"/>
    <w:rsid w:val="009702C7"/>
    <w:rsid w:val="00970312"/>
    <w:rsid w:val="00970527"/>
    <w:rsid w:val="00970558"/>
    <w:rsid w:val="009705B1"/>
    <w:rsid w:val="009705C8"/>
    <w:rsid w:val="009708CF"/>
    <w:rsid w:val="0097095F"/>
    <w:rsid w:val="00970A18"/>
    <w:rsid w:val="00970BBA"/>
    <w:rsid w:val="00970BED"/>
    <w:rsid w:val="00970C6B"/>
    <w:rsid w:val="00971007"/>
    <w:rsid w:val="009711D1"/>
    <w:rsid w:val="0097120E"/>
    <w:rsid w:val="009712D9"/>
    <w:rsid w:val="0097130F"/>
    <w:rsid w:val="0097134D"/>
    <w:rsid w:val="00971378"/>
    <w:rsid w:val="00971488"/>
    <w:rsid w:val="009714E3"/>
    <w:rsid w:val="0097162D"/>
    <w:rsid w:val="00971703"/>
    <w:rsid w:val="00971712"/>
    <w:rsid w:val="009717CC"/>
    <w:rsid w:val="009717DF"/>
    <w:rsid w:val="009717F4"/>
    <w:rsid w:val="0097183E"/>
    <w:rsid w:val="009719CD"/>
    <w:rsid w:val="00971B94"/>
    <w:rsid w:val="00971BBD"/>
    <w:rsid w:val="00971CE4"/>
    <w:rsid w:val="00971D32"/>
    <w:rsid w:val="00971DC9"/>
    <w:rsid w:val="00971E9D"/>
    <w:rsid w:val="00971EB2"/>
    <w:rsid w:val="00971EE2"/>
    <w:rsid w:val="00971F49"/>
    <w:rsid w:val="00971FE8"/>
    <w:rsid w:val="00971FEB"/>
    <w:rsid w:val="00971FFB"/>
    <w:rsid w:val="00972035"/>
    <w:rsid w:val="00972135"/>
    <w:rsid w:val="0097222A"/>
    <w:rsid w:val="00972263"/>
    <w:rsid w:val="009722B3"/>
    <w:rsid w:val="0097243F"/>
    <w:rsid w:val="0097244D"/>
    <w:rsid w:val="009724FC"/>
    <w:rsid w:val="00972523"/>
    <w:rsid w:val="00972568"/>
    <w:rsid w:val="00972591"/>
    <w:rsid w:val="00972607"/>
    <w:rsid w:val="009726E8"/>
    <w:rsid w:val="009727E2"/>
    <w:rsid w:val="009727E3"/>
    <w:rsid w:val="00972A9E"/>
    <w:rsid w:val="00972B75"/>
    <w:rsid w:val="00972B7B"/>
    <w:rsid w:val="00972B91"/>
    <w:rsid w:val="00972BAF"/>
    <w:rsid w:val="00972C52"/>
    <w:rsid w:val="00972C89"/>
    <w:rsid w:val="00972D70"/>
    <w:rsid w:val="00972D8B"/>
    <w:rsid w:val="00972DCB"/>
    <w:rsid w:val="00972E56"/>
    <w:rsid w:val="00972E71"/>
    <w:rsid w:val="00972E89"/>
    <w:rsid w:val="00972ED1"/>
    <w:rsid w:val="00972F1A"/>
    <w:rsid w:val="00972F76"/>
    <w:rsid w:val="009730C2"/>
    <w:rsid w:val="0097323E"/>
    <w:rsid w:val="0097325D"/>
    <w:rsid w:val="00973338"/>
    <w:rsid w:val="0097339D"/>
    <w:rsid w:val="009734C8"/>
    <w:rsid w:val="00973637"/>
    <w:rsid w:val="00973698"/>
    <w:rsid w:val="0097373D"/>
    <w:rsid w:val="00973757"/>
    <w:rsid w:val="00973CBF"/>
    <w:rsid w:val="00973E3F"/>
    <w:rsid w:val="00973E9C"/>
    <w:rsid w:val="00973EB0"/>
    <w:rsid w:val="00974012"/>
    <w:rsid w:val="00974183"/>
    <w:rsid w:val="009741E3"/>
    <w:rsid w:val="0097421E"/>
    <w:rsid w:val="00974522"/>
    <w:rsid w:val="009745A3"/>
    <w:rsid w:val="0097463D"/>
    <w:rsid w:val="009747A5"/>
    <w:rsid w:val="009748F5"/>
    <w:rsid w:val="00974B12"/>
    <w:rsid w:val="00974B52"/>
    <w:rsid w:val="00974BAE"/>
    <w:rsid w:val="00974C5F"/>
    <w:rsid w:val="00974DEC"/>
    <w:rsid w:val="00974E76"/>
    <w:rsid w:val="00974E84"/>
    <w:rsid w:val="00974EF9"/>
    <w:rsid w:val="00975104"/>
    <w:rsid w:val="009751A8"/>
    <w:rsid w:val="00975329"/>
    <w:rsid w:val="009753E3"/>
    <w:rsid w:val="00975461"/>
    <w:rsid w:val="009755BB"/>
    <w:rsid w:val="009758AF"/>
    <w:rsid w:val="009758DE"/>
    <w:rsid w:val="0097591B"/>
    <w:rsid w:val="00975D30"/>
    <w:rsid w:val="00975E5E"/>
    <w:rsid w:val="00975ED5"/>
    <w:rsid w:val="009761D5"/>
    <w:rsid w:val="00976242"/>
    <w:rsid w:val="00976260"/>
    <w:rsid w:val="00976310"/>
    <w:rsid w:val="009763CE"/>
    <w:rsid w:val="0097654E"/>
    <w:rsid w:val="0097664F"/>
    <w:rsid w:val="00976722"/>
    <w:rsid w:val="00976745"/>
    <w:rsid w:val="009767CB"/>
    <w:rsid w:val="009768ED"/>
    <w:rsid w:val="00976930"/>
    <w:rsid w:val="00976990"/>
    <w:rsid w:val="00976A58"/>
    <w:rsid w:val="00976C64"/>
    <w:rsid w:val="00976CB5"/>
    <w:rsid w:val="00976D2E"/>
    <w:rsid w:val="00976D6D"/>
    <w:rsid w:val="00976DCF"/>
    <w:rsid w:val="00976E14"/>
    <w:rsid w:val="00976E1D"/>
    <w:rsid w:val="00976E1F"/>
    <w:rsid w:val="00976F26"/>
    <w:rsid w:val="00976F4C"/>
    <w:rsid w:val="00976F9B"/>
    <w:rsid w:val="009770A9"/>
    <w:rsid w:val="009770BC"/>
    <w:rsid w:val="00977122"/>
    <w:rsid w:val="00977252"/>
    <w:rsid w:val="009773F3"/>
    <w:rsid w:val="009775D4"/>
    <w:rsid w:val="00977931"/>
    <w:rsid w:val="009779B4"/>
    <w:rsid w:val="009779BB"/>
    <w:rsid w:val="009779EC"/>
    <w:rsid w:val="00977A17"/>
    <w:rsid w:val="00977B26"/>
    <w:rsid w:val="00977B5C"/>
    <w:rsid w:val="00977C0D"/>
    <w:rsid w:val="00977CAA"/>
    <w:rsid w:val="00977CAB"/>
    <w:rsid w:val="00980036"/>
    <w:rsid w:val="00980147"/>
    <w:rsid w:val="009801CA"/>
    <w:rsid w:val="00980275"/>
    <w:rsid w:val="0098030E"/>
    <w:rsid w:val="009804A8"/>
    <w:rsid w:val="009805B3"/>
    <w:rsid w:val="00980647"/>
    <w:rsid w:val="0098073B"/>
    <w:rsid w:val="009807BC"/>
    <w:rsid w:val="00980805"/>
    <w:rsid w:val="0098080B"/>
    <w:rsid w:val="00980819"/>
    <w:rsid w:val="00980859"/>
    <w:rsid w:val="009809B8"/>
    <w:rsid w:val="00980A31"/>
    <w:rsid w:val="00980C3D"/>
    <w:rsid w:val="00980CA3"/>
    <w:rsid w:val="00980CE9"/>
    <w:rsid w:val="00980D2B"/>
    <w:rsid w:val="00980D81"/>
    <w:rsid w:val="00980EB2"/>
    <w:rsid w:val="00981003"/>
    <w:rsid w:val="00981066"/>
    <w:rsid w:val="009810A6"/>
    <w:rsid w:val="009811B4"/>
    <w:rsid w:val="009815ED"/>
    <w:rsid w:val="00981611"/>
    <w:rsid w:val="0098166B"/>
    <w:rsid w:val="00981678"/>
    <w:rsid w:val="00981765"/>
    <w:rsid w:val="009817D0"/>
    <w:rsid w:val="009817D6"/>
    <w:rsid w:val="00981812"/>
    <w:rsid w:val="009818C1"/>
    <w:rsid w:val="0098193B"/>
    <w:rsid w:val="00981A40"/>
    <w:rsid w:val="00981A47"/>
    <w:rsid w:val="00981C29"/>
    <w:rsid w:val="00981E2D"/>
    <w:rsid w:val="00981E31"/>
    <w:rsid w:val="00981FB6"/>
    <w:rsid w:val="009820FF"/>
    <w:rsid w:val="009821A9"/>
    <w:rsid w:val="009821BA"/>
    <w:rsid w:val="00982249"/>
    <w:rsid w:val="00982411"/>
    <w:rsid w:val="0098247B"/>
    <w:rsid w:val="0098257D"/>
    <w:rsid w:val="009825F6"/>
    <w:rsid w:val="0098261A"/>
    <w:rsid w:val="0098268D"/>
    <w:rsid w:val="0098271C"/>
    <w:rsid w:val="00982757"/>
    <w:rsid w:val="00982809"/>
    <w:rsid w:val="00982A08"/>
    <w:rsid w:val="00982A83"/>
    <w:rsid w:val="00982BCD"/>
    <w:rsid w:val="00982BF3"/>
    <w:rsid w:val="00982ED2"/>
    <w:rsid w:val="00982F5B"/>
    <w:rsid w:val="0098301C"/>
    <w:rsid w:val="00983108"/>
    <w:rsid w:val="0098310F"/>
    <w:rsid w:val="0098323C"/>
    <w:rsid w:val="00983398"/>
    <w:rsid w:val="009833F4"/>
    <w:rsid w:val="00983495"/>
    <w:rsid w:val="0098364C"/>
    <w:rsid w:val="0098366A"/>
    <w:rsid w:val="00983761"/>
    <w:rsid w:val="0098379E"/>
    <w:rsid w:val="009837B2"/>
    <w:rsid w:val="009837EE"/>
    <w:rsid w:val="0098390D"/>
    <w:rsid w:val="00983977"/>
    <w:rsid w:val="009839A7"/>
    <w:rsid w:val="009839EB"/>
    <w:rsid w:val="00983B74"/>
    <w:rsid w:val="00983BBF"/>
    <w:rsid w:val="00983C03"/>
    <w:rsid w:val="00983C7A"/>
    <w:rsid w:val="00983D3E"/>
    <w:rsid w:val="00983DBA"/>
    <w:rsid w:val="00983EEA"/>
    <w:rsid w:val="00984107"/>
    <w:rsid w:val="00984247"/>
    <w:rsid w:val="009842E1"/>
    <w:rsid w:val="00984323"/>
    <w:rsid w:val="00984354"/>
    <w:rsid w:val="0098445E"/>
    <w:rsid w:val="009844E2"/>
    <w:rsid w:val="00984506"/>
    <w:rsid w:val="009847A8"/>
    <w:rsid w:val="00984820"/>
    <w:rsid w:val="0098497A"/>
    <w:rsid w:val="00984980"/>
    <w:rsid w:val="009849E5"/>
    <w:rsid w:val="00984BBD"/>
    <w:rsid w:val="00984CE7"/>
    <w:rsid w:val="00984DC8"/>
    <w:rsid w:val="00984DFE"/>
    <w:rsid w:val="009850A3"/>
    <w:rsid w:val="009850D9"/>
    <w:rsid w:val="0098520E"/>
    <w:rsid w:val="00985450"/>
    <w:rsid w:val="0098546B"/>
    <w:rsid w:val="00985580"/>
    <w:rsid w:val="0098572B"/>
    <w:rsid w:val="009858D2"/>
    <w:rsid w:val="00985A1D"/>
    <w:rsid w:val="00985ACA"/>
    <w:rsid w:val="00985AED"/>
    <w:rsid w:val="00985B07"/>
    <w:rsid w:val="00985B0D"/>
    <w:rsid w:val="00985B27"/>
    <w:rsid w:val="00985BB7"/>
    <w:rsid w:val="00985C75"/>
    <w:rsid w:val="00985D29"/>
    <w:rsid w:val="00985FB4"/>
    <w:rsid w:val="00986125"/>
    <w:rsid w:val="0098619D"/>
    <w:rsid w:val="0098620A"/>
    <w:rsid w:val="0098623F"/>
    <w:rsid w:val="009862A0"/>
    <w:rsid w:val="00986523"/>
    <w:rsid w:val="009865B9"/>
    <w:rsid w:val="00986812"/>
    <w:rsid w:val="00986887"/>
    <w:rsid w:val="009868AF"/>
    <w:rsid w:val="00986A9F"/>
    <w:rsid w:val="00986BDC"/>
    <w:rsid w:val="00986ED0"/>
    <w:rsid w:val="00986EF3"/>
    <w:rsid w:val="009870DF"/>
    <w:rsid w:val="00987179"/>
    <w:rsid w:val="0098730B"/>
    <w:rsid w:val="009873A3"/>
    <w:rsid w:val="00987411"/>
    <w:rsid w:val="00987537"/>
    <w:rsid w:val="00987667"/>
    <w:rsid w:val="00987893"/>
    <w:rsid w:val="00987946"/>
    <w:rsid w:val="00987A3E"/>
    <w:rsid w:val="00987AAF"/>
    <w:rsid w:val="00987AE4"/>
    <w:rsid w:val="00987AF8"/>
    <w:rsid w:val="00987CD6"/>
    <w:rsid w:val="00987E26"/>
    <w:rsid w:val="00987EA7"/>
    <w:rsid w:val="009900D0"/>
    <w:rsid w:val="009900E7"/>
    <w:rsid w:val="0099014C"/>
    <w:rsid w:val="00990193"/>
    <w:rsid w:val="00990203"/>
    <w:rsid w:val="00990254"/>
    <w:rsid w:val="00990288"/>
    <w:rsid w:val="009902D2"/>
    <w:rsid w:val="00990373"/>
    <w:rsid w:val="00990430"/>
    <w:rsid w:val="009904A0"/>
    <w:rsid w:val="009904B5"/>
    <w:rsid w:val="009905A5"/>
    <w:rsid w:val="00990630"/>
    <w:rsid w:val="00990833"/>
    <w:rsid w:val="00990AAA"/>
    <w:rsid w:val="00990B32"/>
    <w:rsid w:val="00990BA2"/>
    <w:rsid w:val="00990C8C"/>
    <w:rsid w:val="00990E63"/>
    <w:rsid w:val="00990F53"/>
    <w:rsid w:val="00991024"/>
    <w:rsid w:val="0099106B"/>
    <w:rsid w:val="009910C9"/>
    <w:rsid w:val="009910E8"/>
    <w:rsid w:val="009911F3"/>
    <w:rsid w:val="009911F7"/>
    <w:rsid w:val="0099120A"/>
    <w:rsid w:val="0099141C"/>
    <w:rsid w:val="009917E0"/>
    <w:rsid w:val="00991828"/>
    <w:rsid w:val="00991926"/>
    <w:rsid w:val="0099196C"/>
    <w:rsid w:val="00991A52"/>
    <w:rsid w:val="00991A9F"/>
    <w:rsid w:val="00991C92"/>
    <w:rsid w:val="00991D34"/>
    <w:rsid w:val="00991D89"/>
    <w:rsid w:val="00991DF1"/>
    <w:rsid w:val="00991DFB"/>
    <w:rsid w:val="00991E8A"/>
    <w:rsid w:val="00991EDD"/>
    <w:rsid w:val="00991F62"/>
    <w:rsid w:val="00991FAA"/>
    <w:rsid w:val="0099230A"/>
    <w:rsid w:val="00992542"/>
    <w:rsid w:val="00992596"/>
    <w:rsid w:val="00992749"/>
    <w:rsid w:val="009927EB"/>
    <w:rsid w:val="00992A0F"/>
    <w:rsid w:val="00992A16"/>
    <w:rsid w:val="00992A52"/>
    <w:rsid w:val="00992CA8"/>
    <w:rsid w:val="00992D1E"/>
    <w:rsid w:val="00992E3A"/>
    <w:rsid w:val="00992E44"/>
    <w:rsid w:val="00992E9D"/>
    <w:rsid w:val="00992EED"/>
    <w:rsid w:val="009930E2"/>
    <w:rsid w:val="00993144"/>
    <w:rsid w:val="0099324D"/>
    <w:rsid w:val="00993266"/>
    <w:rsid w:val="00993333"/>
    <w:rsid w:val="00993376"/>
    <w:rsid w:val="0099346B"/>
    <w:rsid w:val="0099355E"/>
    <w:rsid w:val="009935DF"/>
    <w:rsid w:val="009936EE"/>
    <w:rsid w:val="009937D0"/>
    <w:rsid w:val="00993820"/>
    <w:rsid w:val="009938C2"/>
    <w:rsid w:val="0099394A"/>
    <w:rsid w:val="0099399A"/>
    <w:rsid w:val="00993A25"/>
    <w:rsid w:val="00993AD3"/>
    <w:rsid w:val="00993C13"/>
    <w:rsid w:val="00993C6A"/>
    <w:rsid w:val="00993DC9"/>
    <w:rsid w:val="00993E02"/>
    <w:rsid w:val="00993E45"/>
    <w:rsid w:val="00993E8F"/>
    <w:rsid w:val="00993EB2"/>
    <w:rsid w:val="00993EF6"/>
    <w:rsid w:val="00993F4C"/>
    <w:rsid w:val="00993F92"/>
    <w:rsid w:val="00994203"/>
    <w:rsid w:val="0099428A"/>
    <w:rsid w:val="0099428D"/>
    <w:rsid w:val="009944CC"/>
    <w:rsid w:val="00994687"/>
    <w:rsid w:val="009947C3"/>
    <w:rsid w:val="00994B60"/>
    <w:rsid w:val="00994D81"/>
    <w:rsid w:val="00995081"/>
    <w:rsid w:val="009950D9"/>
    <w:rsid w:val="009950F9"/>
    <w:rsid w:val="009951F1"/>
    <w:rsid w:val="009952DE"/>
    <w:rsid w:val="0099533D"/>
    <w:rsid w:val="009954A3"/>
    <w:rsid w:val="0099557B"/>
    <w:rsid w:val="009956E9"/>
    <w:rsid w:val="009957E2"/>
    <w:rsid w:val="00995949"/>
    <w:rsid w:val="00995987"/>
    <w:rsid w:val="00995B2F"/>
    <w:rsid w:val="00995CC3"/>
    <w:rsid w:val="00995D0F"/>
    <w:rsid w:val="00995EB7"/>
    <w:rsid w:val="00996286"/>
    <w:rsid w:val="0099634E"/>
    <w:rsid w:val="00996363"/>
    <w:rsid w:val="0099651D"/>
    <w:rsid w:val="0099656F"/>
    <w:rsid w:val="009965E4"/>
    <w:rsid w:val="00996606"/>
    <w:rsid w:val="009966C5"/>
    <w:rsid w:val="009966C7"/>
    <w:rsid w:val="00996727"/>
    <w:rsid w:val="0099675E"/>
    <w:rsid w:val="0099679F"/>
    <w:rsid w:val="009967FE"/>
    <w:rsid w:val="00996897"/>
    <w:rsid w:val="00996964"/>
    <w:rsid w:val="00996986"/>
    <w:rsid w:val="00996988"/>
    <w:rsid w:val="00996C30"/>
    <w:rsid w:val="00996C32"/>
    <w:rsid w:val="00996C90"/>
    <w:rsid w:val="00997025"/>
    <w:rsid w:val="00997185"/>
    <w:rsid w:val="00997230"/>
    <w:rsid w:val="0099735B"/>
    <w:rsid w:val="0099737E"/>
    <w:rsid w:val="0099740D"/>
    <w:rsid w:val="009974D5"/>
    <w:rsid w:val="00997819"/>
    <w:rsid w:val="0099788F"/>
    <w:rsid w:val="009979AF"/>
    <w:rsid w:val="009979CA"/>
    <w:rsid w:val="00997CC1"/>
    <w:rsid w:val="00997E17"/>
    <w:rsid w:val="009A00CA"/>
    <w:rsid w:val="009A0333"/>
    <w:rsid w:val="009A0562"/>
    <w:rsid w:val="009A0649"/>
    <w:rsid w:val="009A070B"/>
    <w:rsid w:val="009A073B"/>
    <w:rsid w:val="009A0834"/>
    <w:rsid w:val="009A08D0"/>
    <w:rsid w:val="009A08FC"/>
    <w:rsid w:val="009A0B60"/>
    <w:rsid w:val="009A0B7F"/>
    <w:rsid w:val="009A0BED"/>
    <w:rsid w:val="009A0C3E"/>
    <w:rsid w:val="009A0C98"/>
    <w:rsid w:val="009A0D39"/>
    <w:rsid w:val="009A0D41"/>
    <w:rsid w:val="009A0EC3"/>
    <w:rsid w:val="009A1009"/>
    <w:rsid w:val="009A1074"/>
    <w:rsid w:val="009A10BC"/>
    <w:rsid w:val="009A1153"/>
    <w:rsid w:val="009A11B6"/>
    <w:rsid w:val="009A11C0"/>
    <w:rsid w:val="009A12AF"/>
    <w:rsid w:val="009A1301"/>
    <w:rsid w:val="009A13F7"/>
    <w:rsid w:val="009A1585"/>
    <w:rsid w:val="009A15D1"/>
    <w:rsid w:val="009A167E"/>
    <w:rsid w:val="009A172A"/>
    <w:rsid w:val="009A17D3"/>
    <w:rsid w:val="009A17DE"/>
    <w:rsid w:val="009A18C5"/>
    <w:rsid w:val="009A19D2"/>
    <w:rsid w:val="009A1A92"/>
    <w:rsid w:val="009A1B44"/>
    <w:rsid w:val="009A1B52"/>
    <w:rsid w:val="009A1C93"/>
    <w:rsid w:val="009A1E34"/>
    <w:rsid w:val="009A1E8B"/>
    <w:rsid w:val="009A1EA3"/>
    <w:rsid w:val="009A20E5"/>
    <w:rsid w:val="009A2195"/>
    <w:rsid w:val="009A2358"/>
    <w:rsid w:val="009A2418"/>
    <w:rsid w:val="009A24B0"/>
    <w:rsid w:val="009A24EF"/>
    <w:rsid w:val="009A2648"/>
    <w:rsid w:val="009A2649"/>
    <w:rsid w:val="009A2828"/>
    <w:rsid w:val="009A285D"/>
    <w:rsid w:val="009A28BB"/>
    <w:rsid w:val="009A29D8"/>
    <w:rsid w:val="009A2BAD"/>
    <w:rsid w:val="009A2BE6"/>
    <w:rsid w:val="009A2C37"/>
    <w:rsid w:val="009A2C60"/>
    <w:rsid w:val="009A2D53"/>
    <w:rsid w:val="009A2DDC"/>
    <w:rsid w:val="009A2DE0"/>
    <w:rsid w:val="009A2EA6"/>
    <w:rsid w:val="009A2EF3"/>
    <w:rsid w:val="009A2FA4"/>
    <w:rsid w:val="009A3148"/>
    <w:rsid w:val="009A31A4"/>
    <w:rsid w:val="009A334F"/>
    <w:rsid w:val="009A33DA"/>
    <w:rsid w:val="009A356C"/>
    <w:rsid w:val="009A37AD"/>
    <w:rsid w:val="009A38E6"/>
    <w:rsid w:val="009A39B7"/>
    <w:rsid w:val="009A39DB"/>
    <w:rsid w:val="009A3A3A"/>
    <w:rsid w:val="009A3CF4"/>
    <w:rsid w:val="009A3D42"/>
    <w:rsid w:val="009A3F24"/>
    <w:rsid w:val="009A3FA0"/>
    <w:rsid w:val="009A3FD4"/>
    <w:rsid w:val="009A4041"/>
    <w:rsid w:val="009A40DE"/>
    <w:rsid w:val="009A411B"/>
    <w:rsid w:val="009A41BA"/>
    <w:rsid w:val="009A42BD"/>
    <w:rsid w:val="009A42CC"/>
    <w:rsid w:val="009A436E"/>
    <w:rsid w:val="009A4380"/>
    <w:rsid w:val="009A43B2"/>
    <w:rsid w:val="009A43E5"/>
    <w:rsid w:val="009A4442"/>
    <w:rsid w:val="009A446D"/>
    <w:rsid w:val="009A45DE"/>
    <w:rsid w:val="009A45F1"/>
    <w:rsid w:val="009A4831"/>
    <w:rsid w:val="009A48BF"/>
    <w:rsid w:val="009A4946"/>
    <w:rsid w:val="009A4C68"/>
    <w:rsid w:val="009A4D5B"/>
    <w:rsid w:val="009A4D5F"/>
    <w:rsid w:val="009A4DA7"/>
    <w:rsid w:val="009A4DF9"/>
    <w:rsid w:val="009A4E09"/>
    <w:rsid w:val="009A4E79"/>
    <w:rsid w:val="009A4F3A"/>
    <w:rsid w:val="009A4FB7"/>
    <w:rsid w:val="009A5094"/>
    <w:rsid w:val="009A5136"/>
    <w:rsid w:val="009A5199"/>
    <w:rsid w:val="009A51D5"/>
    <w:rsid w:val="009A52CF"/>
    <w:rsid w:val="009A52F0"/>
    <w:rsid w:val="009A53EC"/>
    <w:rsid w:val="009A53FC"/>
    <w:rsid w:val="009A54D8"/>
    <w:rsid w:val="009A59DB"/>
    <w:rsid w:val="009A59E6"/>
    <w:rsid w:val="009A5A9C"/>
    <w:rsid w:val="009A5AEA"/>
    <w:rsid w:val="009A5BEE"/>
    <w:rsid w:val="009A5C02"/>
    <w:rsid w:val="009A5CC9"/>
    <w:rsid w:val="009A5DBA"/>
    <w:rsid w:val="009A5E6C"/>
    <w:rsid w:val="009A5EA8"/>
    <w:rsid w:val="009A5F8B"/>
    <w:rsid w:val="009A607C"/>
    <w:rsid w:val="009A6136"/>
    <w:rsid w:val="009A6198"/>
    <w:rsid w:val="009A61A0"/>
    <w:rsid w:val="009A6266"/>
    <w:rsid w:val="009A6556"/>
    <w:rsid w:val="009A676D"/>
    <w:rsid w:val="009A682D"/>
    <w:rsid w:val="009A686E"/>
    <w:rsid w:val="009A6994"/>
    <w:rsid w:val="009A6C8B"/>
    <w:rsid w:val="009A6E17"/>
    <w:rsid w:val="009A6EEA"/>
    <w:rsid w:val="009A6FA8"/>
    <w:rsid w:val="009A702E"/>
    <w:rsid w:val="009A7085"/>
    <w:rsid w:val="009A70FA"/>
    <w:rsid w:val="009A7125"/>
    <w:rsid w:val="009A7327"/>
    <w:rsid w:val="009A73A7"/>
    <w:rsid w:val="009A73D7"/>
    <w:rsid w:val="009A7411"/>
    <w:rsid w:val="009A7478"/>
    <w:rsid w:val="009A7858"/>
    <w:rsid w:val="009A7911"/>
    <w:rsid w:val="009A796E"/>
    <w:rsid w:val="009A797A"/>
    <w:rsid w:val="009A7A70"/>
    <w:rsid w:val="009A7B2D"/>
    <w:rsid w:val="009A7C08"/>
    <w:rsid w:val="009A7C91"/>
    <w:rsid w:val="009A7DBF"/>
    <w:rsid w:val="009A7E7F"/>
    <w:rsid w:val="009A7EA7"/>
    <w:rsid w:val="009A7ED3"/>
    <w:rsid w:val="009B006B"/>
    <w:rsid w:val="009B0294"/>
    <w:rsid w:val="009B0298"/>
    <w:rsid w:val="009B0306"/>
    <w:rsid w:val="009B040D"/>
    <w:rsid w:val="009B04EA"/>
    <w:rsid w:val="009B0766"/>
    <w:rsid w:val="009B090C"/>
    <w:rsid w:val="009B0910"/>
    <w:rsid w:val="009B0B1A"/>
    <w:rsid w:val="009B0B48"/>
    <w:rsid w:val="009B0B4A"/>
    <w:rsid w:val="009B0BAA"/>
    <w:rsid w:val="009B0BC1"/>
    <w:rsid w:val="009B0C69"/>
    <w:rsid w:val="009B0CCA"/>
    <w:rsid w:val="009B0E00"/>
    <w:rsid w:val="009B1091"/>
    <w:rsid w:val="009B10EE"/>
    <w:rsid w:val="009B10F8"/>
    <w:rsid w:val="009B13AF"/>
    <w:rsid w:val="009B1555"/>
    <w:rsid w:val="009B163B"/>
    <w:rsid w:val="009B183F"/>
    <w:rsid w:val="009B197F"/>
    <w:rsid w:val="009B1A7D"/>
    <w:rsid w:val="009B1A84"/>
    <w:rsid w:val="009B1B50"/>
    <w:rsid w:val="009B1BF8"/>
    <w:rsid w:val="009B1C30"/>
    <w:rsid w:val="009B1D33"/>
    <w:rsid w:val="009B1D5D"/>
    <w:rsid w:val="009B1D9F"/>
    <w:rsid w:val="009B1EC2"/>
    <w:rsid w:val="009B1ECB"/>
    <w:rsid w:val="009B1F6D"/>
    <w:rsid w:val="009B1FAF"/>
    <w:rsid w:val="009B2033"/>
    <w:rsid w:val="009B21AF"/>
    <w:rsid w:val="009B21D2"/>
    <w:rsid w:val="009B21DF"/>
    <w:rsid w:val="009B2227"/>
    <w:rsid w:val="009B227C"/>
    <w:rsid w:val="009B229B"/>
    <w:rsid w:val="009B22DE"/>
    <w:rsid w:val="009B25EB"/>
    <w:rsid w:val="009B2618"/>
    <w:rsid w:val="009B2710"/>
    <w:rsid w:val="009B27DC"/>
    <w:rsid w:val="009B2848"/>
    <w:rsid w:val="009B29E5"/>
    <w:rsid w:val="009B2AC5"/>
    <w:rsid w:val="009B2B6D"/>
    <w:rsid w:val="009B2C05"/>
    <w:rsid w:val="009B2C17"/>
    <w:rsid w:val="009B2C3C"/>
    <w:rsid w:val="009B2CBD"/>
    <w:rsid w:val="009B2E73"/>
    <w:rsid w:val="009B3081"/>
    <w:rsid w:val="009B3084"/>
    <w:rsid w:val="009B3389"/>
    <w:rsid w:val="009B3582"/>
    <w:rsid w:val="009B35DB"/>
    <w:rsid w:val="009B36B2"/>
    <w:rsid w:val="009B36E1"/>
    <w:rsid w:val="009B3885"/>
    <w:rsid w:val="009B39C9"/>
    <w:rsid w:val="009B3A64"/>
    <w:rsid w:val="009B3A6B"/>
    <w:rsid w:val="009B3AB3"/>
    <w:rsid w:val="009B3B2E"/>
    <w:rsid w:val="009B3BB7"/>
    <w:rsid w:val="009B3C14"/>
    <w:rsid w:val="009B3C84"/>
    <w:rsid w:val="009B3CD6"/>
    <w:rsid w:val="009B3D2C"/>
    <w:rsid w:val="009B40AC"/>
    <w:rsid w:val="009B41EE"/>
    <w:rsid w:val="009B43B4"/>
    <w:rsid w:val="009B4407"/>
    <w:rsid w:val="009B465B"/>
    <w:rsid w:val="009B46BA"/>
    <w:rsid w:val="009B46BE"/>
    <w:rsid w:val="009B4713"/>
    <w:rsid w:val="009B4731"/>
    <w:rsid w:val="009B4754"/>
    <w:rsid w:val="009B47A2"/>
    <w:rsid w:val="009B49D3"/>
    <w:rsid w:val="009B4A39"/>
    <w:rsid w:val="009B4A81"/>
    <w:rsid w:val="009B4B0B"/>
    <w:rsid w:val="009B4C24"/>
    <w:rsid w:val="009B4C48"/>
    <w:rsid w:val="009B4C52"/>
    <w:rsid w:val="009B4DB3"/>
    <w:rsid w:val="009B4E7C"/>
    <w:rsid w:val="009B4F79"/>
    <w:rsid w:val="009B4F7A"/>
    <w:rsid w:val="009B514E"/>
    <w:rsid w:val="009B51B6"/>
    <w:rsid w:val="009B51BC"/>
    <w:rsid w:val="009B51C8"/>
    <w:rsid w:val="009B53EB"/>
    <w:rsid w:val="009B54AE"/>
    <w:rsid w:val="009B558F"/>
    <w:rsid w:val="009B55F6"/>
    <w:rsid w:val="009B5713"/>
    <w:rsid w:val="009B571C"/>
    <w:rsid w:val="009B5762"/>
    <w:rsid w:val="009B586E"/>
    <w:rsid w:val="009B588E"/>
    <w:rsid w:val="009B597D"/>
    <w:rsid w:val="009B5A09"/>
    <w:rsid w:val="009B5A4E"/>
    <w:rsid w:val="009B5A83"/>
    <w:rsid w:val="009B5CCE"/>
    <w:rsid w:val="009B5E09"/>
    <w:rsid w:val="009B5ECF"/>
    <w:rsid w:val="009B5FA7"/>
    <w:rsid w:val="009B619C"/>
    <w:rsid w:val="009B61A0"/>
    <w:rsid w:val="009B63D6"/>
    <w:rsid w:val="009B646B"/>
    <w:rsid w:val="009B6539"/>
    <w:rsid w:val="009B658A"/>
    <w:rsid w:val="009B65F0"/>
    <w:rsid w:val="009B6614"/>
    <w:rsid w:val="009B66DC"/>
    <w:rsid w:val="009B673F"/>
    <w:rsid w:val="009B67D3"/>
    <w:rsid w:val="009B6916"/>
    <w:rsid w:val="009B69C6"/>
    <w:rsid w:val="009B6A9D"/>
    <w:rsid w:val="009B6AAF"/>
    <w:rsid w:val="009B6B61"/>
    <w:rsid w:val="009B6C54"/>
    <w:rsid w:val="009B6D49"/>
    <w:rsid w:val="009B6D62"/>
    <w:rsid w:val="009B6DDB"/>
    <w:rsid w:val="009B6FDA"/>
    <w:rsid w:val="009B7020"/>
    <w:rsid w:val="009B70D8"/>
    <w:rsid w:val="009B715E"/>
    <w:rsid w:val="009B72B4"/>
    <w:rsid w:val="009B7352"/>
    <w:rsid w:val="009B73EB"/>
    <w:rsid w:val="009B7434"/>
    <w:rsid w:val="009B74B7"/>
    <w:rsid w:val="009B75A0"/>
    <w:rsid w:val="009B75A3"/>
    <w:rsid w:val="009B7628"/>
    <w:rsid w:val="009B768B"/>
    <w:rsid w:val="009B782C"/>
    <w:rsid w:val="009B798D"/>
    <w:rsid w:val="009B79FF"/>
    <w:rsid w:val="009B7A43"/>
    <w:rsid w:val="009B7AD3"/>
    <w:rsid w:val="009B7B94"/>
    <w:rsid w:val="009B7C4C"/>
    <w:rsid w:val="009B7C59"/>
    <w:rsid w:val="009B7C88"/>
    <w:rsid w:val="009B7CCF"/>
    <w:rsid w:val="009B7FF9"/>
    <w:rsid w:val="009C0046"/>
    <w:rsid w:val="009C004E"/>
    <w:rsid w:val="009C00DA"/>
    <w:rsid w:val="009C01E5"/>
    <w:rsid w:val="009C026D"/>
    <w:rsid w:val="009C0439"/>
    <w:rsid w:val="009C06C2"/>
    <w:rsid w:val="009C07C8"/>
    <w:rsid w:val="009C0822"/>
    <w:rsid w:val="009C0A19"/>
    <w:rsid w:val="009C0B20"/>
    <w:rsid w:val="009C0C42"/>
    <w:rsid w:val="009C0F01"/>
    <w:rsid w:val="009C0F9F"/>
    <w:rsid w:val="009C10A9"/>
    <w:rsid w:val="009C11E2"/>
    <w:rsid w:val="009C13C3"/>
    <w:rsid w:val="009C1469"/>
    <w:rsid w:val="009C1513"/>
    <w:rsid w:val="009C15E9"/>
    <w:rsid w:val="009C1610"/>
    <w:rsid w:val="009C1622"/>
    <w:rsid w:val="009C18F2"/>
    <w:rsid w:val="009C19E2"/>
    <w:rsid w:val="009C1A43"/>
    <w:rsid w:val="009C1B93"/>
    <w:rsid w:val="009C1C6B"/>
    <w:rsid w:val="009C1C9E"/>
    <w:rsid w:val="009C1F52"/>
    <w:rsid w:val="009C1F64"/>
    <w:rsid w:val="009C2069"/>
    <w:rsid w:val="009C208F"/>
    <w:rsid w:val="009C20B9"/>
    <w:rsid w:val="009C212D"/>
    <w:rsid w:val="009C21ED"/>
    <w:rsid w:val="009C23A7"/>
    <w:rsid w:val="009C23BD"/>
    <w:rsid w:val="009C24AC"/>
    <w:rsid w:val="009C24E4"/>
    <w:rsid w:val="009C2507"/>
    <w:rsid w:val="009C264C"/>
    <w:rsid w:val="009C26E4"/>
    <w:rsid w:val="009C2722"/>
    <w:rsid w:val="009C27D7"/>
    <w:rsid w:val="009C28F0"/>
    <w:rsid w:val="009C294A"/>
    <w:rsid w:val="009C2A8E"/>
    <w:rsid w:val="009C2AA1"/>
    <w:rsid w:val="009C2AFF"/>
    <w:rsid w:val="009C2BC6"/>
    <w:rsid w:val="009C2C4F"/>
    <w:rsid w:val="009C2D33"/>
    <w:rsid w:val="009C2E24"/>
    <w:rsid w:val="009C2FD8"/>
    <w:rsid w:val="009C33EC"/>
    <w:rsid w:val="009C3439"/>
    <w:rsid w:val="009C34BA"/>
    <w:rsid w:val="009C36AC"/>
    <w:rsid w:val="009C37A3"/>
    <w:rsid w:val="009C3AC2"/>
    <w:rsid w:val="009C3B14"/>
    <w:rsid w:val="009C3BE5"/>
    <w:rsid w:val="009C3C35"/>
    <w:rsid w:val="009C3C43"/>
    <w:rsid w:val="009C3C52"/>
    <w:rsid w:val="009C3D89"/>
    <w:rsid w:val="009C3DB3"/>
    <w:rsid w:val="009C3DE6"/>
    <w:rsid w:val="009C4047"/>
    <w:rsid w:val="009C408A"/>
    <w:rsid w:val="009C408B"/>
    <w:rsid w:val="009C417B"/>
    <w:rsid w:val="009C4291"/>
    <w:rsid w:val="009C4597"/>
    <w:rsid w:val="009C45C1"/>
    <w:rsid w:val="009C46A3"/>
    <w:rsid w:val="009C46B5"/>
    <w:rsid w:val="009C482F"/>
    <w:rsid w:val="009C4857"/>
    <w:rsid w:val="009C4AA7"/>
    <w:rsid w:val="009C4B04"/>
    <w:rsid w:val="009C4B47"/>
    <w:rsid w:val="009C4C4D"/>
    <w:rsid w:val="009C4D72"/>
    <w:rsid w:val="009C4DF9"/>
    <w:rsid w:val="009C4E0C"/>
    <w:rsid w:val="009C4EB2"/>
    <w:rsid w:val="009C4F20"/>
    <w:rsid w:val="009C5017"/>
    <w:rsid w:val="009C50F1"/>
    <w:rsid w:val="009C526B"/>
    <w:rsid w:val="009C52C1"/>
    <w:rsid w:val="009C5353"/>
    <w:rsid w:val="009C5446"/>
    <w:rsid w:val="009C54F5"/>
    <w:rsid w:val="009C5708"/>
    <w:rsid w:val="009C58D7"/>
    <w:rsid w:val="009C5937"/>
    <w:rsid w:val="009C5942"/>
    <w:rsid w:val="009C5A7D"/>
    <w:rsid w:val="009C5AD2"/>
    <w:rsid w:val="009C5BA1"/>
    <w:rsid w:val="009C5BEB"/>
    <w:rsid w:val="009C5C1D"/>
    <w:rsid w:val="009C5CD5"/>
    <w:rsid w:val="009C5D7F"/>
    <w:rsid w:val="009C5E57"/>
    <w:rsid w:val="009C6175"/>
    <w:rsid w:val="009C6279"/>
    <w:rsid w:val="009C62B0"/>
    <w:rsid w:val="009C6442"/>
    <w:rsid w:val="009C6464"/>
    <w:rsid w:val="009C6492"/>
    <w:rsid w:val="009C649A"/>
    <w:rsid w:val="009C6633"/>
    <w:rsid w:val="009C6648"/>
    <w:rsid w:val="009C6706"/>
    <w:rsid w:val="009C6713"/>
    <w:rsid w:val="009C67F2"/>
    <w:rsid w:val="009C698E"/>
    <w:rsid w:val="009C69A4"/>
    <w:rsid w:val="009C6A09"/>
    <w:rsid w:val="009C6ABE"/>
    <w:rsid w:val="009C6B70"/>
    <w:rsid w:val="009C6D5E"/>
    <w:rsid w:val="009C6D62"/>
    <w:rsid w:val="009C6DD6"/>
    <w:rsid w:val="009C6E57"/>
    <w:rsid w:val="009C6EC7"/>
    <w:rsid w:val="009C6F3C"/>
    <w:rsid w:val="009C6FCA"/>
    <w:rsid w:val="009C7001"/>
    <w:rsid w:val="009C700B"/>
    <w:rsid w:val="009C7043"/>
    <w:rsid w:val="009C70EA"/>
    <w:rsid w:val="009C710B"/>
    <w:rsid w:val="009C71BE"/>
    <w:rsid w:val="009C71EE"/>
    <w:rsid w:val="009C72B0"/>
    <w:rsid w:val="009C74D5"/>
    <w:rsid w:val="009C7532"/>
    <w:rsid w:val="009C7673"/>
    <w:rsid w:val="009C7776"/>
    <w:rsid w:val="009C7809"/>
    <w:rsid w:val="009C7844"/>
    <w:rsid w:val="009C79FE"/>
    <w:rsid w:val="009C7A9F"/>
    <w:rsid w:val="009C7B4E"/>
    <w:rsid w:val="009C7F67"/>
    <w:rsid w:val="009D00AF"/>
    <w:rsid w:val="009D020D"/>
    <w:rsid w:val="009D038A"/>
    <w:rsid w:val="009D04D3"/>
    <w:rsid w:val="009D0541"/>
    <w:rsid w:val="009D056B"/>
    <w:rsid w:val="009D065F"/>
    <w:rsid w:val="009D07CF"/>
    <w:rsid w:val="009D0847"/>
    <w:rsid w:val="009D08DF"/>
    <w:rsid w:val="009D096A"/>
    <w:rsid w:val="009D0D60"/>
    <w:rsid w:val="009D0D66"/>
    <w:rsid w:val="009D0E11"/>
    <w:rsid w:val="009D0EAB"/>
    <w:rsid w:val="009D0EC0"/>
    <w:rsid w:val="009D14BC"/>
    <w:rsid w:val="009D1636"/>
    <w:rsid w:val="009D1745"/>
    <w:rsid w:val="009D180C"/>
    <w:rsid w:val="009D1C33"/>
    <w:rsid w:val="009D1D98"/>
    <w:rsid w:val="009D1E4F"/>
    <w:rsid w:val="009D1F7C"/>
    <w:rsid w:val="009D2238"/>
    <w:rsid w:val="009D2309"/>
    <w:rsid w:val="009D2340"/>
    <w:rsid w:val="009D250D"/>
    <w:rsid w:val="009D2545"/>
    <w:rsid w:val="009D25C1"/>
    <w:rsid w:val="009D267C"/>
    <w:rsid w:val="009D2691"/>
    <w:rsid w:val="009D298B"/>
    <w:rsid w:val="009D29DD"/>
    <w:rsid w:val="009D2A1A"/>
    <w:rsid w:val="009D2A29"/>
    <w:rsid w:val="009D2AD6"/>
    <w:rsid w:val="009D2BAF"/>
    <w:rsid w:val="009D2F3C"/>
    <w:rsid w:val="009D3028"/>
    <w:rsid w:val="009D3047"/>
    <w:rsid w:val="009D30F8"/>
    <w:rsid w:val="009D3141"/>
    <w:rsid w:val="009D31D5"/>
    <w:rsid w:val="009D32B5"/>
    <w:rsid w:val="009D32EA"/>
    <w:rsid w:val="009D3360"/>
    <w:rsid w:val="009D33D7"/>
    <w:rsid w:val="009D34E9"/>
    <w:rsid w:val="009D36FA"/>
    <w:rsid w:val="009D3938"/>
    <w:rsid w:val="009D3AE6"/>
    <w:rsid w:val="009D3B35"/>
    <w:rsid w:val="009D3D52"/>
    <w:rsid w:val="009D3FBD"/>
    <w:rsid w:val="009D421C"/>
    <w:rsid w:val="009D424D"/>
    <w:rsid w:val="009D4287"/>
    <w:rsid w:val="009D438F"/>
    <w:rsid w:val="009D43BE"/>
    <w:rsid w:val="009D444E"/>
    <w:rsid w:val="009D465E"/>
    <w:rsid w:val="009D4A6C"/>
    <w:rsid w:val="009D4AA1"/>
    <w:rsid w:val="009D4AC7"/>
    <w:rsid w:val="009D4CE4"/>
    <w:rsid w:val="009D4D02"/>
    <w:rsid w:val="009D4E46"/>
    <w:rsid w:val="009D4F36"/>
    <w:rsid w:val="009D5041"/>
    <w:rsid w:val="009D5129"/>
    <w:rsid w:val="009D5204"/>
    <w:rsid w:val="009D52AA"/>
    <w:rsid w:val="009D5342"/>
    <w:rsid w:val="009D5364"/>
    <w:rsid w:val="009D548E"/>
    <w:rsid w:val="009D5556"/>
    <w:rsid w:val="009D55E6"/>
    <w:rsid w:val="009D5B5B"/>
    <w:rsid w:val="009D5B92"/>
    <w:rsid w:val="009D5C6B"/>
    <w:rsid w:val="009D5CB6"/>
    <w:rsid w:val="009D5CB9"/>
    <w:rsid w:val="009D5D0D"/>
    <w:rsid w:val="009D5E32"/>
    <w:rsid w:val="009D5F01"/>
    <w:rsid w:val="009D5F80"/>
    <w:rsid w:val="009D5F87"/>
    <w:rsid w:val="009D61C0"/>
    <w:rsid w:val="009D62B2"/>
    <w:rsid w:val="009D6307"/>
    <w:rsid w:val="009D634C"/>
    <w:rsid w:val="009D634D"/>
    <w:rsid w:val="009D6352"/>
    <w:rsid w:val="009D67AF"/>
    <w:rsid w:val="009D68C4"/>
    <w:rsid w:val="009D693E"/>
    <w:rsid w:val="009D6A5A"/>
    <w:rsid w:val="009D6C2E"/>
    <w:rsid w:val="009D6D08"/>
    <w:rsid w:val="009D6D0F"/>
    <w:rsid w:val="009D6D23"/>
    <w:rsid w:val="009D6DC0"/>
    <w:rsid w:val="009D6E49"/>
    <w:rsid w:val="009D6E83"/>
    <w:rsid w:val="009D6F38"/>
    <w:rsid w:val="009D6F40"/>
    <w:rsid w:val="009D6FBC"/>
    <w:rsid w:val="009D7212"/>
    <w:rsid w:val="009D7214"/>
    <w:rsid w:val="009D72A0"/>
    <w:rsid w:val="009D7335"/>
    <w:rsid w:val="009D737E"/>
    <w:rsid w:val="009D73C9"/>
    <w:rsid w:val="009D73EA"/>
    <w:rsid w:val="009D73F9"/>
    <w:rsid w:val="009D75B3"/>
    <w:rsid w:val="009D77C2"/>
    <w:rsid w:val="009D787A"/>
    <w:rsid w:val="009D78E2"/>
    <w:rsid w:val="009D79DA"/>
    <w:rsid w:val="009D7AF6"/>
    <w:rsid w:val="009D7B41"/>
    <w:rsid w:val="009D7B50"/>
    <w:rsid w:val="009D7CE4"/>
    <w:rsid w:val="009D7EC6"/>
    <w:rsid w:val="009E0029"/>
    <w:rsid w:val="009E007B"/>
    <w:rsid w:val="009E00F5"/>
    <w:rsid w:val="009E0109"/>
    <w:rsid w:val="009E01D4"/>
    <w:rsid w:val="009E01E1"/>
    <w:rsid w:val="009E042C"/>
    <w:rsid w:val="009E04C0"/>
    <w:rsid w:val="009E08E3"/>
    <w:rsid w:val="009E0A4E"/>
    <w:rsid w:val="009E0AEA"/>
    <w:rsid w:val="009E0BEC"/>
    <w:rsid w:val="009E0BEE"/>
    <w:rsid w:val="009E0C10"/>
    <w:rsid w:val="009E0C36"/>
    <w:rsid w:val="009E0D20"/>
    <w:rsid w:val="009E0E39"/>
    <w:rsid w:val="009E0E67"/>
    <w:rsid w:val="009E1139"/>
    <w:rsid w:val="009E1265"/>
    <w:rsid w:val="009E12B5"/>
    <w:rsid w:val="009E1394"/>
    <w:rsid w:val="009E1465"/>
    <w:rsid w:val="009E1490"/>
    <w:rsid w:val="009E152B"/>
    <w:rsid w:val="009E1538"/>
    <w:rsid w:val="009E161A"/>
    <w:rsid w:val="009E16AF"/>
    <w:rsid w:val="009E1749"/>
    <w:rsid w:val="009E19D1"/>
    <w:rsid w:val="009E1ACF"/>
    <w:rsid w:val="009E1AD0"/>
    <w:rsid w:val="009E1ADB"/>
    <w:rsid w:val="009E1AE9"/>
    <w:rsid w:val="009E1CE9"/>
    <w:rsid w:val="009E1D07"/>
    <w:rsid w:val="009E20F7"/>
    <w:rsid w:val="009E2121"/>
    <w:rsid w:val="009E2267"/>
    <w:rsid w:val="009E2434"/>
    <w:rsid w:val="009E24A2"/>
    <w:rsid w:val="009E27D0"/>
    <w:rsid w:val="009E29B6"/>
    <w:rsid w:val="009E2A45"/>
    <w:rsid w:val="009E2AE6"/>
    <w:rsid w:val="009E2B39"/>
    <w:rsid w:val="009E2DAD"/>
    <w:rsid w:val="009E2E15"/>
    <w:rsid w:val="009E2F32"/>
    <w:rsid w:val="009E302C"/>
    <w:rsid w:val="009E31BB"/>
    <w:rsid w:val="009E32EA"/>
    <w:rsid w:val="009E3334"/>
    <w:rsid w:val="009E34B5"/>
    <w:rsid w:val="009E357C"/>
    <w:rsid w:val="009E35C6"/>
    <w:rsid w:val="009E3645"/>
    <w:rsid w:val="009E3719"/>
    <w:rsid w:val="009E37B7"/>
    <w:rsid w:val="009E393F"/>
    <w:rsid w:val="009E3954"/>
    <w:rsid w:val="009E39C2"/>
    <w:rsid w:val="009E39E3"/>
    <w:rsid w:val="009E3A68"/>
    <w:rsid w:val="009E3B6B"/>
    <w:rsid w:val="009E3B6D"/>
    <w:rsid w:val="009E3B75"/>
    <w:rsid w:val="009E3E35"/>
    <w:rsid w:val="009E3ED2"/>
    <w:rsid w:val="009E3FE2"/>
    <w:rsid w:val="009E3FFF"/>
    <w:rsid w:val="009E411B"/>
    <w:rsid w:val="009E414E"/>
    <w:rsid w:val="009E423F"/>
    <w:rsid w:val="009E456B"/>
    <w:rsid w:val="009E463F"/>
    <w:rsid w:val="009E4701"/>
    <w:rsid w:val="009E48AE"/>
    <w:rsid w:val="009E493A"/>
    <w:rsid w:val="009E4A13"/>
    <w:rsid w:val="009E4A1C"/>
    <w:rsid w:val="009E4B86"/>
    <w:rsid w:val="009E4BCD"/>
    <w:rsid w:val="009E4BFA"/>
    <w:rsid w:val="009E4CDE"/>
    <w:rsid w:val="009E4DAD"/>
    <w:rsid w:val="009E4DCC"/>
    <w:rsid w:val="009E4E24"/>
    <w:rsid w:val="009E4E7E"/>
    <w:rsid w:val="009E4EE2"/>
    <w:rsid w:val="009E508F"/>
    <w:rsid w:val="009E51E9"/>
    <w:rsid w:val="009E5284"/>
    <w:rsid w:val="009E5486"/>
    <w:rsid w:val="009E54E6"/>
    <w:rsid w:val="009E55BF"/>
    <w:rsid w:val="009E5695"/>
    <w:rsid w:val="009E569E"/>
    <w:rsid w:val="009E56BD"/>
    <w:rsid w:val="009E5863"/>
    <w:rsid w:val="009E5926"/>
    <w:rsid w:val="009E5A03"/>
    <w:rsid w:val="009E5A41"/>
    <w:rsid w:val="009E5BA0"/>
    <w:rsid w:val="009E5BB2"/>
    <w:rsid w:val="009E5CF9"/>
    <w:rsid w:val="009E6072"/>
    <w:rsid w:val="009E6081"/>
    <w:rsid w:val="009E6184"/>
    <w:rsid w:val="009E61B9"/>
    <w:rsid w:val="009E6254"/>
    <w:rsid w:val="009E6380"/>
    <w:rsid w:val="009E6501"/>
    <w:rsid w:val="009E676E"/>
    <w:rsid w:val="009E67BA"/>
    <w:rsid w:val="009E695C"/>
    <w:rsid w:val="009E6985"/>
    <w:rsid w:val="009E6A21"/>
    <w:rsid w:val="009E6A31"/>
    <w:rsid w:val="009E6A5C"/>
    <w:rsid w:val="009E6AEC"/>
    <w:rsid w:val="009E6C13"/>
    <w:rsid w:val="009E6C81"/>
    <w:rsid w:val="009E6CA2"/>
    <w:rsid w:val="009E6E0A"/>
    <w:rsid w:val="009E6F20"/>
    <w:rsid w:val="009E70D8"/>
    <w:rsid w:val="009E710C"/>
    <w:rsid w:val="009E716B"/>
    <w:rsid w:val="009E71C4"/>
    <w:rsid w:val="009E756E"/>
    <w:rsid w:val="009E760F"/>
    <w:rsid w:val="009E7683"/>
    <w:rsid w:val="009E7730"/>
    <w:rsid w:val="009E7779"/>
    <w:rsid w:val="009E779D"/>
    <w:rsid w:val="009E7A07"/>
    <w:rsid w:val="009E7A70"/>
    <w:rsid w:val="009E7BFD"/>
    <w:rsid w:val="009E7CBE"/>
    <w:rsid w:val="009E7D4E"/>
    <w:rsid w:val="009E7E3A"/>
    <w:rsid w:val="009E7E8E"/>
    <w:rsid w:val="009E7F21"/>
    <w:rsid w:val="009E7F96"/>
    <w:rsid w:val="009E7FB5"/>
    <w:rsid w:val="009E7FF3"/>
    <w:rsid w:val="009F0029"/>
    <w:rsid w:val="009F005C"/>
    <w:rsid w:val="009F00F2"/>
    <w:rsid w:val="009F0195"/>
    <w:rsid w:val="009F040E"/>
    <w:rsid w:val="009F04B2"/>
    <w:rsid w:val="009F053F"/>
    <w:rsid w:val="009F070A"/>
    <w:rsid w:val="009F0763"/>
    <w:rsid w:val="009F0872"/>
    <w:rsid w:val="009F0897"/>
    <w:rsid w:val="009F089F"/>
    <w:rsid w:val="009F0A7D"/>
    <w:rsid w:val="009F0B2D"/>
    <w:rsid w:val="009F0B70"/>
    <w:rsid w:val="009F0D89"/>
    <w:rsid w:val="009F0DF5"/>
    <w:rsid w:val="009F0E07"/>
    <w:rsid w:val="009F1105"/>
    <w:rsid w:val="009F1112"/>
    <w:rsid w:val="009F11A9"/>
    <w:rsid w:val="009F11C8"/>
    <w:rsid w:val="009F125F"/>
    <w:rsid w:val="009F128B"/>
    <w:rsid w:val="009F13BB"/>
    <w:rsid w:val="009F142F"/>
    <w:rsid w:val="009F1571"/>
    <w:rsid w:val="009F15EE"/>
    <w:rsid w:val="009F1748"/>
    <w:rsid w:val="009F177B"/>
    <w:rsid w:val="009F17A7"/>
    <w:rsid w:val="009F1948"/>
    <w:rsid w:val="009F197D"/>
    <w:rsid w:val="009F1A6F"/>
    <w:rsid w:val="009F1CA4"/>
    <w:rsid w:val="009F1D67"/>
    <w:rsid w:val="009F1D91"/>
    <w:rsid w:val="009F1FA8"/>
    <w:rsid w:val="009F2029"/>
    <w:rsid w:val="009F214D"/>
    <w:rsid w:val="009F24B0"/>
    <w:rsid w:val="009F286D"/>
    <w:rsid w:val="009F29CC"/>
    <w:rsid w:val="009F2A30"/>
    <w:rsid w:val="009F2A7F"/>
    <w:rsid w:val="009F2CF5"/>
    <w:rsid w:val="009F2EF8"/>
    <w:rsid w:val="009F314E"/>
    <w:rsid w:val="009F3189"/>
    <w:rsid w:val="009F3212"/>
    <w:rsid w:val="009F3501"/>
    <w:rsid w:val="009F3563"/>
    <w:rsid w:val="009F36CF"/>
    <w:rsid w:val="009F3847"/>
    <w:rsid w:val="009F3851"/>
    <w:rsid w:val="009F38C2"/>
    <w:rsid w:val="009F39A3"/>
    <w:rsid w:val="009F3A55"/>
    <w:rsid w:val="009F3A5A"/>
    <w:rsid w:val="009F3A9C"/>
    <w:rsid w:val="009F3AEF"/>
    <w:rsid w:val="009F3B92"/>
    <w:rsid w:val="009F3C5D"/>
    <w:rsid w:val="009F3C5E"/>
    <w:rsid w:val="009F3D0C"/>
    <w:rsid w:val="009F3E14"/>
    <w:rsid w:val="009F3E20"/>
    <w:rsid w:val="009F3EA0"/>
    <w:rsid w:val="009F3F05"/>
    <w:rsid w:val="009F3F62"/>
    <w:rsid w:val="009F40D5"/>
    <w:rsid w:val="009F4160"/>
    <w:rsid w:val="009F4198"/>
    <w:rsid w:val="009F42AD"/>
    <w:rsid w:val="009F42B1"/>
    <w:rsid w:val="009F42F3"/>
    <w:rsid w:val="009F43A8"/>
    <w:rsid w:val="009F43F1"/>
    <w:rsid w:val="009F45F4"/>
    <w:rsid w:val="009F47C7"/>
    <w:rsid w:val="009F48A3"/>
    <w:rsid w:val="009F48EA"/>
    <w:rsid w:val="009F48F1"/>
    <w:rsid w:val="009F4923"/>
    <w:rsid w:val="009F495B"/>
    <w:rsid w:val="009F4BC9"/>
    <w:rsid w:val="009F4C24"/>
    <w:rsid w:val="009F4DD6"/>
    <w:rsid w:val="009F50D6"/>
    <w:rsid w:val="009F50DB"/>
    <w:rsid w:val="009F51B5"/>
    <w:rsid w:val="009F5226"/>
    <w:rsid w:val="009F52FA"/>
    <w:rsid w:val="009F5341"/>
    <w:rsid w:val="009F56BB"/>
    <w:rsid w:val="009F5711"/>
    <w:rsid w:val="009F5837"/>
    <w:rsid w:val="009F5878"/>
    <w:rsid w:val="009F5A19"/>
    <w:rsid w:val="009F5A74"/>
    <w:rsid w:val="009F5A92"/>
    <w:rsid w:val="009F5ADA"/>
    <w:rsid w:val="009F5B22"/>
    <w:rsid w:val="009F5B7F"/>
    <w:rsid w:val="009F5BAB"/>
    <w:rsid w:val="009F5DBE"/>
    <w:rsid w:val="009F64FD"/>
    <w:rsid w:val="009F6517"/>
    <w:rsid w:val="009F6660"/>
    <w:rsid w:val="009F6699"/>
    <w:rsid w:val="009F669E"/>
    <w:rsid w:val="009F673F"/>
    <w:rsid w:val="009F67EA"/>
    <w:rsid w:val="009F67F7"/>
    <w:rsid w:val="009F6843"/>
    <w:rsid w:val="009F6852"/>
    <w:rsid w:val="009F685F"/>
    <w:rsid w:val="009F694F"/>
    <w:rsid w:val="009F6A71"/>
    <w:rsid w:val="009F6ACB"/>
    <w:rsid w:val="009F6C47"/>
    <w:rsid w:val="009F6DC8"/>
    <w:rsid w:val="009F6E40"/>
    <w:rsid w:val="009F6FA0"/>
    <w:rsid w:val="009F7089"/>
    <w:rsid w:val="009F7137"/>
    <w:rsid w:val="009F7202"/>
    <w:rsid w:val="009F7253"/>
    <w:rsid w:val="009F72A2"/>
    <w:rsid w:val="009F738D"/>
    <w:rsid w:val="009F73CF"/>
    <w:rsid w:val="009F750D"/>
    <w:rsid w:val="009F756F"/>
    <w:rsid w:val="009F7572"/>
    <w:rsid w:val="009F7589"/>
    <w:rsid w:val="009F75F1"/>
    <w:rsid w:val="009F7604"/>
    <w:rsid w:val="009F76E9"/>
    <w:rsid w:val="009F788F"/>
    <w:rsid w:val="009F78C9"/>
    <w:rsid w:val="009F7ADE"/>
    <w:rsid w:val="009F7B13"/>
    <w:rsid w:val="009F7B35"/>
    <w:rsid w:val="009F7B81"/>
    <w:rsid w:val="009F7BE8"/>
    <w:rsid w:val="009F7DBD"/>
    <w:rsid w:val="009F7DD3"/>
    <w:rsid w:val="009F7E07"/>
    <w:rsid w:val="009F7E32"/>
    <w:rsid w:val="009F7EBD"/>
    <w:rsid w:val="009F7F68"/>
    <w:rsid w:val="009F7FD8"/>
    <w:rsid w:val="00A00161"/>
    <w:rsid w:val="00A002BF"/>
    <w:rsid w:val="00A0079F"/>
    <w:rsid w:val="00A007CA"/>
    <w:rsid w:val="00A0082B"/>
    <w:rsid w:val="00A00923"/>
    <w:rsid w:val="00A00B74"/>
    <w:rsid w:val="00A00BF2"/>
    <w:rsid w:val="00A00C69"/>
    <w:rsid w:val="00A00D54"/>
    <w:rsid w:val="00A00DA6"/>
    <w:rsid w:val="00A010BC"/>
    <w:rsid w:val="00A010EF"/>
    <w:rsid w:val="00A011A1"/>
    <w:rsid w:val="00A011D1"/>
    <w:rsid w:val="00A012B4"/>
    <w:rsid w:val="00A014EC"/>
    <w:rsid w:val="00A017E6"/>
    <w:rsid w:val="00A017FF"/>
    <w:rsid w:val="00A0181A"/>
    <w:rsid w:val="00A018E8"/>
    <w:rsid w:val="00A01AFD"/>
    <w:rsid w:val="00A01B6C"/>
    <w:rsid w:val="00A01C6D"/>
    <w:rsid w:val="00A01C74"/>
    <w:rsid w:val="00A01D84"/>
    <w:rsid w:val="00A01E46"/>
    <w:rsid w:val="00A01F3B"/>
    <w:rsid w:val="00A0204F"/>
    <w:rsid w:val="00A02078"/>
    <w:rsid w:val="00A02087"/>
    <w:rsid w:val="00A020B5"/>
    <w:rsid w:val="00A0213C"/>
    <w:rsid w:val="00A021CF"/>
    <w:rsid w:val="00A02297"/>
    <w:rsid w:val="00A022B6"/>
    <w:rsid w:val="00A024C9"/>
    <w:rsid w:val="00A025FC"/>
    <w:rsid w:val="00A026AF"/>
    <w:rsid w:val="00A026F5"/>
    <w:rsid w:val="00A0271F"/>
    <w:rsid w:val="00A028CA"/>
    <w:rsid w:val="00A02905"/>
    <w:rsid w:val="00A02A75"/>
    <w:rsid w:val="00A02A9B"/>
    <w:rsid w:val="00A02B11"/>
    <w:rsid w:val="00A02B42"/>
    <w:rsid w:val="00A02B5E"/>
    <w:rsid w:val="00A02C2B"/>
    <w:rsid w:val="00A02CA1"/>
    <w:rsid w:val="00A02CC2"/>
    <w:rsid w:val="00A02DBC"/>
    <w:rsid w:val="00A02EAE"/>
    <w:rsid w:val="00A02EB6"/>
    <w:rsid w:val="00A02F00"/>
    <w:rsid w:val="00A02F51"/>
    <w:rsid w:val="00A02F6F"/>
    <w:rsid w:val="00A03146"/>
    <w:rsid w:val="00A031DB"/>
    <w:rsid w:val="00A031DD"/>
    <w:rsid w:val="00A03207"/>
    <w:rsid w:val="00A03233"/>
    <w:rsid w:val="00A032EA"/>
    <w:rsid w:val="00A033AD"/>
    <w:rsid w:val="00A03476"/>
    <w:rsid w:val="00A03531"/>
    <w:rsid w:val="00A0353C"/>
    <w:rsid w:val="00A03558"/>
    <w:rsid w:val="00A03568"/>
    <w:rsid w:val="00A0356C"/>
    <w:rsid w:val="00A03612"/>
    <w:rsid w:val="00A03703"/>
    <w:rsid w:val="00A0373E"/>
    <w:rsid w:val="00A0378E"/>
    <w:rsid w:val="00A0384F"/>
    <w:rsid w:val="00A03883"/>
    <w:rsid w:val="00A03A09"/>
    <w:rsid w:val="00A03A70"/>
    <w:rsid w:val="00A03AE1"/>
    <w:rsid w:val="00A03B23"/>
    <w:rsid w:val="00A03B6A"/>
    <w:rsid w:val="00A03CCF"/>
    <w:rsid w:val="00A03D26"/>
    <w:rsid w:val="00A03E7B"/>
    <w:rsid w:val="00A03F9B"/>
    <w:rsid w:val="00A04166"/>
    <w:rsid w:val="00A042DF"/>
    <w:rsid w:val="00A04349"/>
    <w:rsid w:val="00A04393"/>
    <w:rsid w:val="00A04556"/>
    <w:rsid w:val="00A0458E"/>
    <w:rsid w:val="00A045F2"/>
    <w:rsid w:val="00A0464A"/>
    <w:rsid w:val="00A04665"/>
    <w:rsid w:val="00A0469B"/>
    <w:rsid w:val="00A04766"/>
    <w:rsid w:val="00A047A8"/>
    <w:rsid w:val="00A04980"/>
    <w:rsid w:val="00A04B48"/>
    <w:rsid w:val="00A04B96"/>
    <w:rsid w:val="00A04FCC"/>
    <w:rsid w:val="00A05030"/>
    <w:rsid w:val="00A0528C"/>
    <w:rsid w:val="00A052B9"/>
    <w:rsid w:val="00A0533E"/>
    <w:rsid w:val="00A053A4"/>
    <w:rsid w:val="00A05585"/>
    <w:rsid w:val="00A055DD"/>
    <w:rsid w:val="00A0560F"/>
    <w:rsid w:val="00A057E9"/>
    <w:rsid w:val="00A05AFC"/>
    <w:rsid w:val="00A05B26"/>
    <w:rsid w:val="00A05C8C"/>
    <w:rsid w:val="00A05E17"/>
    <w:rsid w:val="00A05E1B"/>
    <w:rsid w:val="00A05E46"/>
    <w:rsid w:val="00A05E7D"/>
    <w:rsid w:val="00A05FEF"/>
    <w:rsid w:val="00A060DD"/>
    <w:rsid w:val="00A06140"/>
    <w:rsid w:val="00A0622C"/>
    <w:rsid w:val="00A062AB"/>
    <w:rsid w:val="00A062F5"/>
    <w:rsid w:val="00A06392"/>
    <w:rsid w:val="00A06490"/>
    <w:rsid w:val="00A0652D"/>
    <w:rsid w:val="00A065F9"/>
    <w:rsid w:val="00A06600"/>
    <w:rsid w:val="00A06633"/>
    <w:rsid w:val="00A067B3"/>
    <w:rsid w:val="00A06921"/>
    <w:rsid w:val="00A0695A"/>
    <w:rsid w:val="00A069E9"/>
    <w:rsid w:val="00A069F7"/>
    <w:rsid w:val="00A06A3A"/>
    <w:rsid w:val="00A06A65"/>
    <w:rsid w:val="00A06DA1"/>
    <w:rsid w:val="00A06E6A"/>
    <w:rsid w:val="00A07089"/>
    <w:rsid w:val="00A07142"/>
    <w:rsid w:val="00A07184"/>
    <w:rsid w:val="00A07281"/>
    <w:rsid w:val="00A07407"/>
    <w:rsid w:val="00A075D3"/>
    <w:rsid w:val="00A077CF"/>
    <w:rsid w:val="00A077D8"/>
    <w:rsid w:val="00A077EB"/>
    <w:rsid w:val="00A0788E"/>
    <w:rsid w:val="00A0789D"/>
    <w:rsid w:val="00A078A9"/>
    <w:rsid w:val="00A07937"/>
    <w:rsid w:val="00A079F0"/>
    <w:rsid w:val="00A07B4B"/>
    <w:rsid w:val="00A07C3A"/>
    <w:rsid w:val="00A07DD8"/>
    <w:rsid w:val="00A07E66"/>
    <w:rsid w:val="00A1000B"/>
    <w:rsid w:val="00A1005F"/>
    <w:rsid w:val="00A10141"/>
    <w:rsid w:val="00A103B1"/>
    <w:rsid w:val="00A103F1"/>
    <w:rsid w:val="00A1050B"/>
    <w:rsid w:val="00A106B5"/>
    <w:rsid w:val="00A106DC"/>
    <w:rsid w:val="00A107B1"/>
    <w:rsid w:val="00A10809"/>
    <w:rsid w:val="00A10880"/>
    <w:rsid w:val="00A1088E"/>
    <w:rsid w:val="00A1098F"/>
    <w:rsid w:val="00A109D4"/>
    <w:rsid w:val="00A10B2D"/>
    <w:rsid w:val="00A10B68"/>
    <w:rsid w:val="00A10CD7"/>
    <w:rsid w:val="00A10D6E"/>
    <w:rsid w:val="00A11143"/>
    <w:rsid w:val="00A11161"/>
    <w:rsid w:val="00A111C5"/>
    <w:rsid w:val="00A111EF"/>
    <w:rsid w:val="00A111F7"/>
    <w:rsid w:val="00A1122C"/>
    <w:rsid w:val="00A114EB"/>
    <w:rsid w:val="00A115B2"/>
    <w:rsid w:val="00A115D8"/>
    <w:rsid w:val="00A1180B"/>
    <w:rsid w:val="00A11A96"/>
    <w:rsid w:val="00A11B68"/>
    <w:rsid w:val="00A11BC2"/>
    <w:rsid w:val="00A11C56"/>
    <w:rsid w:val="00A11D08"/>
    <w:rsid w:val="00A11D72"/>
    <w:rsid w:val="00A11DAF"/>
    <w:rsid w:val="00A11E6A"/>
    <w:rsid w:val="00A11EBB"/>
    <w:rsid w:val="00A11EFF"/>
    <w:rsid w:val="00A11FB3"/>
    <w:rsid w:val="00A11FD6"/>
    <w:rsid w:val="00A121D3"/>
    <w:rsid w:val="00A122CD"/>
    <w:rsid w:val="00A122FC"/>
    <w:rsid w:val="00A1238D"/>
    <w:rsid w:val="00A123ED"/>
    <w:rsid w:val="00A124ED"/>
    <w:rsid w:val="00A12521"/>
    <w:rsid w:val="00A12585"/>
    <w:rsid w:val="00A12590"/>
    <w:rsid w:val="00A126F1"/>
    <w:rsid w:val="00A127B1"/>
    <w:rsid w:val="00A12A17"/>
    <w:rsid w:val="00A12AE4"/>
    <w:rsid w:val="00A12D7B"/>
    <w:rsid w:val="00A12E12"/>
    <w:rsid w:val="00A12EE3"/>
    <w:rsid w:val="00A12F4B"/>
    <w:rsid w:val="00A12F53"/>
    <w:rsid w:val="00A13076"/>
    <w:rsid w:val="00A1316D"/>
    <w:rsid w:val="00A131E8"/>
    <w:rsid w:val="00A13347"/>
    <w:rsid w:val="00A13402"/>
    <w:rsid w:val="00A13554"/>
    <w:rsid w:val="00A13641"/>
    <w:rsid w:val="00A136EC"/>
    <w:rsid w:val="00A138BA"/>
    <w:rsid w:val="00A13A32"/>
    <w:rsid w:val="00A13A7D"/>
    <w:rsid w:val="00A13C95"/>
    <w:rsid w:val="00A13CD1"/>
    <w:rsid w:val="00A13D1E"/>
    <w:rsid w:val="00A13E1E"/>
    <w:rsid w:val="00A13FCB"/>
    <w:rsid w:val="00A140E7"/>
    <w:rsid w:val="00A141BA"/>
    <w:rsid w:val="00A1422B"/>
    <w:rsid w:val="00A1423E"/>
    <w:rsid w:val="00A14289"/>
    <w:rsid w:val="00A142E8"/>
    <w:rsid w:val="00A14337"/>
    <w:rsid w:val="00A143A6"/>
    <w:rsid w:val="00A1442E"/>
    <w:rsid w:val="00A14468"/>
    <w:rsid w:val="00A144B7"/>
    <w:rsid w:val="00A145A0"/>
    <w:rsid w:val="00A146F6"/>
    <w:rsid w:val="00A14717"/>
    <w:rsid w:val="00A1480B"/>
    <w:rsid w:val="00A14A1B"/>
    <w:rsid w:val="00A14A46"/>
    <w:rsid w:val="00A14A7E"/>
    <w:rsid w:val="00A14AB0"/>
    <w:rsid w:val="00A14C8B"/>
    <w:rsid w:val="00A14CD1"/>
    <w:rsid w:val="00A14CF4"/>
    <w:rsid w:val="00A14D5C"/>
    <w:rsid w:val="00A14D83"/>
    <w:rsid w:val="00A14E00"/>
    <w:rsid w:val="00A151A6"/>
    <w:rsid w:val="00A15367"/>
    <w:rsid w:val="00A153A8"/>
    <w:rsid w:val="00A1562B"/>
    <w:rsid w:val="00A156CB"/>
    <w:rsid w:val="00A158F3"/>
    <w:rsid w:val="00A15905"/>
    <w:rsid w:val="00A15967"/>
    <w:rsid w:val="00A159A4"/>
    <w:rsid w:val="00A159C8"/>
    <w:rsid w:val="00A159F2"/>
    <w:rsid w:val="00A15A73"/>
    <w:rsid w:val="00A15C22"/>
    <w:rsid w:val="00A15DF4"/>
    <w:rsid w:val="00A15E94"/>
    <w:rsid w:val="00A15F20"/>
    <w:rsid w:val="00A15F34"/>
    <w:rsid w:val="00A15FDB"/>
    <w:rsid w:val="00A16097"/>
    <w:rsid w:val="00A16128"/>
    <w:rsid w:val="00A161C9"/>
    <w:rsid w:val="00A161D8"/>
    <w:rsid w:val="00A16279"/>
    <w:rsid w:val="00A162F3"/>
    <w:rsid w:val="00A16320"/>
    <w:rsid w:val="00A1636D"/>
    <w:rsid w:val="00A16565"/>
    <w:rsid w:val="00A16584"/>
    <w:rsid w:val="00A16595"/>
    <w:rsid w:val="00A16724"/>
    <w:rsid w:val="00A16754"/>
    <w:rsid w:val="00A167E5"/>
    <w:rsid w:val="00A16862"/>
    <w:rsid w:val="00A168CA"/>
    <w:rsid w:val="00A16961"/>
    <w:rsid w:val="00A169B2"/>
    <w:rsid w:val="00A16BEE"/>
    <w:rsid w:val="00A16C0D"/>
    <w:rsid w:val="00A16C1A"/>
    <w:rsid w:val="00A16E11"/>
    <w:rsid w:val="00A16E6C"/>
    <w:rsid w:val="00A16F0B"/>
    <w:rsid w:val="00A16FC4"/>
    <w:rsid w:val="00A17029"/>
    <w:rsid w:val="00A1709C"/>
    <w:rsid w:val="00A171C8"/>
    <w:rsid w:val="00A1730A"/>
    <w:rsid w:val="00A174A2"/>
    <w:rsid w:val="00A17564"/>
    <w:rsid w:val="00A1758C"/>
    <w:rsid w:val="00A175D6"/>
    <w:rsid w:val="00A176B8"/>
    <w:rsid w:val="00A1771E"/>
    <w:rsid w:val="00A17791"/>
    <w:rsid w:val="00A178F2"/>
    <w:rsid w:val="00A178FF"/>
    <w:rsid w:val="00A17A2E"/>
    <w:rsid w:val="00A17B99"/>
    <w:rsid w:val="00A17C70"/>
    <w:rsid w:val="00A17CFE"/>
    <w:rsid w:val="00A17D62"/>
    <w:rsid w:val="00A17D75"/>
    <w:rsid w:val="00A17DDB"/>
    <w:rsid w:val="00A17FEA"/>
    <w:rsid w:val="00A17FFA"/>
    <w:rsid w:val="00A20020"/>
    <w:rsid w:val="00A20036"/>
    <w:rsid w:val="00A2005C"/>
    <w:rsid w:val="00A20173"/>
    <w:rsid w:val="00A20263"/>
    <w:rsid w:val="00A20389"/>
    <w:rsid w:val="00A20488"/>
    <w:rsid w:val="00A205B5"/>
    <w:rsid w:val="00A205E8"/>
    <w:rsid w:val="00A20674"/>
    <w:rsid w:val="00A2071B"/>
    <w:rsid w:val="00A20914"/>
    <w:rsid w:val="00A209C4"/>
    <w:rsid w:val="00A209FE"/>
    <w:rsid w:val="00A20ACD"/>
    <w:rsid w:val="00A20C86"/>
    <w:rsid w:val="00A20D3F"/>
    <w:rsid w:val="00A20DD8"/>
    <w:rsid w:val="00A20E43"/>
    <w:rsid w:val="00A20E73"/>
    <w:rsid w:val="00A21065"/>
    <w:rsid w:val="00A21095"/>
    <w:rsid w:val="00A210BD"/>
    <w:rsid w:val="00A2110D"/>
    <w:rsid w:val="00A21186"/>
    <w:rsid w:val="00A21197"/>
    <w:rsid w:val="00A21490"/>
    <w:rsid w:val="00A214AB"/>
    <w:rsid w:val="00A214E6"/>
    <w:rsid w:val="00A21505"/>
    <w:rsid w:val="00A215C6"/>
    <w:rsid w:val="00A215FA"/>
    <w:rsid w:val="00A2168B"/>
    <w:rsid w:val="00A216F0"/>
    <w:rsid w:val="00A21771"/>
    <w:rsid w:val="00A2184B"/>
    <w:rsid w:val="00A218B5"/>
    <w:rsid w:val="00A2194E"/>
    <w:rsid w:val="00A219B2"/>
    <w:rsid w:val="00A21A3B"/>
    <w:rsid w:val="00A21C63"/>
    <w:rsid w:val="00A21CA9"/>
    <w:rsid w:val="00A21E2F"/>
    <w:rsid w:val="00A21E51"/>
    <w:rsid w:val="00A21EFC"/>
    <w:rsid w:val="00A21FF9"/>
    <w:rsid w:val="00A220C1"/>
    <w:rsid w:val="00A221D0"/>
    <w:rsid w:val="00A22210"/>
    <w:rsid w:val="00A22219"/>
    <w:rsid w:val="00A222C0"/>
    <w:rsid w:val="00A222C5"/>
    <w:rsid w:val="00A224EE"/>
    <w:rsid w:val="00A22625"/>
    <w:rsid w:val="00A226F4"/>
    <w:rsid w:val="00A22772"/>
    <w:rsid w:val="00A22795"/>
    <w:rsid w:val="00A227C3"/>
    <w:rsid w:val="00A22982"/>
    <w:rsid w:val="00A2298E"/>
    <w:rsid w:val="00A22C42"/>
    <w:rsid w:val="00A22CF1"/>
    <w:rsid w:val="00A22EBD"/>
    <w:rsid w:val="00A22EF5"/>
    <w:rsid w:val="00A22F40"/>
    <w:rsid w:val="00A23064"/>
    <w:rsid w:val="00A23198"/>
    <w:rsid w:val="00A2324D"/>
    <w:rsid w:val="00A232D9"/>
    <w:rsid w:val="00A23413"/>
    <w:rsid w:val="00A234F7"/>
    <w:rsid w:val="00A2356D"/>
    <w:rsid w:val="00A235AF"/>
    <w:rsid w:val="00A23878"/>
    <w:rsid w:val="00A23B6F"/>
    <w:rsid w:val="00A23BE3"/>
    <w:rsid w:val="00A23F14"/>
    <w:rsid w:val="00A23F3C"/>
    <w:rsid w:val="00A23FA9"/>
    <w:rsid w:val="00A2402E"/>
    <w:rsid w:val="00A24048"/>
    <w:rsid w:val="00A240FD"/>
    <w:rsid w:val="00A241C2"/>
    <w:rsid w:val="00A24245"/>
    <w:rsid w:val="00A242DE"/>
    <w:rsid w:val="00A24322"/>
    <w:rsid w:val="00A24429"/>
    <w:rsid w:val="00A24531"/>
    <w:rsid w:val="00A2453F"/>
    <w:rsid w:val="00A24554"/>
    <w:rsid w:val="00A245C9"/>
    <w:rsid w:val="00A247E9"/>
    <w:rsid w:val="00A2482D"/>
    <w:rsid w:val="00A24855"/>
    <w:rsid w:val="00A2491E"/>
    <w:rsid w:val="00A24942"/>
    <w:rsid w:val="00A2499C"/>
    <w:rsid w:val="00A249B2"/>
    <w:rsid w:val="00A24B5F"/>
    <w:rsid w:val="00A24E06"/>
    <w:rsid w:val="00A24E09"/>
    <w:rsid w:val="00A24E45"/>
    <w:rsid w:val="00A24F58"/>
    <w:rsid w:val="00A25044"/>
    <w:rsid w:val="00A25108"/>
    <w:rsid w:val="00A25182"/>
    <w:rsid w:val="00A251CA"/>
    <w:rsid w:val="00A25291"/>
    <w:rsid w:val="00A25325"/>
    <w:rsid w:val="00A2559C"/>
    <w:rsid w:val="00A25627"/>
    <w:rsid w:val="00A2564E"/>
    <w:rsid w:val="00A25A01"/>
    <w:rsid w:val="00A25A96"/>
    <w:rsid w:val="00A25B49"/>
    <w:rsid w:val="00A25B65"/>
    <w:rsid w:val="00A25E91"/>
    <w:rsid w:val="00A25FB2"/>
    <w:rsid w:val="00A25FC2"/>
    <w:rsid w:val="00A26135"/>
    <w:rsid w:val="00A26257"/>
    <w:rsid w:val="00A262B0"/>
    <w:rsid w:val="00A262BF"/>
    <w:rsid w:val="00A262D0"/>
    <w:rsid w:val="00A262F4"/>
    <w:rsid w:val="00A26393"/>
    <w:rsid w:val="00A263B8"/>
    <w:rsid w:val="00A26411"/>
    <w:rsid w:val="00A264A3"/>
    <w:rsid w:val="00A2666F"/>
    <w:rsid w:val="00A266CF"/>
    <w:rsid w:val="00A2678E"/>
    <w:rsid w:val="00A267CE"/>
    <w:rsid w:val="00A26892"/>
    <w:rsid w:val="00A268AF"/>
    <w:rsid w:val="00A269ED"/>
    <w:rsid w:val="00A26A13"/>
    <w:rsid w:val="00A26B4F"/>
    <w:rsid w:val="00A26BE2"/>
    <w:rsid w:val="00A26E12"/>
    <w:rsid w:val="00A26E85"/>
    <w:rsid w:val="00A27047"/>
    <w:rsid w:val="00A27097"/>
    <w:rsid w:val="00A270EA"/>
    <w:rsid w:val="00A2712F"/>
    <w:rsid w:val="00A271B5"/>
    <w:rsid w:val="00A27260"/>
    <w:rsid w:val="00A27276"/>
    <w:rsid w:val="00A2734A"/>
    <w:rsid w:val="00A2745F"/>
    <w:rsid w:val="00A27513"/>
    <w:rsid w:val="00A275B8"/>
    <w:rsid w:val="00A275FD"/>
    <w:rsid w:val="00A2762A"/>
    <w:rsid w:val="00A2767D"/>
    <w:rsid w:val="00A2776E"/>
    <w:rsid w:val="00A27A50"/>
    <w:rsid w:val="00A27A81"/>
    <w:rsid w:val="00A27BA3"/>
    <w:rsid w:val="00A27BDC"/>
    <w:rsid w:val="00A27D0C"/>
    <w:rsid w:val="00A27F26"/>
    <w:rsid w:val="00A27FCB"/>
    <w:rsid w:val="00A30146"/>
    <w:rsid w:val="00A303A0"/>
    <w:rsid w:val="00A30493"/>
    <w:rsid w:val="00A305EE"/>
    <w:rsid w:val="00A30913"/>
    <w:rsid w:val="00A30B7E"/>
    <w:rsid w:val="00A30D72"/>
    <w:rsid w:val="00A30E2B"/>
    <w:rsid w:val="00A30EE7"/>
    <w:rsid w:val="00A31097"/>
    <w:rsid w:val="00A31168"/>
    <w:rsid w:val="00A31269"/>
    <w:rsid w:val="00A312B8"/>
    <w:rsid w:val="00A313A5"/>
    <w:rsid w:val="00A314E9"/>
    <w:rsid w:val="00A3156C"/>
    <w:rsid w:val="00A31573"/>
    <w:rsid w:val="00A316BB"/>
    <w:rsid w:val="00A317D6"/>
    <w:rsid w:val="00A317EB"/>
    <w:rsid w:val="00A31800"/>
    <w:rsid w:val="00A318F2"/>
    <w:rsid w:val="00A3192E"/>
    <w:rsid w:val="00A31AD3"/>
    <w:rsid w:val="00A31B76"/>
    <w:rsid w:val="00A31B82"/>
    <w:rsid w:val="00A31D0C"/>
    <w:rsid w:val="00A31E29"/>
    <w:rsid w:val="00A31E56"/>
    <w:rsid w:val="00A31E61"/>
    <w:rsid w:val="00A31EAE"/>
    <w:rsid w:val="00A31ECD"/>
    <w:rsid w:val="00A3207B"/>
    <w:rsid w:val="00A32198"/>
    <w:rsid w:val="00A321CE"/>
    <w:rsid w:val="00A32358"/>
    <w:rsid w:val="00A32580"/>
    <w:rsid w:val="00A325A1"/>
    <w:rsid w:val="00A3263C"/>
    <w:rsid w:val="00A3263F"/>
    <w:rsid w:val="00A32715"/>
    <w:rsid w:val="00A32860"/>
    <w:rsid w:val="00A328FC"/>
    <w:rsid w:val="00A32913"/>
    <w:rsid w:val="00A32B6A"/>
    <w:rsid w:val="00A32BA4"/>
    <w:rsid w:val="00A32BC7"/>
    <w:rsid w:val="00A32F15"/>
    <w:rsid w:val="00A32F7B"/>
    <w:rsid w:val="00A33022"/>
    <w:rsid w:val="00A33077"/>
    <w:rsid w:val="00A33192"/>
    <w:rsid w:val="00A3321D"/>
    <w:rsid w:val="00A3336A"/>
    <w:rsid w:val="00A334ED"/>
    <w:rsid w:val="00A33546"/>
    <w:rsid w:val="00A335F8"/>
    <w:rsid w:val="00A33662"/>
    <w:rsid w:val="00A33672"/>
    <w:rsid w:val="00A337EC"/>
    <w:rsid w:val="00A33840"/>
    <w:rsid w:val="00A3390B"/>
    <w:rsid w:val="00A33A5A"/>
    <w:rsid w:val="00A33A97"/>
    <w:rsid w:val="00A33B3A"/>
    <w:rsid w:val="00A33BF9"/>
    <w:rsid w:val="00A33C00"/>
    <w:rsid w:val="00A33D63"/>
    <w:rsid w:val="00A33F40"/>
    <w:rsid w:val="00A33FB4"/>
    <w:rsid w:val="00A33FC7"/>
    <w:rsid w:val="00A340D7"/>
    <w:rsid w:val="00A3415E"/>
    <w:rsid w:val="00A343DE"/>
    <w:rsid w:val="00A344A0"/>
    <w:rsid w:val="00A345B7"/>
    <w:rsid w:val="00A345E3"/>
    <w:rsid w:val="00A34864"/>
    <w:rsid w:val="00A3487E"/>
    <w:rsid w:val="00A348BE"/>
    <w:rsid w:val="00A34A32"/>
    <w:rsid w:val="00A34A5B"/>
    <w:rsid w:val="00A34D26"/>
    <w:rsid w:val="00A34D46"/>
    <w:rsid w:val="00A34E07"/>
    <w:rsid w:val="00A34E7B"/>
    <w:rsid w:val="00A34EC7"/>
    <w:rsid w:val="00A34FA3"/>
    <w:rsid w:val="00A3521E"/>
    <w:rsid w:val="00A353C9"/>
    <w:rsid w:val="00A35728"/>
    <w:rsid w:val="00A35731"/>
    <w:rsid w:val="00A357A4"/>
    <w:rsid w:val="00A35899"/>
    <w:rsid w:val="00A35954"/>
    <w:rsid w:val="00A35968"/>
    <w:rsid w:val="00A35AC4"/>
    <w:rsid w:val="00A35B1B"/>
    <w:rsid w:val="00A35C71"/>
    <w:rsid w:val="00A35C8A"/>
    <w:rsid w:val="00A35CC6"/>
    <w:rsid w:val="00A35E43"/>
    <w:rsid w:val="00A35EB9"/>
    <w:rsid w:val="00A35F01"/>
    <w:rsid w:val="00A35F0C"/>
    <w:rsid w:val="00A35FC1"/>
    <w:rsid w:val="00A36008"/>
    <w:rsid w:val="00A363B5"/>
    <w:rsid w:val="00A364F1"/>
    <w:rsid w:val="00A36600"/>
    <w:rsid w:val="00A36625"/>
    <w:rsid w:val="00A3674C"/>
    <w:rsid w:val="00A36755"/>
    <w:rsid w:val="00A367F8"/>
    <w:rsid w:val="00A369DD"/>
    <w:rsid w:val="00A36ABA"/>
    <w:rsid w:val="00A36AC7"/>
    <w:rsid w:val="00A36B06"/>
    <w:rsid w:val="00A36B0E"/>
    <w:rsid w:val="00A36BFE"/>
    <w:rsid w:val="00A36E10"/>
    <w:rsid w:val="00A36E2C"/>
    <w:rsid w:val="00A3702C"/>
    <w:rsid w:val="00A372D5"/>
    <w:rsid w:val="00A374B9"/>
    <w:rsid w:val="00A37512"/>
    <w:rsid w:val="00A375A0"/>
    <w:rsid w:val="00A37612"/>
    <w:rsid w:val="00A37640"/>
    <w:rsid w:val="00A376A0"/>
    <w:rsid w:val="00A37733"/>
    <w:rsid w:val="00A37949"/>
    <w:rsid w:val="00A37AA0"/>
    <w:rsid w:val="00A37AB5"/>
    <w:rsid w:val="00A37B34"/>
    <w:rsid w:val="00A37B62"/>
    <w:rsid w:val="00A37B74"/>
    <w:rsid w:val="00A37B98"/>
    <w:rsid w:val="00A37C87"/>
    <w:rsid w:val="00A37E11"/>
    <w:rsid w:val="00A4006C"/>
    <w:rsid w:val="00A4018D"/>
    <w:rsid w:val="00A4025B"/>
    <w:rsid w:val="00A405EB"/>
    <w:rsid w:val="00A405FA"/>
    <w:rsid w:val="00A4067E"/>
    <w:rsid w:val="00A406A0"/>
    <w:rsid w:val="00A4080B"/>
    <w:rsid w:val="00A40840"/>
    <w:rsid w:val="00A408DD"/>
    <w:rsid w:val="00A40916"/>
    <w:rsid w:val="00A4095E"/>
    <w:rsid w:val="00A409BE"/>
    <w:rsid w:val="00A40B05"/>
    <w:rsid w:val="00A40CAA"/>
    <w:rsid w:val="00A40D7C"/>
    <w:rsid w:val="00A40DE4"/>
    <w:rsid w:val="00A40E00"/>
    <w:rsid w:val="00A40F1A"/>
    <w:rsid w:val="00A41300"/>
    <w:rsid w:val="00A413C4"/>
    <w:rsid w:val="00A415DD"/>
    <w:rsid w:val="00A4169A"/>
    <w:rsid w:val="00A417F5"/>
    <w:rsid w:val="00A41854"/>
    <w:rsid w:val="00A41A54"/>
    <w:rsid w:val="00A41AF8"/>
    <w:rsid w:val="00A41B3B"/>
    <w:rsid w:val="00A41BBC"/>
    <w:rsid w:val="00A41CEF"/>
    <w:rsid w:val="00A41E68"/>
    <w:rsid w:val="00A41F72"/>
    <w:rsid w:val="00A42050"/>
    <w:rsid w:val="00A42209"/>
    <w:rsid w:val="00A42449"/>
    <w:rsid w:val="00A42598"/>
    <w:rsid w:val="00A425C5"/>
    <w:rsid w:val="00A425D9"/>
    <w:rsid w:val="00A42655"/>
    <w:rsid w:val="00A4272D"/>
    <w:rsid w:val="00A428A4"/>
    <w:rsid w:val="00A42901"/>
    <w:rsid w:val="00A42964"/>
    <w:rsid w:val="00A429A0"/>
    <w:rsid w:val="00A42B4A"/>
    <w:rsid w:val="00A42BCE"/>
    <w:rsid w:val="00A42BE6"/>
    <w:rsid w:val="00A42CA8"/>
    <w:rsid w:val="00A42DCC"/>
    <w:rsid w:val="00A42EA3"/>
    <w:rsid w:val="00A42F38"/>
    <w:rsid w:val="00A4305C"/>
    <w:rsid w:val="00A4305D"/>
    <w:rsid w:val="00A43234"/>
    <w:rsid w:val="00A4323D"/>
    <w:rsid w:val="00A432AE"/>
    <w:rsid w:val="00A432E0"/>
    <w:rsid w:val="00A432E8"/>
    <w:rsid w:val="00A43455"/>
    <w:rsid w:val="00A4353D"/>
    <w:rsid w:val="00A435CB"/>
    <w:rsid w:val="00A43616"/>
    <w:rsid w:val="00A4361B"/>
    <w:rsid w:val="00A436D2"/>
    <w:rsid w:val="00A436DD"/>
    <w:rsid w:val="00A43780"/>
    <w:rsid w:val="00A43827"/>
    <w:rsid w:val="00A43A1C"/>
    <w:rsid w:val="00A43BD2"/>
    <w:rsid w:val="00A43C7A"/>
    <w:rsid w:val="00A43CCD"/>
    <w:rsid w:val="00A43CEA"/>
    <w:rsid w:val="00A43DE9"/>
    <w:rsid w:val="00A43DF4"/>
    <w:rsid w:val="00A43E06"/>
    <w:rsid w:val="00A43E29"/>
    <w:rsid w:val="00A43E7D"/>
    <w:rsid w:val="00A4400B"/>
    <w:rsid w:val="00A44018"/>
    <w:rsid w:val="00A44044"/>
    <w:rsid w:val="00A44071"/>
    <w:rsid w:val="00A44281"/>
    <w:rsid w:val="00A44390"/>
    <w:rsid w:val="00A443F2"/>
    <w:rsid w:val="00A44568"/>
    <w:rsid w:val="00A44656"/>
    <w:rsid w:val="00A447B8"/>
    <w:rsid w:val="00A448EF"/>
    <w:rsid w:val="00A44946"/>
    <w:rsid w:val="00A44A68"/>
    <w:rsid w:val="00A44AA9"/>
    <w:rsid w:val="00A44AC9"/>
    <w:rsid w:val="00A44B03"/>
    <w:rsid w:val="00A44C41"/>
    <w:rsid w:val="00A44D4B"/>
    <w:rsid w:val="00A45039"/>
    <w:rsid w:val="00A45096"/>
    <w:rsid w:val="00A45097"/>
    <w:rsid w:val="00A451E2"/>
    <w:rsid w:val="00A451EC"/>
    <w:rsid w:val="00A452D0"/>
    <w:rsid w:val="00A4538C"/>
    <w:rsid w:val="00A4544A"/>
    <w:rsid w:val="00A4547C"/>
    <w:rsid w:val="00A454E0"/>
    <w:rsid w:val="00A45789"/>
    <w:rsid w:val="00A458E3"/>
    <w:rsid w:val="00A458FF"/>
    <w:rsid w:val="00A45A3D"/>
    <w:rsid w:val="00A45A4E"/>
    <w:rsid w:val="00A45A9B"/>
    <w:rsid w:val="00A45C56"/>
    <w:rsid w:val="00A45E51"/>
    <w:rsid w:val="00A45E52"/>
    <w:rsid w:val="00A45FA2"/>
    <w:rsid w:val="00A45FA5"/>
    <w:rsid w:val="00A4603B"/>
    <w:rsid w:val="00A4616A"/>
    <w:rsid w:val="00A46243"/>
    <w:rsid w:val="00A462A7"/>
    <w:rsid w:val="00A46438"/>
    <w:rsid w:val="00A464E8"/>
    <w:rsid w:val="00A46596"/>
    <w:rsid w:val="00A46626"/>
    <w:rsid w:val="00A466E2"/>
    <w:rsid w:val="00A467A9"/>
    <w:rsid w:val="00A4682F"/>
    <w:rsid w:val="00A4687D"/>
    <w:rsid w:val="00A46B11"/>
    <w:rsid w:val="00A46BAD"/>
    <w:rsid w:val="00A46DE4"/>
    <w:rsid w:val="00A47013"/>
    <w:rsid w:val="00A470CB"/>
    <w:rsid w:val="00A4761F"/>
    <w:rsid w:val="00A47653"/>
    <w:rsid w:val="00A47691"/>
    <w:rsid w:val="00A476D6"/>
    <w:rsid w:val="00A477F9"/>
    <w:rsid w:val="00A4786D"/>
    <w:rsid w:val="00A478AB"/>
    <w:rsid w:val="00A47B49"/>
    <w:rsid w:val="00A47CF7"/>
    <w:rsid w:val="00A47DE7"/>
    <w:rsid w:val="00A47E90"/>
    <w:rsid w:val="00A47EE8"/>
    <w:rsid w:val="00A47F1D"/>
    <w:rsid w:val="00A50147"/>
    <w:rsid w:val="00A5028B"/>
    <w:rsid w:val="00A50365"/>
    <w:rsid w:val="00A50490"/>
    <w:rsid w:val="00A505CF"/>
    <w:rsid w:val="00A508DA"/>
    <w:rsid w:val="00A50909"/>
    <w:rsid w:val="00A5095F"/>
    <w:rsid w:val="00A5098A"/>
    <w:rsid w:val="00A50B6E"/>
    <w:rsid w:val="00A50BFF"/>
    <w:rsid w:val="00A50C02"/>
    <w:rsid w:val="00A50F0E"/>
    <w:rsid w:val="00A50F22"/>
    <w:rsid w:val="00A5108A"/>
    <w:rsid w:val="00A512B6"/>
    <w:rsid w:val="00A512CC"/>
    <w:rsid w:val="00A512FE"/>
    <w:rsid w:val="00A51328"/>
    <w:rsid w:val="00A5135B"/>
    <w:rsid w:val="00A5148C"/>
    <w:rsid w:val="00A51549"/>
    <w:rsid w:val="00A51558"/>
    <w:rsid w:val="00A51615"/>
    <w:rsid w:val="00A5164B"/>
    <w:rsid w:val="00A5166D"/>
    <w:rsid w:val="00A51792"/>
    <w:rsid w:val="00A517FE"/>
    <w:rsid w:val="00A5194C"/>
    <w:rsid w:val="00A51961"/>
    <w:rsid w:val="00A51971"/>
    <w:rsid w:val="00A51BBE"/>
    <w:rsid w:val="00A51BEC"/>
    <w:rsid w:val="00A51C6E"/>
    <w:rsid w:val="00A51CDE"/>
    <w:rsid w:val="00A51DC7"/>
    <w:rsid w:val="00A51E2F"/>
    <w:rsid w:val="00A51F0E"/>
    <w:rsid w:val="00A51F15"/>
    <w:rsid w:val="00A51FF5"/>
    <w:rsid w:val="00A520BB"/>
    <w:rsid w:val="00A520CD"/>
    <w:rsid w:val="00A522E5"/>
    <w:rsid w:val="00A523DE"/>
    <w:rsid w:val="00A52423"/>
    <w:rsid w:val="00A524B7"/>
    <w:rsid w:val="00A524CE"/>
    <w:rsid w:val="00A5270D"/>
    <w:rsid w:val="00A52778"/>
    <w:rsid w:val="00A5282D"/>
    <w:rsid w:val="00A528D6"/>
    <w:rsid w:val="00A52A34"/>
    <w:rsid w:val="00A52AD8"/>
    <w:rsid w:val="00A52B09"/>
    <w:rsid w:val="00A52C9B"/>
    <w:rsid w:val="00A52D72"/>
    <w:rsid w:val="00A52DFB"/>
    <w:rsid w:val="00A52E30"/>
    <w:rsid w:val="00A52EC1"/>
    <w:rsid w:val="00A52F8E"/>
    <w:rsid w:val="00A52F8F"/>
    <w:rsid w:val="00A53159"/>
    <w:rsid w:val="00A53166"/>
    <w:rsid w:val="00A531AD"/>
    <w:rsid w:val="00A53225"/>
    <w:rsid w:val="00A533A3"/>
    <w:rsid w:val="00A533E1"/>
    <w:rsid w:val="00A5343B"/>
    <w:rsid w:val="00A53494"/>
    <w:rsid w:val="00A5358D"/>
    <w:rsid w:val="00A53627"/>
    <w:rsid w:val="00A53642"/>
    <w:rsid w:val="00A53776"/>
    <w:rsid w:val="00A5379E"/>
    <w:rsid w:val="00A537BB"/>
    <w:rsid w:val="00A5387C"/>
    <w:rsid w:val="00A538EA"/>
    <w:rsid w:val="00A53A11"/>
    <w:rsid w:val="00A53B9F"/>
    <w:rsid w:val="00A53C05"/>
    <w:rsid w:val="00A53D30"/>
    <w:rsid w:val="00A53DAD"/>
    <w:rsid w:val="00A53EDF"/>
    <w:rsid w:val="00A53F50"/>
    <w:rsid w:val="00A5435A"/>
    <w:rsid w:val="00A54372"/>
    <w:rsid w:val="00A5438D"/>
    <w:rsid w:val="00A54540"/>
    <w:rsid w:val="00A54572"/>
    <w:rsid w:val="00A5457D"/>
    <w:rsid w:val="00A545F9"/>
    <w:rsid w:val="00A5461E"/>
    <w:rsid w:val="00A54976"/>
    <w:rsid w:val="00A5498B"/>
    <w:rsid w:val="00A549B4"/>
    <w:rsid w:val="00A54A4A"/>
    <w:rsid w:val="00A54ABF"/>
    <w:rsid w:val="00A54CFA"/>
    <w:rsid w:val="00A54D49"/>
    <w:rsid w:val="00A54E23"/>
    <w:rsid w:val="00A54EBC"/>
    <w:rsid w:val="00A54ECD"/>
    <w:rsid w:val="00A54F45"/>
    <w:rsid w:val="00A54FCB"/>
    <w:rsid w:val="00A5537C"/>
    <w:rsid w:val="00A55543"/>
    <w:rsid w:val="00A55584"/>
    <w:rsid w:val="00A5562F"/>
    <w:rsid w:val="00A55630"/>
    <w:rsid w:val="00A557BC"/>
    <w:rsid w:val="00A55BD4"/>
    <w:rsid w:val="00A55C14"/>
    <w:rsid w:val="00A55D2A"/>
    <w:rsid w:val="00A55D92"/>
    <w:rsid w:val="00A55DF0"/>
    <w:rsid w:val="00A55EA2"/>
    <w:rsid w:val="00A55EE1"/>
    <w:rsid w:val="00A56047"/>
    <w:rsid w:val="00A5605F"/>
    <w:rsid w:val="00A560C9"/>
    <w:rsid w:val="00A561C5"/>
    <w:rsid w:val="00A564B6"/>
    <w:rsid w:val="00A5657C"/>
    <w:rsid w:val="00A565CC"/>
    <w:rsid w:val="00A56610"/>
    <w:rsid w:val="00A5669A"/>
    <w:rsid w:val="00A566A5"/>
    <w:rsid w:val="00A566FE"/>
    <w:rsid w:val="00A567ED"/>
    <w:rsid w:val="00A569C3"/>
    <w:rsid w:val="00A56C44"/>
    <w:rsid w:val="00A56D69"/>
    <w:rsid w:val="00A56DA7"/>
    <w:rsid w:val="00A56E26"/>
    <w:rsid w:val="00A56E7A"/>
    <w:rsid w:val="00A56EDA"/>
    <w:rsid w:val="00A56EEA"/>
    <w:rsid w:val="00A56FA6"/>
    <w:rsid w:val="00A57171"/>
    <w:rsid w:val="00A5726C"/>
    <w:rsid w:val="00A57283"/>
    <w:rsid w:val="00A57392"/>
    <w:rsid w:val="00A57409"/>
    <w:rsid w:val="00A574A7"/>
    <w:rsid w:val="00A5762A"/>
    <w:rsid w:val="00A57661"/>
    <w:rsid w:val="00A57698"/>
    <w:rsid w:val="00A576E7"/>
    <w:rsid w:val="00A5781A"/>
    <w:rsid w:val="00A57868"/>
    <w:rsid w:val="00A57967"/>
    <w:rsid w:val="00A579A7"/>
    <w:rsid w:val="00A579DE"/>
    <w:rsid w:val="00A57A8D"/>
    <w:rsid w:val="00A57B45"/>
    <w:rsid w:val="00A57BDA"/>
    <w:rsid w:val="00A57BDD"/>
    <w:rsid w:val="00A57C5E"/>
    <w:rsid w:val="00A57C95"/>
    <w:rsid w:val="00A57CB1"/>
    <w:rsid w:val="00A57CF3"/>
    <w:rsid w:val="00A57D86"/>
    <w:rsid w:val="00A592BC"/>
    <w:rsid w:val="00A6019D"/>
    <w:rsid w:val="00A60294"/>
    <w:rsid w:val="00A602FA"/>
    <w:rsid w:val="00A603A9"/>
    <w:rsid w:val="00A6040C"/>
    <w:rsid w:val="00A60533"/>
    <w:rsid w:val="00A60621"/>
    <w:rsid w:val="00A606B0"/>
    <w:rsid w:val="00A6084B"/>
    <w:rsid w:val="00A6097D"/>
    <w:rsid w:val="00A609D4"/>
    <w:rsid w:val="00A60A43"/>
    <w:rsid w:val="00A60A7D"/>
    <w:rsid w:val="00A60AD4"/>
    <w:rsid w:val="00A60B14"/>
    <w:rsid w:val="00A60C45"/>
    <w:rsid w:val="00A60E06"/>
    <w:rsid w:val="00A60F17"/>
    <w:rsid w:val="00A61124"/>
    <w:rsid w:val="00A61160"/>
    <w:rsid w:val="00A61285"/>
    <w:rsid w:val="00A61327"/>
    <w:rsid w:val="00A6136F"/>
    <w:rsid w:val="00A6145E"/>
    <w:rsid w:val="00A6165E"/>
    <w:rsid w:val="00A616A3"/>
    <w:rsid w:val="00A617BB"/>
    <w:rsid w:val="00A617F2"/>
    <w:rsid w:val="00A617F7"/>
    <w:rsid w:val="00A618FB"/>
    <w:rsid w:val="00A61919"/>
    <w:rsid w:val="00A6195A"/>
    <w:rsid w:val="00A6197B"/>
    <w:rsid w:val="00A61A59"/>
    <w:rsid w:val="00A61AFA"/>
    <w:rsid w:val="00A61B1B"/>
    <w:rsid w:val="00A61B7E"/>
    <w:rsid w:val="00A61BBA"/>
    <w:rsid w:val="00A61EC5"/>
    <w:rsid w:val="00A61FD7"/>
    <w:rsid w:val="00A621E1"/>
    <w:rsid w:val="00A6222F"/>
    <w:rsid w:val="00A6224B"/>
    <w:rsid w:val="00A62276"/>
    <w:rsid w:val="00A622EA"/>
    <w:rsid w:val="00A6230B"/>
    <w:rsid w:val="00A6233D"/>
    <w:rsid w:val="00A623AE"/>
    <w:rsid w:val="00A623D1"/>
    <w:rsid w:val="00A62408"/>
    <w:rsid w:val="00A6245D"/>
    <w:rsid w:val="00A626D5"/>
    <w:rsid w:val="00A6272F"/>
    <w:rsid w:val="00A62751"/>
    <w:rsid w:val="00A62878"/>
    <w:rsid w:val="00A628DD"/>
    <w:rsid w:val="00A62929"/>
    <w:rsid w:val="00A629CB"/>
    <w:rsid w:val="00A62AC5"/>
    <w:rsid w:val="00A62B72"/>
    <w:rsid w:val="00A62D85"/>
    <w:rsid w:val="00A62E8F"/>
    <w:rsid w:val="00A62EE4"/>
    <w:rsid w:val="00A62EF7"/>
    <w:rsid w:val="00A63131"/>
    <w:rsid w:val="00A63132"/>
    <w:rsid w:val="00A632A0"/>
    <w:rsid w:val="00A6334B"/>
    <w:rsid w:val="00A6352F"/>
    <w:rsid w:val="00A637A7"/>
    <w:rsid w:val="00A63877"/>
    <w:rsid w:val="00A638AD"/>
    <w:rsid w:val="00A63B73"/>
    <w:rsid w:val="00A63CC8"/>
    <w:rsid w:val="00A63D0F"/>
    <w:rsid w:val="00A63DE3"/>
    <w:rsid w:val="00A63F42"/>
    <w:rsid w:val="00A64254"/>
    <w:rsid w:val="00A642CD"/>
    <w:rsid w:val="00A642E9"/>
    <w:rsid w:val="00A64529"/>
    <w:rsid w:val="00A6457B"/>
    <w:rsid w:val="00A645F0"/>
    <w:rsid w:val="00A64605"/>
    <w:rsid w:val="00A6462B"/>
    <w:rsid w:val="00A64658"/>
    <w:rsid w:val="00A64766"/>
    <w:rsid w:val="00A6478B"/>
    <w:rsid w:val="00A64A5B"/>
    <w:rsid w:val="00A64B91"/>
    <w:rsid w:val="00A64BF7"/>
    <w:rsid w:val="00A64CCA"/>
    <w:rsid w:val="00A64D83"/>
    <w:rsid w:val="00A64F2A"/>
    <w:rsid w:val="00A65059"/>
    <w:rsid w:val="00A651DE"/>
    <w:rsid w:val="00A651F3"/>
    <w:rsid w:val="00A65250"/>
    <w:rsid w:val="00A65292"/>
    <w:rsid w:val="00A65334"/>
    <w:rsid w:val="00A65347"/>
    <w:rsid w:val="00A653DB"/>
    <w:rsid w:val="00A65498"/>
    <w:rsid w:val="00A65632"/>
    <w:rsid w:val="00A6587E"/>
    <w:rsid w:val="00A65886"/>
    <w:rsid w:val="00A65AFA"/>
    <w:rsid w:val="00A65B13"/>
    <w:rsid w:val="00A65B9B"/>
    <w:rsid w:val="00A660C1"/>
    <w:rsid w:val="00A660FE"/>
    <w:rsid w:val="00A66246"/>
    <w:rsid w:val="00A66286"/>
    <w:rsid w:val="00A663D0"/>
    <w:rsid w:val="00A664C5"/>
    <w:rsid w:val="00A66528"/>
    <w:rsid w:val="00A665B1"/>
    <w:rsid w:val="00A665D3"/>
    <w:rsid w:val="00A66774"/>
    <w:rsid w:val="00A667BF"/>
    <w:rsid w:val="00A6683F"/>
    <w:rsid w:val="00A6694F"/>
    <w:rsid w:val="00A6695F"/>
    <w:rsid w:val="00A66A09"/>
    <w:rsid w:val="00A66AA7"/>
    <w:rsid w:val="00A66B3C"/>
    <w:rsid w:val="00A66BE8"/>
    <w:rsid w:val="00A66DE8"/>
    <w:rsid w:val="00A66DEB"/>
    <w:rsid w:val="00A66E0D"/>
    <w:rsid w:val="00A670C7"/>
    <w:rsid w:val="00A670DC"/>
    <w:rsid w:val="00A67310"/>
    <w:rsid w:val="00A67460"/>
    <w:rsid w:val="00A6747D"/>
    <w:rsid w:val="00A67702"/>
    <w:rsid w:val="00A67742"/>
    <w:rsid w:val="00A677BA"/>
    <w:rsid w:val="00A6790C"/>
    <w:rsid w:val="00A679ED"/>
    <w:rsid w:val="00A67D65"/>
    <w:rsid w:val="00A67FAC"/>
    <w:rsid w:val="00A67FF5"/>
    <w:rsid w:val="00A700B0"/>
    <w:rsid w:val="00A7010B"/>
    <w:rsid w:val="00A70128"/>
    <w:rsid w:val="00A7018A"/>
    <w:rsid w:val="00A70271"/>
    <w:rsid w:val="00A702BC"/>
    <w:rsid w:val="00A702F9"/>
    <w:rsid w:val="00A70350"/>
    <w:rsid w:val="00A70393"/>
    <w:rsid w:val="00A703F8"/>
    <w:rsid w:val="00A705DC"/>
    <w:rsid w:val="00A706E3"/>
    <w:rsid w:val="00A706E7"/>
    <w:rsid w:val="00A706EE"/>
    <w:rsid w:val="00A707F9"/>
    <w:rsid w:val="00A70816"/>
    <w:rsid w:val="00A70827"/>
    <w:rsid w:val="00A70B31"/>
    <w:rsid w:val="00A70C6B"/>
    <w:rsid w:val="00A70CF0"/>
    <w:rsid w:val="00A70D7A"/>
    <w:rsid w:val="00A70DE1"/>
    <w:rsid w:val="00A7106E"/>
    <w:rsid w:val="00A7117D"/>
    <w:rsid w:val="00A71355"/>
    <w:rsid w:val="00A71432"/>
    <w:rsid w:val="00A71518"/>
    <w:rsid w:val="00A7159A"/>
    <w:rsid w:val="00A716E2"/>
    <w:rsid w:val="00A7188A"/>
    <w:rsid w:val="00A7197E"/>
    <w:rsid w:val="00A719BC"/>
    <w:rsid w:val="00A71A9B"/>
    <w:rsid w:val="00A71B4D"/>
    <w:rsid w:val="00A71C3C"/>
    <w:rsid w:val="00A71CA5"/>
    <w:rsid w:val="00A71F39"/>
    <w:rsid w:val="00A71F8E"/>
    <w:rsid w:val="00A71FCC"/>
    <w:rsid w:val="00A72120"/>
    <w:rsid w:val="00A721CD"/>
    <w:rsid w:val="00A72262"/>
    <w:rsid w:val="00A7239B"/>
    <w:rsid w:val="00A72403"/>
    <w:rsid w:val="00A7280F"/>
    <w:rsid w:val="00A72840"/>
    <w:rsid w:val="00A728D1"/>
    <w:rsid w:val="00A728D6"/>
    <w:rsid w:val="00A728E6"/>
    <w:rsid w:val="00A72AC7"/>
    <w:rsid w:val="00A72C38"/>
    <w:rsid w:val="00A72C52"/>
    <w:rsid w:val="00A72CC2"/>
    <w:rsid w:val="00A72DCB"/>
    <w:rsid w:val="00A730CF"/>
    <w:rsid w:val="00A73103"/>
    <w:rsid w:val="00A73126"/>
    <w:rsid w:val="00A73130"/>
    <w:rsid w:val="00A73144"/>
    <w:rsid w:val="00A732B5"/>
    <w:rsid w:val="00A7336D"/>
    <w:rsid w:val="00A734C1"/>
    <w:rsid w:val="00A7358B"/>
    <w:rsid w:val="00A735AF"/>
    <w:rsid w:val="00A73743"/>
    <w:rsid w:val="00A737E6"/>
    <w:rsid w:val="00A73948"/>
    <w:rsid w:val="00A739AC"/>
    <w:rsid w:val="00A73BB4"/>
    <w:rsid w:val="00A73C92"/>
    <w:rsid w:val="00A73E4A"/>
    <w:rsid w:val="00A73EC5"/>
    <w:rsid w:val="00A73F91"/>
    <w:rsid w:val="00A74073"/>
    <w:rsid w:val="00A74096"/>
    <w:rsid w:val="00A74128"/>
    <w:rsid w:val="00A74154"/>
    <w:rsid w:val="00A743B3"/>
    <w:rsid w:val="00A743F2"/>
    <w:rsid w:val="00A74488"/>
    <w:rsid w:val="00A7457F"/>
    <w:rsid w:val="00A745A1"/>
    <w:rsid w:val="00A74626"/>
    <w:rsid w:val="00A746E4"/>
    <w:rsid w:val="00A749D3"/>
    <w:rsid w:val="00A74ACD"/>
    <w:rsid w:val="00A74B66"/>
    <w:rsid w:val="00A74B83"/>
    <w:rsid w:val="00A74C6A"/>
    <w:rsid w:val="00A74CD7"/>
    <w:rsid w:val="00A74D3D"/>
    <w:rsid w:val="00A74D57"/>
    <w:rsid w:val="00A74D63"/>
    <w:rsid w:val="00A74DF6"/>
    <w:rsid w:val="00A74EB8"/>
    <w:rsid w:val="00A74F36"/>
    <w:rsid w:val="00A7504E"/>
    <w:rsid w:val="00A75253"/>
    <w:rsid w:val="00A75381"/>
    <w:rsid w:val="00A75432"/>
    <w:rsid w:val="00A75456"/>
    <w:rsid w:val="00A754E7"/>
    <w:rsid w:val="00A7560D"/>
    <w:rsid w:val="00A75612"/>
    <w:rsid w:val="00A7577D"/>
    <w:rsid w:val="00A7583B"/>
    <w:rsid w:val="00A75847"/>
    <w:rsid w:val="00A75BA3"/>
    <w:rsid w:val="00A75CBF"/>
    <w:rsid w:val="00A75E8E"/>
    <w:rsid w:val="00A76051"/>
    <w:rsid w:val="00A7606B"/>
    <w:rsid w:val="00A76175"/>
    <w:rsid w:val="00A7635C"/>
    <w:rsid w:val="00A763C1"/>
    <w:rsid w:val="00A7655E"/>
    <w:rsid w:val="00A766C4"/>
    <w:rsid w:val="00A76805"/>
    <w:rsid w:val="00A76926"/>
    <w:rsid w:val="00A769A3"/>
    <w:rsid w:val="00A769BA"/>
    <w:rsid w:val="00A76B54"/>
    <w:rsid w:val="00A76E5A"/>
    <w:rsid w:val="00A76EFD"/>
    <w:rsid w:val="00A76FC6"/>
    <w:rsid w:val="00A77067"/>
    <w:rsid w:val="00A77494"/>
    <w:rsid w:val="00A77510"/>
    <w:rsid w:val="00A77524"/>
    <w:rsid w:val="00A7757C"/>
    <w:rsid w:val="00A7767A"/>
    <w:rsid w:val="00A776C9"/>
    <w:rsid w:val="00A776CF"/>
    <w:rsid w:val="00A77746"/>
    <w:rsid w:val="00A77848"/>
    <w:rsid w:val="00A7785C"/>
    <w:rsid w:val="00A77A5F"/>
    <w:rsid w:val="00A77A72"/>
    <w:rsid w:val="00A77ACA"/>
    <w:rsid w:val="00A77CBB"/>
    <w:rsid w:val="00A77E80"/>
    <w:rsid w:val="00A77F56"/>
    <w:rsid w:val="00A77FC6"/>
    <w:rsid w:val="00A77FDB"/>
    <w:rsid w:val="00A8022B"/>
    <w:rsid w:val="00A80230"/>
    <w:rsid w:val="00A804FA"/>
    <w:rsid w:val="00A8059D"/>
    <w:rsid w:val="00A80632"/>
    <w:rsid w:val="00A8067E"/>
    <w:rsid w:val="00A80682"/>
    <w:rsid w:val="00A806BF"/>
    <w:rsid w:val="00A807A0"/>
    <w:rsid w:val="00A809C1"/>
    <w:rsid w:val="00A80A4A"/>
    <w:rsid w:val="00A80A53"/>
    <w:rsid w:val="00A80AEE"/>
    <w:rsid w:val="00A80AFB"/>
    <w:rsid w:val="00A80B28"/>
    <w:rsid w:val="00A80D02"/>
    <w:rsid w:val="00A80D89"/>
    <w:rsid w:val="00A80DBA"/>
    <w:rsid w:val="00A80FDE"/>
    <w:rsid w:val="00A80FFC"/>
    <w:rsid w:val="00A8103F"/>
    <w:rsid w:val="00A81049"/>
    <w:rsid w:val="00A81072"/>
    <w:rsid w:val="00A81107"/>
    <w:rsid w:val="00A81149"/>
    <w:rsid w:val="00A81350"/>
    <w:rsid w:val="00A81489"/>
    <w:rsid w:val="00A815FD"/>
    <w:rsid w:val="00A81676"/>
    <w:rsid w:val="00A816E5"/>
    <w:rsid w:val="00A817CC"/>
    <w:rsid w:val="00A81823"/>
    <w:rsid w:val="00A81863"/>
    <w:rsid w:val="00A81973"/>
    <w:rsid w:val="00A81988"/>
    <w:rsid w:val="00A81B22"/>
    <w:rsid w:val="00A81BA1"/>
    <w:rsid w:val="00A81CA0"/>
    <w:rsid w:val="00A81CB7"/>
    <w:rsid w:val="00A81CF3"/>
    <w:rsid w:val="00A81DAB"/>
    <w:rsid w:val="00A81EE5"/>
    <w:rsid w:val="00A81F02"/>
    <w:rsid w:val="00A81FD8"/>
    <w:rsid w:val="00A82027"/>
    <w:rsid w:val="00A82062"/>
    <w:rsid w:val="00A8213A"/>
    <w:rsid w:val="00A82144"/>
    <w:rsid w:val="00A82163"/>
    <w:rsid w:val="00A821E8"/>
    <w:rsid w:val="00A822E6"/>
    <w:rsid w:val="00A8231D"/>
    <w:rsid w:val="00A824BC"/>
    <w:rsid w:val="00A825AA"/>
    <w:rsid w:val="00A826C0"/>
    <w:rsid w:val="00A826EC"/>
    <w:rsid w:val="00A82879"/>
    <w:rsid w:val="00A829D7"/>
    <w:rsid w:val="00A82AA1"/>
    <w:rsid w:val="00A82AFF"/>
    <w:rsid w:val="00A82B04"/>
    <w:rsid w:val="00A82B29"/>
    <w:rsid w:val="00A82BFF"/>
    <w:rsid w:val="00A82C3F"/>
    <w:rsid w:val="00A82D3C"/>
    <w:rsid w:val="00A82D9F"/>
    <w:rsid w:val="00A82E87"/>
    <w:rsid w:val="00A82EF7"/>
    <w:rsid w:val="00A82F48"/>
    <w:rsid w:val="00A82F96"/>
    <w:rsid w:val="00A830A9"/>
    <w:rsid w:val="00A8321B"/>
    <w:rsid w:val="00A83319"/>
    <w:rsid w:val="00A833B8"/>
    <w:rsid w:val="00A83463"/>
    <w:rsid w:val="00A83567"/>
    <w:rsid w:val="00A835B5"/>
    <w:rsid w:val="00A83617"/>
    <w:rsid w:val="00A83868"/>
    <w:rsid w:val="00A8388B"/>
    <w:rsid w:val="00A838EE"/>
    <w:rsid w:val="00A83A06"/>
    <w:rsid w:val="00A83C7D"/>
    <w:rsid w:val="00A83CB5"/>
    <w:rsid w:val="00A83DD2"/>
    <w:rsid w:val="00A83F20"/>
    <w:rsid w:val="00A840C5"/>
    <w:rsid w:val="00A841BE"/>
    <w:rsid w:val="00A84240"/>
    <w:rsid w:val="00A842D5"/>
    <w:rsid w:val="00A842E0"/>
    <w:rsid w:val="00A84368"/>
    <w:rsid w:val="00A84419"/>
    <w:rsid w:val="00A844D8"/>
    <w:rsid w:val="00A847DE"/>
    <w:rsid w:val="00A847F9"/>
    <w:rsid w:val="00A8482F"/>
    <w:rsid w:val="00A84971"/>
    <w:rsid w:val="00A8497A"/>
    <w:rsid w:val="00A84A76"/>
    <w:rsid w:val="00A84BBC"/>
    <w:rsid w:val="00A84BE7"/>
    <w:rsid w:val="00A84D1E"/>
    <w:rsid w:val="00A84D2A"/>
    <w:rsid w:val="00A84D55"/>
    <w:rsid w:val="00A84DCB"/>
    <w:rsid w:val="00A84E44"/>
    <w:rsid w:val="00A84E5D"/>
    <w:rsid w:val="00A84F16"/>
    <w:rsid w:val="00A84F1D"/>
    <w:rsid w:val="00A850F0"/>
    <w:rsid w:val="00A85112"/>
    <w:rsid w:val="00A85114"/>
    <w:rsid w:val="00A85209"/>
    <w:rsid w:val="00A85505"/>
    <w:rsid w:val="00A85569"/>
    <w:rsid w:val="00A855EA"/>
    <w:rsid w:val="00A855F0"/>
    <w:rsid w:val="00A85634"/>
    <w:rsid w:val="00A856D6"/>
    <w:rsid w:val="00A85754"/>
    <w:rsid w:val="00A85820"/>
    <w:rsid w:val="00A8584E"/>
    <w:rsid w:val="00A858DF"/>
    <w:rsid w:val="00A858F4"/>
    <w:rsid w:val="00A8590F"/>
    <w:rsid w:val="00A8592C"/>
    <w:rsid w:val="00A85A2D"/>
    <w:rsid w:val="00A85A37"/>
    <w:rsid w:val="00A85A58"/>
    <w:rsid w:val="00A85B30"/>
    <w:rsid w:val="00A85B88"/>
    <w:rsid w:val="00A85BA9"/>
    <w:rsid w:val="00A85D39"/>
    <w:rsid w:val="00A85E04"/>
    <w:rsid w:val="00A85EB9"/>
    <w:rsid w:val="00A85F01"/>
    <w:rsid w:val="00A86088"/>
    <w:rsid w:val="00A8626B"/>
    <w:rsid w:val="00A86365"/>
    <w:rsid w:val="00A863BA"/>
    <w:rsid w:val="00A863FA"/>
    <w:rsid w:val="00A8642F"/>
    <w:rsid w:val="00A86438"/>
    <w:rsid w:val="00A8645C"/>
    <w:rsid w:val="00A865FA"/>
    <w:rsid w:val="00A8665D"/>
    <w:rsid w:val="00A866E3"/>
    <w:rsid w:val="00A86727"/>
    <w:rsid w:val="00A86873"/>
    <w:rsid w:val="00A86A92"/>
    <w:rsid w:val="00A86B21"/>
    <w:rsid w:val="00A86E2A"/>
    <w:rsid w:val="00A87238"/>
    <w:rsid w:val="00A87276"/>
    <w:rsid w:val="00A87293"/>
    <w:rsid w:val="00A87430"/>
    <w:rsid w:val="00A87532"/>
    <w:rsid w:val="00A87591"/>
    <w:rsid w:val="00A875F1"/>
    <w:rsid w:val="00A875FB"/>
    <w:rsid w:val="00A87689"/>
    <w:rsid w:val="00A878AC"/>
    <w:rsid w:val="00A87C69"/>
    <w:rsid w:val="00A87CDF"/>
    <w:rsid w:val="00A87CEC"/>
    <w:rsid w:val="00A9008D"/>
    <w:rsid w:val="00A900A0"/>
    <w:rsid w:val="00A90498"/>
    <w:rsid w:val="00A905DD"/>
    <w:rsid w:val="00A907A9"/>
    <w:rsid w:val="00A90815"/>
    <w:rsid w:val="00A90A36"/>
    <w:rsid w:val="00A90C5D"/>
    <w:rsid w:val="00A90D46"/>
    <w:rsid w:val="00A90D71"/>
    <w:rsid w:val="00A90F23"/>
    <w:rsid w:val="00A91128"/>
    <w:rsid w:val="00A91206"/>
    <w:rsid w:val="00A91443"/>
    <w:rsid w:val="00A915B8"/>
    <w:rsid w:val="00A915BF"/>
    <w:rsid w:val="00A9161B"/>
    <w:rsid w:val="00A916D9"/>
    <w:rsid w:val="00A917F1"/>
    <w:rsid w:val="00A9184B"/>
    <w:rsid w:val="00A91889"/>
    <w:rsid w:val="00A91936"/>
    <w:rsid w:val="00A919A7"/>
    <w:rsid w:val="00A91B1D"/>
    <w:rsid w:val="00A91B9A"/>
    <w:rsid w:val="00A91E01"/>
    <w:rsid w:val="00A91F36"/>
    <w:rsid w:val="00A92094"/>
    <w:rsid w:val="00A9210C"/>
    <w:rsid w:val="00A92245"/>
    <w:rsid w:val="00A9229E"/>
    <w:rsid w:val="00A9238B"/>
    <w:rsid w:val="00A923F6"/>
    <w:rsid w:val="00A92556"/>
    <w:rsid w:val="00A92682"/>
    <w:rsid w:val="00A9269C"/>
    <w:rsid w:val="00A9276A"/>
    <w:rsid w:val="00A927ED"/>
    <w:rsid w:val="00A92848"/>
    <w:rsid w:val="00A9294B"/>
    <w:rsid w:val="00A92C13"/>
    <w:rsid w:val="00A92C34"/>
    <w:rsid w:val="00A92F15"/>
    <w:rsid w:val="00A92FC2"/>
    <w:rsid w:val="00A9305B"/>
    <w:rsid w:val="00A93064"/>
    <w:rsid w:val="00A93115"/>
    <w:rsid w:val="00A93428"/>
    <w:rsid w:val="00A93504"/>
    <w:rsid w:val="00A93572"/>
    <w:rsid w:val="00A936CE"/>
    <w:rsid w:val="00A9376E"/>
    <w:rsid w:val="00A937E4"/>
    <w:rsid w:val="00A937EC"/>
    <w:rsid w:val="00A938C7"/>
    <w:rsid w:val="00A939FD"/>
    <w:rsid w:val="00A93A11"/>
    <w:rsid w:val="00A93AA3"/>
    <w:rsid w:val="00A93BEF"/>
    <w:rsid w:val="00A93E23"/>
    <w:rsid w:val="00A93F2A"/>
    <w:rsid w:val="00A93F76"/>
    <w:rsid w:val="00A94381"/>
    <w:rsid w:val="00A946A3"/>
    <w:rsid w:val="00A9479E"/>
    <w:rsid w:val="00A94835"/>
    <w:rsid w:val="00A9489B"/>
    <w:rsid w:val="00A948C0"/>
    <w:rsid w:val="00A94BDA"/>
    <w:rsid w:val="00A94C07"/>
    <w:rsid w:val="00A94D5D"/>
    <w:rsid w:val="00A94F1F"/>
    <w:rsid w:val="00A94F6D"/>
    <w:rsid w:val="00A94FF1"/>
    <w:rsid w:val="00A9512E"/>
    <w:rsid w:val="00A951A1"/>
    <w:rsid w:val="00A95370"/>
    <w:rsid w:val="00A953A1"/>
    <w:rsid w:val="00A954DB"/>
    <w:rsid w:val="00A95525"/>
    <w:rsid w:val="00A955B2"/>
    <w:rsid w:val="00A955D6"/>
    <w:rsid w:val="00A956B3"/>
    <w:rsid w:val="00A9578E"/>
    <w:rsid w:val="00A957E8"/>
    <w:rsid w:val="00A95821"/>
    <w:rsid w:val="00A9590C"/>
    <w:rsid w:val="00A95928"/>
    <w:rsid w:val="00A959B5"/>
    <w:rsid w:val="00A95AEA"/>
    <w:rsid w:val="00A95B2D"/>
    <w:rsid w:val="00A95C17"/>
    <w:rsid w:val="00A95C3B"/>
    <w:rsid w:val="00A95DD8"/>
    <w:rsid w:val="00A95FA9"/>
    <w:rsid w:val="00A95FB6"/>
    <w:rsid w:val="00A96003"/>
    <w:rsid w:val="00A96034"/>
    <w:rsid w:val="00A9614E"/>
    <w:rsid w:val="00A961F0"/>
    <w:rsid w:val="00A9650B"/>
    <w:rsid w:val="00A965E6"/>
    <w:rsid w:val="00A966DB"/>
    <w:rsid w:val="00A9672B"/>
    <w:rsid w:val="00A96807"/>
    <w:rsid w:val="00A968A5"/>
    <w:rsid w:val="00A9692F"/>
    <w:rsid w:val="00A96AD7"/>
    <w:rsid w:val="00A96C19"/>
    <w:rsid w:val="00A96C99"/>
    <w:rsid w:val="00A96CC5"/>
    <w:rsid w:val="00A96EFC"/>
    <w:rsid w:val="00A96F45"/>
    <w:rsid w:val="00A96F7C"/>
    <w:rsid w:val="00A96FC8"/>
    <w:rsid w:val="00A970B0"/>
    <w:rsid w:val="00A9714C"/>
    <w:rsid w:val="00A97155"/>
    <w:rsid w:val="00A9719C"/>
    <w:rsid w:val="00A971E4"/>
    <w:rsid w:val="00A972C2"/>
    <w:rsid w:val="00A973B4"/>
    <w:rsid w:val="00A97497"/>
    <w:rsid w:val="00A975B2"/>
    <w:rsid w:val="00A97632"/>
    <w:rsid w:val="00A9765A"/>
    <w:rsid w:val="00A97739"/>
    <w:rsid w:val="00A9794C"/>
    <w:rsid w:val="00A979C5"/>
    <w:rsid w:val="00A97A67"/>
    <w:rsid w:val="00A97B6F"/>
    <w:rsid w:val="00A97CC9"/>
    <w:rsid w:val="00AA0169"/>
    <w:rsid w:val="00AA0184"/>
    <w:rsid w:val="00AA046B"/>
    <w:rsid w:val="00AA0631"/>
    <w:rsid w:val="00AA0836"/>
    <w:rsid w:val="00AA093C"/>
    <w:rsid w:val="00AA0AA9"/>
    <w:rsid w:val="00AA0AF0"/>
    <w:rsid w:val="00AA0B20"/>
    <w:rsid w:val="00AA0B4F"/>
    <w:rsid w:val="00AA0BCF"/>
    <w:rsid w:val="00AA1039"/>
    <w:rsid w:val="00AA116D"/>
    <w:rsid w:val="00AA12DC"/>
    <w:rsid w:val="00AA130B"/>
    <w:rsid w:val="00AA14B8"/>
    <w:rsid w:val="00AA152B"/>
    <w:rsid w:val="00AA1847"/>
    <w:rsid w:val="00AA184A"/>
    <w:rsid w:val="00AA18A5"/>
    <w:rsid w:val="00AA18B1"/>
    <w:rsid w:val="00AA18EF"/>
    <w:rsid w:val="00AA19E5"/>
    <w:rsid w:val="00AA1A66"/>
    <w:rsid w:val="00AA1A6B"/>
    <w:rsid w:val="00AA1C33"/>
    <w:rsid w:val="00AA1D4F"/>
    <w:rsid w:val="00AA1DC1"/>
    <w:rsid w:val="00AA2020"/>
    <w:rsid w:val="00AA2113"/>
    <w:rsid w:val="00AA22EF"/>
    <w:rsid w:val="00AA23AA"/>
    <w:rsid w:val="00AA2599"/>
    <w:rsid w:val="00AA261C"/>
    <w:rsid w:val="00AA26CF"/>
    <w:rsid w:val="00AA2781"/>
    <w:rsid w:val="00AA2923"/>
    <w:rsid w:val="00AA2A28"/>
    <w:rsid w:val="00AA2B5B"/>
    <w:rsid w:val="00AA2CC1"/>
    <w:rsid w:val="00AA2D64"/>
    <w:rsid w:val="00AA2DA7"/>
    <w:rsid w:val="00AA2F27"/>
    <w:rsid w:val="00AA2F7F"/>
    <w:rsid w:val="00AA3130"/>
    <w:rsid w:val="00AA3367"/>
    <w:rsid w:val="00AA34AF"/>
    <w:rsid w:val="00AA3603"/>
    <w:rsid w:val="00AA36C4"/>
    <w:rsid w:val="00AA3759"/>
    <w:rsid w:val="00AA3821"/>
    <w:rsid w:val="00AA382F"/>
    <w:rsid w:val="00AA39E0"/>
    <w:rsid w:val="00AA3A17"/>
    <w:rsid w:val="00AA3AD3"/>
    <w:rsid w:val="00AA3C77"/>
    <w:rsid w:val="00AA3C88"/>
    <w:rsid w:val="00AA3D5E"/>
    <w:rsid w:val="00AA3E7A"/>
    <w:rsid w:val="00AA3E88"/>
    <w:rsid w:val="00AA3FFA"/>
    <w:rsid w:val="00AA41CA"/>
    <w:rsid w:val="00AA423A"/>
    <w:rsid w:val="00AA426B"/>
    <w:rsid w:val="00AA42F3"/>
    <w:rsid w:val="00AA43A6"/>
    <w:rsid w:val="00AA4589"/>
    <w:rsid w:val="00AA45FB"/>
    <w:rsid w:val="00AA4739"/>
    <w:rsid w:val="00AA485E"/>
    <w:rsid w:val="00AA4C1F"/>
    <w:rsid w:val="00AA5070"/>
    <w:rsid w:val="00AA51D4"/>
    <w:rsid w:val="00AA52A7"/>
    <w:rsid w:val="00AA5394"/>
    <w:rsid w:val="00AA5400"/>
    <w:rsid w:val="00AA5457"/>
    <w:rsid w:val="00AA597C"/>
    <w:rsid w:val="00AA5AE4"/>
    <w:rsid w:val="00AA5BA5"/>
    <w:rsid w:val="00AA5BB3"/>
    <w:rsid w:val="00AA5DD8"/>
    <w:rsid w:val="00AA5E29"/>
    <w:rsid w:val="00AA60EA"/>
    <w:rsid w:val="00AA632F"/>
    <w:rsid w:val="00AA64E9"/>
    <w:rsid w:val="00AA6576"/>
    <w:rsid w:val="00AA65D5"/>
    <w:rsid w:val="00AA65EE"/>
    <w:rsid w:val="00AA664C"/>
    <w:rsid w:val="00AA6716"/>
    <w:rsid w:val="00AA6779"/>
    <w:rsid w:val="00AA6851"/>
    <w:rsid w:val="00AA687F"/>
    <w:rsid w:val="00AA6A5D"/>
    <w:rsid w:val="00AA6AA0"/>
    <w:rsid w:val="00AA6C73"/>
    <w:rsid w:val="00AA6D52"/>
    <w:rsid w:val="00AA6D5E"/>
    <w:rsid w:val="00AA6D92"/>
    <w:rsid w:val="00AA6E04"/>
    <w:rsid w:val="00AA6E88"/>
    <w:rsid w:val="00AA6EFA"/>
    <w:rsid w:val="00AA6F85"/>
    <w:rsid w:val="00AA701B"/>
    <w:rsid w:val="00AA7192"/>
    <w:rsid w:val="00AA7302"/>
    <w:rsid w:val="00AA7349"/>
    <w:rsid w:val="00AA73CC"/>
    <w:rsid w:val="00AA740F"/>
    <w:rsid w:val="00AA7435"/>
    <w:rsid w:val="00AA756C"/>
    <w:rsid w:val="00AA756D"/>
    <w:rsid w:val="00AA7813"/>
    <w:rsid w:val="00AA7B9A"/>
    <w:rsid w:val="00AA7C9D"/>
    <w:rsid w:val="00AA7E10"/>
    <w:rsid w:val="00AA7EB8"/>
    <w:rsid w:val="00AA7F9A"/>
    <w:rsid w:val="00AA7FF6"/>
    <w:rsid w:val="00AB008C"/>
    <w:rsid w:val="00AB00AA"/>
    <w:rsid w:val="00AB030B"/>
    <w:rsid w:val="00AB0354"/>
    <w:rsid w:val="00AB039D"/>
    <w:rsid w:val="00AB0416"/>
    <w:rsid w:val="00AB041E"/>
    <w:rsid w:val="00AB0740"/>
    <w:rsid w:val="00AB0782"/>
    <w:rsid w:val="00AB086F"/>
    <w:rsid w:val="00AB09D1"/>
    <w:rsid w:val="00AB09D9"/>
    <w:rsid w:val="00AB0C85"/>
    <w:rsid w:val="00AB0DAC"/>
    <w:rsid w:val="00AB0DAE"/>
    <w:rsid w:val="00AB0F50"/>
    <w:rsid w:val="00AB0F5B"/>
    <w:rsid w:val="00AB0FE0"/>
    <w:rsid w:val="00AB1006"/>
    <w:rsid w:val="00AB1171"/>
    <w:rsid w:val="00AB1391"/>
    <w:rsid w:val="00AB14FE"/>
    <w:rsid w:val="00AB1512"/>
    <w:rsid w:val="00AB164F"/>
    <w:rsid w:val="00AB1664"/>
    <w:rsid w:val="00AB1679"/>
    <w:rsid w:val="00AB16BF"/>
    <w:rsid w:val="00AB187D"/>
    <w:rsid w:val="00AB19A1"/>
    <w:rsid w:val="00AB1A20"/>
    <w:rsid w:val="00AB1AB0"/>
    <w:rsid w:val="00AB1AE8"/>
    <w:rsid w:val="00AB1B49"/>
    <w:rsid w:val="00AB1C0F"/>
    <w:rsid w:val="00AB1CC1"/>
    <w:rsid w:val="00AB1CCD"/>
    <w:rsid w:val="00AB1D2C"/>
    <w:rsid w:val="00AB1D9C"/>
    <w:rsid w:val="00AB1E24"/>
    <w:rsid w:val="00AB1FA9"/>
    <w:rsid w:val="00AB1FCC"/>
    <w:rsid w:val="00AB1FCE"/>
    <w:rsid w:val="00AB2528"/>
    <w:rsid w:val="00AB2562"/>
    <w:rsid w:val="00AB266B"/>
    <w:rsid w:val="00AB2846"/>
    <w:rsid w:val="00AB285C"/>
    <w:rsid w:val="00AB28F4"/>
    <w:rsid w:val="00AB2A3A"/>
    <w:rsid w:val="00AB2AEA"/>
    <w:rsid w:val="00AB2D59"/>
    <w:rsid w:val="00AB2DFC"/>
    <w:rsid w:val="00AB2E67"/>
    <w:rsid w:val="00AB2EE9"/>
    <w:rsid w:val="00AB2F40"/>
    <w:rsid w:val="00AB2FEB"/>
    <w:rsid w:val="00AB3072"/>
    <w:rsid w:val="00AB3372"/>
    <w:rsid w:val="00AB3528"/>
    <w:rsid w:val="00AB357F"/>
    <w:rsid w:val="00AB36ED"/>
    <w:rsid w:val="00AB384B"/>
    <w:rsid w:val="00AB3948"/>
    <w:rsid w:val="00AB3B41"/>
    <w:rsid w:val="00AB3C35"/>
    <w:rsid w:val="00AB3E00"/>
    <w:rsid w:val="00AB3EED"/>
    <w:rsid w:val="00AB40D7"/>
    <w:rsid w:val="00AB40FE"/>
    <w:rsid w:val="00AB459F"/>
    <w:rsid w:val="00AB45F7"/>
    <w:rsid w:val="00AB462A"/>
    <w:rsid w:val="00AB4771"/>
    <w:rsid w:val="00AB47AB"/>
    <w:rsid w:val="00AB4920"/>
    <w:rsid w:val="00AB4972"/>
    <w:rsid w:val="00AB4984"/>
    <w:rsid w:val="00AB4AD8"/>
    <w:rsid w:val="00AB4B86"/>
    <w:rsid w:val="00AB4C83"/>
    <w:rsid w:val="00AB4D3E"/>
    <w:rsid w:val="00AB4D82"/>
    <w:rsid w:val="00AB4DAB"/>
    <w:rsid w:val="00AB4E99"/>
    <w:rsid w:val="00AB4EC8"/>
    <w:rsid w:val="00AB4F86"/>
    <w:rsid w:val="00AB5150"/>
    <w:rsid w:val="00AB52CE"/>
    <w:rsid w:val="00AB53B6"/>
    <w:rsid w:val="00AB53DD"/>
    <w:rsid w:val="00AB5446"/>
    <w:rsid w:val="00AB55FC"/>
    <w:rsid w:val="00AB565F"/>
    <w:rsid w:val="00AB5674"/>
    <w:rsid w:val="00AB5680"/>
    <w:rsid w:val="00AB569B"/>
    <w:rsid w:val="00AB579D"/>
    <w:rsid w:val="00AB57DB"/>
    <w:rsid w:val="00AB57E0"/>
    <w:rsid w:val="00AB589D"/>
    <w:rsid w:val="00AB58AB"/>
    <w:rsid w:val="00AB5ABC"/>
    <w:rsid w:val="00AB5D34"/>
    <w:rsid w:val="00AB6138"/>
    <w:rsid w:val="00AB61AE"/>
    <w:rsid w:val="00AB61C8"/>
    <w:rsid w:val="00AB6364"/>
    <w:rsid w:val="00AB63DE"/>
    <w:rsid w:val="00AB6400"/>
    <w:rsid w:val="00AB668B"/>
    <w:rsid w:val="00AB681F"/>
    <w:rsid w:val="00AB682A"/>
    <w:rsid w:val="00AB6876"/>
    <w:rsid w:val="00AB69D4"/>
    <w:rsid w:val="00AB6A28"/>
    <w:rsid w:val="00AB6AFD"/>
    <w:rsid w:val="00AB6C18"/>
    <w:rsid w:val="00AB6C5B"/>
    <w:rsid w:val="00AB6C99"/>
    <w:rsid w:val="00AB6CD1"/>
    <w:rsid w:val="00AB6D85"/>
    <w:rsid w:val="00AB6FCB"/>
    <w:rsid w:val="00AB7019"/>
    <w:rsid w:val="00AB710A"/>
    <w:rsid w:val="00AB7160"/>
    <w:rsid w:val="00AB7376"/>
    <w:rsid w:val="00AB739F"/>
    <w:rsid w:val="00AB7438"/>
    <w:rsid w:val="00AB7475"/>
    <w:rsid w:val="00AB7482"/>
    <w:rsid w:val="00AB750D"/>
    <w:rsid w:val="00AB7629"/>
    <w:rsid w:val="00AB772E"/>
    <w:rsid w:val="00AB7792"/>
    <w:rsid w:val="00AB77FE"/>
    <w:rsid w:val="00AB7841"/>
    <w:rsid w:val="00AB785D"/>
    <w:rsid w:val="00AB7A0D"/>
    <w:rsid w:val="00AB7ABD"/>
    <w:rsid w:val="00AB7D26"/>
    <w:rsid w:val="00AB7D41"/>
    <w:rsid w:val="00AB7D51"/>
    <w:rsid w:val="00AB7D59"/>
    <w:rsid w:val="00AC0000"/>
    <w:rsid w:val="00AC00B1"/>
    <w:rsid w:val="00AC00DC"/>
    <w:rsid w:val="00AC01AB"/>
    <w:rsid w:val="00AC038D"/>
    <w:rsid w:val="00AC0437"/>
    <w:rsid w:val="00AC05CB"/>
    <w:rsid w:val="00AC05FF"/>
    <w:rsid w:val="00AC064A"/>
    <w:rsid w:val="00AC0679"/>
    <w:rsid w:val="00AC078E"/>
    <w:rsid w:val="00AC07E0"/>
    <w:rsid w:val="00AC0A52"/>
    <w:rsid w:val="00AC0B8E"/>
    <w:rsid w:val="00AC0BEA"/>
    <w:rsid w:val="00AC0C4F"/>
    <w:rsid w:val="00AC0C63"/>
    <w:rsid w:val="00AC0D39"/>
    <w:rsid w:val="00AC0DA8"/>
    <w:rsid w:val="00AC0E65"/>
    <w:rsid w:val="00AC0E80"/>
    <w:rsid w:val="00AC0EE0"/>
    <w:rsid w:val="00AC0F1D"/>
    <w:rsid w:val="00AC0FE9"/>
    <w:rsid w:val="00AC107A"/>
    <w:rsid w:val="00AC10E6"/>
    <w:rsid w:val="00AC1171"/>
    <w:rsid w:val="00AC1360"/>
    <w:rsid w:val="00AC14E9"/>
    <w:rsid w:val="00AC1507"/>
    <w:rsid w:val="00AC1595"/>
    <w:rsid w:val="00AC17A6"/>
    <w:rsid w:val="00AC1928"/>
    <w:rsid w:val="00AC1965"/>
    <w:rsid w:val="00AC1A0D"/>
    <w:rsid w:val="00AC1A5B"/>
    <w:rsid w:val="00AC1AFA"/>
    <w:rsid w:val="00AC1E70"/>
    <w:rsid w:val="00AC1E76"/>
    <w:rsid w:val="00AC1F24"/>
    <w:rsid w:val="00AC1FB1"/>
    <w:rsid w:val="00AC1FE0"/>
    <w:rsid w:val="00AC2000"/>
    <w:rsid w:val="00AC2226"/>
    <w:rsid w:val="00AC2260"/>
    <w:rsid w:val="00AC22E8"/>
    <w:rsid w:val="00AC2492"/>
    <w:rsid w:val="00AC24BD"/>
    <w:rsid w:val="00AC24C9"/>
    <w:rsid w:val="00AC253A"/>
    <w:rsid w:val="00AC27DB"/>
    <w:rsid w:val="00AC2A35"/>
    <w:rsid w:val="00AC2BE6"/>
    <w:rsid w:val="00AC2C3E"/>
    <w:rsid w:val="00AC2D4D"/>
    <w:rsid w:val="00AC2E0D"/>
    <w:rsid w:val="00AC2E80"/>
    <w:rsid w:val="00AC2E8A"/>
    <w:rsid w:val="00AC2EBF"/>
    <w:rsid w:val="00AC32F3"/>
    <w:rsid w:val="00AC3427"/>
    <w:rsid w:val="00AC3433"/>
    <w:rsid w:val="00AC352B"/>
    <w:rsid w:val="00AC3562"/>
    <w:rsid w:val="00AC35F3"/>
    <w:rsid w:val="00AC3632"/>
    <w:rsid w:val="00AC36A3"/>
    <w:rsid w:val="00AC373F"/>
    <w:rsid w:val="00AC37E5"/>
    <w:rsid w:val="00AC3925"/>
    <w:rsid w:val="00AC3AD5"/>
    <w:rsid w:val="00AC3BAB"/>
    <w:rsid w:val="00AC3BDE"/>
    <w:rsid w:val="00AC3C0F"/>
    <w:rsid w:val="00AC3D3F"/>
    <w:rsid w:val="00AC3E25"/>
    <w:rsid w:val="00AC3E9C"/>
    <w:rsid w:val="00AC3EB2"/>
    <w:rsid w:val="00AC3FD5"/>
    <w:rsid w:val="00AC40F2"/>
    <w:rsid w:val="00AC419C"/>
    <w:rsid w:val="00AC42FE"/>
    <w:rsid w:val="00AC4341"/>
    <w:rsid w:val="00AC4821"/>
    <w:rsid w:val="00AC4914"/>
    <w:rsid w:val="00AC4953"/>
    <w:rsid w:val="00AC4BDF"/>
    <w:rsid w:val="00AC4C18"/>
    <w:rsid w:val="00AC4C55"/>
    <w:rsid w:val="00AC4C64"/>
    <w:rsid w:val="00AC4DE4"/>
    <w:rsid w:val="00AC4DF8"/>
    <w:rsid w:val="00AC4E72"/>
    <w:rsid w:val="00AC4EC5"/>
    <w:rsid w:val="00AC50C3"/>
    <w:rsid w:val="00AC5119"/>
    <w:rsid w:val="00AC5180"/>
    <w:rsid w:val="00AC5329"/>
    <w:rsid w:val="00AC538D"/>
    <w:rsid w:val="00AC53F0"/>
    <w:rsid w:val="00AC540E"/>
    <w:rsid w:val="00AC5549"/>
    <w:rsid w:val="00AC5670"/>
    <w:rsid w:val="00AC57DF"/>
    <w:rsid w:val="00AC5999"/>
    <w:rsid w:val="00AC5A41"/>
    <w:rsid w:val="00AC5B30"/>
    <w:rsid w:val="00AC5C28"/>
    <w:rsid w:val="00AC5CBC"/>
    <w:rsid w:val="00AC5D85"/>
    <w:rsid w:val="00AC605C"/>
    <w:rsid w:val="00AC60B1"/>
    <w:rsid w:val="00AC623F"/>
    <w:rsid w:val="00AC63C3"/>
    <w:rsid w:val="00AC643C"/>
    <w:rsid w:val="00AC6471"/>
    <w:rsid w:val="00AC64A9"/>
    <w:rsid w:val="00AC6765"/>
    <w:rsid w:val="00AC67DE"/>
    <w:rsid w:val="00AC6912"/>
    <w:rsid w:val="00AC6B36"/>
    <w:rsid w:val="00AC6B43"/>
    <w:rsid w:val="00AC6B6E"/>
    <w:rsid w:val="00AC6D67"/>
    <w:rsid w:val="00AC6DDB"/>
    <w:rsid w:val="00AC6E74"/>
    <w:rsid w:val="00AC70A5"/>
    <w:rsid w:val="00AC70FA"/>
    <w:rsid w:val="00AC7205"/>
    <w:rsid w:val="00AC728B"/>
    <w:rsid w:val="00AC7380"/>
    <w:rsid w:val="00AC738B"/>
    <w:rsid w:val="00AC75B8"/>
    <w:rsid w:val="00AC7688"/>
    <w:rsid w:val="00AC7699"/>
    <w:rsid w:val="00AC7705"/>
    <w:rsid w:val="00AC7730"/>
    <w:rsid w:val="00AC7A3A"/>
    <w:rsid w:val="00AC7B58"/>
    <w:rsid w:val="00AC7B5A"/>
    <w:rsid w:val="00AC7B65"/>
    <w:rsid w:val="00AC7BCF"/>
    <w:rsid w:val="00AC7C5E"/>
    <w:rsid w:val="00AC7D55"/>
    <w:rsid w:val="00AD0141"/>
    <w:rsid w:val="00AD0160"/>
    <w:rsid w:val="00AD01AD"/>
    <w:rsid w:val="00AD01C8"/>
    <w:rsid w:val="00AD01F1"/>
    <w:rsid w:val="00AD0200"/>
    <w:rsid w:val="00AD028F"/>
    <w:rsid w:val="00AD02D3"/>
    <w:rsid w:val="00AD0314"/>
    <w:rsid w:val="00AD032B"/>
    <w:rsid w:val="00AD03E5"/>
    <w:rsid w:val="00AD049C"/>
    <w:rsid w:val="00AD063C"/>
    <w:rsid w:val="00AD06CC"/>
    <w:rsid w:val="00AD0813"/>
    <w:rsid w:val="00AD0AB1"/>
    <w:rsid w:val="00AD0ABD"/>
    <w:rsid w:val="00AD0B47"/>
    <w:rsid w:val="00AD0BA0"/>
    <w:rsid w:val="00AD0D32"/>
    <w:rsid w:val="00AD0D6D"/>
    <w:rsid w:val="00AD1013"/>
    <w:rsid w:val="00AD112C"/>
    <w:rsid w:val="00AD1163"/>
    <w:rsid w:val="00AD1174"/>
    <w:rsid w:val="00AD12B1"/>
    <w:rsid w:val="00AD12D9"/>
    <w:rsid w:val="00AD1342"/>
    <w:rsid w:val="00AD13BB"/>
    <w:rsid w:val="00AD1489"/>
    <w:rsid w:val="00AD149F"/>
    <w:rsid w:val="00AD14F5"/>
    <w:rsid w:val="00AD1550"/>
    <w:rsid w:val="00AD1837"/>
    <w:rsid w:val="00AD195B"/>
    <w:rsid w:val="00AD1A1C"/>
    <w:rsid w:val="00AD1AA7"/>
    <w:rsid w:val="00AD1AC5"/>
    <w:rsid w:val="00AD1C6C"/>
    <w:rsid w:val="00AD1D0E"/>
    <w:rsid w:val="00AD1D10"/>
    <w:rsid w:val="00AD1D81"/>
    <w:rsid w:val="00AD1D89"/>
    <w:rsid w:val="00AD1E8C"/>
    <w:rsid w:val="00AD1EAF"/>
    <w:rsid w:val="00AD203E"/>
    <w:rsid w:val="00AD2258"/>
    <w:rsid w:val="00AD22BC"/>
    <w:rsid w:val="00AD2322"/>
    <w:rsid w:val="00AD2472"/>
    <w:rsid w:val="00AD24CD"/>
    <w:rsid w:val="00AD250D"/>
    <w:rsid w:val="00AD25C4"/>
    <w:rsid w:val="00AD2625"/>
    <w:rsid w:val="00AD26C7"/>
    <w:rsid w:val="00AD273B"/>
    <w:rsid w:val="00AD28F7"/>
    <w:rsid w:val="00AD2966"/>
    <w:rsid w:val="00AD2A3A"/>
    <w:rsid w:val="00AD2AE4"/>
    <w:rsid w:val="00AD2B1A"/>
    <w:rsid w:val="00AD2C5F"/>
    <w:rsid w:val="00AD2D7E"/>
    <w:rsid w:val="00AD2E01"/>
    <w:rsid w:val="00AD2EA6"/>
    <w:rsid w:val="00AD2F9B"/>
    <w:rsid w:val="00AD2FE4"/>
    <w:rsid w:val="00AD30F0"/>
    <w:rsid w:val="00AD32AB"/>
    <w:rsid w:val="00AD3550"/>
    <w:rsid w:val="00AD38A3"/>
    <w:rsid w:val="00AD393D"/>
    <w:rsid w:val="00AD3A09"/>
    <w:rsid w:val="00AD3A53"/>
    <w:rsid w:val="00AD3C40"/>
    <w:rsid w:val="00AD3C60"/>
    <w:rsid w:val="00AD3CDD"/>
    <w:rsid w:val="00AD3DC3"/>
    <w:rsid w:val="00AD3DC7"/>
    <w:rsid w:val="00AD3FB2"/>
    <w:rsid w:val="00AD3FB4"/>
    <w:rsid w:val="00AD3FCC"/>
    <w:rsid w:val="00AD4030"/>
    <w:rsid w:val="00AD41E8"/>
    <w:rsid w:val="00AD4229"/>
    <w:rsid w:val="00AD42B2"/>
    <w:rsid w:val="00AD42DB"/>
    <w:rsid w:val="00AD4329"/>
    <w:rsid w:val="00AD4350"/>
    <w:rsid w:val="00AD4499"/>
    <w:rsid w:val="00AD45BA"/>
    <w:rsid w:val="00AD45C9"/>
    <w:rsid w:val="00AD469A"/>
    <w:rsid w:val="00AD4718"/>
    <w:rsid w:val="00AD47AD"/>
    <w:rsid w:val="00AD48EC"/>
    <w:rsid w:val="00AD4AFE"/>
    <w:rsid w:val="00AD4B69"/>
    <w:rsid w:val="00AD4BC3"/>
    <w:rsid w:val="00AD4C89"/>
    <w:rsid w:val="00AD4D2F"/>
    <w:rsid w:val="00AD501B"/>
    <w:rsid w:val="00AD5027"/>
    <w:rsid w:val="00AD518E"/>
    <w:rsid w:val="00AD51EB"/>
    <w:rsid w:val="00AD51ED"/>
    <w:rsid w:val="00AD52D7"/>
    <w:rsid w:val="00AD52F1"/>
    <w:rsid w:val="00AD532D"/>
    <w:rsid w:val="00AD53FA"/>
    <w:rsid w:val="00AD540E"/>
    <w:rsid w:val="00AD55A7"/>
    <w:rsid w:val="00AD593C"/>
    <w:rsid w:val="00AD59A4"/>
    <w:rsid w:val="00AD5A74"/>
    <w:rsid w:val="00AD5B23"/>
    <w:rsid w:val="00AD5B30"/>
    <w:rsid w:val="00AD5CA7"/>
    <w:rsid w:val="00AD5D1D"/>
    <w:rsid w:val="00AD5E9A"/>
    <w:rsid w:val="00AD5F8C"/>
    <w:rsid w:val="00AD608C"/>
    <w:rsid w:val="00AD6271"/>
    <w:rsid w:val="00AD6342"/>
    <w:rsid w:val="00AD63AC"/>
    <w:rsid w:val="00AD6442"/>
    <w:rsid w:val="00AD662B"/>
    <w:rsid w:val="00AD669C"/>
    <w:rsid w:val="00AD67D7"/>
    <w:rsid w:val="00AD691C"/>
    <w:rsid w:val="00AD69E9"/>
    <w:rsid w:val="00AD6A9F"/>
    <w:rsid w:val="00AD6AD2"/>
    <w:rsid w:val="00AD6B37"/>
    <w:rsid w:val="00AD6BC0"/>
    <w:rsid w:val="00AD6DC0"/>
    <w:rsid w:val="00AD6DDF"/>
    <w:rsid w:val="00AD6F60"/>
    <w:rsid w:val="00AD71A7"/>
    <w:rsid w:val="00AD7215"/>
    <w:rsid w:val="00AD7395"/>
    <w:rsid w:val="00AD739E"/>
    <w:rsid w:val="00AD742E"/>
    <w:rsid w:val="00AD7466"/>
    <w:rsid w:val="00AD74D2"/>
    <w:rsid w:val="00AD761B"/>
    <w:rsid w:val="00AD773B"/>
    <w:rsid w:val="00AD776E"/>
    <w:rsid w:val="00AD7831"/>
    <w:rsid w:val="00AD78B6"/>
    <w:rsid w:val="00AD7968"/>
    <w:rsid w:val="00AD7A41"/>
    <w:rsid w:val="00AD7A7E"/>
    <w:rsid w:val="00AD7AC4"/>
    <w:rsid w:val="00AD7B13"/>
    <w:rsid w:val="00AD7B73"/>
    <w:rsid w:val="00AD7CDA"/>
    <w:rsid w:val="00AD7E81"/>
    <w:rsid w:val="00AE0051"/>
    <w:rsid w:val="00AE01CE"/>
    <w:rsid w:val="00AE0295"/>
    <w:rsid w:val="00AE02F1"/>
    <w:rsid w:val="00AE031A"/>
    <w:rsid w:val="00AE03B7"/>
    <w:rsid w:val="00AE03DB"/>
    <w:rsid w:val="00AE03DF"/>
    <w:rsid w:val="00AE0487"/>
    <w:rsid w:val="00AE04F6"/>
    <w:rsid w:val="00AE06DF"/>
    <w:rsid w:val="00AE0781"/>
    <w:rsid w:val="00AE0797"/>
    <w:rsid w:val="00AE0846"/>
    <w:rsid w:val="00AE08FE"/>
    <w:rsid w:val="00AE099A"/>
    <w:rsid w:val="00AE0A4E"/>
    <w:rsid w:val="00AE0B25"/>
    <w:rsid w:val="00AE0C5A"/>
    <w:rsid w:val="00AE0C61"/>
    <w:rsid w:val="00AE0CA8"/>
    <w:rsid w:val="00AE0D87"/>
    <w:rsid w:val="00AE0D98"/>
    <w:rsid w:val="00AE0DBE"/>
    <w:rsid w:val="00AE0E4F"/>
    <w:rsid w:val="00AE0E87"/>
    <w:rsid w:val="00AE0F02"/>
    <w:rsid w:val="00AE10F5"/>
    <w:rsid w:val="00AE1175"/>
    <w:rsid w:val="00AE11D7"/>
    <w:rsid w:val="00AE1265"/>
    <w:rsid w:val="00AE12A1"/>
    <w:rsid w:val="00AE12C8"/>
    <w:rsid w:val="00AE139B"/>
    <w:rsid w:val="00AE1959"/>
    <w:rsid w:val="00AE1B02"/>
    <w:rsid w:val="00AE1BEF"/>
    <w:rsid w:val="00AE1C83"/>
    <w:rsid w:val="00AE1CC2"/>
    <w:rsid w:val="00AE1CEA"/>
    <w:rsid w:val="00AE1D3B"/>
    <w:rsid w:val="00AE1DD3"/>
    <w:rsid w:val="00AE1E14"/>
    <w:rsid w:val="00AE1E15"/>
    <w:rsid w:val="00AE1EA3"/>
    <w:rsid w:val="00AE1EA7"/>
    <w:rsid w:val="00AE1F2F"/>
    <w:rsid w:val="00AE202D"/>
    <w:rsid w:val="00AE2101"/>
    <w:rsid w:val="00AE21EC"/>
    <w:rsid w:val="00AE2210"/>
    <w:rsid w:val="00AE231E"/>
    <w:rsid w:val="00AE23CC"/>
    <w:rsid w:val="00AE27D3"/>
    <w:rsid w:val="00AE2951"/>
    <w:rsid w:val="00AE29EB"/>
    <w:rsid w:val="00AE2BED"/>
    <w:rsid w:val="00AE2DD3"/>
    <w:rsid w:val="00AE2E76"/>
    <w:rsid w:val="00AE3062"/>
    <w:rsid w:val="00AE317A"/>
    <w:rsid w:val="00AE32A4"/>
    <w:rsid w:val="00AE346D"/>
    <w:rsid w:val="00AE34D1"/>
    <w:rsid w:val="00AE3650"/>
    <w:rsid w:val="00AE3863"/>
    <w:rsid w:val="00AE3985"/>
    <w:rsid w:val="00AE39F6"/>
    <w:rsid w:val="00AE3B30"/>
    <w:rsid w:val="00AE3C2F"/>
    <w:rsid w:val="00AE3D79"/>
    <w:rsid w:val="00AE3E87"/>
    <w:rsid w:val="00AE3FC3"/>
    <w:rsid w:val="00AE424C"/>
    <w:rsid w:val="00AE42C4"/>
    <w:rsid w:val="00AE4341"/>
    <w:rsid w:val="00AE4457"/>
    <w:rsid w:val="00AE4480"/>
    <w:rsid w:val="00AE45F9"/>
    <w:rsid w:val="00AE4630"/>
    <w:rsid w:val="00AE4641"/>
    <w:rsid w:val="00AE4660"/>
    <w:rsid w:val="00AE46DD"/>
    <w:rsid w:val="00AE471E"/>
    <w:rsid w:val="00AE474D"/>
    <w:rsid w:val="00AE4801"/>
    <w:rsid w:val="00AE48E3"/>
    <w:rsid w:val="00AE49E4"/>
    <w:rsid w:val="00AE4A9D"/>
    <w:rsid w:val="00AE4B65"/>
    <w:rsid w:val="00AE4CAC"/>
    <w:rsid w:val="00AE4CBF"/>
    <w:rsid w:val="00AE4D40"/>
    <w:rsid w:val="00AE4DA6"/>
    <w:rsid w:val="00AE4E1D"/>
    <w:rsid w:val="00AE4F14"/>
    <w:rsid w:val="00AE507E"/>
    <w:rsid w:val="00AE509E"/>
    <w:rsid w:val="00AE520F"/>
    <w:rsid w:val="00AE5236"/>
    <w:rsid w:val="00AE5395"/>
    <w:rsid w:val="00AE53F6"/>
    <w:rsid w:val="00AE54ED"/>
    <w:rsid w:val="00AE55BC"/>
    <w:rsid w:val="00AE58CA"/>
    <w:rsid w:val="00AE59A9"/>
    <w:rsid w:val="00AE5BB3"/>
    <w:rsid w:val="00AE5C5A"/>
    <w:rsid w:val="00AE5E01"/>
    <w:rsid w:val="00AE5E05"/>
    <w:rsid w:val="00AE5E3D"/>
    <w:rsid w:val="00AE5EA5"/>
    <w:rsid w:val="00AE5F20"/>
    <w:rsid w:val="00AE5F39"/>
    <w:rsid w:val="00AE61DD"/>
    <w:rsid w:val="00AE624D"/>
    <w:rsid w:val="00AE6250"/>
    <w:rsid w:val="00AE6294"/>
    <w:rsid w:val="00AE6385"/>
    <w:rsid w:val="00AE6406"/>
    <w:rsid w:val="00AE64B4"/>
    <w:rsid w:val="00AE65E9"/>
    <w:rsid w:val="00AE65F1"/>
    <w:rsid w:val="00AE66E2"/>
    <w:rsid w:val="00AE6707"/>
    <w:rsid w:val="00AE670A"/>
    <w:rsid w:val="00AE69FD"/>
    <w:rsid w:val="00AE6AC1"/>
    <w:rsid w:val="00AE6BF5"/>
    <w:rsid w:val="00AE6C2A"/>
    <w:rsid w:val="00AE6CC6"/>
    <w:rsid w:val="00AE6CD2"/>
    <w:rsid w:val="00AE6D30"/>
    <w:rsid w:val="00AE6D3F"/>
    <w:rsid w:val="00AE6F55"/>
    <w:rsid w:val="00AE70B6"/>
    <w:rsid w:val="00AE7229"/>
    <w:rsid w:val="00AE7321"/>
    <w:rsid w:val="00AE740D"/>
    <w:rsid w:val="00AE7493"/>
    <w:rsid w:val="00AE74B5"/>
    <w:rsid w:val="00AE76A3"/>
    <w:rsid w:val="00AE775B"/>
    <w:rsid w:val="00AE7776"/>
    <w:rsid w:val="00AE7859"/>
    <w:rsid w:val="00AE7A02"/>
    <w:rsid w:val="00AE7A5C"/>
    <w:rsid w:val="00AE7AF6"/>
    <w:rsid w:val="00AE7AFF"/>
    <w:rsid w:val="00AE7B2C"/>
    <w:rsid w:val="00AE7C83"/>
    <w:rsid w:val="00AE7E38"/>
    <w:rsid w:val="00AE7FA2"/>
    <w:rsid w:val="00AF04FF"/>
    <w:rsid w:val="00AF06D9"/>
    <w:rsid w:val="00AF085F"/>
    <w:rsid w:val="00AF0945"/>
    <w:rsid w:val="00AF0954"/>
    <w:rsid w:val="00AF09FA"/>
    <w:rsid w:val="00AF0A4D"/>
    <w:rsid w:val="00AF0A8F"/>
    <w:rsid w:val="00AF0B02"/>
    <w:rsid w:val="00AF0B3A"/>
    <w:rsid w:val="00AF0B81"/>
    <w:rsid w:val="00AF0C4D"/>
    <w:rsid w:val="00AF0CAF"/>
    <w:rsid w:val="00AF1024"/>
    <w:rsid w:val="00AF10FD"/>
    <w:rsid w:val="00AF1402"/>
    <w:rsid w:val="00AF142E"/>
    <w:rsid w:val="00AF1520"/>
    <w:rsid w:val="00AF1529"/>
    <w:rsid w:val="00AF16A7"/>
    <w:rsid w:val="00AF16DD"/>
    <w:rsid w:val="00AF18EF"/>
    <w:rsid w:val="00AF1993"/>
    <w:rsid w:val="00AF1B8E"/>
    <w:rsid w:val="00AF1CFB"/>
    <w:rsid w:val="00AF1CFE"/>
    <w:rsid w:val="00AF1D58"/>
    <w:rsid w:val="00AF1E6B"/>
    <w:rsid w:val="00AF1EFE"/>
    <w:rsid w:val="00AF1F2E"/>
    <w:rsid w:val="00AF1FC7"/>
    <w:rsid w:val="00AF1FE8"/>
    <w:rsid w:val="00AF218B"/>
    <w:rsid w:val="00AF21CA"/>
    <w:rsid w:val="00AF22CE"/>
    <w:rsid w:val="00AF24B4"/>
    <w:rsid w:val="00AF257D"/>
    <w:rsid w:val="00AF26E3"/>
    <w:rsid w:val="00AF270D"/>
    <w:rsid w:val="00AF278B"/>
    <w:rsid w:val="00AF2952"/>
    <w:rsid w:val="00AF29BD"/>
    <w:rsid w:val="00AF2B75"/>
    <w:rsid w:val="00AF2B9A"/>
    <w:rsid w:val="00AF2BDA"/>
    <w:rsid w:val="00AF2D9E"/>
    <w:rsid w:val="00AF2E59"/>
    <w:rsid w:val="00AF2F75"/>
    <w:rsid w:val="00AF2F8D"/>
    <w:rsid w:val="00AF2FDA"/>
    <w:rsid w:val="00AF309A"/>
    <w:rsid w:val="00AF30F2"/>
    <w:rsid w:val="00AF313A"/>
    <w:rsid w:val="00AF3228"/>
    <w:rsid w:val="00AF348F"/>
    <w:rsid w:val="00AF3596"/>
    <w:rsid w:val="00AF36AF"/>
    <w:rsid w:val="00AF3815"/>
    <w:rsid w:val="00AF386F"/>
    <w:rsid w:val="00AF3A94"/>
    <w:rsid w:val="00AF3C36"/>
    <w:rsid w:val="00AF3CAE"/>
    <w:rsid w:val="00AF3E90"/>
    <w:rsid w:val="00AF3EA6"/>
    <w:rsid w:val="00AF40F9"/>
    <w:rsid w:val="00AF4144"/>
    <w:rsid w:val="00AF4214"/>
    <w:rsid w:val="00AF42DF"/>
    <w:rsid w:val="00AF42FB"/>
    <w:rsid w:val="00AF433B"/>
    <w:rsid w:val="00AF43C5"/>
    <w:rsid w:val="00AF4474"/>
    <w:rsid w:val="00AF44BD"/>
    <w:rsid w:val="00AF4770"/>
    <w:rsid w:val="00AF4772"/>
    <w:rsid w:val="00AF4965"/>
    <w:rsid w:val="00AF496F"/>
    <w:rsid w:val="00AF4987"/>
    <w:rsid w:val="00AF4B9F"/>
    <w:rsid w:val="00AF4BA3"/>
    <w:rsid w:val="00AF4D6C"/>
    <w:rsid w:val="00AF4DE3"/>
    <w:rsid w:val="00AF4E63"/>
    <w:rsid w:val="00AF4EA0"/>
    <w:rsid w:val="00AF5296"/>
    <w:rsid w:val="00AF52F1"/>
    <w:rsid w:val="00AF52F8"/>
    <w:rsid w:val="00AF5375"/>
    <w:rsid w:val="00AF53A0"/>
    <w:rsid w:val="00AF54DE"/>
    <w:rsid w:val="00AF553C"/>
    <w:rsid w:val="00AF557C"/>
    <w:rsid w:val="00AF57D7"/>
    <w:rsid w:val="00AF5909"/>
    <w:rsid w:val="00AF5913"/>
    <w:rsid w:val="00AF5B49"/>
    <w:rsid w:val="00AF5C4C"/>
    <w:rsid w:val="00AF5C96"/>
    <w:rsid w:val="00AF5E32"/>
    <w:rsid w:val="00AF5E49"/>
    <w:rsid w:val="00AF5EC7"/>
    <w:rsid w:val="00AF5FF8"/>
    <w:rsid w:val="00AF6025"/>
    <w:rsid w:val="00AF602B"/>
    <w:rsid w:val="00AF6071"/>
    <w:rsid w:val="00AF6140"/>
    <w:rsid w:val="00AF6167"/>
    <w:rsid w:val="00AF6199"/>
    <w:rsid w:val="00AF6377"/>
    <w:rsid w:val="00AF6487"/>
    <w:rsid w:val="00AF6558"/>
    <w:rsid w:val="00AF655E"/>
    <w:rsid w:val="00AF66EF"/>
    <w:rsid w:val="00AF683E"/>
    <w:rsid w:val="00AF693C"/>
    <w:rsid w:val="00AF69C5"/>
    <w:rsid w:val="00AF6A9E"/>
    <w:rsid w:val="00AF6DE4"/>
    <w:rsid w:val="00AF6E07"/>
    <w:rsid w:val="00AF6F25"/>
    <w:rsid w:val="00AF6FC5"/>
    <w:rsid w:val="00AF7122"/>
    <w:rsid w:val="00AF71E2"/>
    <w:rsid w:val="00AF7204"/>
    <w:rsid w:val="00AF7247"/>
    <w:rsid w:val="00AF72C1"/>
    <w:rsid w:val="00AF7309"/>
    <w:rsid w:val="00AF73AE"/>
    <w:rsid w:val="00AF7571"/>
    <w:rsid w:val="00AF757F"/>
    <w:rsid w:val="00AF7616"/>
    <w:rsid w:val="00AF7689"/>
    <w:rsid w:val="00AF768A"/>
    <w:rsid w:val="00AF774C"/>
    <w:rsid w:val="00AF78B7"/>
    <w:rsid w:val="00AF79FF"/>
    <w:rsid w:val="00AF7ACE"/>
    <w:rsid w:val="00AF7B9D"/>
    <w:rsid w:val="00AF7BE8"/>
    <w:rsid w:val="00AF7D1A"/>
    <w:rsid w:val="00AF7DF3"/>
    <w:rsid w:val="00AF7E61"/>
    <w:rsid w:val="00AF7FE1"/>
    <w:rsid w:val="00B0011E"/>
    <w:rsid w:val="00B0024E"/>
    <w:rsid w:val="00B00282"/>
    <w:rsid w:val="00B00477"/>
    <w:rsid w:val="00B004BC"/>
    <w:rsid w:val="00B00587"/>
    <w:rsid w:val="00B005B9"/>
    <w:rsid w:val="00B0069C"/>
    <w:rsid w:val="00B0077D"/>
    <w:rsid w:val="00B008F0"/>
    <w:rsid w:val="00B00948"/>
    <w:rsid w:val="00B00957"/>
    <w:rsid w:val="00B00A4E"/>
    <w:rsid w:val="00B00AAC"/>
    <w:rsid w:val="00B00AEA"/>
    <w:rsid w:val="00B00C51"/>
    <w:rsid w:val="00B00D56"/>
    <w:rsid w:val="00B00E95"/>
    <w:rsid w:val="00B00F49"/>
    <w:rsid w:val="00B00F7F"/>
    <w:rsid w:val="00B0107B"/>
    <w:rsid w:val="00B011D3"/>
    <w:rsid w:val="00B01232"/>
    <w:rsid w:val="00B01292"/>
    <w:rsid w:val="00B013BD"/>
    <w:rsid w:val="00B013EF"/>
    <w:rsid w:val="00B01431"/>
    <w:rsid w:val="00B0159B"/>
    <w:rsid w:val="00B01787"/>
    <w:rsid w:val="00B01836"/>
    <w:rsid w:val="00B018AC"/>
    <w:rsid w:val="00B01923"/>
    <w:rsid w:val="00B0197F"/>
    <w:rsid w:val="00B019F6"/>
    <w:rsid w:val="00B01AFE"/>
    <w:rsid w:val="00B01D4D"/>
    <w:rsid w:val="00B02027"/>
    <w:rsid w:val="00B02079"/>
    <w:rsid w:val="00B02287"/>
    <w:rsid w:val="00B02374"/>
    <w:rsid w:val="00B0247C"/>
    <w:rsid w:val="00B0252D"/>
    <w:rsid w:val="00B025D8"/>
    <w:rsid w:val="00B0274B"/>
    <w:rsid w:val="00B027B2"/>
    <w:rsid w:val="00B028AD"/>
    <w:rsid w:val="00B0290D"/>
    <w:rsid w:val="00B0291F"/>
    <w:rsid w:val="00B02948"/>
    <w:rsid w:val="00B02BE9"/>
    <w:rsid w:val="00B02C86"/>
    <w:rsid w:val="00B02D3A"/>
    <w:rsid w:val="00B02E2F"/>
    <w:rsid w:val="00B02E33"/>
    <w:rsid w:val="00B02F79"/>
    <w:rsid w:val="00B03011"/>
    <w:rsid w:val="00B0310E"/>
    <w:rsid w:val="00B03133"/>
    <w:rsid w:val="00B0320F"/>
    <w:rsid w:val="00B03224"/>
    <w:rsid w:val="00B03299"/>
    <w:rsid w:val="00B03328"/>
    <w:rsid w:val="00B033D6"/>
    <w:rsid w:val="00B0343F"/>
    <w:rsid w:val="00B036A6"/>
    <w:rsid w:val="00B036EA"/>
    <w:rsid w:val="00B03827"/>
    <w:rsid w:val="00B038BF"/>
    <w:rsid w:val="00B03A2A"/>
    <w:rsid w:val="00B03A50"/>
    <w:rsid w:val="00B03B6C"/>
    <w:rsid w:val="00B03ECA"/>
    <w:rsid w:val="00B03FA0"/>
    <w:rsid w:val="00B04039"/>
    <w:rsid w:val="00B04064"/>
    <w:rsid w:val="00B04130"/>
    <w:rsid w:val="00B0418E"/>
    <w:rsid w:val="00B041E6"/>
    <w:rsid w:val="00B04273"/>
    <w:rsid w:val="00B044D9"/>
    <w:rsid w:val="00B0459B"/>
    <w:rsid w:val="00B0471F"/>
    <w:rsid w:val="00B04746"/>
    <w:rsid w:val="00B047CD"/>
    <w:rsid w:val="00B048E9"/>
    <w:rsid w:val="00B04924"/>
    <w:rsid w:val="00B0494E"/>
    <w:rsid w:val="00B04A25"/>
    <w:rsid w:val="00B04B46"/>
    <w:rsid w:val="00B04C6F"/>
    <w:rsid w:val="00B04D17"/>
    <w:rsid w:val="00B04DF4"/>
    <w:rsid w:val="00B04E31"/>
    <w:rsid w:val="00B04E41"/>
    <w:rsid w:val="00B04EB3"/>
    <w:rsid w:val="00B0525D"/>
    <w:rsid w:val="00B053B8"/>
    <w:rsid w:val="00B053EB"/>
    <w:rsid w:val="00B054CB"/>
    <w:rsid w:val="00B0552A"/>
    <w:rsid w:val="00B0565A"/>
    <w:rsid w:val="00B056D5"/>
    <w:rsid w:val="00B05764"/>
    <w:rsid w:val="00B05777"/>
    <w:rsid w:val="00B05878"/>
    <w:rsid w:val="00B05885"/>
    <w:rsid w:val="00B05891"/>
    <w:rsid w:val="00B059A3"/>
    <w:rsid w:val="00B059F3"/>
    <w:rsid w:val="00B05A64"/>
    <w:rsid w:val="00B05B86"/>
    <w:rsid w:val="00B05BAB"/>
    <w:rsid w:val="00B05D12"/>
    <w:rsid w:val="00B05D55"/>
    <w:rsid w:val="00B05DC7"/>
    <w:rsid w:val="00B05DC8"/>
    <w:rsid w:val="00B05EA4"/>
    <w:rsid w:val="00B05F1F"/>
    <w:rsid w:val="00B05F42"/>
    <w:rsid w:val="00B05F57"/>
    <w:rsid w:val="00B060E2"/>
    <w:rsid w:val="00B06103"/>
    <w:rsid w:val="00B06364"/>
    <w:rsid w:val="00B063C9"/>
    <w:rsid w:val="00B06475"/>
    <w:rsid w:val="00B06664"/>
    <w:rsid w:val="00B06728"/>
    <w:rsid w:val="00B06737"/>
    <w:rsid w:val="00B06945"/>
    <w:rsid w:val="00B069C4"/>
    <w:rsid w:val="00B06A9A"/>
    <w:rsid w:val="00B06AB8"/>
    <w:rsid w:val="00B06B39"/>
    <w:rsid w:val="00B06B85"/>
    <w:rsid w:val="00B06CB5"/>
    <w:rsid w:val="00B06CE7"/>
    <w:rsid w:val="00B06DAB"/>
    <w:rsid w:val="00B06F1A"/>
    <w:rsid w:val="00B06F77"/>
    <w:rsid w:val="00B0737D"/>
    <w:rsid w:val="00B07409"/>
    <w:rsid w:val="00B074FF"/>
    <w:rsid w:val="00B0750F"/>
    <w:rsid w:val="00B07554"/>
    <w:rsid w:val="00B075E1"/>
    <w:rsid w:val="00B0761F"/>
    <w:rsid w:val="00B0787F"/>
    <w:rsid w:val="00B07B2B"/>
    <w:rsid w:val="00B07BB4"/>
    <w:rsid w:val="00B07C23"/>
    <w:rsid w:val="00B07E0E"/>
    <w:rsid w:val="00B07EB6"/>
    <w:rsid w:val="00B07EBE"/>
    <w:rsid w:val="00B07F7B"/>
    <w:rsid w:val="00B0FCBF"/>
    <w:rsid w:val="00B100DE"/>
    <w:rsid w:val="00B100E6"/>
    <w:rsid w:val="00B10327"/>
    <w:rsid w:val="00B103D4"/>
    <w:rsid w:val="00B103E8"/>
    <w:rsid w:val="00B10547"/>
    <w:rsid w:val="00B105D3"/>
    <w:rsid w:val="00B10655"/>
    <w:rsid w:val="00B106B9"/>
    <w:rsid w:val="00B10A4C"/>
    <w:rsid w:val="00B10DA7"/>
    <w:rsid w:val="00B10DBE"/>
    <w:rsid w:val="00B10E49"/>
    <w:rsid w:val="00B10F0A"/>
    <w:rsid w:val="00B10FFC"/>
    <w:rsid w:val="00B1105B"/>
    <w:rsid w:val="00B110A7"/>
    <w:rsid w:val="00B11148"/>
    <w:rsid w:val="00B111D0"/>
    <w:rsid w:val="00B11217"/>
    <w:rsid w:val="00B1130F"/>
    <w:rsid w:val="00B1147C"/>
    <w:rsid w:val="00B11534"/>
    <w:rsid w:val="00B115BE"/>
    <w:rsid w:val="00B115F0"/>
    <w:rsid w:val="00B1188F"/>
    <w:rsid w:val="00B11CD7"/>
    <w:rsid w:val="00B11DD2"/>
    <w:rsid w:val="00B11E4C"/>
    <w:rsid w:val="00B11FD0"/>
    <w:rsid w:val="00B1203E"/>
    <w:rsid w:val="00B121A6"/>
    <w:rsid w:val="00B1230B"/>
    <w:rsid w:val="00B12329"/>
    <w:rsid w:val="00B125B3"/>
    <w:rsid w:val="00B125EB"/>
    <w:rsid w:val="00B12693"/>
    <w:rsid w:val="00B1278D"/>
    <w:rsid w:val="00B127AC"/>
    <w:rsid w:val="00B1288D"/>
    <w:rsid w:val="00B12902"/>
    <w:rsid w:val="00B129C4"/>
    <w:rsid w:val="00B12A1A"/>
    <w:rsid w:val="00B12AF6"/>
    <w:rsid w:val="00B12D16"/>
    <w:rsid w:val="00B12D23"/>
    <w:rsid w:val="00B12D70"/>
    <w:rsid w:val="00B12DF5"/>
    <w:rsid w:val="00B12EFE"/>
    <w:rsid w:val="00B12F05"/>
    <w:rsid w:val="00B12FD0"/>
    <w:rsid w:val="00B12FD4"/>
    <w:rsid w:val="00B12FE0"/>
    <w:rsid w:val="00B13020"/>
    <w:rsid w:val="00B13085"/>
    <w:rsid w:val="00B13314"/>
    <w:rsid w:val="00B13357"/>
    <w:rsid w:val="00B13386"/>
    <w:rsid w:val="00B1339E"/>
    <w:rsid w:val="00B133C1"/>
    <w:rsid w:val="00B13441"/>
    <w:rsid w:val="00B134C7"/>
    <w:rsid w:val="00B136F3"/>
    <w:rsid w:val="00B13921"/>
    <w:rsid w:val="00B13A4F"/>
    <w:rsid w:val="00B13B29"/>
    <w:rsid w:val="00B13F57"/>
    <w:rsid w:val="00B14014"/>
    <w:rsid w:val="00B140A1"/>
    <w:rsid w:val="00B14147"/>
    <w:rsid w:val="00B143A7"/>
    <w:rsid w:val="00B14400"/>
    <w:rsid w:val="00B1446D"/>
    <w:rsid w:val="00B14481"/>
    <w:rsid w:val="00B14664"/>
    <w:rsid w:val="00B14787"/>
    <w:rsid w:val="00B14798"/>
    <w:rsid w:val="00B147B8"/>
    <w:rsid w:val="00B148D2"/>
    <w:rsid w:val="00B1492A"/>
    <w:rsid w:val="00B1497C"/>
    <w:rsid w:val="00B14AB6"/>
    <w:rsid w:val="00B14B1F"/>
    <w:rsid w:val="00B14B2D"/>
    <w:rsid w:val="00B14CEE"/>
    <w:rsid w:val="00B14D11"/>
    <w:rsid w:val="00B14D5A"/>
    <w:rsid w:val="00B14DDE"/>
    <w:rsid w:val="00B14EB6"/>
    <w:rsid w:val="00B14F20"/>
    <w:rsid w:val="00B1510C"/>
    <w:rsid w:val="00B15145"/>
    <w:rsid w:val="00B15177"/>
    <w:rsid w:val="00B1517E"/>
    <w:rsid w:val="00B15227"/>
    <w:rsid w:val="00B15352"/>
    <w:rsid w:val="00B15444"/>
    <w:rsid w:val="00B15467"/>
    <w:rsid w:val="00B1553D"/>
    <w:rsid w:val="00B1562E"/>
    <w:rsid w:val="00B159E4"/>
    <w:rsid w:val="00B15BD8"/>
    <w:rsid w:val="00B15C25"/>
    <w:rsid w:val="00B15D1F"/>
    <w:rsid w:val="00B15EDA"/>
    <w:rsid w:val="00B15EE5"/>
    <w:rsid w:val="00B1605A"/>
    <w:rsid w:val="00B16079"/>
    <w:rsid w:val="00B161B5"/>
    <w:rsid w:val="00B16399"/>
    <w:rsid w:val="00B165FF"/>
    <w:rsid w:val="00B16709"/>
    <w:rsid w:val="00B1689B"/>
    <w:rsid w:val="00B16A45"/>
    <w:rsid w:val="00B16A86"/>
    <w:rsid w:val="00B16AC3"/>
    <w:rsid w:val="00B16C83"/>
    <w:rsid w:val="00B16D85"/>
    <w:rsid w:val="00B16E3D"/>
    <w:rsid w:val="00B16EBB"/>
    <w:rsid w:val="00B16F90"/>
    <w:rsid w:val="00B16F9A"/>
    <w:rsid w:val="00B17087"/>
    <w:rsid w:val="00B17353"/>
    <w:rsid w:val="00B173C5"/>
    <w:rsid w:val="00B173EC"/>
    <w:rsid w:val="00B17512"/>
    <w:rsid w:val="00B17529"/>
    <w:rsid w:val="00B17674"/>
    <w:rsid w:val="00B17760"/>
    <w:rsid w:val="00B177F5"/>
    <w:rsid w:val="00B17834"/>
    <w:rsid w:val="00B17867"/>
    <w:rsid w:val="00B178CD"/>
    <w:rsid w:val="00B178F5"/>
    <w:rsid w:val="00B17967"/>
    <w:rsid w:val="00B179A1"/>
    <w:rsid w:val="00B17DF5"/>
    <w:rsid w:val="00B17E53"/>
    <w:rsid w:val="00B20101"/>
    <w:rsid w:val="00B2011F"/>
    <w:rsid w:val="00B201CE"/>
    <w:rsid w:val="00B20400"/>
    <w:rsid w:val="00B205F9"/>
    <w:rsid w:val="00B20692"/>
    <w:rsid w:val="00B207B0"/>
    <w:rsid w:val="00B2091F"/>
    <w:rsid w:val="00B20955"/>
    <w:rsid w:val="00B209DE"/>
    <w:rsid w:val="00B20A15"/>
    <w:rsid w:val="00B20A59"/>
    <w:rsid w:val="00B20AB7"/>
    <w:rsid w:val="00B20C54"/>
    <w:rsid w:val="00B20CD4"/>
    <w:rsid w:val="00B20ECD"/>
    <w:rsid w:val="00B20EEA"/>
    <w:rsid w:val="00B20FED"/>
    <w:rsid w:val="00B21040"/>
    <w:rsid w:val="00B21055"/>
    <w:rsid w:val="00B211E2"/>
    <w:rsid w:val="00B2120D"/>
    <w:rsid w:val="00B21271"/>
    <w:rsid w:val="00B212CF"/>
    <w:rsid w:val="00B2150B"/>
    <w:rsid w:val="00B21511"/>
    <w:rsid w:val="00B2163B"/>
    <w:rsid w:val="00B21747"/>
    <w:rsid w:val="00B21956"/>
    <w:rsid w:val="00B21A01"/>
    <w:rsid w:val="00B21A47"/>
    <w:rsid w:val="00B21A91"/>
    <w:rsid w:val="00B21B11"/>
    <w:rsid w:val="00B21B9D"/>
    <w:rsid w:val="00B21C03"/>
    <w:rsid w:val="00B21D2C"/>
    <w:rsid w:val="00B21DE7"/>
    <w:rsid w:val="00B21F12"/>
    <w:rsid w:val="00B220F1"/>
    <w:rsid w:val="00B2214A"/>
    <w:rsid w:val="00B2215F"/>
    <w:rsid w:val="00B22173"/>
    <w:rsid w:val="00B2224F"/>
    <w:rsid w:val="00B223A5"/>
    <w:rsid w:val="00B223B3"/>
    <w:rsid w:val="00B22430"/>
    <w:rsid w:val="00B22462"/>
    <w:rsid w:val="00B2249F"/>
    <w:rsid w:val="00B227DD"/>
    <w:rsid w:val="00B22A2A"/>
    <w:rsid w:val="00B22A6B"/>
    <w:rsid w:val="00B22AED"/>
    <w:rsid w:val="00B22B4B"/>
    <w:rsid w:val="00B22E1B"/>
    <w:rsid w:val="00B22EB9"/>
    <w:rsid w:val="00B22F28"/>
    <w:rsid w:val="00B22F85"/>
    <w:rsid w:val="00B22FAC"/>
    <w:rsid w:val="00B22FFA"/>
    <w:rsid w:val="00B231AD"/>
    <w:rsid w:val="00B2322C"/>
    <w:rsid w:val="00B2323C"/>
    <w:rsid w:val="00B2330D"/>
    <w:rsid w:val="00B233BF"/>
    <w:rsid w:val="00B23403"/>
    <w:rsid w:val="00B23432"/>
    <w:rsid w:val="00B234E0"/>
    <w:rsid w:val="00B235D2"/>
    <w:rsid w:val="00B236A4"/>
    <w:rsid w:val="00B237B2"/>
    <w:rsid w:val="00B23989"/>
    <w:rsid w:val="00B23AD5"/>
    <w:rsid w:val="00B23AF2"/>
    <w:rsid w:val="00B23B41"/>
    <w:rsid w:val="00B23D97"/>
    <w:rsid w:val="00B24028"/>
    <w:rsid w:val="00B24059"/>
    <w:rsid w:val="00B24077"/>
    <w:rsid w:val="00B24236"/>
    <w:rsid w:val="00B2427D"/>
    <w:rsid w:val="00B243C4"/>
    <w:rsid w:val="00B243F1"/>
    <w:rsid w:val="00B243F5"/>
    <w:rsid w:val="00B24448"/>
    <w:rsid w:val="00B24498"/>
    <w:rsid w:val="00B244AB"/>
    <w:rsid w:val="00B244EC"/>
    <w:rsid w:val="00B247FB"/>
    <w:rsid w:val="00B24808"/>
    <w:rsid w:val="00B2485F"/>
    <w:rsid w:val="00B2494C"/>
    <w:rsid w:val="00B24972"/>
    <w:rsid w:val="00B24A74"/>
    <w:rsid w:val="00B24B3C"/>
    <w:rsid w:val="00B24B61"/>
    <w:rsid w:val="00B24C69"/>
    <w:rsid w:val="00B24DFF"/>
    <w:rsid w:val="00B24F21"/>
    <w:rsid w:val="00B24F2F"/>
    <w:rsid w:val="00B24F6C"/>
    <w:rsid w:val="00B2517C"/>
    <w:rsid w:val="00B2532D"/>
    <w:rsid w:val="00B254CC"/>
    <w:rsid w:val="00B256BE"/>
    <w:rsid w:val="00B257CF"/>
    <w:rsid w:val="00B25817"/>
    <w:rsid w:val="00B25A0A"/>
    <w:rsid w:val="00B25A61"/>
    <w:rsid w:val="00B25B7C"/>
    <w:rsid w:val="00B25C33"/>
    <w:rsid w:val="00B25CAD"/>
    <w:rsid w:val="00B25CD6"/>
    <w:rsid w:val="00B25D42"/>
    <w:rsid w:val="00B26056"/>
    <w:rsid w:val="00B26089"/>
    <w:rsid w:val="00B261E7"/>
    <w:rsid w:val="00B2623C"/>
    <w:rsid w:val="00B26375"/>
    <w:rsid w:val="00B26454"/>
    <w:rsid w:val="00B265BF"/>
    <w:rsid w:val="00B26712"/>
    <w:rsid w:val="00B267A0"/>
    <w:rsid w:val="00B267A5"/>
    <w:rsid w:val="00B26BE8"/>
    <w:rsid w:val="00B26C21"/>
    <w:rsid w:val="00B26D58"/>
    <w:rsid w:val="00B26E9A"/>
    <w:rsid w:val="00B26EA2"/>
    <w:rsid w:val="00B26ED9"/>
    <w:rsid w:val="00B26F04"/>
    <w:rsid w:val="00B26FA3"/>
    <w:rsid w:val="00B27060"/>
    <w:rsid w:val="00B272A6"/>
    <w:rsid w:val="00B27459"/>
    <w:rsid w:val="00B2747B"/>
    <w:rsid w:val="00B274BD"/>
    <w:rsid w:val="00B274CD"/>
    <w:rsid w:val="00B275A9"/>
    <w:rsid w:val="00B275BD"/>
    <w:rsid w:val="00B275DF"/>
    <w:rsid w:val="00B2767E"/>
    <w:rsid w:val="00B277A3"/>
    <w:rsid w:val="00B277E3"/>
    <w:rsid w:val="00B279AF"/>
    <w:rsid w:val="00B279B0"/>
    <w:rsid w:val="00B27A58"/>
    <w:rsid w:val="00B27AEF"/>
    <w:rsid w:val="00B27BA8"/>
    <w:rsid w:val="00B27D3A"/>
    <w:rsid w:val="00B27F09"/>
    <w:rsid w:val="00B2F949"/>
    <w:rsid w:val="00B30095"/>
    <w:rsid w:val="00B3044F"/>
    <w:rsid w:val="00B3047C"/>
    <w:rsid w:val="00B3079C"/>
    <w:rsid w:val="00B307B7"/>
    <w:rsid w:val="00B307D7"/>
    <w:rsid w:val="00B3084F"/>
    <w:rsid w:val="00B30963"/>
    <w:rsid w:val="00B309A2"/>
    <w:rsid w:val="00B30A78"/>
    <w:rsid w:val="00B30C2E"/>
    <w:rsid w:val="00B30D5C"/>
    <w:rsid w:val="00B30DE8"/>
    <w:rsid w:val="00B30E78"/>
    <w:rsid w:val="00B3107C"/>
    <w:rsid w:val="00B3109C"/>
    <w:rsid w:val="00B310B1"/>
    <w:rsid w:val="00B31178"/>
    <w:rsid w:val="00B312E8"/>
    <w:rsid w:val="00B313C7"/>
    <w:rsid w:val="00B313F9"/>
    <w:rsid w:val="00B3143B"/>
    <w:rsid w:val="00B314EC"/>
    <w:rsid w:val="00B31528"/>
    <w:rsid w:val="00B3167E"/>
    <w:rsid w:val="00B31691"/>
    <w:rsid w:val="00B31754"/>
    <w:rsid w:val="00B3180A"/>
    <w:rsid w:val="00B318D1"/>
    <w:rsid w:val="00B318E5"/>
    <w:rsid w:val="00B318EA"/>
    <w:rsid w:val="00B319C5"/>
    <w:rsid w:val="00B319E2"/>
    <w:rsid w:val="00B31AD4"/>
    <w:rsid w:val="00B31BBB"/>
    <w:rsid w:val="00B31CF8"/>
    <w:rsid w:val="00B31E56"/>
    <w:rsid w:val="00B31ED4"/>
    <w:rsid w:val="00B31F1B"/>
    <w:rsid w:val="00B31F66"/>
    <w:rsid w:val="00B31F95"/>
    <w:rsid w:val="00B31FF3"/>
    <w:rsid w:val="00B32022"/>
    <w:rsid w:val="00B3211D"/>
    <w:rsid w:val="00B3215E"/>
    <w:rsid w:val="00B324AD"/>
    <w:rsid w:val="00B325A7"/>
    <w:rsid w:val="00B32649"/>
    <w:rsid w:val="00B326E1"/>
    <w:rsid w:val="00B3275D"/>
    <w:rsid w:val="00B327EB"/>
    <w:rsid w:val="00B328CF"/>
    <w:rsid w:val="00B32A2A"/>
    <w:rsid w:val="00B32AA5"/>
    <w:rsid w:val="00B32B4B"/>
    <w:rsid w:val="00B32BB0"/>
    <w:rsid w:val="00B32C3D"/>
    <w:rsid w:val="00B32E2A"/>
    <w:rsid w:val="00B32E6C"/>
    <w:rsid w:val="00B330AC"/>
    <w:rsid w:val="00B330E5"/>
    <w:rsid w:val="00B331C9"/>
    <w:rsid w:val="00B33256"/>
    <w:rsid w:val="00B33285"/>
    <w:rsid w:val="00B332D6"/>
    <w:rsid w:val="00B332D8"/>
    <w:rsid w:val="00B3347F"/>
    <w:rsid w:val="00B334B5"/>
    <w:rsid w:val="00B335A9"/>
    <w:rsid w:val="00B335D1"/>
    <w:rsid w:val="00B3363E"/>
    <w:rsid w:val="00B336EC"/>
    <w:rsid w:val="00B33767"/>
    <w:rsid w:val="00B338E3"/>
    <w:rsid w:val="00B33A0C"/>
    <w:rsid w:val="00B33A89"/>
    <w:rsid w:val="00B33AB0"/>
    <w:rsid w:val="00B33B49"/>
    <w:rsid w:val="00B33C4C"/>
    <w:rsid w:val="00B33C4E"/>
    <w:rsid w:val="00B33C93"/>
    <w:rsid w:val="00B33CB3"/>
    <w:rsid w:val="00B33E28"/>
    <w:rsid w:val="00B33E7A"/>
    <w:rsid w:val="00B33EBF"/>
    <w:rsid w:val="00B33EEE"/>
    <w:rsid w:val="00B33F5B"/>
    <w:rsid w:val="00B33FF0"/>
    <w:rsid w:val="00B34051"/>
    <w:rsid w:val="00B340A0"/>
    <w:rsid w:val="00B341A6"/>
    <w:rsid w:val="00B341C8"/>
    <w:rsid w:val="00B34281"/>
    <w:rsid w:val="00B344C9"/>
    <w:rsid w:val="00B345CA"/>
    <w:rsid w:val="00B34726"/>
    <w:rsid w:val="00B3479D"/>
    <w:rsid w:val="00B34836"/>
    <w:rsid w:val="00B34882"/>
    <w:rsid w:val="00B34912"/>
    <w:rsid w:val="00B34A89"/>
    <w:rsid w:val="00B34ADA"/>
    <w:rsid w:val="00B34B00"/>
    <w:rsid w:val="00B34C45"/>
    <w:rsid w:val="00B34F01"/>
    <w:rsid w:val="00B35017"/>
    <w:rsid w:val="00B35020"/>
    <w:rsid w:val="00B351F4"/>
    <w:rsid w:val="00B3535F"/>
    <w:rsid w:val="00B353D5"/>
    <w:rsid w:val="00B353DC"/>
    <w:rsid w:val="00B354A8"/>
    <w:rsid w:val="00B35532"/>
    <w:rsid w:val="00B355A2"/>
    <w:rsid w:val="00B355F1"/>
    <w:rsid w:val="00B356F2"/>
    <w:rsid w:val="00B35873"/>
    <w:rsid w:val="00B358A9"/>
    <w:rsid w:val="00B358C3"/>
    <w:rsid w:val="00B35A27"/>
    <w:rsid w:val="00B35A58"/>
    <w:rsid w:val="00B35B3B"/>
    <w:rsid w:val="00B35BD0"/>
    <w:rsid w:val="00B35C88"/>
    <w:rsid w:val="00B35E75"/>
    <w:rsid w:val="00B360EE"/>
    <w:rsid w:val="00B36138"/>
    <w:rsid w:val="00B36150"/>
    <w:rsid w:val="00B361A5"/>
    <w:rsid w:val="00B361C0"/>
    <w:rsid w:val="00B362EB"/>
    <w:rsid w:val="00B3637C"/>
    <w:rsid w:val="00B3646A"/>
    <w:rsid w:val="00B364C0"/>
    <w:rsid w:val="00B364C1"/>
    <w:rsid w:val="00B364D3"/>
    <w:rsid w:val="00B3653C"/>
    <w:rsid w:val="00B3657D"/>
    <w:rsid w:val="00B3662C"/>
    <w:rsid w:val="00B3663E"/>
    <w:rsid w:val="00B366B0"/>
    <w:rsid w:val="00B36703"/>
    <w:rsid w:val="00B3677A"/>
    <w:rsid w:val="00B367EB"/>
    <w:rsid w:val="00B3691C"/>
    <w:rsid w:val="00B36960"/>
    <w:rsid w:val="00B36A71"/>
    <w:rsid w:val="00B36B70"/>
    <w:rsid w:val="00B36E0F"/>
    <w:rsid w:val="00B36FCC"/>
    <w:rsid w:val="00B3710E"/>
    <w:rsid w:val="00B37162"/>
    <w:rsid w:val="00B3737E"/>
    <w:rsid w:val="00B37429"/>
    <w:rsid w:val="00B3743E"/>
    <w:rsid w:val="00B37769"/>
    <w:rsid w:val="00B3782F"/>
    <w:rsid w:val="00B378A8"/>
    <w:rsid w:val="00B378F9"/>
    <w:rsid w:val="00B37904"/>
    <w:rsid w:val="00B37957"/>
    <w:rsid w:val="00B379DB"/>
    <w:rsid w:val="00B37A22"/>
    <w:rsid w:val="00B37AD9"/>
    <w:rsid w:val="00B37AF4"/>
    <w:rsid w:val="00B37B2F"/>
    <w:rsid w:val="00B37B6B"/>
    <w:rsid w:val="00B37C11"/>
    <w:rsid w:val="00B37CA9"/>
    <w:rsid w:val="00B37CFC"/>
    <w:rsid w:val="00B37F65"/>
    <w:rsid w:val="00B40362"/>
    <w:rsid w:val="00B4064C"/>
    <w:rsid w:val="00B407BA"/>
    <w:rsid w:val="00B4095C"/>
    <w:rsid w:val="00B40966"/>
    <w:rsid w:val="00B40A04"/>
    <w:rsid w:val="00B40C0C"/>
    <w:rsid w:val="00B40C1C"/>
    <w:rsid w:val="00B40CEC"/>
    <w:rsid w:val="00B40D66"/>
    <w:rsid w:val="00B40ED8"/>
    <w:rsid w:val="00B40F9C"/>
    <w:rsid w:val="00B40FCA"/>
    <w:rsid w:val="00B41286"/>
    <w:rsid w:val="00B414FA"/>
    <w:rsid w:val="00B4175E"/>
    <w:rsid w:val="00B417F8"/>
    <w:rsid w:val="00B41B89"/>
    <w:rsid w:val="00B41BEB"/>
    <w:rsid w:val="00B41C71"/>
    <w:rsid w:val="00B41CAA"/>
    <w:rsid w:val="00B41D26"/>
    <w:rsid w:val="00B41E0D"/>
    <w:rsid w:val="00B41E83"/>
    <w:rsid w:val="00B41EE4"/>
    <w:rsid w:val="00B41EFA"/>
    <w:rsid w:val="00B41FA4"/>
    <w:rsid w:val="00B4204A"/>
    <w:rsid w:val="00B421BC"/>
    <w:rsid w:val="00B421F7"/>
    <w:rsid w:val="00B42254"/>
    <w:rsid w:val="00B423E2"/>
    <w:rsid w:val="00B42513"/>
    <w:rsid w:val="00B42520"/>
    <w:rsid w:val="00B425A3"/>
    <w:rsid w:val="00B42AAC"/>
    <w:rsid w:val="00B42B99"/>
    <w:rsid w:val="00B42BC9"/>
    <w:rsid w:val="00B42DD2"/>
    <w:rsid w:val="00B42E87"/>
    <w:rsid w:val="00B42F98"/>
    <w:rsid w:val="00B4315F"/>
    <w:rsid w:val="00B4322E"/>
    <w:rsid w:val="00B4330F"/>
    <w:rsid w:val="00B4334A"/>
    <w:rsid w:val="00B43351"/>
    <w:rsid w:val="00B4345B"/>
    <w:rsid w:val="00B434AE"/>
    <w:rsid w:val="00B43558"/>
    <w:rsid w:val="00B4373B"/>
    <w:rsid w:val="00B43748"/>
    <w:rsid w:val="00B43799"/>
    <w:rsid w:val="00B43955"/>
    <w:rsid w:val="00B43971"/>
    <w:rsid w:val="00B43981"/>
    <w:rsid w:val="00B43A1A"/>
    <w:rsid w:val="00B43A6D"/>
    <w:rsid w:val="00B43AD2"/>
    <w:rsid w:val="00B43B58"/>
    <w:rsid w:val="00B43B6A"/>
    <w:rsid w:val="00B43B80"/>
    <w:rsid w:val="00B43D3A"/>
    <w:rsid w:val="00B43D76"/>
    <w:rsid w:val="00B43ED7"/>
    <w:rsid w:val="00B43F54"/>
    <w:rsid w:val="00B440B7"/>
    <w:rsid w:val="00B440CE"/>
    <w:rsid w:val="00B4427C"/>
    <w:rsid w:val="00B44381"/>
    <w:rsid w:val="00B44689"/>
    <w:rsid w:val="00B44756"/>
    <w:rsid w:val="00B4478F"/>
    <w:rsid w:val="00B447D3"/>
    <w:rsid w:val="00B447DF"/>
    <w:rsid w:val="00B4486D"/>
    <w:rsid w:val="00B44890"/>
    <w:rsid w:val="00B44A27"/>
    <w:rsid w:val="00B44AD9"/>
    <w:rsid w:val="00B44B9A"/>
    <w:rsid w:val="00B44DE1"/>
    <w:rsid w:val="00B44F68"/>
    <w:rsid w:val="00B450EC"/>
    <w:rsid w:val="00B45121"/>
    <w:rsid w:val="00B4512B"/>
    <w:rsid w:val="00B453C8"/>
    <w:rsid w:val="00B4555A"/>
    <w:rsid w:val="00B455AD"/>
    <w:rsid w:val="00B455D3"/>
    <w:rsid w:val="00B455E6"/>
    <w:rsid w:val="00B457E8"/>
    <w:rsid w:val="00B4586B"/>
    <w:rsid w:val="00B458F6"/>
    <w:rsid w:val="00B4592C"/>
    <w:rsid w:val="00B45993"/>
    <w:rsid w:val="00B45B79"/>
    <w:rsid w:val="00B45C47"/>
    <w:rsid w:val="00B45DAE"/>
    <w:rsid w:val="00B45E44"/>
    <w:rsid w:val="00B45EA8"/>
    <w:rsid w:val="00B45F69"/>
    <w:rsid w:val="00B46084"/>
    <w:rsid w:val="00B4609A"/>
    <w:rsid w:val="00B4611B"/>
    <w:rsid w:val="00B461BE"/>
    <w:rsid w:val="00B461ED"/>
    <w:rsid w:val="00B46289"/>
    <w:rsid w:val="00B462C6"/>
    <w:rsid w:val="00B4633C"/>
    <w:rsid w:val="00B4652B"/>
    <w:rsid w:val="00B4659F"/>
    <w:rsid w:val="00B465BA"/>
    <w:rsid w:val="00B465E5"/>
    <w:rsid w:val="00B4660D"/>
    <w:rsid w:val="00B4670E"/>
    <w:rsid w:val="00B468D4"/>
    <w:rsid w:val="00B46A92"/>
    <w:rsid w:val="00B46AFF"/>
    <w:rsid w:val="00B46C42"/>
    <w:rsid w:val="00B46DAE"/>
    <w:rsid w:val="00B46F0E"/>
    <w:rsid w:val="00B47121"/>
    <w:rsid w:val="00B47161"/>
    <w:rsid w:val="00B4721C"/>
    <w:rsid w:val="00B47294"/>
    <w:rsid w:val="00B472D1"/>
    <w:rsid w:val="00B47320"/>
    <w:rsid w:val="00B4740B"/>
    <w:rsid w:val="00B47437"/>
    <w:rsid w:val="00B474CE"/>
    <w:rsid w:val="00B474E4"/>
    <w:rsid w:val="00B47533"/>
    <w:rsid w:val="00B47597"/>
    <w:rsid w:val="00B47735"/>
    <w:rsid w:val="00B47775"/>
    <w:rsid w:val="00B47798"/>
    <w:rsid w:val="00B47862"/>
    <w:rsid w:val="00B479F2"/>
    <w:rsid w:val="00B47A87"/>
    <w:rsid w:val="00B47A8A"/>
    <w:rsid w:val="00B47B92"/>
    <w:rsid w:val="00B47BC6"/>
    <w:rsid w:val="00B47C6D"/>
    <w:rsid w:val="00B47E46"/>
    <w:rsid w:val="00B47EA9"/>
    <w:rsid w:val="00B47EC7"/>
    <w:rsid w:val="00B47EF1"/>
    <w:rsid w:val="00B47F8B"/>
    <w:rsid w:val="00B5000F"/>
    <w:rsid w:val="00B50195"/>
    <w:rsid w:val="00B5020C"/>
    <w:rsid w:val="00B502F9"/>
    <w:rsid w:val="00B50331"/>
    <w:rsid w:val="00B504A6"/>
    <w:rsid w:val="00B504F6"/>
    <w:rsid w:val="00B5057F"/>
    <w:rsid w:val="00B50593"/>
    <w:rsid w:val="00B50634"/>
    <w:rsid w:val="00B50679"/>
    <w:rsid w:val="00B506BB"/>
    <w:rsid w:val="00B5081D"/>
    <w:rsid w:val="00B50828"/>
    <w:rsid w:val="00B50B57"/>
    <w:rsid w:val="00B50BB1"/>
    <w:rsid w:val="00B50CEE"/>
    <w:rsid w:val="00B50DA4"/>
    <w:rsid w:val="00B50DF1"/>
    <w:rsid w:val="00B50E82"/>
    <w:rsid w:val="00B51072"/>
    <w:rsid w:val="00B5109E"/>
    <w:rsid w:val="00B510AA"/>
    <w:rsid w:val="00B51128"/>
    <w:rsid w:val="00B51203"/>
    <w:rsid w:val="00B5129C"/>
    <w:rsid w:val="00B5141E"/>
    <w:rsid w:val="00B5144E"/>
    <w:rsid w:val="00B5164D"/>
    <w:rsid w:val="00B51804"/>
    <w:rsid w:val="00B519CF"/>
    <w:rsid w:val="00B51ABE"/>
    <w:rsid w:val="00B51B46"/>
    <w:rsid w:val="00B51C5B"/>
    <w:rsid w:val="00B51F11"/>
    <w:rsid w:val="00B51F96"/>
    <w:rsid w:val="00B520A7"/>
    <w:rsid w:val="00B520B7"/>
    <w:rsid w:val="00B5212F"/>
    <w:rsid w:val="00B521A0"/>
    <w:rsid w:val="00B5238A"/>
    <w:rsid w:val="00B52643"/>
    <w:rsid w:val="00B5264F"/>
    <w:rsid w:val="00B5286C"/>
    <w:rsid w:val="00B52883"/>
    <w:rsid w:val="00B52AFB"/>
    <w:rsid w:val="00B52C06"/>
    <w:rsid w:val="00B52D94"/>
    <w:rsid w:val="00B52DF4"/>
    <w:rsid w:val="00B52E2F"/>
    <w:rsid w:val="00B52EB7"/>
    <w:rsid w:val="00B52F1F"/>
    <w:rsid w:val="00B52FFC"/>
    <w:rsid w:val="00B53028"/>
    <w:rsid w:val="00B53063"/>
    <w:rsid w:val="00B530FF"/>
    <w:rsid w:val="00B53135"/>
    <w:rsid w:val="00B53173"/>
    <w:rsid w:val="00B5317E"/>
    <w:rsid w:val="00B53199"/>
    <w:rsid w:val="00B53374"/>
    <w:rsid w:val="00B5337B"/>
    <w:rsid w:val="00B5337C"/>
    <w:rsid w:val="00B53492"/>
    <w:rsid w:val="00B53624"/>
    <w:rsid w:val="00B5387A"/>
    <w:rsid w:val="00B5389D"/>
    <w:rsid w:val="00B53CB0"/>
    <w:rsid w:val="00B53D00"/>
    <w:rsid w:val="00B53D0E"/>
    <w:rsid w:val="00B53F00"/>
    <w:rsid w:val="00B54112"/>
    <w:rsid w:val="00B543BC"/>
    <w:rsid w:val="00B54436"/>
    <w:rsid w:val="00B547BE"/>
    <w:rsid w:val="00B54B7D"/>
    <w:rsid w:val="00B54C9D"/>
    <w:rsid w:val="00B54E7A"/>
    <w:rsid w:val="00B54FA5"/>
    <w:rsid w:val="00B550A7"/>
    <w:rsid w:val="00B55187"/>
    <w:rsid w:val="00B5523D"/>
    <w:rsid w:val="00B55251"/>
    <w:rsid w:val="00B552E2"/>
    <w:rsid w:val="00B55391"/>
    <w:rsid w:val="00B5540B"/>
    <w:rsid w:val="00B5551D"/>
    <w:rsid w:val="00B5552C"/>
    <w:rsid w:val="00B555B3"/>
    <w:rsid w:val="00B5567B"/>
    <w:rsid w:val="00B55689"/>
    <w:rsid w:val="00B556AA"/>
    <w:rsid w:val="00B557FC"/>
    <w:rsid w:val="00B55838"/>
    <w:rsid w:val="00B55BCD"/>
    <w:rsid w:val="00B55D0F"/>
    <w:rsid w:val="00B55DCD"/>
    <w:rsid w:val="00B55E15"/>
    <w:rsid w:val="00B56098"/>
    <w:rsid w:val="00B5642E"/>
    <w:rsid w:val="00B5645E"/>
    <w:rsid w:val="00B56518"/>
    <w:rsid w:val="00B56642"/>
    <w:rsid w:val="00B5665D"/>
    <w:rsid w:val="00B5671D"/>
    <w:rsid w:val="00B56728"/>
    <w:rsid w:val="00B56916"/>
    <w:rsid w:val="00B5698A"/>
    <w:rsid w:val="00B56B58"/>
    <w:rsid w:val="00B56C09"/>
    <w:rsid w:val="00B56C1D"/>
    <w:rsid w:val="00B56CC5"/>
    <w:rsid w:val="00B56CFE"/>
    <w:rsid w:val="00B56DCF"/>
    <w:rsid w:val="00B56EBC"/>
    <w:rsid w:val="00B57154"/>
    <w:rsid w:val="00B57431"/>
    <w:rsid w:val="00B57447"/>
    <w:rsid w:val="00B574FD"/>
    <w:rsid w:val="00B57512"/>
    <w:rsid w:val="00B576DB"/>
    <w:rsid w:val="00B5772E"/>
    <w:rsid w:val="00B577ED"/>
    <w:rsid w:val="00B5780E"/>
    <w:rsid w:val="00B5781F"/>
    <w:rsid w:val="00B578B0"/>
    <w:rsid w:val="00B578DB"/>
    <w:rsid w:val="00B5798D"/>
    <w:rsid w:val="00B57A7F"/>
    <w:rsid w:val="00B57C8B"/>
    <w:rsid w:val="00B57D5B"/>
    <w:rsid w:val="00B57F64"/>
    <w:rsid w:val="00B601A1"/>
    <w:rsid w:val="00B601F7"/>
    <w:rsid w:val="00B60237"/>
    <w:rsid w:val="00B60243"/>
    <w:rsid w:val="00B60269"/>
    <w:rsid w:val="00B6026E"/>
    <w:rsid w:val="00B6033F"/>
    <w:rsid w:val="00B603D1"/>
    <w:rsid w:val="00B6041B"/>
    <w:rsid w:val="00B60456"/>
    <w:rsid w:val="00B60610"/>
    <w:rsid w:val="00B60659"/>
    <w:rsid w:val="00B606CA"/>
    <w:rsid w:val="00B60701"/>
    <w:rsid w:val="00B60798"/>
    <w:rsid w:val="00B608D2"/>
    <w:rsid w:val="00B609DA"/>
    <w:rsid w:val="00B60AFE"/>
    <w:rsid w:val="00B60E7D"/>
    <w:rsid w:val="00B60EEB"/>
    <w:rsid w:val="00B6115A"/>
    <w:rsid w:val="00B611D7"/>
    <w:rsid w:val="00B611EE"/>
    <w:rsid w:val="00B611F2"/>
    <w:rsid w:val="00B613CA"/>
    <w:rsid w:val="00B6140C"/>
    <w:rsid w:val="00B6144F"/>
    <w:rsid w:val="00B6159C"/>
    <w:rsid w:val="00B616E4"/>
    <w:rsid w:val="00B616EF"/>
    <w:rsid w:val="00B617DE"/>
    <w:rsid w:val="00B61805"/>
    <w:rsid w:val="00B6180C"/>
    <w:rsid w:val="00B618C5"/>
    <w:rsid w:val="00B61A15"/>
    <w:rsid w:val="00B61CDD"/>
    <w:rsid w:val="00B61D76"/>
    <w:rsid w:val="00B61ED8"/>
    <w:rsid w:val="00B61F1E"/>
    <w:rsid w:val="00B6203A"/>
    <w:rsid w:val="00B6210F"/>
    <w:rsid w:val="00B62137"/>
    <w:rsid w:val="00B622DB"/>
    <w:rsid w:val="00B623D4"/>
    <w:rsid w:val="00B624C4"/>
    <w:rsid w:val="00B62697"/>
    <w:rsid w:val="00B628A7"/>
    <w:rsid w:val="00B62A1E"/>
    <w:rsid w:val="00B62A50"/>
    <w:rsid w:val="00B62BD3"/>
    <w:rsid w:val="00B62BF6"/>
    <w:rsid w:val="00B62C3D"/>
    <w:rsid w:val="00B62D2E"/>
    <w:rsid w:val="00B62D84"/>
    <w:rsid w:val="00B62DFF"/>
    <w:rsid w:val="00B630FB"/>
    <w:rsid w:val="00B6320C"/>
    <w:rsid w:val="00B63460"/>
    <w:rsid w:val="00B63478"/>
    <w:rsid w:val="00B634F2"/>
    <w:rsid w:val="00B63505"/>
    <w:rsid w:val="00B63589"/>
    <w:rsid w:val="00B6358B"/>
    <w:rsid w:val="00B6378B"/>
    <w:rsid w:val="00B637FC"/>
    <w:rsid w:val="00B63A04"/>
    <w:rsid w:val="00B63A07"/>
    <w:rsid w:val="00B63B23"/>
    <w:rsid w:val="00B63BD0"/>
    <w:rsid w:val="00B63C14"/>
    <w:rsid w:val="00B63C87"/>
    <w:rsid w:val="00B63D12"/>
    <w:rsid w:val="00B63E06"/>
    <w:rsid w:val="00B640EC"/>
    <w:rsid w:val="00B6432B"/>
    <w:rsid w:val="00B643BB"/>
    <w:rsid w:val="00B64647"/>
    <w:rsid w:val="00B646B7"/>
    <w:rsid w:val="00B646BC"/>
    <w:rsid w:val="00B646DC"/>
    <w:rsid w:val="00B64705"/>
    <w:rsid w:val="00B6473E"/>
    <w:rsid w:val="00B64827"/>
    <w:rsid w:val="00B6489F"/>
    <w:rsid w:val="00B648E0"/>
    <w:rsid w:val="00B64A17"/>
    <w:rsid w:val="00B64B06"/>
    <w:rsid w:val="00B64B87"/>
    <w:rsid w:val="00B64CE4"/>
    <w:rsid w:val="00B64DFD"/>
    <w:rsid w:val="00B64EC7"/>
    <w:rsid w:val="00B64F54"/>
    <w:rsid w:val="00B64FB9"/>
    <w:rsid w:val="00B6509E"/>
    <w:rsid w:val="00B651CF"/>
    <w:rsid w:val="00B652DD"/>
    <w:rsid w:val="00B6538B"/>
    <w:rsid w:val="00B654BF"/>
    <w:rsid w:val="00B65627"/>
    <w:rsid w:val="00B6562A"/>
    <w:rsid w:val="00B65657"/>
    <w:rsid w:val="00B656F2"/>
    <w:rsid w:val="00B65726"/>
    <w:rsid w:val="00B6586A"/>
    <w:rsid w:val="00B659C6"/>
    <w:rsid w:val="00B659ED"/>
    <w:rsid w:val="00B65BBC"/>
    <w:rsid w:val="00B65C51"/>
    <w:rsid w:val="00B65C6A"/>
    <w:rsid w:val="00B65CA8"/>
    <w:rsid w:val="00B65D60"/>
    <w:rsid w:val="00B65D71"/>
    <w:rsid w:val="00B65DE8"/>
    <w:rsid w:val="00B65EA4"/>
    <w:rsid w:val="00B65F41"/>
    <w:rsid w:val="00B6602E"/>
    <w:rsid w:val="00B6622F"/>
    <w:rsid w:val="00B662AF"/>
    <w:rsid w:val="00B662C4"/>
    <w:rsid w:val="00B66305"/>
    <w:rsid w:val="00B66366"/>
    <w:rsid w:val="00B66402"/>
    <w:rsid w:val="00B66559"/>
    <w:rsid w:val="00B66A4C"/>
    <w:rsid w:val="00B66C0B"/>
    <w:rsid w:val="00B66C84"/>
    <w:rsid w:val="00B66DB1"/>
    <w:rsid w:val="00B66F20"/>
    <w:rsid w:val="00B6700D"/>
    <w:rsid w:val="00B670B9"/>
    <w:rsid w:val="00B67143"/>
    <w:rsid w:val="00B675EC"/>
    <w:rsid w:val="00B67612"/>
    <w:rsid w:val="00B6762E"/>
    <w:rsid w:val="00B67847"/>
    <w:rsid w:val="00B678CE"/>
    <w:rsid w:val="00B678EE"/>
    <w:rsid w:val="00B67982"/>
    <w:rsid w:val="00B67BF1"/>
    <w:rsid w:val="00B67E26"/>
    <w:rsid w:val="00B67FAB"/>
    <w:rsid w:val="00B67FEF"/>
    <w:rsid w:val="00B70177"/>
    <w:rsid w:val="00B70223"/>
    <w:rsid w:val="00B702B6"/>
    <w:rsid w:val="00B702C9"/>
    <w:rsid w:val="00B7038A"/>
    <w:rsid w:val="00B70416"/>
    <w:rsid w:val="00B7051C"/>
    <w:rsid w:val="00B705AB"/>
    <w:rsid w:val="00B705FE"/>
    <w:rsid w:val="00B70609"/>
    <w:rsid w:val="00B70645"/>
    <w:rsid w:val="00B707B9"/>
    <w:rsid w:val="00B707EB"/>
    <w:rsid w:val="00B70AA5"/>
    <w:rsid w:val="00B70B4C"/>
    <w:rsid w:val="00B70E5F"/>
    <w:rsid w:val="00B70F7A"/>
    <w:rsid w:val="00B71057"/>
    <w:rsid w:val="00B710BF"/>
    <w:rsid w:val="00B710D2"/>
    <w:rsid w:val="00B7115D"/>
    <w:rsid w:val="00B711E5"/>
    <w:rsid w:val="00B712A2"/>
    <w:rsid w:val="00B712D4"/>
    <w:rsid w:val="00B71438"/>
    <w:rsid w:val="00B71679"/>
    <w:rsid w:val="00B716B3"/>
    <w:rsid w:val="00B716EF"/>
    <w:rsid w:val="00B71726"/>
    <w:rsid w:val="00B71821"/>
    <w:rsid w:val="00B71915"/>
    <w:rsid w:val="00B71B38"/>
    <w:rsid w:val="00B71CFE"/>
    <w:rsid w:val="00B71EA5"/>
    <w:rsid w:val="00B72097"/>
    <w:rsid w:val="00B720BE"/>
    <w:rsid w:val="00B72143"/>
    <w:rsid w:val="00B72272"/>
    <w:rsid w:val="00B722DA"/>
    <w:rsid w:val="00B72317"/>
    <w:rsid w:val="00B72332"/>
    <w:rsid w:val="00B72508"/>
    <w:rsid w:val="00B72599"/>
    <w:rsid w:val="00B725F2"/>
    <w:rsid w:val="00B7261C"/>
    <w:rsid w:val="00B7268B"/>
    <w:rsid w:val="00B72710"/>
    <w:rsid w:val="00B72759"/>
    <w:rsid w:val="00B72962"/>
    <w:rsid w:val="00B729AE"/>
    <w:rsid w:val="00B72CCE"/>
    <w:rsid w:val="00B72DBB"/>
    <w:rsid w:val="00B72E17"/>
    <w:rsid w:val="00B73013"/>
    <w:rsid w:val="00B7309A"/>
    <w:rsid w:val="00B730B9"/>
    <w:rsid w:val="00B7316B"/>
    <w:rsid w:val="00B731D8"/>
    <w:rsid w:val="00B733A5"/>
    <w:rsid w:val="00B733B3"/>
    <w:rsid w:val="00B733EB"/>
    <w:rsid w:val="00B73639"/>
    <w:rsid w:val="00B7370A"/>
    <w:rsid w:val="00B737F9"/>
    <w:rsid w:val="00B738F8"/>
    <w:rsid w:val="00B7390D"/>
    <w:rsid w:val="00B73954"/>
    <w:rsid w:val="00B739D2"/>
    <w:rsid w:val="00B73BB0"/>
    <w:rsid w:val="00B73C06"/>
    <w:rsid w:val="00B73D0D"/>
    <w:rsid w:val="00B73DB5"/>
    <w:rsid w:val="00B73DCD"/>
    <w:rsid w:val="00B73E73"/>
    <w:rsid w:val="00B73F64"/>
    <w:rsid w:val="00B74128"/>
    <w:rsid w:val="00B7413C"/>
    <w:rsid w:val="00B74472"/>
    <w:rsid w:val="00B745B9"/>
    <w:rsid w:val="00B747B6"/>
    <w:rsid w:val="00B7486E"/>
    <w:rsid w:val="00B74879"/>
    <w:rsid w:val="00B74BEF"/>
    <w:rsid w:val="00B74CD9"/>
    <w:rsid w:val="00B74D1A"/>
    <w:rsid w:val="00B74E3D"/>
    <w:rsid w:val="00B74EA9"/>
    <w:rsid w:val="00B74FEC"/>
    <w:rsid w:val="00B7501C"/>
    <w:rsid w:val="00B75099"/>
    <w:rsid w:val="00B75187"/>
    <w:rsid w:val="00B751D3"/>
    <w:rsid w:val="00B7526D"/>
    <w:rsid w:val="00B753D7"/>
    <w:rsid w:val="00B75420"/>
    <w:rsid w:val="00B754F4"/>
    <w:rsid w:val="00B75564"/>
    <w:rsid w:val="00B75668"/>
    <w:rsid w:val="00B75781"/>
    <w:rsid w:val="00B7579E"/>
    <w:rsid w:val="00B75833"/>
    <w:rsid w:val="00B7588E"/>
    <w:rsid w:val="00B75902"/>
    <w:rsid w:val="00B7598B"/>
    <w:rsid w:val="00B75AAC"/>
    <w:rsid w:val="00B75B2C"/>
    <w:rsid w:val="00B75BE9"/>
    <w:rsid w:val="00B75C6F"/>
    <w:rsid w:val="00B75CE8"/>
    <w:rsid w:val="00B75D08"/>
    <w:rsid w:val="00B75D9A"/>
    <w:rsid w:val="00B75DDE"/>
    <w:rsid w:val="00B75E1C"/>
    <w:rsid w:val="00B75F38"/>
    <w:rsid w:val="00B75FCC"/>
    <w:rsid w:val="00B76108"/>
    <w:rsid w:val="00B7615E"/>
    <w:rsid w:val="00B76271"/>
    <w:rsid w:val="00B7638F"/>
    <w:rsid w:val="00B768C1"/>
    <w:rsid w:val="00B7691C"/>
    <w:rsid w:val="00B76A05"/>
    <w:rsid w:val="00B76EF2"/>
    <w:rsid w:val="00B76F45"/>
    <w:rsid w:val="00B76FD1"/>
    <w:rsid w:val="00B77010"/>
    <w:rsid w:val="00B77027"/>
    <w:rsid w:val="00B770B7"/>
    <w:rsid w:val="00B770C3"/>
    <w:rsid w:val="00B7711C"/>
    <w:rsid w:val="00B77168"/>
    <w:rsid w:val="00B77241"/>
    <w:rsid w:val="00B7738B"/>
    <w:rsid w:val="00B774EF"/>
    <w:rsid w:val="00B7750C"/>
    <w:rsid w:val="00B7763B"/>
    <w:rsid w:val="00B77835"/>
    <w:rsid w:val="00B77C16"/>
    <w:rsid w:val="00B77C43"/>
    <w:rsid w:val="00B77CA0"/>
    <w:rsid w:val="00B77D2D"/>
    <w:rsid w:val="00B77D48"/>
    <w:rsid w:val="00B77D7A"/>
    <w:rsid w:val="00B77E3C"/>
    <w:rsid w:val="00B77FEC"/>
    <w:rsid w:val="00B80092"/>
    <w:rsid w:val="00B800E2"/>
    <w:rsid w:val="00B8012F"/>
    <w:rsid w:val="00B801DA"/>
    <w:rsid w:val="00B8020B"/>
    <w:rsid w:val="00B80259"/>
    <w:rsid w:val="00B80341"/>
    <w:rsid w:val="00B80492"/>
    <w:rsid w:val="00B8065A"/>
    <w:rsid w:val="00B808AF"/>
    <w:rsid w:val="00B80918"/>
    <w:rsid w:val="00B809C6"/>
    <w:rsid w:val="00B80CD2"/>
    <w:rsid w:val="00B80CF2"/>
    <w:rsid w:val="00B80DA3"/>
    <w:rsid w:val="00B80DD3"/>
    <w:rsid w:val="00B80DE8"/>
    <w:rsid w:val="00B81024"/>
    <w:rsid w:val="00B81134"/>
    <w:rsid w:val="00B81142"/>
    <w:rsid w:val="00B8126B"/>
    <w:rsid w:val="00B81299"/>
    <w:rsid w:val="00B8136B"/>
    <w:rsid w:val="00B81396"/>
    <w:rsid w:val="00B813EC"/>
    <w:rsid w:val="00B814F4"/>
    <w:rsid w:val="00B81549"/>
    <w:rsid w:val="00B817B1"/>
    <w:rsid w:val="00B81835"/>
    <w:rsid w:val="00B8189E"/>
    <w:rsid w:val="00B819B5"/>
    <w:rsid w:val="00B81A09"/>
    <w:rsid w:val="00B81AF3"/>
    <w:rsid w:val="00B81B23"/>
    <w:rsid w:val="00B81B55"/>
    <w:rsid w:val="00B81B71"/>
    <w:rsid w:val="00B81B7B"/>
    <w:rsid w:val="00B81BAE"/>
    <w:rsid w:val="00B81CD0"/>
    <w:rsid w:val="00B81CEC"/>
    <w:rsid w:val="00B81D00"/>
    <w:rsid w:val="00B81D0F"/>
    <w:rsid w:val="00B81D42"/>
    <w:rsid w:val="00B81D7C"/>
    <w:rsid w:val="00B81DF2"/>
    <w:rsid w:val="00B81E7A"/>
    <w:rsid w:val="00B81F32"/>
    <w:rsid w:val="00B81F99"/>
    <w:rsid w:val="00B81FCF"/>
    <w:rsid w:val="00B82072"/>
    <w:rsid w:val="00B8208D"/>
    <w:rsid w:val="00B82103"/>
    <w:rsid w:val="00B82242"/>
    <w:rsid w:val="00B822D6"/>
    <w:rsid w:val="00B8234F"/>
    <w:rsid w:val="00B8235B"/>
    <w:rsid w:val="00B82439"/>
    <w:rsid w:val="00B82580"/>
    <w:rsid w:val="00B825CF"/>
    <w:rsid w:val="00B826A3"/>
    <w:rsid w:val="00B8270F"/>
    <w:rsid w:val="00B82763"/>
    <w:rsid w:val="00B827A4"/>
    <w:rsid w:val="00B827EF"/>
    <w:rsid w:val="00B8283A"/>
    <w:rsid w:val="00B8289C"/>
    <w:rsid w:val="00B828A5"/>
    <w:rsid w:val="00B828F7"/>
    <w:rsid w:val="00B82904"/>
    <w:rsid w:val="00B82932"/>
    <w:rsid w:val="00B82A86"/>
    <w:rsid w:val="00B82BFD"/>
    <w:rsid w:val="00B82CC5"/>
    <w:rsid w:val="00B82CE7"/>
    <w:rsid w:val="00B82DA8"/>
    <w:rsid w:val="00B82DD3"/>
    <w:rsid w:val="00B82F01"/>
    <w:rsid w:val="00B8301A"/>
    <w:rsid w:val="00B8306D"/>
    <w:rsid w:val="00B83112"/>
    <w:rsid w:val="00B832EE"/>
    <w:rsid w:val="00B8332B"/>
    <w:rsid w:val="00B8347F"/>
    <w:rsid w:val="00B83603"/>
    <w:rsid w:val="00B83605"/>
    <w:rsid w:val="00B8365A"/>
    <w:rsid w:val="00B83677"/>
    <w:rsid w:val="00B83753"/>
    <w:rsid w:val="00B83952"/>
    <w:rsid w:val="00B83C14"/>
    <w:rsid w:val="00B83C60"/>
    <w:rsid w:val="00B83C76"/>
    <w:rsid w:val="00B83C7F"/>
    <w:rsid w:val="00B83C85"/>
    <w:rsid w:val="00B83D2E"/>
    <w:rsid w:val="00B83DC5"/>
    <w:rsid w:val="00B83E22"/>
    <w:rsid w:val="00B83E61"/>
    <w:rsid w:val="00B83EAB"/>
    <w:rsid w:val="00B8401D"/>
    <w:rsid w:val="00B840D9"/>
    <w:rsid w:val="00B840F5"/>
    <w:rsid w:val="00B84236"/>
    <w:rsid w:val="00B8428B"/>
    <w:rsid w:val="00B843DA"/>
    <w:rsid w:val="00B8446C"/>
    <w:rsid w:val="00B844C8"/>
    <w:rsid w:val="00B84ACA"/>
    <w:rsid w:val="00B84AD8"/>
    <w:rsid w:val="00B84B2A"/>
    <w:rsid w:val="00B84B45"/>
    <w:rsid w:val="00B84C55"/>
    <w:rsid w:val="00B84C5A"/>
    <w:rsid w:val="00B84CAE"/>
    <w:rsid w:val="00B851B4"/>
    <w:rsid w:val="00B85349"/>
    <w:rsid w:val="00B855CE"/>
    <w:rsid w:val="00B85607"/>
    <w:rsid w:val="00B856E0"/>
    <w:rsid w:val="00B85754"/>
    <w:rsid w:val="00B85875"/>
    <w:rsid w:val="00B85890"/>
    <w:rsid w:val="00B858B9"/>
    <w:rsid w:val="00B858CC"/>
    <w:rsid w:val="00B85A87"/>
    <w:rsid w:val="00B85C65"/>
    <w:rsid w:val="00B85C75"/>
    <w:rsid w:val="00B85E90"/>
    <w:rsid w:val="00B85EDA"/>
    <w:rsid w:val="00B85FE9"/>
    <w:rsid w:val="00B86024"/>
    <w:rsid w:val="00B86029"/>
    <w:rsid w:val="00B86196"/>
    <w:rsid w:val="00B8629A"/>
    <w:rsid w:val="00B86300"/>
    <w:rsid w:val="00B864A2"/>
    <w:rsid w:val="00B86569"/>
    <w:rsid w:val="00B86627"/>
    <w:rsid w:val="00B866A5"/>
    <w:rsid w:val="00B8675F"/>
    <w:rsid w:val="00B867EC"/>
    <w:rsid w:val="00B86832"/>
    <w:rsid w:val="00B86A83"/>
    <w:rsid w:val="00B86B44"/>
    <w:rsid w:val="00B86C6C"/>
    <w:rsid w:val="00B86CDF"/>
    <w:rsid w:val="00B86E23"/>
    <w:rsid w:val="00B87038"/>
    <w:rsid w:val="00B870F8"/>
    <w:rsid w:val="00B8714E"/>
    <w:rsid w:val="00B8723E"/>
    <w:rsid w:val="00B87568"/>
    <w:rsid w:val="00B87664"/>
    <w:rsid w:val="00B876E3"/>
    <w:rsid w:val="00B87743"/>
    <w:rsid w:val="00B8785B"/>
    <w:rsid w:val="00B87888"/>
    <w:rsid w:val="00B879C3"/>
    <w:rsid w:val="00B87C59"/>
    <w:rsid w:val="00B87C6B"/>
    <w:rsid w:val="00B87D4C"/>
    <w:rsid w:val="00B87F86"/>
    <w:rsid w:val="00B87F8B"/>
    <w:rsid w:val="00B901AB"/>
    <w:rsid w:val="00B90356"/>
    <w:rsid w:val="00B903AC"/>
    <w:rsid w:val="00B904CA"/>
    <w:rsid w:val="00B9055A"/>
    <w:rsid w:val="00B9060C"/>
    <w:rsid w:val="00B9061C"/>
    <w:rsid w:val="00B90868"/>
    <w:rsid w:val="00B90939"/>
    <w:rsid w:val="00B90975"/>
    <w:rsid w:val="00B90B70"/>
    <w:rsid w:val="00B90BC7"/>
    <w:rsid w:val="00B90CC7"/>
    <w:rsid w:val="00B90D46"/>
    <w:rsid w:val="00B90ED9"/>
    <w:rsid w:val="00B90FB2"/>
    <w:rsid w:val="00B91072"/>
    <w:rsid w:val="00B9109C"/>
    <w:rsid w:val="00B910BC"/>
    <w:rsid w:val="00B91245"/>
    <w:rsid w:val="00B913A0"/>
    <w:rsid w:val="00B913E1"/>
    <w:rsid w:val="00B91454"/>
    <w:rsid w:val="00B914D9"/>
    <w:rsid w:val="00B91518"/>
    <w:rsid w:val="00B917D4"/>
    <w:rsid w:val="00B91B54"/>
    <w:rsid w:val="00B91BAF"/>
    <w:rsid w:val="00B91BFA"/>
    <w:rsid w:val="00B91E0C"/>
    <w:rsid w:val="00B91E80"/>
    <w:rsid w:val="00B91F77"/>
    <w:rsid w:val="00B91FFE"/>
    <w:rsid w:val="00B9215B"/>
    <w:rsid w:val="00B9221A"/>
    <w:rsid w:val="00B92293"/>
    <w:rsid w:val="00B92491"/>
    <w:rsid w:val="00B9255D"/>
    <w:rsid w:val="00B9258B"/>
    <w:rsid w:val="00B925C7"/>
    <w:rsid w:val="00B925DA"/>
    <w:rsid w:val="00B926D7"/>
    <w:rsid w:val="00B926EE"/>
    <w:rsid w:val="00B9270C"/>
    <w:rsid w:val="00B92779"/>
    <w:rsid w:val="00B927C2"/>
    <w:rsid w:val="00B928AE"/>
    <w:rsid w:val="00B92A34"/>
    <w:rsid w:val="00B92B79"/>
    <w:rsid w:val="00B92BEE"/>
    <w:rsid w:val="00B92C13"/>
    <w:rsid w:val="00B92D51"/>
    <w:rsid w:val="00B92E5C"/>
    <w:rsid w:val="00B92ECA"/>
    <w:rsid w:val="00B92F09"/>
    <w:rsid w:val="00B92F9F"/>
    <w:rsid w:val="00B9313C"/>
    <w:rsid w:val="00B931D5"/>
    <w:rsid w:val="00B9322E"/>
    <w:rsid w:val="00B93280"/>
    <w:rsid w:val="00B93357"/>
    <w:rsid w:val="00B9341E"/>
    <w:rsid w:val="00B934E2"/>
    <w:rsid w:val="00B936DD"/>
    <w:rsid w:val="00B9371C"/>
    <w:rsid w:val="00B93783"/>
    <w:rsid w:val="00B93896"/>
    <w:rsid w:val="00B93BA3"/>
    <w:rsid w:val="00B93C89"/>
    <w:rsid w:val="00B93CDF"/>
    <w:rsid w:val="00B93D54"/>
    <w:rsid w:val="00B93DEA"/>
    <w:rsid w:val="00B93E04"/>
    <w:rsid w:val="00B93E94"/>
    <w:rsid w:val="00B93EB2"/>
    <w:rsid w:val="00B93ED5"/>
    <w:rsid w:val="00B93FA2"/>
    <w:rsid w:val="00B93FE8"/>
    <w:rsid w:val="00B9400C"/>
    <w:rsid w:val="00B940C0"/>
    <w:rsid w:val="00B94259"/>
    <w:rsid w:val="00B9434B"/>
    <w:rsid w:val="00B94585"/>
    <w:rsid w:val="00B945F4"/>
    <w:rsid w:val="00B94606"/>
    <w:rsid w:val="00B94687"/>
    <w:rsid w:val="00B94717"/>
    <w:rsid w:val="00B94721"/>
    <w:rsid w:val="00B94975"/>
    <w:rsid w:val="00B949A7"/>
    <w:rsid w:val="00B94B6D"/>
    <w:rsid w:val="00B94C28"/>
    <w:rsid w:val="00B94C3B"/>
    <w:rsid w:val="00B94D4B"/>
    <w:rsid w:val="00B94D6D"/>
    <w:rsid w:val="00B94F12"/>
    <w:rsid w:val="00B94F25"/>
    <w:rsid w:val="00B94F86"/>
    <w:rsid w:val="00B94FB4"/>
    <w:rsid w:val="00B9502A"/>
    <w:rsid w:val="00B95051"/>
    <w:rsid w:val="00B951A2"/>
    <w:rsid w:val="00B951BA"/>
    <w:rsid w:val="00B9524E"/>
    <w:rsid w:val="00B95399"/>
    <w:rsid w:val="00B95512"/>
    <w:rsid w:val="00B955BD"/>
    <w:rsid w:val="00B958C6"/>
    <w:rsid w:val="00B95A15"/>
    <w:rsid w:val="00B95A97"/>
    <w:rsid w:val="00B95B40"/>
    <w:rsid w:val="00B95C0D"/>
    <w:rsid w:val="00B95D1B"/>
    <w:rsid w:val="00B95ED5"/>
    <w:rsid w:val="00B95FEB"/>
    <w:rsid w:val="00B9602F"/>
    <w:rsid w:val="00B9607F"/>
    <w:rsid w:val="00B960F4"/>
    <w:rsid w:val="00B961B0"/>
    <w:rsid w:val="00B961E8"/>
    <w:rsid w:val="00B96211"/>
    <w:rsid w:val="00B96219"/>
    <w:rsid w:val="00B962A3"/>
    <w:rsid w:val="00B9644E"/>
    <w:rsid w:val="00B964CB"/>
    <w:rsid w:val="00B964F5"/>
    <w:rsid w:val="00B96514"/>
    <w:rsid w:val="00B9675E"/>
    <w:rsid w:val="00B96923"/>
    <w:rsid w:val="00B96935"/>
    <w:rsid w:val="00B969EB"/>
    <w:rsid w:val="00B96A42"/>
    <w:rsid w:val="00B96A6E"/>
    <w:rsid w:val="00B96A82"/>
    <w:rsid w:val="00B96B37"/>
    <w:rsid w:val="00B96BAD"/>
    <w:rsid w:val="00B96BD8"/>
    <w:rsid w:val="00B96CC8"/>
    <w:rsid w:val="00B96D1C"/>
    <w:rsid w:val="00B96F25"/>
    <w:rsid w:val="00B970BE"/>
    <w:rsid w:val="00B970E3"/>
    <w:rsid w:val="00B9756B"/>
    <w:rsid w:val="00B97578"/>
    <w:rsid w:val="00B97750"/>
    <w:rsid w:val="00B9776B"/>
    <w:rsid w:val="00B977BE"/>
    <w:rsid w:val="00B977E4"/>
    <w:rsid w:val="00B97814"/>
    <w:rsid w:val="00B97837"/>
    <w:rsid w:val="00B97937"/>
    <w:rsid w:val="00B97963"/>
    <w:rsid w:val="00B979DA"/>
    <w:rsid w:val="00B97B24"/>
    <w:rsid w:val="00B97B7D"/>
    <w:rsid w:val="00B97E7A"/>
    <w:rsid w:val="00B97EF6"/>
    <w:rsid w:val="00BA01CB"/>
    <w:rsid w:val="00BA02C2"/>
    <w:rsid w:val="00BA03B5"/>
    <w:rsid w:val="00BA03C2"/>
    <w:rsid w:val="00BA04D1"/>
    <w:rsid w:val="00BA04F9"/>
    <w:rsid w:val="00BA0585"/>
    <w:rsid w:val="00BA05C4"/>
    <w:rsid w:val="00BA0698"/>
    <w:rsid w:val="00BA072A"/>
    <w:rsid w:val="00BA0772"/>
    <w:rsid w:val="00BA09D6"/>
    <w:rsid w:val="00BA0A3E"/>
    <w:rsid w:val="00BA0A4C"/>
    <w:rsid w:val="00BA0B3B"/>
    <w:rsid w:val="00BA0BD5"/>
    <w:rsid w:val="00BA0C2C"/>
    <w:rsid w:val="00BA0D62"/>
    <w:rsid w:val="00BA0DDA"/>
    <w:rsid w:val="00BA0E83"/>
    <w:rsid w:val="00BA0EF0"/>
    <w:rsid w:val="00BA0F44"/>
    <w:rsid w:val="00BA133B"/>
    <w:rsid w:val="00BA1494"/>
    <w:rsid w:val="00BA14A3"/>
    <w:rsid w:val="00BA14DF"/>
    <w:rsid w:val="00BA15E4"/>
    <w:rsid w:val="00BA1758"/>
    <w:rsid w:val="00BA1805"/>
    <w:rsid w:val="00BA1836"/>
    <w:rsid w:val="00BA1A0A"/>
    <w:rsid w:val="00BA1C4A"/>
    <w:rsid w:val="00BA1E1E"/>
    <w:rsid w:val="00BA1FFC"/>
    <w:rsid w:val="00BA20FF"/>
    <w:rsid w:val="00BA2218"/>
    <w:rsid w:val="00BA22F5"/>
    <w:rsid w:val="00BA23A0"/>
    <w:rsid w:val="00BA23D6"/>
    <w:rsid w:val="00BA2526"/>
    <w:rsid w:val="00BA257A"/>
    <w:rsid w:val="00BA25E2"/>
    <w:rsid w:val="00BA2656"/>
    <w:rsid w:val="00BA26F3"/>
    <w:rsid w:val="00BA2710"/>
    <w:rsid w:val="00BA296D"/>
    <w:rsid w:val="00BA29D0"/>
    <w:rsid w:val="00BA2B3D"/>
    <w:rsid w:val="00BA2BE8"/>
    <w:rsid w:val="00BA2D34"/>
    <w:rsid w:val="00BA2D54"/>
    <w:rsid w:val="00BA2D9E"/>
    <w:rsid w:val="00BA2DC3"/>
    <w:rsid w:val="00BA2DE2"/>
    <w:rsid w:val="00BA2F03"/>
    <w:rsid w:val="00BA2F46"/>
    <w:rsid w:val="00BA2FAB"/>
    <w:rsid w:val="00BA2FC4"/>
    <w:rsid w:val="00BA302C"/>
    <w:rsid w:val="00BA3085"/>
    <w:rsid w:val="00BA336A"/>
    <w:rsid w:val="00BA33D7"/>
    <w:rsid w:val="00BA3479"/>
    <w:rsid w:val="00BA34F1"/>
    <w:rsid w:val="00BA3511"/>
    <w:rsid w:val="00BA3692"/>
    <w:rsid w:val="00BA3859"/>
    <w:rsid w:val="00BA38BA"/>
    <w:rsid w:val="00BA392F"/>
    <w:rsid w:val="00BA39C4"/>
    <w:rsid w:val="00BA3A45"/>
    <w:rsid w:val="00BA3A5D"/>
    <w:rsid w:val="00BA3A5F"/>
    <w:rsid w:val="00BA3A68"/>
    <w:rsid w:val="00BA3BBE"/>
    <w:rsid w:val="00BA3CD8"/>
    <w:rsid w:val="00BA3D6B"/>
    <w:rsid w:val="00BA3E02"/>
    <w:rsid w:val="00BA3FAB"/>
    <w:rsid w:val="00BA4135"/>
    <w:rsid w:val="00BA4184"/>
    <w:rsid w:val="00BA42EA"/>
    <w:rsid w:val="00BA4357"/>
    <w:rsid w:val="00BA437C"/>
    <w:rsid w:val="00BA43CA"/>
    <w:rsid w:val="00BA446B"/>
    <w:rsid w:val="00BA4920"/>
    <w:rsid w:val="00BA4924"/>
    <w:rsid w:val="00BA49BD"/>
    <w:rsid w:val="00BA4A20"/>
    <w:rsid w:val="00BA4A3A"/>
    <w:rsid w:val="00BA4B2D"/>
    <w:rsid w:val="00BA4B38"/>
    <w:rsid w:val="00BA4C3B"/>
    <w:rsid w:val="00BA4C91"/>
    <w:rsid w:val="00BA4CD5"/>
    <w:rsid w:val="00BA4EB0"/>
    <w:rsid w:val="00BA4F44"/>
    <w:rsid w:val="00BA4F8F"/>
    <w:rsid w:val="00BA5101"/>
    <w:rsid w:val="00BA5400"/>
    <w:rsid w:val="00BA55E7"/>
    <w:rsid w:val="00BA5669"/>
    <w:rsid w:val="00BA578C"/>
    <w:rsid w:val="00BA5899"/>
    <w:rsid w:val="00BA597A"/>
    <w:rsid w:val="00BA5A47"/>
    <w:rsid w:val="00BA5AA5"/>
    <w:rsid w:val="00BA5B02"/>
    <w:rsid w:val="00BA5C0A"/>
    <w:rsid w:val="00BA5C55"/>
    <w:rsid w:val="00BA5D13"/>
    <w:rsid w:val="00BA5D86"/>
    <w:rsid w:val="00BA5D9B"/>
    <w:rsid w:val="00BA5F75"/>
    <w:rsid w:val="00BA6210"/>
    <w:rsid w:val="00BA6230"/>
    <w:rsid w:val="00BA63F5"/>
    <w:rsid w:val="00BA646C"/>
    <w:rsid w:val="00BA64CC"/>
    <w:rsid w:val="00BA64FD"/>
    <w:rsid w:val="00BA6549"/>
    <w:rsid w:val="00BA66C4"/>
    <w:rsid w:val="00BA66E0"/>
    <w:rsid w:val="00BA6700"/>
    <w:rsid w:val="00BA680D"/>
    <w:rsid w:val="00BA6849"/>
    <w:rsid w:val="00BA685B"/>
    <w:rsid w:val="00BA6946"/>
    <w:rsid w:val="00BA6AA8"/>
    <w:rsid w:val="00BA6AFF"/>
    <w:rsid w:val="00BA6BFD"/>
    <w:rsid w:val="00BA6C87"/>
    <w:rsid w:val="00BA6CB0"/>
    <w:rsid w:val="00BA6CB6"/>
    <w:rsid w:val="00BA6CC0"/>
    <w:rsid w:val="00BA6DA9"/>
    <w:rsid w:val="00BA6DAB"/>
    <w:rsid w:val="00BA6F4D"/>
    <w:rsid w:val="00BA6FE2"/>
    <w:rsid w:val="00BA7010"/>
    <w:rsid w:val="00BA7044"/>
    <w:rsid w:val="00BA7084"/>
    <w:rsid w:val="00BA70A1"/>
    <w:rsid w:val="00BA7113"/>
    <w:rsid w:val="00BA7165"/>
    <w:rsid w:val="00BA7200"/>
    <w:rsid w:val="00BA74B2"/>
    <w:rsid w:val="00BA74E4"/>
    <w:rsid w:val="00BA7540"/>
    <w:rsid w:val="00BA76B7"/>
    <w:rsid w:val="00BA79CC"/>
    <w:rsid w:val="00BA7A47"/>
    <w:rsid w:val="00BA7ADA"/>
    <w:rsid w:val="00BA7B21"/>
    <w:rsid w:val="00BA7B86"/>
    <w:rsid w:val="00BA7CED"/>
    <w:rsid w:val="00BA7E61"/>
    <w:rsid w:val="00BB02BC"/>
    <w:rsid w:val="00BB032C"/>
    <w:rsid w:val="00BB047A"/>
    <w:rsid w:val="00BB0812"/>
    <w:rsid w:val="00BB0952"/>
    <w:rsid w:val="00BB0ABB"/>
    <w:rsid w:val="00BB0AC5"/>
    <w:rsid w:val="00BB0AF1"/>
    <w:rsid w:val="00BB0B8C"/>
    <w:rsid w:val="00BB0C3C"/>
    <w:rsid w:val="00BB0D4B"/>
    <w:rsid w:val="00BB0F1A"/>
    <w:rsid w:val="00BB0FDE"/>
    <w:rsid w:val="00BB0FF5"/>
    <w:rsid w:val="00BB1079"/>
    <w:rsid w:val="00BB10A8"/>
    <w:rsid w:val="00BB10AE"/>
    <w:rsid w:val="00BB1180"/>
    <w:rsid w:val="00BB1232"/>
    <w:rsid w:val="00BB133D"/>
    <w:rsid w:val="00BB13C2"/>
    <w:rsid w:val="00BB148C"/>
    <w:rsid w:val="00BB14D2"/>
    <w:rsid w:val="00BB1547"/>
    <w:rsid w:val="00BB1650"/>
    <w:rsid w:val="00BB182F"/>
    <w:rsid w:val="00BB1937"/>
    <w:rsid w:val="00BB193B"/>
    <w:rsid w:val="00BB1B1D"/>
    <w:rsid w:val="00BB1B41"/>
    <w:rsid w:val="00BB1BA3"/>
    <w:rsid w:val="00BB1BBA"/>
    <w:rsid w:val="00BB1BF2"/>
    <w:rsid w:val="00BB1C80"/>
    <w:rsid w:val="00BB2395"/>
    <w:rsid w:val="00BB2680"/>
    <w:rsid w:val="00BB271F"/>
    <w:rsid w:val="00BB27FB"/>
    <w:rsid w:val="00BB2857"/>
    <w:rsid w:val="00BB2BCA"/>
    <w:rsid w:val="00BB2CA0"/>
    <w:rsid w:val="00BB2F39"/>
    <w:rsid w:val="00BB2F6B"/>
    <w:rsid w:val="00BB2FE2"/>
    <w:rsid w:val="00BB3083"/>
    <w:rsid w:val="00BB30C8"/>
    <w:rsid w:val="00BB3190"/>
    <w:rsid w:val="00BB32F9"/>
    <w:rsid w:val="00BB36CA"/>
    <w:rsid w:val="00BB3756"/>
    <w:rsid w:val="00BB37B2"/>
    <w:rsid w:val="00BB37BB"/>
    <w:rsid w:val="00BB3E08"/>
    <w:rsid w:val="00BB4093"/>
    <w:rsid w:val="00BB4142"/>
    <w:rsid w:val="00BB4213"/>
    <w:rsid w:val="00BB42B5"/>
    <w:rsid w:val="00BB42C4"/>
    <w:rsid w:val="00BB42FC"/>
    <w:rsid w:val="00BB4308"/>
    <w:rsid w:val="00BB430D"/>
    <w:rsid w:val="00BB4410"/>
    <w:rsid w:val="00BB4442"/>
    <w:rsid w:val="00BB445B"/>
    <w:rsid w:val="00BB464A"/>
    <w:rsid w:val="00BB46FA"/>
    <w:rsid w:val="00BB4892"/>
    <w:rsid w:val="00BB490F"/>
    <w:rsid w:val="00BB492A"/>
    <w:rsid w:val="00BB49F5"/>
    <w:rsid w:val="00BB4E1E"/>
    <w:rsid w:val="00BB4EAE"/>
    <w:rsid w:val="00BB4F4A"/>
    <w:rsid w:val="00BB4F90"/>
    <w:rsid w:val="00BB4FEC"/>
    <w:rsid w:val="00BB5158"/>
    <w:rsid w:val="00BB5240"/>
    <w:rsid w:val="00BB52D7"/>
    <w:rsid w:val="00BB5378"/>
    <w:rsid w:val="00BB546B"/>
    <w:rsid w:val="00BB57F0"/>
    <w:rsid w:val="00BB58BC"/>
    <w:rsid w:val="00BB597A"/>
    <w:rsid w:val="00BB5981"/>
    <w:rsid w:val="00BB59F3"/>
    <w:rsid w:val="00BB5A07"/>
    <w:rsid w:val="00BB5B2E"/>
    <w:rsid w:val="00BB5B56"/>
    <w:rsid w:val="00BB5C0A"/>
    <w:rsid w:val="00BB5C6A"/>
    <w:rsid w:val="00BB5D53"/>
    <w:rsid w:val="00BB5DEA"/>
    <w:rsid w:val="00BB5E63"/>
    <w:rsid w:val="00BB604F"/>
    <w:rsid w:val="00BB61CC"/>
    <w:rsid w:val="00BB61FD"/>
    <w:rsid w:val="00BB6398"/>
    <w:rsid w:val="00BB639C"/>
    <w:rsid w:val="00BB63B5"/>
    <w:rsid w:val="00BB63DC"/>
    <w:rsid w:val="00BB63E4"/>
    <w:rsid w:val="00BB65ED"/>
    <w:rsid w:val="00BB67B5"/>
    <w:rsid w:val="00BB67D1"/>
    <w:rsid w:val="00BB67F1"/>
    <w:rsid w:val="00BB68B1"/>
    <w:rsid w:val="00BB68F1"/>
    <w:rsid w:val="00BB694D"/>
    <w:rsid w:val="00BB69BB"/>
    <w:rsid w:val="00BB69C6"/>
    <w:rsid w:val="00BB6A03"/>
    <w:rsid w:val="00BB6AB5"/>
    <w:rsid w:val="00BB6B14"/>
    <w:rsid w:val="00BB6B8E"/>
    <w:rsid w:val="00BB6BCA"/>
    <w:rsid w:val="00BB6BE2"/>
    <w:rsid w:val="00BB6C2F"/>
    <w:rsid w:val="00BB6D0D"/>
    <w:rsid w:val="00BB6E6E"/>
    <w:rsid w:val="00BB6F12"/>
    <w:rsid w:val="00BB712F"/>
    <w:rsid w:val="00BB725B"/>
    <w:rsid w:val="00BB7275"/>
    <w:rsid w:val="00BB7580"/>
    <w:rsid w:val="00BB75E9"/>
    <w:rsid w:val="00BB7624"/>
    <w:rsid w:val="00BB7669"/>
    <w:rsid w:val="00BB774F"/>
    <w:rsid w:val="00BB7841"/>
    <w:rsid w:val="00BB7888"/>
    <w:rsid w:val="00BB78DD"/>
    <w:rsid w:val="00BB78E0"/>
    <w:rsid w:val="00BB7910"/>
    <w:rsid w:val="00BB796E"/>
    <w:rsid w:val="00BB79BE"/>
    <w:rsid w:val="00BB7A60"/>
    <w:rsid w:val="00BB7B2A"/>
    <w:rsid w:val="00BB7BC4"/>
    <w:rsid w:val="00BB7C22"/>
    <w:rsid w:val="00BB7DDF"/>
    <w:rsid w:val="00BB7E4F"/>
    <w:rsid w:val="00BB7F5D"/>
    <w:rsid w:val="00BC011E"/>
    <w:rsid w:val="00BC026D"/>
    <w:rsid w:val="00BC055F"/>
    <w:rsid w:val="00BC064E"/>
    <w:rsid w:val="00BC06E9"/>
    <w:rsid w:val="00BC083E"/>
    <w:rsid w:val="00BC08CD"/>
    <w:rsid w:val="00BC08E1"/>
    <w:rsid w:val="00BC0AE7"/>
    <w:rsid w:val="00BC0AF3"/>
    <w:rsid w:val="00BC0C47"/>
    <w:rsid w:val="00BC0D76"/>
    <w:rsid w:val="00BC0E39"/>
    <w:rsid w:val="00BC0E5B"/>
    <w:rsid w:val="00BC0F11"/>
    <w:rsid w:val="00BC10B2"/>
    <w:rsid w:val="00BC1157"/>
    <w:rsid w:val="00BC123E"/>
    <w:rsid w:val="00BC13A4"/>
    <w:rsid w:val="00BC13D3"/>
    <w:rsid w:val="00BC1443"/>
    <w:rsid w:val="00BC15E3"/>
    <w:rsid w:val="00BC18CF"/>
    <w:rsid w:val="00BC19ED"/>
    <w:rsid w:val="00BC1A58"/>
    <w:rsid w:val="00BC1AB2"/>
    <w:rsid w:val="00BC1B26"/>
    <w:rsid w:val="00BC1ED5"/>
    <w:rsid w:val="00BC21BC"/>
    <w:rsid w:val="00BC21BF"/>
    <w:rsid w:val="00BC21E4"/>
    <w:rsid w:val="00BC220B"/>
    <w:rsid w:val="00BC2373"/>
    <w:rsid w:val="00BC23E7"/>
    <w:rsid w:val="00BC23FB"/>
    <w:rsid w:val="00BC2472"/>
    <w:rsid w:val="00BC25A7"/>
    <w:rsid w:val="00BC27F4"/>
    <w:rsid w:val="00BC2938"/>
    <w:rsid w:val="00BC2A76"/>
    <w:rsid w:val="00BC2AE4"/>
    <w:rsid w:val="00BC2AE5"/>
    <w:rsid w:val="00BC2B28"/>
    <w:rsid w:val="00BC2BEB"/>
    <w:rsid w:val="00BC2D49"/>
    <w:rsid w:val="00BC2DE9"/>
    <w:rsid w:val="00BC2E15"/>
    <w:rsid w:val="00BC2E7C"/>
    <w:rsid w:val="00BC36EF"/>
    <w:rsid w:val="00BC36F4"/>
    <w:rsid w:val="00BC3718"/>
    <w:rsid w:val="00BC37C7"/>
    <w:rsid w:val="00BC38DE"/>
    <w:rsid w:val="00BC399D"/>
    <w:rsid w:val="00BC3AF8"/>
    <w:rsid w:val="00BC3BCA"/>
    <w:rsid w:val="00BC3C2E"/>
    <w:rsid w:val="00BC3DEC"/>
    <w:rsid w:val="00BC3EB8"/>
    <w:rsid w:val="00BC3EF1"/>
    <w:rsid w:val="00BC409D"/>
    <w:rsid w:val="00BC40B5"/>
    <w:rsid w:val="00BC4199"/>
    <w:rsid w:val="00BC419E"/>
    <w:rsid w:val="00BC41E8"/>
    <w:rsid w:val="00BC4413"/>
    <w:rsid w:val="00BC4449"/>
    <w:rsid w:val="00BC45C1"/>
    <w:rsid w:val="00BC46AD"/>
    <w:rsid w:val="00BC481B"/>
    <w:rsid w:val="00BC4A54"/>
    <w:rsid w:val="00BC4A7E"/>
    <w:rsid w:val="00BC4A94"/>
    <w:rsid w:val="00BC4BCB"/>
    <w:rsid w:val="00BC4C1C"/>
    <w:rsid w:val="00BC4C8B"/>
    <w:rsid w:val="00BC4C9A"/>
    <w:rsid w:val="00BC4E87"/>
    <w:rsid w:val="00BC50E2"/>
    <w:rsid w:val="00BC51C2"/>
    <w:rsid w:val="00BC51CD"/>
    <w:rsid w:val="00BC535B"/>
    <w:rsid w:val="00BC5392"/>
    <w:rsid w:val="00BC5402"/>
    <w:rsid w:val="00BC5533"/>
    <w:rsid w:val="00BC55AF"/>
    <w:rsid w:val="00BC55C9"/>
    <w:rsid w:val="00BC5649"/>
    <w:rsid w:val="00BC5660"/>
    <w:rsid w:val="00BC5664"/>
    <w:rsid w:val="00BC56C3"/>
    <w:rsid w:val="00BC56EE"/>
    <w:rsid w:val="00BC5720"/>
    <w:rsid w:val="00BC572B"/>
    <w:rsid w:val="00BC5747"/>
    <w:rsid w:val="00BC5835"/>
    <w:rsid w:val="00BC585F"/>
    <w:rsid w:val="00BC58C9"/>
    <w:rsid w:val="00BC58D0"/>
    <w:rsid w:val="00BC5926"/>
    <w:rsid w:val="00BC592F"/>
    <w:rsid w:val="00BC59AB"/>
    <w:rsid w:val="00BC59F8"/>
    <w:rsid w:val="00BC5AE2"/>
    <w:rsid w:val="00BC5C8E"/>
    <w:rsid w:val="00BC5C9A"/>
    <w:rsid w:val="00BC5CBE"/>
    <w:rsid w:val="00BC5CCD"/>
    <w:rsid w:val="00BC5CDD"/>
    <w:rsid w:val="00BC5D4A"/>
    <w:rsid w:val="00BC5F68"/>
    <w:rsid w:val="00BC613F"/>
    <w:rsid w:val="00BC619B"/>
    <w:rsid w:val="00BC619E"/>
    <w:rsid w:val="00BC61AF"/>
    <w:rsid w:val="00BC62B4"/>
    <w:rsid w:val="00BC62EE"/>
    <w:rsid w:val="00BC63F4"/>
    <w:rsid w:val="00BC6631"/>
    <w:rsid w:val="00BC6776"/>
    <w:rsid w:val="00BC681C"/>
    <w:rsid w:val="00BC68B6"/>
    <w:rsid w:val="00BC6A6F"/>
    <w:rsid w:val="00BC6ACD"/>
    <w:rsid w:val="00BC6B8F"/>
    <w:rsid w:val="00BC6BD9"/>
    <w:rsid w:val="00BC6C6F"/>
    <w:rsid w:val="00BC6C79"/>
    <w:rsid w:val="00BC6D32"/>
    <w:rsid w:val="00BC6E0A"/>
    <w:rsid w:val="00BC6E2C"/>
    <w:rsid w:val="00BC7112"/>
    <w:rsid w:val="00BC7502"/>
    <w:rsid w:val="00BC760D"/>
    <w:rsid w:val="00BC776C"/>
    <w:rsid w:val="00BC7808"/>
    <w:rsid w:val="00BC78DB"/>
    <w:rsid w:val="00BC792A"/>
    <w:rsid w:val="00BC7944"/>
    <w:rsid w:val="00BC796A"/>
    <w:rsid w:val="00BC79A6"/>
    <w:rsid w:val="00BC7D6D"/>
    <w:rsid w:val="00BC7DA5"/>
    <w:rsid w:val="00BC7E4E"/>
    <w:rsid w:val="00BC7FA8"/>
    <w:rsid w:val="00BD005F"/>
    <w:rsid w:val="00BD038F"/>
    <w:rsid w:val="00BD0596"/>
    <w:rsid w:val="00BD0751"/>
    <w:rsid w:val="00BD08AB"/>
    <w:rsid w:val="00BD08F7"/>
    <w:rsid w:val="00BD0945"/>
    <w:rsid w:val="00BD09FE"/>
    <w:rsid w:val="00BD0C9E"/>
    <w:rsid w:val="00BD0D2D"/>
    <w:rsid w:val="00BD0DDB"/>
    <w:rsid w:val="00BD0DF0"/>
    <w:rsid w:val="00BD0E5B"/>
    <w:rsid w:val="00BD0EE6"/>
    <w:rsid w:val="00BD0F03"/>
    <w:rsid w:val="00BD0FAB"/>
    <w:rsid w:val="00BD0FDC"/>
    <w:rsid w:val="00BD10C6"/>
    <w:rsid w:val="00BD10F4"/>
    <w:rsid w:val="00BD116B"/>
    <w:rsid w:val="00BD126D"/>
    <w:rsid w:val="00BD12FE"/>
    <w:rsid w:val="00BD1500"/>
    <w:rsid w:val="00BD1651"/>
    <w:rsid w:val="00BD179B"/>
    <w:rsid w:val="00BD17B0"/>
    <w:rsid w:val="00BD1821"/>
    <w:rsid w:val="00BD1852"/>
    <w:rsid w:val="00BD1888"/>
    <w:rsid w:val="00BD188A"/>
    <w:rsid w:val="00BD195B"/>
    <w:rsid w:val="00BD1ACC"/>
    <w:rsid w:val="00BD1DC8"/>
    <w:rsid w:val="00BD1E1E"/>
    <w:rsid w:val="00BD20A3"/>
    <w:rsid w:val="00BD229A"/>
    <w:rsid w:val="00BD2401"/>
    <w:rsid w:val="00BD248B"/>
    <w:rsid w:val="00BD253D"/>
    <w:rsid w:val="00BD254B"/>
    <w:rsid w:val="00BD2555"/>
    <w:rsid w:val="00BD29FB"/>
    <w:rsid w:val="00BD2A3A"/>
    <w:rsid w:val="00BD2AE4"/>
    <w:rsid w:val="00BD2B4C"/>
    <w:rsid w:val="00BD2BF7"/>
    <w:rsid w:val="00BD2C28"/>
    <w:rsid w:val="00BD2C69"/>
    <w:rsid w:val="00BD2C8E"/>
    <w:rsid w:val="00BD2CEF"/>
    <w:rsid w:val="00BD2E06"/>
    <w:rsid w:val="00BD2E68"/>
    <w:rsid w:val="00BD2FB6"/>
    <w:rsid w:val="00BD306A"/>
    <w:rsid w:val="00BD316B"/>
    <w:rsid w:val="00BD316D"/>
    <w:rsid w:val="00BD320F"/>
    <w:rsid w:val="00BD35C9"/>
    <w:rsid w:val="00BD3666"/>
    <w:rsid w:val="00BD36AC"/>
    <w:rsid w:val="00BD37B7"/>
    <w:rsid w:val="00BD3943"/>
    <w:rsid w:val="00BD3972"/>
    <w:rsid w:val="00BD3976"/>
    <w:rsid w:val="00BD3A7C"/>
    <w:rsid w:val="00BD3B89"/>
    <w:rsid w:val="00BD3BA8"/>
    <w:rsid w:val="00BD3DA3"/>
    <w:rsid w:val="00BD3F09"/>
    <w:rsid w:val="00BD3FA0"/>
    <w:rsid w:val="00BD40BC"/>
    <w:rsid w:val="00BD42C4"/>
    <w:rsid w:val="00BD42F7"/>
    <w:rsid w:val="00BD4322"/>
    <w:rsid w:val="00BD446F"/>
    <w:rsid w:val="00BD4476"/>
    <w:rsid w:val="00BD44E9"/>
    <w:rsid w:val="00BD45BA"/>
    <w:rsid w:val="00BD46C9"/>
    <w:rsid w:val="00BD4727"/>
    <w:rsid w:val="00BD4735"/>
    <w:rsid w:val="00BD4987"/>
    <w:rsid w:val="00BD4999"/>
    <w:rsid w:val="00BD49E9"/>
    <w:rsid w:val="00BD4A6A"/>
    <w:rsid w:val="00BD4B60"/>
    <w:rsid w:val="00BD4B69"/>
    <w:rsid w:val="00BD4C7F"/>
    <w:rsid w:val="00BD4D78"/>
    <w:rsid w:val="00BD4DE8"/>
    <w:rsid w:val="00BD4E19"/>
    <w:rsid w:val="00BD4E21"/>
    <w:rsid w:val="00BD4EBB"/>
    <w:rsid w:val="00BD50E2"/>
    <w:rsid w:val="00BD5183"/>
    <w:rsid w:val="00BD5352"/>
    <w:rsid w:val="00BD5354"/>
    <w:rsid w:val="00BD5379"/>
    <w:rsid w:val="00BD5388"/>
    <w:rsid w:val="00BD545F"/>
    <w:rsid w:val="00BD54EA"/>
    <w:rsid w:val="00BD551B"/>
    <w:rsid w:val="00BD554C"/>
    <w:rsid w:val="00BD55AB"/>
    <w:rsid w:val="00BD56BB"/>
    <w:rsid w:val="00BD580D"/>
    <w:rsid w:val="00BD59A9"/>
    <w:rsid w:val="00BD59C7"/>
    <w:rsid w:val="00BD5A22"/>
    <w:rsid w:val="00BD5A93"/>
    <w:rsid w:val="00BD5B9E"/>
    <w:rsid w:val="00BD5BEA"/>
    <w:rsid w:val="00BD5C5B"/>
    <w:rsid w:val="00BD5D4D"/>
    <w:rsid w:val="00BD5DC4"/>
    <w:rsid w:val="00BD5E7C"/>
    <w:rsid w:val="00BD5F39"/>
    <w:rsid w:val="00BD5F77"/>
    <w:rsid w:val="00BD5F8F"/>
    <w:rsid w:val="00BD61B5"/>
    <w:rsid w:val="00BD621F"/>
    <w:rsid w:val="00BD6224"/>
    <w:rsid w:val="00BD6266"/>
    <w:rsid w:val="00BD634A"/>
    <w:rsid w:val="00BD63E1"/>
    <w:rsid w:val="00BD64C5"/>
    <w:rsid w:val="00BD657E"/>
    <w:rsid w:val="00BD66EF"/>
    <w:rsid w:val="00BD6720"/>
    <w:rsid w:val="00BD67A2"/>
    <w:rsid w:val="00BD682A"/>
    <w:rsid w:val="00BD689F"/>
    <w:rsid w:val="00BD68D9"/>
    <w:rsid w:val="00BD6915"/>
    <w:rsid w:val="00BD6944"/>
    <w:rsid w:val="00BD69A9"/>
    <w:rsid w:val="00BD6AA9"/>
    <w:rsid w:val="00BD6D60"/>
    <w:rsid w:val="00BD6D77"/>
    <w:rsid w:val="00BD6D84"/>
    <w:rsid w:val="00BD6EE7"/>
    <w:rsid w:val="00BD6F91"/>
    <w:rsid w:val="00BD7003"/>
    <w:rsid w:val="00BD7068"/>
    <w:rsid w:val="00BD72EB"/>
    <w:rsid w:val="00BD7365"/>
    <w:rsid w:val="00BD763D"/>
    <w:rsid w:val="00BD7670"/>
    <w:rsid w:val="00BD7801"/>
    <w:rsid w:val="00BD783D"/>
    <w:rsid w:val="00BD7897"/>
    <w:rsid w:val="00BD78E5"/>
    <w:rsid w:val="00BD7921"/>
    <w:rsid w:val="00BD7B27"/>
    <w:rsid w:val="00BD7B2C"/>
    <w:rsid w:val="00BD7B9C"/>
    <w:rsid w:val="00BD7BC4"/>
    <w:rsid w:val="00BD7BE9"/>
    <w:rsid w:val="00BD7C62"/>
    <w:rsid w:val="00BD7C73"/>
    <w:rsid w:val="00BD7E19"/>
    <w:rsid w:val="00BD7E28"/>
    <w:rsid w:val="00BD7E8F"/>
    <w:rsid w:val="00BD7F3C"/>
    <w:rsid w:val="00BE010D"/>
    <w:rsid w:val="00BE013F"/>
    <w:rsid w:val="00BE01C0"/>
    <w:rsid w:val="00BE021F"/>
    <w:rsid w:val="00BE0255"/>
    <w:rsid w:val="00BE04DF"/>
    <w:rsid w:val="00BE0543"/>
    <w:rsid w:val="00BE0554"/>
    <w:rsid w:val="00BE0620"/>
    <w:rsid w:val="00BE064C"/>
    <w:rsid w:val="00BE06D6"/>
    <w:rsid w:val="00BE0A51"/>
    <w:rsid w:val="00BE0B07"/>
    <w:rsid w:val="00BE0B13"/>
    <w:rsid w:val="00BE0BC7"/>
    <w:rsid w:val="00BE0C0E"/>
    <w:rsid w:val="00BE0C86"/>
    <w:rsid w:val="00BE0CEE"/>
    <w:rsid w:val="00BE0D40"/>
    <w:rsid w:val="00BE0E1B"/>
    <w:rsid w:val="00BE0E74"/>
    <w:rsid w:val="00BE0EC6"/>
    <w:rsid w:val="00BE0EF4"/>
    <w:rsid w:val="00BE0F95"/>
    <w:rsid w:val="00BE1010"/>
    <w:rsid w:val="00BE12EF"/>
    <w:rsid w:val="00BE1319"/>
    <w:rsid w:val="00BE1425"/>
    <w:rsid w:val="00BE149A"/>
    <w:rsid w:val="00BE150C"/>
    <w:rsid w:val="00BE1535"/>
    <w:rsid w:val="00BE1661"/>
    <w:rsid w:val="00BE177D"/>
    <w:rsid w:val="00BE18E9"/>
    <w:rsid w:val="00BE18F0"/>
    <w:rsid w:val="00BE195F"/>
    <w:rsid w:val="00BE1A15"/>
    <w:rsid w:val="00BE1A77"/>
    <w:rsid w:val="00BE1B83"/>
    <w:rsid w:val="00BE1C2F"/>
    <w:rsid w:val="00BE1D04"/>
    <w:rsid w:val="00BE1D2C"/>
    <w:rsid w:val="00BE1EA7"/>
    <w:rsid w:val="00BE1EDE"/>
    <w:rsid w:val="00BE21FD"/>
    <w:rsid w:val="00BE2312"/>
    <w:rsid w:val="00BE23BA"/>
    <w:rsid w:val="00BE240C"/>
    <w:rsid w:val="00BE251D"/>
    <w:rsid w:val="00BE2570"/>
    <w:rsid w:val="00BE2782"/>
    <w:rsid w:val="00BE2794"/>
    <w:rsid w:val="00BE28DD"/>
    <w:rsid w:val="00BE28FD"/>
    <w:rsid w:val="00BE290C"/>
    <w:rsid w:val="00BE2918"/>
    <w:rsid w:val="00BE2933"/>
    <w:rsid w:val="00BE2A39"/>
    <w:rsid w:val="00BE2A75"/>
    <w:rsid w:val="00BE2A92"/>
    <w:rsid w:val="00BE2AC6"/>
    <w:rsid w:val="00BE2B91"/>
    <w:rsid w:val="00BE2C4B"/>
    <w:rsid w:val="00BE2CD2"/>
    <w:rsid w:val="00BE2D6F"/>
    <w:rsid w:val="00BE2D8C"/>
    <w:rsid w:val="00BE2FAF"/>
    <w:rsid w:val="00BE3000"/>
    <w:rsid w:val="00BE318C"/>
    <w:rsid w:val="00BE3214"/>
    <w:rsid w:val="00BE328C"/>
    <w:rsid w:val="00BE3399"/>
    <w:rsid w:val="00BE33A8"/>
    <w:rsid w:val="00BE3442"/>
    <w:rsid w:val="00BE35ED"/>
    <w:rsid w:val="00BE35F9"/>
    <w:rsid w:val="00BE366B"/>
    <w:rsid w:val="00BE377C"/>
    <w:rsid w:val="00BE38D0"/>
    <w:rsid w:val="00BE396E"/>
    <w:rsid w:val="00BE3AB5"/>
    <w:rsid w:val="00BE3BA3"/>
    <w:rsid w:val="00BE3BDA"/>
    <w:rsid w:val="00BE3CB7"/>
    <w:rsid w:val="00BE3CE9"/>
    <w:rsid w:val="00BE3E19"/>
    <w:rsid w:val="00BE40E8"/>
    <w:rsid w:val="00BE4119"/>
    <w:rsid w:val="00BE41BF"/>
    <w:rsid w:val="00BE42E3"/>
    <w:rsid w:val="00BE4322"/>
    <w:rsid w:val="00BE469C"/>
    <w:rsid w:val="00BE4731"/>
    <w:rsid w:val="00BE4762"/>
    <w:rsid w:val="00BE4778"/>
    <w:rsid w:val="00BE484A"/>
    <w:rsid w:val="00BE4A08"/>
    <w:rsid w:val="00BE4B6D"/>
    <w:rsid w:val="00BE4B82"/>
    <w:rsid w:val="00BE4C1C"/>
    <w:rsid w:val="00BE4C97"/>
    <w:rsid w:val="00BE4D63"/>
    <w:rsid w:val="00BE4E56"/>
    <w:rsid w:val="00BE4E89"/>
    <w:rsid w:val="00BE4F00"/>
    <w:rsid w:val="00BE4FB4"/>
    <w:rsid w:val="00BE50EE"/>
    <w:rsid w:val="00BE540E"/>
    <w:rsid w:val="00BE54C8"/>
    <w:rsid w:val="00BE54E5"/>
    <w:rsid w:val="00BE552F"/>
    <w:rsid w:val="00BE5704"/>
    <w:rsid w:val="00BE5754"/>
    <w:rsid w:val="00BE5758"/>
    <w:rsid w:val="00BE57A3"/>
    <w:rsid w:val="00BE5896"/>
    <w:rsid w:val="00BE58A9"/>
    <w:rsid w:val="00BE58B3"/>
    <w:rsid w:val="00BE58B8"/>
    <w:rsid w:val="00BE5B8E"/>
    <w:rsid w:val="00BE5BF5"/>
    <w:rsid w:val="00BE5E78"/>
    <w:rsid w:val="00BE5EFB"/>
    <w:rsid w:val="00BE5FC5"/>
    <w:rsid w:val="00BE6073"/>
    <w:rsid w:val="00BE6252"/>
    <w:rsid w:val="00BE62BB"/>
    <w:rsid w:val="00BE63CD"/>
    <w:rsid w:val="00BE640D"/>
    <w:rsid w:val="00BE6412"/>
    <w:rsid w:val="00BE6440"/>
    <w:rsid w:val="00BE6492"/>
    <w:rsid w:val="00BE64FA"/>
    <w:rsid w:val="00BE6684"/>
    <w:rsid w:val="00BE67CD"/>
    <w:rsid w:val="00BE6805"/>
    <w:rsid w:val="00BE6809"/>
    <w:rsid w:val="00BE6959"/>
    <w:rsid w:val="00BE6A1F"/>
    <w:rsid w:val="00BE6A43"/>
    <w:rsid w:val="00BE6AEE"/>
    <w:rsid w:val="00BE6BC7"/>
    <w:rsid w:val="00BE6CEC"/>
    <w:rsid w:val="00BE7014"/>
    <w:rsid w:val="00BE7084"/>
    <w:rsid w:val="00BE70A5"/>
    <w:rsid w:val="00BE70F2"/>
    <w:rsid w:val="00BE7147"/>
    <w:rsid w:val="00BE7244"/>
    <w:rsid w:val="00BE724F"/>
    <w:rsid w:val="00BE725A"/>
    <w:rsid w:val="00BE72E1"/>
    <w:rsid w:val="00BE736B"/>
    <w:rsid w:val="00BE73A2"/>
    <w:rsid w:val="00BE7542"/>
    <w:rsid w:val="00BE77FC"/>
    <w:rsid w:val="00BE78F6"/>
    <w:rsid w:val="00BE7992"/>
    <w:rsid w:val="00BE79BA"/>
    <w:rsid w:val="00BE7A1E"/>
    <w:rsid w:val="00BE7B34"/>
    <w:rsid w:val="00BE7C5F"/>
    <w:rsid w:val="00BE7DD3"/>
    <w:rsid w:val="00BE7E31"/>
    <w:rsid w:val="00BE7F4D"/>
    <w:rsid w:val="00BF009A"/>
    <w:rsid w:val="00BF00FE"/>
    <w:rsid w:val="00BF01B3"/>
    <w:rsid w:val="00BF02EC"/>
    <w:rsid w:val="00BF04C2"/>
    <w:rsid w:val="00BF0714"/>
    <w:rsid w:val="00BF08A9"/>
    <w:rsid w:val="00BF0980"/>
    <w:rsid w:val="00BF09EB"/>
    <w:rsid w:val="00BF09F5"/>
    <w:rsid w:val="00BF0AAD"/>
    <w:rsid w:val="00BF0C49"/>
    <w:rsid w:val="00BF0C83"/>
    <w:rsid w:val="00BF0D59"/>
    <w:rsid w:val="00BF0FA6"/>
    <w:rsid w:val="00BF115A"/>
    <w:rsid w:val="00BF11CB"/>
    <w:rsid w:val="00BF1328"/>
    <w:rsid w:val="00BF13C7"/>
    <w:rsid w:val="00BF1404"/>
    <w:rsid w:val="00BF1414"/>
    <w:rsid w:val="00BF141A"/>
    <w:rsid w:val="00BF1421"/>
    <w:rsid w:val="00BF1530"/>
    <w:rsid w:val="00BF1587"/>
    <w:rsid w:val="00BF15B3"/>
    <w:rsid w:val="00BF15FA"/>
    <w:rsid w:val="00BF16A8"/>
    <w:rsid w:val="00BF1959"/>
    <w:rsid w:val="00BF19D7"/>
    <w:rsid w:val="00BF1AE3"/>
    <w:rsid w:val="00BF1B03"/>
    <w:rsid w:val="00BF1B1F"/>
    <w:rsid w:val="00BF1B2F"/>
    <w:rsid w:val="00BF1CA6"/>
    <w:rsid w:val="00BF1E1C"/>
    <w:rsid w:val="00BF1EB4"/>
    <w:rsid w:val="00BF1F3F"/>
    <w:rsid w:val="00BF1FC3"/>
    <w:rsid w:val="00BF1FE1"/>
    <w:rsid w:val="00BF2166"/>
    <w:rsid w:val="00BF2337"/>
    <w:rsid w:val="00BF2540"/>
    <w:rsid w:val="00BF25B0"/>
    <w:rsid w:val="00BF2606"/>
    <w:rsid w:val="00BF2830"/>
    <w:rsid w:val="00BF2901"/>
    <w:rsid w:val="00BF29F9"/>
    <w:rsid w:val="00BF2AD4"/>
    <w:rsid w:val="00BF2BEB"/>
    <w:rsid w:val="00BF2C2F"/>
    <w:rsid w:val="00BF2C33"/>
    <w:rsid w:val="00BF2D51"/>
    <w:rsid w:val="00BF2D9C"/>
    <w:rsid w:val="00BF2E10"/>
    <w:rsid w:val="00BF31F2"/>
    <w:rsid w:val="00BF3487"/>
    <w:rsid w:val="00BF3651"/>
    <w:rsid w:val="00BF3825"/>
    <w:rsid w:val="00BF389D"/>
    <w:rsid w:val="00BF3A42"/>
    <w:rsid w:val="00BF3B7A"/>
    <w:rsid w:val="00BF3C58"/>
    <w:rsid w:val="00BF3DAB"/>
    <w:rsid w:val="00BF3DEA"/>
    <w:rsid w:val="00BF3E09"/>
    <w:rsid w:val="00BF3E56"/>
    <w:rsid w:val="00BF3FDD"/>
    <w:rsid w:val="00BF4164"/>
    <w:rsid w:val="00BF41C9"/>
    <w:rsid w:val="00BF429C"/>
    <w:rsid w:val="00BF43EA"/>
    <w:rsid w:val="00BF469B"/>
    <w:rsid w:val="00BF476E"/>
    <w:rsid w:val="00BF4844"/>
    <w:rsid w:val="00BF48CC"/>
    <w:rsid w:val="00BF49A3"/>
    <w:rsid w:val="00BF4A59"/>
    <w:rsid w:val="00BF4BC7"/>
    <w:rsid w:val="00BF4C84"/>
    <w:rsid w:val="00BF4D06"/>
    <w:rsid w:val="00BF4D35"/>
    <w:rsid w:val="00BF4E14"/>
    <w:rsid w:val="00BF4E48"/>
    <w:rsid w:val="00BF5084"/>
    <w:rsid w:val="00BF50D9"/>
    <w:rsid w:val="00BF5206"/>
    <w:rsid w:val="00BF5408"/>
    <w:rsid w:val="00BF5460"/>
    <w:rsid w:val="00BF549F"/>
    <w:rsid w:val="00BF581F"/>
    <w:rsid w:val="00BF5899"/>
    <w:rsid w:val="00BF5A32"/>
    <w:rsid w:val="00BF5A49"/>
    <w:rsid w:val="00BF5A83"/>
    <w:rsid w:val="00BF5BCC"/>
    <w:rsid w:val="00BF5C55"/>
    <w:rsid w:val="00BF5CAB"/>
    <w:rsid w:val="00BF5CED"/>
    <w:rsid w:val="00BF5DFD"/>
    <w:rsid w:val="00BF5E29"/>
    <w:rsid w:val="00BF5F5E"/>
    <w:rsid w:val="00BF5F8C"/>
    <w:rsid w:val="00BF607A"/>
    <w:rsid w:val="00BF6109"/>
    <w:rsid w:val="00BF6120"/>
    <w:rsid w:val="00BF6184"/>
    <w:rsid w:val="00BF628E"/>
    <w:rsid w:val="00BF62A5"/>
    <w:rsid w:val="00BF63C5"/>
    <w:rsid w:val="00BF63C8"/>
    <w:rsid w:val="00BF6408"/>
    <w:rsid w:val="00BF65B2"/>
    <w:rsid w:val="00BF688D"/>
    <w:rsid w:val="00BF6C1D"/>
    <w:rsid w:val="00BF6D22"/>
    <w:rsid w:val="00BF6DA9"/>
    <w:rsid w:val="00BF6E1A"/>
    <w:rsid w:val="00BF6FC1"/>
    <w:rsid w:val="00BF7303"/>
    <w:rsid w:val="00BF7481"/>
    <w:rsid w:val="00BF7AA3"/>
    <w:rsid w:val="00BF7AB5"/>
    <w:rsid w:val="00BF7B81"/>
    <w:rsid w:val="00BF7C1F"/>
    <w:rsid w:val="00BF7C20"/>
    <w:rsid w:val="00BF7D8E"/>
    <w:rsid w:val="00BF7DB3"/>
    <w:rsid w:val="00BF7E4F"/>
    <w:rsid w:val="00BF7E56"/>
    <w:rsid w:val="00BF7EE7"/>
    <w:rsid w:val="00C00107"/>
    <w:rsid w:val="00C001DF"/>
    <w:rsid w:val="00C001F1"/>
    <w:rsid w:val="00C00261"/>
    <w:rsid w:val="00C00535"/>
    <w:rsid w:val="00C00714"/>
    <w:rsid w:val="00C008D8"/>
    <w:rsid w:val="00C00B7E"/>
    <w:rsid w:val="00C00BCA"/>
    <w:rsid w:val="00C00C56"/>
    <w:rsid w:val="00C00E5E"/>
    <w:rsid w:val="00C00F62"/>
    <w:rsid w:val="00C00FAA"/>
    <w:rsid w:val="00C011ED"/>
    <w:rsid w:val="00C0134B"/>
    <w:rsid w:val="00C01359"/>
    <w:rsid w:val="00C0137F"/>
    <w:rsid w:val="00C01452"/>
    <w:rsid w:val="00C01489"/>
    <w:rsid w:val="00C0150D"/>
    <w:rsid w:val="00C0175E"/>
    <w:rsid w:val="00C01767"/>
    <w:rsid w:val="00C0180C"/>
    <w:rsid w:val="00C018E4"/>
    <w:rsid w:val="00C01B60"/>
    <w:rsid w:val="00C01DDD"/>
    <w:rsid w:val="00C01F42"/>
    <w:rsid w:val="00C01F4E"/>
    <w:rsid w:val="00C01FE0"/>
    <w:rsid w:val="00C01FF0"/>
    <w:rsid w:val="00C0201F"/>
    <w:rsid w:val="00C0207B"/>
    <w:rsid w:val="00C020A5"/>
    <w:rsid w:val="00C0216B"/>
    <w:rsid w:val="00C021BE"/>
    <w:rsid w:val="00C021BF"/>
    <w:rsid w:val="00C02382"/>
    <w:rsid w:val="00C023BE"/>
    <w:rsid w:val="00C02404"/>
    <w:rsid w:val="00C02417"/>
    <w:rsid w:val="00C0247E"/>
    <w:rsid w:val="00C02562"/>
    <w:rsid w:val="00C025E7"/>
    <w:rsid w:val="00C0262D"/>
    <w:rsid w:val="00C02632"/>
    <w:rsid w:val="00C02658"/>
    <w:rsid w:val="00C02712"/>
    <w:rsid w:val="00C02748"/>
    <w:rsid w:val="00C0278D"/>
    <w:rsid w:val="00C02792"/>
    <w:rsid w:val="00C027AC"/>
    <w:rsid w:val="00C02893"/>
    <w:rsid w:val="00C02982"/>
    <w:rsid w:val="00C02A29"/>
    <w:rsid w:val="00C02AC6"/>
    <w:rsid w:val="00C02B06"/>
    <w:rsid w:val="00C02B08"/>
    <w:rsid w:val="00C02B50"/>
    <w:rsid w:val="00C02B93"/>
    <w:rsid w:val="00C02D4D"/>
    <w:rsid w:val="00C02D71"/>
    <w:rsid w:val="00C02F29"/>
    <w:rsid w:val="00C02F34"/>
    <w:rsid w:val="00C02FEA"/>
    <w:rsid w:val="00C031FC"/>
    <w:rsid w:val="00C0334C"/>
    <w:rsid w:val="00C03492"/>
    <w:rsid w:val="00C03587"/>
    <w:rsid w:val="00C036F4"/>
    <w:rsid w:val="00C037AE"/>
    <w:rsid w:val="00C038AE"/>
    <w:rsid w:val="00C03915"/>
    <w:rsid w:val="00C0394A"/>
    <w:rsid w:val="00C03AAD"/>
    <w:rsid w:val="00C03B2A"/>
    <w:rsid w:val="00C03CCF"/>
    <w:rsid w:val="00C03D91"/>
    <w:rsid w:val="00C03F21"/>
    <w:rsid w:val="00C03FA6"/>
    <w:rsid w:val="00C0400C"/>
    <w:rsid w:val="00C0404C"/>
    <w:rsid w:val="00C04056"/>
    <w:rsid w:val="00C0408B"/>
    <w:rsid w:val="00C04098"/>
    <w:rsid w:val="00C040E7"/>
    <w:rsid w:val="00C04115"/>
    <w:rsid w:val="00C04192"/>
    <w:rsid w:val="00C04264"/>
    <w:rsid w:val="00C0427E"/>
    <w:rsid w:val="00C04375"/>
    <w:rsid w:val="00C043ED"/>
    <w:rsid w:val="00C043F7"/>
    <w:rsid w:val="00C0443D"/>
    <w:rsid w:val="00C044A8"/>
    <w:rsid w:val="00C04531"/>
    <w:rsid w:val="00C04640"/>
    <w:rsid w:val="00C0479E"/>
    <w:rsid w:val="00C04838"/>
    <w:rsid w:val="00C048B5"/>
    <w:rsid w:val="00C04923"/>
    <w:rsid w:val="00C049E2"/>
    <w:rsid w:val="00C04A6F"/>
    <w:rsid w:val="00C04BEB"/>
    <w:rsid w:val="00C050B1"/>
    <w:rsid w:val="00C05134"/>
    <w:rsid w:val="00C051ED"/>
    <w:rsid w:val="00C0529E"/>
    <w:rsid w:val="00C052C4"/>
    <w:rsid w:val="00C0552B"/>
    <w:rsid w:val="00C055F2"/>
    <w:rsid w:val="00C056B3"/>
    <w:rsid w:val="00C05735"/>
    <w:rsid w:val="00C05890"/>
    <w:rsid w:val="00C059DD"/>
    <w:rsid w:val="00C05AC2"/>
    <w:rsid w:val="00C05B23"/>
    <w:rsid w:val="00C05C4D"/>
    <w:rsid w:val="00C05CF8"/>
    <w:rsid w:val="00C05E79"/>
    <w:rsid w:val="00C05F10"/>
    <w:rsid w:val="00C05F38"/>
    <w:rsid w:val="00C060FA"/>
    <w:rsid w:val="00C0628F"/>
    <w:rsid w:val="00C062A8"/>
    <w:rsid w:val="00C064FE"/>
    <w:rsid w:val="00C065F7"/>
    <w:rsid w:val="00C06753"/>
    <w:rsid w:val="00C0679C"/>
    <w:rsid w:val="00C068A6"/>
    <w:rsid w:val="00C068D7"/>
    <w:rsid w:val="00C0696E"/>
    <w:rsid w:val="00C06A41"/>
    <w:rsid w:val="00C06A6F"/>
    <w:rsid w:val="00C06B54"/>
    <w:rsid w:val="00C06CAB"/>
    <w:rsid w:val="00C06D1C"/>
    <w:rsid w:val="00C06E69"/>
    <w:rsid w:val="00C06EDE"/>
    <w:rsid w:val="00C06EF6"/>
    <w:rsid w:val="00C06F1F"/>
    <w:rsid w:val="00C0707B"/>
    <w:rsid w:val="00C0715E"/>
    <w:rsid w:val="00C07198"/>
    <w:rsid w:val="00C0731A"/>
    <w:rsid w:val="00C0737A"/>
    <w:rsid w:val="00C0739D"/>
    <w:rsid w:val="00C07622"/>
    <w:rsid w:val="00C077C9"/>
    <w:rsid w:val="00C078E5"/>
    <w:rsid w:val="00C0797C"/>
    <w:rsid w:val="00C07AA6"/>
    <w:rsid w:val="00C07AD3"/>
    <w:rsid w:val="00C07C14"/>
    <w:rsid w:val="00C07E5C"/>
    <w:rsid w:val="00C07E6C"/>
    <w:rsid w:val="00C07F33"/>
    <w:rsid w:val="00C07F60"/>
    <w:rsid w:val="00C07FB7"/>
    <w:rsid w:val="00C0C867"/>
    <w:rsid w:val="00C10049"/>
    <w:rsid w:val="00C100C4"/>
    <w:rsid w:val="00C1015A"/>
    <w:rsid w:val="00C1018A"/>
    <w:rsid w:val="00C1021F"/>
    <w:rsid w:val="00C10295"/>
    <w:rsid w:val="00C10363"/>
    <w:rsid w:val="00C103BD"/>
    <w:rsid w:val="00C10428"/>
    <w:rsid w:val="00C10465"/>
    <w:rsid w:val="00C1052F"/>
    <w:rsid w:val="00C1056C"/>
    <w:rsid w:val="00C105AC"/>
    <w:rsid w:val="00C1066A"/>
    <w:rsid w:val="00C1067B"/>
    <w:rsid w:val="00C10682"/>
    <w:rsid w:val="00C1076E"/>
    <w:rsid w:val="00C108D7"/>
    <w:rsid w:val="00C1090F"/>
    <w:rsid w:val="00C10985"/>
    <w:rsid w:val="00C10B5D"/>
    <w:rsid w:val="00C10B60"/>
    <w:rsid w:val="00C10C07"/>
    <w:rsid w:val="00C10CC3"/>
    <w:rsid w:val="00C10D16"/>
    <w:rsid w:val="00C10EFD"/>
    <w:rsid w:val="00C11031"/>
    <w:rsid w:val="00C11357"/>
    <w:rsid w:val="00C11432"/>
    <w:rsid w:val="00C114AA"/>
    <w:rsid w:val="00C1161A"/>
    <w:rsid w:val="00C116D7"/>
    <w:rsid w:val="00C118AB"/>
    <w:rsid w:val="00C1191F"/>
    <w:rsid w:val="00C119D5"/>
    <w:rsid w:val="00C11A33"/>
    <w:rsid w:val="00C11ACF"/>
    <w:rsid w:val="00C11B3F"/>
    <w:rsid w:val="00C11D7C"/>
    <w:rsid w:val="00C11DA8"/>
    <w:rsid w:val="00C11DAE"/>
    <w:rsid w:val="00C11E2A"/>
    <w:rsid w:val="00C11FEF"/>
    <w:rsid w:val="00C12064"/>
    <w:rsid w:val="00C1228B"/>
    <w:rsid w:val="00C12297"/>
    <w:rsid w:val="00C12301"/>
    <w:rsid w:val="00C123B8"/>
    <w:rsid w:val="00C123E3"/>
    <w:rsid w:val="00C124A4"/>
    <w:rsid w:val="00C12597"/>
    <w:rsid w:val="00C125C9"/>
    <w:rsid w:val="00C126BB"/>
    <w:rsid w:val="00C127E9"/>
    <w:rsid w:val="00C127FA"/>
    <w:rsid w:val="00C12986"/>
    <w:rsid w:val="00C129CA"/>
    <w:rsid w:val="00C12B01"/>
    <w:rsid w:val="00C12B1A"/>
    <w:rsid w:val="00C12C99"/>
    <w:rsid w:val="00C12E1B"/>
    <w:rsid w:val="00C12E44"/>
    <w:rsid w:val="00C12EE9"/>
    <w:rsid w:val="00C12F3C"/>
    <w:rsid w:val="00C13153"/>
    <w:rsid w:val="00C13214"/>
    <w:rsid w:val="00C13347"/>
    <w:rsid w:val="00C1337B"/>
    <w:rsid w:val="00C134B6"/>
    <w:rsid w:val="00C134CD"/>
    <w:rsid w:val="00C134FE"/>
    <w:rsid w:val="00C13577"/>
    <w:rsid w:val="00C1359E"/>
    <w:rsid w:val="00C135E8"/>
    <w:rsid w:val="00C136A5"/>
    <w:rsid w:val="00C136DC"/>
    <w:rsid w:val="00C1371F"/>
    <w:rsid w:val="00C137C2"/>
    <w:rsid w:val="00C138B3"/>
    <w:rsid w:val="00C138F9"/>
    <w:rsid w:val="00C13ABA"/>
    <w:rsid w:val="00C13BD3"/>
    <w:rsid w:val="00C13D12"/>
    <w:rsid w:val="00C13E6B"/>
    <w:rsid w:val="00C13F6B"/>
    <w:rsid w:val="00C1403D"/>
    <w:rsid w:val="00C1404A"/>
    <w:rsid w:val="00C14306"/>
    <w:rsid w:val="00C14492"/>
    <w:rsid w:val="00C14503"/>
    <w:rsid w:val="00C14578"/>
    <w:rsid w:val="00C145A9"/>
    <w:rsid w:val="00C14629"/>
    <w:rsid w:val="00C1466D"/>
    <w:rsid w:val="00C146FA"/>
    <w:rsid w:val="00C147CF"/>
    <w:rsid w:val="00C147DA"/>
    <w:rsid w:val="00C14813"/>
    <w:rsid w:val="00C149ED"/>
    <w:rsid w:val="00C14A2D"/>
    <w:rsid w:val="00C14ADA"/>
    <w:rsid w:val="00C14BFC"/>
    <w:rsid w:val="00C14C68"/>
    <w:rsid w:val="00C14CE6"/>
    <w:rsid w:val="00C15006"/>
    <w:rsid w:val="00C15168"/>
    <w:rsid w:val="00C151CF"/>
    <w:rsid w:val="00C15224"/>
    <w:rsid w:val="00C15425"/>
    <w:rsid w:val="00C15563"/>
    <w:rsid w:val="00C15719"/>
    <w:rsid w:val="00C15729"/>
    <w:rsid w:val="00C15839"/>
    <w:rsid w:val="00C15924"/>
    <w:rsid w:val="00C159B2"/>
    <w:rsid w:val="00C15A76"/>
    <w:rsid w:val="00C15A8B"/>
    <w:rsid w:val="00C15B4A"/>
    <w:rsid w:val="00C15C28"/>
    <w:rsid w:val="00C15C99"/>
    <w:rsid w:val="00C15D43"/>
    <w:rsid w:val="00C15EA3"/>
    <w:rsid w:val="00C15F31"/>
    <w:rsid w:val="00C15F6E"/>
    <w:rsid w:val="00C15FB3"/>
    <w:rsid w:val="00C15FF3"/>
    <w:rsid w:val="00C15FF4"/>
    <w:rsid w:val="00C160E1"/>
    <w:rsid w:val="00C16193"/>
    <w:rsid w:val="00C1622C"/>
    <w:rsid w:val="00C16358"/>
    <w:rsid w:val="00C16382"/>
    <w:rsid w:val="00C16390"/>
    <w:rsid w:val="00C16417"/>
    <w:rsid w:val="00C1645C"/>
    <w:rsid w:val="00C16477"/>
    <w:rsid w:val="00C166CE"/>
    <w:rsid w:val="00C166F0"/>
    <w:rsid w:val="00C16712"/>
    <w:rsid w:val="00C16767"/>
    <w:rsid w:val="00C16A5A"/>
    <w:rsid w:val="00C16AB8"/>
    <w:rsid w:val="00C16C41"/>
    <w:rsid w:val="00C16CFC"/>
    <w:rsid w:val="00C16D65"/>
    <w:rsid w:val="00C17016"/>
    <w:rsid w:val="00C17138"/>
    <w:rsid w:val="00C172B9"/>
    <w:rsid w:val="00C172C6"/>
    <w:rsid w:val="00C172E6"/>
    <w:rsid w:val="00C17428"/>
    <w:rsid w:val="00C17447"/>
    <w:rsid w:val="00C17552"/>
    <w:rsid w:val="00C175C0"/>
    <w:rsid w:val="00C175E8"/>
    <w:rsid w:val="00C175E9"/>
    <w:rsid w:val="00C1764D"/>
    <w:rsid w:val="00C17731"/>
    <w:rsid w:val="00C17778"/>
    <w:rsid w:val="00C178CC"/>
    <w:rsid w:val="00C179E8"/>
    <w:rsid w:val="00C17A77"/>
    <w:rsid w:val="00C17C96"/>
    <w:rsid w:val="00C17D34"/>
    <w:rsid w:val="00C17D44"/>
    <w:rsid w:val="00C17D7F"/>
    <w:rsid w:val="00C17DC4"/>
    <w:rsid w:val="00C17DF7"/>
    <w:rsid w:val="00C17F80"/>
    <w:rsid w:val="00C17FFA"/>
    <w:rsid w:val="00C20087"/>
    <w:rsid w:val="00C2009A"/>
    <w:rsid w:val="00C20121"/>
    <w:rsid w:val="00C2035B"/>
    <w:rsid w:val="00C20437"/>
    <w:rsid w:val="00C2044C"/>
    <w:rsid w:val="00C20477"/>
    <w:rsid w:val="00C20496"/>
    <w:rsid w:val="00C2053A"/>
    <w:rsid w:val="00C20597"/>
    <w:rsid w:val="00C205F1"/>
    <w:rsid w:val="00C2066F"/>
    <w:rsid w:val="00C2069C"/>
    <w:rsid w:val="00C20799"/>
    <w:rsid w:val="00C2079E"/>
    <w:rsid w:val="00C207D9"/>
    <w:rsid w:val="00C208D5"/>
    <w:rsid w:val="00C20918"/>
    <w:rsid w:val="00C2091D"/>
    <w:rsid w:val="00C20B29"/>
    <w:rsid w:val="00C20DF7"/>
    <w:rsid w:val="00C20EF8"/>
    <w:rsid w:val="00C20F76"/>
    <w:rsid w:val="00C20FF4"/>
    <w:rsid w:val="00C2148F"/>
    <w:rsid w:val="00C21546"/>
    <w:rsid w:val="00C2159B"/>
    <w:rsid w:val="00C215F3"/>
    <w:rsid w:val="00C21719"/>
    <w:rsid w:val="00C21773"/>
    <w:rsid w:val="00C217BA"/>
    <w:rsid w:val="00C219FA"/>
    <w:rsid w:val="00C21A17"/>
    <w:rsid w:val="00C21AD4"/>
    <w:rsid w:val="00C21BBB"/>
    <w:rsid w:val="00C21BFB"/>
    <w:rsid w:val="00C21E8A"/>
    <w:rsid w:val="00C2227A"/>
    <w:rsid w:val="00C22372"/>
    <w:rsid w:val="00C223D2"/>
    <w:rsid w:val="00C2243C"/>
    <w:rsid w:val="00C224E3"/>
    <w:rsid w:val="00C2255F"/>
    <w:rsid w:val="00C225A4"/>
    <w:rsid w:val="00C2261D"/>
    <w:rsid w:val="00C22714"/>
    <w:rsid w:val="00C22801"/>
    <w:rsid w:val="00C22815"/>
    <w:rsid w:val="00C22826"/>
    <w:rsid w:val="00C228BD"/>
    <w:rsid w:val="00C22B18"/>
    <w:rsid w:val="00C22F6E"/>
    <w:rsid w:val="00C22FA0"/>
    <w:rsid w:val="00C23100"/>
    <w:rsid w:val="00C23133"/>
    <w:rsid w:val="00C23138"/>
    <w:rsid w:val="00C23153"/>
    <w:rsid w:val="00C232B5"/>
    <w:rsid w:val="00C23307"/>
    <w:rsid w:val="00C23352"/>
    <w:rsid w:val="00C23408"/>
    <w:rsid w:val="00C23638"/>
    <w:rsid w:val="00C2365A"/>
    <w:rsid w:val="00C236C8"/>
    <w:rsid w:val="00C2382E"/>
    <w:rsid w:val="00C238F4"/>
    <w:rsid w:val="00C23A0A"/>
    <w:rsid w:val="00C23A17"/>
    <w:rsid w:val="00C23B97"/>
    <w:rsid w:val="00C23C68"/>
    <w:rsid w:val="00C23C8C"/>
    <w:rsid w:val="00C23CD5"/>
    <w:rsid w:val="00C23D16"/>
    <w:rsid w:val="00C23E3B"/>
    <w:rsid w:val="00C23ECA"/>
    <w:rsid w:val="00C23F1D"/>
    <w:rsid w:val="00C23F59"/>
    <w:rsid w:val="00C23F9C"/>
    <w:rsid w:val="00C23FBE"/>
    <w:rsid w:val="00C24022"/>
    <w:rsid w:val="00C24062"/>
    <w:rsid w:val="00C240F2"/>
    <w:rsid w:val="00C2433D"/>
    <w:rsid w:val="00C24344"/>
    <w:rsid w:val="00C243D7"/>
    <w:rsid w:val="00C24522"/>
    <w:rsid w:val="00C24533"/>
    <w:rsid w:val="00C245A9"/>
    <w:rsid w:val="00C245CE"/>
    <w:rsid w:val="00C24731"/>
    <w:rsid w:val="00C248A7"/>
    <w:rsid w:val="00C24996"/>
    <w:rsid w:val="00C24DC4"/>
    <w:rsid w:val="00C24E19"/>
    <w:rsid w:val="00C24E2A"/>
    <w:rsid w:val="00C24FBC"/>
    <w:rsid w:val="00C25077"/>
    <w:rsid w:val="00C25089"/>
    <w:rsid w:val="00C250C0"/>
    <w:rsid w:val="00C2523F"/>
    <w:rsid w:val="00C252B2"/>
    <w:rsid w:val="00C255F1"/>
    <w:rsid w:val="00C25700"/>
    <w:rsid w:val="00C25701"/>
    <w:rsid w:val="00C25723"/>
    <w:rsid w:val="00C258E7"/>
    <w:rsid w:val="00C259B5"/>
    <w:rsid w:val="00C25A53"/>
    <w:rsid w:val="00C25AB0"/>
    <w:rsid w:val="00C25ACF"/>
    <w:rsid w:val="00C25BAE"/>
    <w:rsid w:val="00C25D66"/>
    <w:rsid w:val="00C25DAB"/>
    <w:rsid w:val="00C25DD1"/>
    <w:rsid w:val="00C25FEB"/>
    <w:rsid w:val="00C2600B"/>
    <w:rsid w:val="00C26088"/>
    <w:rsid w:val="00C260A6"/>
    <w:rsid w:val="00C26471"/>
    <w:rsid w:val="00C26675"/>
    <w:rsid w:val="00C26724"/>
    <w:rsid w:val="00C26762"/>
    <w:rsid w:val="00C268B8"/>
    <w:rsid w:val="00C26960"/>
    <w:rsid w:val="00C26C3A"/>
    <w:rsid w:val="00C26DF7"/>
    <w:rsid w:val="00C26F75"/>
    <w:rsid w:val="00C27053"/>
    <w:rsid w:val="00C272A2"/>
    <w:rsid w:val="00C272D2"/>
    <w:rsid w:val="00C27356"/>
    <w:rsid w:val="00C2757D"/>
    <w:rsid w:val="00C275A3"/>
    <w:rsid w:val="00C275FD"/>
    <w:rsid w:val="00C27769"/>
    <w:rsid w:val="00C279EB"/>
    <w:rsid w:val="00C27B35"/>
    <w:rsid w:val="00C27C02"/>
    <w:rsid w:val="00C27C99"/>
    <w:rsid w:val="00C27DA8"/>
    <w:rsid w:val="00C27E04"/>
    <w:rsid w:val="00C27EE6"/>
    <w:rsid w:val="00C27F92"/>
    <w:rsid w:val="00C300EA"/>
    <w:rsid w:val="00C3013C"/>
    <w:rsid w:val="00C302EA"/>
    <w:rsid w:val="00C30373"/>
    <w:rsid w:val="00C304BE"/>
    <w:rsid w:val="00C30706"/>
    <w:rsid w:val="00C30872"/>
    <w:rsid w:val="00C3096B"/>
    <w:rsid w:val="00C30A72"/>
    <w:rsid w:val="00C30B1F"/>
    <w:rsid w:val="00C30D8C"/>
    <w:rsid w:val="00C30DE6"/>
    <w:rsid w:val="00C30EC6"/>
    <w:rsid w:val="00C30EC8"/>
    <w:rsid w:val="00C30F13"/>
    <w:rsid w:val="00C30F72"/>
    <w:rsid w:val="00C3105D"/>
    <w:rsid w:val="00C310C7"/>
    <w:rsid w:val="00C312A0"/>
    <w:rsid w:val="00C3130A"/>
    <w:rsid w:val="00C31341"/>
    <w:rsid w:val="00C31839"/>
    <w:rsid w:val="00C31923"/>
    <w:rsid w:val="00C31941"/>
    <w:rsid w:val="00C31A0E"/>
    <w:rsid w:val="00C31A7F"/>
    <w:rsid w:val="00C31BD1"/>
    <w:rsid w:val="00C31C0D"/>
    <w:rsid w:val="00C31CF1"/>
    <w:rsid w:val="00C31D13"/>
    <w:rsid w:val="00C31E79"/>
    <w:rsid w:val="00C32157"/>
    <w:rsid w:val="00C32256"/>
    <w:rsid w:val="00C32367"/>
    <w:rsid w:val="00C3265B"/>
    <w:rsid w:val="00C32728"/>
    <w:rsid w:val="00C3281F"/>
    <w:rsid w:val="00C329C9"/>
    <w:rsid w:val="00C32AE9"/>
    <w:rsid w:val="00C32AFF"/>
    <w:rsid w:val="00C32B11"/>
    <w:rsid w:val="00C32B9A"/>
    <w:rsid w:val="00C32C0F"/>
    <w:rsid w:val="00C32FBC"/>
    <w:rsid w:val="00C32FC7"/>
    <w:rsid w:val="00C32FFA"/>
    <w:rsid w:val="00C3315D"/>
    <w:rsid w:val="00C33177"/>
    <w:rsid w:val="00C3345D"/>
    <w:rsid w:val="00C334F4"/>
    <w:rsid w:val="00C334FD"/>
    <w:rsid w:val="00C3355A"/>
    <w:rsid w:val="00C33564"/>
    <w:rsid w:val="00C3358E"/>
    <w:rsid w:val="00C335A6"/>
    <w:rsid w:val="00C335AC"/>
    <w:rsid w:val="00C33614"/>
    <w:rsid w:val="00C3363A"/>
    <w:rsid w:val="00C33658"/>
    <w:rsid w:val="00C3365E"/>
    <w:rsid w:val="00C33681"/>
    <w:rsid w:val="00C336A6"/>
    <w:rsid w:val="00C337AB"/>
    <w:rsid w:val="00C337DA"/>
    <w:rsid w:val="00C33888"/>
    <w:rsid w:val="00C33A2F"/>
    <w:rsid w:val="00C33A96"/>
    <w:rsid w:val="00C33AF7"/>
    <w:rsid w:val="00C33BA9"/>
    <w:rsid w:val="00C33BC7"/>
    <w:rsid w:val="00C33BD9"/>
    <w:rsid w:val="00C33D01"/>
    <w:rsid w:val="00C33D98"/>
    <w:rsid w:val="00C33F2F"/>
    <w:rsid w:val="00C3403C"/>
    <w:rsid w:val="00C340D8"/>
    <w:rsid w:val="00C3416F"/>
    <w:rsid w:val="00C3420D"/>
    <w:rsid w:val="00C34223"/>
    <w:rsid w:val="00C34238"/>
    <w:rsid w:val="00C343C0"/>
    <w:rsid w:val="00C34448"/>
    <w:rsid w:val="00C34493"/>
    <w:rsid w:val="00C3454E"/>
    <w:rsid w:val="00C345D0"/>
    <w:rsid w:val="00C34648"/>
    <w:rsid w:val="00C346A8"/>
    <w:rsid w:val="00C347BD"/>
    <w:rsid w:val="00C34869"/>
    <w:rsid w:val="00C3498E"/>
    <w:rsid w:val="00C34C3E"/>
    <w:rsid w:val="00C34D82"/>
    <w:rsid w:val="00C34D8F"/>
    <w:rsid w:val="00C34E83"/>
    <w:rsid w:val="00C34F72"/>
    <w:rsid w:val="00C34F86"/>
    <w:rsid w:val="00C34F94"/>
    <w:rsid w:val="00C34FF5"/>
    <w:rsid w:val="00C350A6"/>
    <w:rsid w:val="00C350BB"/>
    <w:rsid w:val="00C35248"/>
    <w:rsid w:val="00C353B5"/>
    <w:rsid w:val="00C35558"/>
    <w:rsid w:val="00C356F3"/>
    <w:rsid w:val="00C35727"/>
    <w:rsid w:val="00C35734"/>
    <w:rsid w:val="00C35793"/>
    <w:rsid w:val="00C35A09"/>
    <w:rsid w:val="00C35CED"/>
    <w:rsid w:val="00C35DAE"/>
    <w:rsid w:val="00C35E44"/>
    <w:rsid w:val="00C35EC9"/>
    <w:rsid w:val="00C35F30"/>
    <w:rsid w:val="00C36028"/>
    <w:rsid w:val="00C360FF"/>
    <w:rsid w:val="00C3616F"/>
    <w:rsid w:val="00C36284"/>
    <w:rsid w:val="00C36436"/>
    <w:rsid w:val="00C36579"/>
    <w:rsid w:val="00C365EA"/>
    <w:rsid w:val="00C36634"/>
    <w:rsid w:val="00C366D6"/>
    <w:rsid w:val="00C3670B"/>
    <w:rsid w:val="00C3694A"/>
    <w:rsid w:val="00C36965"/>
    <w:rsid w:val="00C36A11"/>
    <w:rsid w:val="00C36A98"/>
    <w:rsid w:val="00C36AE5"/>
    <w:rsid w:val="00C36B23"/>
    <w:rsid w:val="00C36B3A"/>
    <w:rsid w:val="00C36B6E"/>
    <w:rsid w:val="00C36E81"/>
    <w:rsid w:val="00C36E93"/>
    <w:rsid w:val="00C36EA0"/>
    <w:rsid w:val="00C3702A"/>
    <w:rsid w:val="00C3717E"/>
    <w:rsid w:val="00C371C1"/>
    <w:rsid w:val="00C371D0"/>
    <w:rsid w:val="00C371EC"/>
    <w:rsid w:val="00C37275"/>
    <w:rsid w:val="00C3737E"/>
    <w:rsid w:val="00C37427"/>
    <w:rsid w:val="00C37505"/>
    <w:rsid w:val="00C3765B"/>
    <w:rsid w:val="00C37729"/>
    <w:rsid w:val="00C37778"/>
    <w:rsid w:val="00C377E6"/>
    <w:rsid w:val="00C377F6"/>
    <w:rsid w:val="00C37861"/>
    <w:rsid w:val="00C37864"/>
    <w:rsid w:val="00C378B2"/>
    <w:rsid w:val="00C37919"/>
    <w:rsid w:val="00C37924"/>
    <w:rsid w:val="00C3799A"/>
    <w:rsid w:val="00C37E8A"/>
    <w:rsid w:val="00C37EB3"/>
    <w:rsid w:val="00C37F44"/>
    <w:rsid w:val="00C40054"/>
    <w:rsid w:val="00C400DC"/>
    <w:rsid w:val="00C400E9"/>
    <w:rsid w:val="00C40333"/>
    <w:rsid w:val="00C4043D"/>
    <w:rsid w:val="00C404F2"/>
    <w:rsid w:val="00C4058D"/>
    <w:rsid w:val="00C40656"/>
    <w:rsid w:val="00C408A5"/>
    <w:rsid w:val="00C40927"/>
    <w:rsid w:val="00C409A7"/>
    <w:rsid w:val="00C40AAA"/>
    <w:rsid w:val="00C40B1F"/>
    <w:rsid w:val="00C40B6E"/>
    <w:rsid w:val="00C40EE3"/>
    <w:rsid w:val="00C410C0"/>
    <w:rsid w:val="00C41200"/>
    <w:rsid w:val="00C413DD"/>
    <w:rsid w:val="00C413F0"/>
    <w:rsid w:val="00C41634"/>
    <w:rsid w:val="00C41700"/>
    <w:rsid w:val="00C41717"/>
    <w:rsid w:val="00C417B8"/>
    <w:rsid w:val="00C417C1"/>
    <w:rsid w:val="00C419D0"/>
    <w:rsid w:val="00C41A9F"/>
    <w:rsid w:val="00C41D45"/>
    <w:rsid w:val="00C41D93"/>
    <w:rsid w:val="00C41DEE"/>
    <w:rsid w:val="00C41E96"/>
    <w:rsid w:val="00C42206"/>
    <w:rsid w:val="00C4226A"/>
    <w:rsid w:val="00C42394"/>
    <w:rsid w:val="00C423E8"/>
    <w:rsid w:val="00C423F9"/>
    <w:rsid w:val="00C42585"/>
    <w:rsid w:val="00C4285D"/>
    <w:rsid w:val="00C429F6"/>
    <w:rsid w:val="00C42A7F"/>
    <w:rsid w:val="00C42B3E"/>
    <w:rsid w:val="00C42B6F"/>
    <w:rsid w:val="00C42C88"/>
    <w:rsid w:val="00C42DA3"/>
    <w:rsid w:val="00C4307C"/>
    <w:rsid w:val="00C430E2"/>
    <w:rsid w:val="00C43285"/>
    <w:rsid w:val="00C432D2"/>
    <w:rsid w:val="00C433FA"/>
    <w:rsid w:val="00C4344B"/>
    <w:rsid w:val="00C434A3"/>
    <w:rsid w:val="00C4362C"/>
    <w:rsid w:val="00C43709"/>
    <w:rsid w:val="00C43A6D"/>
    <w:rsid w:val="00C43AF4"/>
    <w:rsid w:val="00C43B34"/>
    <w:rsid w:val="00C43C8A"/>
    <w:rsid w:val="00C43D48"/>
    <w:rsid w:val="00C43DE4"/>
    <w:rsid w:val="00C43DE8"/>
    <w:rsid w:val="00C43DFF"/>
    <w:rsid w:val="00C43E3B"/>
    <w:rsid w:val="00C440D8"/>
    <w:rsid w:val="00C4414F"/>
    <w:rsid w:val="00C44160"/>
    <w:rsid w:val="00C44299"/>
    <w:rsid w:val="00C4430B"/>
    <w:rsid w:val="00C4436E"/>
    <w:rsid w:val="00C44394"/>
    <w:rsid w:val="00C443B5"/>
    <w:rsid w:val="00C44505"/>
    <w:rsid w:val="00C44506"/>
    <w:rsid w:val="00C44527"/>
    <w:rsid w:val="00C445D3"/>
    <w:rsid w:val="00C4467E"/>
    <w:rsid w:val="00C447C4"/>
    <w:rsid w:val="00C44903"/>
    <w:rsid w:val="00C44A81"/>
    <w:rsid w:val="00C44B6E"/>
    <w:rsid w:val="00C44E43"/>
    <w:rsid w:val="00C44E58"/>
    <w:rsid w:val="00C44F56"/>
    <w:rsid w:val="00C44F61"/>
    <w:rsid w:val="00C44FCB"/>
    <w:rsid w:val="00C44FCC"/>
    <w:rsid w:val="00C45020"/>
    <w:rsid w:val="00C450C8"/>
    <w:rsid w:val="00C45198"/>
    <w:rsid w:val="00C4527F"/>
    <w:rsid w:val="00C452E1"/>
    <w:rsid w:val="00C452E3"/>
    <w:rsid w:val="00C452E4"/>
    <w:rsid w:val="00C453B1"/>
    <w:rsid w:val="00C454C1"/>
    <w:rsid w:val="00C454F6"/>
    <w:rsid w:val="00C45573"/>
    <w:rsid w:val="00C45619"/>
    <w:rsid w:val="00C45725"/>
    <w:rsid w:val="00C45868"/>
    <w:rsid w:val="00C459DA"/>
    <w:rsid w:val="00C459FE"/>
    <w:rsid w:val="00C45AAE"/>
    <w:rsid w:val="00C45C13"/>
    <w:rsid w:val="00C45CC8"/>
    <w:rsid w:val="00C45D45"/>
    <w:rsid w:val="00C45D65"/>
    <w:rsid w:val="00C45F28"/>
    <w:rsid w:val="00C45F6C"/>
    <w:rsid w:val="00C45FBF"/>
    <w:rsid w:val="00C45FFD"/>
    <w:rsid w:val="00C461A7"/>
    <w:rsid w:val="00C4636C"/>
    <w:rsid w:val="00C46375"/>
    <w:rsid w:val="00C46377"/>
    <w:rsid w:val="00C463D0"/>
    <w:rsid w:val="00C46442"/>
    <w:rsid w:val="00C464EF"/>
    <w:rsid w:val="00C466D1"/>
    <w:rsid w:val="00C466EF"/>
    <w:rsid w:val="00C4679B"/>
    <w:rsid w:val="00C4682D"/>
    <w:rsid w:val="00C4695A"/>
    <w:rsid w:val="00C469DD"/>
    <w:rsid w:val="00C46A5E"/>
    <w:rsid w:val="00C46BAE"/>
    <w:rsid w:val="00C46CF2"/>
    <w:rsid w:val="00C46D2C"/>
    <w:rsid w:val="00C46D90"/>
    <w:rsid w:val="00C46D91"/>
    <w:rsid w:val="00C46DBA"/>
    <w:rsid w:val="00C46E71"/>
    <w:rsid w:val="00C46EE5"/>
    <w:rsid w:val="00C46F37"/>
    <w:rsid w:val="00C46F62"/>
    <w:rsid w:val="00C47005"/>
    <w:rsid w:val="00C4703F"/>
    <w:rsid w:val="00C471AE"/>
    <w:rsid w:val="00C472DE"/>
    <w:rsid w:val="00C47318"/>
    <w:rsid w:val="00C4749C"/>
    <w:rsid w:val="00C47621"/>
    <w:rsid w:val="00C4762B"/>
    <w:rsid w:val="00C47699"/>
    <w:rsid w:val="00C476C3"/>
    <w:rsid w:val="00C4773B"/>
    <w:rsid w:val="00C47771"/>
    <w:rsid w:val="00C477C8"/>
    <w:rsid w:val="00C47823"/>
    <w:rsid w:val="00C4782C"/>
    <w:rsid w:val="00C47896"/>
    <w:rsid w:val="00C4789B"/>
    <w:rsid w:val="00C4798D"/>
    <w:rsid w:val="00C47A3A"/>
    <w:rsid w:val="00C47A5E"/>
    <w:rsid w:val="00C47B16"/>
    <w:rsid w:val="00C47BB4"/>
    <w:rsid w:val="00C47C03"/>
    <w:rsid w:val="00C47C94"/>
    <w:rsid w:val="00C47CB7"/>
    <w:rsid w:val="00C47D01"/>
    <w:rsid w:val="00C47E1F"/>
    <w:rsid w:val="00C47F18"/>
    <w:rsid w:val="00C47F85"/>
    <w:rsid w:val="00C47FBD"/>
    <w:rsid w:val="00C47FD2"/>
    <w:rsid w:val="00C5000A"/>
    <w:rsid w:val="00C50053"/>
    <w:rsid w:val="00C50057"/>
    <w:rsid w:val="00C501D4"/>
    <w:rsid w:val="00C5020C"/>
    <w:rsid w:val="00C502F5"/>
    <w:rsid w:val="00C504C5"/>
    <w:rsid w:val="00C5051B"/>
    <w:rsid w:val="00C50590"/>
    <w:rsid w:val="00C505B9"/>
    <w:rsid w:val="00C506A8"/>
    <w:rsid w:val="00C50714"/>
    <w:rsid w:val="00C50791"/>
    <w:rsid w:val="00C507B3"/>
    <w:rsid w:val="00C50B0F"/>
    <w:rsid w:val="00C50B34"/>
    <w:rsid w:val="00C50B6A"/>
    <w:rsid w:val="00C50CAB"/>
    <w:rsid w:val="00C50E1C"/>
    <w:rsid w:val="00C50E4D"/>
    <w:rsid w:val="00C50F00"/>
    <w:rsid w:val="00C51065"/>
    <w:rsid w:val="00C5130C"/>
    <w:rsid w:val="00C5142F"/>
    <w:rsid w:val="00C5143E"/>
    <w:rsid w:val="00C5156A"/>
    <w:rsid w:val="00C515B5"/>
    <w:rsid w:val="00C51634"/>
    <w:rsid w:val="00C516B1"/>
    <w:rsid w:val="00C516CC"/>
    <w:rsid w:val="00C5172A"/>
    <w:rsid w:val="00C5178B"/>
    <w:rsid w:val="00C5192D"/>
    <w:rsid w:val="00C519F4"/>
    <w:rsid w:val="00C51BD2"/>
    <w:rsid w:val="00C51E3B"/>
    <w:rsid w:val="00C51E3D"/>
    <w:rsid w:val="00C51E90"/>
    <w:rsid w:val="00C51F0B"/>
    <w:rsid w:val="00C51FB4"/>
    <w:rsid w:val="00C5201F"/>
    <w:rsid w:val="00C52113"/>
    <w:rsid w:val="00C52135"/>
    <w:rsid w:val="00C5213B"/>
    <w:rsid w:val="00C52209"/>
    <w:rsid w:val="00C5231E"/>
    <w:rsid w:val="00C523A1"/>
    <w:rsid w:val="00C523DC"/>
    <w:rsid w:val="00C52490"/>
    <w:rsid w:val="00C52587"/>
    <w:rsid w:val="00C529D7"/>
    <w:rsid w:val="00C52C8D"/>
    <w:rsid w:val="00C53098"/>
    <w:rsid w:val="00C532E7"/>
    <w:rsid w:val="00C532F2"/>
    <w:rsid w:val="00C533A2"/>
    <w:rsid w:val="00C53446"/>
    <w:rsid w:val="00C5351F"/>
    <w:rsid w:val="00C53523"/>
    <w:rsid w:val="00C5367B"/>
    <w:rsid w:val="00C536AD"/>
    <w:rsid w:val="00C53811"/>
    <w:rsid w:val="00C5385C"/>
    <w:rsid w:val="00C53A42"/>
    <w:rsid w:val="00C53B3F"/>
    <w:rsid w:val="00C53B53"/>
    <w:rsid w:val="00C53CC6"/>
    <w:rsid w:val="00C53D2A"/>
    <w:rsid w:val="00C53D34"/>
    <w:rsid w:val="00C53E06"/>
    <w:rsid w:val="00C53F6D"/>
    <w:rsid w:val="00C53FAD"/>
    <w:rsid w:val="00C53FB1"/>
    <w:rsid w:val="00C53FED"/>
    <w:rsid w:val="00C54043"/>
    <w:rsid w:val="00C541B4"/>
    <w:rsid w:val="00C541D8"/>
    <w:rsid w:val="00C54370"/>
    <w:rsid w:val="00C543A7"/>
    <w:rsid w:val="00C54478"/>
    <w:rsid w:val="00C544FE"/>
    <w:rsid w:val="00C54559"/>
    <w:rsid w:val="00C545EF"/>
    <w:rsid w:val="00C5460E"/>
    <w:rsid w:val="00C547DC"/>
    <w:rsid w:val="00C547F3"/>
    <w:rsid w:val="00C54803"/>
    <w:rsid w:val="00C549D0"/>
    <w:rsid w:val="00C54B0E"/>
    <w:rsid w:val="00C54B4E"/>
    <w:rsid w:val="00C551B0"/>
    <w:rsid w:val="00C551C3"/>
    <w:rsid w:val="00C55205"/>
    <w:rsid w:val="00C552D2"/>
    <w:rsid w:val="00C55364"/>
    <w:rsid w:val="00C5537F"/>
    <w:rsid w:val="00C553D5"/>
    <w:rsid w:val="00C554A2"/>
    <w:rsid w:val="00C55552"/>
    <w:rsid w:val="00C55628"/>
    <w:rsid w:val="00C55701"/>
    <w:rsid w:val="00C55703"/>
    <w:rsid w:val="00C557EC"/>
    <w:rsid w:val="00C55B52"/>
    <w:rsid w:val="00C55C68"/>
    <w:rsid w:val="00C55FDF"/>
    <w:rsid w:val="00C560CA"/>
    <w:rsid w:val="00C561AF"/>
    <w:rsid w:val="00C56339"/>
    <w:rsid w:val="00C5637E"/>
    <w:rsid w:val="00C563C6"/>
    <w:rsid w:val="00C564C1"/>
    <w:rsid w:val="00C56623"/>
    <w:rsid w:val="00C56698"/>
    <w:rsid w:val="00C566B8"/>
    <w:rsid w:val="00C5671F"/>
    <w:rsid w:val="00C56861"/>
    <w:rsid w:val="00C568B2"/>
    <w:rsid w:val="00C568B8"/>
    <w:rsid w:val="00C568FA"/>
    <w:rsid w:val="00C56CB4"/>
    <w:rsid w:val="00C56D4C"/>
    <w:rsid w:val="00C56E53"/>
    <w:rsid w:val="00C56EAC"/>
    <w:rsid w:val="00C56FC5"/>
    <w:rsid w:val="00C56FFC"/>
    <w:rsid w:val="00C5701B"/>
    <w:rsid w:val="00C570A4"/>
    <w:rsid w:val="00C57238"/>
    <w:rsid w:val="00C57245"/>
    <w:rsid w:val="00C572AC"/>
    <w:rsid w:val="00C57367"/>
    <w:rsid w:val="00C5753F"/>
    <w:rsid w:val="00C575E1"/>
    <w:rsid w:val="00C576D6"/>
    <w:rsid w:val="00C5771E"/>
    <w:rsid w:val="00C57736"/>
    <w:rsid w:val="00C577C6"/>
    <w:rsid w:val="00C57823"/>
    <w:rsid w:val="00C578AB"/>
    <w:rsid w:val="00C57920"/>
    <w:rsid w:val="00C57A52"/>
    <w:rsid w:val="00C57A61"/>
    <w:rsid w:val="00C57D23"/>
    <w:rsid w:val="00C57E44"/>
    <w:rsid w:val="00C57EDC"/>
    <w:rsid w:val="00C57EFF"/>
    <w:rsid w:val="00C57F70"/>
    <w:rsid w:val="00C600A7"/>
    <w:rsid w:val="00C600AD"/>
    <w:rsid w:val="00C60245"/>
    <w:rsid w:val="00C60252"/>
    <w:rsid w:val="00C602FE"/>
    <w:rsid w:val="00C60303"/>
    <w:rsid w:val="00C603BE"/>
    <w:rsid w:val="00C603CB"/>
    <w:rsid w:val="00C60539"/>
    <w:rsid w:val="00C605EF"/>
    <w:rsid w:val="00C60718"/>
    <w:rsid w:val="00C60756"/>
    <w:rsid w:val="00C607D4"/>
    <w:rsid w:val="00C608B8"/>
    <w:rsid w:val="00C60AB5"/>
    <w:rsid w:val="00C60E5F"/>
    <w:rsid w:val="00C60EBE"/>
    <w:rsid w:val="00C60F5D"/>
    <w:rsid w:val="00C60FE4"/>
    <w:rsid w:val="00C61149"/>
    <w:rsid w:val="00C6119A"/>
    <w:rsid w:val="00C611FE"/>
    <w:rsid w:val="00C61401"/>
    <w:rsid w:val="00C614A5"/>
    <w:rsid w:val="00C6155D"/>
    <w:rsid w:val="00C6160B"/>
    <w:rsid w:val="00C616CB"/>
    <w:rsid w:val="00C616EA"/>
    <w:rsid w:val="00C61733"/>
    <w:rsid w:val="00C61794"/>
    <w:rsid w:val="00C617DC"/>
    <w:rsid w:val="00C61980"/>
    <w:rsid w:val="00C61BB2"/>
    <w:rsid w:val="00C61BE3"/>
    <w:rsid w:val="00C61C3D"/>
    <w:rsid w:val="00C61CD3"/>
    <w:rsid w:val="00C61D6A"/>
    <w:rsid w:val="00C61F04"/>
    <w:rsid w:val="00C61F64"/>
    <w:rsid w:val="00C6208F"/>
    <w:rsid w:val="00C620CB"/>
    <w:rsid w:val="00C62227"/>
    <w:rsid w:val="00C62266"/>
    <w:rsid w:val="00C62375"/>
    <w:rsid w:val="00C623CE"/>
    <w:rsid w:val="00C6247D"/>
    <w:rsid w:val="00C62606"/>
    <w:rsid w:val="00C6276E"/>
    <w:rsid w:val="00C6277B"/>
    <w:rsid w:val="00C628F0"/>
    <w:rsid w:val="00C6296C"/>
    <w:rsid w:val="00C6299D"/>
    <w:rsid w:val="00C62BD6"/>
    <w:rsid w:val="00C62C3B"/>
    <w:rsid w:val="00C62C8C"/>
    <w:rsid w:val="00C62D54"/>
    <w:rsid w:val="00C630D1"/>
    <w:rsid w:val="00C631E4"/>
    <w:rsid w:val="00C6324B"/>
    <w:rsid w:val="00C63322"/>
    <w:rsid w:val="00C6335D"/>
    <w:rsid w:val="00C63524"/>
    <w:rsid w:val="00C6355D"/>
    <w:rsid w:val="00C63584"/>
    <w:rsid w:val="00C6376E"/>
    <w:rsid w:val="00C638A4"/>
    <w:rsid w:val="00C63A38"/>
    <w:rsid w:val="00C63B3C"/>
    <w:rsid w:val="00C63B84"/>
    <w:rsid w:val="00C63BCD"/>
    <w:rsid w:val="00C63E32"/>
    <w:rsid w:val="00C63E62"/>
    <w:rsid w:val="00C63E90"/>
    <w:rsid w:val="00C63EBA"/>
    <w:rsid w:val="00C6413F"/>
    <w:rsid w:val="00C64181"/>
    <w:rsid w:val="00C641FF"/>
    <w:rsid w:val="00C64219"/>
    <w:rsid w:val="00C64571"/>
    <w:rsid w:val="00C645E8"/>
    <w:rsid w:val="00C64685"/>
    <w:rsid w:val="00C6468B"/>
    <w:rsid w:val="00C646AE"/>
    <w:rsid w:val="00C646B7"/>
    <w:rsid w:val="00C64918"/>
    <w:rsid w:val="00C6493B"/>
    <w:rsid w:val="00C6493E"/>
    <w:rsid w:val="00C64BD6"/>
    <w:rsid w:val="00C64BE3"/>
    <w:rsid w:val="00C64C83"/>
    <w:rsid w:val="00C64F93"/>
    <w:rsid w:val="00C65038"/>
    <w:rsid w:val="00C6508C"/>
    <w:rsid w:val="00C651E7"/>
    <w:rsid w:val="00C65334"/>
    <w:rsid w:val="00C65506"/>
    <w:rsid w:val="00C65706"/>
    <w:rsid w:val="00C6572C"/>
    <w:rsid w:val="00C65736"/>
    <w:rsid w:val="00C657C4"/>
    <w:rsid w:val="00C6582E"/>
    <w:rsid w:val="00C658A3"/>
    <w:rsid w:val="00C65A91"/>
    <w:rsid w:val="00C65A98"/>
    <w:rsid w:val="00C65C01"/>
    <w:rsid w:val="00C65C7F"/>
    <w:rsid w:val="00C65DB2"/>
    <w:rsid w:val="00C65DE3"/>
    <w:rsid w:val="00C65E4A"/>
    <w:rsid w:val="00C65F50"/>
    <w:rsid w:val="00C66022"/>
    <w:rsid w:val="00C66049"/>
    <w:rsid w:val="00C66067"/>
    <w:rsid w:val="00C66098"/>
    <w:rsid w:val="00C660AE"/>
    <w:rsid w:val="00C661DF"/>
    <w:rsid w:val="00C6646F"/>
    <w:rsid w:val="00C6659F"/>
    <w:rsid w:val="00C66657"/>
    <w:rsid w:val="00C6669A"/>
    <w:rsid w:val="00C66744"/>
    <w:rsid w:val="00C667BA"/>
    <w:rsid w:val="00C668A8"/>
    <w:rsid w:val="00C66E64"/>
    <w:rsid w:val="00C66E81"/>
    <w:rsid w:val="00C6707B"/>
    <w:rsid w:val="00C671CA"/>
    <w:rsid w:val="00C673E9"/>
    <w:rsid w:val="00C673EB"/>
    <w:rsid w:val="00C6744E"/>
    <w:rsid w:val="00C67531"/>
    <w:rsid w:val="00C675E5"/>
    <w:rsid w:val="00C6767A"/>
    <w:rsid w:val="00C67764"/>
    <w:rsid w:val="00C67872"/>
    <w:rsid w:val="00C6793F"/>
    <w:rsid w:val="00C679AA"/>
    <w:rsid w:val="00C67AE7"/>
    <w:rsid w:val="00C67AF3"/>
    <w:rsid w:val="00C67B84"/>
    <w:rsid w:val="00C67C4C"/>
    <w:rsid w:val="00C67C7B"/>
    <w:rsid w:val="00C67CC9"/>
    <w:rsid w:val="00C67D03"/>
    <w:rsid w:val="00C67ECD"/>
    <w:rsid w:val="00C7012F"/>
    <w:rsid w:val="00C701D9"/>
    <w:rsid w:val="00C7021E"/>
    <w:rsid w:val="00C702B5"/>
    <w:rsid w:val="00C702FE"/>
    <w:rsid w:val="00C7033F"/>
    <w:rsid w:val="00C704ED"/>
    <w:rsid w:val="00C7068B"/>
    <w:rsid w:val="00C706BB"/>
    <w:rsid w:val="00C7085E"/>
    <w:rsid w:val="00C709CA"/>
    <w:rsid w:val="00C70AEF"/>
    <w:rsid w:val="00C70BBD"/>
    <w:rsid w:val="00C70EFD"/>
    <w:rsid w:val="00C70FFF"/>
    <w:rsid w:val="00C7108A"/>
    <w:rsid w:val="00C71092"/>
    <w:rsid w:val="00C7119B"/>
    <w:rsid w:val="00C712F5"/>
    <w:rsid w:val="00C7143C"/>
    <w:rsid w:val="00C71512"/>
    <w:rsid w:val="00C71568"/>
    <w:rsid w:val="00C7160D"/>
    <w:rsid w:val="00C71620"/>
    <w:rsid w:val="00C7164C"/>
    <w:rsid w:val="00C7168F"/>
    <w:rsid w:val="00C717A1"/>
    <w:rsid w:val="00C717B6"/>
    <w:rsid w:val="00C717E8"/>
    <w:rsid w:val="00C7197A"/>
    <w:rsid w:val="00C71A0C"/>
    <w:rsid w:val="00C71A76"/>
    <w:rsid w:val="00C71C14"/>
    <w:rsid w:val="00C71CDF"/>
    <w:rsid w:val="00C71D21"/>
    <w:rsid w:val="00C71D76"/>
    <w:rsid w:val="00C71FC8"/>
    <w:rsid w:val="00C72129"/>
    <w:rsid w:val="00C722BF"/>
    <w:rsid w:val="00C723D7"/>
    <w:rsid w:val="00C72426"/>
    <w:rsid w:val="00C72486"/>
    <w:rsid w:val="00C727F1"/>
    <w:rsid w:val="00C7283D"/>
    <w:rsid w:val="00C729C0"/>
    <w:rsid w:val="00C72A10"/>
    <w:rsid w:val="00C72B23"/>
    <w:rsid w:val="00C72C47"/>
    <w:rsid w:val="00C72D35"/>
    <w:rsid w:val="00C72D82"/>
    <w:rsid w:val="00C72F46"/>
    <w:rsid w:val="00C72F61"/>
    <w:rsid w:val="00C72F6A"/>
    <w:rsid w:val="00C72FDB"/>
    <w:rsid w:val="00C7304C"/>
    <w:rsid w:val="00C730A2"/>
    <w:rsid w:val="00C73273"/>
    <w:rsid w:val="00C732E6"/>
    <w:rsid w:val="00C7330A"/>
    <w:rsid w:val="00C73540"/>
    <w:rsid w:val="00C735D4"/>
    <w:rsid w:val="00C736A7"/>
    <w:rsid w:val="00C73734"/>
    <w:rsid w:val="00C7388A"/>
    <w:rsid w:val="00C73907"/>
    <w:rsid w:val="00C73A35"/>
    <w:rsid w:val="00C73A84"/>
    <w:rsid w:val="00C73BF1"/>
    <w:rsid w:val="00C73CB1"/>
    <w:rsid w:val="00C73CF0"/>
    <w:rsid w:val="00C73D01"/>
    <w:rsid w:val="00C73D42"/>
    <w:rsid w:val="00C73E5A"/>
    <w:rsid w:val="00C73ECF"/>
    <w:rsid w:val="00C73EFE"/>
    <w:rsid w:val="00C73F29"/>
    <w:rsid w:val="00C73F3A"/>
    <w:rsid w:val="00C73F9D"/>
    <w:rsid w:val="00C74375"/>
    <w:rsid w:val="00C74437"/>
    <w:rsid w:val="00C74464"/>
    <w:rsid w:val="00C74489"/>
    <w:rsid w:val="00C744F6"/>
    <w:rsid w:val="00C7452B"/>
    <w:rsid w:val="00C74577"/>
    <w:rsid w:val="00C74693"/>
    <w:rsid w:val="00C74717"/>
    <w:rsid w:val="00C74773"/>
    <w:rsid w:val="00C74974"/>
    <w:rsid w:val="00C74A94"/>
    <w:rsid w:val="00C74B3C"/>
    <w:rsid w:val="00C74C2F"/>
    <w:rsid w:val="00C74D05"/>
    <w:rsid w:val="00C74E44"/>
    <w:rsid w:val="00C74E91"/>
    <w:rsid w:val="00C74F32"/>
    <w:rsid w:val="00C74F62"/>
    <w:rsid w:val="00C74F6A"/>
    <w:rsid w:val="00C75203"/>
    <w:rsid w:val="00C752BD"/>
    <w:rsid w:val="00C75666"/>
    <w:rsid w:val="00C756F0"/>
    <w:rsid w:val="00C7582F"/>
    <w:rsid w:val="00C7588C"/>
    <w:rsid w:val="00C758CD"/>
    <w:rsid w:val="00C758D2"/>
    <w:rsid w:val="00C758D6"/>
    <w:rsid w:val="00C758F8"/>
    <w:rsid w:val="00C75987"/>
    <w:rsid w:val="00C75ACF"/>
    <w:rsid w:val="00C75BCA"/>
    <w:rsid w:val="00C75BFA"/>
    <w:rsid w:val="00C75C71"/>
    <w:rsid w:val="00C75D91"/>
    <w:rsid w:val="00C75DA1"/>
    <w:rsid w:val="00C75DD8"/>
    <w:rsid w:val="00C75E52"/>
    <w:rsid w:val="00C75E55"/>
    <w:rsid w:val="00C75E6A"/>
    <w:rsid w:val="00C75ED0"/>
    <w:rsid w:val="00C75F86"/>
    <w:rsid w:val="00C760BE"/>
    <w:rsid w:val="00C760D4"/>
    <w:rsid w:val="00C761BC"/>
    <w:rsid w:val="00C7623B"/>
    <w:rsid w:val="00C76268"/>
    <w:rsid w:val="00C76316"/>
    <w:rsid w:val="00C76407"/>
    <w:rsid w:val="00C765A3"/>
    <w:rsid w:val="00C765CD"/>
    <w:rsid w:val="00C76671"/>
    <w:rsid w:val="00C766D6"/>
    <w:rsid w:val="00C76772"/>
    <w:rsid w:val="00C76789"/>
    <w:rsid w:val="00C767F6"/>
    <w:rsid w:val="00C76868"/>
    <w:rsid w:val="00C768B8"/>
    <w:rsid w:val="00C76AF0"/>
    <w:rsid w:val="00C76B4B"/>
    <w:rsid w:val="00C76CF8"/>
    <w:rsid w:val="00C76D1E"/>
    <w:rsid w:val="00C771B9"/>
    <w:rsid w:val="00C77236"/>
    <w:rsid w:val="00C7738A"/>
    <w:rsid w:val="00C773FC"/>
    <w:rsid w:val="00C77438"/>
    <w:rsid w:val="00C77477"/>
    <w:rsid w:val="00C77617"/>
    <w:rsid w:val="00C7761B"/>
    <w:rsid w:val="00C7765C"/>
    <w:rsid w:val="00C776C6"/>
    <w:rsid w:val="00C77AEF"/>
    <w:rsid w:val="00C77AFC"/>
    <w:rsid w:val="00C77CA1"/>
    <w:rsid w:val="00C77CD8"/>
    <w:rsid w:val="00C77CF3"/>
    <w:rsid w:val="00C77D6E"/>
    <w:rsid w:val="00C77E55"/>
    <w:rsid w:val="00C77E56"/>
    <w:rsid w:val="00C77F76"/>
    <w:rsid w:val="00C77FE9"/>
    <w:rsid w:val="00C801CF"/>
    <w:rsid w:val="00C80245"/>
    <w:rsid w:val="00C8026E"/>
    <w:rsid w:val="00C80398"/>
    <w:rsid w:val="00C80491"/>
    <w:rsid w:val="00C805BC"/>
    <w:rsid w:val="00C8067C"/>
    <w:rsid w:val="00C80864"/>
    <w:rsid w:val="00C80B19"/>
    <w:rsid w:val="00C80BBF"/>
    <w:rsid w:val="00C80BCB"/>
    <w:rsid w:val="00C80C08"/>
    <w:rsid w:val="00C80CF3"/>
    <w:rsid w:val="00C80D50"/>
    <w:rsid w:val="00C80DA7"/>
    <w:rsid w:val="00C80E86"/>
    <w:rsid w:val="00C80F6D"/>
    <w:rsid w:val="00C80F90"/>
    <w:rsid w:val="00C80FDA"/>
    <w:rsid w:val="00C81010"/>
    <w:rsid w:val="00C8116B"/>
    <w:rsid w:val="00C81191"/>
    <w:rsid w:val="00C81242"/>
    <w:rsid w:val="00C8125E"/>
    <w:rsid w:val="00C8127A"/>
    <w:rsid w:val="00C8158A"/>
    <w:rsid w:val="00C815B0"/>
    <w:rsid w:val="00C817F0"/>
    <w:rsid w:val="00C8188F"/>
    <w:rsid w:val="00C818D3"/>
    <w:rsid w:val="00C81BC4"/>
    <w:rsid w:val="00C81BD0"/>
    <w:rsid w:val="00C81D84"/>
    <w:rsid w:val="00C81EE7"/>
    <w:rsid w:val="00C81EF4"/>
    <w:rsid w:val="00C82038"/>
    <w:rsid w:val="00C82055"/>
    <w:rsid w:val="00C82167"/>
    <w:rsid w:val="00C821C8"/>
    <w:rsid w:val="00C8227C"/>
    <w:rsid w:val="00C822E3"/>
    <w:rsid w:val="00C823A6"/>
    <w:rsid w:val="00C824AF"/>
    <w:rsid w:val="00C82525"/>
    <w:rsid w:val="00C8253D"/>
    <w:rsid w:val="00C8253F"/>
    <w:rsid w:val="00C825EB"/>
    <w:rsid w:val="00C82761"/>
    <w:rsid w:val="00C827C1"/>
    <w:rsid w:val="00C828B0"/>
    <w:rsid w:val="00C828EE"/>
    <w:rsid w:val="00C82928"/>
    <w:rsid w:val="00C82988"/>
    <w:rsid w:val="00C82B71"/>
    <w:rsid w:val="00C82B9E"/>
    <w:rsid w:val="00C82C13"/>
    <w:rsid w:val="00C82DA2"/>
    <w:rsid w:val="00C82DB8"/>
    <w:rsid w:val="00C82E09"/>
    <w:rsid w:val="00C82E63"/>
    <w:rsid w:val="00C82F26"/>
    <w:rsid w:val="00C83010"/>
    <w:rsid w:val="00C8309A"/>
    <w:rsid w:val="00C83113"/>
    <w:rsid w:val="00C831D4"/>
    <w:rsid w:val="00C83291"/>
    <w:rsid w:val="00C83294"/>
    <w:rsid w:val="00C832D5"/>
    <w:rsid w:val="00C83323"/>
    <w:rsid w:val="00C8332A"/>
    <w:rsid w:val="00C83385"/>
    <w:rsid w:val="00C833F4"/>
    <w:rsid w:val="00C83401"/>
    <w:rsid w:val="00C834E2"/>
    <w:rsid w:val="00C835CC"/>
    <w:rsid w:val="00C83623"/>
    <w:rsid w:val="00C836C3"/>
    <w:rsid w:val="00C83754"/>
    <w:rsid w:val="00C838ED"/>
    <w:rsid w:val="00C8394B"/>
    <w:rsid w:val="00C839C0"/>
    <w:rsid w:val="00C83AA5"/>
    <w:rsid w:val="00C83C16"/>
    <w:rsid w:val="00C83C20"/>
    <w:rsid w:val="00C83D6D"/>
    <w:rsid w:val="00C83DD0"/>
    <w:rsid w:val="00C83EC4"/>
    <w:rsid w:val="00C83EF3"/>
    <w:rsid w:val="00C83EFF"/>
    <w:rsid w:val="00C841F8"/>
    <w:rsid w:val="00C8439B"/>
    <w:rsid w:val="00C84508"/>
    <w:rsid w:val="00C8458B"/>
    <w:rsid w:val="00C846F6"/>
    <w:rsid w:val="00C84750"/>
    <w:rsid w:val="00C848F7"/>
    <w:rsid w:val="00C848FB"/>
    <w:rsid w:val="00C84940"/>
    <w:rsid w:val="00C8499B"/>
    <w:rsid w:val="00C84B42"/>
    <w:rsid w:val="00C84B4B"/>
    <w:rsid w:val="00C84B94"/>
    <w:rsid w:val="00C84C13"/>
    <w:rsid w:val="00C84C32"/>
    <w:rsid w:val="00C84C95"/>
    <w:rsid w:val="00C84D51"/>
    <w:rsid w:val="00C84DCD"/>
    <w:rsid w:val="00C84EC3"/>
    <w:rsid w:val="00C84F8B"/>
    <w:rsid w:val="00C85007"/>
    <w:rsid w:val="00C85151"/>
    <w:rsid w:val="00C851A3"/>
    <w:rsid w:val="00C8532B"/>
    <w:rsid w:val="00C85385"/>
    <w:rsid w:val="00C853B2"/>
    <w:rsid w:val="00C85430"/>
    <w:rsid w:val="00C8546D"/>
    <w:rsid w:val="00C854F6"/>
    <w:rsid w:val="00C8562E"/>
    <w:rsid w:val="00C85649"/>
    <w:rsid w:val="00C85744"/>
    <w:rsid w:val="00C857A0"/>
    <w:rsid w:val="00C857A2"/>
    <w:rsid w:val="00C8585B"/>
    <w:rsid w:val="00C859D8"/>
    <w:rsid w:val="00C85ACF"/>
    <w:rsid w:val="00C85ADC"/>
    <w:rsid w:val="00C85B1B"/>
    <w:rsid w:val="00C85BFE"/>
    <w:rsid w:val="00C85CAB"/>
    <w:rsid w:val="00C85CDF"/>
    <w:rsid w:val="00C85DC4"/>
    <w:rsid w:val="00C85DCF"/>
    <w:rsid w:val="00C85E7A"/>
    <w:rsid w:val="00C85F05"/>
    <w:rsid w:val="00C85F68"/>
    <w:rsid w:val="00C85FE7"/>
    <w:rsid w:val="00C85FF6"/>
    <w:rsid w:val="00C86040"/>
    <w:rsid w:val="00C861A6"/>
    <w:rsid w:val="00C86289"/>
    <w:rsid w:val="00C862A2"/>
    <w:rsid w:val="00C862B0"/>
    <w:rsid w:val="00C863AA"/>
    <w:rsid w:val="00C864A0"/>
    <w:rsid w:val="00C8657E"/>
    <w:rsid w:val="00C865B0"/>
    <w:rsid w:val="00C8666C"/>
    <w:rsid w:val="00C86679"/>
    <w:rsid w:val="00C866CB"/>
    <w:rsid w:val="00C866F6"/>
    <w:rsid w:val="00C868CB"/>
    <w:rsid w:val="00C86AA6"/>
    <w:rsid w:val="00C86D7C"/>
    <w:rsid w:val="00C86DA5"/>
    <w:rsid w:val="00C86DC6"/>
    <w:rsid w:val="00C86E1B"/>
    <w:rsid w:val="00C86E6C"/>
    <w:rsid w:val="00C86F17"/>
    <w:rsid w:val="00C86FF5"/>
    <w:rsid w:val="00C870DE"/>
    <w:rsid w:val="00C870F4"/>
    <w:rsid w:val="00C87340"/>
    <w:rsid w:val="00C873CC"/>
    <w:rsid w:val="00C87407"/>
    <w:rsid w:val="00C87499"/>
    <w:rsid w:val="00C8767E"/>
    <w:rsid w:val="00C876B7"/>
    <w:rsid w:val="00C8770F"/>
    <w:rsid w:val="00C87923"/>
    <w:rsid w:val="00C8798D"/>
    <w:rsid w:val="00C879AB"/>
    <w:rsid w:val="00C879F4"/>
    <w:rsid w:val="00C87C3B"/>
    <w:rsid w:val="00C87D32"/>
    <w:rsid w:val="00C9002C"/>
    <w:rsid w:val="00C90088"/>
    <w:rsid w:val="00C900EB"/>
    <w:rsid w:val="00C9011A"/>
    <w:rsid w:val="00C9015A"/>
    <w:rsid w:val="00C9052B"/>
    <w:rsid w:val="00C90632"/>
    <w:rsid w:val="00C9063B"/>
    <w:rsid w:val="00C906B6"/>
    <w:rsid w:val="00C906E2"/>
    <w:rsid w:val="00C90723"/>
    <w:rsid w:val="00C90AB3"/>
    <w:rsid w:val="00C90BB0"/>
    <w:rsid w:val="00C90BBB"/>
    <w:rsid w:val="00C90C0A"/>
    <w:rsid w:val="00C90CDE"/>
    <w:rsid w:val="00C90D14"/>
    <w:rsid w:val="00C90D6F"/>
    <w:rsid w:val="00C90DCF"/>
    <w:rsid w:val="00C90E39"/>
    <w:rsid w:val="00C90EF8"/>
    <w:rsid w:val="00C911E6"/>
    <w:rsid w:val="00C91280"/>
    <w:rsid w:val="00C912E3"/>
    <w:rsid w:val="00C91346"/>
    <w:rsid w:val="00C9145C"/>
    <w:rsid w:val="00C914A5"/>
    <w:rsid w:val="00C91515"/>
    <w:rsid w:val="00C915AE"/>
    <w:rsid w:val="00C916C8"/>
    <w:rsid w:val="00C918F4"/>
    <w:rsid w:val="00C91ABF"/>
    <w:rsid w:val="00C91BE2"/>
    <w:rsid w:val="00C91DB0"/>
    <w:rsid w:val="00C91EEB"/>
    <w:rsid w:val="00C9211B"/>
    <w:rsid w:val="00C925BC"/>
    <w:rsid w:val="00C92637"/>
    <w:rsid w:val="00C929A5"/>
    <w:rsid w:val="00C92B01"/>
    <w:rsid w:val="00C92C15"/>
    <w:rsid w:val="00C92D21"/>
    <w:rsid w:val="00C92D9E"/>
    <w:rsid w:val="00C92E46"/>
    <w:rsid w:val="00C92E5C"/>
    <w:rsid w:val="00C92E6F"/>
    <w:rsid w:val="00C92EBB"/>
    <w:rsid w:val="00C931C7"/>
    <w:rsid w:val="00C9338E"/>
    <w:rsid w:val="00C933AC"/>
    <w:rsid w:val="00C9345A"/>
    <w:rsid w:val="00C934A3"/>
    <w:rsid w:val="00C93777"/>
    <w:rsid w:val="00C938A0"/>
    <w:rsid w:val="00C938CC"/>
    <w:rsid w:val="00C938E5"/>
    <w:rsid w:val="00C9399B"/>
    <w:rsid w:val="00C939E1"/>
    <w:rsid w:val="00C939F6"/>
    <w:rsid w:val="00C93A63"/>
    <w:rsid w:val="00C93BCE"/>
    <w:rsid w:val="00C93C4F"/>
    <w:rsid w:val="00C93E87"/>
    <w:rsid w:val="00C93ED1"/>
    <w:rsid w:val="00C93EE0"/>
    <w:rsid w:val="00C93F88"/>
    <w:rsid w:val="00C93FD5"/>
    <w:rsid w:val="00C940B7"/>
    <w:rsid w:val="00C940D4"/>
    <w:rsid w:val="00C9410E"/>
    <w:rsid w:val="00C941AB"/>
    <w:rsid w:val="00C941D6"/>
    <w:rsid w:val="00C942A2"/>
    <w:rsid w:val="00C94310"/>
    <w:rsid w:val="00C944D9"/>
    <w:rsid w:val="00C9458C"/>
    <w:rsid w:val="00C9472D"/>
    <w:rsid w:val="00C947EC"/>
    <w:rsid w:val="00C94A0E"/>
    <w:rsid w:val="00C94A46"/>
    <w:rsid w:val="00C94A98"/>
    <w:rsid w:val="00C94AD1"/>
    <w:rsid w:val="00C94BD9"/>
    <w:rsid w:val="00C94CD8"/>
    <w:rsid w:val="00C94CEE"/>
    <w:rsid w:val="00C94D21"/>
    <w:rsid w:val="00C94D73"/>
    <w:rsid w:val="00C94DEA"/>
    <w:rsid w:val="00C94EFA"/>
    <w:rsid w:val="00C9523A"/>
    <w:rsid w:val="00C953D1"/>
    <w:rsid w:val="00C953E3"/>
    <w:rsid w:val="00C954CB"/>
    <w:rsid w:val="00C9556D"/>
    <w:rsid w:val="00C95690"/>
    <w:rsid w:val="00C95705"/>
    <w:rsid w:val="00C9585F"/>
    <w:rsid w:val="00C958FE"/>
    <w:rsid w:val="00C95935"/>
    <w:rsid w:val="00C959E0"/>
    <w:rsid w:val="00C95D84"/>
    <w:rsid w:val="00C95E23"/>
    <w:rsid w:val="00C95E60"/>
    <w:rsid w:val="00C95E8B"/>
    <w:rsid w:val="00C95F00"/>
    <w:rsid w:val="00C960E1"/>
    <w:rsid w:val="00C962F6"/>
    <w:rsid w:val="00C9638E"/>
    <w:rsid w:val="00C963ED"/>
    <w:rsid w:val="00C96489"/>
    <w:rsid w:val="00C96534"/>
    <w:rsid w:val="00C96538"/>
    <w:rsid w:val="00C96665"/>
    <w:rsid w:val="00C967D4"/>
    <w:rsid w:val="00C968E9"/>
    <w:rsid w:val="00C96974"/>
    <w:rsid w:val="00C969E8"/>
    <w:rsid w:val="00C969F8"/>
    <w:rsid w:val="00C969FC"/>
    <w:rsid w:val="00C96A7C"/>
    <w:rsid w:val="00C96B17"/>
    <w:rsid w:val="00C96C5F"/>
    <w:rsid w:val="00C96CB2"/>
    <w:rsid w:val="00C96D3B"/>
    <w:rsid w:val="00C96DBE"/>
    <w:rsid w:val="00C96DFF"/>
    <w:rsid w:val="00C96EC7"/>
    <w:rsid w:val="00C96F26"/>
    <w:rsid w:val="00C96FCC"/>
    <w:rsid w:val="00C9712F"/>
    <w:rsid w:val="00C9717D"/>
    <w:rsid w:val="00C971B5"/>
    <w:rsid w:val="00C971C3"/>
    <w:rsid w:val="00C971D5"/>
    <w:rsid w:val="00C971EE"/>
    <w:rsid w:val="00C9722D"/>
    <w:rsid w:val="00C972BC"/>
    <w:rsid w:val="00C9732A"/>
    <w:rsid w:val="00C9755D"/>
    <w:rsid w:val="00C97621"/>
    <w:rsid w:val="00C97751"/>
    <w:rsid w:val="00C9775B"/>
    <w:rsid w:val="00C97832"/>
    <w:rsid w:val="00C978B8"/>
    <w:rsid w:val="00C978E4"/>
    <w:rsid w:val="00C979B6"/>
    <w:rsid w:val="00C97B16"/>
    <w:rsid w:val="00C97C1D"/>
    <w:rsid w:val="00C97CD8"/>
    <w:rsid w:val="00C97D4D"/>
    <w:rsid w:val="00C97EFC"/>
    <w:rsid w:val="00C97F50"/>
    <w:rsid w:val="00CA0072"/>
    <w:rsid w:val="00CA02A8"/>
    <w:rsid w:val="00CA0418"/>
    <w:rsid w:val="00CA04DB"/>
    <w:rsid w:val="00CA07B3"/>
    <w:rsid w:val="00CA07BF"/>
    <w:rsid w:val="00CA080D"/>
    <w:rsid w:val="00CA08FD"/>
    <w:rsid w:val="00CA0993"/>
    <w:rsid w:val="00CA0A51"/>
    <w:rsid w:val="00CA0A6C"/>
    <w:rsid w:val="00CA0B88"/>
    <w:rsid w:val="00CA0BE7"/>
    <w:rsid w:val="00CA0F69"/>
    <w:rsid w:val="00CA0FD3"/>
    <w:rsid w:val="00CA104D"/>
    <w:rsid w:val="00CA11FD"/>
    <w:rsid w:val="00CA13F7"/>
    <w:rsid w:val="00CA142A"/>
    <w:rsid w:val="00CA14B7"/>
    <w:rsid w:val="00CA16E1"/>
    <w:rsid w:val="00CA177D"/>
    <w:rsid w:val="00CA1813"/>
    <w:rsid w:val="00CA1A2C"/>
    <w:rsid w:val="00CA1AB2"/>
    <w:rsid w:val="00CA1C49"/>
    <w:rsid w:val="00CA1C8F"/>
    <w:rsid w:val="00CA1CBF"/>
    <w:rsid w:val="00CA1CF2"/>
    <w:rsid w:val="00CA1E20"/>
    <w:rsid w:val="00CA1E30"/>
    <w:rsid w:val="00CA1F37"/>
    <w:rsid w:val="00CA1F7D"/>
    <w:rsid w:val="00CA20B9"/>
    <w:rsid w:val="00CA21F4"/>
    <w:rsid w:val="00CA22F3"/>
    <w:rsid w:val="00CA232E"/>
    <w:rsid w:val="00CA234F"/>
    <w:rsid w:val="00CA23DB"/>
    <w:rsid w:val="00CA259F"/>
    <w:rsid w:val="00CA2731"/>
    <w:rsid w:val="00CA27D7"/>
    <w:rsid w:val="00CA2904"/>
    <w:rsid w:val="00CA29D0"/>
    <w:rsid w:val="00CA2A4A"/>
    <w:rsid w:val="00CA2D86"/>
    <w:rsid w:val="00CA2DD5"/>
    <w:rsid w:val="00CA2E4A"/>
    <w:rsid w:val="00CA304B"/>
    <w:rsid w:val="00CA31B0"/>
    <w:rsid w:val="00CA32CB"/>
    <w:rsid w:val="00CA32DF"/>
    <w:rsid w:val="00CA3338"/>
    <w:rsid w:val="00CA33BE"/>
    <w:rsid w:val="00CA3437"/>
    <w:rsid w:val="00CA3576"/>
    <w:rsid w:val="00CA3891"/>
    <w:rsid w:val="00CA38E7"/>
    <w:rsid w:val="00CA3967"/>
    <w:rsid w:val="00CA3AE0"/>
    <w:rsid w:val="00CA3BD2"/>
    <w:rsid w:val="00CA3E8F"/>
    <w:rsid w:val="00CA407F"/>
    <w:rsid w:val="00CA41A9"/>
    <w:rsid w:val="00CA4276"/>
    <w:rsid w:val="00CA429F"/>
    <w:rsid w:val="00CA42C7"/>
    <w:rsid w:val="00CA4369"/>
    <w:rsid w:val="00CA43FC"/>
    <w:rsid w:val="00CA44D1"/>
    <w:rsid w:val="00CA4564"/>
    <w:rsid w:val="00CA4586"/>
    <w:rsid w:val="00CA4688"/>
    <w:rsid w:val="00CA46B2"/>
    <w:rsid w:val="00CA4702"/>
    <w:rsid w:val="00CA4B45"/>
    <w:rsid w:val="00CA4B90"/>
    <w:rsid w:val="00CA4BA5"/>
    <w:rsid w:val="00CA4BDA"/>
    <w:rsid w:val="00CA4C8D"/>
    <w:rsid w:val="00CA4DB7"/>
    <w:rsid w:val="00CA4F4E"/>
    <w:rsid w:val="00CA50A7"/>
    <w:rsid w:val="00CA50C5"/>
    <w:rsid w:val="00CA5190"/>
    <w:rsid w:val="00CA5231"/>
    <w:rsid w:val="00CA5236"/>
    <w:rsid w:val="00CA5250"/>
    <w:rsid w:val="00CA53AC"/>
    <w:rsid w:val="00CA540D"/>
    <w:rsid w:val="00CA548D"/>
    <w:rsid w:val="00CA56D1"/>
    <w:rsid w:val="00CA5785"/>
    <w:rsid w:val="00CA57A6"/>
    <w:rsid w:val="00CA57B4"/>
    <w:rsid w:val="00CA5807"/>
    <w:rsid w:val="00CA59FC"/>
    <w:rsid w:val="00CA5A53"/>
    <w:rsid w:val="00CA5A84"/>
    <w:rsid w:val="00CA5B87"/>
    <w:rsid w:val="00CA5BEB"/>
    <w:rsid w:val="00CA5CFE"/>
    <w:rsid w:val="00CA5D99"/>
    <w:rsid w:val="00CA5F0D"/>
    <w:rsid w:val="00CA5F9F"/>
    <w:rsid w:val="00CA65F9"/>
    <w:rsid w:val="00CA6641"/>
    <w:rsid w:val="00CA67E9"/>
    <w:rsid w:val="00CA681E"/>
    <w:rsid w:val="00CA6A15"/>
    <w:rsid w:val="00CA6D7E"/>
    <w:rsid w:val="00CA6D89"/>
    <w:rsid w:val="00CA6DB7"/>
    <w:rsid w:val="00CA6EA9"/>
    <w:rsid w:val="00CA6FD9"/>
    <w:rsid w:val="00CA6FF0"/>
    <w:rsid w:val="00CA701C"/>
    <w:rsid w:val="00CA70BB"/>
    <w:rsid w:val="00CA72C0"/>
    <w:rsid w:val="00CA7408"/>
    <w:rsid w:val="00CA7587"/>
    <w:rsid w:val="00CA7689"/>
    <w:rsid w:val="00CA7700"/>
    <w:rsid w:val="00CA77DC"/>
    <w:rsid w:val="00CA7AC1"/>
    <w:rsid w:val="00CA7CC9"/>
    <w:rsid w:val="00CA7D96"/>
    <w:rsid w:val="00CA7E61"/>
    <w:rsid w:val="00CA7EAC"/>
    <w:rsid w:val="00CB0002"/>
    <w:rsid w:val="00CB00A6"/>
    <w:rsid w:val="00CB01E2"/>
    <w:rsid w:val="00CB0277"/>
    <w:rsid w:val="00CB0387"/>
    <w:rsid w:val="00CB0398"/>
    <w:rsid w:val="00CB03DA"/>
    <w:rsid w:val="00CB070E"/>
    <w:rsid w:val="00CB0738"/>
    <w:rsid w:val="00CB0799"/>
    <w:rsid w:val="00CB08BB"/>
    <w:rsid w:val="00CB0902"/>
    <w:rsid w:val="00CB0A76"/>
    <w:rsid w:val="00CB0BFC"/>
    <w:rsid w:val="00CB0CBD"/>
    <w:rsid w:val="00CB0D80"/>
    <w:rsid w:val="00CB0EF7"/>
    <w:rsid w:val="00CB0F4F"/>
    <w:rsid w:val="00CB0F75"/>
    <w:rsid w:val="00CB0FBA"/>
    <w:rsid w:val="00CB10D0"/>
    <w:rsid w:val="00CB1140"/>
    <w:rsid w:val="00CB1343"/>
    <w:rsid w:val="00CB1386"/>
    <w:rsid w:val="00CB13FE"/>
    <w:rsid w:val="00CB14A3"/>
    <w:rsid w:val="00CB1528"/>
    <w:rsid w:val="00CB161F"/>
    <w:rsid w:val="00CB1729"/>
    <w:rsid w:val="00CB178C"/>
    <w:rsid w:val="00CB17C9"/>
    <w:rsid w:val="00CB18B0"/>
    <w:rsid w:val="00CB18F4"/>
    <w:rsid w:val="00CB1964"/>
    <w:rsid w:val="00CB1975"/>
    <w:rsid w:val="00CB1B01"/>
    <w:rsid w:val="00CB1D9A"/>
    <w:rsid w:val="00CB1E6C"/>
    <w:rsid w:val="00CB1E8A"/>
    <w:rsid w:val="00CB20F2"/>
    <w:rsid w:val="00CB23B2"/>
    <w:rsid w:val="00CB247A"/>
    <w:rsid w:val="00CB24F1"/>
    <w:rsid w:val="00CB2528"/>
    <w:rsid w:val="00CB26AB"/>
    <w:rsid w:val="00CB28E3"/>
    <w:rsid w:val="00CB2925"/>
    <w:rsid w:val="00CB292E"/>
    <w:rsid w:val="00CB297F"/>
    <w:rsid w:val="00CB2A24"/>
    <w:rsid w:val="00CB2BC7"/>
    <w:rsid w:val="00CB2BDB"/>
    <w:rsid w:val="00CB2D30"/>
    <w:rsid w:val="00CB2E2C"/>
    <w:rsid w:val="00CB2E47"/>
    <w:rsid w:val="00CB2E7C"/>
    <w:rsid w:val="00CB2FE7"/>
    <w:rsid w:val="00CB31DC"/>
    <w:rsid w:val="00CB32FB"/>
    <w:rsid w:val="00CB33AD"/>
    <w:rsid w:val="00CB343F"/>
    <w:rsid w:val="00CB3491"/>
    <w:rsid w:val="00CB3498"/>
    <w:rsid w:val="00CB3579"/>
    <w:rsid w:val="00CB3612"/>
    <w:rsid w:val="00CB36CC"/>
    <w:rsid w:val="00CB399D"/>
    <w:rsid w:val="00CB39E0"/>
    <w:rsid w:val="00CB3AA7"/>
    <w:rsid w:val="00CB3BC9"/>
    <w:rsid w:val="00CB3DF0"/>
    <w:rsid w:val="00CB3E24"/>
    <w:rsid w:val="00CB3EAF"/>
    <w:rsid w:val="00CB4102"/>
    <w:rsid w:val="00CB410C"/>
    <w:rsid w:val="00CB410D"/>
    <w:rsid w:val="00CB4125"/>
    <w:rsid w:val="00CB4202"/>
    <w:rsid w:val="00CB4413"/>
    <w:rsid w:val="00CB4432"/>
    <w:rsid w:val="00CB4469"/>
    <w:rsid w:val="00CB46A4"/>
    <w:rsid w:val="00CB47EB"/>
    <w:rsid w:val="00CB48AB"/>
    <w:rsid w:val="00CB4BC4"/>
    <w:rsid w:val="00CB4C47"/>
    <w:rsid w:val="00CB4C98"/>
    <w:rsid w:val="00CB4D2A"/>
    <w:rsid w:val="00CB5089"/>
    <w:rsid w:val="00CB50B8"/>
    <w:rsid w:val="00CB5296"/>
    <w:rsid w:val="00CB53E6"/>
    <w:rsid w:val="00CB54A5"/>
    <w:rsid w:val="00CB54B8"/>
    <w:rsid w:val="00CB555F"/>
    <w:rsid w:val="00CB5629"/>
    <w:rsid w:val="00CB571A"/>
    <w:rsid w:val="00CB577C"/>
    <w:rsid w:val="00CB59CE"/>
    <w:rsid w:val="00CB5A23"/>
    <w:rsid w:val="00CB5A5A"/>
    <w:rsid w:val="00CB5A69"/>
    <w:rsid w:val="00CB5B06"/>
    <w:rsid w:val="00CB5BB7"/>
    <w:rsid w:val="00CB5BF5"/>
    <w:rsid w:val="00CB5D9F"/>
    <w:rsid w:val="00CB5E79"/>
    <w:rsid w:val="00CB5E8F"/>
    <w:rsid w:val="00CB5E9E"/>
    <w:rsid w:val="00CB5F25"/>
    <w:rsid w:val="00CB6039"/>
    <w:rsid w:val="00CB60CD"/>
    <w:rsid w:val="00CB610F"/>
    <w:rsid w:val="00CB62C5"/>
    <w:rsid w:val="00CB62E0"/>
    <w:rsid w:val="00CB62F8"/>
    <w:rsid w:val="00CB6305"/>
    <w:rsid w:val="00CB639B"/>
    <w:rsid w:val="00CB63B0"/>
    <w:rsid w:val="00CB64C3"/>
    <w:rsid w:val="00CB6550"/>
    <w:rsid w:val="00CB6581"/>
    <w:rsid w:val="00CB6672"/>
    <w:rsid w:val="00CB67B0"/>
    <w:rsid w:val="00CB67F3"/>
    <w:rsid w:val="00CB6AFB"/>
    <w:rsid w:val="00CB6C3C"/>
    <w:rsid w:val="00CB6CC0"/>
    <w:rsid w:val="00CB6E0A"/>
    <w:rsid w:val="00CB6EA8"/>
    <w:rsid w:val="00CB7227"/>
    <w:rsid w:val="00CB7462"/>
    <w:rsid w:val="00CB7487"/>
    <w:rsid w:val="00CB7592"/>
    <w:rsid w:val="00CB75F2"/>
    <w:rsid w:val="00CB764A"/>
    <w:rsid w:val="00CB7669"/>
    <w:rsid w:val="00CB7850"/>
    <w:rsid w:val="00CB78BA"/>
    <w:rsid w:val="00CB7D93"/>
    <w:rsid w:val="00CB7E01"/>
    <w:rsid w:val="00CB7EF0"/>
    <w:rsid w:val="00CB7FCF"/>
    <w:rsid w:val="00CC0088"/>
    <w:rsid w:val="00CC00E0"/>
    <w:rsid w:val="00CC015A"/>
    <w:rsid w:val="00CC0275"/>
    <w:rsid w:val="00CC02B4"/>
    <w:rsid w:val="00CC0310"/>
    <w:rsid w:val="00CC0453"/>
    <w:rsid w:val="00CC04A1"/>
    <w:rsid w:val="00CC06BA"/>
    <w:rsid w:val="00CC0712"/>
    <w:rsid w:val="00CC0751"/>
    <w:rsid w:val="00CC0927"/>
    <w:rsid w:val="00CC09A2"/>
    <w:rsid w:val="00CC09B3"/>
    <w:rsid w:val="00CC0A60"/>
    <w:rsid w:val="00CC0CD2"/>
    <w:rsid w:val="00CC0E95"/>
    <w:rsid w:val="00CC1092"/>
    <w:rsid w:val="00CC10FC"/>
    <w:rsid w:val="00CC12EA"/>
    <w:rsid w:val="00CC1322"/>
    <w:rsid w:val="00CC13CA"/>
    <w:rsid w:val="00CC140A"/>
    <w:rsid w:val="00CC1495"/>
    <w:rsid w:val="00CC1596"/>
    <w:rsid w:val="00CC15C1"/>
    <w:rsid w:val="00CC15DB"/>
    <w:rsid w:val="00CC162D"/>
    <w:rsid w:val="00CC16A0"/>
    <w:rsid w:val="00CC1795"/>
    <w:rsid w:val="00CC18C3"/>
    <w:rsid w:val="00CC1904"/>
    <w:rsid w:val="00CC1909"/>
    <w:rsid w:val="00CC1994"/>
    <w:rsid w:val="00CC1A76"/>
    <w:rsid w:val="00CC1AAA"/>
    <w:rsid w:val="00CC1AE1"/>
    <w:rsid w:val="00CC1BD7"/>
    <w:rsid w:val="00CC1E30"/>
    <w:rsid w:val="00CC1EA5"/>
    <w:rsid w:val="00CC1F95"/>
    <w:rsid w:val="00CC2075"/>
    <w:rsid w:val="00CC2143"/>
    <w:rsid w:val="00CC216F"/>
    <w:rsid w:val="00CC2264"/>
    <w:rsid w:val="00CC22F9"/>
    <w:rsid w:val="00CC24A4"/>
    <w:rsid w:val="00CC24D8"/>
    <w:rsid w:val="00CC2573"/>
    <w:rsid w:val="00CC2697"/>
    <w:rsid w:val="00CC279D"/>
    <w:rsid w:val="00CC27BC"/>
    <w:rsid w:val="00CC294B"/>
    <w:rsid w:val="00CC2998"/>
    <w:rsid w:val="00CC2A2A"/>
    <w:rsid w:val="00CC2A37"/>
    <w:rsid w:val="00CC2ACB"/>
    <w:rsid w:val="00CC2B07"/>
    <w:rsid w:val="00CC2B4C"/>
    <w:rsid w:val="00CC2C8C"/>
    <w:rsid w:val="00CC2D0B"/>
    <w:rsid w:val="00CC2D6D"/>
    <w:rsid w:val="00CC2E96"/>
    <w:rsid w:val="00CC2ED9"/>
    <w:rsid w:val="00CC2F88"/>
    <w:rsid w:val="00CC2FD8"/>
    <w:rsid w:val="00CC30BF"/>
    <w:rsid w:val="00CC314F"/>
    <w:rsid w:val="00CC3173"/>
    <w:rsid w:val="00CC3268"/>
    <w:rsid w:val="00CC34D3"/>
    <w:rsid w:val="00CC3587"/>
    <w:rsid w:val="00CC35B7"/>
    <w:rsid w:val="00CC3611"/>
    <w:rsid w:val="00CC3633"/>
    <w:rsid w:val="00CC36A6"/>
    <w:rsid w:val="00CC3741"/>
    <w:rsid w:val="00CC3869"/>
    <w:rsid w:val="00CC38EE"/>
    <w:rsid w:val="00CC3999"/>
    <w:rsid w:val="00CC3A91"/>
    <w:rsid w:val="00CC3AF4"/>
    <w:rsid w:val="00CC3B1E"/>
    <w:rsid w:val="00CC3BE0"/>
    <w:rsid w:val="00CC3BFC"/>
    <w:rsid w:val="00CC3EC0"/>
    <w:rsid w:val="00CC3F14"/>
    <w:rsid w:val="00CC3F33"/>
    <w:rsid w:val="00CC3F8C"/>
    <w:rsid w:val="00CC42B4"/>
    <w:rsid w:val="00CC42F4"/>
    <w:rsid w:val="00CC43BD"/>
    <w:rsid w:val="00CC448B"/>
    <w:rsid w:val="00CC44CC"/>
    <w:rsid w:val="00CC4517"/>
    <w:rsid w:val="00CC463B"/>
    <w:rsid w:val="00CC4677"/>
    <w:rsid w:val="00CC46ED"/>
    <w:rsid w:val="00CC4785"/>
    <w:rsid w:val="00CC47A8"/>
    <w:rsid w:val="00CC488C"/>
    <w:rsid w:val="00CC489E"/>
    <w:rsid w:val="00CC4AD9"/>
    <w:rsid w:val="00CC4C35"/>
    <w:rsid w:val="00CC4C6C"/>
    <w:rsid w:val="00CC4CF4"/>
    <w:rsid w:val="00CC4DA7"/>
    <w:rsid w:val="00CC4F39"/>
    <w:rsid w:val="00CC5000"/>
    <w:rsid w:val="00CC504D"/>
    <w:rsid w:val="00CC5431"/>
    <w:rsid w:val="00CC56D5"/>
    <w:rsid w:val="00CC5713"/>
    <w:rsid w:val="00CC587A"/>
    <w:rsid w:val="00CC5942"/>
    <w:rsid w:val="00CC5974"/>
    <w:rsid w:val="00CC5BF6"/>
    <w:rsid w:val="00CC5CCE"/>
    <w:rsid w:val="00CC5CD6"/>
    <w:rsid w:val="00CC5E06"/>
    <w:rsid w:val="00CC5E9F"/>
    <w:rsid w:val="00CC5F70"/>
    <w:rsid w:val="00CC610F"/>
    <w:rsid w:val="00CC619F"/>
    <w:rsid w:val="00CC61AD"/>
    <w:rsid w:val="00CC61B9"/>
    <w:rsid w:val="00CC61E5"/>
    <w:rsid w:val="00CC6236"/>
    <w:rsid w:val="00CC63A8"/>
    <w:rsid w:val="00CC63AC"/>
    <w:rsid w:val="00CC642E"/>
    <w:rsid w:val="00CC64E7"/>
    <w:rsid w:val="00CC66A8"/>
    <w:rsid w:val="00CC6718"/>
    <w:rsid w:val="00CC681E"/>
    <w:rsid w:val="00CC6909"/>
    <w:rsid w:val="00CC6923"/>
    <w:rsid w:val="00CC699F"/>
    <w:rsid w:val="00CC6AAF"/>
    <w:rsid w:val="00CC6C2E"/>
    <w:rsid w:val="00CC6CC6"/>
    <w:rsid w:val="00CC6CFE"/>
    <w:rsid w:val="00CC6D22"/>
    <w:rsid w:val="00CC6F93"/>
    <w:rsid w:val="00CC70B0"/>
    <w:rsid w:val="00CC715A"/>
    <w:rsid w:val="00CC7189"/>
    <w:rsid w:val="00CC7206"/>
    <w:rsid w:val="00CC727B"/>
    <w:rsid w:val="00CC72FA"/>
    <w:rsid w:val="00CC7340"/>
    <w:rsid w:val="00CC7359"/>
    <w:rsid w:val="00CC7363"/>
    <w:rsid w:val="00CC7375"/>
    <w:rsid w:val="00CC7496"/>
    <w:rsid w:val="00CC74C3"/>
    <w:rsid w:val="00CC7635"/>
    <w:rsid w:val="00CC76C4"/>
    <w:rsid w:val="00CC7732"/>
    <w:rsid w:val="00CC7817"/>
    <w:rsid w:val="00CC7866"/>
    <w:rsid w:val="00CC793D"/>
    <w:rsid w:val="00CC7941"/>
    <w:rsid w:val="00CC7AF0"/>
    <w:rsid w:val="00CC7B07"/>
    <w:rsid w:val="00CC7B7B"/>
    <w:rsid w:val="00CC7C3D"/>
    <w:rsid w:val="00CC7C9D"/>
    <w:rsid w:val="00CC7E60"/>
    <w:rsid w:val="00CC7EAB"/>
    <w:rsid w:val="00CC7F39"/>
    <w:rsid w:val="00CC7F6E"/>
    <w:rsid w:val="00CC7FBC"/>
    <w:rsid w:val="00CC7FC5"/>
    <w:rsid w:val="00CC7FFB"/>
    <w:rsid w:val="00CD013C"/>
    <w:rsid w:val="00CD01BE"/>
    <w:rsid w:val="00CD01F3"/>
    <w:rsid w:val="00CD02CA"/>
    <w:rsid w:val="00CD0338"/>
    <w:rsid w:val="00CD03E0"/>
    <w:rsid w:val="00CD0617"/>
    <w:rsid w:val="00CD0692"/>
    <w:rsid w:val="00CD0698"/>
    <w:rsid w:val="00CD06AE"/>
    <w:rsid w:val="00CD086B"/>
    <w:rsid w:val="00CD0ABA"/>
    <w:rsid w:val="00CD0D5D"/>
    <w:rsid w:val="00CD0EA9"/>
    <w:rsid w:val="00CD0F1A"/>
    <w:rsid w:val="00CD1044"/>
    <w:rsid w:val="00CD1090"/>
    <w:rsid w:val="00CD1327"/>
    <w:rsid w:val="00CD13B1"/>
    <w:rsid w:val="00CD13E7"/>
    <w:rsid w:val="00CD15C7"/>
    <w:rsid w:val="00CD160E"/>
    <w:rsid w:val="00CD16A2"/>
    <w:rsid w:val="00CD16D3"/>
    <w:rsid w:val="00CD16F5"/>
    <w:rsid w:val="00CD170C"/>
    <w:rsid w:val="00CD1715"/>
    <w:rsid w:val="00CD19BE"/>
    <w:rsid w:val="00CD1ABA"/>
    <w:rsid w:val="00CD1B24"/>
    <w:rsid w:val="00CD1B8E"/>
    <w:rsid w:val="00CD1BCC"/>
    <w:rsid w:val="00CD1BE2"/>
    <w:rsid w:val="00CD1D65"/>
    <w:rsid w:val="00CD1E14"/>
    <w:rsid w:val="00CD1E56"/>
    <w:rsid w:val="00CD1EA0"/>
    <w:rsid w:val="00CD1F94"/>
    <w:rsid w:val="00CD20DF"/>
    <w:rsid w:val="00CD222C"/>
    <w:rsid w:val="00CD239F"/>
    <w:rsid w:val="00CD23AC"/>
    <w:rsid w:val="00CD2467"/>
    <w:rsid w:val="00CD248D"/>
    <w:rsid w:val="00CD2498"/>
    <w:rsid w:val="00CD24C0"/>
    <w:rsid w:val="00CD24FA"/>
    <w:rsid w:val="00CD2590"/>
    <w:rsid w:val="00CD27A4"/>
    <w:rsid w:val="00CD27CD"/>
    <w:rsid w:val="00CD27D7"/>
    <w:rsid w:val="00CD27E4"/>
    <w:rsid w:val="00CD282F"/>
    <w:rsid w:val="00CD28AE"/>
    <w:rsid w:val="00CD2947"/>
    <w:rsid w:val="00CD29A6"/>
    <w:rsid w:val="00CD2A1B"/>
    <w:rsid w:val="00CD2A51"/>
    <w:rsid w:val="00CD2AEF"/>
    <w:rsid w:val="00CD2B46"/>
    <w:rsid w:val="00CD2B5C"/>
    <w:rsid w:val="00CD2C05"/>
    <w:rsid w:val="00CD2D91"/>
    <w:rsid w:val="00CD2DB9"/>
    <w:rsid w:val="00CD2E18"/>
    <w:rsid w:val="00CD2EB2"/>
    <w:rsid w:val="00CD2F26"/>
    <w:rsid w:val="00CD2F95"/>
    <w:rsid w:val="00CD2FC2"/>
    <w:rsid w:val="00CD300D"/>
    <w:rsid w:val="00CD30A2"/>
    <w:rsid w:val="00CD30E0"/>
    <w:rsid w:val="00CD314D"/>
    <w:rsid w:val="00CD33FB"/>
    <w:rsid w:val="00CD34F4"/>
    <w:rsid w:val="00CD3522"/>
    <w:rsid w:val="00CD361C"/>
    <w:rsid w:val="00CD373E"/>
    <w:rsid w:val="00CD3750"/>
    <w:rsid w:val="00CD3903"/>
    <w:rsid w:val="00CD396B"/>
    <w:rsid w:val="00CD3A1F"/>
    <w:rsid w:val="00CD3A25"/>
    <w:rsid w:val="00CD3AB0"/>
    <w:rsid w:val="00CD3BD7"/>
    <w:rsid w:val="00CD3D3F"/>
    <w:rsid w:val="00CD3D6E"/>
    <w:rsid w:val="00CD3D89"/>
    <w:rsid w:val="00CD4010"/>
    <w:rsid w:val="00CD409E"/>
    <w:rsid w:val="00CD41E9"/>
    <w:rsid w:val="00CD421E"/>
    <w:rsid w:val="00CD4284"/>
    <w:rsid w:val="00CD42AE"/>
    <w:rsid w:val="00CD432E"/>
    <w:rsid w:val="00CD4371"/>
    <w:rsid w:val="00CD43CB"/>
    <w:rsid w:val="00CD43E9"/>
    <w:rsid w:val="00CD43FD"/>
    <w:rsid w:val="00CD456F"/>
    <w:rsid w:val="00CD4587"/>
    <w:rsid w:val="00CD45C3"/>
    <w:rsid w:val="00CD4802"/>
    <w:rsid w:val="00CD48D2"/>
    <w:rsid w:val="00CD48EA"/>
    <w:rsid w:val="00CD48ED"/>
    <w:rsid w:val="00CD4915"/>
    <w:rsid w:val="00CD4E47"/>
    <w:rsid w:val="00CD4E87"/>
    <w:rsid w:val="00CD4EFA"/>
    <w:rsid w:val="00CD4F84"/>
    <w:rsid w:val="00CD517A"/>
    <w:rsid w:val="00CD51D1"/>
    <w:rsid w:val="00CD530D"/>
    <w:rsid w:val="00CD5535"/>
    <w:rsid w:val="00CD55C2"/>
    <w:rsid w:val="00CD564B"/>
    <w:rsid w:val="00CD56C2"/>
    <w:rsid w:val="00CD56EA"/>
    <w:rsid w:val="00CD5B6D"/>
    <w:rsid w:val="00CD5D13"/>
    <w:rsid w:val="00CD5D4A"/>
    <w:rsid w:val="00CD5E27"/>
    <w:rsid w:val="00CD5E86"/>
    <w:rsid w:val="00CD5FDD"/>
    <w:rsid w:val="00CD6080"/>
    <w:rsid w:val="00CD6112"/>
    <w:rsid w:val="00CD617E"/>
    <w:rsid w:val="00CD6189"/>
    <w:rsid w:val="00CD638C"/>
    <w:rsid w:val="00CD65EE"/>
    <w:rsid w:val="00CD6720"/>
    <w:rsid w:val="00CD687D"/>
    <w:rsid w:val="00CD68D0"/>
    <w:rsid w:val="00CD68DE"/>
    <w:rsid w:val="00CD6A71"/>
    <w:rsid w:val="00CD6A9F"/>
    <w:rsid w:val="00CD6B90"/>
    <w:rsid w:val="00CD6E22"/>
    <w:rsid w:val="00CD6EB1"/>
    <w:rsid w:val="00CD6EF5"/>
    <w:rsid w:val="00CD6FB7"/>
    <w:rsid w:val="00CD6FF6"/>
    <w:rsid w:val="00CD713F"/>
    <w:rsid w:val="00CD716A"/>
    <w:rsid w:val="00CD7286"/>
    <w:rsid w:val="00CD74BD"/>
    <w:rsid w:val="00CD7538"/>
    <w:rsid w:val="00CD7593"/>
    <w:rsid w:val="00CD7868"/>
    <w:rsid w:val="00CD788B"/>
    <w:rsid w:val="00CD7AD2"/>
    <w:rsid w:val="00CD7C1E"/>
    <w:rsid w:val="00CD7D11"/>
    <w:rsid w:val="00CD7E12"/>
    <w:rsid w:val="00CD7E7A"/>
    <w:rsid w:val="00CD7ECF"/>
    <w:rsid w:val="00CD7F20"/>
    <w:rsid w:val="00CDEFFF"/>
    <w:rsid w:val="00CE0148"/>
    <w:rsid w:val="00CE015E"/>
    <w:rsid w:val="00CE01DF"/>
    <w:rsid w:val="00CE025C"/>
    <w:rsid w:val="00CE037A"/>
    <w:rsid w:val="00CE0416"/>
    <w:rsid w:val="00CE049C"/>
    <w:rsid w:val="00CE05E0"/>
    <w:rsid w:val="00CE060C"/>
    <w:rsid w:val="00CE06FB"/>
    <w:rsid w:val="00CE07E9"/>
    <w:rsid w:val="00CE07EA"/>
    <w:rsid w:val="00CE0909"/>
    <w:rsid w:val="00CE0920"/>
    <w:rsid w:val="00CE0AF4"/>
    <w:rsid w:val="00CE0B26"/>
    <w:rsid w:val="00CE0C5E"/>
    <w:rsid w:val="00CE0D66"/>
    <w:rsid w:val="00CE0DF3"/>
    <w:rsid w:val="00CE0F1E"/>
    <w:rsid w:val="00CE0FF4"/>
    <w:rsid w:val="00CE100D"/>
    <w:rsid w:val="00CE119B"/>
    <w:rsid w:val="00CE12A1"/>
    <w:rsid w:val="00CE1405"/>
    <w:rsid w:val="00CE147C"/>
    <w:rsid w:val="00CE150D"/>
    <w:rsid w:val="00CE15B9"/>
    <w:rsid w:val="00CE161F"/>
    <w:rsid w:val="00CE16BB"/>
    <w:rsid w:val="00CE18EC"/>
    <w:rsid w:val="00CE1968"/>
    <w:rsid w:val="00CE199E"/>
    <w:rsid w:val="00CE19D6"/>
    <w:rsid w:val="00CE19E1"/>
    <w:rsid w:val="00CE1BD4"/>
    <w:rsid w:val="00CE1D10"/>
    <w:rsid w:val="00CE1F72"/>
    <w:rsid w:val="00CE1FAC"/>
    <w:rsid w:val="00CE20B7"/>
    <w:rsid w:val="00CE218B"/>
    <w:rsid w:val="00CE2227"/>
    <w:rsid w:val="00CE2399"/>
    <w:rsid w:val="00CE24AF"/>
    <w:rsid w:val="00CE26AF"/>
    <w:rsid w:val="00CE272F"/>
    <w:rsid w:val="00CE27E4"/>
    <w:rsid w:val="00CE285C"/>
    <w:rsid w:val="00CE2901"/>
    <w:rsid w:val="00CE2966"/>
    <w:rsid w:val="00CE2BDE"/>
    <w:rsid w:val="00CE2D41"/>
    <w:rsid w:val="00CE2D53"/>
    <w:rsid w:val="00CE2E26"/>
    <w:rsid w:val="00CE2E36"/>
    <w:rsid w:val="00CE2EB8"/>
    <w:rsid w:val="00CE2F65"/>
    <w:rsid w:val="00CE302B"/>
    <w:rsid w:val="00CE30A8"/>
    <w:rsid w:val="00CE319E"/>
    <w:rsid w:val="00CE32C0"/>
    <w:rsid w:val="00CE3343"/>
    <w:rsid w:val="00CE33DE"/>
    <w:rsid w:val="00CE3407"/>
    <w:rsid w:val="00CE3714"/>
    <w:rsid w:val="00CE3746"/>
    <w:rsid w:val="00CE38F8"/>
    <w:rsid w:val="00CE395C"/>
    <w:rsid w:val="00CE3AF1"/>
    <w:rsid w:val="00CE3BE6"/>
    <w:rsid w:val="00CE3C25"/>
    <w:rsid w:val="00CE3C85"/>
    <w:rsid w:val="00CE3D51"/>
    <w:rsid w:val="00CE3EA9"/>
    <w:rsid w:val="00CE3FBA"/>
    <w:rsid w:val="00CE4007"/>
    <w:rsid w:val="00CE4029"/>
    <w:rsid w:val="00CE40AC"/>
    <w:rsid w:val="00CE414C"/>
    <w:rsid w:val="00CE4274"/>
    <w:rsid w:val="00CE4328"/>
    <w:rsid w:val="00CE45A7"/>
    <w:rsid w:val="00CE4655"/>
    <w:rsid w:val="00CE4717"/>
    <w:rsid w:val="00CE47BC"/>
    <w:rsid w:val="00CE48E5"/>
    <w:rsid w:val="00CE4A88"/>
    <w:rsid w:val="00CE4C48"/>
    <w:rsid w:val="00CE4C61"/>
    <w:rsid w:val="00CE4CF9"/>
    <w:rsid w:val="00CE4E39"/>
    <w:rsid w:val="00CE4EB4"/>
    <w:rsid w:val="00CE5083"/>
    <w:rsid w:val="00CE537B"/>
    <w:rsid w:val="00CE53E9"/>
    <w:rsid w:val="00CE5407"/>
    <w:rsid w:val="00CE560B"/>
    <w:rsid w:val="00CE5795"/>
    <w:rsid w:val="00CE57BF"/>
    <w:rsid w:val="00CE58E0"/>
    <w:rsid w:val="00CE5A10"/>
    <w:rsid w:val="00CE5A86"/>
    <w:rsid w:val="00CE5AD2"/>
    <w:rsid w:val="00CE5AE4"/>
    <w:rsid w:val="00CE5C2A"/>
    <w:rsid w:val="00CE5C8A"/>
    <w:rsid w:val="00CE5D90"/>
    <w:rsid w:val="00CE5ED2"/>
    <w:rsid w:val="00CE5F41"/>
    <w:rsid w:val="00CE61C6"/>
    <w:rsid w:val="00CE622E"/>
    <w:rsid w:val="00CE6251"/>
    <w:rsid w:val="00CE6274"/>
    <w:rsid w:val="00CE62C4"/>
    <w:rsid w:val="00CE6325"/>
    <w:rsid w:val="00CE6426"/>
    <w:rsid w:val="00CE64B1"/>
    <w:rsid w:val="00CE6588"/>
    <w:rsid w:val="00CE6732"/>
    <w:rsid w:val="00CE67F0"/>
    <w:rsid w:val="00CE6848"/>
    <w:rsid w:val="00CE689F"/>
    <w:rsid w:val="00CE68F0"/>
    <w:rsid w:val="00CE6920"/>
    <w:rsid w:val="00CE6928"/>
    <w:rsid w:val="00CE692A"/>
    <w:rsid w:val="00CE6A2A"/>
    <w:rsid w:val="00CE6A9F"/>
    <w:rsid w:val="00CE6AB4"/>
    <w:rsid w:val="00CE6B22"/>
    <w:rsid w:val="00CE6BB7"/>
    <w:rsid w:val="00CE6C66"/>
    <w:rsid w:val="00CE6CC5"/>
    <w:rsid w:val="00CE6CDE"/>
    <w:rsid w:val="00CE6D4E"/>
    <w:rsid w:val="00CE6F48"/>
    <w:rsid w:val="00CE7034"/>
    <w:rsid w:val="00CE70B9"/>
    <w:rsid w:val="00CE712E"/>
    <w:rsid w:val="00CE71A9"/>
    <w:rsid w:val="00CE71D3"/>
    <w:rsid w:val="00CE72E9"/>
    <w:rsid w:val="00CE747B"/>
    <w:rsid w:val="00CE7639"/>
    <w:rsid w:val="00CE7653"/>
    <w:rsid w:val="00CE76E3"/>
    <w:rsid w:val="00CE776B"/>
    <w:rsid w:val="00CE7802"/>
    <w:rsid w:val="00CE7B2E"/>
    <w:rsid w:val="00CE7B41"/>
    <w:rsid w:val="00CE7B4B"/>
    <w:rsid w:val="00CE7D03"/>
    <w:rsid w:val="00CF016B"/>
    <w:rsid w:val="00CF02D6"/>
    <w:rsid w:val="00CF033A"/>
    <w:rsid w:val="00CF0340"/>
    <w:rsid w:val="00CF044D"/>
    <w:rsid w:val="00CF04E3"/>
    <w:rsid w:val="00CF0505"/>
    <w:rsid w:val="00CF0509"/>
    <w:rsid w:val="00CF0534"/>
    <w:rsid w:val="00CF0624"/>
    <w:rsid w:val="00CF065B"/>
    <w:rsid w:val="00CF0700"/>
    <w:rsid w:val="00CF09D3"/>
    <w:rsid w:val="00CF0C05"/>
    <w:rsid w:val="00CF0C23"/>
    <w:rsid w:val="00CF0C93"/>
    <w:rsid w:val="00CF0CBF"/>
    <w:rsid w:val="00CF0D2D"/>
    <w:rsid w:val="00CF0E7F"/>
    <w:rsid w:val="00CF106E"/>
    <w:rsid w:val="00CF108E"/>
    <w:rsid w:val="00CF11AB"/>
    <w:rsid w:val="00CF146F"/>
    <w:rsid w:val="00CF14F6"/>
    <w:rsid w:val="00CF1586"/>
    <w:rsid w:val="00CF1621"/>
    <w:rsid w:val="00CF162A"/>
    <w:rsid w:val="00CF1677"/>
    <w:rsid w:val="00CF16E5"/>
    <w:rsid w:val="00CF17A9"/>
    <w:rsid w:val="00CF1810"/>
    <w:rsid w:val="00CF1B2C"/>
    <w:rsid w:val="00CF1B47"/>
    <w:rsid w:val="00CF1BD5"/>
    <w:rsid w:val="00CF1BE4"/>
    <w:rsid w:val="00CF1BED"/>
    <w:rsid w:val="00CF1C15"/>
    <w:rsid w:val="00CF1D10"/>
    <w:rsid w:val="00CF1D56"/>
    <w:rsid w:val="00CF1E40"/>
    <w:rsid w:val="00CF1E52"/>
    <w:rsid w:val="00CF1FC7"/>
    <w:rsid w:val="00CF208D"/>
    <w:rsid w:val="00CF21A3"/>
    <w:rsid w:val="00CF21B6"/>
    <w:rsid w:val="00CF234F"/>
    <w:rsid w:val="00CF247F"/>
    <w:rsid w:val="00CF276C"/>
    <w:rsid w:val="00CF2882"/>
    <w:rsid w:val="00CF2950"/>
    <w:rsid w:val="00CF29E9"/>
    <w:rsid w:val="00CF2A79"/>
    <w:rsid w:val="00CF2C0C"/>
    <w:rsid w:val="00CF2D19"/>
    <w:rsid w:val="00CF2D59"/>
    <w:rsid w:val="00CF2D6D"/>
    <w:rsid w:val="00CF2D81"/>
    <w:rsid w:val="00CF2E11"/>
    <w:rsid w:val="00CF2F30"/>
    <w:rsid w:val="00CF2F86"/>
    <w:rsid w:val="00CF305F"/>
    <w:rsid w:val="00CF31BE"/>
    <w:rsid w:val="00CF3293"/>
    <w:rsid w:val="00CF32F3"/>
    <w:rsid w:val="00CF3331"/>
    <w:rsid w:val="00CF341F"/>
    <w:rsid w:val="00CF349F"/>
    <w:rsid w:val="00CF34F1"/>
    <w:rsid w:val="00CF354F"/>
    <w:rsid w:val="00CF355E"/>
    <w:rsid w:val="00CF36EF"/>
    <w:rsid w:val="00CF3971"/>
    <w:rsid w:val="00CF3A40"/>
    <w:rsid w:val="00CF3B5A"/>
    <w:rsid w:val="00CF3CEF"/>
    <w:rsid w:val="00CF3E2B"/>
    <w:rsid w:val="00CF3E90"/>
    <w:rsid w:val="00CF3ECB"/>
    <w:rsid w:val="00CF3FCB"/>
    <w:rsid w:val="00CF3FD3"/>
    <w:rsid w:val="00CF4008"/>
    <w:rsid w:val="00CF40CC"/>
    <w:rsid w:val="00CF41DD"/>
    <w:rsid w:val="00CF428F"/>
    <w:rsid w:val="00CF443A"/>
    <w:rsid w:val="00CF444E"/>
    <w:rsid w:val="00CF4489"/>
    <w:rsid w:val="00CF4511"/>
    <w:rsid w:val="00CF4526"/>
    <w:rsid w:val="00CF471E"/>
    <w:rsid w:val="00CF48A5"/>
    <w:rsid w:val="00CF4A05"/>
    <w:rsid w:val="00CF4B5D"/>
    <w:rsid w:val="00CF4B79"/>
    <w:rsid w:val="00CF4DC4"/>
    <w:rsid w:val="00CF4EF3"/>
    <w:rsid w:val="00CF5126"/>
    <w:rsid w:val="00CF512F"/>
    <w:rsid w:val="00CF531D"/>
    <w:rsid w:val="00CF5547"/>
    <w:rsid w:val="00CF5601"/>
    <w:rsid w:val="00CF5675"/>
    <w:rsid w:val="00CF5724"/>
    <w:rsid w:val="00CF572F"/>
    <w:rsid w:val="00CF575D"/>
    <w:rsid w:val="00CF587C"/>
    <w:rsid w:val="00CF5940"/>
    <w:rsid w:val="00CF596F"/>
    <w:rsid w:val="00CF5C4F"/>
    <w:rsid w:val="00CF5D9A"/>
    <w:rsid w:val="00CF5E5E"/>
    <w:rsid w:val="00CF5E87"/>
    <w:rsid w:val="00CF5EA8"/>
    <w:rsid w:val="00CF63E5"/>
    <w:rsid w:val="00CF6503"/>
    <w:rsid w:val="00CF66EA"/>
    <w:rsid w:val="00CF674F"/>
    <w:rsid w:val="00CF67CD"/>
    <w:rsid w:val="00CF68BE"/>
    <w:rsid w:val="00CF69AA"/>
    <w:rsid w:val="00CF6C41"/>
    <w:rsid w:val="00CF6D1F"/>
    <w:rsid w:val="00CF6D43"/>
    <w:rsid w:val="00CF6D4F"/>
    <w:rsid w:val="00CF6DE0"/>
    <w:rsid w:val="00CF7006"/>
    <w:rsid w:val="00CF7356"/>
    <w:rsid w:val="00CF75DB"/>
    <w:rsid w:val="00CF763D"/>
    <w:rsid w:val="00CF7644"/>
    <w:rsid w:val="00CF7697"/>
    <w:rsid w:val="00CF76A7"/>
    <w:rsid w:val="00CF76DE"/>
    <w:rsid w:val="00CF793A"/>
    <w:rsid w:val="00CF7992"/>
    <w:rsid w:val="00CF79B9"/>
    <w:rsid w:val="00CF7A0D"/>
    <w:rsid w:val="00CF7A37"/>
    <w:rsid w:val="00CF7AF9"/>
    <w:rsid w:val="00CF7B78"/>
    <w:rsid w:val="00CF7BC3"/>
    <w:rsid w:val="00CF7CC2"/>
    <w:rsid w:val="00CF7D0B"/>
    <w:rsid w:val="00CF7E46"/>
    <w:rsid w:val="00CF7E5E"/>
    <w:rsid w:val="00CF7EF5"/>
    <w:rsid w:val="00CF7F07"/>
    <w:rsid w:val="00CF7F89"/>
    <w:rsid w:val="00CF7FD0"/>
    <w:rsid w:val="00CFCD6D"/>
    <w:rsid w:val="00D00192"/>
    <w:rsid w:val="00D005B0"/>
    <w:rsid w:val="00D00679"/>
    <w:rsid w:val="00D00681"/>
    <w:rsid w:val="00D006E9"/>
    <w:rsid w:val="00D006FB"/>
    <w:rsid w:val="00D00732"/>
    <w:rsid w:val="00D00798"/>
    <w:rsid w:val="00D007FC"/>
    <w:rsid w:val="00D0088C"/>
    <w:rsid w:val="00D00907"/>
    <w:rsid w:val="00D00939"/>
    <w:rsid w:val="00D0097C"/>
    <w:rsid w:val="00D009CA"/>
    <w:rsid w:val="00D009F9"/>
    <w:rsid w:val="00D00BA2"/>
    <w:rsid w:val="00D00CA4"/>
    <w:rsid w:val="00D00CCD"/>
    <w:rsid w:val="00D00CE0"/>
    <w:rsid w:val="00D00DC2"/>
    <w:rsid w:val="00D00DCD"/>
    <w:rsid w:val="00D00F63"/>
    <w:rsid w:val="00D00FDE"/>
    <w:rsid w:val="00D01085"/>
    <w:rsid w:val="00D0139A"/>
    <w:rsid w:val="00D01560"/>
    <w:rsid w:val="00D01696"/>
    <w:rsid w:val="00D016E9"/>
    <w:rsid w:val="00D01702"/>
    <w:rsid w:val="00D017FA"/>
    <w:rsid w:val="00D0192F"/>
    <w:rsid w:val="00D01A1F"/>
    <w:rsid w:val="00D01AED"/>
    <w:rsid w:val="00D01BCE"/>
    <w:rsid w:val="00D01BE9"/>
    <w:rsid w:val="00D01D21"/>
    <w:rsid w:val="00D01D27"/>
    <w:rsid w:val="00D01E67"/>
    <w:rsid w:val="00D01F17"/>
    <w:rsid w:val="00D01F91"/>
    <w:rsid w:val="00D01FB9"/>
    <w:rsid w:val="00D021D9"/>
    <w:rsid w:val="00D021DF"/>
    <w:rsid w:val="00D02225"/>
    <w:rsid w:val="00D02263"/>
    <w:rsid w:val="00D023F7"/>
    <w:rsid w:val="00D024ED"/>
    <w:rsid w:val="00D02571"/>
    <w:rsid w:val="00D0279D"/>
    <w:rsid w:val="00D02823"/>
    <w:rsid w:val="00D02838"/>
    <w:rsid w:val="00D0294E"/>
    <w:rsid w:val="00D029D0"/>
    <w:rsid w:val="00D029DF"/>
    <w:rsid w:val="00D029F9"/>
    <w:rsid w:val="00D02A06"/>
    <w:rsid w:val="00D02A11"/>
    <w:rsid w:val="00D02A2A"/>
    <w:rsid w:val="00D0300B"/>
    <w:rsid w:val="00D0328B"/>
    <w:rsid w:val="00D03358"/>
    <w:rsid w:val="00D036A1"/>
    <w:rsid w:val="00D03701"/>
    <w:rsid w:val="00D03706"/>
    <w:rsid w:val="00D03795"/>
    <w:rsid w:val="00D03810"/>
    <w:rsid w:val="00D03886"/>
    <w:rsid w:val="00D03A8E"/>
    <w:rsid w:val="00D03AD5"/>
    <w:rsid w:val="00D03B20"/>
    <w:rsid w:val="00D03B97"/>
    <w:rsid w:val="00D03BB2"/>
    <w:rsid w:val="00D03BC1"/>
    <w:rsid w:val="00D03BF6"/>
    <w:rsid w:val="00D03C34"/>
    <w:rsid w:val="00D03C95"/>
    <w:rsid w:val="00D03D41"/>
    <w:rsid w:val="00D03E38"/>
    <w:rsid w:val="00D03EE3"/>
    <w:rsid w:val="00D04052"/>
    <w:rsid w:val="00D0409A"/>
    <w:rsid w:val="00D040A9"/>
    <w:rsid w:val="00D04370"/>
    <w:rsid w:val="00D0442D"/>
    <w:rsid w:val="00D045B1"/>
    <w:rsid w:val="00D046D6"/>
    <w:rsid w:val="00D046EF"/>
    <w:rsid w:val="00D047E0"/>
    <w:rsid w:val="00D0491D"/>
    <w:rsid w:val="00D04921"/>
    <w:rsid w:val="00D04C47"/>
    <w:rsid w:val="00D04D90"/>
    <w:rsid w:val="00D04DCC"/>
    <w:rsid w:val="00D04EAF"/>
    <w:rsid w:val="00D04EF7"/>
    <w:rsid w:val="00D04F42"/>
    <w:rsid w:val="00D04FE0"/>
    <w:rsid w:val="00D04FF0"/>
    <w:rsid w:val="00D050BC"/>
    <w:rsid w:val="00D051A3"/>
    <w:rsid w:val="00D05218"/>
    <w:rsid w:val="00D05344"/>
    <w:rsid w:val="00D05365"/>
    <w:rsid w:val="00D05390"/>
    <w:rsid w:val="00D05394"/>
    <w:rsid w:val="00D053B9"/>
    <w:rsid w:val="00D0541F"/>
    <w:rsid w:val="00D054C0"/>
    <w:rsid w:val="00D055EA"/>
    <w:rsid w:val="00D05691"/>
    <w:rsid w:val="00D0572F"/>
    <w:rsid w:val="00D057A3"/>
    <w:rsid w:val="00D057EA"/>
    <w:rsid w:val="00D05818"/>
    <w:rsid w:val="00D0590A"/>
    <w:rsid w:val="00D05A8E"/>
    <w:rsid w:val="00D05B36"/>
    <w:rsid w:val="00D05B4E"/>
    <w:rsid w:val="00D05B51"/>
    <w:rsid w:val="00D05BBA"/>
    <w:rsid w:val="00D05D94"/>
    <w:rsid w:val="00D05E13"/>
    <w:rsid w:val="00D05F33"/>
    <w:rsid w:val="00D05FAE"/>
    <w:rsid w:val="00D061D7"/>
    <w:rsid w:val="00D06253"/>
    <w:rsid w:val="00D062A3"/>
    <w:rsid w:val="00D062C2"/>
    <w:rsid w:val="00D06507"/>
    <w:rsid w:val="00D067D3"/>
    <w:rsid w:val="00D06862"/>
    <w:rsid w:val="00D068EE"/>
    <w:rsid w:val="00D0691F"/>
    <w:rsid w:val="00D069E1"/>
    <w:rsid w:val="00D06A23"/>
    <w:rsid w:val="00D06AAA"/>
    <w:rsid w:val="00D06AE8"/>
    <w:rsid w:val="00D06C2B"/>
    <w:rsid w:val="00D06F73"/>
    <w:rsid w:val="00D06F9B"/>
    <w:rsid w:val="00D07032"/>
    <w:rsid w:val="00D07057"/>
    <w:rsid w:val="00D070C6"/>
    <w:rsid w:val="00D0711F"/>
    <w:rsid w:val="00D07120"/>
    <w:rsid w:val="00D071A3"/>
    <w:rsid w:val="00D07304"/>
    <w:rsid w:val="00D07501"/>
    <w:rsid w:val="00D0771E"/>
    <w:rsid w:val="00D077D4"/>
    <w:rsid w:val="00D0790A"/>
    <w:rsid w:val="00D0795F"/>
    <w:rsid w:val="00D079F0"/>
    <w:rsid w:val="00D079FA"/>
    <w:rsid w:val="00D07AB9"/>
    <w:rsid w:val="00D07B6F"/>
    <w:rsid w:val="00D07BA7"/>
    <w:rsid w:val="00D07BE6"/>
    <w:rsid w:val="00D07C6A"/>
    <w:rsid w:val="00D07CEB"/>
    <w:rsid w:val="00D07D2C"/>
    <w:rsid w:val="00D07DD9"/>
    <w:rsid w:val="00D07EE9"/>
    <w:rsid w:val="00D07FCE"/>
    <w:rsid w:val="00D10022"/>
    <w:rsid w:val="00D100A7"/>
    <w:rsid w:val="00D100C5"/>
    <w:rsid w:val="00D1012D"/>
    <w:rsid w:val="00D1014E"/>
    <w:rsid w:val="00D1017D"/>
    <w:rsid w:val="00D1020B"/>
    <w:rsid w:val="00D1022B"/>
    <w:rsid w:val="00D10301"/>
    <w:rsid w:val="00D106DE"/>
    <w:rsid w:val="00D10774"/>
    <w:rsid w:val="00D10824"/>
    <w:rsid w:val="00D10833"/>
    <w:rsid w:val="00D10925"/>
    <w:rsid w:val="00D10948"/>
    <w:rsid w:val="00D10A88"/>
    <w:rsid w:val="00D10B36"/>
    <w:rsid w:val="00D10B6F"/>
    <w:rsid w:val="00D10BE6"/>
    <w:rsid w:val="00D10CDD"/>
    <w:rsid w:val="00D10DF0"/>
    <w:rsid w:val="00D10EB9"/>
    <w:rsid w:val="00D10EE4"/>
    <w:rsid w:val="00D10FAA"/>
    <w:rsid w:val="00D10FB9"/>
    <w:rsid w:val="00D11083"/>
    <w:rsid w:val="00D110E1"/>
    <w:rsid w:val="00D110F7"/>
    <w:rsid w:val="00D1112F"/>
    <w:rsid w:val="00D11134"/>
    <w:rsid w:val="00D11137"/>
    <w:rsid w:val="00D1150C"/>
    <w:rsid w:val="00D11510"/>
    <w:rsid w:val="00D1159E"/>
    <w:rsid w:val="00D11679"/>
    <w:rsid w:val="00D1174C"/>
    <w:rsid w:val="00D11825"/>
    <w:rsid w:val="00D11921"/>
    <w:rsid w:val="00D119E3"/>
    <w:rsid w:val="00D11DA4"/>
    <w:rsid w:val="00D11E1D"/>
    <w:rsid w:val="00D12435"/>
    <w:rsid w:val="00D12589"/>
    <w:rsid w:val="00D126F1"/>
    <w:rsid w:val="00D12720"/>
    <w:rsid w:val="00D12785"/>
    <w:rsid w:val="00D127DF"/>
    <w:rsid w:val="00D128B2"/>
    <w:rsid w:val="00D12960"/>
    <w:rsid w:val="00D12B33"/>
    <w:rsid w:val="00D12B38"/>
    <w:rsid w:val="00D12BAA"/>
    <w:rsid w:val="00D12BCA"/>
    <w:rsid w:val="00D12BD2"/>
    <w:rsid w:val="00D12C05"/>
    <w:rsid w:val="00D12C2F"/>
    <w:rsid w:val="00D12F26"/>
    <w:rsid w:val="00D131F6"/>
    <w:rsid w:val="00D1326E"/>
    <w:rsid w:val="00D13476"/>
    <w:rsid w:val="00D134D4"/>
    <w:rsid w:val="00D13515"/>
    <w:rsid w:val="00D1355D"/>
    <w:rsid w:val="00D1367F"/>
    <w:rsid w:val="00D13682"/>
    <w:rsid w:val="00D136CA"/>
    <w:rsid w:val="00D137DB"/>
    <w:rsid w:val="00D1383D"/>
    <w:rsid w:val="00D1387F"/>
    <w:rsid w:val="00D1389C"/>
    <w:rsid w:val="00D13906"/>
    <w:rsid w:val="00D139C8"/>
    <w:rsid w:val="00D13A60"/>
    <w:rsid w:val="00D13B23"/>
    <w:rsid w:val="00D13BD5"/>
    <w:rsid w:val="00D13BEC"/>
    <w:rsid w:val="00D13BF5"/>
    <w:rsid w:val="00D13CA7"/>
    <w:rsid w:val="00D13FA5"/>
    <w:rsid w:val="00D1417C"/>
    <w:rsid w:val="00D14239"/>
    <w:rsid w:val="00D1435F"/>
    <w:rsid w:val="00D14391"/>
    <w:rsid w:val="00D143DE"/>
    <w:rsid w:val="00D143E1"/>
    <w:rsid w:val="00D144D4"/>
    <w:rsid w:val="00D147E0"/>
    <w:rsid w:val="00D14BF1"/>
    <w:rsid w:val="00D14C0F"/>
    <w:rsid w:val="00D14D08"/>
    <w:rsid w:val="00D14E82"/>
    <w:rsid w:val="00D14EBA"/>
    <w:rsid w:val="00D14F81"/>
    <w:rsid w:val="00D15190"/>
    <w:rsid w:val="00D1519D"/>
    <w:rsid w:val="00D1522C"/>
    <w:rsid w:val="00D1551E"/>
    <w:rsid w:val="00D15550"/>
    <w:rsid w:val="00D15699"/>
    <w:rsid w:val="00D1574E"/>
    <w:rsid w:val="00D157D6"/>
    <w:rsid w:val="00D1585C"/>
    <w:rsid w:val="00D15AD1"/>
    <w:rsid w:val="00D15B87"/>
    <w:rsid w:val="00D15D31"/>
    <w:rsid w:val="00D15DA7"/>
    <w:rsid w:val="00D15E74"/>
    <w:rsid w:val="00D160A9"/>
    <w:rsid w:val="00D1614F"/>
    <w:rsid w:val="00D16218"/>
    <w:rsid w:val="00D162C7"/>
    <w:rsid w:val="00D16406"/>
    <w:rsid w:val="00D166A2"/>
    <w:rsid w:val="00D16840"/>
    <w:rsid w:val="00D1697D"/>
    <w:rsid w:val="00D16A10"/>
    <w:rsid w:val="00D16B1F"/>
    <w:rsid w:val="00D16C15"/>
    <w:rsid w:val="00D16CB6"/>
    <w:rsid w:val="00D16CBE"/>
    <w:rsid w:val="00D16DE4"/>
    <w:rsid w:val="00D16EDF"/>
    <w:rsid w:val="00D1700A"/>
    <w:rsid w:val="00D17077"/>
    <w:rsid w:val="00D1708D"/>
    <w:rsid w:val="00D170F8"/>
    <w:rsid w:val="00D1714B"/>
    <w:rsid w:val="00D171AD"/>
    <w:rsid w:val="00D173C5"/>
    <w:rsid w:val="00D1741C"/>
    <w:rsid w:val="00D17587"/>
    <w:rsid w:val="00D1765B"/>
    <w:rsid w:val="00D17750"/>
    <w:rsid w:val="00D17764"/>
    <w:rsid w:val="00D1777F"/>
    <w:rsid w:val="00D17927"/>
    <w:rsid w:val="00D17A2F"/>
    <w:rsid w:val="00D17CC2"/>
    <w:rsid w:val="00D17CE8"/>
    <w:rsid w:val="00D17CEE"/>
    <w:rsid w:val="00D17F6B"/>
    <w:rsid w:val="00D200C1"/>
    <w:rsid w:val="00D20155"/>
    <w:rsid w:val="00D202FF"/>
    <w:rsid w:val="00D203C0"/>
    <w:rsid w:val="00D20401"/>
    <w:rsid w:val="00D205B6"/>
    <w:rsid w:val="00D2069E"/>
    <w:rsid w:val="00D20791"/>
    <w:rsid w:val="00D207E1"/>
    <w:rsid w:val="00D208CE"/>
    <w:rsid w:val="00D20A2E"/>
    <w:rsid w:val="00D20A48"/>
    <w:rsid w:val="00D20BD3"/>
    <w:rsid w:val="00D20BE0"/>
    <w:rsid w:val="00D20CCB"/>
    <w:rsid w:val="00D20CED"/>
    <w:rsid w:val="00D20EC5"/>
    <w:rsid w:val="00D20EC7"/>
    <w:rsid w:val="00D20F76"/>
    <w:rsid w:val="00D21097"/>
    <w:rsid w:val="00D212F3"/>
    <w:rsid w:val="00D2139F"/>
    <w:rsid w:val="00D215E8"/>
    <w:rsid w:val="00D21705"/>
    <w:rsid w:val="00D21846"/>
    <w:rsid w:val="00D21917"/>
    <w:rsid w:val="00D2197C"/>
    <w:rsid w:val="00D219B7"/>
    <w:rsid w:val="00D219D7"/>
    <w:rsid w:val="00D21A20"/>
    <w:rsid w:val="00D21B04"/>
    <w:rsid w:val="00D21B8C"/>
    <w:rsid w:val="00D21BB0"/>
    <w:rsid w:val="00D21C1C"/>
    <w:rsid w:val="00D21F73"/>
    <w:rsid w:val="00D22015"/>
    <w:rsid w:val="00D220F5"/>
    <w:rsid w:val="00D22122"/>
    <w:rsid w:val="00D2218A"/>
    <w:rsid w:val="00D222BA"/>
    <w:rsid w:val="00D22340"/>
    <w:rsid w:val="00D22488"/>
    <w:rsid w:val="00D22766"/>
    <w:rsid w:val="00D22772"/>
    <w:rsid w:val="00D227DB"/>
    <w:rsid w:val="00D22AE0"/>
    <w:rsid w:val="00D22B58"/>
    <w:rsid w:val="00D22BF2"/>
    <w:rsid w:val="00D22E54"/>
    <w:rsid w:val="00D22EF0"/>
    <w:rsid w:val="00D22F5C"/>
    <w:rsid w:val="00D22F66"/>
    <w:rsid w:val="00D2318E"/>
    <w:rsid w:val="00D231F8"/>
    <w:rsid w:val="00D23344"/>
    <w:rsid w:val="00D2334A"/>
    <w:rsid w:val="00D233B0"/>
    <w:rsid w:val="00D233EC"/>
    <w:rsid w:val="00D234BF"/>
    <w:rsid w:val="00D235DA"/>
    <w:rsid w:val="00D236B7"/>
    <w:rsid w:val="00D2372B"/>
    <w:rsid w:val="00D23762"/>
    <w:rsid w:val="00D237B0"/>
    <w:rsid w:val="00D23954"/>
    <w:rsid w:val="00D23AD9"/>
    <w:rsid w:val="00D23B4A"/>
    <w:rsid w:val="00D23B9D"/>
    <w:rsid w:val="00D23FEA"/>
    <w:rsid w:val="00D24095"/>
    <w:rsid w:val="00D240CF"/>
    <w:rsid w:val="00D241C9"/>
    <w:rsid w:val="00D2422B"/>
    <w:rsid w:val="00D24245"/>
    <w:rsid w:val="00D2425E"/>
    <w:rsid w:val="00D24316"/>
    <w:rsid w:val="00D2437C"/>
    <w:rsid w:val="00D243D4"/>
    <w:rsid w:val="00D243EB"/>
    <w:rsid w:val="00D245B8"/>
    <w:rsid w:val="00D245D4"/>
    <w:rsid w:val="00D246BB"/>
    <w:rsid w:val="00D2474D"/>
    <w:rsid w:val="00D247F3"/>
    <w:rsid w:val="00D248EE"/>
    <w:rsid w:val="00D24977"/>
    <w:rsid w:val="00D249AF"/>
    <w:rsid w:val="00D24AD0"/>
    <w:rsid w:val="00D24C30"/>
    <w:rsid w:val="00D24D7A"/>
    <w:rsid w:val="00D24FAF"/>
    <w:rsid w:val="00D250D1"/>
    <w:rsid w:val="00D250F9"/>
    <w:rsid w:val="00D2512F"/>
    <w:rsid w:val="00D2529B"/>
    <w:rsid w:val="00D252D4"/>
    <w:rsid w:val="00D25366"/>
    <w:rsid w:val="00D253A5"/>
    <w:rsid w:val="00D25415"/>
    <w:rsid w:val="00D2546B"/>
    <w:rsid w:val="00D255F5"/>
    <w:rsid w:val="00D25628"/>
    <w:rsid w:val="00D256F1"/>
    <w:rsid w:val="00D25777"/>
    <w:rsid w:val="00D257AA"/>
    <w:rsid w:val="00D258E9"/>
    <w:rsid w:val="00D25B56"/>
    <w:rsid w:val="00D25D69"/>
    <w:rsid w:val="00D25E8C"/>
    <w:rsid w:val="00D26167"/>
    <w:rsid w:val="00D261B3"/>
    <w:rsid w:val="00D261B4"/>
    <w:rsid w:val="00D264F7"/>
    <w:rsid w:val="00D265CB"/>
    <w:rsid w:val="00D26619"/>
    <w:rsid w:val="00D266E4"/>
    <w:rsid w:val="00D2671C"/>
    <w:rsid w:val="00D26817"/>
    <w:rsid w:val="00D26881"/>
    <w:rsid w:val="00D26888"/>
    <w:rsid w:val="00D26935"/>
    <w:rsid w:val="00D269FB"/>
    <w:rsid w:val="00D26ACA"/>
    <w:rsid w:val="00D26C0B"/>
    <w:rsid w:val="00D26DAB"/>
    <w:rsid w:val="00D26DE9"/>
    <w:rsid w:val="00D26E7D"/>
    <w:rsid w:val="00D26E83"/>
    <w:rsid w:val="00D26EF6"/>
    <w:rsid w:val="00D26F57"/>
    <w:rsid w:val="00D26FD4"/>
    <w:rsid w:val="00D26FF6"/>
    <w:rsid w:val="00D270AC"/>
    <w:rsid w:val="00D27211"/>
    <w:rsid w:val="00D272EC"/>
    <w:rsid w:val="00D2738E"/>
    <w:rsid w:val="00D27464"/>
    <w:rsid w:val="00D274D8"/>
    <w:rsid w:val="00D2754E"/>
    <w:rsid w:val="00D2785A"/>
    <w:rsid w:val="00D27868"/>
    <w:rsid w:val="00D278C3"/>
    <w:rsid w:val="00D2796D"/>
    <w:rsid w:val="00D279A4"/>
    <w:rsid w:val="00D27A24"/>
    <w:rsid w:val="00D27A7A"/>
    <w:rsid w:val="00D27ADB"/>
    <w:rsid w:val="00D27B73"/>
    <w:rsid w:val="00D27C19"/>
    <w:rsid w:val="00D27D33"/>
    <w:rsid w:val="00D27D85"/>
    <w:rsid w:val="00D27E4F"/>
    <w:rsid w:val="00D27ED0"/>
    <w:rsid w:val="00D27F08"/>
    <w:rsid w:val="00D27FE8"/>
    <w:rsid w:val="00D30157"/>
    <w:rsid w:val="00D301AB"/>
    <w:rsid w:val="00D301D6"/>
    <w:rsid w:val="00D302F0"/>
    <w:rsid w:val="00D30348"/>
    <w:rsid w:val="00D30355"/>
    <w:rsid w:val="00D3040F"/>
    <w:rsid w:val="00D3041C"/>
    <w:rsid w:val="00D304AF"/>
    <w:rsid w:val="00D305A9"/>
    <w:rsid w:val="00D306F7"/>
    <w:rsid w:val="00D30747"/>
    <w:rsid w:val="00D307BE"/>
    <w:rsid w:val="00D30898"/>
    <w:rsid w:val="00D309C8"/>
    <w:rsid w:val="00D309E7"/>
    <w:rsid w:val="00D30B73"/>
    <w:rsid w:val="00D30C34"/>
    <w:rsid w:val="00D30D6A"/>
    <w:rsid w:val="00D30DC4"/>
    <w:rsid w:val="00D30DD8"/>
    <w:rsid w:val="00D30DE7"/>
    <w:rsid w:val="00D30E34"/>
    <w:rsid w:val="00D30EB1"/>
    <w:rsid w:val="00D30F71"/>
    <w:rsid w:val="00D310DA"/>
    <w:rsid w:val="00D31288"/>
    <w:rsid w:val="00D3130F"/>
    <w:rsid w:val="00D315E4"/>
    <w:rsid w:val="00D315F1"/>
    <w:rsid w:val="00D31644"/>
    <w:rsid w:val="00D31712"/>
    <w:rsid w:val="00D31859"/>
    <w:rsid w:val="00D318C4"/>
    <w:rsid w:val="00D318EB"/>
    <w:rsid w:val="00D319AC"/>
    <w:rsid w:val="00D319B3"/>
    <w:rsid w:val="00D31AC1"/>
    <w:rsid w:val="00D31BE3"/>
    <w:rsid w:val="00D31BE5"/>
    <w:rsid w:val="00D31D31"/>
    <w:rsid w:val="00D31D4E"/>
    <w:rsid w:val="00D31DA6"/>
    <w:rsid w:val="00D31F80"/>
    <w:rsid w:val="00D31FFD"/>
    <w:rsid w:val="00D32008"/>
    <w:rsid w:val="00D32154"/>
    <w:rsid w:val="00D32194"/>
    <w:rsid w:val="00D32229"/>
    <w:rsid w:val="00D32256"/>
    <w:rsid w:val="00D322BE"/>
    <w:rsid w:val="00D32591"/>
    <w:rsid w:val="00D325CA"/>
    <w:rsid w:val="00D32769"/>
    <w:rsid w:val="00D32917"/>
    <w:rsid w:val="00D3291E"/>
    <w:rsid w:val="00D3298C"/>
    <w:rsid w:val="00D32A71"/>
    <w:rsid w:val="00D32AB3"/>
    <w:rsid w:val="00D32BC7"/>
    <w:rsid w:val="00D32E4A"/>
    <w:rsid w:val="00D330FE"/>
    <w:rsid w:val="00D3319B"/>
    <w:rsid w:val="00D331C8"/>
    <w:rsid w:val="00D331D7"/>
    <w:rsid w:val="00D332CA"/>
    <w:rsid w:val="00D332EA"/>
    <w:rsid w:val="00D333A2"/>
    <w:rsid w:val="00D3344C"/>
    <w:rsid w:val="00D3344F"/>
    <w:rsid w:val="00D336E3"/>
    <w:rsid w:val="00D33742"/>
    <w:rsid w:val="00D337D1"/>
    <w:rsid w:val="00D3380F"/>
    <w:rsid w:val="00D33857"/>
    <w:rsid w:val="00D3388D"/>
    <w:rsid w:val="00D338A6"/>
    <w:rsid w:val="00D33A58"/>
    <w:rsid w:val="00D33ADD"/>
    <w:rsid w:val="00D33B8B"/>
    <w:rsid w:val="00D33C54"/>
    <w:rsid w:val="00D33CF0"/>
    <w:rsid w:val="00D3409B"/>
    <w:rsid w:val="00D340B4"/>
    <w:rsid w:val="00D34113"/>
    <w:rsid w:val="00D3416B"/>
    <w:rsid w:val="00D34179"/>
    <w:rsid w:val="00D341CA"/>
    <w:rsid w:val="00D341F6"/>
    <w:rsid w:val="00D3428B"/>
    <w:rsid w:val="00D3447A"/>
    <w:rsid w:val="00D34505"/>
    <w:rsid w:val="00D3459C"/>
    <w:rsid w:val="00D34670"/>
    <w:rsid w:val="00D3482A"/>
    <w:rsid w:val="00D348F4"/>
    <w:rsid w:val="00D34BC9"/>
    <w:rsid w:val="00D34D6D"/>
    <w:rsid w:val="00D34E66"/>
    <w:rsid w:val="00D34F7A"/>
    <w:rsid w:val="00D34FFF"/>
    <w:rsid w:val="00D3505E"/>
    <w:rsid w:val="00D3517F"/>
    <w:rsid w:val="00D351F6"/>
    <w:rsid w:val="00D35263"/>
    <w:rsid w:val="00D352CB"/>
    <w:rsid w:val="00D3534D"/>
    <w:rsid w:val="00D35474"/>
    <w:rsid w:val="00D3561A"/>
    <w:rsid w:val="00D35623"/>
    <w:rsid w:val="00D35641"/>
    <w:rsid w:val="00D35698"/>
    <w:rsid w:val="00D35819"/>
    <w:rsid w:val="00D358FE"/>
    <w:rsid w:val="00D35936"/>
    <w:rsid w:val="00D35C77"/>
    <w:rsid w:val="00D35CDB"/>
    <w:rsid w:val="00D35D0B"/>
    <w:rsid w:val="00D35D92"/>
    <w:rsid w:val="00D35FA7"/>
    <w:rsid w:val="00D36002"/>
    <w:rsid w:val="00D36045"/>
    <w:rsid w:val="00D36196"/>
    <w:rsid w:val="00D362C8"/>
    <w:rsid w:val="00D363AB"/>
    <w:rsid w:val="00D36418"/>
    <w:rsid w:val="00D3652D"/>
    <w:rsid w:val="00D3655D"/>
    <w:rsid w:val="00D36593"/>
    <w:rsid w:val="00D365E0"/>
    <w:rsid w:val="00D3670A"/>
    <w:rsid w:val="00D36750"/>
    <w:rsid w:val="00D367F2"/>
    <w:rsid w:val="00D368B6"/>
    <w:rsid w:val="00D36910"/>
    <w:rsid w:val="00D36986"/>
    <w:rsid w:val="00D36AB1"/>
    <w:rsid w:val="00D36B36"/>
    <w:rsid w:val="00D36CFF"/>
    <w:rsid w:val="00D36ED0"/>
    <w:rsid w:val="00D36EE4"/>
    <w:rsid w:val="00D37272"/>
    <w:rsid w:val="00D3735C"/>
    <w:rsid w:val="00D37843"/>
    <w:rsid w:val="00D378B0"/>
    <w:rsid w:val="00D37964"/>
    <w:rsid w:val="00D37CEC"/>
    <w:rsid w:val="00D37D05"/>
    <w:rsid w:val="00D37DCC"/>
    <w:rsid w:val="00D37E2D"/>
    <w:rsid w:val="00D37EAE"/>
    <w:rsid w:val="00D37FA9"/>
    <w:rsid w:val="00D37FD9"/>
    <w:rsid w:val="00D3F97B"/>
    <w:rsid w:val="00D4005C"/>
    <w:rsid w:val="00D40069"/>
    <w:rsid w:val="00D40075"/>
    <w:rsid w:val="00D4018B"/>
    <w:rsid w:val="00D40270"/>
    <w:rsid w:val="00D4034F"/>
    <w:rsid w:val="00D40635"/>
    <w:rsid w:val="00D4066F"/>
    <w:rsid w:val="00D40790"/>
    <w:rsid w:val="00D40932"/>
    <w:rsid w:val="00D40A6E"/>
    <w:rsid w:val="00D40BC5"/>
    <w:rsid w:val="00D40BD7"/>
    <w:rsid w:val="00D40C1F"/>
    <w:rsid w:val="00D40CFD"/>
    <w:rsid w:val="00D40D20"/>
    <w:rsid w:val="00D40E10"/>
    <w:rsid w:val="00D40EBA"/>
    <w:rsid w:val="00D40EC3"/>
    <w:rsid w:val="00D40F21"/>
    <w:rsid w:val="00D41006"/>
    <w:rsid w:val="00D410D4"/>
    <w:rsid w:val="00D411E3"/>
    <w:rsid w:val="00D4128E"/>
    <w:rsid w:val="00D412C6"/>
    <w:rsid w:val="00D4132F"/>
    <w:rsid w:val="00D41689"/>
    <w:rsid w:val="00D4175D"/>
    <w:rsid w:val="00D418C4"/>
    <w:rsid w:val="00D41A36"/>
    <w:rsid w:val="00D41BC7"/>
    <w:rsid w:val="00D41C8C"/>
    <w:rsid w:val="00D4207A"/>
    <w:rsid w:val="00D420FB"/>
    <w:rsid w:val="00D421B6"/>
    <w:rsid w:val="00D4228F"/>
    <w:rsid w:val="00D42528"/>
    <w:rsid w:val="00D425E5"/>
    <w:rsid w:val="00D42688"/>
    <w:rsid w:val="00D427BE"/>
    <w:rsid w:val="00D42874"/>
    <w:rsid w:val="00D42882"/>
    <w:rsid w:val="00D428B3"/>
    <w:rsid w:val="00D42952"/>
    <w:rsid w:val="00D42980"/>
    <w:rsid w:val="00D42BE8"/>
    <w:rsid w:val="00D42D82"/>
    <w:rsid w:val="00D42D93"/>
    <w:rsid w:val="00D42E54"/>
    <w:rsid w:val="00D42FD0"/>
    <w:rsid w:val="00D42FDB"/>
    <w:rsid w:val="00D43188"/>
    <w:rsid w:val="00D4327B"/>
    <w:rsid w:val="00D432B8"/>
    <w:rsid w:val="00D4337B"/>
    <w:rsid w:val="00D43415"/>
    <w:rsid w:val="00D43572"/>
    <w:rsid w:val="00D43605"/>
    <w:rsid w:val="00D43B81"/>
    <w:rsid w:val="00D43CE4"/>
    <w:rsid w:val="00D43DEC"/>
    <w:rsid w:val="00D43E27"/>
    <w:rsid w:val="00D43E4C"/>
    <w:rsid w:val="00D43E52"/>
    <w:rsid w:val="00D43E89"/>
    <w:rsid w:val="00D43F96"/>
    <w:rsid w:val="00D43FE1"/>
    <w:rsid w:val="00D440E9"/>
    <w:rsid w:val="00D44110"/>
    <w:rsid w:val="00D441B3"/>
    <w:rsid w:val="00D44299"/>
    <w:rsid w:val="00D4431E"/>
    <w:rsid w:val="00D443A9"/>
    <w:rsid w:val="00D44537"/>
    <w:rsid w:val="00D44553"/>
    <w:rsid w:val="00D44640"/>
    <w:rsid w:val="00D446C4"/>
    <w:rsid w:val="00D44731"/>
    <w:rsid w:val="00D44797"/>
    <w:rsid w:val="00D44912"/>
    <w:rsid w:val="00D44A6D"/>
    <w:rsid w:val="00D44CB7"/>
    <w:rsid w:val="00D44D50"/>
    <w:rsid w:val="00D451D5"/>
    <w:rsid w:val="00D4521D"/>
    <w:rsid w:val="00D45276"/>
    <w:rsid w:val="00D4534B"/>
    <w:rsid w:val="00D45441"/>
    <w:rsid w:val="00D455F4"/>
    <w:rsid w:val="00D45795"/>
    <w:rsid w:val="00D457B6"/>
    <w:rsid w:val="00D4599C"/>
    <w:rsid w:val="00D459E8"/>
    <w:rsid w:val="00D45B06"/>
    <w:rsid w:val="00D45C0A"/>
    <w:rsid w:val="00D45CB7"/>
    <w:rsid w:val="00D46071"/>
    <w:rsid w:val="00D4613E"/>
    <w:rsid w:val="00D461DD"/>
    <w:rsid w:val="00D462F6"/>
    <w:rsid w:val="00D4643D"/>
    <w:rsid w:val="00D46452"/>
    <w:rsid w:val="00D464C9"/>
    <w:rsid w:val="00D464EE"/>
    <w:rsid w:val="00D46550"/>
    <w:rsid w:val="00D4667B"/>
    <w:rsid w:val="00D466BB"/>
    <w:rsid w:val="00D467AE"/>
    <w:rsid w:val="00D4698D"/>
    <w:rsid w:val="00D46A73"/>
    <w:rsid w:val="00D46A80"/>
    <w:rsid w:val="00D46B13"/>
    <w:rsid w:val="00D46C67"/>
    <w:rsid w:val="00D46C73"/>
    <w:rsid w:val="00D46C7F"/>
    <w:rsid w:val="00D46D71"/>
    <w:rsid w:val="00D46D78"/>
    <w:rsid w:val="00D46DFD"/>
    <w:rsid w:val="00D46ED5"/>
    <w:rsid w:val="00D46EF7"/>
    <w:rsid w:val="00D46FE0"/>
    <w:rsid w:val="00D47061"/>
    <w:rsid w:val="00D47172"/>
    <w:rsid w:val="00D47197"/>
    <w:rsid w:val="00D47691"/>
    <w:rsid w:val="00D476FB"/>
    <w:rsid w:val="00D477F7"/>
    <w:rsid w:val="00D479F9"/>
    <w:rsid w:val="00D47B54"/>
    <w:rsid w:val="00D47B58"/>
    <w:rsid w:val="00D47BBF"/>
    <w:rsid w:val="00D47C15"/>
    <w:rsid w:val="00D47C3B"/>
    <w:rsid w:val="00D47C66"/>
    <w:rsid w:val="00D47D6E"/>
    <w:rsid w:val="00D47D7A"/>
    <w:rsid w:val="00D47DF3"/>
    <w:rsid w:val="00D47ECD"/>
    <w:rsid w:val="00D4E6C1"/>
    <w:rsid w:val="00D5010B"/>
    <w:rsid w:val="00D5013B"/>
    <w:rsid w:val="00D50316"/>
    <w:rsid w:val="00D50462"/>
    <w:rsid w:val="00D50643"/>
    <w:rsid w:val="00D5065A"/>
    <w:rsid w:val="00D5076C"/>
    <w:rsid w:val="00D507B5"/>
    <w:rsid w:val="00D50806"/>
    <w:rsid w:val="00D5081A"/>
    <w:rsid w:val="00D508F5"/>
    <w:rsid w:val="00D50926"/>
    <w:rsid w:val="00D509D4"/>
    <w:rsid w:val="00D50BAB"/>
    <w:rsid w:val="00D50BB9"/>
    <w:rsid w:val="00D50BD4"/>
    <w:rsid w:val="00D50C61"/>
    <w:rsid w:val="00D50C8B"/>
    <w:rsid w:val="00D50C96"/>
    <w:rsid w:val="00D50D48"/>
    <w:rsid w:val="00D50D58"/>
    <w:rsid w:val="00D50DD3"/>
    <w:rsid w:val="00D50E59"/>
    <w:rsid w:val="00D50EB6"/>
    <w:rsid w:val="00D50FAA"/>
    <w:rsid w:val="00D5120A"/>
    <w:rsid w:val="00D51214"/>
    <w:rsid w:val="00D5145A"/>
    <w:rsid w:val="00D515D5"/>
    <w:rsid w:val="00D51869"/>
    <w:rsid w:val="00D5190B"/>
    <w:rsid w:val="00D51A45"/>
    <w:rsid w:val="00D51ADD"/>
    <w:rsid w:val="00D51BEC"/>
    <w:rsid w:val="00D51C18"/>
    <w:rsid w:val="00D51C1B"/>
    <w:rsid w:val="00D51C4C"/>
    <w:rsid w:val="00D51C57"/>
    <w:rsid w:val="00D51C63"/>
    <w:rsid w:val="00D51CD3"/>
    <w:rsid w:val="00D51D16"/>
    <w:rsid w:val="00D51E6F"/>
    <w:rsid w:val="00D51FB3"/>
    <w:rsid w:val="00D52089"/>
    <w:rsid w:val="00D5233B"/>
    <w:rsid w:val="00D5235A"/>
    <w:rsid w:val="00D52453"/>
    <w:rsid w:val="00D5249B"/>
    <w:rsid w:val="00D52771"/>
    <w:rsid w:val="00D5277B"/>
    <w:rsid w:val="00D527C6"/>
    <w:rsid w:val="00D52923"/>
    <w:rsid w:val="00D52984"/>
    <w:rsid w:val="00D529B3"/>
    <w:rsid w:val="00D529C5"/>
    <w:rsid w:val="00D52A5D"/>
    <w:rsid w:val="00D52AA4"/>
    <w:rsid w:val="00D52AC7"/>
    <w:rsid w:val="00D52B64"/>
    <w:rsid w:val="00D52BDE"/>
    <w:rsid w:val="00D52D7B"/>
    <w:rsid w:val="00D52DFE"/>
    <w:rsid w:val="00D52EB0"/>
    <w:rsid w:val="00D52EC1"/>
    <w:rsid w:val="00D52F16"/>
    <w:rsid w:val="00D5302D"/>
    <w:rsid w:val="00D5308C"/>
    <w:rsid w:val="00D53253"/>
    <w:rsid w:val="00D53392"/>
    <w:rsid w:val="00D5343B"/>
    <w:rsid w:val="00D5352C"/>
    <w:rsid w:val="00D53687"/>
    <w:rsid w:val="00D5368D"/>
    <w:rsid w:val="00D5372D"/>
    <w:rsid w:val="00D539B6"/>
    <w:rsid w:val="00D539BF"/>
    <w:rsid w:val="00D53B38"/>
    <w:rsid w:val="00D53B4C"/>
    <w:rsid w:val="00D53D1B"/>
    <w:rsid w:val="00D53D63"/>
    <w:rsid w:val="00D540C9"/>
    <w:rsid w:val="00D5410D"/>
    <w:rsid w:val="00D54123"/>
    <w:rsid w:val="00D541B2"/>
    <w:rsid w:val="00D5424E"/>
    <w:rsid w:val="00D54368"/>
    <w:rsid w:val="00D544B5"/>
    <w:rsid w:val="00D544C1"/>
    <w:rsid w:val="00D54832"/>
    <w:rsid w:val="00D54912"/>
    <w:rsid w:val="00D54970"/>
    <w:rsid w:val="00D5498E"/>
    <w:rsid w:val="00D549E5"/>
    <w:rsid w:val="00D54A96"/>
    <w:rsid w:val="00D54B84"/>
    <w:rsid w:val="00D54BD1"/>
    <w:rsid w:val="00D54CDB"/>
    <w:rsid w:val="00D54CF1"/>
    <w:rsid w:val="00D54D68"/>
    <w:rsid w:val="00D54F18"/>
    <w:rsid w:val="00D55044"/>
    <w:rsid w:val="00D55049"/>
    <w:rsid w:val="00D5516E"/>
    <w:rsid w:val="00D55276"/>
    <w:rsid w:val="00D55327"/>
    <w:rsid w:val="00D554AE"/>
    <w:rsid w:val="00D55534"/>
    <w:rsid w:val="00D55541"/>
    <w:rsid w:val="00D556FC"/>
    <w:rsid w:val="00D55701"/>
    <w:rsid w:val="00D55901"/>
    <w:rsid w:val="00D559DB"/>
    <w:rsid w:val="00D55AD4"/>
    <w:rsid w:val="00D55AEC"/>
    <w:rsid w:val="00D55B60"/>
    <w:rsid w:val="00D55C02"/>
    <w:rsid w:val="00D55C51"/>
    <w:rsid w:val="00D55C64"/>
    <w:rsid w:val="00D55D41"/>
    <w:rsid w:val="00D55DE7"/>
    <w:rsid w:val="00D55FDA"/>
    <w:rsid w:val="00D56163"/>
    <w:rsid w:val="00D56188"/>
    <w:rsid w:val="00D562FD"/>
    <w:rsid w:val="00D56331"/>
    <w:rsid w:val="00D56693"/>
    <w:rsid w:val="00D5669E"/>
    <w:rsid w:val="00D56720"/>
    <w:rsid w:val="00D5675F"/>
    <w:rsid w:val="00D5685E"/>
    <w:rsid w:val="00D56893"/>
    <w:rsid w:val="00D568E0"/>
    <w:rsid w:val="00D56986"/>
    <w:rsid w:val="00D56A26"/>
    <w:rsid w:val="00D56A75"/>
    <w:rsid w:val="00D56AFC"/>
    <w:rsid w:val="00D56D1D"/>
    <w:rsid w:val="00D56EF0"/>
    <w:rsid w:val="00D56F44"/>
    <w:rsid w:val="00D56F4B"/>
    <w:rsid w:val="00D56F58"/>
    <w:rsid w:val="00D56F69"/>
    <w:rsid w:val="00D56F90"/>
    <w:rsid w:val="00D5702F"/>
    <w:rsid w:val="00D57074"/>
    <w:rsid w:val="00D570EF"/>
    <w:rsid w:val="00D571C4"/>
    <w:rsid w:val="00D573B1"/>
    <w:rsid w:val="00D573C7"/>
    <w:rsid w:val="00D5744C"/>
    <w:rsid w:val="00D57618"/>
    <w:rsid w:val="00D577F2"/>
    <w:rsid w:val="00D57859"/>
    <w:rsid w:val="00D57EC3"/>
    <w:rsid w:val="00D57F5C"/>
    <w:rsid w:val="00D57F9E"/>
    <w:rsid w:val="00D57FFC"/>
    <w:rsid w:val="00D60159"/>
    <w:rsid w:val="00D602D2"/>
    <w:rsid w:val="00D603DB"/>
    <w:rsid w:val="00D604EC"/>
    <w:rsid w:val="00D6053E"/>
    <w:rsid w:val="00D60548"/>
    <w:rsid w:val="00D6057B"/>
    <w:rsid w:val="00D6062A"/>
    <w:rsid w:val="00D60672"/>
    <w:rsid w:val="00D6089F"/>
    <w:rsid w:val="00D60966"/>
    <w:rsid w:val="00D60A75"/>
    <w:rsid w:val="00D60A82"/>
    <w:rsid w:val="00D60B3A"/>
    <w:rsid w:val="00D60D36"/>
    <w:rsid w:val="00D60EEB"/>
    <w:rsid w:val="00D60F3B"/>
    <w:rsid w:val="00D61045"/>
    <w:rsid w:val="00D610CE"/>
    <w:rsid w:val="00D610EC"/>
    <w:rsid w:val="00D6116C"/>
    <w:rsid w:val="00D61183"/>
    <w:rsid w:val="00D611A7"/>
    <w:rsid w:val="00D611B3"/>
    <w:rsid w:val="00D61298"/>
    <w:rsid w:val="00D615A2"/>
    <w:rsid w:val="00D619CD"/>
    <w:rsid w:val="00D61EBB"/>
    <w:rsid w:val="00D61F1E"/>
    <w:rsid w:val="00D61F2A"/>
    <w:rsid w:val="00D62040"/>
    <w:rsid w:val="00D620A3"/>
    <w:rsid w:val="00D62152"/>
    <w:rsid w:val="00D6222F"/>
    <w:rsid w:val="00D62277"/>
    <w:rsid w:val="00D62497"/>
    <w:rsid w:val="00D625CE"/>
    <w:rsid w:val="00D627C1"/>
    <w:rsid w:val="00D62817"/>
    <w:rsid w:val="00D62857"/>
    <w:rsid w:val="00D628E7"/>
    <w:rsid w:val="00D629CA"/>
    <w:rsid w:val="00D62B83"/>
    <w:rsid w:val="00D62C85"/>
    <w:rsid w:val="00D62CC3"/>
    <w:rsid w:val="00D62D1E"/>
    <w:rsid w:val="00D62DD9"/>
    <w:rsid w:val="00D62E79"/>
    <w:rsid w:val="00D62F9E"/>
    <w:rsid w:val="00D63002"/>
    <w:rsid w:val="00D631BE"/>
    <w:rsid w:val="00D633DE"/>
    <w:rsid w:val="00D6344F"/>
    <w:rsid w:val="00D63475"/>
    <w:rsid w:val="00D634A9"/>
    <w:rsid w:val="00D63750"/>
    <w:rsid w:val="00D63784"/>
    <w:rsid w:val="00D6382A"/>
    <w:rsid w:val="00D638B7"/>
    <w:rsid w:val="00D638E3"/>
    <w:rsid w:val="00D6390F"/>
    <w:rsid w:val="00D63925"/>
    <w:rsid w:val="00D63996"/>
    <w:rsid w:val="00D639CB"/>
    <w:rsid w:val="00D63A57"/>
    <w:rsid w:val="00D63C91"/>
    <w:rsid w:val="00D63D21"/>
    <w:rsid w:val="00D63D24"/>
    <w:rsid w:val="00D63D74"/>
    <w:rsid w:val="00D63DB0"/>
    <w:rsid w:val="00D63E0A"/>
    <w:rsid w:val="00D63E5D"/>
    <w:rsid w:val="00D63EC1"/>
    <w:rsid w:val="00D63F78"/>
    <w:rsid w:val="00D63FD3"/>
    <w:rsid w:val="00D64309"/>
    <w:rsid w:val="00D6432C"/>
    <w:rsid w:val="00D6448E"/>
    <w:rsid w:val="00D6453F"/>
    <w:rsid w:val="00D6465B"/>
    <w:rsid w:val="00D6465E"/>
    <w:rsid w:val="00D64690"/>
    <w:rsid w:val="00D646EF"/>
    <w:rsid w:val="00D6479A"/>
    <w:rsid w:val="00D647D2"/>
    <w:rsid w:val="00D6482C"/>
    <w:rsid w:val="00D648A2"/>
    <w:rsid w:val="00D64909"/>
    <w:rsid w:val="00D64BDF"/>
    <w:rsid w:val="00D64C0D"/>
    <w:rsid w:val="00D64D55"/>
    <w:rsid w:val="00D64D66"/>
    <w:rsid w:val="00D64DA4"/>
    <w:rsid w:val="00D65378"/>
    <w:rsid w:val="00D65390"/>
    <w:rsid w:val="00D65465"/>
    <w:rsid w:val="00D6575F"/>
    <w:rsid w:val="00D65893"/>
    <w:rsid w:val="00D659BF"/>
    <w:rsid w:val="00D65A2B"/>
    <w:rsid w:val="00D65B16"/>
    <w:rsid w:val="00D65C3F"/>
    <w:rsid w:val="00D65DE8"/>
    <w:rsid w:val="00D65F14"/>
    <w:rsid w:val="00D65FF8"/>
    <w:rsid w:val="00D66072"/>
    <w:rsid w:val="00D66376"/>
    <w:rsid w:val="00D663CF"/>
    <w:rsid w:val="00D663E6"/>
    <w:rsid w:val="00D6646B"/>
    <w:rsid w:val="00D664B8"/>
    <w:rsid w:val="00D66514"/>
    <w:rsid w:val="00D6664E"/>
    <w:rsid w:val="00D6666C"/>
    <w:rsid w:val="00D666A2"/>
    <w:rsid w:val="00D66758"/>
    <w:rsid w:val="00D66899"/>
    <w:rsid w:val="00D6690A"/>
    <w:rsid w:val="00D66937"/>
    <w:rsid w:val="00D669B0"/>
    <w:rsid w:val="00D66A3E"/>
    <w:rsid w:val="00D66A8A"/>
    <w:rsid w:val="00D66B02"/>
    <w:rsid w:val="00D66B6D"/>
    <w:rsid w:val="00D66B6E"/>
    <w:rsid w:val="00D66B7F"/>
    <w:rsid w:val="00D66C1B"/>
    <w:rsid w:val="00D66C71"/>
    <w:rsid w:val="00D66CA5"/>
    <w:rsid w:val="00D66D3C"/>
    <w:rsid w:val="00D66D71"/>
    <w:rsid w:val="00D66DAF"/>
    <w:rsid w:val="00D66E22"/>
    <w:rsid w:val="00D66E5F"/>
    <w:rsid w:val="00D66FAC"/>
    <w:rsid w:val="00D67038"/>
    <w:rsid w:val="00D670B2"/>
    <w:rsid w:val="00D67143"/>
    <w:rsid w:val="00D671B9"/>
    <w:rsid w:val="00D6747C"/>
    <w:rsid w:val="00D6760A"/>
    <w:rsid w:val="00D67624"/>
    <w:rsid w:val="00D6774B"/>
    <w:rsid w:val="00D6779D"/>
    <w:rsid w:val="00D67A39"/>
    <w:rsid w:val="00D67DE5"/>
    <w:rsid w:val="00D67EA2"/>
    <w:rsid w:val="00D67F67"/>
    <w:rsid w:val="00D67F99"/>
    <w:rsid w:val="00D67FB2"/>
    <w:rsid w:val="00D70130"/>
    <w:rsid w:val="00D701F7"/>
    <w:rsid w:val="00D7028A"/>
    <w:rsid w:val="00D70415"/>
    <w:rsid w:val="00D70422"/>
    <w:rsid w:val="00D7049C"/>
    <w:rsid w:val="00D704C6"/>
    <w:rsid w:val="00D7057B"/>
    <w:rsid w:val="00D70600"/>
    <w:rsid w:val="00D7060C"/>
    <w:rsid w:val="00D70697"/>
    <w:rsid w:val="00D707AD"/>
    <w:rsid w:val="00D707E2"/>
    <w:rsid w:val="00D70859"/>
    <w:rsid w:val="00D709F9"/>
    <w:rsid w:val="00D70C42"/>
    <w:rsid w:val="00D70E2B"/>
    <w:rsid w:val="00D70EDC"/>
    <w:rsid w:val="00D70EF5"/>
    <w:rsid w:val="00D710A6"/>
    <w:rsid w:val="00D711EF"/>
    <w:rsid w:val="00D712F8"/>
    <w:rsid w:val="00D71375"/>
    <w:rsid w:val="00D71553"/>
    <w:rsid w:val="00D71567"/>
    <w:rsid w:val="00D715F7"/>
    <w:rsid w:val="00D7170C"/>
    <w:rsid w:val="00D71827"/>
    <w:rsid w:val="00D71A8E"/>
    <w:rsid w:val="00D71B53"/>
    <w:rsid w:val="00D71B5F"/>
    <w:rsid w:val="00D71BC3"/>
    <w:rsid w:val="00D71BE9"/>
    <w:rsid w:val="00D71BEE"/>
    <w:rsid w:val="00D71C0D"/>
    <w:rsid w:val="00D71E0B"/>
    <w:rsid w:val="00D71E6F"/>
    <w:rsid w:val="00D71EC9"/>
    <w:rsid w:val="00D71EE5"/>
    <w:rsid w:val="00D721EF"/>
    <w:rsid w:val="00D72406"/>
    <w:rsid w:val="00D72513"/>
    <w:rsid w:val="00D7257B"/>
    <w:rsid w:val="00D725A4"/>
    <w:rsid w:val="00D725E2"/>
    <w:rsid w:val="00D7263E"/>
    <w:rsid w:val="00D728AD"/>
    <w:rsid w:val="00D729C2"/>
    <w:rsid w:val="00D72A1D"/>
    <w:rsid w:val="00D72B99"/>
    <w:rsid w:val="00D72E1A"/>
    <w:rsid w:val="00D7303B"/>
    <w:rsid w:val="00D730D9"/>
    <w:rsid w:val="00D73154"/>
    <w:rsid w:val="00D73179"/>
    <w:rsid w:val="00D73255"/>
    <w:rsid w:val="00D732BC"/>
    <w:rsid w:val="00D733B2"/>
    <w:rsid w:val="00D73487"/>
    <w:rsid w:val="00D73638"/>
    <w:rsid w:val="00D73657"/>
    <w:rsid w:val="00D73714"/>
    <w:rsid w:val="00D73795"/>
    <w:rsid w:val="00D73815"/>
    <w:rsid w:val="00D73984"/>
    <w:rsid w:val="00D73A95"/>
    <w:rsid w:val="00D73AF1"/>
    <w:rsid w:val="00D73B68"/>
    <w:rsid w:val="00D73DB3"/>
    <w:rsid w:val="00D73E07"/>
    <w:rsid w:val="00D7410A"/>
    <w:rsid w:val="00D74178"/>
    <w:rsid w:val="00D7419E"/>
    <w:rsid w:val="00D74281"/>
    <w:rsid w:val="00D74470"/>
    <w:rsid w:val="00D74578"/>
    <w:rsid w:val="00D747BC"/>
    <w:rsid w:val="00D7485E"/>
    <w:rsid w:val="00D74891"/>
    <w:rsid w:val="00D74E91"/>
    <w:rsid w:val="00D74F27"/>
    <w:rsid w:val="00D7538F"/>
    <w:rsid w:val="00D7566C"/>
    <w:rsid w:val="00D757F4"/>
    <w:rsid w:val="00D75820"/>
    <w:rsid w:val="00D75958"/>
    <w:rsid w:val="00D75979"/>
    <w:rsid w:val="00D75BAD"/>
    <w:rsid w:val="00D75E32"/>
    <w:rsid w:val="00D7607E"/>
    <w:rsid w:val="00D760AD"/>
    <w:rsid w:val="00D76358"/>
    <w:rsid w:val="00D76375"/>
    <w:rsid w:val="00D763CF"/>
    <w:rsid w:val="00D76508"/>
    <w:rsid w:val="00D7661E"/>
    <w:rsid w:val="00D766C7"/>
    <w:rsid w:val="00D766F8"/>
    <w:rsid w:val="00D76886"/>
    <w:rsid w:val="00D76ED7"/>
    <w:rsid w:val="00D7707E"/>
    <w:rsid w:val="00D77119"/>
    <w:rsid w:val="00D773C1"/>
    <w:rsid w:val="00D773C2"/>
    <w:rsid w:val="00D775B0"/>
    <w:rsid w:val="00D77650"/>
    <w:rsid w:val="00D77662"/>
    <w:rsid w:val="00D776D3"/>
    <w:rsid w:val="00D77857"/>
    <w:rsid w:val="00D7788A"/>
    <w:rsid w:val="00D77A81"/>
    <w:rsid w:val="00D77BA2"/>
    <w:rsid w:val="00D77CC2"/>
    <w:rsid w:val="00D77D10"/>
    <w:rsid w:val="00D77D15"/>
    <w:rsid w:val="00D80023"/>
    <w:rsid w:val="00D800BB"/>
    <w:rsid w:val="00D80147"/>
    <w:rsid w:val="00D8036D"/>
    <w:rsid w:val="00D80505"/>
    <w:rsid w:val="00D80558"/>
    <w:rsid w:val="00D80675"/>
    <w:rsid w:val="00D80B3B"/>
    <w:rsid w:val="00D80B9C"/>
    <w:rsid w:val="00D80D73"/>
    <w:rsid w:val="00D80DA9"/>
    <w:rsid w:val="00D80DF4"/>
    <w:rsid w:val="00D80E17"/>
    <w:rsid w:val="00D80FA1"/>
    <w:rsid w:val="00D8101B"/>
    <w:rsid w:val="00D810E8"/>
    <w:rsid w:val="00D8116F"/>
    <w:rsid w:val="00D8123E"/>
    <w:rsid w:val="00D814CA"/>
    <w:rsid w:val="00D818EC"/>
    <w:rsid w:val="00D819B3"/>
    <w:rsid w:val="00D819C9"/>
    <w:rsid w:val="00D81B53"/>
    <w:rsid w:val="00D81C77"/>
    <w:rsid w:val="00D81CE7"/>
    <w:rsid w:val="00D81D26"/>
    <w:rsid w:val="00D81DA6"/>
    <w:rsid w:val="00D81E5E"/>
    <w:rsid w:val="00D81F0F"/>
    <w:rsid w:val="00D82168"/>
    <w:rsid w:val="00D82195"/>
    <w:rsid w:val="00D82342"/>
    <w:rsid w:val="00D823A9"/>
    <w:rsid w:val="00D823E8"/>
    <w:rsid w:val="00D82587"/>
    <w:rsid w:val="00D8259D"/>
    <w:rsid w:val="00D8262F"/>
    <w:rsid w:val="00D82973"/>
    <w:rsid w:val="00D82BC4"/>
    <w:rsid w:val="00D82C73"/>
    <w:rsid w:val="00D82CD2"/>
    <w:rsid w:val="00D82F69"/>
    <w:rsid w:val="00D82F9D"/>
    <w:rsid w:val="00D83006"/>
    <w:rsid w:val="00D8315C"/>
    <w:rsid w:val="00D8329B"/>
    <w:rsid w:val="00D832FE"/>
    <w:rsid w:val="00D833F5"/>
    <w:rsid w:val="00D8344E"/>
    <w:rsid w:val="00D834AB"/>
    <w:rsid w:val="00D8362F"/>
    <w:rsid w:val="00D8367E"/>
    <w:rsid w:val="00D83886"/>
    <w:rsid w:val="00D83985"/>
    <w:rsid w:val="00D839E7"/>
    <w:rsid w:val="00D83BA7"/>
    <w:rsid w:val="00D83C66"/>
    <w:rsid w:val="00D83C6F"/>
    <w:rsid w:val="00D83CD3"/>
    <w:rsid w:val="00D83DC5"/>
    <w:rsid w:val="00D8412A"/>
    <w:rsid w:val="00D84182"/>
    <w:rsid w:val="00D841B8"/>
    <w:rsid w:val="00D8427E"/>
    <w:rsid w:val="00D84340"/>
    <w:rsid w:val="00D8436B"/>
    <w:rsid w:val="00D8449A"/>
    <w:rsid w:val="00D8452F"/>
    <w:rsid w:val="00D84530"/>
    <w:rsid w:val="00D84547"/>
    <w:rsid w:val="00D845F4"/>
    <w:rsid w:val="00D849B0"/>
    <w:rsid w:val="00D849EF"/>
    <w:rsid w:val="00D84A5C"/>
    <w:rsid w:val="00D84B41"/>
    <w:rsid w:val="00D84D03"/>
    <w:rsid w:val="00D851BC"/>
    <w:rsid w:val="00D85200"/>
    <w:rsid w:val="00D8532B"/>
    <w:rsid w:val="00D8551E"/>
    <w:rsid w:val="00D8583F"/>
    <w:rsid w:val="00D8594F"/>
    <w:rsid w:val="00D85A88"/>
    <w:rsid w:val="00D85AE0"/>
    <w:rsid w:val="00D85CB5"/>
    <w:rsid w:val="00D85D8A"/>
    <w:rsid w:val="00D85F45"/>
    <w:rsid w:val="00D8617C"/>
    <w:rsid w:val="00D861D6"/>
    <w:rsid w:val="00D8627F"/>
    <w:rsid w:val="00D8628C"/>
    <w:rsid w:val="00D8635A"/>
    <w:rsid w:val="00D8636C"/>
    <w:rsid w:val="00D8636D"/>
    <w:rsid w:val="00D86461"/>
    <w:rsid w:val="00D8659A"/>
    <w:rsid w:val="00D865BD"/>
    <w:rsid w:val="00D866A8"/>
    <w:rsid w:val="00D866EC"/>
    <w:rsid w:val="00D86811"/>
    <w:rsid w:val="00D86846"/>
    <w:rsid w:val="00D86A35"/>
    <w:rsid w:val="00D86A3F"/>
    <w:rsid w:val="00D86BA2"/>
    <w:rsid w:val="00D86C12"/>
    <w:rsid w:val="00D86C1F"/>
    <w:rsid w:val="00D86E5B"/>
    <w:rsid w:val="00D86EBF"/>
    <w:rsid w:val="00D86EFE"/>
    <w:rsid w:val="00D86F19"/>
    <w:rsid w:val="00D86F52"/>
    <w:rsid w:val="00D86FE2"/>
    <w:rsid w:val="00D87196"/>
    <w:rsid w:val="00D8729C"/>
    <w:rsid w:val="00D872E7"/>
    <w:rsid w:val="00D87324"/>
    <w:rsid w:val="00D87462"/>
    <w:rsid w:val="00D874A0"/>
    <w:rsid w:val="00D874BD"/>
    <w:rsid w:val="00D875A1"/>
    <w:rsid w:val="00D875EC"/>
    <w:rsid w:val="00D87623"/>
    <w:rsid w:val="00D8781E"/>
    <w:rsid w:val="00D87A50"/>
    <w:rsid w:val="00D87A5C"/>
    <w:rsid w:val="00D87B55"/>
    <w:rsid w:val="00D87C0F"/>
    <w:rsid w:val="00D87C56"/>
    <w:rsid w:val="00D87E14"/>
    <w:rsid w:val="00D87E52"/>
    <w:rsid w:val="00D87EBF"/>
    <w:rsid w:val="00D87F86"/>
    <w:rsid w:val="00D87FB2"/>
    <w:rsid w:val="00D90083"/>
    <w:rsid w:val="00D900F6"/>
    <w:rsid w:val="00D90141"/>
    <w:rsid w:val="00D90171"/>
    <w:rsid w:val="00D901C2"/>
    <w:rsid w:val="00D903FA"/>
    <w:rsid w:val="00D90526"/>
    <w:rsid w:val="00D905BC"/>
    <w:rsid w:val="00D905DC"/>
    <w:rsid w:val="00D90958"/>
    <w:rsid w:val="00D90B5C"/>
    <w:rsid w:val="00D90BA3"/>
    <w:rsid w:val="00D90CC4"/>
    <w:rsid w:val="00D90DEF"/>
    <w:rsid w:val="00D90E2C"/>
    <w:rsid w:val="00D90F88"/>
    <w:rsid w:val="00D91035"/>
    <w:rsid w:val="00D91091"/>
    <w:rsid w:val="00D91152"/>
    <w:rsid w:val="00D91207"/>
    <w:rsid w:val="00D9127D"/>
    <w:rsid w:val="00D912D8"/>
    <w:rsid w:val="00D913BD"/>
    <w:rsid w:val="00D913F7"/>
    <w:rsid w:val="00D91402"/>
    <w:rsid w:val="00D914AB"/>
    <w:rsid w:val="00D914EE"/>
    <w:rsid w:val="00D9155B"/>
    <w:rsid w:val="00D915D9"/>
    <w:rsid w:val="00D915DA"/>
    <w:rsid w:val="00D916BE"/>
    <w:rsid w:val="00D91A18"/>
    <w:rsid w:val="00D91AE7"/>
    <w:rsid w:val="00D91B14"/>
    <w:rsid w:val="00D91D47"/>
    <w:rsid w:val="00D91D5E"/>
    <w:rsid w:val="00D91D9B"/>
    <w:rsid w:val="00D91DE2"/>
    <w:rsid w:val="00D91E0D"/>
    <w:rsid w:val="00D91E41"/>
    <w:rsid w:val="00D91EF6"/>
    <w:rsid w:val="00D92000"/>
    <w:rsid w:val="00D92024"/>
    <w:rsid w:val="00D9205F"/>
    <w:rsid w:val="00D9209D"/>
    <w:rsid w:val="00D921A5"/>
    <w:rsid w:val="00D921EB"/>
    <w:rsid w:val="00D9223A"/>
    <w:rsid w:val="00D9232B"/>
    <w:rsid w:val="00D92353"/>
    <w:rsid w:val="00D9250D"/>
    <w:rsid w:val="00D926A2"/>
    <w:rsid w:val="00D92850"/>
    <w:rsid w:val="00D9286B"/>
    <w:rsid w:val="00D92A14"/>
    <w:rsid w:val="00D92A98"/>
    <w:rsid w:val="00D92AD1"/>
    <w:rsid w:val="00D92B13"/>
    <w:rsid w:val="00D92D02"/>
    <w:rsid w:val="00D92D32"/>
    <w:rsid w:val="00D92E2D"/>
    <w:rsid w:val="00D92F92"/>
    <w:rsid w:val="00D92FD9"/>
    <w:rsid w:val="00D930CA"/>
    <w:rsid w:val="00D93250"/>
    <w:rsid w:val="00D9329D"/>
    <w:rsid w:val="00D93388"/>
    <w:rsid w:val="00D9345F"/>
    <w:rsid w:val="00D935ED"/>
    <w:rsid w:val="00D93676"/>
    <w:rsid w:val="00D93868"/>
    <w:rsid w:val="00D939FC"/>
    <w:rsid w:val="00D93D67"/>
    <w:rsid w:val="00D93DA9"/>
    <w:rsid w:val="00D93F1B"/>
    <w:rsid w:val="00D93F7D"/>
    <w:rsid w:val="00D944B2"/>
    <w:rsid w:val="00D94565"/>
    <w:rsid w:val="00D945DA"/>
    <w:rsid w:val="00D947C2"/>
    <w:rsid w:val="00D947F8"/>
    <w:rsid w:val="00D9484A"/>
    <w:rsid w:val="00D948B9"/>
    <w:rsid w:val="00D94AD0"/>
    <w:rsid w:val="00D94D31"/>
    <w:rsid w:val="00D94D4D"/>
    <w:rsid w:val="00D94D79"/>
    <w:rsid w:val="00D94DD6"/>
    <w:rsid w:val="00D94F6E"/>
    <w:rsid w:val="00D9522B"/>
    <w:rsid w:val="00D952E6"/>
    <w:rsid w:val="00D952EC"/>
    <w:rsid w:val="00D952FD"/>
    <w:rsid w:val="00D9559E"/>
    <w:rsid w:val="00D955F1"/>
    <w:rsid w:val="00D95676"/>
    <w:rsid w:val="00D95793"/>
    <w:rsid w:val="00D957CA"/>
    <w:rsid w:val="00D957D4"/>
    <w:rsid w:val="00D95A70"/>
    <w:rsid w:val="00D95E0A"/>
    <w:rsid w:val="00D95E29"/>
    <w:rsid w:val="00D95E4A"/>
    <w:rsid w:val="00D9603A"/>
    <w:rsid w:val="00D961A8"/>
    <w:rsid w:val="00D96200"/>
    <w:rsid w:val="00D963A1"/>
    <w:rsid w:val="00D964BF"/>
    <w:rsid w:val="00D965AF"/>
    <w:rsid w:val="00D9667A"/>
    <w:rsid w:val="00D966A2"/>
    <w:rsid w:val="00D967E0"/>
    <w:rsid w:val="00D96833"/>
    <w:rsid w:val="00D96841"/>
    <w:rsid w:val="00D9688C"/>
    <w:rsid w:val="00D96954"/>
    <w:rsid w:val="00D96960"/>
    <w:rsid w:val="00D969AD"/>
    <w:rsid w:val="00D96BA2"/>
    <w:rsid w:val="00D96C4E"/>
    <w:rsid w:val="00D96CA7"/>
    <w:rsid w:val="00D96EE2"/>
    <w:rsid w:val="00D96F41"/>
    <w:rsid w:val="00D97098"/>
    <w:rsid w:val="00D970B9"/>
    <w:rsid w:val="00D970BB"/>
    <w:rsid w:val="00D97149"/>
    <w:rsid w:val="00D972F4"/>
    <w:rsid w:val="00D9744C"/>
    <w:rsid w:val="00D9755C"/>
    <w:rsid w:val="00D97651"/>
    <w:rsid w:val="00D9773F"/>
    <w:rsid w:val="00D9775E"/>
    <w:rsid w:val="00D97A32"/>
    <w:rsid w:val="00D97A77"/>
    <w:rsid w:val="00D97A89"/>
    <w:rsid w:val="00D97B38"/>
    <w:rsid w:val="00D97B6F"/>
    <w:rsid w:val="00D97C60"/>
    <w:rsid w:val="00D97C63"/>
    <w:rsid w:val="00D97D91"/>
    <w:rsid w:val="00D97E01"/>
    <w:rsid w:val="00D97F26"/>
    <w:rsid w:val="00DA01C5"/>
    <w:rsid w:val="00DA01F1"/>
    <w:rsid w:val="00DA03C9"/>
    <w:rsid w:val="00DA09C4"/>
    <w:rsid w:val="00DA09E4"/>
    <w:rsid w:val="00DA0BD2"/>
    <w:rsid w:val="00DA0CA5"/>
    <w:rsid w:val="00DA0D06"/>
    <w:rsid w:val="00DA0D5D"/>
    <w:rsid w:val="00DA0F90"/>
    <w:rsid w:val="00DA10C2"/>
    <w:rsid w:val="00DA1147"/>
    <w:rsid w:val="00DA1222"/>
    <w:rsid w:val="00DA1231"/>
    <w:rsid w:val="00DA1392"/>
    <w:rsid w:val="00DA1478"/>
    <w:rsid w:val="00DA14F2"/>
    <w:rsid w:val="00DA1890"/>
    <w:rsid w:val="00DA1960"/>
    <w:rsid w:val="00DA19D7"/>
    <w:rsid w:val="00DA1A88"/>
    <w:rsid w:val="00DA1B43"/>
    <w:rsid w:val="00DA1CD2"/>
    <w:rsid w:val="00DA1D20"/>
    <w:rsid w:val="00DA1D7A"/>
    <w:rsid w:val="00DA1E4D"/>
    <w:rsid w:val="00DA1F1B"/>
    <w:rsid w:val="00DA1F61"/>
    <w:rsid w:val="00DA2207"/>
    <w:rsid w:val="00DA2232"/>
    <w:rsid w:val="00DA2298"/>
    <w:rsid w:val="00DA23B3"/>
    <w:rsid w:val="00DA23B6"/>
    <w:rsid w:val="00DA23DD"/>
    <w:rsid w:val="00DA24A9"/>
    <w:rsid w:val="00DA26B3"/>
    <w:rsid w:val="00DA270E"/>
    <w:rsid w:val="00DA284D"/>
    <w:rsid w:val="00DA2864"/>
    <w:rsid w:val="00DA2913"/>
    <w:rsid w:val="00DA2ACE"/>
    <w:rsid w:val="00DA2C43"/>
    <w:rsid w:val="00DA2CF5"/>
    <w:rsid w:val="00DA2D56"/>
    <w:rsid w:val="00DA2FC2"/>
    <w:rsid w:val="00DA2FD7"/>
    <w:rsid w:val="00DA3291"/>
    <w:rsid w:val="00DA32B5"/>
    <w:rsid w:val="00DA32BD"/>
    <w:rsid w:val="00DA351D"/>
    <w:rsid w:val="00DA35D5"/>
    <w:rsid w:val="00DA381E"/>
    <w:rsid w:val="00DA381F"/>
    <w:rsid w:val="00DA38AC"/>
    <w:rsid w:val="00DA38F8"/>
    <w:rsid w:val="00DA39DF"/>
    <w:rsid w:val="00DA3A03"/>
    <w:rsid w:val="00DA3AFF"/>
    <w:rsid w:val="00DA3B12"/>
    <w:rsid w:val="00DA3B98"/>
    <w:rsid w:val="00DA3BF6"/>
    <w:rsid w:val="00DA3C29"/>
    <w:rsid w:val="00DA3D33"/>
    <w:rsid w:val="00DA3D9E"/>
    <w:rsid w:val="00DA3DA5"/>
    <w:rsid w:val="00DA3FBA"/>
    <w:rsid w:val="00DA3FEC"/>
    <w:rsid w:val="00DA4144"/>
    <w:rsid w:val="00DA42ED"/>
    <w:rsid w:val="00DA45CF"/>
    <w:rsid w:val="00DA4869"/>
    <w:rsid w:val="00DA48D0"/>
    <w:rsid w:val="00DA4B48"/>
    <w:rsid w:val="00DA4BF4"/>
    <w:rsid w:val="00DA4DDE"/>
    <w:rsid w:val="00DA4E05"/>
    <w:rsid w:val="00DA4FB9"/>
    <w:rsid w:val="00DA5185"/>
    <w:rsid w:val="00DA523A"/>
    <w:rsid w:val="00DA5268"/>
    <w:rsid w:val="00DA529B"/>
    <w:rsid w:val="00DA52A5"/>
    <w:rsid w:val="00DA534B"/>
    <w:rsid w:val="00DA5441"/>
    <w:rsid w:val="00DA54E6"/>
    <w:rsid w:val="00DA55E5"/>
    <w:rsid w:val="00DA5766"/>
    <w:rsid w:val="00DA584F"/>
    <w:rsid w:val="00DA5B2B"/>
    <w:rsid w:val="00DA5C0B"/>
    <w:rsid w:val="00DA5C85"/>
    <w:rsid w:val="00DA5D84"/>
    <w:rsid w:val="00DA5EC8"/>
    <w:rsid w:val="00DA5F7A"/>
    <w:rsid w:val="00DA5FC2"/>
    <w:rsid w:val="00DA6090"/>
    <w:rsid w:val="00DA611E"/>
    <w:rsid w:val="00DA61D1"/>
    <w:rsid w:val="00DA62C6"/>
    <w:rsid w:val="00DA62FA"/>
    <w:rsid w:val="00DA636C"/>
    <w:rsid w:val="00DA641E"/>
    <w:rsid w:val="00DA64E8"/>
    <w:rsid w:val="00DA6792"/>
    <w:rsid w:val="00DA67A2"/>
    <w:rsid w:val="00DA6928"/>
    <w:rsid w:val="00DA6947"/>
    <w:rsid w:val="00DA6ADB"/>
    <w:rsid w:val="00DA6BAD"/>
    <w:rsid w:val="00DA6C09"/>
    <w:rsid w:val="00DA6C22"/>
    <w:rsid w:val="00DA6C75"/>
    <w:rsid w:val="00DA6D60"/>
    <w:rsid w:val="00DA6E46"/>
    <w:rsid w:val="00DA6F1A"/>
    <w:rsid w:val="00DA6FBA"/>
    <w:rsid w:val="00DA700B"/>
    <w:rsid w:val="00DA71D5"/>
    <w:rsid w:val="00DA71F5"/>
    <w:rsid w:val="00DA7420"/>
    <w:rsid w:val="00DA744B"/>
    <w:rsid w:val="00DA7474"/>
    <w:rsid w:val="00DA7476"/>
    <w:rsid w:val="00DA7481"/>
    <w:rsid w:val="00DA7620"/>
    <w:rsid w:val="00DA7777"/>
    <w:rsid w:val="00DA78D4"/>
    <w:rsid w:val="00DA796C"/>
    <w:rsid w:val="00DA7980"/>
    <w:rsid w:val="00DA7A69"/>
    <w:rsid w:val="00DA7C14"/>
    <w:rsid w:val="00DA7D50"/>
    <w:rsid w:val="00DA7DC6"/>
    <w:rsid w:val="00DA7E7C"/>
    <w:rsid w:val="00DA7EE5"/>
    <w:rsid w:val="00DA7F46"/>
    <w:rsid w:val="00DA7F81"/>
    <w:rsid w:val="00DA7FB6"/>
    <w:rsid w:val="00DA7FC9"/>
    <w:rsid w:val="00DB011D"/>
    <w:rsid w:val="00DB018A"/>
    <w:rsid w:val="00DB04B3"/>
    <w:rsid w:val="00DB04D0"/>
    <w:rsid w:val="00DB0535"/>
    <w:rsid w:val="00DB05D3"/>
    <w:rsid w:val="00DB05F8"/>
    <w:rsid w:val="00DB079C"/>
    <w:rsid w:val="00DB0915"/>
    <w:rsid w:val="00DB0997"/>
    <w:rsid w:val="00DB0B04"/>
    <w:rsid w:val="00DB0B4C"/>
    <w:rsid w:val="00DB0BEE"/>
    <w:rsid w:val="00DB0C9C"/>
    <w:rsid w:val="00DB0DFB"/>
    <w:rsid w:val="00DB0E06"/>
    <w:rsid w:val="00DB0E27"/>
    <w:rsid w:val="00DB0E61"/>
    <w:rsid w:val="00DB0E63"/>
    <w:rsid w:val="00DB0F89"/>
    <w:rsid w:val="00DB0FC6"/>
    <w:rsid w:val="00DB0FEB"/>
    <w:rsid w:val="00DB101C"/>
    <w:rsid w:val="00DB1194"/>
    <w:rsid w:val="00DB11ED"/>
    <w:rsid w:val="00DB12B2"/>
    <w:rsid w:val="00DB12CC"/>
    <w:rsid w:val="00DB13A4"/>
    <w:rsid w:val="00DB13CD"/>
    <w:rsid w:val="00DB13D8"/>
    <w:rsid w:val="00DB1475"/>
    <w:rsid w:val="00DB1598"/>
    <w:rsid w:val="00DB15D7"/>
    <w:rsid w:val="00DB1828"/>
    <w:rsid w:val="00DB190B"/>
    <w:rsid w:val="00DB1999"/>
    <w:rsid w:val="00DB19F9"/>
    <w:rsid w:val="00DB1AC6"/>
    <w:rsid w:val="00DB1C56"/>
    <w:rsid w:val="00DB1E40"/>
    <w:rsid w:val="00DB1FBF"/>
    <w:rsid w:val="00DB2024"/>
    <w:rsid w:val="00DB2172"/>
    <w:rsid w:val="00DB2282"/>
    <w:rsid w:val="00DB25A5"/>
    <w:rsid w:val="00DB2612"/>
    <w:rsid w:val="00DB262F"/>
    <w:rsid w:val="00DB268C"/>
    <w:rsid w:val="00DB27A6"/>
    <w:rsid w:val="00DB280C"/>
    <w:rsid w:val="00DB2849"/>
    <w:rsid w:val="00DB29E0"/>
    <w:rsid w:val="00DB2A7E"/>
    <w:rsid w:val="00DB2AC6"/>
    <w:rsid w:val="00DB2D17"/>
    <w:rsid w:val="00DB2D6F"/>
    <w:rsid w:val="00DB2F89"/>
    <w:rsid w:val="00DB304E"/>
    <w:rsid w:val="00DB30D1"/>
    <w:rsid w:val="00DB315E"/>
    <w:rsid w:val="00DB3189"/>
    <w:rsid w:val="00DB323E"/>
    <w:rsid w:val="00DB326C"/>
    <w:rsid w:val="00DB34FF"/>
    <w:rsid w:val="00DB3521"/>
    <w:rsid w:val="00DB3590"/>
    <w:rsid w:val="00DB372B"/>
    <w:rsid w:val="00DB37CC"/>
    <w:rsid w:val="00DB3829"/>
    <w:rsid w:val="00DB38C2"/>
    <w:rsid w:val="00DB38CB"/>
    <w:rsid w:val="00DB394E"/>
    <w:rsid w:val="00DB39D7"/>
    <w:rsid w:val="00DB39DE"/>
    <w:rsid w:val="00DB3DDE"/>
    <w:rsid w:val="00DB3EA3"/>
    <w:rsid w:val="00DB3F2B"/>
    <w:rsid w:val="00DB3F42"/>
    <w:rsid w:val="00DB3FC5"/>
    <w:rsid w:val="00DB400A"/>
    <w:rsid w:val="00DB4054"/>
    <w:rsid w:val="00DB410C"/>
    <w:rsid w:val="00DB41D6"/>
    <w:rsid w:val="00DB41F0"/>
    <w:rsid w:val="00DB4345"/>
    <w:rsid w:val="00DB434A"/>
    <w:rsid w:val="00DB444B"/>
    <w:rsid w:val="00DB446A"/>
    <w:rsid w:val="00DB44DA"/>
    <w:rsid w:val="00DB4642"/>
    <w:rsid w:val="00DB484C"/>
    <w:rsid w:val="00DB4854"/>
    <w:rsid w:val="00DB49D5"/>
    <w:rsid w:val="00DB4B13"/>
    <w:rsid w:val="00DB4BBA"/>
    <w:rsid w:val="00DB4BD9"/>
    <w:rsid w:val="00DB4D0D"/>
    <w:rsid w:val="00DB4E4E"/>
    <w:rsid w:val="00DB4E64"/>
    <w:rsid w:val="00DB5102"/>
    <w:rsid w:val="00DB5281"/>
    <w:rsid w:val="00DB52FA"/>
    <w:rsid w:val="00DB5380"/>
    <w:rsid w:val="00DB53CB"/>
    <w:rsid w:val="00DB545E"/>
    <w:rsid w:val="00DB5554"/>
    <w:rsid w:val="00DB57C1"/>
    <w:rsid w:val="00DB586C"/>
    <w:rsid w:val="00DB59D0"/>
    <w:rsid w:val="00DB5ABD"/>
    <w:rsid w:val="00DB5AD6"/>
    <w:rsid w:val="00DB5B93"/>
    <w:rsid w:val="00DB5C98"/>
    <w:rsid w:val="00DB5D3D"/>
    <w:rsid w:val="00DB5E45"/>
    <w:rsid w:val="00DB5F5A"/>
    <w:rsid w:val="00DB5F8C"/>
    <w:rsid w:val="00DB5FB2"/>
    <w:rsid w:val="00DB5FDB"/>
    <w:rsid w:val="00DB6067"/>
    <w:rsid w:val="00DB61DD"/>
    <w:rsid w:val="00DB64BA"/>
    <w:rsid w:val="00DB64E6"/>
    <w:rsid w:val="00DB6566"/>
    <w:rsid w:val="00DB65B8"/>
    <w:rsid w:val="00DB664C"/>
    <w:rsid w:val="00DB6699"/>
    <w:rsid w:val="00DB66BE"/>
    <w:rsid w:val="00DB6702"/>
    <w:rsid w:val="00DB6752"/>
    <w:rsid w:val="00DB678A"/>
    <w:rsid w:val="00DB68AF"/>
    <w:rsid w:val="00DB6AFF"/>
    <w:rsid w:val="00DB6B53"/>
    <w:rsid w:val="00DB6B8C"/>
    <w:rsid w:val="00DB6B9C"/>
    <w:rsid w:val="00DB6BB8"/>
    <w:rsid w:val="00DB6D9D"/>
    <w:rsid w:val="00DB6DED"/>
    <w:rsid w:val="00DB6E97"/>
    <w:rsid w:val="00DB6EDA"/>
    <w:rsid w:val="00DB6F05"/>
    <w:rsid w:val="00DB70DB"/>
    <w:rsid w:val="00DB73A7"/>
    <w:rsid w:val="00DB7545"/>
    <w:rsid w:val="00DB7632"/>
    <w:rsid w:val="00DB7892"/>
    <w:rsid w:val="00DB79A4"/>
    <w:rsid w:val="00DB7CCA"/>
    <w:rsid w:val="00DB7D05"/>
    <w:rsid w:val="00DB7D76"/>
    <w:rsid w:val="00DC0230"/>
    <w:rsid w:val="00DC03E5"/>
    <w:rsid w:val="00DC044A"/>
    <w:rsid w:val="00DC0470"/>
    <w:rsid w:val="00DC0579"/>
    <w:rsid w:val="00DC0673"/>
    <w:rsid w:val="00DC0687"/>
    <w:rsid w:val="00DC069F"/>
    <w:rsid w:val="00DC07DA"/>
    <w:rsid w:val="00DC07F8"/>
    <w:rsid w:val="00DC0A47"/>
    <w:rsid w:val="00DC0C1C"/>
    <w:rsid w:val="00DC0C53"/>
    <w:rsid w:val="00DC0CF0"/>
    <w:rsid w:val="00DC0D08"/>
    <w:rsid w:val="00DC0D26"/>
    <w:rsid w:val="00DC0DBF"/>
    <w:rsid w:val="00DC0EAE"/>
    <w:rsid w:val="00DC0ECE"/>
    <w:rsid w:val="00DC0F7E"/>
    <w:rsid w:val="00DC103B"/>
    <w:rsid w:val="00DC1073"/>
    <w:rsid w:val="00DC11B6"/>
    <w:rsid w:val="00DC1253"/>
    <w:rsid w:val="00DC1300"/>
    <w:rsid w:val="00DC154F"/>
    <w:rsid w:val="00DC1591"/>
    <w:rsid w:val="00DC1609"/>
    <w:rsid w:val="00DC1781"/>
    <w:rsid w:val="00DC185D"/>
    <w:rsid w:val="00DC1860"/>
    <w:rsid w:val="00DC18F2"/>
    <w:rsid w:val="00DC19D1"/>
    <w:rsid w:val="00DC1A1B"/>
    <w:rsid w:val="00DC1A43"/>
    <w:rsid w:val="00DC1A65"/>
    <w:rsid w:val="00DC1B96"/>
    <w:rsid w:val="00DC1D26"/>
    <w:rsid w:val="00DC206C"/>
    <w:rsid w:val="00DC207D"/>
    <w:rsid w:val="00DC2128"/>
    <w:rsid w:val="00DC24A0"/>
    <w:rsid w:val="00DC2517"/>
    <w:rsid w:val="00DC2960"/>
    <w:rsid w:val="00DC2A55"/>
    <w:rsid w:val="00DC2AE1"/>
    <w:rsid w:val="00DC2AF8"/>
    <w:rsid w:val="00DC2C18"/>
    <w:rsid w:val="00DC2DE8"/>
    <w:rsid w:val="00DC2EB9"/>
    <w:rsid w:val="00DC2F87"/>
    <w:rsid w:val="00DC2FC2"/>
    <w:rsid w:val="00DC3062"/>
    <w:rsid w:val="00DC3135"/>
    <w:rsid w:val="00DC3144"/>
    <w:rsid w:val="00DC32FB"/>
    <w:rsid w:val="00DC331E"/>
    <w:rsid w:val="00DC3360"/>
    <w:rsid w:val="00DC33A9"/>
    <w:rsid w:val="00DC33F5"/>
    <w:rsid w:val="00DC3AD4"/>
    <w:rsid w:val="00DC3BD9"/>
    <w:rsid w:val="00DC3C1D"/>
    <w:rsid w:val="00DC3C5F"/>
    <w:rsid w:val="00DC3C6A"/>
    <w:rsid w:val="00DC3CE5"/>
    <w:rsid w:val="00DC3D1C"/>
    <w:rsid w:val="00DC3F6B"/>
    <w:rsid w:val="00DC4060"/>
    <w:rsid w:val="00DC4089"/>
    <w:rsid w:val="00DC40B1"/>
    <w:rsid w:val="00DC4110"/>
    <w:rsid w:val="00DC416E"/>
    <w:rsid w:val="00DC4259"/>
    <w:rsid w:val="00DC4370"/>
    <w:rsid w:val="00DC43BE"/>
    <w:rsid w:val="00DC44B2"/>
    <w:rsid w:val="00DC44CD"/>
    <w:rsid w:val="00DC4512"/>
    <w:rsid w:val="00DC45B4"/>
    <w:rsid w:val="00DC4603"/>
    <w:rsid w:val="00DC4655"/>
    <w:rsid w:val="00DC467B"/>
    <w:rsid w:val="00DC478D"/>
    <w:rsid w:val="00DC48EA"/>
    <w:rsid w:val="00DC4931"/>
    <w:rsid w:val="00DC49C9"/>
    <w:rsid w:val="00DC49DF"/>
    <w:rsid w:val="00DC4B7E"/>
    <w:rsid w:val="00DC4BA5"/>
    <w:rsid w:val="00DC4C39"/>
    <w:rsid w:val="00DC4CFC"/>
    <w:rsid w:val="00DC4D72"/>
    <w:rsid w:val="00DC4E79"/>
    <w:rsid w:val="00DC4EFE"/>
    <w:rsid w:val="00DC4F10"/>
    <w:rsid w:val="00DC4F64"/>
    <w:rsid w:val="00DC4FA5"/>
    <w:rsid w:val="00DC506A"/>
    <w:rsid w:val="00DC5089"/>
    <w:rsid w:val="00DC50BA"/>
    <w:rsid w:val="00DC50C9"/>
    <w:rsid w:val="00DC5159"/>
    <w:rsid w:val="00DC516B"/>
    <w:rsid w:val="00DC5346"/>
    <w:rsid w:val="00DC53ED"/>
    <w:rsid w:val="00DC5467"/>
    <w:rsid w:val="00DC5701"/>
    <w:rsid w:val="00DC5ACE"/>
    <w:rsid w:val="00DC5B04"/>
    <w:rsid w:val="00DC5B61"/>
    <w:rsid w:val="00DC5CB5"/>
    <w:rsid w:val="00DC5CE4"/>
    <w:rsid w:val="00DC5DAC"/>
    <w:rsid w:val="00DC5E81"/>
    <w:rsid w:val="00DC607D"/>
    <w:rsid w:val="00DC60E5"/>
    <w:rsid w:val="00DC61BC"/>
    <w:rsid w:val="00DC61E5"/>
    <w:rsid w:val="00DC62D8"/>
    <w:rsid w:val="00DC6357"/>
    <w:rsid w:val="00DC65AF"/>
    <w:rsid w:val="00DC65C3"/>
    <w:rsid w:val="00DC6695"/>
    <w:rsid w:val="00DC67B6"/>
    <w:rsid w:val="00DC68E7"/>
    <w:rsid w:val="00DC6931"/>
    <w:rsid w:val="00DC6A6B"/>
    <w:rsid w:val="00DC6B28"/>
    <w:rsid w:val="00DC6B95"/>
    <w:rsid w:val="00DC6C04"/>
    <w:rsid w:val="00DC6CDB"/>
    <w:rsid w:val="00DC6DAE"/>
    <w:rsid w:val="00DC6F0A"/>
    <w:rsid w:val="00DC6F69"/>
    <w:rsid w:val="00DC6FEF"/>
    <w:rsid w:val="00DC7040"/>
    <w:rsid w:val="00DC7110"/>
    <w:rsid w:val="00DC7162"/>
    <w:rsid w:val="00DC746E"/>
    <w:rsid w:val="00DC7652"/>
    <w:rsid w:val="00DC773A"/>
    <w:rsid w:val="00DC77D4"/>
    <w:rsid w:val="00DC77E2"/>
    <w:rsid w:val="00DC77F7"/>
    <w:rsid w:val="00DC796F"/>
    <w:rsid w:val="00DC7A80"/>
    <w:rsid w:val="00DC7D10"/>
    <w:rsid w:val="00DC7DD0"/>
    <w:rsid w:val="00DC7DF2"/>
    <w:rsid w:val="00DC7E39"/>
    <w:rsid w:val="00DC7E4B"/>
    <w:rsid w:val="00DC7F29"/>
    <w:rsid w:val="00DC7FFE"/>
    <w:rsid w:val="00DD0051"/>
    <w:rsid w:val="00DD0062"/>
    <w:rsid w:val="00DD00F1"/>
    <w:rsid w:val="00DD01A2"/>
    <w:rsid w:val="00DD01EC"/>
    <w:rsid w:val="00DD03CF"/>
    <w:rsid w:val="00DD0487"/>
    <w:rsid w:val="00DD04E8"/>
    <w:rsid w:val="00DD0504"/>
    <w:rsid w:val="00DD0546"/>
    <w:rsid w:val="00DD0559"/>
    <w:rsid w:val="00DD068C"/>
    <w:rsid w:val="00DD0995"/>
    <w:rsid w:val="00DD09D2"/>
    <w:rsid w:val="00DD0B36"/>
    <w:rsid w:val="00DD0C39"/>
    <w:rsid w:val="00DD0C59"/>
    <w:rsid w:val="00DD0CA5"/>
    <w:rsid w:val="00DD0D62"/>
    <w:rsid w:val="00DD0E75"/>
    <w:rsid w:val="00DD1073"/>
    <w:rsid w:val="00DD1098"/>
    <w:rsid w:val="00DD10B9"/>
    <w:rsid w:val="00DD116A"/>
    <w:rsid w:val="00DD12B5"/>
    <w:rsid w:val="00DD13E1"/>
    <w:rsid w:val="00DD13F9"/>
    <w:rsid w:val="00DD15DD"/>
    <w:rsid w:val="00DD19A0"/>
    <w:rsid w:val="00DD19C1"/>
    <w:rsid w:val="00DD1A4B"/>
    <w:rsid w:val="00DD1B2F"/>
    <w:rsid w:val="00DD1C13"/>
    <w:rsid w:val="00DD1E7A"/>
    <w:rsid w:val="00DD1FA2"/>
    <w:rsid w:val="00DD204C"/>
    <w:rsid w:val="00DD2059"/>
    <w:rsid w:val="00DD211A"/>
    <w:rsid w:val="00DD2288"/>
    <w:rsid w:val="00DD22DB"/>
    <w:rsid w:val="00DD2340"/>
    <w:rsid w:val="00DD23EF"/>
    <w:rsid w:val="00DD24F1"/>
    <w:rsid w:val="00DD26B3"/>
    <w:rsid w:val="00DD27B9"/>
    <w:rsid w:val="00DD2A0E"/>
    <w:rsid w:val="00DD2A5C"/>
    <w:rsid w:val="00DD2B70"/>
    <w:rsid w:val="00DD2CB0"/>
    <w:rsid w:val="00DD2D02"/>
    <w:rsid w:val="00DD2D26"/>
    <w:rsid w:val="00DD2E16"/>
    <w:rsid w:val="00DD2F24"/>
    <w:rsid w:val="00DD2F90"/>
    <w:rsid w:val="00DD3075"/>
    <w:rsid w:val="00DD3233"/>
    <w:rsid w:val="00DD3393"/>
    <w:rsid w:val="00DD33B6"/>
    <w:rsid w:val="00DD3512"/>
    <w:rsid w:val="00DD3598"/>
    <w:rsid w:val="00DD359D"/>
    <w:rsid w:val="00DD36DA"/>
    <w:rsid w:val="00DD370F"/>
    <w:rsid w:val="00DD37CD"/>
    <w:rsid w:val="00DD3B07"/>
    <w:rsid w:val="00DD3B0F"/>
    <w:rsid w:val="00DD3B21"/>
    <w:rsid w:val="00DD3BF6"/>
    <w:rsid w:val="00DD3D47"/>
    <w:rsid w:val="00DD3D79"/>
    <w:rsid w:val="00DD3DA9"/>
    <w:rsid w:val="00DD3F09"/>
    <w:rsid w:val="00DD426A"/>
    <w:rsid w:val="00DD43A2"/>
    <w:rsid w:val="00DD444F"/>
    <w:rsid w:val="00DD44F9"/>
    <w:rsid w:val="00DD4661"/>
    <w:rsid w:val="00DD46C0"/>
    <w:rsid w:val="00DD47B9"/>
    <w:rsid w:val="00DD47FE"/>
    <w:rsid w:val="00DD484B"/>
    <w:rsid w:val="00DD4854"/>
    <w:rsid w:val="00DD492A"/>
    <w:rsid w:val="00DD4934"/>
    <w:rsid w:val="00DD4B27"/>
    <w:rsid w:val="00DD4BA9"/>
    <w:rsid w:val="00DD4BD5"/>
    <w:rsid w:val="00DD4C0C"/>
    <w:rsid w:val="00DD4EC1"/>
    <w:rsid w:val="00DD5157"/>
    <w:rsid w:val="00DD52EC"/>
    <w:rsid w:val="00DD53FC"/>
    <w:rsid w:val="00DD5478"/>
    <w:rsid w:val="00DD54BC"/>
    <w:rsid w:val="00DD54C3"/>
    <w:rsid w:val="00DD55D8"/>
    <w:rsid w:val="00DD585D"/>
    <w:rsid w:val="00DD5902"/>
    <w:rsid w:val="00DD5B2C"/>
    <w:rsid w:val="00DD5B54"/>
    <w:rsid w:val="00DD5C9D"/>
    <w:rsid w:val="00DD5EB0"/>
    <w:rsid w:val="00DD5F2D"/>
    <w:rsid w:val="00DD60D7"/>
    <w:rsid w:val="00DD643C"/>
    <w:rsid w:val="00DD64AC"/>
    <w:rsid w:val="00DD6646"/>
    <w:rsid w:val="00DD6779"/>
    <w:rsid w:val="00DD67E6"/>
    <w:rsid w:val="00DD681D"/>
    <w:rsid w:val="00DD6831"/>
    <w:rsid w:val="00DD6842"/>
    <w:rsid w:val="00DD6883"/>
    <w:rsid w:val="00DD6918"/>
    <w:rsid w:val="00DD6A94"/>
    <w:rsid w:val="00DD6AF2"/>
    <w:rsid w:val="00DD6F6D"/>
    <w:rsid w:val="00DD6FB8"/>
    <w:rsid w:val="00DD703C"/>
    <w:rsid w:val="00DD71A8"/>
    <w:rsid w:val="00DD71E1"/>
    <w:rsid w:val="00DD725D"/>
    <w:rsid w:val="00DD7293"/>
    <w:rsid w:val="00DD7360"/>
    <w:rsid w:val="00DD73E1"/>
    <w:rsid w:val="00DD73F4"/>
    <w:rsid w:val="00DD73F5"/>
    <w:rsid w:val="00DD764F"/>
    <w:rsid w:val="00DD787D"/>
    <w:rsid w:val="00DD792C"/>
    <w:rsid w:val="00DD792F"/>
    <w:rsid w:val="00DD799D"/>
    <w:rsid w:val="00DD7AE0"/>
    <w:rsid w:val="00DD7B11"/>
    <w:rsid w:val="00DD7B55"/>
    <w:rsid w:val="00DD7DEB"/>
    <w:rsid w:val="00DD7E4C"/>
    <w:rsid w:val="00DE02A5"/>
    <w:rsid w:val="00DE0352"/>
    <w:rsid w:val="00DE03CB"/>
    <w:rsid w:val="00DE03CC"/>
    <w:rsid w:val="00DE06A1"/>
    <w:rsid w:val="00DE06E9"/>
    <w:rsid w:val="00DE0888"/>
    <w:rsid w:val="00DE0A30"/>
    <w:rsid w:val="00DE0AB1"/>
    <w:rsid w:val="00DE0B6B"/>
    <w:rsid w:val="00DE0BDE"/>
    <w:rsid w:val="00DE0BFA"/>
    <w:rsid w:val="00DE0E4D"/>
    <w:rsid w:val="00DE0F7F"/>
    <w:rsid w:val="00DE0F9F"/>
    <w:rsid w:val="00DE0FC4"/>
    <w:rsid w:val="00DE105D"/>
    <w:rsid w:val="00DE106F"/>
    <w:rsid w:val="00DE1107"/>
    <w:rsid w:val="00DE1133"/>
    <w:rsid w:val="00DE1142"/>
    <w:rsid w:val="00DE1148"/>
    <w:rsid w:val="00DE11E3"/>
    <w:rsid w:val="00DE1333"/>
    <w:rsid w:val="00DE1362"/>
    <w:rsid w:val="00DE143C"/>
    <w:rsid w:val="00DE16D6"/>
    <w:rsid w:val="00DE1934"/>
    <w:rsid w:val="00DE1978"/>
    <w:rsid w:val="00DE1A60"/>
    <w:rsid w:val="00DE1B51"/>
    <w:rsid w:val="00DE207B"/>
    <w:rsid w:val="00DE2161"/>
    <w:rsid w:val="00DE2162"/>
    <w:rsid w:val="00DE2376"/>
    <w:rsid w:val="00DE2694"/>
    <w:rsid w:val="00DE271A"/>
    <w:rsid w:val="00DE2948"/>
    <w:rsid w:val="00DE2A45"/>
    <w:rsid w:val="00DE2C0A"/>
    <w:rsid w:val="00DE2C1B"/>
    <w:rsid w:val="00DE2C63"/>
    <w:rsid w:val="00DE2D6D"/>
    <w:rsid w:val="00DE2E22"/>
    <w:rsid w:val="00DE2F66"/>
    <w:rsid w:val="00DE2FA5"/>
    <w:rsid w:val="00DE2FAE"/>
    <w:rsid w:val="00DE30B9"/>
    <w:rsid w:val="00DE315E"/>
    <w:rsid w:val="00DE31A3"/>
    <w:rsid w:val="00DE327D"/>
    <w:rsid w:val="00DE356E"/>
    <w:rsid w:val="00DE3682"/>
    <w:rsid w:val="00DE3719"/>
    <w:rsid w:val="00DE37F3"/>
    <w:rsid w:val="00DE3CB9"/>
    <w:rsid w:val="00DE3EBF"/>
    <w:rsid w:val="00DE3EF7"/>
    <w:rsid w:val="00DE3FED"/>
    <w:rsid w:val="00DE409E"/>
    <w:rsid w:val="00DE413A"/>
    <w:rsid w:val="00DE429D"/>
    <w:rsid w:val="00DE42A8"/>
    <w:rsid w:val="00DE4391"/>
    <w:rsid w:val="00DE43E2"/>
    <w:rsid w:val="00DE44BB"/>
    <w:rsid w:val="00DE452F"/>
    <w:rsid w:val="00DE458D"/>
    <w:rsid w:val="00DE45C7"/>
    <w:rsid w:val="00DE45EC"/>
    <w:rsid w:val="00DE4624"/>
    <w:rsid w:val="00DE4687"/>
    <w:rsid w:val="00DE48A3"/>
    <w:rsid w:val="00DE49F5"/>
    <w:rsid w:val="00DE4C3F"/>
    <w:rsid w:val="00DE4D63"/>
    <w:rsid w:val="00DE4DA4"/>
    <w:rsid w:val="00DE4DF6"/>
    <w:rsid w:val="00DE4F4E"/>
    <w:rsid w:val="00DE4F59"/>
    <w:rsid w:val="00DE4F83"/>
    <w:rsid w:val="00DE507C"/>
    <w:rsid w:val="00DE509D"/>
    <w:rsid w:val="00DE51DF"/>
    <w:rsid w:val="00DE527F"/>
    <w:rsid w:val="00DE52D3"/>
    <w:rsid w:val="00DE53FB"/>
    <w:rsid w:val="00DE547C"/>
    <w:rsid w:val="00DE5521"/>
    <w:rsid w:val="00DE55CC"/>
    <w:rsid w:val="00DE567D"/>
    <w:rsid w:val="00DE56A4"/>
    <w:rsid w:val="00DE5769"/>
    <w:rsid w:val="00DE57CE"/>
    <w:rsid w:val="00DE58C0"/>
    <w:rsid w:val="00DE5ABB"/>
    <w:rsid w:val="00DE5AD6"/>
    <w:rsid w:val="00DE5AD9"/>
    <w:rsid w:val="00DE5AF7"/>
    <w:rsid w:val="00DE5AFE"/>
    <w:rsid w:val="00DE5DE1"/>
    <w:rsid w:val="00DE5DF1"/>
    <w:rsid w:val="00DE602D"/>
    <w:rsid w:val="00DE635C"/>
    <w:rsid w:val="00DE6571"/>
    <w:rsid w:val="00DE65E5"/>
    <w:rsid w:val="00DE666B"/>
    <w:rsid w:val="00DE675C"/>
    <w:rsid w:val="00DE6A10"/>
    <w:rsid w:val="00DE6AAD"/>
    <w:rsid w:val="00DE6B21"/>
    <w:rsid w:val="00DE6B6D"/>
    <w:rsid w:val="00DE6C11"/>
    <w:rsid w:val="00DE6C3C"/>
    <w:rsid w:val="00DE6C5C"/>
    <w:rsid w:val="00DE6CE1"/>
    <w:rsid w:val="00DE6D5D"/>
    <w:rsid w:val="00DE6E47"/>
    <w:rsid w:val="00DE6FB1"/>
    <w:rsid w:val="00DE6FD7"/>
    <w:rsid w:val="00DE7053"/>
    <w:rsid w:val="00DE717C"/>
    <w:rsid w:val="00DE737F"/>
    <w:rsid w:val="00DE7389"/>
    <w:rsid w:val="00DE747E"/>
    <w:rsid w:val="00DE7519"/>
    <w:rsid w:val="00DE7582"/>
    <w:rsid w:val="00DE769F"/>
    <w:rsid w:val="00DE76A1"/>
    <w:rsid w:val="00DE78CF"/>
    <w:rsid w:val="00DE7A6C"/>
    <w:rsid w:val="00DE7B0B"/>
    <w:rsid w:val="00DE7B70"/>
    <w:rsid w:val="00DE7C43"/>
    <w:rsid w:val="00DE7C5D"/>
    <w:rsid w:val="00DE7CE0"/>
    <w:rsid w:val="00DE7DCF"/>
    <w:rsid w:val="00DE7E19"/>
    <w:rsid w:val="00DE7E1D"/>
    <w:rsid w:val="00DF028F"/>
    <w:rsid w:val="00DF046E"/>
    <w:rsid w:val="00DF04E0"/>
    <w:rsid w:val="00DF04EA"/>
    <w:rsid w:val="00DF04F2"/>
    <w:rsid w:val="00DF066B"/>
    <w:rsid w:val="00DF07D8"/>
    <w:rsid w:val="00DF080A"/>
    <w:rsid w:val="00DF092B"/>
    <w:rsid w:val="00DF0B6A"/>
    <w:rsid w:val="00DF0B8B"/>
    <w:rsid w:val="00DF0B99"/>
    <w:rsid w:val="00DF0C64"/>
    <w:rsid w:val="00DF0D21"/>
    <w:rsid w:val="00DF0F19"/>
    <w:rsid w:val="00DF0F3A"/>
    <w:rsid w:val="00DF12C0"/>
    <w:rsid w:val="00DF12DB"/>
    <w:rsid w:val="00DF1338"/>
    <w:rsid w:val="00DF13E1"/>
    <w:rsid w:val="00DF1476"/>
    <w:rsid w:val="00DF1577"/>
    <w:rsid w:val="00DF158E"/>
    <w:rsid w:val="00DF15E0"/>
    <w:rsid w:val="00DF161F"/>
    <w:rsid w:val="00DF1641"/>
    <w:rsid w:val="00DF1721"/>
    <w:rsid w:val="00DF1794"/>
    <w:rsid w:val="00DF19B4"/>
    <w:rsid w:val="00DF19BB"/>
    <w:rsid w:val="00DF1E96"/>
    <w:rsid w:val="00DF1ED2"/>
    <w:rsid w:val="00DF206F"/>
    <w:rsid w:val="00DF2192"/>
    <w:rsid w:val="00DF2282"/>
    <w:rsid w:val="00DF2375"/>
    <w:rsid w:val="00DF23BE"/>
    <w:rsid w:val="00DF263F"/>
    <w:rsid w:val="00DF2669"/>
    <w:rsid w:val="00DF266E"/>
    <w:rsid w:val="00DF272D"/>
    <w:rsid w:val="00DF28E1"/>
    <w:rsid w:val="00DF2AD2"/>
    <w:rsid w:val="00DF2B51"/>
    <w:rsid w:val="00DF2C05"/>
    <w:rsid w:val="00DF2C20"/>
    <w:rsid w:val="00DF2D07"/>
    <w:rsid w:val="00DF2D1D"/>
    <w:rsid w:val="00DF2D27"/>
    <w:rsid w:val="00DF2E4B"/>
    <w:rsid w:val="00DF2FE6"/>
    <w:rsid w:val="00DF301E"/>
    <w:rsid w:val="00DF30E1"/>
    <w:rsid w:val="00DF3154"/>
    <w:rsid w:val="00DF31BF"/>
    <w:rsid w:val="00DF31C0"/>
    <w:rsid w:val="00DF31E2"/>
    <w:rsid w:val="00DF3373"/>
    <w:rsid w:val="00DF3438"/>
    <w:rsid w:val="00DF3527"/>
    <w:rsid w:val="00DF35D6"/>
    <w:rsid w:val="00DF3721"/>
    <w:rsid w:val="00DF3748"/>
    <w:rsid w:val="00DF3A26"/>
    <w:rsid w:val="00DF3C55"/>
    <w:rsid w:val="00DF3D45"/>
    <w:rsid w:val="00DF3DF4"/>
    <w:rsid w:val="00DF3E01"/>
    <w:rsid w:val="00DF4316"/>
    <w:rsid w:val="00DF4550"/>
    <w:rsid w:val="00DF4557"/>
    <w:rsid w:val="00DF45C9"/>
    <w:rsid w:val="00DF46CE"/>
    <w:rsid w:val="00DF4720"/>
    <w:rsid w:val="00DF4903"/>
    <w:rsid w:val="00DF4910"/>
    <w:rsid w:val="00DF498E"/>
    <w:rsid w:val="00DF4A89"/>
    <w:rsid w:val="00DF4B3C"/>
    <w:rsid w:val="00DF4B51"/>
    <w:rsid w:val="00DF4B83"/>
    <w:rsid w:val="00DF4C3D"/>
    <w:rsid w:val="00DF4C56"/>
    <w:rsid w:val="00DF4CA0"/>
    <w:rsid w:val="00DF4D0C"/>
    <w:rsid w:val="00DF4ECA"/>
    <w:rsid w:val="00DF5000"/>
    <w:rsid w:val="00DF5036"/>
    <w:rsid w:val="00DF50C0"/>
    <w:rsid w:val="00DF5143"/>
    <w:rsid w:val="00DF520C"/>
    <w:rsid w:val="00DF5261"/>
    <w:rsid w:val="00DF52D5"/>
    <w:rsid w:val="00DF53AA"/>
    <w:rsid w:val="00DF5475"/>
    <w:rsid w:val="00DF56DD"/>
    <w:rsid w:val="00DF56EB"/>
    <w:rsid w:val="00DF5841"/>
    <w:rsid w:val="00DF586E"/>
    <w:rsid w:val="00DF588B"/>
    <w:rsid w:val="00DF5ADE"/>
    <w:rsid w:val="00DF5AE6"/>
    <w:rsid w:val="00DF5CAB"/>
    <w:rsid w:val="00DF5D73"/>
    <w:rsid w:val="00DF6106"/>
    <w:rsid w:val="00DF6165"/>
    <w:rsid w:val="00DF6188"/>
    <w:rsid w:val="00DF62AC"/>
    <w:rsid w:val="00DF6317"/>
    <w:rsid w:val="00DF63B7"/>
    <w:rsid w:val="00DF6426"/>
    <w:rsid w:val="00DF6670"/>
    <w:rsid w:val="00DF676F"/>
    <w:rsid w:val="00DF67DA"/>
    <w:rsid w:val="00DF67EE"/>
    <w:rsid w:val="00DF68A7"/>
    <w:rsid w:val="00DF6948"/>
    <w:rsid w:val="00DF6A10"/>
    <w:rsid w:val="00DF6A78"/>
    <w:rsid w:val="00DF6AEF"/>
    <w:rsid w:val="00DF6B38"/>
    <w:rsid w:val="00DF6B48"/>
    <w:rsid w:val="00DF6C72"/>
    <w:rsid w:val="00DF6D02"/>
    <w:rsid w:val="00DF6D41"/>
    <w:rsid w:val="00DF6D65"/>
    <w:rsid w:val="00DF6D78"/>
    <w:rsid w:val="00DF6D7C"/>
    <w:rsid w:val="00DF6E18"/>
    <w:rsid w:val="00DF6E41"/>
    <w:rsid w:val="00DF7127"/>
    <w:rsid w:val="00DF7179"/>
    <w:rsid w:val="00DF72E4"/>
    <w:rsid w:val="00DF7328"/>
    <w:rsid w:val="00DF73ED"/>
    <w:rsid w:val="00DF75AF"/>
    <w:rsid w:val="00DF75D9"/>
    <w:rsid w:val="00DF7671"/>
    <w:rsid w:val="00DF7695"/>
    <w:rsid w:val="00DF7821"/>
    <w:rsid w:val="00DF7850"/>
    <w:rsid w:val="00DF787E"/>
    <w:rsid w:val="00DF78F0"/>
    <w:rsid w:val="00DF7930"/>
    <w:rsid w:val="00DF7A5F"/>
    <w:rsid w:val="00DF7AA4"/>
    <w:rsid w:val="00DF7C16"/>
    <w:rsid w:val="00DF7C25"/>
    <w:rsid w:val="00DF7C28"/>
    <w:rsid w:val="00DF7C40"/>
    <w:rsid w:val="00DF7E51"/>
    <w:rsid w:val="00DF7ECE"/>
    <w:rsid w:val="00DF7F81"/>
    <w:rsid w:val="00E0004E"/>
    <w:rsid w:val="00E0014D"/>
    <w:rsid w:val="00E001F7"/>
    <w:rsid w:val="00E00398"/>
    <w:rsid w:val="00E0050C"/>
    <w:rsid w:val="00E005E1"/>
    <w:rsid w:val="00E0072C"/>
    <w:rsid w:val="00E00749"/>
    <w:rsid w:val="00E00906"/>
    <w:rsid w:val="00E0097B"/>
    <w:rsid w:val="00E009B7"/>
    <w:rsid w:val="00E00A73"/>
    <w:rsid w:val="00E00B01"/>
    <w:rsid w:val="00E00B38"/>
    <w:rsid w:val="00E00B4E"/>
    <w:rsid w:val="00E00DC1"/>
    <w:rsid w:val="00E00DE4"/>
    <w:rsid w:val="00E00E8B"/>
    <w:rsid w:val="00E00EDF"/>
    <w:rsid w:val="00E010DE"/>
    <w:rsid w:val="00E010E5"/>
    <w:rsid w:val="00E011F0"/>
    <w:rsid w:val="00E012F6"/>
    <w:rsid w:val="00E0139D"/>
    <w:rsid w:val="00E0139E"/>
    <w:rsid w:val="00E01450"/>
    <w:rsid w:val="00E014B0"/>
    <w:rsid w:val="00E014D8"/>
    <w:rsid w:val="00E014DE"/>
    <w:rsid w:val="00E01576"/>
    <w:rsid w:val="00E0159F"/>
    <w:rsid w:val="00E01686"/>
    <w:rsid w:val="00E016CA"/>
    <w:rsid w:val="00E0199D"/>
    <w:rsid w:val="00E019D0"/>
    <w:rsid w:val="00E019E9"/>
    <w:rsid w:val="00E01B1D"/>
    <w:rsid w:val="00E01D6A"/>
    <w:rsid w:val="00E01FAE"/>
    <w:rsid w:val="00E02261"/>
    <w:rsid w:val="00E023FC"/>
    <w:rsid w:val="00E02442"/>
    <w:rsid w:val="00E024BD"/>
    <w:rsid w:val="00E025EC"/>
    <w:rsid w:val="00E026A8"/>
    <w:rsid w:val="00E02723"/>
    <w:rsid w:val="00E02771"/>
    <w:rsid w:val="00E02886"/>
    <w:rsid w:val="00E02889"/>
    <w:rsid w:val="00E028AF"/>
    <w:rsid w:val="00E0294D"/>
    <w:rsid w:val="00E02AAA"/>
    <w:rsid w:val="00E02B89"/>
    <w:rsid w:val="00E02C55"/>
    <w:rsid w:val="00E02C65"/>
    <w:rsid w:val="00E02D34"/>
    <w:rsid w:val="00E02D64"/>
    <w:rsid w:val="00E02F35"/>
    <w:rsid w:val="00E02F7D"/>
    <w:rsid w:val="00E03091"/>
    <w:rsid w:val="00E030D8"/>
    <w:rsid w:val="00E03193"/>
    <w:rsid w:val="00E03470"/>
    <w:rsid w:val="00E03476"/>
    <w:rsid w:val="00E0350D"/>
    <w:rsid w:val="00E035E3"/>
    <w:rsid w:val="00E0361F"/>
    <w:rsid w:val="00E03738"/>
    <w:rsid w:val="00E03774"/>
    <w:rsid w:val="00E037A7"/>
    <w:rsid w:val="00E0389F"/>
    <w:rsid w:val="00E039BB"/>
    <w:rsid w:val="00E03AA2"/>
    <w:rsid w:val="00E03B66"/>
    <w:rsid w:val="00E03C49"/>
    <w:rsid w:val="00E03C5D"/>
    <w:rsid w:val="00E03C60"/>
    <w:rsid w:val="00E03D17"/>
    <w:rsid w:val="00E03FEF"/>
    <w:rsid w:val="00E040DE"/>
    <w:rsid w:val="00E0416E"/>
    <w:rsid w:val="00E041AC"/>
    <w:rsid w:val="00E042AD"/>
    <w:rsid w:val="00E043ED"/>
    <w:rsid w:val="00E04499"/>
    <w:rsid w:val="00E044D3"/>
    <w:rsid w:val="00E0450B"/>
    <w:rsid w:val="00E045D1"/>
    <w:rsid w:val="00E046CC"/>
    <w:rsid w:val="00E04744"/>
    <w:rsid w:val="00E04780"/>
    <w:rsid w:val="00E048ED"/>
    <w:rsid w:val="00E04A11"/>
    <w:rsid w:val="00E04AB5"/>
    <w:rsid w:val="00E04BE3"/>
    <w:rsid w:val="00E04F63"/>
    <w:rsid w:val="00E04F67"/>
    <w:rsid w:val="00E0503C"/>
    <w:rsid w:val="00E05050"/>
    <w:rsid w:val="00E0510B"/>
    <w:rsid w:val="00E052F2"/>
    <w:rsid w:val="00E0531D"/>
    <w:rsid w:val="00E05326"/>
    <w:rsid w:val="00E05465"/>
    <w:rsid w:val="00E054F9"/>
    <w:rsid w:val="00E05654"/>
    <w:rsid w:val="00E05708"/>
    <w:rsid w:val="00E0570D"/>
    <w:rsid w:val="00E05718"/>
    <w:rsid w:val="00E0576C"/>
    <w:rsid w:val="00E05865"/>
    <w:rsid w:val="00E0591B"/>
    <w:rsid w:val="00E05B60"/>
    <w:rsid w:val="00E05D70"/>
    <w:rsid w:val="00E05DF8"/>
    <w:rsid w:val="00E060B8"/>
    <w:rsid w:val="00E062E6"/>
    <w:rsid w:val="00E063F9"/>
    <w:rsid w:val="00E063FB"/>
    <w:rsid w:val="00E0675E"/>
    <w:rsid w:val="00E068E7"/>
    <w:rsid w:val="00E0690B"/>
    <w:rsid w:val="00E06A27"/>
    <w:rsid w:val="00E06C51"/>
    <w:rsid w:val="00E06C80"/>
    <w:rsid w:val="00E06CEC"/>
    <w:rsid w:val="00E07024"/>
    <w:rsid w:val="00E07092"/>
    <w:rsid w:val="00E0711B"/>
    <w:rsid w:val="00E072A4"/>
    <w:rsid w:val="00E073E6"/>
    <w:rsid w:val="00E07439"/>
    <w:rsid w:val="00E0766A"/>
    <w:rsid w:val="00E076A7"/>
    <w:rsid w:val="00E077C7"/>
    <w:rsid w:val="00E077EF"/>
    <w:rsid w:val="00E078AB"/>
    <w:rsid w:val="00E07B3A"/>
    <w:rsid w:val="00E07B47"/>
    <w:rsid w:val="00E07B54"/>
    <w:rsid w:val="00E07BE4"/>
    <w:rsid w:val="00E07C11"/>
    <w:rsid w:val="00E07E94"/>
    <w:rsid w:val="00E07EBF"/>
    <w:rsid w:val="00E07ED4"/>
    <w:rsid w:val="00E07F65"/>
    <w:rsid w:val="00E07F81"/>
    <w:rsid w:val="00E07FCF"/>
    <w:rsid w:val="00E0C10E"/>
    <w:rsid w:val="00E100A4"/>
    <w:rsid w:val="00E100C8"/>
    <w:rsid w:val="00E1011B"/>
    <w:rsid w:val="00E10143"/>
    <w:rsid w:val="00E101FF"/>
    <w:rsid w:val="00E1023F"/>
    <w:rsid w:val="00E10241"/>
    <w:rsid w:val="00E10308"/>
    <w:rsid w:val="00E104B0"/>
    <w:rsid w:val="00E10612"/>
    <w:rsid w:val="00E10637"/>
    <w:rsid w:val="00E106F4"/>
    <w:rsid w:val="00E106FD"/>
    <w:rsid w:val="00E10786"/>
    <w:rsid w:val="00E107A4"/>
    <w:rsid w:val="00E107CA"/>
    <w:rsid w:val="00E109D2"/>
    <w:rsid w:val="00E11020"/>
    <w:rsid w:val="00E11025"/>
    <w:rsid w:val="00E110D0"/>
    <w:rsid w:val="00E11133"/>
    <w:rsid w:val="00E1130E"/>
    <w:rsid w:val="00E1132F"/>
    <w:rsid w:val="00E11403"/>
    <w:rsid w:val="00E11501"/>
    <w:rsid w:val="00E1153B"/>
    <w:rsid w:val="00E1158E"/>
    <w:rsid w:val="00E11784"/>
    <w:rsid w:val="00E11859"/>
    <w:rsid w:val="00E1187A"/>
    <w:rsid w:val="00E1187E"/>
    <w:rsid w:val="00E11A6B"/>
    <w:rsid w:val="00E11B14"/>
    <w:rsid w:val="00E11BDF"/>
    <w:rsid w:val="00E11C52"/>
    <w:rsid w:val="00E11D59"/>
    <w:rsid w:val="00E11DFC"/>
    <w:rsid w:val="00E11E79"/>
    <w:rsid w:val="00E11F0D"/>
    <w:rsid w:val="00E1200A"/>
    <w:rsid w:val="00E12191"/>
    <w:rsid w:val="00E123D1"/>
    <w:rsid w:val="00E124C1"/>
    <w:rsid w:val="00E125C0"/>
    <w:rsid w:val="00E125CA"/>
    <w:rsid w:val="00E125DF"/>
    <w:rsid w:val="00E126B6"/>
    <w:rsid w:val="00E126C5"/>
    <w:rsid w:val="00E1277E"/>
    <w:rsid w:val="00E127C3"/>
    <w:rsid w:val="00E12808"/>
    <w:rsid w:val="00E128B1"/>
    <w:rsid w:val="00E12AA2"/>
    <w:rsid w:val="00E12AB0"/>
    <w:rsid w:val="00E12B45"/>
    <w:rsid w:val="00E12BFE"/>
    <w:rsid w:val="00E12C36"/>
    <w:rsid w:val="00E12D47"/>
    <w:rsid w:val="00E12DD4"/>
    <w:rsid w:val="00E13042"/>
    <w:rsid w:val="00E1305D"/>
    <w:rsid w:val="00E130A2"/>
    <w:rsid w:val="00E13104"/>
    <w:rsid w:val="00E1315C"/>
    <w:rsid w:val="00E131B5"/>
    <w:rsid w:val="00E13250"/>
    <w:rsid w:val="00E13441"/>
    <w:rsid w:val="00E13485"/>
    <w:rsid w:val="00E1352B"/>
    <w:rsid w:val="00E1363D"/>
    <w:rsid w:val="00E13665"/>
    <w:rsid w:val="00E1373C"/>
    <w:rsid w:val="00E138B0"/>
    <w:rsid w:val="00E139C3"/>
    <w:rsid w:val="00E139CE"/>
    <w:rsid w:val="00E13B11"/>
    <w:rsid w:val="00E13CB4"/>
    <w:rsid w:val="00E13CF9"/>
    <w:rsid w:val="00E13E00"/>
    <w:rsid w:val="00E13F60"/>
    <w:rsid w:val="00E13F9E"/>
    <w:rsid w:val="00E14149"/>
    <w:rsid w:val="00E14171"/>
    <w:rsid w:val="00E14193"/>
    <w:rsid w:val="00E14209"/>
    <w:rsid w:val="00E14254"/>
    <w:rsid w:val="00E14280"/>
    <w:rsid w:val="00E14338"/>
    <w:rsid w:val="00E1453F"/>
    <w:rsid w:val="00E1476B"/>
    <w:rsid w:val="00E14794"/>
    <w:rsid w:val="00E147BF"/>
    <w:rsid w:val="00E14D84"/>
    <w:rsid w:val="00E14D9C"/>
    <w:rsid w:val="00E14DA3"/>
    <w:rsid w:val="00E14EAE"/>
    <w:rsid w:val="00E151E6"/>
    <w:rsid w:val="00E15242"/>
    <w:rsid w:val="00E153D2"/>
    <w:rsid w:val="00E1553F"/>
    <w:rsid w:val="00E15673"/>
    <w:rsid w:val="00E15706"/>
    <w:rsid w:val="00E158E4"/>
    <w:rsid w:val="00E159A1"/>
    <w:rsid w:val="00E159C8"/>
    <w:rsid w:val="00E15A45"/>
    <w:rsid w:val="00E15B16"/>
    <w:rsid w:val="00E15BF0"/>
    <w:rsid w:val="00E15CEC"/>
    <w:rsid w:val="00E15D96"/>
    <w:rsid w:val="00E15DE8"/>
    <w:rsid w:val="00E15F9B"/>
    <w:rsid w:val="00E1605C"/>
    <w:rsid w:val="00E16241"/>
    <w:rsid w:val="00E1624F"/>
    <w:rsid w:val="00E16251"/>
    <w:rsid w:val="00E162CA"/>
    <w:rsid w:val="00E162DB"/>
    <w:rsid w:val="00E1646E"/>
    <w:rsid w:val="00E16493"/>
    <w:rsid w:val="00E164D9"/>
    <w:rsid w:val="00E1657C"/>
    <w:rsid w:val="00E1669E"/>
    <w:rsid w:val="00E16704"/>
    <w:rsid w:val="00E16732"/>
    <w:rsid w:val="00E16759"/>
    <w:rsid w:val="00E16832"/>
    <w:rsid w:val="00E16859"/>
    <w:rsid w:val="00E16976"/>
    <w:rsid w:val="00E169FB"/>
    <w:rsid w:val="00E16DAB"/>
    <w:rsid w:val="00E16E0F"/>
    <w:rsid w:val="00E16F1B"/>
    <w:rsid w:val="00E16F95"/>
    <w:rsid w:val="00E17062"/>
    <w:rsid w:val="00E170A8"/>
    <w:rsid w:val="00E1716A"/>
    <w:rsid w:val="00E171FB"/>
    <w:rsid w:val="00E172DB"/>
    <w:rsid w:val="00E173C5"/>
    <w:rsid w:val="00E173D3"/>
    <w:rsid w:val="00E174BF"/>
    <w:rsid w:val="00E1773D"/>
    <w:rsid w:val="00E17823"/>
    <w:rsid w:val="00E1796F"/>
    <w:rsid w:val="00E17C8A"/>
    <w:rsid w:val="00E17D4E"/>
    <w:rsid w:val="00E17D84"/>
    <w:rsid w:val="00E2012F"/>
    <w:rsid w:val="00E2014F"/>
    <w:rsid w:val="00E20161"/>
    <w:rsid w:val="00E20217"/>
    <w:rsid w:val="00E202D7"/>
    <w:rsid w:val="00E204E3"/>
    <w:rsid w:val="00E20795"/>
    <w:rsid w:val="00E2084F"/>
    <w:rsid w:val="00E2093E"/>
    <w:rsid w:val="00E209AA"/>
    <w:rsid w:val="00E20C73"/>
    <w:rsid w:val="00E20D7E"/>
    <w:rsid w:val="00E20D94"/>
    <w:rsid w:val="00E20E2F"/>
    <w:rsid w:val="00E20E4E"/>
    <w:rsid w:val="00E20EE8"/>
    <w:rsid w:val="00E20F77"/>
    <w:rsid w:val="00E21035"/>
    <w:rsid w:val="00E21083"/>
    <w:rsid w:val="00E210B2"/>
    <w:rsid w:val="00E21131"/>
    <w:rsid w:val="00E212E6"/>
    <w:rsid w:val="00E21555"/>
    <w:rsid w:val="00E21598"/>
    <w:rsid w:val="00E215EC"/>
    <w:rsid w:val="00E216C9"/>
    <w:rsid w:val="00E218D7"/>
    <w:rsid w:val="00E21915"/>
    <w:rsid w:val="00E2192B"/>
    <w:rsid w:val="00E21E50"/>
    <w:rsid w:val="00E21EDC"/>
    <w:rsid w:val="00E220B6"/>
    <w:rsid w:val="00E22104"/>
    <w:rsid w:val="00E22347"/>
    <w:rsid w:val="00E223CD"/>
    <w:rsid w:val="00E2246F"/>
    <w:rsid w:val="00E2253B"/>
    <w:rsid w:val="00E225E5"/>
    <w:rsid w:val="00E226B3"/>
    <w:rsid w:val="00E22788"/>
    <w:rsid w:val="00E2278F"/>
    <w:rsid w:val="00E227D6"/>
    <w:rsid w:val="00E227DA"/>
    <w:rsid w:val="00E2287E"/>
    <w:rsid w:val="00E228D1"/>
    <w:rsid w:val="00E22BDF"/>
    <w:rsid w:val="00E2312E"/>
    <w:rsid w:val="00E231BC"/>
    <w:rsid w:val="00E233A3"/>
    <w:rsid w:val="00E234C6"/>
    <w:rsid w:val="00E235B8"/>
    <w:rsid w:val="00E2366E"/>
    <w:rsid w:val="00E236AF"/>
    <w:rsid w:val="00E23746"/>
    <w:rsid w:val="00E237CE"/>
    <w:rsid w:val="00E23849"/>
    <w:rsid w:val="00E2394D"/>
    <w:rsid w:val="00E23C01"/>
    <w:rsid w:val="00E23C27"/>
    <w:rsid w:val="00E23C84"/>
    <w:rsid w:val="00E23E56"/>
    <w:rsid w:val="00E23E5D"/>
    <w:rsid w:val="00E23EA9"/>
    <w:rsid w:val="00E23F38"/>
    <w:rsid w:val="00E23FAD"/>
    <w:rsid w:val="00E240CD"/>
    <w:rsid w:val="00E2416E"/>
    <w:rsid w:val="00E241DA"/>
    <w:rsid w:val="00E24257"/>
    <w:rsid w:val="00E24356"/>
    <w:rsid w:val="00E2441B"/>
    <w:rsid w:val="00E24819"/>
    <w:rsid w:val="00E24949"/>
    <w:rsid w:val="00E24AB8"/>
    <w:rsid w:val="00E24B2D"/>
    <w:rsid w:val="00E24C2A"/>
    <w:rsid w:val="00E24CBE"/>
    <w:rsid w:val="00E24CF8"/>
    <w:rsid w:val="00E24D82"/>
    <w:rsid w:val="00E24F1C"/>
    <w:rsid w:val="00E24FA8"/>
    <w:rsid w:val="00E2500D"/>
    <w:rsid w:val="00E25016"/>
    <w:rsid w:val="00E2501B"/>
    <w:rsid w:val="00E25061"/>
    <w:rsid w:val="00E2516D"/>
    <w:rsid w:val="00E251E5"/>
    <w:rsid w:val="00E253E7"/>
    <w:rsid w:val="00E255B9"/>
    <w:rsid w:val="00E2569A"/>
    <w:rsid w:val="00E2570D"/>
    <w:rsid w:val="00E2595B"/>
    <w:rsid w:val="00E259E9"/>
    <w:rsid w:val="00E25A0D"/>
    <w:rsid w:val="00E25A86"/>
    <w:rsid w:val="00E25B10"/>
    <w:rsid w:val="00E25EB6"/>
    <w:rsid w:val="00E25EF9"/>
    <w:rsid w:val="00E25F76"/>
    <w:rsid w:val="00E26036"/>
    <w:rsid w:val="00E26061"/>
    <w:rsid w:val="00E26483"/>
    <w:rsid w:val="00E26511"/>
    <w:rsid w:val="00E2658F"/>
    <w:rsid w:val="00E26743"/>
    <w:rsid w:val="00E2675A"/>
    <w:rsid w:val="00E2679E"/>
    <w:rsid w:val="00E268A1"/>
    <w:rsid w:val="00E26AE8"/>
    <w:rsid w:val="00E26CA9"/>
    <w:rsid w:val="00E26EBF"/>
    <w:rsid w:val="00E26F60"/>
    <w:rsid w:val="00E26F93"/>
    <w:rsid w:val="00E26FD2"/>
    <w:rsid w:val="00E27068"/>
    <w:rsid w:val="00E27083"/>
    <w:rsid w:val="00E271AB"/>
    <w:rsid w:val="00E27246"/>
    <w:rsid w:val="00E273E4"/>
    <w:rsid w:val="00E27471"/>
    <w:rsid w:val="00E27593"/>
    <w:rsid w:val="00E27622"/>
    <w:rsid w:val="00E2762A"/>
    <w:rsid w:val="00E2789B"/>
    <w:rsid w:val="00E278A4"/>
    <w:rsid w:val="00E27A22"/>
    <w:rsid w:val="00E27ABE"/>
    <w:rsid w:val="00E27AC6"/>
    <w:rsid w:val="00E27B02"/>
    <w:rsid w:val="00E27B13"/>
    <w:rsid w:val="00E27B96"/>
    <w:rsid w:val="00E27C1B"/>
    <w:rsid w:val="00E27EEC"/>
    <w:rsid w:val="00E301E0"/>
    <w:rsid w:val="00E3049A"/>
    <w:rsid w:val="00E304E2"/>
    <w:rsid w:val="00E307FA"/>
    <w:rsid w:val="00E30802"/>
    <w:rsid w:val="00E30828"/>
    <w:rsid w:val="00E3083C"/>
    <w:rsid w:val="00E308D0"/>
    <w:rsid w:val="00E3093D"/>
    <w:rsid w:val="00E309CF"/>
    <w:rsid w:val="00E309F3"/>
    <w:rsid w:val="00E30A46"/>
    <w:rsid w:val="00E30A97"/>
    <w:rsid w:val="00E30B10"/>
    <w:rsid w:val="00E30B7A"/>
    <w:rsid w:val="00E30CE4"/>
    <w:rsid w:val="00E30F45"/>
    <w:rsid w:val="00E310B1"/>
    <w:rsid w:val="00E3113C"/>
    <w:rsid w:val="00E31148"/>
    <w:rsid w:val="00E3125A"/>
    <w:rsid w:val="00E31269"/>
    <w:rsid w:val="00E3129C"/>
    <w:rsid w:val="00E312C2"/>
    <w:rsid w:val="00E312F1"/>
    <w:rsid w:val="00E313B8"/>
    <w:rsid w:val="00E313DF"/>
    <w:rsid w:val="00E31426"/>
    <w:rsid w:val="00E31441"/>
    <w:rsid w:val="00E31444"/>
    <w:rsid w:val="00E3154A"/>
    <w:rsid w:val="00E315D6"/>
    <w:rsid w:val="00E316C1"/>
    <w:rsid w:val="00E316CD"/>
    <w:rsid w:val="00E3181A"/>
    <w:rsid w:val="00E31847"/>
    <w:rsid w:val="00E3185F"/>
    <w:rsid w:val="00E31874"/>
    <w:rsid w:val="00E31B01"/>
    <w:rsid w:val="00E31B44"/>
    <w:rsid w:val="00E31B55"/>
    <w:rsid w:val="00E31DA8"/>
    <w:rsid w:val="00E31E07"/>
    <w:rsid w:val="00E31F8A"/>
    <w:rsid w:val="00E31FE1"/>
    <w:rsid w:val="00E3201F"/>
    <w:rsid w:val="00E320D4"/>
    <w:rsid w:val="00E32138"/>
    <w:rsid w:val="00E3213B"/>
    <w:rsid w:val="00E32370"/>
    <w:rsid w:val="00E3245C"/>
    <w:rsid w:val="00E326EE"/>
    <w:rsid w:val="00E326F9"/>
    <w:rsid w:val="00E328D1"/>
    <w:rsid w:val="00E32ABE"/>
    <w:rsid w:val="00E32BEB"/>
    <w:rsid w:val="00E32C56"/>
    <w:rsid w:val="00E32C8B"/>
    <w:rsid w:val="00E32C96"/>
    <w:rsid w:val="00E32CFB"/>
    <w:rsid w:val="00E32D22"/>
    <w:rsid w:val="00E32F57"/>
    <w:rsid w:val="00E32F62"/>
    <w:rsid w:val="00E333DA"/>
    <w:rsid w:val="00E33509"/>
    <w:rsid w:val="00E33545"/>
    <w:rsid w:val="00E33567"/>
    <w:rsid w:val="00E336EB"/>
    <w:rsid w:val="00E3371E"/>
    <w:rsid w:val="00E33860"/>
    <w:rsid w:val="00E33898"/>
    <w:rsid w:val="00E33953"/>
    <w:rsid w:val="00E33A65"/>
    <w:rsid w:val="00E33A9C"/>
    <w:rsid w:val="00E33AAB"/>
    <w:rsid w:val="00E33B2B"/>
    <w:rsid w:val="00E33BB9"/>
    <w:rsid w:val="00E33D1B"/>
    <w:rsid w:val="00E33FB7"/>
    <w:rsid w:val="00E34221"/>
    <w:rsid w:val="00E34230"/>
    <w:rsid w:val="00E342C7"/>
    <w:rsid w:val="00E34335"/>
    <w:rsid w:val="00E34413"/>
    <w:rsid w:val="00E3442C"/>
    <w:rsid w:val="00E344FD"/>
    <w:rsid w:val="00E345C5"/>
    <w:rsid w:val="00E346DE"/>
    <w:rsid w:val="00E34723"/>
    <w:rsid w:val="00E34793"/>
    <w:rsid w:val="00E347DB"/>
    <w:rsid w:val="00E3484A"/>
    <w:rsid w:val="00E34890"/>
    <w:rsid w:val="00E34ABE"/>
    <w:rsid w:val="00E34AC2"/>
    <w:rsid w:val="00E34BAD"/>
    <w:rsid w:val="00E34DA9"/>
    <w:rsid w:val="00E34DF9"/>
    <w:rsid w:val="00E34E5A"/>
    <w:rsid w:val="00E35060"/>
    <w:rsid w:val="00E35169"/>
    <w:rsid w:val="00E35174"/>
    <w:rsid w:val="00E35237"/>
    <w:rsid w:val="00E3537E"/>
    <w:rsid w:val="00E3539F"/>
    <w:rsid w:val="00E3542D"/>
    <w:rsid w:val="00E35708"/>
    <w:rsid w:val="00E3571F"/>
    <w:rsid w:val="00E35743"/>
    <w:rsid w:val="00E35790"/>
    <w:rsid w:val="00E35B77"/>
    <w:rsid w:val="00E35D59"/>
    <w:rsid w:val="00E35E80"/>
    <w:rsid w:val="00E35EC1"/>
    <w:rsid w:val="00E35F24"/>
    <w:rsid w:val="00E35F4C"/>
    <w:rsid w:val="00E35F6C"/>
    <w:rsid w:val="00E35FAB"/>
    <w:rsid w:val="00E3624C"/>
    <w:rsid w:val="00E362C0"/>
    <w:rsid w:val="00E36309"/>
    <w:rsid w:val="00E3633C"/>
    <w:rsid w:val="00E36343"/>
    <w:rsid w:val="00E36451"/>
    <w:rsid w:val="00E3677C"/>
    <w:rsid w:val="00E367BA"/>
    <w:rsid w:val="00E3680C"/>
    <w:rsid w:val="00E369D6"/>
    <w:rsid w:val="00E369EF"/>
    <w:rsid w:val="00E36D0A"/>
    <w:rsid w:val="00E36F0D"/>
    <w:rsid w:val="00E370AD"/>
    <w:rsid w:val="00E3716D"/>
    <w:rsid w:val="00E373CF"/>
    <w:rsid w:val="00E3749B"/>
    <w:rsid w:val="00E3749F"/>
    <w:rsid w:val="00E37626"/>
    <w:rsid w:val="00E3781F"/>
    <w:rsid w:val="00E37933"/>
    <w:rsid w:val="00E379EF"/>
    <w:rsid w:val="00E37CB9"/>
    <w:rsid w:val="00E37D2E"/>
    <w:rsid w:val="00E37EAD"/>
    <w:rsid w:val="00E4008C"/>
    <w:rsid w:val="00E400DA"/>
    <w:rsid w:val="00E4012F"/>
    <w:rsid w:val="00E4026B"/>
    <w:rsid w:val="00E4032D"/>
    <w:rsid w:val="00E4051B"/>
    <w:rsid w:val="00E40552"/>
    <w:rsid w:val="00E405B2"/>
    <w:rsid w:val="00E4068E"/>
    <w:rsid w:val="00E4076E"/>
    <w:rsid w:val="00E40906"/>
    <w:rsid w:val="00E40973"/>
    <w:rsid w:val="00E40A0B"/>
    <w:rsid w:val="00E40A35"/>
    <w:rsid w:val="00E40A63"/>
    <w:rsid w:val="00E40A83"/>
    <w:rsid w:val="00E40C25"/>
    <w:rsid w:val="00E40C45"/>
    <w:rsid w:val="00E40E0E"/>
    <w:rsid w:val="00E4102C"/>
    <w:rsid w:val="00E411E9"/>
    <w:rsid w:val="00E41202"/>
    <w:rsid w:val="00E41250"/>
    <w:rsid w:val="00E4128C"/>
    <w:rsid w:val="00E41552"/>
    <w:rsid w:val="00E41959"/>
    <w:rsid w:val="00E419A3"/>
    <w:rsid w:val="00E41AB3"/>
    <w:rsid w:val="00E41B1A"/>
    <w:rsid w:val="00E41B8F"/>
    <w:rsid w:val="00E41DC9"/>
    <w:rsid w:val="00E41E1D"/>
    <w:rsid w:val="00E41ED1"/>
    <w:rsid w:val="00E41ED5"/>
    <w:rsid w:val="00E41F3A"/>
    <w:rsid w:val="00E41F4C"/>
    <w:rsid w:val="00E42235"/>
    <w:rsid w:val="00E4232F"/>
    <w:rsid w:val="00E42345"/>
    <w:rsid w:val="00E423FF"/>
    <w:rsid w:val="00E42414"/>
    <w:rsid w:val="00E4258B"/>
    <w:rsid w:val="00E42637"/>
    <w:rsid w:val="00E42755"/>
    <w:rsid w:val="00E42A23"/>
    <w:rsid w:val="00E42A81"/>
    <w:rsid w:val="00E432FD"/>
    <w:rsid w:val="00E43362"/>
    <w:rsid w:val="00E433D1"/>
    <w:rsid w:val="00E43418"/>
    <w:rsid w:val="00E4357D"/>
    <w:rsid w:val="00E435FF"/>
    <w:rsid w:val="00E4361D"/>
    <w:rsid w:val="00E43709"/>
    <w:rsid w:val="00E43A33"/>
    <w:rsid w:val="00E43B0D"/>
    <w:rsid w:val="00E43B7D"/>
    <w:rsid w:val="00E43C53"/>
    <w:rsid w:val="00E43D42"/>
    <w:rsid w:val="00E43DBE"/>
    <w:rsid w:val="00E43DCB"/>
    <w:rsid w:val="00E43FC3"/>
    <w:rsid w:val="00E44074"/>
    <w:rsid w:val="00E4416A"/>
    <w:rsid w:val="00E441BC"/>
    <w:rsid w:val="00E4425B"/>
    <w:rsid w:val="00E44287"/>
    <w:rsid w:val="00E44360"/>
    <w:rsid w:val="00E443EB"/>
    <w:rsid w:val="00E444DE"/>
    <w:rsid w:val="00E445A8"/>
    <w:rsid w:val="00E44650"/>
    <w:rsid w:val="00E446C3"/>
    <w:rsid w:val="00E44915"/>
    <w:rsid w:val="00E44A67"/>
    <w:rsid w:val="00E44A91"/>
    <w:rsid w:val="00E44B14"/>
    <w:rsid w:val="00E44B55"/>
    <w:rsid w:val="00E44C7D"/>
    <w:rsid w:val="00E44E2F"/>
    <w:rsid w:val="00E44E52"/>
    <w:rsid w:val="00E44EC2"/>
    <w:rsid w:val="00E44EC4"/>
    <w:rsid w:val="00E44ECE"/>
    <w:rsid w:val="00E450B5"/>
    <w:rsid w:val="00E450CE"/>
    <w:rsid w:val="00E45174"/>
    <w:rsid w:val="00E451D9"/>
    <w:rsid w:val="00E452CE"/>
    <w:rsid w:val="00E452D9"/>
    <w:rsid w:val="00E45302"/>
    <w:rsid w:val="00E4546A"/>
    <w:rsid w:val="00E4557E"/>
    <w:rsid w:val="00E455BC"/>
    <w:rsid w:val="00E456AF"/>
    <w:rsid w:val="00E456C2"/>
    <w:rsid w:val="00E45768"/>
    <w:rsid w:val="00E4577D"/>
    <w:rsid w:val="00E45836"/>
    <w:rsid w:val="00E45863"/>
    <w:rsid w:val="00E45B25"/>
    <w:rsid w:val="00E45B76"/>
    <w:rsid w:val="00E45B8E"/>
    <w:rsid w:val="00E45C17"/>
    <w:rsid w:val="00E45DCC"/>
    <w:rsid w:val="00E45E63"/>
    <w:rsid w:val="00E45EBA"/>
    <w:rsid w:val="00E45FDB"/>
    <w:rsid w:val="00E46012"/>
    <w:rsid w:val="00E4624C"/>
    <w:rsid w:val="00E4635D"/>
    <w:rsid w:val="00E463AD"/>
    <w:rsid w:val="00E464D7"/>
    <w:rsid w:val="00E46531"/>
    <w:rsid w:val="00E46639"/>
    <w:rsid w:val="00E4668F"/>
    <w:rsid w:val="00E466A5"/>
    <w:rsid w:val="00E466D0"/>
    <w:rsid w:val="00E46709"/>
    <w:rsid w:val="00E46931"/>
    <w:rsid w:val="00E469D3"/>
    <w:rsid w:val="00E46A5B"/>
    <w:rsid w:val="00E46AB2"/>
    <w:rsid w:val="00E47102"/>
    <w:rsid w:val="00E47147"/>
    <w:rsid w:val="00E471D3"/>
    <w:rsid w:val="00E4723E"/>
    <w:rsid w:val="00E4725F"/>
    <w:rsid w:val="00E4728F"/>
    <w:rsid w:val="00E47519"/>
    <w:rsid w:val="00E4795A"/>
    <w:rsid w:val="00E4795B"/>
    <w:rsid w:val="00E47A6C"/>
    <w:rsid w:val="00E47B24"/>
    <w:rsid w:val="00E47B6B"/>
    <w:rsid w:val="00E47FB9"/>
    <w:rsid w:val="00E500C8"/>
    <w:rsid w:val="00E50127"/>
    <w:rsid w:val="00E5012A"/>
    <w:rsid w:val="00E5024D"/>
    <w:rsid w:val="00E5037C"/>
    <w:rsid w:val="00E503A4"/>
    <w:rsid w:val="00E504D9"/>
    <w:rsid w:val="00E50514"/>
    <w:rsid w:val="00E505B2"/>
    <w:rsid w:val="00E5066A"/>
    <w:rsid w:val="00E506B6"/>
    <w:rsid w:val="00E50733"/>
    <w:rsid w:val="00E509C4"/>
    <w:rsid w:val="00E50DE2"/>
    <w:rsid w:val="00E50ED2"/>
    <w:rsid w:val="00E50ED6"/>
    <w:rsid w:val="00E50F8A"/>
    <w:rsid w:val="00E510FE"/>
    <w:rsid w:val="00E5116A"/>
    <w:rsid w:val="00E51215"/>
    <w:rsid w:val="00E51274"/>
    <w:rsid w:val="00E51561"/>
    <w:rsid w:val="00E5158C"/>
    <w:rsid w:val="00E5169B"/>
    <w:rsid w:val="00E516BA"/>
    <w:rsid w:val="00E51700"/>
    <w:rsid w:val="00E51B59"/>
    <w:rsid w:val="00E51BC2"/>
    <w:rsid w:val="00E51C91"/>
    <w:rsid w:val="00E52022"/>
    <w:rsid w:val="00E52137"/>
    <w:rsid w:val="00E52178"/>
    <w:rsid w:val="00E521B9"/>
    <w:rsid w:val="00E522FE"/>
    <w:rsid w:val="00E5244C"/>
    <w:rsid w:val="00E525D1"/>
    <w:rsid w:val="00E525E4"/>
    <w:rsid w:val="00E525E7"/>
    <w:rsid w:val="00E5260D"/>
    <w:rsid w:val="00E5278E"/>
    <w:rsid w:val="00E527AA"/>
    <w:rsid w:val="00E52A20"/>
    <w:rsid w:val="00E52A78"/>
    <w:rsid w:val="00E52B0F"/>
    <w:rsid w:val="00E52C24"/>
    <w:rsid w:val="00E52F57"/>
    <w:rsid w:val="00E52F84"/>
    <w:rsid w:val="00E52F95"/>
    <w:rsid w:val="00E530EC"/>
    <w:rsid w:val="00E5312C"/>
    <w:rsid w:val="00E5319E"/>
    <w:rsid w:val="00E533FB"/>
    <w:rsid w:val="00E534A0"/>
    <w:rsid w:val="00E534C9"/>
    <w:rsid w:val="00E53576"/>
    <w:rsid w:val="00E53623"/>
    <w:rsid w:val="00E5389F"/>
    <w:rsid w:val="00E538E3"/>
    <w:rsid w:val="00E53B2D"/>
    <w:rsid w:val="00E53BA1"/>
    <w:rsid w:val="00E53BC1"/>
    <w:rsid w:val="00E53BF2"/>
    <w:rsid w:val="00E53DC7"/>
    <w:rsid w:val="00E53DDA"/>
    <w:rsid w:val="00E53ECA"/>
    <w:rsid w:val="00E53EF8"/>
    <w:rsid w:val="00E53FDA"/>
    <w:rsid w:val="00E5407E"/>
    <w:rsid w:val="00E540A8"/>
    <w:rsid w:val="00E54180"/>
    <w:rsid w:val="00E54230"/>
    <w:rsid w:val="00E54403"/>
    <w:rsid w:val="00E544F0"/>
    <w:rsid w:val="00E545ED"/>
    <w:rsid w:val="00E54715"/>
    <w:rsid w:val="00E5475B"/>
    <w:rsid w:val="00E547AF"/>
    <w:rsid w:val="00E547C6"/>
    <w:rsid w:val="00E547D6"/>
    <w:rsid w:val="00E54851"/>
    <w:rsid w:val="00E5489C"/>
    <w:rsid w:val="00E54AFB"/>
    <w:rsid w:val="00E54B68"/>
    <w:rsid w:val="00E54D2B"/>
    <w:rsid w:val="00E54DE9"/>
    <w:rsid w:val="00E54E3E"/>
    <w:rsid w:val="00E550F8"/>
    <w:rsid w:val="00E55120"/>
    <w:rsid w:val="00E551BE"/>
    <w:rsid w:val="00E55273"/>
    <w:rsid w:val="00E55313"/>
    <w:rsid w:val="00E55339"/>
    <w:rsid w:val="00E55347"/>
    <w:rsid w:val="00E554D0"/>
    <w:rsid w:val="00E55573"/>
    <w:rsid w:val="00E556AE"/>
    <w:rsid w:val="00E55839"/>
    <w:rsid w:val="00E558EB"/>
    <w:rsid w:val="00E5599E"/>
    <w:rsid w:val="00E55A65"/>
    <w:rsid w:val="00E55B37"/>
    <w:rsid w:val="00E55B60"/>
    <w:rsid w:val="00E55BAB"/>
    <w:rsid w:val="00E55C05"/>
    <w:rsid w:val="00E55C24"/>
    <w:rsid w:val="00E55CA7"/>
    <w:rsid w:val="00E55D0C"/>
    <w:rsid w:val="00E55E17"/>
    <w:rsid w:val="00E55FDC"/>
    <w:rsid w:val="00E56006"/>
    <w:rsid w:val="00E56304"/>
    <w:rsid w:val="00E56330"/>
    <w:rsid w:val="00E563DF"/>
    <w:rsid w:val="00E564A9"/>
    <w:rsid w:val="00E564B0"/>
    <w:rsid w:val="00E564D8"/>
    <w:rsid w:val="00E5653C"/>
    <w:rsid w:val="00E567ED"/>
    <w:rsid w:val="00E5682B"/>
    <w:rsid w:val="00E56968"/>
    <w:rsid w:val="00E569A0"/>
    <w:rsid w:val="00E56AD7"/>
    <w:rsid w:val="00E56C3F"/>
    <w:rsid w:val="00E56EDC"/>
    <w:rsid w:val="00E56F40"/>
    <w:rsid w:val="00E56F9F"/>
    <w:rsid w:val="00E56FE2"/>
    <w:rsid w:val="00E57011"/>
    <w:rsid w:val="00E570E3"/>
    <w:rsid w:val="00E571E3"/>
    <w:rsid w:val="00E57214"/>
    <w:rsid w:val="00E572A8"/>
    <w:rsid w:val="00E572E4"/>
    <w:rsid w:val="00E574C0"/>
    <w:rsid w:val="00E57552"/>
    <w:rsid w:val="00E57587"/>
    <w:rsid w:val="00E575FD"/>
    <w:rsid w:val="00E576B1"/>
    <w:rsid w:val="00E57720"/>
    <w:rsid w:val="00E5775E"/>
    <w:rsid w:val="00E5780B"/>
    <w:rsid w:val="00E57813"/>
    <w:rsid w:val="00E57926"/>
    <w:rsid w:val="00E579BA"/>
    <w:rsid w:val="00E57ABE"/>
    <w:rsid w:val="00E57B34"/>
    <w:rsid w:val="00E57B45"/>
    <w:rsid w:val="00E57B5C"/>
    <w:rsid w:val="00E57CBF"/>
    <w:rsid w:val="00E57CFE"/>
    <w:rsid w:val="00E57D98"/>
    <w:rsid w:val="00E57E1C"/>
    <w:rsid w:val="00E57E73"/>
    <w:rsid w:val="00E57FA3"/>
    <w:rsid w:val="00E57FE6"/>
    <w:rsid w:val="00E60016"/>
    <w:rsid w:val="00E60082"/>
    <w:rsid w:val="00E601C2"/>
    <w:rsid w:val="00E601FF"/>
    <w:rsid w:val="00E60231"/>
    <w:rsid w:val="00E602B9"/>
    <w:rsid w:val="00E60478"/>
    <w:rsid w:val="00E604E9"/>
    <w:rsid w:val="00E60527"/>
    <w:rsid w:val="00E60529"/>
    <w:rsid w:val="00E605BE"/>
    <w:rsid w:val="00E60669"/>
    <w:rsid w:val="00E606B4"/>
    <w:rsid w:val="00E60736"/>
    <w:rsid w:val="00E607D4"/>
    <w:rsid w:val="00E608BB"/>
    <w:rsid w:val="00E608D6"/>
    <w:rsid w:val="00E60955"/>
    <w:rsid w:val="00E60A7D"/>
    <w:rsid w:val="00E60B36"/>
    <w:rsid w:val="00E61095"/>
    <w:rsid w:val="00E610F3"/>
    <w:rsid w:val="00E61429"/>
    <w:rsid w:val="00E61469"/>
    <w:rsid w:val="00E614F7"/>
    <w:rsid w:val="00E6168E"/>
    <w:rsid w:val="00E61851"/>
    <w:rsid w:val="00E6197B"/>
    <w:rsid w:val="00E61993"/>
    <w:rsid w:val="00E61B17"/>
    <w:rsid w:val="00E61CEB"/>
    <w:rsid w:val="00E61D2D"/>
    <w:rsid w:val="00E61D51"/>
    <w:rsid w:val="00E61DF8"/>
    <w:rsid w:val="00E61E13"/>
    <w:rsid w:val="00E61FC4"/>
    <w:rsid w:val="00E622C7"/>
    <w:rsid w:val="00E622E0"/>
    <w:rsid w:val="00E62355"/>
    <w:rsid w:val="00E62708"/>
    <w:rsid w:val="00E6278B"/>
    <w:rsid w:val="00E628F5"/>
    <w:rsid w:val="00E62942"/>
    <w:rsid w:val="00E629C5"/>
    <w:rsid w:val="00E629D4"/>
    <w:rsid w:val="00E629DE"/>
    <w:rsid w:val="00E62CE2"/>
    <w:rsid w:val="00E62D4F"/>
    <w:rsid w:val="00E62F0F"/>
    <w:rsid w:val="00E62F42"/>
    <w:rsid w:val="00E62FCE"/>
    <w:rsid w:val="00E630C1"/>
    <w:rsid w:val="00E63218"/>
    <w:rsid w:val="00E6323D"/>
    <w:rsid w:val="00E632FA"/>
    <w:rsid w:val="00E634A8"/>
    <w:rsid w:val="00E63808"/>
    <w:rsid w:val="00E6380C"/>
    <w:rsid w:val="00E63812"/>
    <w:rsid w:val="00E638E3"/>
    <w:rsid w:val="00E639E2"/>
    <w:rsid w:val="00E63B47"/>
    <w:rsid w:val="00E63C2B"/>
    <w:rsid w:val="00E63DC0"/>
    <w:rsid w:val="00E63E6E"/>
    <w:rsid w:val="00E63E8F"/>
    <w:rsid w:val="00E63E99"/>
    <w:rsid w:val="00E63EA9"/>
    <w:rsid w:val="00E63F26"/>
    <w:rsid w:val="00E63FED"/>
    <w:rsid w:val="00E63FF3"/>
    <w:rsid w:val="00E640DB"/>
    <w:rsid w:val="00E6424F"/>
    <w:rsid w:val="00E64257"/>
    <w:rsid w:val="00E64301"/>
    <w:rsid w:val="00E643B8"/>
    <w:rsid w:val="00E64407"/>
    <w:rsid w:val="00E64612"/>
    <w:rsid w:val="00E64668"/>
    <w:rsid w:val="00E648D9"/>
    <w:rsid w:val="00E649E3"/>
    <w:rsid w:val="00E64A4B"/>
    <w:rsid w:val="00E64B87"/>
    <w:rsid w:val="00E64BA7"/>
    <w:rsid w:val="00E64F0D"/>
    <w:rsid w:val="00E65069"/>
    <w:rsid w:val="00E650C9"/>
    <w:rsid w:val="00E650DD"/>
    <w:rsid w:val="00E6530A"/>
    <w:rsid w:val="00E6554F"/>
    <w:rsid w:val="00E65624"/>
    <w:rsid w:val="00E657B4"/>
    <w:rsid w:val="00E6591E"/>
    <w:rsid w:val="00E65933"/>
    <w:rsid w:val="00E659DE"/>
    <w:rsid w:val="00E65B68"/>
    <w:rsid w:val="00E65B98"/>
    <w:rsid w:val="00E65CA0"/>
    <w:rsid w:val="00E65CD2"/>
    <w:rsid w:val="00E65CE8"/>
    <w:rsid w:val="00E65D62"/>
    <w:rsid w:val="00E65D6B"/>
    <w:rsid w:val="00E65DF7"/>
    <w:rsid w:val="00E65F43"/>
    <w:rsid w:val="00E65F6A"/>
    <w:rsid w:val="00E65FB6"/>
    <w:rsid w:val="00E65FED"/>
    <w:rsid w:val="00E65FEE"/>
    <w:rsid w:val="00E6601E"/>
    <w:rsid w:val="00E660FB"/>
    <w:rsid w:val="00E66280"/>
    <w:rsid w:val="00E662C8"/>
    <w:rsid w:val="00E6640A"/>
    <w:rsid w:val="00E6641A"/>
    <w:rsid w:val="00E66569"/>
    <w:rsid w:val="00E665E9"/>
    <w:rsid w:val="00E66726"/>
    <w:rsid w:val="00E6686D"/>
    <w:rsid w:val="00E66990"/>
    <w:rsid w:val="00E66B0E"/>
    <w:rsid w:val="00E66B8D"/>
    <w:rsid w:val="00E66BDD"/>
    <w:rsid w:val="00E66D60"/>
    <w:rsid w:val="00E66D88"/>
    <w:rsid w:val="00E66DDD"/>
    <w:rsid w:val="00E66DF8"/>
    <w:rsid w:val="00E66E5F"/>
    <w:rsid w:val="00E66F2A"/>
    <w:rsid w:val="00E66FE1"/>
    <w:rsid w:val="00E6705C"/>
    <w:rsid w:val="00E67064"/>
    <w:rsid w:val="00E67088"/>
    <w:rsid w:val="00E670D4"/>
    <w:rsid w:val="00E6717C"/>
    <w:rsid w:val="00E6720C"/>
    <w:rsid w:val="00E673D5"/>
    <w:rsid w:val="00E6740B"/>
    <w:rsid w:val="00E6743D"/>
    <w:rsid w:val="00E674D9"/>
    <w:rsid w:val="00E674E7"/>
    <w:rsid w:val="00E6750F"/>
    <w:rsid w:val="00E675DA"/>
    <w:rsid w:val="00E67765"/>
    <w:rsid w:val="00E677D2"/>
    <w:rsid w:val="00E677F0"/>
    <w:rsid w:val="00E6780A"/>
    <w:rsid w:val="00E6781D"/>
    <w:rsid w:val="00E67845"/>
    <w:rsid w:val="00E67A33"/>
    <w:rsid w:val="00E67AB8"/>
    <w:rsid w:val="00E67AF4"/>
    <w:rsid w:val="00E67B19"/>
    <w:rsid w:val="00E67BF2"/>
    <w:rsid w:val="00E67BFA"/>
    <w:rsid w:val="00E67C87"/>
    <w:rsid w:val="00E67D1F"/>
    <w:rsid w:val="00E67D44"/>
    <w:rsid w:val="00E67D9D"/>
    <w:rsid w:val="00E67EA0"/>
    <w:rsid w:val="00E67F16"/>
    <w:rsid w:val="00E6BD59"/>
    <w:rsid w:val="00E7013A"/>
    <w:rsid w:val="00E7015D"/>
    <w:rsid w:val="00E70377"/>
    <w:rsid w:val="00E7037E"/>
    <w:rsid w:val="00E703D6"/>
    <w:rsid w:val="00E7050D"/>
    <w:rsid w:val="00E70586"/>
    <w:rsid w:val="00E70737"/>
    <w:rsid w:val="00E708AE"/>
    <w:rsid w:val="00E70997"/>
    <w:rsid w:val="00E70A87"/>
    <w:rsid w:val="00E70AD6"/>
    <w:rsid w:val="00E70D43"/>
    <w:rsid w:val="00E70E34"/>
    <w:rsid w:val="00E70EE1"/>
    <w:rsid w:val="00E70F08"/>
    <w:rsid w:val="00E70F6E"/>
    <w:rsid w:val="00E70FF1"/>
    <w:rsid w:val="00E710DC"/>
    <w:rsid w:val="00E711AE"/>
    <w:rsid w:val="00E711BF"/>
    <w:rsid w:val="00E71246"/>
    <w:rsid w:val="00E71265"/>
    <w:rsid w:val="00E712F4"/>
    <w:rsid w:val="00E71375"/>
    <w:rsid w:val="00E713A9"/>
    <w:rsid w:val="00E7157D"/>
    <w:rsid w:val="00E71820"/>
    <w:rsid w:val="00E718DF"/>
    <w:rsid w:val="00E719AE"/>
    <w:rsid w:val="00E719CD"/>
    <w:rsid w:val="00E71A61"/>
    <w:rsid w:val="00E71ACF"/>
    <w:rsid w:val="00E71BF4"/>
    <w:rsid w:val="00E71C39"/>
    <w:rsid w:val="00E71C98"/>
    <w:rsid w:val="00E71D82"/>
    <w:rsid w:val="00E71E07"/>
    <w:rsid w:val="00E71E13"/>
    <w:rsid w:val="00E71F46"/>
    <w:rsid w:val="00E71FDE"/>
    <w:rsid w:val="00E720CE"/>
    <w:rsid w:val="00E720D5"/>
    <w:rsid w:val="00E721C9"/>
    <w:rsid w:val="00E721E3"/>
    <w:rsid w:val="00E721FB"/>
    <w:rsid w:val="00E7240C"/>
    <w:rsid w:val="00E72441"/>
    <w:rsid w:val="00E72466"/>
    <w:rsid w:val="00E725F8"/>
    <w:rsid w:val="00E72715"/>
    <w:rsid w:val="00E7272E"/>
    <w:rsid w:val="00E72738"/>
    <w:rsid w:val="00E7287E"/>
    <w:rsid w:val="00E728C9"/>
    <w:rsid w:val="00E7298F"/>
    <w:rsid w:val="00E729BF"/>
    <w:rsid w:val="00E72AAA"/>
    <w:rsid w:val="00E72AE5"/>
    <w:rsid w:val="00E72B48"/>
    <w:rsid w:val="00E72B83"/>
    <w:rsid w:val="00E72BCC"/>
    <w:rsid w:val="00E72C91"/>
    <w:rsid w:val="00E72CDE"/>
    <w:rsid w:val="00E72ECA"/>
    <w:rsid w:val="00E7304F"/>
    <w:rsid w:val="00E73248"/>
    <w:rsid w:val="00E73259"/>
    <w:rsid w:val="00E73304"/>
    <w:rsid w:val="00E7350C"/>
    <w:rsid w:val="00E73555"/>
    <w:rsid w:val="00E73665"/>
    <w:rsid w:val="00E73716"/>
    <w:rsid w:val="00E73752"/>
    <w:rsid w:val="00E7380C"/>
    <w:rsid w:val="00E73832"/>
    <w:rsid w:val="00E73834"/>
    <w:rsid w:val="00E7383A"/>
    <w:rsid w:val="00E7385D"/>
    <w:rsid w:val="00E738FF"/>
    <w:rsid w:val="00E73AFC"/>
    <w:rsid w:val="00E73AFF"/>
    <w:rsid w:val="00E73B62"/>
    <w:rsid w:val="00E73C10"/>
    <w:rsid w:val="00E73C23"/>
    <w:rsid w:val="00E73C3C"/>
    <w:rsid w:val="00E73D1A"/>
    <w:rsid w:val="00E73E1D"/>
    <w:rsid w:val="00E73F75"/>
    <w:rsid w:val="00E73FB0"/>
    <w:rsid w:val="00E7402A"/>
    <w:rsid w:val="00E74118"/>
    <w:rsid w:val="00E74122"/>
    <w:rsid w:val="00E743AA"/>
    <w:rsid w:val="00E745C7"/>
    <w:rsid w:val="00E745D6"/>
    <w:rsid w:val="00E745F3"/>
    <w:rsid w:val="00E74627"/>
    <w:rsid w:val="00E7465D"/>
    <w:rsid w:val="00E746E7"/>
    <w:rsid w:val="00E749A6"/>
    <w:rsid w:val="00E749CB"/>
    <w:rsid w:val="00E74AA6"/>
    <w:rsid w:val="00E74AE7"/>
    <w:rsid w:val="00E74B45"/>
    <w:rsid w:val="00E74CC8"/>
    <w:rsid w:val="00E74D0F"/>
    <w:rsid w:val="00E74FDF"/>
    <w:rsid w:val="00E74FE1"/>
    <w:rsid w:val="00E753ED"/>
    <w:rsid w:val="00E755C1"/>
    <w:rsid w:val="00E75787"/>
    <w:rsid w:val="00E75857"/>
    <w:rsid w:val="00E75871"/>
    <w:rsid w:val="00E758AE"/>
    <w:rsid w:val="00E75AA8"/>
    <w:rsid w:val="00E75BFF"/>
    <w:rsid w:val="00E75C2A"/>
    <w:rsid w:val="00E75DF8"/>
    <w:rsid w:val="00E75EB3"/>
    <w:rsid w:val="00E75EF4"/>
    <w:rsid w:val="00E7609B"/>
    <w:rsid w:val="00E761FF"/>
    <w:rsid w:val="00E76222"/>
    <w:rsid w:val="00E762F4"/>
    <w:rsid w:val="00E76694"/>
    <w:rsid w:val="00E767B1"/>
    <w:rsid w:val="00E768B1"/>
    <w:rsid w:val="00E768F7"/>
    <w:rsid w:val="00E76A01"/>
    <w:rsid w:val="00E76B30"/>
    <w:rsid w:val="00E76B9E"/>
    <w:rsid w:val="00E76C3C"/>
    <w:rsid w:val="00E76D4B"/>
    <w:rsid w:val="00E76DB0"/>
    <w:rsid w:val="00E76EC4"/>
    <w:rsid w:val="00E76EF5"/>
    <w:rsid w:val="00E7704F"/>
    <w:rsid w:val="00E770B2"/>
    <w:rsid w:val="00E77129"/>
    <w:rsid w:val="00E771D2"/>
    <w:rsid w:val="00E772AF"/>
    <w:rsid w:val="00E772EA"/>
    <w:rsid w:val="00E7774C"/>
    <w:rsid w:val="00E778B9"/>
    <w:rsid w:val="00E7790D"/>
    <w:rsid w:val="00E77C18"/>
    <w:rsid w:val="00E77D0D"/>
    <w:rsid w:val="00E77DA9"/>
    <w:rsid w:val="00E77DDF"/>
    <w:rsid w:val="00E77F40"/>
    <w:rsid w:val="00E77FCB"/>
    <w:rsid w:val="00E80089"/>
    <w:rsid w:val="00E801E9"/>
    <w:rsid w:val="00E80285"/>
    <w:rsid w:val="00E802E3"/>
    <w:rsid w:val="00E80342"/>
    <w:rsid w:val="00E804A7"/>
    <w:rsid w:val="00E804EB"/>
    <w:rsid w:val="00E806D3"/>
    <w:rsid w:val="00E80883"/>
    <w:rsid w:val="00E80A4D"/>
    <w:rsid w:val="00E80B40"/>
    <w:rsid w:val="00E80B64"/>
    <w:rsid w:val="00E80BD7"/>
    <w:rsid w:val="00E80CAB"/>
    <w:rsid w:val="00E80CDF"/>
    <w:rsid w:val="00E80D98"/>
    <w:rsid w:val="00E80FA2"/>
    <w:rsid w:val="00E80FF5"/>
    <w:rsid w:val="00E810B7"/>
    <w:rsid w:val="00E81165"/>
    <w:rsid w:val="00E812B9"/>
    <w:rsid w:val="00E81329"/>
    <w:rsid w:val="00E813C6"/>
    <w:rsid w:val="00E814A1"/>
    <w:rsid w:val="00E81510"/>
    <w:rsid w:val="00E81533"/>
    <w:rsid w:val="00E8156F"/>
    <w:rsid w:val="00E815B7"/>
    <w:rsid w:val="00E816E6"/>
    <w:rsid w:val="00E8180A"/>
    <w:rsid w:val="00E818BA"/>
    <w:rsid w:val="00E818F9"/>
    <w:rsid w:val="00E81A3E"/>
    <w:rsid w:val="00E81B75"/>
    <w:rsid w:val="00E81CF7"/>
    <w:rsid w:val="00E81F12"/>
    <w:rsid w:val="00E81F14"/>
    <w:rsid w:val="00E81F1F"/>
    <w:rsid w:val="00E81F4B"/>
    <w:rsid w:val="00E81F60"/>
    <w:rsid w:val="00E81F80"/>
    <w:rsid w:val="00E81FE6"/>
    <w:rsid w:val="00E82021"/>
    <w:rsid w:val="00E8203F"/>
    <w:rsid w:val="00E8206F"/>
    <w:rsid w:val="00E82254"/>
    <w:rsid w:val="00E8244A"/>
    <w:rsid w:val="00E824AC"/>
    <w:rsid w:val="00E82667"/>
    <w:rsid w:val="00E826A9"/>
    <w:rsid w:val="00E826EE"/>
    <w:rsid w:val="00E829CF"/>
    <w:rsid w:val="00E82A32"/>
    <w:rsid w:val="00E82A86"/>
    <w:rsid w:val="00E82AF1"/>
    <w:rsid w:val="00E82C5A"/>
    <w:rsid w:val="00E82C5E"/>
    <w:rsid w:val="00E82D22"/>
    <w:rsid w:val="00E82D71"/>
    <w:rsid w:val="00E82E4E"/>
    <w:rsid w:val="00E82EBC"/>
    <w:rsid w:val="00E82F4A"/>
    <w:rsid w:val="00E83104"/>
    <w:rsid w:val="00E831FE"/>
    <w:rsid w:val="00E8322E"/>
    <w:rsid w:val="00E8327E"/>
    <w:rsid w:val="00E8331F"/>
    <w:rsid w:val="00E83550"/>
    <w:rsid w:val="00E83676"/>
    <w:rsid w:val="00E836C5"/>
    <w:rsid w:val="00E83743"/>
    <w:rsid w:val="00E838BB"/>
    <w:rsid w:val="00E83921"/>
    <w:rsid w:val="00E8394C"/>
    <w:rsid w:val="00E83BB4"/>
    <w:rsid w:val="00E83C3F"/>
    <w:rsid w:val="00E841DE"/>
    <w:rsid w:val="00E842F5"/>
    <w:rsid w:val="00E8440C"/>
    <w:rsid w:val="00E844C9"/>
    <w:rsid w:val="00E844E4"/>
    <w:rsid w:val="00E84536"/>
    <w:rsid w:val="00E845AF"/>
    <w:rsid w:val="00E84619"/>
    <w:rsid w:val="00E848D3"/>
    <w:rsid w:val="00E8495C"/>
    <w:rsid w:val="00E849A6"/>
    <w:rsid w:val="00E84BE4"/>
    <w:rsid w:val="00E84C87"/>
    <w:rsid w:val="00E84CD0"/>
    <w:rsid w:val="00E84E0D"/>
    <w:rsid w:val="00E85050"/>
    <w:rsid w:val="00E85096"/>
    <w:rsid w:val="00E850C4"/>
    <w:rsid w:val="00E850E8"/>
    <w:rsid w:val="00E857D3"/>
    <w:rsid w:val="00E8589D"/>
    <w:rsid w:val="00E858DA"/>
    <w:rsid w:val="00E858F3"/>
    <w:rsid w:val="00E85937"/>
    <w:rsid w:val="00E85974"/>
    <w:rsid w:val="00E85A21"/>
    <w:rsid w:val="00E85AAB"/>
    <w:rsid w:val="00E85C38"/>
    <w:rsid w:val="00E85FA4"/>
    <w:rsid w:val="00E85FE4"/>
    <w:rsid w:val="00E86133"/>
    <w:rsid w:val="00E8620F"/>
    <w:rsid w:val="00E86264"/>
    <w:rsid w:val="00E8630E"/>
    <w:rsid w:val="00E86568"/>
    <w:rsid w:val="00E8662F"/>
    <w:rsid w:val="00E866A9"/>
    <w:rsid w:val="00E867CD"/>
    <w:rsid w:val="00E86944"/>
    <w:rsid w:val="00E86CA7"/>
    <w:rsid w:val="00E86D5F"/>
    <w:rsid w:val="00E86DD1"/>
    <w:rsid w:val="00E86FD6"/>
    <w:rsid w:val="00E8712E"/>
    <w:rsid w:val="00E87200"/>
    <w:rsid w:val="00E87336"/>
    <w:rsid w:val="00E873A0"/>
    <w:rsid w:val="00E874D6"/>
    <w:rsid w:val="00E87591"/>
    <w:rsid w:val="00E87598"/>
    <w:rsid w:val="00E8773F"/>
    <w:rsid w:val="00E877B3"/>
    <w:rsid w:val="00E878B9"/>
    <w:rsid w:val="00E87BA4"/>
    <w:rsid w:val="00E87CBA"/>
    <w:rsid w:val="00E87D4F"/>
    <w:rsid w:val="00E87DCD"/>
    <w:rsid w:val="00E87ECC"/>
    <w:rsid w:val="00E90085"/>
    <w:rsid w:val="00E900A0"/>
    <w:rsid w:val="00E900B4"/>
    <w:rsid w:val="00E90150"/>
    <w:rsid w:val="00E9021A"/>
    <w:rsid w:val="00E902F8"/>
    <w:rsid w:val="00E902FB"/>
    <w:rsid w:val="00E90302"/>
    <w:rsid w:val="00E90531"/>
    <w:rsid w:val="00E905A1"/>
    <w:rsid w:val="00E90609"/>
    <w:rsid w:val="00E90665"/>
    <w:rsid w:val="00E9066A"/>
    <w:rsid w:val="00E908A9"/>
    <w:rsid w:val="00E908F7"/>
    <w:rsid w:val="00E908FA"/>
    <w:rsid w:val="00E909AC"/>
    <w:rsid w:val="00E90C9C"/>
    <w:rsid w:val="00E90D1F"/>
    <w:rsid w:val="00E90D97"/>
    <w:rsid w:val="00E90F1A"/>
    <w:rsid w:val="00E90F7D"/>
    <w:rsid w:val="00E9105E"/>
    <w:rsid w:val="00E9108B"/>
    <w:rsid w:val="00E91093"/>
    <w:rsid w:val="00E91148"/>
    <w:rsid w:val="00E91184"/>
    <w:rsid w:val="00E911B6"/>
    <w:rsid w:val="00E9123D"/>
    <w:rsid w:val="00E91350"/>
    <w:rsid w:val="00E91366"/>
    <w:rsid w:val="00E91428"/>
    <w:rsid w:val="00E915E2"/>
    <w:rsid w:val="00E916C0"/>
    <w:rsid w:val="00E91746"/>
    <w:rsid w:val="00E9181A"/>
    <w:rsid w:val="00E91842"/>
    <w:rsid w:val="00E9187E"/>
    <w:rsid w:val="00E91A16"/>
    <w:rsid w:val="00E91B7F"/>
    <w:rsid w:val="00E91BA5"/>
    <w:rsid w:val="00E91BCF"/>
    <w:rsid w:val="00E91C04"/>
    <w:rsid w:val="00E91C14"/>
    <w:rsid w:val="00E91D49"/>
    <w:rsid w:val="00E91DBE"/>
    <w:rsid w:val="00E91F81"/>
    <w:rsid w:val="00E91FBA"/>
    <w:rsid w:val="00E92065"/>
    <w:rsid w:val="00E9226F"/>
    <w:rsid w:val="00E9238A"/>
    <w:rsid w:val="00E924D2"/>
    <w:rsid w:val="00E9251F"/>
    <w:rsid w:val="00E92573"/>
    <w:rsid w:val="00E9260F"/>
    <w:rsid w:val="00E9288B"/>
    <w:rsid w:val="00E92932"/>
    <w:rsid w:val="00E92A27"/>
    <w:rsid w:val="00E92A70"/>
    <w:rsid w:val="00E92C0B"/>
    <w:rsid w:val="00E92C95"/>
    <w:rsid w:val="00E92E30"/>
    <w:rsid w:val="00E92E98"/>
    <w:rsid w:val="00E92F1B"/>
    <w:rsid w:val="00E92F24"/>
    <w:rsid w:val="00E92F97"/>
    <w:rsid w:val="00E9308F"/>
    <w:rsid w:val="00E930EB"/>
    <w:rsid w:val="00E93173"/>
    <w:rsid w:val="00E932DB"/>
    <w:rsid w:val="00E93526"/>
    <w:rsid w:val="00E93721"/>
    <w:rsid w:val="00E938B9"/>
    <w:rsid w:val="00E938BB"/>
    <w:rsid w:val="00E9393B"/>
    <w:rsid w:val="00E93977"/>
    <w:rsid w:val="00E939EF"/>
    <w:rsid w:val="00E939F0"/>
    <w:rsid w:val="00E93A3D"/>
    <w:rsid w:val="00E93B48"/>
    <w:rsid w:val="00E93BDF"/>
    <w:rsid w:val="00E93C78"/>
    <w:rsid w:val="00E93CC5"/>
    <w:rsid w:val="00E93DE4"/>
    <w:rsid w:val="00E93EA1"/>
    <w:rsid w:val="00E93F8B"/>
    <w:rsid w:val="00E93FE9"/>
    <w:rsid w:val="00E94082"/>
    <w:rsid w:val="00E940A8"/>
    <w:rsid w:val="00E9413D"/>
    <w:rsid w:val="00E9432D"/>
    <w:rsid w:val="00E945E6"/>
    <w:rsid w:val="00E9464A"/>
    <w:rsid w:val="00E94727"/>
    <w:rsid w:val="00E949B6"/>
    <w:rsid w:val="00E94A36"/>
    <w:rsid w:val="00E94C0D"/>
    <w:rsid w:val="00E94CDB"/>
    <w:rsid w:val="00E94E5A"/>
    <w:rsid w:val="00E94E69"/>
    <w:rsid w:val="00E94EB2"/>
    <w:rsid w:val="00E950DD"/>
    <w:rsid w:val="00E95217"/>
    <w:rsid w:val="00E9547A"/>
    <w:rsid w:val="00E954A1"/>
    <w:rsid w:val="00E9567A"/>
    <w:rsid w:val="00E9568B"/>
    <w:rsid w:val="00E957C8"/>
    <w:rsid w:val="00E95A27"/>
    <w:rsid w:val="00E95AD7"/>
    <w:rsid w:val="00E95C66"/>
    <w:rsid w:val="00E95D3D"/>
    <w:rsid w:val="00E95D4D"/>
    <w:rsid w:val="00E95E04"/>
    <w:rsid w:val="00E95E98"/>
    <w:rsid w:val="00E95EC6"/>
    <w:rsid w:val="00E95EF3"/>
    <w:rsid w:val="00E9613A"/>
    <w:rsid w:val="00E9614D"/>
    <w:rsid w:val="00E9639B"/>
    <w:rsid w:val="00E963F8"/>
    <w:rsid w:val="00E9660C"/>
    <w:rsid w:val="00E96732"/>
    <w:rsid w:val="00E967DD"/>
    <w:rsid w:val="00E9697A"/>
    <w:rsid w:val="00E96A25"/>
    <w:rsid w:val="00E96A9C"/>
    <w:rsid w:val="00E96CFE"/>
    <w:rsid w:val="00E96DFB"/>
    <w:rsid w:val="00E96E13"/>
    <w:rsid w:val="00E96ED9"/>
    <w:rsid w:val="00E9709E"/>
    <w:rsid w:val="00E970F3"/>
    <w:rsid w:val="00E97162"/>
    <w:rsid w:val="00E97185"/>
    <w:rsid w:val="00E972E9"/>
    <w:rsid w:val="00E97368"/>
    <w:rsid w:val="00E9740A"/>
    <w:rsid w:val="00E97446"/>
    <w:rsid w:val="00E974D5"/>
    <w:rsid w:val="00E9757A"/>
    <w:rsid w:val="00E97695"/>
    <w:rsid w:val="00E977B6"/>
    <w:rsid w:val="00E9783A"/>
    <w:rsid w:val="00E979CF"/>
    <w:rsid w:val="00E97A95"/>
    <w:rsid w:val="00E97B3B"/>
    <w:rsid w:val="00E97C41"/>
    <w:rsid w:val="00E97CB2"/>
    <w:rsid w:val="00E97CB7"/>
    <w:rsid w:val="00E97E59"/>
    <w:rsid w:val="00E97FC5"/>
    <w:rsid w:val="00EA0038"/>
    <w:rsid w:val="00EA00C7"/>
    <w:rsid w:val="00EA00E8"/>
    <w:rsid w:val="00EA00F0"/>
    <w:rsid w:val="00EA013A"/>
    <w:rsid w:val="00EA01F8"/>
    <w:rsid w:val="00EA0211"/>
    <w:rsid w:val="00EA02C2"/>
    <w:rsid w:val="00EA03CD"/>
    <w:rsid w:val="00EA03F6"/>
    <w:rsid w:val="00EA0554"/>
    <w:rsid w:val="00EA056A"/>
    <w:rsid w:val="00EA05CF"/>
    <w:rsid w:val="00EA0716"/>
    <w:rsid w:val="00EA07D5"/>
    <w:rsid w:val="00EA087D"/>
    <w:rsid w:val="00EA0A99"/>
    <w:rsid w:val="00EA0B46"/>
    <w:rsid w:val="00EA0BB6"/>
    <w:rsid w:val="00EA0C8A"/>
    <w:rsid w:val="00EA0D22"/>
    <w:rsid w:val="00EA0D52"/>
    <w:rsid w:val="00EA0D54"/>
    <w:rsid w:val="00EA0DFC"/>
    <w:rsid w:val="00EA0FC3"/>
    <w:rsid w:val="00EA0FD3"/>
    <w:rsid w:val="00EA109A"/>
    <w:rsid w:val="00EA1183"/>
    <w:rsid w:val="00EA1230"/>
    <w:rsid w:val="00EA12B8"/>
    <w:rsid w:val="00EA1412"/>
    <w:rsid w:val="00EA1519"/>
    <w:rsid w:val="00EA1622"/>
    <w:rsid w:val="00EA178D"/>
    <w:rsid w:val="00EA1832"/>
    <w:rsid w:val="00EA185B"/>
    <w:rsid w:val="00EA1871"/>
    <w:rsid w:val="00EA1A1F"/>
    <w:rsid w:val="00EA1A6E"/>
    <w:rsid w:val="00EA1A90"/>
    <w:rsid w:val="00EA1BC4"/>
    <w:rsid w:val="00EA1C45"/>
    <w:rsid w:val="00EA1EFE"/>
    <w:rsid w:val="00EA211C"/>
    <w:rsid w:val="00EA22F3"/>
    <w:rsid w:val="00EA23D2"/>
    <w:rsid w:val="00EA24C2"/>
    <w:rsid w:val="00EA2593"/>
    <w:rsid w:val="00EA2604"/>
    <w:rsid w:val="00EA293B"/>
    <w:rsid w:val="00EA2A3C"/>
    <w:rsid w:val="00EA2A7D"/>
    <w:rsid w:val="00EA2A92"/>
    <w:rsid w:val="00EA2B21"/>
    <w:rsid w:val="00EA2D29"/>
    <w:rsid w:val="00EA2E47"/>
    <w:rsid w:val="00EA2EA8"/>
    <w:rsid w:val="00EA2F91"/>
    <w:rsid w:val="00EA3007"/>
    <w:rsid w:val="00EA30D3"/>
    <w:rsid w:val="00EA3125"/>
    <w:rsid w:val="00EA316F"/>
    <w:rsid w:val="00EA321E"/>
    <w:rsid w:val="00EA33B8"/>
    <w:rsid w:val="00EA35F9"/>
    <w:rsid w:val="00EA38F8"/>
    <w:rsid w:val="00EA3A01"/>
    <w:rsid w:val="00EA3B43"/>
    <w:rsid w:val="00EA3BF6"/>
    <w:rsid w:val="00EA3CA0"/>
    <w:rsid w:val="00EA3CED"/>
    <w:rsid w:val="00EA3D20"/>
    <w:rsid w:val="00EA3D23"/>
    <w:rsid w:val="00EA3D4B"/>
    <w:rsid w:val="00EA3DBD"/>
    <w:rsid w:val="00EA3F1C"/>
    <w:rsid w:val="00EA3F38"/>
    <w:rsid w:val="00EA3F9D"/>
    <w:rsid w:val="00EA4077"/>
    <w:rsid w:val="00EA41A9"/>
    <w:rsid w:val="00EA42C2"/>
    <w:rsid w:val="00EA430F"/>
    <w:rsid w:val="00EA4436"/>
    <w:rsid w:val="00EA44BB"/>
    <w:rsid w:val="00EA46DB"/>
    <w:rsid w:val="00EA4703"/>
    <w:rsid w:val="00EA486C"/>
    <w:rsid w:val="00EA48AC"/>
    <w:rsid w:val="00EA4A03"/>
    <w:rsid w:val="00EA4A43"/>
    <w:rsid w:val="00EA4A55"/>
    <w:rsid w:val="00EA4A83"/>
    <w:rsid w:val="00EA4A9F"/>
    <w:rsid w:val="00EA4B10"/>
    <w:rsid w:val="00EA4B35"/>
    <w:rsid w:val="00EA4C0E"/>
    <w:rsid w:val="00EA4FA6"/>
    <w:rsid w:val="00EA50C5"/>
    <w:rsid w:val="00EA510B"/>
    <w:rsid w:val="00EA52B0"/>
    <w:rsid w:val="00EA52B4"/>
    <w:rsid w:val="00EA53B9"/>
    <w:rsid w:val="00EA5483"/>
    <w:rsid w:val="00EA550F"/>
    <w:rsid w:val="00EA55AE"/>
    <w:rsid w:val="00EA5608"/>
    <w:rsid w:val="00EA5777"/>
    <w:rsid w:val="00EA58CF"/>
    <w:rsid w:val="00EA592C"/>
    <w:rsid w:val="00EA5A12"/>
    <w:rsid w:val="00EA5A5F"/>
    <w:rsid w:val="00EA5B3D"/>
    <w:rsid w:val="00EA5C53"/>
    <w:rsid w:val="00EA5C9B"/>
    <w:rsid w:val="00EA5D1C"/>
    <w:rsid w:val="00EA5D9D"/>
    <w:rsid w:val="00EA6087"/>
    <w:rsid w:val="00EA6118"/>
    <w:rsid w:val="00EA617E"/>
    <w:rsid w:val="00EA6249"/>
    <w:rsid w:val="00EA6260"/>
    <w:rsid w:val="00EA6263"/>
    <w:rsid w:val="00EA64CA"/>
    <w:rsid w:val="00EA652C"/>
    <w:rsid w:val="00EA65D6"/>
    <w:rsid w:val="00EA662A"/>
    <w:rsid w:val="00EA6682"/>
    <w:rsid w:val="00EA67F1"/>
    <w:rsid w:val="00EA68C0"/>
    <w:rsid w:val="00EA6961"/>
    <w:rsid w:val="00EA6B11"/>
    <w:rsid w:val="00EA6D18"/>
    <w:rsid w:val="00EA6E2E"/>
    <w:rsid w:val="00EA6E35"/>
    <w:rsid w:val="00EA6E9F"/>
    <w:rsid w:val="00EA6ECF"/>
    <w:rsid w:val="00EA70BB"/>
    <w:rsid w:val="00EA70D9"/>
    <w:rsid w:val="00EA7194"/>
    <w:rsid w:val="00EA71B8"/>
    <w:rsid w:val="00EA71D3"/>
    <w:rsid w:val="00EA742F"/>
    <w:rsid w:val="00EA757B"/>
    <w:rsid w:val="00EA7720"/>
    <w:rsid w:val="00EA7869"/>
    <w:rsid w:val="00EA78CA"/>
    <w:rsid w:val="00EA79E9"/>
    <w:rsid w:val="00EA7A2A"/>
    <w:rsid w:val="00EA7B21"/>
    <w:rsid w:val="00EA7B25"/>
    <w:rsid w:val="00EA7B61"/>
    <w:rsid w:val="00EA7BB6"/>
    <w:rsid w:val="00EA7BC0"/>
    <w:rsid w:val="00EA7C23"/>
    <w:rsid w:val="00EA7DB6"/>
    <w:rsid w:val="00EA7DFD"/>
    <w:rsid w:val="00EA7EE0"/>
    <w:rsid w:val="00EA7F46"/>
    <w:rsid w:val="00EA7FB2"/>
    <w:rsid w:val="00EB0180"/>
    <w:rsid w:val="00EB035D"/>
    <w:rsid w:val="00EB038E"/>
    <w:rsid w:val="00EB03CE"/>
    <w:rsid w:val="00EB0482"/>
    <w:rsid w:val="00EB04C5"/>
    <w:rsid w:val="00EB067D"/>
    <w:rsid w:val="00EB0763"/>
    <w:rsid w:val="00EB0765"/>
    <w:rsid w:val="00EB0873"/>
    <w:rsid w:val="00EB0B93"/>
    <w:rsid w:val="00EB0BA2"/>
    <w:rsid w:val="00EB0DA6"/>
    <w:rsid w:val="00EB0E50"/>
    <w:rsid w:val="00EB0F18"/>
    <w:rsid w:val="00EB100C"/>
    <w:rsid w:val="00EB1066"/>
    <w:rsid w:val="00EB118A"/>
    <w:rsid w:val="00EB14DC"/>
    <w:rsid w:val="00EB1702"/>
    <w:rsid w:val="00EB17CD"/>
    <w:rsid w:val="00EB1836"/>
    <w:rsid w:val="00EB18B3"/>
    <w:rsid w:val="00EB1918"/>
    <w:rsid w:val="00EB1920"/>
    <w:rsid w:val="00EB192E"/>
    <w:rsid w:val="00EB194F"/>
    <w:rsid w:val="00EB1950"/>
    <w:rsid w:val="00EB197B"/>
    <w:rsid w:val="00EB1AA8"/>
    <w:rsid w:val="00EB1AC5"/>
    <w:rsid w:val="00EB1AD9"/>
    <w:rsid w:val="00EB1B56"/>
    <w:rsid w:val="00EB1BA7"/>
    <w:rsid w:val="00EB1C69"/>
    <w:rsid w:val="00EB1CD3"/>
    <w:rsid w:val="00EB1D85"/>
    <w:rsid w:val="00EB1DE6"/>
    <w:rsid w:val="00EB1E3A"/>
    <w:rsid w:val="00EB1ECF"/>
    <w:rsid w:val="00EB1FFB"/>
    <w:rsid w:val="00EB2078"/>
    <w:rsid w:val="00EB2162"/>
    <w:rsid w:val="00EB21F7"/>
    <w:rsid w:val="00EB2319"/>
    <w:rsid w:val="00EB2326"/>
    <w:rsid w:val="00EB24BB"/>
    <w:rsid w:val="00EB24C3"/>
    <w:rsid w:val="00EB24C8"/>
    <w:rsid w:val="00EB2767"/>
    <w:rsid w:val="00EB2784"/>
    <w:rsid w:val="00EB27A8"/>
    <w:rsid w:val="00EB2991"/>
    <w:rsid w:val="00EB2A0C"/>
    <w:rsid w:val="00EB2CF3"/>
    <w:rsid w:val="00EB2D05"/>
    <w:rsid w:val="00EB2D97"/>
    <w:rsid w:val="00EB2DD8"/>
    <w:rsid w:val="00EB2E61"/>
    <w:rsid w:val="00EB302F"/>
    <w:rsid w:val="00EB304E"/>
    <w:rsid w:val="00EB30D4"/>
    <w:rsid w:val="00EB311A"/>
    <w:rsid w:val="00EB3204"/>
    <w:rsid w:val="00EB3276"/>
    <w:rsid w:val="00EB3462"/>
    <w:rsid w:val="00EB3467"/>
    <w:rsid w:val="00EB360D"/>
    <w:rsid w:val="00EB376D"/>
    <w:rsid w:val="00EB3861"/>
    <w:rsid w:val="00EB3A56"/>
    <w:rsid w:val="00EB3B3C"/>
    <w:rsid w:val="00EB3B63"/>
    <w:rsid w:val="00EB3BA6"/>
    <w:rsid w:val="00EB3D45"/>
    <w:rsid w:val="00EB3DA2"/>
    <w:rsid w:val="00EB3DDD"/>
    <w:rsid w:val="00EB3E82"/>
    <w:rsid w:val="00EB407A"/>
    <w:rsid w:val="00EB42C1"/>
    <w:rsid w:val="00EB42E1"/>
    <w:rsid w:val="00EB433D"/>
    <w:rsid w:val="00EB4396"/>
    <w:rsid w:val="00EB45BE"/>
    <w:rsid w:val="00EB488F"/>
    <w:rsid w:val="00EB4943"/>
    <w:rsid w:val="00EB4A38"/>
    <w:rsid w:val="00EB4A64"/>
    <w:rsid w:val="00EB4A7B"/>
    <w:rsid w:val="00EB4ACE"/>
    <w:rsid w:val="00EB4CBD"/>
    <w:rsid w:val="00EB4E02"/>
    <w:rsid w:val="00EB4E68"/>
    <w:rsid w:val="00EB5080"/>
    <w:rsid w:val="00EB51AE"/>
    <w:rsid w:val="00EB5262"/>
    <w:rsid w:val="00EB52E8"/>
    <w:rsid w:val="00EB52EA"/>
    <w:rsid w:val="00EB537B"/>
    <w:rsid w:val="00EB53D6"/>
    <w:rsid w:val="00EB53EF"/>
    <w:rsid w:val="00EB555F"/>
    <w:rsid w:val="00EB5691"/>
    <w:rsid w:val="00EB57FB"/>
    <w:rsid w:val="00EB589E"/>
    <w:rsid w:val="00EB58D1"/>
    <w:rsid w:val="00EB5A01"/>
    <w:rsid w:val="00EB5ABA"/>
    <w:rsid w:val="00EB5B79"/>
    <w:rsid w:val="00EB5C6B"/>
    <w:rsid w:val="00EB5D12"/>
    <w:rsid w:val="00EB5E0A"/>
    <w:rsid w:val="00EB5E2A"/>
    <w:rsid w:val="00EB5E66"/>
    <w:rsid w:val="00EB604D"/>
    <w:rsid w:val="00EB60DD"/>
    <w:rsid w:val="00EB610F"/>
    <w:rsid w:val="00EB6165"/>
    <w:rsid w:val="00EB61B8"/>
    <w:rsid w:val="00EB61DB"/>
    <w:rsid w:val="00EB63A9"/>
    <w:rsid w:val="00EB65B4"/>
    <w:rsid w:val="00EB6640"/>
    <w:rsid w:val="00EB6685"/>
    <w:rsid w:val="00EB66BA"/>
    <w:rsid w:val="00EB66D8"/>
    <w:rsid w:val="00EB66E9"/>
    <w:rsid w:val="00EB66F8"/>
    <w:rsid w:val="00EB6733"/>
    <w:rsid w:val="00EB6736"/>
    <w:rsid w:val="00EB679B"/>
    <w:rsid w:val="00EB6863"/>
    <w:rsid w:val="00EB68CC"/>
    <w:rsid w:val="00EB6930"/>
    <w:rsid w:val="00EB6BBD"/>
    <w:rsid w:val="00EB6BE8"/>
    <w:rsid w:val="00EB6D27"/>
    <w:rsid w:val="00EB6E43"/>
    <w:rsid w:val="00EB6EFA"/>
    <w:rsid w:val="00EB6F02"/>
    <w:rsid w:val="00EB6F2C"/>
    <w:rsid w:val="00EB6F95"/>
    <w:rsid w:val="00EB6FC4"/>
    <w:rsid w:val="00EB717B"/>
    <w:rsid w:val="00EB71F5"/>
    <w:rsid w:val="00EB7266"/>
    <w:rsid w:val="00EB726E"/>
    <w:rsid w:val="00EB7804"/>
    <w:rsid w:val="00EB7A09"/>
    <w:rsid w:val="00EB7B4D"/>
    <w:rsid w:val="00EB7C3D"/>
    <w:rsid w:val="00EB7C45"/>
    <w:rsid w:val="00EB7D07"/>
    <w:rsid w:val="00EB7D63"/>
    <w:rsid w:val="00EB7DAB"/>
    <w:rsid w:val="00EB7EF2"/>
    <w:rsid w:val="00EC00E7"/>
    <w:rsid w:val="00EC04A3"/>
    <w:rsid w:val="00EC04B4"/>
    <w:rsid w:val="00EC0561"/>
    <w:rsid w:val="00EC05B4"/>
    <w:rsid w:val="00EC05BC"/>
    <w:rsid w:val="00EC0698"/>
    <w:rsid w:val="00EC0837"/>
    <w:rsid w:val="00EC086A"/>
    <w:rsid w:val="00EC0A71"/>
    <w:rsid w:val="00EC0A9D"/>
    <w:rsid w:val="00EC0D3B"/>
    <w:rsid w:val="00EC0D81"/>
    <w:rsid w:val="00EC0E51"/>
    <w:rsid w:val="00EC0F8E"/>
    <w:rsid w:val="00EC122F"/>
    <w:rsid w:val="00EC1241"/>
    <w:rsid w:val="00EC12A1"/>
    <w:rsid w:val="00EC12E1"/>
    <w:rsid w:val="00EC14E2"/>
    <w:rsid w:val="00EC1519"/>
    <w:rsid w:val="00EC1754"/>
    <w:rsid w:val="00EC19C3"/>
    <w:rsid w:val="00EC1A87"/>
    <w:rsid w:val="00EC1AA6"/>
    <w:rsid w:val="00EC1AF1"/>
    <w:rsid w:val="00EC1B54"/>
    <w:rsid w:val="00EC1C2C"/>
    <w:rsid w:val="00EC1C41"/>
    <w:rsid w:val="00EC1EA4"/>
    <w:rsid w:val="00EC20FA"/>
    <w:rsid w:val="00EC22FE"/>
    <w:rsid w:val="00EC239F"/>
    <w:rsid w:val="00EC23B3"/>
    <w:rsid w:val="00EC2459"/>
    <w:rsid w:val="00EC290C"/>
    <w:rsid w:val="00EC2A31"/>
    <w:rsid w:val="00EC2C37"/>
    <w:rsid w:val="00EC2CD1"/>
    <w:rsid w:val="00EC2D64"/>
    <w:rsid w:val="00EC2EE0"/>
    <w:rsid w:val="00EC2FDE"/>
    <w:rsid w:val="00EC3113"/>
    <w:rsid w:val="00EC3186"/>
    <w:rsid w:val="00EC325F"/>
    <w:rsid w:val="00EC3307"/>
    <w:rsid w:val="00EC33A8"/>
    <w:rsid w:val="00EC3518"/>
    <w:rsid w:val="00EC36E8"/>
    <w:rsid w:val="00EC3778"/>
    <w:rsid w:val="00EC37DF"/>
    <w:rsid w:val="00EC37FE"/>
    <w:rsid w:val="00EC382B"/>
    <w:rsid w:val="00EC3941"/>
    <w:rsid w:val="00EC3CA4"/>
    <w:rsid w:val="00EC3CAA"/>
    <w:rsid w:val="00EC418E"/>
    <w:rsid w:val="00EC421D"/>
    <w:rsid w:val="00EC458E"/>
    <w:rsid w:val="00EC4615"/>
    <w:rsid w:val="00EC4632"/>
    <w:rsid w:val="00EC46FC"/>
    <w:rsid w:val="00EC474F"/>
    <w:rsid w:val="00EC4762"/>
    <w:rsid w:val="00EC47C9"/>
    <w:rsid w:val="00EC4994"/>
    <w:rsid w:val="00EC49FB"/>
    <w:rsid w:val="00EC4A8B"/>
    <w:rsid w:val="00EC4B07"/>
    <w:rsid w:val="00EC4C28"/>
    <w:rsid w:val="00EC4D43"/>
    <w:rsid w:val="00EC4EEA"/>
    <w:rsid w:val="00EC4F4F"/>
    <w:rsid w:val="00EC4FC3"/>
    <w:rsid w:val="00EC4FF8"/>
    <w:rsid w:val="00EC50BE"/>
    <w:rsid w:val="00EC5268"/>
    <w:rsid w:val="00EC52E1"/>
    <w:rsid w:val="00EC52E6"/>
    <w:rsid w:val="00EC52FB"/>
    <w:rsid w:val="00EC5373"/>
    <w:rsid w:val="00EC53B2"/>
    <w:rsid w:val="00EC541F"/>
    <w:rsid w:val="00EC549B"/>
    <w:rsid w:val="00EC54D4"/>
    <w:rsid w:val="00EC55CD"/>
    <w:rsid w:val="00EC5656"/>
    <w:rsid w:val="00EC569A"/>
    <w:rsid w:val="00EC5728"/>
    <w:rsid w:val="00EC57F8"/>
    <w:rsid w:val="00EC58BF"/>
    <w:rsid w:val="00EC5958"/>
    <w:rsid w:val="00EC5976"/>
    <w:rsid w:val="00EC5A05"/>
    <w:rsid w:val="00EC5A5C"/>
    <w:rsid w:val="00EC5ADB"/>
    <w:rsid w:val="00EC5B46"/>
    <w:rsid w:val="00EC5BCA"/>
    <w:rsid w:val="00EC5BE1"/>
    <w:rsid w:val="00EC5C51"/>
    <w:rsid w:val="00EC5CFF"/>
    <w:rsid w:val="00EC5D86"/>
    <w:rsid w:val="00EC5DA7"/>
    <w:rsid w:val="00EC5E19"/>
    <w:rsid w:val="00EC5F90"/>
    <w:rsid w:val="00EC6022"/>
    <w:rsid w:val="00EC6036"/>
    <w:rsid w:val="00EC6094"/>
    <w:rsid w:val="00EC61E2"/>
    <w:rsid w:val="00EC6231"/>
    <w:rsid w:val="00EC63B2"/>
    <w:rsid w:val="00EC6418"/>
    <w:rsid w:val="00EC6428"/>
    <w:rsid w:val="00EC6435"/>
    <w:rsid w:val="00EC6489"/>
    <w:rsid w:val="00EC649C"/>
    <w:rsid w:val="00EC6768"/>
    <w:rsid w:val="00EC677B"/>
    <w:rsid w:val="00EC69F6"/>
    <w:rsid w:val="00EC6BD1"/>
    <w:rsid w:val="00EC6CD3"/>
    <w:rsid w:val="00EC6D1F"/>
    <w:rsid w:val="00EC6E1E"/>
    <w:rsid w:val="00EC6F51"/>
    <w:rsid w:val="00EC7178"/>
    <w:rsid w:val="00EC7181"/>
    <w:rsid w:val="00EC71F3"/>
    <w:rsid w:val="00EC73E2"/>
    <w:rsid w:val="00EC74D4"/>
    <w:rsid w:val="00EC74F2"/>
    <w:rsid w:val="00EC7676"/>
    <w:rsid w:val="00EC7712"/>
    <w:rsid w:val="00EC7722"/>
    <w:rsid w:val="00EC776F"/>
    <w:rsid w:val="00EC779D"/>
    <w:rsid w:val="00EC789D"/>
    <w:rsid w:val="00EC7AB4"/>
    <w:rsid w:val="00EC7B6C"/>
    <w:rsid w:val="00EC7D04"/>
    <w:rsid w:val="00EC7D0B"/>
    <w:rsid w:val="00EC7D7B"/>
    <w:rsid w:val="00EC7E17"/>
    <w:rsid w:val="00ED0247"/>
    <w:rsid w:val="00ED0491"/>
    <w:rsid w:val="00ED049B"/>
    <w:rsid w:val="00ED05BC"/>
    <w:rsid w:val="00ED062B"/>
    <w:rsid w:val="00ED0636"/>
    <w:rsid w:val="00ED0684"/>
    <w:rsid w:val="00ED0760"/>
    <w:rsid w:val="00ED076A"/>
    <w:rsid w:val="00ED087F"/>
    <w:rsid w:val="00ED08A0"/>
    <w:rsid w:val="00ED0928"/>
    <w:rsid w:val="00ED0AD1"/>
    <w:rsid w:val="00ED0ADC"/>
    <w:rsid w:val="00ED0AED"/>
    <w:rsid w:val="00ED0C63"/>
    <w:rsid w:val="00ED0CA9"/>
    <w:rsid w:val="00ED0CAF"/>
    <w:rsid w:val="00ED0E2E"/>
    <w:rsid w:val="00ED0E4F"/>
    <w:rsid w:val="00ED1060"/>
    <w:rsid w:val="00ED1118"/>
    <w:rsid w:val="00ED11E3"/>
    <w:rsid w:val="00ED128F"/>
    <w:rsid w:val="00ED134D"/>
    <w:rsid w:val="00ED1350"/>
    <w:rsid w:val="00ED13E8"/>
    <w:rsid w:val="00ED1559"/>
    <w:rsid w:val="00ED1571"/>
    <w:rsid w:val="00ED15D6"/>
    <w:rsid w:val="00ED15DE"/>
    <w:rsid w:val="00ED16C2"/>
    <w:rsid w:val="00ED1814"/>
    <w:rsid w:val="00ED1A3E"/>
    <w:rsid w:val="00ED1D8F"/>
    <w:rsid w:val="00ED1EC1"/>
    <w:rsid w:val="00ED1F01"/>
    <w:rsid w:val="00ED210E"/>
    <w:rsid w:val="00ED213E"/>
    <w:rsid w:val="00ED2207"/>
    <w:rsid w:val="00ED23CC"/>
    <w:rsid w:val="00ED23EB"/>
    <w:rsid w:val="00ED2438"/>
    <w:rsid w:val="00ED24D5"/>
    <w:rsid w:val="00ED2570"/>
    <w:rsid w:val="00ED2601"/>
    <w:rsid w:val="00ED287C"/>
    <w:rsid w:val="00ED2994"/>
    <w:rsid w:val="00ED2BFF"/>
    <w:rsid w:val="00ED2CD0"/>
    <w:rsid w:val="00ED2F40"/>
    <w:rsid w:val="00ED3079"/>
    <w:rsid w:val="00ED3081"/>
    <w:rsid w:val="00ED30DE"/>
    <w:rsid w:val="00ED3108"/>
    <w:rsid w:val="00ED3255"/>
    <w:rsid w:val="00ED3299"/>
    <w:rsid w:val="00ED3414"/>
    <w:rsid w:val="00ED343C"/>
    <w:rsid w:val="00ED345F"/>
    <w:rsid w:val="00ED35E8"/>
    <w:rsid w:val="00ED37B4"/>
    <w:rsid w:val="00ED37CF"/>
    <w:rsid w:val="00ED38F0"/>
    <w:rsid w:val="00ED3914"/>
    <w:rsid w:val="00ED3A7C"/>
    <w:rsid w:val="00ED3A97"/>
    <w:rsid w:val="00ED3B3D"/>
    <w:rsid w:val="00ED3B4E"/>
    <w:rsid w:val="00ED3BCA"/>
    <w:rsid w:val="00ED3C9C"/>
    <w:rsid w:val="00ED3D50"/>
    <w:rsid w:val="00ED3DC0"/>
    <w:rsid w:val="00ED3E98"/>
    <w:rsid w:val="00ED3F75"/>
    <w:rsid w:val="00ED405A"/>
    <w:rsid w:val="00ED42D5"/>
    <w:rsid w:val="00ED42F6"/>
    <w:rsid w:val="00ED4502"/>
    <w:rsid w:val="00ED4512"/>
    <w:rsid w:val="00ED459C"/>
    <w:rsid w:val="00ED45D9"/>
    <w:rsid w:val="00ED461D"/>
    <w:rsid w:val="00ED46D5"/>
    <w:rsid w:val="00ED470E"/>
    <w:rsid w:val="00ED4BE7"/>
    <w:rsid w:val="00ED4C95"/>
    <w:rsid w:val="00ED4CEA"/>
    <w:rsid w:val="00ED4D81"/>
    <w:rsid w:val="00ED4DD8"/>
    <w:rsid w:val="00ED4E00"/>
    <w:rsid w:val="00ED4E28"/>
    <w:rsid w:val="00ED5098"/>
    <w:rsid w:val="00ED5206"/>
    <w:rsid w:val="00ED5297"/>
    <w:rsid w:val="00ED52F6"/>
    <w:rsid w:val="00ED53CE"/>
    <w:rsid w:val="00ED5405"/>
    <w:rsid w:val="00ED559E"/>
    <w:rsid w:val="00ED56EA"/>
    <w:rsid w:val="00ED594B"/>
    <w:rsid w:val="00ED5950"/>
    <w:rsid w:val="00ED5951"/>
    <w:rsid w:val="00ED59CC"/>
    <w:rsid w:val="00ED5B78"/>
    <w:rsid w:val="00ED5C47"/>
    <w:rsid w:val="00ED5D00"/>
    <w:rsid w:val="00ED5D5B"/>
    <w:rsid w:val="00ED6108"/>
    <w:rsid w:val="00ED6216"/>
    <w:rsid w:val="00ED629B"/>
    <w:rsid w:val="00ED641C"/>
    <w:rsid w:val="00ED64BC"/>
    <w:rsid w:val="00ED64E6"/>
    <w:rsid w:val="00ED65EC"/>
    <w:rsid w:val="00ED66A9"/>
    <w:rsid w:val="00ED6707"/>
    <w:rsid w:val="00ED683C"/>
    <w:rsid w:val="00ED6847"/>
    <w:rsid w:val="00ED69F9"/>
    <w:rsid w:val="00ED6BE7"/>
    <w:rsid w:val="00ED6F2C"/>
    <w:rsid w:val="00ED6FCF"/>
    <w:rsid w:val="00ED7101"/>
    <w:rsid w:val="00ED7227"/>
    <w:rsid w:val="00ED7275"/>
    <w:rsid w:val="00ED7283"/>
    <w:rsid w:val="00ED72C8"/>
    <w:rsid w:val="00ED738F"/>
    <w:rsid w:val="00ED74DA"/>
    <w:rsid w:val="00ED75B6"/>
    <w:rsid w:val="00ED76FA"/>
    <w:rsid w:val="00ED7708"/>
    <w:rsid w:val="00ED7779"/>
    <w:rsid w:val="00ED7797"/>
    <w:rsid w:val="00ED7A23"/>
    <w:rsid w:val="00ED7A65"/>
    <w:rsid w:val="00ED7B6D"/>
    <w:rsid w:val="00ED7BB9"/>
    <w:rsid w:val="00ED7DD1"/>
    <w:rsid w:val="00ED7E50"/>
    <w:rsid w:val="00ED7ED5"/>
    <w:rsid w:val="00ED7FB5"/>
    <w:rsid w:val="00EE007C"/>
    <w:rsid w:val="00EE009B"/>
    <w:rsid w:val="00EE016D"/>
    <w:rsid w:val="00EE0228"/>
    <w:rsid w:val="00EE034D"/>
    <w:rsid w:val="00EE03E9"/>
    <w:rsid w:val="00EE0435"/>
    <w:rsid w:val="00EE0438"/>
    <w:rsid w:val="00EE044F"/>
    <w:rsid w:val="00EE0494"/>
    <w:rsid w:val="00EE050F"/>
    <w:rsid w:val="00EE0571"/>
    <w:rsid w:val="00EE0597"/>
    <w:rsid w:val="00EE05AC"/>
    <w:rsid w:val="00EE072C"/>
    <w:rsid w:val="00EE081E"/>
    <w:rsid w:val="00EE091F"/>
    <w:rsid w:val="00EE0957"/>
    <w:rsid w:val="00EE09C5"/>
    <w:rsid w:val="00EE0A15"/>
    <w:rsid w:val="00EE0B0D"/>
    <w:rsid w:val="00EE0B41"/>
    <w:rsid w:val="00EE0B4E"/>
    <w:rsid w:val="00EE0C0E"/>
    <w:rsid w:val="00EE0CE8"/>
    <w:rsid w:val="00EE0D86"/>
    <w:rsid w:val="00EE0EAF"/>
    <w:rsid w:val="00EE0F15"/>
    <w:rsid w:val="00EE10B6"/>
    <w:rsid w:val="00EE110F"/>
    <w:rsid w:val="00EE113C"/>
    <w:rsid w:val="00EE132E"/>
    <w:rsid w:val="00EE1346"/>
    <w:rsid w:val="00EE14B4"/>
    <w:rsid w:val="00EE1527"/>
    <w:rsid w:val="00EE16FC"/>
    <w:rsid w:val="00EE1738"/>
    <w:rsid w:val="00EE1777"/>
    <w:rsid w:val="00EE19B5"/>
    <w:rsid w:val="00EE1A55"/>
    <w:rsid w:val="00EE1A71"/>
    <w:rsid w:val="00EE1B8A"/>
    <w:rsid w:val="00EE1CAA"/>
    <w:rsid w:val="00EE1CCF"/>
    <w:rsid w:val="00EE1D9F"/>
    <w:rsid w:val="00EE1F4E"/>
    <w:rsid w:val="00EE2007"/>
    <w:rsid w:val="00EE202F"/>
    <w:rsid w:val="00EE20BA"/>
    <w:rsid w:val="00EE20DC"/>
    <w:rsid w:val="00EE2108"/>
    <w:rsid w:val="00EE22C4"/>
    <w:rsid w:val="00EE233F"/>
    <w:rsid w:val="00EE2357"/>
    <w:rsid w:val="00EE24DE"/>
    <w:rsid w:val="00EE25FE"/>
    <w:rsid w:val="00EE26F8"/>
    <w:rsid w:val="00EE2808"/>
    <w:rsid w:val="00EE2AC7"/>
    <w:rsid w:val="00EE2AE4"/>
    <w:rsid w:val="00EE2C58"/>
    <w:rsid w:val="00EE2D31"/>
    <w:rsid w:val="00EE2D45"/>
    <w:rsid w:val="00EE2D99"/>
    <w:rsid w:val="00EE2ECA"/>
    <w:rsid w:val="00EE3001"/>
    <w:rsid w:val="00EE30F2"/>
    <w:rsid w:val="00EE3124"/>
    <w:rsid w:val="00EE332F"/>
    <w:rsid w:val="00EE339B"/>
    <w:rsid w:val="00EE33D6"/>
    <w:rsid w:val="00EE33F9"/>
    <w:rsid w:val="00EE358C"/>
    <w:rsid w:val="00EE35B4"/>
    <w:rsid w:val="00EE3698"/>
    <w:rsid w:val="00EE375A"/>
    <w:rsid w:val="00EE3766"/>
    <w:rsid w:val="00EE3939"/>
    <w:rsid w:val="00EE3963"/>
    <w:rsid w:val="00EE3DBC"/>
    <w:rsid w:val="00EE3FC3"/>
    <w:rsid w:val="00EE4030"/>
    <w:rsid w:val="00EE4090"/>
    <w:rsid w:val="00EE41B9"/>
    <w:rsid w:val="00EE41D5"/>
    <w:rsid w:val="00EE42F5"/>
    <w:rsid w:val="00EE42F9"/>
    <w:rsid w:val="00EE4351"/>
    <w:rsid w:val="00EE45B5"/>
    <w:rsid w:val="00EE4712"/>
    <w:rsid w:val="00EE471F"/>
    <w:rsid w:val="00EE4738"/>
    <w:rsid w:val="00EE47E7"/>
    <w:rsid w:val="00EE48FF"/>
    <w:rsid w:val="00EE4929"/>
    <w:rsid w:val="00EE494D"/>
    <w:rsid w:val="00EE4A47"/>
    <w:rsid w:val="00EE4CBA"/>
    <w:rsid w:val="00EE4D10"/>
    <w:rsid w:val="00EE4D3A"/>
    <w:rsid w:val="00EE4F1D"/>
    <w:rsid w:val="00EE5111"/>
    <w:rsid w:val="00EE52D9"/>
    <w:rsid w:val="00EE555C"/>
    <w:rsid w:val="00EE5594"/>
    <w:rsid w:val="00EE55DF"/>
    <w:rsid w:val="00EE5797"/>
    <w:rsid w:val="00EE5B1D"/>
    <w:rsid w:val="00EE5C05"/>
    <w:rsid w:val="00EE5C2B"/>
    <w:rsid w:val="00EE5CAD"/>
    <w:rsid w:val="00EE5CF6"/>
    <w:rsid w:val="00EE5D37"/>
    <w:rsid w:val="00EE5D59"/>
    <w:rsid w:val="00EE60AE"/>
    <w:rsid w:val="00EE63A3"/>
    <w:rsid w:val="00EE658A"/>
    <w:rsid w:val="00EE65C8"/>
    <w:rsid w:val="00EE670F"/>
    <w:rsid w:val="00EE6721"/>
    <w:rsid w:val="00EE672A"/>
    <w:rsid w:val="00EE675F"/>
    <w:rsid w:val="00EE67FB"/>
    <w:rsid w:val="00EE681C"/>
    <w:rsid w:val="00EE697C"/>
    <w:rsid w:val="00EE6B2D"/>
    <w:rsid w:val="00EE6C26"/>
    <w:rsid w:val="00EE6C48"/>
    <w:rsid w:val="00EE6CCB"/>
    <w:rsid w:val="00EE6F56"/>
    <w:rsid w:val="00EE6F9B"/>
    <w:rsid w:val="00EE7046"/>
    <w:rsid w:val="00EE7075"/>
    <w:rsid w:val="00EE70FF"/>
    <w:rsid w:val="00EE71D6"/>
    <w:rsid w:val="00EE730B"/>
    <w:rsid w:val="00EE7599"/>
    <w:rsid w:val="00EE7760"/>
    <w:rsid w:val="00EE785B"/>
    <w:rsid w:val="00EE78EE"/>
    <w:rsid w:val="00EE794E"/>
    <w:rsid w:val="00EE795C"/>
    <w:rsid w:val="00EE7974"/>
    <w:rsid w:val="00EE79D9"/>
    <w:rsid w:val="00EE79F8"/>
    <w:rsid w:val="00EE7A4D"/>
    <w:rsid w:val="00EE7AEB"/>
    <w:rsid w:val="00EE7B34"/>
    <w:rsid w:val="00EE7C01"/>
    <w:rsid w:val="00EE7D5C"/>
    <w:rsid w:val="00EE7D7F"/>
    <w:rsid w:val="00EE7DF1"/>
    <w:rsid w:val="00EF0199"/>
    <w:rsid w:val="00EF01AD"/>
    <w:rsid w:val="00EF0284"/>
    <w:rsid w:val="00EF0435"/>
    <w:rsid w:val="00EF0442"/>
    <w:rsid w:val="00EF0513"/>
    <w:rsid w:val="00EF0653"/>
    <w:rsid w:val="00EF089D"/>
    <w:rsid w:val="00EF0935"/>
    <w:rsid w:val="00EF093F"/>
    <w:rsid w:val="00EF0943"/>
    <w:rsid w:val="00EF0A3E"/>
    <w:rsid w:val="00EF0A58"/>
    <w:rsid w:val="00EF0B16"/>
    <w:rsid w:val="00EF0C1B"/>
    <w:rsid w:val="00EF0D80"/>
    <w:rsid w:val="00EF0DF3"/>
    <w:rsid w:val="00EF0E07"/>
    <w:rsid w:val="00EF0E09"/>
    <w:rsid w:val="00EF0E8C"/>
    <w:rsid w:val="00EF0EBF"/>
    <w:rsid w:val="00EF0EFC"/>
    <w:rsid w:val="00EF0F5B"/>
    <w:rsid w:val="00EF1023"/>
    <w:rsid w:val="00EF11CF"/>
    <w:rsid w:val="00EF122D"/>
    <w:rsid w:val="00EF12CE"/>
    <w:rsid w:val="00EF133B"/>
    <w:rsid w:val="00EF1428"/>
    <w:rsid w:val="00EF151F"/>
    <w:rsid w:val="00EF1522"/>
    <w:rsid w:val="00EF178D"/>
    <w:rsid w:val="00EF17DA"/>
    <w:rsid w:val="00EF187A"/>
    <w:rsid w:val="00EF1995"/>
    <w:rsid w:val="00EF1A28"/>
    <w:rsid w:val="00EF1BEC"/>
    <w:rsid w:val="00EF1D11"/>
    <w:rsid w:val="00EF1D2A"/>
    <w:rsid w:val="00EF1DD1"/>
    <w:rsid w:val="00EF1E3D"/>
    <w:rsid w:val="00EF1E84"/>
    <w:rsid w:val="00EF1F71"/>
    <w:rsid w:val="00EF202F"/>
    <w:rsid w:val="00EF2047"/>
    <w:rsid w:val="00EF2110"/>
    <w:rsid w:val="00EF2122"/>
    <w:rsid w:val="00EF238F"/>
    <w:rsid w:val="00EF23B3"/>
    <w:rsid w:val="00EF2557"/>
    <w:rsid w:val="00EF2559"/>
    <w:rsid w:val="00EF2621"/>
    <w:rsid w:val="00EF276D"/>
    <w:rsid w:val="00EF280E"/>
    <w:rsid w:val="00EF2A91"/>
    <w:rsid w:val="00EF2A9F"/>
    <w:rsid w:val="00EF2AD3"/>
    <w:rsid w:val="00EF2BDB"/>
    <w:rsid w:val="00EF2C31"/>
    <w:rsid w:val="00EF2D67"/>
    <w:rsid w:val="00EF2D70"/>
    <w:rsid w:val="00EF2D80"/>
    <w:rsid w:val="00EF2F01"/>
    <w:rsid w:val="00EF2F96"/>
    <w:rsid w:val="00EF3100"/>
    <w:rsid w:val="00EF313D"/>
    <w:rsid w:val="00EF31E8"/>
    <w:rsid w:val="00EF3233"/>
    <w:rsid w:val="00EF3457"/>
    <w:rsid w:val="00EF3620"/>
    <w:rsid w:val="00EF3839"/>
    <w:rsid w:val="00EF38EB"/>
    <w:rsid w:val="00EF390F"/>
    <w:rsid w:val="00EF39CA"/>
    <w:rsid w:val="00EF3A44"/>
    <w:rsid w:val="00EF3B73"/>
    <w:rsid w:val="00EF3F27"/>
    <w:rsid w:val="00EF3F4E"/>
    <w:rsid w:val="00EF3FC4"/>
    <w:rsid w:val="00EF4024"/>
    <w:rsid w:val="00EF4196"/>
    <w:rsid w:val="00EF4242"/>
    <w:rsid w:val="00EF42B0"/>
    <w:rsid w:val="00EF4307"/>
    <w:rsid w:val="00EF4451"/>
    <w:rsid w:val="00EF4471"/>
    <w:rsid w:val="00EF45CB"/>
    <w:rsid w:val="00EF45EF"/>
    <w:rsid w:val="00EF471D"/>
    <w:rsid w:val="00EF4961"/>
    <w:rsid w:val="00EF4BC6"/>
    <w:rsid w:val="00EF4CED"/>
    <w:rsid w:val="00EF4D6C"/>
    <w:rsid w:val="00EF4DD1"/>
    <w:rsid w:val="00EF4DD7"/>
    <w:rsid w:val="00EF4F31"/>
    <w:rsid w:val="00EF4F64"/>
    <w:rsid w:val="00EF5098"/>
    <w:rsid w:val="00EF5234"/>
    <w:rsid w:val="00EF5236"/>
    <w:rsid w:val="00EF52D3"/>
    <w:rsid w:val="00EF5600"/>
    <w:rsid w:val="00EF5646"/>
    <w:rsid w:val="00EF5713"/>
    <w:rsid w:val="00EF5774"/>
    <w:rsid w:val="00EF58DA"/>
    <w:rsid w:val="00EF5A78"/>
    <w:rsid w:val="00EF5B4C"/>
    <w:rsid w:val="00EF5C1D"/>
    <w:rsid w:val="00EF5CF6"/>
    <w:rsid w:val="00EF5D19"/>
    <w:rsid w:val="00EF5D1B"/>
    <w:rsid w:val="00EF5D73"/>
    <w:rsid w:val="00EF5DA4"/>
    <w:rsid w:val="00EF5F18"/>
    <w:rsid w:val="00EF5FD4"/>
    <w:rsid w:val="00EF6067"/>
    <w:rsid w:val="00EF61CA"/>
    <w:rsid w:val="00EF61D5"/>
    <w:rsid w:val="00EF62FE"/>
    <w:rsid w:val="00EF6303"/>
    <w:rsid w:val="00EF6337"/>
    <w:rsid w:val="00EF6576"/>
    <w:rsid w:val="00EF6580"/>
    <w:rsid w:val="00EF65B1"/>
    <w:rsid w:val="00EF6666"/>
    <w:rsid w:val="00EF6821"/>
    <w:rsid w:val="00EF69A5"/>
    <w:rsid w:val="00EF69C6"/>
    <w:rsid w:val="00EF6A7F"/>
    <w:rsid w:val="00EF6A86"/>
    <w:rsid w:val="00EF6ADF"/>
    <w:rsid w:val="00EF6C2B"/>
    <w:rsid w:val="00EF6C77"/>
    <w:rsid w:val="00EF6EA2"/>
    <w:rsid w:val="00EF6F3A"/>
    <w:rsid w:val="00EF6F3C"/>
    <w:rsid w:val="00EF71FF"/>
    <w:rsid w:val="00EF72CD"/>
    <w:rsid w:val="00EF7420"/>
    <w:rsid w:val="00EF7554"/>
    <w:rsid w:val="00EF7630"/>
    <w:rsid w:val="00EF7770"/>
    <w:rsid w:val="00EF78A8"/>
    <w:rsid w:val="00EF792B"/>
    <w:rsid w:val="00EF7A22"/>
    <w:rsid w:val="00EF7A47"/>
    <w:rsid w:val="00EF7A53"/>
    <w:rsid w:val="00EF7C9C"/>
    <w:rsid w:val="00EF7D2C"/>
    <w:rsid w:val="00EF7D83"/>
    <w:rsid w:val="00EF7DB4"/>
    <w:rsid w:val="00EF7F50"/>
    <w:rsid w:val="00EF7FC5"/>
    <w:rsid w:val="00F00035"/>
    <w:rsid w:val="00F001AE"/>
    <w:rsid w:val="00F00203"/>
    <w:rsid w:val="00F003D5"/>
    <w:rsid w:val="00F00508"/>
    <w:rsid w:val="00F005F0"/>
    <w:rsid w:val="00F00798"/>
    <w:rsid w:val="00F00920"/>
    <w:rsid w:val="00F0095C"/>
    <w:rsid w:val="00F00A23"/>
    <w:rsid w:val="00F00A81"/>
    <w:rsid w:val="00F00BE2"/>
    <w:rsid w:val="00F00D2F"/>
    <w:rsid w:val="00F00D70"/>
    <w:rsid w:val="00F00DD7"/>
    <w:rsid w:val="00F00E2C"/>
    <w:rsid w:val="00F00EC7"/>
    <w:rsid w:val="00F00F93"/>
    <w:rsid w:val="00F00FBA"/>
    <w:rsid w:val="00F011CC"/>
    <w:rsid w:val="00F011F4"/>
    <w:rsid w:val="00F01245"/>
    <w:rsid w:val="00F0126E"/>
    <w:rsid w:val="00F013F8"/>
    <w:rsid w:val="00F014C5"/>
    <w:rsid w:val="00F017BA"/>
    <w:rsid w:val="00F01863"/>
    <w:rsid w:val="00F01896"/>
    <w:rsid w:val="00F01978"/>
    <w:rsid w:val="00F01A75"/>
    <w:rsid w:val="00F01D07"/>
    <w:rsid w:val="00F01DBF"/>
    <w:rsid w:val="00F01DD8"/>
    <w:rsid w:val="00F01E19"/>
    <w:rsid w:val="00F01EE1"/>
    <w:rsid w:val="00F02020"/>
    <w:rsid w:val="00F02045"/>
    <w:rsid w:val="00F020AD"/>
    <w:rsid w:val="00F02193"/>
    <w:rsid w:val="00F02195"/>
    <w:rsid w:val="00F021F0"/>
    <w:rsid w:val="00F021F1"/>
    <w:rsid w:val="00F02247"/>
    <w:rsid w:val="00F02261"/>
    <w:rsid w:val="00F023DC"/>
    <w:rsid w:val="00F0253A"/>
    <w:rsid w:val="00F02584"/>
    <w:rsid w:val="00F02661"/>
    <w:rsid w:val="00F02752"/>
    <w:rsid w:val="00F02889"/>
    <w:rsid w:val="00F028A2"/>
    <w:rsid w:val="00F02901"/>
    <w:rsid w:val="00F02AF6"/>
    <w:rsid w:val="00F02D20"/>
    <w:rsid w:val="00F02DEA"/>
    <w:rsid w:val="00F02F11"/>
    <w:rsid w:val="00F02F5A"/>
    <w:rsid w:val="00F02F86"/>
    <w:rsid w:val="00F03041"/>
    <w:rsid w:val="00F03043"/>
    <w:rsid w:val="00F0316C"/>
    <w:rsid w:val="00F03224"/>
    <w:rsid w:val="00F032E0"/>
    <w:rsid w:val="00F035B6"/>
    <w:rsid w:val="00F0366E"/>
    <w:rsid w:val="00F0382F"/>
    <w:rsid w:val="00F03925"/>
    <w:rsid w:val="00F039E9"/>
    <w:rsid w:val="00F03B38"/>
    <w:rsid w:val="00F03C5A"/>
    <w:rsid w:val="00F03CB2"/>
    <w:rsid w:val="00F03DEC"/>
    <w:rsid w:val="00F03FA0"/>
    <w:rsid w:val="00F04228"/>
    <w:rsid w:val="00F0425C"/>
    <w:rsid w:val="00F0425F"/>
    <w:rsid w:val="00F04270"/>
    <w:rsid w:val="00F04377"/>
    <w:rsid w:val="00F043FE"/>
    <w:rsid w:val="00F04520"/>
    <w:rsid w:val="00F04559"/>
    <w:rsid w:val="00F04681"/>
    <w:rsid w:val="00F048D8"/>
    <w:rsid w:val="00F04B86"/>
    <w:rsid w:val="00F04E4F"/>
    <w:rsid w:val="00F04FBB"/>
    <w:rsid w:val="00F04FE9"/>
    <w:rsid w:val="00F04FF5"/>
    <w:rsid w:val="00F0506E"/>
    <w:rsid w:val="00F050DA"/>
    <w:rsid w:val="00F05116"/>
    <w:rsid w:val="00F054ED"/>
    <w:rsid w:val="00F0556D"/>
    <w:rsid w:val="00F05580"/>
    <w:rsid w:val="00F0559F"/>
    <w:rsid w:val="00F055C3"/>
    <w:rsid w:val="00F05655"/>
    <w:rsid w:val="00F056F3"/>
    <w:rsid w:val="00F058A0"/>
    <w:rsid w:val="00F058E3"/>
    <w:rsid w:val="00F058E4"/>
    <w:rsid w:val="00F058ED"/>
    <w:rsid w:val="00F0599C"/>
    <w:rsid w:val="00F059B6"/>
    <w:rsid w:val="00F05A3B"/>
    <w:rsid w:val="00F05A7C"/>
    <w:rsid w:val="00F05BD9"/>
    <w:rsid w:val="00F05D1C"/>
    <w:rsid w:val="00F05D41"/>
    <w:rsid w:val="00F05EA5"/>
    <w:rsid w:val="00F05ECE"/>
    <w:rsid w:val="00F05F06"/>
    <w:rsid w:val="00F05F6D"/>
    <w:rsid w:val="00F05FF3"/>
    <w:rsid w:val="00F060BC"/>
    <w:rsid w:val="00F06343"/>
    <w:rsid w:val="00F06388"/>
    <w:rsid w:val="00F0639C"/>
    <w:rsid w:val="00F06482"/>
    <w:rsid w:val="00F06490"/>
    <w:rsid w:val="00F064B8"/>
    <w:rsid w:val="00F06572"/>
    <w:rsid w:val="00F065CD"/>
    <w:rsid w:val="00F065DB"/>
    <w:rsid w:val="00F0663C"/>
    <w:rsid w:val="00F0691F"/>
    <w:rsid w:val="00F069D2"/>
    <w:rsid w:val="00F069DC"/>
    <w:rsid w:val="00F06C01"/>
    <w:rsid w:val="00F06C0E"/>
    <w:rsid w:val="00F06F79"/>
    <w:rsid w:val="00F07165"/>
    <w:rsid w:val="00F072FA"/>
    <w:rsid w:val="00F07332"/>
    <w:rsid w:val="00F07333"/>
    <w:rsid w:val="00F0746C"/>
    <w:rsid w:val="00F07530"/>
    <w:rsid w:val="00F07649"/>
    <w:rsid w:val="00F07682"/>
    <w:rsid w:val="00F0777F"/>
    <w:rsid w:val="00F077FE"/>
    <w:rsid w:val="00F07883"/>
    <w:rsid w:val="00F0793A"/>
    <w:rsid w:val="00F079C7"/>
    <w:rsid w:val="00F07CC0"/>
    <w:rsid w:val="00F07F48"/>
    <w:rsid w:val="00F10018"/>
    <w:rsid w:val="00F1011A"/>
    <w:rsid w:val="00F104D4"/>
    <w:rsid w:val="00F10591"/>
    <w:rsid w:val="00F107EB"/>
    <w:rsid w:val="00F109BA"/>
    <w:rsid w:val="00F10BD4"/>
    <w:rsid w:val="00F10C9A"/>
    <w:rsid w:val="00F10CFB"/>
    <w:rsid w:val="00F10CFC"/>
    <w:rsid w:val="00F10D08"/>
    <w:rsid w:val="00F10DFE"/>
    <w:rsid w:val="00F10E48"/>
    <w:rsid w:val="00F10E95"/>
    <w:rsid w:val="00F10E97"/>
    <w:rsid w:val="00F10F6F"/>
    <w:rsid w:val="00F10F84"/>
    <w:rsid w:val="00F10FAD"/>
    <w:rsid w:val="00F110BB"/>
    <w:rsid w:val="00F11201"/>
    <w:rsid w:val="00F113FD"/>
    <w:rsid w:val="00F1151E"/>
    <w:rsid w:val="00F115BB"/>
    <w:rsid w:val="00F116A7"/>
    <w:rsid w:val="00F116B0"/>
    <w:rsid w:val="00F1179A"/>
    <w:rsid w:val="00F11901"/>
    <w:rsid w:val="00F11994"/>
    <w:rsid w:val="00F119EA"/>
    <w:rsid w:val="00F11AB6"/>
    <w:rsid w:val="00F11BB1"/>
    <w:rsid w:val="00F11BEB"/>
    <w:rsid w:val="00F11BF4"/>
    <w:rsid w:val="00F11C7A"/>
    <w:rsid w:val="00F11D8C"/>
    <w:rsid w:val="00F11DA5"/>
    <w:rsid w:val="00F11F3A"/>
    <w:rsid w:val="00F11FA6"/>
    <w:rsid w:val="00F11FBB"/>
    <w:rsid w:val="00F123D0"/>
    <w:rsid w:val="00F123FE"/>
    <w:rsid w:val="00F124E3"/>
    <w:rsid w:val="00F12705"/>
    <w:rsid w:val="00F127A8"/>
    <w:rsid w:val="00F1285D"/>
    <w:rsid w:val="00F128B5"/>
    <w:rsid w:val="00F1291D"/>
    <w:rsid w:val="00F12948"/>
    <w:rsid w:val="00F12A22"/>
    <w:rsid w:val="00F12BF0"/>
    <w:rsid w:val="00F12C7B"/>
    <w:rsid w:val="00F12C9F"/>
    <w:rsid w:val="00F12D69"/>
    <w:rsid w:val="00F12D6A"/>
    <w:rsid w:val="00F12E7C"/>
    <w:rsid w:val="00F12EB5"/>
    <w:rsid w:val="00F12F51"/>
    <w:rsid w:val="00F130B9"/>
    <w:rsid w:val="00F13146"/>
    <w:rsid w:val="00F1316C"/>
    <w:rsid w:val="00F13260"/>
    <w:rsid w:val="00F13280"/>
    <w:rsid w:val="00F132E1"/>
    <w:rsid w:val="00F13319"/>
    <w:rsid w:val="00F13343"/>
    <w:rsid w:val="00F13354"/>
    <w:rsid w:val="00F135C0"/>
    <w:rsid w:val="00F1363C"/>
    <w:rsid w:val="00F13831"/>
    <w:rsid w:val="00F1397F"/>
    <w:rsid w:val="00F13980"/>
    <w:rsid w:val="00F13A33"/>
    <w:rsid w:val="00F13AF9"/>
    <w:rsid w:val="00F13B1B"/>
    <w:rsid w:val="00F13B8C"/>
    <w:rsid w:val="00F13B97"/>
    <w:rsid w:val="00F13BEC"/>
    <w:rsid w:val="00F13C4F"/>
    <w:rsid w:val="00F13CBB"/>
    <w:rsid w:val="00F13DE7"/>
    <w:rsid w:val="00F13F38"/>
    <w:rsid w:val="00F13F9D"/>
    <w:rsid w:val="00F14085"/>
    <w:rsid w:val="00F140E5"/>
    <w:rsid w:val="00F14235"/>
    <w:rsid w:val="00F144D3"/>
    <w:rsid w:val="00F14538"/>
    <w:rsid w:val="00F1458D"/>
    <w:rsid w:val="00F145E2"/>
    <w:rsid w:val="00F146F5"/>
    <w:rsid w:val="00F14752"/>
    <w:rsid w:val="00F14AD9"/>
    <w:rsid w:val="00F14B68"/>
    <w:rsid w:val="00F14BBA"/>
    <w:rsid w:val="00F14D18"/>
    <w:rsid w:val="00F14DCA"/>
    <w:rsid w:val="00F14E52"/>
    <w:rsid w:val="00F14F93"/>
    <w:rsid w:val="00F14FE4"/>
    <w:rsid w:val="00F1504B"/>
    <w:rsid w:val="00F1508C"/>
    <w:rsid w:val="00F15177"/>
    <w:rsid w:val="00F151CE"/>
    <w:rsid w:val="00F15204"/>
    <w:rsid w:val="00F15306"/>
    <w:rsid w:val="00F1549D"/>
    <w:rsid w:val="00F154B9"/>
    <w:rsid w:val="00F15508"/>
    <w:rsid w:val="00F155B2"/>
    <w:rsid w:val="00F155D6"/>
    <w:rsid w:val="00F15795"/>
    <w:rsid w:val="00F159D0"/>
    <w:rsid w:val="00F15A6B"/>
    <w:rsid w:val="00F15A7C"/>
    <w:rsid w:val="00F15B5C"/>
    <w:rsid w:val="00F15C5D"/>
    <w:rsid w:val="00F15C92"/>
    <w:rsid w:val="00F16209"/>
    <w:rsid w:val="00F162A4"/>
    <w:rsid w:val="00F16315"/>
    <w:rsid w:val="00F1640D"/>
    <w:rsid w:val="00F16442"/>
    <w:rsid w:val="00F165EF"/>
    <w:rsid w:val="00F16A4E"/>
    <w:rsid w:val="00F16B9E"/>
    <w:rsid w:val="00F16DCB"/>
    <w:rsid w:val="00F16DE8"/>
    <w:rsid w:val="00F16EDE"/>
    <w:rsid w:val="00F16F56"/>
    <w:rsid w:val="00F16FD5"/>
    <w:rsid w:val="00F1703F"/>
    <w:rsid w:val="00F1710C"/>
    <w:rsid w:val="00F1738C"/>
    <w:rsid w:val="00F173F5"/>
    <w:rsid w:val="00F17459"/>
    <w:rsid w:val="00F17825"/>
    <w:rsid w:val="00F17893"/>
    <w:rsid w:val="00F17B29"/>
    <w:rsid w:val="00F17C66"/>
    <w:rsid w:val="00F17C80"/>
    <w:rsid w:val="00F17DB9"/>
    <w:rsid w:val="00F17E91"/>
    <w:rsid w:val="00F17F3B"/>
    <w:rsid w:val="00F17F99"/>
    <w:rsid w:val="00F200C8"/>
    <w:rsid w:val="00F2018B"/>
    <w:rsid w:val="00F2019A"/>
    <w:rsid w:val="00F201B5"/>
    <w:rsid w:val="00F20218"/>
    <w:rsid w:val="00F20293"/>
    <w:rsid w:val="00F202A9"/>
    <w:rsid w:val="00F2031A"/>
    <w:rsid w:val="00F20431"/>
    <w:rsid w:val="00F20577"/>
    <w:rsid w:val="00F2060B"/>
    <w:rsid w:val="00F2071E"/>
    <w:rsid w:val="00F20893"/>
    <w:rsid w:val="00F20957"/>
    <w:rsid w:val="00F20B2B"/>
    <w:rsid w:val="00F20C88"/>
    <w:rsid w:val="00F20D9A"/>
    <w:rsid w:val="00F20E4B"/>
    <w:rsid w:val="00F210D9"/>
    <w:rsid w:val="00F211E3"/>
    <w:rsid w:val="00F21303"/>
    <w:rsid w:val="00F214AC"/>
    <w:rsid w:val="00F21627"/>
    <w:rsid w:val="00F216B9"/>
    <w:rsid w:val="00F216F7"/>
    <w:rsid w:val="00F217AF"/>
    <w:rsid w:val="00F2192D"/>
    <w:rsid w:val="00F219A4"/>
    <w:rsid w:val="00F21A5C"/>
    <w:rsid w:val="00F21AB2"/>
    <w:rsid w:val="00F21AD0"/>
    <w:rsid w:val="00F21DF4"/>
    <w:rsid w:val="00F21E61"/>
    <w:rsid w:val="00F21F0C"/>
    <w:rsid w:val="00F21F31"/>
    <w:rsid w:val="00F21F6D"/>
    <w:rsid w:val="00F21F8D"/>
    <w:rsid w:val="00F2201D"/>
    <w:rsid w:val="00F220B7"/>
    <w:rsid w:val="00F22192"/>
    <w:rsid w:val="00F22200"/>
    <w:rsid w:val="00F22332"/>
    <w:rsid w:val="00F22346"/>
    <w:rsid w:val="00F224DD"/>
    <w:rsid w:val="00F22573"/>
    <w:rsid w:val="00F2268B"/>
    <w:rsid w:val="00F2275A"/>
    <w:rsid w:val="00F22881"/>
    <w:rsid w:val="00F229B3"/>
    <w:rsid w:val="00F22A66"/>
    <w:rsid w:val="00F22ADE"/>
    <w:rsid w:val="00F22B4A"/>
    <w:rsid w:val="00F22B6D"/>
    <w:rsid w:val="00F22C85"/>
    <w:rsid w:val="00F22D9B"/>
    <w:rsid w:val="00F22E4F"/>
    <w:rsid w:val="00F22FB2"/>
    <w:rsid w:val="00F230A3"/>
    <w:rsid w:val="00F2311E"/>
    <w:rsid w:val="00F23157"/>
    <w:rsid w:val="00F23357"/>
    <w:rsid w:val="00F233A4"/>
    <w:rsid w:val="00F2360D"/>
    <w:rsid w:val="00F2373D"/>
    <w:rsid w:val="00F237D1"/>
    <w:rsid w:val="00F237F2"/>
    <w:rsid w:val="00F23838"/>
    <w:rsid w:val="00F238F4"/>
    <w:rsid w:val="00F23996"/>
    <w:rsid w:val="00F239A9"/>
    <w:rsid w:val="00F239EF"/>
    <w:rsid w:val="00F23ABF"/>
    <w:rsid w:val="00F23B7B"/>
    <w:rsid w:val="00F23BAC"/>
    <w:rsid w:val="00F23C67"/>
    <w:rsid w:val="00F23C8B"/>
    <w:rsid w:val="00F23D23"/>
    <w:rsid w:val="00F23D46"/>
    <w:rsid w:val="00F23D9B"/>
    <w:rsid w:val="00F23E55"/>
    <w:rsid w:val="00F2401F"/>
    <w:rsid w:val="00F2412A"/>
    <w:rsid w:val="00F24640"/>
    <w:rsid w:val="00F249D8"/>
    <w:rsid w:val="00F24A5F"/>
    <w:rsid w:val="00F24B73"/>
    <w:rsid w:val="00F24B87"/>
    <w:rsid w:val="00F24D4C"/>
    <w:rsid w:val="00F24E07"/>
    <w:rsid w:val="00F24EA2"/>
    <w:rsid w:val="00F24F9C"/>
    <w:rsid w:val="00F250BD"/>
    <w:rsid w:val="00F25124"/>
    <w:rsid w:val="00F251B9"/>
    <w:rsid w:val="00F251EB"/>
    <w:rsid w:val="00F252EA"/>
    <w:rsid w:val="00F25372"/>
    <w:rsid w:val="00F25406"/>
    <w:rsid w:val="00F25427"/>
    <w:rsid w:val="00F254C1"/>
    <w:rsid w:val="00F254ED"/>
    <w:rsid w:val="00F256EB"/>
    <w:rsid w:val="00F2574D"/>
    <w:rsid w:val="00F25750"/>
    <w:rsid w:val="00F2576D"/>
    <w:rsid w:val="00F258DF"/>
    <w:rsid w:val="00F258E9"/>
    <w:rsid w:val="00F258F6"/>
    <w:rsid w:val="00F25A2C"/>
    <w:rsid w:val="00F25AC2"/>
    <w:rsid w:val="00F25AE6"/>
    <w:rsid w:val="00F25B1D"/>
    <w:rsid w:val="00F25B71"/>
    <w:rsid w:val="00F25D3A"/>
    <w:rsid w:val="00F25E43"/>
    <w:rsid w:val="00F25E82"/>
    <w:rsid w:val="00F25EFF"/>
    <w:rsid w:val="00F25FF7"/>
    <w:rsid w:val="00F2604B"/>
    <w:rsid w:val="00F260F8"/>
    <w:rsid w:val="00F2629A"/>
    <w:rsid w:val="00F26614"/>
    <w:rsid w:val="00F26629"/>
    <w:rsid w:val="00F26642"/>
    <w:rsid w:val="00F26787"/>
    <w:rsid w:val="00F26847"/>
    <w:rsid w:val="00F2696F"/>
    <w:rsid w:val="00F269F9"/>
    <w:rsid w:val="00F26A2A"/>
    <w:rsid w:val="00F26A9A"/>
    <w:rsid w:val="00F26C34"/>
    <w:rsid w:val="00F26CBB"/>
    <w:rsid w:val="00F26D8C"/>
    <w:rsid w:val="00F26DAE"/>
    <w:rsid w:val="00F26FE8"/>
    <w:rsid w:val="00F2701D"/>
    <w:rsid w:val="00F2718E"/>
    <w:rsid w:val="00F273DD"/>
    <w:rsid w:val="00F2742B"/>
    <w:rsid w:val="00F275C0"/>
    <w:rsid w:val="00F276F6"/>
    <w:rsid w:val="00F27723"/>
    <w:rsid w:val="00F2784F"/>
    <w:rsid w:val="00F278AC"/>
    <w:rsid w:val="00F2798E"/>
    <w:rsid w:val="00F27AA3"/>
    <w:rsid w:val="00F27B8F"/>
    <w:rsid w:val="00F27BDD"/>
    <w:rsid w:val="00F27BEE"/>
    <w:rsid w:val="00F27BFF"/>
    <w:rsid w:val="00F27D7B"/>
    <w:rsid w:val="00F27E1D"/>
    <w:rsid w:val="00F27E7A"/>
    <w:rsid w:val="00F27F33"/>
    <w:rsid w:val="00F3015B"/>
    <w:rsid w:val="00F303B7"/>
    <w:rsid w:val="00F304D5"/>
    <w:rsid w:val="00F304FF"/>
    <w:rsid w:val="00F3057F"/>
    <w:rsid w:val="00F305F6"/>
    <w:rsid w:val="00F306EA"/>
    <w:rsid w:val="00F308C0"/>
    <w:rsid w:val="00F3094F"/>
    <w:rsid w:val="00F309FB"/>
    <w:rsid w:val="00F30A09"/>
    <w:rsid w:val="00F30A72"/>
    <w:rsid w:val="00F30AED"/>
    <w:rsid w:val="00F30C32"/>
    <w:rsid w:val="00F30C6C"/>
    <w:rsid w:val="00F30CA7"/>
    <w:rsid w:val="00F30CF5"/>
    <w:rsid w:val="00F30DEC"/>
    <w:rsid w:val="00F30F3D"/>
    <w:rsid w:val="00F30F7B"/>
    <w:rsid w:val="00F31136"/>
    <w:rsid w:val="00F312C0"/>
    <w:rsid w:val="00F313AC"/>
    <w:rsid w:val="00F3155A"/>
    <w:rsid w:val="00F31595"/>
    <w:rsid w:val="00F31675"/>
    <w:rsid w:val="00F318A9"/>
    <w:rsid w:val="00F318CD"/>
    <w:rsid w:val="00F31943"/>
    <w:rsid w:val="00F319F3"/>
    <w:rsid w:val="00F31A01"/>
    <w:rsid w:val="00F31D5A"/>
    <w:rsid w:val="00F31EE6"/>
    <w:rsid w:val="00F31F04"/>
    <w:rsid w:val="00F31F8C"/>
    <w:rsid w:val="00F320DD"/>
    <w:rsid w:val="00F3219F"/>
    <w:rsid w:val="00F321DB"/>
    <w:rsid w:val="00F32203"/>
    <w:rsid w:val="00F32283"/>
    <w:rsid w:val="00F322C9"/>
    <w:rsid w:val="00F323EF"/>
    <w:rsid w:val="00F32667"/>
    <w:rsid w:val="00F326A1"/>
    <w:rsid w:val="00F32770"/>
    <w:rsid w:val="00F327B6"/>
    <w:rsid w:val="00F328FC"/>
    <w:rsid w:val="00F32970"/>
    <w:rsid w:val="00F32985"/>
    <w:rsid w:val="00F329C0"/>
    <w:rsid w:val="00F32A35"/>
    <w:rsid w:val="00F32A8F"/>
    <w:rsid w:val="00F32AC1"/>
    <w:rsid w:val="00F32BC0"/>
    <w:rsid w:val="00F32C53"/>
    <w:rsid w:val="00F32C7A"/>
    <w:rsid w:val="00F32D6F"/>
    <w:rsid w:val="00F32D99"/>
    <w:rsid w:val="00F32E1F"/>
    <w:rsid w:val="00F32F3B"/>
    <w:rsid w:val="00F3304A"/>
    <w:rsid w:val="00F33081"/>
    <w:rsid w:val="00F33121"/>
    <w:rsid w:val="00F3313A"/>
    <w:rsid w:val="00F3357B"/>
    <w:rsid w:val="00F33926"/>
    <w:rsid w:val="00F3392A"/>
    <w:rsid w:val="00F33956"/>
    <w:rsid w:val="00F33996"/>
    <w:rsid w:val="00F33A31"/>
    <w:rsid w:val="00F33A9B"/>
    <w:rsid w:val="00F33B70"/>
    <w:rsid w:val="00F33BD0"/>
    <w:rsid w:val="00F33C5B"/>
    <w:rsid w:val="00F33C77"/>
    <w:rsid w:val="00F33C82"/>
    <w:rsid w:val="00F33CCF"/>
    <w:rsid w:val="00F33D34"/>
    <w:rsid w:val="00F33DA3"/>
    <w:rsid w:val="00F34064"/>
    <w:rsid w:val="00F3408D"/>
    <w:rsid w:val="00F3408E"/>
    <w:rsid w:val="00F34157"/>
    <w:rsid w:val="00F34189"/>
    <w:rsid w:val="00F341C9"/>
    <w:rsid w:val="00F3425B"/>
    <w:rsid w:val="00F342F2"/>
    <w:rsid w:val="00F343A8"/>
    <w:rsid w:val="00F343D0"/>
    <w:rsid w:val="00F34426"/>
    <w:rsid w:val="00F3447B"/>
    <w:rsid w:val="00F345C8"/>
    <w:rsid w:val="00F3461F"/>
    <w:rsid w:val="00F3469C"/>
    <w:rsid w:val="00F3478F"/>
    <w:rsid w:val="00F3485F"/>
    <w:rsid w:val="00F34894"/>
    <w:rsid w:val="00F349ED"/>
    <w:rsid w:val="00F34A08"/>
    <w:rsid w:val="00F34AB4"/>
    <w:rsid w:val="00F34AF2"/>
    <w:rsid w:val="00F34CE5"/>
    <w:rsid w:val="00F34CEB"/>
    <w:rsid w:val="00F34DCF"/>
    <w:rsid w:val="00F34DFB"/>
    <w:rsid w:val="00F34E85"/>
    <w:rsid w:val="00F34F30"/>
    <w:rsid w:val="00F34F9E"/>
    <w:rsid w:val="00F350F2"/>
    <w:rsid w:val="00F3525D"/>
    <w:rsid w:val="00F35289"/>
    <w:rsid w:val="00F354AE"/>
    <w:rsid w:val="00F35663"/>
    <w:rsid w:val="00F356BC"/>
    <w:rsid w:val="00F3573D"/>
    <w:rsid w:val="00F35930"/>
    <w:rsid w:val="00F359C3"/>
    <w:rsid w:val="00F35A6C"/>
    <w:rsid w:val="00F35A95"/>
    <w:rsid w:val="00F35AE6"/>
    <w:rsid w:val="00F35BCB"/>
    <w:rsid w:val="00F35C02"/>
    <w:rsid w:val="00F35CE6"/>
    <w:rsid w:val="00F35EE5"/>
    <w:rsid w:val="00F362D5"/>
    <w:rsid w:val="00F362DC"/>
    <w:rsid w:val="00F3632E"/>
    <w:rsid w:val="00F36380"/>
    <w:rsid w:val="00F36452"/>
    <w:rsid w:val="00F364F6"/>
    <w:rsid w:val="00F36561"/>
    <w:rsid w:val="00F365BD"/>
    <w:rsid w:val="00F365EA"/>
    <w:rsid w:val="00F366A5"/>
    <w:rsid w:val="00F36775"/>
    <w:rsid w:val="00F36A97"/>
    <w:rsid w:val="00F36BD7"/>
    <w:rsid w:val="00F36C51"/>
    <w:rsid w:val="00F36FCD"/>
    <w:rsid w:val="00F37024"/>
    <w:rsid w:val="00F37075"/>
    <w:rsid w:val="00F370E9"/>
    <w:rsid w:val="00F371A1"/>
    <w:rsid w:val="00F37249"/>
    <w:rsid w:val="00F37343"/>
    <w:rsid w:val="00F37493"/>
    <w:rsid w:val="00F375E5"/>
    <w:rsid w:val="00F37656"/>
    <w:rsid w:val="00F37749"/>
    <w:rsid w:val="00F37825"/>
    <w:rsid w:val="00F378B8"/>
    <w:rsid w:val="00F378DD"/>
    <w:rsid w:val="00F379C7"/>
    <w:rsid w:val="00F37B2B"/>
    <w:rsid w:val="00F37BEA"/>
    <w:rsid w:val="00F37E14"/>
    <w:rsid w:val="00F37E1F"/>
    <w:rsid w:val="00F37EE9"/>
    <w:rsid w:val="00F37F3C"/>
    <w:rsid w:val="00F37FD0"/>
    <w:rsid w:val="00F40019"/>
    <w:rsid w:val="00F4005C"/>
    <w:rsid w:val="00F40295"/>
    <w:rsid w:val="00F402C0"/>
    <w:rsid w:val="00F4037D"/>
    <w:rsid w:val="00F4068E"/>
    <w:rsid w:val="00F40767"/>
    <w:rsid w:val="00F40827"/>
    <w:rsid w:val="00F409CC"/>
    <w:rsid w:val="00F40B0D"/>
    <w:rsid w:val="00F40B6B"/>
    <w:rsid w:val="00F40BBB"/>
    <w:rsid w:val="00F40C39"/>
    <w:rsid w:val="00F40CCF"/>
    <w:rsid w:val="00F40E73"/>
    <w:rsid w:val="00F40E86"/>
    <w:rsid w:val="00F40EA0"/>
    <w:rsid w:val="00F40F1A"/>
    <w:rsid w:val="00F40F92"/>
    <w:rsid w:val="00F40FB5"/>
    <w:rsid w:val="00F4109C"/>
    <w:rsid w:val="00F41216"/>
    <w:rsid w:val="00F41222"/>
    <w:rsid w:val="00F4142C"/>
    <w:rsid w:val="00F4144E"/>
    <w:rsid w:val="00F41561"/>
    <w:rsid w:val="00F41565"/>
    <w:rsid w:val="00F415B8"/>
    <w:rsid w:val="00F415D5"/>
    <w:rsid w:val="00F41877"/>
    <w:rsid w:val="00F41923"/>
    <w:rsid w:val="00F4196F"/>
    <w:rsid w:val="00F41AF4"/>
    <w:rsid w:val="00F41AFB"/>
    <w:rsid w:val="00F41B7E"/>
    <w:rsid w:val="00F41CF7"/>
    <w:rsid w:val="00F41D05"/>
    <w:rsid w:val="00F41EE3"/>
    <w:rsid w:val="00F41EFF"/>
    <w:rsid w:val="00F42038"/>
    <w:rsid w:val="00F420AF"/>
    <w:rsid w:val="00F420F5"/>
    <w:rsid w:val="00F4213E"/>
    <w:rsid w:val="00F42197"/>
    <w:rsid w:val="00F42279"/>
    <w:rsid w:val="00F42305"/>
    <w:rsid w:val="00F4241A"/>
    <w:rsid w:val="00F42493"/>
    <w:rsid w:val="00F42621"/>
    <w:rsid w:val="00F42646"/>
    <w:rsid w:val="00F42824"/>
    <w:rsid w:val="00F42860"/>
    <w:rsid w:val="00F428F3"/>
    <w:rsid w:val="00F42A09"/>
    <w:rsid w:val="00F42BE9"/>
    <w:rsid w:val="00F42D3A"/>
    <w:rsid w:val="00F42DD8"/>
    <w:rsid w:val="00F42E76"/>
    <w:rsid w:val="00F42FF8"/>
    <w:rsid w:val="00F43055"/>
    <w:rsid w:val="00F43071"/>
    <w:rsid w:val="00F43077"/>
    <w:rsid w:val="00F4316E"/>
    <w:rsid w:val="00F43221"/>
    <w:rsid w:val="00F43251"/>
    <w:rsid w:val="00F432EB"/>
    <w:rsid w:val="00F436BD"/>
    <w:rsid w:val="00F43884"/>
    <w:rsid w:val="00F4389F"/>
    <w:rsid w:val="00F438C3"/>
    <w:rsid w:val="00F438EC"/>
    <w:rsid w:val="00F4394E"/>
    <w:rsid w:val="00F4395D"/>
    <w:rsid w:val="00F43982"/>
    <w:rsid w:val="00F439DB"/>
    <w:rsid w:val="00F43A13"/>
    <w:rsid w:val="00F43A5B"/>
    <w:rsid w:val="00F43A9F"/>
    <w:rsid w:val="00F43B16"/>
    <w:rsid w:val="00F43CA5"/>
    <w:rsid w:val="00F43E5F"/>
    <w:rsid w:val="00F43ED2"/>
    <w:rsid w:val="00F43F1E"/>
    <w:rsid w:val="00F43F65"/>
    <w:rsid w:val="00F43FE5"/>
    <w:rsid w:val="00F43FE7"/>
    <w:rsid w:val="00F44034"/>
    <w:rsid w:val="00F44118"/>
    <w:rsid w:val="00F441C5"/>
    <w:rsid w:val="00F441EF"/>
    <w:rsid w:val="00F442D7"/>
    <w:rsid w:val="00F4433A"/>
    <w:rsid w:val="00F44488"/>
    <w:rsid w:val="00F4450D"/>
    <w:rsid w:val="00F44587"/>
    <w:rsid w:val="00F4467B"/>
    <w:rsid w:val="00F44687"/>
    <w:rsid w:val="00F44906"/>
    <w:rsid w:val="00F4499E"/>
    <w:rsid w:val="00F449CF"/>
    <w:rsid w:val="00F44A10"/>
    <w:rsid w:val="00F44A1C"/>
    <w:rsid w:val="00F44B6E"/>
    <w:rsid w:val="00F44BF8"/>
    <w:rsid w:val="00F44CBD"/>
    <w:rsid w:val="00F44E4F"/>
    <w:rsid w:val="00F44F33"/>
    <w:rsid w:val="00F4511D"/>
    <w:rsid w:val="00F45258"/>
    <w:rsid w:val="00F452C2"/>
    <w:rsid w:val="00F4539E"/>
    <w:rsid w:val="00F453EF"/>
    <w:rsid w:val="00F454AF"/>
    <w:rsid w:val="00F454F7"/>
    <w:rsid w:val="00F4581B"/>
    <w:rsid w:val="00F459AF"/>
    <w:rsid w:val="00F45A2D"/>
    <w:rsid w:val="00F45AA4"/>
    <w:rsid w:val="00F45B67"/>
    <w:rsid w:val="00F45C0F"/>
    <w:rsid w:val="00F45D48"/>
    <w:rsid w:val="00F45D82"/>
    <w:rsid w:val="00F45D9E"/>
    <w:rsid w:val="00F45DBC"/>
    <w:rsid w:val="00F45EE1"/>
    <w:rsid w:val="00F45F73"/>
    <w:rsid w:val="00F45FFD"/>
    <w:rsid w:val="00F46001"/>
    <w:rsid w:val="00F46108"/>
    <w:rsid w:val="00F4614C"/>
    <w:rsid w:val="00F4621E"/>
    <w:rsid w:val="00F46268"/>
    <w:rsid w:val="00F46478"/>
    <w:rsid w:val="00F46492"/>
    <w:rsid w:val="00F465DE"/>
    <w:rsid w:val="00F46683"/>
    <w:rsid w:val="00F46727"/>
    <w:rsid w:val="00F46797"/>
    <w:rsid w:val="00F46CB7"/>
    <w:rsid w:val="00F46DD2"/>
    <w:rsid w:val="00F46E61"/>
    <w:rsid w:val="00F46E8B"/>
    <w:rsid w:val="00F46FAA"/>
    <w:rsid w:val="00F47056"/>
    <w:rsid w:val="00F476D3"/>
    <w:rsid w:val="00F47721"/>
    <w:rsid w:val="00F47868"/>
    <w:rsid w:val="00F47AB1"/>
    <w:rsid w:val="00F47CE5"/>
    <w:rsid w:val="00F47E3E"/>
    <w:rsid w:val="00F47FA0"/>
    <w:rsid w:val="00F47FB2"/>
    <w:rsid w:val="00F47FBF"/>
    <w:rsid w:val="00F47FC2"/>
    <w:rsid w:val="00F5007F"/>
    <w:rsid w:val="00F50103"/>
    <w:rsid w:val="00F50186"/>
    <w:rsid w:val="00F50399"/>
    <w:rsid w:val="00F50406"/>
    <w:rsid w:val="00F5052E"/>
    <w:rsid w:val="00F50673"/>
    <w:rsid w:val="00F50727"/>
    <w:rsid w:val="00F507BE"/>
    <w:rsid w:val="00F507D0"/>
    <w:rsid w:val="00F50964"/>
    <w:rsid w:val="00F509B7"/>
    <w:rsid w:val="00F509CA"/>
    <w:rsid w:val="00F50C75"/>
    <w:rsid w:val="00F50C86"/>
    <w:rsid w:val="00F50CE4"/>
    <w:rsid w:val="00F50D8B"/>
    <w:rsid w:val="00F50F2E"/>
    <w:rsid w:val="00F50F38"/>
    <w:rsid w:val="00F51020"/>
    <w:rsid w:val="00F510C3"/>
    <w:rsid w:val="00F511B8"/>
    <w:rsid w:val="00F511EB"/>
    <w:rsid w:val="00F5135F"/>
    <w:rsid w:val="00F513CC"/>
    <w:rsid w:val="00F51435"/>
    <w:rsid w:val="00F514D7"/>
    <w:rsid w:val="00F515D0"/>
    <w:rsid w:val="00F51AA2"/>
    <w:rsid w:val="00F51B74"/>
    <w:rsid w:val="00F51BD6"/>
    <w:rsid w:val="00F51BF7"/>
    <w:rsid w:val="00F51C65"/>
    <w:rsid w:val="00F5202C"/>
    <w:rsid w:val="00F522BC"/>
    <w:rsid w:val="00F52400"/>
    <w:rsid w:val="00F52536"/>
    <w:rsid w:val="00F52593"/>
    <w:rsid w:val="00F52625"/>
    <w:rsid w:val="00F5270B"/>
    <w:rsid w:val="00F52770"/>
    <w:rsid w:val="00F528F5"/>
    <w:rsid w:val="00F52934"/>
    <w:rsid w:val="00F52991"/>
    <w:rsid w:val="00F52C7B"/>
    <w:rsid w:val="00F52C8E"/>
    <w:rsid w:val="00F52E3E"/>
    <w:rsid w:val="00F52E96"/>
    <w:rsid w:val="00F52EC0"/>
    <w:rsid w:val="00F53017"/>
    <w:rsid w:val="00F53023"/>
    <w:rsid w:val="00F53065"/>
    <w:rsid w:val="00F530D9"/>
    <w:rsid w:val="00F53165"/>
    <w:rsid w:val="00F53209"/>
    <w:rsid w:val="00F5340A"/>
    <w:rsid w:val="00F534C2"/>
    <w:rsid w:val="00F534F9"/>
    <w:rsid w:val="00F53545"/>
    <w:rsid w:val="00F5359A"/>
    <w:rsid w:val="00F535AF"/>
    <w:rsid w:val="00F53652"/>
    <w:rsid w:val="00F53804"/>
    <w:rsid w:val="00F53863"/>
    <w:rsid w:val="00F53912"/>
    <w:rsid w:val="00F53C31"/>
    <w:rsid w:val="00F53DF9"/>
    <w:rsid w:val="00F53E2D"/>
    <w:rsid w:val="00F53FCD"/>
    <w:rsid w:val="00F54126"/>
    <w:rsid w:val="00F54132"/>
    <w:rsid w:val="00F5431E"/>
    <w:rsid w:val="00F54384"/>
    <w:rsid w:val="00F5449A"/>
    <w:rsid w:val="00F547E7"/>
    <w:rsid w:val="00F5484C"/>
    <w:rsid w:val="00F54861"/>
    <w:rsid w:val="00F54936"/>
    <w:rsid w:val="00F54989"/>
    <w:rsid w:val="00F54A29"/>
    <w:rsid w:val="00F54AA0"/>
    <w:rsid w:val="00F54AAD"/>
    <w:rsid w:val="00F54B46"/>
    <w:rsid w:val="00F54BD7"/>
    <w:rsid w:val="00F54C91"/>
    <w:rsid w:val="00F55038"/>
    <w:rsid w:val="00F550A8"/>
    <w:rsid w:val="00F5543C"/>
    <w:rsid w:val="00F5564D"/>
    <w:rsid w:val="00F556DD"/>
    <w:rsid w:val="00F5579F"/>
    <w:rsid w:val="00F557D7"/>
    <w:rsid w:val="00F55886"/>
    <w:rsid w:val="00F55901"/>
    <w:rsid w:val="00F55955"/>
    <w:rsid w:val="00F55976"/>
    <w:rsid w:val="00F55AB9"/>
    <w:rsid w:val="00F55BF1"/>
    <w:rsid w:val="00F55D03"/>
    <w:rsid w:val="00F55D13"/>
    <w:rsid w:val="00F55D30"/>
    <w:rsid w:val="00F55D8D"/>
    <w:rsid w:val="00F55D91"/>
    <w:rsid w:val="00F55ED4"/>
    <w:rsid w:val="00F5605C"/>
    <w:rsid w:val="00F561C1"/>
    <w:rsid w:val="00F56244"/>
    <w:rsid w:val="00F562F8"/>
    <w:rsid w:val="00F56480"/>
    <w:rsid w:val="00F5668E"/>
    <w:rsid w:val="00F5673A"/>
    <w:rsid w:val="00F567B4"/>
    <w:rsid w:val="00F567F7"/>
    <w:rsid w:val="00F56845"/>
    <w:rsid w:val="00F5696C"/>
    <w:rsid w:val="00F569AC"/>
    <w:rsid w:val="00F569BD"/>
    <w:rsid w:val="00F56A75"/>
    <w:rsid w:val="00F56B7C"/>
    <w:rsid w:val="00F56C63"/>
    <w:rsid w:val="00F56DF8"/>
    <w:rsid w:val="00F56E3A"/>
    <w:rsid w:val="00F57028"/>
    <w:rsid w:val="00F57177"/>
    <w:rsid w:val="00F57189"/>
    <w:rsid w:val="00F5719A"/>
    <w:rsid w:val="00F571A9"/>
    <w:rsid w:val="00F5723E"/>
    <w:rsid w:val="00F572A9"/>
    <w:rsid w:val="00F572AC"/>
    <w:rsid w:val="00F57395"/>
    <w:rsid w:val="00F57496"/>
    <w:rsid w:val="00F57498"/>
    <w:rsid w:val="00F575ED"/>
    <w:rsid w:val="00F575F6"/>
    <w:rsid w:val="00F57835"/>
    <w:rsid w:val="00F578AC"/>
    <w:rsid w:val="00F579BC"/>
    <w:rsid w:val="00F57AEB"/>
    <w:rsid w:val="00F57B1C"/>
    <w:rsid w:val="00F57B32"/>
    <w:rsid w:val="00F57B87"/>
    <w:rsid w:val="00F57CA6"/>
    <w:rsid w:val="00F57CC2"/>
    <w:rsid w:val="00F60131"/>
    <w:rsid w:val="00F60175"/>
    <w:rsid w:val="00F6023C"/>
    <w:rsid w:val="00F603C4"/>
    <w:rsid w:val="00F60477"/>
    <w:rsid w:val="00F60668"/>
    <w:rsid w:val="00F60701"/>
    <w:rsid w:val="00F6083F"/>
    <w:rsid w:val="00F60A6A"/>
    <w:rsid w:val="00F60B10"/>
    <w:rsid w:val="00F60C16"/>
    <w:rsid w:val="00F60CC9"/>
    <w:rsid w:val="00F60D34"/>
    <w:rsid w:val="00F60E31"/>
    <w:rsid w:val="00F60E38"/>
    <w:rsid w:val="00F61035"/>
    <w:rsid w:val="00F61067"/>
    <w:rsid w:val="00F610F5"/>
    <w:rsid w:val="00F61142"/>
    <w:rsid w:val="00F61233"/>
    <w:rsid w:val="00F61318"/>
    <w:rsid w:val="00F61367"/>
    <w:rsid w:val="00F613FA"/>
    <w:rsid w:val="00F61472"/>
    <w:rsid w:val="00F6150F"/>
    <w:rsid w:val="00F61604"/>
    <w:rsid w:val="00F61739"/>
    <w:rsid w:val="00F6198A"/>
    <w:rsid w:val="00F619E6"/>
    <w:rsid w:val="00F61A5B"/>
    <w:rsid w:val="00F61B17"/>
    <w:rsid w:val="00F61B63"/>
    <w:rsid w:val="00F61C3A"/>
    <w:rsid w:val="00F61D2D"/>
    <w:rsid w:val="00F61D8C"/>
    <w:rsid w:val="00F61DBB"/>
    <w:rsid w:val="00F6204C"/>
    <w:rsid w:val="00F62166"/>
    <w:rsid w:val="00F621C5"/>
    <w:rsid w:val="00F623AF"/>
    <w:rsid w:val="00F62434"/>
    <w:rsid w:val="00F62456"/>
    <w:rsid w:val="00F62522"/>
    <w:rsid w:val="00F626AA"/>
    <w:rsid w:val="00F626E8"/>
    <w:rsid w:val="00F62713"/>
    <w:rsid w:val="00F6279F"/>
    <w:rsid w:val="00F62935"/>
    <w:rsid w:val="00F62B30"/>
    <w:rsid w:val="00F62B90"/>
    <w:rsid w:val="00F62C23"/>
    <w:rsid w:val="00F62D0C"/>
    <w:rsid w:val="00F62D94"/>
    <w:rsid w:val="00F62E3A"/>
    <w:rsid w:val="00F62E69"/>
    <w:rsid w:val="00F62EC0"/>
    <w:rsid w:val="00F62F0E"/>
    <w:rsid w:val="00F62FA7"/>
    <w:rsid w:val="00F6302B"/>
    <w:rsid w:val="00F63037"/>
    <w:rsid w:val="00F6313D"/>
    <w:rsid w:val="00F631AB"/>
    <w:rsid w:val="00F633BF"/>
    <w:rsid w:val="00F633D0"/>
    <w:rsid w:val="00F63434"/>
    <w:rsid w:val="00F6344E"/>
    <w:rsid w:val="00F63473"/>
    <w:rsid w:val="00F634E4"/>
    <w:rsid w:val="00F63532"/>
    <w:rsid w:val="00F636D3"/>
    <w:rsid w:val="00F6378E"/>
    <w:rsid w:val="00F6389B"/>
    <w:rsid w:val="00F639E1"/>
    <w:rsid w:val="00F63B93"/>
    <w:rsid w:val="00F63C06"/>
    <w:rsid w:val="00F63C68"/>
    <w:rsid w:val="00F63CAF"/>
    <w:rsid w:val="00F63CB2"/>
    <w:rsid w:val="00F63D92"/>
    <w:rsid w:val="00F63DC0"/>
    <w:rsid w:val="00F63DC6"/>
    <w:rsid w:val="00F63E34"/>
    <w:rsid w:val="00F63E67"/>
    <w:rsid w:val="00F63F0B"/>
    <w:rsid w:val="00F6401A"/>
    <w:rsid w:val="00F6403D"/>
    <w:rsid w:val="00F64092"/>
    <w:rsid w:val="00F641F5"/>
    <w:rsid w:val="00F6423C"/>
    <w:rsid w:val="00F64432"/>
    <w:rsid w:val="00F6446D"/>
    <w:rsid w:val="00F64539"/>
    <w:rsid w:val="00F645DB"/>
    <w:rsid w:val="00F6476C"/>
    <w:rsid w:val="00F647F3"/>
    <w:rsid w:val="00F6486A"/>
    <w:rsid w:val="00F64892"/>
    <w:rsid w:val="00F64946"/>
    <w:rsid w:val="00F6497B"/>
    <w:rsid w:val="00F64B80"/>
    <w:rsid w:val="00F64BE5"/>
    <w:rsid w:val="00F64BFB"/>
    <w:rsid w:val="00F64C2B"/>
    <w:rsid w:val="00F64E86"/>
    <w:rsid w:val="00F64F30"/>
    <w:rsid w:val="00F64F4B"/>
    <w:rsid w:val="00F64FC8"/>
    <w:rsid w:val="00F651DC"/>
    <w:rsid w:val="00F652CD"/>
    <w:rsid w:val="00F653AC"/>
    <w:rsid w:val="00F6554B"/>
    <w:rsid w:val="00F65596"/>
    <w:rsid w:val="00F655E0"/>
    <w:rsid w:val="00F65649"/>
    <w:rsid w:val="00F6565E"/>
    <w:rsid w:val="00F656AD"/>
    <w:rsid w:val="00F6576A"/>
    <w:rsid w:val="00F6584B"/>
    <w:rsid w:val="00F65861"/>
    <w:rsid w:val="00F65878"/>
    <w:rsid w:val="00F658AF"/>
    <w:rsid w:val="00F658E2"/>
    <w:rsid w:val="00F65956"/>
    <w:rsid w:val="00F6595E"/>
    <w:rsid w:val="00F65AD8"/>
    <w:rsid w:val="00F65CE0"/>
    <w:rsid w:val="00F65E68"/>
    <w:rsid w:val="00F65FE9"/>
    <w:rsid w:val="00F6613A"/>
    <w:rsid w:val="00F661DA"/>
    <w:rsid w:val="00F6631B"/>
    <w:rsid w:val="00F66339"/>
    <w:rsid w:val="00F66397"/>
    <w:rsid w:val="00F664AF"/>
    <w:rsid w:val="00F66533"/>
    <w:rsid w:val="00F66641"/>
    <w:rsid w:val="00F6670D"/>
    <w:rsid w:val="00F66955"/>
    <w:rsid w:val="00F669B4"/>
    <w:rsid w:val="00F669C3"/>
    <w:rsid w:val="00F66BD9"/>
    <w:rsid w:val="00F66CF5"/>
    <w:rsid w:val="00F66F27"/>
    <w:rsid w:val="00F6705C"/>
    <w:rsid w:val="00F67072"/>
    <w:rsid w:val="00F672EE"/>
    <w:rsid w:val="00F67318"/>
    <w:rsid w:val="00F67332"/>
    <w:rsid w:val="00F67342"/>
    <w:rsid w:val="00F674F1"/>
    <w:rsid w:val="00F674FC"/>
    <w:rsid w:val="00F6786A"/>
    <w:rsid w:val="00F6787D"/>
    <w:rsid w:val="00F678CC"/>
    <w:rsid w:val="00F67999"/>
    <w:rsid w:val="00F679AA"/>
    <w:rsid w:val="00F679AB"/>
    <w:rsid w:val="00F67A5B"/>
    <w:rsid w:val="00F67AF3"/>
    <w:rsid w:val="00F67AFF"/>
    <w:rsid w:val="00F67B65"/>
    <w:rsid w:val="00F67BEA"/>
    <w:rsid w:val="00F67E6A"/>
    <w:rsid w:val="00F67F4E"/>
    <w:rsid w:val="00F7019E"/>
    <w:rsid w:val="00F702F5"/>
    <w:rsid w:val="00F70484"/>
    <w:rsid w:val="00F70510"/>
    <w:rsid w:val="00F705AA"/>
    <w:rsid w:val="00F7061F"/>
    <w:rsid w:val="00F70632"/>
    <w:rsid w:val="00F706B4"/>
    <w:rsid w:val="00F70704"/>
    <w:rsid w:val="00F70723"/>
    <w:rsid w:val="00F70843"/>
    <w:rsid w:val="00F70A14"/>
    <w:rsid w:val="00F70B13"/>
    <w:rsid w:val="00F70BC5"/>
    <w:rsid w:val="00F70CEC"/>
    <w:rsid w:val="00F70DBA"/>
    <w:rsid w:val="00F70DFD"/>
    <w:rsid w:val="00F70E0F"/>
    <w:rsid w:val="00F70EF1"/>
    <w:rsid w:val="00F71130"/>
    <w:rsid w:val="00F7116F"/>
    <w:rsid w:val="00F711D7"/>
    <w:rsid w:val="00F713C4"/>
    <w:rsid w:val="00F716C0"/>
    <w:rsid w:val="00F7176E"/>
    <w:rsid w:val="00F71A21"/>
    <w:rsid w:val="00F71A56"/>
    <w:rsid w:val="00F71BEE"/>
    <w:rsid w:val="00F71C3A"/>
    <w:rsid w:val="00F71E40"/>
    <w:rsid w:val="00F71FF9"/>
    <w:rsid w:val="00F7208C"/>
    <w:rsid w:val="00F72297"/>
    <w:rsid w:val="00F7229A"/>
    <w:rsid w:val="00F722BF"/>
    <w:rsid w:val="00F72560"/>
    <w:rsid w:val="00F725DB"/>
    <w:rsid w:val="00F7275F"/>
    <w:rsid w:val="00F72954"/>
    <w:rsid w:val="00F7296C"/>
    <w:rsid w:val="00F7296D"/>
    <w:rsid w:val="00F72A1A"/>
    <w:rsid w:val="00F72EE0"/>
    <w:rsid w:val="00F72FFC"/>
    <w:rsid w:val="00F73212"/>
    <w:rsid w:val="00F7323C"/>
    <w:rsid w:val="00F732E1"/>
    <w:rsid w:val="00F73420"/>
    <w:rsid w:val="00F735B9"/>
    <w:rsid w:val="00F735ED"/>
    <w:rsid w:val="00F73698"/>
    <w:rsid w:val="00F736A7"/>
    <w:rsid w:val="00F73959"/>
    <w:rsid w:val="00F739EE"/>
    <w:rsid w:val="00F73AFA"/>
    <w:rsid w:val="00F73D75"/>
    <w:rsid w:val="00F73E69"/>
    <w:rsid w:val="00F73FF8"/>
    <w:rsid w:val="00F740D4"/>
    <w:rsid w:val="00F74151"/>
    <w:rsid w:val="00F74168"/>
    <w:rsid w:val="00F74282"/>
    <w:rsid w:val="00F74449"/>
    <w:rsid w:val="00F74516"/>
    <w:rsid w:val="00F745A9"/>
    <w:rsid w:val="00F745F4"/>
    <w:rsid w:val="00F74605"/>
    <w:rsid w:val="00F74691"/>
    <w:rsid w:val="00F7477A"/>
    <w:rsid w:val="00F74886"/>
    <w:rsid w:val="00F748F6"/>
    <w:rsid w:val="00F74B6C"/>
    <w:rsid w:val="00F74BB2"/>
    <w:rsid w:val="00F74C20"/>
    <w:rsid w:val="00F74DB7"/>
    <w:rsid w:val="00F74DD7"/>
    <w:rsid w:val="00F74E81"/>
    <w:rsid w:val="00F74E88"/>
    <w:rsid w:val="00F74F93"/>
    <w:rsid w:val="00F75139"/>
    <w:rsid w:val="00F75231"/>
    <w:rsid w:val="00F75435"/>
    <w:rsid w:val="00F754A5"/>
    <w:rsid w:val="00F7556F"/>
    <w:rsid w:val="00F75665"/>
    <w:rsid w:val="00F757D3"/>
    <w:rsid w:val="00F757E6"/>
    <w:rsid w:val="00F75815"/>
    <w:rsid w:val="00F759D5"/>
    <w:rsid w:val="00F759D6"/>
    <w:rsid w:val="00F75BAA"/>
    <w:rsid w:val="00F75CE7"/>
    <w:rsid w:val="00F75F27"/>
    <w:rsid w:val="00F75F31"/>
    <w:rsid w:val="00F75FC9"/>
    <w:rsid w:val="00F760DB"/>
    <w:rsid w:val="00F7614F"/>
    <w:rsid w:val="00F762BB"/>
    <w:rsid w:val="00F76383"/>
    <w:rsid w:val="00F763F7"/>
    <w:rsid w:val="00F765FC"/>
    <w:rsid w:val="00F7665F"/>
    <w:rsid w:val="00F766A6"/>
    <w:rsid w:val="00F767A6"/>
    <w:rsid w:val="00F767B7"/>
    <w:rsid w:val="00F7691A"/>
    <w:rsid w:val="00F76A67"/>
    <w:rsid w:val="00F76BAF"/>
    <w:rsid w:val="00F76C21"/>
    <w:rsid w:val="00F76C39"/>
    <w:rsid w:val="00F76D02"/>
    <w:rsid w:val="00F76DB1"/>
    <w:rsid w:val="00F76E24"/>
    <w:rsid w:val="00F76ED8"/>
    <w:rsid w:val="00F7730B"/>
    <w:rsid w:val="00F77370"/>
    <w:rsid w:val="00F774CE"/>
    <w:rsid w:val="00F77545"/>
    <w:rsid w:val="00F775CB"/>
    <w:rsid w:val="00F77677"/>
    <w:rsid w:val="00F7773C"/>
    <w:rsid w:val="00F7785B"/>
    <w:rsid w:val="00F778F9"/>
    <w:rsid w:val="00F77984"/>
    <w:rsid w:val="00F77B81"/>
    <w:rsid w:val="00F77B8B"/>
    <w:rsid w:val="00F77CC4"/>
    <w:rsid w:val="00F77DDA"/>
    <w:rsid w:val="00F77E3B"/>
    <w:rsid w:val="00F77E41"/>
    <w:rsid w:val="00F77E60"/>
    <w:rsid w:val="00F801D2"/>
    <w:rsid w:val="00F801DE"/>
    <w:rsid w:val="00F801EA"/>
    <w:rsid w:val="00F80236"/>
    <w:rsid w:val="00F8025E"/>
    <w:rsid w:val="00F80393"/>
    <w:rsid w:val="00F803B2"/>
    <w:rsid w:val="00F804A9"/>
    <w:rsid w:val="00F80529"/>
    <w:rsid w:val="00F8058F"/>
    <w:rsid w:val="00F8060B"/>
    <w:rsid w:val="00F80647"/>
    <w:rsid w:val="00F806E0"/>
    <w:rsid w:val="00F80726"/>
    <w:rsid w:val="00F80740"/>
    <w:rsid w:val="00F807F5"/>
    <w:rsid w:val="00F808E8"/>
    <w:rsid w:val="00F8092E"/>
    <w:rsid w:val="00F809E9"/>
    <w:rsid w:val="00F80A0A"/>
    <w:rsid w:val="00F80A76"/>
    <w:rsid w:val="00F80AB8"/>
    <w:rsid w:val="00F80B5A"/>
    <w:rsid w:val="00F80C05"/>
    <w:rsid w:val="00F80C08"/>
    <w:rsid w:val="00F80CC3"/>
    <w:rsid w:val="00F80F10"/>
    <w:rsid w:val="00F80F46"/>
    <w:rsid w:val="00F81032"/>
    <w:rsid w:val="00F810E5"/>
    <w:rsid w:val="00F812B5"/>
    <w:rsid w:val="00F812CF"/>
    <w:rsid w:val="00F81324"/>
    <w:rsid w:val="00F813AA"/>
    <w:rsid w:val="00F816D7"/>
    <w:rsid w:val="00F817DC"/>
    <w:rsid w:val="00F81976"/>
    <w:rsid w:val="00F819C9"/>
    <w:rsid w:val="00F81A16"/>
    <w:rsid w:val="00F81A89"/>
    <w:rsid w:val="00F81AD0"/>
    <w:rsid w:val="00F81B63"/>
    <w:rsid w:val="00F81BBD"/>
    <w:rsid w:val="00F81D91"/>
    <w:rsid w:val="00F81DBC"/>
    <w:rsid w:val="00F81E62"/>
    <w:rsid w:val="00F81FDD"/>
    <w:rsid w:val="00F81FF5"/>
    <w:rsid w:val="00F8206E"/>
    <w:rsid w:val="00F82275"/>
    <w:rsid w:val="00F823CF"/>
    <w:rsid w:val="00F8250A"/>
    <w:rsid w:val="00F82559"/>
    <w:rsid w:val="00F82776"/>
    <w:rsid w:val="00F828D8"/>
    <w:rsid w:val="00F828F0"/>
    <w:rsid w:val="00F829EC"/>
    <w:rsid w:val="00F82A53"/>
    <w:rsid w:val="00F82A71"/>
    <w:rsid w:val="00F82B79"/>
    <w:rsid w:val="00F82C25"/>
    <w:rsid w:val="00F82C3F"/>
    <w:rsid w:val="00F82CE9"/>
    <w:rsid w:val="00F831BD"/>
    <w:rsid w:val="00F833A5"/>
    <w:rsid w:val="00F833B8"/>
    <w:rsid w:val="00F83480"/>
    <w:rsid w:val="00F83500"/>
    <w:rsid w:val="00F83523"/>
    <w:rsid w:val="00F83534"/>
    <w:rsid w:val="00F83555"/>
    <w:rsid w:val="00F83776"/>
    <w:rsid w:val="00F8387D"/>
    <w:rsid w:val="00F838F4"/>
    <w:rsid w:val="00F83A68"/>
    <w:rsid w:val="00F83AC9"/>
    <w:rsid w:val="00F83C07"/>
    <w:rsid w:val="00F83CB3"/>
    <w:rsid w:val="00F83CD2"/>
    <w:rsid w:val="00F83D44"/>
    <w:rsid w:val="00F83E05"/>
    <w:rsid w:val="00F83EAC"/>
    <w:rsid w:val="00F83F39"/>
    <w:rsid w:val="00F84091"/>
    <w:rsid w:val="00F84154"/>
    <w:rsid w:val="00F84182"/>
    <w:rsid w:val="00F8433E"/>
    <w:rsid w:val="00F84354"/>
    <w:rsid w:val="00F845FC"/>
    <w:rsid w:val="00F84605"/>
    <w:rsid w:val="00F8460D"/>
    <w:rsid w:val="00F84747"/>
    <w:rsid w:val="00F84866"/>
    <w:rsid w:val="00F848D0"/>
    <w:rsid w:val="00F84BB4"/>
    <w:rsid w:val="00F84CD2"/>
    <w:rsid w:val="00F84D7D"/>
    <w:rsid w:val="00F84D8B"/>
    <w:rsid w:val="00F84DBC"/>
    <w:rsid w:val="00F84DF1"/>
    <w:rsid w:val="00F84E26"/>
    <w:rsid w:val="00F84F84"/>
    <w:rsid w:val="00F84FE7"/>
    <w:rsid w:val="00F85052"/>
    <w:rsid w:val="00F85186"/>
    <w:rsid w:val="00F8518F"/>
    <w:rsid w:val="00F85387"/>
    <w:rsid w:val="00F85389"/>
    <w:rsid w:val="00F8548A"/>
    <w:rsid w:val="00F85562"/>
    <w:rsid w:val="00F856E2"/>
    <w:rsid w:val="00F857D0"/>
    <w:rsid w:val="00F8598C"/>
    <w:rsid w:val="00F85A19"/>
    <w:rsid w:val="00F85A3C"/>
    <w:rsid w:val="00F85A53"/>
    <w:rsid w:val="00F85CB8"/>
    <w:rsid w:val="00F85CDA"/>
    <w:rsid w:val="00F85DB2"/>
    <w:rsid w:val="00F85E4B"/>
    <w:rsid w:val="00F85E4F"/>
    <w:rsid w:val="00F85E5C"/>
    <w:rsid w:val="00F85EB8"/>
    <w:rsid w:val="00F85F24"/>
    <w:rsid w:val="00F8607D"/>
    <w:rsid w:val="00F8618E"/>
    <w:rsid w:val="00F862A6"/>
    <w:rsid w:val="00F862C3"/>
    <w:rsid w:val="00F863E0"/>
    <w:rsid w:val="00F867AF"/>
    <w:rsid w:val="00F867EB"/>
    <w:rsid w:val="00F869B7"/>
    <w:rsid w:val="00F86E3A"/>
    <w:rsid w:val="00F86F28"/>
    <w:rsid w:val="00F86F4E"/>
    <w:rsid w:val="00F86F77"/>
    <w:rsid w:val="00F87058"/>
    <w:rsid w:val="00F8732D"/>
    <w:rsid w:val="00F8740C"/>
    <w:rsid w:val="00F87793"/>
    <w:rsid w:val="00F877EB"/>
    <w:rsid w:val="00F87892"/>
    <w:rsid w:val="00F87928"/>
    <w:rsid w:val="00F87AB4"/>
    <w:rsid w:val="00F87AD6"/>
    <w:rsid w:val="00F87C36"/>
    <w:rsid w:val="00F87C43"/>
    <w:rsid w:val="00F87C6A"/>
    <w:rsid w:val="00F87C90"/>
    <w:rsid w:val="00F87DAA"/>
    <w:rsid w:val="00F87E33"/>
    <w:rsid w:val="00F87ECB"/>
    <w:rsid w:val="00F90000"/>
    <w:rsid w:val="00F9000D"/>
    <w:rsid w:val="00F9006E"/>
    <w:rsid w:val="00F900A0"/>
    <w:rsid w:val="00F900AE"/>
    <w:rsid w:val="00F9020F"/>
    <w:rsid w:val="00F9052E"/>
    <w:rsid w:val="00F90630"/>
    <w:rsid w:val="00F90687"/>
    <w:rsid w:val="00F906DA"/>
    <w:rsid w:val="00F9091D"/>
    <w:rsid w:val="00F90936"/>
    <w:rsid w:val="00F909A4"/>
    <w:rsid w:val="00F90A74"/>
    <w:rsid w:val="00F90BCC"/>
    <w:rsid w:val="00F90C30"/>
    <w:rsid w:val="00F90C52"/>
    <w:rsid w:val="00F90CA6"/>
    <w:rsid w:val="00F90E19"/>
    <w:rsid w:val="00F90FB9"/>
    <w:rsid w:val="00F910A2"/>
    <w:rsid w:val="00F9110B"/>
    <w:rsid w:val="00F912D2"/>
    <w:rsid w:val="00F9132C"/>
    <w:rsid w:val="00F91376"/>
    <w:rsid w:val="00F913BC"/>
    <w:rsid w:val="00F914CF"/>
    <w:rsid w:val="00F915E3"/>
    <w:rsid w:val="00F9175C"/>
    <w:rsid w:val="00F91795"/>
    <w:rsid w:val="00F91833"/>
    <w:rsid w:val="00F918A4"/>
    <w:rsid w:val="00F918B0"/>
    <w:rsid w:val="00F918E1"/>
    <w:rsid w:val="00F918EB"/>
    <w:rsid w:val="00F91B1F"/>
    <w:rsid w:val="00F91B40"/>
    <w:rsid w:val="00F91B4F"/>
    <w:rsid w:val="00F91BE1"/>
    <w:rsid w:val="00F91BE8"/>
    <w:rsid w:val="00F91D1B"/>
    <w:rsid w:val="00F91E50"/>
    <w:rsid w:val="00F91EF2"/>
    <w:rsid w:val="00F92096"/>
    <w:rsid w:val="00F920C4"/>
    <w:rsid w:val="00F92198"/>
    <w:rsid w:val="00F922C3"/>
    <w:rsid w:val="00F9236B"/>
    <w:rsid w:val="00F923E8"/>
    <w:rsid w:val="00F9251E"/>
    <w:rsid w:val="00F925A9"/>
    <w:rsid w:val="00F925CD"/>
    <w:rsid w:val="00F92614"/>
    <w:rsid w:val="00F9262B"/>
    <w:rsid w:val="00F92687"/>
    <w:rsid w:val="00F926B8"/>
    <w:rsid w:val="00F926D9"/>
    <w:rsid w:val="00F92840"/>
    <w:rsid w:val="00F92A64"/>
    <w:rsid w:val="00F92A7F"/>
    <w:rsid w:val="00F92AE5"/>
    <w:rsid w:val="00F92B8A"/>
    <w:rsid w:val="00F92BCD"/>
    <w:rsid w:val="00F92BF5"/>
    <w:rsid w:val="00F92BFD"/>
    <w:rsid w:val="00F92C3A"/>
    <w:rsid w:val="00F92C94"/>
    <w:rsid w:val="00F92D78"/>
    <w:rsid w:val="00F92E01"/>
    <w:rsid w:val="00F92E06"/>
    <w:rsid w:val="00F92E77"/>
    <w:rsid w:val="00F92E7B"/>
    <w:rsid w:val="00F92FC0"/>
    <w:rsid w:val="00F93091"/>
    <w:rsid w:val="00F9317F"/>
    <w:rsid w:val="00F9334B"/>
    <w:rsid w:val="00F9334F"/>
    <w:rsid w:val="00F933EF"/>
    <w:rsid w:val="00F934F4"/>
    <w:rsid w:val="00F935B2"/>
    <w:rsid w:val="00F9361C"/>
    <w:rsid w:val="00F9367F"/>
    <w:rsid w:val="00F93718"/>
    <w:rsid w:val="00F9379F"/>
    <w:rsid w:val="00F93856"/>
    <w:rsid w:val="00F93980"/>
    <w:rsid w:val="00F939F8"/>
    <w:rsid w:val="00F93AFF"/>
    <w:rsid w:val="00F93B5E"/>
    <w:rsid w:val="00F93B8D"/>
    <w:rsid w:val="00F93D5D"/>
    <w:rsid w:val="00F93D8E"/>
    <w:rsid w:val="00F93DD7"/>
    <w:rsid w:val="00F93EAE"/>
    <w:rsid w:val="00F93FD4"/>
    <w:rsid w:val="00F94092"/>
    <w:rsid w:val="00F9410D"/>
    <w:rsid w:val="00F94185"/>
    <w:rsid w:val="00F94202"/>
    <w:rsid w:val="00F942BE"/>
    <w:rsid w:val="00F9433E"/>
    <w:rsid w:val="00F943E1"/>
    <w:rsid w:val="00F9442D"/>
    <w:rsid w:val="00F944D9"/>
    <w:rsid w:val="00F94566"/>
    <w:rsid w:val="00F9465E"/>
    <w:rsid w:val="00F946B7"/>
    <w:rsid w:val="00F947E3"/>
    <w:rsid w:val="00F94821"/>
    <w:rsid w:val="00F949D0"/>
    <w:rsid w:val="00F94A83"/>
    <w:rsid w:val="00F94D12"/>
    <w:rsid w:val="00F94D26"/>
    <w:rsid w:val="00F94ED1"/>
    <w:rsid w:val="00F94EF5"/>
    <w:rsid w:val="00F950F8"/>
    <w:rsid w:val="00F95111"/>
    <w:rsid w:val="00F9517A"/>
    <w:rsid w:val="00F9519A"/>
    <w:rsid w:val="00F951C8"/>
    <w:rsid w:val="00F95280"/>
    <w:rsid w:val="00F9555B"/>
    <w:rsid w:val="00F955EF"/>
    <w:rsid w:val="00F95681"/>
    <w:rsid w:val="00F95861"/>
    <w:rsid w:val="00F95A11"/>
    <w:rsid w:val="00F95A13"/>
    <w:rsid w:val="00F95A82"/>
    <w:rsid w:val="00F95C23"/>
    <w:rsid w:val="00F95C60"/>
    <w:rsid w:val="00F95E55"/>
    <w:rsid w:val="00F95F2F"/>
    <w:rsid w:val="00F960D0"/>
    <w:rsid w:val="00F9615B"/>
    <w:rsid w:val="00F96219"/>
    <w:rsid w:val="00F96237"/>
    <w:rsid w:val="00F96251"/>
    <w:rsid w:val="00F9638C"/>
    <w:rsid w:val="00F96455"/>
    <w:rsid w:val="00F9661C"/>
    <w:rsid w:val="00F96635"/>
    <w:rsid w:val="00F966AA"/>
    <w:rsid w:val="00F96734"/>
    <w:rsid w:val="00F967F7"/>
    <w:rsid w:val="00F9682E"/>
    <w:rsid w:val="00F96912"/>
    <w:rsid w:val="00F96ABC"/>
    <w:rsid w:val="00F96BCF"/>
    <w:rsid w:val="00F96E34"/>
    <w:rsid w:val="00F96FA8"/>
    <w:rsid w:val="00F97161"/>
    <w:rsid w:val="00F972F3"/>
    <w:rsid w:val="00F97326"/>
    <w:rsid w:val="00F97338"/>
    <w:rsid w:val="00F97509"/>
    <w:rsid w:val="00F977F4"/>
    <w:rsid w:val="00F97821"/>
    <w:rsid w:val="00F979B7"/>
    <w:rsid w:val="00F97ACA"/>
    <w:rsid w:val="00F97B0C"/>
    <w:rsid w:val="00F97C15"/>
    <w:rsid w:val="00F97CFE"/>
    <w:rsid w:val="00F97EA4"/>
    <w:rsid w:val="00F97F67"/>
    <w:rsid w:val="00F97FF1"/>
    <w:rsid w:val="00FA0144"/>
    <w:rsid w:val="00FA01B5"/>
    <w:rsid w:val="00FA0503"/>
    <w:rsid w:val="00FA05F8"/>
    <w:rsid w:val="00FA067A"/>
    <w:rsid w:val="00FA0778"/>
    <w:rsid w:val="00FA07EC"/>
    <w:rsid w:val="00FA08E6"/>
    <w:rsid w:val="00FA08FB"/>
    <w:rsid w:val="00FA09BD"/>
    <w:rsid w:val="00FA0D84"/>
    <w:rsid w:val="00FA0DBB"/>
    <w:rsid w:val="00FA0E2B"/>
    <w:rsid w:val="00FA0E41"/>
    <w:rsid w:val="00FA0E74"/>
    <w:rsid w:val="00FA11D5"/>
    <w:rsid w:val="00FA138C"/>
    <w:rsid w:val="00FA13B3"/>
    <w:rsid w:val="00FA14BE"/>
    <w:rsid w:val="00FA14CC"/>
    <w:rsid w:val="00FA15B4"/>
    <w:rsid w:val="00FA1725"/>
    <w:rsid w:val="00FA17DA"/>
    <w:rsid w:val="00FA181C"/>
    <w:rsid w:val="00FA18AB"/>
    <w:rsid w:val="00FA19D6"/>
    <w:rsid w:val="00FA1AE0"/>
    <w:rsid w:val="00FA1C18"/>
    <w:rsid w:val="00FA1EAA"/>
    <w:rsid w:val="00FA1F4A"/>
    <w:rsid w:val="00FA1F6E"/>
    <w:rsid w:val="00FA1F98"/>
    <w:rsid w:val="00FA218A"/>
    <w:rsid w:val="00FA21B0"/>
    <w:rsid w:val="00FA22F4"/>
    <w:rsid w:val="00FA24D9"/>
    <w:rsid w:val="00FA24EF"/>
    <w:rsid w:val="00FA2532"/>
    <w:rsid w:val="00FA2784"/>
    <w:rsid w:val="00FA278C"/>
    <w:rsid w:val="00FA28C7"/>
    <w:rsid w:val="00FA28C8"/>
    <w:rsid w:val="00FA2AAA"/>
    <w:rsid w:val="00FA2BB6"/>
    <w:rsid w:val="00FA2BEA"/>
    <w:rsid w:val="00FA2C7D"/>
    <w:rsid w:val="00FA2CBA"/>
    <w:rsid w:val="00FA2CE7"/>
    <w:rsid w:val="00FA2F55"/>
    <w:rsid w:val="00FA3023"/>
    <w:rsid w:val="00FA30B8"/>
    <w:rsid w:val="00FA314E"/>
    <w:rsid w:val="00FA353F"/>
    <w:rsid w:val="00FA3598"/>
    <w:rsid w:val="00FA35F2"/>
    <w:rsid w:val="00FA39A1"/>
    <w:rsid w:val="00FA3B8D"/>
    <w:rsid w:val="00FA3BD9"/>
    <w:rsid w:val="00FA3C2B"/>
    <w:rsid w:val="00FA3C3A"/>
    <w:rsid w:val="00FA3C84"/>
    <w:rsid w:val="00FA3D86"/>
    <w:rsid w:val="00FA3EBD"/>
    <w:rsid w:val="00FA3F45"/>
    <w:rsid w:val="00FA3FAE"/>
    <w:rsid w:val="00FA4017"/>
    <w:rsid w:val="00FA4080"/>
    <w:rsid w:val="00FA410A"/>
    <w:rsid w:val="00FA41D4"/>
    <w:rsid w:val="00FA4390"/>
    <w:rsid w:val="00FA4499"/>
    <w:rsid w:val="00FA450D"/>
    <w:rsid w:val="00FA46AF"/>
    <w:rsid w:val="00FA46CC"/>
    <w:rsid w:val="00FA472F"/>
    <w:rsid w:val="00FA49B2"/>
    <w:rsid w:val="00FA49BD"/>
    <w:rsid w:val="00FA4B94"/>
    <w:rsid w:val="00FA4BE8"/>
    <w:rsid w:val="00FA4C6D"/>
    <w:rsid w:val="00FA4CB3"/>
    <w:rsid w:val="00FA4D15"/>
    <w:rsid w:val="00FA4DAF"/>
    <w:rsid w:val="00FA5108"/>
    <w:rsid w:val="00FA517F"/>
    <w:rsid w:val="00FA522F"/>
    <w:rsid w:val="00FA52FF"/>
    <w:rsid w:val="00FA5331"/>
    <w:rsid w:val="00FA53A0"/>
    <w:rsid w:val="00FA561B"/>
    <w:rsid w:val="00FA574E"/>
    <w:rsid w:val="00FA5AB2"/>
    <w:rsid w:val="00FA5B1A"/>
    <w:rsid w:val="00FA5B53"/>
    <w:rsid w:val="00FA5B97"/>
    <w:rsid w:val="00FA5C33"/>
    <w:rsid w:val="00FA5CB5"/>
    <w:rsid w:val="00FA5D28"/>
    <w:rsid w:val="00FA5DAD"/>
    <w:rsid w:val="00FA5E31"/>
    <w:rsid w:val="00FA5EA3"/>
    <w:rsid w:val="00FA5EBA"/>
    <w:rsid w:val="00FA5F36"/>
    <w:rsid w:val="00FA5F3E"/>
    <w:rsid w:val="00FA6059"/>
    <w:rsid w:val="00FA61DD"/>
    <w:rsid w:val="00FA623A"/>
    <w:rsid w:val="00FA62C2"/>
    <w:rsid w:val="00FA6452"/>
    <w:rsid w:val="00FA6525"/>
    <w:rsid w:val="00FA657D"/>
    <w:rsid w:val="00FA6581"/>
    <w:rsid w:val="00FA65F6"/>
    <w:rsid w:val="00FA6923"/>
    <w:rsid w:val="00FA6945"/>
    <w:rsid w:val="00FA694C"/>
    <w:rsid w:val="00FA6A64"/>
    <w:rsid w:val="00FA6AD2"/>
    <w:rsid w:val="00FA6CA3"/>
    <w:rsid w:val="00FA6D0D"/>
    <w:rsid w:val="00FA6D8F"/>
    <w:rsid w:val="00FA6EDB"/>
    <w:rsid w:val="00FA708A"/>
    <w:rsid w:val="00FA70C8"/>
    <w:rsid w:val="00FA723F"/>
    <w:rsid w:val="00FA727D"/>
    <w:rsid w:val="00FA7310"/>
    <w:rsid w:val="00FA7464"/>
    <w:rsid w:val="00FA7472"/>
    <w:rsid w:val="00FA7584"/>
    <w:rsid w:val="00FA76C8"/>
    <w:rsid w:val="00FA76EC"/>
    <w:rsid w:val="00FA7714"/>
    <w:rsid w:val="00FA77EB"/>
    <w:rsid w:val="00FA7834"/>
    <w:rsid w:val="00FA7A4B"/>
    <w:rsid w:val="00FA7A76"/>
    <w:rsid w:val="00FA7B93"/>
    <w:rsid w:val="00FA7CC1"/>
    <w:rsid w:val="00FA7CCC"/>
    <w:rsid w:val="00FA7D6D"/>
    <w:rsid w:val="00FA7EE2"/>
    <w:rsid w:val="00FB0036"/>
    <w:rsid w:val="00FB0147"/>
    <w:rsid w:val="00FB0187"/>
    <w:rsid w:val="00FB034D"/>
    <w:rsid w:val="00FB0455"/>
    <w:rsid w:val="00FB04CA"/>
    <w:rsid w:val="00FB0505"/>
    <w:rsid w:val="00FB0531"/>
    <w:rsid w:val="00FB0580"/>
    <w:rsid w:val="00FB05AA"/>
    <w:rsid w:val="00FB061C"/>
    <w:rsid w:val="00FB0639"/>
    <w:rsid w:val="00FB0646"/>
    <w:rsid w:val="00FB071B"/>
    <w:rsid w:val="00FB072D"/>
    <w:rsid w:val="00FB07A2"/>
    <w:rsid w:val="00FB07AA"/>
    <w:rsid w:val="00FB07FF"/>
    <w:rsid w:val="00FB098F"/>
    <w:rsid w:val="00FB0A81"/>
    <w:rsid w:val="00FB0B49"/>
    <w:rsid w:val="00FB0C03"/>
    <w:rsid w:val="00FB0C38"/>
    <w:rsid w:val="00FB0C3D"/>
    <w:rsid w:val="00FB0D2E"/>
    <w:rsid w:val="00FB0F08"/>
    <w:rsid w:val="00FB10D6"/>
    <w:rsid w:val="00FB1128"/>
    <w:rsid w:val="00FB128B"/>
    <w:rsid w:val="00FB1326"/>
    <w:rsid w:val="00FB13E4"/>
    <w:rsid w:val="00FB145D"/>
    <w:rsid w:val="00FB14A0"/>
    <w:rsid w:val="00FB1530"/>
    <w:rsid w:val="00FB169F"/>
    <w:rsid w:val="00FB1811"/>
    <w:rsid w:val="00FB1845"/>
    <w:rsid w:val="00FB18A2"/>
    <w:rsid w:val="00FB18D2"/>
    <w:rsid w:val="00FB19A8"/>
    <w:rsid w:val="00FB19C6"/>
    <w:rsid w:val="00FB1BED"/>
    <w:rsid w:val="00FB1C78"/>
    <w:rsid w:val="00FB1E16"/>
    <w:rsid w:val="00FB1E81"/>
    <w:rsid w:val="00FB2089"/>
    <w:rsid w:val="00FB21E8"/>
    <w:rsid w:val="00FB2791"/>
    <w:rsid w:val="00FB2852"/>
    <w:rsid w:val="00FB29DC"/>
    <w:rsid w:val="00FB2A1A"/>
    <w:rsid w:val="00FB2AB2"/>
    <w:rsid w:val="00FB2C6E"/>
    <w:rsid w:val="00FB2D8B"/>
    <w:rsid w:val="00FB2E57"/>
    <w:rsid w:val="00FB2E5C"/>
    <w:rsid w:val="00FB2E90"/>
    <w:rsid w:val="00FB2FDE"/>
    <w:rsid w:val="00FB30B4"/>
    <w:rsid w:val="00FB30FC"/>
    <w:rsid w:val="00FB31E2"/>
    <w:rsid w:val="00FB33FD"/>
    <w:rsid w:val="00FB340E"/>
    <w:rsid w:val="00FB3476"/>
    <w:rsid w:val="00FB34CB"/>
    <w:rsid w:val="00FB3616"/>
    <w:rsid w:val="00FB362E"/>
    <w:rsid w:val="00FB36CD"/>
    <w:rsid w:val="00FB3716"/>
    <w:rsid w:val="00FB3872"/>
    <w:rsid w:val="00FB38E0"/>
    <w:rsid w:val="00FB398B"/>
    <w:rsid w:val="00FB39BA"/>
    <w:rsid w:val="00FB3B40"/>
    <w:rsid w:val="00FB3CF2"/>
    <w:rsid w:val="00FB3D0A"/>
    <w:rsid w:val="00FB3DEE"/>
    <w:rsid w:val="00FB3E7D"/>
    <w:rsid w:val="00FB4070"/>
    <w:rsid w:val="00FB40AF"/>
    <w:rsid w:val="00FB432F"/>
    <w:rsid w:val="00FB43AA"/>
    <w:rsid w:val="00FB43F0"/>
    <w:rsid w:val="00FB44AF"/>
    <w:rsid w:val="00FB4598"/>
    <w:rsid w:val="00FB461A"/>
    <w:rsid w:val="00FB46B8"/>
    <w:rsid w:val="00FB46C8"/>
    <w:rsid w:val="00FB47E8"/>
    <w:rsid w:val="00FB48AB"/>
    <w:rsid w:val="00FB4949"/>
    <w:rsid w:val="00FB4AEA"/>
    <w:rsid w:val="00FB4B86"/>
    <w:rsid w:val="00FB4C41"/>
    <w:rsid w:val="00FB4F31"/>
    <w:rsid w:val="00FB4FB0"/>
    <w:rsid w:val="00FB5031"/>
    <w:rsid w:val="00FB512B"/>
    <w:rsid w:val="00FB51C4"/>
    <w:rsid w:val="00FB51E6"/>
    <w:rsid w:val="00FB521A"/>
    <w:rsid w:val="00FB5289"/>
    <w:rsid w:val="00FB5332"/>
    <w:rsid w:val="00FB53BC"/>
    <w:rsid w:val="00FB5412"/>
    <w:rsid w:val="00FB5624"/>
    <w:rsid w:val="00FB56C5"/>
    <w:rsid w:val="00FB5867"/>
    <w:rsid w:val="00FB5954"/>
    <w:rsid w:val="00FB5A38"/>
    <w:rsid w:val="00FB5B27"/>
    <w:rsid w:val="00FB5B5F"/>
    <w:rsid w:val="00FB5CEB"/>
    <w:rsid w:val="00FB5D07"/>
    <w:rsid w:val="00FB5DCC"/>
    <w:rsid w:val="00FB5E6E"/>
    <w:rsid w:val="00FB5F0B"/>
    <w:rsid w:val="00FB5F16"/>
    <w:rsid w:val="00FB5F74"/>
    <w:rsid w:val="00FB5FEE"/>
    <w:rsid w:val="00FB6085"/>
    <w:rsid w:val="00FB6160"/>
    <w:rsid w:val="00FB61F6"/>
    <w:rsid w:val="00FB63B3"/>
    <w:rsid w:val="00FB6536"/>
    <w:rsid w:val="00FB6589"/>
    <w:rsid w:val="00FB658A"/>
    <w:rsid w:val="00FB65F5"/>
    <w:rsid w:val="00FB66E2"/>
    <w:rsid w:val="00FB67D4"/>
    <w:rsid w:val="00FB67F0"/>
    <w:rsid w:val="00FB6807"/>
    <w:rsid w:val="00FB6A04"/>
    <w:rsid w:val="00FB6CEA"/>
    <w:rsid w:val="00FB6D1A"/>
    <w:rsid w:val="00FB6D67"/>
    <w:rsid w:val="00FB712C"/>
    <w:rsid w:val="00FB72C0"/>
    <w:rsid w:val="00FB73A3"/>
    <w:rsid w:val="00FB7581"/>
    <w:rsid w:val="00FB7826"/>
    <w:rsid w:val="00FB7A2B"/>
    <w:rsid w:val="00FB7AD7"/>
    <w:rsid w:val="00FB7B45"/>
    <w:rsid w:val="00FB7CCE"/>
    <w:rsid w:val="00FB7D30"/>
    <w:rsid w:val="00FB7DC3"/>
    <w:rsid w:val="00FB7EC0"/>
    <w:rsid w:val="00FB7F5B"/>
    <w:rsid w:val="00FB7FAD"/>
    <w:rsid w:val="00FC00CD"/>
    <w:rsid w:val="00FC00D5"/>
    <w:rsid w:val="00FC01BB"/>
    <w:rsid w:val="00FC0258"/>
    <w:rsid w:val="00FC028F"/>
    <w:rsid w:val="00FC0336"/>
    <w:rsid w:val="00FC04D4"/>
    <w:rsid w:val="00FC06DA"/>
    <w:rsid w:val="00FC074B"/>
    <w:rsid w:val="00FC079E"/>
    <w:rsid w:val="00FC096D"/>
    <w:rsid w:val="00FC09EA"/>
    <w:rsid w:val="00FC0A38"/>
    <w:rsid w:val="00FC0BA3"/>
    <w:rsid w:val="00FC0CC8"/>
    <w:rsid w:val="00FC0F78"/>
    <w:rsid w:val="00FC0FA5"/>
    <w:rsid w:val="00FC1006"/>
    <w:rsid w:val="00FC101C"/>
    <w:rsid w:val="00FC110C"/>
    <w:rsid w:val="00FC1166"/>
    <w:rsid w:val="00FC11FC"/>
    <w:rsid w:val="00FC1447"/>
    <w:rsid w:val="00FC1633"/>
    <w:rsid w:val="00FC168D"/>
    <w:rsid w:val="00FC16D3"/>
    <w:rsid w:val="00FC17F3"/>
    <w:rsid w:val="00FC1811"/>
    <w:rsid w:val="00FC1937"/>
    <w:rsid w:val="00FC19AD"/>
    <w:rsid w:val="00FC1A43"/>
    <w:rsid w:val="00FC1AA8"/>
    <w:rsid w:val="00FC1B0C"/>
    <w:rsid w:val="00FC1BF9"/>
    <w:rsid w:val="00FC1DB0"/>
    <w:rsid w:val="00FC1E22"/>
    <w:rsid w:val="00FC1EC8"/>
    <w:rsid w:val="00FC1F86"/>
    <w:rsid w:val="00FC1F87"/>
    <w:rsid w:val="00FC2004"/>
    <w:rsid w:val="00FC2021"/>
    <w:rsid w:val="00FC20D2"/>
    <w:rsid w:val="00FC20FF"/>
    <w:rsid w:val="00FC2144"/>
    <w:rsid w:val="00FC2305"/>
    <w:rsid w:val="00FC23D8"/>
    <w:rsid w:val="00FC23EC"/>
    <w:rsid w:val="00FC280B"/>
    <w:rsid w:val="00FC2924"/>
    <w:rsid w:val="00FC2A91"/>
    <w:rsid w:val="00FC2AC4"/>
    <w:rsid w:val="00FC2B51"/>
    <w:rsid w:val="00FC2DD1"/>
    <w:rsid w:val="00FC2EBF"/>
    <w:rsid w:val="00FC2EF1"/>
    <w:rsid w:val="00FC2EF8"/>
    <w:rsid w:val="00FC30C0"/>
    <w:rsid w:val="00FC327F"/>
    <w:rsid w:val="00FC32E6"/>
    <w:rsid w:val="00FC33BF"/>
    <w:rsid w:val="00FC3598"/>
    <w:rsid w:val="00FC372B"/>
    <w:rsid w:val="00FC38ED"/>
    <w:rsid w:val="00FC3941"/>
    <w:rsid w:val="00FC3ACD"/>
    <w:rsid w:val="00FC3C2E"/>
    <w:rsid w:val="00FC3C72"/>
    <w:rsid w:val="00FC3CC8"/>
    <w:rsid w:val="00FC3E05"/>
    <w:rsid w:val="00FC3EB0"/>
    <w:rsid w:val="00FC3EB3"/>
    <w:rsid w:val="00FC3EC2"/>
    <w:rsid w:val="00FC3ECD"/>
    <w:rsid w:val="00FC3F47"/>
    <w:rsid w:val="00FC402A"/>
    <w:rsid w:val="00FC40B5"/>
    <w:rsid w:val="00FC41CD"/>
    <w:rsid w:val="00FC425E"/>
    <w:rsid w:val="00FC447B"/>
    <w:rsid w:val="00FC45DF"/>
    <w:rsid w:val="00FC4618"/>
    <w:rsid w:val="00FC461A"/>
    <w:rsid w:val="00FC461D"/>
    <w:rsid w:val="00FC48CA"/>
    <w:rsid w:val="00FC4A47"/>
    <w:rsid w:val="00FC4B38"/>
    <w:rsid w:val="00FC4B6D"/>
    <w:rsid w:val="00FC4C68"/>
    <w:rsid w:val="00FC4D56"/>
    <w:rsid w:val="00FC4DBE"/>
    <w:rsid w:val="00FC4E7A"/>
    <w:rsid w:val="00FC502E"/>
    <w:rsid w:val="00FC5056"/>
    <w:rsid w:val="00FC51C3"/>
    <w:rsid w:val="00FC51F9"/>
    <w:rsid w:val="00FC5266"/>
    <w:rsid w:val="00FC527A"/>
    <w:rsid w:val="00FC531D"/>
    <w:rsid w:val="00FC5365"/>
    <w:rsid w:val="00FC540A"/>
    <w:rsid w:val="00FC5547"/>
    <w:rsid w:val="00FC5627"/>
    <w:rsid w:val="00FC5642"/>
    <w:rsid w:val="00FC565C"/>
    <w:rsid w:val="00FC5717"/>
    <w:rsid w:val="00FC5A1E"/>
    <w:rsid w:val="00FC5B5F"/>
    <w:rsid w:val="00FC5BCB"/>
    <w:rsid w:val="00FC5C52"/>
    <w:rsid w:val="00FC5C70"/>
    <w:rsid w:val="00FC5CE9"/>
    <w:rsid w:val="00FC5D57"/>
    <w:rsid w:val="00FC5F24"/>
    <w:rsid w:val="00FC5FB6"/>
    <w:rsid w:val="00FC6043"/>
    <w:rsid w:val="00FC6071"/>
    <w:rsid w:val="00FC6088"/>
    <w:rsid w:val="00FC60D9"/>
    <w:rsid w:val="00FC612A"/>
    <w:rsid w:val="00FC6139"/>
    <w:rsid w:val="00FC61D6"/>
    <w:rsid w:val="00FC6224"/>
    <w:rsid w:val="00FC624C"/>
    <w:rsid w:val="00FC62CB"/>
    <w:rsid w:val="00FC6483"/>
    <w:rsid w:val="00FC6516"/>
    <w:rsid w:val="00FC6522"/>
    <w:rsid w:val="00FC65DE"/>
    <w:rsid w:val="00FC6687"/>
    <w:rsid w:val="00FC6747"/>
    <w:rsid w:val="00FC6B3E"/>
    <w:rsid w:val="00FC6C70"/>
    <w:rsid w:val="00FC6ECA"/>
    <w:rsid w:val="00FC6F53"/>
    <w:rsid w:val="00FC6F94"/>
    <w:rsid w:val="00FC6FEC"/>
    <w:rsid w:val="00FC7183"/>
    <w:rsid w:val="00FC71BB"/>
    <w:rsid w:val="00FC72DA"/>
    <w:rsid w:val="00FC732B"/>
    <w:rsid w:val="00FC7374"/>
    <w:rsid w:val="00FC7384"/>
    <w:rsid w:val="00FC7423"/>
    <w:rsid w:val="00FC744A"/>
    <w:rsid w:val="00FC751C"/>
    <w:rsid w:val="00FC7634"/>
    <w:rsid w:val="00FC764F"/>
    <w:rsid w:val="00FC79A6"/>
    <w:rsid w:val="00FC79F3"/>
    <w:rsid w:val="00FC7AD9"/>
    <w:rsid w:val="00FC7AE3"/>
    <w:rsid w:val="00FC7C92"/>
    <w:rsid w:val="00FC7DBA"/>
    <w:rsid w:val="00FC7EC5"/>
    <w:rsid w:val="00FD0240"/>
    <w:rsid w:val="00FD027E"/>
    <w:rsid w:val="00FD0425"/>
    <w:rsid w:val="00FD05EF"/>
    <w:rsid w:val="00FD076C"/>
    <w:rsid w:val="00FD07B2"/>
    <w:rsid w:val="00FD07D0"/>
    <w:rsid w:val="00FD07F4"/>
    <w:rsid w:val="00FD0875"/>
    <w:rsid w:val="00FD0C24"/>
    <w:rsid w:val="00FD0C8F"/>
    <w:rsid w:val="00FD0C99"/>
    <w:rsid w:val="00FD0CA0"/>
    <w:rsid w:val="00FD0D09"/>
    <w:rsid w:val="00FD0E1A"/>
    <w:rsid w:val="00FD0E2A"/>
    <w:rsid w:val="00FD104E"/>
    <w:rsid w:val="00FD10EA"/>
    <w:rsid w:val="00FD10FD"/>
    <w:rsid w:val="00FD133D"/>
    <w:rsid w:val="00FD1526"/>
    <w:rsid w:val="00FD1593"/>
    <w:rsid w:val="00FD15F2"/>
    <w:rsid w:val="00FD16D9"/>
    <w:rsid w:val="00FD17B4"/>
    <w:rsid w:val="00FD19B4"/>
    <w:rsid w:val="00FD1B00"/>
    <w:rsid w:val="00FD1B48"/>
    <w:rsid w:val="00FD1CB9"/>
    <w:rsid w:val="00FD1D91"/>
    <w:rsid w:val="00FD1DFD"/>
    <w:rsid w:val="00FD1E0A"/>
    <w:rsid w:val="00FD1E0B"/>
    <w:rsid w:val="00FD1F89"/>
    <w:rsid w:val="00FD203E"/>
    <w:rsid w:val="00FD2054"/>
    <w:rsid w:val="00FD21D3"/>
    <w:rsid w:val="00FD2283"/>
    <w:rsid w:val="00FD23A8"/>
    <w:rsid w:val="00FD2626"/>
    <w:rsid w:val="00FD271A"/>
    <w:rsid w:val="00FD2723"/>
    <w:rsid w:val="00FD2727"/>
    <w:rsid w:val="00FD27F5"/>
    <w:rsid w:val="00FD287A"/>
    <w:rsid w:val="00FD2919"/>
    <w:rsid w:val="00FD2946"/>
    <w:rsid w:val="00FD2A86"/>
    <w:rsid w:val="00FD2BDC"/>
    <w:rsid w:val="00FD2D64"/>
    <w:rsid w:val="00FD2DC9"/>
    <w:rsid w:val="00FD2E42"/>
    <w:rsid w:val="00FD2EBF"/>
    <w:rsid w:val="00FD2F98"/>
    <w:rsid w:val="00FD2FB0"/>
    <w:rsid w:val="00FD2FEC"/>
    <w:rsid w:val="00FD307E"/>
    <w:rsid w:val="00FD309C"/>
    <w:rsid w:val="00FD30AD"/>
    <w:rsid w:val="00FD319F"/>
    <w:rsid w:val="00FD320B"/>
    <w:rsid w:val="00FD320D"/>
    <w:rsid w:val="00FD3356"/>
    <w:rsid w:val="00FD347A"/>
    <w:rsid w:val="00FD3483"/>
    <w:rsid w:val="00FD34EA"/>
    <w:rsid w:val="00FD360C"/>
    <w:rsid w:val="00FD3637"/>
    <w:rsid w:val="00FD3779"/>
    <w:rsid w:val="00FD37AA"/>
    <w:rsid w:val="00FD385D"/>
    <w:rsid w:val="00FD38C7"/>
    <w:rsid w:val="00FD38E1"/>
    <w:rsid w:val="00FD3AA4"/>
    <w:rsid w:val="00FD3C08"/>
    <w:rsid w:val="00FD3CC8"/>
    <w:rsid w:val="00FD3CD5"/>
    <w:rsid w:val="00FD3D75"/>
    <w:rsid w:val="00FD3E8D"/>
    <w:rsid w:val="00FD4030"/>
    <w:rsid w:val="00FD40F3"/>
    <w:rsid w:val="00FD41D3"/>
    <w:rsid w:val="00FD4386"/>
    <w:rsid w:val="00FD4423"/>
    <w:rsid w:val="00FD446F"/>
    <w:rsid w:val="00FD44BE"/>
    <w:rsid w:val="00FD4522"/>
    <w:rsid w:val="00FD453B"/>
    <w:rsid w:val="00FD461C"/>
    <w:rsid w:val="00FD4781"/>
    <w:rsid w:val="00FD485A"/>
    <w:rsid w:val="00FD4876"/>
    <w:rsid w:val="00FD4A3B"/>
    <w:rsid w:val="00FD4BE9"/>
    <w:rsid w:val="00FD4C3A"/>
    <w:rsid w:val="00FD4CD5"/>
    <w:rsid w:val="00FD4DAD"/>
    <w:rsid w:val="00FD4EBD"/>
    <w:rsid w:val="00FD4F94"/>
    <w:rsid w:val="00FD4FB6"/>
    <w:rsid w:val="00FD4FEE"/>
    <w:rsid w:val="00FD511A"/>
    <w:rsid w:val="00FD51F7"/>
    <w:rsid w:val="00FD5230"/>
    <w:rsid w:val="00FD5498"/>
    <w:rsid w:val="00FD581E"/>
    <w:rsid w:val="00FD5847"/>
    <w:rsid w:val="00FD58AC"/>
    <w:rsid w:val="00FD5A41"/>
    <w:rsid w:val="00FD5AB4"/>
    <w:rsid w:val="00FD5AD1"/>
    <w:rsid w:val="00FD5CEF"/>
    <w:rsid w:val="00FD5D40"/>
    <w:rsid w:val="00FD5E18"/>
    <w:rsid w:val="00FD5EA0"/>
    <w:rsid w:val="00FD5F60"/>
    <w:rsid w:val="00FD61B4"/>
    <w:rsid w:val="00FD6284"/>
    <w:rsid w:val="00FD637F"/>
    <w:rsid w:val="00FD6462"/>
    <w:rsid w:val="00FD6479"/>
    <w:rsid w:val="00FD6480"/>
    <w:rsid w:val="00FD655F"/>
    <w:rsid w:val="00FD65DA"/>
    <w:rsid w:val="00FD6745"/>
    <w:rsid w:val="00FD675F"/>
    <w:rsid w:val="00FD68AB"/>
    <w:rsid w:val="00FD68CB"/>
    <w:rsid w:val="00FD68D1"/>
    <w:rsid w:val="00FD6AA0"/>
    <w:rsid w:val="00FD6B6F"/>
    <w:rsid w:val="00FD6C0C"/>
    <w:rsid w:val="00FD6D30"/>
    <w:rsid w:val="00FD6DB1"/>
    <w:rsid w:val="00FD6DD2"/>
    <w:rsid w:val="00FD6F17"/>
    <w:rsid w:val="00FD70B0"/>
    <w:rsid w:val="00FD7229"/>
    <w:rsid w:val="00FD723C"/>
    <w:rsid w:val="00FD73D4"/>
    <w:rsid w:val="00FD7412"/>
    <w:rsid w:val="00FD75B6"/>
    <w:rsid w:val="00FD75E1"/>
    <w:rsid w:val="00FD7628"/>
    <w:rsid w:val="00FD7784"/>
    <w:rsid w:val="00FD7817"/>
    <w:rsid w:val="00FD78BD"/>
    <w:rsid w:val="00FD78D7"/>
    <w:rsid w:val="00FD7AB8"/>
    <w:rsid w:val="00FD7B17"/>
    <w:rsid w:val="00FD7C24"/>
    <w:rsid w:val="00FD7C38"/>
    <w:rsid w:val="00FD7E41"/>
    <w:rsid w:val="00FE0031"/>
    <w:rsid w:val="00FE01DA"/>
    <w:rsid w:val="00FE02B8"/>
    <w:rsid w:val="00FE03B1"/>
    <w:rsid w:val="00FE0415"/>
    <w:rsid w:val="00FE0488"/>
    <w:rsid w:val="00FE0984"/>
    <w:rsid w:val="00FE09D4"/>
    <w:rsid w:val="00FE0A8F"/>
    <w:rsid w:val="00FE0AD1"/>
    <w:rsid w:val="00FE0B43"/>
    <w:rsid w:val="00FE0C36"/>
    <w:rsid w:val="00FE0C87"/>
    <w:rsid w:val="00FE0D1E"/>
    <w:rsid w:val="00FE0D55"/>
    <w:rsid w:val="00FE10B4"/>
    <w:rsid w:val="00FE10FB"/>
    <w:rsid w:val="00FE12AF"/>
    <w:rsid w:val="00FE1343"/>
    <w:rsid w:val="00FE1458"/>
    <w:rsid w:val="00FE15C8"/>
    <w:rsid w:val="00FE1620"/>
    <w:rsid w:val="00FE1684"/>
    <w:rsid w:val="00FE1698"/>
    <w:rsid w:val="00FE16E7"/>
    <w:rsid w:val="00FE170C"/>
    <w:rsid w:val="00FE174B"/>
    <w:rsid w:val="00FE1796"/>
    <w:rsid w:val="00FE19AC"/>
    <w:rsid w:val="00FE19BC"/>
    <w:rsid w:val="00FE1ABF"/>
    <w:rsid w:val="00FE1AE9"/>
    <w:rsid w:val="00FE1B0D"/>
    <w:rsid w:val="00FE1BCC"/>
    <w:rsid w:val="00FE1F69"/>
    <w:rsid w:val="00FE1F70"/>
    <w:rsid w:val="00FE2003"/>
    <w:rsid w:val="00FE214C"/>
    <w:rsid w:val="00FE229D"/>
    <w:rsid w:val="00FE2363"/>
    <w:rsid w:val="00FE2381"/>
    <w:rsid w:val="00FE2453"/>
    <w:rsid w:val="00FE25A4"/>
    <w:rsid w:val="00FE2725"/>
    <w:rsid w:val="00FE2732"/>
    <w:rsid w:val="00FE2781"/>
    <w:rsid w:val="00FE2799"/>
    <w:rsid w:val="00FE2894"/>
    <w:rsid w:val="00FE295B"/>
    <w:rsid w:val="00FE29FB"/>
    <w:rsid w:val="00FE2A70"/>
    <w:rsid w:val="00FE2B62"/>
    <w:rsid w:val="00FE2D87"/>
    <w:rsid w:val="00FE2F01"/>
    <w:rsid w:val="00FE2F46"/>
    <w:rsid w:val="00FE2F78"/>
    <w:rsid w:val="00FE301D"/>
    <w:rsid w:val="00FE30A6"/>
    <w:rsid w:val="00FE30FC"/>
    <w:rsid w:val="00FE30FF"/>
    <w:rsid w:val="00FE324B"/>
    <w:rsid w:val="00FE327B"/>
    <w:rsid w:val="00FE32B7"/>
    <w:rsid w:val="00FE3351"/>
    <w:rsid w:val="00FE34AB"/>
    <w:rsid w:val="00FE3609"/>
    <w:rsid w:val="00FE3749"/>
    <w:rsid w:val="00FE376D"/>
    <w:rsid w:val="00FE3920"/>
    <w:rsid w:val="00FE39AC"/>
    <w:rsid w:val="00FE3A94"/>
    <w:rsid w:val="00FE3B08"/>
    <w:rsid w:val="00FE3B1E"/>
    <w:rsid w:val="00FE3BEF"/>
    <w:rsid w:val="00FE3E95"/>
    <w:rsid w:val="00FE3F97"/>
    <w:rsid w:val="00FE40A6"/>
    <w:rsid w:val="00FE40B8"/>
    <w:rsid w:val="00FE4132"/>
    <w:rsid w:val="00FE4290"/>
    <w:rsid w:val="00FE44DE"/>
    <w:rsid w:val="00FE461C"/>
    <w:rsid w:val="00FE4657"/>
    <w:rsid w:val="00FE466D"/>
    <w:rsid w:val="00FE4729"/>
    <w:rsid w:val="00FE480A"/>
    <w:rsid w:val="00FE4810"/>
    <w:rsid w:val="00FE48A5"/>
    <w:rsid w:val="00FE48C9"/>
    <w:rsid w:val="00FE48F1"/>
    <w:rsid w:val="00FE4A1D"/>
    <w:rsid w:val="00FE4C1C"/>
    <w:rsid w:val="00FE4D56"/>
    <w:rsid w:val="00FE4DDC"/>
    <w:rsid w:val="00FE4F0F"/>
    <w:rsid w:val="00FE4F91"/>
    <w:rsid w:val="00FE50DF"/>
    <w:rsid w:val="00FE5158"/>
    <w:rsid w:val="00FE5182"/>
    <w:rsid w:val="00FE5225"/>
    <w:rsid w:val="00FE52CF"/>
    <w:rsid w:val="00FE52DE"/>
    <w:rsid w:val="00FE5313"/>
    <w:rsid w:val="00FE566C"/>
    <w:rsid w:val="00FE57C0"/>
    <w:rsid w:val="00FE5C09"/>
    <w:rsid w:val="00FE5C24"/>
    <w:rsid w:val="00FE5C65"/>
    <w:rsid w:val="00FE5C96"/>
    <w:rsid w:val="00FE5E1A"/>
    <w:rsid w:val="00FE5F61"/>
    <w:rsid w:val="00FE5F86"/>
    <w:rsid w:val="00FE5FAB"/>
    <w:rsid w:val="00FE60E2"/>
    <w:rsid w:val="00FE6310"/>
    <w:rsid w:val="00FE632C"/>
    <w:rsid w:val="00FE66B6"/>
    <w:rsid w:val="00FE685A"/>
    <w:rsid w:val="00FE68A6"/>
    <w:rsid w:val="00FE68C2"/>
    <w:rsid w:val="00FE6AA3"/>
    <w:rsid w:val="00FE6AD1"/>
    <w:rsid w:val="00FE6BF3"/>
    <w:rsid w:val="00FE6C8F"/>
    <w:rsid w:val="00FE6E0A"/>
    <w:rsid w:val="00FE6E43"/>
    <w:rsid w:val="00FE718C"/>
    <w:rsid w:val="00FE7288"/>
    <w:rsid w:val="00FE73CF"/>
    <w:rsid w:val="00FE73DD"/>
    <w:rsid w:val="00FE746F"/>
    <w:rsid w:val="00FE74D8"/>
    <w:rsid w:val="00FE779D"/>
    <w:rsid w:val="00FE7812"/>
    <w:rsid w:val="00FE785C"/>
    <w:rsid w:val="00FE785D"/>
    <w:rsid w:val="00FE78FC"/>
    <w:rsid w:val="00FE791A"/>
    <w:rsid w:val="00FE79BC"/>
    <w:rsid w:val="00FE7A12"/>
    <w:rsid w:val="00FE7C00"/>
    <w:rsid w:val="00FE7D45"/>
    <w:rsid w:val="00FE7D6B"/>
    <w:rsid w:val="00FEC15C"/>
    <w:rsid w:val="00FF0135"/>
    <w:rsid w:val="00FF02D3"/>
    <w:rsid w:val="00FF060A"/>
    <w:rsid w:val="00FF07E9"/>
    <w:rsid w:val="00FF07F6"/>
    <w:rsid w:val="00FF0923"/>
    <w:rsid w:val="00FF0A04"/>
    <w:rsid w:val="00FF0B60"/>
    <w:rsid w:val="00FF0B6E"/>
    <w:rsid w:val="00FF0B74"/>
    <w:rsid w:val="00FF0BB8"/>
    <w:rsid w:val="00FF0BD7"/>
    <w:rsid w:val="00FF0C4C"/>
    <w:rsid w:val="00FF0CE5"/>
    <w:rsid w:val="00FF0D0E"/>
    <w:rsid w:val="00FF0D26"/>
    <w:rsid w:val="00FF0D3D"/>
    <w:rsid w:val="00FF0F77"/>
    <w:rsid w:val="00FF101D"/>
    <w:rsid w:val="00FF102D"/>
    <w:rsid w:val="00FF1136"/>
    <w:rsid w:val="00FF1268"/>
    <w:rsid w:val="00FF12ED"/>
    <w:rsid w:val="00FF1354"/>
    <w:rsid w:val="00FF1368"/>
    <w:rsid w:val="00FF1432"/>
    <w:rsid w:val="00FF146A"/>
    <w:rsid w:val="00FF155C"/>
    <w:rsid w:val="00FF15C6"/>
    <w:rsid w:val="00FF1626"/>
    <w:rsid w:val="00FF1696"/>
    <w:rsid w:val="00FF1732"/>
    <w:rsid w:val="00FF19DC"/>
    <w:rsid w:val="00FF1A15"/>
    <w:rsid w:val="00FF1A4E"/>
    <w:rsid w:val="00FF1A82"/>
    <w:rsid w:val="00FF1AE1"/>
    <w:rsid w:val="00FF1B42"/>
    <w:rsid w:val="00FF1B70"/>
    <w:rsid w:val="00FF1B71"/>
    <w:rsid w:val="00FF1D1A"/>
    <w:rsid w:val="00FF1E2B"/>
    <w:rsid w:val="00FF1E72"/>
    <w:rsid w:val="00FF1F18"/>
    <w:rsid w:val="00FF20CC"/>
    <w:rsid w:val="00FF20EE"/>
    <w:rsid w:val="00FF22B1"/>
    <w:rsid w:val="00FF239C"/>
    <w:rsid w:val="00FF2443"/>
    <w:rsid w:val="00FF2471"/>
    <w:rsid w:val="00FF250E"/>
    <w:rsid w:val="00FF256D"/>
    <w:rsid w:val="00FF261D"/>
    <w:rsid w:val="00FF2899"/>
    <w:rsid w:val="00FF2930"/>
    <w:rsid w:val="00FF2A44"/>
    <w:rsid w:val="00FF2A8F"/>
    <w:rsid w:val="00FF2BA5"/>
    <w:rsid w:val="00FF2C8A"/>
    <w:rsid w:val="00FF2DF2"/>
    <w:rsid w:val="00FF2E85"/>
    <w:rsid w:val="00FF2F3E"/>
    <w:rsid w:val="00FF2FA3"/>
    <w:rsid w:val="00FF30EB"/>
    <w:rsid w:val="00FF30F1"/>
    <w:rsid w:val="00FF31F4"/>
    <w:rsid w:val="00FF3232"/>
    <w:rsid w:val="00FF3279"/>
    <w:rsid w:val="00FF32D7"/>
    <w:rsid w:val="00FF336D"/>
    <w:rsid w:val="00FF3382"/>
    <w:rsid w:val="00FF34A7"/>
    <w:rsid w:val="00FF34EE"/>
    <w:rsid w:val="00FF35AC"/>
    <w:rsid w:val="00FF361F"/>
    <w:rsid w:val="00FF3632"/>
    <w:rsid w:val="00FF36A4"/>
    <w:rsid w:val="00FF3BEC"/>
    <w:rsid w:val="00FF3CB1"/>
    <w:rsid w:val="00FF3DEC"/>
    <w:rsid w:val="00FF3FF8"/>
    <w:rsid w:val="00FF4069"/>
    <w:rsid w:val="00FF4093"/>
    <w:rsid w:val="00FF4120"/>
    <w:rsid w:val="00FF4196"/>
    <w:rsid w:val="00FF422D"/>
    <w:rsid w:val="00FF42D4"/>
    <w:rsid w:val="00FF436E"/>
    <w:rsid w:val="00FF43F3"/>
    <w:rsid w:val="00FF466F"/>
    <w:rsid w:val="00FF46F2"/>
    <w:rsid w:val="00FF4754"/>
    <w:rsid w:val="00FF475D"/>
    <w:rsid w:val="00FF47A8"/>
    <w:rsid w:val="00FF47CA"/>
    <w:rsid w:val="00FF47DF"/>
    <w:rsid w:val="00FF4932"/>
    <w:rsid w:val="00FF4998"/>
    <w:rsid w:val="00FF4B18"/>
    <w:rsid w:val="00FF4C28"/>
    <w:rsid w:val="00FF4C39"/>
    <w:rsid w:val="00FF4CCD"/>
    <w:rsid w:val="00FF4CFF"/>
    <w:rsid w:val="00FF4D1B"/>
    <w:rsid w:val="00FF4D24"/>
    <w:rsid w:val="00FF4DA6"/>
    <w:rsid w:val="00FF4EA4"/>
    <w:rsid w:val="00FF4F12"/>
    <w:rsid w:val="00FF501B"/>
    <w:rsid w:val="00FF506E"/>
    <w:rsid w:val="00FF5206"/>
    <w:rsid w:val="00FF5379"/>
    <w:rsid w:val="00FF5505"/>
    <w:rsid w:val="00FF5526"/>
    <w:rsid w:val="00FF56BC"/>
    <w:rsid w:val="00FF580A"/>
    <w:rsid w:val="00FF5820"/>
    <w:rsid w:val="00FF58E4"/>
    <w:rsid w:val="00FF599A"/>
    <w:rsid w:val="00FF5A57"/>
    <w:rsid w:val="00FF5AAE"/>
    <w:rsid w:val="00FF5BD1"/>
    <w:rsid w:val="00FF5C7E"/>
    <w:rsid w:val="00FF5D9E"/>
    <w:rsid w:val="00FF5DC2"/>
    <w:rsid w:val="00FF5F69"/>
    <w:rsid w:val="00FF5F8D"/>
    <w:rsid w:val="00FF60E6"/>
    <w:rsid w:val="00FF613D"/>
    <w:rsid w:val="00FF61A2"/>
    <w:rsid w:val="00FF6527"/>
    <w:rsid w:val="00FF664E"/>
    <w:rsid w:val="00FF68BE"/>
    <w:rsid w:val="00FF69C3"/>
    <w:rsid w:val="00FF6A39"/>
    <w:rsid w:val="00FF6B21"/>
    <w:rsid w:val="00FF6CAC"/>
    <w:rsid w:val="00FF6D6C"/>
    <w:rsid w:val="00FF6DF8"/>
    <w:rsid w:val="00FF6F04"/>
    <w:rsid w:val="00FF6FDB"/>
    <w:rsid w:val="00FF7049"/>
    <w:rsid w:val="00FF7139"/>
    <w:rsid w:val="00FF71B5"/>
    <w:rsid w:val="00FF72DB"/>
    <w:rsid w:val="00FF73A1"/>
    <w:rsid w:val="00FF73D9"/>
    <w:rsid w:val="00FF7422"/>
    <w:rsid w:val="00FF74FE"/>
    <w:rsid w:val="00FF7558"/>
    <w:rsid w:val="00FF7680"/>
    <w:rsid w:val="00FF76B7"/>
    <w:rsid w:val="00FF7768"/>
    <w:rsid w:val="00FF77A4"/>
    <w:rsid w:val="00FF77F1"/>
    <w:rsid w:val="00FF7887"/>
    <w:rsid w:val="00FF7940"/>
    <w:rsid w:val="00FF7989"/>
    <w:rsid w:val="00FF79D8"/>
    <w:rsid w:val="00FF7A83"/>
    <w:rsid w:val="00FF7B18"/>
    <w:rsid w:val="00FF7DB8"/>
    <w:rsid w:val="00FF7E61"/>
    <w:rsid w:val="00FF7E72"/>
    <w:rsid w:val="00FF7F98"/>
    <w:rsid w:val="00FF7FAD"/>
    <w:rsid w:val="00FF7FEA"/>
    <w:rsid w:val="01048F5D"/>
    <w:rsid w:val="010DC5C9"/>
    <w:rsid w:val="0116A699"/>
    <w:rsid w:val="011DE558"/>
    <w:rsid w:val="0125A2BA"/>
    <w:rsid w:val="0126029C"/>
    <w:rsid w:val="0130897A"/>
    <w:rsid w:val="0131E590"/>
    <w:rsid w:val="013A3818"/>
    <w:rsid w:val="0145CA5E"/>
    <w:rsid w:val="0148EE9D"/>
    <w:rsid w:val="01597739"/>
    <w:rsid w:val="0168357D"/>
    <w:rsid w:val="016E0065"/>
    <w:rsid w:val="01705FC2"/>
    <w:rsid w:val="01715B6C"/>
    <w:rsid w:val="0171D825"/>
    <w:rsid w:val="017780FF"/>
    <w:rsid w:val="01835E39"/>
    <w:rsid w:val="018C4066"/>
    <w:rsid w:val="018E6B3B"/>
    <w:rsid w:val="0199B5B5"/>
    <w:rsid w:val="019BA4F3"/>
    <w:rsid w:val="019E1B44"/>
    <w:rsid w:val="01B484E7"/>
    <w:rsid w:val="01B95BE3"/>
    <w:rsid w:val="01BF222B"/>
    <w:rsid w:val="01C86DF9"/>
    <w:rsid w:val="01CABC3A"/>
    <w:rsid w:val="01CCCA5C"/>
    <w:rsid w:val="01D315DD"/>
    <w:rsid w:val="01D4D211"/>
    <w:rsid w:val="01D7D13A"/>
    <w:rsid w:val="01D8E99E"/>
    <w:rsid w:val="01D9053F"/>
    <w:rsid w:val="01DB8D7F"/>
    <w:rsid w:val="01E4C65F"/>
    <w:rsid w:val="01E56BD9"/>
    <w:rsid w:val="01EB8AA4"/>
    <w:rsid w:val="01EBDFF1"/>
    <w:rsid w:val="01F0A97D"/>
    <w:rsid w:val="01F9979F"/>
    <w:rsid w:val="021D87A9"/>
    <w:rsid w:val="0227436A"/>
    <w:rsid w:val="022ECB53"/>
    <w:rsid w:val="022F2CDE"/>
    <w:rsid w:val="022FEBFB"/>
    <w:rsid w:val="02374315"/>
    <w:rsid w:val="023EE16A"/>
    <w:rsid w:val="02455BF5"/>
    <w:rsid w:val="0247A6DF"/>
    <w:rsid w:val="024CF539"/>
    <w:rsid w:val="024E79B1"/>
    <w:rsid w:val="026AB0B9"/>
    <w:rsid w:val="02841DA4"/>
    <w:rsid w:val="0286834C"/>
    <w:rsid w:val="0292717A"/>
    <w:rsid w:val="029CA4BD"/>
    <w:rsid w:val="02A44359"/>
    <w:rsid w:val="02A5FADC"/>
    <w:rsid w:val="02A9AD86"/>
    <w:rsid w:val="02AADB8F"/>
    <w:rsid w:val="02ACB3D7"/>
    <w:rsid w:val="02B258AF"/>
    <w:rsid w:val="02B5EF60"/>
    <w:rsid w:val="02C3C856"/>
    <w:rsid w:val="02C8B23B"/>
    <w:rsid w:val="02CCB823"/>
    <w:rsid w:val="02DB18EA"/>
    <w:rsid w:val="02DC6977"/>
    <w:rsid w:val="02DD11DA"/>
    <w:rsid w:val="02E01945"/>
    <w:rsid w:val="02E81CDA"/>
    <w:rsid w:val="02E85526"/>
    <w:rsid w:val="02E95A2E"/>
    <w:rsid w:val="02F6614E"/>
    <w:rsid w:val="02FB7BB1"/>
    <w:rsid w:val="02FDAC33"/>
    <w:rsid w:val="03001E36"/>
    <w:rsid w:val="03015B19"/>
    <w:rsid w:val="03142532"/>
    <w:rsid w:val="031645FF"/>
    <w:rsid w:val="0316EBBB"/>
    <w:rsid w:val="031737DE"/>
    <w:rsid w:val="0337E0C4"/>
    <w:rsid w:val="0339BEA8"/>
    <w:rsid w:val="034007E9"/>
    <w:rsid w:val="0342E603"/>
    <w:rsid w:val="0343434B"/>
    <w:rsid w:val="034903AC"/>
    <w:rsid w:val="034905DD"/>
    <w:rsid w:val="034BCF49"/>
    <w:rsid w:val="0355DBCE"/>
    <w:rsid w:val="03629331"/>
    <w:rsid w:val="036A0036"/>
    <w:rsid w:val="036E564F"/>
    <w:rsid w:val="03839420"/>
    <w:rsid w:val="0383AA62"/>
    <w:rsid w:val="0383E9D8"/>
    <w:rsid w:val="0384B970"/>
    <w:rsid w:val="0386D1CE"/>
    <w:rsid w:val="038F7292"/>
    <w:rsid w:val="03909454"/>
    <w:rsid w:val="03967FFA"/>
    <w:rsid w:val="039DDEDA"/>
    <w:rsid w:val="03A5E2BA"/>
    <w:rsid w:val="03A63408"/>
    <w:rsid w:val="03AE6FE9"/>
    <w:rsid w:val="03B8B503"/>
    <w:rsid w:val="03B8EBA8"/>
    <w:rsid w:val="03BB006F"/>
    <w:rsid w:val="03C149AD"/>
    <w:rsid w:val="03CB97E2"/>
    <w:rsid w:val="03D98D6D"/>
    <w:rsid w:val="03E84AB1"/>
    <w:rsid w:val="03ED62FD"/>
    <w:rsid w:val="03F44D22"/>
    <w:rsid w:val="03F84D30"/>
    <w:rsid w:val="03F96296"/>
    <w:rsid w:val="03FD1057"/>
    <w:rsid w:val="03FDA7CD"/>
    <w:rsid w:val="0407FC64"/>
    <w:rsid w:val="042BE1A8"/>
    <w:rsid w:val="042DE32F"/>
    <w:rsid w:val="043B57CA"/>
    <w:rsid w:val="043F4543"/>
    <w:rsid w:val="04474423"/>
    <w:rsid w:val="045CF165"/>
    <w:rsid w:val="045FD37D"/>
    <w:rsid w:val="0461952D"/>
    <w:rsid w:val="0466D142"/>
    <w:rsid w:val="0481DBDA"/>
    <w:rsid w:val="04869F54"/>
    <w:rsid w:val="0487D8B5"/>
    <w:rsid w:val="04895ED0"/>
    <w:rsid w:val="048B9175"/>
    <w:rsid w:val="048EA23E"/>
    <w:rsid w:val="0490AE52"/>
    <w:rsid w:val="049574DD"/>
    <w:rsid w:val="049B2173"/>
    <w:rsid w:val="049C6101"/>
    <w:rsid w:val="049FFC13"/>
    <w:rsid w:val="04A0AB2A"/>
    <w:rsid w:val="04A0DE5F"/>
    <w:rsid w:val="04A10880"/>
    <w:rsid w:val="04AABF7A"/>
    <w:rsid w:val="04AF3E73"/>
    <w:rsid w:val="04CBF91F"/>
    <w:rsid w:val="04D05794"/>
    <w:rsid w:val="04D2365F"/>
    <w:rsid w:val="04D3CEC9"/>
    <w:rsid w:val="04E313DD"/>
    <w:rsid w:val="04EB1559"/>
    <w:rsid w:val="04EF0D1C"/>
    <w:rsid w:val="04F9F504"/>
    <w:rsid w:val="04FDA347"/>
    <w:rsid w:val="05111024"/>
    <w:rsid w:val="0514A328"/>
    <w:rsid w:val="0518B49E"/>
    <w:rsid w:val="05232FB2"/>
    <w:rsid w:val="05270642"/>
    <w:rsid w:val="052D80B1"/>
    <w:rsid w:val="0530793B"/>
    <w:rsid w:val="05323460"/>
    <w:rsid w:val="0535141F"/>
    <w:rsid w:val="054DD687"/>
    <w:rsid w:val="0552F366"/>
    <w:rsid w:val="055660B5"/>
    <w:rsid w:val="0564D834"/>
    <w:rsid w:val="056579BB"/>
    <w:rsid w:val="056BE857"/>
    <w:rsid w:val="056DA7F2"/>
    <w:rsid w:val="057D4A58"/>
    <w:rsid w:val="0588CD22"/>
    <w:rsid w:val="05897DB6"/>
    <w:rsid w:val="058A4360"/>
    <w:rsid w:val="0592A215"/>
    <w:rsid w:val="0593ECD4"/>
    <w:rsid w:val="05954173"/>
    <w:rsid w:val="0599572B"/>
    <w:rsid w:val="059D1809"/>
    <w:rsid w:val="059F913B"/>
    <w:rsid w:val="05A12327"/>
    <w:rsid w:val="05AC5F26"/>
    <w:rsid w:val="05B04C74"/>
    <w:rsid w:val="05B42BE7"/>
    <w:rsid w:val="05B65496"/>
    <w:rsid w:val="05B82CB8"/>
    <w:rsid w:val="05B92D16"/>
    <w:rsid w:val="05BAE59F"/>
    <w:rsid w:val="05BD06D6"/>
    <w:rsid w:val="05C4171C"/>
    <w:rsid w:val="05C95F4F"/>
    <w:rsid w:val="05CA5981"/>
    <w:rsid w:val="05CF2183"/>
    <w:rsid w:val="05D23600"/>
    <w:rsid w:val="05D6FA5B"/>
    <w:rsid w:val="05E52E9A"/>
    <w:rsid w:val="05E57E24"/>
    <w:rsid w:val="05EC6701"/>
    <w:rsid w:val="05F18510"/>
    <w:rsid w:val="05F3AA9A"/>
    <w:rsid w:val="05FB6896"/>
    <w:rsid w:val="060087D9"/>
    <w:rsid w:val="0602D87C"/>
    <w:rsid w:val="06064095"/>
    <w:rsid w:val="0608D97A"/>
    <w:rsid w:val="060F4CB7"/>
    <w:rsid w:val="06133826"/>
    <w:rsid w:val="061627AE"/>
    <w:rsid w:val="0620F433"/>
    <w:rsid w:val="062263EC"/>
    <w:rsid w:val="062877DC"/>
    <w:rsid w:val="062AEE8F"/>
    <w:rsid w:val="0639E08E"/>
    <w:rsid w:val="063A2AF0"/>
    <w:rsid w:val="063A6A2F"/>
    <w:rsid w:val="0646D0B0"/>
    <w:rsid w:val="064A8067"/>
    <w:rsid w:val="064C0075"/>
    <w:rsid w:val="064ED1BC"/>
    <w:rsid w:val="064FEFAC"/>
    <w:rsid w:val="06580228"/>
    <w:rsid w:val="065E7A23"/>
    <w:rsid w:val="065F1D4E"/>
    <w:rsid w:val="06613BDB"/>
    <w:rsid w:val="06679019"/>
    <w:rsid w:val="066A7AB5"/>
    <w:rsid w:val="06705115"/>
    <w:rsid w:val="0673914E"/>
    <w:rsid w:val="06779EB7"/>
    <w:rsid w:val="067A5067"/>
    <w:rsid w:val="067AC6A1"/>
    <w:rsid w:val="0684156B"/>
    <w:rsid w:val="06940C57"/>
    <w:rsid w:val="06953BE6"/>
    <w:rsid w:val="0698FDFE"/>
    <w:rsid w:val="06A50023"/>
    <w:rsid w:val="06A624A3"/>
    <w:rsid w:val="06A875FB"/>
    <w:rsid w:val="06A8C2A4"/>
    <w:rsid w:val="06ADF0BE"/>
    <w:rsid w:val="06B5F848"/>
    <w:rsid w:val="06B738F5"/>
    <w:rsid w:val="06BB46DF"/>
    <w:rsid w:val="06BFD401"/>
    <w:rsid w:val="06C51CAF"/>
    <w:rsid w:val="06C82034"/>
    <w:rsid w:val="06C82C4C"/>
    <w:rsid w:val="06D2E4AD"/>
    <w:rsid w:val="06D9D788"/>
    <w:rsid w:val="06DA10F6"/>
    <w:rsid w:val="06E0D6E6"/>
    <w:rsid w:val="06F4E47B"/>
    <w:rsid w:val="06F8D5AA"/>
    <w:rsid w:val="07049494"/>
    <w:rsid w:val="0706B9CA"/>
    <w:rsid w:val="070B72BC"/>
    <w:rsid w:val="070D5A55"/>
    <w:rsid w:val="070ED322"/>
    <w:rsid w:val="071FB3C4"/>
    <w:rsid w:val="0725016B"/>
    <w:rsid w:val="072CFC41"/>
    <w:rsid w:val="073090C0"/>
    <w:rsid w:val="0731FA18"/>
    <w:rsid w:val="073872B2"/>
    <w:rsid w:val="073DFBDF"/>
    <w:rsid w:val="07445333"/>
    <w:rsid w:val="0746DED3"/>
    <w:rsid w:val="07473A06"/>
    <w:rsid w:val="074D9D4A"/>
    <w:rsid w:val="07550760"/>
    <w:rsid w:val="0757E633"/>
    <w:rsid w:val="075B5E62"/>
    <w:rsid w:val="075C9C17"/>
    <w:rsid w:val="075CD805"/>
    <w:rsid w:val="076A244A"/>
    <w:rsid w:val="076EA4C1"/>
    <w:rsid w:val="0776CD97"/>
    <w:rsid w:val="077871DD"/>
    <w:rsid w:val="0780575C"/>
    <w:rsid w:val="07814965"/>
    <w:rsid w:val="0789B65D"/>
    <w:rsid w:val="078E05CA"/>
    <w:rsid w:val="0794F13D"/>
    <w:rsid w:val="079791E1"/>
    <w:rsid w:val="07AE93A8"/>
    <w:rsid w:val="07B123D6"/>
    <w:rsid w:val="07B3EB65"/>
    <w:rsid w:val="07B5C8BE"/>
    <w:rsid w:val="07B70639"/>
    <w:rsid w:val="07BC2E6E"/>
    <w:rsid w:val="07BE776F"/>
    <w:rsid w:val="07BF35E4"/>
    <w:rsid w:val="07BF7FD2"/>
    <w:rsid w:val="07D246B5"/>
    <w:rsid w:val="07D74EB0"/>
    <w:rsid w:val="07E08D8C"/>
    <w:rsid w:val="07E6DE20"/>
    <w:rsid w:val="07E97E9D"/>
    <w:rsid w:val="07F3CB43"/>
    <w:rsid w:val="07FB0AA4"/>
    <w:rsid w:val="08003693"/>
    <w:rsid w:val="08092D88"/>
    <w:rsid w:val="080B0D15"/>
    <w:rsid w:val="080CFA73"/>
    <w:rsid w:val="080ED5C0"/>
    <w:rsid w:val="08106472"/>
    <w:rsid w:val="08112DD1"/>
    <w:rsid w:val="0815DB6F"/>
    <w:rsid w:val="0815E82D"/>
    <w:rsid w:val="08172A65"/>
    <w:rsid w:val="081F99B5"/>
    <w:rsid w:val="08293866"/>
    <w:rsid w:val="0836B365"/>
    <w:rsid w:val="083F6D5A"/>
    <w:rsid w:val="08496DD1"/>
    <w:rsid w:val="084ADF02"/>
    <w:rsid w:val="084BCDBB"/>
    <w:rsid w:val="0850ED23"/>
    <w:rsid w:val="08569381"/>
    <w:rsid w:val="0857C3A8"/>
    <w:rsid w:val="08582648"/>
    <w:rsid w:val="086558B1"/>
    <w:rsid w:val="08762B32"/>
    <w:rsid w:val="0877CF9D"/>
    <w:rsid w:val="08847FEA"/>
    <w:rsid w:val="08894101"/>
    <w:rsid w:val="088E40B8"/>
    <w:rsid w:val="089F82DF"/>
    <w:rsid w:val="08AAF6E8"/>
    <w:rsid w:val="08ABB830"/>
    <w:rsid w:val="08AEB7C1"/>
    <w:rsid w:val="08AF5C00"/>
    <w:rsid w:val="08B6F2EB"/>
    <w:rsid w:val="08BB2FF9"/>
    <w:rsid w:val="08BC77B9"/>
    <w:rsid w:val="08C59BA9"/>
    <w:rsid w:val="08D7133E"/>
    <w:rsid w:val="08EF6CC7"/>
    <w:rsid w:val="08F74E9B"/>
    <w:rsid w:val="08F7E876"/>
    <w:rsid w:val="08FD37C1"/>
    <w:rsid w:val="09018C16"/>
    <w:rsid w:val="0902A368"/>
    <w:rsid w:val="090A0939"/>
    <w:rsid w:val="090B4F5E"/>
    <w:rsid w:val="090F0078"/>
    <w:rsid w:val="091E62AD"/>
    <w:rsid w:val="0925C5A1"/>
    <w:rsid w:val="09287D37"/>
    <w:rsid w:val="092F82E8"/>
    <w:rsid w:val="0930117F"/>
    <w:rsid w:val="094197D2"/>
    <w:rsid w:val="0941ECD9"/>
    <w:rsid w:val="0944717F"/>
    <w:rsid w:val="095136F5"/>
    <w:rsid w:val="09586CA9"/>
    <w:rsid w:val="095EAEFC"/>
    <w:rsid w:val="0962FCB4"/>
    <w:rsid w:val="0977B93C"/>
    <w:rsid w:val="097991B6"/>
    <w:rsid w:val="097D755E"/>
    <w:rsid w:val="0984070D"/>
    <w:rsid w:val="098693C0"/>
    <w:rsid w:val="09889182"/>
    <w:rsid w:val="098E5BD5"/>
    <w:rsid w:val="098F3F21"/>
    <w:rsid w:val="099BEFA0"/>
    <w:rsid w:val="099DDCF7"/>
    <w:rsid w:val="09A95EDA"/>
    <w:rsid w:val="09B6CB6F"/>
    <w:rsid w:val="09C2AFBF"/>
    <w:rsid w:val="09C32FBA"/>
    <w:rsid w:val="09CD168C"/>
    <w:rsid w:val="09D027D4"/>
    <w:rsid w:val="09E0CE3D"/>
    <w:rsid w:val="09E82889"/>
    <w:rsid w:val="09EBD8D2"/>
    <w:rsid w:val="09F35B15"/>
    <w:rsid w:val="09F7A3E6"/>
    <w:rsid w:val="09FA272D"/>
    <w:rsid w:val="09FC3B58"/>
    <w:rsid w:val="09FEC88C"/>
    <w:rsid w:val="09FFB149"/>
    <w:rsid w:val="0A10F401"/>
    <w:rsid w:val="0A1964F1"/>
    <w:rsid w:val="0A2695E4"/>
    <w:rsid w:val="0A338275"/>
    <w:rsid w:val="0A3EF87D"/>
    <w:rsid w:val="0A3F0581"/>
    <w:rsid w:val="0A4D461B"/>
    <w:rsid w:val="0A4F9786"/>
    <w:rsid w:val="0A57092F"/>
    <w:rsid w:val="0A646F69"/>
    <w:rsid w:val="0A6FAF72"/>
    <w:rsid w:val="0A758B25"/>
    <w:rsid w:val="0A7BCE49"/>
    <w:rsid w:val="0A7D54B8"/>
    <w:rsid w:val="0A826D70"/>
    <w:rsid w:val="0A8E0BDC"/>
    <w:rsid w:val="0A9376BC"/>
    <w:rsid w:val="0A965794"/>
    <w:rsid w:val="0A98DA47"/>
    <w:rsid w:val="0A9CE5F7"/>
    <w:rsid w:val="0A9DF61A"/>
    <w:rsid w:val="0A9F7033"/>
    <w:rsid w:val="0AA0A340"/>
    <w:rsid w:val="0AA53ED6"/>
    <w:rsid w:val="0AA67E83"/>
    <w:rsid w:val="0AB3DBD5"/>
    <w:rsid w:val="0AB57776"/>
    <w:rsid w:val="0AB7005A"/>
    <w:rsid w:val="0AB9C067"/>
    <w:rsid w:val="0ABAAB78"/>
    <w:rsid w:val="0ABF8A5F"/>
    <w:rsid w:val="0AD4C3A5"/>
    <w:rsid w:val="0AD61003"/>
    <w:rsid w:val="0AD7B093"/>
    <w:rsid w:val="0ADA79E2"/>
    <w:rsid w:val="0AE43509"/>
    <w:rsid w:val="0AEA1F14"/>
    <w:rsid w:val="0AEA3FC1"/>
    <w:rsid w:val="0AF03A36"/>
    <w:rsid w:val="0AF27E5C"/>
    <w:rsid w:val="0AF82E1B"/>
    <w:rsid w:val="0AFF8AC1"/>
    <w:rsid w:val="0B101F2A"/>
    <w:rsid w:val="0B19F08C"/>
    <w:rsid w:val="0B1B3D53"/>
    <w:rsid w:val="0B1BF388"/>
    <w:rsid w:val="0B26E371"/>
    <w:rsid w:val="0B29A619"/>
    <w:rsid w:val="0B2CF784"/>
    <w:rsid w:val="0B2E84E7"/>
    <w:rsid w:val="0B366EB3"/>
    <w:rsid w:val="0B4072A1"/>
    <w:rsid w:val="0B47678D"/>
    <w:rsid w:val="0B5A06EE"/>
    <w:rsid w:val="0B6811D6"/>
    <w:rsid w:val="0B79AA25"/>
    <w:rsid w:val="0B7AC182"/>
    <w:rsid w:val="0B7ADB22"/>
    <w:rsid w:val="0B7FC04B"/>
    <w:rsid w:val="0B831711"/>
    <w:rsid w:val="0B85DC36"/>
    <w:rsid w:val="0B869BB9"/>
    <w:rsid w:val="0B869FE2"/>
    <w:rsid w:val="0B8B4F31"/>
    <w:rsid w:val="0B8B610A"/>
    <w:rsid w:val="0B8DBA0E"/>
    <w:rsid w:val="0B94174D"/>
    <w:rsid w:val="0B952CD3"/>
    <w:rsid w:val="0B9B7E2E"/>
    <w:rsid w:val="0B9D075C"/>
    <w:rsid w:val="0BA3971C"/>
    <w:rsid w:val="0BA62CFF"/>
    <w:rsid w:val="0BA671A3"/>
    <w:rsid w:val="0BA96895"/>
    <w:rsid w:val="0BAD1B1D"/>
    <w:rsid w:val="0BADEE21"/>
    <w:rsid w:val="0BAEFB85"/>
    <w:rsid w:val="0BB2D111"/>
    <w:rsid w:val="0BB672BC"/>
    <w:rsid w:val="0BB73992"/>
    <w:rsid w:val="0BBC81B4"/>
    <w:rsid w:val="0BC389D6"/>
    <w:rsid w:val="0BCCFF3F"/>
    <w:rsid w:val="0BD5169A"/>
    <w:rsid w:val="0BD8F285"/>
    <w:rsid w:val="0BDD55DC"/>
    <w:rsid w:val="0BDE1415"/>
    <w:rsid w:val="0BDF06DB"/>
    <w:rsid w:val="0BDFDCEC"/>
    <w:rsid w:val="0BE30191"/>
    <w:rsid w:val="0BE8E9BF"/>
    <w:rsid w:val="0BF5B0AE"/>
    <w:rsid w:val="0BF77BA0"/>
    <w:rsid w:val="0BFAE451"/>
    <w:rsid w:val="0BFEC592"/>
    <w:rsid w:val="0C001E3A"/>
    <w:rsid w:val="0C021698"/>
    <w:rsid w:val="0C059DBF"/>
    <w:rsid w:val="0C076EE0"/>
    <w:rsid w:val="0C0B8860"/>
    <w:rsid w:val="0C1BE600"/>
    <w:rsid w:val="0C21DBE5"/>
    <w:rsid w:val="0C281DED"/>
    <w:rsid w:val="0C2A65E2"/>
    <w:rsid w:val="0C2B468C"/>
    <w:rsid w:val="0C2E6E4C"/>
    <w:rsid w:val="0C31FE5C"/>
    <w:rsid w:val="0C32002D"/>
    <w:rsid w:val="0C3CD897"/>
    <w:rsid w:val="0C3DA09F"/>
    <w:rsid w:val="0C4665C8"/>
    <w:rsid w:val="0C51831C"/>
    <w:rsid w:val="0C52A950"/>
    <w:rsid w:val="0C55D472"/>
    <w:rsid w:val="0C560D54"/>
    <w:rsid w:val="0C5A2974"/>
    <w:rsid w:val="0C5A8FC3"/>
    <w:rsid w:val="0C624982"/>
    <w:rsid w:val="0C69E6CA"/>
    <w:rsid w:val="0C7B483E"/>
    <w:rsid w:val="0C857A21"/>
    <w:rsid w:val="0C86CE8F"/>
    <w:rsid w:val="0C88DF94"/>
    <w:rsid w:val="0C8C6D63"/>
    <w:rsid w:val="0C8DDDF2"/>
    <w:rsid w:val="0C8F2BD6"/>
    <w:rsid w:val="0C980F28"/>
    <w:rsid w:val="0C9B1F44"/>
    <w:rsid w:val="0C9EFF85"/>
    <w:rsid w:val="0C9F3800"/>
    <w:rsid w:val="0CB06F0F"/>
    <w:rsid w:val="0CB082BE"/>
    <w:rsid w:val="0CB7F2F4"/>
    <w:rsid w:val="0CBB6105"/>
    <w:rsid w:val="0CC58D7B"/>
    <w:rsid w:val="0CC96AFE"/>
    <w:rsid w:val="0CCB75A2"/>
    <w:rsid w:val="0CE13909"/>
    <w:rsid w:val="0CE5CD35"/>
    <w:rsid w:val="0CF21EC0"/>
    <w:rsid w:val="0CF2A82B"/>
    <w:rsid w:val="0CF61955"/>
    <w:rsid w:val="0D0B9F04"/>
    <w:rsid w:val="0D11FE36"/>
    <w:rsid w:val="0D19829A"/>
    <w:rsid w:val="0D344220"/>
    <w:rsid w:val="0D49A078"/>
    <w:rsid w:val="0D4DFB41"/>
    <w:rsid w:val="0D4E021A"/>
    <w:rsid w:val="0D52C624"/>
    <w:rsid w:val="0D53C5CC"/>
    <w:rsid w:val="0D55CF72"/>
    <w:rsid w:val="0D596A3B"/>
    <w:rsid w:val="0D5B508E"/>
    <w:rsid w:val="0D6010BA"/>
    <w:rsid w:val="0D605CB5"/>
    <w:rsid w:val="0D640BEC"/>
    <w:rsid w:val="0D6C89A3"/>
    <w:rsid w:val="0D84AAD7"/>
    <w:rsid w:val="0D8DE191"/>
    <w:rsid w:val="0D9497D8"/>
    <w:rsid w:val="0D9674AB"/>
    <w:rsid w:val="0DA00222"/>
    <w:rsid w:val="0DA1C295"/>
    <w:rsid w:val="0DB2DA31"/>
    <w:rsid w:val="0DB4FADB"/>
    <w:rsid w:val="0DB9A76D"/>
    <w:rsid w:val="0DCA09E1"/>
    <w:rsid w:val="0DCAEEEF"/>
    <w:rsid w:val="0DE306AF"/>
    <w:rsid w:val="0DE9E252"/>
    <w:rsid w:val="0DEA8CC2"/>
    <w:rsid w:val="0DED9EEF"/>
    <w:rsid w:val="0DF95B76"/>
    <w:rsid w:val="0E06E4F0"/>
    <w:rsid w:val="0E088EBC"/>
    <w:rsid w:val="0E0AD685"/>
    <w:rsid w:val="0E1D5243"/>
    <w:rsid w:val="0E1EEAC0"/>
    <w:rsid w:val="0E225A72"/>
    <w:rsid w:val="0E2B52B6"/>
    <w:rsid w:val="0E3520B6"/>
    <w:rsid w:val="0E3762A0"/>
    <w:rsid w:val="0E417883"/>
    <w:rsid w:val="0E475B07"/>
    <w:rsid w:val="0E4FDA17"/>
    <w:rsid w:val="0E59253B"/>
    <w:rsid w:val="0E60A368"/>
    <w:rsid w:val="0E6E2F4F"/>
    <w:rsid w:val="0E713B11"/>
    <w:rsid w:val="0E71547B"/>
    <w:rsid w:val="0E79A3FD"/>
    <w:rsid w:val="0E7C15E8"/>
    <w:rsid w:val="0E7F4088"/>
    <w:rsid w:val="0E888776"/>
    <w:rsid w:val="0E8DFF84"/>
    <w:rsid w:val="0E9F756E"/>
    <w:rsid w:val="0E9FF1F7"/>
    <w:rsid w:val="0EA54841"/>
    <w:rsid w:val="0EA9933B"/>
    <w:rsid w:val="0EBE57AF"/>
    <w:rsid w:val="0ECAFB27"/>
    <w:rsid w:val="0ED2BE2A"/>
    <w:rsid w:val="0ED910D9"/>
    <w:rsid w:val="0EDF251B"/>
    <w:rsid w:val="0EDFAEB5"/>
    <w:rsid w:val="0EE9AD71"/>
    <w:rsid w:val="0EF58DA0"/>
    <w:rsid w:val="0EF5BAC6"/>
    <w:rsid w:val="0EFA73B1"/>
    <w:rsid w:val="0F02D99D"/>
    <w:rsid w:val="0F0313D8"/>
    <w:rsid w:val="0F047E1F"/>
    <w:rsid w:val="0F054DA2"/>
    <w:rsid w:val="0F10BED0"/>
    <w:rsid w:val="0F22DD9F"/>
    <w:rsid w:val="0F28F80F"/>
    <w:rsid w:val="0F2C8E99"/>
    <w:rsid w:val="0F2EFB30"/>
    <w:rsid w:val="0F30682C"/>
    <w:rsid w:val="0F30EC4A"/>
    <w:rsid w:val="0F394B22"/>
    <w:rsid w:val="0F3CFB24"/>
    <w:rsid w:val="0F40DF51"/>
    <w:rsid w:val="0F43A02C"/>
    <w:rsid w:val="0F526902"/>
    <w:rsid w:val="0F5F5892"/>
    <w:rsid w:val="0F6349CF"/>
    <w:rsid w:val="0F652325"/>
    <w:rsid w:val="0F66C71D"/>
    <w:rsid w:val="0F6E3824"/>
    <w:rsid w:val="0F751242"/>
    <w:rsid w:val="0F7E1C8B"/>
    <w:rsid w:val="0F81979C"/>
    <w:rsid w:val="0F866043"/>
    <w:rsid w:val="0F90E251"/>
    <w:rsid w:val="0F9AC8CF"/>
    <w:rsid w:val="0F9B2143"/>
    <w:rsid w:val="0F9B4A47"/>
    <w:rsid w:val="0F9B64BD"/>
    <w:rsid w:val="0FA02E6E"/>
    <w:rsid w:val="0FA755A9"/>
    <w:rsid w:val="0FA9C71B"/>
    <w:rsid w:val="0FAFB02F"/>
    <w:rsid w:val="0FB34899"/>
    <w:rsid w:val="0FC543A8"/>
    <w:rsid w:val="0FC6EF2B"/>
    <w:rsid w:val="0FC851EA"/>
    <w:rsid w:val="0FD34DD4"/>
    <w:rsid w:val="0FD4E286"/>
    <w:rsid w:val="0FD70835"/>
    <w:rsid w:val="0FD95E87"/>
    <w:rsid w:val="0FDB1E8E"/>
    <w:rsid w:val="0FDB871B"/>
    <w:rsid w:val="0FDBBBD5"/>
    <w:rsid w:val="0FDEF748"/>
    <w:rsid w:val="0FDFCEC7"/>
    <w:rsid w:val="0FE2AC66"/>
    <w:rsid w:val="0FEA5B98"/>
    <w:rsid w:val="0FEDC934"/>
    <w:rsid w:val="0FF58DD0"/>
    <w:rsid w:val="0FFA17C2"/>
    <w:rsid w:val="0FFE3A4C"/>
    <w:rsid w:val="1005F31A"/>
    <w:rsid w:val="1009B1C3"/>
    <w:rsid w:val="100E63B7"/>
    <w:rsid w:val="100E66DD"/>
    <w:rsid w:val="101557C3"/>
    <w:rsid w:val="101DBF64"/>
    <w:rsid w:val="102AFDBF"/>
    <w:rsid w:val="102B4CBC"/>
    <w:rsid w:val="10304574"/>
    <w:rsid w:val="1039A986"/>
    <w:rsid w:val="104776E6"/>
    <w:rsid w:val="1052C028"/>
    <w:rsid w:val="1054FFD1"/>
    <w:rsid w:val="10567566"/>
    <w:rsid w:val="10584488"/>
    <w:rsid w:val="10647D1D"/>
    <w:rsid w:val="10652EBE"/>
    <w:rsid w:val="10711A9C"/>
    <w:rsid w:val="1075B194"/>
    <w:rsid w:val="1077DA1F"/>
    <w:rsid w:val="1077E309"/>
    <w:rsid w:val="1078A6ED"/>
    <w:rsid w:val="107BC719"/>
    <w:rsid w:val="107C5210"/>
    <w:rsid w:val="107F6A09"/>
    <w:rsid w:val="10855CD9"/>
    <w:rsid w:val="108CAD6C"/>
    <w:rsid w:val="108CF493"/>
    <w:rsid w:val="108EF2AA"/>
    <w:rsid w:val="1095B6F5"/>
    <w:rsid w:val="109959A6"/>
    <w:rsid w:val="1099C30A"/>
    <w:rsid w:val="10A16487"/>
    <w:rsid w:val="10A2971B"/>
    <w:rsid w:val="10AD086A"/>
    <w:rsid w:val="10B8CB28"/>
    <w:rsid w:val="10BEA238"/>
    <w:rsid w:val="10C2B830"/>
    <w:rsid w:val="10C520EA"/>
    <w:rsid w:val="10CA8AA6"/>
    <w:rsid w:val="10D50B9F"/>
    <w:rsid w:val="10D9B15D"/>
    <w:rsid w:val="10DE06BD"/>
    <w:rsid w:val="10E2E085"/>
    <w:rsid w:val="10ED6750"/>
    <w:rsid w:val="10EEF2AA"/>
    <w:rsid w:val="10F2EC71"/>
    <w:rsid w:val="11048B63"/>
    <w:rsid w:val="1107400D"/>
    <w:rsid w:val="1112A893"/>
    <w:rsid w:val="11188A12"/>
    <w:rsid w:val="112035F6"/>
    <w:rsid w:val="1129962F"/>
    <w:rsid w:val="11383A67"/>
    <w:rsid w:val="113DEF8A"/>
    <w:rsid w:val="114A728D"/>
    <w:rsid w:val="114B3868"/>
    <w:rsid w:val="114F125D"/>
    <w:rsid w:val="11542BD8"/>
    <w:rsid w:val="116F5754"/>
    <w:rsid w:val="1176A6C7"/>
    <w:rsid w:val="117975C5"/>
    <w:rsid w:val="117F32D6"/>
    <w:rsid w:val="11869CBC"/>
    <w:rsid w:val="1190208F"/>
    <w:rsid w:val="1190456B"/>
    <w:rsid w:val="1195AE60"/>
    <w:rsid w:val="1196FC92"/>
    <w:rsid w:val="11A0B446"/>
    <w:rsid w:val="11A1DB3C"/>
    <w:rsid w:val="11A43037"/>
    <w:rsid w:val="11A4419B"/>
    <w:rsid w:val="11AAF150"/>
    <w:rsid w:val="11AB3608"/>
    <w:rsid w:val="11AEAA5C"/>
    <w:rsid w:val="11B4CF25"/>
    <w:rsid w:val="11BF1E80"/>
    <w:rsid w:val="11C006FC"/>
    <w:rsid w:val="11C94F55"/>
    <w:rsid w:val="11CE548B"/>
    <w:rsid w:val="11CFA936"/>
    <w:rsid w:val="11D00DEA"/>
    <w:rsid w:val="11D31216"/>
    <w:rsid w:val="11D3A834"/>
    <w:rsid w:val="11DB9D40"/>
    <w:rsid w:val="11DECA9A"/>
    <w:rsid w:val="11E4762D"/>
    <w:rsid w:val="11F29C02"/>
    <w:rsid w:val="11FCAD09"/>
    <w:rsid w:val="1201DD63"/>
    <w:rsid w:val="1202A367"/>
    <w:rsid w:val="12098C17"/>
    <w:rsid w:val="121105AE"/>
    <w:rsid w:val="1229C342"/>
    <w:rsid w:val="122DAE68"/>
    <w:rsid w:val="122DB8D0"/>
    <w:rsid w:val="1230A294"/>
    <w:rsid w:val="1234A3A3"/>
    <w:rsid w:val="123B8E07"/>
    <w:rsid w:val="123F54A3"/>
    <w:rsid w:val="124E3A8A"/>
    <w:rsid w:val="1253C91C"/>
    <w:rsid w:val="125414FC"/>
    <w:rsid w:val="12564DF9"/>
    <w:rsid w:val="125E3AE6"/>
    <w:rsid w:val="125E8B6E"/>
    <w:rsid w:val="126A9FCA"/>
    <w:rsid w:val="126EED6F"/>
    <w:rsid w:val="1278C455"/>
    <w:rsid w:val="1282EF56"/>
    <w:rsid w:val="129095F5"/>
    <w:rsid w:val="12991094"/>
    <w:rsid w:val="129B9A06"/>
    <w:rsid w:val="12AC190C"/>
    <w:rsid w:val="12B19F49"/>
    <w:rsid w:val="12B8845F"/>
    <w:rsid w:val="12BBCE93"/>
    <w:rsid w:val="12BF4216"/>
    <w:rsid w:val="12C3D7EF"/>
    <w:rsid w:val="12C67854"/>
    <w:rsid w:val="12D07BB0"/>
    <w:rsid w:val="12D6232E"/>
    <w:rsid w:val="12E56B2B"/>
    <w:rsid w:val="12E86B0E"/>
    <w:rsid w:val="12EDED34"/>
    <w:rsid w:val="12F22225"/>
    <w:rsid w:val="12F295ED"/>
    <w:rsid w:val="12F8C1A5"/>
    <w:rsid w:val="13041CCD"/>
    <w:rsid w:val="1309993B"/>
    <w:rsid w:val="131C01E5"/>
    <w:rsid w:val="131CAF7A"/>
    <w:rsid w:val="132570D7"/>
    <w:rsid w:val="13266255"/>
    <w:rsid w:val="1329716C"/>
    <w:rsid w:val="1333D7F1"/>
    <w:rsid w:val="1336DBD8"/>
    <w:rsid w:val="1343D855"/>
    <w:rsid w:val="1347AA14"/>
    <w:rsid w:val="134BE57E"/>
    <w:rsid w:val="134E6AD4"/>
    <w:rsid w:val="1357B920"/>
    <w:rsid w:val="136086E9"/>
    <w:rsid w:val="136CCC21"/>
    <w:rsid w:val="1374E0CA"/>
    <w:rsid w:val="137C0D32"/>
    <w:rsid w:val="137E2ECE"/>
    <w:rsid w:val="137F55FF"/>
    <w:rsid w:val="138BC22A"/>
    <w:rsid w:val="138FFD47"/>
    <w:rsid w:val="13A0E2C2"/>
    <w:rsid w:val="13A36E9F"/>
    <w:rsid w:val="13A63D03"/>
    <w:rsid w:val="13A86003"/>
    <w:rsid w:val="13ABE8C6"/>
    <w:rsid w:val="13AF787D"/>
    <w:rsid w:val="13B0FBD4"/>
    <w:rsid w:val="13B24C91"/>
    <w:rsid w:val="13B37C5D"/>
    <w:rsid w:val="13B486FE"/>
    <w:rsid w:val="13BC7433"/>
    <w:rsid w:val="13BD09CB"/>
    <w:rsid w:val="13C01A81"/>
    <w:rsid w:val="13C7A6B0"/>
    <w:rsid w:val="13C7EE33"/>
    <w:rsid w:val="13C9320F"/>
    <w:rsid w:val="13C9348A"/>
    <w:rsid w:val="13CEF085"/>
    <w:rsid w:val="13CEFD57"/>
    <w:rsid w:val="13E62596"/>
    <w:rsid w:val="13EAA87C"/>
    <w:rsid w:val="13EB747B"/>
    <w:rsid w:val="13EC04B4"/>
    <w:rsid w:val="13EE9FCD"/>
    <w:rsid w:val="13F39260"/>
    <w:rsid w:val="140F211E"/>
    <w:rsid w:val="1425EA12"/>
    <w:rsid w:val="1435510E"/>
    <w:rsid w:val="14400C0A"/>
    <w:rsid w:val="144AB69B"/>
    <w:rsid w:val="145030CF"/>
    <w:rsid w:val="145C7FED"/>
    <w:rsid w:val="145FCC4F"/>
    <w:rsid w:val="1466AA68"/>
    <w:rsid w:val="146BF636"/>
    <w:rsid w:val="14748DB5"/>
    <w:rsid w:val="14768478"/>
    <w:rsid w:val="1477F6E7"/>
    <w:rsid w:val="147F7038"/>
    <w:rsid w:val="148E10DC"/>
    <w:rsid w:val="14906041"/>
    <w:rsid w:val="14981A2C"/>
    <w:rsid w:val="14981E30"/>
    <w:rsid w:val="1499EA5A"/>
    <w:rsid w:val="14A177FA"/>
    <w:rsid w:val="14A3E988"/>
    <w:rsid w:val="14A52C8F"/>
    <w:rsid w:val="14A6973F"/>
    <w:rsid w:val="14A85C40"/>
    <w:rsid w:val="14A86DC1"/>
    <w:rsid w:val="14A90E76"/>
    <w:rsid w:val="14AAE267"/>
    <w:rsid w:val="14AF2D3B"/>
    <w:rsid w:val="14BE45BD"/>
    <w:rsid w:val="14C27D95"/>
    <w:rsid w:val="14C34000"/>
    <w:rsid w:val="14C7D190"/>
    <w:rsid w:val="14CC03E1"/>
    <w:rsid w:val="14E42977"/>
    <w:rsid w:val="14E4D5B3"/>
    <w:rsid w:val="14E8BFD2"/>
    <w:rsid w:val="14ED2FA5"/>
    <w:rsid w:val="14F035C6"/>
    <w:rsid w:val="14F83004"/>
    <w:rsid w:val="14F98EC6"/>
    <w:rsid w:val="1504AB69"/>
    <w:rsid w:val="150997A1"/>
    <w:rsid w:val="15158DAD"/>
    <w:rsid w:val="15161E3A"/>
    <w:rsid w:val="1517A5B1"/>
    <w:rsid w:val="151A787A"/>
    <w:rsid w:val="15274F22"/>
    <w:rsid w:val="15341868"/>
    <w:rsid w:val="153D2501"/>
    <w:rsid w:val="15528B30"/>
    <w:rsid w:val="1555B30C"/>
    <w:rsid w:val="155B371C"/>
    <w:rsid w:val="155D90F9"/>
    <w:rsid w:val="156C5506"/>
    <w:rsid w:val="156DBDF4"/>
    <w:rsid w:val="157B1BB0"/>
    <w:rsid w:val="1587CDA0"/>
    <w:rsid w:val="1589AE0A"/>
    <w:rsid w:val="158DBA60"/>
    <w:rsid w:val="1598BF05"/>
    <w:rsid w:val="159A867D"/>
    <w:rsid w:val="15A00EE2"/>
    <w:rsid w:val="15A226BA"/>
    <w:rsid w:val="15B0C37C"/>
    <w:rsid w:val="15B51CE2"/>
    <w:rsid w:val="15C15B6F"/>
    <w:rsid w:val="15C3D908"/>
    <w:rsid w:val="15C704FB"/>
    <w:rsid w:val="15CA0426"/>
    <w:rsid w:val="15CDB268"/>
    <w:rsid w:val="15CF110C"/>
    <w:rsid w:val="15D271B1"/>
    <w:rsid w:val="15D6872B"/>
    <w:rsid w:val="15E8E11F"/>
    <w:rsid w:val="15F3C51A"/>
    <w:rsid w:val="15F84FA2"/>
    <w:rsid w:val="15FFAFED"/>
    <w:rsid w:val="16163043"/>
    <w:rsid w:val="161E3C08"/>
    <w:rsid w:val="1629F476"/>
    <w:rsid w:val="162CADFA"/>
    <w:rsid w:val="162F9949"/>
    <w:rsid w:val="16387DA9"/>
    <w:rsid w:val="1644E44C"/>
    <w:rsid w:val="164CC518"/>
    <w:rsid w:val="1651BC1F"/>
    <w:rsid w:val="1652F47F"/>
    <w:rsid w:val="1655B8EF"/>
    <w:rsid w:val="16561D61"/>
    <w:rsid w:val="165638E2"/>
    <w:rsid w:val="165C1A4E"/>
    <w:rsid w:val="165F2EAF"/>
    <w:rsid w:val="16634933"/>
    <w:rsid w:val="16659273"/>
    <w:rsid w:val="1667445E"/>
    <w:rsid w:val="166C3DAF"/>
    <w:rsid w:val="166DB328"/>
    <w:rsid w:val="1673AC12"/>
    <w:rsid w:val="16756B45"/>
    <w:rsid w:val="1675EC9D"/>
    <w:rsid w:val="167A3CFD"/>
    <w:rsid w:val="167E59F0"/>
    <w:rsid w:val="1682F61B"/>
    <w:rsid w:val="168A85C6"/>
    <w:rsid w:val="168F6E65"/>
    <w:rsid w:val="16948405"/>
    <w:rsid w:val="169A11B1"/>
    <w:rsid w:val="169C580C"/>
    <w:rsid w:val="169DF8E0"/>
    <w:rsid w:val="16A1526C"/>
    <w:rsid w:val="16A3DEDF"/>
    <w:rsid w:val="16A66ECE"/>
    <w:rsid w:val="16B08A3A"/>
    <w:rsid w:val="16C7D705"/>
    <w:rsid w:val="16CE2BD2"/>
    <w:rsid w:val="16CFA7E6"/>
    <w:rsid w:val="16D571D8"/>
    <w:rsid w:val="16DA608E"/>
    <w:rsid w:val="16DF4BC3"/>
    <w:rsid w:val="16E27FF1"/>
    <w:rsid w:val="16F34442"/>
    <w:rsid w:val="16F8C560"/>
    <w:rsid w:val="16FD49E4"/>
    <w:rsid w:val="16FE0D6C"/>
    <w:rsid w:val="16FE28B0"/>
    <w:rsid w:val="16FE5E46"/>
    <w:rsid w:val="16FF69D3"/>
    <w:rsid w:val="17003A94"/>
    <w:rsid w:val="17003DB2"/>
    <w:rsid w:val="1705F927"/>
    <w:rsid w:val="170A7C98"/>
    <w:rsid w:val="1719658E"/>
    <w:rsid w:val="171E0F7F"/>
    <w:rsid w:val="17277D71"/>
    <w:rsid w:val="172E6AFC"/>
    <w:rsid w:val="172ED825"/>
    <w:rsid w:val="172F05F2"/>
    <w:rsid w:val="17344852"/>
    <w:rsid w:val="1734E95E"/>
    <w:rsid w:val="1740A8D3"/>
    <w:rsid w:val="17412E44"/>
    <w:rsid w:val="1753E8DC"/>
    <w:rsid w:val="175A2328"/>
    <w:rsid w:val="1766D582"/>
    <w:rsid w:val="17731158"/>
    <w:rsid w:val="177C3DD5"/>
    <w:rsid w:val="177F6FDC"/>
    <w:rsid w:val="177FA7B8"/>
    <w:rsid w:val="17825D1B"/>
    <w:rsid w:val="17841F23"/>
    <w:rsid w:val="178617ED"/>
    <w:rsid w:val="1789CB7C"/>
    <w:rsid w:val="178E7720"/>
    <w:rsid w:val="178EC32B"/>
    <w:rsid w:val="17934795"/>
    <w:rsid w:val="1797CB8C"/>
    <w:rsid w:val="179FD73D"/>
    <w:rsid w:val="17A4992A"/>
    <w:rsid w:val="17B34523"/>
    <w:rsid w:val="17B45B51"/>
    <w:rsid w:val="17B8F7E1"/>
    <w:rsid w:val="17BD45CA"/>
    <w:rsid w:val="17BFE2DB"/>
    <w:rsid w:val="17CC9B49"/>
    <w:rsid w:val="17CD2A1F"/>
    <w:rsid w:val="17CF49DB"/>
    <w:rsid w:val="17DBC0E9"/>
    <w:rsid w:val="17EDAE9C"/>
    <w:rsid w:val="17EDDF25"/>
    <w:rsid w:val="17F2270C"/>
    <w:rsid w:val="180260B7"/>
    <w:rsid w:val="18047167"/>
    <w:rsid w:val="180A1B52"/>
    <w:rsid w:val="180C368E"/>
    <w:rsid w:val="1813928D"/>
    <w:rsid w:val="1816DA14"/>
    <w:rsid w:val="181E8D2D"/>
    <w:rsid w:val="181F22E4"/>
    <w:rsid w:val="181F5721"/>
    <w:rsid w:val="1825F416"/>
    <w:rsid w:val="1836BFFF"/>
    <w:rsid w:val="183F33EC"/>
    <w:rsid w:val="1842C5BD"/>
    <w:rsid w:val="18439B97"/>
    <w:rsid w:val="184B50FB"/>
    <w:rsid w:val="18515E93"/>
    <w:rsid w:val="1854E61D"/>
    <w:rsid w:val="185DF2E7"/>
    <w:rsid w:val="186B2D18"/>
    <w:rsid w:val="186FD4F6"/>
    <w:rsid w:val="187337CA"/>
    <w:rsid w:val="187D6169"/>
    <w:rsid w:val="18804B71"/>
    <w:rsid w:val="1886E660"/>
    <w:rsid w:val="188A6E3D"/>
    <w:rsid w:val="1899E149"/>
    <w:rsid w:val="189CEB10"/>
    <w:rsid w:val="189F6683"/>
    <w:rsid w:val="189F9568"/>
    <w:rsid w:val="18A7F2A0"/>
    <w:rsid w:val="18A94C7C"/>
    <w:rsid w:val="18AB7F6B"/>
    <w:rsid w:val="18B457FE"/>
    <w:rsid w:val="18C415BF"/>
    <w:rsid w:val="18C44960"/>
    <w:rsid w:val="18C646A4"/>
    <w:rsid w:val="18C9246C"/>
    <w:rsid w:val="18CE3E28"/>
    <w:rsid w:val="18D2E168"/>
    <w:rsid w:val="18D3B725"/>
    <w:rsid w:val="18DAE663"/>
    <w:rsid w:val="18DE1A68"/>
    <w:rsid w:val="18E0F114"/>
    <w:rsid w:val="18E5B29B"/>
    <w:rsid w:val="18E5E00C"/>
    <w:rsid w:val="18E67AE9"/>
    <w:rsid w:val="18E751FF"/>
    <w:rsid w:val="18E93BA8"/>
    <w:rsid w:val="18EA0E06"/>
    <w:rsid w:val="18EF2603"/>
    <w:rsid w:val="18EF891A"/>
    <w:rsid w:val="18F19BD2"/>
    <w:rsid w:val="1908E649"/>
    <w:rsid w:val="19179F79"/>
    <w:rsid w:val="193ECA8F"/>
    <w:rsid w:val="193FB6A4"/>
    <w:rsid w:val="19460973"/>
    <w:rsid w:val="1949B09E"/>
    <w:rsid w:val="194FD099"/>
    <w:rsid w:val="195446B1"/>
    <w:rsid w:val="19562445"/>
    <w:rsid w:val="1956D5DA"/>
    <w:rsid w:val="1959F222"/>
    <w:rsid w:val="195CD060"/>
    <w:rsid w:val="19634959"/>
    <w:rsid w:val="1968CF42"/>
    <w:rsid w:val="19694887"/>
    <w:rsid w:val="196B7866"/>
    <w:rsid w:val="197837D3"/>
    <w:rsid w:val="198435BE"/>
    <w:rsid w:val="19937551"/>
    <w:rsid w:val="1996E659"/>
    <w:rsid w:val="1996FBF1"/>
    <w:rsid w:val="199ADDE5"/>
    <w:rsid w:val="199E34CF"/>
    <w:rsid w:val="199E6CF5"/>
    <w:rsid w:val="19A17DCD"/>
    <w:rsid w:val="19A65483"/>
    <w:rsid w:val="19A7F909"/>
    <w:rsid w:val="19B4BC45"/>
    <w:rsid w:val="19B6C1FA"/>
    <w:rsid w:val="19BAC6F9"/>
    <w:rsid w:val="19BBBD1A"/>
    <w:rsid w:val="19C19B84"/>
    <w:rsid w:val="19C38785"/>
    <w:rsid w:val="19C425E2"/>
    <w:rsid w:val="19CE6C04"/>
    <w:rsid w:val="19CF41A9"/>
    <w:rsid w:val="19D0D21F"/>
    <w:rsid w:val="19D18AD4"/>
    <w:rsid w:val="19D9BBDB"/>
    <w:rsid w:val="19DD4B01"/>
    <w:rsid w:val="19E20B6C"/>
    <w:rsid w:val="19E63D09"/>
    <w:rsid w:val="19E79BD3"/>
    <w:rsid w:val="19E84EF7"/>
    <w:rsid w:val="19E8AF1D"/>
    <w:rsid w:val="19ED9674"/>
    <w:rsid w:val="19F91B1E"/>
    <w:rsid w:val="19FE3ED2"/>
    <w:rsid w:val="19FE4B39"/>
    <w:rsid w:val="1A011B9D"/>
    <w:rsid w:val="1A063D5A"/>
    <w:rsid w:val="1A093ED7"/>
    <w:rsid w:val="1A0F2B8A"/>
    <w:rsid w:val="1A10D817"/>
    <w:rsid w:val="1A13F348"/>
    <w:rsid w:val="1A1A4B83"/>
    <w:rsid w:val="1A23FC6A"/>
    <w:rsid w:val="1A256FAA"/>
    <w:rsid w:val="1A2CF73B"/>
    <w:rsid w:val="1A30FB63"/>
    <w:rsid w:val="1A368030"/>
    <w:rsid w:val="1A43753E"/>
    <w:rsid w:val="1A480E88"/>
    <w:rsid w:val="1A4C12F3"/>
    <w:rsid w:val="1A4D2A84"/>
    <w:rsid w:val="1A5CA9E8"/>
    <w:rsid w:val="1A685F16"/>
    <w:rsid w:val="1A6AAAAC"/>
    <w:rsid w:val="1A6AFA8B"/>
    <w:rsid w:val="1A73CF93"/>
    <w:rsid w:val="1A741D3E"/>
    <w:rsid w:val="1A766DA3"/>
    <w:rsid w:val="1A77E4DB"/>
    <w:rsid w:val="1A87E7C1"/>
    <w:rsid w:val="1A8DFA6A"/>
    <w:rsid w:val="1A9584AB"/>
    <w:rsid w:val="1A961C56"/>
    <w:rsid w:val="1A979781"/>
    <w:rsid w:val="1A995ED6"/>
    <w:rsid w:val="1A9BD115"/>
    <w:rsid w:val="1AA900F5"/>
    <w:rsid w:val="1AAA4417"/>
    <w:rsid w:val="1AB11A17"/>
    <w:rsid w:val="1AB4166B"/>
    <w:rsid w:val="1AC00C1F"/>
    <w:rsid w:val="1AC131CB"/>
    <w:rsid w:val="1AC9F324"/>
    <w:rsid w:val="1ACA177E"/>
    <w:rsid w:val="1ACF932B"/>
    <w:rsid w:val="1AE07AFC"/>
    <w:rsid w:val="1AE5A4E6"/>
    <w:rsid w:val="1AE83C0F"/>
    <w:rsid w:val="1AF4D5DB"/>
    <w:rsid w:val="1AF7515B"/>
    <w:rsid w:val="1AFA5A68"/>
    <w:rsid w:val="1B052126"/>
    <w:rsid w:val="1B060CE0"/>
    <w:rsid w:val="1B095F5B"/>
    <w:rsid w:val="1B0D7406"/>
    <w:rsid w:val="1B1095F1"/>
    <w:rsid w:val="1B185197"/>
    <w:rsid w:val="1B1A8ACE"/>
    <w:rsid w:val="1B2FF804"/>
    <w:rsid w:val="1B3393E4"/>
    <w:rsid w:val="1B3780B2"/>
    <w:rsid w:val="1B391C16"/>
    <w:rsid w:val="1B3B0EF4"/>
    <w:rsid w:val="1B3DBE96"/>
    <w:rsid w:val="1B500809"/>
    <w:rsid w:val="1B503CE0"/>
    <w:rsid w:val="1B5A77B4"/>
    <w:rsid w:val="1B5C5D22"/>
    <w:rsid w:val="1B6A93DF"/>
    <w:rsid w:val="1B6C441A"/>
    <w:rsid w:val="1B757338"/>
    <w:rsid w:val="1B78BE24"/>
    <w:rsid w:val="1B7BABC8"/>
    <w:rsid w:val="1B7E6056"/>
    <w:rsid w:val="1B838B0F"/>
    <w:rsid w:val="1B842457"/>
    <w:rsid w:val="1B85B5CC"/>
    <w:rsid w:val="1B88388B"/>
    <w:rsid w:val="1B8CF8B9"/>
    <w:rsid w:val="1B8D6960"/>
    <w:rsid w:val="1B95184D"/>
    <w:rsid w:val="1B964664"/>
    <w:rsid w:val="1B9E6E3D"/>
    <w:rsid w:val="1BA1FBED"/>
    <w:rsid w:val="1BA40C80"/>
    <w:rsid w:val="1BA8A998"/>
    <w:rsid w:val="1BAD2891"/>
    <w:rsid w:val="1BB39E22"/>
    <w:rsid w:val="1BB62DFE"/>
    <w:rsid w:val="1BBF49B4"/>
    <w:rsid w:val="1BC91C94"/>
    <w:rsid w:val="1BCFFE52"/>
    <w:rsid w:val="1BD6CB73"/>
    <w:rsid w:val="1BD6DEE2"/>
    <w:rsid w:val="1BDB9BDA"/>
    <w:rsid w:val="1BDDEACA"/>
    <w:rsid w:val="1BDEB8B1"/>
    <w:rsid w:val="1BE19874"/>
    <w:rsid w:val="1BE1EF87"/>
    <w:rsid w:val="1BE5E141"/>
    <w:rsid w:val="1BEAF0FF"/>
    <w:rsid w:val="1C059D11"/>
    <w:rsid w:val="1C0D58F3"/>
    <w:rsid w:val="1C0FF8AF"/>
    <w:rsid w:val="1C18DBFD"/>
    <w:rsid w:val="1C1D40AC"/>
    <w:rsid w:val="1C1DA9B8"/>
    <w:rsid w:val="1C1E3A67"/>
    <w:rsid w:val="1C232381"/>
    <w:rsid w:val="1C2923AE"/>
    <w:rsid w:val="1C295F1B"/>
    <w:rsid w:val="1C2AE1CD"/>
    <w:rsid w:val="1C2BF364"/>
    <w:rsid w:val="1C369401"/>
    <w:rsid w:val="1C47B3FF"/>
    <w:rsid w:val="1C49DE57"/>
    <w:rsid w:val="1C4AAF36"/>
    <w:rsid w:val="1C4CAF17"/>
    <w:rsid w:val="1C567D24"/>
    <w:rsid w:val="1C569569"/>
    <w:rsid w:val="1C58D46B"/>
    <w:rsid w:val="1C59F556"/>
    <w:rsid w:val="1C5A099B"/>
    <w:rsid w:val="1C60FC43"/>
    <w:rsid w:val="1C610604"/>
    <w:rsid w:val="1C6E6152"/>
    <w:rsid w:val="1C6EFFBB"/>
    <w:rsid w:val="1C6FED9F"/>
    <w:rsid w:val="1C7487ED"/>
    <w:rsid w:val="1C7D3B51"/>
    <w:rsid w:val="1C824DAB"/>
    <w:rsid w:val="1C865834"/>
    <w:rsid w:val="1C9C1DDC"/>
    <w:rsid w:val="1CA0F38B"/>
    <w:rsid w:val="1CAE6CFE"/>
    <w:rsid w:val="1CB61705"/>
    <w:rsid w:val="1CB7E983"/>
    <w:rsid w:val="1CBBAFE5"/>
    <w:rsid w:val="1CBEBA49"/>
    <w:rsid w:val="1CC0895E"/>
    <w:rsid w:val="1CD4046F"/>
    <w:rsid w:val="1CD4C977"/>
    <w:rsid w:val="1CDED4BB"/>
    <w:rsid w:val="1CF7136F"/>
    <w:rsid w:val="1CF92780"/>
    <w:rsid w:val="1CFB58C8"/>
    <w:rsid w:val="1CFE3774"/>
    <w:rsid w:val="1D086358"/>
    <w:rsid w:val="1D0AE2CA"/>
    <w:rsid w:val="1D0B59D5"/>
    <w:rsid w:val="1D0CF1D4"/>
    <w:rsid w:val="1D0EC24E"/>
    <w:rsid w:val="1D1165AE"/>
    <w:rsid w:val="1D178FCA"/>
    <w:rsid w:val="1D1DC9F3"/>
    <w:rsid w:val="1D21BE58"/>
    <w:rsid w:val="1D27891C"/>
    <w:rsid w:val="1D2878B1"/>
    <w:rsid w:val="1D2FEF71"/>
    <w:rsid w:val="1D300E7F"/>
    <w:rsid w:val="1D302650"/>
    <w:rsid w:val="1D38A040"/>
    <w:rsid w:val="1D4809B8"/>
    <w:rsid w:val="1D4C080E"/>
    <w:rsid w:val="1D5575CD"/>
    <w:rsid w:val="1D5C0E5D"/>
    <w:rsid w:val="1D5D0741"/>
    <w:rsid w:val="1D607FC4"/>
    <w:rsid w:val="1D64B137"/>
    <w:rsid w:val="1D6B7B58"/>
    <w:rsid w:val="1D73FA68"/>
    <w:rsid w:val="1D7E787A"/>
    <w:rsid w:val="1D8696CF"/>
    <w:rsid w:val="1D87FEDE"/>
    <w:rsid w:val="1D9017B3"/>
    <w:rsid w:val="1D971A88"/>
    <w:rsid w:val="1D9B80C1"/>
    <w:rsid w:val="1D9E8722"/>
    <w:rsid w:val="1DA90E3B"/>
    <w:rsid w:val="1DA9F3EE"/>
    <w:rsid w:val="1DAE9FBA"/>
    <w:rsid w:val="1DB38BE1"/>
    <w:rsid w:val="1DB7501D"/>
    <w:rsid w:val="1DBDAA0A"/>
    <w:rsid w:val="1DD5603E"/>
    <w:rsid w:val="1DDCBBE9"/>
    <w:rsid w:val="1DE01A78"/>
    <w:rsid w:val="1DE181E8"/>
    <w:rsid w:val="1DED5134"/>
    <w:rsid w:val="1E060C26"/>
    <w:rsid w:val="1E126AC0"/>
    <w:rsid w:val="1E1AB828"/>
    <w:rsid w:val="1E20AFC2"/>
    <w:rsid w:val="1E2268D2"/>
    <w:rsid w:val="1E30D2BE"/>
    <w:rsid w:val="1E3EFA4C"/>
    <w:rsid w:val="1E44FE78"/>
    <w:rsid w:val="1E46AA11"/>
    <w:rsid w:val="1E491B6F"/>
    <w:rsid w:val="1E4D353C"/>
    <w:rsid w:val="1E4DF3DE"/>
    <w:rsid w:val="1E53AF2E"/>
    <w:rsid w:val="1E575824"/>
    <w:rsid w:val="1E5785FA"/>
    <w:rsid w:val="1E586E71"/>
    <w:rsid w:val="1E5B111D"/>
    <w:rsid w:val="1E5C005F"/>
    <w:rsid w:val="1E6CE9F4"/>
    <w:rsid w:val="1E7E8523"/>
    <w:rsid w:val="1E84A2A0"/>
    <w:rsid w:val="1E860E8A"/>
    <w:rsid w:val="1E8CA875"/>
    <w:rsid w:val="1E94E409"/>
    <w:rsid w:val="1EA4FA70"/>
    <w:rsid w:val="1EB4F662"/>
    <w:rsid w:val="1EB67904"/>
    <w:rsid w:val="1EB9A9A6"/>
    <w:rsid w:val="1EBDAFA9"/>
    <w:rsid w:val="1EBE0950"/>
    <w:rsid w:val="1EC2B6AA"/>
    <w:rsid w:val="1EC2F15D"/>
    <w:rsid w:val="1EC702E0"/>
    <w:rsid w:val="1ED38AD0"/>
    <w:rsid w:val="1ED634DB"/>
    <w:rsid w:val="1EDAF8B4"/>
    <w:rsid w:val="1EDB94C0"/>
    <w:rsid w:val="1EE30787"/>
    <w:rsid w:val="1EE6CF86"/>
    <w:rsid w:val="1EE8D244"/>
    <w:rsid w:val="1EFC20CC"/>
    <w:rsid w:val="1F01C764"/>
    <w:rsid w:val="1F06EAE1"/>
    <w:rsid w:val="1F081A8E"/>
    <w:rsid w:val="1F111370"/>
    <w:rsid w:val="1F20B84C"/>
    <w:rsid w:val="1F242171"/>
    <w:rsid w:val="1F30B7D1"/>
    <w:rsid w:val="1F321C78"/>
    <w:rsid w:val="1F3E8A29"/>
    <w:rsid w:val="1F48C241"/>
    <w:rsid w:val="1F49C7CC"/>
    <w:rsid w:val="1F4FFE4A"/>
    <w:rsid w:val="1F582E88"/>
    <w:rsid w:val="1F6FEE2B"/>
    <w:rsid w:val="1F738A4C"/>
    <w:rsid w:val="1F878644"/>
    <w:rsid w:val="1F8A6767"/>
    <w:rsid w:val="1F8A8195"/>
    <w:rsid w:val="1F8F22BF"/>
    <w:rsid w:val="1F90C746"/>
    <w:rsid w:val="1F90CB11"/>
    <w:rsid w:val="1F91BC0E"/>
    <w:rsid w:val="1F977008"/>
    <w:rsid w:val="1FA41C14"/>
    <w:rsid w:val="1FA46422"/>
    <w:rsid w:val="1FA69472"/>
    <w:rsid w:val="1FA81ECF"/>
    <w:rsid w:val="1FB71169"/>
    <w:rsid w:val="1FC1F6F3"/>
    <w:rsid w:val="1FC7903D"/>
    <w:rsid w:val="1FD90103"/>
    <w:rsid w:val="1FDA9A19"/>
    <w:rsid w:val="1FE08AA8"/>
    <w:rsid w:val="1FE86474"/>
    <w:rsid w:val="1FF183AC"/>
    <w:rsid w:val="1FF639A8"/>
    <w:rsid w:val="1FF63EFC"/>
    <w:rsid w:val="1FF6B83A"/>
    <w:rsid w:val="1FFE3D20"/>
    <w:rsid w:val="1FFEB004"/>
    <w:rsid w:val="2009829E"/>
    <w:rsid w:val="200B7C99"/>
    <w:rsid w:val="200C8993"/>
    <w:rsid w:val="20112423"/>
    <w:rsid w:val="2026E9FA"/>
    <w:rsid w:val="202A63B9"/>
    <w:rsid w:val="20308FA0"/>
    <w:rsid w:val="203409B0"/>
    <w:rsid w:val="203817EA"/>
    <w:rsid w:val="204DEF26"/>
    <w:rsid w:val="204F7E70"/>
    <w:rsid w:val="20530D75"/>
    <w:rsid w:val="2058B8A7"/>
    <w:rsid w:val="205BFA80"/>
    <w:rsid w:val="206191B9"/>
    <w:rsid w:val="20668433"/>
    <w:rsid w:val="2082A974"/>
    <w:rsid w:val="2089AF72"/>
    <w:rsid w:val="208C2EA6"/>
    <w:rsid w:val="208D5C0D"/>
    <w:rsid w:val="2094C0AB"/>
    <w:rsid w:val="2098A602"/>
    <w:rsid w:val="2099593C"/>
    <w:rsid w:val="209C0DA0"/>
    <w:rsid w:val="20A09B98"/>
    <w:rsid w:val="20B68D8C"/>
    <w:rsid w:val="20BE72EC"/>
    <w:rsid w:val="20C00B5E"/>
    <w:rsid w:val="20C7BB09"/>
    <w:rsid w:val="20CD2D47"/>
    <w:rsid w:val="20CD504E"/>
    <w:rsid w:val="20D5BF4D"/>
    <w:rsid w:val="20E57EB9"/>
    <w:rsid w:val="20EF324D"/>
    <w:rsid w:val="20F209D0"/>
    <w:rsid w:val="20F6ADDB"/>
    <w:rsid w:val="20FE0962"/>
    <w:rsid w:val="20FF1B03"/>
    <w:rsid w:val="21008370"/>
    <w:rsid w:val="21020B1F"/>
    <w:rsid w:val="210F01D5"/>
    <w:rsid w:val="21133A84"/>
    <w:rsid w:val="2113D3B7"/>
    <w:rsid w:val="211A375B"/>
    <w:rsid w:val="211FC2FB"/>
    <w:rsid w:val="2122AAA8"/>
    <w:rsid w:val="2124A01A"/>
    <w:rsid w:val="212B63C1"/>
    <w:rsid w:val="2131EDD5"/>
    <w:rsid w:val="2159B815"/>
    <w:rsid w:val="215E3F38"/>
    <w:rsid w:val="215FAFF4"/>
    <w:rsid w:val="2160E42D"/>
    <w:rsid w:val="2163720D"/>
    <w:rsid w:val="216F8736"/>
    <w:rsid w:val="217444E9"/>
    <w:rsid w:val="2174FCE3"/>
    <w:rsid w:val="21779EF1"/>
    <w:rsid w:val="21804F86"/>
    <w:rsid w:val="2181BE3C"/>
    <w:rsid w:val="219001CE"/>
    <w:rsid w:val="21A4EF49"/>
    <w:rsid w:val="21AD8490"/>
    <w:rsid w:val="21B025AC"/>
    <w:rsid w:val="21B96A87"/>
    <w:rsid w:val="21BE09CC"/>
    <w:rsid w:val="21C0C032"/>
    <w:rsid w:val="21CA8980"/>
    <w:rsid w:val="21CB1BA4"/>
    <w:rsid w:val="21D0AECB"/>
    <w:rsid w:val="21D4C6A5"/>
    <w:rsid w:val="21DE1069"/>
    <w:rsid w:val="21E0BD37"/>
    <w:rsid w:val="21E38FE1"/>
    <w:rsid w:val="21F235E4"/>
    <w:rsid w:val="21F61A06"/>
    <w:rsid w:val="2219DDB9"/>
    <w:rsid w:val="221EC853"/>
    <w:rsid w:val="2220F9AE"/>
    <w:rsid w:val="2225781F"/>
    <w:rsid w:val="2225DA7F"/>
    <w:rsid w:val="22272CBE"/>
    <w:rsid w:val="222AA146"/>
    <w:rsid w:val="222E8619"/>
    <w:rsid w:val="2232E1BB"/>
    <w:rsid w:val="2233C802"/>
    <w:rsid w:val="223FF099"/>
    <w:rsid w:val="224593DB"/>
    <w:rsid w:val="224E7D9D"/>
    <w:rsid w:val="2253B262"/>
    <w:rsid w:val="2254CEB9"/>
    <w:rsid w:val="2260CDFF"/>
    <w:rsid w:val="2264F85C"/>
    <w:rsid w:val="226F0887"/>
    <w:rsid w:val="22727D83"/>
    <w:rsid w:val="227CB320"/>
    <w:rsid w:val="227CD03A"/>
    <w:rsid w:val="228C4266"/>
    <w:rsid w:val="22915033"/>
    <w:rsid w:val="2291A9D9"/>
    <w:rsid w:val="229CB8CF"/>
    <w:rsid w:val="229D1D01"/>
    <w:rsid w:val="229DD419"/>
    <w:rsid w:val="229E2316"/>
    <w:rsid w:val="22A6871D"/>
    <w:rsid w:val="22A84E5A"/>
    <w:rsid w:val="22A9398C"/>
    <w:rsid w:val="22AAE712"/>
    <w:rsid w:val="22B0996B"/>
    <w:rsid w:val="22B81CF4"/>
    <w:rsid w:val="22BAB44B"/>
    <w:rsid w:val="22BC3682"/>
    <w:rsid w:val="22D1544A"/>
    <w:rsid w:val="22D6763E"/>
    <w:rsid w:val="22D959B4"/>
    <w:rsid w:val="22D9C209"/>
    <w:rsid w:val="22E8FA46"/>
    <w:rsid w:val="22F28D81"/>
    <w:rsid w:val="22F8D6C5"/>
    <w:rsid w:val="22FBF8D0"/>
    <w:rsid w:val="23013D42"/>
    <w:rsid w:val="23015610"/>
    <w:rsid w:val="2301B4EA"/>
    <w:rsid w:val="2313BE45"/>
    <w:rsid w:val="2314799E"/>
    <w:rsid w:val="231BD66B"/>
    <w:rsid w:val="231BDCD3"/>
    <w:rsid w:val="231E4E08"/>
    <w:rsid w:val="23201231"/>
    <w:rsid w:val="23246C2E"/>
    <w:rsid w:val="232FD684"/>
    <w:rsid w:val="2337DB8D"/>
    <w:rsid w:val="23389B02"/>
    <w:rsid w:val="23425900"/>
    <w:rsid w:val="234FC9FC"/>
    <w:rsid w:val="23544D09"/>
    <w:rsid w:val="235617D5"/>
    <w:rsid w:val="2359F487"/>
    <w:rsid w:val="2359FB9C"/>
    <w:rsid w:val="235AC014"/>
    <w:rsid w:val="236312DB"/>
    <w:rsid w:val="23648B60"/>
    <w:rsid w:val="236A9EF5"/>
    <w:rsid w:val="237028CB"/>
    <w:rsid w:val="2373E446"/>
    <w:rsid w:val="2380211C"/>
    <w:rsid w:val="239A71FB"/>
    <w:rsid w:val="239FBB4E"/>
    <w:rsid w:val="23A269F1"/>
    <w:rsid w:val="23A2799F"/>
    <w:rsid w:val="23A69349"/>
    <w:rsid w:val="23AAC48B"/>
    <w:rsid w:val="23B06F44"/>
    <w:rsid w:val="23B702A4"/>
    <w:rsid w:val="23C30C54"/>
    <w:rsid w:val="23C30DEB"/>
    <w:rsid w:val="23C5340A"/>
    <w:rsid w:val="23C73C02"/>
    <w:rsid w:val="23D2838E"/>
    <w:rsid w:val="23ED7903"/>
    <w:rsid w:val="23F010C4"/>
    <w:rsid w:val="23F2359D"/>
    <w:rsid w:val="23F80F17"/>
    <w:rsid w:val="23F8A359"/>
    <w:rsid w:val="23F8DE9D"/>
    <w:rsid w:val="240379A1"/>
    <w:rsid w:val="24153934"/>
    <w:rsid w:val="241BEA5B"/>
    <w:rsid w:val="24206EC5"/>
    <w:rsid w:val="24216302"/>
    <w:rsid w:val="24249651"/>
    <w:rsid w:val="2424D0EB"/>
    <w:rsid w:val="242778A0"/>
    <w:rsid w:val="242D70A7"/>
    <w:rsid w:val="24352F26"/>
    <w:rsid w:val="243DE1E4"/>
    <w:rsid w:val="243E997D"/>
    <w:rsid w:val="243F547E"/>
    <w:rsid w:val="2440F7F4"/>
    <w:rsid w:val="24471BAE"/>
    <w:rsid w:val="2454470E"/>
    <w:rsid w:val="2455A1B0"/>
    <w:rsid w:val="2455A9D4"/>
    <w:rsid w:val="24581F34"/>
    <w:rsid w:val="24597267"/>
    <w:rsid w:val="245FE28B"/>
    <w:rsid w:val="24687584"/>
    <w:rsid w:val="246BE2B2"/>
    <w:rsid w:val="2481751A"/>
    <w:rsid w:val="2482BA35"/>
    <w:rsid w:val="248B9AC5"/>
    <w:rsid w:val="248EE708"/>
    <w:rsid w:val="24994475"/>
    <w:rsid w:val="249ADC69"/>
    <w:rsid w:val="249D6F35"/>
    <w:rsid w:val="24A11E52"/>
    <w:rsid w:val="24ADC130"/>
    <w:rsid w:val="24AF5FD1"/>
    <w:rsid w:val="24B0D829"/>
    <w:rsid w:val="24C1B752"/>
    <w:rsid w:val="24C1FF98"/>
    <w:rsid w:val="24C2E2B7"/>
    <w:rsid w:val="24C6B177"/>
    <w:rsid w:val="24CBC52D"/>
    <w:rsid w:val="24E66F50"/>
    <w:rsid w:val="24ED8C9E"/>
    <w:rsid w:val="24F199FE"/>
    <w:rsid w:val="24F774FF"/>
    <w:rsid w:val="24FBC032"/>
    <w:rsid w:val="24FD3A95"/>
    <w:rsid w:val="24FD50D5"/>
    <w:rsid w:val="25041754"/>
    <w:rsid w:val="250542C7"/>
    <w:rsid w:val="25060E76"/>
    <w:rsid w:val="2511575A"/>
    <w:rsid w:val="25199327"/>
    <w:rsid w:val="25298745"/>
    <w:rsid w:val="252B80D2"/>
    <w:rsid w:val="2538DCE9"/>
    <w:rsid w:val="25497F16"/>
    <w:rsid w:val="254CD079"/>
    <w:rsid w:val="25578D3E"/>
    <w:rsid w:val="25590CE9"/>
    <w:rsid w:val="2563D95F"/>
    <w:rsid w:val="256D645C"/>
    <w:rsid w:val="257122FF"/>
    <w:rsid w:val="2573840A"/>
    <w:rsid w:val="25784AEF"/>
    <w:rsid w:val="257DE7DD"/>
    <w:rsid w:val="2582D80E"/>
    <w:rsid w:val="25841E6A"/>
    <w:rsid w:val="2585FA10"/>
    <w:rsid w:val="2589EC67"/>
    <w:rsid w:val="258A1E87"/>
    <w:rsid w:val="258FE7BC"/>
    <w:rsid w:val="2595B433"/>
    <w:rsid w:val="259832B3"/>
    <w:rsid w:val="25A13CC6"/>
    <w:rsid w:val="25A52E19"/>
    <w:rsid w:val="25AA1AE4"/>
    <w:rsid w:val="25ABCDC5"/>
    <w:rsid w:val="25ADB0EB"/>
    <w:rsid w:val="25B97D56"/>
    <w:rsid w:val="25BBAAB2"/>
    <w:rsid w:val="25C3853E"/>
    <w:rsid w:val="25E2AA2C"/>
    <w:rsid w:val="25E395B1"/>
    <w:rsid w:val="25E66D1A"/>
    <w:rsid w:val="25EB131C"/>
    <w:rsid w:val="25EDBAF5"/>
    <w:rsid w:val="25EF302B"/>
    <w:rsid w:val="25F40AA2"/>
    <w:rsid w:val="25FE72E9"/>
    <w:rsid w:val="25FF2177"/>
    <w:rsid w:val="26053AA9"/>
    <w:rsid w:val="2606EE0E"/>
    <w:rsid w:val="260765F4"/>
    <w:rsid w:val="260CD518"/>
    <w:rsid w:val="261B360C"/>
    <w:rsid w:val="261B8A44"/>
    <w:rsid w:val="261E192F"/>
    <w:rsid w:val="261F1286"/>
    <w:rsid w:val="2622ECE3"/>
    <w:rsid w:val="2626BC4F"/>
    <w:rsid w:val="262D72F4"/>
    <w:rsid w:val="26318992"/>
    <w:rsid w:val="2631E9E6"/>
    <w:rsid w:val="2636FAE2"/>
    <w:rsid w:val="263CF76A"/>
    <w:rsid w:val="2641BF6A"/>
    <w:rsid w:val="2644351D"/>
    <w:rsid w:val="265B5855"/>
    <w:rsid w:val="2666457E"/>
    <w:rsid w:val="266D90E0"/>
    <w:rsid w:val="266F4238"/>
    <w:rsid w:val="2678FA04"/>
    <w:rsid w:val="267A5491"/>
    <w:rsid w:val="26835D09"/>
    <w:rsid w:val="2683921F"/>
    <w:rsid w:val="2684C81C"/>
    <w:rsid w:val="26852DAB"/>
    <w:rsid w:val="2686E6EA"/>
    <w:rsid w:val="2687D4D2"/>
    <w:rsid w:val="2689B561"/>
    <w:rsid w:val="268B7C5C"/>
    <w:rsid w:val="2696F512"/>
    <w:rsid w:val="269DA4C7"/>
    <w:rsid w:val="26A300A7"/>
    <w:rsid w:val="26A52DF2"/>
    <w:rsid w:val="26A7F68E"/>
    <w:rsid w:val="26AF9BC8"/>
    <w:rsid w:val="26B1066D"/>
    <w:rsid w:val="26B16799"/>
    <w:rsid w:val="26B5019C"/>
    <w:rsid w:val="26B9D291"/>
    <w:rsid w:val="26BF75E6"/>
    <w:rsid w:val="26C03CA5"/>
    <w:rsid w:val="26C60CFA"/>
    <w:rsid w:val="26CC9F88"/>
    <w:rsid w:val="26D0DD5A"/>
    <w:rsid w:val="26E00915"/>
    <w:rsid w:val="26E4B741"/>
    <w:rsid w:val="26E8D874"/>
    <w:rsid w:val="26EFDF66"/>
    <w:rsid w:val="26F0E16A"/>
    <w:rsid w:val="26F0E6E2"/>
    <w:rsid w:val="26F29478"/>
    <w:rsid w:val="26F85D3D"/>
    <w:rsid w:val="26F9E76B"/>
    <w:rsid w:val="27077A4E"/>
    <w:rsid w:val="270C1C7E"/>
    <w:rsid w:val="271547C5"/>
    <w:rsid w:val="271A4F30"/>
    <w:rsid w:val="271B150E"/>
    <w:rsid w:val="271B94E5"/>
    <w:rsid w:val="271DA3F3"/>
    <w:rsid w:val="2720CE17"/>
    <w:rsid w:val="272CA83A"/>
    <w:rsid w:val="272E2255"/>
    <w:rsid w:val="272FCDC4"/>
    <w:rsid w:val="27379B79"/>
    <w:rsid w:val="273A16A3"/>
    <w:rsid w:val="2741A4E8"/>
    <w:rsid w:val="274B7B81"/>
    <w:rsid w:val="274D0A61"/>
    <w:rsid w:val="274E6B03"/>
    <w:rsid w:val="2754B44C"/>
    <w:rsid w:val="27583A11"/>
    <w:rsid w:val="275FBF91"/>
    <w:rsid w:val="2762F557"/>
    <w:rsid w:val="276C0D73"/>
    <w:rsid w:val="276CE7E0"/>
    <w:rsid w:val="2773D8EA"/>
    <w:rsid w:val="2775A9A6"/>
    <w:rsid w:val="27844458"/>
    <w:rsid w:val="27867CDE"/>
    <w:rsid w:val="27892909"/>
    <w:rsid w:val="279A1557"/>
    <w:rsid w:val="27A7CC13"/>
    <w:rsid w:val="27A8E07F"/>
    <w:rsid w:val="27AB0616"/>
    <w:rsid w:val="27B16A29"/>
    <w:rsid w:val="27B43ECF"/>
    <w:rsid w:val="27BA3574"/>
    <w:rsid w:val="27BAEC69"/>
    <w:rsid w:val="27C334D0"/>
    <w:rsid w:val="27C5AE0B"/>
    <w:rsid w:val="27D571B3"/>
    <w:rsid w:val="27DC72DB"/>
    <w:rsid w:val="27E40A8A"/>
    <w:rsid w:val="27F1DD09"/>
    <w:rsid w:val="27F7651B"/>
    <w:rsid w:val="27FBA789"/>
    <w:rsid w:val="27FC754D"/>
    <w:rsid w:val="2807BA90"/>
    <w:rsid w:val="280B016C"/>
    <w:rsid w:val="280BCAA1"/>
    <w:rsid w:val="280DFB65"/>
    <w:rsid w:val="28135982"/>
    <w:rsid w:val="2813F89D"/>
    <w:rsid w:val="2818FC32"/>
    <w:rsid w:val="282089F5"/>
    <w:rsid w:val="28261B30"/>
    <w:rsid w:val="2828DC11"/>
    <w:rsid w:val="282C7982"/>
    <w:rsid w:val="282D903A"/>
    <w:rsid w:val="283A2DEF"/>
    <w:rsid w:val="283FA91D"/>
    <w:rsid w:val="2842876A"/>
    <w:rsid w:val="28449A99"/>
    <w:rsid w:val="284988D5"/>
    <w:rsid w:val="285064CE"/>
    <w:rsid w:val="28553209"/>
    <w:rsid w:val="2856DA35"/>
    <w:rsid w:val="286252EF"/>
    <w:rsid w:val="28696D26"/>
    <w:rsid w:val="2871A2B7"/>
    <w:rsid w:val="287882A4"/>
    <w:rsid w:val="2878EE3B"/>
    <w:rsid w:val="28808283"/>
    <w:rsid w:val="2887EC8D"/>
    <w:rsid w:val="288ADE15"/>
    <w:rsid w:val="2891F22E"/>
    <w:rsid w:val="289457BF"/>
    <w:rsid w:val="28A346DB"/>
    <w:rsid w:val="28A37E37"/>
    <w:rsid w:val="28B5FB17"/>
    <w:rsid w:val="28C1A5A5"/>
    <w:rsid w:val="28C60885"/>
    <w:rsid w:val="28CC01E5"/>
    <w:rsid w:val="28DBB048"/>
    <w:rsid w:val="28E8313E"/>
    <w:rsid w:val="28E8D435"/>
    <w:rsid w:val="28E970B8"/>
    <w:rsid w:val="28F2D306"/>
    <w:rsid w:val="28F946B8"/>
    <w:rsid w:val="28FCF4D0"/>
    <w:rsid w:val="2905F157"/>
    <w:rsid w:val="290759CA"/>
    <w:rsid w:val="2909F8C6"/>
    <w:rsid w:val="290BE973"/>
    <w:rsid w:val="291865DB"/>
    <w:rsid w:val="291FEDF4"/>
    <w:rsid w:val="29234791"/>
    <w:rsid w:val="292C7B0F"/>
    <w:rsid w:val="292E4E00"/>
    <w:rsid w:val="29373DA3"/>
    <w:rsid w:val="2939708E"/>
    <w:rsid w:val="293DAAF5"/>
    <w:rsid w:val="2943031E"/>
    <w:rsid w:val="2949A705"/>
    <w:rsid w:val="294C951D"/>
    <w:rsid w:val="294D6033"/>
    <w:rsid w:val="2962471A"/>
    <w:rsid w:val="296BD769"/>
    <w:rsid w:val="297BEA11"/>
    <w:rsid w:val="2981A932"/>
    <w:rsid w:val="2992D9CB"/>
    <w:rsid w:val="29A9C280"/>
    <w:rsid w:val="29ACF79A"/>
    <w:rsid w:val="29B09B0B"/>
    <w:rsid w:val="29B6A710"/>
    <w:rsid w:val="29BB7355"/>
    <w:rsid w:val="29C10370"/>
    <w:rsid w:val="29C437C4"/>
    <w:rsid w:val="29CAEA28"/>
    <w:rsid w:val="29CFAE9E"/>
    <w:rsid w:val="29D7EDF5"/>
    <w:rsid w:val="29DF4516"/>
    <w:rsid w:val="29E3BDA5"/>
    <w:rsid w:val="29EA6F9D"/>
    <w:rsid w:val="29ECA181"/>
    <w:rsid w:val="29EEFA07"/>
    <w:rsid w:val="29EF7875"/>
    <w:rsid w:val="29F6193B"/>
    <w:rsid w:val="29F6336A"/>
    <w:rsid w:val="29F7A35E"/>
    <w:rsid w:val="29F9BD65"/>
    <w:rsid w:val="29FB8794"/>
    <w:rsid w:val="29FC5515"/>
    <w:rsid w:val="29FC5B32"/>
    <w:rsid w:val="2A014965"/>
    <w:rsid w:val="2A01C85F"/>
    <w:rsid w:val="2A1A518E"/>
    <w:rsid w:val="2A2BB207"/>
    <w:rsid w:val="2A2C306A"/>
    <w:rsid w:val="2A2CD004"/>
    <w:rsid w:val="2A312C6E"/>
    <w:rsid w:val="2A34C234"/>
    <w:rsid w:val="2A38031F"/>
    <w:rsid w:val="2A41328C"/>
    <w:rsid w:val="2A4361D8"/>
    <w:rsid w:val="2A4AC303"/>
    <w:rsid w:val="2A4AD2B2"/>
    <w:rsid w:val="2A60B47D"/>
    <w:rsid w:val="2A61ECEB"/>
    <w:rsid w:val="2A65EA45"/>
    <w:rsid w:val="2A6816D3"/>
    <w:rsid w:val="2A775837"/>
    <w:rsid w:val="2A7BA011"/>
    <w:rsid w:val="2A91A968"/>
    <w:rsid w:val="2A91BDEB"/>
    <w:rsid w:val="2A99E75C"/>
    <w:rsid w:val="2AA6905C"/>
    <w:rsid w:val="2AAC75BA"/>
    <w:rsid w:val="2AAD4C12"/>
    <w:rsid w:val="2AC4E0C5"/>
    <w:rsid w:val="2AC51CDC"/>
    <w:rsid w:val="2AC9DBE7"/>
    <w:rsid w:val="2AD72AF3"/>
    <w:rsid w:val="2AF0EBF4"/>
    <w:rsid w:val="2AF55A9E"/>
    <w:rsid w:val="2AF766D1"/>
    <w:rsid w:val="2AFA93A8"/>
    <w:rsid w:val="2AFEDE79"/>
    <w:rsid w:val="2B002569"/>
    <w:rsid w:val="2B003FA1"/>
    <w:rsid w:val="2B083DA8"/>
    <w:rsid w:val="2B086B56"/>
    <w:rsid w:val="2B090153"/>
    <w:rsid w:val="2B0B56DA"/>
    <w:rsid w:val="2B10CF34"/>
    <w:rsid w:val="2B1152E2"/>
    <w:rsid w:val="2B18BDA2"/>
    <w:rsid w:val="2B22E953"/>
    <w:rsid w:val="2B260517"/>
    <w:rsid w:val="2B2BF8A1"/>
    <w:rsid w:val="2B39CB23"/>
    <w:rsid w:val="2B50282F"/>
    <w:rsid w:val="2B543908"/>
    <w:rsid w:val="2B55DBA6"/>
    <w:rsid w:val="2B63979B"/>
    <w:rsid w:val="2B657B96"/>
    <w:rsid w:val="2B7F95B6"/>
    <w:rsid w:val="2B987B5A"/>
    <w:rsid w:val="2B9C80DF"/>
    <w:rsid w:val="2B9DDB4F"/>
    <w:rsid w:val="2BA3E030"/>
    <w:rsid w:val="2BAB2629"/>
    <w:rsid w:val="2BB11699"/>
    <w:rsid w:val="2BB588B2"/>
    <w:rsid w:val="2BB7F8DF"/>
    <w:rsid w:val="2BC80917"/>
    <w:rsid w:val="2BD842C4"/>
    <w:rsid w:val="2BD9D9BD"/>
    <w:rsid w:val="2BE2EB42"/>
    <w:rsid w:val="2BE65B99"/>
    <w:rsid w:val="2BEE0012"/>
    <w:rsid w:val="2BF696FD"/>
    <w:rsid w:val="2BF69AF7"/>
    <w:rsid w:val="2BF80F24"/>
    <w:rsid w:val="2C0AA567"/>
    <w:rsid w:val="2C1BDCCC"/>
    <w:rsid w:val="2C1EFCFB"/>
    <w:rsid w:val="2C3B0428"/>
    <w:rsid w:val="2C3F3953"/>
    <w:rsid w:val="2C4CE46C"/>
    <w:rsid w:val="2C4CEDCB"/>
    <w:rsid w:val="2C561377"/>
    <w:rsid w:val="2C5959F9"/>
    <w:rsid w:val="2C5D2218"/>
    <w:rsid w:val="2C5F9B6F"/>
    <w:rsid w:val="2C62B682"/>
    <w:rsid w:val="2C632959"/>
    <w:rsid w:val="2C63AF42"/>
    <w:rsid w:val="2C66F985"/>
    <w:rsid w:val="2C6DAB60"/>
    <w:rsid w:val="2C743E75"/>
    <w:rsid w:val="2C75B741"/>
    <w:rsid w:val="2C770EAF"/>
    <w:rsid w:val="2C801F00"/>
    <w:rsid w:val="2C8C7410"/>
    <w:rsid w:val="2C8CF0AC"/>
    <w:rsid w:val="2C909BEA"/>
    <w:rsid w:val="2C936FB0"/>
    <w:rsid w:val="2C93771F"/>
    <w:rsid w:val="2C99399A"/>
    <w:rsid w:val="2C9E05C1"/>
    <w:rsid w:val="2CA0AD2B"/>
    <w:rsid w:val="2CA38C8E"/>
    <w:rsid w:val="2CA39BD6"/>
    <w:rsid w:val="2CA3ED21"/>
    <w:rsid w:val="2CA65866"/>
    <w:rsid w:val="2CA73576"/>
    <w:rsid w:val="2CAA46C1"/>
    <w:rsid w:val="2CAE8B1F"/>
    <w:rsid w:val="2CC04C8E"/>
    <w:rsid w:val="2CC81AF5"/>
    <w:rsid w:val="2CCAFB19"/>
    <w:rsid w:val="2CDAF0BF"/>
    <w:rsid w:val="2CDF75E4"/>
    <w:rsid w:val="2CE79082"/>
    <w:rsid w:val="2CEAAB07"/>
    <w:rsid w:val="2CEB4A6C"/>
    <w:rsid w:val="2CEC821D"/>
    <w:rsid w:val="2CF2ACD1"/>
    <w:rsid w:val="2D0B817D"/>
    <w:rsid w:val="2D12E83E"/>
    <w:rsid w:val="2D133B46"/>
    <w:rsid w:val="2D1A1C41"/>
    <w:rsid w:val="2D1F6944"/>
    <w:rsid w:val="2D201C66"/>
    <w:rsid w:val="2D221330"/>
    <w:rsid w:val="2D2CCAE8"/>
    <w:rsid w:val="2D2D58FD"/>
    <w:rsid w:val="2D336085"/>
    <w:rsid w:val="2D33B604"/>
    <w:rsid w:val="2D3ED638"/>
    <w:rsid w:val="2D4163D0"/>
    <w:rsid w:val="2D4FFE66"/>
    <w:rsid w:val="2D551641"/>
    <w:rsid w:val="2D55719B"/>
    <w:rsid w:val="2D58A612"/>
    <w:rsid w:val="2D593A76"/>
    <w:rsid w:val="2D594E1B"/>
    <w:rsid w:val="2D5D0315"/>
    <w:rsid w:val="2D5F9546"/>
    <w:rsid w:val="2D635A40"/>
    <w:rsid w:val="2D686036"/>
    <w:rsid w:val="2D6ACD7A"/>
    <w:rsid w:val="2D6C4252"/>
    <w:rsid w:val="2D6CAD3C"/>
    <w:rsid w:val="2D6E74B6"/>
    <w:rsid w:val="2D786BFC"/>
    <w:rsid w:val="2D7A24D8"/>
    <w:rsid w:val="2D82E91A"/>
    <w:rsid w:val="2D8436EF"/>
    <w:rsid w:val="2D860F38"/>
    <w:rsid w:val="2D868F8F"/>
    <w:rsid w:val="2D926D37"/>
    <w:rsid w:val="2D93C63B"/>
    <w:rsid w:val="2D9AD875"/>
    <w:rsid w:val="2D9CA090"/>
    <w:rsid w:val="2DA0F8DD"/>
    <w:rsid w:val="2DA4FDE6"/>
    <w:rsid w:val="2DA9B7E7"/>
    <w:rsid w:val="2DB36172"/>
    <w:rsid w:val="2DC1D0FA"/>
    <w:rsid w:val="2DC4508A"/>
    <w:rsid w:val="2DD00AA9"/>
    <w:rsid w:val="2DD0EADF"/>
    <w:rsid w:val="2DD3F8C9"/>
    <w:rsid w:val="2DDB5AC9"/>
    <w:rsid w:val="2DE08EA3"/>
    <w:rsid w:val="2DE0CA1A"/>
    <w:rsid w:val="2DEAF42B"/>
    <w:rsid w:val="2DF3564E"/>
    <w:rsid w:val="2DF78539"/>
    <w:rsid w:val="2E039D90"/>
    <w:rsid w:val="2E055CF9"/>
    <w:rsid w:val="2E09427A"/>
    <w:rsid w:val="2E0A09E4"/>
    <w:rsid w:val="2E0A8352"/>
    <w:rsid w:val="2E178FF7"/>
    <w:rsid w:val="2E18FCB6"/>
    <w:rsid w:val="2E1D650E"/>
    <w:rsid w:val="2E28A758"/>
    <w:rsid w:val="2E32C5AE"/>
    <w:rsid w:val="2E36ED6F"/>
    <w:rsid w:val="2E3B7754"/>
    <w:rsid w:val="2E4634D0"/>
    <w:rsid w:val="2E4C3235"/>
    <w:rsid w:val="2E512687"/>
    <w:rsid w:val="2E5470E0"/>
    <w:rsid w:val="2E5B74EA"/>
    <w:rsid w:val="2E5D7626"/>
    <w:rsid w:val="2E5FD013"/>
    <w:rsid w:val="2E60CBE1"/>
    <w:rsid w:val="2E66014C"/>
    <w:rsid w:val="2E674007"/>
    <w:rsid w:val="2E687CFB"/>
    <w:rsid w:val="2E725024"/>
    <w:rsid w:val="2E77995B"/>
    <w:rsid w:val="2E81E8A7"/>
    <w:rsid w:val="2E87B6C5"/>
    <w:rsid w:val="2E8EEE9E"/>
    <w:rsid w:val="2E919E7A"/>
    <w:rsid w:val="2E99B169"/>
    <w:rsid w:val="2E9E7174"/>
    <w:rsid w:val="2EA5D96F"/>
    <w:rsid w:val="2EABB432"/>
    <w:rsid w:val="2EB11E95"/>
    <w:rsid w:val="2EB64CB8"/>
    <w:rsid w:val="2EBB89B9"/>
    <w:rsid w:val="2EC5F087"/>
    <w:rsid w:val="2EDF0F4E"/>
    <w:rsid w:val="2EE13EF7"/>
    <w:rsid w:val="2EE81C63"/>
    <w:rsid w:val="2EF56393"/>
    <w:rsid w:val="2F0B7A72"/>
    <w:rsid w:val="2F0BEDB1"/>
    <w:rsid w:val="2F0D2703"/>
    <w:rsid w:val="2F0DA7E0"/>
    <w:rsid w:val="2F1EBEC7"/>
    <w:rsid w:val="2F2014BA"/>
    <w:rsid w:val="2F26A6A2"/>
    <w:rsid w:val="2F2AFCFE"/>
    <w:rsid w:val="2F351790"/>
    <w:rsid w:val="2F3734BD"/>
    <w:rsid w:val="2F3E41B4"/>
    <w:rsid w:val="2F4257CE"/>
    <w:rsid w:val="2F462C41"/>
    <w:rsid w:val="2F496357"/>
    <w:rsid w:val="2F4C8BB6"/>
    <w:rsid w:val="2F4CC538"/>
    <w:rsid w:val="2F55E6F3"/>
    <w:rsid w:val="2F5A7870"/>
    <w:rsid w:val="2F61E1AB"/>
    <w:rsid w:val="2F6411D7"/>
    <w:rsid w:val="2F65AC33"/>
    <w:rsid w:val="2F6B198D"/>
    <w:rsid w:val="2F700BAB"/>
    <w:rsid w:val="2F74797A"/>
    <w:rsid w:val="2F768509"/>
    <w:rsid w:val="2F7C42A4"/>
    <w:rsid w:val="2F7F907C"/>
    <w:rsid w:val="2F80DBA6"/>
    <w:rsid w:val="2F8D5AAD"/>
    <w:rsid w:val="2F8D6ABB"/>
    <w:rsid w:val="2F90B559"/>
    <w:rsid w:val="2F962118"/>
    <w:rsid w:val="2F970DB7"/>
    <w:rsid w:val="2F9A4689"/>
    <w:rsid w:val="2F9FEE4E"/>
    <w:rsid w:val="2FB5446E"/>
    <w:rsid w:val="2FB941BE"/>
    <w:rsid w:val="2FBD0052"/>
    <w:rsid w:val="2FBD29F7"/>
    <w:rsid w:val="2FBD6420"/>
    <w:rsid w:val="2FBDE679"/>
    <w:rsid w:val="2FC38DEB"/>
    <w:rsid w:val="2FC70BAD"/>
    <w:rsid w:val="2FCDE2DF"/>
    <w:rsid w:val="2FE337A4"/>
    <w:rsid w:val="2FE97B6D"/>
    <w:rsid w:val="2FEE9407"/>
    <w:rsid w:val="2FF6AC1B"/>
    <w:rsid w:val="2FF72F18"/>
    <w:rsid w:val="2FFB759E"/>
    <w:rsid w:val="2FFC4183"/>
    <w:rsid w:val="300438F0"/>
    <w:rsid w:val="30105579"/>
    <w:rsid w:val="3014CF72"/>
    <w:rsid w:val="301B6417"/>
    <w:rsid w:val="301B7EEF"/>
    <w:rsid w:val="301C9B56"/>
    <w:rsid w:val="301D5333"/>
    <w:rsid w:val="301EBAE2"/>
    <w:rsid w:val="3020F378"/>
    <w:rsid w:val="3022088E"/>
    <w:rsid w:val="3023D02C"/>
    <w:rsid w:val="3025831E"/>
    <w:rsid w:val="30265D95"/>
    <w:rsid w:val="3029F27C"/>
    <w:rsid w:val="302B75CE"/>
    <w:rsid w:val="3032FA80"/>
    <w:rsid w:val="30467B41"/>
    <w:rsid w:val="3049D111"/>
    <w:rsid w:val="304C842D"/>
    <w:rsid w:val="304FD000"/>
    <w:rsid w:val="3053BB9A"/>
    <w:rsid w:val="305E9989"/>
    <w:rsid w:val="3064B7D4"/>
    <w:rsid w:val="3067F8C6"/>
    <w:rsid w:val="30695557"/>
    <w:rsid w:val="306A057A"/>
    <w:rsid w:val="3073B246"/>
    <w:rsid w:val="3078641D"/>
    <w:rsid w:val="3082E537"/>
    <w:rsid w:val="308F9FCA"/>
    <w:rsid w:val="309BC8E4"/>
    <w:rsid w:val="30A45A5F"/>
    <w:rsid w:val="30A7946C"/>
    <w:rsid w:val="30A7C6C7"/>
    <w:rsid w:val="30ABB672"/>
    <w:rsid w:val="30B7FAE6"/>
    <w:rsid w:val="30C2A621"/>
    <w:rsid w:val="30C30044"/>
    <w:rsid w:val="30C4E8AA"/>
    <w:rsid w:val="30C65C08"/>
    <w:rsid w:val="30D0C82F"/>
    <w:rsid w:val="30D2A23A"/>
    <w:rsid w:val="30D94472"/>
    <w:rsid w:val="30D9E312"/>
    <w:rsid w:val="30DAC69B"/>
    <w:rsid w:val="30E522F6"/>
    <w:rsid w:val="30EFB785"/>
    <w:rsid w:val="30F36D45"/>
    <w:rsid w:val="30F9D994"/>
    <w:rsid w:val="31011D67"/>
    <w:rsid w:val="31025C3D"/>
    <w:rsid w:val="3105EF66"/>
    <w:rsid w:val="3107D195"/>
    <w:rsid w:val="310A1E94"/>
    <w:rsid w:val="310B2668"/>
    <w:rsid w:val="31152FF4"/>
    <w:rsid w:val="3116E526"/>
    <w:rsid w:val="311A5A1D"/>
    <w:rsid w:val="311CA70C"/>
    <w:rsid w:val="3120E75F"/>
    <w:rsid w:val="31227772"/>
    <w:rsid w:val="312A918A"/>
    <w:rsid w:val="3134DFA6"/>
    <w:rsid w:val="3135514E"/>
    <w:rsid w:val="31355FF0"/>
    <w:rsid w:val="3135787B"/>
    <w:rsid w:val="31382CAA"/>
    <w:rsid w:val="313B921D"/>
    <w:rsid w:val="31595903"/>
    <w:rsid w:val="315AF3C0"/>
    <w:rsid w:val="315AF4E5"/>
    <w:rsid w:val="31623B4B"/>
    <w:rsid w:val="3165D0C3"/>
    <w:rsid w:val="31690C0B"/>
    <w:rsid w:val="31691DF2"/>
    <w:rsid w:val="31698374"/>
    <w:rsid w:val="317060A7"/>
    <w:rsid w:val="317F2F5D"/>
    <w:rsid w:val="317F592E"/>
    <w:rsid w:val="318075E9"/>
    <w:rsid w:val="318B4DF8"/>
    <w:rsid w:val="318B5104"/>
    <w:rsid w:val="318C699A"/>
    <w:rsid w:val="318ED1C1"/>
    <w:rsid w:val="3195EB4D"/>
    <w:rsid w:val="319B6C75"/>
    <w:rsid w:val="319BB3CB"/>
    <w:rsid w:val="319E85F2"/>
    <w:rsid w:val="31A025C3"/>
    <w:rsid w:val="31A220EE"/>
    <w:rsid w:val="31ABD125"/>
    <w:rsid w:val="31B15F30"/>
    <w:rsid w:val="31C1E0E1"/>
    <w:rsid w:val="31C69B56"/>
    <w:rsid w:val="31C7C41B"/>
    <w:rsid w:val="31CBACB5"/>
    <w:rsid w:val="31D7CF57"/>
    <w:rsid w:val="31DAFC74"/>
    <w:rsid w:val="31E0C01B"/>
    <w:rsid w:val="31E64698"/>
    <w:rsid w:val="31ECAE56"/>
    <w:rsid w:val="31F1F2EE"/>
    <w:rsid w:val="31F56358"/>
    <w:rsid w:val="32039D76"/>
    <w:rsid w:val="320D81BE"/>
    <w:rsid w:val="320E814E"/>
    <w:rsid w:val="321C929E"/>
    <w:rsid w:val="321DE9CB"/>
    <w:rsid w:val="3224516C"/>
    <w:rsid w:val="322C2520"/>
    <w:rsid w:val="322E2401"/>
    <w:rsid w:val="322F2439"/>
    <w:rsid w:val="323851EC"/>
    <w:rsid w:val="3252AA4A"/>
    <w:rsid w:val="325DB989"/>
    <w:rsid w:val="32648FBE"/>
    <w:rsid w:val="326BBF61"/>
    <w:rsid w:val="327A480B"/>
    <w:rsid w:val="328C0A57"/>
    <w:rsid w:val="328CBE23"/>
    <w:rsid w:val="3293C6BF"/>
    <w:rsid w:val="329766AA"/>
    <w:rsid w:val="32979538"/>
    <w:rsid w:val="32981B6E"/>
    <w:rsid w:val="32A52E4C"/>
    <w:rsid w:val="32AD2F03"/>
    <w:rsid w:val="32B1FB99"/>
    <w:rsid w:val="32B3EB17"/>
    <w:rsid w:val="32B61208"/>
    <w:rsid w:val="32BEA78F"/>
    <w:rsid w:val="32BEED78"/>
    <w:rsid w:val="32D4711F"/>
    <w:rsid w:val="32D8EDDC"/>
    <w:rsid w:val="32DC8327"/>
    <w:rsid w:val="32EC56C9"/>
    <w:rsid w:val="32F2F56E"/>
    <w:rsid w:val="32F75D12"/>
    <w:rsid w:val="33028146"/>
    <w:rsid w:val="3302D98A"/>
    <w:rsid w:val="330B992A"/>
    <w:rsid w:val="330C6110"/>
    <w:rsid w:val="33144D70"/>
    <w:rsid w:val="3319E0C8"/>
    <w:rsid w:val="332DF3D5"/>
    <w:rsid w:val="3334E404"/>
    <w:rsid w:val="333B9852"/>
    <w:rsid w:val="334159F6"/>
    <w:rsid w:val="3343973C"/>
    <w:rsid w:val="3355AE0D"/>
    <w:rsid w:val="335AC1EB"/>
    <w:rsid w:val="33617E1E"/>
    <w:rsid w:val="336567C7"/>
    <w:rsid w:val="337958C8"/>
    <w:rsid w:val="337A05A9"/>
    <w:rsid w:val="33803FDF"/>
    <w:rsid w:val="3383E493"/>
    <w:rsid w:val="33876A9B"/>
    <w:rsid w:val="33885CF7"/>
    <w:rsid w:val="338966E0"/>
    <w:rsid w:val="33917E16"/>
    <w:rsid w:val="33A11D49"/>
    <w:rsid w:val="33B2646C"/>
    <w:rsid w:val="33B6AA4B"/>
    <w:rsid w:val="33BA4A6B"/>
    <w:rsid w:val="33C51AED"/>
    <w:rsid w:val="33CA286A"/>
    <w:rsid w:val="33D1A986"/>
    <w:rsid w:val="33D50F53"/>
    <w:rsid w:val="33E91F67"/>
    <w:rsid w:val="33E98D8E"/>
    <w:rsid w:val="33EB2012"/>
    <w:rsid w:val="33EE7B62"/>
    <w:rsid w:val="33F25C60"/>
    <w:rsid w:val="33F59015"/>
    <w:rsid w:val="33F696DB"/>
    <w:rsid w:val="33F6F504"/>
    <w:rsid w:val="33F74E82"/>
    <w:rsid w:val="33FAA76B"/>
    <w:rsid w:val="3405A986"/>
    <w:rsid w:val="340F0C72"/>
    <w:rsid w:val="3410250F"/>
    <w:rsid w:val="34148924"/>
    <w:rsid w:val="3419C53F"/>
    <w:rsid w:val="34279084"/>
    <w:rsid w:val="3435BA24"/>
    <w:rsid w:val="343F84FB"/>
    <w:rsid w:val="3450B1E4"/>
    <w:rsid w:val="34517FB5"/>
    <w:rsid w:val="34567526"/>
    <w:rsid w:val="34581A17"/>
    <w:rsid w:val="34593CF7"/>
    <w:rsid w:val="345B09BD"/>
    <w:rsid w:val="345D7235"/>
    <w:rsid w:val="34655116"/>
    <w:rsid w:val="34676267"/>
    <w:rsid w:val="346870EC"/>
    <w:rsid w:val="34771DDE"/>
    <w:rsid w:val="3492ACCC"/>
    <w:rsid w:val="34A01D2E"/>
    <w:rsid w:val="34A69CDC"/>
    <w:rsid w:val="34ABF9F2"/>
    <w:rsid w:val="34B17ADF"/>
    <w:rsid w:val="34B7236B"/>
    <w:rsid w:val="34BB67E8"/>
    <w:rsid w:val="34BF8F4A"/>
    <w:rsid w:val="34BF9ACB"/>
    <w:rsid w:val="34C7F8CB"/>
    <w:rsid w:val="34CB6D00"/>
    <w:rsid w:val="34CCBE8C"/>
    <w:rsid w:val="34CE184E"/>
    <w:rsid w:val="34CE8017"/>
    <w:rsid w:val="34D039D5"/>
    <w:rsid w:val="34D6B7B9"/>
    <w:rsid w:val="34D7F258"/>
    <w:rsid w:val="34DCAD2F"/>
    <w:rsid w:val="34E938E0"/>
    <w:rsid w:val="34ED8389"/>
    <w:rsid w:val="34FA1037"/>
    <w:rsid w:val="34FB1A89"/>
    <w:rsid w:val="3501982D"/>
    <w:rsid w:val="3516F139"/>
    <w:rsid w:val="3519C1AD"/>
    <w:rsid w:val="35384558"/>
    <w:rsid w:val="3543DE51"/>
    <w:rsid w:val="3549DE9F"/>
    <w:rsid w:val="354B0E85"/>
    <w:rsid w:val="355B33AB"/>
    <w:rsid w:val="355DB716"/>
    <w:rsid w:val="355F8182"/>
    <w:rsid w:val="3565B057"/>
    <w:rsid w:val="35678384"/>
    <w:rsid w:val="3572A07A"/>
    <w:rsid w:val="35762C1E"/>
    <w:rsid w:val="357D4168"/>
    <w:rsid w:val="358F8E41"/>
    <w:rsid w:val="358FB170"/>
    <w:rsid w:val="359CB1FA"/>
    <w:rsid w:val="35A479C4"/>
    <w:rsid w:val="35A6E44D"/>
    <w:rsid w:val="35AF78C8"/>
    <w:rsid w:val="35BC2500"/>
    <w:rsid w:val="35BE3D83"/>
    <w:rsid w:val="35CC395A"/>
    <w:rsid w:val="35CE177B"/>
    <w:rsid w:val="35DB8642"/>
    <w:rsid w:val="35E39D50"/>
    <w:rsid w:val="35E670B4"/>
    <w:rsid w:val="35E74119"/>
    <w:rsid w:val="35E9427F"/>
    <w:rsid w:val="35EB5578"/>
    <w:rsid w:val="35EFA000"/>
    <w:rsid w:val="35F85016"/>
    <w:rsid w:val="3602B402"/>
    <w:rsid w:val="3604CBEA"/>
    <w:rsid w:val="360700D2"/>
    <w:rsid w:val="360AAFF7"/>
    <w:rsid w:val="360AFC67"/>
    <w:rsid w:val="360CC918"/>
    <w:rsid w:val="3619AA1C"/>
    <w:rsid w:val="361B9B65"/>
    <w:rsid w:val="3620358F"/>
    <w:rsid w:val="36208D50"/>
    <w:rsid w:val="362483C2"/>
    <w:rsid w:val="362E182C"/>
    <w:rsid w:val="363115B0"/>
    <w:rsid w:val="363286E9"/>
    <w:rsid w:val="3644CAB6"/>
    <w:rsid w:val="364D083F"/>
    <w:rsid w:val="3651DC90"/>
    <w:rsid w:val="36545BB1"/>
    <w:rsid w:val="36631083"/>
    <w:rsid w:val="3665DDF9"/>
    <w:rsid w:val="366845D7"/>
    <w:rsid w:val="366E3893"/>
    <w:rsid w:val="367825D1"/>
    <w:rsid w:val="36798C99"/>
    <w:rsid w:val="367D2E80"/>
    <w:rsid w:val="36804EEB"/>
    <w:rsid w:val="368213E0"/>
    <w:rsid w:val="36899FA5"/>
    <w:rsid w:val="368C0279"/>
    <w:rsid w:val="369353F9"/>
    <w:rsid w:val="369778C5"/>
    <w:rsid w:val="369FDD74"/>
    <w:rsid w:val="36A34822"/>
    <w:rsid w:val="36A7CEE4"/>
    <w:rsid w:val="36AB122E"/>
    <w:rsid w:val="36B56E71"/>
    <w:rsid w:val="36B7B853"/>
    <w:rsid w:val="36C39418"/>
    <w:rsid w:val="36C40B32"/>
    <w:rsid w:val="36C4541B"/>
    <w:rsid w:val="36C60E20"/>
    <w:rsid w:val="36C77402"/>
    <w:rsid w:val="36CF0AA8"/>
    <w:rsid w:val="36D59FA3"/>
    <w:rsid w:val="36D951C5"/>
    <w:rsid w:val="36DED7C0"/>
    <w:rsid w:val="36EC0B6B"/>
    <w:rsid w:val="36EC8B8D"/>
    <w:rsid w:val="36F36F17"/>
    <w:rsid w:val="36F53E67"/>
    <w:rsid w:val="3703C885"/>
    <w:rsid w:val="370DB17B"/>
    <w:rsid w:val="370E96FB"/>
    <w:rsid w:val="3715D0F8"/>
    <w:rsid w:val="371621B8"/>
    <w:rsid w:val="3716274A"/>
    <w:rsid w:val="3717D177"/>
    <w:rsid w:val="371841C1"/>
    <w:rsid w:val="371903F0"/>
    <w:rsid w:val="372420AF"/>
    <w:rsid w:val="372446DA"/>
    <w:rsid w:val="3735EDA7"/>
    <w:rsid w:val="3737F755"/>
    <w:rsid w:val="37384F62"/>
    <w:rsid w:val="373E82CD"/>
    <w:rsid w:val="3743D2EA"/>
    <w:rsid w:val="37588C11"/>
    <w:rsid w:val="375ABDD3"/>
    <w:rsid w:val="375DB3F1"/>
    <w:rsid w:val="375F70C7"/>
    <w:rsid w:val="37614C91"/>
    <w:rsid w:val="376A2F95"/>
    <w:rsid w:val="376DE382"/>
    <w:rsid w:val="376FDFC7"/>
    <w:rsid w:val="37728CEB"/>
    <w:rsid w:val="37803170"/>
    <w:rsid w:val="3781263C"/>
    <w:rsid w:val="378201C4"/>
    <w:rsid w:val="378E3283"/>
    <w:rsid w:val="378F2A3F"/>
    <w:rsid w:val="379704BA"/>
    <w:rsid w:val="379737D3"/>
    <w:rsid w:val="379EE20B"/>
    <w:rsid w:val="37A329AB"/>
    <w:rsid w:val="37A4A316"/>
    <w:rsid w:val="37AE656B"/>
    <w:rsid w:val="37AE79BE"/>
    <w:rsid w:val="37B64C89"/>
    <w:rsid w:val="37B716AA"/>
    <w:rsid w:val="37C3F9A7"/>
    <w:rsid w:val="37D54BA5"/>
    <w:rsid w:val="37D84672"/>
    <w:rsid w:val="37DA7DD2"/>
    <w:rsid w:val="37DB9D8C"/>
    <w:rsid w:val="37DDA1A9"/>
    <w:rsid w:val="37E14D86"/>
    <w:rsid w:val="37EF99B4"/>
    <w:rsid w:val="37F47B71"/>
    <w:rsid w:val="37F6D73B"/>
    <w:rsid w:val="380CA237"/>
    <w:rsid w:val="3810B69D"/>
    <w:rsid w:val="3811D9D6"/>
    <w:rsid w:val="3818C3E6"/>
    <w:rsid w:val="3819C43F"/>
    <w:rsid w:val="3819DE4C"/>
    <w:rsid w:val="381B7D21"/>
    <w:rsid w:val="382366A5"/>
    <w:rsid w:val="382624E7"/>
    <w:rsid w:val="382D1DD1"/>
    <w:rsid w:val="3835AAD5"/>
    <w:rsid w:val="38386D6C"/>
    <w:rsid w:val="383DEDED"/>
    <w:rsid w:val="3844E790"/>
    <w:rsid w:val="384C2EFD"/>
    <w:rsid w:val="38509FCF"/>
    <w:rsid w:val="38641E56"/>
    <w:rsid w:val="386A1A55"/>
    <w:rsid w:val="386D3DEA"/>
    <w:rsid w:val="387B3142"/>
    <w:rsid w:val="387B95E2"/>
    <w:rsid w:val="387E8288"/>
    <w:rsid w:val="38861B4C"/>
    <w:rsid w:val="38885A88"/>
    <w:rsid w:val="3890DA9F"/>
    <w:rsid w:val="38966F50"/>
    <w:rsid w:val="38967370"/>
    <w:rsid w:val="389EDFD7"/>
    <w:rsid w:val="38AE757A"/>
    <w:rsid w:val="38AEA1C7"/>
    <w:rsid w:val="38AEA656"/>
    <w:rsid w:val="38AFADC5"/>
    <w:rsid w:val="38BA061F"/>
    <w:rsid w:val="38BA4526"/>
    <w:rsid w:val="38BA8C09"/>
    <w:rsid w:val="38BB724B"/>
    <w:rsid w:val="38BD8609"/>
    <w:rsid w:val="38C25BDA"/>
    <w:rsid w:val="38CB1B1F"/>
    <w:rsid w:val="38CD4A93"/>
    <w:rsid w:val="38D4A2CD"/>
    <w:rsid w:val="38DE0689"/>
    <w:rsid w:val="38E0136D"/>
    <w:rsid w:val="38E6ABB9"/>
    <w:rsid w:val="38E90BD4"/>
    <w:rsid w:val="38ED0FDC"/>
    <w:rsid w:val="38EEF0CB"/>
    <w:rsid w:val="38EF1D6E"/>
    <w:rsid w:val="38F0252D"/>
    <w:rsid w:val="38F2D25E"/>
    <w:rsid w:val="38F780D3"/>
    <w:rsid w:val="3900A3D9"/>
    <w:rsid w:val="3906843E"/>
    <w:rsid w:val="39086FDE"/>
    <w:rsid w:val="390E0CF0"/>
    <w:rsid w:val="3913408C"/>
    <w:rsid w:val="3919BA19"/>
    <w:rsid w:val="3920668E"/>
    <w:rsid w:val="39243AE7"/>
    <w:rsid w:val="3924C546"/>
    <w:rsid w:val="392CC9C5"/>
    <w:rsid w:val="39351987"/>
    <w:rsid w:val="39352E37"/>
    <w:rsid w:val="394AD6D5"/>
    <w:rsid w:val="394F767F"/>
    <w:rsid w:val="39538BE8"/>
    <w:rsid w:val="395D7E79"/>
    <w:rsid w:val="395DAFCE"/>
    <w:rsid w:val="39606C86"/>
    <w:rsid w:val="3966B79F"/>
    <w:rsid w:val="396CC46F"/>
    <w:rsid w:val="396D25F2"/>
    <w:rsid w:val="3978AF20"/>
    <w:rsid w:val="3978B404"/>
    <w:rsid w:val="397BC052"/>
    <w:rsid w:val="397C4364"/>
    <w:rsid w:val="397D50AC"/>
    <w:rsid w:val="397D72F2"/>
    <w:rsid w:val="397DC51F"/>
    <w:rsid w:val="39871797"/>
    <w:rsid w:val="398E6D93"/>
    <w:rsid w:val="399245C6"/>
    <w:rsid w:val="3997DC98"/>
    <w:rsid w:val="399AC902"/>
    <w:rsid w:val="39A4233E"/>
    <w:rsid w:val="39A56F41"/>
    <w:rsid w:val="39B6215E"/>
    <w:rsid w:val="39BA28A8"/>
    <w:rsid w:val="39D3DBD9"/>
    <w:rsid w:val="39DAF19D"/>
    <w:rsid w:val="39DBCCA7"/>
    <w:rsid w:val="39E06C78"/>
    <w:rsid w:val="39E49DC8"/>
    <w:rsid w:val="39E65A3D"/>
    <w:rsid w:val="39F41A5C"/>
    <w:rsid w:val="39F48AE6"/>
    <w:rsid w:val="39F6C563"/>
    <w:rsid w:val="39FEF587"/>
    <w:rsid w:val="3A032B5B"/>
    <w:rsid w:val="3A08A572"/>
    <w:rsid w:val="3A099C8A"/>
    <w:rsid w:val="3A108991"/>
    <w:rsid w:val="3A2B0DF5"/>
    <w:rsid w:val="3A2CE173"/>
    <w:rsid w:val="3A376D26"/>
    <w:rsid w:val="3A3EB591"/>
    <w:rsid w:val="3A3F9373"/>
    <w:rsid w:val="3A4283C2"/>
    <w:rsid w:val="3A47548E"/>
    <w:rsid w:val="3A4CCA94"/>
    <w:rsid w:val="3A566014"/>
    <w:rsid w:val="3A56C44E"/>
    <w:rsid w:val="3A5B6A44"/>
    <w:rsid w:val="3A5C6D21"/>
    <w:rsid w:val="3A725C58"/>
    <w:rsid w:val="3A7C2FD2"/>
    <w:rsid w:val="3A819BB2"/>
    <w:rsid w:val="3A844BE8"/>
    <w:rsid w:val="3A85689C"/>
    <w:rsid w:val="3A9E5662"/>
    <w:rsid w:val="3AA26F17"/>
    <w:rsid w:val="3AADEC80"/>
    <w:rsid w:val="3AB4BF6D"/>
    <w:rsid w:val="3AB6BBBF"/>
    <w:rsid w:val="3ABBCE97"/>
    <w:rsid w:val="3ABD070B"/>
    <w:rsid w:val="3ABEDD26"/>
    <w:rsid w:val="3AC49AF5"/>
    <w:rsid w:val="3AC73BE9"/>
    <w:rsid w:val="3AC9B8AD"/>
    <w:rsid w:val="3AD18D32"/>
    <w:rsid w:val="3AD1E259"/>
    <w:rsid w:val="3AD620E0"/>
    <w:rsid w:val="3AD8F3B9"/>
    <w:rsid w:val="3AE32A7F"/>
    <w:rsid w:val="3AEBE670"/>
    <w:rsid w:val="3AF36F2B"/>
    <w:rsid w:val="3AFA29DE"/>
    <w:rsid w:val="3AFA42F7"/>
    <w:rsid w:val="3AFAEE13"/>
    <w:rsid w:val="3AFD0F75"/>
    <w:rsid w:val="3AFD3BB9"/>
    <w:rsid w:val="3B016C89"/>
    <w:rsid w:val="3B093DB6"/>
    <w:rsid w:val="3B0A6E46"/>
    <w:rsid w:val="3B0FC116"/>
    <w:rsid w:val="3B1292F1"/>
    <w:rsid w:val="3B14D24C"/>
    <w:rsid w:val="3B155241"/>
    <w:rsid w:val="3B1AC261"/>
    <w:rsid w:val="3B1BF579"/>
    <w:rsid w:val="3B20351B"/>
    <w:rsid w:val="3B269047"/>
    <w:rsid w:val="3B2D2888"/>
    <w:rsid w:val="3B33FDAE"/>
    <w:rsid w:val="3B3E46F3"/>
    <w:rsid w:val="3B413E93"/>
    <w:rsid w:val="3B55650E"/>
    <w:rsid w:val="3B57936D"/>
    <w:rsid w:val="3B586611"/>
    <w:rsid w:val="3B5A080C"/>
    <w:rsid w:val="3B5A8203"/>
    <w:rsid w:val="3B60AF3E"/>
    <w:rsid w:val="3B768ABD"/>
    <w:rsid w:val="3B844F4C"/>
    <w:rsid w:val="3B879D55"/>
    <w:rsid w:val="3B8D3642"/>
    <w:rsid w:val="3B8FA520"/>
    <w:rsid w:val="3B900522"/>
    <w:rsid w:val="3B9C005E"/>
    <w:rsid w:val="3BAD5B94"/>
    <w:rsid w:val="3BB68019"/>
    <w:rsid w:val="3BB6973B"/>
    <w:rsid w:val="3BBA6F7B"/>
    <w:rsid w:val="3BBD4530"/>
    <w:rsid w:val="3BC4943D"/>
    <w:rsid w:val="3BC5A3F2"/>
    <w:rsid w:val="3BD033F1"/>
    <w:rsid w:val="3BD39347"/>
    <w:rsid w:val="3BDE5C5F"/>
    <w:rsid w:val="3BDF36FA"/>
    <w:rsid w:val="3BE2A872"/>
    <w:rsid w:val="3BE6A1F3"/>
    <w:rsid w:val="3BE89032"/>
    <w:rsid w:val="3BE91D36"/>
    <w:rsid w:val="3BF01963"/>
    <w:rsid w:val="3BF3AE6E"/>
    <w:rsid w:val="3BF96138"/>
    <w:rsid w:val="3BFDDFBF"/>
    <w:rsid w:val="3C027B2B"/>
    <w:rsid w:val="3C0F95E3"/>
    <w:rsid w:val="3C10A5BB"/>
    <w:rsid w:val="3C1318B0"/>
    <w:rsid w:val="3C161942"/>
    <w:rsid w:val="3C1E7202"/>
    <w:rsid w:val="3C1FD9A8"/>
    <w:rsid w:val="3C2D03C7"/>
    <w:rsid w:val="3C2EFAED"/>
    <w:rsid w:val="3C300327"/>
    <w:rsid w:val="3C315D81"/>
    <w:rsid w:val="3C378DC4"/>
    <w:rsid w:val="3C3BFE1C"/>
    <w:rsid w:val="3C3D0526"/>
    <w:rsid w:val="3C4497AA"/>
    <w:rsid w:val="3C4867F7"/>
    <w:rsid w:val="3C4C79DF"/>
    <w:rsid w:val="3C5751C5"/>
    <w:rsid w:val="3C5DE487"/>
    <w:rsid w:val="3C64995B"/>
    <w:rsid w:val="3C6C9B90"/>
    <w:rsid w:val="3C72606E"/>
    <w:rsid w:val="3C73ECBA"/>
    <w:rsid w:val="3C7B1F12"/>
    <w:rsid w:val="3C7E0B8E"/>
    <w:rsid w:val="3C8232AB"/>
    <w:rsid w:val="3C85D6A1"/>
    <w:rsid w:val="3C89BAD1"/>
    <w:rsid w:val="3C956DC7"/>
    <w:rsid w:val="3C9ABE86"/>
    <w:rsid w:val="3CA86114"/>
    <w:rsid w:val="3CA89DAF"/>
    <w:rsid w:val="3CAAE070"/>
    <w:rsid w:val="3CADFDD1"/>
    <w:rsid w:val="3CBC0571"/>
    <w:rsid w:val="3CC21AFF"/>
    <w:rsid w:val="3CC678B6"/>
    <w:rsid w:val="3CC9F81C"/>
    <w:rsid w:val="3CD2CC9D"/>
    <w:rsid w:val="3CE9F4F8"/>
    <w:rsid w:val="3CF3C2C2"/>
    <w:rsid w:val="3CF3F899"/>
    <w:rsid w:val="3D0726A9"/>
    <w:rsid w:val="3D15922F"/>
    <w:rsid w:val="3D15C523"/>
    <w:rsid w:val="3D177769"/>
    <w:rsid w:val="3D241305"/>
    <w:rsid w:val="3D266BFA"/>
    <w:rsid w:val="3D302E0B"/>
    <w:rsid w:val="3D35825E"/>
    <w:rsid w:val="3D3AFBEF"/>
    <w:rsid w:val="3D430328"/>
    <w:rsid w:val="3D4319E2"/>
    <w:rsid w:val="3D4AD0AF"/>
    <w:rsid w:val="3D542CEA"/>
    <w:rsid w:val="3D60A99B"/>
    <w:rsid w:val="3D66E4A5"/>
    <w:rsid w:val="3D6D83FB"/>
    <w:rsid w:val="3D7454BB"/>
    <w:rsid w:val="3D75F04F"/>
    <w:rsid w:val="3D7AED94"/>
    <w:rsid w:val="3D88533C"/>
    <w:rsid w:val="3D890044"/>
    <w:rsid w:val="3D8DBE68"/>
    <w:rsid w:val="3D8FE161"/>
    <w:rsid w:val="3D9CAF41"/>
    <w:rsid w:val="3DA2127A"/>
    <w:rsid w:val="3DA2CB5F"/>
    <w:rsid w:val="3DAB03DF"/>
    <w:rsid w:val="3DAC8EDC"/>
    <w:rsid w:val="3DAC9CE9"/>
    <w:rsid w:val="3DB0154C"/>
    <w:rsid w:val="3DB3EF1E"/>
    <w:rsid w:val="3DC4A81A"/>
    <w:rsid w:val="3DCBBD34"/>
    <w:rsid w:val="3DD3E2F0"/>
    <w:rsid w:val="3DD97708"/>
    <w:rsid w:val="3DE14E22"/>
    <w:rsid w:val="3DE794B6"/>
    <w:rsid w:val="3DF7ED94"/>
    <w:rsid w:val="3E01AE1E"/>
    <w:rsid w:val="3E0382F5"/>
    <w:rsid w:val="3E043328"/>
    <w:rsid w:val="3E1ADF33"/>
    <w:rsid w:val="3E1AEADD"/>
    <w:rsid w:val="3E1EEFDA"/>
    <w:rsid w:val="3E22CAC4"/>
    <w:rsid w:val="3E28528E"/>
    <w:rsid w:val="3E38BBEA"/>
    <w:rsid w:val="3E3B6E1B"/>
    <w:rsid w:val="3E4088DE"/>
    <w:rsid w:val="3E4D41B3"/>
    <w:rsid w:val="3E5158DD"/>
    <w:rsid w:val="3E56616E"/>
    <w:rsid w:val="3E59D29E"/>
    <w:rsid w:val="3E5FEFC0"/>
    <w:rsid w:val="3E6397C9"/>
    <w:rsid w:val="3E6D2780"/>
    <w:rsid w:val="3E755C64"/>
    <w:rsid w:val="3E7D3E74"/>
    <w:rsid w:val="3E81FDAA"/>
    <w:rsid w:val="3E84E717"/>
    <w:rsid w:val="3E906E9D"/>
    <w:rsid w:val="3E92819A"/>
    <w:rsid w:val="3E931F6E"/>
    <w:rsid w:val="3E9B2048"/>
    <w:rsid w:val="3E9E91C6"/>
    <w:rsid w:val="3EA41A4D"/>
    <w:rsid w:val="3EA5B25E"/>
    <w:rsid w:val="3EA9E078"/>
    <w:rsid w:val="3EAD3F82"/>
    <w:rsid w:val="3EB0D68C"/>
    <w:rsid w:val="3EB6C89D"/>
    <w:rsid w:val="3EB90144"/>
    <w:rsid w:val="3EC7BF79"/>
    <w:rsid w:val="3ED74EAB"/>
    <w:rsid w:val="3EDC58A0"/>
    <w:rsid w:val="3EE302C1"/>
    <w:rsid w:val="3EE32BB8"/>
    <w:rsid w:val="3EFC399E"/>
    <w:rsid w:val="3EFC7E57"/>
    <w:rsid w:val="3F0A0337"/>
    <w:rsid w:val="3F0C032E"/>
    <w:rsid w:val="3F0F2CEB"/>
    <w:rsid w:val="3F0FC643"/>
    <w:rsid w:val="3F118E4E"/>
    <w:rsid w:val="3F1294DE"/>
    <w:rsid w:val="3F21F0C7"/>
    <w:rsid w:val="3F2398DB"/>
    <w:rsid w:val="3F28D8BF"/>
    <w:rsid w:val="3F33E1A4"/>
    <w:rsid w:val="3F44319C"/>
    <w:rsid w:val="3F44E8EC"/>
    <w:rsid w:val="3F474914"/>
    <w:rsid w:val="3F4A9207"/>
    <w:rsid w:val="3F533C9E"/>
    <w:rsid w:val="3F599D0F"/>
    <w:rsid w:val="3F6060A4"/>
    <w:rsid w:val="3F6342B7"/>
    <w:rsid w:val="3F669DDB"/>
    <w:rsid w:val="3F81B9EA"/>
    <w:rsid w:val="3F8BD8ED"/>
    <w:rsid w:val="3F9130B3"/>
    <w:rsid w:val="3F9807D7"/>
    <w:rsid w:val="3F9D0DEC"/>
    <w:rsid w:val="3FB47416"/>
    <w:rsid w:val="3FB7AB01"/>
    <w:rsid w:val="3FB8BB82"/>
    <w:rsid w:val="3FB8DF5E"/>
    <w:rsid w:val="3FB925AA"/>
    <w:rsid w:val="3FD3EB1D"/>
    <w:rsid w:val="3FD61DCA"/>
    <w:rsid w:val="3FDAE651"/>
    <w:rsid w:val="3FDD6D45"/>
    <w:rsid w:val="3FE8F590"/>
    <w:rsid w:val="3FFA31F0"/>
    <w:rsid w:val="3FFDD49D"/>
    <w:rsid w:val="400707B9"/>
    <w:rsid w:val="40103C58"/>
    <w:rsid w:val="40189C9C"/>
    <w:rsid w:val="401BB7B2"/>
    <w:rsid w:val="40224C75"/>
    <w:rsid w:val="40238F60"/>
    <w:rsid w:val="40275F65"/>
    <w:rsid w:val="4029D9E4"/>
    <w:rsid w:val="402A1AAA"/>
    <w:rsid w:val="402EDFA2"/>
    <w:rsid w:val="402F4887"/>
    <w:rsid w:val="4032144E"/>
    <w:rsid w:val="4032ED45"/>
    <w:rsid w:val="4033FFC0"/>
    <w:rsid w:val="4041644D"/>
    <w:rsid w:val="40466227"/>
    <w:rsid w:val="4046A470"/>
    <w:rsid w:val="40489167"/>
    <w:rsid w:val="404A4731"/>
    <w:rsid w:val="4052CB7A"/>
    <w:rsid w:val="40578603"/>
    <w:rsid w:val="40579D61"/>
    <w:rsid w:val="405EE9A3"/>
    <w:rsid w:val="4061A3F5"/>
    <w:rsid w:val="40640D3D"/>
    <w:rsid w:val="4064C308"/>
    <w:rsid w:val="4065633B"/>
    <w:rsid w:val="407C0B7F"/>
    <w:rsid w:val="4083F484"/>
    <w:rsid w:val="40910E9D"/>
    <w:rsid w:val="4093CAF1"/>
    <w:rsid w:val="4094FC35"/>
    <w:rsid w:val="40956238"/>
    <w:rsid w:val="4096F137"/>
    <w:rsid w:val="409D608C"/>
    <w:rsid w:val="40A7B24A"/>
    <w:rsid w:val="40AA2D2C"/>
    <w:rsid w:val="40BAB59F"/>
    <w:rsid w:val="40BAE4ED"/>
    <w:rsid w:val="40BC3AA6"/>
    <w:rsid w:val="40BCF298"/>
    <w:rsid w:val="40BE33EF"/>
    <w:rsid w:val="40BE610D"/>
    <w:rsid w:val="40BF9111"/>
    <w:rsid w:val="40C1C174"/>
    <w:rsid w:val="40D2F99B"/>
    <w:rsid w:val="40D77A38"/>
    <w:rsid w:val="40E8E1C6"/>
    <w:rsid w:val="40ED9F22"/>
    <w:rsid w:val="40EDE690"/>
    <w:rsid w:val="40EF74EE"/>
    <w:rsid w:val="40F26D1C"/>
    <w:rsid w:val="40F7BB40"/>
    <w:rsid w:val="40FEF6D7"/>
    <w:rsid w:val="41086DB7"/>
    <w:rsid w:val="411E3012"/>
    <w:rsid w:val="412C0420"/>
    <w:rsid w:val="41359B27"/>
    <w:rsid w:val="413EEF45"/>
    <w:rsid w:val="41505FF2"/>
    <w:rsid w:val="41532B0E"/>
    <w:rsid w:val="4154FDC7"/>
    <w:rsid w:val="415619D8"/>
    <w:rsid w:val="41582E24"/>
    <w:rsid w:val="416323EC"/>
    <w:rsid w:val="4172B925"/>
    <w:rsid w:val="41731F17"/>
    <w:rsid w:val="41795373"/>
    <w:rsid w:val="417CF56B"/>
    <w:rsid w:val="418DABB8"/>
    <w:rsid w:val="41963624"/>
    <w:rsid w:val="4197517A"/>
    <w:rsid w:val="41A121FC"/>
    <w:rsid w:val="41AC692F"/>
    <w:rsid w:val="41AED4BD"/>
    <w:rsid w:val="41B548C5"/>
    <w:rsid w:val="41B7D192"/>
    <w:rsid w:val="41C33DEA"/>
    <w:rsid w:val="41C44E71"/>
    <w:rsid w:val="41C6CE64"/>
    <w:rsid w:val="41CAAA7F"/>
    <w:rsid w:val="41CE7648"/>
    <w:rsid w:val="41CFE90D"/>
    <w:rsid w:val="41D86B49"/>
    <w:rsid w:val="41E1EAF1"/>
    <w:rsid w:val="41F20F7A"/>
    <w:rsid w:val="41F2BDF3"/>
    <w:rsid w:val="41F4C417"/>
    <w:rsid w:val="41F58190"/>
    <w:rsid w:val="41F7A054"/>
    <w:rsid w:val="41FB7334"/>
    <w:rsid w:val="421378AA"/>
    <w:rsid w:val="421766E8"/>
    <w:rsid w:val="422428E5"/>
    <w:rsid w:val="4247C154"/>
    <w:rsid w:val="42494CA4"/>
    <w:rsid w:val="424F4313"/>
    <w:rsid w:val="4256045E"/>
    <w:rsid w:val="4262766F"/>
    <w:rsid w:val="42724651"/>
    <w:rsid w:val="4285244B"/>
    <w:rsid w:val="4288F58C"/>
    <w:rsid w:val="428C6EF8"/>
    <w:rsid w:val="428E7CF3"/>
    <w:rsid w:val="4292AC4C"/>
    <w:rsid w:val="429533F4"/>
    <w:rsid w:val="4297890C"/>
    <w:rsid w:val="429AF3EB"/>
    <w:rsid w:val="42A01EB3"/>
    <w:rsid w:val="42A421A1"/>
    <w:rsid w:val="42AE115E"/>
    <w:rsid w:val="42AF49C9"/>
    <w:rsid w:val="42B32351"/>
    <w:rsid w:val="42C15CEB"/>
    <w:rsid w:val="42C2C365"/>
    <w:rsid w:val="42C66E79"/>
    <w:rsid w:val="42C94C7D"/>
    <w:rsid w:val="42CF1B86"/>
    <w:rsid w:val="42DC2D7F"/>
    <w:rsid w:val="42E1007B"/>
    <w:rsid w:val="42E1C883"/>
    <w:rsid w:val="42EB6FC7"/>
    <w:rsid w:val="42EC7D7C"/>
    <w:rsid w:val="42F7E2E4"/>
    <w:rsid w:val="43090EBA"/>
    <w:rsid w:val="430D4BAA"/>
    <w:rsid w:val="431576C7"/>
    <w:rsid w:val="43191408"/>
    <w:rsid w:val="431BCD1A"/>
    <w:rsid w:val="432A692E"/>
    <w:rsid w:val="432F46AE"/>
    <w:rsid w:val="433017AC"/>
    <w:rsid w:val="433323F3"/>
    <w:rsid w:val="4334E89D"/>
    <w:rsid w:val="433CB679"/>
    <w:rsid w:val="43465F70"/>
    <w:rsid w:val="4357F34C"/>
    <w:rsid w:val="4367285B"/>
    <w:rsid w:val="436A3C0E"/>
    <w:rsid w:val="436C8763"/>
    <w:rsid w:val="436FD7B9"/>
    <w:rsid w:val="4376CD6D"/>
    <w:rsid w:val="4378E0E1"/>
    <w:rsid w:val="43797BDC"/>
    <w:rsid w:val="437A22CA"/>
    <w:rsid w:val="4382DE00"/>
    <w:rsid w:val="4388CFD3"/>
    <w:rsid w:val="43896E71"/>
    <w:rsid w:val="438C7452"/>
    <w:rsid w:val="438D9322"/>
    <w:rsid w:val="438F2C65"/>
    <w:rsid w:val="438F9911"/>
    <w:rsid w:val="43908300"/>
    <w:rsid w:val="4398398F"/>
    <w:rsid w:val="43A5DA81"/>
    <w:rsid w:val="43A7FA9F"/>
    <w:rsid w:val="43A8DCDF"/>
    <w:rsid w:val="43AC95A9"/>
    <w:rsid w:val="43B4E9B2"/>
    <w:rsid w:val="43BBAEEB"/>
    <w:rsid w:val="43BD9E2B"/>
    <w:rsid w:val="43BDBF36"/>
    <w:rsid w:val="43C2F8A1"/>
    <w:rsid w:val="43D084A7"/>
    <w:rsid w:val="43D2E211"/>
    <w:rsid w:val="43DA742C"/>
    <w:rsid w:val="43DC8079"/>
    <w:rsid w:val="43E5AB90"/>
    <w:rsid w:val="43ED5763"/>
    <w:rsid w:val="43F07C00"/>
    <w:rsid w:val="440121C6"/>
    <w:rsid w:val="4401EA68"/>
    <w:rsid w:val="440EB369"/>
    <w:rsid w:val="441C58E6"/>
    <w:rsid w:val="441CB9F5"/>
    <w:rsid w:val="442D6E05"/>
    <w:rsid w:val="44343F07"/>
    <w:rsid w:val="4437B450"/>
    <w:rsid w:val="443A0E6C"/>
    <w:rsid w:val="443B1054"/>
    <w:rsid w:val="443DD6D2"/>
    <w:rsid w:val="44540995"/>
    <w:rsid w:val="44611307"/>
    <w:rsid w:val="4472F451"/>
    <w:rsid w:val="44771A99"/>
    <w:rsid w:val="448F22C1"/>
    <w:rsid w:val="4498C811"/>
    <w:rsid w:val="449BD14F"/>
    <w:rsid w:val="449CFB90"/>
    <w:rsid w:val="449E97FE"/>
    <w:rsid w:val="44A3125B"/>
    <w:rsid w:val="44A3ABF3"/>
    <w:rsid w:val="44A5ACA8"/>
    <w:rsid w:val="44A76C96"/>
    <w:rsid w:val="44B1F1AD"/>
    <w:rsid w:val="44B90BA6"/>
    <w:rsid w:val="44BBFD73"/>
    <w:rsid w:val="44BD7589"/>
    <w:rsid w:val="44C5C198"/>
    <w:rsid w:val="44C6E447"/>
    <w:rsid w:val="44CACDED"/>
    <w:rsid w:val="44D0D2A4"/>
    <w:rsid w:val="44D22EFE"/>
    <w:rsid w:val="44D56D1B"/>
    <w:rsid w:val="44DBF212"/>
    <w:rsid w:val="44DFE71B"/>
    <w:rsid w:val="44E1E03D"/>
    <w:rsid w:val="44F5ECDB"/>
    <w:rsid w:val="44FB7F35"/>
    <w:rsid w:val="44FFCF28"/>
    <w:rsid w:val="450298E7"/>
    <w:rsid w:val="4504DE29"/>
    <w:rsid w:val="450BEC89"/>
    <w:rsid w:val="45114163"/>
    <w:rsid w:val="45155D58"/>
    <w:rsid w:val="4518C0D4"/>
    <w:rsid w:val="451C29C6"/>
    <w:rsid w:val="451D755A"/>
    <w:rsid w:val="451E5B52"/>
    <w:rsid w:val="451EC76B"/>
    <w:rsid w:val="45214690"/>
    <w:rsid w:val="4529CBBD"/>
    <w:rsid w:val="452BA6F9"/>
    <w:rsid w:val="452FD399"/>
    <w:rsid w:val="453101AC"/>
    <w:rsid w:val="45338810"/>
    <w:rsid w:val="4537CB61"/>
    <w:rsid w:val="4548B247"/>
    <w:rsid w:val="45490B18"/>
    <w:rsid w:val="454CB697"/>
    <w:rsid w:val="45501F65"/>
    <w:rsid w:val="45508C9B"/>
    <w:rsid w:val="45542C02"/>
    <w:rsid w:val="45590444"/>
    <w:rsid w:val="455DA4D0"/>
    <w:rsid w:val="456A6100"/>
    <w:rsid w:val="456F0298"/>
    <w:rsid w:val="45721FD7"/>
    <w:rsid w:val="457D6932"/>
    <w:rsid w:val="4582F657"/>
    <w:rsid w:val="4586A113"/>
    <w:rsid w:val="458812F8"/>
    <w:rsid w:val="45897C45"/>
    <w:rsid w:val="458AF679"/>
    <w:rsid w:val="45911E6F"/>
    <w:rsid w:val="45987C7A"/>
    <w:rsid w:val="45A3302D"/>
    <w:rsid w:val="45A6BFE0"/>
    <w:rsid w:val="45A9321C"/>
    <w:rsid w:val="45ABB915"/>
    <w:rsid w:val="45B12E92"/>
    <w:rsid w:val="45B2406A"/>
    <w:rsid w:val="45B84625"/>
    <w:rsid w:val="45C1F82A"/>
    <w:rsid w:val="45C51FB5"/>
    <w:rsid w:val="45C94E0B"/>
    <w:rsid w:val="45CB59C3"/>
    <w:rsid w:val="45D08830"/>
    <w:rsid w:val="45DE15A6"/>
    <w:rsid w:val="45E96850"/>
    <w:rsid w:val="45EEFF23"/>
    <w:rsid w:val="45F1AB47"/>
    <w:rsid w:val="45F413AA"/>
    <w:rsid w:val="45F70D21"/>
    <w:rsid w:val="45FCAC5A"/>
    <w:rsid w:val="45FDC147"/>
    <w:rsid w:val="46013720"/>
    <w:rsid w:val="460A7FBA"/>
    <w:rsid w:val="460C0823"/>
    <w:rsid w:val="460C503D"/>
    <w:rsid w:val="460CDC64"/>
    <w:rsid w:val="460D6C67"/>
    <w:rsid w:val="460E17AB"/>
    <w:rsid w:val="4611B69B"/>
    <w:rsid w:val="46139CD5"/>
    <w:rsid w:val="4618197C"/>
    <w:rsid w:val="461B3CEA"/>
    <w:rsid w:val="461CF1CF"/>
    <w:rsid w:val="4621B778"/>
    <w:rsid w:val="462304EF"/>
    <w:rsid w:val="4626F2A6"/>
    <w:rsid w:val="4628DEFC"/>
    <w:rsid w:val="462C1543"/>
    <w:rsid w:val="462EDDD0"/>
    <w:rsid w:val="462F7B25"/>
    <w:rsid w:val="46307499"/>
    <w:rsid w:val="4633976F"/>
    <w:rsid w:val="4633FB4D"/>
    <w:rsid w:val="46347E6B"/>
    <w:rsid w:val="46361164"/>
    <w:rsid w:val="463D71A8"/>
    <w:rsid w:val="463EF545"/>
    <w:rsid w:val="46424506"/>
    <w:rsid w:val="464E8170"/>
    <w:rsid w:val="464FCBFD"/>
    <w:rsid w:val="464FF5B1"/>
    <w:rsid w:val="4657437A"/>
    <w:rsid w:val="4663315E"/>
    <w:rsid w:val="466F6C38"/>
    <w:rsid w:val="4671CE24"/>
    <w:rsid w:val="467C53B7"/>
    <w:rsid w:val="46817536"/>
    <w:rsid w:val="46824AAB"/>
    <w:rsid w:val="4683A364"/>
    <w:rsid w:val="468A682E"/>
    <w:rsid w:val="469D7113"/>
    <w:rsid w:val="46A087BB"/>
    <w:rsid w:val="46A1DB1E"/>
    <w:rsid w:val="46AD3FA3"/>
    <w:rsid w:val="46B419E3"/>
    <w:rsid w:val="46B49B68"/>
    <w:rsid w:val="46B55DD3"/>
    <w:rsid w:val="46B9965F"/>
    <w:rsid w:val="46BD1937"/>
    <w:rsid w:val="46C074A5"/>
    <w:rsid w:val="46CE2089"/>
    <w:rsid w:val="46D8208E"/>
    <w:rsid w:val="46D84BA4"/>
    <w:rsid w:val="46D9BA62"/>
    <w:rsid w:val="46DA3914"/>
    <w:rsid w:val="46DB1832"/>
    <w:rsid w:val="46DCEC8C"/>
    <w:rsid w:val="46DE89E3"/>
    <w:rsid w:val="46EABDB6"/>
    <w:rsid w:val="46EE4BE1"/>
    <w:rsid w:val="46EF4A87"/>
    <w:rsid w:val="46F5672C"/>
    <w:rsid w:val="46FD981E"/>
    <w:rsid w:val="46FFEEE2"/>
    <w:rsid w:val="4708894B"/>
    <w:rsid w:val="470C2A6E"/>
    <w:rsid w:val="470EB31C"/>
    <w:rsid w:val="4714BCD5"/>
    <w:rsid w:val="471DD80B"/>
    <w:rsid w:val="47279089"/>
    <w:rsid w:val="47368E46"/>
    <w:rsid w:val="473B6E91"/>
    <w:rsid w:val="47450888"/>
    <w:rsid w:val="474732AC"/>
    <w:rsid w:val="474930F6"/>
    <w:rsid w:val="474F16CA"/>
    <w:rsid w:val="475190D9"/>
    <w:rsid w:val="47576C6A"/>
    <w:rsid w:val="475E71A5"/>
    <w:rsid w:val="4761C7B1"/>
    <w:rsid w:val="4762C923"/>
    <w:rsid w:val="4768166A"/>
    <w:rsid w:val="476E03F8"/>
    <w:rsid w:val="47707730"/>
    <w:rsid w:val="4771775E"/>
    <w:rsid w:val="47722801"/>
    <w:rsid w:val="4772E626"/>
    <w:rsid w:val="47781B33"/>
    <w:rsid w:val="4783E7E8"/>
    <w:rsid w:val="478874CC"/>
    <w:rsid w:val="478F0607"/>
    <w:rsid w:val="478F1F24"/>
    <w:rsid w:val="4793E6A9"/>
    <w:rsid w:val="4798C8F2"/>
    <w:rsid w:val="4798CE03"/>
    <w:rsid w:val="479DB4DA"/>
    <w:rsid w:val="479FAE0F"/>
    <w:rsid w:val="47A89C04"/>
    <w:rsid w:val="47AAD511"/>
    <w:rsid w:val="47ABA1BD"/>
    <w:rsid w:val="47B6A1E9"/>
    <w:rsid w:val="47B75BBD"/>
    <w:rsid w:val="47B78D67"/>
    <w:rsid w:val="47BA2C30"/>
    <w:rsid w:val="47BCD302"/>
    <w:rsid w:val="47BF9D44"/>
    <w:rsid w:val="47BFC81F"/>
    <w:rsid w:val="47C384AF"/>
    <w:rsid w:val="47C7803D"/>
    <w:rsid w:val="47CDF6BB"/>
    <w:rsid w:val="47D24E3F"/>
    <w:rsid w:val="47D635DE"/>
    <w:rsid w:val="47DA19F7"/>
    <w:rsid w:val="47E04B8D"/>
    <w:rsid w:val="47EBC95F"/>
    <w:rsid w:val="47EE1A96"/>
    <w:rsid w:val="47FA0E33"/>
    <w:rsid w:val="480A42F7"/>
    <w:rsid w:val="480F5904"/>
    <w:rsid w:val="481663ED"/>
    <w:rsid w:val="4817DF79"/>
    <w:rsid w:val="48181C28"/>
    <w:rsid w:val="482E19C6"/>
    <w:rsid w:val="482E56CE"/>
    <w:rsid w:val="482FC929"/>
    <w:rsid w:val="4830FEED"/>
    <w:rsid w:val="4831409E"/>
    <w:rsid w:val="48395657"/>
    <w:rsid w:val="48399C7A"/>
    <w:rsid w:val="4846DD20"/>
    <w:rsid w:val="4851CCDD"/>
    <w:rsid w:val="485C0B1C"/>
    <w:rsid w:val="48689DB5"/>
    <w:rsid w:val="48714C7A"/>
    <w:rsid w:val="488A8086"/>
    <w:rsid w:val="488C1453"/>
    <w:rsid w:val="488FEDE5"/>
    <w:rsid w:val="48929F37"/>
    <w:rsid w:val="489479A8"/>
    <w:rsid w:val="489D0EB1"/>
    <w:rsid w:val="489D2BC6"/>
    <w:rsid w:val="48A76A1A"/>
    <w:rsid w:val="48B36F61"/>
    <w:rsid w:val="48B38AB4"/>
    <w:rsid w:val="48BCFA95"/>
    <w:rsid w:val="48BDD526"/>
    <w:rsid w:val="48D0F04F"/>
    <w:rsid w:val="48D17525"/>
    <w:rsid w:val="48DD4720"/>
    <w:rsid w:val="48E154D5"/>
    <w:rsid w:val="48ED3CF4"/>
    <w:rsid w:val="48F77928"/>
    <w:rsid w:val="4904D75C"/>
    <w:rsid w:val="490EA45C"/>
    <w:rsid w:val="4915D43B"/>
    <w:rsid w:val="491E74BE"/>
    <w:rsid w:val="491ED667"/>
    <w:rsid w:val="49207FB7"/>
    <w:rsid w:val="4920C971"/>
    <w:rsid w:val="49212D49"/>
    <w:rsid w:val="4926BB0A"/>
    <w:rsid w:val="4929031F"/>
    <w:rsid w:val="492917C2"/>
    <w:rsid w:val="492E955D"/>
    <w:rsid w:val="4931CB81"/>
    <w:rsid w:val="49343DEB"/>
    <w:rsid w:val="4934B9B4"/>
    <w:rsid w:val="493BFF99"/>
    <w:rsid w:val="493CFEAE"/>
    <w:rsid w:val="493D5423"/>
    <w:rsid w:val="493DA688"/>
    <w:rsid w:val="49441D6E"/>
    <w:rsid w:val="494AECD4"/>
    <w:rsid w:val="4955F70F"/>
    <w:rsid w:val="49567308"/>
    <w:rsid w:val="495941F7"/>
    <w:rsid w:val="49627CC2"/>
    <w:rsid w:val="4965EA93"/>
    <w:rsid w:val="4969E32E"/>
    <w:rsid w:val="496B316C"/>
    <w:rsid w:val="4977B44F"/>
    <w:rsid w:val="497B414B"/>
    <w:rsid w:val="4980688B"/>
    <w:rsid w:val="4983E719"/>
    <w:rsid w:val="499BB112"/>
    <w:rsid w:val="499CDDEC"/>
    <w:rsid w:val="49A4A8E0"/>
    <w:rsid w:val="49AB1AE0"/>
    <w:rsid w:val="49AFF993"/>
    <w:rsid w:val="49AFFF7E"/>
    <w:rsid w:val="49B0346E"/>
    <w:rsid w:val="49B5B397"/>
    <w:rsid w:val="49BBFFFE"/>
    <w:rsid w:val="49BC1E0B"/>
    <w:rsid w:val="49BD63E1"/>
    <w:rsid w:val="49C57303"/>
    <w:rsid w:val="49CE0634"/>
    <w:rsid w:val="49D85346"/>
    <w:rsid w:val="49DFC842"/>
    <w:rsid w:val="49E77786"/>
    <w:rsid w:val="49E7AA75"/>
    <w:rsid w:val="49F01E96"/>
    <w:rsid w:val="49F2A1C2"/>
    <w:rsid w:val="49FC2D75"/>
    <w:rsid w:val="4A0129FA"/>
    <w:rsid w:val="4A016340"/>
    <w:rsid w:val="4A03D2F8"/>
    <w:rsid w:val="4A1523B3"/>
    <w:rsid w:val="4A178B8F"/>
    <w:rsid w:val="4A1A7DB5"/>
    <w:rsid w:val="4A201C07"/>
    <w:rsid w:val="4A2514CB"/>
    <w:rsid w:val="4A281F77"/>
    <w:rsid w:val="4A2AE7B3"/>
    <w:rsid w:val="4A326E90"/>
    <w:rsid w:val="4A33837A"/>
    <w:rsid w:val="4A34478A"/>
    <w:rsid w:val="4A372F67"/>
    <w:rsid w:val="4A409E02"/>
    <w:rsid w:val="4A4DE6F6"/>
    <w:rsid w:val="4A50687B"/>
    <w:rsid w:val="4A51351D"/>
    <w:rsid w:val="4A577C89"/>
    <w:rsid w:val="4A57D8B7"/>
    <w:rsid w:val="4A59D63C"/>
    <w:rsid w:val="4A5CF6F9"/>
    <w:rsid w:val="4A5E9B07"/>
    <w:rsid w:val="4A5EF783"/>
    <w:rsid w:val="4A7398CF"/>
    <w:rsid w:val="4A7B46D2"/>
    <w:rsid w:val="4A7D5DBE"/>
    <w:rsid w:val="4A7DAB84"/>
    <w:rsid w:val="4A7FA015"/>
    <w:rsid w:val="4A852C34"/>
    <w:rsid w:val="4A86363E"/>
    <w:rsid w:val="4A95D22A"/>
    <w:rsid w:val="4A982BE5"/>
    <w:rsid w:val="4A9D561F"/>
    <w:rsid w:val="4A9FC2EB"/>
    <w:rsid w:val="4AB5B2FF"/>
    <w:rsid w:val="4ACD1597"/>
    <w:rsid w:val="4ACDE71C"/>
    <w:rsid w:val="4AD829EC"/>
    <w:rsid w:val="4AD8908B"/>
    <w:rsid w:val="4AD9EA8A"/>
    <w:rsid w:val="4AE74E93"/>
    <w:rsid w:val="4AED7CAE"/>
    <w:rsid w:val="4AF7A9D7"/>
    <w:rsid w:val="4B0177EF"/>
    <w:rsid w:val="4B059742"/>
    <w:rsid w:val="4B07DDE1"/>
    <w:rsid w:val="4B0C3842"/>
    <w:rsid w:val="4B16152E"/>
    <w:rsid w:val="4B1770CF"/>
    <w:rsid w:val="4B1906B5"/>
    <w:rsid w:val="4B202B7C"/>
    <w:rsid w:val="4B27B039"/>
    <w:rsid w:val="4B29D129"/>
    <w:rsid w:val="4B2D7410"/>
    <w:rsid w:val="4B2E60BA"/>
    <w:rsid w:val="4B361747"/>
    <w:rsid w:val="4B393F08"/>
    <w:rsid w:val="4B39F578"/>
    <w:rsid w:val="4B50ED17"/>
    <w:rsid w:val="4B522AA5"/>
    <w:rsid w:val="4B575DF9"/>
    <w:rsid w:val="4B64C27C"/>
    <w:rsid w:val="4B67725E"/>
    <w:rsid w:val="4B6D31B6"/>
    <w:rsid w:val="4B6EA1F4"/>
    <w:rsid w:val="4B7757BA"/>
    <w:rsid w:val="4B841A37"/>
    <w:rsid w:val="4B85A5F3"/>
    <w:rsid w:val="4B8AA447"/>
    <w:rsid w:val="4B8DF64D"/>
    <w:rsid w:val="4B8FE6BE"/>
    <w:rsid w:val="4B928CD5"/>
    <w:rsid w:val="4B961EDB"/>
    <w:rsid w:val="4B96FB03"/>
    <w:rsid w:val="4B989E18"/>
    <w:rsid w:val="4B98F729"/>
    <w:rsid w:val="4B9BAFFE"/>
    <w:rsid w:val="4BA2FE7C"/>
    <w:rsid w:val="4BB50C71"/>
    <w:rsid w:val="4BBBF928"/>
    <w:rsid w:val="4BBE0158"/>
    <w:rsid w:val="4BC7E1F6"/>
    <w:rsid w:val="4BC9FBA1"/>
    <w:rsid w:val="4BCE6D3C"/>
    <w:rsid w:val="4BD25EB7"/>
    <w:rsid w:val="4BD29B98"/>
    <w:rsid w:val="4BD74BFA"/>
    <w:rsid w:val="4BD96304"/>
    <w:rsid w:val="4BD97474"/>
    <w:rsid w:val="4BE2D1CB"/>
    <w:rsid w:val="4BE60C65"/>
    <w:rsid w:val="4BE69983"/>
    <w:rsid w:val="4BF66D4F"/>
    <w:rsid w:val="4C065EB5"/>
    <w:rsid w:val="4C10D55E"/>
    <w:rsid w:val="4C23FC77"/>
    <w:rsid w:val="4C285DF6"/>
    <w:rsid w:val="4C345058"/>
    <w:rsid w:val="4C35043F"/>
    <w:rsid w:val="4C419C65"/>
    <w:rsid w:val="4C4EB2CE"/>
    <w:rsid w:val="4C533DB7"/>
    <w:rsid w:val="4C5876B7"/>
    <w:rsid w:val="4C58A097"/>
    <w:rsid w:val="4C5BD48A"/>
    <w:rsid w:val="4C652264"/>
    <w:rsid w:val="4C66A7C3"/>
    <w:rsid w:val="4C6B2FB3"/>
    <w:rsid w:val="4C6DF264"/>
    <w:rsid w:val="4C736B31"/>
    <w:rsid w:val="4C74CEBE"/>
    <w:rsid w:val="4C7649FD"/>
    <w:rsid w:val="4C8030A6"/>
    <w:rsid w:val="4C80F100"/>
    <w:rsid w:val="4C83ACB9"/>
    <w:rsid w:val="4C84830F"/>
    <w:rsid w:val="4C8721E0"/>
    <w:rsid w:val="4C8B4154"/>
    <w:rsid w:val="4C8DEF08"/>
    <w:rsid w:val="4C92B44B"/>
    <w:rsid w:val="4C9857E1"/>
    <w:rsid w:val="4C9E41BD"/>
    <w:rsid w:val="4C9F0BEE"/>
    <w:rsid w:val="4CAAE6F4"/>
    <w:rsid w:val="4CAC6265"/>
    <w:rsid w:val="4CAEEABE"/>
    <w:rsid w:val="4CC263A7"/>
    <w:rsid w:val="4CC799A1"/>
    <w:rsid w:val="4CC8D1F9"/>
    <w:rsid w:val="4CCB8F95"/>
    <w:rsid w:val="4CD3F3E7"/>
    <w:rsid w:val="4CD983B1"/>
    <w:rsid w:val="4CDE6420"/>
    <w:rsid w:val="4CE0B8B7"/>
    <w:rsid w:val="4CE5DF20"/>
    <w:rsid w:val="4CEF059D"/>
    <w:rsid w:val="4CEF4927"/>
    <w:rsid w:val="4CF31B74"/>
    <w:rsid w:val="4CF5768E"/>
    <w:rsid w:val="4CF8F3B4"/>
    <w:rsid w:val="4D010485"/>
    <w:rsid w:val="4D01D16A"/>
    <w:rsid w:val="4D04E626"/>
    <w:rsid w:val="4D059BA8"/>
    <w:rsid w:val="4D0921EF"/>
    <w:rsid w:val="4D0E74DA"/>
    <w:rsid w:val="4D0FB3C9"/>
    <w:rsid w:val="4D169350"/>
    <w:rsid w:val="4D1BB7C3"/>
    <w:rsid w:val="4D2AFA4D"/>
    <w:rsid w:val="4D34ACC6"/>
    <w:rsid w:val="4D38BCCB"/>
    <w:rsid w:val="4D393694"/>
    <w:rsid w:val="4D3C6055"/>
    <w:rsid w:val="4D3E200E"/>
    <w:rsid w:val="4D423369"/>
    <w:rsid w:val="4D4DFA13"/>
    <w:rsid w:val="4D4E89A0"/>
    <w:rsid w:val="4D5FB2BB"/>
    <w:rsid w:val="4D671833"/>
    <w:rsid w:val="4D6B0FE9"/>
    <w:rsid w:val="4D6E698D"/>
    <w:rsid w:val="4D71193A"/>
    <w:rsid w:val="4D77D40E"/>
    <w:rsid w:val="4D7AAB35"/>
    <w:rsid w:val="4D7C8394"/>
    <w:rsid w:val="4D7CE57D"/>
    <w:rsid w:val="4D7FCFCB"/>
    <w:rsid w:val="4D809FBC"/>
    <w:rsid w:val="4D8295E1"/>
    <w:rsid w:val="4D8B89A9"/>
    <w:rsid w:val="4D8DA5BA"/>
    <w:rsid w:val="4D90DC24"/>
    <w:rsid w:val="4D95479E"/>
    <w:rsid w:val="4D9D4615"/>
    <w:rsid w:val="4DA3585D"/>
    <w:rsid w:val="4DA796A6"/>
    <w:rsid w:val="4DAF8CC4"/>
    <w:rsid w:val="4DB008B4"/>
    <w:rsid w:val="4DB27729"/>
    <w:rsid w:val="4DB9729D"/>
    <w:rsid w:val="4DBAFAAA"/>
    <w:rsid w:val="4DBC3C66"/>
    <w:rsid w:val="4DBE57AC"/>
    <w:rsid w:val="4DC79EC7"/>
    <w:rsid w:val="4DC9910C"/>
    <w:rsid w:val="4DD28F14"/>
    <w:rsid w:val="4DDED574"/>
    <w:rsid w:val="4DE17E68"/>
    <w:rsid w:val="4DEA88C7"/>
    <w:rsid w:val="4DEB2C09"/>
    <w:rsid w:val="4DF18327"/>
    <w:rsid w:val="4DF30142"/>
    <w:rsid w:val="4DFF3AFA"/>
    <w:rsid w:val="4E14E24C"/>
    <w:rsid w:val="4E18601F"/>
    <w:rsid w:val="4E1D46DB"/>
    <w:rsid w:val="4E1E84AA"/>
    <w:rsid w:val="4E231CB5"/>
    <w:rsid w:val="4E25FFB0"/>
    <w:rsid w:val="4E329A6E"/>
    <w:rsid w:val="4E3BF385"/>
    <w:rsid w:val="4E40A52E"/>
    <w:rsid w:val="4E4B34D5"/>
    <w:rsid w:val="4E4D86A3"/>
    <w:rsid w:val="4E50228A"/>
    <w:rsid w:val="4E50C037"/>
    <w:rsid w:val="4E579326"/>
    <w:rsid w:val="4E733999"/>
    <w:rsid w:val="4E7EE231"/>
    <w:rsid w:val="4E876994"/>
    <w:rsid w:val="4E954A24"/>
    <w:rsid w:val="4E9DDD65"/>
    <w:rsid w:val="4E9DFA3B"/>
    <w:rsid w:val="4E9F6104"/>
    <w:rsid w:val="4EA14CA7"/>
    <w:rsid w:val="4EA14F5C"/>
    <w:rsid w:val="4EA34B39"/>
    <w:rsid w:val="4EA7F6DD"/>
    <w:rsid w:val="4EC40EA7"/>
    <w:rsid w:val="4EC63B46"/>
    <w:rsid w:val="4EC75E13"/>
    <w:rsid w:val="4ECF86F1"/>
    <w:rsid w:val="4EDAAA93"/>
    <w:rsid w:val="4EDC2524"/>
    <w:rsid w:val="4EE5BC65"/>
    <w:rsid w:val="4EF43114"/>
    <w:rsid w:val="4EF602DE"/>
    <w:rsid w:val="4EFAFA91"/>
    <w:rsid w:val="4F06414C"/>
    <w:rsid w:val="4F0BB9D7"/>
    <w:rsid w:val="4F0EDB95"/>
    <w:rsid w:val="4F12F732"/>
    <w:rsid w:val="4F13C1F4"/>
    <w:rsid w:val="4F1440FD"/>
    <w:rsid w:val="4F178A1E"/>
    <w:rsid w:val="4F1AA426"/>
    <w:rsid w:val="4F1F6D99"/>
    <w:rsid w:val="4F23CB6F"/>
    <w:rsid w:val="4F28C72C"/>
    <w:rsid w:val="4F310BA3"/>
    <w:rsid w:val="4F3ED11E"/>
    <w:rsid w:val="4F4374BF"/>
    <w:rsid w:val="4F451CBC"/>
    <w:rsid w:val="4F581DD4"/>
    <w:rsid w:val="4F5C7253"/>
    <w:rsid w:val="4F5E26C8"/>
    <w:rsid w:val="4F5FD811"/>
    <w:rsid w:val="4F61E722"/>
    <w:rsid w:val="4F6DDB5B"/>
    <w:rsid w:val="4F6FC7AE"/>
    <w:rsid w:val="4F709F9A"/>
    <w:rsid w:val="4F71372D"/>
    <w:rsid w:val="4F7A320D"/>
    <w:rsid w:val="4F7D0038"/>
    <w:rsid w:val="4F7E9577"/>
    <w:rsid w:val="4F826181"/>
    <w:rsid w:val="4F829E5C"/>
    <w:rsid w:val="4F8ABAE9"/>
    <w:rsid w:val="4F8DBF08"/>
    <w:rsid w:val="4F91A2E3"/>
    <w:rsid w:val="4F947360"/>
    <w:rsid w:val="4F9875D5"/>
    <w:rsid w:val="4F996ECD"/>
    <w:rsid w:val="4F9B5EBC"/>
    <w:rsid w:val="4F9F21FD"/>
    <w:rsid w:val="4FA3883F"/>
    <w:rsid w:val="4FAA0369"/>
    <w:rsid w:val="4FABAB53"/>
    <w:rsid w:val="4FAD7DB1"/>
    <w:rsid w:val="4FB30452"/>
    <w:rsid w:val="4FBAC93F"/>
    <w:rsid w:val="4FBB6249"/>
    <w:rsid w:val="4FBFE907"/>
    <w:rsid w:val="4FC0E236"/>
    <w:rsid w:val="4FCCB7CD"/>
    <w:rsid w:val="4FD63223"/>
    <w:rsid w:val="4FDB8945"/>
    <w:rsid w:val="4FDB9F4F"/>
    <w:rsid w:val="4FDBA972"/>
    <w:rsid w:val="4FE7EB53"/>
    <w:rsid w:val="4FEF084D"/>
    <w:rsid w:val="4FEFD854"/>
    <w:rsid w:val="4FF6A30F"/>
    <w:rsid w:val="4FF7EB89"/>
    <w:rsid w:val="4FF982BA"/>
    <w:rsid w:val="4FF9A632"/>
    <w:rsid w:val="4FFE3014"/>
    <w:rsid w:val="4FFE465D"/>
    <w:rsid w:val="4FFF2806"/>
    <w:rsid w:val="50014ED9"/>
    <w:rsid w:val="500B19AD"/>
    <w:rsid w:val="500D9F2E"/>
    <w:rsid w:val="50124B7B"/>
    <w:rsid w:val="50177AF7"/>
    <w:rsid w:val="5021F434"/>
    <w:rsid w:val="502CC307"/>
    <w:rsid w:val="502F29E1"/>
    <w:rsid w:val="5032D682"/>
    <w:rsid w:val="5038F5BE"/>
    <w:rsid w:val="503D1BFE"/>
    <w:rsid w:val="503E0786"/>
    <w:rsid w:val="50499733"/>
    <w:rsid w:val="504B4E8F"/>
    <w:rsid w:val="5052CE38"/>
    <w:rsid w:val="505437A3"/>
    <w:rsid w:val="505932AD"/>
    <w:rsid w:val="505B677B"/>
    <w:rsid w:val="505D0E63"/>
    <w:rsid w:val="50627C88"/>
    <w:rsid w:val="50648201"/>
    <w:rsid w:val="50729DC9"/>
    <w:rsid w:val="507DB9C9"/>
    <w:rsid w:val="507EDC4E"/>
    <w:rsid w:val="508137E0"/>
    <w:rsid w:val="508283D7"/>
    <w:rsid w:val="5083908D"/>
    <w:rsid w:val="50891E7A"/>
    <w:rsid w:val="508F82FC"/>
    <w:rsid w:val="50B302E2"/>
    <w:rsid w:val="50B64F05"/>
    <w:rsid w:val="50B8AD2E"/>
    <w:rsid w:val="50BB05DE"/>
    <w:rsid w:val="50BFF1AB"/>
    <w:rsid w:val="50C37FF4"/>
    <w:rsid w:val="50C55EA0"/>
    <w:rsid w:val="50C56E07"/>
    <w:rsid w:val="50C721A3"/>
    <w:rsid w:val="50DD3EDE"/>
    <w:rsid w:val="50E15E38"/>
    <w:rsid w:val="50E38EBC"/>
    <w:rsid w:val="50E4D43B"/>
    <w:rsid w:val="50E9F988"/>
    <w:rsid w:val="50F8AED1"/>
    <w:rsid w:val="50F9672F"/>
    <w:rsid w:val="50FEA48C"/>
    <w:rsid w:val="50FEC257"/>
    <w:rsid w:val="5101D003"/>
    <w:rsid w:val="5106C38B"/>
    <w:rsid w:val="510AA308"/>
    <w:rsid w:val="5120878D"/>
    <w:rsid w:val="5131A9D3"/>
    <w:rsid w:val="51394F1F"/>
    <w:rsid w:val="513D4980"/>
    <w:rsid w:val="5148BFAC"/>
    <w:rsid w:val="514E4838"/>
    <w:rsid w:val="514EE95A"/>
    <w:rsid w:val="5150406D"/>
    <w:rsid w:val="51572AEC"/>
    <w:rsid w:val="5157DAD8"/>
    <w:rsid w:val="51584AE8"/>
    <w:rsid w:val="515DFFC3"/>
    <w:rsid w:val="51669D44"/>
    <w:rsid w:val="5169B43F"/>
    <w:rsid w:val="516C93CA"/>
    <w:rsid w:val="516CA5C1"/>
    <w:rsid w:val="51761106"/>
    <w:rsid w:val="518798C2"/>
    <w:rsid w:val="5188CD21"/>
    <w:rsid w:val="51893CD9"/>
    <w:rsid w:val="519986A5"/>
    <w:rsid w:val="519DEED6"/>
    <w:rsid w:val="51A1339B"/>
    <w:rsid w:val="51A301E1"/>
    <w:rsid w:val="51A9757E"/>
    <w:rsid w:val="51ADD1D7"/>
    <w:rsid w:val="51B3BDF3"/>
    <w:rsid w:val="51B647F3"/>
    <w:rsid w:val="51B7583E"/>
    <w:rsid w:val="51BA2A3C"/>
    <w:rsid w:val="51C41662"/>
    <w:rsid w:val="51C4C56F"/>
    <w:rsid w:val="51CB8C89"/>
    <w:rsid w:val="51CC7D28"/>
    <w:rsid w:val="51CE9C66"/>
    <w:rsid w:val="51D015C2"/>
    <w:rsid w:val="51D14E05"/>
    <w:rsid w:val="51D22038"/>
    <w:rsid w:val="51D37C40"/>
    <w:rsid w:val="51D81E23"/>
    <w:rsid w:val="51E3B1DB"/>
    <w:rsid w:val="5207AA91"/>
    <w:rsid w:val="5210A923"/>
    <w:rsid w:val="52259AE4"/>
    <w:rsid w:val="5225B66C"/>
    <w:rsid w:val="5231740D"/>
    <w:rsid w:val="523B0713"/>
    <w:rsid w:val="52423CCE"/>
    <w:rsid w:val="5246C5CE"/>
    <w:rsid w:val="524C5EDB"/>
    <w:rsid w:val="52530E2F"/>
    <w:rsid w:val="525434C7"/>
    <w:rsid w:val="525C709D"/>
    <w:rsid w:val="526052FE"/>
    <w:rsid w:val="526680F0"/>
    <w:rsid w:val="526BEEAD"/>
    <w:rsid w:val="526C033C"/>
    <w:rsid w:val="526DCD25"/>
    <w:rsid w:val="52717744"/>
    <w:rsid w:val="5272A84D"/>
    <w:rsid w:val="527467DA"/>
    <w:rsid w:val="5275BB28"/>
    <w:rsid w:val="5278EC4F"/>
    <w:rsid w:val="5286C4FB"/>
    <w:rsid w:val="528AA86F"/>
    <w:rsid w:val="528ABCEF"/>
    <w:rsid w:val="528C3164"/>
    <w:rsid w:val="52939BFA"/>
    <w:rsid w:val="52A1CA76"/>
    <w:rsid w:val="52B08D98"/>
    <w:rsid w:val="52B0D82E"/>
    <w:rsid w:val="52B4EF17"/>
    <w:rsid w:val="52B54AB3"/>
    <w:rsid w:val="52B93D64"/>
    <w:rsid w:val="52BDB5D3"/>
    <w:rsid w:val="52BF8630"/>
    <w:rsid w:val="52C97B1A"/>
    <w:rsid w:val="52CD2810"/>
    <w:rsid w:val="52DF23E0"/>
    <w:rsid w:val="52E247C7"/>
    <w:rsid w:val="52E5060F"/>
    <w:rsid w:val="52F06C18"/>
    <w:rsid w:val="52F0D748"/>
    <w:rsid w:val="52FC2278"/>
    <w:rsid w:val="52FE43AA"/>
    <w:rsid w:val="52FECD9A"/>
    <w:rsid w:val="5307B955"/>
    <w:rsid w:val="5308BF4D"/>
    <w:rsid w:val="53094E85"/>
    <w:rsid w:val="531FF209"/>
    <w:rsid w:val="5322D15C"/>
    <w:rsid w:val="532D07CD"/>
    <w:rsid w:val="532FC476"/>
    <w:rsid w:val="533065CB"/>
    <w:rsid w:val="53389D24"/>
    <w:rsid w:val="534F014F"/>
    <w:rsid w:val="534F382A"/>
    <w:rsid w:val="5355634F"/>
    <w:rsid w:val="5357227F"/>
    <w:rsid w:val="5357CF7F"/>
    <w:rsid w:val="535C5CA4"/>
    <w:rsid w:val="536A9637"/>
    <w:rsid w:val="53710F7F"/>
    <w:rsid w:val="537174E7"/>
    <w:rsid w:val="537CE211"/>
    <w:rsid w:val="53873555"/>
    <w:rsid w:val="538F0FE8"/>
    <w:rsid w:val="53909182"/>
    <w:rsid w:val="53945FDB"/>
    <w:rsid w:val="5397BDE8"/>
    <w:rsid w:val="53A871FE"/>
    <w:rsid w:val="53AB6648"/>
    <w:rsid w:val="53AF97C5"/>
    <w:rsid w:val="53BEAA79"/>
    <w:rsid w:val="53C259A5"/>
    <w:rsid w:val="53C94CAB"/>
    <w:rsid w:val="53CDE5D2"/>
    <w:rsid w:val="53CE295B"/>
    <w:rsid w:val="53CE64E3"/>
    <w:rsid w:val="53CF1395"/>
    <w:rsid w:val="53D0C361"/>
    <w:rsid w:val="53D3CC0F"/>
    <w:rsid w:val="53D61F9E"/>
    <w:rsid w:val="53DA9598"/>
    <w:rsid w:val="53DB4598"/>
    <w:rsid w:val="53DDAB68"/>
    <w:rsid w:val="53E038F5"/>
    <w:rsid w:val="53E4B347"/>
    <w:rsid w:val="53F4CF96"/>
    <w:rsid w:val="53FC60B5"/>
    <w:rsid w:val="540309FE"/>
    <w:rsid w:val="5407FBFD"/>
    <w:rsid w:val="5409303D"/>
    <w:rsid w:val="540E1BF1"/>
    <w:rsid w:val="541C17C0"/>
    <w:rsid w:val="5421173D"/>
    <w:rsid w:val="54252566"/>
    <w:rsid w:val="54296A25"/>
    <w:rsid w:val="542D8052"/>
    <w:rsid w:val="54312AC8"/>
    <w:rsid w:val="543EC2E2"/>
    <w:rsid w:val="544662A3"/>
    <w:rsid w:val="544792EE"/>
    <w:rsid w:val="5448CD1B"/>
    <w:rsid w:val="544966AF"/>
    <w:rsid w:val="545C2801"/>
    <w:rsid w:val="545E81A4"/>
    <w:rsid w:val="546C9CC0"/>
    <w:rsid w:val="54700B5B"/>
    <w:rsid w:val="547B3EBB"/>
    <w:rsid w:val="547C67C3"/>
    <w:rsid w:val="5490839D"/>
    <w:rsid w:val="54926E72"/>
    <w:rsid w:val="54945E03"/>
    <w:rsid w:val="54964819"/>
    <w:rsid w:val="549BDE9F"/>
    <w:rsid w:val="549FDE22"/>
    <w:rsid w:val="54A1E65A"/>
    <w:rsid w:val="54A4EAD2"/>
    <w:rsid w:val="54A91E6F"/>
    <w:rsid w:val="54B1F9B5"/>
    <w:rsid w:val="54B29886"/>
    <w:rsid w:val="54B487A1"/>
    <w:rsid w:val="54B65329"/>
    <w:rsid w:val="54BA44A9"/>
    <w:rsid w:val="54BC2254"/>
    <w:rsid w:val="54BCDAA2"/>
    <w:rsid w:val="54BD6FC4"/>
    <w:rsid w:val="54D3345F"/>
    <w:rsid w:val="54D33D25"/>
    <w:rsid w:val="54D7A3D5"/>
    <w:rsid w:val="54E0CD6B"/>
    <w:rsid w:val="54EC8EB5"/>
    <w:rsid w:val="54F2E767"/>
    <w:rsid w:val="54F4FC9A"/>
    <w:rsid w:val="54F9532D"/>
    <w:rsid w:val="54FD7723"/>
    <w:rsid w:val="54FDAB1E"/>
    <w:rsid w:val="54FE1599"/>
    <w:rsid w:val="550111FB"/>
    <w:rsid w:val="5501787D"/>
    <w:rsid w:val="5505C5AD"/>
    <w:rsid w:val="5506F055"/>
    <w:rsid w:val="5506F988"/>
    <w:rsid w:val="550C88BA"/>
    <w:rsid w:val="550CB25C"/>
    <w:rsid w:val="550E2C72"/>
    <w:rsid w:val="55188DB0"/>
    <w:rsid w:val="551974C3"/>
    <w:rsid w:val="5519D326"/>
    <w:rsid w:val="551A3644"/>
    <w:rsid w:val="55250AD1"/>
    <w:rsid w:val="55290BA2"/>
    <w:rsid w:val="552D7FF6"/>
    <w:rsid w:val="553DB36E"/>
    <w:rsid w:val="5548058F"/>
    <w:rsid w:val="554BD470"/>
    <w:rsid w:val="554EA0A9"/>
    <w:rsid w:val="55503FC6"/>
    <w:rsid w:val="555365DA"/>
    <w:rsid w:val="55546524"/>
    <w:rsid w:val="5558D392"/>
    <w:rsid w:val="556F71A0"/>
    <w:rsid w:val="5575A87A"/>
    <w:rsid w:val="5578D5A9"/>
    <w:rsid w:val="55844B48"/>
    <w:rsid w:val="558E262A"/>
    <w:rsid w:val="5594718E"/>
    <w:rsid w:val="5599A93B"/>
    <w:rsid w:val="559BA55D"/>
    <w:rsid w:val="559C9265"/>
    <w:rsid w:val="55A1C644"/>
    <w:rsid w:val="55A67D4E"/>
    <w:rsid w:val="55A83D6B"/>
    <w:rsid w:val="55BB2D4B"/>
    <w:rsid w:val="55BB8D75"/>
    <w:rsid w:val="55BD8A74"/>
    <w:rsid w:val="55BF8149"/>
    <w:rsid w:val="55C07573"/>
    <w:rsid w:val="55C8FAFD"/>
    <w:rsid w:val="55CD4C7E"/>
    <w:rsid w:val="55DB9FAA"/>
    <w:rsid w:val="55E29E35"/>
    <w:rsid w:val="55E3FF01"/>
    <w:rsid w:val="55E9464A"/>
    <w:rsid w:val="55E98BC8"/>
    <w:rsid w:val="55F029BA"/>
    <w:rsid w:val="55F37178"/>
    <w:rsid w:val="55F6F9F3"/>
    <w:rsid w:val="55FEA681"/>
    <w:rsid w:val="56000EA5"/>
    <w:rsid w:val="5604C522"/>
    <w:rsid w:val="560C3C60"/>
    <w:rsid w:val="56110CF9"/>
    <w:rsid w:val="5611E423"/>
    <w:rsid w:val="5614046C"/>
    <w:rsid w:val="56246304"/>
    <w:rsid w:val="56304976"/>
    <w:rsid w:val="56361122"/>
    <w:rsid w:val="5638F1FA"/>
    <w:rsid w:val="563BE4CC"/>
    <w:rsid w:val="56447981"/>
    <w:rsid w:val="564B0B53"/>
    <w:rsid w:val="5654F761"/>
    <w:rsid w:val="565DFF36"/>
    <w:rsid w:val="5660508E"/>
    <w:rsid w:val="566257BE"/>
    <w:rsid w:val="566910D2"/>
    <w:rsid w:val="566BB666"/>
    <w:rsid w:val="566C7140"/>
    <w:rsid w:val="566C814E"/>
    <w:rsid w:val="56721890"/>
    <w:rsid w:val="567743EF"/>
    <w:rsid w:val="56785BAF"/>
    <w:rsid w:val="567DEECC"/>
    <w:rsid w:val="567EF295"/>
    <w:rsid w:val="56890E49"/>
    <w:rsid w:val="5689CDD5"/>
    <w:rsid w:val="568B794F"/>
    <w:rsid w:val="5694512A"/>
    <w:rsid w:val="5699AF74"/>
    <w:rsid w:val="56A2BF44"/>
    <w:rsid w:val="56A907C2"/>
    <w:rsid w:val="56AE254E"/>
    <w:rsid w:val="56B3EC39"/>
    <w:rsid w:val="56B5A9B5"/>
    <w:rsid w:val="56BB6716"/>
    <w:rsid w:val="56CB081B"/>
    <w:rsid w:val="56CD05AE"/>
    <w:rsid w:val="56CF44E6"/>
    <w:rsid w:val="56DCB88E"/>
    <w:rsid w:val="56E0D013"/>
    <w:rsid w:val="56EAA678"/>
    <w:rsid w:val="56EB9A7F"/>
    <w:rsid w:val="56ED6DCD"/>
    <w:rsid w:val="56F17A48"/>
    <w:rsid w:val="56F191CD"/>
    <w:rsid w:val="56F3E8F4"/>
    <w:rsid w:val="57075B96"/>
    <w:rsid w:val="57088673"/>
    <w:rsid w:val="570CF98E"/>
    <w:rsid w:val="570D1959"/>
    <w:rsid w:val="57122109"/>
    <w:rsid w:val="5717F41F"/>
    <w:rsid w:val="571ECBAA"/>
    <w:rsid w:val="572355F5"/>
    <w:rsid w:val="572A2C1B"/>
    <w:rsid w:val="572AD73C"/>
    <w:rsid w:val="573BE50D"/>
    <w:rsid w:val="5740C370"/>
    <w:rsid w:val="5741EEB1"/>
    <w:rsid w:val="57582099"/>
    <w:rsid w:val="575C803C"/>
    <w:rsid w:val="5762E697"/>
    <w:rsid w:val="5764754D"/>
    <w:rsid w:val="576D65B3"/>
    <w:rsid w:val="577D5FE9"/>
    <w:rsid w:val="578539C1"/>
    <w:rsid w:val="578A5FC6"/>
    <w:rsid w:val="578F5666"/>
    <w:rsid w:val="579B8C2D"/>
    <w:rsid w:val="57AC1DCF"/>
    <w:rsid w:val="57B22E55"/>
    <w:rsid w:val="57B42D49"/>
    <w:rsid w:val="57B434C1"/>
    <w:rsid w:val="57B80D62"/>
    <w:rsid w:val="57BECC80"/>
    <w:rsid w:val="57C13ADA"/>
    <w:rsid w:val="57C41661"/>
    <w:rsid w:val="57C6B96F"/>
    <w:rsid w:val="57C77549"/>
    <w:rsid w:val="57CCFE0D"/>
    <w:rsid w:val="57D3DF39"/>
    <w:rsid w:val="57DC71D6"/>
    <w:rsid w:val="57DD2156"/>
    <w:rsid w:val="57E1D088"/>
    <w:rsid w:val="57E5DEF7"/>
    <w:rsid w:val="57E67AA6"/>
    <w:rsid w:val="57E6C7E0"/>
    <w:rsid w:val="57E8E979"/>
    <w:rsid w:val="57EAB3E4"/>
    <w:rsid w:val="57EEFA57"/>
    <w:rsid w:val="57F9EF35"/>
    <w:rsid w:val="57FFC943"/>
    <w:rsid w:val="58007A79"/>
    <w:rsid w:val="5800CBE8"/>
    <w:rsid w:val="580A9275"/>
    <w:rsid w:val="5818422D"/>
    <w:rsid w:val="5818BA21"/>
    <w:rsid w:val="581E256F"/>
    <w:rsid w:val="581EAC4A"/>
    <w:rsid w:val="581FEBF3"/>
    <w:rsid w:val="5820A5E8"/>
    <w:rsid w:val="5821A7D0"/>
    <w:rsid w:val="5821C97F"/>
    <w:rsid w:val="58233711"/>
    <w:rsid w:val="5823EEBE"/>
    <w:rsid w:val="5826FD41"/>
    <w:rsid w:val="582C2F9D"/>
    <w:rsid w:val="58303F4D"/>
    <w:rsid w:val="583C15E2"/>
    <w:rsid w:val="583D3DCD"/>
    <w:rsid w:val="584509E3"/>
    <w:rsid w:val="58452D1A"/>
    <w:rsid w:val="5850CA96"/>
    <w:rsid w:val="5854F3BD"/>
    <w:rsid w:val="5861DBAB"/>
    <w:rsid w:val="5867EAD4"/>
    <w:rsid w:val="5877E2E5"/>
    <w:rsid w:val="587CFA33"/>
    <w:rsid w:val="5880B6E4"/>
    <w:rsid w:val="5887CCA7"/>
    <w:rsid w:val="588F94FF"/>
    <w:rsid w:val="5895ED86"/>
    <w:rsid w:val="5895FF5A"/>
    <w:rsid w:val="589F47ED"/>
    <w:rsid w:val="58A0EEAC"/>
    <w:rsid w:val="58A4094A"/>
    <w:rsid w:val="58A753BC"/>
    <w:rsid w:val="58ABF007"/>
    <w:rsid w:val="58AEF2B1"/>
    <w:rsid w:val="58AF333C"/>
    <w:rsid w:val="58BFA0C6"/>
    <w:rsid w:val="58CD3C18"/>
    <w:rsid w:val="58CEDE77"/>
    <w:rsid w:val="58CFDA61"/>
    <w:rsid w:val="58D2CC68"/>
    <w:rsid w:val="58D99D5C"/>
    <w:rsid w:val="58DF2ED8"/>
    <w:rsid w:val="58E763CA"/>
    <w:rsid w:val="58FB88B1"/>
    <w:rsid w:val="58FE8731"/>
    <w:rsid w:val="58FEDEF4"/>
    <w:rsid w:val="59056AF6"/>
    <w:rsid w:val="590674BF"/>
    <w:rsid w:val="590F7469"/>
    <w:rsid w:val="591613B8"/>
    <w:rsid w:val="591B2375"/>
    <w:rsid w:val="591D3CE5"/>
    <w:rsid w:val="59225964"/>
    <w:rsid w:val="592CBB5D"/>
    <w:rsid w:val="593F4A09"/>
    <w:rsid w:val="59432FA6"/>
    <w:rsid w:val="59433658"/>
    <w:rsid w:val="594B9E46"/>
    <w:rsid w:val="594F43FB"/>
    <w:rsid w:val="59558F87"/>
    <w:rsid w:val="595952C8"/>
    <w:rsid w:val="5959D9F7"/>
    <w:rsid w:val="595AA8AF"/>
    <w:rsid w:val="595BD820"/>
    <w:rsid w:val="595CB895"/>
    <w:rsid w:val="595E28C4"/>
    <w:rsid w:val="59662268"/>
    <w:rsid w:val="596B14E4"/>
    <w:rsid w:val="59724245"/>
    <w:rsid w:val="59732EFE"/>
    <w:rsid w:val="5973E98F"/>
    <w:rsid w:val="59771BC3"/>
    <w:rsid w:val="597D6936"/>
    <w:rsid w:val="598130C5"/>
    <w:rsid w:val="598D0167"/>
    <w:rsid w:val="598F38E2"/>
    <w:rsid w:val="599B81EC"/>
    <w:rsid w:val="59A48525"/>
    <w:rsid w:val="59AD2EC1"/>
    <w:rsid w:val="59B7BAF9"/>
    <w:rsid w:val="59BB6AA9"/>
    <w:rsid w:val="59C59369"/>
    <w:rsid w:val="59CB5765"/>
    <w:rsid w:val="59CDB6BF"/>
    <w:rsid w:val="59CF627A"/>
    <w:rsid w:val="59D11505"/>
    <w:rsid w:val="59D41AB8"/>
    <w:rsid w:val="59DAB140"/>
    <w:rsid w:val="59DF9777"/>
    <w:rsid w:val="59E106F8"/>
    <w:rsid w:val="59F444E7"/>
    <w:rsid w:val="59F51F90"/>
    <w:rsid w:val="5A00A022"/>
    <w:rsid w:val="5A1293B1"/>
    <w:rsid w:val="5A14650C"/>
    <w:rsid w:val="5A15FB77"/>
    <w:rsid w:val="5A160F03"/>
    <w:rsid w:val="5A17C844"/>
    <w:rsid w:val="5A2C0CDF"/>
    <w:rsid w:val="5A2F2DE1"/>
    <w:rsid w:val="5A3EB272"/>
    <w:rsid w:val="5A41ADF7"/>
    <w:rsid w:val="5A4FAC08"/>
    <w:rsid w:val="5A54E73A"/>
    <w:rsid w:val="5A584625"/>
    <w:rsid w:val="5A5CFF5C"/>
    <w:rsid w:val="5A6065F2"/>
    <w:rsid w:val="5A60731A"/>
    <w:rsid w:val="5A6B307A"/>
    <w:rsid w:val="5A6C6764"/>
    <w:rsid w:val="5A6EC406"/>
    <w:rsid w:val="5A7ACFAC"/>
    <w:rsid w:val="5A861306"/>
    <w:rsid w:val="5A9063EF"/>
    <w:rsid w:val="5A9A5EC1"/>
    <w:rsid w:val="5AA91D9B"/>
    <w:rsid w:val="5AB61C54"/>
    <w:rsid w:val="5AB66D60"/>
    <w:rsid w:val="5ABF6A6C"/>
    <w:rsid w:val="5ABFBCCA"/>
    <w:rsid w:val="5AC2AD37"/>
    <w:rsid w:val="5AD44F23"/>
    <w:rsid w:val="5AD83995"/>
    <w:rsid w:val="5AE028FE"/>
    <w:rsid w:val="5AE16D34"/>
    <w:rsid w:val="5AE37ABC"/>
    <w:rsid w:val="5AFC1DA4"/>
    <w:rsid w:val="5AFF0DB1"/>
    <w:rsid w:val="5B0329D4"/>
    <w:rsid w:val="5B040017"/>
    <w:rsid w:val="5B04C05E"/>
    <w:rsid w:val="5B07C1CC"/>
    <w:rsid w:val="5B0A574C"/>
    <w:rsid w:val="5B0B8D65"/>
    <w:rsid w:val="5B0E530B"/>
    <w:rsid w:val="5B121358"/>
    <w:rsid w:val="5B179993"/>
    <w:rsid w:val="5B19A73D"/>
    <w:rsid w:val="5B1AFF8B"/>
    <w:rsid w:val="5B1BF0A1"/>
    <w:rsid w:val="5B1E2EBE"/>
    <w:rsid w:val="5B2458A2"/>
    <w:rsid w:val="5B2AC62A"/>
    <w:rsid w:val="5B2CFF49"/>
    <w:rsid w:val="5B361FB0"/>
    <w:rsid w:val="5B36A792"/>
    <w:rsid w:val="5B411A3D"/>
    <w:rsid w:val="5B519588"/>
    <w:rsid w:val="5B55089D"/>
    <w:rsid w:val="5B584D36"/>
    <w:rsid w:val="5B5FEC9C"/>
    <w:rsid w:val="5B6FB3F1"/>
    <w:rsid w:val="5B706CD9"/>
    <w:rsid w:val="5B72391F"/>
    <w:rsid w:val="5B739475"/>
    <w:rsid w:val="5B7AF6A1"/>
    <w:rsid w:val="5B879007"/>
    <w:rsid w:val="5B8805BE"/>
    <w:rsid w:val="5B8BDB27"/>
    <w:rsid w:val="5B8FE3FC"/>
    <w:rsid w:val="5B91F83F"/>
    <w:rsid w:val="5B9211BA"/>
    <w:rsid w:val="5B946108"/>
    <w:rsid w:val="5B9F79EA"/>
    <w:rsid w:val="5BA6768C"/>
    <w:rsid w:val="5BA95316"/>
    <w:rsid w:val="5BAC8643"/>
    <w:rsid w:val="5BADCC35"/>
    <w:rsid w:val="5BAFB8E2"/>
    <w:rsid w:val="5BB8AA4B"/>
    <w:rsid w:val="5BCDCAB4"/>
    <w:rsid w:val="5BCDE622"/>
    <w:rsid w:val="5BCE4483"/>
    <w:rsid w:val="5BD574E4"/>
    <w:rsid w:val="5BEA414D"/>
    <w:rsid w:val="5BEB8AAA"/>
    <w:rsid w:val="5BED2A05"/>
    <w:rsid w:val="5BFD5584"/>
    <w:rsid w:val="5C05F5D7"/>
    <w:rsid w:val="5C08DE2D"/>
    <w:rsid w:val="5C08F139"/>
    <w:rsid w:val="5C18EFBF"/>
    <w:rsid w:val="5C1B1F3A"/>
    <w:rsid w:val="5C26F344"/>
    <w:rsid w:val="5C2D8FD3"/>
    <w:rsid w:val="5C2D9102"/>
    <w:rsid w:val="5C2DB841"/>
    <w:rsid w:val="5C331739"/>
    <w:rsid w:val="5C38EE04"/>
    <w:rsid w:val="5C39C1DE"/>
    <w:rsid w:val="5C3FC6AF"/>
    <w:rsid w:val="5C4EAB6E"/>
    <w:rsid w:val="5C4F7768"/>
    <w:rsid w:val="5C51A638"/>
    <w:rsid w:val="5C53D90F"/>
    <w:rsid w:val="5C60CAC2"/>
    <w:rsid w:val="5C65B97F"/>
    <w:rsid w:val="5C7223C3"/>
    <w:rsid w:val="5C7985B2"/>
    <w:rsid w:val="5C7A8E99"/>
    <w:rsid w:val="5C8AA498"/>
    <w:rsid w:val="5C9B2193"/>
    <w:rsid w:val="5CA0E6CD"/>
    <w:rsid w:val="5CA3F36E"/>
    <w:rsid w:val="5CA7FA60"/>
    <w:rsid w:val="5CAC16F5"/>
    <w:rsid w:val="5CB636B2"/>
    <w:rsid w:val="5CB78590"/>
    <w:rsid w:val="5CC2F2BF"/>
    <w:rsid w:val="5CC3E241"/>
    <w:rsid w:val="5CC5D5C0"/>
    <w:rsid w:val="5CC62F55"/>
    <w:rsid w:val="5CD5FC3E"/>
    <w:rsid w:val="5CD90597"/>
    <w:rsid w:val="5CDB158C"/>
    <w:rsid w:val="5CE47432"/>
    <w:rsid w:val="5CE5F1F9"/>
    <w:rsid w:val="5CE9B0CB"/>
    <w:rsid w:val="5CEDD3BF"/>
    <w:rsid w:val="5CF24702"/>
    <w:rsid w:val="5CFC50B7"/>
    <w:rsid w:val="5CFF4E79"/>
    <w:rsid w:val="5D0F5CFC"/>
    <w:rsid w:val="5D11254C"/>
    <w:rsid w:val="5D142FED"/>
    <w:rsid w:val="5D1D82B2"/>
    <w:rsid w:val="5D247941"/>
    <w:rsid w:val="5D2EF620"/>
    <w:rsid w:val="5D304023"/>
    <w:rsid w:val="5D315F54"/>
    <w:rsid w:val="5D38A615"/>
    <w:rsid w:val="5D43A90F"/>
    <w:rsid w:val="5D43BD24"/>
    <w:rsid w:val="5D465ABE"/>
    <w:rsid w:val="5D4B26B0"/>
    <w:rsid w:val="5D51EA81"/>
    <w:rsid w:val="5D586CB8"/>
    <w:rsid w:val="5D5B916B"/>
    <w:rsid w:val="5D5E0C7C"/>
    <w:rsid w:val="5D6959F5"/>
    <w:rsid w:val="5D6A5BA1"/>
    <w:rsid w:val="5D6E6B3F"/>
    <w:rsid w:val="5D74C223"/>
    <w:rsid w:val="5D86D311"/>
    <w:rsid w:val="5D87D61F"/>
    <w:rsid w:val="5D8A484E"/>
    <w:rsid w:val="5D9EC22D"/>
    <w:rsid w:val="5DA0C838"/>
    <w:rsid w:val="5DA8145C"/>
    <w:rsid w:val="5DA8C276"/>
    <w:rsid w:val="5DB293BB"/>
    <w:rsid w:val="5DB4D3F2"/>
    <w:rsid w:val="5DB77BD5"/>
    <w:rsid w:val="5DBAF087"/>
    <w:rsid w:val="5DC2424E"/>
    <w:rsid w:val="5DC34F9D"/>
    <w:rsid w:val="5DD0371C"/>
    <w:rsid w:val="5DD2CE1D"/>
    <w:rsid w:val="5DD33B57"/>
    <w:rsid w:val="5DD72A06"/>
    <w:rsid w:val="5DE0979C"/>
    <w:rsid w:val="5DE2E303"/>
    <w:rsid w:val="5DE494C6"/>
    <w:rsid w:val="5DE84078"/>
    <w:rsid w:val="5DE95E4B"/>
    <w:rsid w:val="5DEC5E61"/>
    <w:rsid w:val="5DEC9BB7"/>
    <w:rsid w:val="5DEE7B83"/>
    <w:rsid w:val="5DEFC1A6"/>
    <w:rsid w:val="5DF9C49C"/>
    <w:rsid w:val="5DFA77ED"/>
    <w:rsid w:val="5DFC4A47"/>
    <w:rsid w:val="5E02A7D1"/>
    <w:rsid w:val="5E05C2FC"/>
    <w:rsid w:val="5E080994"/>
    <w:rsid w:val="5E0A25F4"/>
    <w:rsid w:val="5E0E80AD"/>
    <w:rsid w:val="5E10DAE7"/>
    <w:rsid w:val="5E259878"/>
    <w:rsid w:val="5E2A325D"/>
    <w:rsid w:val="5E2B4BB5"/>
    <w:rsid w:val="5E2C1DE2"/>
    <w:rsid w:val="5E2EFD98"/>
    <w:rsid w:val="5E342E98"/>
    <w:rsid w:val="5E3E5C23"/>
    <w:rsid w:val="5E3F443D"/>
    <w:rsid w:val="5E439D04"/>
    <w:rsid w:val="5E519259"/>
    <w:rsid w:val="5E527752"/>
    <w:rsid w:val="5E570E0A"/>
    <w:rsid w:val="5E5CA868"/>
    <w:rsid w:val="5E65030C"/>
    <w:rsid w:val="5E6BB49E"/>
    <w:rsid w:val="5E725629"/>
    <w:rsid w:val="5E77FBAC"/>
    <w:rsid w:val="5E79DF61"/>
    <w:rsid w:val="5E7BDF0C"/>
    <w:rsid w:val="5E86395A"/>
    <w:rsid w:val="5E953551"/>
    <w:rsid w:val="5E970B4D"/>
    <w:rsid w:val="5E988ADD"/>
    <w:rsid w:val="5E9AFDE7"/>
    <w:rsid w:val="5EA95D3D"/>
    <w:rsid w:val="5EB0007F"/>
    <w:rsid w:val="5EB05713"/>
    <w:rsid w:val="5EB4F4B3"/>
    <w:rsid w:val="5EC7300E"/>
    <w:rsid w:val="5EC86498"/>
    <w:rsid w:val="5ECE305F"/>
    <w:rsid w:val="5ED7EF91"/>
    <w:rsid w:val="5EDA773D"/>
    <w:rsid w:val="5EDAB08B"/>
    <w:rsid w:val="5EE367C3"/>
    <w:rsid w:val="5EE9ACCA"/>
    <w:rsid w:val="5EEA09C0"/>
    <w:rsid w:val="5EEEDF67"/>
    <w:rsid w:val="5EFE6CE4"/>
    <w:rsid w:val="5F01D179"/>
    <w:rsid w:val="5F05DEC5"/>
    <w:rsid w:val="5F0F5085"/>
    <w:rsid w:val="5F101579"/>
    <w:rsid w:val="5F120C9D"/>
    <w:rsid w:val="5F174664"/>
    <w:rsid w:val="5F1749CF"/>
    <w:rsid w:val="5F1EB628"/>
    <w:rsid w:val="5F288101"/>
    <w:rsid w:val="5F2CE332"/>
    <w:rsid w:val="5F35BDD4"/>
    <w:rsid w:val="5F4B9D88"/>
    <w:rsid w:val="5F5BECAF"/>
    <w:rsid w:val="5F5CD3E3"/>
    <w:rsid w:val="5F615B03"/>
    <w:rsid w:val="5F6C7925"/>
    <w:rsid w:val="5F7D8720"/>
    <w:rsid w:val="5F8B3E41"/>
    <w:rsid w:val="5F954F74"/>
    <w:rsid w:val="5FA3E2C1"/>
    <w:rsid w:val="5FA55BD9"/>
    <w:rsid w:val="5FA67C44"/>
    <w:rsid w:val="5FA73A1B"/>
    <w:rsid w:val="5FAC972A"/>
    <w:rsid w:val="5FADE35A"/>
    <w:rsid w:val="5FB091A0"/>
    <w:rsid w:val="5FB0C058"/>
    <w:rsid w:val="5FB555E6"/>
    <w:rsid w:val="5FB8489F"/>
    <w:rsid w:val="5FBA5A60"/>
    <w:rsid w:val="5FBF7AA9"/>
    <w:rsid w:val="5FC30C0E"/>
    <w:rsid w:val="5FD10830"/>
    <w:rsid w:val="5FD12813"/>
    <w:rsid w:val="5FD215C4"/>
    <w:rsid w:val="5FD61BAC"/>
    <w:rsid w:val="5FDA4FAE"/>
    <w:rsid w:val="5FE149DA"/>
    <w:rsid w:val="5FE31CF9"/>
    <w:rsid w:val="5FE7C9D8"/>
    <w:rsid w:val="5FE96E27"/>
    <w:rsid w:val="5FED2C17"/>
    <w:rsid w:val="5FEF7411"/>
    <w:rsid w:val="60057670"/>
    <w:rsid w:val="60090994"/>
    <w:rsid w:val="60101D40"/>
    <w:rsid w:val="601021BB"/>
    <w:rsid w:val="601053B5"/>
    <w:rsid w:val="6012AC6B"/>
    <w:rsid w:val="601345ED"/>
    <w:rsid w:val="6019CEFF"/>
    <w:rsid w:val="6024D113"/>
    <w:rsid w:val="60305F1A"/>
    <w:rsid w:val="60340BC8"/>
    <w:rsid w:val="6037BDD6"/>
    <w:rsid w:val="6038C202"/>
    <w:rsid w:val="6039FADE"/>
    <w:rsid w:val="603ABDA5"/>
    <w:rsid w:val="60590E8F"/>
    <w:rsid w:val="6077F2A7"/>
    <w:rsid w:val="6081E8D3"/>
    <w:rsid w:val="608AC177"/>
    <w:rsid w:val="6096FBEB"/>
    <w:rsid w:val="6097F780"/>
    <w:rsid w:val="60A22707"/>
    <w:rsid w:val="60B06DE0"/>
    <w:rsid w:val="60B12CB5"/>
    <w:rsid w:val="60BE115E"/>
    <w:rsid w:val="60BEF6E7"/>
    <w:rsid w:val="60C73D19"/>
    <w:rsid w:val="60D0A46B"/>
    <w:rsid w:val="60DD0D89"/>
    <w:rsid w:val="60DDFD35"/>
    <w:rsid w:val="60E23480"/>
    <w:rsid w:val="60EE55D9"/>
    <w:rsid w:val="60EEEDD7"/>
    <w:rsid w:val="60F0DE65"/>
    <w:rsid w:val="60F28D7C"/>
    <w:rsid w:val="60F3BA05"/>
    <w:rsid w:val="60FD1879"/>
    <w:rsid w:val="61052C20"/>
    <w:rsid w:val="61066B09"/>
    <w:rsid w:val="610A4A79"/>
    <w:rsid w:val="6118728C"/>
    <w:rsid w:val="611B4905"/>
    <w:rsid w:val="611CBACE"/>
    <w:rsid w:val="611E985B"/>
    <w:rsid w:val="6121C75E"/>
    <w:rsid w:val="612C9491"/>
    <w:rsid w:val="613135B9"/>
    <w:rsid w:val="613560C3"/>
    <w:rsid w:val="613ADD61"/>
    <w:rsid w:val="613B9B33"/>
    <w:rsid w:val="613E828C"/>
    <w:rsid w:val="6146621D"/>
    <w:rsid w:val="614FB860"/>
    <w:rsid w:val="615DF719"/>
    <w:rsid w:val="61612D92"/>
    <w:rsid w:val="61632681"/>
    <w:rsid w:val="61663467"/>
    <w:rsid w:val="61676B1F"/>
    <w:rsid w:val="6171F337"/>
    <w:rsid w:val="61886FFF"/>
    <w:rsid w:val="61919383"/>
    <w:rsid w:val="6194761C"/>
    <w:rsid w:val="61AAF39E"/>
    <w:rsid w:val="61B31FFB"/>
    <w:rsid w:val="61B5FA6B"/>
    <w:rsid w:val="61B72EAD"/>
    <w:rsid w:val="61B9AF3F"/>
    <w:rsid w:val="61BCF51C"/>
    <w:rsid w:val="61C27A80"/>
    <w:rsid w:val="61C5B794"/>
    <w:rsid w:val="61CA1837"/>
    <w:rsid w:val="61CAC871"/>
    <w:rsid w:val="61D03190"/>
    <w:rsid w:val="61DAD3CF"/>
    <w:rsid w:val="61E1F28A"/>
    <w:rsid w:val="61E603F1"/>
    <w:rsid w:val="61E60E0E"/>
    <w:rsid w:val="61E71B1E"/>
    <w:rsid w:val="61EA79E6"/>
    <w:rsid w:val="61EFB768"/>
    <w:rsid w:val="620040D4"/>
    <w:rsid w:val="62080A7E"/>
    <w:rsid w:val="620E271A"/>
    <w:rsid w:val="621B313C"/>
    <w:rsid w:val="621F292A"/>
    <w:rsid w:val="6225D4A1"/>
    <w:rsid w:val="6227FDD4"/>
    <w:rsid w:val="622ACE32"/>
    <w:rsid w:val="622B73F1"/>
    <w:rsid w:val="622D3504"/>
    <w:rsid w:val="6231AAB0"/>
    <w:rsid w:val="623F7CED"/>
    <w:rsid w:val="624300D4"/>
    <w:rsid w:val="624F4087"/>
    <w:rsid w:val="625236B1"/>
    <w:rsid w:val="62577D43"/>
    <w:rsid w:val="625A90B6"/>
    <w:rsid w:val="6260468B"/>
    <w:rsid w:val="62640EA0"/>
    <w:rsid w:val="627082A6"/>
    <w:rsid w:val="6277C807"/>
    <w:rsid w:val="62879E6D"/>
    <w:rsid w:val="6293AF90"/>
    <w:rsid w:val="62984FB2"/>
    <w:rsid w:val="62987D77"/>
    <w:rsid w:val="629C194F"/>
    <w:rsid w:val="62A2B3D5"/>
    <w:rsid w:val="62A3AA08"/>
    <w:rsid w:val="62A74510"/>
    <w:rsid w:val="62A746D2"/>
    <w:rsid w:val="62ACA663"/>
    <w:rsid w:val="62B34D3D"/>
    <w:rsid w:val="62B4EFB4"/>
    <w:rsid w:val="62BC1A21"/>
    <w:rsid w:val="62C1AD25"/>
    <w:rsid w:val="62C1DD2E"/>
    <w:rsid w:val="62C3C623"/>
    <w:rsid w:val="62CBA599"/>
    <w:rsid w:val="62D0B714"/>
    <w:rsid w:val="62D4D0FE"/>
    <w:rsid w:val="62D57697"/>
    <w:rsid w:val="62E37C87"/>
    <w:rsid w:val="62E3F355"/>
    <w:rsid w:val="62E90E5A"/>
    <w:rsid w:val="62EA1166"/>
    <w:rsid w:val="62F330F0"/>
    <w:rsid w:val="62F3B49C"/>
    <w:rsid w:val="62F62D95"/>
    <w:rsid w:val="63059211"/>
    <w:rsid w:val="63085C7E"/>
    <w:rsid w:val="6319871E"/>
    <w:rsid w:val="631CB2A5"/>
    <w:rsid w:val="631F2D13"/>
    <w:rsid w:val="6322BCBF"/>
    <w:rsid w:val="63248229"/>
    <w:rsid w:val="6333A269"/>
    <w:rsid w:val="633C19B5"/>
    <w:rsid w:val="633F7A1B"/>
    <w:rsid w:val="63413A5F"/>
    <w:rsid w:val="634A318E"/>
    <w:rsid w:val="634EC3F5"/>
    <w:rsid w:val="6358B414"/>
    <w:rsid w:val="635B025F"/>
    <w:rsid w:val="63655D08"/>
    <w:rsid w:val="636B3250"/>
    <w:rsid w:val="6370BFFC"/>
    <w:rsid w:val="6375F27B"/>
    <w:rsid w:val="6379CFF8"/>
    <w:rsid w:val="63871D68"/>
    <w:rsid w:val="638DBDAC"/>
    <w:rsid w:val="63938C21"/>
    <w:rsid w:val="639ED022"/>
    <w:rsid w:val="63A739CB"/>
    <w:rsid w:val="63A74711"/>
    <w:rsid w:val="63A901E6"/>
    <w:rsid w:val="63B3AA2F"/>
    <w:rsid w:val="63BB7D4D"/>
    <w:rsid w:val="63C5D11C"/>
    <w:rsid w:val="63D26624"/>
    <w:rsid w:val="63E9812E"/>
    <w:rsid w:val="63F8F21A"/>
    <w:rsid w:val="63FD2564"/>
    <w:rsid w:val="63FE6669"/>
    <w:rsid w:val="6429B0C9"/>
    <w:rsid w:val="642DB011"/>
    <w:rsid w:val="64386E1D"/>
    <w:rsid w:val="643AD6DC"/>
    <w:rsid w:val="643D9589"/>
    <w:rsid w:val="643DBCC9"/>
    <w:rsid w:val="645B19B5"/>
    <w:rsid w:val="645C7C70"/>
    <w:rsid w:val="64625082"/>
    <w:rsid w:val="6467FE81"/>
    <w:rsid w:val="646F87DE"/>
    <w:rsid w:val="6470DD30"/>
    <w:rsid w:val="647A5968"/>
    <w:rsid w:val="6481273F"/>
    <w:rsid w:val="64853F2C"/>
    <w:rsid w:val="6489D681"/>
    <w:rsid w:val="648C0B6E"/>
    <w:rsid w:val="649C137E"/>
    <w:rsid w:val="649EB9D2"/>
    <w:rsid w:val="64A4CD75"/>
    <w:rsid w:val="64AFAEA6"/>
    <w:rsid w:val="64B25745"/>
    <w:rsid w:val="64B33503"/>
    <w:rsid w:val="64B6BCD0"/>
    <w:rsid w:val="64BA079F"/>
    <w:rsid w:val="64C64301"/>
    <w:rsid w:val="64C9A558"/>
    <w:rsid w:val="64C9CC32"/>
    <w:rsid w:val="64D5FA1C"/>
    <w:rsid w:val="64D8F3A8"/>
    <w:rsid w:val="64DA014A"/>
    <w:rsid w:val="64DC314A"/>
    <w:rsid w:val="64DC82EB"/>
    <w:rsid w:val="64DD8BED"/>
    <w:rsid w:val="64DEB87F"/>
    <w:rsid w:val="64EAB023"/>
    <w:rsid w:val="64EDAB17"/>
    <w:rsid w:val="64EF1D1C"/>
    <w:rsid w:val="64EF8112"/>
    <w:rsid w:val="64F72E20"/>
    <w:rsid w:val="64FAB7A8"/>
    <w:rsid w:val="64FADC05"/>
    <w:rsid w:val="64FB30C3"/>
    <w:rsid w:val="64FB3A56"/>
    <w:rsid w:val="650259E0"/>
    <w:rsid w:val="6507587E"/>
    <w:rsid w:val="650D9E8A"/>
    <w:rsid w:val="651C6C6D"/>
    <w:rsid w:val="6522290A"/>
    <w:rsid w:val="6522A20C"/>
    <w:rsid w:val="6524DA9A"/>
    <w:rsid w:val="653283F5"/>
    <w:rsid w:val="6534CECE"/>
    <w:rsid w:val="65382256"/>
    <w:rsid w:val="653F13F8"/>
    <w:rsid w:val="654C0DB2"/>
    <w:rsid w:val="6565E3E0"/>
    <w:rsid w:val="6568E243"/>
    <w:rsid w:val="6575FB73"/>
    <w:rsid w:val="6577066A"/>
    <w:rsid w:val="657AE90F"/>
    <w:rsid w:val="657D3C24"/>
    <w:rsid w:val="6580D38E"/>
    <w:rsid w:val="65818A33"/>
    <w:rsid w:val="6583447C"/>
    <w:rsid w:val="65879497"/>
    <w:rsid w:val="658F679F"/>
    <w:rsid w:val="6594B0D5"/>
    <w:rsid w:val="659894AD"/>
    <w:rsid w:val="65A16A94"/>
    <w:rsid w:val="65A5AF7E"/>
    <w:rsid w:val="65AC3927"/>
    <w:rsid w:val="65AEB4E3"/>
    <w:rsid w:val="65B19624"/>
    <w:rsid w:val="65B37FD8"/>
    <w:rsid w:val="65B7C9B8"/>
    <w:rsid w:val="65B88DBE"/>
    <w:rsid w:val="65BCBDFE"/>
    <w:rsid w:val="65C33FC9"/>
    <w:rsid w:val="65CDFED2"/>
    <w:rsid w:val="65D7D30C"/>
    <w:rsid w:val="65E7F3C5"/>
    <w:rsid w:val="65E9A56F"/>
    <w:rsid w:val="65EC3A73"/>
    <w:rsid w:val="65F8D237"/>
    <w:rsid w:val="66062F82"/>
    <w:rsid w:val="66141D84"/>
    <w:rsid w:val="661E8E32"/>
    <w:rsid w:val="6621F6EF"/>
    <w:rsid w:val="662793BF"/>
    <w:rsid w:val="6628522D"/>
    <w:rsid w:val="662EC641"/>
    <w:rsid w:val="663651A9"/>
    <w:rsid w:val="66366867"/>
    <w:rsid w:val="66458E58"/>
    <w:rsid w:val="6650F7B1"/>
    <w:rsid w:val="665187DB"/>
    <w:rsid w:val="66529FF3"/>
    <w:rsid w:val="665588EB"/>
    <w:rsid w:val="665B9920"/>
    <w:rsid w:val="666290A7"/>
    <w:rsid w:val="66646A1B"/>
    <w:rsid w:val="666C5ADE"/>
    <w:rsid w:val="667BA597"/>
    <w:rsid w:val="667C7DA8"/>
    <w:rsid w:val="66823AE9"/>
    <w:rsid w:val="668785C8"/>
    <w:rsid w:val="668D0926"/>
    <w:rsid w:val="669608D3"/>
    <w:rsid w:val="66A2ACC2"/>
    <w:rsid w:val="66B03712"/>
    <w:rsid w:val="66B70EB9"/>
    <w:rsid w:val="66BA8255"/>
    <w:rsid w:val="66C60C8A"/>
    <w:rsid w:val="66CAFABD"/>
    <w:rsid w:val="66CBD427"/>
    <w:rsid w:val="66D3C7CE"/>
    <w:rsid w:val="66D814EB"/>
    <w:rsid w:val="66DBF1C4"/>
    <w:rsid w:val="66E7BD8C"/>
    <w:rsid w:val="66E9B12B"/>
    <w:rsid w:val="66EA5F8A"/>
    <w:rsid w:val="66EB6EF6"/>
    <w:rsid w:val="66F88CB7"/>
    <w:rsid w:val="67183C2C"/>
    <w:rsid w:val="671A6383"/>
    <w:rsid w:val="671B3673"/>
    <w:rsid w:val="6720AB77"/>
    <w:rsid w:val="67218175"/>
    <w:rsid w:val="67269207"/>
    <w:rsid w:val="6729F7AA"/>
    <w:rsid w:val="67380F15"/>
    <w:rsid w:val="674585E0"/>
    <w:rsid w:val="674E599C"/>
    <w:rsid w:val="67527CC5"/>
    <w:rsid w:val="67528338"/>
    <w:rsid w:val="67652EC7"/>
    <w:rsid w:val="67696D88"/>
    <w:rsid w:val="6769FF6D"/>
    <w:rsid w:val="676B23D2"/>
    <w:rsid w:val="67720DA9"/>
    <w:rsid w:val="6773E80A"/>
    <w:rsid w:val="67747637"/>
    <w:rsid w:val="6777A0B6"/>
    <w:rsid w:val="67812945"/>
    <w:rsid w:val="67859D6F"/>
    <w:rsid w:val="678FB2C1"/>
    <w:rsid w:val="67944D2E"/>
    <w:rsid w:val="679E5A16"/>
    <w:rsid w:val="67A54F46"/>
    <w:rsid w:val="67AFE6F0"/>
    <w:rsid w:val="67B40FCB"/>
    <w:rsid w:val="67B6ED03"/>
    <w:rsid w:val="67B99F01"/>
    <w:rsid w:val="67C0E873"/>
    <w:rsid w:val="67C38661"/>
    <w:rsid w:val="67C74EB9"/>
    <w:rsid w:val="67CBBB22"/>
    <w:rsid w:val="67D28F41"/>
    <w:rsid w:val="67E029B9"/>
    <w:rsid w:val="67E02FC8"/>
    <w:rsid w:val="67E9B530"/>
    <w:rsid w:val="67EF959C"/>
    <w:rsid w:val="67F6B7E3"/>
    <w:rsid w:val="67F6E937"/>
    <w:rsid w:val="67FAE025"/>
    <w:rsid w:val="67FCA5C1"/>
    <w:rsid w:val="67FF10D9"/>
    <w:rsid w:val="6800A480"/>
    <w:rsid w:val="680CFB6E"/>
    <w:rsid w:val="680E2BB7"/>
    <w:rsid w:val="68238BEA"/>
    <w:rsid w:val="682496D2"/>
    <w:rsid w:val="682D736C"/>
    <w:rsid w:val="68394D8E"/>
    <w:rsid w:val="68415B78"/>
    <w:rsid w:val="68494846"/>
    <w:rsid w:val="684AFC65"/>
    <w:rsid w:val="6852FF87"/>
    <w:rsid w:val="685CFAA5"/>
    <w:rsid w:val="686CE0F1"/>
    <w:rsid w:val="686E53DE"/>
    <w:rsid w:val="686F51CC"/>
    <w:rsid w:val="68793EC7"/>
    <w:rsid w:val="68795E6B"/>
    <w:rsid w:val="687B2D0B"/>
    <w:rsid w:val="6884AA36"/>
    <w:rsid w:val="688FF726"/>
    <w:rsid w:val="68909634"/>
    <w:rsid w:val="68A1433D"/>
    <w:rsid w:val="68B0B0AE"/>
    <w:rsid w:val="68BA7A7B"/>
    <w:rsid w:val="68CB98EC"/>
    <w:rsid w:val="68D2EE19"/>
    <w:rsid w:val="68D62E90"/>
    <w:rsid w:val="68E35345"/>
    <w:rsid w:val="68F26214"/>
    <w:rsid w:val="6909BEAC"/>
    <w:rsid w:val="691D9287"/>
    <w:rsid w:val="69228766"/>
    <w:rsid w:val="693203DE"/>
    <w:rsid w:val="6938F298"/>
    <w:rsid w:val="693F045C"/>
    <w:rsid w:val="694E6643"/>
    <w:rsid w:val="695116C8"/>
    <w:rsid w:val="69528B84"/>
    <w:rsid w:val="69537AB0"/>
    <w:rsid w:val="695511DB"/>
    <w:rsid w:val="695D502B"/>
    <w:rsid w:val="695D548C"/>
    <w:rsid w:val="69626528"/>
    <w:rsid w:val="6962ADCC"/>
    <w:rsid w:val="6968E995"/>
    <w:rsid w:val="696A92D0"/>
    <w:rsid w:val="6972EFAA"/>
    <w:rsid w:val="6978A845"/>
    <w:rsid w:val="6979DF21"/>
    <w:rsid w:val="697E9991"/>
    <w:rsid w:val="6986AA39"/>
    <w:rsid w:val="69887CAF"/>
    <w:rsid w:val="698C7357"/>
    <w:rsid w:val="698CB3A5"/>
    <w:rsid w:val="699AFABB"/>
    <w:rsid w:val="699E7B1B"/>
    <w:rsid w:val="69AEF16F"/>
    <w:rsid w:val="69AF2EB4"/>
    <w:rsid w:val="69AF981F"/>
    <w:rsid w:val="69AF9CA1"/>
    <w:rsid w:val="69B30302"/>
    <w:rsid w:val="69B90DC9"/>
    <w:rsid w:val="69B94C6F"/>
    <w:rsid w:val="69B9A1F2"/>
    <w:rsid w:val="69CD69AE"/>
    <w:rsid w:val="69CF687B"/>
    <w:rsid w:val="69D4A1EF"/>
    <w:rsid w:val="69E43D31"/>
    <w:rsid w:val="69E6941E"/>
    <w:rsid w:val="69E6EB2F"/>
    <w:rsid w:val="69E78703"/>
    <w:rsid w:val="69E8409C"/>
    <w:rsid w:val="69EAB8DA"/>
    <w:rsid w:val="69EAC551"/>
    <w:rsid w:val="69F03414"/>
    <w:rsid w:val="69FF35C4"/>
    <w:rsid w:val="6A0DE4D3"/>
    <w:rsid w:val="6A0FAD80"/>
    <w:rsid w:val="6A103168"/>
    <w:rsid w:val="6A14D2A4"/>
    <w:rsid w:val="6A1B0622"/>
    <w:rsid w:val="6A1B6B5F"/>
    <w:rsid w:val="6A28C4AC"/>
    <w:rsid w:val="6A2F3A80"/>
    <w:rsid w:val="6A30B5F8"/>
    <w:rsid w:val="6A323959"/>
    <w:rsid w:val="6A3581AB"/>
    <w:rsid w:val="6A45D500"/>
    <w:rsid w:val="6A4E10A3"/>
    <w:rsid w:val="6A546C65"/>
    <w:rsid w:val="6A57683C"/>
    <w:rsid w:val="6A5786B3"/>
    <w:rsid w:val="6A586A6B"/>
    <w:rsid w:val="6A5E9C5D"/>
    <w:rsid w:val="6A62423F"/>
    <w:rsid w:val="6A6F8A40"/>
    <w:rsid w:val="6A73A5FB"/>
    <w:rsid w:val="6A73A721"/>
    <w:rsid w:val="6A7461ED"/>
    <w:rsid w:val="6A74B473"/>
    <w:rsid w:val="6A7879E9"/>
    <w:rsid w:val="6A7E5708"/>
    <w:rsid w:val="6A812C41"/>
    <w:rsid w:val="6A8203CE"/>
    <w:rsid w:val="6A8807F0"/>
    <w:rsid w:val="6A8F47BE"/>
    <w:rsid w:val="6A9B8EC9"/>
    <w:rsid w:val="6A9D1D4F"/>
    <w:rsid w:val="6AA9CC88"/>
    <w:rsid w:val="6AA9D45D"/>
    <w:rsid w:val="6AAB5064"/>
    <w:rsid w:val="6AB289BE"/>
    <w:rsid w:val="6AB31EA2"/>
    <w:rsid w:val="6AB58EBA"/>
    <w:rsid w:val="6AB7E4DF"/>
    <w:rsid w:val="6AC47C10"/>
    <w:rsid w:val="6AC6D4ED"/>
    <w:rsid w:val="6AD0CA88"/>
    <w:rsid w:val="6AD41D9C"/>
    <w:rsid w:val="6AE29962"/>
    <w:rsid w:val="6AE408E1"/>
    <w:rsid w:val="6AEA34B0"/>
    <w:rsid w:val="6AEF0498"/>
    <w:rsid w:val="6AF467A8"/>
    <w:rsid w:val="6AF8C666"/>
    <w:rsid w:val="6AFAF5BC"/>
    <w:rsid w:val="6AFE602A"/>
    <w:rsid w:val="6B002563"/>
    <w:rsid w:val="6B04D5D0"/>
    <w:rsid w:val="6B06DDBC"/>
    <w:rsid w:val="6B107F81"/>
    <w:rsid w:val="6B18F488"/>
    <w:rsid w:val="6B199804"/>
    <w:rsid w:val="6B1D7A48"/>
    <w:rsid w:val="6B2DABD0"/>
    <w:rsid w:val="6B2FB0C1"/>
    <w:rsid w:val="6B30B955"/>
    <w:rsid w:val="6B392E81"/>
    <w:rsid w:val="6B3AFEBE"/>
    <w:rsid w:val="6B3D6CBC"/>
    <w:rsid w:val="6B3DDC3B"/>
    <w:rsid w:val="6B4018E9"/>
    <w:rsid w:val="6B41C35B"/>
    <w:rsid w:val="6B49927B"/>
    <w:rsid w:val="6B4B1540"/>
    <w:rsid w:val="6B4BB0F7"/>
    <w:rsid w:val="6B536878"/>
    <w:rsid w:val="6B551A2D"/>
    <w:rsid w:val="6B61AC12"/>
    <w:rsid w:val="6B66799F"/>
    <w:rsid w:val="6B6C36E5"/>
    <w:rsid w:val="6B6C4F2F"/>
    <w:rsid w:val="6B72B096"/>
    <w:rsid w:val="6B79C776"/>
    <w:rsid w:val="6B7C1C1B"/>
    <w:rsid w:val="6B829B87"/>
    <w:rsid w:val="6B8E3C01"/>
    <w:rsid w:val="6B8EBB91"/>
    <w:rsid w:val="6B90F99B"/>
    <w:rsid w:val="6B94FA50"/>
    <w:rsid w:val="6B971584"/>
    <w:rsid w:val="6BA0293B"/>
    <w:rsid w:val="6BA23047"/>
    <w:rsid w:val="6BA23938"/>
    <w:rsid w:val="6BA4CC0E"/>
    <w:rsid w:val="6BA9A3E1"/>
    <w:rsid w:val="6BAD555A"/>
    <w:rsid w:val="6BADE9DD"/>
    <w:rsid w:val="6BBA3500"/>
    <w:rsid w:val="6BBFC221"/>
    <w:rsid w:val="6BD0BE17"/>
    <w:rsid w:val="6BE40A80"/>
    <w:rsid w:val="6BE53663"/>
    <w:rsid w:val="6BEB02F9"/>
    <w:rsid w:val="6BEB17AA"/>
    <w:rsid w:val="6BF14BFF"/>
    <w:rsid w:val="6BF54EFE"/>
    <w:rsid w:val="6C06C2E5"/>
    <w:rsid w:val="6C1A7A75"/>
    <w:rsid w:val="6C1F6583"/>
    <w:rsid w:val="6C299F74"/>
    <w:rsid w:val="6C307F96"/>
    <w:rsid w:val="6C34D584"/>
    <w:rsid w:val="6C476181"/>
    <w:rsid w:val="6C4D2015"/>
    <w:rsid w:val="6C59FD54"/>
    <w:rsid w:val="6C5B1C2F"/>
    <w:rsid w:val="6C66EAD7"/>
    <w:rsid w:val="6C6D5673"/>
    <w:rsid w:val="6C6E35D4"/>
    <w:rsid w:val="6C7D8CFB"/>
    <w:rsid w:val="6C813C60"/>
    <w:rsid w:val="6C8B1E86"/>
    <w:rsid w:val="6C8D392F"/>
    <w:rsid w:val="6C904184"/>
    <w:rsid w:val="6C913349"/>
    <w:rsid w:val="6CA9B788"/>
    <w:rsid w:val="6CAE5F48"/>
    <w:rsid w:val="6CBB7B18"/>
    <w:rsid w:val="6CBF8E7C"/>
    <w:rsid w:val="6CC5BD25"/>
    <w:rsid w:val="6CCFBE80"/>
    <w:rsid w:val="6CD78A3E"/>
    <w:rsid w:val="6CD9AEAD"/>
    <w:rsid w:val="6CE94723"/>
    <w:rsid w:val="6CE9C9AB"/>
    <w:rsid w:val="6CEB39B4"/>
    <w:rsid w:val="6CEBF890"/>
    <w:rsid w:val="6CF23188"/>
    <w:rsid w:val="6CFA2CB7"/>
    <w:rsid w:val="6CFECC4F"/>
    <w:rsid w:val="6D012E18"/>
    <w:rsid w:val="6D117768"/>
    <w:rsid w:val="6D159108"/>
    <w:rsid w:val="6D15B9B2"/>
    <w:rsid w:val="6D17BB7D"/>
    <w:rsid w:val="6D17BBD9"/>
    <w:rsid w:val="6D1A4F00"/>
    <w:rsid w:val="6D1E48DD"/>
    <w:rsid w:val="6D1F9C7E"/>
    <w:rsid w:val="6D211C52"/>
    <w:rsid w:val="6D274A34"/>
    <w:rsid w:val="6D27AF62"/>
    <w:rsid w:val="6D2CC846"/>
    <w:rsid w:val="6D31C66B"/>
    <w:rsid w:val="6D356C16"/>
    <w:rsid w:val="6D3AB58E"/>
    <w:rsid w:val="6D3FB853"/>
    <w:rsid w:val="6D4EA03C"/>
    <w:rsid w:val="6D5945AF"/>
    <w:rsid w:val="6D5B9B84"/>
    <w:rsid w:val="6D5CEE59"/>
    <w:rsid w:val="6D5E1FD7"/>
    <w:rsid w:val="6D5FC968"/>
    <w:rsid w:val="6D66EA77"/>
    <w:rsid w:val="6D6D2AFD"/>
    <w:rsid w:val="6D6ED2E1"/>
    <w:rsid w:val="6D745F94"/>
    <w:rsid w:val="6D79C78D"/>
    <w:rsid w:val="6D7C2576"/>
    <w:rsid w:val="6D82579B"/>
    <w:rsid w:val="6D849D5F"/>
    <w:rsid w:val="6D87B309"/>
    <w:rsid w:val="6D8930CF"/>
    <w:rsid w:val="6D95914C"/>
    <w:rsid w:val="6DA309A0"/>
    <w:rsid w:val="6DA41BC8"/>
    <w:rsid w:val="6DAA420A"/>
    <w:rsid w:val="6DAFDC68"/>
    <w:rsid w:val="6DB94722"/>
    <w:rsid w:val="6DBC786A"/>
    <w:rsid w:val="6DC00D9E"/>
    <w:rsid w:val="6DC44945"/>
    <w:rsid w:val="6DC6C998"/>
    <w:rsid w:val="6DC88DB8"/>
    <w:rsid w:val="6DCE36E0"/>
    <w:rsid w:val="6DCE60D0"/>
    <w:rsid w:val="6DD1D79B"/>
    <w:rsid w:val="6DD46BD9"/>
    <w:rsid w:val="6DE7B7C9"/>
    <w:rsid w:val="6DEEF229"/>
    <w:rsid w:val="6DF71148"/>
    <w:rsid w:val="6DFF376D"/>
    <w:rsid w:val="6E044357"/>
    <w:rsid w:val="6E0A3997"/>
    <w:rsid w:val="6E0B0796"/>
    <w:rsid w:val="6E0D5B2B"/>
    <w:rsid w:val="6E1CE720"/>
    <w:rsid w:val="6E1D9F27"/>
    <w:rsid w:val="6E1E1199"/>
    <w:rsid w:val="6E42F47C"/>
    <w:rsid w:val="6E5209AD"/>
    <w:rsid w:val="6E574396"/>
    <w:rsid w:val="6E6382F8"/>
    <w:rsid w:val="6E74ECC8"/>
    <w:rsid w:val="6E78CCB8"/>
    <w:rsid w:val="6E8AF64E"/>
    <w:rsid w:val="6E8D04E6"/>
    <w:rsid w:val="6E90E58C"/>
    <w:rsid w:val="6E95613B"/>
    <w:rsid w:val="6E9C57D2"/>
    <w:rsid w:val="6EA21FCC"/>
    <w:rsid w:val="6EA2F39D"/>
    <w:rsid w:val="6EB308A5"/>
    <w:rsid w:val="6EB32465"/>
    <w:rsid w:val="6EB39788"/>
    <w:rsid w:val="6EB93CCD"/>
    <w:rsid w:val="6EC00187"/>
    <w:rsid w:val="6ECE4DA8"/>
    <w:rsid w:val="6ECE6F4E"/>
    <w:rsid w:val="6ED395C5"/>
    <w:rsid w:val="6ED8C0B2"/>
    <w:rsid w:val="6EEB43A0"/>
    <w:rsid w:val="6EEE5022"/>
    <w:rsid w:val="6EEE6188"/>
    <w:rsid w:val="6EF00ED0"/>
    <w:rsid w:val="6EF9110F"/>
    <w:rsid w:val="6EFC0A42"/>
    <w:rsid w:val="6EFC1F7F"/>
    <w:rsid w:val="6EFC6089"/>
    <w:rsid w:val="6F02B03E"/>
    <w:rsid w:val="6F0D36A3"/>
    <w:rsid w:val="6F12A3DB"/>
    <w:rsid w:val="6F15B831"/>
    <w:rsid w:val="6F1C0A07"/>
    <w:rsid w:val="6F1FDD51"/>
    <w:rsid w:val="6F2032BF"/>
    <w:rsid w:val="6F229A1F"/>
    <w:rsid w:val="6F2622E3"/>
    <w:rsid w:val="6F2AE518"/>
    <w:rsid w:val="6F2D1379"/>
    <w:rsid w:val="6F321DED"/>
    <w:rsid w:val="6F3CD013"/>
    <w:rsid w:val="6F443C6E"/>
    <w:rsid w:val="6F50F779"/>
    <w:rsid w:val="6F72F042"/>
    <w:rsid w:val="6F73F138"/>
    <w:rsid w:val="6F7C83DC"/>
    <w:rsid w:val="6F805BDC"/>
    <w:rsid w:val="6F8CB9DB"/>
    <w:rsid w:val="6F902991"/>
    <w:rsid w:val="6F920625"/>
    <w:rsid w:val="6FA38B12"/>
    <w:rsid w:val="6FC159C0"/>
    <w:rsid w:val="6FD0ADE1"/>
    <w:rsid w:val="6FD48A95"/>
    <w:rsid w:val="6FDB8928"/>
    <w:rsid w:val="6FE03619"/>
    <w:rsid w:val="6FE3D928"/>
    <w:rsid w:val="6FE5F900"/>
    <w:rsid w:val="6FECF4A4"/>
    <w:rsid w:val="6FED1061"/>
    <w:rsid w:val="6FEF2888"/>
    <w:rsid w:val="6FF5CC3D"/>
    <w:rsid w:val="6FF70302"/>
    <w:rsid w:val="6FFEE110"/>
    <w:rsid w:val="70135FFB"/>
    <w:rsid w:val="701AB95B"/>
    <w:rsid w:val="701F7CC8"/>
    <w:rsid w:val="70256524"/>
    <w:rsid w:val="7027FA5A"/>
    <w:rsid w:val="703132A7"/>
    <w:rsid w:val="703DAE60"/>
    <w:rsid w:val="704D4203"/>
    <w:rsid w:val="704F7DC4"/>
    <w:rsid w:val="70545A17"/>
    <w:rsid w:val="7059CF8E"/>
    <w:rsid w:val="705AD05B"/>
    <w:rsid w:val="705CF63F"/>
    <w:rsid w:val="706107BB"/>
    <w:rsid w:val="7066C567"/>
    <w:rsid w:val="706B15D8"/>
    <w:rsid w:val="706C2A71"/>
    <w:rsid w:val="706D9795"/>
    <w:rsid w:val="706DAC15"/>
    <w:rsid w:val="706FAF6A"/>
    <w:rsid w:val="70716A78"/>
    <w:rsid w:val="7073C891"/>
    <w:rsid w:val="70826D39"/>
    <w:rsid w:val="70853A89"/>
    <w:rsid w:val="70890355"/>
    <w:rsid w:val="708C74D7"/>
    <w:rsid w:val="708EAB6F"/>
    <w:rsid w:val="70955138"/>
    <w:rsid w:val="70A4FC0E"/>
    <w:rsid w:val="70C097FA"/>
    <w:rsid w:val="70D27B53"/>
    <w:rsid w:val="70D50E86"/>
    <w:rsid w:val="70D72E05"/>
    <w:rsid w:val="70DA081E"/>
    <w:rsid w:val="70DCA608"/>
    <w:rsid w:val="70DF09F5"/>
    <w:rsid w:val="70E4EA93"/>
    <w:rsid w:val="70ECB784"/>
    <w:rsid w:val="70EEEFFC"/>
    <w:rsid w:val="70F14805"/>
    <w:rsid w:val="71031BAA"/>
    <w:rsid w:val="7107A3CA"/>
    <w:rsid w:val="711191B7"/>
    <w:rsid w:val="7113B4DB"/>
    <w:rsid w:val="711AFB67"/>
    <w:rsid w:val="712294BB"/>
    <w:rsid w:val="71241FCC"/>
    <w:rsid w:val="7125F527"/>
    <w:rsid w:val="712A73B3"/>
    <w:rsid w:val="713D83B2"/>
    <w:rsid w:val="71429876"/>
    <w:rsid w:val="714640D6"/>
    <w:rsid w:val="714CC63B"/>
    <w:rsid w:val="7151463A"/>
    <w:rsid w:val="715B2F17"/>
    <w:rsid w:val="71666FD0"/>
    <w:rsid w:val="717C8D15"/>
    <w:rsid w:val="717CED7B"/>
    <w:rsid w:val="717DE4CA"/>
    <w:rsid w:val="717E853C"/>
    <w:rsid w:val="717F6EA8"/>
    <w:rsid w:val="7187239F"/>
    <w:rsid w:val="71892EEA"/>
    <w:rsid w:val="718E5270"/>
    <w:rsid w:val="719124F6"/>
    <w:rsid w:val="71946200"/>
    <w:rsid w:val="7197F81E"/>
    <w:rsid w:val="71A169A5"/>
    <w:rsid w:val="71A86952"/>
    <w:rsid w:val="71B11BD3"/>
    <w:rsid w:val="71BA0076"/>
    <w:rsid w:val="71BA0CB6"/>
    <w:rsid w:val="71BFB6D5"/>
    <w:rsid w:val="71CEAC16"/>
    <w:rsid w:val="71D1645F"/>
    <w:rsid w:val="71D44BD8"/>
    <w:rsid w:val="71D502F3"/>
    <w:rsid w:val="71D600D6"/>
    <w:rsid w:val="71DAA29C"/>
    <w:rsid w:val="71E29496"/>
    <w:rsid w:val="71F51560"/>
    <w:rsid w:val="71F833AE"/>
    <w:rsid w:val="7203D83D"/>
    <w:rsid w:val="720B2CFA"/>
    <w:rsid w:val="720D880C"/>
    <w:rsid w:val="72108A06"/>
    <w:rsid w:val="7211DE0C"/>
    <w:rsid w:val="7211E34E"/>
    <w:rsid w:val="7214B142"/>
    <w:rsid w:val="7219EE7E"/>
    <w:rsid w:val="721F4017"/>
    <w:rsid w:val="722A18CB"/>
    <w:rsid w:val="722AA48E"/>
    <w:rsid w:val="722FEB7F"/>
    <w:rsid w:val="72320884"/>
    <w:rsid w:val="7233B6D7"/>
    <w:rsid w:val="723A1663"/>
    <w:rsid w:val="7245C9F3"/>
    <w:rsid w:val="725112A6"/>
    <w:rsid w:val="725A0CB2"/>
    <w:rsid w:val="725B2648"/>
    <w:rsid w:val="725B2DA1"/>
    <w:rsid w:val="725C0E57"/>
    <w:rsid w:val="727780F4"/>
    <w:rsid w:val="727A14EC"/>
    <w:rsid w:val="728450C3"/>
    <w:rsid w:val="7292B5C5"/>
    <w:rsid w:val="729A400A"/>
    <w:rsid w:val="729D29D7"/>
    <w:rsid w:val="729FBE90"/>
    <w:rsid w:val="72AA2B34"/>
    <w:rsid w:val="72B8DE1F"/>
    <w:rsid w:val="72BC9807"/>
    <w:rsid w:val="72BDD434"/>
    <w:rsid w:val="72C99D51"/>
    <w:rsid w:val="72CD1094"/>
    <w:rsid w:val="72E16706"/>
    <w:rsid w:val="72E60E69"/>
    <w:rsid w:val="72E966AC"/>
    <w:rsid w:val="72EEFE35"/>
    <w:rsid w:val="72F2068F"/>
    <w:rsid w:val="72F5C492"/>
    <w:rsid w:val="72F62FFF"/>
    <w:rsid w:val="72FEAF95"/>
    <w:rsid w:val="73023C27"/>
    <w:rsid w:val="7304D034"/>
    <w:rsid w:val="730966DD"/>
    <w:rsid w:val="730C0D0C"/>
    <w:rsid w:val="73135269"/>
    <w:rsid w:val="731918E1"/>
    <w:rsid w:val="73193344"/>
    <w:rsid w:val="732B49DD"/>
    <w:rsid w:val="732EA186"/>
    <w:rsid w:val="733223C5"/>
    <w:rsid w:val="7333B929"/>
    <w:rsid w:val="7339147B"/>
    <w:rsid w:val="733C1EAD"/>
    <w:rsid w:val="735A8D38"/>
    <w:rsid w:val="73637052"/>
    <w:rsid w:val="73794D39"/>
    <w:rsid w:val="737BD60B"/>
    <w:rsid w:val="737C7FA4"/>
    <w:rsid w:val="73807E89"/>
    <w:rsid w:val="738A9CE0"/>
    <w:rsid w:val="73930FE6"/>
    <w:rsid w:val="73969250"/>
    <w:rsid w:val="7398B754"/>
    <w:rsid w:val="739A0600"/>
    <w:rsid w:val="73A1513A"/>
    <w:rsid w:val="73A2901F"/>
    <w:rsid w:val="73AAD64F"/>
    <w:rsid w:val="73B025B2"/>
    <w:rsid w:val="73B18427"/>
    <w:rsid w:val="73B28A7F"/>
    <w:rsid w:val="73B33EC1"/>
    <w:rsid w:val="73B6C117"/>
    <w:rsid w:val="73B90174"/>
    <w:rsid w:val="73BF674C"/>
    <w:rsid w:val="73C6BF68"/>
    <w:rsid w:val="73CBD70B"/>
    <w:rsid w:val="73CC0AE8"/>
    <w:rsid w:val="73CD11CB"/>
    <w:rsid w:val="73D44DFC"/>
    <w:rsid w:val="73DFBC06"/>
    <w:rsid w:val="73E1A399"/>
    <w:rsid w:val="740819A1"/>
    <w:rsid w:val="7412E442"/>
    <w:rsid w:val="741E9616"/>
    <w:rsid w:val="742E344A"/>
    <w:rsid w:val="742FE6DD"/>
    <w:rsid w:val="74364D53"/>
    <w:rsid w:val="743C5A67"/>
    <w:rsid w:val="743CD0EB"/>
    <w:rsid w:val="743FC840"/>
    <w:rsid w:val="744366EB"/>
    <w:rsid w:val="74513E20"/>
    <w:rsid w:val="745B4140"/>
    <w:rsid w:val="7460D2B4"/>
    <w:rsid w:val="746C3B3E"/>
    <w:rsid w:val="747778EC"/>
    <w:rsid w:val="7479FD11"/>
    <w:rsid w:val="7486EBBC"/>
    <w:rsid w:val="7488AD6B"/>
    <w:rsid w:val="74913D25"/>
    <w:rsid w:val="749D0290"/>
    <w:rsid w:val="749D949E"/>
    <w:rsid w:val="74A69333"/>
    <w:rsid w:val="74AC210B"/>
    <w:rsid w:val="74ADF77B"/>
    <w:rsid w:val="74AE65BF"/>
    <w:rsid w:val="74AF24FC"/>
    <w:rsid w:val="74AFDDCC"/>
    <w:rsid w:val="74B789D6"/>
    <w:rsid w:val="74C371CE"/>
    <w:rsid w:val="74C515DC"/>
    <w:rsid w:val="74C5483C"/>
    <w:rsid w:val="74C6C37D"/>
    <w:rsid w:val="74C907B9"/>
    <w:rsid w:val="74CD3F9C"/>
    <w:rsid w:val="74D7A932"/>
    <w:rsid w:val="74E454F3"/>
    <w:rsid w:val="74F06099"/>
    <w:rsid w:val="74FCBDF5"/>
    <w:rsid w:val="75060BE1"/>
    <w:rsid w:val="750D3C43"/>
    <w:rsid w:val="7511071B"/>
    <w:rsid w:val="75118E46"/>
    <w:rsid w:val="7514F283"/>
    <w:rsid w:val="75154D60"/>
    <w:rsid w:val="75237611"/>
    <w:rsid w:val="75237BF1"/>
    <w:rsid w:val="7523EFFF"/>
    <w:rsid w:val="75272B3A"/>
    <w:rsid w:val="75288E21"/>
    <w:rsid w:val="753B1202"/>
    <w:rsid w:val="753C0B84"/>
    <w:rsid w:val="753E78E5"/>
    <w:rsid w:val="7547F161"/>
    <w:rsid w:val="75499992"/>
    <w:rsid w:val="75500259"/>
    <w:rsid w:val="7550E9E1"/>
    <w:rsid w:val="755CDB8F"/>
    <w:rsid w:val="755F62DE"/>
    <w:rsid w:val="7560A819"/>
    <w:rsid w:val="756B65DD"/>
    <w:rsid w:val="756E19AA"/>
    <w:rsid w:val="757610EB"/>
    <w:rsid w:val="7577C652"/>
    <w:rsid w:val="7578924B"/>
    <w:rsid w:val="757E463C"/>
    <w:rsid w:val="757EB031"/>
    <w:rsid w:val="7589A0A7"/>
    <w:rsid w:val="758AAA48"/>
    <w:rsid w:val="7596A3C8"/>
    <w:rsid w:val="75AB57C8"/>
    <w:rsid w:val="75C644A0"/>
    <w:rsid w:val="75C661FE"/>
    <w:rsid w:val="75C76D0C"/>
    <w:rsid w:val="75D02AAE"/>
    <w:rsid w:val="75D4BF44"/>
    <w:rsid w:val="75D69723"/>
    <w:rsid w:val="75DD3820"/>
    <w:rsid w:val="75E00042"/>
    <w:rsid w:val="75E177AF"/>
    <w:rsid w:val="75E3ED10"/>
    <w:rsid w:val="75E7290C"/>
    <w:rsid w:val="75FA3462"/>
    <w:rsid w:val="76111866"/>
    <w:rsid w:val="76169909"/>
    <w:rsid w:val="761AA6E1"/>
    <w:rsid w:val="7623F7B0"/>
    <w:rsid w:val="76400FB5"/>
    <w:rsid w:val="76475827"/>
    <w:rsid w:val="764EBF58"/>
    <w:rsid w:val="76565C34"/>
    <w:rsid w:val="76624571"/>
    <w:rsid w:val="7663ADB9"/>
    <w:rsid w:val="7663F4AD"/>
    <w:rsid w:val="766D3D59"/>
    <w:rsid w:val="766D4573"/>
    <w:rsid w:val="766DBA53"/>
    <w:rsid w:val="76713D2A"/>
    <w:rsid w:val="76748E63"/>
    <w:rsid w:val="76803FC6"/>
    <w:rsid w:val="768ACF35"/>
    <w:rsid w:val="7692355D"/>
    <w:rsid w:val="76947081"/>
    <w:rsid w:val="76A8BD06"/>
    <w:rsid w:val="76B0E306"/>
    <w:rsid w:val="76B4BE33"/>
    <w:rsid w:val="76B873A4"/>
    <w:rsid w:val="76B88ED9"/>
    <w:rsid w:val="76BF52EC"/>
    <w:rsid w:val="76C4F783"/>
    <w:rsid w:val="76C8CE21"/>
    <w:rsid w:val="76CEB6D7"/>
    <w:rsid w:val="76CF7AB0"/>
    <w:rsid w:val="76D03037"/>
    <w:rsid w:val="76D6FB45"/>
    <w:rsid w:val="76EA1151"/>
    <w:rsid w:val="76F0EF9F"/>
    <w:rsid w:val="76F5FF47"/>
    <w:rsid w:val="7710401B"/>
    <w:rsid w:val="7713C6C8"/>
    <w:rsid w:val="772DE7CC"/>
    <w:rsid w:val="7731A2F7"/>
    <w:rsid w:val="7733585D"/>
    <w:rsid w:val="7735B46E"/>
    <w:rsid w:val="7736EE72"/>
    <w:rsid w:val="774097EC"/>
    <w:rsid w:val="774A4324"/>
    <w:rsid w:val="774B55E6"/>
    <w:rsid w:val="77525F34"/>
    <w:rsid w:val="7754EDF8"/>
    <w:rsid w:val="7757D2B1"/>
    <w:rsid w:val="776344BB"/>
    <w:rsid w:val="7765D6F3"/>
    <w:rsid w:val="77684C3F"/>
    <w:rsid w:val="776FBB9C"/>
    <w:rsid w:val="777D058A"/>
    <w:rsid w:val="7781B8F7"/>
    <w:rsid w:val="7791EAA9"/>
    <w:rsid w:val="7793F421"/>
    <w:rsid w:val="77B12A7F"/>
    <w:rsid w:val="77C31AF8"/>
    <w:rsid w:val="77CA9254"/>
    <w:rsid w:val="77CA9CAF"/>
    <w:rsid w:val="77D100C0"/>
    <w:rsid w:val="77E6015E"/>
    <w:rsid w:val="77F92C9B"/>
    <w:rsid w:val="77FCA3F1"/>
    <w:rsid w:val="78006DD2"/>
    <w:rsid w:val="7804D052"/>
    <w:rsid w:val="7806EFA4"/>
    <w:rsid w:val="7810089D"/>
    <w:rsid w:val="7812A235"/>
    <w:rsid w:val="78158994"/>
    <w:rsid w:val="781837CA"/>
    <w:rsid w:val="781F14D8"/>
    <w:rsid w:val="78214DDC"/>
    <w:rsid w:val="78217A00"/>
    <w:rsid w:val="782279B6"/>
    <w:rsid w:val="78292E80"/>
    <w:rsid w:val="782C0841"/>
    <w:rsid w:val="7834DA5F"/>
    <w:rsid w:val="7836C906"/>
    <w:rsid w:val="78386D9B"/>
    <w:rsid w:val="7846519F"/>
    <w:rsid w:val="784824D6"/>
    <w:rsid w:val="7849628D"/>
    <w:rsid w:val="784B3157"/>
    <w:rsid w:val="784CFA89"/>
    <w:rsid w:val="784EF001"/>
    <w:rsid w:val="78513A88"/>
    <w:rsid w:val="78549F83"/>
    <w:rsid w:val="785B594E"/>
    <w:rsid w:val="78635779"/>
    <w:rsid w:val="78643B92"/>
    <w:rsid w:val="786BD79F"/>
    <w:rsid w:val="786F03AD"/>
    <w:rsid w:val="787BDBED"/>
    <w:rsid w:val="78931E15"/>
    <w:rsid w:val="789400C9"/>
    <w:rsid w:val="789721AF"/>
    <w:rsid w:val="78993C19"/>
    <w:rsid w:val="789A8AE9"/>
    <w:rsid w:val="789D75FA"/>
    <w:rsid w:val="789FEDCD"/>
    <w:rsid w:val="78A03A7C"/>
    <w:rsid w:val="78A210EB"/>
    <w:rsid w:val="78A2A5D6"/>
    <w:rsid w:val="78ABBB27"/>
    <w:rsid w:val="78B0EA94"/>
    <w:rsid w:val="78B39160"/>
    <w:rsid w:val="78B77EE6"/>
    <w:rsid w:val="78B83C6F"/>
    <w:rsid w:val="78BA8D3F"/>
    <w:rsid w:val="78BC09A3"/>
    <w:rsid w:val="78BC1776"/>
    <w:rsid w:val="78C35C69"/>
    <w:rsid w:val="78C4357B"/>
    <w:rsid w:val="78C76A71"/>
    <w:rsid w:val="78CCC45A"/>
    <w:rsid w:val="78CE4E42"/>
    <w:rsid w:val="78DB0A14"/>
    <w:rsid w:val="78DC0604"/>
    <w:rsid w:val="78E3D296"/>
    <w:rsid w:val="78EF808C"/>
    <w:rsid w:val="78FE14DA"/>
    <w:rsid w:val="790B8C4C"/>
    <w:rsid w:val="790E3A6B"/>
    <w:rsid w:val="790FC38E"/>
    <w:rsid w:val="79198DAC"/>
    <w:rsid w:val="791CF928"/>
    <w:rsid w:val="791E8956"/>
    <w:rsid w:val="79202589"/>
    <w:rsid w:val="79263744"/>
    <w:rsid w:val="792F9855"/>
    <w:rsid w:val="793292D9"/>
    <w:rsid w:val="7934E887"/>
    <w:rsid w:val="793E730C"/>
    <w:rsid w:val="793E8434"/>
    <w:rsid w:val="7942353C"/>
    <w:rsid w:val="79471229"/>
    <w:rsid w:val="794BA707"/>
    <w:rsid w:val="794F2438"/>
    <w:rsid w:val="79548684"/>
    <w:rsid w:val="795DEE01"/>
    <w:rsid w:val="795E2F34"/>
    <w:rsid w:val="7965AB95"/>
    <w:rsid w:val="79736004"/>
    <w:rsid w:val="7978C944"/>
    <w:rsid w:val="797A9FAB"/>
    <w:rsid w:val="79836326"/>
    <w:rsid w:val="798AC86B"/>
    <w:rsid w:val="798C78C2"/>
    <w:rsid w:val="798F2682"/>
    <w:rsid w:val="799189EC"/>
    <w:rsid w:val="799C52CA"/>
    <w:rsid w:val="79A13B77"/>
    <w:rsid w:val="79A18A8B"/>
    <w:rsid w:val="79A3018F"/>
    <w:rsid w:val="79A39B04"/>
    <w:rsid w:val="79AA19CD"/>
    <w:rsid w:val="79B36DBE"/>
    <w:rsid w:val="79B73573"/>
    <w:rsid w:val="79BDF048"/>
    <w:rsid w:val="79BDF1B4"/>
    <w:rsid w:val="79BFEBE1"/>
    <w:rsid w:val="79C67CB7"/>
    <w:rsid w:val="79CA711F"/>
    <w:rsid w:val="79DB67B8"/>
    <w:rsid w:val="79DC77CA"/>
    <w:rsid w:val="79E06500"/>
    <w:rsid w:val="79E774AD"/>
    <w:rsid w:val="79E93109"/>
    <w:rsid w:val="79EF1A23"/>
    <w:rsid w:val="79F1BCEA"/>
    <w:rsid w:val="7A038B32"/>
    <w:rsid w:val="7A0395E8"/>
    <w:rsid w:val="7A058381"/>
    <w:rsid w:val="7A0BD5C4"/>
    <w:rsid w:val="7A16F8F9"/>
    <w:rsid w:val="7A26EB28"/>
    <w:rsid w:val="7A29FE0C"/>
    <w:rsid w:val="7A2BB6FB"/>
    <w:rsid w:val="7A2C374B"/>
    <w:rsid w:val="7A32F3D3"/>
    <w:rsid w:val="7A3DA1D7"/>
    <w:rsid w:val="7A42C194"/>
    <w:rsid w:val="7A44CBBB"/>
    <w:rsid w:val="7A4B7B31"/>
    <w:rsid w:val="7A4C99B0"/>
    <w:rsid w:val="7A537FDB"/>
    <w:rsid w:val="7A5568AD"/>
    <w:rsid w:val="7A5E23E3"/>
    <w:rsid w:val="7A5E33CB"/>
    <w:rsid w:val="7A6010A2"/>
    <w:rsid w:val="7A68A29F"/>
    <w:rsid w:val="7A6A8784"/>
    <w:rsid w:val="7A713296"/>
    <w:rsid w:val="7A75A740"/>
    <w:rsid w:val="7A8660F8"/>
    <w:rsid w:val="7A889070"/>
    <w:rsid w:val="7A89FFE0"/>
    <w:rsid w:val="7A931903"/>
    <w:rsid w:val="7A9D49FF"/>
    <w:rsid w:val="7AA08029"/>
    <w:rsid w:val="7AA41F30"/>
    <w:rsid w:val="7AA421E3"/>
    <w:rsid w:val="7AA4BDF4"/>
    <w:rsid w:val="7AA977EC"/>
    <w:rsid w:val="7AAAC190"/>
    <w:rsid w:val="7AAB0385"/>
    <w:rsid w:val="7AAFE889"/>
    <w:rsid w:val="7AB12B81"/>
    <w:rsid w:val="7AB2156C"/>
    <w:rsid w:val="7ABA46DC"/>
    <w:rsid w:val="7ABDDF7D"/>
    <w:rsid w:val="7AC45961"/>
    <w:rsid w:val="7ACC2F84"/>
    <w:rsid w:val="7ACE92A5"/>
    <w:rsid w:val="7AD296FE"/>
    <w:rsid w:val="7AD5D9F9"/>
    <w:rsid w:val="7ADA2553"/>
    <w:rsid w:val="7ADD2866"/>
    <w:rsid w:val="7ADE0338"/>
    <w:rsid w:val="7AEFCDA2"/>
    <w:rsid w:val="7AEFE52F"/>
    <w:rsid w:val="7B107DC4"/>
    <w:rsid w:val="7B1203CC"/>
    <w:rsid w:val="7B13C280"/>
    <w:rsid w:val="7B1E1810"/>
    <w:rsid w:val="7B241097"/>
    <w:rsid w:val="7B2D4C25"/>
    <w:rsid w:val="7B2DED81"/>
    <w:rsid w:val="7B32DDDF"/>
    <w:rsid w:val="7B3525FB"/>
    <w:rsid w:val="7B44E330"/>
    <w:rsid w:val="7B47783A"/>
    <w:rsid w:val="7B481760"/>
    <w:rsid w:val="7B4B6BEA"/>
    <w:rsid w:val="7B4C2F27"/>
    <w:rsid w:val="7B51630D"/>
    <w:rsid w:val="7B5952EA"/>
    <w:rsid w:val="7B5BCFD9"/>
    <w:rsid w:val="7B5D04F6"/>
    <w:rsid w:val="7B5D56BB"/>
    <w:rsid w:val="7B5FD863"/>
    <w:rsid w:val="7B5FFB9F"/>
    <w:rsid w:val="7B660073"/>
    <w:rsid w:val="7B6AACC0"/>
    <w:rsid w:val="7B71ADF3"/>
    <w:rsid w:val="7B75D905"/>
    <w:rsid w:val="7B77BBD3"/>
    <w:rsid w:val="7B7810A6"/>
    <w:rsid w:val="7B7A10AB"/>
    <w:rsid w:val="7B891610"/>
    <w:rsid w:val="7B8CF09F"/>
    <w:rsid w:val="7B924FD0"/>
    <w:rsid w:val="7B95EF76"/>
    <w:rsid w:val="7B99DBCF"/>
    <w:rsid w:val="7B9A1957"/>
    <w:rsid w:val="7B9E9CAD"/>
    <w:rsid w:val="7B9F835C"/>
    <w:rsid w:val="7BAC330C"/>
    <w:rsid w:val="7BC3B103"/>
    <w:rsid w:val="7BC83023"/>
    <w:rsid w:val="7BD6AEDC"/>
    <w:rsid w:val="7BDB1B3D"/>
    <w:rsid w:val="7BDB8D36"/>
    <w:rsid w:val="7BDEEDEA"/>
    <w:rsid w:val="7BEE8201"/>
    <w:rsid w:val="7BF16D02"/>
    <w:rsid w:val="7BFC550A"/>
    <w:rsid w:val="7C02332D"/>
    <w:rsid w:val="7C03A115"/>
    <w:rsid w:val="7C0FA1C9"/>
    <w:rsid w:val="7C1040C4"/>
    <w:rsid w:val="7C10EF1C"/>
    <w:rsid w:val="7C138BEB"/>
    <w:rsid w:val="7C16406B"/>
    <w:rsid w:val="7C166B9F"/>
    <w:rsid w:val="7C16DCCC"/>
    <w:rsid w:val="7C1BCA5A"/>
    <w:rsid w:val="7C1DA440"/>
    <w:rsid w:val="7C220553"/>
    <w:rsid w:val="7C2BF84D"/>
    <w:rsid w:val="7C41C25C"/>
    <w:rsid w:val="7C43058C"/>
    <w:rsid w:val="7C4989D5"/>
    <w:rsid w:val="7C4E0A86"/>
    <w:rsid w:val="7C5A1999"/>
    <w:rsid w:val="7C5C97DE"/>
    <w:rsid w:val="7C66DA5C"/>
    <w:rsid w:val="7C6B29F0"/>
    <w:rsid w:val="7C72295E"/>
    <w:rsid w:val="7C7559C5"/>
    <w:rsid w:val="7C77B837"/>
    <w:rsid w:val="7C79B0A4"/>
    <w:rsid w:val="7C7DA03A"/>
    <w:rsid w:val="7C82475D"/>
    <w:rsid w:val="7C83374D"/>
    <w:rsid w:val="7C88F71D"/>
    <w:rsid w:val="7C8E7331"/>
    <w:rsid w:val="7C91BC53"/>
    <w:rsid w:val="7C91ECDE"/>
    <w:rsid w:val="7C9B5E4E"/>
    <w:rsid w:val="7C9DB3E2"/>
    <w:rsid w:val="7CA39D25"/>
    <w:rsid w:val="7CA4CF27"/>
    <w:rsid w:val="7CAB6878"/>
    <w:rsid w:val="7CAD3FF3"/>
    <w:rsid w:val="7CB2954E"/>
    <w:rsid w:val="7CB5B8BE"/>
    <w:rsid w:val="7CBABA73"/>
    <w:rsid w:val="7CBF7EA3"/>
    <w:rsid w:val="7CC40EE2"/>
    <w:rsid w:val="7CCC985C"/>
    <w:rsid w:val="7CD7E980"/>
    <w:rsid w:val="7CE410DB"/>
    <w:rsid w:val="7CE7A97A"/>
    <w:rsid w:val="7CE9EDA1"/>
    <w:rsid w:val="7CF2FEBA"/>
    <w:rsid w:val="7CF3BFFA"/>
    <w:rsid w:val="7D02BB52"/>
    <w:rsid w:val="7D1025EF"/>
    <w:rsid w:val="7D14F283"/>
    <w:rsid w:val="7D16B1FF"/>
    <w:rsid w:val="7D1A9825"/>
    <w:rsid w:val="7D1E4E94"/>
    <w:rsid w:val="7D1E55FF"/>
    <w:rsid w:val="7D2567B0"/>
    <w:rsid w:val="7D2A7ECC"/>
    <w:rsid w:val="7D2E8B3A"/>
    <w:rsid w:val="7D30661C"/>
    <w:rsid w:val="7D30FC26"/>
    <w:rsid w:val="7D3D3F41"/>
    <w:rsid w:val="7D3EA5D6"/>
    <w:rsid w:val="7D4B7503"/>
    <w:rsid w:val="7D5063B7"/>
    <w:rsid w:val="7D5CFB45"/>
    <w:rsid w:val="7D613FB0"/>
    <w:rsid w:val="7D63C619"/>
    <w:rsid w:val="7D647C6A"/>
    <w:rsid w:val="7D873B45"/>
    <w:rsid w:val="7D8D7724"/>
    <w:rsid w:val="7D902F16"/>
    <w:rsid w:val="7D987AB0"/>
    <w:rsid w:val="7D9EBB89"/>
    <w:rsid w:val="7D9F0183"/>
    <w:rsid w:val="7DA9AA38"/>
    <w:rsid w:val="7DB0C7B8"/>
    <w:rsid w:val="7DBC3880"/>
    <w:rsid w:val="7DC0CF3E"/>
    <w:rsid w:val="7DC2BF0D"/>
    <w:rsid w:val="7DC57AD9"/>
    <w:rsid w:val="7DC79EA3"/>
    <w:rsid w:val="7DCBA08D"/>
    <w:rsid w:val="7DE14EB2"/>
    <w:rsid w:val="7DE3523B"/>
    <w:rsid w:val="7DE5E182"/>
    <w:rsid w:val="7DF8F344"/>
    <w:rsid w:val="7E12921C"/>
    <w:rsid w:val="7E1334A2"/>
    <w:rsid w:val="7E1BB677"/>
    <w:rsid w:val="7E37BA8F"/>
    <w:rsid w:val="7E4C1930"/>
    <w:rsid w:val="7E524D70"/>
    <w:rsid w:val="7E5A3120"/>
    <w:rsid w:val="7E61CF55"/>
    <w:rsid w:val="7E645F48"/>
    <w:rsid w:val="7E661052"/>
    <w:rsid w:val="7E6AD1F1"/>
    <w:rsid w:val="7E711E54"/>
    <w:rsid w:val="7E734E21"/>
    <w:rsid w:val="7E82EB05"/>
    <w:rsid w:val="7E845E83"/>
    <w:rsid w:val="7EA3C4DB"/>
    <w:rsid w:val="7EAF0DC0"/>
    <w:rsid w:val="7EB34144"/>
    <w:rsid w:val="7EB93740"/>
    <w:rsid w:val="7EBD8013"/>
    <w:rsid w:val="7EC620E8"/>
    <w:rsid w:val="7ED5F4B7"/>
    <w:rsid w:val="7EDA9DB7"/>
    <w:rsid w:val="7EDE8816"/>
    <w:rsid w:val="7EE3D0CF"/>
    <w:rsid w:val="7EE66D6D"/>
    <w:rsid w:val="7EE75C25"/>
    <w:rsid w:val="7EEE0E41"/>
    <w:rsid w:val="7EEF1020"/>
    <w:rsid w:val="7EF4C5A0"/>
    <w:rsid w:val="7EF4FC1B"/>
    <w:rsid w:val="7EF5AC9E"/>
    <w:rsid w:val="7EF5AE2C"/>
    <w:rsid w:val="7EF700EC"/>
    <w:rsid w:val="7EFACC14"/>
    <w:rsid w:val="7EFB2F25"/>
    <w:rsid w:val="7EFF5710"/>
    <w:rsid w:val="7F18E536"/>
    <w:rsid w:val="7F19DDBA"/>
    <w:rsid w:val="7F1BCA57"/>
    <w:rsid w:val="7F23B918"/>
    <w:rsid w:val="7F34ACC5"/>
    <w:rsid w:val="7F3C0D65"/>
    <w:rsid w:val="7F42129F"/>
    <w:rsid w:val="7F4234ED"/>
    <w:rsid w:val="7F5176A7"/>
    <w:rsid w:val="7F5B59F2"/>
    <w:rsid w:val="7F60FD93"/>
    <w:rsid w:val="7F6FC4E3"/>
    <w:rsid w:val="7F86081C"/>
    <w:rsid w:val="7F87DECC"/>
    <w:rsid w:val="7F8C81CC"/>
    <w:rsid w:val="7F8E4014"/>
    <w:rsid w:val="7F90D328"/>
    <w:rsid w:val="7F958411"/>
    <w:rsid w:val="7F9BF39E"/>
    <w:rsid w:val="7FADF6B5"/>
    <w:rsid w:val="7FB9A220"/>
    <w:rsid w:val="7FB9C863"/>
    <w:rsid w:val="7FC3EF57"/>
    <w:rsid w:val="7FC6A7ED"/>
    <w:rsid w:val="7FD03251"/>
    <w:rsid w:val="7FD04433"/>
    <w:rsid w:val="7FDC72E3"/>
    <w:rsid w:val="7FE28B45"/>
    <w:rsid w:val="7FE38776"/>
    <w:rsid w:val="7FE68E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9F1D374"/>
  <w15:chartTrackingRefBased/>
  <w15:docId w15:val="{711E4593-05D4-4F57-895B-1DD63B68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06B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5575"/>
    <w:rPr>
      <w:color w:val="0000FF"/>
      <w:u w:val="single"/>
    </w:rPr>
  </w:style>
  <w:style w:type="character" w:styleId="FollowedHyperlink">
    <w:name w:val="FollowedHyperlink"/>
    <w:basedOn w:val="DefaultParagraphFont"/>
    <w:uiPriority w:val="99"/>
    <w:semiHidden/>
    <w:unhideWhenUsed/>
    <w:rsid w:val="00FA5CB5"/>
    <w:rPr>
      <w:color w:val="954F72" w:themeColor="followedHyperlink"/>
      <w:u w:val="single"/>
    </w:rPr>
  </w:style>
  <w:style w:type="paragraph" w:styleId="ListParagraph">
    <w:name w:val="List Paragraph"/>
    <w:basedOn w:val="Normal"/>
    <w:link w:val="ListParagraphChar"/>
    <w:qFormat/>
    <w:rsid w:val="00613B80"/>
    <w:pPr>
      <w:ind w:left="720"/>
      <w:contextualSpacing/>
    </w:pPr>
  </w:style>
  <w:style w:type="character" w:customStyle="1" w:styleId="UnresolvedMention">
    <w:name w:val="Unresolved Mention"/>
    <w:basedOn w:val="DefaultParagraphFont"/>
    <w:uiPriority w:val="99"/>
    <w:semiHidden/>
    <w:unhideWhenUsed/>
    <w:rsid w:val="008949B8"/>
    <w:rPr>
      <w:color w:val="605E5C"/>
      <w:shd w:val="clear" w:color="auto" w:fill="E1DFDD"/>
    </w:rPr>
  </w:style>
  <w:style w:type="character" w:styleId="CommentReference">
    <w:name w:val="annotation reference"/>
    <w:basedOn w:val="DefaultParagraphFont"/>
    <w:uiPriority w:val="99"/>
    <w:semiHidden/>
    <w:unhideWhenUsed/>
    <w:rsid w:val="00FB2A1A"/>
    <w:rPr>
      <w:sz w:val="16"/>
      <w:szCs w:val="16"/>
    </w:rPr>
  </w:style>
  <w:style w:type="paragraph" w:styleId="CommentText">
    <w:name w:val="annotation text"/>
    <w:basedOn w:val="Normal"/>
    <w:link w:val="CommentTextChar"/>
    <w:uiPriority w:val="99"/>
    <w:unhideWhenUsed/>
    <w:rsid w:val="00FB2A1A"/>
    <w:pPr>
      <w:spacing w:line="240" w:lineRule="auto"/>
    </w:pPr>
    <w:rPr>
      <w:sz w:val="20"/>
      <w:szCs w:val="20"/>
    </w:rPr>
  </w:style>
  <w:style w:type="character" w:customStyle="1" w:styleId="CommentTextChar">
    <w:name w:val="Comment Text Char"/>
    <w:basedOn w:val="DefaultParagraphFont"/>
    <w:link w:val="CommentText"/>
    <w:uiPriority w:val="99"/>
    <w:rsid w:val="00FB2A1A"/>
    <w:rPr>
      <w:sz w:val="20"/>
      <w:szCs w:val="20"/>
    </w:rPr>
  </w:style>
  <w:style w:type="paragraph" w:styleId="CommentSubject">
    <w:name w:val="annotation subject"/>
    <w:basedOn w:val="CommentText"/>
    <w:next w:val="CommentText"/>
    <w:link w:val="CommentSubjectChar"/>
    <w:uiPriority w:val="99"/>
    <w:semiHidden/>
    <w:unhideWhenUsed/>
    <w:rsid w:val="00FB2A1A"/>
    <w:rPr>
      <w:b/>
      <w:bCs/>
    </w:rPr>
  </w:style>
  <w:style w:type="character" w:customStyle="1" w:styleId="CommentSubjectChar">
    <w:name w:val="Comment Subject Char"/>
    <w:basedOn w:val="CommentTextChar"/>
    <w:link w:val="CommentSubject"/>
    <w:uiPriority w:val="99"/>
    <w:semiHidden/>
    <w:rsid w:val="00FB2A1A"/>
    <w:rPr>
      <w:b/>
      <w:bCs/>
      <w:sz w:val="20"/>
      <w:szCs w:val="20"/>
    </w:rPr>
  </w:style>
  <w:style w:type="paragraph" w:customStyle="1" w:styleId="CMR-text">
    <w:name w:val="CMR - text"/>
    <w:basedOn w:val="Normal"/>
    <w:link w:val="CMR-textChar"/>
    <w:qFormat/>
    <w:rsid w:val="00CE747B"/>
    <w:pPr>
      <w:spacing w:before="240" w:after="240" w:line="276" w:lineRule="auto"/>
      <w:jc w:val="both"/>
    </w:pPr>
    <w:rPr>
      <w:rFonts w:ascii="Times New Roman" w:hAnsi="Times New Roman"/>
      <w:kern w:val="0"/>
      <w14:ligatures w14:val="none"/>
    </w:rPr>
  </w:style>
  <w:style w:type="character" w:customStyle="1" w:styleId="CMR-textChar">
    <w:name w:val="CMR - text Char"/>
    <w:basedOn w:val="DefaultParagraphFont"/>
    <w:link w:val="CMR-text"/>
    <w:rsid w:val="00CE747B"/>
    <w:rPr>
      <w:rFonts w:ascii="Times New Roman" w:hAnsi="Times New Roman"/>
      <w:kern w:val="0"/>
      <w14:ligatures w14:val="none"/>
    </w:rPr>
  </w:style>
  <w:style w:type="character" w:styleId="FootnoteReference">
    <w:name w:val="footnote reference"/>
    <w:aliases w:val="Footnote Refernece,BVI fnr,callout,16 Point,Superscript 6 Point,Odwołanie przypisu,Footnote symbol,Footnote Reference Number,Footnote Reference Superscript,SUPERS,Times 10 Point,Exposant 3 Point,Ref,de nota al pie,number,4_G, BVI fnr"/>
    <w:basedOn w:val="DefaultParagraphFont"/>
    <w:link w:val="FootnotesymbolCarZchn"/>
    <w:unhideWhenUsed/>
    <w:qFormat/>
    <w:rsid w:val="00187D4D"/>
    <w:rPr>
      <w:vertAlign w:val="superscript"/>
    </w:rPr>
  </w:style>
  <w:style w:type="character" w:customStyle="1" w:styleId="FootnoteTextChar">
    <w:name w:val="Footnote Text Char"/>
    <w:aliases w:val="Footnote main Char,Fußnotentextf Char,RSK-FT Char,RSK-FT1 Char,RSK-FT2 Char,5_G Char,Footnote text Char,Testo nota a piè di pagina_Rientro Char,stile 1 Char,Footnote1 Char,Footnote2 Char,Footnote3 Char,Footnote4 Char,Footnote5 Char"/>
    <w:basedOn w:val="DefaultParagraphFont"/>
    <w:link w:val="FootnoteText"/>
    <w:uiPriority w:val="99"/>
    <w:rsid w:val="00187D4D"/>
    <w:rPr>
      <w:sz w:val="20"/>
      <w:szCs w:val="20"/>
    </w:rPr>
  </w:style>
  <w:style w:type="paragraph" w:styleId="FootnoteText">
    <w:name w:val="footnote text"/>
    <w:aliases w:val="Footnote main,Fußnotentextf,RSK-FT,RSK-FT1,RSK-FT2,5_G,Footnote text,Testo nota a piè di pagina_Rientro,stile 1,Footnote1,Footnote2,Footnote3,Footnote4,Footnote5,Footnote6,Footnote7,Footnote8,Footnote9,Footnote10,Footnote11,Footnote21,Char"/>
    <w:basedOn w:val="Normal"/>
    <w:link w:val="FootnoteTextChar"/>
    <w:uiPriority w:val="99"/>
    <w:unhideWhenUsed/>
    <w:qFormat/>
    <w:rsid w:val="00187D4D"/>
    <w:pPr>
      <w:spacing w:after="0" w:line="240" w:lineRule="auto"/>
    </w:pPr>
    <w:rPr>
      <w:sz w:val="20"/>
      <w:szCs w:val="20"/>
    </w:rPr>
  </w:style>
  <w:style w:type="character" w:customStyle="1" w:styleId="FootnoteTextChar1">
    <w:name w:val="Footnote Text Char1"/>
    <w:basedOn w:val="DefaultParagraphFont"/>
    <w:uiPriority w:val="99"/>
    <w:semiHidden/>
    <w:rsid w:val="00187D4D"/>
    <w:rPr>
      <w:sz w:val="20"/>
      <w:szCs w:val="20"/>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rsid w:val="00187D4D"/>
    <w:pPr>
      <w:spacing w:line="240" w:lineRule="exact"/>
      <w:jc w:val="both"/>
    </w:pPr>
    <w:rPr>
      <w:vertAlign w:val="superscript"/>
    </w:rPr>
  </w:style>
  <w:style w:type="paragraph" w:customStyle="1" w:styleId="CMR-footnote">
    <w:name w:val="CMR - footnote"/>
    <w:basedOn w:val="FootnoteText"/>
    <w:link w:val="CMR-footnoteChar"/>
    <w:qFormat/>
    <w:rsid w:val="00917BE8"/>
    <w:pPr>
      <w:keepLines/>
      <w:spacing w:before="120" w:after="120"/>
      <w:jc w:val="both"/>
    </w:pPr>
    <w:rPr>
      <w:rFonts w:ascii="Times New Roman" w:hAnsi="Times New Roman"/>
      <w:sz w:val="18"/>
    </w:rPr>
  </w:style>
  <w:style w:type="character" w:customStyle="1" w:styleId="CMR-footnoteChar">
    <w:name w:val="CMR - footnote Char"/>
    <w:basedOn w:val="FootnoteTextChar"/>
    <w:link w:val="CMR-footnote"/>
    <w:rsid w:val="00917BE8"/>
    <w:rPr>
      <w:rFonts w:ascii="Times New Roman" w:hAnsi="Times New Roman"/>
      <w:sz w:val="18"/>
      <w:szCs w:val="20"/>
    </w:rPr>
  </w:style>
  <w:style w:type="paragraph" w:styleId="Caption">
    <w:name w:val="caption"/>
    <w:basedOn w:val="Normal"/>
    <w:next w:val="Normal"/>
    <w:uiPriority w:val="35"/>
    <w:unhideWhenUsed/>
    <w:qFormat/>
    <w:rsid w:val="00187D4D"/>
    <w:pPr>
      <w:spacing w:before="120" w:after="120" w:line="256" w:lineRule="auto"/>
      <w:jc w:val="both"/>
    </w:pPr>
    <w:rPr>
      <w:rFonts w:ascii="Times New Roman" w:eastAsia="Calibri" w:hAnsi="Times New Roman" w:cs="Times New Roman"/>
      <w:bCs/>
      <w:i/>
      <w:kern w:val="0"/>
      <w:szCs w:val="20"/>
      <w14:ligatures w14:val="none"/>
    </w:rPr>
  </w:style>
  <w:style w:type="character" w:customStyle="1" w:styleId="Footnote1">
    <w:name w:val="Footnote|1_"/>
    <w:basedOn w:val="DefaultParagraphFont"/>
    <w:link w:val="Footnote10"/>
    <w:rsid w:val="00187D4D"/>
    <w:rPr>
      <w:sz w:val="20"/>
      <w:szCs w:val="20"/>
    </w:rPr>
  </w:style>
  <w:style w:type="character" w:customStyle="1" w:styleId="Bodytext1">
    <w:name w:val="Body text|1_"/>
    <w:basedOn w:val="DefaultParagraphFont"/>
    <w:link w:val="Bodytext10"/>
    <w:rsid w:val="00187D4D"/>
  </w:style>
  <w:style w:type="paragraph" w:customStyle="1" w:styleId="Footnote10">
    <w:name w:val="Footnote|1"/>
    <w:basedOn w:val="Normal"/>
    <w:link w:val="Footnote1"/>
    <w:rsid w:val="00187D4D"/>
    <w:pPr>
      <w:widowControl w:val="0"/>
      <w:spacing w:after="0" w:line="240" w:lineRule="auto"/>
    </w:pPr>
    <w:rPr>
      <w:sz w:val="20"/>
      <w:szCs w:val="20"/>
    </w:rPr>
  </w:style>
  <w:style w:type="paragraph" w:customStyle="1" w:styleId="Bodytext10">
    <w:name w:val="Body text|1"/>
    <w:basedOn w:val="Normal"/>
    <w:link w:val="Bodytext1"/>
    <w:rsid w:val="00187D4D"/>
    <w:pPr>
      <w:widowControl w:val="0"/>
      <w:spacing w:after="240"/>
    </w:pPr>
  </w:style>
  <w:style w:type="character" w:customStyle="1" w:styleId="Other1">
    <w:name w:val="Other|1_"/>
    <w:basedOn w:val="DefaultParagraphFont"/>
    <w:link w:val="Other10"/>
    <w:rsid w:val="00187D4D"/>
  </w:style>
  <w:style w:type="paragraph" w:customStyle="1" w:styleId="Other10">
    <w:name w:val="Other|1"/>
    <w:basedOn w:val="Normal"/>
    <w:link w:val="Other1"/>
    <w:rsid w:val="00187D4D"/>
    <w:pPr>
      <w:widowControl w:val="0"/>
      <w:spacing w:after="240"/>
    </w:pPr>
  </w:style>
  <w:style w:type="paragraph" w:customStyle="1" w:styleId="CMR-tables">
    <w:name w:val="CMR - tables"/>
    <w:basedOn w:val="CMR-text"/>
    <w:link w:val="CMR-tablesChar"/>
    <w:qFormat/>
    <w:rsid w:val="00491DC0"/>
    <w:pPr>
      <w:spacing w:before="120" w:after="120" w:line="240" w:lineRule="auto"/>
      <w:jc w:val="left"/>
    </w:pPr>
    <w:rPr>
      <w:bCs/>
      <w:sz w:val="20"/>
    </w:rPr>
  </w:style>
  <w:style w:type="character" w:customStyle="1" w:styleId="CMR-tablesChar">
    <w:name w:val="CMR - tables Char"/>
    <w:basedOn w:val="CMR-textChar"/>
    <w:link w:val="CMR-tables"/>
    <w:rsid w:val="00491DC0"/>
    <w:rPr>
      <w:rFonts w:ascii="Times New Roman" w:hAnsi="Times New Roman"/>
      <w:bCs/>
      <w:kern w:val="0"/>
      <w:sz w:val="20"/>
      <w14:ligatures w14:val="none"/>
    </w:rPr>
  </w:style>
  <w:style w:type="table" w:styleId="TableGridLight">
    <w:name w:val="Grid Table Light"/>
    <w:basedOn w:val="TableNormal"/>
    <w:uiPriority w:val="40"/>
    <w:rsid w:val="00187D4D"/>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C46D90"/>
    <w:pPr>
      <w:spacing w:after="0" w:line="240" w:lineRule="auto"/>
    </w:pPr>
  </w:style>
  <w:style w:type="paragraph" w:styleId="Header">
    <w:name w:val="header"/>
    <w:basedOn w:val="Normal"/>
    <w:link w:val="HeaderChar"/>
    <w:uiPriority w:val="99"/>
    <w:unhideWhenUsed/>
    <w:rsid w:val="00F420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20AF"/>
  </w:style>
  <w:style w:type="paragraph" w:styleId="Footer">
    <w:name w:val="footer"/>
    <w:basedOn w:val="Normal"/>
    <w:link w:val="FooterChar"/>
    <w:uiPriority w:val="99"/>
    <w:unhideWhenUsed/>
    <w:rsid w:val="00F420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20AF"/>
  </w:style>
  <w:style w:type="table" w:styleId="TableGrid">
    <w:name w:val="Table Grid"/>
    <w:basedOn w:val="TableNormal"/>
    <w:uiPriority w:val="59"/>
    <w:rsid w:val="00FB4123"/>
    <w:pPr>
      <w:numPr>
        <w:numId w:val="6"/>
      </w:numPr>
      <w:spacing w:after="0" w:line="240" w:lineRule="auto"/>
      <w:ind w:left="36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MR-Heading">
    <w:name w:val="CMR - Heading"/>
    <w:basedOn w:val="CMR-text"/>
    <w:link w:val="CMR-HeadingChar"/>
    <w:qFormat/>
    <w:rsid w:val="00EC4FC3"/>
    <w:pPr>
      <w:numPr>
        <w:numId w:val="51"/>
      </w:numPr>
      <w:outlineLvl w:val="0"/>
    </w:pPr>
    <w:rPr>
      <w:b/>
      <w:bCs/>
      <w:sz w:val="24"/>
      <w:szCs w:val="28"/>
    </w:rPr>
  </w:style>
  <w:style w:type="character" w:customStyle="1" w:styleId="ListParagraphChar">
    <w:name w:val="List Paragraph Char"/>
    <w:basedOn w:val="DefaultParagraphFont"/>
    <w:link w:val="ListParagraph"/>
    <w:uiPriority w:val="34"/>
    <w:rsid w:val="00BB445B"/>
  </w:style>
  <w:style w:type="character" w:customStyle="1" w:styleId="CMR-HeadingChar">
    <w:name w:val="CMR - Heading Char"/>
    <w:basedOn w:val="ListParagraphChar"/>
    <w:link w:val="CMR-Heading"/>
    <w:rsid w:val="00EC4FC3"/>
    <w:rPr>
      <w:rFonts w:ascii="Times New Roman" w:hAnsi="Times New Roman"/>
      <w:b/>
      <w:bCs/>
      <w:kern w:val="0"/>
      <w:sz w:val="24"/>
      <w:szCs w:val="28"/>
      <w14:ligatures w14:val="none"/>
    </w:rPr>
  </w:style>
  <w:style w:type="paragraph" w:customStyle="1" w:styleId="paragraph">
    <w:name w:val="paragraph"/>
    <w:basedOn w:val="Normal"/>
    <w:rsid w:val="00FA2C7D"/>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normaltextrun">
    <w:name w:val="normaltextrun"/>
    <w:basedOn w:val="DefaultParagraphFont"/>
    <w:rsid w:val="00FA2C7D"/>
  </w:style>
  <w:style w:type="character" w:customStyle="1" w:styleId="eop">
    <w:name w:val="eop"/>
    <w:basedOn w:val="DefaultParagraphFont"/>
    <w:rsid w:val="00FA2C7D"/>
  </w:style>
  <w:style w:type="character" w:customStyle="1" w:styleId="scxw137601718">
    <w:name w:val="scxw137601718"/>
    <w:basedOn w:val="DefaultParagraphFont"/>
    <w:rsid w:val="00FA2C7D"/>
  </w:style>
  <w:style w:type="character" w:customStyle="1" w:styleId="superscript">
    <w:name w:val="superscript"/>
    <w:basedOn w:val="DefaultParagraphFont"/>
    <w:rsid w:val="00FA2C7D"/>
  </w:style>
  <w:style w:type="paragraph" w:customStyle="1" w:styleId="CMR2023-footnote">
    <w:name w:val="CMR 2023 - footnote"/>
    <w:basedOn w:val="FootnoteText"/>
    <w:link w:val="CMR2023-footnoteChar"/>
    <w:rsid w:val="00491954"/>
    <w:pPr>
      <w:keepLines/>
      <w:spacing w:after="120"/>
    </w:pPr>
    <w:rPr>
      <w:rFonts w:ascii="Times New Roman" w:hAnsi="Times New Roman"/>
      <w:kern w:val="0"/>
      <w14:ligatures w14:val="none"/>
    </w:rPr>
  </w:style>
  <w:style w:type="paragraph" w:customStyle="1" w:styleId="Bodytext-tables">
    <w:name w:val="Body text - tables"/>
    <w:basedOn w:val="BodyText"/>
    <w:link w:val="Bodytext-tablesChar"/>
    <w:qFormat/>
    <w:rsid w:val="006F078C"/>
    <w:pPr>
      <w:widowControl w:val="0"/>
      <w:autoSpaceDE w:val="0"/>
      <w:autoSpaceDN w:val="0"/>
      <w:spacing w:before="60" w:after="60"/>
      <w:jc w:val="both"/>
    </w:pPr>
    <w:rPr>
      <w:rFonts w:ascii="Times New Roman" w:eastAsia="Times New Roman" w:hAnsi="Times New Roman" w:cs="Times New Roman"/>
      <w:kern w:val="0"/>
      <w:sz w:val="24"/>
      <w:szCs w:val="24"/>
      <w14:ligatures w14:val="none"/>
    </w:rPr>
  </w:style>
  <w:style w:type="character" w:customStyle="1" w:styleId="Bodytext-tablesChar">
    <w:name w:val="Body text - tables Char"/>
    <w:basedOn w:val="BodyTextChar"/>
    <w:link w:val="Bodytext-tables"/>
    <w:rsid w:val="006F078C"/>
    <w:rPr>
      <w:rFonts w:ascii="Times New Roman" w:eastAsia="Times New Roman" w:hAnsi="Times New Roman" w:cs="Times New Roman"/>
      <w:kern w:val="0"/>
      <w:sz w:val="24"/>
      <w:szCs w:val="24"/>
      <w:lang w:val="pt-PT"/>
      <w14:ligatures w14:val="none"/>
    </w:rPr>
  </w:style>
  <w:style w:type="paragraph" w:styleId="BodyText">
    <w:name w:val="Body Text"/>
    <w:basedOn w:val="Normal"/>
    <w:link w:val="BodyTextChar"/>
    <w:uiPriority w:val="99"/>
    <w:semiHidden/>
    <w:unhideWhenUsed/>
    <w:rsid w:val="006F078C"/>
    <w:pPr>
      <w:spacing w:after="120"/>
    </w:pPr>
  </w:style>
  <w:style w:type="character" w:customStyle="1" w:styleId="BodyTextChar">
    <w:name w:val="Body Text Char"/>
    <w:basedOn w:val="DefaultParagraphFont"/>
    <w:link w:val="BodyText"/>
    <w:uiPriority w:val="99"/>
    <w:semiHidden/>
    <w:rsid w:val="006F078C"/>
  </w:style>
  <w:style w:type="character" w:customStyle="1" w:styleId="Mention">
    <w:name w:val="Mention"/>
    <w:basedOn w:val="DefaultParagraphFont"/>
    <w:uiPriority w:val="99"/>
    <w:unhideWhenUsed/>
    <w:rsid w:val="00363C2C"/>
    <w:rPr>
      <w:color w:val="2B579A"/>
      <w:shd w:val="clear" w:color="auto" w:fill="E1DFDD"/>
    </w:rPr>
  </w:style>
  <w:style w:type="paragraph" w:customStyle="1" w:styleId="CMR-Subheading">
    <w:name w:val="CMR - Subheading"/>
    <w:basedOn w:val="CMR-Heading"/>
    <w:link w:val="CMR-SubheadingChar"/>
    <w:qFormat/>
    <w:rsid w:val="00A131E8"/>
    <w:pPr>
      <w:numPr>
        <w:ilvl w:val="1"/>
      </w:numPr>
      <w:outlineLvl w:val="1"/>
    </w:pPr>
    <w:rPr>
      <w:bCs w:val="0"/>
    </w:rPr>
  </w:style>
  <w:style w:type="character" w:customStyle="1" w:styleId="CMR-SubheadingChar">
    <w:name w:val="CMR - Subheading Char"/>
    <w:basedOn w:val="CMR-HeadingChar"/>
    <w:link w:val="CMR-Subheading"/>
    <w:rsid w:val="002C03CF"/>
    <w:rPr>
      <w:rFonts w:ascii="Times New Roman" w:hAnsi="Times New Roman"/>
      <w:b/>
      <w:bCs w:val="0"/>
      <w:kern w:val="0"/>
      <w:sz w:val="24"/>
      <w:szCs w:val="28"/>
      <w14:ligatures w14:val="none"/>
    </w:rPr>
  </w:style>
  <w:style w:type="character" w:customStyle="1" w:styleId="CMR2023-footnoteChar">
    <w:name w:val="CMR 2023 - footnote Char"/>
    <w:basedOn w:val="FootnoteTextChar"/>
    <w:link w:val="CMR2023-footnote"/>
    <w:rsid w:val="00491954"/>
    <w:rPr>
      <w:rFonts w:ascii="Times New Roman" w:hAnsi="Times New Roman"/>
      <w:kern w:val="0"/>
      <w:sz w:val="20"/>
      <w:szCs w:val="20"/>
      <w14:ligatures w14:val="none"/>
    </w:rPr>
  </w:style>
  <w:style w:type="paragraph" w:styleId="NormalWeb">
    <w:name w:val="Normal (Web)"/>
    <w:basedOn w:val="Normal"/>
    <w:uiPriority w:val="99"/>
    <w:semiHidden/>
    <w:unhideWhenUsed/>
    <w:rsid w:val="00ED257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983C03"/>
    <w:rPr>
      <w:i/>
      <w:iCs/>
    </w:rPr>
  </w:style>
  <w:style w:type="character" w:customStyle="1" w:styleId="Marker">
    <w:name w:val="Marker"/>
    <w:basedOn w:val="DefaultParagraphFont"/>
    <w:rsid w:val="0062235E"/>
    <w:rPr>
      <w:color w:val="0000FF"/>
      <w:shd w:val="clear" w:color="auto" w:fill="auto"/>
    </w:rPr>
  </w:style>
  <w:style w:type="paragraph" w:customStyle="1" w:styleId="Pagedecouverture">
    <w:name w:val="Page de couverture"/>
    <w:basedOn w:val="Normal"/>
    <w:next w:val="Normal"/>
    <w:link w:val="PagedecouvertureChar"/>
    <w:rsid w:val="00126559"/>
    <w:pPr>
      <w:spacing w:after="0" w:line="240" w:lineRule="auto"/>
      <w:jc w:val="both"/>
    </w:pPr>
    <w:rPr>
      <w:rFonts w:ascii="Times New Roman" w:hAnsi="Times New Roman" w:cs="Times New Roman"/>
      <w:kern w:val="0"/>
      <w:sz w:val="24"/>
      <w14:ligatures w14:val="none"/>
    </w:rPr>
  </w:style>
  <w:style w:type="paragraph" w:customStyle="1" w:styleId="FooterCoverPage">
    <w:name w:val="Footer Cover Page"/>
    <w:basedOn w:val="Normal"/>
    <w:link w:val="FooterCoverPageChar"/>
    <w:rsid w:val="00126559"/>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PagedecouvertureChar">
    <w:name w:val="Page de couverture Char"/>
    <w:basedOn w:val="DefaultParagraphFont"/>
    <w:link w:val="Pagedecouverture"/>
    <w:rsid w:val="00126559"/>
    <w:rPr>
      <w:rFonts w:ascii="Times New Roman" w:hAnsi="Times New Roman" w:cs="Times New Roman"/>
      <w:kern w:val="0"/>
      <w:sz w:val="24"/>
      <w14:ligatures w14:val="none"/>
    </w:rPr>
  </w:style>
  <w:style w:type="character" w:customStyle="1" w:styleId="FooterCoverPageChar">
    <w:name w:val="Footer Cover Page Char"/>
    <w:basedOn w:val="PagedecouvertureChar"/>
    <w:link w:val="FooterCoverPage"/>
    <w:rsid w:val="00126559"/>
    <w:rPr>
      <w:rFonts w:ascii="Times New Roman" w:hAnsi="Times New Roman" w:cs="Times New Roman"/>
      <w:kern w:val="0"/>
      <w:sz w:val="24"/>
      <w14:ligatures w14:val="none"/>
    </w:rPr>
  </w:style>
  <w:style w:type="paragraph" w:customStyle="1" w:styleId="FooterSensitivity">
    <w:name w:val="Footer Sensitivity"/>
    <w:basedOn w:val="Normal"/>
    <w:link w:val="FooterSensitivityChar"/>
    <w:rsid w:val="00126559"/>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PagedecouvertureChar"/>
    <w:link w:val="FooterSensitivity"/>
    <w:rsid w:val="00126559"/>
    <w:rPr>
      <w:rFonts w:ascii="Times New Roman" w:hAnsi="Times New Roman" w:cs="Times New Roman"/>
      <w:b/>
      <w:kern w:val="0"/>
      <w:sz w:val="32"/>
      <w14:ligatures w14:val="none"/>
    </w:rPr>
  </w:style>
  <w:style w:type="paragraph" w:customStyle="1" w:styleId="HeaderCoverPage">
    <w:name w:val="Header Cover Page"/>
    <w:basedOn w:val="Normal"/>
    <w:link w:val="HeaderCoverPageChar"/>
    <w:rsid w:val="00126559"/>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PagedecouvertureChar"/>
    <w:link w:val="HeaderCoverPage"/>
    <w:rsid w:val="00126559"/>
    <w:rPr>
      <w:rFonts w:ascii="Times New Roman" w:hAnsi="Times New Roman" w:cs="Times New Roman"/>
      <w:kern w:val="0"/>
      <w:sz w:val="24"/>
      <w14:ligatures w14:val="none"/>
    </w:rPr>
  </w:style>
  <w:style w:type="paragraph" w:customStyle="1" w:styleId="HeaderSensitivity">
    <w:name w:val="Header Sensitivity"/>
    <w:basedOn w:val="Normal"/>
    <w:link w:val="HeaderSensitivityChar"/>
    <w:rsid w:val="00126559"/>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PagedecouvertureChar"/>
    <w:link w:val="HeaderSensitivity"/>
    <w:rsid w:val="00126559"/>
    <w:rPr>
      <w:rFonts w:ascii="Times New Roman" w:hAnsi="Times New Roman" w:cs="Times New Roman"/>
      <w:b/>
      <w:kern w:val="0"/>
      <w:sz w:val="32"/>
      <w14:ligatures w14:val="none"/>
    </w:rPr>
  </w:style>
  <w:style w:type="paragraph" w:customStyle="1" w:styleId="HeaderSensitivityRight">
    <w:name w:val="Header Sensitivity Right"/>
    <w:basedOn w:val="Normal"/>
    <w:link w:val="HeaderSensitivityRightChar"/>
    <w:rsid w:val="00126559"/>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PagedecouvertureChar"/>
    <w:link w:val="HeaderSensitivityRight"/>
    <w:rsid w:val="00126559"/>
    <w:rPr>
      <w:rFonts w:ascii="Times New Roman" w:hAnsi="Times New Roman" w:cs="Times New Roman"/>
      <w:kern w:val="0"/>
      <w:sz w:val="28"/>
      <w14:ligatures w14:val="none"/>
    </w:rPr>
  </w:style>
  <w:style w:type="character" w:customStyle="1" w:styleId="Heading1Char">
    <w:name w:val="Heading 1 Char"/>
    <w:basedOn w:val="DefaultParagraphFont"/>
    <w:link w:val="Heading1"/>
    <w:uiPriority w:val="9"/>
    <w:rsid w:val="00406BD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06BDB"/>
    <w:pPr>
      <w:outlineLvl w:val="9"/>
    </w:pPr>
    <w:rPr>
      <w:kern w:val="0"/>
      <w14:ligatures w14:val="none"/>
    </w:rPr>
  </w:style>
  <w:style w:type="paragraph" w:styleId="TOC1">
    <w:name w:val="toc 1"/>
    <w:basedOn w:val="Normal"/>
    <w:next w:val="Normal"/>
    <w:autoRedefine/>
    <w:uiPriority w:val="39"/>
    <w:unhideWhenUsed/>
    <w:rsid w:val="00406BDB"/>
    <w:pPr>
      <w:spacing w:after="100"/>
    </w:pPr>
  </w:style>
  <w:style w:type="paragraph" w:styleId="TOC2">
    <w:name w:val="toc 2"/>
    <w:basedOn w:val="Normal"/>
    <w:next w:val="Normal"/>
    <w:autoRedefine/>
    <w:uiPriority w:val="39"/>
    <w:unhideWhenUsed/>
    <w:rsid w:val="00B27AEF"/>
    <w:pPr>
      <w:spacing w:after="100"/>
      <w:ind w:left="220"/>
    </w:pPr>
    <w:rPr>
      <w:rFonts w:eastAsiaTheme="minorEastAsia" w:cs="Times New Roman"/>
      <w:kern w:val="0"/>
      <w14:ligatures w14:val="none"/>
    </w:rPr>
  </w:style>
  <w:style w:type="paragraph" w:styleId="TOC3">
    <w:name w:val="toc 3"/>
    <w:basedOn w:val="Normal"/>
    <w:next w:val="Normal"/>
    <w:autoRedefine/>
    <w:uiPriority w:val="39"/>
    <w:unhideWhenUsed/>
    <w:rsid w:val="00B27AEF"/>
    <w:pPr>
      <w:spacing w:after="100"/>
      <w:ind w:left="440"/>
    </w:pPr>
    <w:rPr>
      <w:rFonts w:eastAsiaTheme="minorEastAsia" w:cs="Times New Roman"/>
      <w:kern w:val="0"/>
      <w14:ligatures w14:val="none"/>
    </w:rPr>
  </w:style>
  <w:style w:type="table" w:styleId="PlainTable5">
    <w:name w:val="Plain Table 5"/>
    <w:basedOn w:val="TableNormal"/>
    <w:uiPriority w:val="45"/>
    <w:rsid w:val="00C347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itle">
    <w:name w:val="Title"/>
    <w:basedOn w:val="Normal"/>
    <w:next w:val="Normal"/>
    <w:link w:val="TitleChar"/>
    <w:uiPriority w:val="10"/>
    <w:qFormat/>
    <w:rsid w:val="00E109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9D2"/>
    <w:rPr>
      <w:rFonts w:asciiTheme="majorHAnsi" w:eastAsiaTheme="majorEastAsia" w:hAnsiTheme="majorHAnsi" w:cstheme="majorBidi"/>
      <w:spacing w:val="-10"/>
      <w:kern w:val="28"/>
      <w:sz w:val="56"/>
      <w:szCs w:val="56"/>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uiPriority w:val="99"/>
    <w:rsid w:val="002A2563"/>
    <w:pPr>
      <w:spacing w:before="120" w:line="240" w:lineRule="exact"/>
    </w:pPr>
    <w:rPr>
      <w:vertAlign w:val="superscript"/>
    </w:rPr>
  </w:style>
  <w:style w:type="character" w:customStyle="1" w:styleId="cf01">
    <w:name w:val="cf01"/>
    <w:basedOn w:val="DefaultParagraphFont"/>
    <w:rsid w:val="003B405D"/>
    <w:rPr>
      <w:rFonts w:ascii="Segoe UI" w:hAnsi="Segoe UI" w:cs="Segoe UI" w:hint="default"/>
      <w:sz w:val="18"/>
      <w:szCs w:val="18"/>
    </w:rPr>
  </w:style>
  <w:style w:type="paragraph" w:customStyle="1" w:styleId="CMR-SubHead2">
    <w:name w:val="CMR - SubHead2"/>
    <w:basedOn w:val="CMR-Subheading"/>
    <w:link w:val="CMR-SubHead2Char"/>
    <w:qFormat/>
    <w:rsid w:val="00650354"/>
    <w:pPr>
      <w:numPr>
        <w:ilvl w:val="2"/>
      </w:numPr>
      <w:outlineLvl w:val="2"/>
    </w:pPr>
  </w:style>
  <w:style w:type="character" w:customStyle="1" w:styleId="CMR-SubHead2Char">
    <w:name w:val="CMR - SubHead2 Char"/>
    <w:basedOn w:val="CMR-SubheadingChar"/>
    <w:link w:val="CMR-SubHead2"/>
    <w:rsid w:val="0051590D"/>
    <w:rPr>
      <w:rFonts w:ascii="Times New Roman" w:hAnsi="Times New Roman"/>
      <w:b/>
      <w:bCs w:val="0"/>
      <w:kern w:val="0"/>
      <w:sz w:val="24"/>
      <w:szCs w:val="28"/>
      <w:lang w:val="pt-PT"/>
      <w14:ligatures w14:val="none"/>
    </w:rPr>
  </w:style>
  <w:style w:type="paragraph" w:styleId="EndnoteText">
    <w:name w:val="endnote text"/>
    <w:basedOn w:val="Normal"/>
    <w:link w:val="EndnoteTextChar"/>
    <w:uiPriority w:val="99"/>
    <w:semiHidden/>
    <w:unhideWhenUsed/>
    <w:rsid w:val="00E318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31847"/>
    <w:rPr>
      <w:sz w:val="20"/>
      <w:szCs w:val="20"/>
    </w:rPr>
  </w:style>
  <w:style w:type="character" w:styleId="EndnoteReference">
    <w:name w:val="endnote reference"/>
    <w:basedOn w:val="DefaultParagraphFont"/>
    <w:uiPriority w:val="99"/>
    <w:semiHidden/>
    <w:unhideWhenUsed/>
    <w:rsid w:val="00E31847"/>
    <w:rPr>
      <w:vertAlign w:val="superscript"/>
    </w:rPr>
  </w:style>
  <w:style w:type="paragraph" w:customStyle="1" w:styleId="Languesfaisantfoi">
    <w:name w:val="Langues faisant foi"/>
    <w:basedOn w:val="Normal"/>
    <w:next w:val="Normal"/>
    <w:rsid w:val="00231AB4"/>
    <w:pPr>
      <w:spacing w:before="360" w:after="240" w:line="240" w:lineRule="auto"/>
      <w:jc w:val="center"/>
    </w:pPr>
    <w:rPr>
      <w:rFonts w:ascii="Times New Roman" w:hAnsi="Times New Roman" w:cs="Times New Roman"/>
      <w:kern w:val="0"/>
      <w:sz w:val="24"/>
      <w14:ligatures w14:val="none"/>
    </w:rPr>
  </w:style>
  <w:style w:type="paragraph" w:customStyle="1" w:styleId="LanguesfaisantfoiPagedecouverture">
    <w:name w:val="Langues faisant foi (Page de couverture)"/>
    <w:basedOn w:val="Normal"/>
    <w:next w:val="Normal"/>
    <w:rsid w:val="00231AB4"/>
    <w:pPr>
      <w:spacing w:before="360" w:after="240" w:line="240" w:lineRule="auto"/>
      <w:jc w:val="center"/>
    </w:pPr>
    <w:rPr>
      <w:rFonts w:ascii="Times New Roman" w:hAnsi="Times New Roman" w:cs="Times New Roman"/>
      <w:kern w:val="0"/>
      <w:sz w:val="24"/>
      <w14:ligatures w14:val="none"/>
    </w:rPr>
  </w:style>
  <w:style w:type="paragraph" w:customStyle="1" w:styleId="IntrtEEE">
    <w:name w:val="Intérêt EEE"/>
    <w:basedOn w:val="Languesfaisantfoi"/>
    <w:next w:val="Normal"/>
    <w:rsid w:val="00231AB4"/>
    <w:pPr>
      <w:spacing w:after="0"/>
    </w:pPr>
  </w:style>
  <w:style w:type="paragraph" w:customStyle="1" w:styleId="IntrtEEEPagedecouverture">
    <w:name w:val="Intérêt EEE (Page de couverture)"/>
    <w:basedOn w:val="IntrtEEE"/>
    <w:next w:val="Normal"/>
    <w:rsid w:val="00231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71829">
      <w:bodyDiv w:val="1"/>
      <w:marLeft w:val="0"/>
      <w:marRight w:val="0"/>
      <w:marTop w:val="0"/>
      <w:marBottom w:val="0"/>
      <w:divBdr>
        <w:top w:val="none" w:sz="0" w:space="0" w:color="auto"/>
        <w:left w:val="none" w:sz="0" w:space="0" w:color="auto"/>
        <w:bottom w:val="none" w:sz="0" w:space="0" w:color="auto"/>
        <w:right w:val="none" w:sz="0" w:space="0" w:color="auto"/>
      </w:divBdr>
      <w:divsChild>
        <w:div w:id="736783134">
          <w:marLeft w:val="0"/>
          <w:marRight w:val="0"/>
          <w:marTop w:val="0"/>
          <w:marBottom w:val="0"/>
          <w:divBdr>
            <w:top w:val="none" w:sz="0" w:space="0" w:color="auto"/>
            <w:left w:val="none" w:sz="0" w:space="0" w:color="auto"/>
            <w:bottom w:val="none" w:sz="0" w:space="0" w:color="auto"/>
            <w:right w:val="none" w:sz="0" w:space="0" w:color="auto"/>
          </w:divBdr>
        </w:div>
        <w:div w:id="1669404031">
          <w:marLeft w:val="0"/>
          <w:marRight w:val="0"/>
          <w:marTop w:val="0"/>
          <w:marBottom w:val="0"/>
          <w:divBdr>
            <w:top w:val="none" w:sz="0" w:space="0" w:color="auto"/>
            <w:left w:val="none" w:sz="0" w:space="0" w:color="auto"/>
            <w:bottom w:val="none" w:sz="0" w:space="0" w:color="auto"/>
            <w:right w:val="none" w:sz="0" w:space="0" w:color="auto"/>
          </w:divBdr>
        </w:div>
      </w:divsChild>
    </w:div>
    <w:div w:id="115415389">
      <w:bodyDiv w:val="1"/>
      <w:marLeft w:val="0"/>
      <w:marRight w:val="0"/>
      <w:marTop w:val="0"/>
      <w:marBottom w:val="0"/>
      <w:divBdr>
        <w:top w:val="none" w:sz="0" w:space="0" w:color="auto"/>
        <w:left w:val="none" w:sz="0" w:space="0" w:color="auto"/>
        <w:bottom w:val="none" w:sz="0" w:space="0" w:color="auto"/>
        <w:right w:val="none" w:sz="0" w:space="0" w:color="auto"/>
      </w:divBdr>
    </w:div>
    <w:div w:id="274676492">
      <w:bodyDiv w:val="1"/>
      <w:marLeft w:val="0"/>
      <w:marRight w:val="0"/>
      <w:marTop w:val="0"/>
      <w:marBottom w:val="0"/>
      <w:divBdr>
        <w:top w:val="none" w:sz="0" w:space="0" w:color="auto"/>
        <w:left w:val="none" w:sz="0" w:space="0" w:color="auto"/>
        <w:bottom w:val="none" w:sz="0" w:space="0" w:color="auto"/>
        <w:right w:val="none" w:sz="0" w:space="0" w:color="auto"/>
      </w:divBdr>
      <w:divsChild>
        <w:div w:id="417797469">
          <w:marLeft w:val="0"/>
          <w:marRight w:val="0"/>
          <w:marTop w:val="0"/>
          <w:marBottom w:val="0"/>
          <w:divBdr>
            <w:top w:val="none" w:sz="0" w:space="0" w:color="auto"/>
            <w:left w:val="none" w:sz="0" w:space="0" w:color="auto"/>
            <w:bottom w:val="none" w:sz="0" w:space="0" w:color="auto"/>
            <w:right w:val="none" w:sz="0" w:space="0" w:color="auto"/>
          </w:divBdr>
        </w:div>
        <w:div w:id="515776413">
          <w:marLeft w:val="0"/>
          <w:marRight w:val="0"/>
          <w:marTop w:val="0"/>
          <w:marBottom w:val="0"/>
          <w:divBdr>
            <w:top w:val="none" w:sz="0" w:space="0" w:color="auto"/>
            <w:left w:val="none" w:sz="0" w:space="0" w:color="auto"/>
            <w:bottom w:val="none" w:sz="0" w:space="0" w:color="auto"/>
            <w:right w:val="none" w:sz="0" w:space="0" w:color="auto"/>
          </w:divBdr>
        </w:div>
        <w:div w:id="1103458579">
          <w:marLeft w:val="0"/>
          <w:marRight w:val="0"/>
          <w:marTop w:val="0"/>
          <w:marBottom w:val="0"/>
          <w:divBdr>
            <w:top w:val="none" w:sz="0" w:space="0" w:color="auto"/>
            <w:left w:val="none" w:sz="0" w:space="0" w:color="auto"/>
            <w:bottom w:val="none" w:sz="0" w:space="0" w:color="auto"/>
            <w:right w:val="none" w:sz="0" w:space="0" w:color="auto"/>
          </w:divBdr>
        </w:div>
        <w:div w:id="1323509186">
          <w:marLeft w:val="0"/>
          <w:marRight w:val="0"/>
          <w:marTop w:val="0"/>
          <w:marBottom w:val="0"/>
          <w:divBdr>
            <w:top w:val="none" w:sz="0" w:space="0" w:color="auto"/>
            <w:left w:val="none" w:sz="0" w:space="0" w:color="auto"/>
            <w:bottom w:val="none" w:sz="0" w:space="0" w:color="auto"/>
            <w:right w:val="none" w:sz="0" w:space="0" w:color="auto"/>
          </w:divBdr>
        </w:div>
        <w:div w:id="1348560958">
          <w:marLeft w:val="0"/>
          <w:marRight w:val="0"/>
          <w:marTop w:val="0"/>
          <w:marBottom w:val="0"/>
          <w:divBdr>
            <w:top w:val="none" w:sz="0" w:space="0" w:color="auto"/>
            <w:left w:val="none" w:sz="0" w:space="0" w:color="auto"/>
            <w:bottom w:val="none" w:sz="0" w:space="0" w:color="auto"/>
            <w:right w:val="none" w:sz="0" w:space="0" w:color="auto"/>
          </w:divBdr>
        </w:div>
      </w:divsChild>
    </w:div>
    <w:div w:id="283193345">
      <w:bodyDiv w:val="1"/>
      <w:marLeft w:val="0"/>
      <w:marRight w:val="0"/>
      <w:marTop w:val="0"/>
      <w:marBottom w:val="0"/>
      <w:divBdr>
        <w:top w:val="none" w:sz="0" w:space="0" w:color="auto"/>
        <w:left w:val="none" w:sz="0" w:space="0" w:color="auto"/>
        <w:bottom w:val="none" w:sz="0" w:space="0" w:color="auto"/>
        <w:right w:val="none" w:sz="0" w:space="0" w:color="auto"/>
      </w:divBdr>
    </w:div>
    <w:div w:id="371003773">
      <w:bodyDiv w:val="1"/>
      <w:marLeft w:val="0"/>
      <w:marRight w:val="0"/>
      <w:marTop w:val="0"/>
      <w:marBottom w:val="0"/>
      <w:divBdr>
        <w:top w:val="none" w:sz="0" w:space="0" w:color="auto"/>
        <w:left w:val="none" w:sz="0" w:space="0" w:color="auto"/>
        <w:bottom w:val="none" w:sz="0" w:space="0" w:color="auto"/>
        <w:right w:val="none" w:sz="0" w:space="0" w:color="auto"/>
      </w:divBdr>
    </w:div>
    <w:div w:id="398360013">
      <w:bodyDiv w:val="1"/>
      <w:marLeft w:val="0"/>
      <w:marRight w:val="0"/>
      <w:marTop w:val="0"/>
      <w:marBottom w:val="0"/>
      <w:divBdr>
        <w:top w:val="none" w:sz="0" w:space="0" w:color="auto"/>
        <w:left w:val="none" w:sz="0" w:space="0" w:color="auto"/>
        <w:bottom w:val="none" w:sz="0" w:space="0" w:color="auto"/>
        <w:right w:val="none" w:sz="0" w:space="0" w:color="auto"/>
      </w:divBdr>
    </w:div>
    <w:div w:id="399055945">
      <w:bodyDiv w:val="1"/>
      <w:marLeft w:val="0"/>
      <w:marRight w:val="0"/>
      <w:marTop w:val="0"/>
      <w:marBottom w:val="0"/>
      <w:divBdr>
        <w:top w:val="none" w:sz="0" w:space="0" w:color="auto"/>
        <w:left w:val="none" w:sz="0" w:space="0" w:color="auto"/>
        <w:bottom w:val="none" w:sz="0" w:space="0" w:color="auto"/>
        <w:right w:val="none" w:sz="0" w:space="0" w:color="auto"/>
      </w:divBdr>
    </w:div>
    <w:div w:id="510484525">
      <w:bodyDiv w:val="1"/>
      <w:marLeft w:val="0"/>
      <w:marRight w:val="0"/>
      <w:marTop w:val="0"/>
      <w:marBottom w:val="0"/>
      <w:divBdr>
        <w:top w:val="none" w:sz="0" w:space="0" w:color="auto"/>
        <w:left w:val="none" w:sz="0" w:space="0" w:color="auto"/>
        <w:bottom w:val="none" w:sz="0" w:space="0" w:color="auto"/>
        <w:right w:val="none" w:sz="0" w:space="0" w:color="auto"/>
      </w:divBdr>
      <w:divsChild>
        <w:div w:id="98377421">
          <w:marLeft w:val="0"/>
          <w:marRight w:val="0"/>
          <w:marTop w:val="0"/>
          <w:marBottom w:val="0"/>
          <w:divBdr>
            <w:top w:val="none" w:sz="0" w:space="0" w:color="auto"/>
            <w:left w:val="none" w:sz="0" w:space="0" w:color="auto"/>
            <w:bottom w:val="none" w:sz="0" w:space="0" w:color="auto"/>
            <w:right w:val="none" w:sz="0" w:space="0" w:color="auto"/>
          </w:divBdr>
        </w:div>
        <w:div w:id="499008999">
          <w:marLeft w:val="0"/>
          <w:marRight w:val="0"/>
          <w:marTop w:val="0"/>
          <w:marBottom w:val="0"/>
          <w:divBdr>
            <w:top w:val="none" w:sz="0" w:space="0" w:color="auto"/>
            <w:left w:val="none" w:sz="0" w:space="0" w:color="auto"/>
            <w:bottom w:val="none" w:sz="0" w:space="0" w:color="auto"/>
            <w:right w:val="none" w:sz="0" w:space="0" w:color="auto"/>
          </w:divBdr>
        </w:div>
        <w:div w:id="705183939">
          <w:marLeft w:val="0"/>
          <w:marRight w:val="0"/>
          <w:marTop w:val="0"/>
          <w:marBottom w:val="0"/>
          <w:divBdr>
            <w:top w:val="none" w:sz="0" w:space="0" w:color="auto"/>
            <w:left w:val="none" w:sz="0" w:space="0" w:color="auto"/>
            <w:bottom w:val="none" w:sz="0" w:space="0" w:color="auto"/>
            <w:right w:val="none" w:sz="0" w:space="0" w:color="auto"/>
          </w:divBdr>
        </w:div>
        <w:div w:id="798574968">
          <w:marLeft w:val="0"/>
          <w:marRight w:val="0"/>
          <w:marTop w:val="0"/>
          <w:marBottom w:val="0"/>
          <w:divBdr>
            <w:top w:val="none" w:sz="0" w:space="0" w:color="auto"/>
            <w:left w:val="none" w:sz="0" w:space="0" w:color="auto"/>
            <w:bottom w:val="none" w:sz="0" w:space="0" w:color="auto"/>
            <w:right w:val="none" w:sz="0" w:space="0" w:color="auto"/>
          </w:divBdr>
        </w:div>
        <w:div w:id="1508978879">
          <w:marLeft w:val="0"/>
          <w:marRight w:val="0"/>
          <w:marTop w:val="0"/>
          <w:marBottom w:val="0"/>
          <w:divBdr>
            <w:top w:val="none" w:sz="0" w:space="0" w:color="auto"/>
            <w:left w:val="none" w:sz="0" w:space="0" w:color="auto"/>
            <w:bottom w:val="none" w:sz="0" w:space="0" w:color="auto"/>
            <w:right w:val="none" w:sz="0" w:space="0" w:color="auto"/>
          </w:divBdr>
        </w:div>
      </w:divsChild>
    </w:div>
    <w:div w:id="530263460">
      <w:bodyDiv w:val="1"/>
      <w:marLeft w:val="0"/>
      <w:marRight w:val="0"/>
      <w:marTop w:val="0"/>
      <w:marBottom w:val="0"/>
      <w:divBdr>
        <w:top w:val="none" w:sz="0" w:space="0" w:color="auto"/>
        <w:left w:val="none" w:sz="0" w:space="0" w:color="auto"/>
        <w:bottom w:val="none" w:sz="0" w:space="0" w:color="auto"/>
        <w:right w:val="none" w:sz="0" w:space="0" w:color="auto"/>
      </w:divBdr>
    </w:div>
    <w:div w:id="554854085">
      <w:bodyDiv w:val="1"/>
      <w:marLeft w:val="0"/>
      <w:marRight w:val="0"/>
      <w:marTop w:val="0"/>
      <w:marBottom w:val="0"/>
      <w:divBdr>
        <w:top w:val="none" w:sz="0" w:space="0" w:color="auto"/>
        <w:left w:val="none" w:sz="0" w:space="0" w:color="auto"/>
        <w:bottom w:val="none" w:sz="0" w:space="0" w:color="auto"/>
        <w:right w:val="none" w:sz="0" w:space="0" w:color="auto"/>
      </w:divBdr>
    </w:div>
    <w:div w:id="581257060">
      <w:bodyDiv w:val="1"/>
      <w:marLeft w:val="0"/>
      <w:marRight w:val="0"/>
      <w:marTop w:val="0"/>
      <w:marBottom w:val="0"/>
      <w:divBdr>
        <w:top w:val="none" w:sz="0" w:space="0" w:color="auto"/>
        <w:left w:val="none" w:sz="0" w:space="0" w:color="auto"/>
        <w:bottom w:val="none" w:sz="0" w:space="0" w:color="auto"/>
        <w:right w:val="none" w:sz="0" w:space="0" w:color="auto"/>
      </w:divBdr>
    </w:div>
    <w:div w:id="605771508">
      <w:bodyDiv w:val="1"/>
      <w:marLeft w:val="0"/>
      <w:marRight w:val="0"/>
      <w:marTop w:val="0"/>
      <w:marBottom w:val="0"/>
      <w:divBdr>
        <w:top w:val="none" w:sz="0" w:space="0" w:color="auto"/>
        <w:left w:val="none" w:sz="0" w:space="0" w:color="auto"/>
        <w:bottom w:val="none" w:sz="0" w:space="0" w:color="auto"/>
        <w:right w:val="none" w:sz="0" w:space="0" w:color="auto"/>
      </w:divBdr>
    </w:div>
    <w:div w:id="645401886">
      <w:bodyDiv w:val="1"/>
      <w:marLeft w:val="0"/>
      <w:marRight w:val="0"/>
      <w:marTop w:val="0"/>
      <w:marBottom w:val="0"/>
      <w:divBdr>
        <w:top w:val="none" w:sz="0" w:space="0" w:color="auto"/>
        <w:left w:val="none" w:sz="0" w:space="0" w:color="auto"/>
        <w:bottom w:val="none" w:sz="0" w:space="0" w:color="auto"/>
        <w:right w:val="none" w:sz="0" w:space="0" w:color="auto"/>
      </w:divBdr>
    </w:div>
    <w:div w:id="653797067">
      <w:bodyDiv w:val="1"/>
      <w:marLeft w:val="0"/>
      <w:marRight w:val="0"/>
      <w:marTop w:val="0"/>
      <w:marBottom w:val="0"/>
      <w:divBdr>
        <w:top w:val="none" w:sz="0" w:space="0" w:color="auto"/>
        <w:left w:val="none" w:sz="0" w:space="0" w:color="auto"/>
        <w:bottom w:val="none" w:sz="0" w:space="0" w:color="auto"/>
        <w:right w:val="none" w:sz="0" w:space="0" w:color="auto"/>
      </w:divBdr>
    </w:div>
    <w:div w:id="727919996">
      <w:bodyDiv w:val="1"/>
      <w:marLeft w:val="0"/>
      <w:marRight w:val="0"/>
      <w:marTop w:val="0"/>
      <w:marBottom w:val="0"/>
      <w:divBdr>
        <w:top w:val="none" w:sz="0" w:space="0" w:color="auto"/>
        <w:left w:val="none" w:sz="0" w:space="0" w:color="auto"/>
        <w:bottom w:val="none" w:sz="0" w:space="0" w:color="auto"/>
        <w:right w:val="none" w:sz="0" w:space="0" w:color="auto"/>
      </w:divBdr>
    </w:div>
    <w:div w:id="748842238">
      <w:bodyDiv w:val="1"/>
      <w:marLeft w:val="0"/>
      <w:marRight w:val="0"/>
      <w:marTop w:val="0"/>
      <w:marBottom w:val="0"/>
      <w:divBdr>
        <w:top w:val="none" w:sz="0" w:space="0" w:color="auto"/>
        <w:left w:val="none" w:sz="0" w:space="0" w:color="auto"/>
        <w:bottom w:val="none" w:sz="0" w:space="0" w:color="auto"/>
        <w:right w:val="none" w:sz="0" w:space="0" w:color="auto"/>
      </w:divBdr>
      <w:divsChild>
        <w:div w:id="78017491">
          <w:marLeft w:val="0"/>
          <w:marRight w:val="0"/>
          <w:marTop w:val="0"/>
          <w:marBottom w:val="0"/>
          <w:divBdr>
            <w:top w:val="none" w:sz="0" w:space="0" w:color="auto"/>
            <w:left w:val="none" w:sz="0" w:space="0" w:color="auto"/>
            <w:bottom w:val="none" w:sz="0" w:space="0" w:color="auto"/>
            <w:right w:val="none" w:sz="0" w:space="0" w:color="auto"/>
          </w:divBdr>
        </w:div>
        <w:div w:id="163402252">
          <w:marLeft w:val="0"/>
          <w:marRight w:val="0"/>
          <w:marTop w:val="0"/>
          <w:marBottom w:val="0"/>
          <w:divBdr>
            <w:top w:val="none" w:sz="0" w:space="0" w:color="auto"/>
            <w:left w:val="none" w:sz="0" w:space="0" w:color="auto"/>
            <w:bottom w:val="none" w:sz="0" w:space="0" w:color="auto"/>
            <w:right w:val="none" w:sz="0" w:space="0" w:color="auto"/>
          </w:divBdr>
        </w:div>
        <w:div w:id="543559319">
          <w:marLeft w:val="0"/>
          <w:marRight w:val="0"/>
          <w:marTop w:val="0"/>
          <w:marBottom w:val="0"/>
          <w:divBdr>
            <w:top w:val="none" w:sz="0" w:space="0" w:color="auto"/>
            <w:left w:val="none" w:sz="0" w:space="0" w:color="auto"/>
            <w:bottom w:val="none" w:sz="0" w:space="0" w:color="auto"/>
            <w:right w:val="none" w:sz="0" w:space="0" w:color="auto"/>
          </w:divBdr>
        </w:div>
        <w:div w:id="837113167">
          <w:marLeft w:val="0"/>
          <w:marRight w:val="0"/>
          <w:marTop w:val="0"/>
          <w:marBottom w:val="0"/>
          <w:divBdr>
            <w:top w:val="none" w:sz="0" w:space="0" w:color="auto"/>
            <w:left w:val="none" w:sz="0" w:space="0" w:color="auto"/>
            <w:bottom w:val="none" w:sz="0" w:space="0" w:color="auto"/>
            <w:right w:val="none" w:sz="0" w:space="0" w:color="auto"/>
          </w:divBdr>
        </w:div>
        <w:div w:id="1231767023">
          <w:marLeft w:val="0"/>
          <w:marRight w:val="0"/>
          <w:marTop w:val="0"/>
          <w:marBottom w:val="0"/>
          <w:divBdr>
            <w:top w:val="none" w:sz="0" w:space="0" w:color="auto"/>
            <w:left w:val="none" w:sz="0" w:space="0" w:color="auto"/>
            <w:bottom w:val="none" w:sz="0" w:space="0" w:color="auto"/>
            <w:right w:val="none" w:sz="0" w:space="0" w:color="auto"/>
          </w:divBdr>
        </w:div>
        <w:div w:id="1815097325">
          <w:marLeft w:val="0"/>
          <w:marRight w:val="0"/>
          <w:marTop w:val="0"/>
          <w:marBottom w:val="0"/>
          <w:divBdr>
            <w:top w:val="none" w:sz="0" w:space="0" w:color="auto"/>
            <w:left w:val="none" w:sz="0" w:space="0" w:color="auto"/>
            <w:bottom w:val="none" w:sz="0" w:space="0" w:color="auto"/>
            <w:right w:val="none" w:sz="0" w:space="0" w:color="auto"/>
          </w:divBdr>
        </w:div>
        <w:div w:id="2018726127">
          <w:marLeft w:val="0"/>
          <w:marRight w:val="0"/>
          <w:marTop w:val="0"/>
          <w:marBottom w:val="0"/>
          <w:divBdr>
            <w:top w:val="none" w:sz="0" w:space="0" w:color="auto"/>
            <w:left w:val="none" w:sz="0" w:space="0" w:color="auto"/>
            <w:bottom w:val="none" w:sz="0" w:space="0" w:color="auto"/>
            <w:right w:val="none" w:sz="0" w:space="0" w:color="auto"/>
          </w:divBdr>
          <w:divsChild>
            <w:div w:id="1886671077">
              <w:marLeft w:val="-75"/>
              <w:marRight w:val="0"/>
              <w:marTop w:val="30"/>
              <w:marBottom w:val="30"/>
              <w:divBdr>
                <w:top w:val="none" w:sz="0" w:space="0" w:color="auto"/>
                <w:left w:val="none" w:sz="0" w:space="0" w:color="auto"/>
                <w:bottom w:val="none" w:sz="0" w:space="0" w:color="auto"/>
                <w:right w:val="none" w:sz="0" w:space="0" w:color="auto"/>
              </w:divBdr>
              <w:divsChild>
                <w:div w:id="41638978">
                  <w:marLeft w:val="0"/>
                  <w:marRight w:val="0"/>
                  <w:marTop w:val="0"/>
                  <w:marBottom w:val="0"/>
                  <w:divBdr>
                    <w:top w:val="none" w:sz="0" w:space="0" w:color="auto"/>
                    <w:left w:val="none" w:sz="0" w:space="0" w:color="auto"/>
                    <w:bottom w:val="none" w:sz="0" w:space="0" w:color="auto"/>
                    <w:right w:val="none" w:sz="0" w:space="0" w:color="auto"/>
                  </w:divBdr>
                  <w:divsChild>
                    <w:div w:id="58942845">
                      <w:marLeft w:val="0"/>
                      <w:marRight w:val="0"/>
                      <w:marTop w:val="0"/>
                      <w:marBottom w:val="0"/>
                      <w:divBdr>
                        <w:top w:val="none" w:sz="0" w:space="0" w:color="auto"/>
                        <w:left w:val="none" w:sz="0" w:space="0" w:color="auto"/>
                        <w:bottom w:val="none" w:sz="0" w:space="0" w:color="auto"/>
                        <w:right w:val="none" w:sz="0" w:space="0" w:color="auto"/>
                      </w:divBdr>
                    </w:div>
                  </w:divsChild>
                </w:div>
                <w:div w:id="42826865">
                  <w:marLeft w:val="0"/>
                  <w:marRight w:val="0"/>
                  <w:marTop w:val="0"/>
                  <w:marBottom w:val="0"/>
                  <w:divBdr>
                    <w:top w:val="none" w:sz="0" w:space="0" w:color="auto"/>
                    <w:left w:val="none" w:sz="0" w:space="0" w:color="auto"/>
                    <w:bottom w:val="none" w:sz="0" w:space="0" w:color="auto"/>
                    <w:right w:val="none" w:sz="0" w:space="0" w:color="auto"/>
                  </w:divBdr>
                  <w:divsChild>
                    <w:div w:id="531920360">
                      <w:marLeft w:val="0"/>
                      <w:marRight w:val="0"/>
                      <w:marTop w:val="0"/>
                      <w:marBottom w:val="0"/>
                      <w:divBdr>
                        <w:top w:val="none" w:sz="0" w:space="0" w:color="auto"/>
                        <w:left w:val="none" w:sz="0" w:space="0" w:color="auto"/>
                        <w:bottom w:val="none" w:sz="0" w:space="0" w:color="auto"/>
                        <w:right w:val="none" w:sz="0" w:space="0" w:color="auto"/>
                      </w:divBdr>
                    </w:div>
                  </w:divsChild>
                </w:div>
                <w:div w:id="79721314">
                  <w:marLeft w:val="0"/>
                  <w:marRight w:val="0"/>
                  <w:marTop w:val="0"/>
                  <w:marBottom w:val="0"/>
                  <w:divBdr>
                    <w:top w:val="none" w:sz="0" w:space="0" w:color="auto"/>
                    <w:left w:val="none" w:sz="0" w:space="0" w:color="auto"/>
                    <w:bottom w:val="none" w:sz="0" w:space="0" w:color="auto"/>
                    <w:right w:val="none" w:sz="0" w:space="0" w:color="auto"/>
                  </w:divBdr>
                  <w:divsChild>
                    <w:div w:id="1864397105">
                      <w:marLeft w:val="0"/>
                      <w:marRight w:val="0"/>
                      <w:marTop w:val="0"/>
                      <w:marBottom w:val="0"/>
                      <w:divBdr>
                        <w:top w:val="none" w:sz="0" w:space="0" w:color="auto"/>
                        <w:left w:val="none" w:sz="0" w:space="0" w:color="auto"/>
                        <w:bottom w:val="none" w:sz="0" w:space="0" w:color="auto"/>
                        <w:right w:val="none" w:sz="0" w:space="0" w:color="auto"/>
                      </w:divBdr>
                    </w:div>
                  </w:divsChild>
                </w:div>
                <w:div w:id="84697061">
                  <w:marLeft w:val="0"/>
                  <w:marRight w:val="0"/>
                  <w:marTop w:val="0"/>
                  <w:marBottom w:val="0"/>
                  <w:divBdr>
                    <w:top w:val="none" w:sz="0" w:space="0" w:color="auto"/>
                    <w:left w:val="none" w:sz="0" w:space="0" w:color="auto"/>
                    <w:bottom w:val="none" w:sz="0" w:space="0" w:color="auto"/>
                    <w:right w:val="none" w:sz="0" w:space="0" w:color="auto"/>
                  </w:divBdr>
                  <w:divsChild>
                    <w:div w:id="614949274">
                      <w:marLeft w:val="0"/>
                      <w:marRight w:val="0"/>
                      <w:marTop w:val="0"/>
                      <w:marBottom w:val="0"/>
                      <w:divBdr>
                        <w:top w:val="none" w:sz="0" w:space="0" w:color="auto"/>
                        <w:left w:val="none" w:sz="0" w:space="0" w:color="auto"/>
                        <w:bottom w:val="none" w:sz="0" w:space="0" w:color="auto"/>
                        <w:right w:val="none" w:sz="0" w:space="0" w:color="auto"/>
                      </w:divBdr>
                    </w:div>
                  </w:divsChild>
                </w:div>
                <w:div w:id="111560257">
                  <w:marLeft w:val="0"/>
                  <w:marRight w:val="0"/>
                  <w:marTop w:val="0"/>
                  <w:marBottom w:val="0"/>
                  <w:divBdr>
                    <w:top w:val="none" w:sz="0" w:space="0" w:color="auto"/>
                    <w:left w:val="none" w:sz="0" w:space="0" w:color="auto"/>
                    <w:bottom w:val="none" w:sz="0" w:space="0" w:color="auto"/>
                    <w:right w:val="none" w:sz="0" w:space="0" w:color="auto"/>
                  </w:divBdr>
                  <w:divsChild>
                    <w:div w:id="514803670">
                      <w:marLeft w:val="0"/>
                      <w:marRight w:val="0"/>
                      <w:marTop w:val="0"/>
                      <w:marBottom w:val="0"/>
                      <w:divBdr>
                        <w:top w:val="none" w:sz="0" w:space="0" w:color="auto"/>
                        <w:left w:val="none" w:sz="0" w:space="0" w:color="auto"/>
                        <w:bottom w:val="none" w:sz="0" w:space="0" w:color="auto"/>
                        <w:right w:val="none" w:sz="0" w:space="0" w:color="auto"/>
                      </w:divBdr>
                    </w:div>
                  </w:divsChild>
                </w:div>
                <w:div w:id="118306166">
                  <w:marLeft w:val="0"/>
                  <w:marRight w:val="0"/>
                  <w:marTop w:val="0"/>
                  <w:marBottom w:val="0"/>
                  <w:divBdr>
                    <w:top w:val="none" w:sz="0" w:space="0" w:color="auto"/>
                    <w:left w:val="none" w:sz="0" w:space="0" w:color="auto"/>
                    <w:bottom w:val="none" w:sz="0" w:space="0" w:color="auto"/>
                    <w:right w:val="none" w:sz="0" w:space="0" w:color="auto"/>
                  </w:divBdr>
                  <w:divsChild>
                    <w:div w:id="1454715771">
                      <w:marLeft w:val="0"/>
                      <w:marRight w:val="0"/>
                      <w:marTop w:val="0"/>
                      <w:marBottom w:val="0"/>
                      <w:divBdr>
                        <w:top w:val="none" w:sz="0" w:space="0" w:color="auto"/>
                        <w:left w:val="none" w:sz="0" w:space="0" w:color="auto"/>
                        <w:bottom w:val="none" w:sz="0" w:space="0" w:color="auto"/>
                        <w:right w:val="none" w:sz="0" w:space="0" w:color="auto"/>
                      </w:divBdr>
                    </w:div>
                  </w:divsChild>
                </w:div>
                <w:div w:id="122044330">
                  <w:marLeft w:val="0"/>
                  <w:marRight w:val="0"/>
                  <w:marTop w:val="0"/>
                  <w:marBottom w:val="0"/>
                  <w:divBdr>
                    <w:top w:val="none" w:sz="0" w:space="0" w:color="auto"/>
                    <w:left w:val="none" w:sz="0" w:space="0" w:color="auto"/>
                    <w:bottom w:val="none" w:sz="0" w:space="0" w:color="auto"/>
                    <w:right w:val="none" w:sz="0" w:space="0" w:color="auto"/>
                  </w:divBdr>
                  <w:divsChild>
                    <w:div w:id="1358002031">
                      <w:marLeft w:val="0"/>
                      <w:marRight w:val="0"/>
                      <w:marTop w:val="0"/>
                      <w:marBottom w:val="0"/>
                      <w:divBdr>
                        <w:top w:val="none" w:sz="0" w:space="0" w:color="auto"/>
                        <w:left w:val="none" w:sz="0" w:space="0" w:color="auto"/>
                        <w:bottom w:val="none" w:sz="0" w:space="0" w:color="auto"/>
                        <w:right w:val="none" w:sz="0" w:space="0" w:color="auto"/>
                      </w:divBdr>
                    </w:div>
                  </w:divsChild>
                </w:div>
                <w:div w:id="146825791">
                  <w:marLeft w:val="0"/>
                  <w:marRight w:val="0"/>
                  <w:marTop w:val="0"/>
                  <w:marBottom w:val="0"/>
                  <w:divBdr>
                    <w:top w:val="none" w:sz="0" w:space="0" w:color="auto"/>
                    <w:left w:val="none" w:sz="0" w:space="0" w:color="auto"/>
                    <w:bottom w:val="none" w:sz="0" w:space="0" w:color="auto"/>
                    <w:right w:val="none" w:sz="0" w:space="0" w:color="auto"/>
                  </w:divBdr>
                  <w:divsChild>
                    <w:div w:id="318651330">
                      <w:marLeft w:val="0"/>
                      <w:marRight w:val="0"/>
                      <w:marTop w:val="0"/>
                      <w:marBottom w:val="0"/>
                      <w:divBdr>
                        <w:top w:val="none" w:sz="0" w:space="0" w:color="auto"/>
                        <w:left w:val="none" w:sz="0" w:space="0" w:color="auto"/>
                        <w:bottom w:val="none" w:sz="0" w:space="0" w:color="auto"/>
                        <w:right w:val="none" w:sz="0" w:space="0" w:color="auto"/>
                      </w:divBdr>
                    </w:div>
                  </w:divsChild>
                </w:div>
                <w:div w:id="178474927">
                  <w:marLeft w:val="0"/>
                  <w:marRight w:val="0"/>
                  <w:marTop w:val="0"/>
                  <w:marBottom w:val="0"/>
                  <w:divBdr>
                    <w:top w:val="none" w:sz="0" w:space="0" w:color="auto"/>
                    <w:left w:val="none" w:sz="0" w:space="0" w:color="auto"/>
                    <w:bottom w:val="none" w:sz="0" w:space="0" w:color="auto"/>
                    <w:right w:val="none" w:sz="0" w:space="0" w:color="auto"/>
                  </w:divBdr>
                  <w:divsChild>
                    <w:div w:id="1619483144">
                      <w:marLeft w:val="0"/>
                      <w:marRight w:val="0"/>
                      <w:marTop w:val="0"/>
                      <w:marBottom w:val="0"/>
                      <w:divBdr>
                        <w:top w:val="none" w:sz="0" w:space="0" w:color="auto"/>
                        <w:left w:val="none" w:sz="0" w:space="0" w:color="auto"/>
                        <w:bottom w:val="none" w:sz="0" w:space="0" w:color="auto"/>
                        <w:right w:val="none" w:sz="0" w:space="0" w:color="auto"/>
                      </w:divBdr>
                    </w:div>
                  </w:divsChild>
                </w:div>
                <w:div w:id="227959234">
                  <w:marLeft w:val="0"/>
                  <w:marRight w:val="0"/>
                  <w:marTop w:val="0"/>
                  <w:marBottom w:val="0"/>
                  <w:divBdr>
                    <w:top w:val="none" w:sz="0" w:space="0" w:color="auto"/>
                    <w:left w:val="none" w:sz="0" w:space="0" w:color="auto"/>
                    <w:bottom w:val="none" w:sz="0" w:space="0" w:color="auto"/>
                    <w:right w:val="none" w:sz="0" w:space="0" w:color="auto"/>
                  </w:divBdr>
                  <w:divsChild>
                    <w:div w:id="298147743">
                      <w:marLeft w:val="0"/>
                      <w:marRight w:val="0"/>
                      <w:marTop w:val="0"/>
                      <w:marBottom w:val="0"/>
                      <w:divBdr>
                        <w:top w:val="none" w:sz="0" w:space="0" w:color="auto"/>
                        <w:left w:val="none" w:sz="0" w:space="0" w:color="auto"/>
                        <w:bottom w:val="none" w:sz="0" w:space="0" w:color="auto"/>
                        <w:right w:val="none" w:sz="0" w:space="0" w:color="auto"/>
                      </w:divBdr>
                    </w:div>
                  </w:divsChild>
                </w:div>
                <w:div w:id="243272233">
                  <w:marLeft w:val="0"/>
                  <w:marRight w:val="0"/>
                  <w:marTop w:val="0"/>
                  <w:marBottom w:val="0"/>
                  <w:divBdr>
                    <w:top w:val="none" w:sz="0" w:space="0" w:color="auto"/>
                    <w:left w:val="none" w:sz="0" w:space="0" w:color="auto"/>
                    <w:bottom w:val="none" w:sz="0" w:space="0" w:color="auto"/>
                    <w:right w:val="none" w:sz="0" w:space="0" w:color="auto"/>
                  </w:divBdr>
                  <w:divsChild>
                    <w:div w:id="1481573693">
                      <w:marLeft w:val="0"/>
                      <w:marRight w:val="0"/>
                      <w:marTop w:val="0"/>
                      <w:marBottom w:val="0"/>
                      <w:divBdr>
                        <w:top w:val="none" w:sz="0" w:space="0" w:color="auto"/>
                        <w:left w:val="none" w:sz="0" w:space="0" w:color="auto"/>
                        <w:bottom w:val="none" w:sz="0" w:space="0" w:color="auto"/>
                        <w:right w:val="none" w:sz="0" w:space="0" w:color="auto"/>
                      </w:divBdr>
                    </w:div>
                  </w:divsChild>
                </w:div>
                <w:div w:id="249126795">
                  <w:marLeft w:val="0"/>
                  <w:marRight w:val="0"/>
                  <w:marTop w:val="0"/>
                  <w:marBottom w:val="0"/>
                  <w:divBdr>
                    <w:top w:val="none" w:sz="0" w:space="0" w:color="auto"/>
                    <w:left w:val="none" w:sz="0" w:space="0" w:color="auto"/>
                    <w:bottom w:val="none" w:sz="0" w:space="0" w:color="auto"/>
                    <w:right w:val="none" w:sz="0" w:space="0" w:color="auto"/>
                  </w:divBdr>
                  <w:divsChild>
                    <w:div w:id="753819598">
                      <w:marLeft w:val="0"/>
                      <w:marRight w:val="0"/>
                      <w:marTop w:val="0"/>
                      <w:marBottom w:val="0"/>
                      <w:divBdr>
                        <w:top w:val="none" w:sz="0" w:space="0" w:color="auto"/>
                        <w:left w:val="none" w:sz="0" w:space="0" w:color="auto"/>
                        <w:bottom w:val="none" w:sz="0" w:space="0" w:color="auto"/>
                        <w:right w:val="none" w:sz="0" w:space="0" w:color="auto"/>
                      </w:divBdr>
                    </w:div>
                  </w:divsChild>
                </w:div>
                <w:div w:id="272249885">
                  <w:marLeft w:val="0"/>
                  <w:marRight w:val="0"/>
                  <w:marTop w:val="0"/>
                  <w:marBottom w:val="0"/>
                  <w:divBdr>
                    <w:top w:val="none" w:sz="0" w:space="0" w:color="auto"/>
                    <w:left w:val="none" w:sz="0" w:space="0" w:color="auto"/>
                    <w:bottom w:val="none" w:sz="0" w:space="0" w:color="auto"/>
                    <w:right w:val="none" w:sz="0" w:space="0" w:color="auto"/>
                  </w:divBdr>
                  <w:divsChild>
                    <w:div w:id="465199551">
                      <w:marLeft w:val="0"/>
                      <w:marRight w:val="0"/>
                      <w:marTop w:val="0"/>
                      <w:marBottom w:val="0"/>
                      <w:divBdr>
                        <w:top w:val="none" w:sz="0" w:space="0" w:color="auto"/>
                        <w:left w:val="none" w:sz="0" w:space="0" w:color="auto"/>
                        <w:bottom w:val="none" w:sz="0" w:space="0" w:color="auto"/>
                        <w:right w:val="none" w:sz="0" w:space="0" w:color="auto"/>
                      </w:divBdr>
                    </w:div>
                  </w:divsChild>
                </w:div>
                <w:div w:id="280113322">
                  <w:marLeft w:val="0"/>
                  <w:marRight w:val="0"/>
                  <w:marTop w:val="0"/>
                  <w:marBottom w:val="0"/>
                  <w:divBdr>
                    <w:top w:val="none" w:sz="0" w:space="0" w:color="auto"/>
                    <w:left w:val="none" w:sz="0" w:space="0" w:color="auto"/>
                    <w:bottom w:val="none" w:sz="0" w:space="0" w:color="auto"/>
                    <w:right w:val="none" w:sz="0" w:space="0" w:color="auto"/>
                  </w:divBdr>
                  <w:divsChild>
                    <w:div w:id="1682513135">
                      <w:marLeft w:val="0"/>
                      <w:marRight w:val="0"/>
                      <w:marTop w:val="0"/>
                      <w:marBottom w:val="0"/>
                      <w:divBdr>
                        <w:top w:val="none" w:sz="0" w:space="0" w:color="auto"/>
                        <w:left w:val="none" w:sz="0" w:space="0" w:color="auto"/>
                        <w:bottom w:val="none" w:sz="0" w:space="0" w:color="auto"/>
                        <w:right w:val="none" w:sz="0" w:space="0" w:color="auto"/>
                      </w:divBdr>
                    </w:div>
                  </w:divsChild>
                </w:div>
                <w:div w:id="382146540">
                  <w:marLeft w:val="0"/>
                  <w:marRight w:val="0"/>
                  <w:marTop w:val="0"/>
                  <w:marBottom w:val="0"/>
                  <w:divBdr>
                    <w:top w:val="none" w:sz="0" w:space="0" w:color="auto"/>
                    <w:left w:val="none" w:sz="0" w:space="0" w:color="auto"/>
                    <w:bottom w:val="none" w:sz="0" w:space="0" w:color="auto"/>
                    <w:right w:val="none" w:sz="0" w:space="0" w:color="auto"/>
                  </w:divBdr>
                  <w:divsChild>
                    <w:div w:id="1558010753">
                      <w:marLeft w:val="0"/>
                      <w:marRight w:val="0"/>
                      <w:marTop w:val="0"/>
                      <w:marBottom w:val="0"/>
                      <w:divBdr>
                        <w:top w:val="none" w:sz="0" w:space="0" w:color="auto"/>
                        <w:left w:val="none" w:sz="0" w:space="0" w:color="auto"/>
                        <w:bottom w:val="none" w:sz="0" w:space="0" w:color="auto"/>
                        <w:right w:val="none" w:sz="0" w:space="0" w:color="auto"/>
                      </w:divBdr>
                    </w:div>
                  </w:divsChild>
                </w:div>
                <w:div w:id="411124519">
                  <w:marLeft w:val="0"/>
                  <w:marRight w:val="0"/>
                  <w:marTop w:val="0"/>
                  <w:marBottom w:val="0"/>
                  <w:divBdr>
                    <w:top w:val="none" w:sz="0" w:space="0" w:color="auto"/>
                    <w:left w:val="none" w:sz="0" w:space="0" w:color="auto"/>
                    <w:bottom w:val="none" w:sz="0" w:space="0" w:color="auto"/>
                    <w:right w:val="none" w:sz="0" w:space="0" w:color="auto"/>
                  </w:divBdr>
                  <w:divsChild>
                    <w:div w:id="939070419">
                      <w:marLeft w:val="0"/>
                      <w:marRight w:val="0"/>
                      <w:marTop w:val="0"/>
                      <w:marBottom w:val="0"/>
                      <w:divBdr>
                        <w:top w:val="none" w:sz="0" w:space="0" w:color="auto"/>
                        <w:left w:val="none" w:sz="0" w:space="0" w:color="auto"/>
                        <w:bottom w:val="none" w:sz="0" w:space="0" w:color="auto"/>
                        <w:right w:val="none" w:sz="0" w:space="0" w:color="auto"/>
                      </w:divBdr>
                    </w:div>
                  </w:divsChild>
                </w:div>
                <w:div w:id="430974616">
                  <w:marLeft w:val="0"/>
                  <w:marRight w:val="0"/>
                  <w:marTop w:val="0"/>
                  <w:marBottom w:val="0"/>
                  <w:divBdr>
                    <w:top w:val="none" w:sz="0" w:space="0" w:color="auto"/>
                    <w:left w:val="none" w:sz="0" w:space="0" w:color="auto"/>
                    <w:bottom w:val="none" w:sz="0" w:space="0" w:color="auto"/>
                    <w:right w:val="none" w:sz="0" w:space="0" w:color="auto"/>
                  </w:divBdr>
                  <w:divsChild>
                    <w:div w:id="353655348">
                      <w:marLeft w:val="0"/>
                      <w:marRight w:val="0"/>
                      <w:marTop w:val="0"/>
                      <w:marBottom w:val="0"/>
                      <w:divBdr>
                        <w:top w:val="none" w:sz="0" w:space="0" w:color="auto"/>
                        <w:left w:val="none" w:sz="0" w:space="0" w:color="auto"/>
                        <w:bottom w:val="none" w:sz="0" w:space="0" w:color="auto"/>
                        <w:right w:val="none" w:sz="0" w:space="0" w:color="auto"/>
                      </w:divBdr>
                    </w:div>
                  </w:divsChild>
                </w:div>
                <w:div w:id="470365357">
                  <w:marLeft w:val="0"/>
                  <w:marRight w:val="0"/>
                  <w:marTop w:val="0"/>
                  <w:marBottom w:val="0"/>
                  <w:divBdr>
                    <w:top w:val="none" w:sz="0" w:space="0" w:color="auto"/>
                    <w:left w:val="none" w:sz="0" w:space="0" w:color="auto"/>
                    <w:bottom w:val="none" w:sz="0" w:space="0" w:color="auto"/>
                    <w:right w:val="none" w:sz="0" w:space="0" w:color="auto"/>
                  </w:divBdr>
                  <w:divsChild>
                    <w:div w:id="1988313984">
                      <w:marLeft w:val="0"/>
                      <w:marRight w:val="0"/>
                      <w:marTop w:val="0"/>
                      <w:marBottom w:val="0"/>
                      <w:divBdr>
                        <w:top w:val="none" w:sz="0" w:space="0" w:color="auto"/>
                        <w:left w:val="none" w:sz="0" w:space="0" w:color="auto"/>
                        <w:bottom w:val="none" w:sz="0" w:space="0" w:color="auto"/>
                        <w:right w:val="none" w:sz="0" w:space="0" w:color="auto"/>
                      </w:divBdr>
                    </w:div>
                  </w:divsChild>
                </w:div>
                <w:div w:id="470903078">
                  <w:marLeft w:val="0"/>
                  <w:marRight w:val="0"/>
                  <w:marTop w:val="0"/>
                  <w:marBottom w:val="0"/>
                  <w:divBdr>
                    <w:top w:val="none" w:sz="0" w:space="0" w:color="auto"/>
                    <w:left w:val="none" w:sz="0" w:space="0" w:color="auto"/>
                    <w:bottom w:val="none" w:sz="0" w:space="0" w:color="auto"/>
                    <w:right w:val="none" w:sz="0" w:space="0" w:color="auto"/>
                  </w:divBdr>
                  <w:divsChild>
                    <w:div w:id="256603038">
                      <w:marLeft w:val="0"/>
                      <w:marRight w:val="0"/>
                      <w:marTop w:val="0"/>
                      <w:marBottom w:val="0"/>
                      <w:divBdr>
                        <w:top w:val="none" w:sz="0" w:space="0" w:color="auto"/>
                        <w:left w:val="none" w:sz="0" w:space="0" w:color="auto"/>
                        <w:bottom w:val="none" w:sz="0" w:space="0" w:color="auto"/>
                        <w:right w:val="none" w:sz="0" w:space="0" w:color="auto"/>
                      </w:divBdr>
                    </w:div>
                  </w:divsChild>
                </w:div>
                <w:div w:id="571936533">
                  <w:marLeft w:val="0"/>
                  <w:marRight w:val="0"/>
                  <w:marTop w:val="0"/>
                  <w:marBottom w:val="0"/>
                  <w:divBdr>
                    <w:top w:val="none" w:sz="0" w:space="0" w:color="auto"/>
                    <w:left w:val="none" w:sz="0" w:space="0" w:color="auto"/>
                    <w:bottom w:val="none" w:sz="0" w:space="0" w:color="auto"/>
                    <w:right w:val="none" w:sz="0" w:space="0" w:color="auto"/>
                  </w:divBdr>
                  <w:divsChild>
                    <w:div w:id="536309635">
                      <w:marLeft w:val="0"/>
                      <w:marRight w:val="0"/>
                      <w:marTop w:val="0"/>
                      <w:marBottom w:val="0"/>
                      <w:divBdr>
                        <w:top w:val="none" w:sz="0" w:space="0" w:color="auto"/>
                        <w:left w:val="none" w:sz="0" w:space="0" w:color="auto"/>
                        <w:bottom w:val="none" w:sz="0" w:space="0" w:color="auto"/>
                        <w:right w:val="none" w:sz="0" w:space="0" w:color="auto"/>
                      </w:divBdr>
                    </w:div>
                  </w:divsChild>
                </w:div>
                <w:div w:id="590161181">
                  <w:marLeft w:val="0"/>
                  <w:marRight w:val="0"/>
                  <w:marTop w:val="0"/>
                  <w:marBottom w:val="0"/>
                  <w:divBdr>
                    <w:top w:val="none" w:sz="0" w:space="0" w:color="auto"/>
                    <w:left w:val="none" w:sz="0" w:space="0" w:color="auto"/>
                    <w:bottom w:val="none" w:sz="0" w:space="0" w:color="auto"/>
                    <w:right w:val="none" w:sz="0" w:space="0" w:color="auto"/>
                  </w:divBdr>
                  <w:divsChild>
                    <w:div w:id="2081948326">
                      <w:marLeft w:val="0"/>
                      <w:marRight w:val="0"/>
                      <w:marTop w:val="0"/>
                      <w:marBottom w:val="0"/>
                      <w:divBdr>
                        <w:top w:val="none" w:sz="0" w:space="0" w:color="auto"/>
                        <w:left w:val="none" w:sz="0" w:space="0" w:color="auto"/>
                        <w:bottom w:val="none" w:sz="0" w:space="0" w:color="auto"/>
                        <w:right w:val="none" w:sz="0" w:space="0" w:color="auto"/>
                      </w:divBdr>
                    </w:div>
                  </w:divsChild>
                </w:div>
                <w:div w:id="617833525">
                  <w:marLeft w:val="0"/>
                  <w:marRight w:val="0"/>
                  <w:marTop w:val="0"/>
                  <w:marBottom w:val="0"/>
                  <w:divBdr>
                    <w:top w:val="none" w:sz="0" w:space="0" w:color="auto"/>
                    <w:left w:val="none" w:sz="0" w:space="0" w:color="auto"/>
                    <w:bottom w:val="none" w:sz="0" w:space="0" w:color="auto"/>
                    <w:right w:val="none" w:sz="0" w:space="0" w:color="auto"/>
                  </w:divBdr>
                  <w:divsChild>
                    <w:div w:id="589850852">
                      <w:marLeft w:val="0"/>
                      <w:marRight w:val="0"/>
                      <w:marTop w:val="0"/>
                      <w:marBottom w:val="0"/>
                      <w:divBdr>
                        <w:top w:val="none" w:sz="0" w:space="0" w:color="auto"/>
                        <w:left w:val="none" w:sz="0" w:space="0" w:color="auto"/>
                        <w:bottom w:val="none" w:sz="0" w:space="0" w:color="auto"/>
                        <w:right w:val="none" w:sz="0" w:space="0" w:color="auto"/>
                      </w:divBdr>
                    </w:div>
                  </w:divsChild>
                </w:div>
                <w:div w:id="632835360">
                  <w:marLeft w:val="0"/>
                  <w:marRight w:val="0"/>
                  <w:marTop w:val="0"/>
                  <w:marBottom w:val="0"/>
                  <w:divBdr>
                    <w:top w:val="none" w:sz="0" w:space="0" w:color="auto"/>
                    <w:left w:val="none" w:sz="0" w:space="0" w:color="auto"/>
                    <w:bottom w:val="none" w:sz="0" w:space="0" w:color="auto"/>
                    <w:right w:val="none" w:sz="0" w:space="0" w:color="auto"/>
                  </w:divBdr>
                  <w:divsChild>
                    <w:div w:id="659818594">
                      <w:marLeft w:val="0"/>
                      <w:marRight w:val="0"/>
                      <w:marTop w:val="0"/>
                      <w:marBottom w:val="0"/>
                      <w:divBdr>
                        <w:top w:val="none" w:sz="0" w:space="0" w:color="auto"/>
                        <w:left w:val="none" w:sz="0" w:space="0" w:color="auto"/>
                        <w:bottom w:val="none" w:sz="0" w:space="0" w:color="auto"/>
                        <w:right w:val="none" w:sz="0" w:space="0" w:color="auto"/>
                      </w:divBdr>
                    </w:div>
                  </w:divsChild>
                </w:div>
                <w:div w:id="640310653">
                  <w:marLeft w:val="0"/>
                  <w:marRight w:val="0"/>
                  <w:marTop w:val="0"/>
                  <w:marBottom w:val="0"/>
                  <w:divBdr>
                    <w:top w:val="none" w:sz="0" w:space="0" w:color="auto"/>
                    <w:left w:val="none" w:sz="0" w:space="0" w:color="auto"/>
                    <w:bottom w:val="none" w:sz="0" w:space="0" w:color="auto"/>
                    <w:right w:val="none" w:sz="0" w:space="0" w:color="auto"/>
                  </w:divBdr>
                  <w:divsChild>
                    <w:div w:id="261257829">
                      <w:marLeft w:val="0"/>
                      <w:marRight w:val="0"/>
                      <w:marTop w:val="0"/>
                      <w:marBottom w:val="0"/>
                      <w:divBdr>
                        <w:top w:val="none" w:sz="0" w:space="0" w:color="auto"/>
                        <w:left w:val="none" w:sz="0" w:space="0" w:color="auto"/>
                        <w:bottom w:val="none" w:sz="0" w:space="0" w:color="auto"/>
                        <w:right w:val="none" w:sz="0" w:space="0" w:color="auto"/>
                      </w:divBdr>
                    </w:div>
                  </w:divsChild>
                </w:div>
                <w:div w:id="641079438">
                  <w:marLeft w:val="0"/>
                  <w:marRight w:val="0"/>
                  <w:marTop w:val="0"/>
                  <w:marBottom w:val="0"/>
                  <w:divBdr>
                    <w:top w:val="none" w:sz="0" w:space="0" w:color="auto"/>
                    <w:left w:val="none" w:sz="0" w:space="0" w:color="auto"/>
                    <w:bottom w:val="none" w:sz="0" w:space="0" w:color="auto"/>
                    <w:right w:val="none" w:sz="0" w:space="0" w:color="auto"/>
                  </w:divBdr>
                  <w:divsChild>
                    <w:div w:id="1124538938">
                      <w:marLeft w:val="0"/>
                      <w:marRight w:val="0"/>
                      <w:marTop w:val="0"/>
                      <w:marBottom w:val="0"/>
                      <w:divBdr>
                        <w:top w:val="none" w:sz="0" w:space="0" w:color="auto"/>
                        <w:left w:val="none" w:sz="0" w:space="0" w:color="auto"/>
                        <w:bottom w:val="none" w:sz="0" w:space="0" w:color="auto"/>
                        <w:right w:val="none" w:sz="0" w:space="0" w:color="auto"/>
                      </w:divBdr>
                    </w:div>
                  </w:divsChild>
                </w:div>
                <w:div w:id="661616587">
                  <w:marLeft w:val="0"/>
                  <w:marRight w:val="0"/>
                  <w:marTop w:val="0"/>
                  <w:marBottom w:val="0"/>
                  <w:divBdr>
                    <w:top w:val="none" w:sz="0" w:space="0" w:color="auto"/>
                    <w:left w:val="none" w:sz="0" w:space="0" w:color="auto"/>
                    <w:bottom w:val="none" w:sz="0" w:space="0" w:color="auto"/>
                    <w:right w:val="none" w:sz="0" w:space="0" w:color="auto"/>
                  </w:divBdr>
                  <w:divsChild>
                    <w:div w:id="1705640174">
                      <w:marLeft w:val="0"/>
                      <w:marRight w:val="0"/>
                      <w:marTop w:val="0"/>
                      <w:marBottom w:val="0"/>
                      <w:divBdr>
                        <w:top w:val="none" w:sz="0" w:space="0" w:color="auto"/>
                        <w:left w:val="none" w:sz="0" w:space="0" w:color="auto"/>
                        <w:bottom w:val="none" w:sz="0" w:space="0" w:color="auto"/>
                        <w:right w:val="none" w:sz="0" w:space="0" w:color="auto"/>
                      </w:divBdr>
                    </w:div>
                  </w:divsChild>
                </w:div>
                <w:div w:id="680666378">
                  <w:marLeft w:val="0"/>
                  <w:marRight w:val="0"/>
                  <w:marTop w:val="0"/>
                  <w:marBottom w:val="0"/>
                  <w:divBdr>
                    <w:top w:val="none" w:sz="0" w:space="0" w:color="auto"/>
                    <w:left w:val="none" w:sz="0" w:space="0" w:color="auto"/>
                    <w:bottom w:val="none" w:sz="0" w:space="0" w:color="auto"/>
                    <w:right w:val="none" w:sz="0" w:space="0" w:color="auto"/>
                  </w:divBdr>
                  <w:divsChild>
                    <w:div w:id="1641307037">
                      <w:marLeft w:val="0"/>
                      <w:marRight w:val="0"/>
                      <w:marTop w:val="0"/>
                      <w:marBottom w:val="0"/>
                      <w:divBdr>
                        <w:top w:val="none" w:sz="0" w:space="0" w:color="auto"/>
                        <w:left w:val="none" w:sz="0" w:space="0" w:color="auto"/>
                        <w:bottom w:val="none" w:sz="0" w:space="0" w:color="auto"/>
                        <w:right w:val="none" w:sz="0" w:space="0" w:color="auto"/>
                      </w:divBdr>
                    </w:div>
                  </w:divsChild>
                </w:div>
                <w:div w:id="695155239">
                  <w:marLeft w:val="0"/>
                  <w:marRight w:val="0"/>
                  <w:marTop w:val="0"/>
                  <w:marBottom w:val="0"/>
                  <w:divBdr>
                    <w:top w:val="none" w:sz="0" w:space="0" w:color="auto"/>
                    <w:left w:val="none" w:sz="0" w:space="0" w:color="auto"/>
                    <w:bottom w:val="none" w:sz="0" w:space="0" w:color="auto"/>
                    <w:right w:val="none" w:sz="0" w:space="0" w:color="auto"/>
                  </w:divBdr>
                  <w:divsChild>
                    <w:div w:id="929704170">
                      <w:marLeft w:val="0"/>
                      <w:marRight w:val="0"/>
                      <w:marTop w:val="0"/>
                      <w:marBottom w:val="0"/>
                      <w:divBdr>
                        <w:top w:val="none" w:sz="0" w:space="0" w:color="auto"/>
                        <w:left w:val="none" w:sz="0" w:space="0" w:color="auto"/>
                        <w:bottom w:val="none" w:sz="0" w:space="0" w:color="auto"/>
                        <w:right w:val="none" w:sz="0" w:space="0" w:color="auto"/>
                      </w:divBdr>
                    </w:div>
                  </w:divsChild>
                </w:div>
                <w:div w:id="708804592">
                  <w:marLeft w:val="0"/>
                  <w:marRight w:val="0"/>
                  <w:marTop w:val="0"/>
                  <w:marBottom w:val="0"/>
                  <w:divBdr>
                    <w:top w:val="none" w:sz="0" w:space="0" w:color="auto"/>
                    <w:left w:val="none" w:sz="0" w:space="0" w:color="auto"/>
                    <w:bottom w:val="none" w:sz="0" w:space="0" w:color="auto"/>
                    <w:right w:val="none" w:sz="0" w:space="0" w:color="auto"/>
                  </w:divBdr>
                  <w:divsChild>
                    <w:div w:id="1617718140">
                      <w:marLeft w:val="0"/>
                      <w:marRight w:val="0"/>
                      <w:marTop w:val="0"/>
                      <w:marBottom w:val="0"/>
                      <w:divBdr>
                        <w:top w:val="none" w:sz="0" w:space="0" w:color="auto"/>
                        <w:left w:val="none" w:sz="0" w:space="0" w:color="auto"/>
                        <w:bottom w:val="none" w:sz="0" w:space="0" w:color="auto"/>
                        <w:right w:val="none" w:sz="0" w:space="0" w:color="auto"/>
                      </w:divBdr>
                    </w:div>
                  </w:divsChild>
                </w:div>
                <w:div w:id="831674871">
                  <w:marLeft w:val="0"/>
                  <w:marRight w:val="0"/>
                  <w:marTop w:val="0"/>
                  <w:marBottom w:val="0"/>
                  <w:divBdr>
                    <w:top w:val="none" w:sz="0" w:space="0" w:color="auto"/>
                    <w:left w:val="none" w:sz="0" w:space="0" w:color="auto"/>
                    <w:bottom w:val="none" w:sz="0" w:space="0" w:color="auto"/>
                    <w:right w:val="none" w:sz="0" w:space="0" w:color="auto"/>
                  </w:divBdr>
                  <w:divsChild>
                    <w:div w:id="748692287">
                      <w:marLeft w:val="0"/>
                      <w:marRight w:val="0"/>
                      <w:marTop w:val="0"/>
                      <w:marBottom w:val="0"/>
                      <w:divBdr>
                        <w:top w:val="none" w:sz="0" w:space="0" w:color="auto"/>
                        <w:left w:val="none" w:sz="0" w:space="0" w:color="auto"/>
                        <w:bottom w:val="none" w:sz="0" w:space="0" w:color="auto"/>
                        <w:right w:val="none" w:sz="0" w:space="0" w:color="auto"/>
                      </w:divBdr>
                    </w:div>
                  </w:divsChild>
                </w:div>
                <w:div w:id="891311523">
                  <w:marLeft w:val="0"/>
                  <w:marRight w:val="0"/>
                  <w:marTop w:val="0"/>
                  <w:marBottom w:val="0"/>
                  <w:divBdr>
                    <w:top w:val="none" w:sz="0" w:space="0" w:color="auto"/>
                    <w:left w:val="none" w:sz="0" w:space="0" w:color="auto"/>
                    <w:bottom w:val="none" w:sz="0" w:space="0" w:color="auto"/>
                    <w:right w:val="none" w:sz="0" w:space="0" w:color="auto"/>
                  </w:divBdr>
                  <w:divsChild>
                    <w:div w:id="675232617">
                      <w:marLeft w:val="0"/>
                      <w:marRight w:val="0"/>
                      <w:marTop w:val="0"/>
                      <w:marBottom w:val="0"/>
                      <w:divBdr>
                        <w:top w:val="none" w:sz="0" w:space="0" w:color="auto"/>
                        <w:left w:val="none" w:sz="0" w:space="0" w:color="auto"/>
                        <w:bottom w:val="none" w:sz="0" w:space="0" w:color="auto"/>
                        <w:right w:val="none" w:sz="0" w:space="0" w:color="auto"/>
                      </w:divBdr>
                    </w:div>
                  </w:divsChild>
                </w:div>
                <w:div w:id="940643880">
                  <w:marLeft w:val="0"/>
                  <w:marRight w:val="0"/>
                  <w:marTop w:val="0"/>
                  <w:marBottom w:val="0"/>
                  <w:divBdr>
                    <w:top w:val="none" w:sz="0" w:space="0" w:color="auto"/>
                    <w:left w:val="none" w:sz="0" w:space="0" w:color="auto"/>
                    <w:bottom w:val="none" w:sz="0" w:space="0" w:color="auto"/>
                    <w:right w:val="none" w:sz="0" w:space="0" w:color="auto"/>
                  </w:divBdr>
                  <w:divsChild>
                    <w:div w:id="494608968">
                      <w:marLeft w:val="0"/>
                      <w:marRight w:val="0"/>
                      <w:marTop w:val="0"/>
                      <w:marBottom w:val="0"/>
                      <w:divBdr>
                        <w:top w:val="none" w:sz="0" w:space="0" w:color="auto"/>
                        <w:left w:val="none" w:sz="0" w:space="0" w:color="auto"/>
                        <w:bottom w:val="none" w:sz="0" w:space="0" w:color="auto"/>
                        <w:right w:val="none" w:sz="0" w:space="0" w:color="auto"/>
                      </w:divBdr>
                    </w:div>
                  </w:divsChild>
                </w:div>
                <w:div w:id="946888593">
                  <w:marLeft w:val="0"/>
                  <w:marRight w:val="0"/>
                  <w:marTop w:val="0"/>
                  <w:marBottom w:val="0"/>
                  <w:divBdr>
                    <w:top w:val="none" w:sz="0" w:space="0" w:color="auto"/>
                    <w:left w:val="none" w:sz="0" w:space="0" w:color="auto"/>
                    <w:bottom w:val="none" w:sz="0" w:space="0" w:color="auto"/>
                    <w:right w:val="none" w:sz="0" w:space="0" w:color="auto"/>
                  </w:divBdr>
                  <w:divsChild>
                    <w:div w:id="745415360">
                      <w:marLeft w:val="0"/>
                      <w:marRight w:val="0"/>
                      <w:marTop w:val="0"/>
                      <w:marBottom w:val="0"/>
                      <w:divBdr>
                        <w:top w:val="none" w:sz="0" w:space="0" w:color="auto"/>
                        <w:left w:val="none" w:sz="0" w:space="0" w:color="auto"/>
                        <w:bottom w:val="none" w:sz="0" w:space="0" w:color="auto"/>
                        <w:right w:val="none" w:sz="0" w:space="0" w:color="auto"/>
                      </w:divBdr>
                    </w:div>
                  </w:divsChild>
                </w:div>
                <w:div w:id="973484588">
                  <w:marLeft w:val="0"/>
                  <w:marRight w:val="0"/>
                  <w:marTop w:val="0"/>
                  <w:marBottom w:val="0"/>
                  <w:divBdr>
                    <w:top w:val="none" w:sz="0" w:space="0" w:color="auto"/>
                    <w:left w:val="none" w:sz="0" w:space="0" w:color="auto"/>
                    <w:bottom w:val="none" w:sz="0" w:space="0" w:color="auto"/>
                    <w:right w:val="none" w:sz="0" w:space="0" w:color="auto"/>
                  </w:divBdr>
                  <w:divsChild>
                    <w:div w:id="960649921">
                      <w:marLeft w:val="0"/>
                      <w:marRight w:val="0"/>
                      <w:marTop w:val="0"/>
                      <w:marBottom w:val="0"/>
                      <w:divBdr>
                        <w:top w:val="none" w:sz="0" w:space="0" w:color="auto"/>
                        <w:left w:val="none" w:sz="0" w:space="0" w:color="auto"/>
                        <w:bottom w:val="none" w:sz="0" w:space="0" w:color="auto"/>
                        <w:right w:val="none" w:sz="0" w:space="0" w:color="auto"/>
                      </w:divBdr>
                    </w:div>
                  </w:divsChild>
                </w:div>
                <w:div w:id="975373240">
                  <w:marLeft w:val="0"/>
                  <w:marRight w:val="0"/>
                  <w:marTop w:val="0"/>
                  <w:marBottom w:val="0"/>
                  <w:divBdr>
                    <w:top w:val="none" w:sz="0" w:space="0" w:color="auto"/>
                    <w:left w:val="none" w:sz="0" w:space="0" w:color="auto"/>
                    <w:bottom w:val="none" w:sz="0" w:space="0" w:color="auto"/>
                    <w:right w:val="none" w:sz="0" w:space="0" w:color="auto"/>
                  </w:divBdr>
                  <w:divsChild>
                    <w:div w:id="1978102433">
                      <w:marLeft w:val="0"/>
                      <w:marRight w:val="0"/>
                      <w:marTop w:val="0"/>
                      <w:marBottom w:val="0"/>
                      <w:divBdr>
                        <w:top w:val="none" w:sz="0" w:space="0" w:color="auto"/>
                        <w:left w:val="none" w:sz="0" w:space="0" w:color="auto"/>
                        <w:bottom w:val="none" w:sz="0" w:space="0" w:color="auto"/>
                        <w:right w:val="none" w:sz="0" w:space="0" w:color="auto"/>
                      </w:divBdr>
                    </w:div>
                  </w:divsChild>
                </w:div>
                <w:div w:id="979385020">
                  <w:marLeft w:val="0"/>
                  <w:marRight w:val="0"/>
                  <w:marTop w:val="0"/>
                  <w:marBottom w:val="0"/>
                  <w:divBdr>
                    <w:top w:val="none" w:sz="0" w:space="0" w:color="auto"/>
                    <w:left w:val="none" w:sz="0" w:space="0" w:color="auto"/>
                    <w:bottom w:val="none" w:sz="0" w:space="0" w:color="auto"/>
                    <w:right w:val="none" w:sz="0" w:space="0" w:color="auto"/>
                  </w:divBdr>
                  <w:divsChild>
                    <w:div w:id="730469766">
                      <w:marLeft w:val="0"/>
                      <w:marRight w:val="0"/>
                      <w:marTop w:val="0"/>
                      <w:marBottom w:val="0"/>
                      <w:divBdr>
                        <w:top w:val="none" w:sz="0" w:space="0" w:color="auto"/>
                        <w:left w:val="none" w:sz="0" w:space="0" w:color="auto"/>
                        <w:bottom w:val="none" w:sz="0" w:space="0" w:color="auto"/>
                        <w:right w:val="none" w:sz="0" w:space="0" w:color="auto"/>
                      </w:divBdr>
                    </w:div>
                  </w:divsChild>
                </w:div>
                <w:div w:id="1067417522">
                  <w:marLeft w:val="0"/>
                  <w:marRight w:val="0"/>
                  <w:marTop w:val="0"/>
                  <w:marBottom w:val="0"/>
                  <w:divBdr>
                    <w:top w:val="none" w:sz="0" w:space="0" w:color="auto"/>
                    <w:left w:val="none" w:sz="0" w:space="0" w:color="auto"/>
                    <w:bottom w:val="none" w:sz="0" w:space="0" w:color="auto"/>
                    <w:right w:val="none" w:sz="0" w:space="0" w:color="auto"/>
                  </w:divBdr>
                  <w:divsChild>
                    <w:div w:id="2136672422">
                      <w:marLeft w:val="0"/>
                      <w:marRight w:val="0"/>
                      <w:marTop w:val="0"/>
                      <w:marBottom w:val="0"/>
                      <w:divBdr>
                        <w:top w:val="none" w:sz="0" w:space="0" w:color="auto"/>
                        <w:left w:val="none" w:sz="0" w:space="0" w:color="auto"/>
                        <w:bottom w:val="none" w:sz="0" w:space="0" w:color="auto"/>
                        <w:right w:val="none" w:sz="0" w:space="0" w:color="auto"/>
                      </w:divBdr>
                    </w:div>
                  </w:divsChild>
                </w:div>
                <w:div w:id="1136726271">
                  <w:marLeft w:val="0"/>
                  <w:marRight w:val="0"/>
                  <w:marTop w:val="0"/>
                  <w:marBottom w:val="0"/>
                  <w:divBdr>
                    <w:top w:val="none" w:sz="0" w:space="0" w:color="auto"/>
                    <w:left w:val="none" w:sz="0" w:space="0" w:color="auto"/>
                    <w:bottom w:val="none" w:sz="0" w:space="0" w:color="auto"/>
                    <w:right w:val="none" w:sz="0" w:space="0" w:color="auto"/>
                  </w:divBdr>
                  <w:divsChild>
                    <w:div w:id="1173838439">
                      <w:marLeft w:val="0"/>
                      <w:marRight w:val="0"/>
                      <w:marTop w:val="0"/>
                      <w:marBottom w:val="0"/>
                      <w:divBdr>
                        <w:top w:val="none" w:sz="0" w:space="0" w:color="auto"/>
                        <w:left w:val="none" w:sz="0" w:space="0" w:color="auto"/>
                        <w:bottom w:val="none" w:sz="0" w:space="0" w:color="auto"/>
                        <w:right w:val="none" w:sz="0" w:space="0" w:color="auto"/>
                      </w:divBdr>
                    </w:div>
                  </w:divsChild>
                </w:div>
                <w:div w:id="1170171879">
                  <w:marLeft w:val="0"/>
                  <w:marRight w:val="0"/>
                  <w:marTop w:val="0"/>
                  <w:marBottom w:val="0"/>
                  <w:divBdr>
                    <w:top w:val="none" w:sz="0" w:space="0" w:color="auto"/>
                    <w:left w:val="none" w:sz="0" w:space="0" w:color="auto"/>
                    <w:bottom w:val="none" w:sz="0" w:space="0" w:color="auto"/>
                    <w:right w:val="none" w:sz="0" w:space="0" w:color="auto"/>
                  </w:divBdr>
                  <w:divsChild>
                    <w:div w:id="2071462667">
                      <w:marLeft w:val="0"/>
                      <w:marRight w:val="0"/>
                      <w:marTop w:val="0"/>
                      <w:marBottom w:val="0"/>
                      <w:divBdr>
                        <w:top w:val="none" w:sz="0" w:space="0" w:color="auto"/>
                        <w:left w:val="none" w:sz="0" w:space="0" w:color="auto"/>
                        <w:bottom w:val="none" w:sz="0" w:space="0" w:color="auto"/>
                        <w:right w:val="none" w:sz="0" w:space="0" w:color="auto"/>
                      </w:divBdr>
                    </w:div>
                  </w:divsChild>
                </w:div>
                <w:div w:id="1188368983">
                  <w:marLeft w:val="0"/>
                  <w:marRight w:val="0"/>
                  <w:marTop w:val="0"/>
                  <w:marBottom w:val="0"/>
                  <w:divBdr>
                    <w:top w:val="none" w:sz="0" w:space="0" w:color="auto"/>
                    <w:left w:val="none" w:sz="0" w:space="0" w:color="auto"/>
                    <w:bottom w:val="none" w:sz="0" w:space="0" w:color="auto"/>
                    <w:right w:val="none" w:sz="0" w:space="0" w:color="auto"/>
                  </w:divBdr>
                  <w:divsChild>
                    <w:div w:id="50540783">
                      <w:marLeft w:val="0"/>
                      <w:marRight w:val="0"/>
                      <w:marTop w:val="0"/>
                      <w:marBottom w:val="0"/>
                      <w:divBdr>
                        <w:top w:val="none" w:sz="0" w:space="0" w:color="auto"/>
                        <w:left w:val="none" w:sz="0" w:space="0" w:color="auto"/>
                        <w:bottom w:val="none" w:sz="0" w:space="0" w:color="auto"/>
                        <w:right w:val="none" w:sz="0" w:space="0" w:color="auto"/>
                      </w:divBdr>
                    </w:div>
                  </w:divsChild>
                </w:div>
                <w:div w:id="1190339256">
                  <w:marLeft w:val="0"/>
                  <w:marRight w:val="0"/>
                  <w:marTop w:val="0"/>
                  <w:marBottom w:val="0"/>
                  <w:divBdr>
                    <w:top w:val="none" w:sz="0" w:space="0" w:color="auto"/>
                    <w:left w:val="none" w:sz="0" w:space="0" w:color="auto"/>
                    <w:bottom w:val="none" w:sz="0" w:space="0" w:color="auto"/>
                    <w:right w:val="none" w:sz="0" w:space="0" w:color="auto"/>
                  </w:divBdr>
                  <w:divsChild>
                    <w:div w:id="1267930048">
                      <w:marLeft w:val="0"/>
                      <w:marRight w:val="0"/>
                      <w:marTop w:val="0"/>
                      <w:marBottom w:val="0"/>
                      <w:divBdr>
                        <w:top w:val="none" w:sz="0" w:space="0" w:color="auto"/>
                        <w:left w:val="none" w:sz="0" w:space="0" w:color="auto"/>
                        <w:bottom w:val="none" w:sz="0" w:space="0" w:color="auto"/>
                        <w:right w:val="none" w:sz="0" w:space="0" w:color="auto"/>
                      </w:divBdr>
                    </w:div>
                  </w:divsChild>
                </w:div>
                <w:div w:id="1216432040">
                  <w:marLeft w:val="0"/>
                  <w:marRight w:val="0"/>
                  <w:marTop w:val="0"/>
                  <w:marBottom w:val="0"/>
                  <w:divBdr>
                    <w:top w:val="none" w:sz="0" w:space="0" w:color="auto"/>
                    <w:left w:val="none" w:sz="0" w:space="0" w:color="auto"/>
                    <w:bottom w:val="none" w:sz="0" w:space="0" w:color="auto"/>
                    <w:right w:val="none" w:sz="0" w:space="0" w:color="auto"/>
                  </w:divBdr>
                  <w:divsChild>
                    <w:div w:id="1113789483">
                      <w:marLeft w:val="0"/>
                      <w:marRight w:val="0"/>
                      <w:marTop w:val="0"/>
                      <w:marBottom w:val="0"/>
                      <w:divBdr>
                        <w:top w:val="none" w:sz="0" w:space="0" w:color="auto"/>
                        <w:left w:val="none" w:sz="0" w:space="0" w:color="auto"/>
                        <w:bottom w:val="none" w:sz="0" w:space="0" w:color="auto"/>
                        <w:right w:val="none" w:sz="0" w:space="0" w:color="auto"/>
                      </w:divBdr>
                    </w:div>
                  </w:divsChild>
                </w:div>
                <w:div w:id="1236741658">
                  <w:marLeft w:val="0"/>
                  <w:marRight w:val="0"/>
                  <w:marTop w:val="0"/>
                  <w:marBottom w:val="0"/>
                  <w:divBdr>
                    <w:top w:val="none" w:sz="0" w:space="0" w:color="auto"/>
                    <w:left w:val="none" w:sz="0" w:space="0" w:color="auto"/>
                    <w:bottom w:val="none" w:sz="0" w:space="0" w:color="auto"/>
                    <w:right w:val="none" w:sz="0" w:space="0" w:color="auto"/>
                  </w:divBdr>
                  <w:divsChild>
                    <w:div w:id="992679696">
                      <w:marLeft w:val="0"/>
                      <w:marRight w:val="0"/>
                      <w:marTop w:val="0"/>
                      <w:marBottom w:val="0"/>
                      <w:divBdr>
                        <w:top w:val="none" w:sz="0" w:space="0" w:color="auto"/>
                        <w:left w:val="none" w:sz="0" w:space="0" w:color="auto"/>
                        <w:bottom w:val="none" w:sz="0" w:space="0" w:color="auto"/>
                        <w:right w:val="none" w:sz="0" w:space="0" w:color="auto"/>
                      </w:divBdr>
                    </w:div>
                  </w:divsChild>
                </w:div>
                <w:div w:id="1242131730">
                  <w:marLeft w:val="0"/>
                  <w:marRight w:val="0"/>
                  <w:marTop w:val="0"/>
                  <w:marBottom w:val="0"/>
                  <w:divBdr>
                    <w:top w:val="none" w:sz="0" w:space="0" w:color="auto"/>
                    <w:left w:val="none" w:sz="0" w:space="0" w:color="auto"/>
                    <w:bottom w:val="none" w:sz="0" w:space="0" w:color="auto"/>
                    <w:right w:val="none" w:sz="0" w:space="0" w:color="auto"/>
                  </w:divBdr>
                  <w:divsChild>
                    <w:div w:id="1784030769">
                      <w:marLeft w:val="0"/>
                      <w:marRight w:val="0"/>
                      <w:marTop w:val="0"/>
                      <w:marBottom w:val="0"/>
                      <w:divBdr>
                        <w:top w:val="none" w:sz="0" w:space="0" w:color="auto"/>
                        <w:left w:val="none" w:sz="0" w:space="0" w:color="auto"/>
                        <w:bottom w:val="none" w:sz="0" w:space="0" w:color="auto"/>
                        <w:right w:val="none" w:sz="0" w:space="0" w:color="auto"/>
                      </w:divBdr>
                    </w:div>
                  </w:divsChild>
                </w:div>
                <w:div w:id="1246182569">
                  <w:marLeft w:val="0"/>
                  <w:marRight w:val="0"/>
                  <w:marTop w:val="0"/>
                  <w:marBottom w:val="0"/>
                  <w:divBdr>
                    <w:top w:val="none" w:sz="0" w:space="0" w:color="auto"/>
                    <w:left w:val="none" w:sz="0" w:space="0" w:color="auto"/>
                    <w:bottom w:val="none" w:sz="0" w:space="0" w:color="auto"/>
                    <w:right w:val="none" w:sz="0" w:space="0" w:color="auto"/>
                  </w:divBdr>
                  <w:divsChild>
                    <w:div w:id="2040859707">
                      <w:marLeft w:val="0"/>
                      <w:marRight w:val="0"/>
                      <w:marTop w:val="0"/>
                      <w:marBottom w:val="0"/>
                      <w:divBdr>
                        <w:top w:val="none" w:sz="0" w:space="0" w:color="auto"/>
                        <w:left w:val="none" w:sz="0" w:space="0" w:color="auto"/>
                        <w:bottom w:val="none" w:sz="0" w:space="0" w:color="auto"/>
                        <w:right w:val="none" w:sz="0" w:space="0" w:color="auto"/>
                      </w:divBdr>
                    </w:div>
                  </w:divsChild>
                </w:div>
                <w:div w:id="1277057014">
                  <w:marLeft w:val="0"/>
                  <w:marRight w:val="0"/>
                  <w:marTop w:val="0"/>
                  <w:marBottom w:val="0"/>
                  <w:divBdr>
                    <w:top w:val="none" w:sz="0" w:space="0" w:color="auto"/>
                    <w:left w:val="none" w:sz="0" w:space="0" w:color="auto"/>
                    <w:bottom w:val="none" w:sz="0" w:space="0" w:color="auto"/>
                    <w:right w:val="none" w:sz="0" w:space="0" w:color="auto"/>
                  </w:divBdr>
                  <w:divsChild>
                    <w:div w:id="1789546096">
                      <w:marLeft w:val="0"/>
                      <w:marRight w:val="0"/>
                      <w:marTop w:val="0"/>
                      <w:marBottom w:val="0"/>
                      <w:divBdr>
                        <w:top w:val="none" w:sz="0" w:space="0" w:color="auto"/>
                        <w:left w:val="none" w:sz="0" w:space="0" w:color="auto"/>
                        <w:bottom w:val="none" w:sz="0" w:space="0" w:color="auto"/>
                        <w:right w:val="none" w:sz="0" w:space="0" w:color="auto"/>
                      </w:divBdr>
                    </w:div>
                  </w:divsChild>
                </w:div>
                <w:div w:id="1281693121">
                  <w:marLeft w:val="0"/>
                  <w:marRight w:val="0"/>
                  <w:marTop w:val="0"/>
                  <w:marBottom w:val="0"/>
                  <w:divBdr>
                    <w:top w:val="none" w:sz="0" w:space="0" w:color="auto"/>
                    <w:left w:val="none" w:sz="0" w:space="0" w:color="auto"/>
                    <w:bottom w:val="none" w:sz="0" w:space="0" w:color="auto"/>
                    <w:right w:val="none" w:sz="0" w:space="0" w:color="auto"/>
                  </w:divBdr>
                  <w:divsChild>
                    <w:div w:id="1165707564">
                      <w:marLeft w:val="0"/>
                      <w:marRight w:val="0"/>
                      <w:marTop w:val="0"/>
                      <w:marBottom w:val="0"/>
                      <w:divBdr>
                        <w:top w:val="none" w:sz="0" w:space="0" w:color="auto"/>
                        <w:left w:val="none" w:sz="0" w:space="0" w:color="auto"/>
                        <w:bottom w:val="none" w:sz="0" w:space="0" w:color="auto"/>
                        <w:right w:val="none" w:sz="0" w:space="0" w:color="auto"/>
                      </w:divBdr>
                    </w:div>
                  </w:divsChild>
                </w:div>
                <w:div w:id="1293176814">
                  <w:marLeft w:val="0"/>
                  <w:marRight w:val="0"/>
                  <w:marTop w:val="0"/>
                  <w:marBottom w:val="0"/>
                  <w:divBdr>
                    <w:top w:val="none" w:sz="0" w:space="0" w:color="auto"/>
                    <w:left w:val="none" w:sz="0" w:space="0" w:color="auto"/>
                    <w:bottom w:val="none" w:sz="0" w:space="0" w:color="auto"/>
                    <w:right w:val="none" w:sz="0" w:space="0" w:color="auto"/>
                  </w:divBdr>
                  <w:divsChild>
                    <w:div w:id="363872666">
                      <w:marLeft w:val="0"/>
                      <w:marRight w:val="0"/>
                      <w:marTop w:val="0"/>
                      <w:marBottom w:val="0"/>
                      <w:divBdr>
                        <w:top w:val="none" w:sz="0" w:space="0" w:color="auto"/>
                        <w:left w:val="none" w:sz="0" w:space="0" w:color="auto"/>
                        <w:bottom w:val="none" w:sz="0" w:space="0" w:color="auto"/>
                        <w:right w:val="none" w:sz="0" w:space="0" w:color="auto"/>
                      </w:divBdr>
                    </w:div>
                  </w:divsChild>
                </w:div>
                <w:div w:id="1300768260">
                  <w:marLeft w:val="0"/>
                  <w:marRight w:val="0"/>
                  <w:marTop w:val="0"/>
                  <w:marBottom w:val="0"/>
                  <w:divBdr>
                    <w:top w:val="none" w:sz="0" w:space="0" w:color="auto"/>
                    <w:left w:val="none" w:sz="0" w:space="0" w:color="auto"/>
                    <w:bottom w:val="none" w:sz="0" w:space="0" w:color="auto"/>
                    <w:right w:val="none" w:sz="0" w:space="0" w:color="auto"/>
                  </w:divBdr>
                  <w:divsChild>
                    <w:div w:id="1774544698">
                      <w:marLeft w:val="0"/>
                      <w:marRight w:val="0"/>
                      <w:marTop w:val="0"/>
                      <w:marBottom w:val="0"/>
                      <w:divBdr>
                        <w:top w:val="none" w:sz="0" w:space="0" w:color="auto"/>
                        <w:left w:val="none" w:sz="0" w:space="0" w:color="auto"/>
                        <w:bottom w:val="none" w:sz="0" w:space="0" w:color="auto"/>
                        <w:right w:val="none" w:sz="0" w:space="0" w:color="auto"/>
                      </w:divBdr>
                    </w:div>
                  </w:divsChild>
                </w:div>
                <w:div w:id="1311641330">
                  <w:marLeft w:val="0"/>
                  <w:marRight w:val="0"/>
                  <w:marTop w:val="0"/>
                  <w:marBottom w:val="0"/>
                  <w:divBdr>
                    <w:top w:val="none" w:sz="0" w:space="0" w:color="auto"/>
                    <w:left w:val="none" w:sz="0" w:space="0" w:color="auto"/>
                    <w:bottom w:val="none" w:sz="0" w:space="0" w:color="auto"/>
                    <w:right w:val="none" w:sz="0" w:space="0" w:color="auto"/>
                  </w:divBdr>
                  <w:divsChild>
                    <w:div w:id="1342007776">
                      <w:marLeft w:val="0"/>
                      <w:marRight w:val="0"/>
                      <w:marTop w:val="0"/>
                      <w:marBottom w:val="0"/>
                      <w:divBdr>
                        <w:top w:val="none" w:sz="0" w:space="0" w:color="auto"/>
                        <w:left w:val="none" w:sz="0" w:space="0" w:color="auto"/>
                        <w:bottom w:val="none" w:sz="0" w:space="0" w:color="auto"/>
                        <w:right w:val="none" w:sz="0" w:space="0" w:color="auto"/>
                      </w:divBdr>
                    </w:div>
                  </w:divsChild>
                </w:div>
                <w:div w:id="1316836679">
                  <w:marLeft w:val="0"/>
                  <w:marRight w:val="0"/>
                  <w:marTop w:val="0"/>
                  <w:marBottom w:val="0"/>
                  <w:divBdr>
                    <w:top w:val="none" w:sz="0" w:space="0" w:color="auto"/>
                    <w:left w:val="none" w:sz="0" w:space="0" w:color="auto"/>
                    <w:bottom w:val="none" w:sz="0" w:space="0" w:color="auto"/>
                    <w:right w:val="none" w:sz="0" w:space="0" w:color="auto"/>
                  </w:divBdr>
                  <w:divsChild>
                    <w:div w:id="1479108807">
                      <w:marLeft w:val="0"/>
                      <w:marRight w:val="0"/>
                      <w:marTop w:val="0"/>
                      <w:marBottom w:val="0"/>
                      <w:divBdr>
                        <w:top w:val="none" w:sz="0" w:space="0" w:color="auto"/>
                        <w:left w:val="none" w:sz="0" w:space="0" w:color="auto"/>
                        <w:bottom w:val="none" w:sz="0" w:space="0" w:color="auto"/>
                        <w:right w:val="none" w:sz="0" w:space="0" w:color="auto"/>
                      </w:divBdr>
                    </w:div>
                  </w:divsChild>
                </w:div>
                <w:div w:id="1321351546">
                  <w:marLeft w:val="0"/>
                  <w:marRight w:val="0"/>
                  <w:marTop w:val="0"/>
                  <w:marBottom w:val="0"/>
                  <w:divBdr>
                    <w:top w:val="none" w:sz="0" w:space="0" w:color="auto"/>
                    <w:left w:val="none" w:sz="0" w:space="0" w:color="auto"/>
                    <w:bottom w:val="none" w:sz="0" w:space="0" w:color="auto"/>
                    <w:right w:val="none" w:sz="0" w:space="0" w:color="auto"/>
                  </w:divBdr>
                  <w:divsChild>
                    <w:div w:id="440610918">
                      <w:marLeft w:val="0"/>
                      <w:marRight w:val="0"/>
                      <w:marTop w:val="0"/>
                      <w:marBottom w:val="0"/>
                      <w:divBdr>
                        <w:top w:val="none" w:sz="0" w:space="0" w:color="auto"/>
                        <w:left w:val="none" w:sz="0" w:space="0" w:color="auto"/>
                        <w:bottom w:val="none" w:sz="0" w:space="0" w:color="auto"/>
                        <w:right w:val="none" w:sz="0" w:space="0" w:color="auto"/>
                      </w:divBdr>
                    </w:div>
                  </w:divsChild>
                </w:div>
                <w:div w:id="1333989478">
                  <w:marLeft w:val="0"/>
                  <w:marRight w:val="0"/>
                  <w:marTop w:val="0"/>
                  <w:marBottom w:val="0"/>
                  <w:divBdr>
                    <w:top w:val="none" w:sz="0" w:space="0" w:color="auto"/>
                    <w:left w:val="none" w:sz="0" w:space="0" w:color="auto"/>
                    <w:bottom w:val="none" w:sz="0" w:space="0" w:color="auto"/>
                    <w:right w:val="none" w:sz="0" w:space="0" w:color="auto"/>
                  </w:divBdr>
                  <w:divsChild>
                    <w:div w:id="1554854274">
                      <w:marLeft w:val="0"/>
                      <w:marRight w:val="0"/>
                      <w:marTop w:val="0"/>
                      <w:marBottom w:val="0"/>
                      <w:divBdr>
                        <w:top w:val="none" w:sz="0" w:space="0" w:color="auto"/>
                        <w:left w:val="none" w:sz="0" w:space="0" w:color="auto"/>
                        <w:bottom w:val="none" w:sz="0" w:space="0" w:color="auto"/>
                        <w:right w:val="none" w:sz="0" w:space="0" w:color="auto"/>
                      </w:divBdr>
                    </w:div>
                  </w:divsChild>
                </w:div>
                <w:div w:id="1351371210">
                  <w:marLeft w:val="0"/>
                  <w:marRight w:val="0"/>
                  <w:marTop w:val="0"/>
                  <w:marBottom w:val="0"/>
                  <w:divBdr>
                    <w:top w:val="none" w:sz="0" w:space="0" w:color="auto"/>
                    <w:left w:val="none" w:sz="0" w:space="0" w:color="auto"/>
                    <w:bottom w:val="none" w:sz="0" w:space="0" w:color="auto"/>
                    <w:right w:val="none" w:sz="0" w:space="0" w:color="auto"/>
                  </w:divBdr>
                  <w:divsChild>
                    <w:div w:id="906572322">
                      <w:marLeft w:val="0"/>
                      <w:marRight w:val="0"/>
                      <w:marTop w:val="0"/>
                      <w:marBottom w:val="0"/>
                      <w:divBdr>
                        <w:top w:val="none" w:sz="0" w:space="0" w:color="auto"/>
                        <w:left w:val="none" w:sz="0" w:space="0" w:color="auto"/>
                        <w:bottom w:val="none" w:sz="0" w:space="0" w:color="auto"/>
                        <w:right w:val="none" w:sz="0" w:space="0" w:color="auto"/>
                      </w:divBdr>
                    </w:div>
                  </w:divsChild>
                </w:div>
                <w:div w:id="1380477105">
                  <w:marLeft w:val="0"/>
                  <w:marRight w:val="0"/>
                  <w:marTop w:val="0"/>
                  <w:marBottom w:val="0"/>
                  <w:divBdr>
                    <w:top w:val="none" w:sz="0" w:space="0" w:color="auto"/>
                    <w:left w:val="none" w:sz="0" w:space="0" w:color="auto"/>
                    <w:bottom w:val="none" w:sz="0" w:space="0" w:color="auto"/>
                    <w:right w:val="none" w:sz="0" w:space="0" w:color="auto"/>
                  </w:divBdr>
                  <w:divsChild>
                    <w:div w:id="541020571">
                      <w:marLeft w:val="0"/>
                      <w:marRight w:val="0"/>
                      <w:marTop w:val="0"/>
                      <w:marBottom w:val="0"/>
                      <w:divBdr>
                        <w:top w:val="none" w:sz="0" w:space="0" w:color="auto"/>
                        <w:left w:val="none" w:sz="0" w:space="0" w:color="auto"/>
                        <w:bottom w:val="none" w:sz="0" w:space="0" w:color="auto"/>
                        <w:right w:val="none" w:sz="0" w:space="0" w:color="auto"/>
                      </w:divBdr>
                    </w:div>
                  </w:divsChild>
                </w:div>
                <w:div w:id="1447264087">
                  <w:marLeft w:val="0"/>
                  <w:marRight w:val="0"/>
                  <w:marTop w:val="0"/>
                  <w:marBottom w:val="0"/>
                  <w:divBdr>
                    <w:top w:val="none" w:sz="0" w:space="0" w:color="auto"/>
                    <w:left w:val="none" w:sz="0" w:space="0" w:color="auto"/>
                    <w:bottom w:val="none" w:sz="0" w:space="0" w:color="auto"/>
                    <w:right w:val="none" w:sz="0" w:space="0" w:color="auto"/>
                  </w:divBdr>
                  <w:divsChild>
                    <w:div w:id="2078244478">
                      <w:marLeft w:val="0"/>
                      <w:marRight w:val="0"/>
                      <w:marTop w:val="0"/>
                      <w:marBottom w:val="0"/>
                      <w:divBdr>
                        <w:top w:val="none" w:sz="0" w:space="0" w:color="auto"/>
                        <w:left w:val="none" w:sz="0" w:space="0" w:color="auto"/>
                        <w:bottom w:val="none" w:sz="0" w:space="0" w:color="auto"/>
                        <w:right w:val="none" w:sz="0" w:space="0" w:color="auto"/>
                      </w:divBdr>
                    </w:div>
                  </w:divsChild>
                </w:div>
                <w:div w:id="1454398919">
                  <w:marLeft w:val="0"/>
                  <w:marRight w:val="0"/>
                  <w:marTop w:val="0"/>
                  <w:marBottom w:val="0"/>
                  <w:divBdr>
                    <w:top w:val="none" w:sz="0" w:space="0" w:color="auto"/>
                    <w:left w:val="none" w:sz="0" w:space="0" w:color="auto"/>
                    <w:bottom w:val="none" w:sz="0" w:space="0" w:color="auto"/>
                    <w:right w:val="none" w:sz="0" w:space="0" w:color="auto"/>
                  </w:divBdr>
                  <w:divsChild>
                    <w:div w:id="1857117159">
                      <w:marLeft w:val="0"/>
                      <w:marRight w:val="0"/>
                      <w:marTop w:val="0"/>
                      <w:marBottom w:val="0"/>
                      <w:divBdr>
                        <w:top w:val="none" w:sz="0" w:space="0" w:color="auto"/>
                        <w:left w:val="none" w:sz="0" w:space="0" w:color="auto"/>
                        <w:bottom w:val="none" w:sz="0" w:space="0" w:color="auto"/>
                        <w:right w:val="none" w:sz="0" w:space="0" w:color="auto"/>
                      </w:divBdr>
                    </w:div>
                  </w:divsChild>
                </w:div>
                <w:div w:id="1500344570">
                  <w:marLeft w:val="0"/>
                  <w:marRight w:val="0"/>
                  <w:marTop w:val="0"/>
                  <w:marBottom w:val="0"/>
                  <w:divBdr>
                    <w:top w:val="none" w:sz="0" w:space="0" w:color="auto"/>
                    <w:left w:val="none" w:sz="0" w:space="0" w:color="auto"/>
                    <w:bottom w:val="none" w:sz="0" w:space="0" w:color="auto"/>
                    <w:right w:val="none" w:sz="0" w:space="0" w:color="auto"/>
                  </w:divBdr>
                  <w:divsChild>
                    <w:div w:id="683357654">
                      <w:marLeft w:val="0"/>
                      <w:marRight w:val="0"/>
                      <w:marTop w:val="0"/>
                      <w:marBottom w:val="0"/>
                      <w:divBdr>
                        <w:top w:val="none" w:sz="0" w:space="0" w:color="auto"/>
                        <w:left w:val="none" w:sz="0" w:space="0" w:color="auto"/>
                        <w:bottom w:val="none" w:sz="0" w:space="0" w:color="auto"/>
                        <w:right w:val="none" w:sz="0" w:space="0" w:color="auto"/>
                      </w:divBdr>
                    </w:div>
                  </w:divsChild>
                </w:div>
                <w:div w:id="1511991803">
                  <w:marLeft w:val="0"/>
                  <w:marRight w:val="0"/>
                  <w:marTop w:val="0"/>
                  <w:marBottom w:val="0"/>
                  <w:divBdr>
                    <w:top w:val="none" w:sz="0" w:space="0" w:color="auto"/>
                    <w:left w:val="none" w:sz="0" w:space="0" w:color="auto"/>
                    <w:bottom w:val="none" w:sz="0" w:space="0" w:color="auto"/>
                    <w:right w:val="none" w:sz="0" w:space="0" w:color="auto"/>
                  </w:divBdr>
                  <w:divsChild>
                    <w:div w:id="804276788">
                      <w:marLeft w:val="0"/>
                      <w:marRight w:val="0"/>
                      <w:marTop w:val="0"/>
                      <w:marBottom w:val="0"/>
                      <w:divBdr>
                        <w:top w:val="none" w:sz="0" w:space="0" w:color="auto"/>
                        <w:left w:val="none" w:sz="0" w:space="0" w:color="auto"/>
                        <w:bottom w:val="none" w:sz="0" w:space="0" w:color="auto"/>
                        <w:right w:val="none" w:sz="0" w:space="0" w:color="auto"/>
                      </w:divBdr>
                    </w:div>
                  </w:divsChild>
                </w:div>
                <w:div w:id="1529025294">
                  <w:marLeft w:val="0"/>
                  <w:marRight w:val="0"/>
                  <w:marTop w:val="0"/>
                  <w:marBottom w:val="0"/>
                  <w:divBdr>
                    <w:top w:val="none" w:sz="0" w:space="0" w:color="auto"/>
                    <w:left w:val="none" w:sz="0" w:space="0" w:color="auto"/>
                    <w:bottom w:val="none" w:sz="0" w:space="0" w:color="auto"/>
                    <w:right w:val="none" w:sz="0" w:space="0" w:color="auto"/>
                  </w:divBdr>
                  <w:divsChild>
                    <w:div w:id="2005353726">
                      <w:marLeft w:val="0"/>
                      <w:marRight w:val="0"/>
                      <w:marTop w:val="0"/>
                      <w:marBottom w:val="0"/>
                      <w:divBdr>
                        <w:top w:val="none" w:sz="0" w:space="0" w:color="auto"/>
                        <w:left w:val="none" w:sz="0" w:space="0" w:color="auto"/>
                        <w:bottom w:val="none" w:sz="0" w:space="0" w:color="auto"/>
                        <w:right w:val="none" w:sz="0" w:space="0" w:color="auto"/>
                      </w:divBdr>
                    </w:div>
                  </w:divsChild>
                </w:div>
                <w:div w:id="1537541983">
                  <w:marLeft w:val="0"/>
                  <w:marRight w:val="0"/>
                  <w:marTop w:val="0"/>
                  <w:marBottom w:val="0"/>
                  <w:divBdr>
                    <w:top w:val="none" w:sz="0" w:space="0" w:color="auto"/>
                    <w:left w:val="none" w:sz="0" w:space="0" w:color="auto"/>
                    <w:bottom w:val="none" w:sz="0" w:space="0" w:color="auto"/>
                    <w:right w:val="none" w:sz="0" w:space="0" w:color="auto"/>
                  </w:divBdr>
                  <w:divsChild>
                    <w:div w:id="1421758438">
                      <w:marLeft w:val="0"/>
                      <w:marRight w:val="0"/>
                      <w:marTop w:val="0"/>
                      <w:marBottom w:val="0"/>
                      <w:divBdr>
                        <w:top w:val="none" w:sz="0" w:space="0" w:color="auto"/>
                        <w:left w:val="none" w:sz="0" w:space="0" w:color="auto"/>
                        <w:bottom w:val="none" w:sz="0" w:space="0" w:color="auto"/>
                        <w:right w:val="none" w:sz="0" w:space="0" w:color="auto"/>
                      </w:divBdr>
                    </w:div>
                  </w:divsChild>
                </w:div>
                <w:div w:id="1558391972">
                  <w:marLeft w:val="0"/>
                  <w:marRight w:val="0"/>
                  <w:marTop w:val="0"/>
                  <w:marBottom w:val="0"/>
                  <w:divBdr>
                    <w:top w:val="none" w:sz="0" w:space="0" w:color="auto"/>
                    <w:left w:val="none" w:sz="0" w:space="0" w:color="auto"/>
                    <w:bottom w:val="none" w:sz="0" w:space="0" w:color="auto"/>
                    <w:right w:val="none" w:sz="0" w:space="0" w:color="auto"/>
                  </w:divBdr>
                  <w:divsChild>
                    <w:div w:id="224724668">
                      <w:marLeft w:val="0"/>
                      <w:marRight w:val="0"/>
                      <w:marTop w:val="0"/>
                      <w:marBottom w:val="0"/>
                      <w:divBdr>
                        <w:top w:val="none" w:sz="0" w:space="0" w:color="auto"/>
                        <w:left w:val="none" w:sz="0" w:space="0" w:color="auto"/>
                        <w:bottom w:val="none" w:sz="0" w:space="0" w:color="auto"/>
                        <w:right w:val="none" w:sz="0" w:space="0" w:color="auto"/>
                      </w:divBdr>
                    </w:div>
                  </w:divsChild>
                </w:div>
                <w:div w:id="1564874454">
                  <w:marLeft w:val="0"/>
                  <w:marRight w:val="0"/>
                  <w:marTop w:val="0"/>
                  <w:marBottom w:val="0"/>
                  <w:divBdr>
                    <w:top w:val="none" w:sz="0" w:space="0" w:color="auto"/>
                    <w:left w:val="none" w:sz="0" w:space="0" w:color="auto"/>
                    <w:bottom w:val="none" w:sz="0" w:space="0" w:color="auto"/>
                    <w:right w:val="none" w:sz="0" w:space="0" w:color="auto"/>
                  </w:divBdr>
                  <w:divsChild>
                    <w:div w:id="134225904">
                      <w:marLeft w:val="0"/>
                      <w:marRight w:val="0"/>
                      <w:marTop w:val="0"/>
                      <w:marBottom w:val="0"/>
                      <w:divBdr>
                        <w:top w:val="none" w:sz="0" w:space="0" w:color="auto"/>
                        <w:left w:val="none" w:sz="0" w:space="0" w:color="auto"/>
                        <w:bottom w:val="none" w:sz="0" w:space="0" w:color="auto"/>
                        <w:right w:val="none" w:sz="0" w:space="0" w:color="auto"/>
                      </w:divBdr>
                    </w:div>
                  </w:divsChild>
                </w:div>
                <w:div w:id="1595822000">
                  <w:marLeft w:val="0"/>
                  <w:marRight w:val="0"/>
                  <w:marTop w:val="0"/>
                  <w:marBottom w:val="0"/>
                  <w:divBdr>
                    <w:top w:val="none" w:sz="0" w:space="0" w:color="auto"/>
                    <w:left w:val="none" w:sz="0" w:space="0" w:color="auto"/>
                    <w:bottom w:val="none" w:sz="0" w:space="0" w:color="auto"/>
                    <w:right w:val="none" w:sz="0" w:space="0" w:color="auto"/>
                  </w:divBdr>
                  <w:divsChild>
                    <w:div w:id="147938680">
                      <w:marLeft w:val="0"/>
                      <w:marRight w:val="0"/>
                      <w:marTop w:val="0"/>
                      <w:marBottom w:val="0"/>
                      <w:divBdr>
                        <w:top w:val="none" w:sz="0" w:space="0" w:color="auto"/>
                        <w:left w:val="none" w:sz="0" w:space="0" w:color="auto"/>
                        <w:bottom w:val="none" w:sz="0" w:space="0" w:color="auto"/>
                        <w:right w:val="none" w:sz="0" w:space="0" w:color="auto"/>
                      </w:divBdr>
                    </w:div>
                  </w:divsChild>
                </w:div>
                <w:div w:id="1599828885">
                  <w:marLeft w:val="0"/>
                  <w:marRight w:val="0"/>
                  <w:marTop w:val="0"/>
                  <w:marBottom w:val="0"/>
                  <w:divBdr>
                    <w:top w:val="none" w:sz="0" w:space="0" w:color="auto"/>
                    <w:left w:val="none" w:sz="0" w:space="0" w:color="auto"/>
                    <w:bottom w:val="none" w:sz="0" w:space="0" w:color="auto"/>
                    <w:right w:val="none" w:sz="0" w:space="0" w:color="auto"/>
                  </w:divBdr>
                  <w:divsChild>
                    <w:div w:id="824980359">
                      <w:marLeft w:val="0"/>
                      <w:marRight w:val="0"/>
                      <w:marTop w:val="0"/>
                      <w:marBottom w:val="0"/>
                      <w:divBdr>
                        <w:top w:val="none" w:sz="0" w:space="0" w:color="auto"/>
                        <w:left w:val="none" w:sz="0" w:space="0" w:color="auto"/>
                        <w:bottom w:val="none" w:sz="0" w:space="0" w:color="auto"/>
                        <w:right w:val="none" w:sz="0" w:space="0" w:color="auto"/>
                      </w:divBdr>
                    </w:div>
                  </w:divsChild>
                </w:div>
                <w:div w:id="1613827596">
                  <w:marLeft w:val="0"/>
                  <w:marRight w:val="0"/>
                  <w:marTop w:val="0"/>
                  <w:marBottom w:val="0"/>
                  <w:divBdr>
                    <w:top w:val="none" w:sz="0" w:space="0" w:color="auto"/>
                    <w:left w:val="none" w:sz="0" w:space="0" w:color="auto"/>
                    <w:bottom w:val="none" w:sz="0" w:space="0" w:color="auto"/>
                    <w:right w:val="none" w:sz="0" w:space="0" w:color="auto"/>
                  </w:divBdr>
                  <w:divsChild>
                    <w:div w:id="218713042">
                      <w:marLeft w:val="0"/>
                      <w:marRight w:val="0"/>
                      <w:marTop w:val="0"/>
                      <w:marBottom w:val="0"/>
                      <w:divBdr>
                        <w:top w:val="none" w:sz="0" w:space="0" w:color="auto"/>
                        <w:left w:val="none" w:sz="0" w:space="0" w:color="auto"/>
                        <w:bottom w:val="none" w:sz="0" w:space="0" w:color="auto"/>
                        <w:right w:val="none" w:sz="0" w:space="0" w:color="auto"/>
                      </w:divBdr>
                    </w:div>
                  </w:divsChild>
                </w:div>
                <w:div w:id="1626157284">
                  <w:marLeft w:val="0"/>
                  <w:marRight w:val="0"/>
                  <w:marTop w:val="0"/>
                  <w:marBottom w:val="0"/>
                  <w:divBdr>
                    <w:top w:val="none" w:sz="0" w:space="0" w:color="auto"/>
                    <w:left w:val="none" w:sz="0" w:space="0" w:color="auto"/>
                    <w:bottom w:val="none" w:sz="0" w:space="0" w:color="auto"/>
                    <w:right w:val="none" w:sz="0" w:space="0" w:color="auto"/>
                  </w:divBdr>
                  <w:divsChild>
                    <w:div w:id="1487281407">
                      <w:marLeft w:val="0"/>
                      <w:marRight w:val="0"/>
                      <w:marTop w:val="0"/>
                      <w:marBottom w:val="0"/>
                      <w:divBdr>
                        <w:top w:val="none" w:sz="0" w:space="0" w:color="auto"/>
                        <w:left w:val="none" w:sz="0" w:space="0" w:color="auto"/>
                        <w:bottom w:val="none" w:sz="0" w:space="0" w:color="auto"/>
                        <w:right w:val="none" w:sz="0" w:space="0" w:color="auto"/>
                      </w:divBdr>
                    </w:div>
                  </w:divsChild>
                </w:div>
                <w:div w:id="1656497179">
                  <w:marLeft w:val="0"/>
                  <w:marRight w:val="0"/>
                  <w:marTop w:val="0"/>
                  <w:marBottom w:val="0"/>
                  <w:divBdr>
                    <w:top w:val="none" w:sz="0" w:space="0" w:color="auto"/>
                    <w:left w:val="none" w:sz="0" w:space="0" w:color="auto"/>
                    <w:bottom w:val="none" w:sz="0" w:space="0" w:color="auto"/>
                    <w:right w:val="none" w:sz="0" w:space="0" w:color="auto"/>
                  </w:divBdr>
                  <w:divsChild>
                    <w:div w:id="1375429635">
                      <w:marLeft w:val="0"/>
                      <w:marRight w:val="0"/>
                      <w:marTop w:val="0"/>
                      <w:marBottom w:val="0"/>
                      <w:divBdr>
                        <w:top w:val="none" w:sz="0" w:space="0" w:color="auto"/>
                        <w:left w:val="none" w:sz="0" w:space="0" w:color="auto"/>
                        <w:bottom w:val="none" w:sz="0" w:space="0" w:color="auto"/>
                        <w:right w:val="none" w:sz="0" w:space="0" w:color="auto"/>
                      </w:divBdr>
                    </w:div>
                  </w:divsChild>
                </w:div>
                <w:div w:id="1686593290">
                  <w:marLeft w:val="0"/>
                  <w:marRight w:val="0"/>
                  <w:marTop w:val="0"/>
                  <w:marBottom w:val="0"/>
                  <w:divBdr>
                    <w:top w:val="none" w:sz="0" w:space="0" w:color="auto"/>
                    <w:left w:val="none" w:sz="0" w:space="0" w:color="auto"/>
                    <w:bottom w:val="none" w:sz="0" w:space="0" w:color="auto"/>
                    <w:right w:val="none" w:sz="0" w:space="0" w:color="auto"/>
                  </w:divBdr>
                  <w:divsChild>
                    <w:div w:id="471410513">
                      <w:marLeft w:val="0"/>
                      <w:marRight w:val="0"/>
                      <w:marTop w:val="0"/>
                      <w:marBottom w:val="0"/>
                      <w:divBdr>
                        <w:top w:val="none" w:sz="0" w:space="0" w:color="auto"/>
                        <w:left w:val="none" w:sz="0" w:space="0" w:color="auto"/>
                        <w:bottom w:val="none" w:sz="0" w:space="0" w:color="auto"/>
                        <w:right w:val="none" w:sz="0" w:space="0" w:color="auto"/>
                      </w:divBdr>
                    </w:div>
                  </w:divsChild>
                </w:div>
                <w:div w:id="1688829514">
                  <w:marLeft w:val="0"/>
                  <w:marRight w:val="0"/>
                  <w:marTop w:val="0"/>
                  <w:marBottom w:val="0"/>
                  <w:divBdr>
                    <w:top w:val="none" w:sz="0" w:space="0" w:color="auto"/>
                    <w:left w:val="none" w:sz="0" w:space="0" w:color="auto"/>
                    <w:bottom w:val="none" w:sz="0" w:space="0" w:color="auto"/>
                    <w:right w:val="none" w:sz="0" w:space="0" w:color="auto"/>
                  </w:divBdr>
                  <w:divsChild>
                    <w:div w:id="1880849416">
                      <w:marLeft w:val="0"/>
                      <w:marRight w:val="0"/>
                      <w:marTop w:val="0"/>
                      <w:marBottom w:val="0"/>
                      <w:divBdr>
                        <w:top w:val="none" w:sz="0" w:space="0" w:color="auto"/>
                        <w:left w:val="none" w:sz="0" w:space="0" w:color="auto"/>
                        <w:bottom w:val="none" w:sz="0" w:space="0" w:color="auto"/>
                        <w:right w:val="none" w:sz="0" w:space="0" w:color="auto"/>
                      </w:divBdr>
                    </w:div>
                  </w:divsChild>
                </w:div>
                <w:div w:id="1692025663">
                  <w:marLeft w:val="0"/>
                  <w:marRight w:val="0"/>
                  <w:marTop w:val="0"/>
                  <w:marBottom w:val="0"/>
                  <w:divBdr>
                    <w:top w:val="none" w:sz="0" w:space="0" w:color="auto"/>
                    <w:left w:val="none" w:sz="0" w:space="0" w:color="auto"/>
                    <w:bottom w:val="none" w:sz="0" w:space="0" w:color="auto"/>
                    <w:right w:val="none" w:sz="0" w:space="0" w:color="auto"/>
                  </w:divBdr>
                  <w:divsChild>
                    <w:div w:id="770515913">
                      <w:marLeft w:val="0"/>
                      <w:marRight w:val="0"/>
                      <w:marTop w:val="0"/>
                      <w:marBottom w:val="0"/>
                      <w:divBdr>
                        <w:top w:val="none" w:sz="0" w:space="0" w:color="auto"/>
                        <w:left w:val="none" w:sz="0" w:space="0" w:color="auto"/>
                        <w:bottom w:val="none" w:sz="0" w:space="0" w:color="auto"/>
                        <w:right w:val="none" w:sz="0" w:space="0" w:color="auto"/>
                      </w:divBdr>
                    </w:div>
                  </w:divsChild>
                </w:div>
                <w:div w:id="1723022958">
                  <w:marLeft w:val="0"/>
                  <w:marRight w:val="0"/>
                  <w:marTop w:val="0"/>
                  <w:marBottom w:val="0"/>
                  <w:divBdr>
                    <w:top w:val="none" w:sz="0" w:space="0" w:color="auto"/>
                    <w:left w:val="none" w:sz="0" w:space="0" w:color="auto"/>
                    <w:bottom w:val="none" w:sz="0" w:space="0" w:color="auto"/>
                    <w:right w:val="none" w:sz="0" w:space="0" w:color="auto"/>
                  </w:divBdr>
                  <w:divsChild>
                    <w:div w:id="906112356">
                      <w:marLeft w:val="0"/>
                      <w:marRight w:val="0"/>
                      <w:marTop w:val="0"/>
                      <w:marBottom w:val="0"/>
                      <w:divBdr>
                        <w:top w:val="none" w:sz="0" w:space="0" w:color="auto"/>
                        <w:left w:val="none" w:sz="0" w:space="0" w:color="auto"/>
                        <w:bottom w:val="none" w:sz="0" w:space="0" w:color="auto"/>
                        <w:right w:val="none" w:sz="0" w:space="0" w:color="auto"/>
                      </w:divBdr>
                    </w:div>
                  </w:divsChild>
                </w:div>
                <w:div w:id="1747997061">
                  <w:marLeft w:val="0"/>
                  <w:marRight w:val="0"/>
                  <w:marTop w:val="0"/>
                  <w:marBottom w:val="0"/>
                  <w:divBdr>
                    <w:top w:val="none" w:sz="0" w:space="0" w:color="auto"/>
                    <w:left w:val="none" w:sz="0" w:space="0" w:color="auto"/>
                    <w:bottom w:val="none" w:sz="0" w:space="0" w:color="auto"/>
                    <w:right w:val="none" w:sz="0" w:space="0" w:color="auto"/>
                  </w:divBdr>
                  <w:divsChild>
                    <w:div w:id="1781679775">
                      <w:marLeft w:val="0"/>
                      <w:marRight w:val="0"/>
                      <w:marTop w:val="0"/>
                      <w:marBottom w:val="0"/>
                      <w:divBdr>
                        <w:top w:val="none" w:sz="0" w:space="0" w:color="auto"/>
                        <w:left w:val="none" w:sz="0" w:space="0" w:color="auto"/>
                        <w:bottom w:val="none" w:sz="0" w:space="0" w:color="auto"/>
                        <w:right w:val="none" w:sz="0" w:space="0" w:color="auto"/>
                      </w:divBdr>
                    </w:div>
                  </w:divsChild>
                </w:div>
                <w:div w:id="1759787058">
                  <w:marLeft w:val="0"/>
                  <w:marRight w:val="0"/>
                  <w:marTop w:val="0"/>
                  <w:marBottom w:val="0"/>
                  <w:divBdr>
                    <w:top w:val="none" w:sz="0" w:space="0" w:color="auto"/>
                    <w:left w:val="none" w:sz="0" w:space="0" w:color="auto"/>
                    <w:bottom w:val="none" w:sz="0" w:space="0" w:color="auto"/>
                    <w:right w:val="none" w:sz="0" w:space="0" w:color="auto"/>
                  </w:divBdr>
                  <w:divsChild>
                    <w:div w:id="1002586159">
                      <w:marLeft w:val="0"/>
                      <w:marRight w:val="0"/>
                      <w:marTop w:val="0"/>
                      <w:marBottom w:val="0"/>
                      <w:divBdr>
                        <w:top w:val="none" w:sz="0" w:space="0" w:color="auto"/>
                        <w:left w:val="none" w:sz="0" w:space="0" w:color="auto"/>
                        <w:bottom w:val="none" w:sz="0" w:space="0" w:color="auto"/>
                        <w:right w:val="none" w:sz="0" w:space="0" w:color="auto"/>
                      </w:divBdr>
                    </w:div>
                  </w:divsChild>
                </w:div>
                <w:div w:id="1864395776">
                  <w:marLeft w:val="0"/>
                  <w:marRight w:val="0"/>
                  <w:marTop w:val="0"/>
                  <w:marBottom w:val="0"/>
                  <w:divBdr>
                    <w:top w:val="none" w:sz="0" w:space="0" w:color="auto"/>
                    <w:left w:val="none" w:sz="0" w:space="0" w:color="auto"/>
                    <w:bottom w:val="none" w:sz="0" w:space="0" w:color="auto"/>
                    <w:right w:val="none" w:sz="0" w:space="0" w:color="auto"/>
                  </w:divBdr>
                  <w:divsChild>
                    <w:div w:id="1656369929">
                      <w:marLeft w:val="0"/>
                      <w:marRight w:val="0"/>
                      <w:marTop w:val="0"/>
                      <w:marBottom w:val="0"/>
                      <w:divBdr>
                        <w:top w:val="none" w:sz="0" w:space="0" w:color="auto"/>
                        <w:left w:val="none" w:sz="0" w:space="0" w:color="auto"/>
                        <w:bottom w:val="none" w:sz="0" w:space="0" w:color="auto"/>
                        <w:right w:val="none" w:sz="0" w:space="0" w:color="auto"/>
                      </w:divBdr>
                    </w:div>
                  </w:divsChild>
                </w:div>
                <w:div w:id="1932933667">
                  <w:marLeft w:val="0"/>
                  <w:marRight w:val="0"/>
                  <w:marTop w:val="0"/>
                  <w:marBottom w:val="0"/>
                  <w:divBdr>
                    <w:top w:val="none" w:sz="0" w:space="0" w:color="auto"/>
                    <w:left w:val="none" w:sz="0" w:space="0" w:color="auto"/>
                    <w:bottom w:val="none" w:sz="0" w:space="0" w:color="auto"/>
                    <w:right w:val="none" w:sz="0" w:space="0" w:color="auto"/>
                  </w:divBdr>
                  <w:divsChild>
                    <w:div w:id="903025752">
                      <w:marLeft w:val="0"/>
                      <w:marRight w:val="0"/>
                      <w:marTop w:val="0"/>
                      <w:marBottom w:val="0"/>
                      <w:divBdr>
                        <w:top w:val="none" w:sz="0" w:space="0" w:color="auto"/>
                        <w:left w:val="none" w:sz="0" w:space="0" w:color="auto"/>
                        <w:bottom w:val="none" w:sz="0" w:space="0" w:color="auto"/>
                        <w:right w:val="none" w:sz="0" w:space="0" w:color="auto"/>
                      </w:divBdr>
                    </w:div>
                  </w:divsChild>
                </w:div>
                <w:div w:id="1943145096">
                  <w:marLeft w:val="0"/>
                  <w:marRight w:val="0"/>
                  <w:marTop w:val="0"/>
                  <w:marBottom w:val="0"/>
                  <w:divBdr>
                    <w:top w:val="none" w:sz="0" w:space="0" w:color="auto"/>
                    <w:left w:val="none" w:sz="0" w:space="0" w:color="auto"/>
                    <w:bottom w:val="none" w:sz="0" w:space="0" w:color="auto"/>
                    <w:right w:val="none" w:sz="0" w:space="0" w:color="auto"/>
                  </w:divBdr>
                  <w:divsChild>
                    <w:div w:id="1061905888">
                      <w:marLeft w:val="0"/>
                      <w:marRight w:val="0"/>
                      <w:marTop w:val="0"/>
                      <w:marBottom w:val="0"/>
                      <w:divBdr>
                        <w:top w:val="none" w:sz="0" w:space="0" w:color="auto"/>
                        <w:left w:val="none" w:sz="0" w:space="0" w:color="auto"/>
                        <w:bottom w:val="none" w:sz="0" w:space="0" w:color="auto"/>
                        <w:right w:val="none" w:sz="0" w:space="0" w:color="auto"/>
                      </w:divBdr>
                    </w:div>
                  </w:divsChild>
                </w:div>
                <w:div w:id="2002198294">
                  <w:marLeft w:val="0"/>
                  <w:marRight w:val="0"/>
                  <w:marTop w:val="0"/>
                  <w:marBottom w:val="0"/>
                  <w:divBdr>
                    <w:top w:val="none" w:sz="0" w:space="0" w:color="auto"/>
                    <w:left w:val="none" w:sz="0" w:space="0" w:color="auto"/>
                    <w:bottom w:val="none" w:sz="0" w:space="0" w:color="auto"/>
                    <w:right w:val="none" w:sz="0" w:space="0" w:color="auto"/>
                  </w:divBdr>
                  <w:divsChild>
                    <w:div w:id="1530796090">
                      <w:marLeft w:val="0"/>
                      <w:marRight w:val="0"/>
                      <w:marTop w:val="0"/>
                      <w:marBottom w:val="0"/>
                      <w:divBdr>
                        <w:top w:val="none" w:sz="0" w:space="0" w:color="auto"/>
                        <w:left w:val="none" w:sz="0" w:space="0" w:color="auto"/>
                        <w:bottom w:val="none" w:sz="0" w:space="0" w:color="auto"/>
                        <w:right w:val="none" w:sz="0" w:space="0" w:color="auto"/>
                      </w:divBdr>
                    </w:div>
                  </w:divsChild>
                </w:div>
                <w:div w:id="2035425284">
                  <w:marLeft w:val="0"/>
                  <w:marRight w:val="0"/>
                  <w:marTop w:val="0"/>
                  <w:marBottom w:val="0"/>
                  <w:divBdr>
                    <w:top w:val="none" w:sz="0" w:space="0" w:color="auto"/>
                    <w:left w:val="none" w:sz="0" w:space="0" w:color="auto"/>
                    <w:bottom w:val="none" w:sz="0" w:space="0" w:color="auto"/>
                    <w:right w:val="none" w:sz="0" w:space="0" w:color="auto"/>
                  </w:divBdr>
                  <w:divsChild>
                    <w:div w:id="1894385948">
                      <w:marLeft w:val="0"/>
                      <w:marRight w:val="0"/>
                      <w:marTop w:val="0"/>
                      <w:marBottom w:val="0"/>
                      <w:divBdr>
                        <w:top w:val="none" w:sz="0" w:space="0" w:color="auto"/>
                        <w:left w:val="none" w:sz="0" w:space="0" w:color="auto"/>
                        <w:bottom w:val="none" w:sz="0" w:space="0" w:color="auto"/>
                        <w:right w:val="none" w:sz="0" w:space="0" w:color="auto"/>
                      </w:divBdr>
                    </w:div>
                  </w:divsChild>
                </w:div>
                <w:div w:id="2108381003">
                  <w:marLeft w:val="0"/>
                  <w:marRight w:val="0"/>
                  <w:marTop w:val="0"/>
                  <w:marBottom w:val="0"/>
                  <w:divBdr>
                    <w:top w:val="none" w:sz="0" w:space="0" w:color="auto"/>
                    <w:left w:val="none" w:sz="0" w:space="0" w:color="auto"/>
                    <w:bottom w:val="none" w:sz="0" w:space="0" w:color="auto"/>
                    <w:right w:val="none" w:sz="0" w:space="0" w:color="auto"/>
                  </w:divBdr>
                  <w:divsChild>
                    <w:div w:id="1993832032">
                      <w:marLeft w:val="0"/>
                      <w:marRight w:val="0"/>
                      <w:marTop w:val="0"/>
                      <w:marBottom w:val="0"/>
                      <w:divBdr>
                        <w:top w:val="none" w:sz="0" w:space="0" w:color="auto"/>
                        <w:left w:val="none" w:sz="0" w:space="0" w:color="auto"/>
                        <w:bottom w:val="none" w:sz="0" w:space="0" w:color="auto"/>
                        <w:right w:val="none" w:sz="0" w:space="0" w:color="auto"/>
                      </w:divBdr>
                    </w:div>
                  </w:divsChild>
                </w:div>
                <w:div w:id="2123064182">
                  <w:marLeft w:val="0"/>
                  <w:marRight w:val="0"/>
                  <w:marTop w:val="0"/>
                  <w:marBottom w:val="0"/>
                  <w:divBdr>
                    <w:top w:val="none" w:sz="0" w:space="0" w:color="auto"/>
                    <w:left w:val="none" w:sz="0" w:space="0" w:color="auto"/>
                    <w:bottom w:val="none" w:sz="0" w:space="0" w:color="auto"/>
                    <w:right w:val="none" w:sz="0" w:space="0" w:color="auto"/>
                  </w:divBdr>
                  <w:divsChild>
                    <w:div w:id="87778364">
                      <w:marLeft w:val="0"/>
                      <w:marRight w:val="0"/>
                      <w:marTop w:val="0"/>
                      <w:marBottom w:val="0"/>
                      <w:divBdr>
                        <w:top w:val="none" w:sz="0" w:space="0" w:color="auto"/>
                        <w:left w:val="none" w:sz="0" w:space="0" w:color="auto"/>
                        <w:bottom w:val="none" w:sz="0" w:space="0" w:color="auto"/>
                        <w:right w:val="none" w:sz="0" w:space="0" w:color="auto"/>
                      </w:divBdr>
                    </w:div>
                  </w:divsChild>
                </w:div>
                <w:div w:id="2126656399">
                  <w:marLeft w:val="0"/>
                  <w:marRight w:val="0"/>
                  <w:marTop w:val="0"/>
                  <w:marBottom w:val="0"/>
                  <w:divBdr>
                    <w:top w:val="none" w:sz="0" w:space="0" w:color="auto"/>
                    <w:left w:val="none" w:sz="0" w:space="0" w:color="auto"/>
                    <w:bottom w:val="none" w:sz="0" w:space="0" w:color="auto"/>
                    <w:right w:val="none" w:sz="0" w:space="0" w:color="auto"/>
                  </w:divBdr>
                  <w:divsChild>
                    <w:div w:id="928537086">
                      <w:marLeft w:val="0"/>
                      <w:marRight w:val="0"/>
                      <w:marTop w:val="0"/>
                      <w:marBottom w:val="0"/>
                      <w:divBdr>
                        <w:top w:val="none" w:sz="0" w:space="0" w:color="auto"/>
                        <w:left w:val="none" w:sz="0" w:space="0" w:color="auto"/>
                        <w:bottom w:val="none" w:sz="0" w:space="0" w:color="auto"/>
                        <w:right w:val="none" w:sz="0" w:space="0" w:color="auto"/>
                      </w:divBdr>
                    </w:div>
                  </w:divsChild>
                </w:div>
                <w:div w:id="2138527164">
                  <w:marLeft w:val="0"/>
                  <w:marRight w:val="0"/>
                  <w:marTop w:val="0"/>
                  <w:marBottom w:val="0"/>
                  <w:divBdr>
                    <w:top w:val="none" w:sz="0" w:space="0" w:color="auto"/>
                    <w:left w:val="none" w:sz="0" w:space="0" w:color="auto"/>
                    <w:bottom w:val="none" w:sz="0" w:space="0" w:color="auto"/>
                    <w:right w:val="none" w:sz="0" w:space="0" w:color="auto"/>
                  </w:divBdr>
                  <w:divsChild>
                    <w:div w:id="195975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740196">
      <w:bodyDiv w:val="1"/>
      <w:marLeft w:val="0"/>
      <w:marRight w:val="0"/>
      <w:marTop w:val="0"/>
      <w:marBottom w:val="0"/>
      <w:divBdr>
        <w:top w:val="none" w:sz="0" w:space="0" w:color="auto"/>
        <w:left w:val="none" w:sz="0" w:space="0" w:color="auto"/>
        <w:bottom w:val="none" w:sz="0" w:space="0" w:color="auto"/>
        <w:right w:val="none" w:sz="0" w:space="0" w:color="auto"/>
      </w:divBdr>
      <w:divsChild>
        <w:div w:id="1536313892">
          <w:marLeft w:val="0"/>
          <w:marRight w:val="0"/>
          <w:marTop w:val="0"/>
          <w:marBottom w:val="0"/>
          <w:divBdr>
            <w:top w:val="none" w:sz="0" w:space="0" w:color="auto"/>
            <w:left w:val="none" w:sz="0" w:space="0" w:color="auto"/>
            <w:bottom w:val="none" w:sz="0" w:space="0" w:color="auto"/>
            <w:right w:val="none" w:sz="0" w:space="0" w:color="auto"/>
          </w:divBdr>
        </w:div>
        <w:div w:id="1761414099">
          <w:marLeft w:val="0"/>
          <w:marRight w:val="0"/>
          <w:marTop w:val="0"/>
          <w:marBottom w:val="0"/>
          <w:divBdr>
            <w:top w:val="none" w:sz="0" w:space="0" w:color="auto"/>
            <w:left w:val="none" w:sz="0" w:space="0" w:color="auto"/>
            <w:bottom w:val="none" w:sz="0" w:space="0" w:color="auto"/>
            <w:right w:val="none" w:sz="0" w:space="0" w:color="auto"/>
          </w:divBdr>
        </w:div>
      </w:divsChild>
    </w:div>
    <w:div w:id="751584539">
      <w:bodyDiv w:val="1"/>
      <w:marLeft w:val="0"/>
      <w:marRight w:val="0"/>
      <w:marTop w:val="0"/>
      <w:marBottom w:val="0"/>
      <w:divBdr>
        <w:top w:val="none" w:sz="0" w:space="0" w:color="auto"/>
        <w:left w:val="none" w:sz="0" w:space="0" w:color="auto"/>
        <w:bottom w:val="none" w:sz="0" w:space="0" w:color="auto"/>
        <w:right w:val="none" w:sz="0" w:space="0" w:color="auto"/>
      </w:divBdr>
    </w:div>
    <w:div w:id="810249104">
      <w:bodyDiv w:val="1"/>
      <w:marLeft w:val="0"/>
      <w:marRight w:val="0"/>
      <w:marTop w:val="0"/>
      <w:marBottom w:val="0"/>
      <w:divBdr>
        <w:top w:val="none" w:sz="0" w:space="0" w:color="auto"/>
        <w:left w:val="none" w:sz="0" w:space="0" w:color="auto"/>
        <w:bottom w:val="none" w:sz="0" w:space="0" w:color="auto"/>
        <w:right w:val="none" w:sz="0" w:space="0" w:color="auto"/>
      </w:divBdr>
      <w:divsChild>
        <w:div w:id="103693576">
          <w:marLeft w:val="0"/>
          <w:marRight w:val="0"/>
          <w:marTop w:val="0"/>
          <w:marBottom w:val="0"/>
          <w:divBdr>
            <w:top w:val="none" w:sz="0" w:space="0" w:color="auto"/>
            <w:left w:val="none" w:sz="0" w:space="0" w:color="auto"/>
            <w:bottom w:val="none" w:sz="0" w:space="0" w:color="auto"/>
            <w:right w:val="none" w:sz="0" w:space="0" w:color="auto"/>
          </w:divBdr>
        </w:div>
        <w:div w:id="1490636917">
          <w:marLeft w:val="0"/>
          <w:marRight w:val="0"/>
          <w:marTop w:val="0"/>
          <w:marBottom w:val="0"/>
          <w:divBdr>
            <w:top w:val="none" w:sz="0" w:space="0" w:color="auto"/>
            <w:left w:val="none" w:sz="0" w:space="0" w:color="auto"/>
            <w:bottom w:val="none" w:sz="0" w:space="0" w:color="auto"/>
            <w:right w:val="none" w:sz="0" w:space="0" w:color="auto"/>
          </w:divBdr>
          <w:divsChild>
            <w:div w:id="901017827">
              <w:marLeft w:val="0"/>
              <w:marRight w:val="0"/>
              <w:marTop w:val="30"/>
              <w:marBottom w:val="30"/>
              <w:divBdr>
                <w:top w:val="none" w:sz="0" w:space="0" w:color="auto"/>
                <w:left w:val="none" w:sz="0" w:space="0" w:color="auto"/>
                <w:bottom w:val="none" w:sz="0" w:space="0" w:color="auto"/>
                <w:right w:val="none" w:sz="0" w:space="0" w:color="auto"/>
              </w:divBdr>
              <w:divsChild>
                <w:div w:id="36323328">
                  <w:marLeft w:val="0"/>
                  <w:marRight w:val="0"/>
                  <w:marTop w:val="0"/>
                  <w:marBottom w:val="0"/>
                  <w:divBdr>
                    <w:top w:val="none" w:sz="0" w:space="0" w:color="auto"/>
                    <w:left w:val="none" w:sz="0" w:space="0" w:color="auto"/>
                    <w:bottom w:val="none" w:sz="0" w:space="0" w:color="auto"/>
                    <w:right w:val="none" w:sz="0" w:space="0" w:color="auto"/>
                  </w:divBdr>
                  <w:divsChild>
                    <w:div w:id="1022972710">
                      <w:marLeft w:val="0"/>
                      <w:marRight w:val="0"/>
                      <w:marTop w:val="0"/>
                      <w:marBottom w:val="0"/>
                      <w:divBdr>
                        <w:top w:val="none" w:sz="0" w:space="0" w:color="auto"/>
                        <w:left w:val="none" w:sz="0" w:space="0" w:color="auto"/>
                        <w:bottom w:val="none" w:sz="0" w:space="0" w:color="auto"/>
                        <w:right w:val="none" w:sz="0" w:space="0" w:color="auto"/>
                      </w:divBdr>
                    </w:div>
                  </w:divsChild>
                </w:div>
                <w:div w:id="37315122">
                  <w:marLeft w:val="0"/>
                  <w:marRight w:val="0"/>
                  <w:marTop w:val="0"/>
                  <w:marBottom w:val="0"/>
                  <w:divBdr>
                    <w:top w:val="none" w:sz="0" w:space="0" w:color="auto"/>
                    <w:left w:val="none" w:sz="0" w:space="0" w:color="auto"/>
                    <w:bottom w:val="none" w:sz="0" w:space="0" w:color="auto"/>
                    <w:right w:val="none" w:sz="0" w:space="0" w:color="auto"/>
                  </w:divBdr>
                  <w:divsChild>
                    <w:div w:id="1880045842">
                      <w:marLeft w:val="0"/>
                      <w:marRight w:val="0"/>
                      <w:marTop w:val="0"/>
                      <w:marBottom w:val="0"/>
                      <w:divBdr>
                        <w:top w:val="none" w:sz="0" w:space="0" w:color="auto"/>
                        <w:left w:val="none" w:sz="0" w:space="0" w:color="auto"/>
                        <w:bottom w:val="none" w:sz="0" w:space="0" w:color="auto"/>
                        <w:right w:val="none" w:sz="0" w:space="0" w:color="auto"/>
                      </w:divBdr>
                    </w:div>
                  </w:divsChild>
                </w:div>
                <w:div w:id="47267700">
                  <w:marLeft w:val="0"/>
                  <w:marRight w:val="0"/>
                  <w:marTop w:val="0"/>
                  <w:marBottom w:val="0"/>
                  <w:divBdr>
                    <w:top w:val="none" w:sz="0" w:space="0" w:color="auto"/>
                    <w:left w:val="none" w:sz="0" w:space="0" w:color="auto"/>
                    <w:bottom w:val="none" w:sz="0" w:space="0" w:color="auto"/>
                    <w:right w:val="none" w:sz="0" w:space="0" w:color="auto"/>
                  </w:divBdr>
                  <w:divsChild>
                    <w:div w:id="1851946729">
                      <w:marLeft w:val="0"/>
                      <w:marRight w:val="0"/>
                      <w:marTop w:val="0"/>
                      <w:marBottom w:val="0"/>
                      <w:divBdr>
                        <w:top w:val="none" w:sz="0" w:space="0" w:color="auto"/>
                        <w:left w:val="none" w:sz="0" w:space="0" w:color="auto"/>
                        <w:bottom w:val="none" w:sz="0" w:space="0" w:color="auto"/>
                        <w:right w:val="none" w:sz="0" w:space="0" w:color="auto"/>
                      </w:divBdr>
                    </w:div>
                  </w:divsChild>
                </w:div>
                <w:div w:id="59644138">
                  <w:marLeft w:val="0"/>
                  <w:marRight w:val="0"/>
                  <w:marTop w:val="0"/>
                  <w:marBottom w:val="0"/>
                  <w:divBdr>
                    <w:top w:val="none" w:sz="0" w:space="0" w:color="auto"/>
                    <w:left w:val="none" w:sz="0" w:space="0" w:color="auto"/>
                    <w:bottom w:val="none" w:sz="0" w:space="0" w:color="auto"/>
                    <w:right w:val="none" w:sz="0" w:space="0" w:color="auto"/>
                  </w:divBdr>
                  <w:divsChild>
                    <w:div w:id="1152327939">
                      <w:marLeft w:val="0"/>
                      <w:marRight w:val="0"/>
                      <w:marTop w:val="0"/>
                      <w:marBottom w:val="0"/>
                      <w:divBdr>
                        <w:top w:val="none" w:sz="0" w:space="0" w:color="auto"/>
                        <w:left w:val="none" w:sz="0" w:space="0" w:color="auto"/>
                        <w:bottom w:val="none" w:sz="0" w:space="0" w:color="auto"/>
                        <w:right w:val="none" w:sz="0" w:space="0" w:color="auto"/>
                      </w:divBdr>
                    </w:div>
                  </w:divsChild>
                </w:div>
                <w:div w:id="62223157">
                  <w:marLeft w:val="0"/>
                  <w:marRight w:val="0"/>
                  <w:marTop w:val="0"/>
                  <w:marBottom w:val="0"/>
                  <w:divBdr>
                    <w:top w:val="none" w:sz="0" w:space="0" w:color="auto"/>
                    <w:left w:val="none" w:sz="0" w:space="0" w:color="auto"/>
                    <w:bottom w:val="none" w:sz="0" w:space="0" w:color="auto"/>
                    <w:right w:val="none" w:sz="0" w:space="0" w:color="auto"/>
                  </w:divBdr>
                  <w:divsChild>
                    <w:div w:id="1367833705">
                      <w:marLeft w:val="0"/>
                      <w:marRight w:val="0"/>
                      <w:marTop w:val="0"/>
                      <w:marBottom w:val="0"/>
                      <w:divBdr>
                        <w:top w:val="none" w:sz="0" w:space="0" w:color="auto"/>
                        <w:left w:val="none" w:sz="0" w:space="0" w:color="auto"/>
                        <w:bottom w:val="none" w:sz="0" w:space="0" w:color="auto"/>
                        <w:right w:val="none" w:sz="0" w:space="0" w:color="auto"/>
                      </w:divBdr>
                    </w:div>
                  </w:divsChild>
                </w:div>
                <w:div w:id="109785718">
                  <w:marLeft w:val="0"/>
                  <w:marRight w:val="0"/>
                  <w:marTop w:val="0"/>
                  <w:marBottom w:val="0"/>
                  <w:divBdr>
                    <w:top w:val="none" w:sz="0" w:space="0" w:color="auto"/>
                    <w:left w:val="none" w:sz="0" w:space="0" w:color="auto"/>
                    <w:bottom w:val="none" w:sz="0" w:space="0" w:color="auto"/>
                    <w:right w:val="none" w:sz="0" w:space="0" w:color="auto"/>
                  </w:divBdr>
                  <w:divsChild>
                    <w:div w:id="2002001919">
                      <w:marLeft w:val="0"/>
                      <w:marRight w:val="0"/>
                      <w:marTop w:val="0"/>
                      <w:marBottom w:val="0"/>
                      <w:divBdr>
                        <w:top w:val="none" w:sz="0" w:space="0" w:color="auto"/>
                        <w:left w:val="none" w:sz="0" w:space="0" w:color="auto"/>
                        <w:bottom w:val="none" w:sz="0" w:space="0" w:color="auto"/>
                        <w:right w:val="none" w:sz="0" w:space="0" w:color="auto"/>
                      </w:divBdr>
                    </w:div>
                  </w:divsChild>
                </w:div>
                <w:div w:id="123085582">
                  <w:marLeft w:val="0"/>
                  <w:marRight w:val="0"/>
                  <w:marTop w:val="0"/>
                  <w:marBottom w:val="0"/>
                  <w:divBdr>
                    <w:top w:val="none" w:sz="0" w:space="0" w:color="auto"/>
                    <w:left w:val="none" w:sz="0" w:space="0" w:color="auto"/>
                    <w:bottom w:val="none" w:sz="0" w:space="0" w:color="auto"/>
                    <w:right w:val="none" w:sz="0" w:space="0" w:color="auto"/>
                  </w:divBdr>
                  <w:divsChild>
                    <w:div w:id="1784492249">
                      <w:marLeft w:val="0"/>
                      <w:marRight w:val="0"/>
                      <w:marTop w:val="0"/>
                      <w:marBottom w:val="0"/>
                      <w:divBdr>
                        <w:top w:val="none" w:sz="0" w:space="0" w:color="auto"/>
                        <w:left w:val="none" w:sz="0" w:space="0" w:color="auto"/>
                        <w:bottom w:val="none" w:sz="0" w:space="0" w:color="auto"/>
                        <w:right w:val="none" w:sz="0" w:space="0" w:color="auto"/>
                      </w:divBdr>
                    </w:div>
                  </w:divsChild>
                </w:div>
                <w:div w:id="195434311">
                  <w:marLeft w:val="0"/>
                  <w:marRight w:val="0"/>
                  <w:marTop w:val="0"/>
                  <w:marBottom w:val="0"/>
                  <w:divBdr>
                    <w:top w:val="none" w:sz="0" w:space="0" w:color="auto"/>
                    <w:left w:val="none" w:sz="0" w:space="0" w:color="auto"/>
                    <w:bottom w:val="none" w:sz="0" w:space="0" w:color="auto"/>
                    <w:right w:val="none" w:sz="0" w:space="0" w:color="auto"/>
                  </w:divBdr>
                  <w:divsChild>
                    <w:div w:id="517431510">
                      <w:marLeft w:val="0"/>
                      <w:marRight w:val="0"/>
                      <w:marTop w:val="0"/>
                      <w:marBottom w:val="0"/>
                      <w:divBdr>
                        <w:top w:val="none" w:sz="0" w:space="0" w:color="auto"/>
                        <w:left w:val="none" w:sz="0" w:space="0" w:color="auto"/>
                        <w:bottom w:val="none" w:sz="0" w:space="0" w:color="auto"/>
                        <w:right w:val="none" w:sz="0" w:space="0" w:color="auto"/>
                      </w:divBdr>
                    </w:div>
                  </w:divsChild>
                </w:div>
                <w:div w:id="196627034">
                  <w:marLeft w:val="0"/>
                  <w:marRight w:val="0"/>
                  <w:marTop w:val="0"/>
                  <w:marBottom w:val="0"/>
                  <w:divBdr>
                    <w:top w:val="none" w:sz="0" w:space="0" w:color="auto"/>
                    <w:left w:val="none" w:sz="0" w:space="0" w:color="auto"/>
                    <w:bottom w:val="none" w:sz="0" w:space="0" w:color="auto"/>
                    <w:right w:val="none" w:sz="0" w:space="0" w:color="auto"/>
                  </w:divBdr>
                  <w:divsChild>
                    <w:div w:id="832991634">
                      <w:marLeft w:val="0"/>
                      <w:marRight w:val="0"/>
                      <w:marTop w:val="0"/>
                      <w:marBottom w:val="0"/>
                      <w:divBdr>
                        <w:top w:val="none" w:sz="0" w:space="0" w:color="auto"/>
                        <w:left w:val="none" w:sz="0" w:space="0" w:color="auto"/>
                        <w:bottom w:val="none" w:sz="0" w:space="0" w:color="auto"/>
                        <w:right w:val="none" w:sz="0" w:space="0" w:color="auto"/>
                      </w:divBdr>
                    </w:div>
                  </w:divsChild>
                </w:div>
                <w:div w:id="219828835">
                  <w:marLeft w:val="0"/>
                  <w:marRight w:val="0"/>
                  <w:marTop w:val="0"/>
                  <w:marBottom w:val="0"/>
                  <w:divBdr>
                    <w:top w:val="none" w:sz="0" w:space="0" w:color="auto"/>
                    <w:left w:val="none" w:sz="0" w:space="0" w:color="auto"/>
                    <w:bottom w:val="none" w:sz="0" w:space="0" w:color="auto"/>
                    <w:right w:val="none" w:sz="0" w:space="0" w:color="auto"/>
                  </w:divBdr>
                  <w:divsChild>
                    <w:div w:id="1401634137">
                      <w:marLeft w:val="0"/>
                      <w:marRight w:val="0"/>
                      <w:marTop w:val="0"/>
                      <w:marBottom w:val="0"/>
                      <w:divBdr>
                        <w:top w:val="none" w:sz="0" w:space="0" w:color="auto"/>
                        <w:left w:val="none" w:sz="0" w:space="0" w:color="auto"/>
                        <w:bottom w:val="none" w:sz="0" w:space="0" w:color="auto"/>
                        <w:right w:val="none" w:sz="0" w:space="0" w:color="auto"/>
                      </w:divBdr>
                    </w:div>
                  </w:divsChild>
                </w:div>
                <w:div w:id="226188322">
                  <w:marLeft w:val="0"/>
                  <w:marRight w:val="0"/>
                  <w:marTop w:val="0"/>
                  <w:marBottom w:val="0"/>
                  <w:divBdr>
                    <w:top w:val="none" w:sz="0" w:space="0" w:color="auto"/>
                    <w:left w:val="none" w:sz="0" w:space="0" w:color="auto"/>
                    <w:bottom w:val="none" w:sz="0" w:space="0" w:color="auto"/>
                    <w:right w:val="none" w:sz="0" w:space="0" w:color="auto"/>
                  </w:divBdr>
                  <w:divsChild>
                    <w:div w:id="1154182756">
                      <w:marLeft w:val="0"/>
                      <w:marRight w:val="0"/>
                      <w:marTop w:val="0"/>
                      <w:marBottom w:val="0"/>
                      <w:divBdr>
                        <w:top w:val="none" w:sz="0" w:space="0" w:color="auto"/>
                        <w:left w:val="none" w:sz="0" w:space="0" w:color="auto"/>
                        <w:bottom w:val="none" w:sz="0" w:space="0" w:color="auto"/>
                        <w:right w:val="none" w:sz="0" w:space="0" w:color="auto"/>
                      </w:divBdr>
                    </w:div>
                  </w:divsChild>
                </w:div>
                <w:div w:id="228540131">
                  <w:marLeft w:val="0"/>
                  <w:marRight w:val="0"/>
                  <w:marTop w:val="0"/>
                  <w:marBottom w:val="0"/>
                  <w:divBdr>
                    <w:top w:val="none" w:sz="0" w:space="0" w:color="auto"/>
                    <w:left w:val="none" w:sz="0" w:space="0" w:color="auto"/>
                    <w:bottom w:val="none" w:sz="0" w:space="0" w:color="auto"/>
                    <w:right w:val="none" w:sz="0" w:space="0" w:color="auto"/>
                  </w:divBdr>
                  <w:divsChild>
                    <w:div w:id="2027560629">
                      <w:marLeft w:val="0"/>
                      <w:marRight w:val="0"/>
                      <w:marTop w:val="0"/>
                      <w:marBottom w:val="0"/>
                      <w:divBdr>
                        <w:top w:val="none" w:sz="0" w:space="0" w:color="auto"/>
                        <w:left w:val="none" w:sz="0" w:space="0" w:color="auto"/>
                        <w:bottom w:val="none" w:sz="0" w:space="0" w:color="auto"/>
                        <w:right w:val="none" w:sz="0" w:space="0" w:color="auto"/>
                      </w:divBdr>
                    </w:div>
                  </w:divsChild>
                </w:div>
                <w:div w:id="243339160">
                  <w:marLeft w:val="0"/>
                  <w:marRight w:val="0"/>
                  <w:marTop w:val="0"/>
                  <w:marBottom w:val="0"/>
                  <w:divBdr>
                    <w:top w:val="none" w:sz="0" w:space="0" w:color="auto"/>
                    <w:left w:val="none" w:sz="0" w:space="0" w:color="auto"/>
                    <w:bottom w:val="none" w:sz="0" w:space="0" w:color="auto"/>
                    <w:right w:val="none" w:sz="0" w:space="0" w:color="auto"/>
                  </w:divBdr>
                  <w:divsChild>
                    <w:div w:id="58944913">
                      <w:marLeft w:val="0"/>
                      <w:marRight w:val="0"/>
                      <w:marTop w:val="0"/>
                      <w:marBottom w:val="0"/>
                      <w:divBdr>
                        <w:top w:val="none" w:sz="0" w:space="0" w:color="auto"/>
                        <w:left w:val="none" w:sz="0" w:space="0" w:color="auto"/>
                        <w:bottom w:val="none" w:sz="0" w:space="0" w:color="auto"/>
                        <w:right w:val="none" w:sz="0" w:space="0" w:color="auto"/>
                      </w:divBdr>
                    </w:div>
                  </w:divsChild>
                </w:div>
                <w:div w:id="256641097">
                  <w:marLeft w:val="0"/>
                  <w:marRight w:val="0"/>
                  <w:marTop w:val="0"/>
                  <w:marBottom w:val="0"/>
                  <w:divBdr>
                    <w:top w:val="none" w:sz="0" w:space="0" w:color="auto"/>
                    <w:left w:val="none" w:sz="0" w:space="0" w:color="auto"/>
                    <w:bottom w:val="none" w:sz="0" w:space="0" w:color="auto"/>
                    <w:right w:val="none" w:sz="0" w:space="0" w:color="auto"/>
                  </w:divBdr>
                  <w:divsChild>
                    <w:div w:id="1645811987">
                      <w:marLeft w:val="0"/>
                      <w:marRight w:val="0"/>
                      <w:marTop w:val="0"/>
                      <w:marBottom w:val="0"/>
                      <w:divBdr>
                        <w:top w:val="none" w:sz="0" w:space="0" w:color="auto"/>
                        <w:left w:val="none" w:sz="0" w:space="0" w:color="auto"/>
                        <w:bottom w:val="none" w:sz="0" w:space="0" w:color="auto"/>
                        <w:right w:val="none" w:sz="0" w:space="0" w:color="auto"/>
                      </w:divBdr>
                    </w:div>
                  </w:divsChild>
                </w:div>
                <w:div w:id="277569314">
                  <w:marLeft w:val="0"/>
                  <w:marRight w:val="0"/>
                  <w:marTop w:val="0"/>
                  <w:marBottom w:val="0"/>
                  <w:divBdr>
                    <w:top w:val="none" w:sz="0" w:space="0" w:color="auto"/>
                    <w:left w:val="none" w:sz="0" w:space="0" w:color="auto"/>
                    <w:bottom w:val="none" w:sz="0" w:space="0" w:color="auto"/>
                    <w:right w:val="none" w:sz="0" w:space="0" w:color="auto"/>
                  </w:divBdr>
                  <w:divsChild>
                    <w:div w:id="1655185577">
                      <w:marLeft w:val="0"/>
                      <w:marRight w:val="0"/>
                      <w:marTop w:val="0"/>
                      <w:marBottom w:val="0"/>
                      <w:divBdr>
                        <w:top w:val="none" w:sz="0" w:space="0" w:color="auto"/>
                        <w:left w:val="none" w:sz="0" w:space="0" w:color="auto"/>
                        <w:bottom w:val="none" w:sz="0" w:space="0" w:color="auto"/>
                        <w:right w:val="none" w:sz="0" w:space="0" w:color="auto"/>
                      </w:divBdr>
                    </w:div>
                  </w:divsChild>
                </w:div>
                <w:div w:id="281306434">
                  <w:marLeft w:val="0"/>
                  <w:marRight w:val="0"/>
                  <w:marTop w:val="0"/>
                  <w:marBottom w:val="0"/>
                  <w:divBdr>
                    <w:top w:val="none" w:sz="0" w:space="0" w:color="auto"/>
                    <w:left w:val="none" w:sz="0" w:space="0" w:color="auto"/>
                    <w:bottom w:val="none" w:sz="0" w:space="0" w:color="auto"/>
                    <w:right w:val="none" w:sz="0" w:space="0" w:color="auto"/>
                  </w:divBdr>
                  <w:divsChild>
                    <w:div w:id="1948460685">
                      <w:marLeft w:val="0"/>
                      <w:marRight w:val="0"/>
                      <w:marTop w:val="0"/>
                      <w:marBottom w:val="0"/>
                      <w:divBdr>
                        <w:top w:val="none" w:sz="0" w:space="0" w:color="auto"/>
                        <w:left w:val="none" w:sz="0" w:space="0" w:color="auto"/>
                        <w:bottom w:val="none" w:sz="0" w:space="0" w:color="auto"/>
                        <w:right w:val="none" w:sz="0" w:space="0" w:color="auto"/>
                      </w:divBdr>
                    </w:div>
                  </w:divsChild>
                </w:div>
                <w:div w:id="296373508">
                  <w:marLeft w:val="0"/>
                  <w:marRight w:val="0"/>
                  <w:marTop w:val="0"/>
                  <w:marBottom w:val="0"/>
                  <w:divBdr>
                    <w:top w:val="none" w:sz="0" w:space="0" w:color="auto"/>
                    <w:left w:val="none" w:sz="0" w:space="0" w:color="auto"/>
                    <w:bottom w:val="none" w:sz="0" w:space="0" w:color="auto"/>
                    <w:right w:val="none" w:sz="0" w:space="0" w:color="auto"/>
                  </w:divBdr>
                  <w:divsChild>
                    <w:div w:id="1426413951">
                      <w:marLeft w:val="0"/>
                      <w:marRight w:val="0"/>
                      <w:marTop w:val="0"/>
                      <w:marBottom w:val="0"/>
                      <w:divBdr>
                        <w:top w:val="none" w:sz="0" w:space="0" w:color="auto"/>
                        <w:left w:val="none" w:sz="0" w:space="0" w:color="auto"/>
                        <w:bottom w:val="none" w:sz="0" w:space="0" w:color="auto"/>
                        <w:right w:val="none" w:sz="0" w:space="0" w:color="auto"/>
                      </w:divBdr>
                    </w:div>
                  </w:divsChild>
                </w:div>
                <w:div w:id="312300671">
                  <w:marLeft w:val="0"/>
                  <w:marRight w:val="0"/>
                  <w:marTop w:val="0"/>
                  <w:marBottom w:val="0"/>
                  <w:divBdr>
                    <w:top w:val="none" w:sz="0" w:space="0" w:color="auto"/>
                    <w:left w:val="none" w:sz="0" w:space="0" w:color="auto"/>
                    <w:bottom w:val="none" w:sz="0" w:space="0" w:color="auto"/>
                    <w:right w:val="none" w:sz="0" w:space="0" w:color="auto"/>
                  </w:divBdr>
                  <w:divsChild>
                    <w:div w:id="1592473020">
                      <w:marLeft w:val="0"/>
                      <w:marRight w:val="0"/>
                      <w:marTop w:val="0"/>
                      <w:marBottom w:val="0"/>
                      <w:divBdr>
                        <w:top w:val="none" w:sz="0" w:space="0" w:color="auto"/>
                        <w:left w:val="none" w:sz="0" w:space="0" w:color="auto"/>
                        <w:bottom w:val="none" w:sz="0" w:space="0" w:color="auto"/>
                        <w:right w:val="none" w:sz="0" w:space="0" w:color="auto"/>
                      </w:divBdr>
                    </w:div>
                  </w:divsChild>
                </w:div>
                <w:div w:id="312368088">
                  <w:marLeft w:val="0"/>
                  <w:marRight w:val="0"/>
                  <w:marTop w:val="0"/>
                  <w:marBottom w:val="0"/>
                  <w:divBdr>
                    <w:top w:val="none" w:sz="0" w:space="0" w:color="auto"/>
                    <w:left w:val="none" w:sz="0" w:space="0" w:color="auto"/>
                    <w:bottom w:val="none" w:sz="0" w:space="0" w:color="auto"/>
                    <w:right w:val="none" w:sz="0" w:space="0" w:color="auto"/>
                  </w:divBdr>
                  <w:divsChild>
                    <w:div w:id="1183014425">
                      <w:marLeft w:val="0"/>
                      <w:marRight w:val="0"/>
                      <w:marTop w:val="0"/>
                      <w:marBottom w:val="0"/>
                      <w:divBdr>
                        <w:top w:val="none" w:sz="0" w:space="0" w:color="auto"/>
                        <w:left w:val="none" w:sz="0" w:space="0" w:color="auto"/>
                        <w:bottom w:val="none" w:sz="0" w:space="0" w:color="auto"/>
                        <w:right w:val="none" w:sz="0" w:space="0" w:color="auto"/>
                      </w:divBdr>
                    </w:div>
                  </w:divsChild>
                </w:div>
                <w:div w:id="323356355">
                  <w:marLeft w:val="0"/>
                  <w:marRight w:val="0"/>
                  <w:marTop w:val="0"/>
                  <w:marBottom w:val="0"/>
                  <w:divBdr>
                    <w:top w:val="none" w:sz="0" w:space="0" w:color="auto"/>
                    <w:left w:val="none" w:sz="0" w:space="0" w:color="auto"/>
                    <w:bottom w:val="none" w:sz="0" w:space="0" w:color="auto"/>
                    <w:right w:val="none" w:sz="0" w:space="0" w:color="auto"/>
                  </w:divBdr>
                  <w:divsChild>
                    <w:div w:id="553198188">
                      <w:marLeft w:val="0"/>
                      <w:marRight w:val="0"/>
                      <w:marTop w:val="0"/>
                      <w:marBottom w:val="0"/>
                      <w:divBdr>
                        <w:top w:val="none" w:sz="0" w:space="0" w:color="auto"/>
                        <w:left w:val="none" w:sz="0" w:space="0" w:color="auto"/>
                        <w:bottom w:val="none" w:sz="0" w:space="0" w:color="auto"/>
                        <w:right w:val="none" w:sz="0" w:space="0" w:color="auto"/>
                      </w:divBdr>
                    </w:div>
                  </w:divsChild>
                </w:div>
                <w:div w:id="326369577">
                  <w:marLeft w:val="0"/>
                  <w:marRight w:val="0"/>
                  <w:marTop w:val="0"/>
                  <w:marBottom w:val="0"/>
                  <w:divBdr>
                    <w:top w:val="none" w:sz="0" w:space="0" w:color="auto"/>
                    <w:left w:val="none" w:sz="0" w:space="0" w:color="auto"/>
                    <w:bottom w:val="none" w:sz="0" w:space="0" w:color="auto"/>
                    <w:right w:val="none" w:sz="0" w:space="0" w:color="auto"/>
                  </w:divBdr>
                  <w:divsChild>
                    <w:div w:id="49547058">
                      <w:marLeft w:val="0"/>
                      <w:marRight w:val="0"/>
                      <w:marTop w:val="0"/>
                      <w:marBottom w:val="0"/>
                      <w:divBdr>
                        <w:top w:val="none" w:sz="0" w:space="0" w:color="auto"/>
                        <w:left w:val="none" w:sz="0" w:space="0" w:color="auto"/>
                        <w:bottom w:val="none" w:sz="0" w:space="0" w:color="auto"/>
                        <w:right w:val="none" w:sz="0" w:space="0" w:color="auto"/>
                      </w:divBdr>
                    </w:div>
                  </w:divsChild>
                </w:div>
                <w:div w:id="410855385">
                  <w:marLeft w:val="0"/>
                  <w:marRight w:val="0"/>
                  <w:marTop w:val="0"/>
                  <w:marBottom w:val="0"/>
                  <w:divBdr>
                    <w:top w:val="none" w:sz="0" w:space="0" w:color="auto"/>
                    <w:left w:val="none" w:sz="0" w:space="0" w:color="auto"/>
                    <w:bottom w:val="none" w:sz="0" w:space="0" w:color="auto"/>
                    <w:right w:val="none" w:sz="0" w:space="0" w:color="auto"/>
                  </w:divBdr>
                  <w:divsChild>
                    <w:div w:id="809787106">
                      <w:marLeft w:val="0"/>
                      <w:marRight w:val="0"/>
                      <w:marTop w:val="0"/>
                      <w:marBottom w:val="0"/>
                      <w:divBdr>
                        <w:top w:val="none" w:sz="0" w:space="0" w:color="auto"/>
                        <w:left w:val="none" w:sz="0" w:space="0" w:color="auto"/>
                        <w:bottom w:val="none" w:sz="0" w:space="0" w:color="auto"/>
                        <w:right w:val="none" w:sz="0" w:space="0" w:color="auto"/>
                      </w:divBdr>
                    </w:div>
                  </w:divsChild>
                </w:div>
                <w:div w:id="457072606">
                  <w:marLeft w:val="0"/>
                  <w:marRight w:val="0"/>
                  <w:marTop w:val="0"/>
                  <w:marBottom w:val="0"/>
                  <w:divBdr>
                    <w:top w:val="none" w:sz="0" w:space="0" w:color="auto"/>
                    <w:left w:val="none" w:sz="0" w:space="0" w:color="auto"/>
                    <w:bottom w:val="none" w:sz="0" w:space="0" w:color="auto"/>
                    <w:right w:val="none" w:sz="0" w:space="0" w:color="auto"/>
                  </w:divBdr>
                  <w:divsChild>
                    <w:div w:id="1730424542">
                      <w:marLeft w:val="0"/>
                      <w:marRight w:val="0"/>
                      <w:marTop w:val="0"/>
                      <w:marBottom w:val="0"/>
                      <w:divBdr>
                        <w:top w:val="none" w:sz="0" w:space="0" w:color="auto"/>
                        <w:left w:val="none" w:sz="0" w:space="0" w:color="auto"/>
                        <w:bottom w:val="none" w:sz="0" w:space="0" w:color="auto"/>
                        <w:right w:val="none" w:sz="0" w:space="0" w:color="auto"/>
                      </w:divBdr>
                    </w:div>
                  </w:divsChild>
                </w:div>
                <w:div w:id="468474874">
                  <w:marLeft w:val="0"/>
                  <w:marRight w:val="0"/>
                  <w:marTop w:val="0"/>
                  <w:marBottom w:val="0"/>
                  <w:divBdr>
                    <w:top w:val="none" w:sz="0" w:space="0" w:color="auto"/>
                    <w:left w:val="none" w:sz="0" w:space="0" w:color="auto"/>
                    <w:bottom w:val="none" w:sz="0" w:space="0" w:color="auto"/>
                    <w:right w:val="none" w:sz="0" w:space="0" w:color="auto"/>
                  </w:divBdr>
                  <w:divsChild>
                    <w:div w:id="668361665">
                      <w:marLeft w:val="0"/>
                      <w:marRight w:val="0"/>
                      <w:marTop w:val="0"/>
                      <w:marBottom w:val="0"/>
                      <w:divBdr>
                        <w:top w:val="none" w:sz="0" w:space="0" w:color="auto"/>
                        <w:left w:val="none" w:sz="0" w:space="0" w:color="auto"/>
                        <w:bottom w:val="none" w:sz="0" w:space="0" w:color="auto"/>
                        <w:right w:val="none" w:sz="0" w:space="0" w:color="auto"/>
                      </w:divBdr>
                    </w:div>
                  </w:divsChild>
                </w:div>
                <w:div w:id="490413981">
                  <w:marLeft w:val="0"/>
                  <w:marRight w:val="0"/>
                  <w:marTop w:val="0"/>
                  <w:marBottom w:val="0"/>
                  <w:divBdr>
                    <w:top w:val="none" w:sz="0" w:space="0" w:color="auto"/>
                    <w:left w:val="none" w:sz="0" w:space="0" w:color="auto"/>
                    <w:bottom w:val="none" w:sz="0" w:space="0" w:color="auto"/>
                    <w:right w:val="none" w:sz="0" w:space="0" w:color="auto"/>
                  </w:divBdr>
                  <w:divsChild>
                    <w:div w:id="682241401">
                      <w:marLeft w:val="0"/>
                      <w:marRight w:val="0"/>
                      <w:marTop w:val="0"/>
                      <w:marBottom w:val="0"/>
                      <w:divBdr>
                        <w:top w:val="none" w:sz="0" w:space="0" w:color="auto"/>
                        <w:left w:val="none" w:sz="0" w:space="0" w:color="auto"/>
                        <w:bottom w:val="none" w:sz="0" w:space="0" w:color="auto"/>
                        <w:right w:val="none" w:sz="0" w:space="0" w:color="auto"/>
                      </w:divBdr>
                    </w:div>
                  </w:divsChild>
                </w:div>
                <w:div w:id="515731675">
                  <w:marLeft w:val="0"/>
                  <w:marRight w:val="0"/>
                  <w:marTop w:val="0"/>
                  <w:marBottom w:val="0"/>
                  <w:divBdr>
                    <w:top w:val="none" w:sz="0" w:space="0" w:color="auto"/>
                    <w:left w:val="none" w:sz="0" w:space="0" w:color="auto"/>
                    <w:bottom w:val="none" w:sz="0" w:space="0" w:color="auto"/>
                    <w:right w:val="none" w:sz="0" w:space="0" w:color="auto"/>
                  </w:divBdr>
                  <w:divsChild>
                    <w:div w:id="1856766416">
                      <w:marLeft w:val="0"/>
                      <w:marRight w:val="0"/>
                      <w:marTop w:val="0"/>
                      <w:marBottom w:val="0"/>
                      <w:divBdr>
                        <w:top w:val="none" w:sz="0" w:space="0" w:color="auto"/>
                        <w:left w:val="none" w:sz="0" w:space="0" w:color="auto"/>
                        <w:bottom w:val="none" w:sz="0" w:space="0" w:color="auto"/>
                        <w:right w:val="none" w:sz="0" w:space="0" w:color="auto"/>
                      </w:divBdr>
                    </w:div>
                  </w:divsChild>
                </w:div>
                <w:div w:id="539056591">
                  <w:marLeft w:val="0"/>
                  <w:marRight w:val="0"/>
                  <w:marTop w:val="0"/>
                  <w:marBottom w:val="0"/>
                  <w:divBdr>
                    <w:top w:val="none" w:sz="0" w:space="0" w:color="auto"/>
                    <w:left w:val="none" w:sz="0" w:space="0" w:color="auto"/>
                    <w:bottom w:val="none" w:sz="0" w:space="0" w:color="auto"/>
                    <w:right w:val="none" w:sz="0" w:space="0" w:color="auto"/>
                  </w:divBdr>
                  <w:divsChild>
                    <w:div w:id="1132016568">
                      <w:marLeft w:val="0"/>
                      <w:marRight w:val="0"/>
                      <w:marTop w:val="0"/>
                      <w:marBottom w:val="0"/>
                      <w:divBdr>
                        <w:top w:val="none" w:sz="0" w:space="0" w:color="auto"/>
                        <w:left w:val="none" w:sz="0" w:space="0" w:color="auto"/>
                        <w:bottom w:val="none" w:sz="0" w:space="0" w:color="auto"/>
                        <w:right w:val="none" w:sz="0" w:space="0" w:color="auto"/>
                      </w:divBdr>
                    </w:div>
                  </w:divsChild>
                </w:div>
                <w:div w:id="541483014">
                  <w:marLeft w:val="0"/>
                  <w:marRight w:val="0"/>
                  <w:marTop w:val="0"/>
                  <w:marBottom w:val="0"/>
                  <w:divBdr>
                    <w:top w:val="none" w:sz="0" w:space="0" w:color="auto"/>
                    <w:left w:val="none" w:sz="0" w:space="0" w:color="auto"/>
                    <w:bottom w:val="none" w:sz="0" w:space="0" w:color="auto"/>
                    <w:right w:val="none" w:sz="0" w:space="0" w:color="auto"/>
                  </w:divBdr>
                  <w:divsChild>
                    <w:div w:id="1410075129">
                      <w:marLeft w:val="0"/>
                      <w:marRight w:val="0"/>
                      <w:marTop w:val="0"/>
                      <w:marBottom w:val="0"/>
                      <w:divBdr>
                        <w:top w:val="none" w:sz="0" w:space="0" w:color="auto"/>
                        <w:left w:val="none" w:sz="0" w:space="0" w:color="auto"/>
                        <w:bottom w:val="none" w:sz="0" w:space="0" w:color="auto"/>
                        <w:right w:val="none" w:sz="0" w:space="0" w:color="auto"/>
                      </w:divBdr>
                    </w:div>
                  </w:divsChild>
                </w:div>
                <w:div w:id="545681825">
                  <w:marLeft w:val="0"/>
                  <w:marRight w:val="0"/>
                  <w:marTop w:val="0"/>
                  <w:marBottom w:val="0"/>
                  <w:divBdr>
                    <w:top w:val="none" w:sz="0" w:space="0" w:color="auto"/>
                    <w:left w:val="none" w:sz="0" w:space="0" w:color="auto"/>
                    <w:bottom w:val="none" w:sz="0" w:space="0" w:color="auto"/>
                    <w:right w:val="none" w:sz="0" w:space="0" w:color="auto"/>
                  </w:divBdr>
                  <w:divsChild>
                    <w:div w:id="2138639959">
                      <w:marLeft w:val="0"/>
                      <w:marRight w:val="0"/>
                      <w:marTop w:val="0"/>
                      <w:marBottom w:val="0"/>
                      <w:divBdr>
                        <w:top w:val="none" w:sz="0" w:space="0" w:color="auto"/>
                        <w:left w:val="none" w:sz="0" w:space="0" w:color="auto"/>
                        <w:bottom w:val="none" w:sz="0" w:space="0" w:color="auto"/>
                        <w:right w:val="none" w:sz="0" w:space="0" w:color="auto"/>
                      </w:divBdr>
                    </w:div>
                  </w:divsChild>
                </w:div>
                <w:div w:id="584219907">
                  <w:marLeft w:val="0"/>
                  <w:marRight w:val="0"/>
                  <w:marTop w:val="0"/>
                  <w:marBottom w:val="0"/>
                  <w:divBdr>
                    <w:top w:val="none" w:sz="0" w:space="0" w:color="auto"/>
                    <w:left w:val="none" w:sz="0" w:space="0" w:color="auto"/>
                    <w:bottom w:val="none" w:sz="0" w:space="0" w:color="auto"/>
                    <w:right w:val="none" w:sz="0" w:space="0" w:color="auto"/>
                  </w:divBdr>
                  <w:divsChild>
                    <w:div w:id="1064259343">
                      <w:marLeft w:val="0"/>
                      <w:marRight w:val="0"/>
                      <w:marTop w:val="0"/>
                      <w:marBottom w:val="0"/>
                      <w:divBdr>
                        <w:top w:val="none" w:sz="0" w:space="0" w:color="auto"/>
                        <w:left w:val="none" w:sz="0" w:space="0" w:color="auto"/>
                        <w:bottom w:val="none" w:sz="0" w:space="0" w:color="auto"/>
                        <w:right w:val="none" w:sz="0" w:space="0" w:color="auto"/>
                      </w:divBdr>
                    </w:div>
                  </w:divsChild>
                </w:div>
                <w:div w:id="682320002">
                  <w:marLeft w:val="0"/>
                  <w:marRight w:val="0"/>
                  <w:marTop w:val="0"/>
                  <w:marBottom w:val="0"/>
                  <w:divBdr>
                    <w:top w:val="none" w:sz="0" w:space="0" w:color="auto"/>
                    <w:left w:val="none" w:sz="0" w:space="0" w:color="auto"/>
                    <w:bottom w:val="none" w:sz="0" w:space="0" w:color="auto"/>
                    <w:right w:val="none" w:sz="0" w:space="0" w:color="auto"/>
                  </w:divBdr>
                  <w:divsChild>
                    <w:div w:id="857155207">
                      <w:marLeft w:val="0"/>
                      <w:marRight w:val="0"/>
                      <w:marTop w:val="0"/>
                      <w:marBottom w:val="0"/>
                      <w:divBdr>
                        <w:top w:val="none" w:sz="0" w:space="0" w:color="auto"/>
                        <w:left w:val="none" w:sz="0" w:space="0" w:color="auto"/>
                        <w:bottom w:val="none" w:sz="0" w:space="0" w:color="auto"/>
                        <w:right w:val="none" w:sz="0" w:space="0" w:color="auto"/>
                      </w:divBdr>
                    </w:div>
                  </w:divsChild>
                </w:div>
                <w:div w:id="697438395">
                  <w:marLeft w:val="0"/>
                  <w:marRight w:val="0"/>
                  <w:marTop w:val="0"/>
                  <w:marBottom w:val="0"/>
                  <w:divBdr>
                    <w:top w:val="none" w:sz="0" w:space="0" w:color="auto"/>
                    <w:left w:val="none" w:sz="0" w:space="0" w:color="auto"/>
                    <w:bottom w:val="none" w:sz="0" w:space="0" w:color="auto"/>
                    <w:right w:val="none" w:sz="0" w:space="0" w:color="auto"/>
                  </w:divBdr>
                  <w:divsChild>
                    <w:div w:id="1676490590">
                      <w:marLeft w:val="0"/>
                      <w:marRight w:val="0"/>
                      <w:marTop w:val="0"/>
                      <w:marBottom w:val="0"/>
                      <w:divBdr>
                        <w:top w:val="none" w:sz="0" w:space="0" w:color="auto"/>
                        <w:left w:val="none" w:sz="0" w:space="0" w:color="auto"/>
                        <w:bottom w:val="none" w:sz="0" w:space="0" w:color="auto"/>
                        <w:right w:val="none" w:sz="0" w:space="0" w:color="auto"/>
                      </w:divBdr>
                    </w:div>
                  </w:divsChild>
                </w:div>
                <w:div w:id="747076134">
                  <w:marLeft w:val="0"/>
                  <w:marRight w:val="0"/>
                  <w:marTop w:val="0"/>
                  <w:marBottom w:val="0"/>
                  <w:divBdr>
                    <w:top w:val="none" w:sz="0" w:space="0" w:color="auto"/>
                    <w:left w:val="none" w:sz="0" w:space="0" w:color="auto"/>
                    <w:bottom w:val="none" w:sz="0" w:space="0" w:color="auto"/>
                    <w:right w:val="none" w:sz="0" w:space="0" w:color="auto"/>
                  </w:divBdr>
                  <w:divsChild>
                    <w:div w:id="1214657701">
                      <w:marLeft w:val="0"/>
                      <w:marRight w:val="0"/>
                      <w:marTop w:val="0"/>
                      <w:marBottom w:val="0"/>
                      <w:divBdr>
                        <w:top w:val="none" w:sz="0" w:space="0" w:color="auto"/>
                        <w:left w:val="none" w:sz="0" w:space="0" w:color="auto"/>
                        <w:bottom w:val="none" w:sz="0" w:space="0" w:color="auto"/>
                        <w:right w:val="none" w:sz="0" w:space="0" w:color="auto"/>
                      </w:divBdr>
                    </w:div>
                  </w:divsChild>
                </w:div>
                <w:div w:id="751708392">
                  <w:marLeft w:val="0"/>
                  <w:marRight w:val="0"/>
                  <w:marTop w:val="0"/>
                  <w:marBottom w:val="0"/>
                  <w:divBdr>
                    <w:top w:val="none" w:sz="0" w:space="0" w:color="auto"/>
                    <w:left w:val="none" w:sz="0" w:space="0" w:color="auto"/>
                    <w:bottom w:val="none" w:sz="0" w:space="0" w:color="auto"/>
                    <w:right w:val="none" w:sz="0" w:space="0" w:color="auto"/>
                  </w:divBdr>
                  <w:divsChild>
                    <w:div w:id="1788507742">
                      <w:marLeft w:val="0"/>
                      <w:marRight w:val="0"/>
                      <w:marTop w:val="0"/>
                      <w:marBottom w:val="0"/>
                      <w:divBdr>
                        <w:top w:val="none" w:sz="0" w:space="0" w:color="auto"/>
                        <w:left w:val="none" w:sz="0" w:space="0" w:color="auto"/>
                        <w:bottom w:val="none" w:sz="0" w:space="0" w:color="auto"/>
                        <w:right w:val="none" w:sz="0" w:space="0" w:color="auto"/>
                      </w:divBdr>
                    </w:div>
                  </w:divsChild>
                </w:div>
                <w:div w:id="754594750">
                  <w:marLeft w:val="0"/>
                  <w:marRight w:val="0"/>
                  <w:marTop w:val="0"/>
                  <w:marBottom w:val="0"/>
                  <w:divBdr>
                    <w:top w:val="none" w:sz="0" w:space="0" w:color="auto"/>
                    <w:left w:val="none" w:sz="0" w:space="0" w:color="auto"/>
                    <w:bottom w:val="none" w:sz="0" w:space="0" w:color="auto"/>
                    <w:right w:val="none" w:sz="0" w:space="0" w:color="auto"/>
                  </w:divBdr>
                  <w:divsChild>
                    <w:div w:id="1491948050">
                      <w:marLeft w:val="0"/>
                      <w:marRight w:val="0"/>
                      <w:marTop w:val="0"/>
                      <w:marBottom w:val="0"/>
                      <w:divBdr>
                        <w:top w:val="none" w:sz="0" w:space="0" w:color="auto"/>
                        <w:left w:val="none" w:sz="0" w:space="0" w:color="auto"/>
                        <w:bottom w:val="none" w:sz="0" w:space="0" w:color="auto"/>
                        <w:right w:val="none" w:sz="0" w:space="0" w:color="auto"/>
                      </w:divBdr>
                    </w:div>
                  </w:divsChild>
                </w:div>
                <w:div w:id="778991029">
                  <w:marLeft w:val="0"/>
                  <w:marRight w:val="0"/>
                  <w:marTop w:val="0"/>
                  <w:marBottom w:val="0"/>
                  <w:divBdr>
                    <w:top w:val="none" w:sz="0" w:space="0" w:color="auto"/>
                    <w:left w:val="none" w:sz="0" w:space="0" w:color="auto"/>
                    <w:bottom w:val="none" w:sz="0" w:space="0" w:color="auto"/>
                    <w:right w:val="none" w:sz="0" w:space="0" w:color="auto"/>
                  </w:divBdr>
                  <w:divsChild>
                    <w:div w:id="125205414">
                      <w:marLeft w:val="0"/>
                      <w:marRight w:val="0"/>
                      <w:marTop w:val="0"/>
                      <w:marBottom w:val="0"/>
                      <w:divBdr>
                        <w:top w:val="none" w:sz="0" w:space="0" w:color="auto"/>
                        <w:left w:val="none" w:sz="0" w:space="0" w:color="auto"/>
                        <w:bottom w:val="none" w:sz="0" w:space="0" w:color="auto"/>
                        <w:right w:val="none" w:sz="0" w:space="0" w:color="auto"/>
                      </w:divBdr>
                    </w:div>
                  </w:divsChild>
                </w:div>
                <w:div w:id="832141177">
                  <w:marLeft w:val="0"/>
                  <w:marRight w:val="0"/>
                  <w:marTop w:val="0"/>
                  <w:marBottom w:val="0"/>
                  <w:divBdr>
                    <w:top w:val="none" w:sz="0" w:space="0" w:color="auto"/>
                    <w:left w:val="none" w:sz="0" w:space="0" w:color="auto"/>
                    <w:bottom w:val="none" w:sz="0" w:space="0" w:color="auto"/>
                    <w:right w:val="none" w:sz="0" w:space="0" w:color="auto"/>
                  </w:divBdr>
                  <w:divsChild>
                    <w:div w:id="1040667378">
                      <w:marLeft w:val="0"/>
                      <w:marRight w:val="0"/>
                      <w:marTop w:val="0"/>
                      <w:marBottom w:val="0"/>
                      <w:divBdr>
                        <w:top w:val="none" w:sz="0" w:space="0" w:color="auto"/>
                        <w:left w:val="none" w:sz="0" w:space="0" w:color="auto"/>
                        <w:bottom w:val="none" w:sz="0" w:space="0" w:color="auto"/>
                        <w:right w:val="none" w:sz="0" w:space="0" w:color="auto"/>
                      </w:divBdr>
                    </w:div>
                  </w:divsChild>
                </w:div>
                <w:div w:id="855653429">
                  <w:marLeft w:val="0"/>
                  <w:marRight w:val="0"/>
                  <w:marTop w:val="0"/>
                  <w:marBottom w:val="0"/>
                  <w:divBdr>
                    <w:top w:val="none" w:sz="0" w:space="0" w:color="auto"/>
                    <w:left w:val="none" w:sz="0" w:space="0" w:color="auto"/>
                    <w:bottom w:val="none" w:sz="0" w:space="0" w:color="auto"/>
                    <w:right w:val="none" w:sz="0" w:space="0" w:color="auto"/>
                  </w:divBdr>
                  <w:divsChild>
                    <w:div w:id="2031372471">
                      <w:marLeft w:val="0"/>
                      <w:marRight w:val="0"/>
                      <w:marTop w:val="0"/>
                      <w:marBottom w:val="0"/>
                      <w:divBdr>
                        <w:top w:val="none" w:sz="0" w:space="0" w:color="auto"/>
                        <w:left w:val="none" w:sz="0" w:space="0" w:color="auto"/>
                        <w:bottom w:val="none" w:sz="0" w:space="0" w:color="auto"/>
                        <w:right w:val="none" w:sz="0" w:space="0" w:color="auto"/>
                      </w:divBdr>
                    </w:div>
                  </w:divsChild>
                </w:div>
                <w:div w:id="859927529">
                  <w:marLeft w:val="0"/>
                  <w:marRight w:val="0"/>
                  <w:marTop w:val="0"/>
                  <w:marBottom w:val="0"/>
                  <w:divBdr>
                    <w:top w:val="none" w:sz="0" w:space="0" w:color="auto"/>
                    <w:left w:val="none" w:sz="0" w:space="0" w:color="auto"/>
                    <w:bottom w:val="none" w:sz="0" w:space="0" w:color="auto"/>
                    <w:right w:val="none" w:sz="0" w:space="0" w:color="auto"/>
                  </w:divBdr>
                  <w:divsChild>
                    <w:div w:id="2072381095">
                      <w:marLeft w:val="0"/>
                      <w:marRight w:val="0"/>
                      <w:marTop w:val="0"/>
                      <w:marBottom w:val="0"/>
                      <w:divBdr>
                        <w:top w:val="none" w:sz="0" w:space="0" w:color="auto"/>
                        <w:left w:val="none" w:sz="0" w:space="0" w:color="auto"/>
                        <w:bottom w:val="none" w:sz="0" w:space="0" w:color="auto"/>
                        <w:right w:val="none" w:sz="0" w:space="0" w:color="auto"/>
                      </w:divBdr>
                    </w:div>
                  </w:divsChild>
                </w:div>
                <w:div w:id="872153178">
                  <w:marLeft w:val="0"/>
                  <w:marRight w:val="0"/>
                  <w:marTop w:val="0"/>
                  <w:marBottom w:val="0"/>
                  <w:divBdr>
                    <w:top w:val="none" w:sz="0" w:space="0" w:color="auto"/>
                    <w:left w:val="none" w:sz="0" w:space="0" w:color="auto"/>
                    <w:bottom w:val="none" w:sz="0" w:space="0" w:color="auto"/>
                    <w:right w:val="none" w:sz="0" w:space="0" w:color="auto"/>
                  </w:divBdr>
                  <w:divsChild>
                    <w:div w:id="1843622564">
                      <w:marLeft w:val="0"/>
                      <w:marRight w:val="0"/>
                      <w:marTop w:val="0"/>
                      <w:marBottom w:val="0"/>
                      <w:divBdr>
                        <w:top w:val="none" w:sz="0" w:space="0" w:color="auto"/>
                        <w:left w:val="none" w:sz="0" w:space="0" w:color="auto"/>
                        <w:bottom w:val="none" w:sz="0" w:space="0" w:color="auto"/>
                        <w:right w:val="none" w:sz="0" w:space="0" w:color="auto"/>
                      </w:divBdr>
                    </w:div>
                  </w:divsChild>
                </w:div>
                <w:div w:id="874003650">
                  <w:marLeft w:val="0"/>
                  <w:marRight w:val="0"/>
                  <w:marTop w:val="0"/>
                  <w:marBottom w:val="0"/>
                  <w:divBdr>
                    <w:top w:val="none" w:sz="0" w:space="0" w:color="auto"/>
                    <w:left w:val="none" w:sz="0" w:space="0" w:color="auto"/>
                    <w:bottom w:val="none" w:sz="0" w:space="0" w:color="auto"/>
                    <w:right w:val="none" w:sz="0" w:space="0" w:color="auto"/>
                  </w:divBdr>
                  <w:divsChild>
                    <w:div w:id="1369598514">
                      <w:marLeft w:val="0"/>
                      <w:marRight w:val="0"/>
                      <w:marTop w:val="0"/>
                      <w:marBottom w:val="0"/>
                      <w:divBdr>
                        <w:top w:val="none" w:sz="0" w:space="0" w:color="auto"/>
                        <w:left w:val="none" w:sz="0" w:space="0" w:color="auto"/>
                        <w:bottom w:val="none" w:sz="0" w:space="0" w:color="auto"/>
                        <w:right w:val="none" w:sz="0" w:space="0" w:color="auto"/>
                      </w:divBdr>
                    </w:div>
                  </w:divsChild>
                </w:div>
                <w:div w:id="882205506">
                  <w:marLeft w:val="0"/>
                  <w:marRight w:val="0"/>
                  <w:marTop w:val="0"/>
                  <w:marBottom w:val="0"/>
                  <w:divBdr>
                    <w:top w:val="none" w:sz="0" w:space="0" w:color="auto"/>
                    <w:left w:val="none" w:sz="0" w:space="0" w:color="auto"/>
                    <w:bottom w:val="none" w:sz="0" w:space="0" w:color="auto"/>
                    <w:right w:val="none" w:sz="0" w:space="0" w:color="auto"/>
                  </w:divBdr>
                  <w:divsChild>
                    <w:div w:id="1296714895">
                      <w:marLeft w:val="0"/>
                      <w:marRight w:val="0"/>
                      <w:marTop w:val="0"/>
                      <w:marBottom w:val="0"/>
                      <w:divBdr>
                        <w:top w:val="none" w:sz="0" w:space="0" w:color="auto"/>
                        <w:left w:val="none" w:sz="0" w:space="0" w:color="auto"/>
                        <w:bottom w:val="none" w:sz="0" w:space="0" w:color="auto"/>
                        <w:right w:val="none" w:sz="0" w:space="0" w:color="auto"/>
                      </w:divBdr>
                    </w:div>
                  </w:divsChild>
                </w:div>
                <w:div w:id="901908962">
                  <w:marLeft w:val="0"/>
                  <w:marRight w:val="0"/>
                  <w:marTop w:val="0"/>
                  <w:marBottom w:val="0"/>
                  <w:divBdr>
                    <w:top w:val="none" w:sz="0" w:space="0" w:color="auto"/>
                    <w:left w:val="none" w:sz="0" w:space="0" w:color="auto"/>
                    <w:bottom w:val="none" w:sz="0" w:space="0" w:color="auto"/>
                    <w:right w:val="none" w:sz="0" w:space="0" w:color="auto"/>
                  </w:divBdr>
                  <w:divsChild>
                    <w:div w:id="916667931">
                      <w:marLeft w:val="0"/>
                      <w:marRight w:val="0"/>
                      <w:marTop w:val="0"/>
                      <w:marBottom w:val="0"/>
                      <w:divBdr>
                        <w:top w:val="none" w:sz="0" w:space="0" w:color="auto"/>
                        <w:left w:val="none" w:sz="0" w:space="0" w:color="auto"/>
                        <w:bottom w:val="none" w:sz="0" w:space="0" w:color="auto"/>
                        <w:right w:val="none" w:sz="0" w:space="0" w:color="auto"/>
                      </w:divBdr>
                    </w:div>
                  </w:divsChild>
                </w:div>
                <w:div w:id="932586257">
                  <w:marLeft w:val="0"/>
                  <w:marRight w:val="0"/>
                  <w:marTop w:val="0"/>
                  <w:marBottom w:val="0"/>
                  <w:divBdr>
                    <w:top w:val="none" w:sz="0" w:space="0" w:color="auto"/>
                    <w:left w:val="none" w:sz="0" w:space="0" w:color="auto"/>
                    <w:bottom w:val="none" w:sz="0" w:space="0" w:color="auto"/>
                    <w:right w:val="none" w:sz="0" w:space="0" w:color="auto"/>
                  </w:divBdr>
                  <w:divsChild>
                    <w:div w:id="1912036026">
                      <w:marLeft w:val="0"/>
                      <w:marRight w:val="0"/>
                      <w:marTop w:val="0"/>
                      <w:marBottom w:val="0"/>
                      <w:divBdr>
                        <w:top w:val="none" w:sz="0" w:space="0" w:color="auto"/>
                        <w:left w:val="none" w:sz="0" w:space="0" w:color="auto"/>
                        <w:bottom w:val="none" w:sz="0" w:space="0" w:color="auto"/>
                        <w:right w:val="none" w:sz="0" w:space="0" w:color="auto"/>
                      </w:divBdr>
                    </w:div>
                  </w:divsChild>
                </w:div>
                <w:div w:id="945387470">
                  <w:marLeft w:val="0"/>
                  <w:marRight w:val="0"/>
                  <w:marTop w:val="0"/>
                  <w:marBottom w:val="0"/>
                  <w:divBdr>
                    <w:top w:val="none" w:sz="0" w:space="0" w:color="auto"/>
                    <w:left w:val="none" w:sz="0" w:space="0" w:color="auto"/>
                    <w:bottom w:val="none" w:sz="0" w:space="0" w:color="auto"/>
                    <w:right w:val="none" w:sz="0" w:space="0" w:color="auto"/>
                  </w:divBdr>
                  <w:divsChild>
                    <w:div w:id="1512451764">
                      <w:marLeft w:val="0"/>
                      <w:marRight w:val="0"/>
                      <w:marTop w:val="0"/>
                      <w:marBottom w:val="0"/>
                      <w:divBdr>
                        <w:top w:val="none" w:sz="0" w:space="0" w:color="auto"/>
                        <w:left w:val="none" w:sz="0" w:space="0" w:color="auto"/>
                        <w:bottom w:val="none" w:sz="0" w:space="0" w:color="auto"/>
                        <w:right w:val="none" w:sz="0" w:space="0" w:color="auto"/>
                      </w:divBdr>
                    </w:div>
                  </w:divsChild>
                </w:div>
                <w:div w:id="972251272">
                  <w:marLeft w:val="0"/>
                  <w:marRight w:val="0"/>
                  <w:marTop w:val="0"/>
                  <w:marBottom w:val="0"/>
                  <w:divBdr>
                    <w:top w:val="none" w:sz="0" w:space="0" w:color="auto"/>
                    <w:left w:val="none" w:sz="0" w:space="0" w:color="auto"/>
                    <w:bottom w:val="none" w:sz="0" w:space="0" w:color="auto"/>
                    <w:right w:val="none" w:sz="0" w:space="0" w:color="auto"/>
                  </w:divBdr>
                  <w:divsChild>
                    <w:div w:id="1185632843">
                      <w:marLeft w:val="0"/>
                      <w:marRight w:val="0"/>
                      <w:marTop w:val="0"/>
                      <w:marBottom w:val="0"/>
                      <w:divBdr>
                        <w:top w:val="none" w:sz="0" w:space="0" w:color="auto"/>
                        <w:left w:val="none" w:sz="0" w:space="0" w:color="auto"/>
                        <w:bottom w:val="none" w:sz="0" w:space="0" w:color="auto"/>
                        <w:right w:val="none" w:sz="0" w:space="0" w:color="auto"/>
                      </w:divBdr>
                    </w:div>
                  </w:divsChild>
                </w:div>
                <w:div w:id="989212760">
                  <w:marLeft w:val="0"/>
                  <w:marRight w:val="0"/>
                  <w:marTop w:val="0"/>
                  <w:marBottom w:val="0"/>
                  <w:divBdr>
                    <w:top w:val="none" w:sz="0" w:space="0" w:color="auto"/>
                    <w:left w:val="none" w:sz="0" w:space="0" w:color="auto"/>
                    <w:bottom w:val="none" w:sz="0" w:space="0" w:color="auto"/>
                    <w:right w:val="none" w:sz="0" w:space="0" w:color="auto"/>
                  </w:divBdr>
                  <w:divsChild>
                    <w:div w:id="735201126">
                      <w:marLeft w:val="0"/>
                      <w:marRight w:val="0"/>
                      <w:marTop w:val="0"/>
                      <w:marBottom w:val="0"/>
                      <w:divBdr>
                        <w:top w:val="none" w:sz="0" w:space="0" w:color="auto"/>
                        <w:left w:val="none" w:sz="0" w:space="0" w:color="auto"/>
                        <w:bottom w:val="none" w:sz="0" w:space="0" w:color="auto"/>
                        <w:right w:val="none" w:sz="0" w:space="0" w:color="auto"/>
                      </w:divBdr>
                    </w:div>
                  </w:divsChild>
                </w:div>
                <w:div w:id="1031802989">
                  <w:marLeft w:val="0"/>
                  <w:marRight w:val="0"/>
                  <w:marTop w:val="0"/>
                  <w:marBottom w:val="0"/>
                  <w:divBdr>
                    <w:top w:val="none" w:sz="0" w:space="0" w:color="auto"/>
                    <w:left w:val="none" w:sz="0" w:space="0" w:color="auto"/>
                    <w:bottom w:val="none" w:sz="0" w:space="0" w:color="auto"/>
                    <w:right w:val="none" w:sz="0" w:space="0" w:color="auto"/>
                  </w:divBdr>
                  <w:divsChild>
                    <w:div w:id="734429158">
                      <w:marLeft w:val="0"/>
                      <w:marRight w:val="0"/>
                      <w:marTop w:val="0"/>
                      <w:marBottom w:val="0"/>
                      <w:divBdr>
                        <w:top w:val="none" w:sz="0" w:space="0" w:color="auto"/>
                        <w:left w:val="none" w:sz="0" w:space="0" w:color="auto"/>
                        <w:bottom w:val="none" w:sz="0" w:space="0" w:color="auto"/>
                        <w:right w:val="none" w:sz="0" w:space="0" w:color="auto"/>
                      </w:divBdr>
                    </w:div>
                  </w:divsChild>
                </w:div>
                <w:div w:id="1035498257">
                  <w:marLeft w:val="0"/>
                  <w:marRight w:val="0"/>
                  <w:marTop w:val="0"/>
                  <w:marBottom w:val="0"/>
                  <w:divBdr>
                    <w:top w:val="none" w:sz="0" w:space="0" w:color="auto"/>
                    <w:left w:val="none" w:sz="0" w:space="0" w:color="auto"/>
                    <w:bottom w:val="none" w:sz="0" w:space="0" w:color="auto"/>
                    <w:right w:val="none" w:sz="0" w:space="0" w:color="auto"/>
                  </w:divBdr>
                  <w:divsChild>
                    <w:div w:id="1736052819">
                      <w:marLeft w:val="0"/>
                      <w:marRight w:val="0"/>
                      <w:marTop w:val="0"/>
                      <w:marBottom w:val="0"/>
                      <w:divBdr>
                        <w:top w:val="none" w:sz="0" w:space="0" w:color="auto"/>
                        <w:left w:val="none" w:sz="0" w:space="0" w:color="auto"/>
                        <w:bottom w:val="none" w:sz="0" w:space="0" w:color="auto"/>
                        <w:right w:val="none" w:sz="0" w:space="0" w:color="auto"/>
                      </w:divBdr>
                    </w:div>
                  </w:divsChild>
                </w:div>
                <w:div w:id="1087458039">
                  <w:marLeft w:val="0"/>
                  <w:marRight w:val="0"/>
                  <w:marTop w:val="0"/>
                  <w:marBottom w:val="0"/>
                  <w:divBdr>
                    <w:top w:val="none" w:sz="0" w:space="0" w:color="auto"/>
                    <w:left w:val="none" w:sz="0" w:space="0" w:color="auto"/>
                    <w:bottom w:val="none" w:sz="0" w:space="0" w:color="auto"/>
                    <w:right w:val="none" w:sz="0" w:space="0" w:color="auto"/>
                  </w:divBdr>
                  <w:divsChild>
                    <w:div w:id="55474943">
                      <w:marLeft w:val="0"/>
                      <w:marRight w:val="0"/>
                      <w:marTop w:val="0"/>
                      <w:marBottom w:val="0"/>
                      <w:divBdr>
                        <w:top w:val="none" w:sz="0" w:space="0" w:color="auto"/>
                        <w:left w:val="none" w:sz="0" w:space="0" w:color="auto"/>
                        <w:bottom w:val="none" w:sz="0" w:space="0" w:color="auto"/>
                        <w:right w:val="none" w:sz="0" w:space="0" w:color="auto"/>
                      </w:divBdr>
                    </w:div>
                  </w:divsChild>
                </w:div>
                <w:div w:id="1134520905">
                  <w:marLeft w:val="0"/>
                  <w:marRight w:val="0"/>
                  <w:marTop w:val="0"/>
                  <w:marBottom w:val="0"/>
                  <w:divBdr>
                    <w:top w:val="none" w:sz="0" w:space="0" w:color="auto"/>
                    <w:left w:val="none" w:sz="0" w:space="0" w:color="auto"/>
                    <w:bottom w:val="none" w:sz="0" w:space="0" w:color="auto"/>
                    <w:right w:val="none" w:sz="0" w:space="0" w:color="auto"/>
                  </w:divBdr>
                  <w:divsChild>
                    <w:div w:id="1615135259">
                      <w:marLeft w:val="0"/>
                      <w:marRight w:val="0"/>
                      <w:marTop w:val="0"/>
                      <w:marBottom w:val="0"/>
                      <w:divBdr>
                        <w:top w:val="none" w:sz="0" w:space="0" w:color="auto"/>
                        <w:left w:val="none" w:sz="0" w:space="0" w:color="auto"/>
                        <w:bottom w:val="none" w:sz="0" w:space="0" w:color="auto"/>
                        <w:right w:val="none" w:sz="0" w:space="0" w:color="auto"/>
                      </w:divBdr>
                    </w:div>
                  </w:divsChild>
                </w:div>
                <w:div w:id="1152332883">
                  <w:marLeft w:val="0"/>
                  <w:marRight w:val="0"/>
                  <w:marTop w:val="0"/>
                  <w:marBottom w:val="0"/>
                  <w:divBdr>
                    <w:top w:val="none" w:sz="0" w:space="0" w:color="auto"/>
                    <w:left w:val="none" w:sz="0" w:space="0" w:color="auto"/>
                    <w:bottom w:val="none" w:sz="0" w:space="0" w:color="auto"/>
                    <w:right w:val="none" w:sz="0" w:space="0" w:color="auto"/>
                  </w:divBdr>
                  <w:divsChild>
                    <w:div w:id="542639133">
                      <w:marLeft w:val="0"/>
                      <w:marRight w:val="0"/>
                      <w:marTop w:val="0"/>
                      <w:marBottom w:val="0"/>
                      <w:divBdr>
                        <w:top w:val="none" w:sz="0" w:space="0" w:color="auto"/>
                        <w:left w:val="none" w:sz="0" w:space="0" w:color="auto"/>
                        <w:bottom w:val="none" w:sz="0" w:space="0" w:color="auto"/>
                        <w:right w:val="none" w:sz="0" w:space="0" w:color="auto"/>
                      </w:divBdr>
                    </w:div>
                  </w:divsChild>
                </w:div>
                <w:div w:id="1162047157">
                  <w:marLeft w:val="0"/>
                  <w:marRight w:val="0"/>
                  <w:marTop w:val="0"/>
                  <w:marBottom w:val="0"/>
                  <w:divBdr>
                    <w:top w:val="none" w:sz="0" w:space="0" w:color="auto"/>
                    <w:left w:val="none" w:sz="0" w:space="0" w:color="auto"/>
                    <w:bottom w:val="none" w:sz="0" w:space="0" w:color="auto"/>
                    <w:right w:val="none" w:sz="0" w:space="0" w:color="auto"/>
                  </w:divBdr>
                  <w:divsChild>
                    <w:div w:id="1201552660">
                      <w:marLeft w:val="0"/>
                      <w:marRight w:val="0"/>
                      <w:marTop w:val="0"/>
                      <w:marBottom w:val="0"/>
                      <w:divBdr>
                        <w:top w:val="none" w:sz="0" w:space="0" w:color="auto"/>
                        <w:left w:val="none" w:sz="0" w:space="0" w:color="auto"/>
                        <w:bottom w:val="none" w:sz="0" w:space="0" w:color="auto"/>
                        <w:right w:val="none" w:sz="0" w:space="0" w:color="auto"/>
                      </w:divBdr>
                    </w:div>
                  </w:divsChild>
                </w:div>
                <w:div w:id="1175530132">
                  <w:marLeft w:val="0"/>
                  <w:marRight w:val="0"/>
                  <w:marTop w:val="0"/>
                  <w:marBottom w:val="0"/>
                  <w:divBdr>
                    <w:top w:val="none" w:sz="0" w:space="0" w:color="auto"/>
                    <w:left w:val="none" w:sz="0" w:space="0" w:color="auto"/>
                    <w:bottom w:val="none" w:sz="0" w:space="0" w:color="auto"/>
                    <w:right w:val="none" w:sz="0" w:space="0" w:color="auto"/>
                  </w:divBdr>
                  <w:divsChild>
                    <w:div w:id="308629301">
                      <w:marLeft w:val="0"/>
                      <w:marRight w:val="0"/>
                      <w:marTop w:val="0"/>
                      <w:marBottom w:val="0"/>
                      <w:divBdr>
                        <w:top w:val="none" w:sz="0" w:space="0" w:color="auto"/>
                        <w:left w:val="none" w:sz="0" w:space="0" w:color="auto"/>
                        <w:bottom w:val="none" w:sz="0" w:space="0" w:color="auto"/>
                        <w:right w:val="none" w:sz="0" w:space="0" w:color="auto"/>
                      </w:divBdr>
                    </w:div>
                  </w:divsChild>
                </w:div>
                <w:div w:id="1205144388">
                  <w:marLeft w:val="0"/>
                  <w:marRight w:val="0"/>
                  <w:marTop w:val="0"/>
                  <w:marBottom w:val="0"/>
                  <w:divBdr>
                    <w:top w:val="none" w:sz="0" w:space="0" w:color="auto"/>
                    <w:left w:val="none" w:sz="0" w:space="0" w:color="auto"/>
                    <w:bottom w:val="none" w:sz="0" w:space="0" w:color="auto"/>
                    <w:right w:val="none" w:sz="0" w:space="0" w:color="auto"/>
                  </w:divBdr>
                  <w:divsChild>
                    <w:div w:id="1852336524">
                      <w:marLeft w:val="0"/>
                      <w:marRight w:val="0"/>
                      <w:marTop w:val="0"/>
                      <w:marBottom w:val="0"/>
                      <w:divBdr>
                        <w:top w:val="none" w:sz="0" w:space="0" w:color="auto"/>
                        <w:left w:val="none" w:sz="0" w:space="0" w:color="auto"/>
                        <w:bottom w:val="none" w:sz="0" w:space="0" w:color="auto"/>
                        <w:right w:val="none" w:sz="0" w:space="0" w:color="auto"/>
                      </w:divBdr>
                    </w:div>
                  </w:divsChild>
                </w:div>
                <w:div w:id="1217428875">
                  <w:marLeft w:val="0"/>
                  <w:marRight w:val="0"/>
                  <w:marTop w:val="0"/>
                  <w:marBottom w:val="0"/>
                  <w:divBdr>
                    <w:top w:val="none" w:sz="0" w:space="0" w:color="auto"/>
                    <w:left w:val="none" w:sz="0" w:space="0" w:color="auto"/>
                    <w:bottom w:val="none" w:sz="0" w:space="0" w:color="auto"/>
                    <w:right w:val="none" w:sz="0" w:space="0" w:color="auto"/>
                  </w:divBdr>
                  <w:divsChild>
                    <w:div w:id="726415366">
                      <w:marLeft w:val="0"/>
                      <w:marRight w:val="0"/>
                      <w:marTop w:val="0"/>
                      <w:marBottom w:val="0"/>
                      <w:divBdr>
                        <w:top w:val="none" w:sz="0" w:space="0" w:color="auto"/>
                        <w:left w:val="none" w:sz="0" w:space="0" w:color="auto"/>
                        <w:bottom w:val="none" w:sz="0" w:space="0" w:color="auto"/>
                        <w:right w:val="none" w:sz="0" w:space="0" w:color="auto"/>
                      </w:divBdr>
                    </w:div>
                  </w:divsChild>
                </w:div>
                <w:div w:id="1236015054">
                  <w:marLeft w:val="0"/>
                  <w:marRight w:val="0"/>
                  <w:marTop w:val="0"/>
                  <w:marBottom w:val="0"/>
                  <w:divBdr>
                    <w:top w:val="none" w:sz="0" w:space="0" w:color="auto"/>
                    <w:left w:val="none" w:sz="0" w:space="0" w:color="auto"/>
                    <w:bottom w:val="none" w:sz="0" w:space="0" w:color="auto"/>
                    <w:right w:val="none" w:sz="0" w:space="0" w:color="auto"/>
                  </w:divBdr>
                  <w:divsChild>
                    <w:div w:id="672995795">
                      <w:marLeft w:val="0"/>
                      <w:marRight w:val="0"/>
                      <w:marTop w:val="0"/>
                      <w:marBottom w:val="0"/>
                      <w:divBdr>
                        <w:top w:val="none" w:sz="0" w:space="0" w:color="auto"/>
                        <w:left w:val="none" w:sz="0" w:space="0" w:color="auto"/>
                        <w:bottom w:val="none" w:sz="0" w:space="0" w:color="auto"/>
                        <w:right w:val="none" w:sz="0" w:space="0" w:color="auto"/>
                      </w:divBdr>
                    </w:div>
                  </w:divsChild>
                </w:div>
                <w:div w:id="1251351805">
                  <w:marLeft w:val="0"/>
                  <w:marRight w:val="0"/>
                  <w:marTop w:val="0"/>
                  <w:marBottom w:val="0"/>
                  <w:divBdr>
                    <w:top w:val="none" w:sz="0" w:space="0" w:color="auto"/>
                    <w:left w:val="none" w:sz="0" w:space="0" w:color="auto"/>
                    <w:bottom w:val="none" w:sz="0" w:space="0" w:color="auto"/>
                    <w:right w:val="none" w:sz="0" w:space="0" w:color="auto"/>
                  </w:divBdr>
                  <w:divsChild>
                    <w:div w:id="1825734430">
                      <w:marLeft w:val="0"/>
                      <w:marRight w:val="0"/>
                      <w:marTop w:val="0"/>
                      <w:marBottom w:val="0"/>
                      <w:divBdr>
                        <w:top w:val="none" w:sz="0" w:space="0" w:color="auto"/>
                        <w:left w:val="none" w:sz="0" w:space="0" w:color="auto"/>
                        <w:bottom w:val="none" w:sz="0" w:space="0" w:color="auto"/>
                        <w:right w:val="none" w:sz="0" w:space="0" w:color="auto"/>
                      </w:divBdr>
                    </w:div>
                  </w:divsChild>
                </w:div>
                <w:div w:id="1290479026">
                  <w:marLeft w:val="0"/>
                  <w:marRight w:val="0"/>
                  <w:marTop w:val="0"/>
                  <w:marBottom w:val="0"/>
                  <w:divBdr>
                    <w:top w:val="none" w:sz="0" w:space="0" w:color="auto"/>
                    <w:left w:val="none" w:sz="0" w:space="0" w:color="auto"/>
                    <w:bottom w:val="none" w:sz="0" w:space="0" w:color="auto"/>
                    <w:right w:val="none" w:sz="0" w:space="0" w:color="auto"/>
                  </w:divBdr>
                  <w:divsChild>
                    <w:div w:id="951470978">
                      <w:marLeft w:val="0"/>
                      <w:marRight w:val="0"/>
                      <w:marTop w:val="0"/>
                      <w:marBottom w:val="0"/>
                      <w:divBdr>
                        <w:top w:val="none" w:sz="0" w:space="0" w:color="auto"/>
                        <w:left w:val="none" w:sz="0" w:space="0" w:color="auto"/>
                        <w:bottom w:val="none" w:sz="0" w:space="0" w:color="auto"/>
                        <w:right w:val="none" w:sz="0" w:space="0" w:color="auto"/>
                      </w:divBdr>
                    </w:div>
                  </w:divsChild>
                </w:div>
                <w:div w:id="1358627653">
                  <w:marLeft w:val="0"/>
                  <w:marRight w:val="0"/>
                  <w:marTop w:val="0"/>
                  <w:marBottom w:val="0"/>
                  <w:divBdr>
                    <w:top w:val="none" w:sz="0" w:space="0" w:color="auto"/>
                    <w:left w:val="none" w:sz="0" w:space="0" w:color="auto"/>
                    <w:bottom w:val="none" w:sz="0" w:space="0" w:color="auto"/>
                    <w:right w:val="none" w:sz="0" w:space="0" w:color="auto"/>
                  </w:divBdr>
                  <w:divsChild>
                    <w:div w:id="740521504">
                      <w:marLeft w:val="0"/>
                      <w:marRight w:val="0"/>
                      <w:marTop w:val="0"/>
                      <w:marBottom w:val="0"/>
                      <w:divBdr>
                        <w:top w:val="none" w:sz="0" w:space="0" w:color="auto"/>
                        <w:left w:val="none" w:sz="0" w:space="0" w:color="auto"/>
                        <w:bottom w:val="none" w:sz="0" w:space="0" w:color="auto"/>
                        <w:right w:val="none" w:sz="0" w:space="0" w:color="auto"/>
                      </w:divBdr>
                    </w:div>
                  </w:divsChild>
                </w:div>
                <w:div w:id="1359626056">
                  <w:marLeft w:val="0"/>
                  <w:marRight w:val="0"/>
                  <w:marTop w:val="0"/>
                  <w:marBottom w:val="0"/>
                  <w:divBdr>
                    <w:top w:val="none" w:sz="0" w:space="0" w:color="auto"/>
                    <w:left w:val="none" w:sz="0" w:space="0" w:color="auto"/>
                    <w:bottom w:val="none" w:sz="0" w:space="0" w:color="auto"/>
                    <w:right w:val="none" w:sz="0" w:space="0" w:color="auto"/>
                  </w:divBdr>
                  <w:divsChild>
                    <w:div w:id="323093840">
                      <w:marLeft w:val="0"/>
                      <w:marRight w:val="0"/>
                      <w:marTop w:val="0"/>
                      <w:marBottom w:val="0"/>
                      <w:divBdr>
                        <w:top w:val="none" w:sz="0" w:space="0" w:color="auto"/>
                        <w:left w:val="none" w:sz="0" w:space="0" w:color="auto"/>
                        <w:bottom w:val="none" w:sz="0" w:space="0" w:color="auto"/>
                        <w:right w:val="none" w:sz="0" w:space="0" w:color="auto"/>
                      </w:divBdr>
                    </w:div>
                  </w:divsChild>
                </w:div>
                <w:div w:id="1421950190">
                  <w:marLeft w:val="0"/>
                  <w:marRight w:val="0"/>
                  <w:marTop w:val="0"/>
                  <w:marBottom w:val="0"/>
                  <w:divBdr>
                    <w:top w:val="none" w:sz="0" w:space="0" w:color="auto"/>
                    <w:left w:val="none" w:sz="0" w:space="0" w:color="auto"/>
                    <w:bottom w:val="none" w:sz="0" w:space="0" w:color="auto"/>
                    <w:right w:val="none" w:sz="0" w:space="0" w:color="auto"/>
                  </w:divBdr>
                  <w:divsChild>
                    <w:div w:id="589316059">
                      <w:marLeft w:val="0"/>
                      <w:marRight w:val="0"/>
                      <w:marTop w:val="0"/>
                      <w:marBottom w:val="0"/>
                      <w:divBdr>
                        <w:top w:val="none" w:sz="0" w:space="0" w:color="auto"/>
                        <w:left w:val="none" w:sz="0" w:space="0" w:color="auto"/>
                        <w:bottom w:val="none" w:sz="0" w:space="0" w:color="auto"/>
                        <w:right w:val="none" w:sz="0" w:space="0" w:color="auto"/>
                      </w:divBdr>
                    </w:div>
                  </w:divsChild>
                </w:div>
                <w:div w:id="1437484899">
                  <w:marLeft w:val="0"/>
                  <w:marRight w:val="0"/>
                  <w:marTop w:val="0"/>
                  <w:marBottom w:val="0"/>
                  <w:divBdr>
                    <w:top w:val="none" w:sz="0" w:space="0" w:color="auto"/>
                    <w:left w:val="none" w:sz="0" w:space="0" w:color="auto"/>
                    <w:bottom w:val="none" w:sz="0" w:space="0" w:color="auto"/>
                    <w:right w:val="none" w:sz="0" w:space="0" w:color="auto"/>
                  </w:divBdr>
                  <w:divsChild>
                    <w:div w:id="1882790589">
                      <w:marLeft w:val="0"/>
                      <w:marRight w:val="0"/>
                      <w:marTop w:val="0"/>
                      <w:marBottom w:val="0"/>
                      <w:divBdr>
                        <w:top w:val="none" w:sz="0" w:space="0" w:color="auto"/>
                        <w:left w:val="none" w:sz="0" w:space="0" w:color="auto"/>
                        <w:bottom w:val="none" w:sz="0" w:space="0" w:color="auto"/>
                        <w:right w:val="none" w:sz="0" w:space="0" w:color="auto"/>
                      </w:divBdr>
                    </w:div>
                  </w:divsChild>
                </w:div>
                <w:div w:id="1505898984">
                  <w:marLeft w:val="0"/>
                  <w:marRight w:val="0"/>
                  <w:marTop w:val="0"/>
                  <w:marBottom w:val="0"/>
                  <w:divBdr>
                    <w:top w:val="none" w:sz="0" w:space="0" w:color="auto"/>
                    <w:left w:val="none" w:sz="0" w:space="0" w:color="auto"/>
                    <w:bottom w:val="none" w:sz="0" w:space="0" w:color="auto"/>
                    <w:right w:val="none" w:sz="0" w:space="0" w:color="auto"/>
                  </w:divBdr>
                  <w:divsChild>
                    <w:div w:id="38358364">
                      <w:marLeft w:val="0"/>
                      <w:marRight w:val="0"/>
                      <w:marTop w:val="0"/>
                      <w:marBottom w:val="0"/>
                      <w:divBdr>
                        <w:top w:val="none" w:sz="0" w:space="0" w:color="auto"/>
                        <w:left w:val="none" w:sz="0" w:space="0" w:color="auto"/>
                        <w:bottom w:val="none" w:sz="0" w:space="0" w:color="auto"/>
                        <w:right w:val="none" w:sz="0" w:space="0" w:color="auto"/>
                      </w:divBdr>
                    </w:div>
                  </w:divsChild>
                </w:div>
                <w:div w:id="1548759040">
                  <w:marLeft w:val="0"/>
                  <w:marRight w:val="0"/>
                  <w:marTop w:val="0"/>
                  <w:marBottom w:val="0"/>
                  <w:divBdr>
                    <w:top w:val="none" w:sz="0" w:space="0" w:color="auto"/>
                    <w:left w:val="none" w:sz="0" w:space="0" w:color="auto"/>
                    <w:bottom w:val="none" w:sz="0" w:space="0" w:color="auto"/>
                    <w:right w:val="none" w:sz="0" w:space="0" w:color="auto"/>
                  </w:divBdr>
                  <w:divsChild>
                    <w:div w:id="117309519">
                      <w:marLeft w:val="0"/>
                      <w:marRight w:val="0"/>
                      <w:marTop w:val="0"/>
                      <w:marBottom w:val="0"/>
                      <w:divBdr>
                        <w:top w:val="none" w:sz="0" w:space="0" w:color="auto"/>
                        <w:left w:val="none" w:sz="0" w:space="0" w:color="auto"/>
                        <w:bottom w:val="none" w:sz="0" w:space="0" w:color="auto"/>
                        <w:right w:val="none" w:sz="0" w:space="0" w:color="auto"/>
                      </w:divBdr>
                    </w:div>
                  </w:divsChild>
                </w:div>
                <w:div w:id="1619751045">
                  <w:marLeft w:val="0"/>
                  <w:marRight w:val="0"/>
                  <w:marTop w:val="0"/>
                  <w:marBottom w:val="0"/>
                  <w:divBdr>
                    <w:top w:val="none" w:sz="0" w:space="0" w:color="auto"/>
                    <w:left w:val="none" w:sz="0" w:space="0" w:color="auto"/>
                    <w:bottom w:val="none" w:sz="0" w:space="0" w:color="auto"/>
                    <w:right w:val="none" w:sz="0" w:space="0" w:color="auto"/>
                  </w:divBdr>
                  <w:divsChild>
                    <w:div w:id="807749316">
                      <w:marLeft w:val="0"/>
                      <w:marRight w:val="0"/>
                      <w:marTop w:val="0"/>
                      <w:marBottom w:val="0"/>
                      <w:divBdr>
                        <w:top w:val="none" w:sz="0" w:space="0" w:color="auto"/>
                        <w:left w:val="none" w:sz="0" w:space="0" w:color="auto"/>
                        <w:bottom w:val="none" w:sz="0" w:space="0" w:color="auto"/>
                        <w:right w:val="none" w:sz="0" w:space="0" w:color="auto"/>
                      </w:divBdr>
                    </w:div>
                  </w:divsChild>
                </w:div>
                <w:div w:id="1632243738">
                  <w:marLeft w:val="0"/>
                  <w:marRight w:val="0"/>
                  <w:marTop w:val="0"/>
                  <w:marBottom w:val="0"/>
                  <w:divBdr>
                    <w:top w:val="none" w:sz="0" w:space="0" w:color="auto"/>
                    <w:left w:val="none" w:sz="0" w:space="0" w:color="auto"/>
                    <w:bottom w:val="none" w:sz="0" w:space="0" w:color="auto"/>
                    <w:right w:val="none" w:sz="0" w:space="0" w:color="auto"/>
                  </w:divBdr>
                  <w:divsChild>
                    <w:div w:id="1000081287">
                      <w:marLeft w:val="0"/>
                      <w:marRight w:val="0"/>
                      <w:marTop w:val="0"/>
                      <w:marBottom w:val="0"/>
                      <w:divBdr>
                        <w:top w:val="none" w:sz="0" w:space="0" w:color="auto"/>
                        <w:left w:val="none" w:sz="0" w:space="0" w:color="auto"/>
                        <w:bottom w:val="none" w:sz="0" w:space="0" w:color="auto"/>
                        <w:right w:val="none" w:sz="0" w:space="0" w:color="auto"/>
                      </w:divBdr>
                    </w:div>
                  </w:divsChild>
                </w:div>
                <w:div w:id="1644239429">
                  <w:marLeft w:val="0"/>
                  <w:marRight w:val="0"/>
                  <w:marTop w:val="0"/>
                  <w:marBottom w:val="0"/>
                  <w:divBdr>
                    <w:top w:val="none" w:sz="0" w:space="0" w:color="auto"/>
                    <w:left w:val="none" w:sz="0" w:space="0" w:color="auto"/>
                    <w:bottom w:val="none" w:sz="0" w:space="0" w:color="auto"/>
                    <w:right w:val="none" w:sz="0" w:space="0" w:color="auto"/>
                  </w:divBdr>
                  <w:divsChild>
                    <w:div w:id="257834064">
                      <w:marLeft w:val="0"/>
                      <w:marRight w:val="0"/>
                      <w:marTop w:val="0"/>
                      <w:marBottom w:val="0"/>
                      <w:divBdr>
                        <w:top w:val="none" w:sz="0" w:space="0" w:color="auto"/>
                        <w:left w:val="none" w:sz="0" w:space="0" w:color="auto"/>
                        <w:bottom w:val="none" w:sz="0" w:space="0" w:color="auto"/>
                        <w:right w:val="none" w:sz="0" w:space="0" w:color="auto"/>
                      </w:divBdr>
                    </w:div>
                  </w:divsChild>
                </w:div>
                <w:div w:id="1674605128">
                  <w:marLeft w:val="0"/>
                  <w:marRight w:val="0"/>
                  <w:marTop w:val="0"/>
                  <w:marBottom w:val="0"/>
                  <w:divBdr>
                    <w:top w:val="none" w:sz="0" w:space="0" w:color="auto"/>
                    <w:left w:val="none" w:sz="0" w:space="0" w:color="auto"/>
                    <w:bottom w:val="none" w:sz="0" w:space="0" w:color="auto"/>
                    <w:right w:val="none" w:sz="0" w:space="0" w:color="auto"/>
                  </w:divBdr>
                  <w:divsChild>
                    <w:div w:id="1412041925">
                      <w:marLeft w:val="0"/>
                      <w:marRight w:val="0"/>
                      <w:marTop w:val="0"/>
                      <w:marBottom w:val="0"/>
                      <w:divBdr>
                        <w:top w:val="none" w:sz="0" w:space="0" w:color="auto"/>
                        <w:left w:val="none" w:sz="0" w:space="0" w:color="auto"/>
                        <w:bottom w:val="none" w:sz="0" w:space="0" w:color="auto"/>
                        <w:right w:val="none" w:sz="0" w:space="0" w:color="auto"/>
                      </w:divBdr>
                    </w:div>
                  </w:divsChild>
                </w:div>
                <w:div w:id="1676836521">
                  <w:marLeft w:val="0"/>
                  <w:marRight w:val="0"/>
                  <w:marTop w:val="0"/>
                  <w:marBottom w:val="0"/>
                  <w:divBdr>
                    <w:top w:val="none" w:sz="0" w:space="0" w:color="auto"/>
                    <w:left w:val="none" w:sz="0" w:space="0" w:color="auto"/>
                    <w:bottom w:val="none" w:sz="0" w:space="0" w:color="auto"/>
                    <w:right w:val="none" w:sz="0" w:space="0" w:color="auto"/>
                  </w:divBdr>
                  <w:divsChild>
                    <w:div w:id="1360856013">
                      <w:marLeft w:val="0"/>
                      <w:marRight w:val="0"/>
                      <w:marTop w:val="0"/>
                      <w:marBottom w:val="0"/>
                      <w:divBdr>
                        <w:top w:val="none" w:sz="0" w:space="0" w:color="auto"/>
                        <w:left w:val="none" w:sz="0" w:space="0" w:color="auto"/>
                        <w:bottom w:val="none" w:sz="0" w:space="0" w:color="auto"/>
                        <w:right w:val="none" w:sz="0" w:space="0" w:color="auto"/>
                      </w:divBdr>
                    </w:div>
                  </w:divsChild>
                </w:div>
                <w:div w:id="1702395297">
                  <w:marLeft w:val="0"/>
                  <w:marRight w:val="0"/>
                  <w:marTop w:val="0"/>
                  <w:marBottom w:val="0"/>
                  <w:divBdr>
                    <w:top w:val="none" w:sz="0" w:space="0" w:color="auto"/>
                    <w:left w:val="none" w:sz="0" w:space="0" w:color="auto"/>
                    <w:bottom w:val="none" w:sz="0" w:space="0" w:color="auto"/>
                    <w:right w:val="none" w:sz="0" w:space="0" w:color="auto"/>
                  </w:divBdr>
                  <w:divsChild>
                    <w:div w:id="285935152">
                      <w:marLeft w:val="0"/>
                      <w:marRight w:val="0"/>
                      <w:marTop w:val="0"/>
                      <w:marBottom w:val="0"/>
                      <w:divBdr>
                        <w:top w:val="none" w:sz="0" w:space="0" w:color="auto"/>
                        <w:left w:val="none" w:sz="0" w:space="0" w:color="auto"/>
                        <w:bottom w:val="none" w:sz="0" w:space="0" w:color="auto"/>
                        <w:right w:val="none" w:sz="0" w:space="0" w:color="auto"/>
                      </w:divBdr>
                    </w:div>
                  </w:divsChild>
                </w:div>
                <w:div w:id="1703944496">
                  <w:marLeft w:val="0"/>
                  <w:marRight w:val="0"/>
                  <w:marTop w:val="0"/>
                  <w:marBottom w:val="0"/>
                  <w:divBdr>
                    <w:top w:val="none" w:sz="0" w:space="0" w:color="auto"/>
                    <w:left w:val="none" w:sz="0" w:space="0" w:color="auto"/>
                    <w:bottom w:val="none" w:sz="0" w:space="0" w:color="auto"/>
                    <w:right w:val="none" w:sz="0" w:space="0" w:color="auto"/>
                  </w:divBdr>
                  <w:divsChild>
                    <w:div w:id="1693994589">
                      <w:marLeft w:val="0"/>
                      <w:marRight w:val="0"/>
                      <w:marTop w:val="0"/>
                      <w:marBottom w:val="0"/>
                      <w:divBdr>
                        <w:top w:val="none" w:sz="0" w:space="0" w:color="auto"/>
                        <w:left w:val="none" w:sz="0" w:space="0" w:color="auto"/>
                        <w:bottom w:val="none" w:sz="0" w:space="0" w:color="auto"/>
                        <w:right w:val="none" w:sz="0" w:space="0" w:color="auto"/>
                      </w:divBdr>
                    </w:div>
                  </w:divsChild>
                </w:div>
                <w:div w:id="1726877612">
                  <w:marLeft w:val="0"/>
                  <w:marRight w:val="0"/>
                  <w:marTop w:val="0"/>
                  <w:marBottom w:val="0"/>
                  <w:divBdr>
                    <w:top w:val="none" w:sz="0" w:space="0" w:color="auto"/>
                    <w:left w:val="none" w:sz="0" w:space="0" w:color="auto"/>
                    <w:bottom w:val="none" w:sz="0" w:space="0" w:color="auto"/>
                    <w:right w:val="none" w:sz="0" w:space="0" w:color="auto"/>
                  </w:divBdr>
                  <w:divsChild>
                    <w:div w:id="1308171972">
                      <w:marLeft w:val="0"/>
                      <w:marRight w:val="0"/>
                      <w:marTop w:val="0"/>
                      <w:marBottom w:val="0"/>
                      <w:divBdr>
                        <w:top w:val="none" w:sz="0" w:space="0" w:color="auto"/>
                        <w:left w:val="none" w:sz="0" w:space="0" w:color="auto"/>
                        <w:bottom w:val="none" w:sz="0" w:space="0" w:color="auto"/>
                        <w:right w:val="none" w:sz="0" w:space="0" w:color="auto"/>
                      </w:divBdr>
                    </w:div>
                  </w:divsChild>
                </w:div>
                <w:div w:id="1795175656">
                  <w:marLeft w:val="0"/>
                  <w:marRight w:val="0"/>
                  <w:marTop w:val="0"/>
                  <w:marBottom w:val="0"/>
                  <w:divBdr>
                    <w:top w:val="none" w:sz="0" w:space="0" w:color="auto"/>
                    <w:left w:val="none" w:sz="0" w:space="0" w:color="auto"/>
                    <w:bottom w:val="none" w:sz="0" w:space="0" w:color="auto"/>
                    <w:right w:val="none" w:sz="0" w:space="0" w:color="auto"/>
                  </w:divBdr>
                  <w:divsChild>
                    <w:div w:id="1162114409">
                      <w:marLeft w:val="0"/>
                      <w:marRight w:val="0"/>
                      <w:marTop w:val="0"/>
                      <w:marBottom w:val="0"/>
                      <w:divBdr>
                        <w:top w:val="none" w:sz="0" w:space="0" w:color="auto"/>
                        <w:left w:val="none" w:sz="0" w:space="0" w:color="auto"/>
                        <w:bottom w:val="none" w:sz="0" w:space="0" w:color="auto"/>
                        <w:right w:val="none" w:sz="0" w:space="0" w:color="auto"/>
                      </w:divBdr>
                    </w:div>
                  </w:divsChild>
                </w:div>
                <w:div w:id="1803229625">
                  <w:marLeft w:val="0"/>
                  <w:marRight w:val="0"/>
                  <w:marTop w:val="0"/>
                  <w:marBottom w:val="0"/>
                  <w:divBdr>
                    <w:top w:val="none" w:sz="0" w:space="0" w:color="auto"/>
                    <w:left w:val="none" w:sz="0" w:space="0" w:color="auto"/>
                    <w:bottom w:val="none" w:sz="0" w:space="0" w:color="auto"/>
                    <w:right w:val="none" w:sz="0" w:space="0" w:color="auto"/>
                  </w:divBdr>
                  <w:divsChild>
                    <w:div w:id="428241190">
                      <w:marLeft w:val="0"/>
                      <w:marRight w:val="0"/>
                      <w:marTop w:val="0"/>
                      <w:marBottom w:val="0"/>
                      <w:divBdr>
                        <w:top w:val="none" w:sz="0" w:space="0" w:color="auto"/>
                        <w:left w:val="none" w:sz="0" w:space="0" w:color="auto"/>
                        <w:bottom w:val="none" w:sz="0" w:space="0" w:color="auto"/>
                        <w:right w:val="none" w:sz="0" w:space="0" w:color="auto"/>
                      </w:divBdr>
                    </w:div>
                  </w:divsChild>
                </w:div>
                <w:div w:id="1811896473">
                  <w:marLeft w:val="0"/>
                  <w:marRight w:val="0"/>
                  <w:marTop w:val="0"/>
                  <w:marBottom w:val="0"/>
                  <w:divBdr>
                    <w:top w:val="none" w:sz="0" w:space="0" w:color="auto"/>
                    <w:left w:val="none" w:sz="0" w:space="0" w:color="auto"/>
                    <w:bottom w:val="none" w:sz="0" w:space="0" w:color="auto"/>
                    <w:right w:val="none" w:sz="0" w:space="0" w:color="auto"/>
                  </w:divBdr>
                  <w:divsChild>
                    <w:div w:id="176893277">
                      <w:marLeft w:val="0"/>
                      <w:marRight w:val="0"/>
                      <w:marTop w:val="0"/>
                      <w:marBottom w:val="0"/>
                      <w:divBdr>
                        <w:top w:val="none" w:sz="0" w:space="0" w:color="auto"/>
                        <w:left w:val="none" w:sz="0" w:space="0" w:color="auto"/>
                        <w:bottom w:val="none" w:sz="0" w:space="0" w:color="auto"/>
                        <w:right w:val="none" w:sz="0" w:space="0" w:color="auto"/>
                      </w:divBdr>
                    </w:div>
                  </w:divsChild>
                </w:div>
                <w:div w:id="1819227277">
                  <w:marLeft w:val="0"/>
                  <w:marRight w:val="0"/>
                  <w:marTop w:val="0"/>
                  <w:marBottom w:val="0"/>
                  <w:divBdr>
                    <w:top w:val="none" w:sz="0" w:space="0" w:color="auto"/>
                    <w:left w:val="none" w:sz="0" w:space="0" w:color="auto"/>
                    <w:bottom w:val="none" w:sz="0" w:space="0" w:color="auto"/>
                    <w:right w:val="none" w:sz="0" w:space="0" w:color="auto"/>
                  </w:divBdr>
                  <w:divsChild>
                    <w:div w:id="1643804336">
                      <w:marLeft w:val="0"/>
                      <w:marRight w:val="0"/>
                      <w:marTop w:val="0"/>
                      <w:marBottom w:val="0"/>
                      <w:divBdr>
                        <w:top w:val="none" w:sz="0" w:space="0" w:color="auto"/>
                        <w:left w:val="none" w:sz="0" w:space="0" w:color="auto"/>
                        <w:bottom w:val="none" w:sz="0" w:space="0" w:color="auto"/>
                        <w:right w:val="none" w:sz="0" w:space="0" w:color="auto"/>
                      </w:divBdr>
                    </w:div>
                  </w:divsChild>
                </w:div>
                <w:div w:id="1873766527">
                  <w:marLeft w:val="0"/>
                  <w:marRight w:val="0"/>
                  <w:marTop w:val="0"/>
                  <w:marBottom w:val="0"/>
                  <w:divBdr>
                    <w:top w:val="none" w:sz="0" w:space="0" w:color="auto"/>
                    <w:left w:val="none" w:sz="0" w:space="0" w:color="auto"/>
                    <w:bottom w:val="none" w:sz="0" w:space="0" w:color="auto"/>
                    <w:right w:val="none" w:sz="0" w:space="0" w:color="auto"/>
                  </w:divBdr>
                  <w:divsChild>
                    <w:div w:id="506754626">
                      <w:marLeft w:val="0"/>
                      <w:marRight w:val="0"/>
                      <w:marTop w:val="0"/>
                      <w:marBottom w:val="0"/>
                      <w:divBdr>
                        <w:top w:val="none" w:sz="0" w:space="0" w:color="auto"/>
                        <w:left w:val="none" w:sz="0" w:space="0" w:color="auto"/>
                        <w:bottom w:val="none" w:sz="0" w:space="0" w:color="auto"/>
                        <w:right w:val="none" w:sz="0" w:space="0" w:color="auto"/>
                      </w:divBdr>
                    </w:div>
                  </w:divsChild>
                </w:div>
                <w:div w:id="1894385797">
                  <w:marLeft w:val="0"/>
                  <w:marRight w:val="0"/>
                  <w:marTop w:val="0"/>
                  <w:marBottom w:val="0"/>
                  <w:divBdr>
                    <w:top w:val="none" w:sz="0" w:space="0" w:color="auto"/>
                    <w:left w:val="none" w:sz="0" w:space="0" w:color="auto"/>
                    <w:bottom w:val="none" w:sz="0" w:space="0" w:color="auto"/>
                    <w:right w:val="none" w:sz="0" w:space="0" w:color="auto"/>
                  </w:divBdr>
                  <w:divsChild>
                    <w:div w:id="872838465">
                      <w:marLeft w:val="0"/>
                      <w:marRight w:val="0"/>
                      <w:marTop w:val="0"/>
                      <w:marBottom w:val="0"/>
                      <w:divBdr>
                        <w:top w:val="none" w:sz="0" w:space="0" w:color="auto"/>
                        <w:left w:val="none" w:sz="0" w:space="0" w:color="auto"/>
                        <w:bottom w:val="none" w:sz="0" w:space="0" w:color="auto"/>
                        <w:right w:val="none" w:sz="0" w:space="0" w:color="auto"/>
                      </w:divBdr>
                    </w:div>
                  </w:divsChild>
                </w:div>
                <w:div w:id="1919711777">
                  <w:marLeft w:val="0"/>
                  <w:marRight w:val="0"/>
                  <w:marTop w:val="0"/>
                  <w:marBottom w:val="0"/>
                  <w:divBdr>
                    <w:top w:val="none" w:sz="0" w:space="0" w:color="auto"/>
                    <w:left w:val="none" w:sz="0" w:space="0" w:color="auto"/>
                    <w:bottom w:val="none" w:sz="0" w:space="0" w:color="auto"/>
                    <w:right w:val="none" w:sz="0" w:space="0" w:color="auto"/>
                  </w:divBdr>
                  <w:divsChild>
                    <w:div w:id="1625235207">
                      <w:marLeft w:val="0"/>
                      <w:marRight w:val="0"/>
                      <w:marTop w:val="0"/>
                      <w:marBottom w:val="0"/>
                      <w:divBdr>
                        <w:top w:val="none" w:sz="0" w:space="0" w:color="auto"/>
                        <w:left w:val="none" w:sz="0" w:space="0" w:color="auto"/>
                        <w:bottom w:val="none" w:sz="0" w:space="0" w:color="auto"/>
                        <w:right w:val="none" w:sz="0" w:space="0" w:color="auto"/>
                      </w:divBdr>
                    </w:div>
                  </w:divsChild>
                </w:div>
                <w:div w:id="1989245599">
                  <w:marLeft w:val="0"/>
                  <w:marRight w:val="0"/>
                  <w:marTop w:val="0"/>
                  <w:marBottom w:val="0"/>
                  <w:divBdr>
                    <w:top w:val="none" w:sz="0" w:space="0" w:color="auto"/>
                    <w:left w:val="none" w:sz="0" w:space="0" w:color="auto"/>
                    <w:bottom w:val="none" w:sz="0" w:space="0" w:color="auto"/>
                    <w:right w:val="none" w:sz="0" w:space="0" w:color="auto"/>
                  </w:divBdr>
                  <w:divsChild>
                    <w:div w:id="403798004">
                      <w:marLeft w:val="0"/>
                      <w:marRight w:val="0"/>
                      <w:marTop w:val="0"/>
                      <w:marBottom w:val="0"/>
                      <w:divBdr>
                        <w:top w:val="none" w:sz="0" w:space="0" w:color="auto"/>
                        <w:left w:val="none" w:sz="0" w:space="0" w:color="auto"/>
                        <w:bottom w:val="none" w:sz="0" w:space="0" w:color="auto"/>
                        <w:right w:val="none" w:sz="0" w:space="0" w:color="auto"/>
                      </w:divBdr>
                    </w:div>
                  </w:divsChild>
                </w:div>
                <w:div w:id="1990162161">
                  <w:marLeft w:val="0"/>
                  <w:marRight w:val="0"/>
                  <w:marTop w:val="0"/>
                  <w:marBottom w:val="0"/>
                  <w:divBdr>
                    <w:top w:val="none" w:sz="0" w:space="0" w:color="auto"/>
                    <w:left w:val="none" w:sz="0" w:space="0" w:color="auto"/>
                    <w:bottom w:val="none" w:sz="0" w:space="0" w:color="auto"/>
                    <w:right w:val="none" w:sz="0" w:space="0" w:color="auto"/>
                  </w:divBdr>
                  <w:divsChild>
                    <w:div w:id="1612781633">
                      <w:marLeft w:val="0"/>
                      <w:marRight w:val="0"/>
                      <w:marTop w:val="0"/>
                      <w:marBottom w:val="0"/>
                      <w:divBdr>
                        <w:top w:val="none" w:sz="0" w:space="0" w:color="auto"/>
                        <w:left w:val="none" w:sz="0" w:space="0" w:color="auto"/>
                        <w:bottom w:val="none" w:sz="0" w:space="0" w:color="auto"/>
                        <w:right w:val="none" w:sz="0" w:space="0" w:color="auto"/>
                      </w:divBdr>
                    </w:div>
                  </w:divsChild>
                </w:div>
                <w:div w:id="2125150900">
                  <w:marLeft w:val="0"/>
                  <w:marRight w:val="0"/>
                  <w:marTop w:val="0"/>
                  <w:marBottom w:val="0"/>
                  <w:divBdr>
                    <w:top w:val="none" w:sz="0" w:space="0" w:color="auto"/>
                    <w:left w:val="none" w:sz="0" w:space="0" w:color="auto"/>
                    <w:bottom w:val="none" w:sz="0" w:space="0" w:color="auto"/>
                    <w:right w:val="none" w:sz="0" w:space="0" w:color="auto"/>
                  </w:divBdr>
                  <w:divsChild>
                    <w:div w:id="110743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282240">
      <w:bodyDiv w:val="1"/>
      <w:marLeft w:val="0"/>
      <w:marRight w:val="0"/>
      <w:marTop w:val="0"/>
      <w:marBottom w:val="0"/>
      <w:divBdr>
        <w:top w:val="none" w:sz="0" w:space="0" w:color="auto"/>
        <w:left w:val="none" w:sz="0" w:space="0" w:color="auto"/>
        <w:bottom w:val="none" w:sz="0" w:space="0" w:color="auto"/>
        <w:right w:val="none" w:sz="0" w:space="0" w:color="auto"/>
      </w:divBdr>
      <w:divsChild>
        <w:div w:id="353112706">
          <w:marLeft w:val="0"/>
          <w:marRight w:val="0"/>
          <w:marTop w:val="0"/>
          <w:marBottom w:val="0"/>
          <w:divBdr>
            <w:top w:val="none" w:sz="0" w:space="0" w:color="auto"/>
            <w:left w:val="none" w:sz="0" w:space="0" w:color="auto"/>
            <w:bottom w:val="none" w:sz="0" w:space="0" w:color="auto"/>
            <w:right w:val="none" w:sz="0" w:space="0" w:color="auto"/>
          </w:divBdr>
        </w:div>
        <w:div w:id="1540389658">
          <w:marLeft w:val="0"/>
          <w:marRight w:val="0"/>
          <w:marTop w:val="0"/>
          <w:marBottom w:val="0"/>
          <w:divBdr>
            <w:top w:val="none" w:sz="0" w:space="0" w:color="auto"/>
            <w:left w:val="none" w:sz="0" w:space="0" w:color="auto"/>
            <w:bottom w:val="none" w:sz="0" w:space="0" w:color="auto"/>
            <w:right w:val="none" w:sz="0" w:space="0" w:color="auto"/>
          </w:divBdr>
        </w:div>
        <w:div w:id="1925340154">
          <w:marLeft w:val="0"/>
          <w:marRight w:val="0"/>
          <w:marTop w:val="0"/>
          <w:marBottom w:val="0"/>
          <w:divBdr>
            <w:top w:val="none" w:sz="0" w:space="0" w:color="auto"/>
            <w:left w:val="none" w:sz="0" w:space="0" w:color="auto"/>
            <w:bottom w:val="none" w:sz="0" w:space="0" w:color="auto"/>
            <w:right w:val="none" w:sz="0" w:space="0" w:color="auto"/>
          </w:divBdr>
        </w:div>
        <w:div w:id="2053143152">
          <w:marLeft w:val="0"/>
          <w:marRight w:val="0"/>
          <w:marTop w:val="0"/>
          <w:marBottom w:val="0"/>
          <w:divBdr>
            <w:top w:val="none" w:sz="0" w:space="0" w:color="auto"/>
            <w:left w:val="none" w:sz="0" w:space="0" w:color="auto"/>
            <w:bottom w:val="none" w:sz="0" w:space="0" w:color="auto"/>
            <w:right w:val="none" w:sz="0" w:space="0" w:color="auto"/>
          </w:divBdr>
        </w:div>
      </w:divsChild>
    </w:div>
    <w:div w:id="980963063">
      <w:bodyDiv w:val="1"/>
      <w:marLeft w:val="0"/>
      <w:marRight w:val="0"/>
      <w:marTop w:val="0"/>
      <w:marBottom w:val="0"/>
      <w:divBdr>
        <w:top w:val="none" w:sz="0" w:space="0" w:color="auto"/>
        <w:left w:val="none" w:sz="0" w:space="0" w:color="auto"/>
        <w:bottom w:val="none" w:sz="0" w:space="0" w:color="auto"/>
        <w:right w:val="none" w:sz="0" w:space="0" w:color="auto"/>
      </w:divBdr>
    </w:div>
    <w:div w:id="984166022">
      <w:bodyDiv w:val="1"/>
      <w:marLeft w:val="0"/>
      <w:marRight w:val="0"/>
      <w:marTop w:val="0"/>
      <w:marBottom w:val="0"/>
      <w:divBdr>
        <w:top w:val="none" w:sz="0" w:space="0" w:color="auto"/>
        <w:left w:val="none" w:sz="0" w:space="0" w:color="auto"/>
        <w:bottom w:val="none" w:sz="0" w:space="0" w:color="auto"/>
        <w:right w:val="none" w:sz="0" w:space="0" w:color="auto"/>
      </w:divBdr>
    </w:div>
    <w:div w:id="1029572044">
      <w:bodyDiv w:val="1"/>
      <w:marLeft w:val="0"/>
      <w:marRight w:val="0"/>
      <w:marTop w:val="0"/>
      <w:marBottom w:val="0"/>
      <w:divBdr>
        <w:top w:val="none" w:sz="0" w:space="0" w:color="auto"/>
        <w:left w:val="none" w:sz="0" w:space="0" w:color="auto"/>
        <w:bottom w:val="none" w:sz="0" w:space="0" w:color="auto"/>
        <w:right w:val="none" w:sz="0" w:space="0" w:color="auto"/>
      </w:divBdr>
      <w:divsChild>
        <w:div w:id="9374531">
          <w:marLeft w:val="0"/>
          <w:marRight w:val="0"/>
          <w:marTop w:val="0"/>
          <w:marBottom w:val="0"/>
          <w:divBdr>
            <w:top w:val="none" w:sz="0" w:space="0" w:color="auto"/>
            <w:left w:val="none" w:sz="0" w:space="0" w:color="auto"/>
            <w:bottom w:val="none" w:sz="0" w:space="0" w:color="auto"/>
            <w:right w:val="none" w:sz="0" w:space="0" w:color="auto"/>
          </w:divBdr>
        </w:div>
        <w:div w:id="658920993">
          <w:marLeft w:val="0"/>
          <w:marRight w:val="0"/>
          <w:marTop w:val="0"/>
          <w:marBottom w:val="0"/>
          <w:divBdr>
            <w:top w:val="none" w:sz="0" w:space="0" w:color="auto"/>
            <w:left w:val="none" w:sz="0" w:space="0" w:color="auto"/>
            <w:bottom w:val="none" w:sz="0" w:space="0" w:color="auto"/>
            <w:right w:val="none" w:sz="0" w:space="0" w:color="auto"/>
          </w:divBdr>
        </w:div>
        <w:div w:id="963539037">
          <w:marLeft w:val="0"/>
          <w:marRight w:val="0"/>
          <w:marTop w:val="0"/>
          <w:marBottom w:val="0"/>
          <w:divBdr>
            <w:top w:val="none" w:sz="0" w:space="0" w:color="auto"/>
            <w:left w:val="none" w:sz="0" w:space="0" w:color="auto"/>
            <w:bottom w:val="none" w:sz="0" w:space="0" w:color="auto"/>
            <w:right w:val="none" w:sz="0" w:space="0" w:color="auto"/>
          </w:divBdr>
        </w:div>
        <w:div w:id="1769766461">
          <w:marLeft w:val="0"/>
          <w:marRight w:val="0"/>
          <w:marTop w:val="0"/>
          <w:marBottom w:val="0"/>
          <w:divBdr>
            <w:top w:val="none" w:sz="0" w:space="0" w:color="auto"/>
            <w:left w:val="none" w:sz="0" w:space="0" w:color="auto"/>
            <w:bottom w:val="none" w:sz="0" w:space="0" w:color="auto"/>
            <w:right w:val="none" w:sz="0" w:space="0" w:color="auto"/>
          </w:divBdr>
        </w:div>
      </w:divsChild>
    </w:div>
    <w:div w:id="1197767125">
      <w:bodyDiv w:val="1"/>
      <w:marLeft w:val="0"/>
      <w:marRight w:val="0"/>
      <w:marTop w:val="0"/>
      <w:marBottom w:val="0"/>
      <w:divBdr>
        <w:top w:val="none" w:sz="0" w:space="0" w:color="auto"/>
        <w:left w:val="none" w:sz="0" w:space="0" w:color="auto"/>
        <w:bottom w:val="none" w:sz="0" w:space="0" w:color="auto"/>
        <w:right w:val="none" w:sz="0" w:space="0" w:color="auto"/>
      </w:divBdr>
    </w:div>
    <w:div w:id="1268388351">
      <w:bodyDiv w:val="1"/>
      <w:marLeft w:val="0"/>
      <w:marRight w:val="0"/>
      <w:marTop w:val="0"/>
      <w:marBottom w:val="0"/>
      <w:divBdr>
        <w:top w:val="none" w:sz="0" w:space="0" w:color="auto"/>
        <w:left w:val="none" w:sz="0" w:space="0" w:color="auto"/>
        <w:bottom w:val="none" w:sz="0" w:space="0" w:color="auto"/>
        <w:right w:val="none" w:sz="0" w:space="0" w:color="auto"/>
      </w:divBdr>
    </w:div>
    <w:div w:id="1334870003">
      <w:bodyDiv w:val="1"/>
      <w:marLeft w:val="0"/>
      <w:marRight w:val="0"/>
      <w:marTop w:val="0"/>
      <w:marBottom w:val="0"/>
      <w:divBdr>
        <w:top w:val="none" w:sz="0" w:space="0" w:color="auto"/>
        <w:left w:val="none" w:sz="0" w:space="0" w:color="auto"/>
        <w:bottom w:val="none" w:sz="0" w:space="0" w:color="auto"/>
        <w:right w:val="none" w:sz="0" w:space="0" w:color="auto"/>
      </w:divBdr>
    </w:div>
    <w:div w:id="1390759706">
      <w:bodyDiv w:val="1"/>
      <w:marLeft w:val="0"/>
      <w:marRight w:val="0"/>
      <w:marTop w:val="0"/>
      <w:marBottom w:val="0"/>
      <w:divBdr>
        <w:top w:val="none" w:sz="0" w:space="0" w:color="auto"/>
        <w:left w:val="none" w:sz="0" w:space="0" w:color="auto"/>
        <w:bottom w:val="none" w:sz="0" w:space="0" w:color="auto"/>
        <w:right w:val="none" w:sz="0" w:space="0" w:color="auto"/>
      </w:divBdr>
    </w:div>
    <w:div w:id="1407266412">
      <w:bodyDiv w:val="1"/>
      <w:marLeft w:val="0"/>
      <w:marRight w:val="0"/>
      <w:marTop w:val="0"/>
      <w:marBottom w:val="0"/>
      <w:divBdr>
        <w:top w:val="none" w:sz="0" w:space="0" w:color="auto"/>
        <w:left w:val="none" w:sz="0" w:space="0" w:color="auto"/>
        <w:bottom w:val="none" w:sz="0" w:space="0" w:color="auto"/>
        <w:right w:val="none" w:sz="0" w:space="0" w:color="auto"/>
      </w:divBdr>
      <w:divsChild>
        <w:div w:id="1568414067">
          <w:marLeft w:val="0"/>
          <w:marRight w:val="0"/>
          <w:marTop w:val="0"/>
          <w:marBottom w:val="0"/>
          <w:divBdr>
            <w:top w:val="none" w:sz="0" w:space="0" w:color="auto"/>
            <w:left w:val="none" w:sz="0" w:space="0" w:color="auto"/>
            <w:bottom w:val="none" w:sz="0" w:space="0" w:color="auto"/>
            <w:right w:val="none" w:sz="0" w:space="0" w:color="auto"/>
          </w:divBdr>
        </w:div>
      </w:divsChild>
    </w:div>
    <w:div w:id="1841968205">
      <w:bodyDiv w:val="1"/>
      <w:marLeft w:val="0"/>
      <w:marRight w:val="0"/>
      <w:marTop w:val="0"/>
      <w:marBottom w:val="0"/>
      <w:divBdr>
        <w:top w:val="none" w:sz="0" w:space="0" w:color="auto"/>
        <w:left w:val="none" w:sz="0" w:space="0" w:color="auto"/>
        <w:bottom w:val="none" w:sz="0" w:space="0" w:color="auto"/>
        <w:right w:val="none" w:sz="0" w:space="0" w:color="auto"/>
      </w:divBdr>
    </w:div>
    <w:div w:id="1842890284">
      <w:bodyDiv w:val="1"/>
      <w:marLeft w:val="0"/>
      <w:marRight w:val="0"/>
      <w:marTop w:val="0"/>
      <w:marBottom w:val="0"/>
      <w:divBdr>
        <w:top w:val="none" w:sz="0" w:space="0" w:color="auto"/>
        <w:left w:val="none" w:sz="0" w:space="0" w:color="auto"/>
        <w:bottom w:val="none" w:sz="0" w:space="0" w:color="auto"/>
        <w:right w:val="none" w:sz="0" w:space="0" w:color="auto"/>
      </w:divBdr>
    </w:div>
    <w:div w:id="1900096050">
      <w:bodyDiv w:val="1"/>
      <w:marLeft w:val="0"/>
      <w:marRight w:val="0"/>
      <w:marTop w:val="0"/>
      <w:marBottom w:val="0"/>
      <w:divBdr>
        <w:top w:val="none" w:sz="0" w:space="0" w:color="auto"/>
        <w:left w:val="none" w:sz="0" w:space="0" w:color="auto"/>
        <w:bottom w:val="none" w:sz="0" w:space="0" w:color="auto"/>
        <w:right w:val="none" w:sz="0" w:space="0" w:color="auto"/>
      </w:divBdr>
    </w:div>
    <w:div w:id="1909994584">
      <w:bodyDiv w:val="1"/>
      <w:marLeft w:val="0"/>
      <w:marRight w:val="0"/>
      <w:marTop w:val="0"/>
      <w:marBottom w:val="0"/>
      <w:divBdr>
        <w:top w:val="none" w:sz="0" w:space="0" w:color="auto"/>
        <w:left w:val="none" w:sz="0" w:space="0" w:color="auto"/>
        <w:bottom w:val="none" w:sz="0" w:space="0" w:color="auto"/>
        <w:right w:val="none" w:sz="0" w:space="0" w:color="auto"/>
      </w:divBdr>
    </w:div>
    <w:div w:id="199159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7.xml"/><Relationship Id="rId39" Type="http://schemas.openxmlformats.org/officeDocument/2006/relationships/header" Target="header10.xml"/><Relationship Id="rId21" Type="http://schemas.openxmlformats.org/officeDocument/2006/relationships/footer" Target="footer5.xml"/><Relationship Id="rId34" Type="http://schemas.openxmlformats.org/officeDocument/2006/relationships/chart" Target="charts/chart4.xml"/><Relationship Id="rId42" Type="http://schemas.openxmlformats.org/officeDocument/2006/relationships/footer" Target="footer11.xml"/><Relationship Id="rId47" Type="http://schemas.openxmlformats.org/officeDocument/2006/relationships/footer" Target="footer13.xml"/><Relationship Id="rId50" Type="http://schemas.openxmlformats.org/officeDocument/2006/relationships/footer" Target="footer15.xml"/><Relationship Id="rId55" Type="http://schemas.openxmlformats.org/officeDocument/2006/relationships/header" Target="header1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2.png"/><Relationship Id="rId33" Type="http://schemas.openxmlformats.org/officeDocument/2006/relationships/chart" Target="charts/chart3.xml"/><Relationship Id="rId38" Type="http://schemas.openxmlformats.org/officeDocument/2006/relationships/hyperlink" Target="https://euc-word-edit.officeapps.live.com/we/wordeditorframe.aspx?ui=en-US&amp;rs=en-IE&amp;wopisrc=https%3A%2F%2Feceuropaeu.sharepoint.com%2Fteams%2FGRP-PRO-DG-CLIMA-Unit-B1%2F_vti_bin%2Fwopi.ashx%2Ffiles%2Facc4252787a84dbdab8548746684a965&amp;wdenableroaming=1&amp;mscc=1&amp;hid=8C06B9A1-6023-0000-00D3-045EC802F0CC.0&amp;uih=sharepointcom&amp;wdlcid=en-US&amp;jsapi=1&amp;jsapiver=v2&amp;corrid=3bc90275-cdf3-3b1b-1a72-07f85bc349f0&amp;usid=3bc90275-cdf3-3b1b-1a72-07f85bc349f0&amp;newsession=1&amp;sftc=1&amp;uihit=docaspx&amp;muv=1&amp;ats=PairwiseBroker&amp;cac=1&amp;sams=1&amp;mtf=1&amp;sfp=1&amp;sdp=1&amp;hch=1&amp;hwfh=1&amp;dchat=1&amp;sc=%7B%22pmo%22%3A%22https%3A%2F%2Feceuropaeu.sharepoint.com%22%2C%22pmshare%22%3Atrue%7D&amp;ctp=LeastProtected&amp;rct=Normal&amp;wdorigin=ItemsView&amp;wdhostclicktime=1754464512569&amp;afdflight=82&amp;csiro=1&amp;instantedit=1&amp;wopicomplete=1&amp;wdredirectionreason=Unified_SingleFlush" TargetMode="External"/><Relationship Id="rId46" Type="http://schemas.openxmlformats.org/officeDocument/2006/relationships/header" Target="header14.xml"/><Relationship Id="rId59"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8.xml"/><Relationship Id="rId41" Type="http://schemas.openxmlformats.org/officeDocument/2006/relationships/footer" Target="footer10.xml"/><Relationship Id="rId54"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chart" Target="charts/chart1.xml"/><Relationship Id="rId32" Type="http://schemas.openxmlformats.org/officeDocument/2006/relationships/chart" Target="charts/chart2.xml"/><Relationship Id="rId37" Type="http://schemas.openxmlformats.org/officeDocument/2006/relationships/image" Target="media/image5.png"/><Relationship Id="rId40" Type="http://schemas.openxmlformats.org/officeDocument/2006/relationships/header" Target="header11.xml"/><Relationship Id="rId45" Type="http://schemas.openxmlformats.org/officeDocument/2006/relationships/header" Target="header13.xml"/><Relationship Id="rId53" Type="http://schemas.openxmlformats.org/officeDocument/2006/relationships/footer" Target="footer16.xml"/><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7.xml"/><Relationship Id="rId36" Type="http://schemas.openxmlformats.org/officeDocument/2006/relationships/image" Target="media/image4.png"/><Relationship Id="rId49" Type="http://schemas.openxmlformats.org/officeDocument/2006/relationships/header" Target="header15.xml"/><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9.xml"/><Relationship Id="rId44" Type="http://schemas.openxmlformats.org/officeDocument/2006/relationships/footer" Target="footer12.xml"/><Relationship Id="rId52"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image" Target="media/image3.png"/><Relationship Id="rId43" Type="http://schemas.openxmlformats.org/officeDocument/2006/relationships/header" Target="header12.xml"/><Relationship Id="rId48" Type="http://schemas.openxmlformats.org/officeDocument/2006/relationships/footer" Target="footer14.xml"/><Relationship Id="rId56" Type="http://schemas.openxmlformats.org/officeDocument/2006/relationships/footer" Target="footer18.xml"/><Relationship Id="rId8" Type="http://schemas.openxmlformats.org/officeDocument/2006/relationships/webSettings" Target="webSettings.xml"/><Relationship Id="rId51" Type="http://schemas.openxmlformats.org/officeDocument/2006/relationships/header" Target="header16.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3" Type="http://schemas.openxmlformats.org/officeDocument/2006/relationships/hyperlink" Target="https://eur-lex.europa.eu/eli/reg/2023/435/oj" TargetMode="External"/><Relationship Id="rId18" Type="http://schemas.openxmlformats.org/officeDocument/2006/relationships/hyperlink" Target="https://eur-lex.europa.eu/legal-content/PT/TXT/?uri=CELEX:32021R0447" TargetMode="External"/><Relationship Id="rId26" Type="http://schemas.openxmlformats.org/officeDocument/2006/relationships/hyperlink" Target="https://eur-lex.europa.eu/legal-content/PT/TXT/?uri=celex%3A32014L0065" TargetMode="External"/><Relationship Id="rId39" Type="http://schemas.openxmlformats.org/officeDocument/2006/relationships/hyperlink" Target="https://eur-lex.europa.eu/legal-content/PT/TXT/?uri=OJ:L_202400791" TargetMode="External"/><Relationship Id="rId21" Type="http://schemas.openxmlformats.org/officeDocument/2006/relationships/hyperlink" Target="https://ec.europa.eu/commission/presscorner/detail/pt/ip_25_1563" TargetMode="External"/><Relationship Id="rId34" Type="http://schemas.openxmlformats.org/officeDocument/2006/relationships/hyperlink" Target="https://eur-lex.europa.eu/legal-content/PT/TXT/?uri=CELEX:32019R1122" TargetMode="External"/><Relationship Id="rId42" Type="http://schemas.openxmlformats.org/officeDocument/2006/relationships/hyperlink" Target="https://eur-lex.europa.eu/eli/reg/2012/648/oj" TargetMode="External"/><Relationship Id="rId47" Type="http://schemas.openxmlformats.org/officeDocument/2006/relationships/hyperlink" Target="https://ec.europa.eu/eurostat/web/products-euro-indicators/w/4-13022025-ap" TargetMode="External"/><Relationship Id="rId50" Type="http://schemas.openxmlformats.org/officeDocument/2006/relationships/hyperlink" Target="https://ec.europa.eu/info/law/better-regulation/have-your-say/initiatives/14801-Technical-updates-of-the-Emissions-Trading-Scheme-ETS-State-aid-guidelines_en" TargetMode="External"/><Relationship Id="rId55" Type="http://schemas.openxmlformats.org/officeDocument/2006/relationships/hyperlink" Target="https://eur-lex.europa.eu/eli/reg/2024/795/oj" TargetMode="External"/><Relationship Id="rId63" Type="http://schemas.openxmlformats.org/officeDocument/2006/relationships/hyperlink" Target="https://www.bafu.admin.ch/bafu/en/home/topics/climate/info-specialists/reduction-measures/ets/aviation.html" TargetMode="External"/><Relationship Id="rId68" Type="http://schemas.openxmlformats.org/officeDocument/2006/relationships/hyperlink" Target="http://data.europa.eu/eli/reg_impl/2025/1500/oj" TargetMode="External"/><Relationship Id="rId76" Type="http://schemas.openxmlformats.org/officeDocument/2006/relationships/hyperlink" Target="http://data.europa.eu/eli/C/2025/2934/oj" TargetMode="External"/><Relationship Id="rId84" Type="http://schemas.openxmlformats.org/officeDocument/2006/relationships/hyperlink" Target="https://climate.ec.europa.eu/eu-action/eu-emissions-trading-system-eu-ets/monitoring-reporting-and-verification-eu-ets-emissions_pt" TargetMode="External"/><Relationship Id="rId89" Type="http://schemas.openxmlformats.org/officeDocument/2006/relationships/hyperlink" Target="https://eur-lex.europa.eu/legal-content/PT/TXT/?uri=OJ%3AJOL_2023_231_R_0001&amp;qid=1695186598766" TargetMode="External"/><Relationship Id="rId7" Type="http://schemas.openxmlformats.org/officeDocument/2006/relationships/hyperlink" Target="https://employment-social-affairs.ec.europa.eu/document/7f23666f-5556-455a-b0f5-4c150994ce10_en" TargetMode="External"/><Relationship Id="rId71" Type="http://schemas.openxmlformats.org/officeDocument/2006/relationships/hyperlink" Target="http://data.europa.eu/eli/reg_impl/2024/1879/oj" TargetMode="External"/><Relationship Id="rId92" Type="http://schemas.openxmlformats.org/officeDocument/2006/relationships/hyperlink" Target="https://commission.europa.eu/publications/commission-assessment-final-updated-national-energy-and-climate-plan-estonia_en" TargetMode="External"/><Relationship Id="rId2" Type="http://schemas.openxmlformats.org/officeDocument/2006/relationships/hyperlink" Target="https://commission.europa.eu/business-economy-euro/economic-recovery/recovery-and-resilience-facility_pt" TargetMode="External"/><Relationship Id="rId16" Type="http://schemas.openxmlformats.org/officeDocument/2006/relationships/hyperlink" Target="https://climate.ec.europa.eu/news-your-voice/news/notification-germany-voluntary-cancellation-plants-closed-2022-2024-05-02_pt" TargetMode="External"/><Relationship Id="rId29" Type="http://schemas.openxmlformats.org/officeDocument/2006/relationships/hyperlink" Target="https://eur-lex.europa.eu/legal-content/PT/TXT/?uri=CELEX%3A32014R0596" TargetMode="External"/><Relationship Id="rId11" Type="http://schemas.openxmlformats.org/officeDocument/2006/relationships/hyperlink" Target="https://eur-lex.europa.eu/eli/reg_del/2023/2830/oj" TargetMode="External"/><Relationship Id="rId24" Type="http://schemas.openxmlformats.org/officeDocument/2006/relationships/hyperlink" Target="https://eur-lex.europa.eu/legal-content/EN/TXT/?uri=CELEX%3A52025XC03180&amp;qid=1753262885801" TargetMode="External"/><Relationship Id="rId32" Type="http://schemas.openxmlformats.org/officeDocument/2006/relationships/hyperlink" Target="https://www.esma.europa.eu/sites/default/files/2024-10/ESMA50-43599798-10379_Carbon_markets_report_2024.pdf" TargetMode="External"/><Relationship Id="rId37" Type="http://schemas.openxmlformats.org/officeDocument/2006/relationships/hyperlink" Target="http://data.europa.eu/eli/dir/2024/790/oj" TargetMode="External"/><Relationship Id="rId40" Type="http://schemas.openxmlformats.org/officeDocument/2006/relationships/hyperlink" Target="http://data.europa.eu/eli/reg/2024/791/oj" TargetMode="External"/><Relationship Id="rId45" Type="http://schemas.openxmlformats.org/officeDocument/2006/relationships/hyperlink" Target="https://eur-lex.europa.eu/legal-content/PT/TXT/?uri=CELEX%3A52025DC0079&amp;qid=1741780110418" TargetMode="External"/><Relationship Id="rId53" Type="http://schemas.openxmlformats.org/officeDocument/2006/relationships/hyperlink" Target="https://dashboard.tech.ec.europa.eu/qs_digit_dashboard_mt/public/sense/app/6e4815c8-1f4c-4664-b9ca-8454f77d758d/sheet/bac47ac8-b5c7-4cd1-87ad-9f8d6d238eae/state/analysis" TargetMode="External"/><Relationship Id="rId58" Type="http://schemas.openxmlformats.org/officeDocument/2006/relationships/hyperlink" Target="https://eur-lex.europa.eu/legal-content/PT/TXT/?uri=OJ%3AJOC_2022_195_R_0002" TargetMode="External"/><Relationship Id="rId66" Type="http://schemas.openxmlformats.org/officeDocument/2006/relationships/hyperlink" Target="https://eur-lex.europa.eu/legal-content/PT/TXT/?uri=celex%3A32023L0958" TargetMode="External"/><Relationship Id="rId74" Type="http://schemas.openxmlformats.org/officeDocument/2006/relationships/hyperlink" Target="http://data.europa.eu/eli/reg_del/2025/723/oj" TargetMode="External"/><Relationship Id="rId79" Type="http://schemas.openxmlformats.org/officeDocument/2006/relationships/hyperlink" Target="https://eur-lex.europa.eu/legal-content/PT/TXT/?uri=CELEX:32015R0757" TargetMode="External"/><Relationship Id="rId87" Type="http://schemas.openxmlformats.org/officeDocument/2006/relationships/hyperlink" Target="https://climate.ec.europa.eu/eu-action/eu-emissions-trading-system-eu-ets/ets2-buildings-road-transport-and-additional-sectors_pt" TargetMode="External"/><Relationship Id="rId5" Type="http://schemas.openxmlformats.org/officeDocument/2006/relationships/hyperlink" Target="https://eur-lex.europa.eu/legal-content/PT/TXT/?uri=CELEX:32018R0842" TargetMode="External"/><Relationship Id="rId61" Type="http://schemas.openxmlformats.org/officeDocument/2006/relationships/hyperlink" Target="https://eur-lex.europa.eu/legal-content/PT/TXT/?uri=CELEX:32013D0377" TargetMode="External"/><Relationship Id="rId82" Type="http://schemas.openxmlformats.org/officeDocument/2006/relationships/hyperlink" Target="https://eur-lex.europa.eu/eli/reg_impl/2025/1192/oj/por" TargetMode="External"/><Relationship Id="rId90" Type="http://schemas.openxmlformats.org/officeDocument/2006/relationships/hyperlink" Target="https://eur-lex.europa.eu/legal-content/PT/TXT/?uri=CELEX%3A52025DC0274&amp;qid=1749138488640" TargetMode="External"/><Relationship Id="rId95" Type="http://schemas.openxmlformats.org/officeDocument/2006/relationships/hyperlink" Target="https://eur-lex.europa.eu/legal-content/PT/TXT/?uri=CELEX%3A22017A1207%2801%29" TargetMode="External"/><Relationship Id="rId19" Type="http://schemas.openxmlformats.org/officeDocument/2006/relationships/hyperlink" Target="https://eur-lex.europa.eu/legal-content/PT/TXT/?uri=CELEX:32019R1842" TargetMode="External"/><Relationship Id="rId14" Type="http://schemas.openxmlformats.org/officeDocument/2006/relationships/hyperlink" Target="https://www.eex.com/en/market-data/market-data-hub/environmentals/eu-ets-auctions" TargetMode="External"/><Relationship Id="rId22" Type="http://schemas.openxmlformats.org/officeDocument/2006/relationships/hyperlink" Target="https://eur-lex.europa.eu/legal-content/PT/TXT/?uri=CELEX%3A52025DC0378" TargetMode="External"/><Relationship Id="rId27" Type="http://schemas.openxmlformats.org/officeDocument/2006/relationships/hyperlink" Target="https://eur-lex.europa.eu/legal-content/PT/TXT/?uri=CELEX%3A02014L0065-20240328" TargetMode="External"/><Relationship Id="rId30" Type="http://schemas.openxmlformats.org/officeDocument/2006/relationships/hyperlink" Target="https://eur-lex.europa.eu/legal-content/PT/TXT/?uri=CELEX%3A02014R0596-20240109" TargetMode="External"/><Relationship Id="rId35" Type="http://schemas.openxmlformats.org/officeDocument/2006/relationships/hyperlink" Target="https://eur-lex.europa.eu/legal-content/PT/TXT/?uri=CELEX%3A02019R1122-20231230" TargetMode="External"/><Relationship Id="rId43" Type="http://schemas.openxmlformats.org/officeDocument/2006/relationships/hyperlink" Target="https://eur-lex.europa.eu/legal-content/PT/TXT/?uri=CELEX%3A02012R0648-20250117" TargetMode="External"/><Relationship Id="rId48" Type="http://schemas.openxmlformats.org/officeDocument/2006/relationships/hyperlink" Target="https://eur-lex.europa.eu/legal-content/PT/TXT/?toc=OJ:L:2018:328:TOC&amp;uri=uriserv:OJ.L_.2018.328.01.0001.01.POR" TargetMode="External"/><Relationship Id="rId56" Type="http://schemas.openxmlformats.org/officeDocument/2006/relationships/hyperlink" Target="http://data.europa.eu/eli/reg/2024/795/oj" TargetMode="External"/><Relationship Id="rId64" Type="http://schemas.openxmlformats.org/officeDocument/2006/relationships/hyperlink" Target="https://www.icao.int/sites/default/files/environmental-protection/CORSIA/Documents/Background%20Information/International-RTK-rankings_2018_SIDS_LDC_LLDC.pdf" TargetMode="External"/><Relationship Id="rId69" Type="http://schemas.openxmlformats.org/officeDocument/2006/relationships/hyperlink" Target="http://data.europa.eu/eli/dec/2022/1500/oj" TargetMode="External"/><Relationship Id="rId77" Type="http://schemas.openxmlformats.org/officeDocument/2006/relationships/hyperlink" Target="https://eur-lex.europa.eu/eli/C/2025/5004/oj/por" TargetMode="External"/><Relationship Id="rId8" Type="http://schemas.openxmlformats.org/officeDocument/2006/relationships/hyperlink" Target="https://eur-lex.europa.eu/legal-content/PT/TXT/?uri=CELEX:32023D1575" TargetMode="External"/><Relationship Id="rId51" Type="http://schemas.openxmlformats.org/officeDocument/2006/relationships/hyperlink" Target="https://www.dehst.de/SharedDocs/downloads/DE/spk/Auswertungsbericht_2023.html" TargetMode="External"/><Relationship Id="rId72" Type="http://schemas.openxmlformats.org/officeDocument/2006/relationships/hyperlink" Target="https://climate.ec.europa.eu/news-your-voice/news/publication-2023-emissions-data-aerodrome-pairs-2025-06-19_en" TargetMode="External"/><Relationship Id="rId80" Type="http://schemas.openxmlformats.org/officeDocument/2006/relationships/hyperlink" Target="https://eur-lex.europa.eu/legal-content/PT/TXT/?toc=OJ:L:2018:334:TOC&amp;uri=uriserv:OJ.L_.2018.334.01.0094.01.POR" TargetMode="External"/><Relationship Id="rId85" Type="http://schemas.openxmlformats.org/officeDocument/2006/relationships/hyperlink" Target="https://climate.ec.europa.eu/document/download/49772f68-3432-40c6-800c-7915b610e825_en?filename=policy_ets_ets2_gd_accreditation_verification_en.pdf" TargetMode="External"/><Relationship Id="rId93" Type="http://schemas.openxmlformats.org/officeDocument/2006/relationships/hyperlink" Target="https://commission.europa.eu/publications/commission-assessment-final-updated-national-energy-and-climate-plan-slovakia_en" TargetMode="External"/><Relationship Id="rId3" Type="http://schemas.openxmlformats.org/officeDocument/2006/relationships/hyperlink" Target="https://commission.europa.eu/strategy-and-policy/priorities-2019-2024/european-green-deal/repowereu-affordable-secure-and-sustainable-energy-europe_pt" TargetMode="External"/><Relationship Id="rId12" Type="http://schemas.openxmlformats.org/officeDocument/2006/relationships/hyperlink" Target="http://data.europa.eu/eli/reg_del/2023/2830/oj" TargetMode="External"/><Relationship Id="rId17" Type="http://schemas.openxmlformats.org/officeDocument/2006/relationships/hyperlink" Target="https://climate.ec.europa.eu/news-your-voice/news/notification-germany-voluntary-cancellation-allowances-eu-ets-plants-closed-2023-2025-05-05_en" TargetMode="External"/><Relationship Id="rId25" Type="http://schemas.openxmlformats.org/officeDocument/2006/relationships/hyperlink" Target="https://eur-lex.europa.eu/legal-content/PT/TXT/?uri=celex%3A32014L0065" TargetMode="External"/><Relationship Id="rId33" Type="http://schemas.openxmlformats.org/officeDocument/2006/relationships/hyperlink" Target="https://www.esma.europa.eu/document/market-report-eu-carbon-markets-2025" TargetMode="External"/><Relationship Id="rId38" Type="http://schemas.openxmlformats.org/officeDocument/2006/relationships/hyperlink" Target="https://eur-lex.europa.eu/legal-content/PT/TXT/?uri=CELEX%3A02014L0065-20240328" TargetMode="External"/><Relationship Id="rId46" Type="http://schemas.openxmlformats.org/officeDocument/2006/relationships/hyperlink" Target="https://ec.europa.eu/eurostat/databrowser/view/nrg_cb_pem__custom_17401908/default/table?lang=en" TargetMode="External"/><Relationship Id="rId59" Type="http://schemas.openxmlformats.org/officeDocument/2006/relationships/hyperlink" Target="https://climate.ec.europa.eu/news-your-voice/news/executive-vice-president-sefcovic-signs-agreement-between-greece-european-investment-bank-and-2024-11-21_en" TargetMode="External"/><Relationship Id="rId67" Type="http://schemas.openxmlformats.org/officeDocument/2006/relationships/hyperlink" Target="https://eur-lex.europa.eu/legal-content/PT/TXT/?uri=CELEX:32023D0136" TargetMode="External"/><Relationship Id="rId20" Type="http://schemas.openxmlformats.org/officeDocument/2006/relationships/hyperlink" Target="https://eur-lex.europa.eu/eli/reg/2023/956/oj" TargetMode="External"/><Relationship Id="rId41" Type="http://schemas.openxmlformats.org/officeDocument/2006/relationships/hyperlink" Target="https://eur-lex.europa.eu/legal-content/PT/TXT/?uri=CELEX%3A02014R0600-20240328" TargetMode="External"/><Relationship Id="rId54" Type="http://schemas.openxmlformats.org/officeDocument/2006/relationships/hyperlink" Target="https://www.eib.org/en/products/mandates-partnerships/innovation-fund/index.htm" TargetMode="External"/><Relationship Id="rId62" Type="http://schemas.openxmlformats.org/officeDocument/2006/relationships/hyperlink" Target="https://eur-lex.europa.eu/legal-content/PT/TXT/?uri=CELEX%3A32023L0958" TargetMode="External"/><Relationship Id="rId70" Type="http://schemas.openxmlformats.org/officeDocument/2006/relationships/hyperlink" Target="https://eur-lex.europa.eu/legal-content/PT/TXT/?uri=CELEX%3A32024R1879&amp;qid=1722504757152" TargetMode="External"/><Relationship Id="rId75" Type="http://schemas.openxmlformats.org/officeDocument/2006/relationships/hyperlink" Target="Comunica&#231;&#227;o%20C/2025/3186" TargetMode="External"/><Relationship Id="rId83" Type="http://schemas.openxmlformats.org/officeDocument/2006/relationships/hyperlink" Target="http://data.europa.eu/eli/reg_impl/2025/1192/oj" TargetMode="External"/><Relationship Id="rId88" Type="http://schemas.openxmlformats.org/officeDocument/2006/relationships/hyperlink" Target="https://eur-lex.europa.eu/legal-content/PT/TXT/?uri=OJ%3AJOL_2023_231_R_0001&amp;qid=1695186598766" TargetMode="External"/><Relationship Id="rId91" Type="http://schemas.openxmlformats.org/officeDocument/2006/relationships/hyperlink" Target="https://commission.europa.eu/publications/commission-staff-working-document-delivering-unions-2030-energy-and-climate-objectives_en" TargetMode="External"/><Relationship Id="rId1" Type="http://schemas.openxmlformats.org/officeDocument/2006/relationships/hyperlink" Target="https://www.eea.europa.eu/data-and-maps/dashboards/emissions-trading-viewer-1" TargetMode="External"/><Relationship Id="rId6" Type="http://schemas.openxmlformats.org/officeDocument/2006/relationships/hyperlink" Target="https://climate.ec.europa.eu/news-other-reads/news/new-study-provides-toolbox-early-decarbonisation-ets2-sectors-2025-09-09_en" TargetMode="External"/><Relationship Id="rId15" Type="http://schemas.openxmlformats.org/officeDocument/2006/relationships/hyperlink" Target="https://climate.ec.europa.eu/eu-action/eu-emissions-trading-system-eu-ets/auctioning_pt" TargetMode="External"/><Relationship Id="rId23" Type="http://schemas.openxmlformats.org/officeDocument/2006/relationships/hyperlink" Target="https://climate.ec.europa.eu/news-your-voice/news/market-stability-reserve-under-eu-emissions-trading-system-reduce-auction-volume-276-million-2025-05-28_en" TargetMode="External"/><Relationship Id="rId28" Type="http://schemas.openxmlformats.org/officeDocument/2006/relationships/hyperlink" Target="https://www.esma.europa.eu/sites/default/files/mar.pdf" TargetMode="External"/><Relationship Id="rId36" Type="http://schemas.openxmlformats.org/officeDocument/2006/relationships/hyperlink" Target="https://eur-lex.europa.eu/legal-content/PT/TXT/?uri=OJ:L_202400790" TargetMode="External"/><Relationship Id="rId49" Type="http://schemas.openxmlformats.org/officeDocument/2006/relationships/hyperlink" Target="https://reportnet.europa.eu/public/dataflow/1527" TargetMode="External"/><Relationship Id="rId57" Type="http://schemas.openxmlformats.org/officeDocument/2006/relationships/hyperlink" Target="https://climate.ec.europa.eu/document/download/dd3c417c-fc64-4e25-82c0-49af24383334_pt?filename=c_2024_4190_pt.pdf" TargetMode="External"/><Relationship Id="rId10" Type="http://schemas.openxmlformats.org/officeDocument/2006/relationships/hyperlink" Target="http://data.europa.eu/eli/dec/2024/1797/oj" TargetMode="External"/><Relationship Id="rId31" Type="http://schemas.openxmlformats.org/officeDocument/2006/relationships/hyperlink" Target="https://www.esma.europa.eu/sites/default/files/2024-10/ESMA50-43599798-10379_Carbon_markets_report_2024.pdf" TargetMode="External"/><Relationship Id="rId44" Type="http://schemas.openxmlformats.org/officeDocument/2006/relationships/hyperlink" Target="https://finance.ec.europa.eu/regulation-and-supervision/consultations-0/targeted-consultation-review-functioning-commodity-derivatives-markets-and-certain-aspects-relating_en" TargetMode="External"/><Relationship Id="rId52" Type="http://schemas.openxmlformats.org/officeDocument/2006/relationships/hyperlink" Target="https://data.europa.eu/doi/10.2834/6564729" TargetMode="External"/><Relationship Id="rId60" Type="http://schemas.openxmlformats.org/officeDocument/2006/relationships/hyperlink" Target="https://eur-lex.europa.eu/legal-content/PT/TXT/?uri=CELEX:32013D0377" TargetMode="External"/><Relationship Id="rId65" Type="http://schemas.openxmlformats.org/officeDocument/2006/relationships/hyperlink" Target="https://www.icao.int/environmental&#8208;protection/CORSIA/Pages/CCR.aspx" TargetMode="External"/><Relationship Id="rId73" Type="http://schemas.openxmlformats.org/officeDocument/2006/relationships/hyperlink" Target="https://eur-lex.europa.eu/eli/reg_del/2025/723/oj/por" TargetMode="External"/><Relationship Id="rId78" Type="http://schemas.openxmlformats.org/officeDocument/2006/relationships/hyperlink" Target="http://data.europa.eu/eli/C/2025/5004/oj" TargetMode="External"/><Relationship Id="rId81" Type="http://schemas.openxmlformats.org/officeDocument/2006/relationships/hyperlink" Target="https://eur-lex.europa.eu/legal-content/PT/TXT/?uri=CELEX:02018R2067-20250622" TargetMode="External"/><Relationship Id="rId86" Type="http://schemas.openxmlformats.org/officeDocument/2006/relationships/hyperlink" Target="https://climate.ec.europa.eu/eu-action/eu-emissions-trading-system-eu-ets/ets2-buildings-road-transport-and-additional-sectors_pt" TargetMode="External"/><Relationship Id="rId94" Type="http://schemas.openxmlformats.org/officeDocument/2006/relationships/hyperlink" Target="https://climate.ec.europa.eu/eu-action/climate-strategies-targets/progress-climate-action/eu-climate-action-progress-report-2025_en" TargetMode="External"/><Relationship Id="rId4" Type="http://schemas.openxmlformats.org/officeDocument/2006/relationships/hyperlink" Target="https://eur-lex.europa.eu/legal-content/PT/TXT/?uri=celex%3A32003L0087" TargetMode="External"/><Relationship Id="rId9" Type="http://schemas.openxmlformats.org/officeDocument/2006/relationships/hyperlink" Target="https://eur-lex.europa.eu/legal-content/PT/TXT/?uri=CELEX:32024D1797"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eceuropaeu.sharepoint.com/teams/GRP-PRO-DG-CLIMA-Unit-B1/B1_Shared%20Documents/02%20-%20ETS%201%20and%20ETS%202%20Issues/203%20-%20Carbon%20Market%20Report/CMR%202025/2_CMR%202025_Data/CMR%202025%20-%20source%20files%20for%20DGT/CMR%202025%20-%20Figur"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https://eceuropaeu.sharepoint.com/teams/GRP-PRO-DG-CLIMA-Unit-B1/B1_Shared%20Documents/02%20-%20ETS%201%20and%20ETS%202%20Issues/203%20-%20Carbon%20Market%20Report/CMR%202025/2_CMR%202025_Data/CMR%202025%20-%20source%20files%20for%20DGT/CMR%202025%20-%20Figur"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eceuropaeu.sharepoint.com/teams/GRP-PRO-DG-CLIMA-Unit-B1/B1_Shared%20Documents/02%20-%20ETS%201%20and%20ETS%202%20Issues/203%20-%20Carbon%20Market%20Report/CMR%202025/2_CMR%202025_Data/CMR%202025%20-%20source%20files%20for%20DGT/CMR%202025%20-%20Figur"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eceuropaeu.sharepoint.com/teams/GRP-PRO-DG-CLIMA-Unit-B1/B1_Shared%20Documents/02%20-%20ETS%201%20and%20ETS%202%20Issues/203%20-%20Carbon%20Market%20Report/CMR%202025/2_CMR%202025_Data/CMR%202025%20-%20source%20files%20for%20DGT/CMR%202025%20-%20Figur"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8786007217847769E-2"/>
          <c:y val="5.5527468903054607E-2"/>
          <c:w val="0.94105817755516186"/>
          <c:h val="0.85524542765487643"/>
        </c:manualLayout>
      </c:layout>
      <c:barChart>
        <c:barDir val="col"/>
        <c:grouping val="stacked"/>
        <c:varyColors val="0"/>
        <c:ser>
          <c:idx val="1"/>
          <c:order val="1"/>
          <c:tx>
            <c:strRef>
              <c:f>'[CMR 2025 - Figure 1 (use sheet Figure 1 for CMR).xlsx]Figure 1 - source data'!$C$5</c:f>
              <c:strCache>
                <c:ptCount val="1"/>
                <c:pt idx="0">
                  <c:v>cap</c:v>
                </c:pt>
              </c:strCache>
            </c:strRef>
          </c:tx>
          <c:spPr>
            <a:solidFill>
              <a:schemeClr val="accent2"/>
            </a:solidFill>
            <a:ln>
              <a:noFill/>
            </a:ln>
            <a:effectLst/>
          </c:spPr>
          <c:invertIfNegative val="0"/>
          <c:dPt>
            <c:idx val="0"/>
            <c:invertIfNegative val="0"/>
            <c:bubble3D val="0"/>
            <c:spPr>
              <a:solidFill>
                <a:schemeClr val="accent3">
                  <a:lumMod val="5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1-F10E-4F71-BF14-E3F3CB9B2779}"/>
              </c:ext>
            </c:extLst>
          </c:dPt>
          <c:dPt>
            <c:idx val="1"/>
            <c:invertIfNegative val="0"/>
            <c:bubble3D val="0"/>
            <c:spPr>
              <a:solidFill>
                <a:schemeClr val="accent3">
                  <a:lumMod val="5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3-F10E-4F71-BF14-E3F3CB9B2779}"/>
              </c:ext>
            </c:extLst>
          </c:dPt>
          <c:dPt>
            <c:idx val="2"/>
            <c:invertIfNegative val="0"/>
            <c:bubble3D val="0"/>
            <c:spPr>
              <a:solidFill>
                <a:schemeClr val="accent3">
                  <a:lumMod val="5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5-F10E-4F71-BF14-E3F3CB9B2779}"/>
              </c:ext>
            </c:extLst>
          </c:dPt>
          <c:dPt>
            <c:idx val="3"/>
            <c:invertIfNegative val="0"/>
            <c:bubble3D val="0"/>
            <c:spPr>
              <a:solidFill>
                <a:schemeClr val="accent2">
                  <a:lumMod val="75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7-F10E-4F71-BF14-E3F3CB9B2779}"/>
              </c:ext>
            </c:extLst>
          </c:dPt>
          <c:dPt>
            <c:idx val="4"/>
            <c:invertIfNegative val="0"/>
            <c:bubble3D val="0"/>
            <c:spPr>
              <a:solidFill>
                <a:schemeClr val="accent2">
                  <a:lumMod val="75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9-F10E-4F71-BF14-E3F3CB9B2779}"/>
              </c:ext>
            </c:extLst>
          </c:dPt>
          <c:dPt>
            <c:idx val="5"/>
            <c:invertIfNegative val="0"/>
            <c:bubble3D val="0"/>
            <c:spPr>
              <a:solidFill>
                <a:schemeClr val="accent2">
                  <a:lumMod val="75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B-F10E-4F71-BF14-E3F3CB9B2779}"/>
              </c:ext>
            </c:extLst>
          </c:dPt>
          <c:dPt>
            <c:idx val="6"/>
            <c:invertIfNegative val="0"/>
            <c:bubble3D val="0"/>
            <c:spPr>
              <a:solidFill>
                <a:schemeClr val="accent2">
                  <a:lumMod val="75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D-F10E-4F71-BF14-E3F3CB9B2779}"/>
              </c:ext>
            </c:extLst>
          </c:dPt>
          <c:dPt>
            <c:idx val="7"/>
            <c:invertIfNegative val="0"/>
            <c:bubble3D val="0"/>
            <c:spPr>
              <a:solidFill>
                <a:schemeClr val="accent2">
                  <a:lumMod val="75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F-F10E-4F71-BF14-E3F3CB9B2779}"/>
              </c:ext>
            </c:extLst>
          </c:dPt>
          <c:dPt>
            <c:idx val="8"/>
            <c:invertIfNegative val="0"/>
            <c:bubble3D val="0"/>
            <c:spPr>
              <a:solidFill>
                <a:schemeClr val="accent6"/>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11-F10E-4F71-BF14-E3F3CB9B2779}"/>
              </c:ext>
            </c:extLst>
          </c:dPt>
          <c:dPt>
            <c:idx val="9"/>
            <c:invertIfNegative val="0"/>
            <c:bubble3D val="0"/>
            <c:spPr>
              <a:solidFill>
                <a:schemeClr val="accent6"/>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13-F10E-4F71-BF14-E3F3CB9B2779}"/>
              </c:ext>
            </c:extLst>
          </c:dPt>
          <c:dPt>
            <c:idx val="10"/>
            <c:invertIfNegative val="0"/>
            <c:bubble3D val="0"/>
            <c:spPr>
              <a:solidFill>
                <a:schemeClr val="accent6"/>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15-F10E-4F71-BF14-E3F3CB9B2779}"/>
              </c:ext>
            </c:extLst>
          </c:dPt>
          <c:dPt>
            <c:idx val="11"/>
            <c:invertIfNegative val="0"/>
            <c:bubble3D val="0"/>
            <c:spPr>
              <a:solidFill>
                <a:schemeClr val="accent6"/>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17-F10E-4F71-BF14-E3F3CB9B2779}"/>
              </c:ext>
            </c:extLst>
          </c:dPt>
          <c:dPt>
            <c:idx val="12"/>
            <c:invertIfNegative val="0"/>
            <c:bubble3D val="0"/>
            <c:spPr>
              <a:solidFill>
                <a:schemeClr val="accent6"/>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19-F10E-4F71-BF14-E3F3CB9B2779}"/>
              </c:ext>
            </c:extLst>
          </c:dPt>
          <c:dPt>
            <c:idx val="13"/>
            <c:invertIfNegative val="0"/>
            <c:bubble3D val="0"/>
            <c:spPr>
              <a:solidFill>
                <a:schemeClr val="accent6"/>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1B-F10E-4F71-BF14-E3F3CB9B2779}"/>
              </c:ext>
            </c:extLst>
          </c:dPt>
          <c:dPt>
            <c:idx val="14"/>
            <c:invertIfNegative val="0"/>
            <c:bubble3D val="0"/>
            <c:spPr>
              <a:solidFill>
                <a:schemeClr val="accent6"/>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1D-F10E-4F71-BF14-E3F3CB9B2779}"/>
              </c:ext>
            </c:extLst>
          </c:dPt>
          <c:dPt>
            <c:idx val="15"/>
            <c:invertIfNegative val="0"/>
            <c:bubble3D val="0"/>
            <c:spPr>
              <a:solidFill>
                <a:schemeClr val="accent6"/>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1F-F10E-4F71-BF14-E3F3CB9B2779}"/>
              </c:ext>
            </c:extLst>
          </c:dPt>
          <c:dPt>
            <c:idx val="16"/>
            <c:invertIfNegative val="0"/>
            <c:bubble3D val="0"/>
            <c:spPr>
              <a:solidFill>
                <a:schemeClr val="accent1">
                  <a:lumMod val="60000"/>
                  <a:lumOff val="4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21-F10E-4F71-BF14-E3F3CB9B2779}"/>
              </c:ext>
            </c:extLst>
          </c:dPt>
          <c:dPt>
            <c:idx val="17"/>
            <c:invertIfNegative val="0"/>
            <c:bubble3D val="0"/>
            <c:spPr>
              <a:solidFill>
                <a:schemeClr val="accent1">
                  <a:lumMod val="60000"/>
                  <a:lumOff val="4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23-F10E-4F71-BF14-E3F3CB9B2779}"/>
              </c:ext>
            </c:extLst>
          </c:dPt>
          <c:dPt>
            <c:idx val="18"/>
            <c:invertIfNegative val="0"/>
            <c:bubble3D val="0"/>
            <c:spPr>
              <a:solidFill>
                <a:schemeClr val="accent1">
                  <a:lumMod val="60000"/>
                  <a:lumOff val="4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25-F10E-4F71-BF14-E3F3CB9B2779}"/>
              </c:ext>
            </c:extLst>
          </c:dPt>
          <c:dPt>
            <c:idx val="19"/>
            <c:invertIfNegative val="0"/>
            <c:bubble3D val="0"/>
            <c:spPr>
              <a:solidFill>
                <a:schemeClr val="accent1">
                  <a:lumMod val="60000"/>
                  <a:lumOff val="4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27-F10E-4F71-BF14-E3F3CB9B2779}"/>
              </c:ext>
            </c:extLst>
          </c:dPt>
          <c:dPt>
            <c:idx val="20"/>
            <c:invertIfNegative val="0"/>
            <c:bubble3D val="0"/>
            <c:spPr>
              <a:solidFill>
                <a:schemeClr val="accent1">
                  <a:lumMod val="60000"/>
                  <a:lumOff val="4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29-F10E-4F71-BF14-E3F3CB9B2779}"/>
              </c:ext>
            </c:extLst>
          </c:dPt>
          <c:dPt>
            <c:idx val="21"/>
            <c:invertIfNegative val="0"/>
            <c:bubble3D val="0"/>
            <c:spPr>
              <a:solidFill>
                <a:schemeClr val="accent1">
                  <a:lumMod val="60000"/>
                  <a:lumOff val="4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2B-F10E-4F71-BF14-E3F3CB9B2779}"/>
              </c:ext>
            </c:extLst>
          </c:dPt>
          <c:dPt>
            <c:idx val="22"/>
            <c:invertIfNegative val="0"/>
            <c:bubble3D val="0"/>
            <c:spPr>
              <a:solidFill>
                <a:schemeClr val="accent1">
                  <a:lumMod val="60000"/>
                  <a:lumOff val="4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2D-F10E-4F71-BF14-E3F3CB9B2779}"/>
              </c:ext>
            </c:extLst>
          </c:dPt>
          <c:dPt>
            <c:idx val="23"/>
            <c:invertIfNegative val="0"/>
            <c:bubble3D val="0"/>
            <c:spPr>
              <a:solidFill>
                <a:schemeClr val="accent1">
                  <a:lumMod val="60000"/>
                  <a:lumOff val="4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2F-F10E-4F71-BF14-E3F3CB9B2779}"/>
              </c:ext>
            </c:extLst>
          </c:dPt>
          <c:dPt>
            <c:idx val="24"/>
            <c:invertIfNegative val="0"/>
            <c:bubble3D val="0"/>
            <c:spPr>
              <a:solidFill>
                <a:schemeClr val="accent1">
                  <a:lumMod val="60000"/>
                  <a:lumOff val="4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31-F10E-4F71-BF14-E3F3CB9B2779}"/>
              </c:ext>
            </c:extLst>
          </c:dPt>
          <c:dPt>
            <c:idx val="25"/>
            <c:invertIfNegative val="0"/>
            <c:bubble3D val="0"/>
            <c:spPr>
              <a:solidFill>
                <a:schemeClr val="accent1">
                  <a:lumMod val="60000"/>
                  <a:lumOff val="4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33-F10E-4F71-BF14-E3F3CB9B2779}"/>
              </c:ext>
            </c:extLst>
          </c:dPt>
          <c:cat>
            <c:numRef>
              <c:f>'[CMR 2025 - Figure 1 (use sheet Figure 1 for CMR).xlsx]Figure 1 - source data'!$A$6:$A$31</c:f>
              <c:numCache>
                <c:formatCode>General</c:formatCode>
                <c:ptCount val="26"/>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pt idx="21">
                  <c:v>2026</c:v>
                </c:pt>
                <c:pt idx="22">
                  <c:v>2027</c:v>
                </c:pt>
                <c:pt idx="23">
                  <c:v>2028</c:v>
                </c:pt>
                <c:pt idx="24">
                  <c:v>2029</c:v>
                </c:pt>
                <c:pt idx="25">
                  <c:v>2030</c:v>
                </c:pt>
              </c:numCache>
            </c:numRef>
          </c:cat>
          <c:val>
            <c:numRef>
              <c:f>'[CMR 2025 - Figure 1 (use sheet Figure 1 for CMR).xlsx]Figure 1 - source data'!$H$6:$H$31</c:f>
              <c:numCache>
                <c:formatCode>_-* #,##0_-;\-* #,##0_-;_-* "-"??_-;_-@_-</c:formatCode>
                <c:ptCount val="26"/>
                <c:pt idx="0">
                  <c:v>2115</c:v>
                </c:pt>
                <c:pt idx="1">
                  <c:v>2137</c:v>
                </c:pt>
                <c:pt idx="2">
                  <c:v>2273</c:v>
                </c:pt>
                <c:pt idx="3">
                  <c:v>2278</c:v>
                </c:pt>
                <c:pt idx="4">
                  <c:v>2238</c:v>
                </c:pt>
                <c:pt idx="5">
                  <c:v>2199</c:v>
                </c:pt>
                <c:pt idx="6">
                  <c:v>2161</c:v>
                </c:pt>
                <c:pt idx="7">
                  <c:v>2123</c:v>
                </c:pt>
                <c:pt idx="8">
                  <c:v>2084</c:v>
                </c:pt>
                <c:pt idx="9">
                  <c:v>1646</c:v>
                </c:pt>
                <c:pt idx="10">
                  <c:v>1708</c:v>
                </c:pt>
                <c:pt idx="11">
                  <c:v>1770</c:v>
                </c:pt>
                <c:pt idx="12">
                  <c:v>1931</c:v>
                </c:pt>
                <c:pt idx="13">
                  <c:v>1893</c:v>
                </c:pt>
                <c:pt idx="14">
                  <c:v>1457.875278</c:v>
                </c:pt>
                <c:pt idx="15">
                  <c:v>1440.3747346666667</c:v>
                </c:pt>
                <c:pt idx="16">
                  <c:v>1240.5891939200001</c:v>
                </c:pt>
                <c:pt idx="17">
                  <c:v>1160.4592771733332</c:v>
                </c:pt>
                <c:pt idx="18">
                  <c:v>1163.3421516266667</c:v>
                </c:pt>
                <c:pt idx="19">
                  <c:v>1040.9658252232887</c:v>
                </c:pt>
                <c:pt idx="20">
                  <c:v>957.62199993991078</c:v>
                </c:pt>
                <c:pt idx="21">
                  <c:v>932.71915496531165</c:v>
                </c:pt>
                <c:pt idx="22">
                  <c:v>1032.1267654924161</c:v>
                </c:pt>
                <c:pt idx="23">
                  <c:v>946.31041564418206</c:v>
                </c:pt>
                <c:pt idx="24">
                  <c:v>860.4940657959479</c:v>
                </c:pt>
                <c:pt idx="25">
                  <c:v>773.67771594771375</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34-F10E-4F71-BF14-E3F3CB9B2779}"/>
            </c:ext>
          </c:extLst>
        </c:ser>
        <c:ser>
          <c:idx val="2"/>
          <c:order val="2"/>
          <c:spPr>
            <a:solidFill>
              <a:schemeClr val="accent6">
                <a:lumMod val="40000"/>
                <a:lumOff val="60000"/>
              </a:schemeClr>
            </a:solidFill>
            <a:ln>
              <a:noFill/>
            </a:ln>
            <a:effectLst/>
          </c:spPr>
          <c:invertIfNegative val="0"/>
          <c:dPt>
            <c:idx val="16"/>
            <c:invertIfNegative val="0"/>
            <c:bubble3D val="0"/>
            <c:spPr>
              <a:solidFill>
                <a:schemeClr val="accent1">
                  <a:lumMod val="20000"/>
                  <a:lumOff val="8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36-F10E-4F71-BF14-E3F3CB9B2779}"/>
              </c:ext>
            </c:extLst>
          </c:dPt>
          <c:dPt>
            <c:idx val="17"/>
            <c:invertIfNegative val="0"/>
            <c:bubble3D val="0"/>
            <c:spPr>
              <a:solidFill>
                <a:schemeClr val="accent1">
                  <a:lumMod val="20000"/>
                  <a:lumOff val="8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38-F10E-4F71-BF14-E3F3CB9B2779}"/>
              </c:ext>
            </c:extLst>
          </c:dPt>
          <c:dPt>
            <c:idx val="18"/>
            <c:invertIfNegative val="0"/>
            <c:bubble3D val="0"/>
            <c:spPr>
              <a:solidFill>
                <a:schemeClr val="accent1">
                  <a:lumMod val="20000"/>
                  <a:lumOff val="8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3A-F10E-4F71-BF14-E3F3CB9B2779}"/>
              </c:ext>
            </c:extLst>
          </c:dPt>
          <c:dPt>
            <c:idx val="19"/>
            <c:invertIfNegative val="0"/>
            <c:bubble3D val="0"/>
            <c:spPr>
              <a:solidFill>
                <a:schemeClr val="accent1">
                  <a:lumMod val="20000"/>
                  <a:lumOff val="8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3C-F10E-4F71-BF14-E3F3CB9B2779}"/>
              </c:ext>
            </c:extLst>
          </c:dPt>
          <c:dPt>
            <c:idx val="20"/>
            <c:invertIfNegative val="0"/>
            <c:bubble3D val="0"/>
            <c:spPr>
              <a:solidFill>
                <a:schemeClr val="accent1">
                  <a:lumMod val="20000"/>
                  <a:lumOff val="8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3E-F10E-4F71-BF14-E3F3CB9B2779}"/>
              </c:ext>
            </c:extLst>
          </c:dPt>
          <c:dPt>
            <c:idx val="21"/>
            <c:invertIfNegative val="0"/>
            <c:bubble3D val="0"/>
            <c:spPr>
              <a:solidFill>
                <a:schemeClr val="accent5">
                  <a:lumMod val="20000"/>
                  <a:lumOff val="8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40-F10E-4F71-BF14-E3F3CB9B2779}"/>
              </c:ext>
            </c:extLst>
          </c:dPt>
          <c:val>
            <c:numRef>
              <c:f>'[CMR 2025 - Figure 1 (use sheet Figure 1 for CMR).xlsx]Figure 1 - source data'!$F$6:$F$31</c:f>
              <c:numCache>
                <c:formatCode>_-* #,##0_-;\-* #,##0_-;_-* "-"??_-;_-@_-</c:formatCode>
                <c:ptCount val="26"/>
                <c:pt idx="0">
                  <c:v>0</c:v>
                </c:pt>
                <c:pt idx="1">
                  <c:v>0</c:v>
                </c:pt>
                <c:pt idx="2">
                  <c:v>0</c:v>
                </c:pt>
                <c:pt idx="3">
                  <c:v>0</c:v>
                </c:pt>
                <c:pt idx="4">
                  <c:v>0</c:v>
                </c:pt>
                <c:pt idx="5">
                  <c:v>0</c:v>
                </c:pt>
                <c:pt idx="6">
                  <c:v>0</c:v>
                </c:pt>
                <c:pt idx="7">
                  <c:v>0</c:v>
                </c:pt>
                <c:pt idx="8">
                  <c:v>0</c:v>
                </c:pt>
                <c:pt idx="9">
                  <c:v>400</c:v>
                </c:pt>
                <c:pt idx="10">
                  <c:v>300</c:v>
                </c:pt>
                <c:pt idx="11">
                  <c:v>200</c:v>
                </c:pt>
                <c:pt idx="12">
                  <c:v>0</c:v>
                </c:pt>
                <c:pt idx="13">
                  <c:v>0</c:v>
                </c:pt>
                <c:pt idx="14">
                  <c:v>397.12472200000002</c:v>
                </c:pt>
                <c:pt idx="15">
                  <c:v>375.62526533333329</c:v>
                </c:pt>
                <c:pt idx="16">
                  <c:v>331.41080607999999</c:v>
                </c:pt>
                <c:pt idx="17">
                  <c:v>368.54072282666664</c:v>
                </c:pt>
                <c:pt idx="18">
                  <c:v>322.65784837333331</c:v>
                </c:pt>
                <c:pt idx="19">
                  <c:v>270.50608088000001</c:v>
                </c:pt>
                <c:pt idx="20">
                  <c:v>269.72181226666663</c:v>
                </c:pt>
                <c:pt idx="21">
                  <c:v>183.68793333333332</c:v>
                </c:pt>
                <c:pt idx="22" formatCode="General">
                  <c:v>0</c:v>
                </c:pt>
                <c:pt idx="23" formatCode="General">
                  <c:v>0</c:v>
                </c:pt>
                <c:pt idx="24" formatCode="General">
                  <c:v>0</c:v>
                </c:pt>
                <c:pt idx="25" formatCode="General">
                  <c:v>0</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41-F10E-4F71-BF14-E3F3CB9B2779}"/>
            </c:ext>
          </c:extLst>
        </c:ser>
        <c:ser>
          <c:idx val="3"/>
          <c:order val="3"/>
          <c:tx>
            <c:strRef>
              <c:f>'[CMR 2025 - Figure 1 (use sheet Figure 1 for CMR).xlsx]Figure 1 - source data'!$G$5</c:f>
              <c:strCache>
                <c:ptCount val="1"/>
                <c:pt idx="0">
                  <c:v>Maritime scope extension</c:v>
                </c:pt>
              </c:strCache>
            </c:strRef>
          </c:tx>
          <c:spPr>
            <a:solidFill>
              <a:schemeClr val="accent1">
                <a:lumMod val="75000"/>
              </a:schemeClr>
            </a:solidFill>
            <a:ln>
              <a:noFill/>
            </a:ln>
            <a:effectLst/>
          </c:spPr>
          <c:invertIfNegative val="0"/>
          <c:val>
            <c:numRef>
              <c:f>'[CMR 2025 - Figure 1 (use sheet Figure 1 for CMR).xlsx]Figure 1 - source data'!$G$6:$G$31</c:f>
              <c:numCache>
                <c:formatCode>General</c:formatCode>
                <c:ptCount val="26"/>
                <c:pt idx="19" formatCode="_-* #,##0_-;\-* #,##0_-;_-* &quot;-&quot;??_-;_-@_-">
                  <c:v>74.528093896711326</c:v>
                </c:pt>
                <c:pt idx="20" formatCode="_-* #,##0_-;\-* #,##0_-;_-* &quot;-&quot;??_-;_-@_-">
                  <c:v>70.656187793422646</c:v>
                </c:pt>
                <c:pt idx="21" formatCode="_-* #,##0_-;\-* #,##0_-;_-* &quot;-&quot;??_-;_-@_-">
                  <c:v>68.592911701355021</c:v>
                </c:pt>
                <c:pt idx="22" formatCode="_-* #,##0_-;\-* #,##0_-;_-* &quot;-&quot;??_-;_-@_-">
                  <c:v>67.873234507583845</c:v>
                </c:pt>
                <c:pt idx="23" formatCode="_-* #,##0_-;\-* #,##0_-;_-* &quot;-&quot;??_-;_-@_-">
                  <c:v>63.689584355817978</c:v>
                </c:pt>
                <c:pt idx="24" formatCode="_-* #,##0_-;\-* #,##0_-;_-* &quot;-&quot;??_-;_-@_-">
                  <c:v>59.505934204052124</c:v>
                </c:pt>
                <c:pt idx="25" formatCode="_-* #,##0_-;\-* #,##0_-;_-* &quot;-&quot;??_-;_-@_-">
                  <c:v>55.322284052286271</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42-F10E-4F71-BF14-E3F3CB9B2779}"/>
            </c:ext>
          </c:extLst>
        </c:ser>
        <c:dLbls>
          <c:showLegendKey val="0"/>
          <c:showVal val="0"/>
          <c:showCatName val="0"/>
          <c:showSerName val="0"/>
          <c:showPercent val="0"/>
          <c:showBubbleSize val="0"/>
        </c:dLbls>
        <c:gapWidth val="150"/>
        <c:overlap val="100"/>
        <c:axId val="678107456"/>
        <c:axId val="678106144"/>
      </c:barChart>
      <c:lineChart>
        <c:grouping val="standard"/>
        <c:varyColors val="0"/>
        <c:ser>
          <c:idx val="0"/>
          <c:order val="0"/>
          <c:tx>
            <c:strRef>
              <c:f>'[CMR 2025 - Figure 1 (use sheet Figure 1 for CMR).xlsx]Figure 1 - source data'!$B$5</c:f>
              <c:strCache>
                <c:ptCount val="1"/>
                <c:pt idx="0">
                  <c:v>emissions</c:v>
                </c:pt>
              </c:strCache>
            </c:strRef>
          </c:tx>
          <c:spPr>
            <a:ln w="28575" cap="rnd">
              <a:solidFill>
                <a:schemeClr val="accent1"/>
              </a:solidFill>
              <a:prstDash val="sysDash"/>
              <a:round/>
            </a:ln>
            <a:effectLst/>
          </c:spPr>
          <c:marker>
            <c:symbol val="none"/>
          </c:marker>
          <c:cat>
            <c:numRef>
              <c:f>'[CMR 2025 - Figure 1 (use sheet Figure 1 for CMR).xlsx]Figure 1 - source data'!$A$6:$A$31</c:f>
              <c:numCache>
                <c:formatCode>General</c:formatCode>
                <c:ptCount val="26"/>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pt idx="21">
                  <c:v>2026</c:v>
                </c:pt>
                <c:pt idx="22">
                  <c:v>2027</c:v>
                </c:pt>
                <c:pt idx="23">
                  <c:v>2028</c:v>
                </c:pt>
                <c:pt idx="24">
                  <c:v>2029</c:v>
                </c:pt>
                <c:pt idx="25">
                  <c:v>2030</c:v>
                </c:pt>
              </c:numCache>
            </c:numRef>
          </c:cat>
          <c:val>
            <c:numRef>
              <c:f>'[CMR 2025 - Figure 1 (use sheet Figure 1 for CMR).xlsx]Figure 1 - source data'!$B$6:$B$31</c:f>
              <c:numCache>
                <c:formatCode>_-* #,##0_-;\-* #,##0_-;_-* "-"??_-;_-@_-</c:formatCode>
                <c:ptCount val="26"/>
                <c:pt idx="0">
                  <c:v>2369</c:v>
                </c:pt>
                <c:pt idx="1">
                  <c:v>2375</c:v>
                </c:pt>
                <c:pt idx="2">
                  <c:v>2399</c:v>
                </c:pt>
                <c:pt idx="3">
                  <c:v>2259</c:v>
                </c:pt>
                <c:pt idx="4">
                  <c:v>2002</c:v>
                </c:pt>
                <c:pt idx="5">
                  <c:v>2052</c:v>
                </c:pt>
                <c:pt idx="6">
                  <c:v>2011</c:v>
                </c:pt>
                <c:pt idx="7">
                  <c:v>1970</c:v>
                </c:pt>
                <c:pt idx="8" formatCode="_-* #,##0.0_-;\-* #,##0.0_-;_-* &quot;-&quot;??_-;_-@_-">
                  <c:v>1908.133628</c:v>
                </c:pt>
                <c:pt idx="9" formatCode="_-* #,##0.0_-;\-* #,##0.0_-;_-* &quot;-&quot;??_-;_-@_-">
                  <c:v>1813.7988190000001</c:v>
                </c:pt>
                <c:pt idx="10" formatCode="_-* #,##0.0_-;\-* #,##0.0_-;_-* &quot;-&quot;??_-;_-@_-">
                  <c:v>1803.106315</c:v>
                </c:pt>
                <c:pt idx="11" formatCode="_-* #,##0.0_-;\-* #,##0.0_-;_-* &quot;-&quot;??_-;_-@_-">
                  <c:v>1750.56259</c:v>
                </c:pt>
                <c:pt idx="12" formatCode="_-* #,##0.0_-;\-* #,##0.0_-;_-* &quot;-&quot;??_-;_-@_-">
                  <c:v>1754.7305630000001</c:v>
                </c:pt>
                <c:pt idx="13" formatCode="_-* #,##0.0_-;\-* #,##0.0_-;_-* &quot;-&quot;??_-;_-@_-">
                  <c:v>1683.108099</c:v>
                </c:pt>
                <c:pt idx="14" formatCode="_-* #,##0.0_-;\-* #,##0.0_-;_-* &quot;-&quot;??_-;_-@_-">
                  <c:v>1530.23083</c:v>
                </c:pt>
                <c:pt idx="15" formatCode="_-* #,##0.0_-;\-* #,##0.0_-;_-* &quot;-&quot;??_-;_-@_-">
                  <c:v>1355.1419530000001</c:v>
                </c:pt>
                <c:pt idx="16" formatCode="_-* #,##0.0_-;\-* #,##0.0_-;_-* &quot;-&quot;??_-;_-@_-">
                  <c:v>1335.4604609999999</c:v>
                </c:pt>
                <c:pt idx="17" formatCode="_-* #,##0.0_-;\-* #,##0.0_-;_-* &quot;-&quot;??_-;_-@_-">
                  <c:v>1312.575855</c:v>
                </c:pt>
                <c:pt idx="18" formatCode="_-* #,##0.0_-;\-* #,##0.0_-;_-* &quot;-&quot;??_-;_-@_-">
                  <c:v>1096.845969</c:v>
                </c:pt>
                <c:pt idx="19" formatCode="_-* #,##0.0_-;\-* #,##0.0_-;_-* &quot;-&quot;??_-;_-@_-">
                  <c:v>1091.8</c:v>
                </c:pt>
              </c:numCache>
            </c:numRef>
          </c:val>
          <c:smooth val="0"/>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43-F10E-4F71-BF14-E3F3CB9B2779}"/>
            </c:ext>
          </c:extLst>
        </c:ser>
        <c:dLbls>
          <c:showLegendKey val="0"/>
          <c:showVal val="0"/>
          <c:showCatName val="0"/>
          <c:showSerName val="0"/>
          <c:showPercent val="0"/>
          <c:showBubbleSize val="0"/>
        </c:dLbls>
        <c:marker val="1"/>
        <c:smooth val="0"/>
        <c:axId val="678107456"/>
        <c:axId val="678106144"/>
      </c:lineChart>
      <c:catAx>
        <c:axId val="678107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78106144"/>
        <c:crosses val="autoZero"/>
        <c:auto val="1"/>
        <c:lblAlgn val="ctr"/>
        <c:lblOffset val="100"/>
        <c:noMultiLvlLbl val="0"/>
      </c:catAx>
      <c:valAx>
        <c:axId val="678106144"/>
        <c:scaling>
          <c:orientation val="minMax"/>
        </c:scaling>
        <c:delete val="0"/>
        <c:axPos val="l"/>
        <c:majorGridlines>
          <c:spPr>
            <a:ln w="9525" cap="flat" cmpd="sng" algn="ctr">
              <a:solidFill>
                <a:schemeClr val="bg2"/>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E" dirty="0">
                    <a:latin typeface="Times New Roman" panose="02020603050405020304" pitchFamily="18" charset="0"/>
                    <a:cs typeface="Times New Roman" panose="02020603050405020304" pitchFamily="18" charset="0"/>
                  </a:rPr>
                  <a:t>Limite máximo/emissões verificadas </a:t>
                </a:r>
                <a:r>
                  <a:rPr lang="en-IE" baseline="0" dirty="0">
                    <a:latin typeface="Times New Roman" panose="02020603050405020304" pitchFamily="18" charset="0"/>
                    <a:cs typeface="Times New Roman" panose="02020603050405020304" pitchFamily="18" charset="0"/>
                  </a:rPr>
                  <a:t>(milhares de milhões de toneladas de CO</a:t>
                </a:r>
                <a:r>
                  <a:rPr lang="en-IE" baseline="-25000" dirty="0">
                    <a:latin typeface="Times New Roman" panose="02020603050405020304" pitchFamily="18" charset="0"/>
                    <a:cs typeface="Times New Roman" panose="02020603050405020304" pitchFamily="18" charset="0"/>
                  </a:rPr>
                  <a:t>2</a:t>
                </a:r>
                <a:r>
                  <a:rPr lang="en-IE" baseline="0" dirty="0">
                    <a:latin typeface="Times New Roman" panose="02020603050405020304" pitchFamily="18" charset="0"/>
                    <a:cs typeface="Times New Roman" panose="02020603050405020304" pitchFamily="18" charset="0"/>
                  </a:rPr>
                  <a:t>eq)</a:t>
                </a:r>
                <a:endParaRPr lang="en-IE" dirty="0">
                  <a:latin typeface="Times New Roman" panose="02020603050405020304" pitchFamily="18" charset="0"/>
                  <a:cs typeface="Times New Roman" panose="02020603050405020304" pitchFamily="18" charset="0"/>
                </a:endParaRPr>
              </a:p>
            </c:rich>
          </c:tx>
          <c:layout>
            <c:manualLayout>
              <c:xMode val="edge"/>
              <c:yMode val="edge"/>
              <c:x val="0"/>
              <c:y val="0"/>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78107456"/>
        <c:crosses val="autoZero"/>
        <c:crossBetween val="between"/>
        <c:dispUnits>
          <c:builtInUnit val="thousands"/>
        </c:dispUnits>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17271027580445E-2"/>
          <c:y val="7.4038364969368289E-2"/>
          <c:w val="0.88463497409411695"/>
          <c:h val="0.78910417155975421"/>
        </c:manualLayout>
      </c:layout>
      <c:lineChart>
        <c:grouping val="standard"/>
        <c:varyColors val="0"/>
        <c:ser>
          <c:idx val="0"/>
          <c:order val="0"/>
          <c:tx>
            <c:strRef>
              <c:f>'https://eceuropaeu.sharepoint.com/teams/GRP-PRO-DG-CLIMA-Unit-B1/B1_Shared Documents/02 - ETS 1 and ETS 2 Issues/203 - Carbon Market Report/CMR 2025/2_CMR 2025_Data/CMR 2025 - source files for DGT/[Auction clearing prices 2013-2024.xlsx]Auction price 2024-2025'!$B$1</c:f>
              <c:strCache>
                <c:ptCount val="1"/>
                <c:pt idx="0">
                  <c:v>Auction Price €/tCO2</c:v>
                </c:pt>
              </c:strCache>
            </c:strRef>
          </c:tx>
          <c:spPr>
            <a:ln w="12700" cap="rnd">
              <a:solidFill>
                <a:schemeClr val="accent5">
                  <a:lumMod val="50000"/>
                </a:schemeClr>
              </a:solidFill>
              <a:round/>
            </a:ln>
            <a:effectLst/>
          </c:spPr>
          <c:marker>
            <c:symbol val="none"/>
          </c:marker>
          <c:cat>
            <c:numRef>
              <c:f>'https://eceuropaeu.sharepoint.com/teams/GRP-PRO-DG-CLIMA-Unit-B1/B1_Shared Documents/02 - ETS 1 and ETS 2 Issues/203 - Carbon Market Report/CMR 2025/2_CMR 2025_Data/CMR 2025 - source files for DGT/[Auction clearing prices 2013-2024.xlsx]Auction price 2024-2025'!$A$2:$A$327</c:f>
              <c:numCache>
                <c:formatCode>General</c:formatCode>
                <c:ptCount val="326"/>
                <c:pt idx="0">
                  <c:v>45306</c:v>
                </c:pt>
                <c:pt idx="1">
                  <c:v>45307</c:v>
                </c:pt>
                <c:pt idx="2">
                  <c:v>45308</c:v>
                </c:pt>
                <c:pt idx="3">
                  <c:v>45309</c:v>
                </c:pt>
                <c:pt idx="4">
                  <c:v>45310</c:v>
                </c:pt>
                <c:pt idx="5">
                  <c:v>45313</c:v>
                </c:pt>
                <c:pt idx="6">
                  <c:v>45314</c:v>
                </c:pt>
                <c:pt idx="7">
                  <c:v>45315</c:v>
                </c:pt>
                <c:pt idx="8">
                  <c:v>45316</c:v>
                </c:pt>
                <c:pt idx="9">
                  <c:v>45317</c:v>
                </c:pt>
                <c:pt idx="10">
                  <c:v>45320</c:v>
                </c:pt>
                <c:pt idx="11">
                  <c:v>45321</c:v>
                </c:pt>
                <c:pt idx="12">
                  <c:v>45322</c:v>
                </c:pt>
                <c:pt idx="13">
                  <c:v>45323</c:v>
                </c:pt>
                <c:pt idx="14">
                  <c:v>45324</c:v>
                </c:pt>
                <c:pt idx="15">
                  <c:v>45327</c:v>
                </c:pt>
                <c:pt idx="16">
                  <c:v>45328</c:v>
                </c:pt>
                <c:pt idx="17">
                  <c:v>45330</c:v>
                </c:pt>
                <c:pt idx="18">
                  <c:v>45331</c:v>
                </c:pt>
                <c:pt idx="19">
                  <c:v>45334</c:v>
                </c:pt>
                <c:pt idx="20">
                  <c:v>45335</c:v>
                </c:pt>
                <c:pt idx="21">
                  <c:v>45336</c:v>
                </c:pt>
                <c:pt idx="22">
                  <c:v>45337</c:v>
                </c:pt>
                <c:pt idx="23">
                  <c:v>45338</c:v>
                </c:pt>
                <c:pt idx="24">
                  <c:v>45341</c:v>
                </c:pt>
                <c:pt idx="25">
                  <c:v>45342</c:v>
                </c:pt>
                <c:pt idx="26">
                  <c:v>45344</c:v>
                </c:pt>
                <c:pt idx="27">
                  <c:v>45345</c:v>
                </c:pt>
                <c:pt idx="28">
                  <c:v>45348</c:v>
                </c:pt>
                <c:pt idx="29">
                  <c:v>45349</c:v>
                </c:pt>
                <c:pt idx="30">
                  <c:v>45350</c:v>
                </c:pt>
                <c:pt idx="31">
                  <c:v>45351</c:v>
                </c:pt>
                <c:pt idx="32">
                  <c:v>45352</c:v>
                </c:pt>
                <c:pt idx="33">
                  <c:v>45355</c:v>
                </c:pt>
                <c:pt idx="34">
                  <c:v>45356</c:v>
                </c:pt>
                <c:pt idx="35">
                  <c:v>45358</c:v>
                </c:pt>
                <c:pt idx="36">
                  <c:v>45359</c:v>
                </c:pt>
                <c:pt idx="37">
                  <c:v>45362</c:v>
                </c:pt>
                <c:pt idx="38">
                  <c:v>45363</c:v>
                </c:pt>
                <c:pt idx="39">
                  <c:v>45364</c:v>
                </c:pt>
                <c:pt idx="40">
                  <c:v>45365</c:v>
                </c:pt>
                <c:pt idx="41">
                  <c:v>45366</c:v>
                </c:pt>
                <c:pt idx="42">
                  <c:v>45369</c:v>
                </c:pt>
                <c:pt idx="43">
                  <c:v>45370</c:v>
                </c:pt>
                <c:pt idx="44">
                  <c:v>45371</c:v>
                </c:pt>
                <c:pt idx="45">
                  <c:v>45372</c:v>
                </c:pt>
                <c:pt idx="46">
                  <c:v>45373</c:v>
                </c:pt>
                <c:pt idx="47">
                  <c:v>45376</c:v>
                </c:pt>
                <c:pt idx="48">
                  <c:v>45377</c:v>
                </c:pt>
                <c:pt idx="49">
                  <c:v>45378</c:v>
                </c:pt>
                <c:pt idx="50">
                  <c:v>45379</c:v>
                </c:pt>
                <c:pt idx="51">
                  <c:v>45384</c:v>
                </c:pt>
                <c:pt idx="52">
                  <c:v>45386</c:v>
                </c:pt>
                <c:pt idx="53">
                  <c:v>45387</c:v>
                </c:pt>
                <c:pt idx="54">
                  <c:v>45390</c:v>
                </c:pt>
                <c:pt idx="55">
                  <c:v>45391</c:v>
                </c:pt>
                <c:pt idx="56">
                  <c:v>45392</c:v>
                </c:pt>
                <c:pt idx="57">
                  <c:v>45393</c:v>
                </c:pt>
                <c:pt idx="58">
                  <c:v>45394</c:v>
                </c:pt>
                <c:pt idx="59">
                  <c:v>45397</c:v>
                </c:pt>
                <c:pt idx="60">
                  <c:v>45398</c:v>
                </c:pt>
                <c:pt idx="61">
                  <c:v>45400</c:v>
                </c:pt>
                <c:pt idx="62">
                  <c:v>45401</c:v>
                </c:pt>
                <c:pt idx="63">
                  <c:v>45404</c:v>
                </c:pt>
                <c:pt idx="64">
                  <c:v>45405</c:v>
                </c:pt>
                <c:pt idx="65">
                  <c:v>45406</c:v>
                </c:pt>
                <c:pt idx="66">
                  <c:v>45407</c:v>
                </c:pt>
                <c:pt idx="67">
                  <c:v>45408</c:v>
                </c:pt>
                <c:pt idx="68">
                  <c:v>45411</c:v>
                </c:pt>
                <c:pt idx="69">
                  <c:v>45412</c:v>
                </c:pt>
                <c:pt idx="70">
                  <c:v>45414</c:v>
                </c:pt>
                <c:pt idx="71">
                  <c:v>45415</c:v>
                </c:pt>
                <c:pt idx="72">
                  <c:v>45418</c:v>
                </c:pt>
                <c:pt idx="73">
                  <c:v>45419</c:v>
                </c:pt>
                <c:pt idx="74">
                  <c:v>45420</c:v>
                </c:pt>
                <c:pt idx="75">
                  <c:v>45425</c:v>
                </c:pt>
                <c:pt idx="76">
                  <c:v>45426</c:v>
                </c:pt>
                <c:pt idx="77">
                  <c:v>45427</c:v>
                </c:pt>
                <c:pt idx="78">
                  <c:v>45428</c:v>
                </c:pt>
                <c:pt idx="79">
                  <c:v>45429</c:v>
                </c:pt>
                <c:pt idx="80">
                  <c:v>45432</c:v>
                </c:pt>
                <c:pt idx="81">
                  <c:v>45433</c:v>
                </c:pt>
                <c:pt idx="82">
                  <c:v>45434</c:v>
                </c:pt>
                <c:pt idx="83">
                  <c:v>45435</c:v>
                </c:pt>
                <c:pt idx="84">
                  <c:v>45436</c:v>
                </c:pt>
                <c:pt idx="85">
                  <c:v>45440</c:v>
                </c:pt>
                <c:pt idx="86">
                  <c:v>45442</c:v>
                </c:pt>
                <c:pt idx="87">
                  <c:v>45443</c:v>
                </c:pt>
                <c:pt idx="88">
                  <c:v>45446</c:v>
                </c:pt>
                <c:pt idx="89">
                  <c:v>45447</c:v>
                </c:pt>
                <c:pt idx="90">
                  <c:v>45448</c:v>
                </c:pt>
                <c:pt idx="91">
                  <c:v>45449</c:v>
                </c:pt>
                <c:pt idx="92">
                  <c:v>45450</c:v>
                </c:pt>
                <c:pt idx="93">
                  <c:v>45453</c:v>
                </c:pt>
                <c:pt idx="94">
                  <c:v>45454</c:v>
                </c:pt>
                <c:pt idx="95">
                  <c:v>45456</c:v>
                </c:pt>
                <c:pt idx="96">
                  <c:v>45457</c:v>
                </c:pt>
                <c:pt idx="97">
                  <c:v>45460</c:v>
                </c:pt>
                <c:pt idx="98">
                  <c:v>45461</c:v>
                </c:pt>
                <c:pt idx="99">
                  <c:v>45462</c:v>
                </c:pt>
                <c:pt idx="100">
                  <c:v>45463</c:v>
                </c:pt>
                <c:pt idx="101">
                  <c:v>45464</c:v>
                </c:pt>
                <c:pt idx="102">
                  <c:v>45467</c:v>
                </c:pt>
                <c:pt idx="103">
                  <c:v>45468</c:v>
                </c:pt>
                <c:pt idx="104">
                  <c:v>45470</c:v>
                </c:pt>
                <c:pt idx="105">
                  <c:v>45471</c:v>
                </c:pt>
                <c:pt idx="106">
                  <c:v>45474</c:v>
                </c:pt>
                <c:pt idx="107">
                  <c:v>45475</c:v>
                </c:pt>
                <c:pt idx="108">
                  <c:v>45476</c:v>
                </c:pt>
                <c:pt idx="109">
                  <c:v>45477</c:v>
                </c:pt>
                <c:pt idx="110">
                  <c:v>45478</c:v>
                </c:pt>
                <c:pt idx="111">
                  <c:v>45481</c:v>
                </c:pt>
                <c:pt idx="112">
                  <c:v>45482</c:v>
                </c:pt>
                <c:pt idx="113">
                  <c:v>45483</c:v>
                </c:pt>
                <c:pt idx="114">
                  <c:v>45484</c:v>
                </c:pt>
                <c:pt idx="115">
                  <c:v>45485</c:v>
                </c:pt>
                <c:pt idx="116">
                  <c:v>45488</c:v>
                </c:pt>
                <c:pt idx="117">
                  <c:v>45489</c:v>
                </c:pt>
                <c:pt idx="118">
                  <c:v>45490</c:v>
                </c:pt>
                <c:pt idx="119">
                  <c:v>45491</c:v>
                </c:pt>
                <c:pt idx="120">
                  <c:v>45492</c:v>
                </c:pt>
                <c:pt idx="121">
                  <c:v>45495</c:v>
                </c:pt>
                <c:pt idx="122">
                  <c:v>45496</c:v>
                </c:pt>
                <c:pt idx="123">
                  <c:v>45498</c:v>
                </c:pt>
                <c:pt idx="124">
                  <c:v>45499</c:v>
                </c:pt>
                <c:pt idx="125">
                  <c:v>45502</c:v>
                </c:pt>
                <c:pt idx="126">
                  <c:v>45503</c:v>
                </c:pt>
                <c:pt idx="127">
                  <c:v>45504</c:v>
                </c:pt>
                <c:pt idx="128">
                  <c:v>45505</c:v>
                </c:pt>
                <c:pt idx="129">
                  <c:v>45506</c:v>
                </c:pt>
                <c:pt idx="130">
                  <c:v>45509</c:v>
                </c:pt>
                <c:pt idx="131">
                  <c:v>45510</c:v>
                </c:pt>
                <c:pt idx="132">
                  <c:v>45512</c:v>
                </c:pt>
                <c:pt idx="133">
                  <c:v>45513</c:v>
                </c:pt>
                <c:pt idx="134">
                  <c:v>45516</c:v>
                </c:pt>
                <c:pt idx="135">
                  <c:v>45517</c:v>
                </c:pt>
                <c:pt idx="136">
                  <c:v>45518</c:v>
                </c:pt>
                <c:pt idx="137">
                  <c:v>45519</c:v>
                </c:pt>
                <c:pt idx="138">
                  <c:v>45520</c:v>
                </c:pt>
                <c:pt idx="139">
                  <c:v>45523</c:v>
                </c:pt>
                <c:pt idx="140">
                  <c:v>45524</c:v>
                </c:pt>
                <c:pt idx="141">
                  <c:v>45526</c:v>
                </c:pt>
                <c:pt idx="142">
                  <c:v>45527</c:v>
                </c:pt>
                <c:pt idx="143">
                  <c:v>45530</c:v>
                </c:pt>
                <c:pt idx="144">
                  <c:v>45531</c:v>
                </c:pt>
                <c:pt idx="145">
                  <c:v>45532</c:v>
                </c:pt>
                <c:pt idx="146">
                  <c:v>45533</c:v>
                </c:pt>
                <c:pt idx="147">
                  <c:v>45534</c:v>
                </c:pt>
                <c:pt idx="148">
                  <c:v>45537</c:v>
                </c:pt>
                <c:pt idx="149">
                  <c:v>45538</c:v>
                </c:pt>
                <c:pt idx="150">
                  <c:v>45540</c:v>
                </c:pt>
                <c:pt idx="151">
                  <c:v>45541</c:v>
                </c:pt>
                <c:pt idx="152">
                  <c:v>45544</c:v>
                </c:pt>
                <c:pt idx="153">
                  <c:v>45545</c:v>
                </c:pt>
                <c:pt idx="154">
                  <c:v>45546</c:v>
                </c:pt>
                <c:pt idx="155">
                  <c:v>45547</c:v>
                </c:pt>
                <c:pt idx="156">
                  <c:v>45548</c:v>
                </c:pt>
                <c:pt idx="157">
                  <c:v>45551</c:v>
                </c:pt>
                <c:pt idx="158">
                  <c:v>45552</c:v>
                </c:pt>
                <c:pt idx="159">
                  <c:v>45553</c:v>
                </c:pt>
                <c:pt idx="160">
                  <c:v>45554</c:v>
                </c:pt>
                <c:pt idx="161">
                  <c:v>45555</c:v>
                </c:pt>
                <c:pt idx="162">
                  <c:v>45558</c:v>
                </c:pt>
                <c:pt idx="163">
                  <c:v>45559</c:v>
                </c:pt>
                <c:pt idx="164">
                  <c:v>45560</c:v>
                </c:pt>
                <c:pt idx="165">
                  <c:v>45561</c:v>
                </c:pt>
                <c:pt idx="166">
                  <c:v>45562</c:v>
                </c:pt>
                <c:pt idx="167">
                  <c:v>45565</c:v>
                </c:pt>
                <c:pt idx="168">
                  <c:v>45566</c:v>
                </c:pt>
                <c:pt idx="169">
                  <c:v>45567</c:v>
                </c:pt>
                <c:pt idx="170">
                  <c:v>45568</c:v>
                </c:pt>
                <c:pt idx="171">
                  <c:v>45569</c:v>
                </c:pt>
                <c:pt idx="172">
                  <c:v>45572</c:v>
                </c:pt>
                <c:pt idx="173">
                  <c:v>45573</c:v>
                </c:pt>
                <c:pt idx="174">
                  <c:v>45574</c:v>
                </c:pt>
                <c:pt idx="175">
                  <c:v>45575</c:v>
                </c:pt>
                <c:pt idx="176">
                  <c:v>45576</c:v>
                </c:pt>
                <c:pt idx="177">
                  <c:v>45579</c:v>
                </c:pt>
                <c:pt idx="178">
                  <c:v>45580</c:v>
                </c:pt>
                <c:pt idx="179">
                  <c:v>45581</c:v>
                </c:pt>
                <c:pt idx="180">
                  <c:v>45582</c:v>
                </c:pt>
                <c:pt idx="181">
                  <c:v>45583</c:v>
                </c:pt>
                <c:pt idx="182">
                  <c:v>45586</c:v>
                </c:pt>
                <c:pt idx="183">
                  <c:v>45587</c:v>
                </c:pt>
                <c:pt idx="184">
                  <c:v>45588</c:v>
                </c:pt>
                <c:pt idx="185">
                  <c:v>45589</c:v>
                </c:pt>
                <c:pt idx="186">
                  <c:v>45590</c:v>
                </c:pt>
                <c:pt idx="187">
                  <c:v>45593</c:v>
                </c:pt>
                <c:pt idx="188">
                  <c:v>45594</c:v>
                </c:pt>
                <c:pt idx="189">
                  <c:v>45596</c:v>
                </c:pt>
                <c:pt idx="190">
                  <c:v>45597</c:v>
                </c:pt>
                <c:pt idx="191">
                  <c:v>45600</c:v>
                </c:pt>
                <c:pt idx="192">
                  <c:v>45601</c:v>
                </c:pt>
                <c:pt idx="193">
                  <c:v>45602</c:v>
                </c:pt>
                <c:pt idx="194">
                  <c:v>45603</c:v>
                </c:pt>
                <c:pt idx="195">
                  <c:v>45604</c:v>
                </c:pt>
                <c:pt idx="196">
                  <c:v>45607</c:v>
                </c:pt>
                <c:pt idx="197">
                  <c:v>45608</c:v>
                </c:pt>
                <c:pt idx="198">
                  <c:v>45609</c:v>
                </c:pt>
                <c:pt idx="199">
                  <c:v>45610</c:v>
                </c:pt>
                <c:pt idx="200">
                  <c:v>45611</c:v>
                </c:pt>
                <c:pt idx="201">
                  <c:v>45614</c:v>
                </c:pt>
                <c:pt idx="202">
                  <c:v>45615</c:v>
                </c:pt>
                <c:pt idx="203">
                  <c:v>45616</c:v>
                </c:pt>
                <c:pt idx="204">
                  <c:v>45617</c:v>
                </c:pt>
                <c:pt idx="205">
                  <c:v>45618</c:v>
                </c:pt>
                <c:pt idx="206">
                  <c:v>45621</c:v>
                </c:pt>
                <c:pt idx="207">
                  <c:v>45622</c:v>
                </c:pt>
                <c:pt idx="208">
                  <c:v>45624</c:v>
                </c:pt>
                <c:pt idx="209">
                  <c:v>45625</c:v>
                </c:pt>
                <c:pt idx="210">
                  <c:v>45628</c:v>
                </c:pt>
                <c:pt idx="211">
                  <c:v>45629</c:v>
                </c:pt>
                <c:pt idx="212">
                  <c:v>45630</c:v>
                </c:pt>
                <c:pt idx="213">
                  <c:v>45631</c:v>
                </c:pt>
                <c:pt idx="214">
                  <c:v>45632</c:v>
                </c:pt>
                <c:pt idx="215">
                  <c:v>45635</c:v>
                </c:pt>
                <c:pt idx="216">
                  <c:v>45636</c:v>
                </c:pt>
                <c:pt idx="217">
                  <c:v>45637</c:v>
                </c:pt>
                <c:pt idx="218">
                  <c:v>45638</c:v>
                </c:pt>
                <c:pt idx="219">
                  <c:v>45639</c:v>
                </c:pt>
                <c:pt idx="220">
                  <c:v>45642</c:v>
                </c:pt>
                <c:pt idx="221">
                  <c:v>45664</c:v>
                </c:pt>
                <c:pt idx="222">
                  <c:v>45665</c:v>
                </c:pt>
                <c:pt idx="223">
                  <c:v>45666</c:v>
                </c:pt>
                <c:pt idx="224">
                  <c:v>45667</c:v>
                </c:pt>
                <c:pt idx="225">
                  <c:v>45670</c:v>
                </c:pt>
                <c:pt idx="226">
                  <c:v>45671</c:v>
                </c:pt>
                <c:pt idx="227">
                  <c:v>45673</c:v>
                </c:pt>
                <c:pt idx="228">
                  <c:v>45674</c:v>
                </c:pt>
                <c:pt idx="229">
                  <c:v>45677</c:v>
                </c:pt>
                <c:pt idx="230">
                  <c:v>45678</c:v>
                </c:pt>
                <c:pt idx="231">
                  <c:v>45679</c:v>
                </c:pt>
                <c:pt idx="232">
                  <c:v>45680</c:v>
                </c:pt>
                <c:pt idx="233">
                  <c:v>45681</c:v>
                </c:pt>
                <c:pt idx="234">
                  <c:v>45684</c:v>
                </c:pt>
                <c:pt idx="235">
                  <c:v>45685</c:v>
                </c:pt>
                <c:pt idx="236">
                  <c:v>45687</c:v>
                </c:pt>
                <c:pt idx="237">
                  <c:v>45688</c:v>
                </c:pt>
                <c:pt idx="238">
                  <c:v>45691</c:v>
                </c:pt>
                <c:pt idx="239">
                  <c:v>45692</c:v>
                </c:pt>
                <c:pt idx="240">
                  <c:v>45693</c:v>
                </c:pt>
                <c:pt idx="241">
                  <c:v>45694</c:v>
                </c:pt>
                <c:pt idx="242">
                  <c:v>45695</c:v>
                </c:pt>
                <c:pt idx="243">
                  <c:v>45698</c:v>
                </c:pt>
                <c:pt idx="244">
                  <c:v>45699</c:v>
                </c:pt>
                <c:pt idx="245">
                  <c:v>45701</c:v>
                </c:pt>
                <c:pt idx="246">
                  <c:v>45702</c:v>
                </c:pt>
                <c:pt idx="247">
                  <c:v>45705</c:v>
                </c:pt>
                <c:pt idx="248">
                  <c:v>45706</c:v>
                </c:pt>
                <c:pt idx="249">
                  <c:v>45707</c:v>
                </c:pt>
                <c:pt idx="250">
                  <c:v>45708</c:v>
                </c:pt>
                <c:pt idx="251">
                  <c:v>45709</c:v>
                </c:pt>
                <c:pt idx="252">
                  <c:v>45712</c:v>
                </c:pt>
                <c:pt idx="253">
                  <c:v>45713</c:v>
                </c:pt>
                <c:pt idx="254">
                  <c:v>45715</c:v>
                </c:pt>
                <c:pt idx="255">
                  <c:v>45716</c:v>
                </c:pt>
                <c:pt idx="256">
                  <c:v>45719</c:v>
                </c:pt>
                <c:pt idx="257">
                  <c:v>45720</c:v>
                </c:pt>
                <c:pt idx="258">
                  <c:v>45721</c:v>
                </c:pt>
                <c:pt idx="259">
                  <c:v>45722</c:v>
                </c:pt>
                <c:pt idx="260">
                  <c:v>45723</c:v>
                </c:pt>
                <c:pt idx="261">
                  <c:v>45726</c:v>
                </c:pt>
                <c:pt idx="262">
                  <c:v>45727</c:v>
                </c:pt>
                <c:pt idx="263">
                  <c:v>45729</c:v>
                </c:pt>
                <c:pt idx="264">
                  <c:v>45730</c:v>
                </c:pt>
                <c:pt idx="265">
                  <c:v>45733</c:v>
                </c:pt>
                <c:pt idx="266">
                  <c:v>45734</c:v>
                </c:pt>
                <c:pt idx="267">
                  <c:v>45735</c:v>
                </c:pt>
                <c:pt idx="268">
                  <c:v>45736</c:v>
                </c:pt>
                <c:pt idx="269">
                  <c:v>45737</c:v>
                </c:pt>
                <c:pt idx="270">
                  <c:v>45740</c:v>
                </c:pt>
                <c:pt idx="271">
                  <c:v>45741</c:v>
                </c:pt>
                <c:pt idx="272">
                  <c:v>45743</c:v>
                </c:pt>
                <c:pt idx="273">
                  <c:v>45744</c:v>
                </c:pt>
                <c:pt idx="274">
                  <c:v>45747</c:v>
                </c:pt>
                <c:pt idx="275">
                  <c:v>45748</c:v>
                </c:pt>
                <c:pt idx="276">
                  <c:v>45749</c:v>
                </c:pt>
                <c:pt idx="277">
                  <c:v>45750</c:v>
                </c:pt>
                <c:pt idx="278">
                  <c:v>45751</c:v>
                </c:pt>
                <c:pt idx="279">
                  <c:v>45754</c:v>
                </c:pt>
                <c:pt idx="280">
                  <c:v>45755</c:v>
                </c:pt>
                <c:pt idx="281">
                  <c:v>45757</c:v>
                </c:pt>
                <c:pt idx="282">
                  <c:v>45758</c:v>
                </c:pt>
                <c:pt idx="283">
                  <c:v>45761</c:v>
                </c:pt>
                <c:pt idx="284">
                  <c:v>45762</c:v>
                </c:pt>
                <c:pt idx="285">
                  <c:v>45763</c:v>
                </c:pt>
                <c:pt idx="286">
                  <c:v>45764</c:v>
                </c:pt>
                <c:pt idx="287">
                  <c:v>45769</c:v>
                </c:pt>
                <c:pt idx="288">
                  <c:v>45771</c:v>
                </c:pt>
                <c:pt idx="289">
                  <c:v>45772</c:v>
                </c:pt>
                <c:pt idx="290">
                  <c:v>45775</c:v>
                </c:pt>
                <c:pt idx="291">
                  <c:v>45776</c:v>
                </c:pt>
                <c:pt idx="292">
                  <c:v>45777</c:v>
                </c:pt>
                <c:pt idx="293">
                  <c:v>45782</c:v>
                </c:pt>
                <c:pt idx="294">
                  <c:v>45783</c:v>
                </c:pt>
                <c:pt idx="295">
                  <c:v>45785</c:v>
                </c:pt>
                <c:pt idx="296">
                  <c:v>45786</c:v>
                </c:pt>
                <c:pt idx="297">
                  <c:v>45789</c:v>
                </c:pt>
                <c:pt idx="298">
                  <c:v>45790</c:v>
                </c:pt>
                <c:pt idx="299">
                  <c:v>45791</c:v>
                </c:pt>
                <c:pt idx="300">
                  <c:v>45792</c:v>
                </c:pt>
                <c:pt idx="301">
                  <c:v>45793</c:v>
                </c:pt>
                <c:pt idx="302">
                  <c:v>45796</c:v>
                </c:pt>
                <c:pt idx="303">
                  <c:v>45797</c:v>
                </c:pt>
                <c:pt idx="304">
                  <c:v>45799</c:v>
                </c:pt>
                <c:pt idx="305">
                  <c:v>45800</c:v>
                </c:pt>
                <c:pt idx="306">
                  <c:v>45804</c:v>
                </c:pt>
                <c:pt idx="307">
                  <c:v>45805</c:v>
                </c:pt>
                <c:pt idx="308">
                  <c:v>45810</c:v>
                </c:pt>
                <c:pt idx="309">
                  <c:v>45811</c:v>
                </c:pt>
                <c:pt idx="310">
                  <c:v>45813</c:v>
                </c:pt>
                <c:pt idx="311">
                  <c:v>45814</c:v>
                </c:pt>
                <c:pt idx="312">
                  <c:v>45818</c:v>
                </c:pt>
                <c:pt idx="313">
                  <c:v>45819</c:v>
                </c:pt>
                <c:pt idx="314">
                  <c:v>45820</c:v>
                </c:pt>
                <c:pt idx="315">
                  <c:v>45821</c:v>
                </c:pt>
                <c:pt idx="316">
                  <c:v>45824</c:v>
                </c:pt>
                <c:pt idx="317">
                  <c:v>45825</c:v>
                </c:pt>
                <c:pt idx="318">
                  <c:v>45827</c:v>
                </c:pt>
                <c:pt idx="319">
                  <c:v>45828</c:v>
                </c:pt>
                <c:pt idx="320">
                  <c:v>45831</c:v>
                </c:pt>
                <c:pt idx="321">
                  <c:v>45832</c:v>
                </c:pt>
                <c:pt idx="322">
                  <c:v>45833</c:v>
                </c:pt>
                <c:pt idx="323">
                  <c:v>45834</c:v>
                </c:pt>
                <c:pt idx="324">
                  <c:v>45835</c:v>
                </c:pt>
                <c:pt idx="325">
                  <c:v>45838</c:v>
                </c:pt>
              </c:numCache>
            </c:numRef>
          </c:cat>
          <c:val>
            <c:numRef>
              <c:f>'https://eceuropaeu.sharepoint.com/teams/GRP-PRO-DG-CLIMA-Unit-B1/B1_Shared Documents/02 - ETS 1 and ETS 2 Issues/203 - Carbon Market Report/CMR 2025/2_CMR 2025_Data/CMR 2025 - source files for DGT/[Auction clearing prices 2013-2024.xlsx]Auction price 2024-2025'!$B$2:$B$327</c:f>
              <c:numCache>
                <c:formatCode>General</c:formatCode>
                <c:ptCount val="326"/>
                <c:pt idx="0">
                  <c:v>63.5</c:v>
                </c:pt>
                <c:pt idx="1">
                  <c:v>63.2</c:v>
                </c:pt>
                <c:pt idx="2">
                  <c:v>62.96</c:v>
                </c:pt>
                <c:pt idx="3">
                  <c:v>61.28</c:v>
                </c:pt>
                <c:pt idx="4">
                  <c:v>61.93</c:v>
                </c:pt>
                <c:pt idx="5">
                  <c:v>59.74</c:v>
                </c:pt>
                <c:pt idx="6">
                  <c:v>60.55</c:v>
                </c:pt>
                <c:pt idx="7">
                  <c:v>62</c:v>
                </c:pt>
                <c:pt idx="8">
                  <c:v>61.95</c:v>
                </c:pt>
                <c:pt idx="9">
                  <c:v>61.95</c:v>
                </c:pt>
                <c:pt idx="10">
                  <c:v>60.81</c:v>
                </c:pt>
                <c:pt idx="11">
                  <c:v>59.82</c:v>
                </c:pt>
                <c:pt idx="12">
                  <c:v>62.27</c:v>
                </c:pt>
                <c:pt idx="13">
                  <c:v>61.09</c:v>
                </c:pt>
                <c:pt idx="14">
                  <c:v>60.92</c:v>
                </c:pt>
                <c:pt idx="15">
                  <c:v>60.68</c:v>
                </c:pt>
                <c:pt idx="16">
                  <c:v>60.25</c:v>
                </c:pt>
                <c:pt idx="17">
                  <c:v>59.85</c:v>
                </c:pt>
                <c:pt idx="18">
                  <c:v>57.24</c:v>
                </c:pt>
                <c:pt idx="19">
                  <c:v>55.84</c:v>
                </c:pt>
                <c:pt idx="20">
                  <c:v>54.24</c:v>
                </c:pt>
                <c:pt idx="21">
                  <c:v>54.07</c:v>
                </c:pt>
                <c:pt idx="22">
                  <c:v>54.87</c:v>
                </c:pt>
                <c:pt idx="23">
                  <c:v>55.12</c:v>
                </c:pt>
                <c:pt idx="24">
                  <c:v>53</c:v>
                </c:pt>
                <c:pt idx="25">
                  <c:v>51.8</c:v>
                </c:pt>
                <c:pt idx="26">
                  <c:v>51.55</c:v>
                </c:pt>
                <c:pt idx="27">
                  <c:v>49.5</c:v>
                </c:pt>
                <c:pt idx="28">
                  <c:v>50.65</c:v>
                </c:pt>
                <c:pt idx="29">
                  <c:v>51.12</c:v>
                </c:pt>
                <c:pt idx="30">
                  <c:v>54.94</c:v>
                </c:pt>
                <c:pt idx="31">
                  <c:v>54.9</c:v>
                </c:pt>
                <c:pt idx="32">
                  <c:v>53.6</c:v>
                </c:pt>
                <c:pt idx="33">
                  <c:v>51.76</c:v>
                </c:pt>
                <c:pt idx="34">
                  <c:v>59.14</c:v>
                </c:pt>
                <c:pt idx="35">
                  <c:v>56.94</c:v>
                </c:pt>
                <c:pt idx="36">
                  <c:v>57.1</c:v>
                </c:pt>
                <c:pt idx="37">
                  <c:v>54.43</c:v>
                </c:pt>
                <c:pt idx="38">
                  <c:v>54.21</c:v>
                </c:pt>
                <c:pt idx="39">
                  <c:v>54.92</c:v>
                </c:pt>
                <c:pt idx="40">
                  <c:v>54.25</c:v>
                </c:pt>
                <c:pt idx="41">
                  <c:v>57.75</c:v>
                </c:pt>
                <c:pt idx="42">
                  <c:v>59.42</c:v>
                </c:pt>
                <c:pt idx="43">
                  <c:v>59</c:v>
                </c:pt>
                <c:pt idx="44">
                  <c:v>57.9</c:v>
                </c:pt>
                <c:pt idx="45">
                  <c:v>58</c:v>
                </c:pt>
                <c:pt idx="46">
                  <c:v>57.93</c:v>
                </c:pt>
                <c:pt idx="47">
                  <c:v>62.09</c:v>
                </c:pt>
                <c:pt idx="48">
                  <c:v>63.25</c:v>
                </c:pt>
                <c:pt idx="49">
                  <c:v>60.56</c:v>
                </c:pt>
                <c:pt idx="50">
                  <c:v>59.86</c:v>
                </c:pt>
                <c:pt idx="51">
                  <c:v>57.07</c:v>
                </c:pt>
                <c:pt idx="52">
                  <c:v>56.37</c:v>
                </c:pt>
                <c:pt idx="53">
                  <c:v>57.17</c:v>
                </c:pt>
                <c:pt idx="54">
                  <c:v>58.41</c:v>
                </c:pt>
                <c:pt idx="55">
                  <c:v>61.3</c:v>
                </c:pt>
                <c:pt idx="56">
                  <c:v>63</c:v>
                </c:pt>
                <c:pt idx="57">
                  <c:v>63.42</c:v>
                </c:pt>
                <c:pt idx="58">
                  <c:v>68.010000000000005</c:v>
                </c:pt>
                <c:pt idx="59">
                  <c:v>68.17</c:v>
                </c:pt>
                <c:pt idx="60">
                  <c:v>70.61</c:v>
                </c:pt>
                <c:pt idx="61">
                  <c:v>67.150000000000006</c:v>
                </c:pt>
                <c:pt idx="62">
                  <c:v>67.77</c:v>
                </c:pt>
                <c:pt idx="63">
                  <c:v>65.099999999999994</c:v>
                </c:pt>
                <c:pt idx="64">
                  <c:v>64.28</c:v>
                </c:pt>
                <c:pt idx="65">
                  <c:v>65.349999999999994</c:v>
                </c:pt>
                <c:pt idx="66">
                  <c:v>65.08</c:v>
                </c:pt>
                <c:pt idx="67">
                  <c:v>65.66</c:v>
                </c:pt>
                <c:pt idx="68">
                  <c:v>63.52</c:v>
                </c:pt>
                <c:pt idx="69">
                  <c:v>65.260000000000005</c:v>
                </c:pt>
                <c:pt idx="70">
                  <c:v>68.099999999999994</c:v>
                </c:pt>
                <c:pt idx="71">
                  <c:v>71.180000000000007</c:v>
                </c:pt>
                <c:pt idx="72">
                  <c:v>70.3</c:v>
                </c:pt>
                <c:pt idx="73">
                  <c:v>69.16</c:v>
                </c:pt>
                <c:pt idx="74">
                  <c:v>68.989999999999995</c:v>
                </c:pt>
                <c:pt idx="75">
                  <c:v>68.48</c:v>
                </c:pt>
                <c:pt idx="76">
                  <c:v>67.67</c:v>
                </c:pt>
                <c:pt idx="77">
                  <c:v>69.349999999999994</c:v>
                </c:pt>
                <c:pt idx="78">
                  <c:v>68.260000000000005</c:v>
                </c:pt>
                <c:pt idx="79">
                  <c:v>69.459999999999994</c:v>
                </c:pt>
                <c:pt idx="80">
                  <c:v>71.239999999999995</c:v>
                </c:pt>
                <c:pt idx="81">
                  <c:v>71.8</c:v>
                </c:pt>
                <c:pt idx="82">
                  <c:v>74.31</c:v>
                </c:pt>
                <c:pt idx="83">
                  <c:v>74.900000000000006</c:v>
                </c:pt>
                <c:pt idx="84">
                  <c:v>72.8</c:v>
                </c:pt>
                <c:pt idx="85">
                  <c:v>72.900000000000006</c:v>
                </c:pt>
                <c:pt idx="86">
                  <c:v>72</c:v>
                </c:pt>
                <c:pt idx="87">
                  <c:v>74.489999999999995</c:v>
                </c:pt>
                <c:pt idx="88">
                  <c:v>75.349999999999994</c:v>
                </c:pt>
                <c:pt idx="89">
                  <c:v>71.5</c:v>
                </c:pt>
                <c:pt idx="90">
                  <c:v>70.3</c:v>
                </c:pt>
                <c:pt idx="91">
                  <c:v>71</c:v>
                </c:pt>
                <c:pt idx="92">
                  <c:v>69.900000000000006</c:v>
                </c:pt>
                <c:pt idx="93">
                  <c:v>67.819999999999993</c:v>
                </c:pt>
                <c:pt idx="94">
                  <c:v>70.31</c:v>
                </c:pt>
                <c:pt idx="95">
                  <c:v>69.77</c:v>
                </c:pt>
                <c:pt idx="96">
                  <c:v>68.41</c:v>
                </c:pt>
                <c:pt idx="97">
                  <c:v>66.66</c:v>
                </c:pt>
                <c:pt idx="98">
                  <c:v>66.97</c:v>
                </c:pt>
                <c:pt idx="99">
                  <c:v>67.75</c:v>
                </c:pt>
                <c:pt idx="100">
                  <c:v>68.61</c:v>
                </c:pt>
                <c:pt idx="101">
                  <c:v>67.36</c:v>
                </c:pt>
                <c:pt idx="102">
                  <c:v>66.06</c:v>
                </c:pt>
                <c:pt idx="103">
                  <c:v>65.94</c:v>
                </c:pt>
                <c:pt idx="104">
                  <c:v>66.17</c:v>
                </c:pt>
                <c:pt idx="105">
                  <c:v>65.010000000000005</c:v>
                </c:pt>
                <c:pt idx="106">
                  <c:v>67.83</c:v>
                </c:pt>
                <c:pt idx="107">
                  <c:v>66.709999999999994</c:v>
                </c:pt>
                <c:pt idx="108">
                  <c:v>68.84</c:v>
                </c:pt>
                <c:pt idx="109">
                  <c:v>68.709999999999994</c:v>
                </c:pt>
                <c:pt idx="110">
                  <c:v>68.680000000000007</c:v>
                </c:pt>
                <c:pt idx="111">
                  <c:v>70</c:v>
                </c:pt>
                <c:pt idx="112">
                  <c:v>66.87</c:v>
                </c:pt>
                <c:pt idx="113">
                  <c:v>67.42</c:v>
                </c:pt>
                <c:pt idx="114">
                  <c:v>66.72</c:v>
                </c:pt>
                <c:pt idx="115">
                  <c:v>67.06</c:v>
                </c:pt>
                <c:pt idx="116">
                  <c:v>66.63</c:v>
                </c:pt>
                <c:pt idx="117">
                  <c:v>66.16</c:v>
                </c:pt>
                <c:pt idx="118">
                  <c:v>66.66</c:v>
                </c:pt>
                <c:pt idx="119">
                  <c:v>64.959999999999994</c:v>
                </c:pt>
                <c:pt idx="120">
                  <c:v>64.73</c:v>
                </c:pt>
                <c:pt idx="121">
                  <c:v>64.37</c:v>
                </c:pt>
                <c:pt idx="122">
                  <c:v>63.67</c:v>
                </c:pt>
                <c:pt idx="123">
                  <c:v>66.709999999999994</c:v>
                </c:pt>
                <c:pt idx="124">
                  <c:v>66.33</c:v>
                </c:pt>
                <c:pt idx="125">
                  <c:v>67.17</c:v>
                </c:pt>
                <c:pt idx="126">
                  <c:v>66.55</c:v>
                </c:pt>
                <c:pt idx="127">
                  <c:v>67.849999999999994</c:v>
                </c:pt>
                <c:pt idx="128">
                  <c:v>68.069999999999993</c:v>
                </c:pt>
                <c:pt idx="129">
                  <c:v>69.760000000000005</c:v>
                </c:pt>
                <c:pt idx="130">
                  <c:v>67.02</c:v>
                </c:pt>
                <c:pt idx="131">
                  <c:v>68.650000000000006</c:v>
                </c:pt>
                <c:pt idx="132">
                  <c:v>68.900000000000006</c:v>
                </c:pt>
                <c:pt idx="133">
                  <c:v>70.459999999999994</c:v>
                </c:pt>
                <c:pt idx="134">
                  <c:v>71.150000000000006</c:v>
                </c:pt>
                <c:pt idx="135">
                  <c:v>70.819999999999993</c:v>
                </c:pt>
                <c:pt idx="136">
                  <c:v>70.59</c:v>
                </c:pt>
                <c:pt idx="137">
                  <c:v>69.849999999999994</c:v>
                </c:pt>
                <c:pt idx="138">
                  <c:v>71</c:v>
                </c:pt>
                <c:pt idx="139">
                  <c:v>71.5</c:v>
                </c:pt>
                <c:pt idx="140">
                  <c:v>72.400000000000006</c:v>
                </c:pt>
                <c:pt idx="141">
                  <c:v>71.02</c:v>
                </c:pt>
                <c:pt idx="142">
                  <c:v>70.73</c:v>
                </c:pt>
                <c:pt idx="143">
                  <c:v>69.28</c:v>
                </c:pt>
                <c:pt idx="144">
                  <c:v>70.17</c:v>
                </c:pt>
                <c:pt idx="145">
                  <c:v>70.39</c:v>
                </c:pt>
                <c:pt idx="146">
                  <c:v>69.5</c:v>
                </c:pt>
                <c:pt idx="147">
                  <c:v>70.069999999999993</c:v>
                </c:pt>
                <c:pt idx="148">
                  <c:v>69.3</c:v>
                </c:pt>
                <c:pt idx="149">
                  <c:v>68.56</c:v>
                </c:pt>
                <c:pt idx="150">
                  <c:v>65.989999999999995</c:v>
                </c:pt>
                <c:pt idx="151">
                  <c:v>67</c:v>
                </c:pt>
                <c:pt idx="152">
                  <c:v>65.75</c:v>
                </c:pt>
                <c:pt idx="153">
                  <c:v>65.83</c:v>
                </c:pt>
                <c:pt idx="154">
                  <c:v>64.75</c:v>
                </c:pt>
                <c:pt idx="155">
                  <c:v>65.099999999999994</c:v>
                </c:pt>
                <c:pt idx="156">
                  <c:v>64.89</c:v>
                </c:pt>
                <c:pt idx="157">
                  <c:v>64.94</c:v>
                </c:pt>
                <c:pt idx="158">
                  <c:v>62.71</c:v>
                </c:pt>
                <c:pt idx="159">
                  <c:v>62.8</c:v>
                </c:pt>
                <c:pt idx="160">
                  <c:v>63.56</c:v>
                </c:pt>
                <c:pt idx="161">
                  <c:v>63.18</c:v>
                </c:pt>
                <c:pt idx="162">
                  <c:v>64</c:v>
                </c:pt>
                <c:pt idx="163">
                  <c:v>63.91</c:v>
                </c:pt>
                <c:pt idx="164">
                  <c:v>63.55</c:v>
                </c:pt>
                <c:pt idx="165">
                  <c:v>63.88</c:v>
                </c:pt>
                <c:pt idx="166">
                  <c:v>65.45</c:v>
                </c:pt>
                <c:pt idx="167">
                  <c:v>65.69</c:v>
                </c:pt>
                <c:pt idx="168">
                  <c:v>63.19</c:v>
                </c:pt>
                <c:pt idx="169">
                  <c:v>62.89</c:v>
                </c:pt>
                <c:pt idx="170">
                  <c:v>62.02</c:v>
                </c:pt>
                <c:pt idx="171">
                  <c:v>61.03</c:v>
                </c:pt>
                <c:pt idx="172">
                  <c:v>60.15</c:v>
                </c:pt>
                <c:pt idx="173">
                  <c:v>59.85</c:v>
                </c:pt>
                <c:pt idx="174">
                  <c:v>61.18</c:v>
                </c:pt>
                <c:pt idx="175">
                  <c:v>63.3</c:v>
                </c:pt>
                <c:pt idx="176">
                  <c:v>63.71</c:v>
                </c:pt>
                <c:pt idx="177">
                  <c:v>65</c:v>
                </c:pt>
                <c:pt idx="178">
                  <c:v>64.08</c:v>
                </c:pt>
                <c:pt idx="179">
                  <c:v>64.14</c:v>
                </c:pt>
                <c:pt idx="180">
                  <c:v>63.1</c:v>
                </c:pt>
                <c:pt idx="181">
                  <c:v>61.9</c:v>
                </c:pt>
                <c:pt idx="182">
                  <c:v>62.3</c:v>
                </c:pt>
                <c:pt idx="183">
                  <c:v>61.22</c:v>
                </c:pt>
                <c:pt idx="184">
                  <c:v>63.75</c:v>
                </c:pt>
                <c:pt idx="185">
                  <c:v>64.599999999999994</c:v>
                </c:pt>
                <c:pt idx="186">
                  <c:v>66.319999999999993</c:v>
                </c:pt>
                <c:pt idx="187">
                  <c:v>64.38</c:v>
                </c:pt>
                <c:pt idx="188">
                  <c:v>66.42</c:v>
                </c:pt>
                <c:pt idx="189">
                  <c:v>64.78</c:v>
                </c:pt>
                <c:pt idx="190">
                  <c:v>64.459999999999994</c:v>
                </c:pt>
                <c:pt idx="191">
                  <c:v>64.680000000000007</c:v>
                </c:pt>
                <c:pt idx="192">
                  <c:v>65.06</c:v>
                </c:pt>
                <c:pt idx="193">
                  <c:v>62.94</c:v>
                </c:pt>
                <c:pt idx="194">
                  <c:v>65.349999999999994</c:v>
                </c:pt>
                <c:pt idx="195">
                  <c:v>66.2</c:v>
                </c:pt>
                <c:pt idx="196">
                  <c:v>67.599999999999994</c:v>
                </c:pt>
                <c:pt idx="197">
                  <c:v>65.92</c:v>
                </c:pt>
                <c:pt idx="198">
                  <c:v>65.86</c:v>
                </c:pt>
                <c:pt idx="199">
                  <c:v>67.150000000000006</c:v>
                </c:pt>
                <c:pt idx="200">
                  <c:v>66.78</c:v>
                </c:pt>
                <c:pt idx="201">
                  <c:v>67.7</c:v>
                </c:pt>
                <c:pt idx="202">
                  <c:v>69.05</c:v>
                </c:pt>
                <c:pt idx="203">
                  <c:v>68.02</c:v>
                </c:pt>
                <c:pt idx="204">
                  <c:v>68.790000000000006</c:v>
                </c:pt>
                <c:pt idx="205">
                  <c:v>69.709999999999994</c:v>
                </c:pt>
                <c:pt idx="206">
                  <c:v>69.319999999999993</c:v>
                </c:pt>
                <c:pt idx="207">
                  <c:v>69.37</c:v>
                </c:pt>
                <c:pt idx="208">
                  <c:v>67.91</c:v>
                </c:pt>
                <c:pt idx="209">
                  <c:v>67.3</c:v>
                </c:pt>
                <c:pt idx="210">
                  <c:v>69.400000000000006</c:v>
                </c:pt>
                <c:pt idx="211">
                  <c:v>68.12</c:v>
                </c:pt>
                <c:pt idx="212">
                  <c:v>67.42</c:v>
                </c:pt>
                <c:pt idx="213">
                  <c:v>67.62</c:v>
                </c:pt>
                <c:pt idx="214">
                  <c:v>67.25</c:v>
                </c:pt>
                <c:pt idx="215">
                  <c:v>67.7</c:v>
                </c:pt>
                <c:pt idx="216">
                  <c:v>67</c:v>
                </c:pt>
                <c:pt idx="217">
                  <c:v>69.17</c:v>
                </c:pt>
                <c:pt idx="218">
                  <c:v>67.95</c:v>
                </c:pt>
                <c:pt idx="219">
                  <c:v>66.069999999999993</c:v>
                </c:pt>
                <c:pt idx="220">
                  <c:v>63.64</c:v>
                </c:pt>
                <c:pt idx="221">
                  <c:v>71.02</c:v>
                </c:pt>
                <c:pt idx="222">
                  <c:v>71.5</c:v>
                </c:pt>
                <c:pt idx="223">
                  <c:v>70.010000000000005</c:v>
                </c:pt>
                <c:pt idx="224">
                  <c:v>70.63</c:v>
                </c:pt>
                <c:pt idx="225">
                  <c:v>74.400000000000006</c:v>
                </c:pt>
                <c:pt idx="226">
                  <c:v>74.45</c:v>
                </c:pt>
                <c:pt idx="227">
                  <c:v>75.7</c:v>
                </c:pt>
                <c:pt idx="228">
                  <c:v>77.3</c:v>
                </c:pt>
                <c:pt idx="229">
                  <c:v>76.400000000000006</c:v>
                </c:pt>
                <c:pt idx="230">
                  <c:v>77.3</c:v>
                </c:pt>
                <c:pt idx="231">
                  <c:v>76.709999999999994</c:v>
                </c:pt>
                <c:pt idx="232">
                  <c:v>79.06</c:v>
                </c:pt>
                <c:pt idx="233">
                  <c:v>78.430000000000007</c:v>
                </c:pt>
                <c:pt idx="234">
                  <c:v>77.7</c:v>
                </c:pt>
                <c:pt idx="235">
                  <c:v>77.06</c:v>
                </c:pt>
                <c:pt idx="236">
                  <c:v>81.569999999999993</c:v>
                </c:pt>
                <c:pt idx="237">
                  <c:v>81.11</c:v>
                </c:pt>
                <c:pt idx="238">
                  <c:v>80.39</c:v>
                </c:pt>
                <c:pt idx="239">
                  <c:v>79.06</c:v>
                </c:pt>
                <c:pt idx="240">
                  <c:v>77.87</c:v>
                </c:pt>
                <c:pt idx="241">
                  <c:v>79.75</c:v>
                </c:pt>
                <c:pt idx="242">
                  <c:v>80.709999999999994</c:v>
                </c:pt>
                <c:pt idx="243">
                  <c:v>81.27</c:v>
                </c:pt>
                <c:pt idx="244">
                  <c:v>80.08</c:v>
                </c:pt>
                <c:pt idx="245">
                  <c:v>76.77</c:v>
                </c:pt>
                <c:pt idx="246">
                  <c:v>75.84</c:v>
                </c:pt>
                <c:pt idx="247">
                  <c:v>77.02</c:v>
                </c:pt>
                <c:pt idx="248">
                  <c:v>74.53</c:v>
                </c:pt>
                <c:pt idx="249">
                  <c:v>72.900000000000006</c:v>
                </c:pt>
                <c:pt idx="250">
                  <c:v>71.209999999999994</c:v>
                </c:pt>
                <c:pt idx="251">
                  <c:v>73.010000000000005</c:v>
                </c:pt>
                <c:pt idx="252">
                  <c:v>70.8</c:v>
                </c:pt>
                <c:pt idx="253">
                  <c:v>71.150000000000006</c:v>
                </c:pt>
                <c:pt idx="254">
                  <c:v>69.959999999999994</c:v>
                </c:pt>
                <c:pt idx="255">
                  <c:v>70.650000000000006</c:v>
                </c:pt>
                <c:pt idx="256">
                  <c:v>70.31</c:v>
                </c:pt>
                <c:pt idx="257">
                  <c:v>68.099999999999994</c:v>
                </c:pt>
                <c:pt idx="258">
                  <c:v>67.989999999999995</c:v>
                </c:pt>
                <c:pt idx="259">
                  <c:v>66.58</c:v>
                </c:pt>
                <c:pt idx="260">
                  <c:v>67.77</c:v>
                </c:pt>
                <c:pt idx="261">
                  <c:v>68.180000000000007</c:v>
                </c:pt>
                <c:pt idx="262">
                  <c:v>67.02</c:v>
                </c:pt>
                <c:pt idx="263">
                  <c:v>68.2</c:v>
                </c:pt>
                <c:pt idx="264">
                  <c:v>68.650000000000006</c:v>
                </c:pt>
                <c:pt idx="265">
                  <c:v>68.53</c:v>
                </c:pt>
                <c:pt idx="266">
                  <c:v>68.66</c:v>
                </c:pt>
                <c:pt idx="267">
                  <c:v>71.349999999999994</c:v>
                </c:pt>
                <c:pt idx="268">
                  <c:v>71.540000000000006</c:v>
                </c:pt>
                <c:pt idx="269">
                  <c:v>71.56</c:v>
                </c:pt>
                <c:pt idx="270">
                  <c:v>69.849999999999994</c:v>
                </c:pt>
                <c:pt idx="271">
                  <c:v>69.61</c:v>
                </c:pt>
                <c:pt idx="272">
                  <c:v>68.41</c:v>
                </c:pt>
                <c:pt idx="273">
                  <c:v>67.36</c:v>
                </c:pt>
                <c:pt idx="274">
                  <c:v>66.8</c:v>
                </c:pt>
                <c:pt idx="275">
                  <c:v>66.709999999999994</c:v>
                </c:pt>
                <c:pt idx="276">
                  <c:v>68.62</c:v>
                </c:pt>
                <c:pt idx="277">
                  <c:v>65.75</c:v>
                </c:pt>
                <c:pt idx="278">
                  <c:v>63.8</c:v>
                </c:pt>
                <c:pt idx="279">
                  <c:v>59.76</c:v>
                </c:pt>
                <c:pt idx="280">
                  <c:v>60.35</c:v>
                </c:pt>
                <c:pt idx="281">
                  <c:v>62.08</c:v>
                </c:pt>
                <c:pt idx="282">
                  <c:v>61.01</c:v>
                </c:pt>
                <c:pt idx="283">
                  <c:v>64.599999999999994</c:v>
                </c:pt>
                <c:pt idx="284">
                  <c:v>66.209999999999994</c:v>
                </c:pt>
                <c:pt idx="285">
                  <c:v>65.98</c:v>
                </c:pt>
                <c:pt idx="286">
                  <c:v>65.06</c:v>
                </c:pt>
                <c:pt idx="287">
                  <c:v>63.3</c:v>
                </c:pt>
                <c:pt idx="288">
                  <c:v>63.93</c:v>
                </c:pt>
                <c:pt idx="289">
                  <c:v>65.89</c:v>
                </c:pt>
                <c:pt idx="290">
                  <c:v>64.2</c:v>
                </c:pt>
                <c:pt idx="291">
                  <c:v>63.55</c:v>
                </c:pt>
                <c:pt idx="292">
                  <c:v>65.05</c:v>
                </c:pt>
                <c:pt idx="293">
                  <c:v>66.64</c:v>
                </c:pt>
                <c:pt idx="294">
                  <c:v>67.88</c:v>
                </c:pt>
                <c:pt idx="295">
                  <c:v>70.3</c:v>
                </c:pt>
                <c:pt idx="296">
                  <c:v>70.2</c:v>
                </c:pt>
                <c:pt idx="297">
                  <c:v>71.010000000000005</c:v>
                </c:pt>
                <c:pt idx="298">
                  <c:v>71.69</c:v>
                </c:pt>
                <c:pt idx="299">
                  <c:v>71.849999999999994</c:v>
                </c:pt>
                <c:pt idx="300">
                  <c:v>70.11</c:v>
                </c:pt>
                <c:pt idx="301">
                  <c:v>72.94</c:v>
                </c:pt>
                <c:pt idx="302">
                  <c:v>69.44</c:v>
                </c:pt>
                <c:pt idx="303">
                  <c:v>70.69</c:v>
                </c:pt>
                <c:pt idx="304">
                  <c:v>71.84</c:v>
                </c:pt>
                <c:pt idx="305">
                  <c:v>71.11</c:v>
                </c:pt>
                <c:pt idx="306">
                  <c:v>71.510000000000005</c:v>
                </c:pt>
                <c:pt idx="307">
                  <c:v>70.540000000000006</c:v>
                </c:pt>
                <c:pt idx="308">
                  <c:v>70.58</c:v>
                </c:pt>
                <c:pt idx="309">
                  <c:v>70.61</c:v>
                </c:pt>
                <c:pt idx="310">
                  <c:v>72.540000000000006</c:v>
                </c:pt>
                <c:pt idx="311">
                  <c:v>72.3</c:v>
                </c:pt>
                <c:pt idx="312">
                  <c:v>72.16</c:v>
                </c:pt>
                <c:pt idx="313">
                  <c:v>73.5</c:v>
                </c:pt>
                <c:pt idx="314">
                  <c:v>72.709999999999994</c:v>
                </c:pt>
                <c:pt idx="315">
                  <c:v>75.36</c:v>
                </c:pt>
                <c:pt idx="316">
                  <c:v>74.510000000000005</c:v>
                </c:pt>
                <c:pt idx="317">
                  <c:v>74.05</c:v>
                </c:pt>
                <c:pt idx="318">
                  <c:v>73.48</c:v>
                </c:pt>
                <c:pt idx="319">
                  <c:v>71.97</c:v>
                </c:pt>
                <c:pt idx="320">
                  <c:v>72</c:v>
                </c:pt>
                <c:pt idx="321">
                  <c:v>72.91</c:v>
                </c:pt>
                <c:pt idx="322">
                  <c:v>71.72</c:v>
                </c:pt>
                <c:pt idx="323">
                  <c:v>69.459999999999994</c:v>
                </c:pt>
                <c:pt idx="324">
                  <c:v>69.400000000000006</c:v>
                </c:pt>
                <c:pt idx="325">
                  <c:v>68.95</c:v>
                </c:pt>
              </c:numCache>
            </c:numRef>
          </c:val>
          <c:smooth val="0"/>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0-AFE3-4EA6-BFEE-129578BDAC1E}"/>
            </c:ext>
          </c:extLst>
        </c:ser>
        <c:dLbls>
          <c:showLegendKey val="0"/>
          <c:showVal val="0"/>
          <c:showCatName val="0"/>
          <c:showSerName val="0"/>
          <c:showPercent val="0"/>
          <c:showBubbleSize val="0"/>
        </c:dLbls>
        <c:smooth val="0"/>
        <c:axId val="1335318591"/>
        <c:axId val="1335321087"/>
      </c:lineChart>
      <c:catAx>
        <c:axId val="1335318591"/>
        <c:scaling>
          <c:orientation val="minMax"/>
          <c:min val="-13"/>
        </c:scaling>
        <c:delete val="0"/>
        <c:axPos val="b"/>
        <c:numFmt formatCode="d/m/yy;@" sourceLinked="0"/>
        <c:majorTickMark val="out"/>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35321087"/>
        <c:crosses val="autoZero"/>
        <c:auto val="1"/>
        <c:lblAlgn val="ctr"/>
        <c:lblOffset val="100"/>
        <c:tickLblSkip val="20"/>
        <c:noMultiLvlLbl val="0"/>
      </c:catAx>
      <c:valAx>
        <c:axId val="1335321087"/>
        <c:scaling>
          <c:orientation val="minMax"/>
          <c:max val="1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lumMod val="65000"/>
                        <a:lumOff val="35000"/>
                      </a:sysClr>
                    </a:solidFill>
                    <a:latin typeface="+mn-lt"/>
                    <a:ea typeface="+mn-ea"/>
                    <a:cs typeface="+mn-cs"/>
                  </a:defRPr>
                </a:pPr>
                <a:r>
                  <a:rPr lang="sq-AL" sz="10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Preço dos leilões (EUR/toneladas de CO</a:t>
                </a:r>
                <a:r>
                  <a:rPr lang="sq-AL" sz="1000" b="0" i="0" u="none" strike="noStrike" kern="1200" baseline="-25000">
                    <a:solidFill>
                      <a:sysClr val="windowText" lastClr="000000">
                        <a:lumMod val="65000"/>
                        <a:lumOff val="35000"/>
                      </a:sysClr>
                    </a:solidFill>
                    <a:latin typeface="Times New Roman" panose="02020603050405020304" pitchFamily="18" charset="0"/>
                    <a:cs typeface="Times New Roman" panose="02020603050405020304" pitchFamily="18" charset="0"/>
                  </a:rPr>
                  <a:t>2</a:t>
                </a:r>
                <a:r>
                  <a:rPr lang="sq-AL" sz="10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a:t>
                </a:r>
                <a:endParaRPr lang="en-IE" sz="10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IE" sz="1000" b="0">
                  <a:latin typeface="Times New Roman" panose="02020603050405020304" pitchFamily="18" charset="0"/>
                  <a:cs typeface="Times New Roman" panose="02020603050405020304" pitchFamily="18" charset="0"/>
                </a:endParaRPr>
              </a:p>
            </c:rich>
          </c:tx>
          <c:layout>
            <c:manualLayout>
              <c:xMode val="edge"/>
              <c:yMode val="edge"/>
              <c:x val="2.2788758983234784E-2"/>
              <c:y val="0.17110342866283931"/>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lumMod val="65000"/>
                      <a:lumOff val="35000"/>
                    </a:sys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35318591"/>
        <c:crosses val="autoZero"/>
        <c:crossBetween val="between"/>
        <c:majorUnit val="1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b="1" i="0" baseline="0"/>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'[CMR 2025 - Figure 3 surplus.xlsx]surplus chart'!$A$2</c:f>
              <c:strCache>
                <c:ptCount val="1"/>
                <c:pt idx="0">
                  <c:v>Surplus</c:v>
                </c:pt>
              </c:strCache>
            </c:strRef>
          </c:tx>
          <c:spPr>
            <a:solidFill>
              <a:schemeClr val="accent5">
                <a:lumMod val="50000"/>
              </a:schemeClr>
            </a:solidFill>
            <a:ln>
              <a:solidFill>
                <a:schemeClr val="accent5">
                  <a:lumMod val="50000"/>
                </a:schemeClr>
              </a:solidFill>
            </a:ln>
            <a:effectLst/>
          </c:spPr>
          <c:invertIfNegative val="0"/>
          <c:dLbls>
            <c:numFmt formatCode="0.0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'[CMR 2025 - Figure 3 surplus.xlsx]surplus chart'!$B$1:$M$1</c:f>
              <c:numCache>
                <c:formatCode>General</c:formatCod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numCache>
            </c:numRef>
          </c:cat>
          <c:val>
            <c:numRef>
              <c:f>'[CMR 2025 - Figure 3 surplus.xlsx]surplus chart'!$B$2:$M$2</c:f>
              <c:numCache>
                <c:formatCode>#,##0</c:formatCode>
                <c:ptCount val="12"/>
                <c:pt idx="0">
                  <c:v>2084787900</c:v>
                </c:pt>
                <c:pt idx="1">
                  <c:v>2093383593</c:v>
                </c:pt>
                <c:pt idx="2">
                  <c:v>1818041895</c:v>
                </c:pt>
                <c:pt idx="3">
                  <c:v>1684569981</c:v>
                </c:pt>
                <c:pt idx="4">
                  <c:v>1654574598</c:v>
                </c:pt>
                <c:pt idx="5">
                  <c:v>1654909824</c:v>
                </c:pt>
                <c:pt idx="6">
                  <c:v>1385496166</c:v>
                </c:pt>
                <c:pt idx="7">
                  <c:v>1578772426</c:v>
                </c:pt>
                <c:pt idx="8">
                  <c:v>1449214182</c:v>
                </c:pt>
                <c:pt idx="9">
                  <c:v>1134794738</c:v>
                </c:pt>
                <c:pt idx="10">
                  <c:v>1111736535</c:v>
                </c:pt>
                <c:pt idx="11">
                  <c:v>1148049585</c:v>
                </c:pt>
              </c:numCache>
            </c:numRef>
          </c:val>
          <c:extLs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0-17D1-4BEA-83D7-BB6F544F6AEC}"/>
            </c:ext>
          </c:extLst>
        </c:ser>
        <c:dLbls>
          <c:showLegendKey val="0"/>
          <c:showVal val="0"/>
          <c:showCatName val="0"/>
          <c:showSerName val="0"/>
          <c:showPercent val="0"/>
          <c:showBubbleSize val="0"/>
        </c:dLbls>
        <c:gapWidth val="219"/>
        <c:overlap val="-27"/>
        <c:axId val="402840344"/>
        <c:axId val="402841656"/>
      </c:barChart>
      <c:catAx>
        <c:axId val="402840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2841656"/>
        <c:crosses val="autoZero"/>
        <c:auto val="1"/>
        <c:lblAlgn val="ctr"/>
        <c:lblOffset val="100"/>
        <c:noMultiLvlLbl val="0"/>
      </c:catAx>
      <c:valAx>
        <c:axId val="402841656"/>
        <c:scaling>
          <c:orientation val="minMax"/>
        </c:scaling>
        <c:delete val="0"/>
        <c:axPos val="l"/>
        <c:majorGridlines>
          <c:spPr>
            <a:ln w="9525" cap="flat" cmpd="sng" algn="ctr">
              <a:solidFill>
                <a:schemeClr val="bg1">
                  <a:lumMod val="9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2840344"/>
        <c:crosses val="autoZero"/>
        <c:crossBetween val="between"/>
        <c:dispUnits>
          <c:builtInUnit val="billions"/>
          <c:dispUnitsLbl>
            <c:layout>
              <c:manualLayout>
                <c:xMode val="edge"/>
                <c:yMode val="edge"/>
                <c:x val="1.2620751099024967E-2"/>
                <c:y val="0.33687043807155204"/>
              </c:manualLayout>
            </c:layout>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sq-AL" sz="11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Licenças de emissão [milhares de milhões]</a:t>
                  </a:r>
                  <a:endParaRPr lang="en-IE" sz="11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endParaRPr>
                </a:p>
              </c:rich>
            </c:tx>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en-US"/>
              </a:p>
            </c:txPr>
          </c:dispUnitsLbl>
        </c:dispUnits>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lumMod val="50000"/>
              </a:schemeClr>
            </a:solidFill>
            <a:ln>
              <a:solidFill>
                <a:schemeClr val="tx2">
                  <a:lumMod val="50000"/>
                </a:schemeClr>
              </a:solidFill>
            </a:ln>
            <a:effectLst/>
          </c:spPr>
          <c:invertIfNegative val="0"/>
          <c:dLbls>
            <c:dLbl>
              <c:idx val="0"/>
              <c:tx>
                <c:rich>
                  <a:bodyPr/>
                  <a:lstStyle/>
                  <a:p>
                    <a:fld id="{B5933AC9-FFF5-49A0-8648-2A3A1C421E5E}" type="CELLRANGE">
                      <a:rPr lang="en-US"/>
                      <a:pPr/>
                      <a:t>[CELLRANGE]</a:t>
                    </a:fld>
                    <a:endParaRPr lang="en-GB"/>
                  </a:p>
                </c:rich>
              </c:tx>
              <c:dLblPos val="inBase"/>
              <c:showLegendKey val="0"/>
              <c:showVal val="0"/>
              <c:showCatName val="0"/>
              <c:showSerName val="0"/>
              <c:showPercent val="0"/>
              <c:showBubbleSize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dlblFieldTable/>
                  <c15:showDataLabelsRange val="1"/>
                </c:ext>
                <c:ext xmlns:c16="http://schemas.microsoft.com/office/drawing/2014/chart" uri="{C3380CC4-5D6E-409C-BE32-E72D297353CC}">
                  <c16:uniqueId val="{00000000-A71B-45C1-88C7-343A0768D832}"/>
                </c:ext>
              </c:extLst>
            </c:dLbl>
            <c:dLbl>
              <c:idx val="1"/>
              <c:tx>
                <c:rich>
                  <a:bodyPr/>
                  <a:lstStyle/>
                  <a:p>
                    <a:fld id="{E1C5FD0B-05EA-45D8-8B13-6A6125A56A99}" type="CELLRANGE">
                      <a:rPr lang="en-GB"/>
                      <a:pPr/>
                      <a:t>[CELLRANGE]</a:t>
                    </a:fld>
                    <a:endParaRPr lang="en-GB"/>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A71B-45C1-88C7-343A0768D832}"/>
                </c:ext>
              </c:extLst>
            </c:dLbl>
            <c:dLbl>
              <c:idx val="2"/>
              <c:tx>
                <c:rich>
                  <a:bodyPr/>
                  <a:lstStyle/>
                  <a:p>
                    <a:fld id="{149AEFA8-5C95-47DC-B133-9AD443439DA2}" type="CELLRANGE">
                      <a:rPr lang="en-GB"/>
                      <a:pPr/>
                      <a:t>[CELLRANGE]</a:t>
                    </a:fld>
                    <a:endParaRPr lang="en-GB"/>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A71B-45C1-88C7-343A0768D832}"/>
                </c:ext>
              </c:extLst>
            </c:dLbl>
            <c:dLbl>
              <c:idx val="3"/>
              <c:tx>
                <c:rich>
                  <a:bodyPr/>
                  <a:lstStyle/>
                  <a:p>
                    <a:fld id="{09760981-D53E-49B2-8130-9AA001BDC966}" type="CELLRANGE">
                      <a:rPr lang="en-GB"/>
                      <a:pPr/>
                      <a:t>[CELLRANGE]</a:t>
                    </a:fld>
                    <a:endParaRPr lang="en-GB"/>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A71B-45C1-88C7-343A0768D832}"/>
                </c:ext>
              </c:extLst>
            </c:dLbl>
            <c:dLbl>
              <c:idx val="4"/>
              <c:tx>
                <c:rich>
                  <a:bodyPr/>
                  <a:lstStyle/>
                  <a:p>
                    <a:fld id="{E9CAB492-2B93-45B2-B32A-06795637D62A}" type="CELLRANGE">
                      <a:rPr lang="en-GB"/>
                      <a:pPr/>
                      <a:t>[CELLRANGE]</a:t>
                    </a:fld>
                    <a:endParaRPr lang="en-GB"/>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A71B-45C1-88C7-343A0768D832}"/>
                </c:ext>
              </c:extLst>
            </c:dLbl>
            <c:dLbl>
              <c:idx val="5"/>
              <c:tx>
                <c:rich>
                  <a:bodyPr/>
                  <a:lstStyle/>
                  <a:p>
                    <a:fld id="{E31BF722-62B0-4465-9CD0-2B5B58285558}" type="CELLRANGE">
                      <a:rPr lang="en-GB"/>
                      <a:pPr/>
                      <a:t>[CELLRANGE]</a:t>
                    </a:fld>
                    <a:endParaRPr lang="en-GB"/>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A71B-45C1-88C7-343A0768D832}"/>
                </c:ext>
              </c:extLst>
            </c:dLbl>
            <c:dLbl>
              <c:idx val="6"/>
              <c:tx>
                <c:rich>
                  <a:bodyPr/>
                  <a:lstStyle/>
                  <a:p>
                    <a:fld id="{F6BBEC46-66E2-42BA-986A-995722E40CB4}" type="CELLRANGE">
                      <a:rPr lang="en-GB"/>
                      <a:pPr/>
                      <a:t>[CELLRANGE]</a:t>
                    </a:fld>
                    <a:endParaRPr lang="en-GB"/>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A71B-45C1-88C7-343A0768D832}"/>
                </c:ext>
              </c:extLst>
            </c:dLbl>
            <c:dLbl>
              <c:idx val="7"/>
              <c:tx>
                <c:rich>
                  <a:bodyPr/>
                  <a:lstStyle/>
                  <a:p>
                    <a:fld id="{E684D8A5-25F1-442F-BA1D-1904D6C02164}" type="CELLRANGE">
                      <a:rPr lang="en-GB"/>
                      <a:pPr/>
                      <a:t>[CELLRANGE]</a:t>
                    </a:fld>
                    <a:endParaRPr lang="en-GB"/>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A71B-45C1-88C7-343A0768D832}"/>
                </c:ext>
              </c:extLst>
            </c:dLbl>
            <c:dLbl>
              <c:idx val="8"/>
              <c:tx>
                <c:rich>
                  <a:bodyPr/>
                  <a:lstStyle/>
                  <a:p>
                    <a:fld id="{DB76A057-2803-42DB-991F-BE2F599D7A5C}" type="CELLRANGE">
                      <a:rPr lang="en-GB"/>
                      <a:pPr/>
                      <a:t>[CELLRANGE]</a:t>
                    </a:fld>
                    <a:endParaRPr lang="en-GB"/>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A71B-45C1-88C7-343A0768D832}"/>
                </c:ext>
              </c:extLst>
            </c:dLbl>
            <c:dLbl>
              <c:idx val="9"/>
              <c:tx>
                <c:rich>
                  <a:bodyPr/>
                  <a:lstStyle/>
                  <a:p>
                    <a:fld id="{CAA21ED8-4601-40B4-A113-AB458B678837}" type="CELLRANGE">
                      <a:rPr lang="en-GB"/>
                      <a:pPr/>
                      <a:t>[CELLRANGE]</a:t>
                    </a:fld>
                    <a:endParaRPr lang="en-GB"/>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A71B-45C1-88C7-343A0768D832}"/>
                </c:ext>
              </c:extLst>
            </c:dLbl>
            <c:dLbl>
              <c:idx val="10"/>
              <c:tx>
                <c:rich>
                  <a:bodyPr/>
                  <a:lstStyle/>
                  <a:p>
                    <a:fld id="{991AC7E9-9702-44F7-82B1-00258A4FFB04}" type="CELLRANGE">
                      <a:rPr lang="en-GB"/>
                      <a:pPr/>
                      <a:t>[CELLRANGE]</a:t>
                    </a:fld>
                    <a:endParaRPr lang="en-GB"/>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A71B-45C1-88C7-343A0768D832}"/>
                </c:ext>
              </c:extLst>
            </c:dLbl>
            <c:dLbl>
              <c:idx val="11"/>
              <c:tx>
                <c:rich>
                  <a:bodyPr/>
                  <a:lstStyle/>
                  <a:p>
                    <a:fld id="{FBB28C8A-A36F-47B3-9AFF-6DBB4F400E6C}" type="CELLRANGE">
                      <a:rPr lang="en-GB"/>
                      <a:pPr/>
                      <a:t>[CELLRANGE]</a:t>
                    </a:fld>
                    <a:endParaRPr lang="en-GB"/>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A71B-45C1-88C7-343A0768D832}"/>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mn-lt"/>
                    <a:ea typeface="+mn-ea"/>
                    <a:cs typeface="+mn-cs"/>
                  </a:defRPr>
                </a:pPr>
                <a:endParaRPr lang="en-US"/>
              </a:p>
            </c:txPr>
            <c:dLblPos val="inBase"/>
            <c:showLegendKey val="0"/>
            <c:showVal val="0"/>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numRef>
              <c:f>'[CMR 2025 - Figure 4 and 5.xlsx]Figure 4 and 5 for CMR'!$L$62:$W$62</c:f>
              <c:numCache>
                <c:formatCode>General</c:formatCod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numCache>
            </c:numRef>
          </c:cat>
          <c:val>
            <c:numRef>
              <c:f>'[CMR 2025 - Figure 4 and 5.xlsx]Figure 4 and 5 for CMR'!$L$75:$W$75</c:f>
              <c:numCache>
                <c:formatCode>General</c:formatCode>
                <c:ptCount val="12"/>
                <c:pt idx="0">
                  <c:v>1465.1596217420004</c:v>
                </c:pt>
                <c:pt idx="1">
                  <c:v>1369.9604189701281</c:v>
                </c:pt>
                <c:pt idx="2">
                  <c:v>1390.3820860482974</c:v>
                </c:pt>
                <c:pt idx="3">
                  <c:v>1362.449932452326</c:v>
                </c:pt>
                <c:pt idx="4">
                  <c:v>1374.2935107444453</c:v>
                </c:pt>
                <c:pt idx="5">
                  <c:v>1315.2279745237258</c:v>
                </c:pt>
                <c:pt idx="6">
                  <c:v>1164.1997691959959</c:v>
                </c:pt>
                <c:pt idx="7">
                  <c:v>1033.4146584767084</c:v>
                </c:pt>
                <c:pt idx="8">
                  <c:v>1106.2056100978305</c:v>
                </c:pt>
                <c:pt idx="9">
                  <c:v>1096.2533764025329</c:v>
                </c:pt>
                <c:pt idx="10">
                  <c:v>902.06136432406913</c:v>
                </c:pt>
                <c:pt idx="11">
                  <c:v>852.13688500242768</c:v>
                </c:pt>
              </c:numCache>
            </c:numRef>
          </c:val>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02D57815-91ED-43cb-92C2-25804820EDAC}">
              <c15:datalabelsRange>
                <c15:f>'[CMR 2025 - Figure 4 and 5.xlsx]Figure 4 and 5 for CMR'!$L$77:$W$77</c15:f>
                <c15:dlblRangeCache>
                  <c:ptCount val="12"/>
                  <c:pt idx="0">
                    <c:v>87%</c:v>
                  </c:pt>
                  <c:pt idx="1">
                    <c:v>85%</c:v>
                  </c:pt>
                  <c:pt idx="2">
                    <c:v>85%</c:v>
                  </c:pt>
                  <c:pt idx="3">
                    <c:v>85%</c:v>
                  </c:pt>
                  <c:pt idx="4">
                    <c:v>85%</c:v>
                  </c:pt>
                  <c:pt idx="5">
                    <c:v>84%</c:v>
                  </c:pt>
                  <c:pt idx="6">
                    <c:v>82%</c:v>
                  </c:pt>
                  <c:pt idx="7">
                    <c:v>82%</c:v>
                  </c:pt>
                  <c:pt idx="8">
                    <c:v>83%</c:v>
                  </c:pt>
                  <c:pt idx="9">
                    <c:v>83%</c:v>
                  </c:pt>
                  <c:pt idx="10">
                    <c:v>82%</c:v>
                  </c:pt>
                  <c:pt idx="11">
                    <c:v>82%</c:v>
                  </c:pt>
                </c15:dlblRangeCache>
              </c15:datalabelsRange>
            </c:ext>
            <c:ext xmlns:c16="http://schemas.microsoft.com/office/drawing/2014/chart" uri="{C3380CC4-5D6E-409C-BE32-E72D297353CC}">
              <c16:uniqueId val="{0000000C-A71B-45C1-88C7-343A0768D832}"/>
            </c:ext>
          </c:extLst>
        </c:ser>
        <c:dLbls>
          <c:showLegendKey val="0"/>
          <c:showVal val="0"/>
          <c:showCatName val="0"/>
          <c:showSerName val="0"/>
          <c:showPercent val="0"/>
          <c:showBubbleSize val="0"/>
        </c:dLbls>
        <c:gapWidth val="40"/>
        <c:axId val="1698695632"/>
        <c:axId val="1733699280"/>
      </c:barChart>
      <c:catAx>
        <c:axId val="1698695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33699280"/>
        <c:crosses val="autoZero"/>
        <c:auto val="1"/>
        <c:lblAlgn val="ctr"/>
        <c:lblOffset val="100"/>
        <c:noMultiLvlLbl val="0"/>
      </c:catAx>
      <c:valAx>
        <c:axId val="1733699280"/>
        <c:scaling>
          <c:orientation val="minMax"/>
        </c:scaling>
        <c:delete val="0"/>
        <c:axPos val="l"/>
        <c:majorGridlines>
          <c:spPr>
            <a:ln w="9525" cap="flat" cmpd="sng" algn="ctr">
              <a:solidFill>
                <a:schemeClr val="bg1">
                  <a:lumMod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98695632"/>
        <c:crosses val="autoZero"/>
        <c:crossBetween val="between"/>
        <c:dispUnits>
          <c:builtInUnit val="thousands"/>
          <c:dispUnitsLbl>
            <c:layout>
              <c:manualLayout>
                <c:xMode val="edge"/>
                <c:yMode val="edge"/>
                <c:x val="1.9942388654996677E-2"/>
                <c:y val="0.25065274151436029"/>
              </c:manualLayout>
            </c:layout>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sq-AL" sz="10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Emissões (Gt CO</a:t>
                  </a:r>
                  <a:r>
                    <a:rPr lang="sq-AL" sz="1000" b="0" i="0" u="none" strike="noStrike" kern="1200" baseline="-25000">
                      <a:solidFill>
                        <a:sysClr val="windowText" lastClr="000000">
                          <a:lumMod val="65000"/>
                          <a:lumOff val="35000"/>
                        </a:sysClr>
                      </a:solidFill>
                      <a:latin typeface="Times New Roman" panose="02020603050405020304" pitchFamily="18" charset="0"/>
                      <a:cs typeface="Times New Roman" panose="02020603050405020304" pitchFamily="18" charset="0"/>
                    </a:rPr>
                    <a:t>2eq</a:t>
                  </a:r>
                  <a:r>
                    <a:rPr lang="sq-AL" sz="10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a:t>
                  </a:r>
                  <a:endParaRPr lang="en-US" sz="10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latin typeface="Times New Roman" panose="02020603050405020304" pitchFamily="18" charset="0"/>
                      <a:cs typeface="Times New Roman" panose="02020603050405020304" pitchFamily="18" charset="0"/>
                    </a:defRPr>
                  </a:pPr>
                  <a:endParaRPr lang="en-US">
                    <a:latin typeface="Times New Roman" panose="02020603050405020304" pitchFamily="18" charset="0"/>
                    <a:cs typeface="Times New Roman" panose="02020603050405020304" pitchFamily="18" charset="0"/>
                  </a:endParaRPr>
                </a:p>
              </c:rich>
            </c:tx>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en-US"/>
              </a:p>
            </c:txPr>
          </c:dispUnitsLbl>
        </c:dispUnits>
      </c:valAx>
      <c:spPr>
        <a:noFill/>
        <a:ln>
          <a:noFill/>
        </a:ln>
        <a:effectLst/>
      </c:spPr>
    </c:plotArea>
    <c:plotVisOnly val="1"/>
    <c:dispBlanksAs val="gap"/>
    <c:showDLblsOverMax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9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ocumenttasks/documenttasks1.xml><?xml version="1.0" encoding="utf-8"?>
<t:Tasks xmlns:t="http://schemas.microsoft.com/office/tasks/2019/documenttasks" xmlns:oel="http://schemas.microsoft.com/office/2019/extlst">
  <t:Task id="{70C0621B-6072-448D-8136-B4916A485EB4}">
    <t:Anchor>
      <t:Comment id="1471632134"/>
    </t:Anchor>
    <t:History>
      <t:Event time="2025-08-29T09:47:36.189Z" id="{22FAAED5-FA82-4FB6-B833-92FC47DD94C8}">
        <t:Attribution userId="S::Miles.PERRY@ec.europa.eu::0076d01d-dfbb-4af7-9a59-25c762b425ca" userName="PERRY Miles (CLIMA)" userProvider="AD"/>
        <t:Anchor>
          <t:Comment id="1471632134"/>
        </t:Anchor>
        <t:Create/>
      </t:Event>
      <t:Event time="2025-08-29T09:47:36.189Z" id="{E19E0770-31D3-4512-9F2C-C02B9934329B}">
        <t:Attribution userId="S::Miles.PERRY@ec.europa.eu::0076d01d-dfbb-4af7-9a59-25c762b425ca" userName="PERRY Miles (CLIMA)" userProvider="AD"/>
        <t:Anchor>
          <t:Comment id="1471632134"/>
        </t:Anchor>
        <t:Assign userId="S::Miles.PERRY@ec.europa.eu::0076d01d-dfbb-4af7-9a59-25c762b425ca" userName="PERRY Miles (CLIMA)" userProvider="AD"/>
      </t:Event>
      <t:Event time="2025-08-29T09:47:36.189Z" id="{D0EDD46E-FDDA-4254-B2A6-76C6D1844262}">
        <t:Attribution userId="S::Miles.PERRY@ec.europa.eu::0076d01d-dfbb-4af7-9a59-25c762b425ca" userName="PERRY Miles (CLIMA)" userProvider="AD"/>
        <t:Anchor>
          <t:Comment id="1471632134"/>
        </t:Anchor>
        <t:SetTitle title="@PERRY Miles (CLIMA) @ZIEMANN Julia (CLIMA) Need to create an additional level of Heading for these level 3 sections (not only in maritime)."/>
      </t:Event>
      <t:Event time="2025-08-31T22:54:58.902Z" id="{9C05BB93-418D-499B-87EA-141562211D97}">
        <t:Attribution userId="S::Miles.PERRY@ec.europa.eu::0076d01d-dfbb-4af7-9a59-25c762b425ca" userName="PERRY Miles (CLIMA)" userProvider="AD"/>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9234BE3910874EAD93E4EEEE4C73D0" ma:contentTypeVersion="23" ma:contentTypeDescription="Create a new document." ma:contentTypeScope="" ma:versionID="0b07422cb120a4fcd6063ca8d97317d5">
  <xsd:schema xmlns:xsd="http://www.w3.org/2001/XMLSchema" xmlns:xs="http://www.w3.org/2001/XMLSchema" xmlns:p="http://schemas.microsoft.com/office/2006/metadata/properties" xmlns:ns2="e454a234-126e-4e9d-9424-56879817f6db" xmlns:ns3="e1a78ac4-7176-4dde-ad25-36245d50a152" targetNamespace="http://schemas.microsoft.com/office/2006/metadata/properties" ma:root="true" ma:fieldsID="c8b7c09b12f681c4c1ce221b06d1d2b4" ns2:_="" ns3:_="">
    <xsd:import namespace="e454a234-126e-4e9d-9424-56879817f6db"/>
    <xsd:import namespace="e1a78ac4-7176-4dde-ad25-36245d50a152"/>
    <xsd:element name="properties">
      <xsd:complexType>
        <xsd:sequence>
          <xsd:element name="documentManagement">
            <xsd:complexType>
              <xsd:all>
                <xsd:element ref="ns2:lcf76f155ced4ddcb4097134ff3c332f" minOccurs="0"/>
                <xsd:element ref="ns3:TaxCatchAll" minOccurs="0"/>
                <xsd:element ref="ns2:Person" minOccurs="0"/>
                <xsd:element ref="ns2:Time"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4a234-126e-4e9d-9424-56879817f6db" elementFormDefault="qualified">
    <xsd:import namespace="http://schemas.microsoft.com/office/2006/documentManagement/types"/>
    <xsd:import namespace="http://schemas.microsoft.com/office/infopath/2007/PartnerControls"/>
    <xsd:element name="lcf76f155ced4ddcb4097134ff3c332f" ma:index="8" nillable="true" ma:displayName="Image Tags_0" ma:hidden="true" ma:internalName="lcf76f155ced4ddcb4097134ff3c332f">
      <xsd:simpleType>
        <xsd:restriction base="dms:Note"/>
      </xsd:simpleType>
    </xsd:element>
    <xsd:element name="Person" ma:index="10"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me" ma:index="11" nillable="true" ma:displayName="Time" ma:format="DateOnly" ma:internalName="Time">
      <xsd:simpleType>
        <xsd:restriction base="dms:DateTime"/>
      </xsd:simpleType>
    </xsd:element>
    <xsd:element name="Topic" ma:index="12" nillable="true" ma:displayName="Topic" ma:format="Dropdown" ma:internalName="Topic">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a78ac4-7176-4dde-ad25-36245d50a15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d0b7d13-719b-4003-a7dc-61b8783e7929}" ma:internalName="TaxCatchAll" ma:showField="CatchAllData" ma:web="e1a78ac4-7176-4dde-ad25-36245d50a1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54a234-126e-4e9d-9424-56879817f6db" xsi:nil="true"/>
    <Time xmlns="e454a234-126e-4e9d-9424-56879817f6db" xsi:nil="true"/>
    <TaxCatchAll xmlns="e1a78ac4-7176-4dde-ad25-36245d50a152" xsi:nil="true"/>
    <Person xmlns="e454a234-126e-4e9d-9424-56879817f6db">
      <UserInfo>
        <DisplayName/>
        <AccountId xsi:nil="true"/>
        <AccountType/>
      </UserInfo>
    </Person>
    <Topic xmlns="e454a234-126e-4e9d-9424-56879817f6d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741FF-26A6-41EE-A66C-B45811ED62D1}">
  <ds:schemaRefs>
    <ds:schemaRef ds:uri="http://schemas.microsoft.com/sharepoint/v3/contenttype/forms"/>
  </ds:schemaRefs>
</ds:datastoreItem>
</file>

<file path=customXml/itemProps2.xml><?xml version="1.0" encoding="utf-8"?>
<ds:datastoreItem xmlns:ds="http://schemas.openxmlformats.org/officeDocument/2006/customXml" ds:itemID="{FBBF3F36-5DEB-435A-8336-7521544FB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4a234-126e-4e9d-9424-56879817f6db"/>
    <ds:schemaRef ds:uri="e1a78ac4-7176-4dde-ad25-36245d50a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A7E9D1-9F24-4EB1-9A0F-F7BB9471994E}">
  <ds:schemaRefs>
    <ds:schemaRef ds:uri="http://schemas.microsoft.com/office/2006/metadata/properties"/>
    <ds:schemaRef ds:uri="http://schemas.microsoft.com/office/infopath/2007/PartnerControls"/>
    <ds:schemaRef ds:uri="e454a234-126e-4e9d-9424-56879817f6db"/>
    <ds:schemaRef ds:uri="e1a78ac4-7176-4dde-ad25-36245d50a152"/>
  </ds:schemaRefs>
</ds:datastoreItem>
</file>

<file path=customXml/itemProps4.xml><?xml version="1.0" encoding="utf-8"?>
<ds:datastoreItem xmlns:ds="http://schemas.openxmlformats.org/officeDocument/2006/customXml" ds:itemID="{05D0D70E-AF5B-4E56-B5F5-E5FCEFF53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16</Pages>
  <Words>21613</Words>
  <Characters>123197</Characters>
  <Application>Microsoft Office Word</Application>
  <DocSecurity>0</DocSecurity>
  <Lines>1026</Lines>
  <Paragraphs>289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144521</CharactersWithSpaces>
  <SharedDoc>false</SharedDoc>
  <HLinks>
    <vt:vector size="786" baseType="variant">
      <vt:variant>
        <vt:i4>8192067</vt:i4>
      </vt:variant>
      <vt:variant>
        <vt:i4>273</vt:i4>
      </vt:variant>
      <vt:variant>
        <vt:i4>0</vt:i4>
      </vt:variant>
      <vt:variant>
        <vt:i4>5</vt:i4>
      </vt:variant>
      <vt:variant>
        <vt:lpwstr>https://euc-word-edit.officeapps.live.com/we/wordeditorframe.aspx?ui=en-US&amp;rs=en-IE&amp;wopisrc=https%3A%2F%2Feceuropaeu.sharepoint.com%2Fteams%2FGRP-PRO-DG-CLIMA-Unit-B1%2F_vti_bin%2Fwopi.ashx%2Ffiles%2Facc4252787a84dbdab8548746684a965&amp;wdenableroaming=1&amp;mscc=1&amp;hid=8C06B9A1-6023-0000-00D3-045EC802F0CC.0&amp;uih=sharepointcom&amp;wdlcid=en-US&amp;jsapi=1&amp;jsapiver=v2&amp;corrid=3bc90275-cdf3-3b1b-1a72-07f85bc349f0&amp;usid=3bc90275-cdf3-3b1b-1a72-07f85bc349f0&amp;newsession=1&amp;sftc=1&amp;uihit=docaspx&amp;muv=1&amp;ats=PairwiseBroker&amp;cac=1&amp;sams=1&amp;mtf=1&amp;sfp=1&amp;sdp=1&amp;hch=1&amp;hwfh=1&amp;dchat=1&amp;sc=%7B%22pmo%22%3A%22https%3A%2F%2Feceuropaeu.sharepoint.com%22%2C%22pmshare%22%3Atrue%7D&amp;ctp=LeastProtected&amp;rct=Normal&amp;wdorigin=ItemsView&amp;wdhostclicktime=1754464512569&amp;afdflight=82&amp;csiro=1&amp;instantedit=1&amp;wopicomplete=1&amp;wdredirectionreason=Unified_SingleFlush</vt:lpwstr>
      </vt:variant>
      <vt:variant>
        <vt:lpwstr>_ftn3</vt:lpwstr>
      </vt:variant>
      <vt:variant>
        <vt:i4>1441854</vt:i4>
      </vt:variant>
      <vt:variant>
        <vt:i4>242</vt:i4>
      </vt:variant>
      <vt:variant>
        <vt:i4>0</vt:i4>
      </vt:variant>
      <vt:variant>
        <vt:i4>5</vt:i4>
      </vt:variant>
      <vt:variant>
        <vt:lpwstr/>
      </vt:variant>
      <vt:variant>
        <vt:lpwstr>_Toc212387647</vt:lpwstr>
      </vt:variant>
      <vt:variant>
        <vt:i4>1441854</vt:i4>
      </vt:variant>
      <vt:variant>
        <vt:i4>236</vt:i4>
      </vt:variant>
      <vt:variant>
        <vt:i4>0</vt:i4>
      </vt:variant>
      <vt:variant>
        <vt:i4>5</vt:i4>
      </vt:variant>
      <vt:variant>
        <vt:lpwstr/>
      </vt:variant>
      <vt:variant>
        <vt:lpwstr>_Toc212387646</vt:lpwstr>
      </vt:variant>
      <vt:variant>
        <vt:i4>1441854</vt:i4>
      </vt:variant>
      <vt:variant>
        <vt:i4>230</vt:i4>
      </vt:variant>
      <vt:variant>
        <vt:i4>0</vt:i4>
      </vt:variant>
      <vt:variant>
        <vt:i4>5</vt:i4>
      </vt:variant>
      <vt:variant>
        <vt:lpwstr/>
      </vt:variant>
      <vt:variant>
        <vt:lpwstr>_Toc212387645</vt:lpwstr>
      </vt:variant>
      <vt:variant>
        <vt:i4>1441854</vt:i4>
      </vt:variant>
      <vt:variant>
        <vt:i4>224</vt:i4>
      </vt:variant>
      <vt:variant>
        <vt:i4>0</vt:i4>
      </vt:variant>
      <vt:variant>
        <vt:i4>5</vt:i4>
      </vt:variant>
      <vt:variant>
        <vt:lpwstr/>
      </vt:variant>
      <vt:variant>
        <vt:lpwstr>_Toc212387644</vt:lpwstr>
      </vt:variant>
      <vt:variant>
        <vt:i4>1441854</vt:i4>
      </vt:variant>
      <vt:variant>
        <vt:i4>218</vt:i4>
      </vt:variant>
      <vt:variant>
        <vt:i4>0</vt:i4>
      </vt:variant>
      <vt:variant>
        <vt:i4>5</vt:i4>
      </vt:variant>
      <vt:variant>
        <vt:lpwstr/>
      </vt:variant>
      <vt:variant>
        <vt:lpwstr>_Toc212387643</vt:lpwstr>
      </vt:variant>
      <vt:variant>
        <vt:i4>1441854</vt:i4>
      </vt:variant>
      <vt:variant>
        <vt:i4>212</vt:i4>
      </vt:variant>
      <vt:variant>
        <vt:i4>0</vt:i4>
      </vt:variant>
      <vt:variant>
        <vt:i4>5</vt:i4>
      </vt:variant>
      <vt:variant>
        <vt:lpwstr/>
      </vt:variant>
      <vt:variant>
        <vt:lpwstr>_Toc212387642</vt:lpwstr>
      </vt:variant>
      <vt:variant>
        <vt:i4>1441854</vt:i4>
      </vt:variant>
      <vt:variant>
        <vt:i4>206</vt:i4>
      </vt:variant>
      <vt:variant>
        <vt:i4>0</vt:i4>
      </vt:variant>
      <vt:variant>
        <vt:i4>5</vt:i4>
      </vt:variant>
      <vt:variant>
        <vt:lpwstr/>
      </vt:variant>
      <vt:variant>
        <vt:lpwstr>_Toc212387641</vt:lpwstr>
      </vt:variant>
      <vt:variant>
        <vt:i4>1441854</vt:i4>
      </vt:variant>
      <vt:variant>
        <vt:i4>200</vt:i4>
      </vt:variant>
      <vt:variant>
        <vt:i4>0</vt:i4>
      </vt:variant>
      <vt:variant>
        <vt:i4>5</vt:i4>
      </vt:variant>
      <vt:variant>
        <vt:lpwstr/>
      </vt:variant>
      <vt:variant>
        <vt:lpwstr>_Toc212387640</vt:lpwstr>
      </vt:variant>
      <vt:variant>
        <vt:i4>1114174</vt:i4>
      </vt:variant>
      <vt:variant>
        <vt:i4>194</vt:i4>
      </vt:variant>
      <vt:variant>
        <vt:i4>0</vt:i4>
      </vt:variant>
      <vt:variant>
        <vt:i4>5</vt:i4>
      </vt:variant>
      <vt:variant>
        <vt:lpwstr/>
      </vt:variant>
      <vt:variant>
        <vt:lpwstr>_Toc212387639</vt:lpwstr>
      </vt:variant>
      <vt:variant>
        <vt:i4>1114174</vt:i4>
      </vt:variant>
      <vt:variant>
        <vt:i4>188</vt:i4>
      </vt:variant>
      <vt:variant>
        <vt:i4>0</vt:i4>
      </vt:variant>
      <vt:variant>
        <vt:i4>5</vt:i4>
      </vt:variant>
      <vt:variant>
        <vt:lpwstr/>
      </vt:variant>
      <vt:variant>
        <vt:lpwstr>_Toc212387638</vt:lpwstr>
      </vt:variant>
      <vt:variant>
        <vt:i4>1114174</vt:i4>
      </vt:variant>
      <vt:variant>
        <vt:i4>182</vt:i4>
      </vt:variant>
      <vt:variant>
        <vt:i4>0</vt:i4>
      </vt:variant>
      <vt:variant>
        <vt:i4>5</vt:i4>
      </vt:variant>
      <vt:variant>
        <vt:lpwstr/>
      </vt:variant>
      <vt:variant>
        <vt:lpwstr>_Toc212387637</vt:lpwstr>
      </vt:variant>
      <vt:variant>
        <vt:i4>1114174</vt:i4>
      </vt:variant>
      <vt:variant>
        <vt:i4>176</vt:i4>
      </vt:variant>
      <vt:variant>
        <vt:i4>0</vt:i4>
      </vt:variant>
      <vt:variant>
        <vt:i4>5</vt:i4>
      </vt:variant>
      <vt:variant>
        <vt:lpwstr/>
      </vt:variant>
      <vt:variant>
        <vt:lpwstr>_Toc212387636</vt:lpwstr>
      </vt:variant>
      <vt:variant>
        <vt:i4>1114174</vt:i4>
      </vt:variant>
      <vt:variant>
        <vt:i4>170</vt:i4>
      </vt:variant>
      <vt:variant>
        <vt:i4>0</vt:i4>
      </vt:variant>
      <vt:variant>
        <vt:i4>5</vt:i4>
      </vt:variant>
      <vt:variant>
        <vt:lpwstr/>
      </vt:variant>
      <vt:variant>
        <vt:lpwstr>_Toc212387635</vt:lpwstr>
      </vt:variant>
      <vt:variant>
        <vt:i4>1114174</vt:i4>
      </vt:variant>
      <vt:variant>
        <vt:i4>164</vt:i4>
      </vt:variant>
      <vt:variant>
        <vt:i4>0</vt:i4>
      </vt:variant>
      <vt:variant>
        <vt:i4>5</vt:i4>
      </vt:variant>
      <vt:variant>
        <vt:lpwstr/>
      </vt:variant>
      <vt:variant>
        <vt:lpwstr>_Toc212387634</vt:lpwstr>
      </vt:variant>
      <vt:variant>
        <vt:i4>1114174</vt:i4>
      </vt:variant>
      <vt:variant>
        <vt:i4>158</vt:i4>
      </vt:variant>
      <vt:variant>
        <vt:i4>0</vt:i4>
      </vt:variant>
      <vt:variant>
        <vt:i4>5</vt:i4>
      </vt:variant>
      <vt:variant>
        <vt:lpwstr/>
      </vt:variant>
      <vt:variant>
        <vt:lpwstr>_Toc212387633</vt:lpwstr>
      </vt:variant>
      <vt:variant>
        <vt:i4>1114174</vt:i4>
      </vt:variant>
      <vt:variant>
        <vt:i4>152</vt:i4>
      </vt:variant>
      <vt:variant>
        <vt:i4>0</vt:i4>
      </vt:variant>
      <vt:variant>
        <vt:i4>5</vt:i4>
      </vt:variant>
      <vt:variant>
        <vt:lpwstr/>
      </vt:variant>
      <vt:variant>
        <vt:lpwstr>_Toc212387632</vt:lpwstr>
      </vt:variant>
      <vt:variant>
        <vt:i4>1114174</vt:i4>
      </vt:variant>
      <vt:variant>
        <vt:i4>146</vt:i4>
      </vt:variant>
      <vt:variant>
        <vt:i4>0</vt:i4>
      </vt:variant>
      <vt:variant>
        <vt:i4>5</vt:i4>
      </vt:variant>
      <vt:variant>
        <vt:lpwstr/>
      </vt:variant>
      <vt:variant>
        <vt:lpwstr>_Toc212387631</vt:lpwstr>
      </vt:variant>
      <vt:variant>
        <vt:i4>1114174</vt:i4>
      </vt:variant>
      <vt:variant>
        <vt:i4>140</vt:i4>
      </vt:variant>
      <vt:variant>
        <vt:i4>0</vt:i4>
      </vt:variant>
      <vt:variant>
        <vt:i4>5</vt:i4>
      </vt:variant>
      <vt:variant>
        <vt:lpwstr/>
      </vt:variant>
      <vt:variant>
        <vt:lpwstr>_Toc212387630</vt:lpwstr>
      </vt:variant>
      <vt:variant>
        <vt:i4>1048638</vt:i4>
      </vt:variant>
      <vt:variant>
        <vt:i4>134</vt:i4>
      </vt:variant>
      <vt:variant>
        <vt:i4>0</vt:i4>
      </vt:variant>
      <vt:variant>
        <vt:i4>5</vt:i4>
      </vt:variant>
      <vt:variant>
        <vt:lpwstr/>
      </vt:variant>
      <vt:variant>
        <vt:lpwstr>_Toc212387629</vt:lpwstr>
      </vt:variant>
      <vt:variant>
        <vt:i4>1048638</vt:i4>
      </vt:variant>
      <vt:variant>
        <vt:i4>128</vt:i4>
      </vt:variant>
      <vt:variant>
        <vt:i4>0</vt:i4>
      </vt:variant>
      <vt:variant>
        <vt:i4>5</vt:i4>
      </vt:variant>
      <vt:variant>
        <vt:lpwstr/>
      </vt:variant>
      <vt:variant>
        <vt:lpwstr>_Toc212387628</vt:lpwstr>
      </vt:variant>
      <vt:variant>
        <vt:i4>1048638</vt:i4>
      </vt:variant>
      <vt:variant>
        <vt:i4>122</vt:i4>
      </vt:variant>
      <vt:variant>
        <vt:i4>0</vt:i4>
      </vt:variant>
      <vt:variant>
        <vt:i4>5</vt:i4>
      </vt:variant>
      <vt:variant>
        <vt:lpwstr/>
      </vt:variant>
      <vt:variant>
        <vt:lpwstr>_Toc212387627</vt:lpwstr>
      </vt:variant>
      <vt:variant>
        <vt:i4>1048638</vt:i4>
      </vt:variant>
      <vt:variant>
        <vt:i4>116</vt:i4>
      </vt:variant>
      <vt:variant>
        <vt:i4>0</vt:i4>
      </vt:variant>
      <vt:variant>
        <vt:i4>5</vt:i4>
      </vt:variant>
      <vt:variant>
        <vt:lpwstr/>
      </vt:variant>
      <vt:variant>
        <vt:lpwstr>_Toc212387626</vt:lpwstr>
      </vt:variant>
      <vt:variant>
        <vt:i4>1048638</vt:i4>
      </vt:variant>
      <vt:variant>
        <vt:i4>110</vt:i4>
      </vt:variant>
      <vt:variant>
        <vt:i4>0</vt:i4>
      </vt:variant>
      <vt:variant>
        <vt:i4>5</vt:i4>
      </vt:variant>
      <vt:variant>
        <vt:lpwstr/>
      </vt:variant>
      <vt:variant>
        <vt:lpwstr>_Toc212387625</vt:lpwstr>
      </vt:variant>
      <vt:variant>
        <vt:i4>1048638</vt:i4>
      </vt:variant>
      <vt:variant>
        <vt:i4>104</vt:i4>
      </vt:variant>
      <vt:variant>
        <vt:i4>0</vt:i4>
      </vt:variant>
      <vt:variant>
        <vt:i4>5</vt:i4>
      </vt:variant>
      <vt:variant>
        <vt:lpwstr/>
      </vt:variant>
      <vt:variant>
        <vt:lpwstr>_Toc212387624</vt:lpwstr>
      </vt:variant>
      <vt:variant>
        <vt:i4>1048638</vt:i4>
      </vt:variant>
      <vt:variant>
        <vt:i4>98</vt:i4>
      </vt:variant>
      <vt:variant>
        <vt:i4>0</vt:i4>
      </vt:variant>
      <vt:variant>
        <vt:i4>5</vt:i4>
      </vt:variant>
      <vt:variant>
        <vt:lpwstr/>
      </vt:variant>
      <vt:variant>
        <vt:lpwstr>_Toc212387623</vt:lpwstr>
      </vt:variant>
      <vt:variant>
        <vt:i4>1048638</vt:i4>
      </vt:variant>
      <vt:variant>
        <vt:i4>92</vt:i4>
      </vt:variant>
      <vt:variant>
        <vt:i4>0</vt:i4>
      </vt:variant>
      <vt:variant>
        <vt:i4>5</vt:i4>
      </vt:variant>
      <vt:variant>
        <vt:lpwstr/>
      </vt:variant>
      <vt:variant>
        <vt:lpwstr>_Toc212387622</vt:lpwstr>
      </vt:variant>
      <vt:variant>
        <vt:i4>1048638</vt:i4>
      </vt:variant>
      <vt:variant>
        <vt:i4>86</vt:i4>
      </vt:variant>
      <vt:variant>
        <vt:i4>0</vt:i4>
      </vt:variant>
      <vt:variant>
        <vt:i4>5</vt:i4>
      </vt:variant>
      <vt:variant>
        <vt:lpwstr/>
      </vt:variant>
      <vt:variant>
        <vt:lpwstr>_Toc212387621</vt:lpwstr>
      </vt:variant>
      <vt:variant>
        <vt:i4>1048638</vt:i4>
      </vt:variant>
      <vt:variant>
        <vt:i4>80</vt:i4>
      </vt:variant>
      <vt:variant>
        <vt:i4>0</vt:i4>
      </vt:variant>
      <vt:variant>
        <vt:i4>5</vt:i4>
      </vt:variant>
      <vt:variant>
        <vt:lpwstr/>
      </vt:variant>
      <vt:variant>
        <vt:lpwstr>_Toc212387620</vt:lpwstr>
      </vt:variant>
      <vt:variant>
        <vt:i4>1245246</vt:i4>
      </vt:variant>
      <vt:variant>
        <vt:i4>74</vt:i4>
      </vt:variant>
      <vt:variant>
        <vt:i4>0</vt:i4>
      </vt:variant>
      <vt:variant>
        <vt:i4>5</vt:i4>
      </vt:variant>
      <vt:variant>
        <vt:lpwstr/>
      </vt:variant>
      <vt:variant>
        <vt:lpwstr>_Toc212387619</vt:lpwstr>
      </vt:variant>
      <vt:variant>
        <vt:i4>1245246</vt:i4>
      </vt:variant>
      <vt:variant>
        <vt:i4>68</vt:i4>
      </vt:variant>
      <vt:variant>
        <vt:i4>0</vt:i4>
      </vt:variant>
      <vt:variant>
        <vt:i4>5</vt:i4>
      </vt:variant>
      <vt:variant>
        <vt:lpwstr/>
      </vt:variant>
      <vt:variant>
        <vt:lpwstr>_Toc212387618</vt:lpwstr>
      </vt:variant>
      <vt:variant>
        <vt:i4>1245246</vt:i4>
      </vt:variant>
      <vt:variant>
        <vt:i4>62</vt:i4>
      </vt:variant>
      <vt:variant>
        <vt:i4>0</vt:i4>
      </vt:variant>
      <vt:variant>
        <vt:i4>5</vt:i4>
      </vt:variant>
      <vt:variant>
        <vt:lpwstr/>
      </vt:variant>
      <vt:variant>
        <vt:lpwstr>_Toc212387617</vt:lpwstr>
      </vt:variant>
      <vt:variant>
        <vt:i4>1245246</vt:i4>
      </vt:variant>
      <vt:variant>
        <vt:i4>56</vt:i4>
      </vt:variant>
      <vt:variant>
        <vt:i4>0</vt:i4>
      </vt:variant>
      <vt:variant>
        <vt:i4>5</vt:i4>
      </vt:variant>
      <vt:variant>
        <vt:lpwstr/>
      </vt:variant>
      <vt:variant>
        <vt:lpwstr>_Toc212387616</vt:lpwstr>
      </vt:variant>
      <vt:variant>
        <vt:i4>1245246</vt:i4>
      </vt:variant>
      <vt:variant>
        <vt:i4>50</vt:i4>
      </vt:variant>
      <vt:variant>
        <vt:i4>0</vt:i4>
      </vt:variant>
      <vt:variant>
        <vt:i4>5</vt:i4>
      </vt:variant>
      <vt:variant>
        <vt:lpwstr/>
      </vt:variant>
      <vt:variant>
        <vt:lpwstr>_Toc212387615</vt:lpwstr>
      </vt:variant>
      <vt:variant>
        <vt:i4>1245246</vt:i4>
      </vt:variant>
      <vt:variant>
        <vt:i4>44</vt:i4>
      </vt:variant>
      <vt:variant>
        <vt:i4>0</vt:i4>
      </vt:variant>
      <vt:variant>
        <vt:i4>5</vt:i4>
      </vt:variant>
      <vt:variant>
        <vt:lpwstr/>
      </vt:variant>
      <vt:variant>
        <vt:lpwstr>_Toc212387614</vt:lpwstr>
      </vt:variant>
      <vt:variant>
        <vt:i4>1245246</vt:i4>
      </vt:variant>
      <vt:variant>
        <vt:i4>38</vt:i4>
      </vt:variant>
      <vt:variant>
        <vt:i4>0</vt:i4>
      </vt:variant>
      <vt:variant>
        <vt:i4>5</vt:i4>
      </vt:variant>
      <vt:variant>
        <vt:lpwstr/>
      </vt:variant>
      <vt:variant>
        <vt:lpwstr>_Toc212387613</vt:lpwstr>
      </vt:variant>
      <vt:variant>
        <vt:i4>1245246</vt:i4>
      </vt:variant>
      <vt:variant>
        <vt:i4>32</vt:i4>
      </vt:variant>
      <vt:variant>
        <vt:i4>0</vt:i4>
      </vt:variant>
      <vt:variant>
        <vt:i4>5</vt:i4>
      </vt:variant>
      <vt:variant>
        <vt:lpwstr/>
      </vt:variant>
      <vt:variant>
        <vt:lpwstr>_Toc212387612</vt:lpwstr>
      </vt:variant>
      <vt:variant>
        <vt:i4>1245246</vt:i4>
      </vt:variant>
      <vt:variant>
        <vt:i4>26</vt:i4>
      </vt:variant>
      <vt:variant>
        <vt:i4>0</vt:i4>
      </vt:variant>
      <vt:variant>
        <vt:i4>5</vt:i4>
      </vt:variant>
      <vt:variant>
        <vt:lpwstr/>
      </vt:variant>
      <vt:variant>
        <vt:lpwstr>_Toc212387611</vt:lpwstr>
      </vt:variant>
      <vt:variant>
        <vt:i4>1245246</vt:i4>
      </vt:variant>
      <vt:variant>
        <vt:i4>20</vt:i4>
      </vt:variant>
      <vt:variant>
        <vt:i4>0</vt:i4>
      </vt:variant>
      <vt:variant>
        <vt:i4>5</vt:i4>
      </vt:variant>
      <vt:variant>
        <vt:lpwstr/>
      </vt:variant>
      <vt:variant>
        <vt:lpwstr>_Toc212387610</vt:lpwstr>
      </vt:variant>
      <vt:variant>
        <vt:i4>1179710</vt:i4>
      </vt:variant>
      <vt:variant>
        <vt:i4>14</vt:i4>
      </vt:variant>
      <vt:variant>
        <vt:i4>0</vt:i4>
      </vt:variant>
      <vt:variant>
        <vt:i4>5</vt:i4>
      </vt:variant>
      <vt:variant>
        <vt:lpwstr/>
      </vt:variant>
      <vt:variant>
        <vt:lpwstr>_Toc212387609</vt:lpwstr>
      </vt:variant>
      <vt:variant>
        <vt:i4>1179710</vt:i4>
      </vt:variant>
      <vt:variant>
        <vt:i4>8</vt:i4>
      </vt:variant>
      <vt:variant>
        <vt:i4>0</vt:i4>
      </vt:variant>
      <vt:variant>
        <vt:i4>5</vt:i4>
      </vt:variant>
      <vt:variant>
        <vt:lpwstr/>
      </vt:variant>
      <vt:variant>
        <vt:lpwstr>_Toc212387608</vt:lpwstr>
      </vt:variant>
      <vt:variant>
        <vt:i4>1179710</vt:i4>
      </vt:variant>
      <vt:variant>
        <vt:i4>2</vt:i4>
      </vt:variant>
      <vt:variant>
        <vt:i4>0</vt:i4>
      </vt:variant>
      <vt:variant>
        <vt:i4>5</vt:i4>
      </vt:variant>
      <vt:variant>
        <vt:lpwstr/>
      </vt:variant>
      <vt:variant>
        <vt:lpwstr>_Toc212387607</vt:lpwstr>
      </vt:variant>
      <vt:variant>
        <vt:i4>6488171</vt:i4>
      </vt:variant>
      <vt:variant>
        <vt:i4>237</vt:i4>
      </vt:variant>
      <vt:variant>
        <vt:i4>0</vt:i4>
      </vt:variant>
      <vt:variant>
        <vt:i4>5</vt:i4>
      </vt:variant>
      <vt:variant>
        <vt:lpwstr>https://eur-lex.europa.eu/legal-content/EN/TXT/?uri=CELEX%3A22017A1207%2801%29</vt:lpwstr>
      </vt:variant>
      <vt:variant>
        <vt:lpwstr/>
      </vt:variant>
      <vt:variant>
        <vt:i4>5242991</vt:i4>
      </vt:variant>
      <vt:variant>
        <vt:i4>234</vt:i4>
      </vt:variant>
      <vt:variant>
        <vt:i4>0</vt:i4>
      </vt:variant>
      <vt:variant>
        <vt:i4>5</vt:i4>
      </vt:variant>
      <vt:variant>
        <vt:lpwstr>https://commission.europa.eu/publications/commission-assessment-final-updated-national-energy-and-climate-plan-slovakia_en</vt:lpwstr>
      </vt:variant>
      <vt:variant>
        <vt:lpwstr/>
      </vt:variant>
      <vt:variant>
        <vt:i4>917552</vt:i4>
      </vt:variant>
      <vt:variant>
        <vt:i4>231</vt:i4>
      </vt:variant>
      <vt:variant>
        <vt:i4>0</vt:i4>
      </vt:variant>
      <vt:variant>
        <vt:i4>5</vt:i4>
      </vt:variant>
      <vt:variant>
        <vt:lpwstr>https://commission.europa.eu/publications/commission-assessment-final-updated-national-energy-and-climate-plan-estonia_en</vt:lpwstr>
      </vt:variant>
      <vt:variant>
        <vt:lpwstr/>
      </vt:variant>
      <vt:variant>
        <vt:i4>3342425</vt:i4>
      </vt:variant>
      <vt:variant>
        <vt:i4>228</vt:i4>
      </vt:variant>
      <vt:variant>
        <vt:i4>0</vt:i4>
      </vt:variant>
      <vt:variant>
        <vt:i4>5</vt:i4>
      </vt:variant>
      <vt:variant>
        <vt:lpwstr>https://commission.europa.eu/publications/commission-staff-working-document-delivering-unions-2030-energy-and-climate-objectives_en</vt:lpwstr>
      </vt:variant>
      <vt:variant>
        <vt:lpwstr/>
      </vt:variant>
      <vt:variant>
        <vt:i4>917507</vt:i4>
      </vt:variant>
      <vt:variant>
        <vt:i4>225</vt:i4>
      </vt:variant>
      <vt:variant>
        <vt:i4>0</vt:i4>
      </vt:variant>
      <vt:variant>
        <vt:i4>5</vt:i4>
      </vt:variant>
      <vt:variant>
        <vt:lpwstr>https://eur-lex.europa.eu/legal-content/EN/TXT/?uri=CELEX%3A52025DC0274&amp;qid=1749138488640</vt:lpwstr>
      </vt:variant>
      <vt:variant>
        <vt:lpwstr/>
      </vt:variant>
      <vt:variant>
        <vt:i4>5111838</vt:i4>
      </vt:variant>
      <vt:variant>
        <vt:i4>222</vt:i4>
      </vt:variant>
      <vt:variant>
        <vt:i4>0</vt:i4>
      </vt:variant>
      <vt:variant>
        <vt:i4>5</vt:i4>
      </vt:variant>
      <vt:variant>
        <vt:lpwstr>https://eur-lex.europa.eu/legal-content/EN/TXT/?uri=OJ%3AJOL_2023_231_R_0001&amp;qid=1695186598766</vt:lpwstr>
      </vt:variant>
      <vt:variant>
        <vt:lpwstr/>
      </vt:variant>
      <vt:variant>
        <vt:i4>5111838</vt:i4>
      </vt:variant>
      <vt:variant>
        <vt:i4>219</vt:i4>
      </vt:variant>
      <vt:variant>
        <vt:i4>0</vt:i4>
      </vt:variant>
      <vt:variant>
        <vt:i4>5</vt:i4>
      </vt:variant>
      <vt:variant>
        <vt:lpwstr>https://eur-lex.europa.eu/legal-content/EN/TXT/?uri=OJ%3AJOL_2023_231_R_0001&amp;qid=1695186598766</vt:lpwstr>
      </vt:variant>
      <vt:variant>
        <vt:lpwstr/>
      </vt:variant>
      <vt:variant>
        <vt:i4>393250</vt:i4>
      </vt:variant>
      <vt:variant>
        <vt:i4>216</vt:i4>
      </vt:variant>
      <vt:variant>
        <vt:i4>0</vt:i4>
      </vt:variant>
      <vt:variant>
        <vt:i4>5</vt:i4>
      </vt:variant>
      <vt:variant>
        <vt:lpwstr>https://climate.ec.europa.eu/eu-action/eu-emissions-trading-system-eu-ets/ets2-buildings-road-transport-and-additional-sectors_en</vt:lpwstr>
      </vt:variant>
      <vt:variant>
        <vt:lpwstr>documentation</vt:lpwstr>
      </vt:variant>
      <vt:variant>
        <vt:i4>2555929</vt:i4>
      </vt:variant>
      <vt:variant>
        <vt:i4>213</vt:i4>
      </vt:variant>
      <vt:variant>
        <vt:i4>0</vt:i4>
      </vt:variant>
      <vt:variant>
        <vt:i4>5</vt:i4>
      </vt:variant>
      <vt:variant>
        <vt:lpwstr>https://climate.ec.europa.eu/document/download/49772f68-3432-40c6-800c-7915b610e825_en?filename=policy_ets_ets2_gd_accreditation_verification_en.pdf</vt:lpwstr>
      </vt:variant>
      <vt:variant>
        <vt:lpwstr/>
      </vt:variant>
      <vt:variant>
        <vt:i4>3997778</vt:i4>
      </vt:variant>
      <vt:variant>
        <vt:i4>210</vt:i4>
      </vt:variant>
      <vt:variant>
        <vt:i4>0</vt:i4>
      </vt:variant>
      <vt:variant>
        <vt:i4>5</vt:i4>
      </vt:variant>
      <vt:variant>
        <vt:lpwstr>https://climate.ec.europa.eu/eu-action/eu-emissions-trading-system-eu-ets/monitoring-reporting-and-verification-eu-ets-emissions_en</vt:lpwstr>
      </vt:variant>
      <vt:variant>
        <vt:lpwstr>documentation</vt:lpwstr>
      </vt:variant>
      <vt:variant>
        <vt:i4>4784253</vt:i4>
      </vt:variant>
      <vt:variant>
        <vt:i4>207</vt:i4>
      </vt:variant>
      <vt:variant>
        <vt:i4>0</vt:i4>
      </vt:variant>
      <vt:variant>
        <vt:i4>5</vt:i4>
      </vt:variant>
      <vt:variant>
        <vt:lpwstr>https://eur-lex.europa.eu/eli/reg_impl/2025/1192/oj/eng</vt:lpwstr>
      </vt:variant>
      <vt:variant>
        <vt:lpwstr/>
      </vt:variant>
      <vt:variant>
        <vt:i4>1048656</vt:i4>
      </vt:variant>
      <vt:variant>
        <vt:i4>204</vt:i4>
      </vt:variant>
      <vt:variant>
        <vt:i4>0</vt:i4>
      </vt:variant>
      <vt:variant>
        <vt:i4>5</vt:i4>
      </vt:variant>
      <vt:variant>
        <vt:lpwstr>https://eur-lex.europa.eu/legal-content/EN/TXT/?uri=CELEX:02018R2067-20250622</vt:lpwstr>
      </vt:variant>
      <vt:variant>
        <vt:lpwstr/>
      </vt:variant>
      <vt:variant>
        <vt:i4>7798790</vt:i4>
      </vt:variant>
      <vt:variant>
        <vt:i4>201</vt:i4>
      </vt:variant>
      <vt:variant>
        <vt:i4>0</vt:i4>
      </vt:variant>
      <vt:variant>
        <vt:i4>5</vt:i4>
      </vt:variant>
      <vt:variant>
        <vt:lpwstr>https://eur-lex.europa.eu/legal-content/EN/TXT/?toc=OJ:L:2018:334:TOC&amp;uri=uriserv:OJ.L_.2018.334.01.0094.01.ENG</vt:lpwstr>
      </vt:variant>
      <vt:variant>
        <vt:lpwstr/>
      </vt:variant>
      <vt:variant>
        <vt:i4>1376321</vt:i4>
      </vt:variant>
      <vt:variant>
        <vt:i4>198</vt:i4>
      </vt:variant>
      <vt:variant>
        <vt:i4>0</vt:i4>
      </vt:variant>
      <vt:variant>
        <vt:i4>5</vt:i4>
      </vt:variant>
      <vt:variant>
        <vt:lpwstr>https://eur-lex.europa.eu/legal-content/EN/TXT/?uri=CELEX:32015R0757</vt:lpwstr>
      </vt:variant>
      <vt:variant>
        <vt:lpwstr/>
      </vt:variant>
      <vt:variant>
        <vt:i4>1572885</vt:i4>
      </vt:variant>
      <vt:variant>
        <vt:i4>195</vt:i4>
      </vt:variant>
      <vt:variant>
        <vt:i4>0</vt:i4>
      </vt:variant>
      <vt:variant>
        <vt:i4>5</vt:i4>
      </vt:variant>
      <vt:variant>
        <vt:lpwstr>https://eur-lex.europa.eu/eli/C/2025/5004/oj/eng</vt:lpwstr>
      </vt:variant>
      <vt:variant>
        <vt:lpwstr/>
      </vt:variant>
      <vt:variant>
        <vt:i4>1966173</vt:i4>
      </vt:variant>
      <vt:variant>
        <vt:i4>192</vt:i4>
      </vt:variant>
      <vt:variant>
        <vt:i4>0</vt:i4>
      </vt:variant>
      <vt:variant>
        <vt:i4>5</vt:i4>
      </vt:variant>
      <vt:variant>
        <vt:lpwstr>https://eur-lex.europa.eu/eli/C/2025/2934/oj</vt:lpwstr>
      </vt:variant>
      <vt:variant>
        <vt:lpwstr/>
      </vt:variant>
      <vt:variant>
        <vt:i4>3080275</vt:i4>
      </vt:variant>
      <vt:variant>
        <vt:i4>189</vt:i4>
      </vt:variant>
      <vt:variant>
        <vt:i4>0</vt:i4>
      </vt:variant>
      <vt:variant>
        <vt:i4>5</vt:i4>
      </vt:variant>
      <vt:variant>
        <vt:lpwstr>https://eur-lex.europa.eu/eli/reg_del/2025/723/oj/eng</vt:lpwstr>
      </vt:variant>
      <vt:variant>
        <vt:lpwstr/>
      </vt:variant>
      <vt:variant>
        <vt:i4>2293840</vt:i4>
      </vt:variant>
      <vt:variant>
        <vt:i4>186</vt:i4>
      </vt:variant>
      <vt:variant>
        <vt:i4>0</vt:i4>
      </vt:variant>
      <vt:variant>
        <vt:i4>5</vt:i4>
      </vt:variant>
      <vt:variant>
        <vt:lpwstr>https://climate.ec.europa.eu/news-your-voice/news/publication-2023-emissions-data-aerodrome-pairs-2025-06-19_en</vt:lpwstr>
      </vt:variant>
      <vt:variant>
        <vt:lpwstr/>
      </vt:variant>
      <vt:variant>
        <vt:i4>4718594</vt:i4>
      </vt:variant>
      <vt:variant>
        <vt:i4>183</vt:i4>
      </vt:variant>
      <vt:variant>
        <vt:i4>0</vt:i4>
      </vt:variant>
      <vt:variant>
        <vt:i4>5</vt:i4>
      </vt:variant>
      <vt:variant>
        <vt:lpwstr>https://eur-lex.europa.eu/legal-content/EN/TXT/?uri=CELEX%3A32024R1879&amp;qid=1722504757152</vt:lpwstr>
      </vt:variant>
      <vt:variant>
        <vt:lpwstr/>
      </vt:variant>
      <vt:variant>
        <vt:i4>1638449</vt:i4>
      </vt:variant>
      <vt:variant>
        <vt:i4>180</vt:i4>
      </vt:variant>
      <vt:variant>
        <vt:i4>0</vt:i4>
      </vt:variant>
      <vt:variant>
        <vt:i4>5</vt:i4>
      </vt:variant>
      <vt:variant>
        <vt:lpwstr>http://data.europa.eu/eli/reg_impl/2025/1500/oj</vt:lpwstr>
      </vt:variant>
      <vt:variant>
        <vt:lpwstr/>
      </vt:variant>
      <vt:variant>
        <vt:i4>7929970</vt:i4>
      </vt:variant>
      <vt:variant>
        <vt:i4>177</vt:i4>
      </vt:variant>
      <vt:variant>
        <vt:i4>0</vt:i4>
      </vt:variant>
      <vt:variant>
        <vt:i4>5</vt:i4>
      </vt:variant>
      <vt:variant>
        <vt:lpwstr>https://eur-lex.europa.eu/legal-content/EN/TXT/?uri=celex%3A32023D0136</vt:lpwstr>
      </vt:variant>
      <vt:variant>
        <vt:lpwstr/>
      </vt:variant>
      <vt:variant>
        <vt:i4>7798900</vt:i4>
      </vt:variant>
      <vt:variant>
        <vt:i4>174</vt:i4>
      </vt:variant>
      <vt:variant>
        <vt:i4>0</vt:i4>
      </vt:variant>
      <vt:variant>
        <vt:i4>5</vt:i4>
      </vt:variant>
      <vt:variant>
        <vt:lpwstr>https://eur-lex.europa.eu/legal-content/EN/TXT/?uri=celex%3A32023L0958</vt:lpwstr>
      </vt:variant>
      <vt:variant>
        <vt:lpwstr/>
      </vt:variant>
      <vt:variant>
        <vt:i4>8126496</vt:i4>
      </vt:variant>
      <vt:variant>
        <vt:i4>171</vt:i4>
      </vt:variant>
      <vt:variant>
        <vt:i4>0</vt:i4>
      </vt:variant>
      <vt:variant>
        <vt:i4>5</vt:i4>
      </vt:variant>
      <vt:variant>
        <vt:lpwstr>https://www.icao.int/environmental-protection/CORSIA/Pages/CCR.aspx</vt:lpwstr>
      </vt:variant>
      <vt:variant>
        <vt:lpwstr/>
      </vt:variant>
      <vt:variant>
        <vt:i4>589841</vt:i4>
      </vt:variant>
      <vt:variant>
        <vt:i4>168</vt:i4>
      </vt:variant>
      <vt:variant>
        <vt:i4>0</vt:i4>
      </vt:variant>
      <vt:variant>
        <vt:i4>5</vt:i4>
      </vt:variant>
      <vt:variant>
        <vt:lpwstr>https://www.icao.int/sites/default/files/environmental-protection/CORSIA/Documents/Background Information/International-RTK-rankings_2018_SIDS_LDC_LLDC.pdf</vt:lpwstr>
      </vt:variant>
      <vt:variant>
        <vt:lpwstr/>
      </vt:variant>
      <vt:variant>
        <vt:i4>3407969</vt:i4>
      </vt:variant>
      <vt:variant>
        <vt:i4>165</vt:i4>
      </vt:variant>
      <vt:variant>
        <vt:i4>0</vt:i4>
      </vt:variant>
      <vt:variant>
        <vt:i4>5</vt:i4>
      </vt:variant>
      <vt:variant>
        <vt:lpwstr>https://www.bafu.admin.ch/bafu/en/home/topics/climate/info-specialists/reduction-measures/ets/aviation.html</vt:lpwstr>
      </vt:variant>
      <vt:variant>
        <vt:lpwstr>:~:text=From%202024%2C%20flights%20from%20Switzerland,exempt%20from%20the%20Swiss%20ETS.</vt:lpwstr>
      </vt:variant>
      <vt:variant>
        <vt:i4>7798900</vt:i4>
      </vt:variant>
      <vt:variant>
        <vt:i4>162</vt:i4>
      </vt:variant>
      <vt:variant>
        <vt:i4>0</vt:i4>
      </vt:variant>
      <vt:variant>
        <vt:i4>5</vt:i4>
      </vt:variant>
      <vt:variant>
        <vt:lpwstr>https://eur-lex.europa.eu/legal-content/EN/TXT/?uri=CELEX%3A32023L0958</vt:lpwstr>
      </vt:variant>
      <vt:variant>
        <vt:lpwstr/>
      </vt:variant>
      <vt:variant>
        <vt:i4>458821</vt:i4>
      </vt:variant>
      <vt:variant>
        <vt:i4>159</vt:i4>
      </vt:variant>
      <vt:variant>
        <vt:i4>0</vt:i4>
      </vt:variant>
      <vt:variant>
        <vt:i4>5</vt:i4>
      </vt:variant>
      <vt:variant>
        <vt:lpwstr>https://eur-lex.europa.eu/legal-content/EN/TXT/?uri=CELEX:32013D0377</vt:lpwstr>
      </vt:variant>
      <vt:variant>
        <vt:lpwstr/>
      </vt:variant>
      <vt:variant>
        <vt:i4>4915264</vt:i4>
      </vt:variant>
      <vt:variant>
        <vt:i4>156</vt:i4>
      </vt:variant>
      <vt:variant>
        <vt:i4>0</vt:i4>
      </vt:variant>
      <vt:variant>
        <vt:i4>5</vt:i4>
      </vt:variant>
      <vt:variant>
        <vt:lpwstr>https://eur-lex.europa.eu/eli/dec/2013/377(1)/oj/eng</vt:lpwstr>
      </vt:variant>
      <vt:variant>
        <vt:lpwstr/>
      </vt:variant>
      <vt:variant>
        <vt:i4>6160446</vt:i4>
      </vt:variant>
      <vt:variant>
        <vt:i4>153</vt:i4>
      </vt:variant>
      <vt:variant>
        <vt:i4>0</vt:i4>
      </vt:variant>
      <vt:variant>
        <vt:i4>5</vt:i4>
      </vt:variant>
      <vt:variant>
        <vt:lpwstr>https://climate.ec.europa.eu/news-your-voice/news/executive-vice-president-sefcovic-signs-agreement-between-greece-european-investment-bank-and-2024-11-21_en</vt:lpwstr>
      </vt:variant>
      <vt:variant>
        <vt:lpwstr/>
      </vt:variant>
      <vt:variant>
        <vt:i4>6946922</vt:i4>
      </vt:variant>
      <vt:variant>
        <vt:i4>150</vt:i4>
      </vt:variant>
      <vt:variant>
        <vt:i4>0</vt:i4>
      </vt:variant>
      <vt:variant>
        <vt:i4>5</vt:i4>
      </vt:variant>
      <vt:variant>
        <vt:lpwstr>https://eur-lex.europa.eu/legal-content/EN/TXT/?uri=OJ%3AJOC_2022_195_R_0002</vt:lpwstr>
      </vt:variant>
      <vt:variant>
        <vt:lpwstr/>
      </vt:variant>
      <vt:variant>
        <vt:i4>1245204</vt:i4>
      </vt:variant>
      <vt:variant>
        <vt:i4>147</vt:i4>
      </vt:variant>
      <vt:variant>
        <vt:i4>0</vt:i4>
      </vt:variant>
      <vt:variant>
        <vt:i4>5</vt:i4>
      </vt:variant>
      <vt:variant>
        <vt:lpwstr>https://climate.ec.europa.eu/document/download/dd3c417c-fc64-4e25-82c0-49af24383334_en?filename=c_2024_4190_en.pdf</vt:lpwstr>
      </vt:variant>
      <vt:variant>
        <vt:lpwstr/>
      </vt:variant>
      <vt:variant>
        <vt:i4>5439583</vt:i4>
      </vt:variant>
      <vt:variant>
        <vt:i4>144</vt:i4>
      </vt:variant>
      <vt:variant>
        <vt:i4>0</vt:i4>
      </vt:variant>
      <vt:variant>
        <vt:i4>5</vt:i4>
      </vt:variant>
      <vt:variant>
        <vt:lpwstr>https://eur-lex.europa.eu/eli/reg/2024/795/oj</vt:lpwstr>
      </vt:variant>
      <vt:variant>
        <vt:lpwstr/>
      </vt:variant>
      <vt:variant>
        <vt:i4>3604603</vt:i4>
      </vt:variant>
      <vt:variant>
        <vt:i4>141</vt:i4>
      </vt:variant>
      <vt:variant>
        <vt:i4>0</vt:i4>
      </vt:variant>
      <vt:variant>
        <vt:i4>5</vt:i4>
      </vt:variant>
      <vt:variant>
        <vt:lpwstr>https://www.eib.org/en/products/mandates-partnerships/innovation-fund/index.htm</vt:lpwstr>
      </vt:variant>
      <vt:variant>
        <vt:lpwstr/>
      </vt:variant>
      <vt:variant>
        <vt:i4>1835109</vt:i4>
      </vt:variant>
      <vt:variant>
        <vt:i4>138</vt:i4>
      </vt:variant>
      <vt:variant>
        <vt:i4>0</vt:i4>
      </vt:variant>
      <vt:variant>
        <vt:i4>5</vt:i4>
      </vt:variant>
      <vt:variant>
        <vt:lpwstr>https://dashboard.tech.ec.europa.eu/qs_digit_dashboard_mt/public/sense/app/6e4815c8-1f4c-4664-b9ca-8454f77d758d/sheet/bac47ac8-b5c7-4cd1-87ad-9f8d6d238eae/state/analysis</vt:lpwstr>
      </vt:variant>
      <vt:variant>
        <vt:lpwstr/>
      </vt:variant>
      <vt:variant>
        <vt:i4>3997730</vt:i4>
      </vt:variant>
      <vt:variant>
        <vt:i4>135</vt:i4>
      </vt:variant>
      <vt:variant>
        <vt:i4>0</vt:i4>
      </vt:variant>
      <vt:variant>
        <vt:i4>5</vt:i4>
      </vt:variant>
      <vt:variant>
        <vt:lpwstr>https://data.europa.eu/doi/10.2834/6564729</vt:lpwstr>
      </vt:variant>
      <vt:variant>
        <vt:lpwstr/>
      </vt:variant>
      <vt:variant>
        <vt:i4>3211351</vt:i4>
      </vt:variant>
      <vt:variant>
        <vt:i4>132</vt:i4>
      </vt:variant>
      <vt:variant>
        <vt:i4>0</vt:i4>
      </vt:variant>
      <vt:variant>
        <vt:i4>5</vt:i4>
      </vt:variant>
      <vt:variant>
        <vt:lpwstr>https://www.dehst.de/SharedDocs/downloads/DE/spk/Auswertungsbericht_2023.html</vt:lpwstr>
      </vt:variant>
      <vt:variant>
        <vt:lpwstr/>
      </vt:variant>
      <vt:variant>
        <vt:i4>262197</vt:i4>
      </vt:variant>
      <vt:variant>
        <vt:i4>129</vt:i4>
      </vt:variant>
      <vt:variant>
        <vt:i4>0</vt:i4>
      </vt:variant>
      <vt:variant>
        <vt:i4>5</vt:i4>
      </vt:variant>
      <vt:variant>
        <vt:lpwstr>https://ec.europa.eu/info/law/better-regulation/have-your-say/initiatives/14801-Technical-updates-of-the-Emissions-Trading-Scheme-ETS-State-aid-guidelines_en</vt:lpwstr>
      </vt:variant>
      <vt:variant>
        <vt:lpwstr/>
      </vt:variant>
      <vt:variant>
        <vt:i4>5963866</vt:i4>
      </vt:variant>
      <vt:variant>
        <vt:i4>126</vt:i4>
      </vt:variant>
      <vt:variant>
        <vt:i4>0</vt:i4>
      </vt:variant>
      <vt:variant>
        <vt:i4>5</vt:i4>
      </vt:variant>
      <vt:variant>
        <vt:lpwstr>https://reportnet.europa.eu/public/dataflow/1527</vt:lpwstr>
      </vt:variant>
      <vt:variant>
        <vt:lpwstr/>
      </vt:variant>
      <vt:variant>
        <vt:i4>8323074</vt:i4>
      </vt:variant>
      <vt:variant>
        <vt:i4>123</vt:i4>
      </vt:variant>
      <vt:variant>
        <vt:i4>0</vt:i4>
      </vt:variant>
      <vt:variant>
        <vt:i4>5</vt:i4>
      </vt:variant>
      <vt:variant>
        <vt:lpwstr>https://eur-lex.europa.eu/legal-content/EN/TXT/?toc=OJ:L:2018:328:TOC&amp;uri=uriserv:OJ.L_.2018.328.01.0001.01.ENG</vt:lpwstr>
      </vt:variant>
      <vt:variant>
        <vt:lpwstr/>
      </vt:variant>
      <vt:variant>
        <vt:i4>7798844</vt:i4>
      </vt:variant>
      <vt:variant>
        <vt:i4>120</vt:i4>
      </vt:variant>
      <vt:variant>
        <vt:i4>0</vt:i4>
      </vt:variant>
      <vt:variant>
        <vt:i4>5</vt:i4>
      </vt:variant>
      <vt:variant>
        <vt:lpwstr>https://ec.europa.eu/eurostat/web/products-euro-indicators/w/4-13022025-ap</vt:lpwstr>
      </vt:variant>
      <vt:variant>
        <vt:lpwstr/>
      </vt:variant>
      <vt:variant>
        <vt:i4>3997788</vt:i4>
      </vt:variant>
      <vt:variant>
        <vt:i4>117</vt:i4>
      </vt:variant>
      <vt:variant>
        <vt:i4>0</vt:i4>
      </vt:variant>
      <vt:variant>
        <vt:i4>5</vt:i4>
      </vt:variant>
      <vt:variant>
        <vt:lpwstr>https://ec.europa.eu/eurostat/databrowser/view/nrg_cb_pem__custom_17401908/default/table?lang=en</vt:lpwstr>
      </vt:variant>
      <vt:variant>
        <vt:lpwstr/>
      </vt:variant>
      <vt:variant>
        <vt:i4>327689</vt:i4>
      </vt:variant>
      <vt:variant>
        <vt:i4>114</vt:i4>
      </vt:variant>
      <vt:variant>
        <vt:i4>0</vt:i4>
      </vt:variant>
      <vt:variant>
        <vt:i4>5</vt:i4>
      </vt:variant>
      <vt:variant>
        <vt:lpwstr>https://eur-lex.europa.eu/legal-content/EN/TXT/?uri=CELEX%3A52025DC0079&amp;qid=1741780110418</vt:lpwstr>
      </vt:variant>
      <vt:variant>
        <vt:lpwstr/>
      </vt:variant>
      <vt:variant>
        <vt:i4>4849716</vt:i4>
      </vt:variant>
      <vt:variant>
        <vt:i4>111</vt:i4>
      </vt:variant>
      <vt:variant>
        <vt:i4>0</vt:i4>
      </vt:variant>
      <vt:variant>
        <vt:i4>5</vt:i4>
      </vt:variant>
      <vt:variant>
        <vt:lpwstr>https://finance.ec.europa.eu/regulation-and-supervision/consultations-0/targeted-consultation-review-functioning-commodity-derivatives-markets-and-certain-aspects-relating_en</vt:lpwstr>
      </vt:variant>
      <vt:variant>
        <vt:lpwstr/>
      </vt:variant>
      <vt:variant>
        <vt:i4>7274607</vt:i4>
      </vt:variant>
      <vt:variant>
        <vt:i4>108</vt:i4>
      </vt:variant>
      <vt:variant>
        <vt:i4>0</vt:i4>
      </vt:variant>
      <vt:variant>
        <vt:i4>5</vt:i4>
      </vt:variant>
      <vt:variant>
        <vt:lpwstr>https://eur-lex.europa.eu/legal-content/EN/TXT/?uri=CELEX%3A02014R0600-20240328</vt:lpwstr>
      </vt:variant>
      <vt:variant>
        <vt:lpwstr/>
      </vt:variant>
      <vt:variant>
        <vt:i4>7208962</vt:i4>
      </vt:variant>
      <vt:variant>
        <vt:i4>105</vt:i4>
      </vt:variant>
      <vt:variant>
        <vt:i4>0</vt:i4>
      </vt:variant>
      <vt:variant>
        <vt:i4>5</vt:i4>
      </vt:variant>
      <vt:variant>
        <vt:lpwstr>https://eur-lex.europa.eu/legal-content/EN/TXT/?uri=OJ:L_202400791</vt:lpwstr>
      </vt:variant>
      <vt:variant>
        <vt:lpwstr/>
      </vt:variant>
      <vt:variant>
        <vt:i4>7471209</vt:i4>
      </vt:variant>
      <vt:variant>
        <vt:i4>102</vt:i4>
      </vt:variant>
      <vt:variant>
        <vt:i4>0</vt:i4>
      </vt:variant>
      <vt:variant>
        <vt:i4>5</vt:i4>
      </vt:variant>
      <vt:variant>
        <vt:lpwstr>https://eur-lex.europa.eu/legal-content/EN/TXT/?uri=CELEX%3A02014L0065-20240328</vt:lpwstr>
      </vt:variant>
      <vt:variant>
        <vt:lpwstr/>
      </vt:variant>
      <vt:variant>
        <vt:i4>7274498</vt:i4>
      </vt:variant>
      <vt:variant>
        <vt:i4>99</vt:i4>
      </vt:variant>
      <vt:variant>
        <vt:i4>0</vt:i4>
      </vt:variant>
      <vt:variant>
        <vt:i4>5</vt:i4>
      </vt:variant>
      <vt:variant>
        <vt:lpwstr>https://eur-lex.europa.eu/legal-content/EN/TXT/?uri=OJ:L_202400790</vt:lpwstr>
      </vt:variant>
      <vt:variant>
        <vt:lpwstr/>
      </vt:variant>
      <vt:variant>
        <vt:i4>6946919</vt:i4>
      </vt:variant>
      <vt:variant>
        <vt:i4>96</vt:i4>
      </vt:variant>
      <vt:variant>
        <vt:i4>0</vt:i4>
      </vt:variant>
      <vt:variant>
        <vt:i4>5</vt:i4>
      </vt:variant>
      <vt:variant>
        <vt:lpwstr>https://eur-lex.europa.eu/legal-content/EN/TXT/?uri=CELEX%3A02019R1122-20231230</vt:lpwstr>
      </vt:variant>
      <vt:variant>
        <vt:lpwstr/>
      </vt:variant>
      <vt:variant>
        <vt:i4>1441867</vt:i4>
      </vt:variant>
      <vt:variant>
        <vt:i4>93</vt:i4>
      </vt:variant>
      <vt:variant>
        <vt:i4>0</vt:i4>
      </vt:variant>
      <vt:variant>
        <vt:i4>5</vt:i4>
      </vt:variant>
      <vt:variant>
        <vt:lpwstr>https://eur-lex.europa.eu/legal-content/EN/TXT/?uri=CELEX:32019R1122</vt:lpwstr>
      </vt:variant>
      <vt:variant>
        <vt:lpwstr/>
      </vt:variant>
      <vt:variant>
        <vt:i4>7274595</vt:i4>
      </vt:variant>
      <vt:variant>
        <vt:i4>90</vt:i4>
      </vt:variant>
      <vt:variant>
        <vt:i4>0</vt:i4>
      </vt:variant>
      <vt:variant>
        <vt:i4>5</vt:i4>
      </vt:variant>
      <vt:variant>
        <vt:lpwstr>https://www.esma.europa.eu/sites/default/files/2024-10/ESMA50-43599798-10379_Carbon_markets_report_2024.pdf</vt:lpwstr>
      </vt:variant>
      <vt:variant>
        <vt:lpwstr/>
      </vt:variant>
      <vt:variant>
        <vt:i4>2031705</vt:i4>
      </vt:variant>
      <vt:variant>
        <vt:i4>87</vt:i4>
      </vt:variant>
      <vt:variant>
        <vt:i4>0</vt:i4>
      </vt:variant>
      <vt:variant>
        <vt:i4>5</vt:i4>
      </vt:variant>
      <vt:variant>
        <vt:lpwstr>https://www.esma.europa.eu/document/market-report-eu-carbon-markets-2024</vt:lpwstr>
      </vt:variant>
      <vt:variant>
        <vt:lpwstr/>
      </vt:variant>
      <vt:variant>
        <vt:i4>7274595</vt:i4>
      </vt:variant>
      <vt:variant>
        <vt:i4>84</vt:i4>
      </vt:variant>
      <vt:variant>
        <vt:i4>0</vt:i4>
      </vt:variant>
      <vt:variant>
        <vt:i4>5</vt:i4>
      </vt:variant>
      <vt:variant>
        <vt:lpwstr>https://www.esma.europa.eu/sites/default/files/2024-10/ESMA50-43599798-10379_Carbon_markets_report_2024.pdf</vt:lpwstr>
      </vt:variant>
      <vt:variant>
        <vt:lpwstr/>
      </vt:variant>
      <vt:variant>
        <vt:i4>6815844</vt:i4>
      </vt:variant>
      <vt:variant>
        <vt:i4>81</vt:i4>
      </vt:variant>
      <vt:variant>
        <vt:i4>0</vt:i4>
      </vt:variant>
      <vt:variant>
        <vt:i4>5</vt:i4>
      </vt:variant>
      <vt:variant>
        <vt:lpwstr>https://eur-lex.europa.eu/legal-content/EN/TXT/?uri=CELEX%3A02014R0596-20240109</vt:lpwstr>
      </vt:variant>
      <vt:variant>
        <vt:lpwstr/>
      </vt:variant>
      <vt:variant>
        <vt:i4>6815871</vt:i4>
      </vt:variant>
      <vt:variant>
        <vt:i4>78</vt:i4>
      </vt:variant>
      <vt:variant>
        <vt:i4>0</vt:i4>
      </vt:variant>
      <vt:variant>
        <vt:i4>5</vt:i4>
      </vt:variant>
      <vt:variant>
        <vt:lpwstr>https://eur-lex.europa.eu/legal-content/EN/TXT/?uri=CELEX%3A32014R0596</vt:lpwstr>
      </vt:variant>
      <vt:variant>
        <vt:lpwstr/>
      </vt:variant>
      <vt:variant>
        <vt:i4>6357051</vt:i4>
      </vt:variant>
      <vt:variant>
        <vt:i4>75</vt:i4>
      </vt:variant>
      <vt:variant>
        <vt:i4>0</vt:i4>
      </vt:variant>
      <vt:variant>
        <vt:i4>5</vt:i4>
      </vt:variant>
      <vt:variant>
        <vt:lpwstr>https://www.esma.europa.eu/sites/default/files/mar.pdf</vt:lpwstr>
      </vt:variant>
      <vt:variant>
        <vt:lpwstr/>
      </vt:variant>
      <vt:variant>
        <vt:i4>7471209</vt:i4>
      </vt:variant>
      <vt:variant>
        <vt:i4>72</vt:i4>
      </vt:variant>
      <vt:variant>
        <vt:i4>0</vt:i4>
      </vt:variant>
      <vt:variant>
        <vt:i4>5</vt:i4>
      </vt:variant>
      <vt:variant>
        <vt:lpwstr>https://eur-lex.europa.eu/legal-content/EN/TXT/?uri=CELEX%3A02014L0065-20240328</vt:lpwstr>
      </vt:variant>
      <vt:variant>
        <vt:lpwstr/>
      </vt:variant>
      <vt:variant>
        <vt:i4>7340144</vt:i4>
      </vt:variant>
      <vt:variant>
        <vt:i4>69</vt:i4>
      </vt:variant>
      <vt:variant>
        <vt:i4>0</vt:i4>
      </vt:variant>
      <vt:variant>
        <vt:i4>5</vt:i4>
      </vt:variant>
      <vt:variant>
        <vt:lpwstr>https://eur-lex.europa.eu/legal-content/EN/TXT/?uri=celex%3A32014L0065</vt:lpwstr>
      </vt:variant>
      <vt:variant>
        <vt:lpwstr/>
      </vt:variant>
      <vt:variant>
        <vt:i4>7340144</vt:i4>
      </vt:variant>
      <vt:variant>
        <vt:i4>66</vt:i4>
      </vt:variant>
      <vt:variant>
        <vt:i4>0</vt:i4>
      </vt:variant>
      <vt:variant>
        <vt:i4>5</vt:i4>
      </vt:variant>
      <vt:variant>
        <vt:lpwstr>https://eur-lex.europa.eu/legal-content/EN/TXT/?uri=celex%3A32014L0065</vt:lpwstr>
      </vt:variant>
      <vt:variant>
        <vt:lpwstr/>
      </vt:variant>
      <vt:variant>
        <vt:i4>7536740</vt:i4>
      </vt:variant>
      <vt:variant>
        <vt:i4>63</vt:i4>
      </vt:variant>
      <vt:variant>
        <vt:i4>0</vt:i4>
      </vt:variant>
      <vt:variant>
        <vt:i4>5</vt:i4>
      </vt:variant>
      <vt:variant>
        <vt:lpwstr>https://eur-lex.europa.eu/legal-content/EN/TXT/?uri=CELEX%3A52025XC03180&amp;qid=1753262885801</vt:lpwstr>
      </vt:variant>
      <vt:variant>
        <vt:lpwstr/>
      </vt:variant>
      <vt:variant>
        <vt:i4>2359368</vt:i4>
      </vt:variant>
      <vt:variant>
        <vt:i4>60</vt:i4>
      </vt:variant>
      <vt:variant>
        <vt:i4>0</vt:i4>
      </vt:variant>
      <vt:variant>
        <vt:i4>5</vt:i4>
      </vt:variant>
      <vt:variant>
        <vt:lpwstr>https://climate.ec.europa.eu/news-your-voice/news/market-stability-reserve-under-eu-emissions-trading-system-reduce-auction-volume-276-million-2025-05-28_en</vt:lpwstr>
      </vt:variant>
      <vt:variant>
        <vt:lpwstr/>
      </vt:variant>
      <vt:variant>
        <vt:i4>7929889</vt:i4>
      </vt:variant>
      <vt:variant>
        <vt:i4>57</vt:i4>
      </vt:variant>
      <vt:variant>
        <vt:i4>0</vt:i4>
      </vt:variant>
      <vt:variant>
        <vt:i4>5</vt:i4>
      </vt:variant>
      <vt:variant>
        <vt:lpwstr>https://eur-lex.europa.eu/legal-content/EN/TXT/?uri=CELEX%3A52025DC0378</vt:lpwstr>
      </vt:variant>
      <vt:variant>
        <vt:lpwstr/>
      </vt:variant>
      <vt:variant>
        <vt:i4>7929957</vt:i4>
      </vt:variant>
      <vt:variant>
        <vt:i4>54</vt:i4>
      </vt:variant>
      <vt:variant>
        <vt:i4>0</vt:i4>
      </vt:variant>
      <vt:variant>
        <vt:i4>5</vt:i4>
      </vt:variant>
      <vt:variant>
        <vt:lpwstr>https://ec.europa.eu/commission/presscorner/detail/en/ip_25_1563</vt:lpwstr>
      </vt:variant>
      <vt:variant>
        <vt:lpwstr/>
      </vt:variant>
      <vt:variant>
        <vt:i4>1572956</vt:i4>
      </vt:variant>
      <vt:variant>
        <vt:i4>51</vt:i4>
      </vt:variant>
      <vt:variant>
        <vt:i4>0</vt:i4>
      </vt:variant>
      <vt:variant>
        <vt:i4>5</vt:i4>
      </vt:variant>
      <vt:variant>
        <vt:lpwstr>https://eur-lex.europa.eu/eli/reg/2023/956/oj/eng</vt:lpwstr>
      </vt:variant>
      <vt:variant>
        <vt:lpwstr/>
      </vt:variant>
      <vt:variant>
        <vt:i4>2031693</vt:i4>
      </vt:variant>
      <vt:variant>
        <vt:i4>48</vt:i4>
      </vt:variant>
      <vt:variant>
        <vt:i4>0</vt:i4>
      </vt:variant>
      <vt:variant>
        <vt:i4>5</vt:i4>
      </vt:variant>
      <vt:variant>
        <vt:lpwstr>https://eur-lex.europa.eu/legal-content/EN/TXT/?uri=CELEX:32019R1842</vt:lpwstr>
      </vt:variant>
      <vt:variant>
        <vt:lpwstr/>
      </vt:variant>
      <vt:variant>
        <vt:i4>5242981</vt:i4>
      </vt:variant>
      <vt:variant>
        <vt:i4>45</vt:i4>
      </vt:variant>
      <vt:variant>
        <vt:i4>0</vt:i4>
      </vt:variant>
      <vt:variant>
        <vt:i4>5</vt:i4>
      </vt:variant>
      <vt:variant>
        <vt:lpwstr>https://eur-lex.europa.eu/eli/reg_impl/2021/447</vt:lpwstr>
      </vt:variant>
      <vt:variant>
        <vt:lpwstr/>
      </vt:variant>
      <vt:variant>
        <vt:i4>6684676</vt:i4>
      </vt:variant>
      <vt:variant>
        <vt:i4>42</vt:i4>
      </vt:variant>
      <vt:variant>
        <vt:i4>0</vt:i4>
      </vt:variant>
      <vt:variant>
        <vt:i4>5</vt:i4>
      </vt:variant>
      <vt:variant>
        <vt:lpwstr>https://climate.ec.europa.eu/news-your-voice/news/notification-germany-voluntary-cancellation-allowances-eu-ets-plants-closed-2023-2025-05-05_en</vt:lpwstr>
      </vt:variant>
      <vt:variant>
        <vt:lpwstr/>
      </vt:variant>
      <vt:variant>
        <vt:i4>262205</vt:i4>
      </vt:variant>
      <vt:variant>
        <vt:i4>39</vt:i4>
      </vt:variant>
      <vt:variant>
        <vt:i4>0</vt:i4>
      </vt:variant>
      <vt:variant>
        <vt:i4>5</vt:i4>
      </vt:variant>
      <vt:variant>
        <vt:lpwstr>https://climate.ec.europa.eu/news-your-voice/news/notification-germany-voluntary-cancellation-plants-closed-2022-2024-05-02_en</vt:lpwstr>
      </vt:variant>
      <vt:variant>
        <vt:lpwstr/>
      </vt:variant>
      <vt:variant>
        <vt:i4>7733258</vt:i4>
      </vt:variant>
      <vt:variant>
        <vt:i4>36</vt:i4>
      </vt:variant>
      <vt:variant>
        <vt:i4>0</vt:i4>
      </vt:variant>
      <vt:variant>
        <vt:i4>5</vt:i4>
      </vt:variant>
      <vt:variant>
        <vt:lpwstr>https://climate.ec.europa.eu/eu-action/eu-emissions-trading-system-eu-ets/auctioning_en</vt:lpwstr>
      </vt:variant>
      <vt:variant>
        <vt:lpwstr>documentation</vt:lpwstr>
      </vt:variant>
      <vt:variant>
        <vt:i4>1835079</vt:i4>
      </vt:variant>
      <vt:variant>
        <vt:i4>33</vt:i4>
      </vt:variant>
      <vt:variant>
        <vt:i4>0</vt:i4>
      </vt:variant>
      <vt:variant>
        <vt:i4>5</vt:i4>
      </vt:variant>
      <vt:variant>
        <vt:lpwstr>https://www.eex.com/en/market-data/market-data-hub/environmentals/eu-ets-auctions</vt:lpwstr>
      </vt:variant>
      <vt:variant>
        <vt:lpwstr/>
      </vt:variant>
      <vt:variant>
        <vt:i4>5701717</vt:i4>
      </vt:variant>
      <vt:variant>
        <vt:i4>30</vt:i4>
      </vt:variant>
      <vt:variant>
        <vt:i4>0</vt:i4>
      </vt:variant>
      <vt:variant>
        <vt:i4>5</vt:i4>
      </vt:variant>
      <vt:variant>
        <vt:lpwstr>https://eur-lex.europa.eu/eli/reg/2023/435/oj</vt:lpwstr>
      </vt:variant>
      <vt:variant>
        <vt:lpwstr/>
      </vt:variant>
      <vt:variant>
        <vt:i4>4653094</vt:i4>
      </vt:variant>
      <vt:variant>
        <vt:i4>27</vt:i4>
      </vt:variant>
      <vt:variant>
        <vt:i4>0</vt:i4>
      </vt:variant>
      <vt:variant>
        <vt:i4>5</vt:i4>
      </vt:variant>
      <vt:variant>
        <vt:lpwstr>https://eur-lex.europa.eu/eli/reg_del/2023/2830/oj</vt:lpwstr>
      </vt:variant>
      <vt:variant>
        <vt:lpwstr/>
      </vt:variant>
      <vt:variant>
        <vt:i4>7405685</vt:i4>
      </vt:variant>
      <vt:variant>
        <vt:i4>24</vt:i4>
      </vt:variant>
      <vt:variant>
        <vt:i4>0</vt:i4>
      </vt:variant>
      <vt:variant>
        <vt:i4>5</vt:i4>
      </vt:variant>
      <vt:variant>
        <vt:lpwstr>https://eur-lex.europa.eu/eli/dec/2024/1797/oj/eng</vt:lpwstr>
      </vt:variant>
      <vt:variant>
        <vt:lpwstr/>
      </vt:variant>
      <vt:variant>
        <vt:i4>68</vt:i4>
      </vt:variant>
      <vt:variant>
        <vt:i4>21</vt:i4>
      </vt:variant>
      <vt:variant>
        <vt:i4>0</vt:i4>
      </vt:variant>
      <vt:variant>
        <vt:i4>5</vt:i4>
      </vt:variant>
      <vt:variant>
        <vt:lpwstr>https://eur-lex.europa.eu/legal-content/EN/TXT/?uri=CELEX:32023D1575</vt:lpwstr>
      </vt:variant>
      <vt:variant>
        <vt:lpwstr/>
      </vt:variant>
      <vt:variant>
        <vt:i4>3473425</vt:i4>
      </vt:variant>
      <vt:variant>
        <vt:i4>18</vt:i4>
      </vt:variant>
      <vt:variant>
        <vt:i4>0</vt:i4>
      </vt:variant>
      <vt:variant>
        <vt:i4>5</vt:i4>
      </vt:variant>
      <vt:variant>
        <vt:lpwstr>https://employment-social-affairs.ec.europa.eu/document/7f23666f-5556-455a-b0f5-4c150994ce10_en</vt:lpwstr>
      </vt:variant>
      <vt:variant>
        <vt:lpwstr/>
      </vt:variant>
      <vt:variant>
        <vt:i4>917548</vt:i4>
      </vt:variant>
      <vt:variant>
        <vt:i4>15</vt:i4>
      </vt:variant>
      <vt:variant>
        <vt:i4>0</vt:i4>
      </vt:variant>
      <vt:variant>
        <vt:i4>5</vt:i4>
      </vt:variant>
      <vt:variant>
        <vt:lpwstr>https://climate.ec.europa.eu/news-other-reads/news/new-study-provides-toolbox-early-decarbonisation-ets2-sectors-2025-09-09_en</vt:lpwstr>
      </vt:variant>
      <vt:variant>
        <vt:lpwstr/>
      </vt:variant>
      <vt:variant>
        <vt:i4>2031693</vt:i4>
      </vt:variant>
      <vt:variant>
        <vt:i4>12</vt:i4>
      </vt:variant>
      <vt:variant>
        <vt:i4>0</vt:i4>
      </vt:variant>
      <vt:variant>
        <vt:i4>5</vt:i4>
      </vt:variant>
      <vt:variant>
        <vt:lpwstr>https://eur-lex.europa.eu/legal-content/EN/TXT/?uri=CELEX:32018R0842</vt:lpwstr>
      </vt:variant>
      <vt:variant>
        <vt:lpwstr/>
      </vt:variant>
      <vt:variant>
        <vt:i4>7536761</vt:i4>
      </vt:variant>
      <vt:variant>
        <vt:i4>9</vt:i4>
      </vt:variant>
      <vt:variant>
        <vt:i4>0</vt:i4>
      </vt:variant>
      <vt:variant>
        <vt:i4>5</vt:i4>
      </vt:variant>
      <vt:variant>
        <vt:lpwstr>https://eur-lex.europa.eu/legal-content/EN/TXT/?uri=celex%3A32003L0087</vt:lpwstr>
      </vt:variant>
      <vt:variant>
        <vt:lpwstr/>
      </vt:variant>
      <vt:variant>
        <vt:i4>4128787</vt:i4>
      </vt:variant>
      <vt:variant>
        <vt:i4>6</vt:i4>
      </vt:variant>
      <vt:variant>
        <vt:i4>0</vt:i4>
      </vt:variant>
      <vt:variant>
        <vt:i4>5</vt:i4>
      </vt:variant>
      <vt:variant>
        <vt:lpwstr>https://commission.europa.eu/strategy-and-policy/priorities-2019-2024/european-green-deal/repowereu-affordable-secure-and-sustainable-energy-europe_en</vt:lpwstr>
      </vt:variant>
      <vt:variant>
        <vt:lpwstr>how-repowereu-is-funded</vt:lpwstr>
      </vt:variant>
      <vt:variant>
        <vt:i4>2293787</vt:i4>
      </vt:variant>
      <vt:variant>
        <vt:i4>3</vt:i4>
      </vt:variant>
      <vt:variant>
        <vt:i4>0</vt:i4>
      </vt:variant>
      <vt:variant>
        <vt:i4>5</vt:i4>
      </vt:variant>
      <vt:variant>
        <vt:lpwstr>https://commission.europa.eu/business-economy-euro/economic-recovery/recovery-and-resilience-facility_en</vt:lpwstr>
      </vt:variant>
      <vt:variant>
        <vt:lpwstr/>
      </vt:variant>
      <vt:variant>
        <vt:i4>4259910</vt:i4>
      </vt:variant>
      <vt:variant>
        <vt:i4>0</vt:i4>
      </vt:variant>
      <vt:variant>
        <vt:i4>0</vt:i4>
      </vt:variant>
      <vt:variant>
        <vt:i4>5</vt:i4>
      </vt:variant>
      <vt:variant>
        <vt:lpwstr>https://www.eea.europa.eu/data-and-maps/dashboards/emissions-trading-viewer-1</vt:lpwstr>
      </vt:variant>
      <vt:variant>
        <vt:lpwstr/>
      </vt:variant>
      <vt:variant>
        <vt:i4>6553673</vt:i4>
      </vt:variant>
      <vt:variant>
        <vt:i4>24</vt:i4>
      </vt:variant>
      <vt:variant>
        <vt:i4>0</vt:i4>
      </vt:variant>
      <vt:variant>
        <vt:i4>5</vt:i4>
      </vt:variant>
      <vt:variant>
        <vt:lpwstr>mailto:Lorenzo.FAGGIANO@ec.europa.eu</vt:lpwstr>
      </vt:variant>
      <vt:variant>
        <vt:lpwstr/>
      </vt:variant>
      <vt:variant>
        <vt:i4>2555929</vt:i4>
      </vt:variant>
      <vt:variant>
        <vt:i4>21</vt:i4>
      </vt:variant>
      <vt:variant>
        <vt:i4>0</vt:i4>
      </vt:variant>
      <vt:variant>
        <vt:i4>5</vt:i4>
      </vt:variant>
      <vt:variant>
        <vt:lpwstr>https://climate.ec.europa.eu/document/download/49772f68-3432-40c6-800c-7915b610e825_en?filename=policy_ets_ets2_gd_accreditation_verification_en.pdf</vt:lpwstr>
      </vt:variant>
      <vt:variant>
        <vt:lpwstr/>
      </vt:variant>
      <vt:variant>
        <vt:i4>2293819</vt:i4>
      </vt:variant>
      <vt:variant>
        <vt:i4>18</vt:i4>
      </vt:variant>
      <vt:variant>
        <vt:i4>0</vt:i4>
      </vt:variant>
      <vt:variant>
        <vt:i4>5</vt:i4>
      </vt:variant>
      <vt:variant>
        <vt:lpwstr>https://climate.ec.europa.eu/system/files/2023-12/1.2 Kunst - ETS_MRR progress ETS_0.pdf</vt:lpwstr>
      </vt:variant>
      <vt:variant>
        <vt:lpwstr/>
      </vt:variant>
      <vt:variant>
        <vt:i4>1048656</vt:i4>
      </vt:variant>
      <vt:variant>
        <vt:i4>15</vt:i4>
      </vt:variant>
      <vt:variant>
        <vt:i4>0</vt:i4>
      </vt:variant>
      <vt:variant>
        <vt:i4>5</vt:i4>
      </vt:variant>
      <vt:variant>
        <vt:lpwstr>https://eur-lex.europa.eu/legal-content/EN/TXT/?uri=CELEX:02018R2067-20250622</vt:lpwstr>
      </vt:variant>
      <vt:variant>
        <vt:lpwstr/>
      </vt:variant>
      <vt:variant>
        <vt:i4>4194424</vt:i4>
      </vt:variant>
      <vt:variant>
        <vt:i4>12</vt:i4>
      </vt:variant>
      <vt:variant>
        <vt:i4>0</vt:i4>
      </vt:variant>
      <vt:variant>
        <vt:i4>5</vt:i4>
      </vt:variant>
      <vt:variant>
        <vt:lpwstr>mailto:Julia.ZIEMANN@ec.europa.eu</vt:lpwstr>
      </vt:variant>
      <vt:variant>
        <vt:lpwstr/>
      </vt:variant>
      <vt:variant>
        <vt:i4>5308528</vt:i4>
      </vt:variant>
      <vt:variant>
        <vt:i4>9</vt:i4>
      </vt:variant>
      <vt:variant>
        <vt:i4>0</vt:i4>
      </vt:variant>
      <vt:variant>
        <vt:i4>5</vt:i4>
      </vt:variant>
      <vt:variant>
        <vt:lpwstr>mailto:Joana.FONSECA@ec.europa.eu</vt:lpwstr>
      </vt:variant>
      <vt:variant>
        <vt:lpwstr/>
      </vt:variant>
      <vt:variant>
        <vt:i4>5242995</vt:i4>
      </vt:variant>
      <vt:variant>
        <vt:i4>6</vt:i4>
      </vt:variant>
      <vt:variant>
        <vt:i4>0</vt:i4>
      </vt:variant>
      <vt:variant>
        <vt:i4>5</vt:i4>
      </vt:variant>
      <vt:variant>
        <vt:lpwstr>mailto:Ralph.WISCHERMANN@ec.europa.eu</vt:lpwstr>
      </vt:variant>
      <vt:variant>
        <vt:lpwstr/>
      </vt:variant>
      <vt:variant>
        <vt:i4>5308528</vt:i4>
      </vt:variant>
      <vt:variant>
        <vt:i4>3</vt:i4>
      </vt:variant>
      <vt:variant>
        <vt:i4>0</vt:i4>
      </vt:variant>
      <vt:variant>
        <vt:i4>5</vt:i4>
      </vt:variant>
      <vt:variant>
        <vt:lpwstr>mailto:Joana.FONSECA@ec.europa.eu</vt:lpwstr>
      </vt:variant>
      <vt:variant>
        <vt:lpwstr/>
      </vt:variant>
      <vt:variant>
        <vt:i4>5242995</vt:i4>
      </vt:variant>
      <vt:variant>
        <vt:i4>0</vt:i4>
      </vt:variant>
      <vt:variant>
        <vt:i4>0</vt:i4>
      </vt:variant>
      <vt:variant>
        <vt:i4>5</vt:i4>
      </vt:variant>
      <vt:variant>
        <vt:lpwstr>mailto:Ralph.WISCHERMANN@ec.europa.eu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37</cp:revision>
  <dcterms:created xsi:type="dcterms:W3CDTF">2025-11-24T09:52:00Z</dcterms:created>
  <dcterms:modified xsi:type="dcterms:W3CDTF">2026-01-19T09:16:00Z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0x0101006F9234BE3910874EAD93E4EEEE4C73D0</vt:lpwstr>
  </property>
  <property fmtid="{D5CDD505-2E9C-101B-9397-08002B2CF9AE}" pid="3" name="MediaServiceImageTags">
    <vt:lpwstr/>
  </property>
  <property fmtid="{D5CDD505-2E9C-101B-9397-08002B2CF9AE}" pid="4" name="Level of sensitivity">
    <vt:lpwstr>Standard treatment</vt:lpwstr>
  </property>
  <property fmtid="{D5CDD505-2E9C-101B-9397-08002B2CF9AE}" pid="5" name="Part">
    <vt:lpwstr>1</vt:lpwstr>
  </property>
  <property fmtid="{D5CDD505-2E9C-101B-9397-08002B2CF9AE}" pid="6" name="Total parts">
    <vt:lpwstr>1</vt:lpwstr>
  </property>
  <property fmtid="{D5CDD505-2E9C-101B-9397-08002B2CF9AE}" pid="7" name="Last edited using">
    <vt:lpwstr>LW 9.2, Build 20250828</vt:lpwstr>
  </property>
  <property fmtid="{D5CDD505-2E9C-101B-9397-08002B2CF9AE}" pid="8" name="DocStatus">
    <vt:lpwstr>Green</vt:lpwstr>
  </property>
  <property fmtid="{D5CDD505-2E9C-101B-9397-08002B2CF9AE}" pid="9" name="CPTemplateID">
    <vt:lpwstr>CP-006</vt:lpwstr>
  </property>
  <property fmtid="{D5CDD505-2E9C-101B-9397-08002B2CF9AE}" pid="10" name="Created using">
    <vt:lpwstr>LW 9.0, Build 20230317</vt:lpwstr>
  </property>
  <property fmtid="{D5CDD505-2E9C-101B-9397-08002B2CF9AE}" pid="11" name="MSIP_Label_f4cdc456-5864-460f-beda-883d23b78bbb_Enabled">
    <vt:lpwstr>true</vt:lpwstr>
  </property>
  <property fmtid="{D5CDD505-2E9C-101B-9397-08002B2CF9AE}" pid="12" name="MSIP_Label_f4cdc456-5864-460f-beda-883d23b78bbb_SetDate">
    <vt:lpwstr>2025-08-21T16:56:49Z</vt:lpwstr>
  </property>
  <property fmtid="{D5CDD505-2E9C-101B-9397-08002B2CF9AE}" pid="13" name="MSIP_Label_f4cdc456-5864-460f-beda-883d23b78bbb_Method">
    <vt:lpwstr>Privileged</vt:lpwstr>
  </property>
  <property fmtid="{D5CDD505-2E9C-101B-9397-08002B2CF9AE}" pid="14" name="MSIP_Label_f4cdc456-5864-460f-beda-883d23b78bbb_Name">
    <vt:lpwstr>Publicly Available</vt:lpwstr>
  </property>
  <property fmtid="{D5CDD505-2E9C-101B-9397-08002B2CF9AE}" pid="15" name="MSIP_Label_f4cdc456-5864-460f-beda-883d23b78bbb_SiteId">
    <vt:lpwstr>b24c8b06-522c-46fe-9080-70926f8dddb1</vt:lpwstr>
  </property>
  <property fmtid="{D5CDD505-2E9C-101B-9397-08002B2CF9AE}" pid="16" name="MSIP_Label_f4cdc456-5864-460f-beda-883d23b78bbb_ActionId">
    <vt:lpwstr>9dbeb7f7-1576-4795-ba15-da65870513a4</vt:lpwstr>
  </property>
  <property fmtid="{D5CDD505-2E9C-101B-9397-08002B2CF9AE}" pid="17" name="MSIP_Label_f4cdc456-5864-460f-beda-883d23b78bbb_ContentBits">
    <vt:lpwstr>0</vt:lpwstr>
  </property>
  <property fmtid="{D5CDD505-2E9C-101B-9397-08002B2CF9AE}" pid="18" name="MSIP_Label_f4cdc456-5864-460f-beda-883d23b78bbb_Tag">
    <vt:lpwstr>10, 0, 1, 1</vt:lpwstr>
  </property>
  <property fmtid="{D5CDD505-2E9C-101B-9397-08002B2CF9AE}" pid="19" name="EC_Collab_DocumentLanguage">
    <vt:lpwstr>EN</vt:lpwstr>
  </property>
</Properties>
</file>