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BE5E0" w14:textId="788AA98B" w:rsidR="008B6253" w:rsidRPr="00B126EB" w:rsidRDefault="00DD69C6" w:rsidP="00DD69C6">
      <w:pPr>
        <w:pStyle w:val="Pagedecouverture"/>
        <w:rPr>
          <w:noProof/>
        </w:rPr>
      </w:pPr>
      <w:bookmarkStart w:id="0" w:name="LW_BM_COVERPAGE"/>
      <w:r>
        <w:rPr>
          <w:noProof/>
        </w:rPr>
        <w:pict w14:anchorId="63868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03C6E0F4-DDE1-46E4-BB23-1C2C41BA331E" style="width:455.25pt;height:405.75pt">
            <v:imagedata r:id="rId11" o:title=""/>
          </v:shape>
        </w:pict>
      </w:r>
    </w:p>
    <w:bookmarkEnd w:id="0"/>
    <w:p w14:paraId="01AEB2FF" w14:textId="77777777" w:rsidR="008B6253" w:rsidRPr="00B126EB" w:rsidRDefault="008B6253" w:rsidP="008B6253">
      <w:pPr>
        <w:rPr>
          <w:noProof/>
        </w:rPr>
        <w:sectPr w:rsidR="008B6253" w:rsidRPr="00B126EB" w:rsidSect="00DD69C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6159457" w14:textId="77777777" w:rsidR="008B6253" w:rsidRPr="00B126EB" w:rsidRDefault="008B6253" w:rsidP="008B6253">
      <w:pPr>
        <w:pStyle w:val="TOCHeading"/>
        <w:rPr>
          <w:rFonts w:eastAsiaTheme="minorHAnsi"/>
          <w:b w:val="0"/>
          <w:noProof/>
          <w:sz w:val="24"/>
        </w:rPr>
      </w:pPr>
      <w:bookmarkStart w:id="1" w:name="_GoBack"/>
      <w:bookmarkEnd w:id="1"/>
    </w:p>
    <w:sdt>
      <w:sdtPr>
        <w:rPr>
          <w:rFonts w:eastAsiaTheme="minorEastAsia"/>
          <w:b w:val="0"/>
          <w:noProof/>
          <w:sz w:val="24"/>
        </w:rPr>
        <w:id w:val="-874687748"/>
        <w:docPartObj>
          <w:docPartGallery w:val="Table of Contents"/>
          <w:docPartUnique/>
        </w:docPartObj>
      </w:sdtPr>
      <w:sdtEndPr>
        <w:rPr>
          <w:sz w:val="22"/>
          <w:szCs w:val="22"/>
        </w:rPr>
      </w:sdtEndPr>
      <w:sdtContent>
        <w:p w14:paraId="24E88DD3" w14:textId="77777777" w:rsidR="008B6253" w:rsidRPr="00B126EB" w:rsidRDefault="008B6253" w:rsidP="008B6253">
          <w:pPr>
            <w:pStyle w:val="TOCHeading"/>
            <w:rPr>
              <w:noProof/>
              <w:color w:val="034EA2" w:themeColor="accent1"/>
            </w:rPr>
          </w:pPr>
          <w:r w:rsidRPr="00B126EB">
            <w:rPr>
              <w:noProof/>
              <w:color w:val="034EA2" w:themeColor="accent1"/>
            </w:rPr>
            <w:t>Índice</w:t>
          </w:r>
        </w:p>
        <w:p w14:paraId="5CC97045" w14:textId="4CE2CE3D" w:rsidR="00AE3B1B" w:rsidRDefault="008B6253">
          <w:pPr>
            <w:pStyle w:val="TOC1"/>
            <w:rPr>
              <w:rFonts w:asciiTheme="minorHAnsi" w:eastAsiaTheme="minorEastAsia" w:hAnsiTheme="minorHAnsi" w:cstheme="minorBidi"/>
              <w:noProof/>
              <w:kern w:val="2"/>
              <w:sz w:val="24"/>
              <w:lang w:val="en-IE" w:eastAsia="en-IE"/>
              <w14:ligatures w14:val="standardContextual"/>
            </w:rPr>
          </w:pPr>
          <w:r w:rsidRPr="00B126EB">
            <w:rPr>
              <w:noProof/>
            </w:rPr>
            <w:fldChar w:fldCharType="begin"/>
          </w:r>
          <w:r w:rsidRPr="00B126EB">
            <w:rPr>
              <w:noProof/>
            </w:rPr>
            <w:instrText xml:space="preserve"> TOC \o "1-3" \h \z \u </w:instrText>
          </w:r>
          <w:r w:rsidRPr="00B126EB">
            <w:rPr>
              <w:noProof/>
            </w:rPr>
            <w:fldChar w:fldCharType="separate"/>
          </w:r>
          <w:hyperlink w:anchor="_Toc193121316" w:history="1">
            <w:r w:rsidR="00AE3B1B" w:rsidRPr="00154C07">
              <w:rPr>
                <w:rStyle w:val="Hyperlink"/>
                <w:noProof/>
              </w:rPr>
              <w:t>1.</w:t>
            </w:r>
            <w:r w:rsidR="00AE3B1B">
              <w:rPr>
                <w:rFonts w:asciiTheme="minorHAnsi" w:eastAsiaTheme="minorEastAsia" w:hAnsiTheme="minorHAnsi" w:cstheme="minorBidi"/>
                <w:noProof/>
                <w:kern w:val="2"/>
                <w:sz w:val="24"/>
                <w:lang w:val="en-IE" w:eastAsia="en-IE"/>
                <w14:ligatures w14:val="standardContextual"/>
              </w:rPr>
              <w:tab/>
            </w:r>
            <w:r w:rsidR="00AE3B1B" w:rsidRPr="00154C07">
              <w:rPr>
                <w:rStyle w:val="Hyperlink"/>
                <w:noProof/>
              </w:rPr>
              <w:t>Resumo</w:t>
            </w:r>
            <w:r w:rsidR="00AE3B1B">
              <w:rPr>
                <w:noProof/>
                <w:webHidden/>
              </w:rPr>
              <w:tab/>
            </w:r>
            <w:r w:rsidR="00AE3B1B">
              <w:rPr>
                <w:noProof/>
                <w:webHidden/>
              </w:rPr>
              <w:fldChar w:fldCharType="begin"/>
            </w:r>
            <w:r w:rsidR="00AE3B1B">
              <w:rPr>
                <w:noProof/>
                <w:webHidden/>
              </w:rPr>
              <w:instrText xml:space="preserve"> PAGEREF _Toc193121316 \h </w:instrText>
            </w:r>
            <w:r w:rsidR="00AE3B1B">
              <w:rPr>
                <w:noProof/>
                <w:webHidden/>
              </w:rPr>
            </w:r>
            <w:r w:rsidR="00AE3B1B">
              <w:rPr>
                <w:noProof/>
                <w:webHidden/>
              </w:rPr>
              <w:fldChar w:fldCharType="separate"/>
            </w:r>
            <w:r w:rsidR="00AE3B1B">
              <w:rPr>
                <w:noProof/>
                <w:webHidden/>
              </w:rPr>
              <w:t>4</w:t>
            </w:r>
            <w:r w:rsidR="00AE3B1B">
              <w:rPr>
                <w:noProof/>
                <w:webHidden/>
              </w:rPr>
              <w:fldChar w:fldCharType="end"/>
            </w:r>
          </w:hyperlink>
        </w:p>
        <w:p w14:paraId="36E4E148" w14:textId="7B9B4C8A" w:rsidR="00AE3B1B" w:rsidRDefault="00DD69C6">
          <w:pPr>
            <w:pStyle w:val="TOC1"/>
            <w:rPr>
              <w:rFonts w:asciiTheme="minorHAnsi" w:eastAsiaTheme="minorEastAsia" w:hAnsiTheme="minorHAnsi" w:cstheme="minorBidi"/>
              <w:noProof/>
              <w:kern w:val="2"/>
              <w:sz w:val="24"/>
              <w:lang w:val="en-IE" w:eastAsia="en-IE"/>
              <w14:ligatures w14:val="standardContextual"/>
            </w:rPr>
          </w:pPr>
          <w:hyperlink w:anchor="_Toc193121317" w:history="1">
            <w:r w:rsidR="00AE3B1B" w:rsidRPr="00154C07">
              <w:rPr>
                <w:rStyle w:val="Hyperlink"/>
                <w:noProof/>
              </w:rPr>
              <w:t>2.</w:t>
            </w:r>
            <w:r w:rsidR="00AE3B1B">
              <w:rPr>
                <w:rFonts w:asciiTheme="minorHAnsi" w:eastAsiaTheme="minorEastAsia" w:hAnsiTheme="minorHAnsi" w:cstheme="minorBidi"/>
                <w:noProof/>
                <w:kern w:val="2"/>
                <w:sz w:val="24"/>
                <w:lang w:val="en-IE" w:eastAsia="en-IE"/>
                <w14:ligatures w14:val="standardContextual"/>
              </w:rPr>
              <w:tab/>
            </w:r>
            <w:r w:rsidR="00AE3B1B" w:rsidRPr="00154C07">
              <w:rPr>
                <w:rStyle w:val="Hyperlink"/>
                <w:noProof/>
              </w:rPr>
              <w:t>Introdução</w:t>
            </w:r>
            <w:r w:rsidR="00AE3B1B">
              <w:rPr>
                <w:noProof/>
                <w:webHidden/>
              </w:rPr>
              <w:tab/>
            </w:r>
            <w:r w:rsidR="00AE3B1B">
              <w:rPr>
                <w:noProof/>
                <w:webHidden/>
              </w:rPr>
              <w:fldChar w:fldCharType="begin"/>
            </w:r>
            <w:r w:rsidR="00AE3B1B">
              <w:rPr>
                <w:noProof/>
                <w:webHidden/>
              </w:rPr>
              <w:instrText xml:space="preserve"> PAGEREF _Toc193121317 \h </w:instrText>
            </w:r>
            <w:r w:rsidR="00AE3B1B">
              <w:rPr>
                <w:noProof/>
                <w:webHidden/>
              </w:rPr>
            </w:r>
            <w:r w:rsidR="00AE3B1B">
              <w:rPr>
                <w:noProof/>
                <w:webHidden/>
              </w:rPr>
              <w:fldChar w:fldCharType="separate"/>
            </w:r>
            <w:r w:rsidR="00AE3B1B">
              <w:rPr>
                <w:noProof/>
                <w:webHidden/>
              </w:rPr>
              <w:t>5</w:t>
            </w:r>
            <w:r w:rsidR="00AE3B1B">
              <w:rPr>
                <w:noProof/>
                <w:webHidden/>
              </w:rPr>
              <w:fldChar w:fldCharType="end"/>
            </w:r>
          </w:hyperlink>
        </w:p>
        <w:p w14:paraId="05A3554F" w14:textId="30DA6D92" w:rsidR="00AE3B1B" w:rsidRDefault="00DD69C6">
          <w:pPr>
            <w:pStyle w:val="TOC1"/>
            <w:rPr>
              <w:rFonts w:asciiTheme="minorHAnsi" w:eastAsiaTheme="minorEastAsia" w:hAnsiTheme="minorHAnsi" w:cstheme="minorBidi"/>
              <w:noProof/>
              <w:kern w:val="2"/>
              <w:sz w:val="24"/>
              <w:lang w:val="en-IE" w:eastAsia="en-IE"/>
              <w14:ligatures w14:val="standardContextual"/>
            </w:rPr>
          </w:pPr>
          <w:hyperlink w:anchor="_Toc193121318" w:history="1">
            <w:r w:rsidR="00AE3B1B" w:rsidRPr="00154C07">
              <w:rPr>
                <w:rStyle w:val="Hyperlink"/>
                <w:noProof/>
              </w:rPr>
              <w:t>3.</w:t>
            </w:r>
            <w:r w:rsidR="00AE3B1B">
              <w:rPr>
                <w:rFonts w:asciiTheme="minorHAnsi" w:eastAsiaTheme="minorEastAsia" w:hAnsiTheme="minorHAnsi" w:cstheme="minorBidi"/>
                <w:noProof/>
                <w:kern w:val="2"/>
                <w:sz w:val="24"/>
                <w:lang w:val="en-IE" w:eastAsia="en-IE"/>
                <w14:ligatures w14:val="standardContextual"/>
              </w:rPr>
              <w:tab/>
            </w:r>
            <w:r w:rsidR="00AE3B1B" w:rsidRPr="00154C07">
              <w:rPr>
                <w:rStyle w:val="Hyperlink"/>
                <w:noProof/>
              </w:rPr>
              <w:t>Execução das operações de contração de empréstimos no segundo semestre de 2024</w:t>
            </w:r>
            <w:r w:rsidR="00AE3B1B">
              <w:rPr>
                <w:noProof/>
                <w:webHidden/>
              </w:rPr>
              <w:tab/>
            </w:r>
            <w:r w:rsidR="00AE3B1B">
              <w:rPr>
                <w:noProof/>
                <w:webHidden/>
              </w:rPr>
              <w:fldChar w:fldCharType="begin"/>
            </w:r>
            <w:r w:rsidR="00AE3B1B">
              <w:rPr>
                <w:noProof/>
                <w:webHidden/>
              </w:rPr>
              <w:instrText xml:space="preserve"> PAGEREF _Toc193121318 \h </w:instrText>
            </w:r>
            <w:r w:rsidR="00AE3B1B">
              <w:rPr>
                <w:noProof/>
                <w:webHidden/>
              </w:rPr>
            </w:r>
            <w:r w:rsidR="00AE3B1B">
              <w:rPr>
                <w:noProof/>
                <w:webHidden/>
              </w:rPr>
              <w:fldChar w:fldCharType="separate"/>
            </w:r>
            <w:r w:rsidR="00AE3B1B">
              <w:rPr>
                <w:noProof/>
                <w:webHidden/>
              </w:rPr>
              <w:t>6</w:t>
            </w:r>
            <w:r w:rsidR="00AE3B1B">
              <w:rPr>
                <w:noProof/>
                <w:webHidden/>
              </w:rPr>
              <w:fldChar w:fldCharType="end"/>
            </w:r>
          </w:hyperlink>
        </w:p>
        <w:p w14:paraId="660C7C7B" w14:textId="0382BB12" w:rsidR="00AE3B1B" w:rsidRDefault="00DD69C6">
          <w:pPr>
            <w:pStyle w:val="TOC2"/>
            <w:tabs>
              <w:tab w:val="right" w:leader="dot" w:pos="9062"/>
            </w:tabs>
            <w:rPr>
              <w:rFonts w:asciiTheme="minorHAnsi" w:eastAsiaTheme="minorEastAsia" w:hAnsiTheme="minorHAnsi" w:cstheme="minorBidi"/>
              <w:noProof/>
              <w:kern w:val="2"/>
              <w:sz w:val="24"/>
              <w:lang w:val="en-IE" w:eastAsia="en-IE"/>
              <w14:ligatures w14:val="standardContextual"/>
            </w:rPr>
          </w:pPr>
          <w:hyperlink w:anchor="_Toc193121319" w:history="1">
            <w:r w:rsidR="00AE3B1B" w:rsidRPr="00154C07">
              <w:rPr>
                <w:rStyle w:val="Hyperlink"/>
                <w:noProof/>
              </w:rPr>
              <w:t>Execução de operações de financiamento no segundo semestre de 2024</w:t>
            </w:r>
            <w:r w:rsidR="00AE3B1B">
              <w:rPr>
                <w:noProof/>
                <w:webHidden/>
              </w:rPr>
              <w:tab/>
            </w:r>
            <w:r w:rsidR="00AE3B1B">
              <w:rPr>
                <w:noProof/>
                <w:webHidden/>
              </w:rPr>
              <w:fldChar w:fldCharType="begin"/>
            </w:r>
            <w:r w:rsidR="00AE3B1B">
              <w:rPr>
                <w:noProof/>
                <w:webHidden/>
              </w:rPr>
              <w:instrText xml:space="preserve"> PAGEREF _Toc193121319 \h </w:instrText>
            </w:r>
            <w:r w:rsidR="00AE3B1B">
              <w:rPr>
                <w:noProof/>
                <w:webHidden/>
              </w:rPr>
            </w:r>
            <w:r w:rsidR="00AE3B1B">
              <w:rPr>
                <w:noProof/>
                <w:webHidden/>
              </w:rPr>
              <w:fldChar w:fldCharType="separate"/>
            </w:r>
            <w:r w:rsidR="00AE3B1B">
              <w:rPr>
                <w:noProof/>
                <w:webHidden/>
              </w:rPr>
              <w:t>6</w:t>
            </w:r>
            <w:r w:rsidR="00AE3B1B">
              <w:rPr>
                <w:noProof/>
                <w:webHidden/>
              </w:rPr>
              <w:fldChar w:fldCharType="end"/>
            </w:r>
          </w:hyperlink>
        </w:p>
        <w:p w14:paraId="08107126" w14:textId="0CFB2F9E" w:rsidR="00AE3B1B" w:rsidRDefault="00DD69C6">
          <w:pPr>
            <w:pStyle w:val="TOC2"/>
            <w:tabs>
              <w:tab w:val="right" w:leader="dot" w:pos="9062"/>
            </w:tabs>
            <w:rPr>
              <w:rFonts w:asciiTheme="minorHAnsi" w:eastAsiaTheme="minorEastAsia" w:hAnsiTheme="minorHAnsi" w:cstheme="minorBidi"/>
              <w:noProof/>
              <w:kern w:val="2"/>
              <w:sz w:val="24"/>
              <w:lang w:val="en-IE" w:eastAsia="en-IE"/>
              <w14:ligatures w14:val="standardContextual"/>
            </w:rPr>
          </w:pPr>
          <w:hyperlink w:anchor="_Toc193121320" w:history="1">
            <w:r w:rsidR="00AE3B1B" w:rsidRPr="00154C07">
              <w:rPr>
                <w:rStyle w:val="Hyperlink"/>
                <w:noProof/>
              </w:rPr>
              <w:t>Desembolsos</w:t>
            </w:r>
            <w:r w:rsidR="00AE3B1B">
              <w:rPr>
                <w:noProof/>
                <w:webHidden/>
              </w:rPr>
              <w:tab/>
            </w:r>
            <w:r w:rsidR="00AE3B1B">
              <w:rPr>
                <w:noProof/>
                <w:webHidden/>
              </w:rPr>
              <w:fldChar w:fldCharType="begin"/>
            </w:r>
            <w:r w:rsidR="00AE3B1B">
              <w:rPr>
                <w:noProof/>
                <w:webHidden/>
              </w:rPr>
              <w:instrText xml:space="preserve"> PAGEREF _Toc193121320 \h </w:instrText>
            </w:r>
            <w:r w:rsidR="00AE3B1B">
              <w:rPr>
                <w:noProof/>
                <w:webHidden/>
              </w:rPr>
            </w:r>
            <w:r w:rsidR="00AE3B1B">
              <w:rPr>
                <w:noProof/>
                <w:webHidden/>
              </w:rPr>
              <w:fldChar w:fldCharType="separate"/>
            </w:r>
            <w:r w:rsidR="00AE3B1B">
              <w:rPr>
                <w:noProof/>
                <w:webHidden/>
              </w:rPr>
              <w:t>7</w:t>
            </w:r>
            <w:r w:rsidR="00AE3B1B">
              <w:rPr>
                <w:noProof/>
                <w:webHidden/>
              </w:rPr>
              <w:fldChar w:fldCharType="end"/>
            </w:r>
          </w:hyperlink>
        </w:p>
        <w:p w14:paraId="79D178F2" w14:textId="2ACD07E9" w:rsidR="00AE3B1B" w:rsidRDefault="00DD69C6">
          <w:pPr>
            <w:pStyle w:val="TOC2"/>
            <w:tabs>
              <w:tab w:val="right" w:leader="dot" w:pos="9062"/>
            </w:tabs>
            <w:rPr>
              <w:rFonts w:asciiTheme="minorHAnsi" w:eastAsiaTheme="minorEastAsia" w:hAnsiTheme="minorHAnsi" w:cstheme="minorBidi"/>
              <w:noProof/>
              <w:kern w:val="2"/>
              <w:sz w:val="24"/>
              <w:lang w:val="en-IE" w:eastAsia="en-IE"/>
              <w14:ligatures w14:val="standardContextual"/>
            </w:rPr>
          </w:pPr>
          <w:hyperlink w:anchor="_Toc193121321" w:history="1">
            <w:r w:rsidR="00AE3B1B" w:rsidRPr="00154C07">
              <w:rPr>
                <w:rStyle w:val="Hyperlink"/>
                <w:noProof/>
              </w:rPr>
              <w:t>Procura por parte de investidores e liquidez do mercado secundário</w:t>
            </w:r>
            <w:r w:rsidR="00AE3B1B">
              <w:rPr>
                <w:noProof/>
                <w:webHidden/>
              </w:rPr>
              <w:tab/>
            </w:r>
            <w:r w:rsidR="00AE3B1B">
              <w:rPr>
                <w:noProof/>
                <w:webHidden/>
              </w:rPr>
              <w:fldChar w:fldCharType="begin"/>
            </w:r>
            <w:r w:rsidR="00AE3B1B">
              <w:rPr>
                <w:noProof/>
                <w:webHidden/>
              </w:rPr>
              <w:instrText xml:space="preserve"> PAGEREF _Toc193121321 \h </w:instrText>
            </w:r>
            <w:r w:rsidR="00AE3B1B">
              <w:rPr>
                <w:noProof/>
                <w:webHidden/>
              </w:rPr>
            </w:r>
            <w:r w:rsidR="00AE3B1B">
              <w:rPr>
                <w:noProof/>
                <w:webHidden/>
              </w:rPr>
              <w:fldChar w:fldCharType="separate"/>
            </w:r>
            <w:r w:rsidR="00AE3B1B">
              <w:rPr>
                <w:noProof/>
                <w:webHidden/>
              </w:rPr>
              <w:t>8</w:t>
            </w:r>
            <w:r w:rsidR="00AE3B1B">
              <w:rPr>
                <w:noProof/>
                <w:webHidden/>
              </w:rPr>
              <w:fldChar w:fldCharType="end"/>
            </w:r>
          </w:hyperlink>
        </w:p>
        <w:p w14:paraId="7419DA51" w14:textId="12D9C693" w:rsidR="00AE3B1B" w:rsidRDefault="00DD69C6">
          <w:pPr>
            <w:pStyle w:val="TOC1"/>
            <w:rPr>
              <w:rFonts w:asciiTheme="minorHAnsi" w:eastAsiaTheme="minorEastAsia" w:hAnsiTheme="minorHAnsi" w:cstheme="minorBidi"/>
              <w:noProof/>
              <w:kern w:val="2"/>
              <w:sz w:val="24"/>
              <w:lang w:val="en-IE" w:eastAsia="en-IE"/>
              <w14:ligatures w14:val="standardContextual"/>
            </w:rPr>
          </w:pPr>
          <w:hyperlink w:anchor="_Toc193121322" w:history="1">
            <w:r w:rsidR="00AE3B1B" w:rsidRPr="00154C07">
              <w:rPr>
                <w:rStyle w:val="Hyperlink"/>
                <w:noProof/>
              </w:rPr>
              <w:t>4.</w:t>
            </w:r>
            <w:r w:rsidR="00AE3B1B">
              <w:rPr>
                <w:rFonts w:asciiTheme="minorHAnsi" w:eastAsiaTheme="minorEastAsia" w:hAnsiTheme="minorHAnsi" w:cstheme="minorBidi"/>
                <w:noProof/>
                <w:kern w:val="2"/>
                <w:sz w:val="24"/>
                <w:lang w:val="en-IE" w:eastAsia="en-IE"/>
                <w14:ligatures w14:val="standardContextual"/>
              </w:rPr>
              <w:tab/>
            </w:r>
            <w:r w:rsidR="00AE3B1B" w:rsidRPr="00154C07">
              <w:rPr>
                <w:rStyle w:val="Hyperlink"/>
                <w:noProof/>
              </w:rPr>
              <w:t>Custo do financiamento e saldos de liquidez</w:t>
            </w:r>
            <w:r w:rsidR="00AE3B1B">
              <w:rPr>
                <w:noProof/>
                <w:webHidden/>
              </w:rPr>
              <w:tab/>
            </w:r>
            <w:r w:rsidR="00AE3B1B">
              <w:rPr>
                <w:noProof/>
                <w:webHidden/>
              </w:rPr>
              <w:fldChar w:fldCharType="begin"/>
            </w:r>
            <w:r w:rsidR="00AE3B1B">
              <w:rPr>
                <w:noProof/>
                <w:webHidden/>
              </w:rPr>
              <w:instrText xml:space="preserve"> PAGEREF _Toc193121322 \h </w:instrText>
            </w:r>
            <w:r w:rsidR="00AE3B1B">
              <w:rPr>
                <w:noProof/>
                <w:webHidden/>
              </w:rPr>
            </w:r>
            <w:r w:rsidR="00AE3B1B">
              <w:rPr>
                <w:noProof/>
                <w:webHidden/>
              </w:rPr>
              <w:fldChar w:fldCharType="separate"/>
            </w:r>
            <w:r w:rsidR="00AE3B1B">
              <w:rPr>
                <w:noProof/>
                <w:webHidden/>
              </w:rPr>
              <w:t>10</w:t>
            </w:r>
            <w:r w:rsidR="00AE3B1B">
              <w:rPr>
                <w:noProof/>
                <w:webHidden/>
              </w:rPr>
              <w:fldChar w:fldCharType="end"/>
            </w:r>
          </w:hyperlink>
        </w:p>
        <w:p w14:paraId="1ED93FC0" w14:textId="26BF6B4C" w:rsidR="00AE3B1B" w:rsidRDefault="00DD69C6">
          <w:pPr>
            <w:pStyle w:val="TOC2"/>
            <w:tabs>
              <w:tab w:val="right" w:leader="dot" w:pos="9062"/>
            </w:tabs>
            <w:rPr>
              <w:rFonts w:asciiTheme="minorHAnsi" w:eastAsiaTheme="minorEastAsia" w:hAnsiTheme="minorHAnsi" w:cstheme="minorBidi"/>
              <w:noProof/>
              <w:kern w:val="2"/>
              <w:sz w:val="24"/>
              <w:lang w:val="en-IE" w:eastAsia="en-IE"/>
              <w14:ligatures w14:val="standardContextual"/>
            </w:rPr>
          </w:pPr>
          <w:hyperlink w:anchor="_Toc193121323" w:history="1">
            <w:r w:rsidR="00AE3B1B" w:rsidRPr="00154C07">
              <w:rPr>
                <w:rStyle w:val="Hyperlink"/>
                <w:noProof/>
              </w:rPr>
              <w:t>Custo do financiamento</w:t>
            </w:r>
            <w:r w:rsidR="00AE3B1B">
              <w:rPr>
                <w:noProof/>
                <w:webHidden/>
              </w:rPr>
              <w:tab/>
            </w:r>
            <w:r w:rsidR="00AE3B1B">
              <w:rPr>
                <w:noProof/>
                <w:webHidden/>
              </w:rPr>
              <w:fldChar w:fldCharType="begin"/>
            </w:r>
            <w:r w:rsidR="00AE3B1B">
              <w:rPr>
                <w:noProof/>
                <w:webHidden/>
              </w:rPr>
              <w:instrText xml:space="preserve"> PAGEREF _Toc193121323 \h </w:instrText>
            </w:r>
            <w:r w:rsidR="00AE3B1B">
              <w:rPr>
                <w:noProof/>
                <w:webHidden/>
              </w:rPr>
            </w:r>
            <w:r w:rsidR="00AE3B1B">
              <w:rPr>
                <w:noProof/>
                <w:webHidden/>
              </w:rPr>
              <w:fldChar w:fldCharType="separate"/>
            </w:r>
            <w:r w:rsidR="00AE3B1B">
              <w:rPr>
                <w:noProof/>
                <w:webHidden/>
              </w:rPr>
              <w:t>10</w:t>
            </w:r>
            <w:r w:rsidR="00AE3B1B">
              <w:rPr>
                <w:noProof/>
                <w:webHidden/>
              </w:rPr>
              <w:fldChar w:fldCharType="end"/>
            </w:r>
          </w:hyperlink>
        </w:p>
        <w:p w14:paraId="0F6F7900" w14:textId="787214B7" w:rsidR="00AE3B1B" w:rsidRDefault="00DD69C6">
          <w:pPr>
            <w:pStyle w:val="TOC2"/>
            <w:tabs>
              <w:tab w:val="right" w:leader="dot" w:pos="9062"/>
            </w:tabs>
            <w:rPr>
              <w:rFonts w:asciiTheme="minorHAnsi" w:eastAsiaTheme="minorEastAsia" w:hAnsiTheme="minorHAnsi" w:cstheme="minorBidi"/>
              <w:noProof/>
              <w:kern w:val="2"/>
              <w:sz w:val="24"/>
              <w:lang w:val="en-IE" w:eastAsia="en-IE"/>
              <w14:ligatures w14:val="standardContextual"/>
            </w:rPr>
          </w:pPr>
          <w:hyperlink w:anchor="_Toc193121324" w:history="1">
            <w:r w:rsidR="00AE3B1B" w:rsidRPr="00154C07">
              <w:rPr>
                <w:rStyle w:val="Hyperlink"/>
                <w:noProof/>
              </w:rPr>
              <w:t>Gestão da liquidez</w:t>
            </w:r>
            <w:r w:rsidR="00AE3B1B">
              <w:rPr>
                <w:noProof/>
                <w:webHidden/>
              </w:rPr>
              <w:tab/>
            </w:r>
            <w:r w:rsidR="00AE3B1B">
              <w:rPr>
                <w:noProof/>
                <w:webHidden/>
              </w:rPr>
              <w:fldChar w:fldCharType="begin"/>
            </w:r>
            <w:r w:rsidR="00AE3B1B">
              <w:rPr>
                <w:noProof/>
                <w:webHidden/>
              </w:rPr>
              <w:instrText xml:space="preserve"> PAGEREF _Toc193121324 \h </w:instrText>
            </w:r>
            <w:r w:rsidR="00AE3B1B">
              <w:rPr>
                <w:noProof/>
                <w:webHidden/>
              </w:rPr>
            </w:r>
            <w:r w:rsidR="00AE3B1B">
              <w:rPr>
                <w:noProof/>
                <w:webHidden/>
              </w:rPr>
              <w:fldChar w:fldCharType="separate"/>
            </w:r>
            <w:r w:rsidR="00AE3B1B">
              <w:rPr>
                <w:noProof/>
                <w:webHidden/>
              </w:rPr>
              <w:t>12</w:t>
            </w:r>
            <w:r w:rsidR="00AE3B1B">
              <w:rPr>
                <w:noProof/>
                <w:webHidden/>
              </w:rPr>
              <w:fldChar w:fldCharType="end"/>
            </w:r>
          </w:hyperlink>
        </w:p>
        <w:p w14:paraId="4281BD15" w14:textId="3F7E2909" w:rsidR="00AE3B1B" w:rsidRDefault="00DD69C6">
          <w:pPr>
            <w:pStyle w:val="TOC1"/>
            <w:rPr>
              <w:rFonts w:asciiTheme="minorHAnsi" w:eastAsiaTheme="minorEastAsia" w:hAnsiTheme="minorHAnsi" w:cstheme="minorBidi"/>
              <w:noProof/>
              <w:kern w:val="2"/>
              <w:sz w:val="24"/>
              <w:lang w:val="en-IE" w:eastAsia="en-IE"/>
              <w14:ligatures w14:val="standardContextual"/>
            </w:rPr>
          </w:pPr>
          <w:hyperlink w:anchor="_Toc193121325" w:history="1">
            <w:r w:rsidR="00AE3B1B" w:rsidRPr="00154C07">
              <w:rPr>
                <w:rStyle w:val="Hyperlink"/>
                <w:noProof/>
              </w:rPr>
              <w:t>5.</w:t>
            </w:r>
            <w:r w:rsidR="00AE3B1B">
              <w:rPr>
                <w:rFonts w:asciiTheme="minorHAnsi" w:eastAsiaTheme="minorEastAsia" w:hAnsiTheme="minorHAnsi" w:cstheme="minorBidi"/>
                <w:noProof/>
                <w:kern w:val="2"/>
                <w:sz w:val="24"/>
                <w:lang w:val="en-IE" w:eastAsia="en-IE"/>
                <w14:ligatures w14:val="standardContextual"/>
              </w:rPr>
              <w:tab/>
            </w:r>
            <w:r w:rsidR="00AE3B1B" w:rsidRPr="00154C07">
              <w:rPr>
                <w:rStyle w:val="Hyperlink"/>
                <w:noProof/>
              </w:rPr>
              <w:t>Medidas para continuar a desenvolver o ecossistema das obrigações da UE</w:t>
            </w:r>
            <w:r w:rsidR="00AE3B1B">
              <w:rPr>
                <w:noProof/>
                <w:webHidden/>
              </w:rPr>
              <w:tab/>
            </w:r>
            <w:r w:rsidR="00AE3B1B">
              <w:rPr>
                <w:noProof/>
                <w:webHidden/>
              </w:rPr>
              <w:fldChar w:fldCharType="begin"/>
            </w:r>
            <w:r w:rsidR="00AE3B1B">
              <w:rPr>
                <w:noProof/>
                <w:webHidden/>
              </w:rPr>
              <w:instrText xml:space="preserve"> PAGEREF _Toc193121325 \h </w:instrText>
            </w:r>
            <w:r w:rsidR="00AE3B1B">
              <w:rPr>
                <w:noProof/>
                <w:webHidden/>
              </w:rPr>
            </w:r>
            <w:r w:rsidR="00AE3B1B">
              <w:rPr>
                <w:noProof/>
                <w:webHidden/>
              </w:rPr>
              <w:fldChar w:fldCharType="separate"/>
            </w:r>
            <w:r w:rsidR="00AE3B1B">
              <w:rPr>
                <w:noProof/>
                <w:webHidden/>
              </w:rPr>
              <w:t>12</w:t>
            </w:r>
            <w:r w:rsidR="00AE3B1B">
              <w:rPr>
                <w:noProof/>
                <w:webHidden/>
              </w:rPr>
              <w:fldChar w:fldCharType="end"/>
            </w:r>
          </w:hyperlink>
        </w:p>
        <w:p w14:paraId="063F9E6E" w14:textId="0F7108A3" w:rsidR="00AE3B1B" w:rsidRDefault="00DD69C6">
          <w:pPr>
            <w:pStyle w:val="TOC1"/>
            <w:rPr>
              <w:rFonts w:asciiTheme="minorHAnsi" w:eastAsiaTheme="minorEastAsia" w:hAnsiTheme="minorHAnsi" w:cstheme="minorBidi"/>
              <w:noProof/>
              <w:kern w:val="2"/>
              <w:sz w:val="24"/>
              <w:lang w:val="en-IE" w:eastAsia="en-IE"/>
              <w14:ligatures w14:val="standardContextual"/>
            </w:rPr>
          </w:pPr>
          <w:hyperlink w:anchor="_Toc193121326" w:history="1">
            <w:r w:rsidR="00AE3B1B" w:rsidRPr="00154C07">
              <w:rPr>
                <w:rStyle w:val="Hyperlink"/>
                <w:noProof/>
              </w:rPr>
              <w:t>6.</w:t>
            </w:r>
            <w:r w:rsidR="00AE3B1B">
              <w:rPr>
                <w:rFonts w:asciiTheme="minorHAnsi" w:eastAsiaTheme="minorEastAsia" w:hAnsiTheme="minorHAnsi" w:cstheme="minorBidi"/>
                <w:noProof/>
                <w:kern w:val="2"/>
                <w:sz w:val="24"/>
                <w:lang w:val="en-IE" w:eastAsia="en-IE"/>
                <w14:ligatures w14:val="standardContextual"/>
              </w:rPr>
              <w:tab/>
            </w:r>
            <w:r w:rsidR="00AE3B1B" w:rsidRPr="00154C07">
              <w:rPr>
                <w:rStyle w:val="Hyperlink"/>
                <w:noProof/>
              </w:rPr>
              <w:t>Outras etapas no segundo semestre de 2024</w:t>
            </w:r>
            <w:r w:rsidR="00AE3B1B">
              <w:rPr>
                <w:noProof/>
                <w:webHidden/>
              </w:rPr>
              <w:tab/>
            </w:r>
            <w:r w:rsidR="00AE3B1B">
              <w:rPr>
                <w:noProof/>
                <w:webHidden/>
              </w:rPr>
              <w:fldChar w:fldCharType="begin"/>
            </w:r>
            <w:r w:rsidR="00AE3B1B">
              <w:rPr>
                <w:noProof/>
                <w:webHidden/>
              </w:rPr>
              <w:instrText xml:space="preserve"> PAGEREF _Toc193121326 \h </w:instrText>
            </w:r>
            <w:r w:rsidR="00AE3B1B">
              <w:rPr>
                <w:noProof/>
                <w:webHidden/>
              </w:rPr>
            </w:r>
            <w:r w:rsidR="00AE3B1B">
              <w:rPr>
                <w:noProof/>
                <w:webHidden/>
              </w:rPr>
              <w:fldChar w:fldCharType="separate"/>
            </w:r>
            <w:r w:rsidR="00AE3B1B">
              <w:rPr>
                <w:noProof/>
                <w:webHidden/>
              </w:rPr>
              <w:t>13</w:t>
            </w:r>
            <w:r w:rsidR="00AE3B1B">
              <w:rPr>
                <w:noProof/>
                <w:webHidden/>
              </w:rPr>
              <w:fldChar w:fldCharType="end"/>
            </w:r>
          </w:hyperlink>
        </w:p>
        <w:p w14:paraId="51ADA698" w14:textId="0F5EE8CB" w:rsidR="00AE3B1B" w:rsidRDefault="00DD69C6">
          <w:pPr>
            <w:pStyle w:val="TOC2"/>
            <w:tabs>
              <w:tab w:val="right" w:leader="dot" w:pos="9062"/>
            </w:tabs>
            <w:rPr>
              <w:rFonts w:asciiTheme="minorHAnsi" w:eastAsiaTheme="minorEastAsia" w:hAnsiTheme="minorHAnsi" w:cstheme="minorBidi"/>
              <w:noProof/>
              <w:kern w:val="2"/>
              <w:sz w:val="24"/>
              <w:lang w:val="en-IE" w:eastAsia="en-IE"/>
              <w14:ligatures w14:val="standardContextual"/>
            </w:rPr>
          </w:pPr>
          <w:hyperlink w:anchor="_Toc193121327" w:history="1">
            <w:r w:rsidR="00AE3B1B" w:rsidRPr="00154C07">
              <w:rPr>
                <w:rStyle w:val="Hyperlink"/>
                <w:noProof/>
              </w:rPr>
              <w:t>Relatório de 2024 referente à afetação e ao impacto das obrigações verdes no quadro do NextGenerationEU</w:t>
            </w:r>
            <w:r w:rsidR="00AE3B1B">
              <w:rPr>
                <w:noProof/>
                <w:webHidden/>
              </w:rPr>
              <w:tab/>
            </w:r>
            <w:r w:rsidR="00AE3B1B">
              <w:rPr>
                <w:noProof/>
                <w:webHidden/>
              </w:rPr>
              <w:fldChar w:fldCharType="begin"/>
            </w:r>
            <w:r w:rsidR="00AE3B1B">
              <w:rPr>
                <w:noProof/>
                <w:webHidden/>
              </w:rPr>
              <w:instrText xml:space="preserve"> PAGEREF _Toc193121327 \h </w:instrText>
            </w:r>
            <w:r w:rsidR="00AE3B1B">
              <w:rPr>
                <w:noProof/>
                <w:webHidden/>
              </w:rPr>
            </w:r>
            <w:r w:rsidR="00AE3B1B">
              <w:rPr>
                <w:noProof/>
                <w:webHidden/>
              </w:rPr>
              <w:fldChar w:fldCharType="separate"/>
            </w:r>
            <w:r w:rsidR="00AE3B1B">
              <w:rPr>
                <w:noProof/>
                <w:webHidden/>
              </w:rPr>
              <w:t>13</w:t>
            </w:r>
            <w:r w:rsidR="00AE3B1B">
              <w:rPr>
                <w:noProof/>
                <w:webHidden/>
              </w:rPr>
              <w:fldChar w:fldCharType="end"/>
            </w:r>
          </w:hyperlink>
        </w:p>
        <w:p w14:paraId="0DDCFDBF" w14:textId="0759C3B7" w:rsidR="00AE3B1B" w:rsidRDefault="00DD69C6">
          <w:pPr>
            <w:pStyle w:val="TOC1"/>
            <w:rPr>
              <w:rFonts w:asciiTheme="minorHAnsi" w:eastAsiaTheme="minorEastAsia" w:hAnsiTheme="minorHAnsi" w:cstheme="minorBidi"/>
              <w:noProof/>
              <w:kern w:val="2"/>
              <w:sz w:val="24"/>
              <w:lang w:val="en-IE" w:eastAsia="en-IE"/>
              <w14:ligatures w14:val="standardContextual"/>
            </w:rPr>
          </w:pPr>
          <w:hyperlink w:anchor="_Toc193121328" w:history="1">
            <w:r w:rsidR="00AE3B1B" w:rsidRPr="00154C07">
              <w:rPr>
                <w:rStyle w:val="Hyperlink"/>
                <w:noProof/>
              </w:rPr>
              <w:t>7.</w:t>
            </w:r>
            <w:r w:rsidR="00AE3B1B">
              <w:rPr>
                <w:rFonts w:asciiTheme="minorHAnsi" w:eastAsiaTheme="minorEastAsia" w:hAnsiTheme="minorHAnsi" w:cstheme="minorBidi"/>
                <w:noProof/>
                <w:kern w:val="2"/>
                <w:sz w:val="24"/>
                <w:lang w:val="en-IE" w:eastAsia="en-IE"/>
                <w14:ligatures w14:val="standardContextual"/>
              </w:rPr>
              <w:tab/>
            </w:r>
            <w:r w:rsidR="00AE3B1B" w:rsidRPr="00154C07">
              <w:rPr>
                <w:rStyle w:val="Hyperlink"/>
                <w:noProof/>
              </w:rPr>
              <w:t>Perspetivas de emissão no primeiro semestre de 2025</w:t>
            </w:r>
            <w:r w:rsidR="00AE3B1B">
              <w:rPr>
                <w:noProof/>
                <w:webHidden/>
              </w:rPr>
              <w:tab/>
            </w:r>
            <w:r w:rsidR="00AE3B1B">
              <w:rPr>
                <w:noProof/>
                <w:webHidden/>
              </w:rPr>
              <w:fldChar w:fldCharType="begin"/>
            </w:r>
            <w:r w:rsidR="00AE3B1B">
              <w:rPr>
                <w:noProof/>
                <w:webHidden/>
              </w:rPr>
              <w:instrText xml:space="preserve"> PAGEREF _Toc193121328 \h </w:instrText>
            </w:r>
            <w:r w:rsidR="00AE3B1B">
              <w:rPr>
                <w:noProof/>
                <w:webHidden/>
              </w:rPr>
            </w:r>
            <w:r w:rsidR="00AE3B1B">
              <w:rPr>
                <w:noProof/>
                <w:webHidden/>
              </w:rPr>
              <w:fldChar w:fldCharType="separate"/>
            </w:r>
            <w:r w:rsidR="00AE3B1B">
              <w:rPr>
                <w:noProof/>
                <w:webHidden/>
              </w:rPr>
              <w:t>14</w:t>
            </w:r>
            <w:r w:rsidR="00AE3B1B">
              <w:rPr>
                <w:noProof/>
                <w:webHidden/>
              </w:rPr>
              <w:fldChar w:fldCharType="end"/>
            </w:r>
          </w:hyperlink>
        </w:p>
        <w:p w14:paraId="33097789" w14:textId="71FF4AC5" w:rsidR="008B6253" w:rsidRPr="00B126EB" w:rsidRDefault="008B6253" w:rsidP="008B6253">
          <w:pPr>
            <w:rPr>
              <w:noProof/>
            </w:rPr>
          </w:pPr>
          <w:r w:rsidRPr="00B126EB">
            <w:rPr>
              <w:b/>
              <w:noProof/>
            </w:rPr>
            <w:fldChar w:fldCharType="end"/>
          </w:r>
        </w:p>
      </w:sdtContent>
    </w:sdt>
    <w:p w14:paraId="0D3B81B7" w14:textId="77777777" w:rsidR="008B6253" w:rsidRPr="00B126EB" w:rsidRDefault="008B6253" w:rsidP="008B6253">
      <w:pPr>
        <w:rPr>
          <w:noProof/>
        </w:rPr>
      </w:pPr>
    </w:p>
    <w:p w14:paraId="3EEBF846" w14:textId="77777777" w:rsidR="008B6253" w:rsidRPr="00B126EB" w:rsidRDefault="008B6253" w:rsidP="008B6253">
      <w:pPr>
        <w:rPr>
          <w:noProof/>
          <w:u w:val="single"/>
        </w:rPr>
        <w:sectPr w:rsidR="008B6253" w:rsidRPr="00B126EB" w:rsidSect="008B6253">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360"/>
        </w:sectPr>
      </w:pPr>
    </w:p>
    <w:p w14:paraId="588F7376" w14:textId="42C2A6BA" w:rsidR="003F3D5E" w:rsidRPr="00B126EB" w:rsidRDefault="000E5618" w:rsidP="63F8525A">
      <w:pPr>
        <w:spacing w:line="259" w:lineRule="auto"/>
        <w:jc w:val="center"/>
        <w:rPr>
          <w:rFonts w:cstheme="minorBidi"/>
          <w:b/>
          <w:bCs/>
          <w:noProof/>
          <w:color w:val="44546A" w:themeColor="text2"/>
          <w:sz w:val="28"/>
          <w:szCs w:val="28"/>
        </w:rPr>
      </w:pPr>
      <w:r w:rsidRPr="00B126EB">
        <w:rPr>
          <w:b/>
          <w:noProof/>
          <w:color w:val="44546A" w:themeColor="text2"/>
          <w:sz w:val="28"/>
        </w:rPr>
        <w:t>FINANCIAMENTO MOBILIZADO NO 2.º SEMESTRE 2024</w:t>
      </w:r>
    </w:p>
    <w:p w14:paraId="79CE8971" w14:textId="4083034A" w:rsidR="001A2134" w:rsidRPr="00B126EB" w:rsidRDefault="00DD69C6" w:rsidP="00320534">
      <w:pPr>
        <w:spacing w:after="0" w:line="259" w:lineRule="auto"/>
        <w:jc w:val="center"/>
        <w:rPr>
          <w:rFonts w:asciiTheme="minorHAnsi" w:hAnsiTheme="minorHAnsi"/>
          <w:noProof/>
        </w:rPr>
      </w:pPr>
      <w:r>
        <w:rPr>
          <w:noProof/>
        </w:rPr>
        <w:pict w14:anchorId="70181A18">
          <v:rect id="Rectangle 26" o:spid="_x0000_s2053" style="position:absolute;left:0;text-align:left;margin-left:0;margin-top:2.95pt;width:451.3pt;height:135.3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" fillcolor="#f5f5f5" stroked="f" strokeweight="1pt"/>
        </w:pict>
      </w:r>
      <w:r w:rsidR="00CF5DC4" w:rsidRPr="00B126EB">
        <w:rPr>
          <w:rFonts w:asciiTheme="minorHAnsi" w:hAnsiTheme="minorHAnsi"/>
          <w:noProof/>
        </w:rPr>
        <w:t xml:space="preserve"> </w:t>
      </w:r>
      <w:r w:rsidR="00D7442D" w:rsidRPr="00B126EB">
        <w:rPr>
          <w:noProof/>
          <w:lang w:val="en-GB" w:eastAsia="en-GB"/>
        </w:rPr>
        <w:drawing>
          <wp:inline distT="0" distB="0" distL="0" distR="0" wp14:anchorId="765EBC11" wp14:editId="2B61C712">
            <wp:extent cx="5240020" cy="1765300"/>
            <wp:effectExtent l="0" t="0" r="0" b="0"/>
            <wp:docPr id="1047116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40020" cy="1765300"/>
                    </a:xfrm>
                    <a:prstGeom prst="rect">
                      <a:avLst/>
                    </a:prstGeom>
                    <a:noFill/>
                    <a:ln>
                      <a:noFill/>
                    </a:ln>
                  </pic:spPr>
                </pic:pic>
              </a:graphicData>
            </a:graphic>
          </wp:inline>
        </w:drawing>
      </w:r>
    </w:p>
    <w:p w14:paraId="30B2A5F4" w14:textId="24B91D24" w:rsidR="00D7442D" w:rsidRPr="00B126EB" w:rsidRDefault="00D7442D" w:rsidP="00320534">
      <w:pPr>
        <w:spacing w:after="0" w:line="259" w:lineRule="auto"/>
        <w:jc w:val="center"/>
        <w:rPr>
          <w:rFonts w:asciiTheme="minorHAnsi" w:hAnsiTheme="minorHAnsi" w:cstheme="minorBidi"/>
          <w:noProof/>
          <w:szCs w:val="22"/>
        </w:rPr>
      </w:pPr>
    </w:p>
    <w:p w14:paraId="0E09A041" w14:textId="3FEA49D1" w:rsidR="00F97153" w:rsidRPr="00B126EB" w:rsidRDefault="00AF3092" w:rsidP="00E14B07">
      <w:pPr>
        <w:spacing w:before="360" w:after="0"/>
        <w:jc w:val="center"/>
        <w:rPr>
          <w:b/>
          <w:bCs/>
          <w:noProof/>
          <w:color w:val="44546A" w:themeColor="text2"/>
          <w:sz w:val="28"/>
          <w:szCs w:val="28"/>
        </w:rPr>
      </w:pPr>
      <w:r w:rsidRPr="00B126EB">
        <w:rPr>
          <w:b/>
          <w:noProof/>
          <w:color w:val="44546A" w:themeColor="text2"/>
          <w:sz w:val="28"/>
        </w:rPr>
        <w:t>UTILIZAÇÃO DAS RECEITAS</w:t>
      </w:r>
    </w:p>
    <w:p w14:paraId="6EAAFF33" w14:textId="62C3FD77" w:rsidR="009E132D" w:rsidRPr="00B126EB" w:rsidRDefault="00DD69C6" w:rsidP="00E06416">
      <w:pPr>
        <w:rPr>
          <w:noProof/>
        </w:rPr>
      </w:pPr>
      <w:r>
        <w:rPr>
          <w:b/>
          <w:noProof/>
          <w:color w:val="44546A" w:themeColor="text2"/>
          <w:sz w:val="28"/>
        </w:rPr>
        <w:pict w14:anchorId="6E37AB4C">
          <v:rect id="_x0000_s2069" style="position:absolute;left:0;text-align:left;margin-left:-.6pt;margin-top:2.25pt;width:451.3pt;height:236.25pt;z-index:-251658238" fillcolor="#f5f5f5" stroked="f"/>
        </w:pict>
      </w:r>
      <w:r>
        <w:rPr>
          <w:noProof/>
        </w:rPr>
        <w:pict w14:anchorId="45E2C28F">
          <v:shapetype id="_x0000_t202" coordsize="21600,21600" o:spt="202" path="m,l,21600r21600,l21600,xe">
            <v:stroke joinstyle="miter"/>
            <v:path gradientshapeok="t" o:connecttype="rect"/>
          </v:shapetype>
          <v:shape id="Text Box 29" o:spid="_x0000_s2073" type="#_x0000_t202" style="position:absolute;left:0;text-align:left;margin-left:378pt;margin-top:8.55pt;width:72.4pt;height:20.4pt;z-index:25165824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" filled="f" stroked="f" strokeweight=".5pt">
            <v:textbox style="mso-next-textbox:#Text Box 29">
              <w:txbxContent>
                <w:p w14:paraId="4C6E9CB0" w14:textId="15CEC246" w:rsidR="0060139C" w:rsidRPr="00F169EB" w:rsidRDefault="0060139C" w:rsidP="0060139C">
                  <w:pPr>
                    <w:jc w:val="center"/>
                    <w:rPr>
                      <w:color w:val="034EA2" w:themeColor="accent1"/>
                      <w:sz w:val="24"/>
                    </w:rPr>
                  </w:pPr>
                  <w:r>
                    <w:rPr>
                      <w:color w:val="034EA2" w:themeColor="accent1"/>
                      <w:sz w:val="24"/>
                    </w:rPr>
                    <w:t>S2 2024</w:t>
                  </w:r>
                </w:p>
              </w:txbxContent>
            </v:textbox>
          </v:shape>
        </w:pict>
      </w:r>
      <w:r>
        <w:rPr>
          <w:noProof/>
        </w:rPr>
        <w:pict w14:anchorId="3B1A3AE8">
          <v:group id="_x0000_s2087" style="position:absolute;left:0;text-align:left;margin-left:38.05pt;margin-top:8.55pt;width:180.6pt;height:32pt;z-index:251658243" coordorigin="2124,5264" coordsize="3612,64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71" type="#_x0000_t86" style="position:absolute;left:3824;top:3993;width:211;height:3612;rotation:-90" adj="1016" strokecolor="#44546a [3215]" strokeweight="1pt"/>
            <v:shape id="_x0000_s2064" type="#_x0000_t202" style="position:absolute;left:2628;top:5264;width:2551;height:640" fillcolor="#f5f5f5" stroked="f">
              <v:textbox style="mso-next-textbox:#_x0000_s2064" inset="0,,0">
                <w:txbxContent>
                  <w:p w14:paraId="454374DB" w14:textId="1348C10C" w:rsidR="00BD7489" w:rsidRPr="00544DEE" w:rsidRDefault="00BD7489" w:rsidP="00BD7489">
                    <w:pPr>
                      <w:jc w:val="center"/>
                      <w:rPr>
                        <w:b/>
                        <w:bCs/>
                        <w:color w:val="44546A" w:themeColor="text2"/>
                        <w:sz w:val="20"/>
                        <w:szCs w:val="20"/>
                      </w:rPr>
                    </w:pPr>
                    <w:r>
                      <w:rPr>
                        <w:b/>
                        <w:color w:val="44546A" w:themeColor="text2"/>
                        <w:sz w:val="20"/>
                      </w:rPr>
                      <w:t>Total do NextGenerationEU 72,2 mil milhões de EUR</w:t>
                    </w:r>
                  </w:p>
                  <w:p w14:paraId="5F150A92" w14:textId="77777777" w:rsidR="00BD7489" w:rsidRDefault="00BD7489"/>
                </w:txbxContent>
              </v:textbox>
            </v:shape>
          </v:group>
        </w:pict>
      </w:r>
    </w:p>
    <w:p w14:paraId="02D365E7" w14:textId="3EF315EF" w:rsidR="00E06416" w:rsidRPr="00B126EB" w:rsidRDefault="00E06416" w:rsidP="00E06416">
      <w:pPr>
        <w:rPr>
          <w:noProof/>
        </w:rPr>
      </w:pPr>
    </w:p>
    <w:p w14:paraId="0ACBC32F" w14:textId="2FA46097" w:rsidR="002B627C" w:rsidRPr="00B126EB" w:rsidRDefault="00D7442D" w:rsidP="00E06416">
      <w:pPr>
        <w:rPr>
          <w:noProof/>
        </w:rPr>
      </w:pPr>
      <w:r w:rsidRPr="00B126EB">
        <w:rPr>
          <w:noProof/>
          <w:lang w:val="en-GB" w:eastAsia="en-GB"/>
        </w:rPr>
        <w:drawing>
          <wp:inline distT="0" distB="0" distL="0" distR="0" wp14:anchorId="733641F6" wp14:editId="7BA93E15">
            <wp:extent cx="5731510" cy="2522220"/>
            <wp:effectExtent l="0" t="0" r="0" b="0"/>
            <wp:docPr id="15519806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1510" cy="2522220"/>
                    </a:xfrm>
                    <a:prstGeom prst="rect">
                      <a:avLst/>
                    </a:prstGeom>
                    <a:noFill/>
                    <a:ln>
                      <a:noFill/>
                    </a:ln>
                  </pic:spPr>
                </pic:pic>
              </a:graphicData>
            </a:graphic>
          </wp:inline>
        </w:drawing>
      </w:r>
    </w:p>
    <w:p w14:paraId="286BBBB6" w14:textId="77777777" w:rsidR="00D7442D" w:rsidRPr="00B126EB" w:rsidRDefault="00D7442D" w:rsidP="00E06416">
      <w:pPr>
        <w:rPr>
          <w:noProof/>
        </w:rPr>
      </w:pPr>
    </w:p>
    <w:p w14:paraId="35F59658" w14:textId="77777777" w:rsidR="00D7442D" w:rsidRPr="00B126EB" w:rsidRDefault="00D7442D" w:rsidP="00E06416">
      <w:pPr>
        <w:rPr>
          <w:noProof/>
        </w:rPr>
      </w:pPr>
    </w:p>
    <w:p w14:paraId="667F9947" w14:textId="77777777" w:rsidR="00D7442D" w:rsidRPr="00B126EB" w:rsidRDefault="00D7442D" w:rsidP="00E06416">
      <w:pPr>
        <w:rPr>
          <w:noProof/>
        </w:rPr>
      </w:pPr>
    </w:p>
    <w:p w14:paraId="46DAE5F1" w14:textId="77777777" w:rsidR="00D7442D" w:rsidRPr="00B126EB" w:rsidRDefault="00D7442D" w:rsidP="00E06416">
      <w:pPr>
        <w:rPr>
          <w:noProof/>
        </w:rPr>
      </w:pPr>
    </w:p>
    <w:p w14:paraId="59EB6593" w14:textId="77777777" w:rsidR="00D7442D" w:rsidRPr="00B126EB" w:rsidRDefault="00D7442D" w:rsidP="00E06416">
      <w:pPr>
        <w:rPr>
          <w:noProof/>
        </w:rPr>
      </w:pPr>
    </w:p>
    <w:p w14:paraId="6487EF4D" w14:textId="77777777" w:rsidR="00D7442D" w:rsidRPr="00B126EB" w:rsidRDefault="00D7442D" w:rsidP="00E06416">
      <w:pPr>
        <w:rPr>
          <w:noProof/>
        </w:rPr>
      </w:pPr>
    </w:p>
    <w:p w14:paraId="3281FAB4" w14:textId="77777777" w:rsidR="00D7442D" w:rsidRPr="00B126EB" w:rsidRDefault="00D7442D" w:rsidP="00E06416">
      <w:pPr>
        <w:rPr>
          <w:noProof/>
        </w:rPr>
      </w:pPr>
    </w:p>
    <w:p w14:paraId="01F522D9" w14:textId="77777777" w:rsidR="00D7442D" w:rsidRPr="00B126EB" w:rsidRDefault="00D7442D" w:rsidP="00E06416">
      <w:pPr>
        <w:rPr>
          <w:noProof/>
        </w:rPr>
      </w:pPr>
    </w:p>
    <w:p w14:paraId="1167DDE3" w14:textId="77777777" w:rsidR="00D7442D" w:rsidRPr="00B126EB" w:rsidRDefault="00D7442D" w:rsidP="00E06416">
      <w:pPr>
        <w:rPr>
          <w:noProof/>
        </w:rPr>
      </w:pPr>
    </w:p>
    <w:p w14:paraId="26E36565" w14:textId="77777777" w:rsidR="00D7442D" w:rsidRPr="00B126EB" w:rsidRDefault="00D7442D" w:rsidP="00E06416">
      <w:pPr>
        <w:rPr>
          <w:noProof/>
        </w:rPr>
      </w:pPr>
    </w:p>
    <w:p w14:paraId="4379F668" w14:textId="77777777" w:rsidR="00D7442D" w:rsidRPr="00B126EB" w:rsidRDefault="00D7442D" w:rsidP="00E06416">
      <w:pPr>
        <w:rPr>
          <w:noProof/>
        </w:rPr>
      </w:pPr>
    </w:p>
    <w:p w14:paraId="23FAC418" w14:textId="69ECFB84" w:rsidR="00E06416" w:rsidRPr="00B126EB" w:rsidRDefault="00DD69C6" w:rsidP="00E06416">
      <w:pPr>
        <w:rPr>
          <w:noProof/>
        </w:rPr>
      </w:pPr>
      <w:r>
        <w:rPr>
          <w:b/>
          <w:noProof/>
          <w:color w:val="44546A" w:themeColor="text2"/>
          <w:sz w:val="28"/>
        </w:rPr>
        <w:pict w14:anchorId="6E37AB4C">
          <v:rect id="_x0000_s2070" style="position:absolute;left:0;text-align:left;margin-left:0;margin-top:15.85pt;width:451.3pt;height:270.5pt;z-index:-251658239" fillcolor="#f5f5f5" stroked="f"/>
        </w:pict>
      </w:r>
      <w:r>
        <w:rPr>
          <w:noProof/>
        </w:rPr>
        <w:pict w14:anchorId="60EE82D1">
          <v:shape id="Text Box 35" o:spid="_x0000_s2074" type="#_x0000_t202" style="position:absolute;left:0;text-align:left;margin-left:266pt;margin-top:19.05pt;width:185.3pt;height:20.4pt;z-index:25165824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" filled="f" stroked="f" strokeweight=".5pt">
            <v:textbox style="mso-next-textbox:#Text Box 35">
              <w:txbxContent>
                <w:p w14:paraId="70C922DE" w14:textId="77777777" w:rsidR="00AB4083" w:rsidRPr="00F169EB" w:rsidRDefault="00AB4083" w:rsidP="00AB4083">
                  <w:pPr>
                    <w:jc w:val="right"/>
                    <w:rPr>
                      <w:color w:val="034EA2" w:themeColor="accent1"/>
                      <w:sz w:val="24"/>
                    </w:rPr>
                  </w:pPr>
                  <w:r>
                    <w:rPr>
                      <w:color w:val="034EA2" w:themeColor="accent1"/>
                      <w:sz w:val="24"/>
                    </w:rPr>
                    <w:t>Desde o início do programa</w:t>
                  </w:r>
                </w:p>
              </w:txbxContent>
            </v:textbox>
            <w10:wrap anchorx="margin"/>
          </v:shape>
        </w:pict>
      </w:r>
      <w:r>
        <w:rPr>
          <w:noProof/>
        </w:rPr>
        <w:pict w14:anchorId="09B90781">
          <v:group id="_x0000_s2088" style="position:absolute;left:0;text-align:left;margin-left:47.65pt;margin-top:15.85pt;width:180.6pt;height:31.2pt;z-index:251658244" coordorigin="2916,10815" coordsize="3612,624">
            <v:shape id="_x0000_s2072" type="#_x0000_t86" style="position:absolute;left:4616;top:9460;width:211;height:3612;rotation:-90" adj="1016" strokecolor="#44546a [3215]" strokeweight="1pt"/>
            <v:rect id="_x0000_s2067" style="position:absolute;left:3454;top:10815;width:2551;height:624" fillcolor="#f5f5f5" stroked="f">
              <v:textbox style="mso-next-textbox:#_x0000_s2067">
                <w:txbxContent>
                  <w:p w14:paraId="759D2301" w14:textId="5FED7DF4" w:rsidR="00A86EB0" w:rsidRPr="00A86EB0" w:rsidRDefault="00A86EB0" w:rsidP="00A86EB0">
                    <w:pPr>
                      <w:spacing w:after="0"/>
                      <w:jc w:val="center"/>
                      <w:rPr>
                        <w:b/>
                        <w:bCs/>
                        <w:color w:val="44546A" w:themeColor="text2"/>
                        <w:sz w:val="20"/>
                        <w:szCs w:val="20"/>
                      </w:rPr>
                    </w:pPr>
                    <w:r>
                      <w:rPr>
                        <w:b/>
                        <w:color w:val="44546A" w:themeColor="text2"/>
                        <w:sz w:val="20"/>
                      </w:rPr>
                      <w:t>Total do NextGenerationEU 365,8 mil milhões de EUR</w:t>
                    </w:r>
                  </w:p>
                </w:txbxContent>
              </v:textbox>
            </v:rect>
          </v:group>
        </w:pict>
      </w:r>
    </w:p>
    <w:p w14:paraId="611BEB9A" w14:textId="4D0B39F8" w:rsidR="00E06416" w:rsidRPr="00B126EB" w:rsidRDefault="00E06416" w:rsidP="0068501F">
      <w:pPr>
        <w:rPr>
          <w:noProof/>
        </w:rPr>
      </w:pPr>
    </w:p>
    <w:p w14:paraId="48B59401" w14:textId="11146FAA" w:rsidR="00992168" w:rsidRPr="00B126EB" w:rsidRDefault="00D7442D" w:rsidP="00992168">
      <w:pPr>
        <w:rPr>
          <w:noProof/>
        </w:rPr>
      </w:pPr>
      <w:r w:rsidRPr="00B126EB">
        <w:rPr>
          <w:noProof/>
          <w:lang w:val="en-GB" w:eastAsia="en-GB"/>
        </w:rPr>
        <w:drawing>
          <wp:inline distT="0" distB="0" distL="0" distR="0" wp14:anchorId="22FC8845" wp14:editId="597AF237">
            <wp:extent cx="5731510" cy="3254374"/>
            <wp:effectExtent l="0" t="0" r="0" b="0"/>
            <wp:docPr id="610924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45209" cy="3262153"/>
                    </a:xfrm>
                    <a:prstGeom prst="rect">
                      <a:avLst/>
                    </a:prstGeom>
                    <a:noFill/>
                    <a:ln>
                      <a:noFill/>
                    </a:ln>
                  </pic:spPr>
                </pic:pic>
              </a:graphicData>
            </a:graphic>
          </wp:inline>
        </w:drawing>
      </w:r>
      <w:r w:rsidR="00DD69C6">
        <w:rPr>
          <w:noProof/>
        </w:rPr>
        <w:pict w14:anchorId="274F9848">
          <v:shape id="_x0000_s2089" type="#_x0000_t202" style="position:absolute;left:0;text-align:left;margin-left:338.8pt;margin-top:761.4pt;width:111.6pt;height:18pt;z-index:251658249;mso-position-horizontal-relative:text;mso-position-vertical-relative:page" filled="f" stroked="f">
            <v:textbox style="mso-next-textbox:#_x0000_s2089">
              <w:txbxContent>
                <w:p w14:paraId="2E386E6E" w14:textId="77777777" w:rsidR="00BB07E3" w:rsidRPr="00BB07E3" w:rsidRDefault="00BB07E3" w:rsidP="00BB07E3">
                  <w:pPr>
                    <w:rPr>
                      <w:color w:val="595959" w:themeColor="text1" w:themeTint="A6"/>
                    </w:rPr>
                  </w:pPr>
                  <w:r>
                    <w:rPr>
                      <w:i/>
                      <w:color w:val="595959" w:themeColor="text1" w:themeTint="A6"/>
                      <w:sz w:val="18"/>
                    </w:rPr>
                    <w:t>Todos os montantes são expressos em milhares de milhões de EUR</w:t>
                  </w:r>
                </w:p>
                <w:p w14:paraId="792E0B4B" w14:textId="77777777" w:rsidR="00BB07E3" w:rsidRPr="00BB07E3" w:rsidRDefault="00BB07E3">
                  <w:pPr>
                    <w:rPr>
                      <w:color w:val="595959" w:themeColor="text1" w:themeTint="A6"/>
                    </w:rPr>
                  </w:pPr>
                </w:p>
              </w:txbxContent>
            </v:textbox>
            <w10:wrap anchory="page"/>
          </v:shape>
        </w:pict>
      </w:r>
    </w:p>
    <w:p w14:paraId="429A8B76" w14:textId="4911845D" w:rsidR="00AA6602" w:rsidRPr="00B126EB" w:rsidRDefault="00A11F51" w:rsidP="00A11F51">
      <w:pPr>
        <w:spacing w:line="259" w:lineRule="auto"/>
        <w:jc w:val="left"/>
        <w:rPr>
          <w:rFonts w:cstheme="minorBidi"/>
          <w:b/>
          <w:bCs/>
          <w:noProof/>
          <w:color w:val="44546A" w:themeColor="text2"/>
          <w:szCs w:val="22"/>
        </w:rPr>
      </w:pPr>
      <w:r w:rsidRPr="00B126EB">
        <w:rPr>
          <w:b/>
          <w:noProof/>
          <w:color w:val="44546A" w:themeColor="text2"/>
          <w:sz w:val="28"/>
        </w:rPr>
        <w:t xml:space="preserve">OBRIGAÇÕES DA UE PENDENTES </w:t>
      </w:r>
      <w:r w:rsidRPr="00B126EB">
        <w:rPr>
          <w:b/>
          <w:noProof/>
          <w:color w:val="44546A" w:themeColor="text2"/>
          <w:sz w:val="28"/>
        </w:rPr>
        <w:cr/>
      </w:r>
      <w:r w:rsidRPr="00B126EB">
        <w:rPr>
          <w:b/>
          <w:noProof/>
          <w:color w:val="44546A" w:themeColor="text2"/>
          <w:sz w:val="28"/>
        </w:rPr>
        <w:br/>
      </w:r>
      <w:r w:rsidRPr="00B126EB">
        <w:rPr>
          <w:noProof/>
          <w:color w:val="44546A" w:themeColor="text2"/>
        </w:rPr>
        <w:t>em 31 de dezembro de 2024</w:t>
      </w:r>
      <w:r w:rsidRPr="00B126EB">
        <w:rPr>
          <w:b/>
          <w:noProof/>
          <w:color w:val="44546A" w:themeColor="text2"/>
        </w:rPr>
        <w:t xml:space="preserve"> </w:t>
      </w:r>
    </w:p>
    <w:p w14:paraId="18FC3C27" w14:textId="700EB0C9" w:rsidR="00E01E9C" w:rsidRPr="00B126EB" w:rsidRDefault="00D7442D" w:rsidP="00A11F51">
      <w:pPr>
        <w:spacing w:line="259" w:lineRule="auto"/>
        <w:jc w:val="left"/>
        <w:rPr>
          <w:rFonts w:cstheme="minorBidi"/>
          <w:b/>
          <w:bCs/>
          <w:noProof/>
          <w:color w:val="44546A" w:themeColor="text2"/>
          <w:szCs w:val="22"/>
        </w:rPr>
      </w:pPr>
      <w:r w:rsidRPr="00B126EB">
        <w:rPr>
          <w:noProof/>
          <w:lang w:val="en-GB" w:eastAsia="en-GB"/>
        </w:rPr>
        <w:drawing>
          <wp:inline distT="0" distB="0" distL="0" distR="0" wp14:anchorId="2920073B" wp14:editId="7518C22A">
            <wp:extent cx="5452953" cy="1392702"/>
            <wp:effectExtent l="0" t="0" r="0" b="0"/>
            <wp:docPr id="10780494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4615" cy="1398235"/>
                    </a:xfrm>
                    <a:prstGeom prst="rect">
                      <a:avLst/>
                    </a:prstGeom>
                    <a:noFill/>
                    <a:ln>
                      <a:noFill/>
                    </a:ln>
                  </pic:spPr>
                </pic:pic>
              </a:graphicData>
            </a:graphic>
          </wp:inline>
        </w:drawing>
      </w:r>
    </w:p>
    <w:p w14:paraId="1B97669D" w14:textId="22F5D3E4" w:rsidR="00C9543F" w:rsidRPr="00B126EB" w:rsidRDefault="00DD69C6" w:rsidP="00A11F51">
      <w:pPr>
        <w:spacing w:line="259" w:lineRule="auto"/>
        <w:jc w:val="left"/>
        <w:rPr>
          <w:rFonts w:asciiTheme="minorHAnsi" w:hAnsiTheme="minorHAnsi" w:cstheme="minorBidi"/>
          <w:noProof/>
          <w:szCs w:val="22"/>
        </w:rPr>
      </w:pPr>
      <w:r>
        <w:rPr>
          <w:rFonts w:asciiTheme="minorHAnsi" w:hAnsiTheme="minorHAnsi"/>
          <w:noProof/>
        </w:rPr>
      </w:r>
      <w:r w:rsidR="0030415F">
        <w:rPr>
          <w:rFonts w:asciiTheme="minorHAnsi" w:hAnsiTheme="minorHAnsi"/>
          <w:noProof/>
        </w:rPr>
        <w:pict w14:anchorId="6C98F9D9">
          <v:group id="_x0000_s2117" style="width:457.5pt;height:100.25pt;mso-position-horizontal-relative:char;mso-position-vertical-relative:line" coordorigin="1440,4543" coordsize="8748,1049">
            <v:group id="Group 46" o:spid="_x0000_s2104" style="position:absolute;left:1440;top:4555;width:2734;height:475" coordorigin=",74" coordsize="14722,3018">
              <v:shape id="TextBox 25" o:spid="_x0000_s2105" type="#_x0000_t202" style="position:absolute;left:540;top:74;width:14182;height:3018;visibility:visible" filled="f" stroked="f">
                <v:textbox style="mso-next-textbox:#TextBox 25;mso-fit-shape-to-text:t">
                  <w:txbxContent>
                    <w:p w14:paraId="5B1FFE4B" w14:textId="26C551F1" w:rsidR="00C25F02" w:rsidRPr="00C9543F" w:rsidRDefault="00C25F02" w:rsidP="00C25F02">
                      <w:pPr>
                        <w:spacing w:after="40"/>
                        <w:textAlignment w:val="baseline"/>
                        <w:rPr>
                          <w:rFonts w:eastAsia="Arial" w:cs="Arial"/>
                          <w:b/>
                          <w:bCs/>
                          <w:color w:val="034EA2"/>
                          <w:sz w:val="20"/>
                          <w:szCs w:val="20"/>
                        </w:rPr>
                      </w:pPr>
                      <w:r>
                        <w:rPr>
                          <w:b/>
                          <w:color w:val="034EA2"/>
                          <w:sz w:val="20"/>
                        </w:rPr>
                        <w:t xml:space="preserve">147,8 mil milhões de EUR </w:t>
                      </w:r>
                      <w:r>
                        <w:rPr>
                          <w:color w:val="000000" w:themeColor="text1"/>
                          <w:sz w:val="20"/>
                        </w:rPr>
                        <w:t>de obrigações recíprocas («back-to-back»)</w:t>
                      </w:r>
                    </w:p>
                  </w:txbxContent>
                </v:textbox>
              </v:shape>
              <v:rect id="Rectangle 48" o:spid="_x0000_s2106" style="position:absolute;top:633;width:1080;height:1080;visibility:visible;v-text-anchor:middle" fillcolor="#034ea2" stroked="f" strokeweight="2pt">
                <o:lock v:ext="edit" aspectratio="t"/>
              </v:rect>
            </v:group>
            <v:group id="Group 49" o:spid="_x0000_s2107" style="position:absolute;left:4264;top:4543;width:5924;height:1049" coordorigin="15205" coordsize="31894,6671">
              <v:group id="Group 50" o:spid="_x0000_s2108" style="position:absolute;left:15205;top:2082;width:28506;height:2342" coordorigin="15205,2082" coordsize="28506,2342">
                <v:shape id="TextBox 23" o:spid="_x0000_s2109" type="#_x0000_t202" style="position:absolute;left:16286;top:2082;width:27425;height:2342;visibility:visible" filled="f" stroked="f">
                  <v:textbox style="mso-next-textbox:#TextBox 23;mso-fit-shape-to-text:t">
                    <w:txbxContent>
                      <w:p w14:paraId="756B71C3" w14:textId="349A6A90" w:rsidR="00C25F02" w:rsidRPr="00C9543F" w:rsidRDefault="00C25F02" w:rsidP="00C25F02">
                        <w:pPr>
                          <w:spacing w:after="80"/>
                          <w:rPr>
                            <w:rFonts w:eastAsia="Arial" w:cs="Arial"/>
                            <w:color w:val="000000" w:themeColor="text1"/>
                            <w:sz w:val="20"/>
                            <w:szCs w:val="20"/>
                          </w:rPr>
                        </w:pPr>
                        <w:r>
                          <w:rPr>
                            <w:color w:val="000000" w:themeColor="text1"/>
                            <w:sz w:val="20"/>
                          </w:rPr>
                          <w:t>dos quais 362,2 mil milhões de EUR de obrigações convencionais da UE</w:t>
                        </w:r>
                      </w:p>
                    </w:txbxContent>
                  </v:textbox>
                </v:shape>
                <v:rect id="Rectangle 52" o:spid="_x0000_s2110" style="position:absolute;left:15205;top:2739;width:1080;height:1080;visibility:visible;v-text-anchor:middle" fillcolor="#70ad47" stroked="f" strokeweight="2pt">
                  <o:lock v:ext="edit" aspectratio="t"/>
                </v:rect>
              </v:group>
              <v:group id="Group 53" o:spid="_x0000_s2111" style="position:absolute;left:15205;top:4330;width:31894;height:2341" coordorigin="15205,4330" coordsize="31894,2341">
                <v:rect id="Rectangle 54" o:spid="_x0000_s2112" style="position:absolute;left:15205;top:4846;width:1080;height:1080;visibility:visible;v-text-anchor:middle" fillcolor="#70ad47" stroked="f" strokeweight="2pt">
                  <v:fill r:id="rId28" o:title="" color2="window" type="pattern"/>
                  <o:lock v:ext="edit" aspectratio="t"/>
                </v:rect>
                <v:shape id="TextBox 22" o:spid="_x0000_s2113" type="#_x0000_t202" style="position:absolute;left:16286;top:4330;width:30813;height:2341;visibility:visible" filled="f" stroked="f">
                  <v:textbox style="mso-next-textbox:#TextBox 22;mso-fit-shape-to-text:t">
                    <w:txbxContent>
                      <w:p w14:paraId="35F842F9" w14:textId="130937D7" w:rsidR="00C25F02" w:rsidRPr="00C9543F" w:rsidRDefault="00C25F02" w:rsidP="00C25F02">
                        <w:pPr>
                          <w:spacing w:after="80"/>
                          <w:textAlignment w:val="baseline"/>
                          <w:rPr>
                            <w:rFonts w:cs="Arial"/>
                            <w:color w:val="000000" w:themeColor="text1"/>
                            <w:sz w:val="20"/>
                            <w:szCs w:val="20"/>
                          </w:rPr>
                        </w:pPr>
                        <w:r>
                          <w:rPr>
                            <w:color w:val="000000" w:themeColor="text1"/>
                            <w:sz w:val="20"/>
                          </w:rPr>
                          <w:t>dos quais 68,2 mil milhões de EUR de obrigações verdes no quadro do NextGenerationEU</w:t>
                        </w:r>
                      </w:p>
                    </w:txbxContent>
                  </v:textbox>
                </v:shape>
              </v:group>
              <v:group id="Group 56" o:spid="_x0000_s2114" style="position:absolute;left:15205;width:31059;height:4520" coordorigin="15205" coordsize="31058,4520">
                <v:shape id="TextBox 19" o:spid="_x0000_s2115" type="#_x0000_t202" style="position:absolute;left:16287;width:29976;height:4520;visibility:visible" filled="f" stroked="f">
                  <v:textbox style="mso-next-textbox:#TextBox 19">
                    <w:txbxContent>
                      <w:p w14:paraId="102E0B20" w14:textId="1919DACC" w:rsidR="00C25F02" w:rsidRPr="00C25F02" w:rsidRDefault="00C25F02" w:rsidP="00C25F02">
                        <w:pPr>
                          <w:spacing w:after="80"/>
                          <w:textAlignment w:val="baseline"/>
                          <w:rPr>
                            <w:rFonts w:eastAsia="Arial" w:cs="Arial"/>
                            <w:b/>
                            <w:bCs/>
                            <w:color w:val="70AD47"/>
                            <w:sz w:val="18"/>
                            <w:szCs w:val="18"/>
                          </w:rPr>
                        </w:pPr>
                        <w:r>
                          <w:rPr>
                            <w:b/>
                            <w:color w:val="70AD47"/>
                            <w:sz w:val="20"/>
                          </w:rPr>
                          <w:t xml:space="preserve">430,4 mil milhões de EUR </w:t>
                        </w:r>
                        <w:r>
                          <w:rPr>
                            <w:color w:val="000000" w:themeColor="text1"/>
                            <w:sz w:val="20"/>
                          </w:rPr>
                          <w:t>de obrigações no âmbito da abordagem de financiamento unificada</w:t>
                        </w:r>
                      </w:p>
                    </w:txbxContent>
                  </v:textbox>
                </v:shape>
                <v:rect id="Rectangle 58" o:spid="_x0000_s2116" style="position:absolute;left:15205;top:635;width:915;height:914;visibility:visible;v-text-anchor:middle" filled="f" strokecolor="#70ad47" strokeweight="1.5pt">
                  <v:path arrowok="t"/>
                  <o:lock v:ext="edit" aspectratio="t"/>
                </v:rect>
              </v:group>
            </v:group>
            <w10:anchorlock/>
          </v:group>
        </w:pict>
      </w:r>
    </w:p>
    <w:p w14:paraId="66038DDE" w14:textId="77777777" w:rsidR="00C9543F" w:rsidRPr="00B126EB" w:rsidRDefault="00C9543F" w:rsidP="00A11F51">
      <w:pPr>
        <w:spacing w:line="259" w:lineRule="auto"/>
        <w:jc w:val="left"/>
        <w:rPr>
          <w:rFonts w:asciiTheme="minorHAnsi" w:hAnsiTheme="minorHAnsi" w:cstheme="minorBidi"/>
          <w:noProof/>
          <w:sz w:val="6"/>
          <w:szCs w:val="6"/>
        </w:rPr>
      </w:pPr>
    </w:p>
    <w:tbl>
      <w:tblPr>
        <w:tblStyle w:val="TableGrid"/>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F5F5"/>
        <w:tblCellMar>
          <w:top w:w="113" w:type="dxa"/>
          <w:bottom w:w="113" w:type="dxa"/>
        </w:tblCellMar>
        <w:tblLook w:val="04A0" w:firstRow="1" w:lastRow="0" w:firstColumn="1" w:lastColumn="0" w:noHBand="0" w:noVBand="1"/>
      </w:tblPr>
      <w:tblGrid>
        <w:gridCol w:w="9076"/>
      </w:tblGrid>
      <w:tr w:rsidR="00A11F51" w:rsidRPr="00B126EB" w14:paraId="0FE367EE" w14:textId="77777777" w:rsidTr="0E388B1A">
        <w:trPr>
          <w:trHeight w:val="1943"/>
        </w:trPr>
        <w:tc>
          <w:tcPr>
            <w:tcW w:w="9076" w:type="dxa"/>
            <w:shd w:val="clear" w:color="auto" w:fill="F5F5F5"/>
          </w:tcPr>
          <w:p w14:paraId="31D6E2E9" w14:textId="4A796A5B" w:rsidR="00A11F51" w:rsidRPr="00B126EB" w:rsidRDefault="00A11F51" w:rsidP="00A11F51">
            <w:pPr>
              <w:spacing w:after="120"/>
              <w:jc w:val="left"/>
              <w:rPr>
                <w:rFonts w:cstheme="minorBidi"/>
                <w:b/>
                <w:bCs/>
                <w:noProof/>
                <w:color w:val="034EA2"/>
              </w:rPr>
            </w:pPr>
            <w:r w:rsidRPr="00B126EB">
              <w:rPr>
                <w:b/>
                <w:noProof/>
                <w:color w:val="034EA2"/>
              </w:rPr>
              <w:t>FACTOS ESSENCIAIS relativos ao 2.º SEMESTRE DE 2024</w:t>
            </w:r>
          </w:p>
          <w:p w14:paraId="0A12EF6E" w14:textId="04913DF1" w:rsidR="00A961B6" w:rsidRPr="00B126EB" w:rsidRDefault="002F4F1A" w:rsidP="00A11F51">
            <w:pPr>
              <w:numPr>
                <w:ilvl w:val="0"/>
                <w:numId w:val="29"/>
              </w:numPr>
              <w:spacing w:after="60"/>
              <w:ind w:left="340" w:hanging="170"/>
              <w:contextualSpacing/>
              <w:jc w:val="left"/>
              <w:rPr>
                <w:rFonts w:cstheme="minorBidi"/>
                <w:noProof/>
                <w:color w:val="034EA2"/>
              </w:rPr>
            </w:pPr>
            <w:r w:rsidRPr="00B126EB">
              <w:rPr>
                <w:noProof/>
                <w:color w:val="034EA2"/>
              </w:rPr>
              <w:t>Quatro consórcios de emissão e seis leilões mobilizaram 64,3 mil milhões de EUR, com um prazo médio de vencimento de cerca de 12 anos, elevando o total do financiamento de longo prazo mobilizado em 2024 para 138,1 mil milhões de EUR.</w:t>
            </w:r>
          </w:p>
          <w:p w14:paraId="16496AE5" w14:textId="16DF6B83" w:rsidR="001B75AB" w:rsidRPr="00B126EB" w:rsidRDefault="00C261E0" w:rsidP="006710FA">
            <w:pPr>
              <w:numPr>
                <w:ilvl w:val="0"/>
                <w:numId w:val="29"/>
              </w:numPr>
              <w:spacing w:after="60"/>
              <w:ind w:left="340" w:hanging="170"/>
              <w:contextualSpacing/>
              <w:jc w:val="left"/>
              <w:rPr>
                <w:rFonts w:cstheme="minorBidi"/>
                <w:noProof/>
              </w:rPr>
            </w:pPr>
            <w:r w:rsidRPr="00B126EB">
              <w:rPr>
                <w:noProof/>
                <w:color w:val="034EA2" w:themeColor="accent1"/>
              </w:rPr>
              <w:t>A maioria dos fundos foi utilizada para o NextGenerationEU (72,2 mil milhões de EUR) com desembolsos adicionais ao abrigo do Mecanismo para a Ucrânia (5,2 mil milhões de EUR) e dos programas de empréstimos de assistência macrofinanceira (AMF) a favor do Egito (mil milhões de EUR) e da Moldávia (95 milhões de EUR).</w:t>
            </w:r>
          </w:p>
          <w:p w14:paraId="3E81AD55" w14:textId="59CFB663" w:rsidR="004908A7" w:rsidRPr="00B126EB" w:rsidRDefault="006F7AAA" w:rsidP="004908A7">
            <w:pPr>
              <w:numPr>
                <w:ilvl w:val="0"/>
                <w:numId w:val="29"/>
              </w:numPr>
              <w:spacing w:after="60"/>
              <w:ind w:left="340" w:hanging="170"/>
              <w:contextualSpacing/>
              <w:jc w:val="left"/>
              <w:rPr>
                <w:rFonts w:cstheme="minorBidi"/>
                <w:noProof/>
                <w:color w:val="034EA2"/>
              </w:rPr>
            </w:pPr>
            <w:r w:rsidRPr="00B126EB">
              <w:rPr>
                <w:noProof/>
                <w:color w:val="034EA2"/>
              </w:rPr>
              <w:t>O custo do financiamento foi de 2,97 % para o NextGenerationEU (em comparação com 3,19 % no primeiro semestre de 2024) e de 2,68 % para o Mecanismo para a Ucrânia e a AMF a favor do Egito.</w:t>
            </w:r>
          </w:p>
        </w:tc>
      </w:tr>
    </w:tbl>
    <w:p w14:paraId="155CDCD6" w14:textId="77777777" w:rsidR="00252C49" w:rsidRPr="00B126EB" w:rsidRDefault="00252C49">
      <w:pPr>
        <w:spacing w:line="259" w:lineRule="auto"/>
        <w:rPr>
          <w:noProof/>
        </w:rPr>
      </w:pPr>
    </w:p>
    <w:p w14:paraId="34E6C602" w14:textId="10BBF2C3" w:rsidR="00BA3133" w:rsidRPr="00B126EB" w:rsidRDefault="00BA3133">
      <w:pPr>
        <w:spacing w:line="259" w:lineRule="auto"/>
        <w:rPr>
          <w:rFonts w:eastAsiaTheme="majorEastAsia"/>
          <w:b/>
          <w:noProof/>
        </w:rPr>
      </w:pPr>
      <w:r w:rsidRPr="00B126EB">
        <w:rPr>
          <w:noProof/>
        </w:rPr>
        <w:br w:type="page"/>
      </w:r>
    </w:p>
    <w:p w14:paraId="263DA02E" w14:textId="03E4299B" w:rsidR="00F13D4C" w:rsidRPr="00B126EB" w:rsidRDefault="00F13D4C" w:rsidP="00BE145B">
      <w:pPr>
        <w:pStyle w:val="Heading1"/>
        <w:rPr>
          <w:noProof/>
        </w:rPr>
      </w:pPr>
      <w:bookmarkStart w:id="2" w:name="_Toc193121316"/>
      <w:r w:rsidRPr="00B126EB">
        <w:rPr>
          <w:noProof/>
        </w:rPr>
        <w:t>Resumo</w:t>
      </w:r>
      <w:bookmarkEnd w:id="2"/>
    </w:p>
    <w:p w14:paraId="7B2B037A" w14:textId="6A7AED55" w:rsidR="009D32AB" w:rsidRPr="00B126EB" w:rsidRDefault="00ED7D0E" w:rsidP="00ED7D0E">
      <w:pPr>
        <w:rPr>
          <w:iCs/>
          <w:noProof/>
        </w:rPr>
      </w:pPr>
      <w:bookmarkStart w:id="3" w:name="_Hlk187319594"/>
      <w:bookmarkStart w:id="4" w:name="_Hlk156385433"/>
      <w:r w:rsidRPr="00B126EB">
        <w:rPr>
          <w:noProof/>
        </w:rPr>
        <w:t xml:space="preserve">No segundo semestre de 2024, a UE mobilizou 64,3 mil milhões de EUR de financiamento de longo prazo através de quatro consórcios de emissão e seis leilões, em consonância com o objetivo incluído no plano de financiamento publicado em junho de 2024. Oito mil milhões de EUR dos referidos 64,3 mil milhões de EUR de financiamento de longo prazo foram mobilizados através de obrigações verdes no quadro do NextGenerationEU. Juntamente com os 73,8 mil milhões de EUR mobilizados no primeiro semestre de 2024, essas emissões elevaram o total do financiamento de longo prazo mobilizado em 2024 para 138,1 mil milhões de EUR, o montante mais elevado de obrigações emitidas pela UE num único ano. </w:t>
      </w:r>
      <w:r w:rsidRPr="00B126EB">
        <w:rPr>
          <w:noProof/>
          <w:color w:val="000000" w:themeColor="text1"/>
        </w:rPr>
        <w:t xml:space="preserve">No final de 2024, a UE tinha 578,2 mil milhões de EUR em obrigações da UE pendentes (com um prazo de vencimento residual médio de cerca de 12 anos), dos quais 68,2 mil milhões de EUR sob a forma de obrigações verdes no quadro do NextGenerationEU. </w:t>
      </w:r>
    </w:p>
    <w:p w14:paraId="1C0F023F" w14:textId="755B8D35" w:rsidR="00ED7D0E" w:rsidRPr="00B126EB" w:rsidRDefault="00527BF7" w:rsidP="00ED7D0E">
      <w:pPr>
        <w:rPr>
          <w:rFonts w:ascii="Arial" w:eastAsia="Times New Roman" w:hAnsi="Arial" w:cs="Arial"/>
          <w:noProof/>
          <w:sz w:val="27"/>
          <w:szCs w:val="27"/>
        </w:rPr>
      </w:pPr>
      <w:r w:rsidRPr="00B126EB">
        <w:rPr>
          <w:noProof/>
          <w:color w:val="000000" w:themeColor="text1"/>
        </w:rPr>
        <w:t>As receitas obtidas com as emissões de obrigações da UE permitiram à Comissão continuar a responder às prioridades políticas na UE e na sua vizinhança. Especificamente, desembolsaram-se, no segundo semestre de 2024,</w:t>
      </w:r>
      <w:r w:rsidRPr="00B126EB">
        <w:rPr>
          <w:noProof/>
        </w:rPr>
        <w:t xml:space="preserve"> 72,2 mil milhões de EUR destas receitas para a execução de investimentos e reformas no âmbito do NextGenerationEU. A Ucrânia recebeu 5,2 mil milhões de EUR ao abrigo do Mecanismo para a Ucrânia</w:t>
      </w:r>
      <w:bookmarkStart w:id="5" w:name="_Hlk156380977"/>
      <w:r w:rsidRPr="00B126EB">
        <w:rPr>
          <w:noProof/>
        </w:rPr>
        <w:t xml:space="preserve"> e um montante adicional de 1,1 mil milhões de EUR em receitas foi utilizado para financiar mil milhões de EUR e 95 milhões de EUR em assistência macrofinanceira (AMF) </w:t>
      </w:r>
      <w:bookmarkEnd w:id="3"/>
      <w:r w:rsidRPr="00B126EB">
        <w:rPr>
          <w:noProof/>
        </w:rPr>
        <w:t>a favor do Egito e da Moldávia, respetivamente.</w:t>
      </w:r>
    </w:p>
    <w:bookmarkEnd w:id="5"/>
    <w:p w14:paraId="06D5DF1E" w14:textId="5E7AD5DA" w:rsidR="00ED7D0E" w:rsidRPr="00B126EB" w:rsidRDefault="00585EB8" w:rsidP="00ED7D0E">
      <w:pPr>
        <w:rPr>
          <w:noProof/>
        </w:rPr>
      </w:pPr>
      <w:r w:rsidRPr="00B126EB">
        <w:rPr>
          <w:noProof/>
        </w:rPr>
        <w:t>O custo do financiamento da UE</w:t>
      </w:r>
      <w:r w:rsidR="00072047" w:rsidRPr="00B126EB">
        <w:rPr>
          <w:rStyle w:val="FootnoteReference"/>
          <w:noProof/>
        </w:rPr>
        <w:footnoteReference w:id="2"/>
      </w:r>
      <w:r w:rsidRPr="00B126EB">
        <w:rPr>
          <w:noProof/>
        </w:rPr>
        <w:t xml:space="preserve"> continuou a diminuir para 2,97 %, em comparação com 3,19 % no período de financiamento anterior. A redução do custo global de financiamento da UE foi explicada por condições de mercado mais favoráveis e por uma redução das taxas de rentabilidade da UE em relação às obrigações de dívida pública europeias nucleares durante o semestre. O diferencial da taxa de juros a 10 anos entre as obrigações da UE e um cabaz com 50/50 de obrigações soberanas alemãs e francesas desceu de 25 pontos de base no início do segundo semestre para 12 pontos de base em dezembro de 2024. </w:t>
      </w:r>
    </w:p>
    <w:p w14:paraId="5A78647B" w14:textId="59BDEFFD" w:rsidR="0081666A" w:rsidRPr="00B126EB" w:rsidRDefault="00ED7D0E" w:rsidP="00260CFD">
      <w:pPr>
        <w:rPr>
          <w:noProof/>
        </w:rPr>
      </w:pPr>
      <w:r w:rsidRPr="00B126EB">
        <w:rPr>
          <w:noProof/>
        </w:rPr>
        <w:t>A Comissão tomou igualmente novas medidas para apoiar o funcionamento e a liquidez do mercado de obrigações da UE</w:t>
      </w:r>
      <w:r w:rsidRPr="00B126EB">
        <w:rPr>
          <w:noProof/>
          <w:color w:val="000000" w:themeColor="text1"/>
        </w:rPr>
        <w:t>.</w:t>
      </w:r>
      <w:r w:rsidRPr="00B126EB">
        <w:rPr>
          <w:noProof/>
        </w:rPr>
        <w:t xml:space="preserve"> Em outubro de 2024, lançou um mecanismo de recompra de obrigações da UE destinado a apoiar os corretores principais da UE quando publicarem ofertas de preços de obrigações da UE em plataformas de negociação eletrónica.</w:t>
      </w:r>
    </w:p>
    <w:p w14:paraId="7430E6D6" w14:textId="519AD4EC" w:rsidR="00113B9E" w:rsidRPr="00B126EB" w:rsidRDefault="00526244" w:rsidP="00526244">
      <w:pPr>
        <w:rPr>
          <w:noProof/>
        </w:rPr>
      </w:pPr>
      <w:r w:rsidRPr="00B126EB">
        <w:rPr>
          <w:noProof/>
        </w:rPr>
        <w:t>Estes desenvolvimentos importantes por parte da UE, juntamente com a consolidação das emissões da UE no âmbito da abordagem de financiamento unificada, permitiram que os participantes no mercado tomassem iniciativas independentes graças às quais puderam continuar a apoiar o funcionamento do mercado de obrigações da UE. No segundo semestre de 2024, essas iniciativas incluíram o lançamento, em dezembro, de um contrato de futuros baseado em índices sobre obrigações da UE, bem como o anúncio de um interesse renovado no lançamento de um contrato de futuros tradicionais (liquidados fisicamente) em 2025 por uma das principais bolsas europeias.</w:t>
      </w:r>
    </w:p>
    <w:p w14:paraId="15FC060E" w14:textId="6D2F1EA6" w:rsidR="00CC0D21" w:rsidRPr="00B126EB" w:rsidRDefault="002D5366" w:rsidP="007930D6">
      <w:pPr>
        <w:rPr>
          <w:noProof/>
        </w:rPr>
      </w:pPr>
      <w:r w:rsidRPr="00B126EB">
        <w:rPr>
          <w:noProof/>
          <w:color w:val="000000" w:themeColor="text1"/>
        </w:rPr>
        <w:t>A publicação da edição de</w:t>
      </w:r>
      <w:r w:rsidRPr="00B126EB">
        <w:rPr>
          <w:noProof/>
        </w:rPr>
        <w:t xml:space="preserve"> 2024 do </w:t>
      </w:r>
      <w:hyperlink r:id="rId29">
        <w:r w:rsidRPr="00B126EB">
          <w:rPr>
            <w:rStyle w:val="Hyperlink"/>
            <w:noProof/>
          </w:rPr>
          <w:t>relatório anual referente à afetação e ao impacto das obrigações verdes no quadro do NextGenerationEU</w:t>
        </w:r>
      </w:hyperlink>
      <w:r w:rsidRPr="00B126EB">
        <w:rPr>
          <w:noProof/>
        </w:rPr>
        <w:t xml:space="preserve"> </w:t>
      </w:r>
      <w:r w:rsidRPr="00B126EB">
        <w:rPr>
          <w:noProof/>
          <w:color w:val="000000" w:themeColor="text1"/>
        </w:rPr>
        <w:t xml:space="preserve">foi outro ponto de destaque no segundo semestre de 2024, </w:t>
      </w:r>
      <w:r w:rsidRPr="00B126EB">
        <w:rPr>
          <w:noProof/>
        </w:rPr>
        <w:t>apresentando informações atualizadas sobre a afetação das receitas da emissão de obrigações verdes no âmbito do NextGenerationEU e sobre as estimativas dos seus impactos climáticos realizados e previstos. O relatório documenta i) o aumento da emissão de obrigações verdes no quadro do NextGenerationEU (elevando a dívida pendente de obrigações verdes para 68,2 mil milhões de EUR), ii) os progressos na execução das despesas relevantes para o clima financiadas por obrigações verdes no quadro do NextGenerationEU e iii) um aumento do conjunto de despesas elegíveis das obrigações verdes no quadro do NextGenerationEU na sequência da integração do programa REPowerEU (o programa REPowerEU ascende agora a 264 mil milhões de EUR).</w:t>
      </w:r>
    </w:p>
    <w:p w14:paraId="6458497B" w14:textId="5EC168CC" w:rsidR="001B6374" w:rsidRPr="00B126EB" w:rsidRDefault="005C0779" w:rsidP="001B6374">
      <w:pPr>
        <w:rPr>
          <w:noProof/>
        </w:rPr>
      </w:pPr>
      <w:r w:rsidRPr="00B126EB">
        <w:rPr>
          <w:noProof/>
        </w:rPr>
        <w:t xml:space="preserve">Por último, em 10 de dezembro de 2024, a Comissão anunciou o seu plano de financiamento para o primeiro semestre de 2025, que inclui um objetivo de emissão de obrigações até 90 mil milhões de EUR entre janeiro e o final de junho. Prevê-se um nível de financiamento indicativo de 160 mil milhões de EUR de obrigações da UE em 2025. Serão introduzidos logo no primeiro semestre de 2025 leilões de obrigações em três segmentos, a fim de facilitar o aumento da emissão de obrigações de longo prazo. Para complementar as necessidades de financiamento da UE, o financiamento de longo prazo será também reforçado pela emissão de dívida de curto prazo, nomeadamente através da introdução de </w:t>
      </w:r>
      <w:r w:rsidR="00D7442D" w:rsidRPr="00B126EB">
        <w:rPr>
          <w:noProof/>
        </w:rPr>
        <w:t>uma nova linha</w:t>
      </w:r>
      <w:r w:rsidRPr="00B126EB">
        <w:rPr>
          <w:noProof/>
        </w:rPr>
        <w:t xml:space="preserve"> de instrumentos financeiros da UE a 12 meses, em janeiro de 2025.</w:t>
      </w:r>
    </w:p>
    <w:p w14:paraId="6054F437" w14:textId="13C27636" w:rsidR="001401DA" w:rsidRPr="00B126EB" w:rsidRDefault="008B6253" w:rsidP="00BE145B">
      <w:pPr>
        <w:pStyle w:val="Heading1"/>
        <w:rPr>
          <w:noProof/>
        </w:rPr>
      </w:pPr>
      <w:bookmarkStart w:id="6" w:name="_Toc193121317"/>
      <w:bookmarkEnd w:id="4"/>
      <w:r w:rsidRPr="00B126EB">
        <w:rPr>
          <w:noProof/>
        </w:rPr>
        <w:t>Introdução</w:t>
      </w:r>
      <w:bookmarkEnd w:id="6"/>
    </w:p>
    <w:p w14:paraId="1AD97532" w14:textId="2DDBDF68" w:rsidR="00F333BA" w:rsidRPr="00B126EB" w:rsidRDefault="00F333BA" w:rsidP="00F333BA">
      <w:pPr>
        <w:rPr>
          <w:noProof/>
        </w:rPr>
      </w:pPr>
      <w:r w:rsidRPr="00B126EB">
        <w:rPr>
          <w:noProof/>
        </w:rPr>
        <w:t>A Comissão tem vindo a contrair empréstimos em nome da União Europeia há mais de 40 anos. Nos últimos cinco anos, assistiu-se a um aumento acentuado da emissão de obrigações da UE, uma vez que esta depende dos mercados de capitais para financiar grandes programas, como o SURE</w:t>
      </w:r>
      <w:r w:rsidRPr="00B126EB">
        <w:rPr>
          <w:rStyle w:val="FootnoteReference"/>
          <w:noProof/>
        </w:rPr>
        <w:footnoteReference w:id="3"/>
      </w:r>
      <w:r w:rsidRPr="00B126EB">
        <w:rPr>
          <w:noProof/>
        </w:rPr>
        <w:t>, o NextGenerationEU e o apoio à Ucrânia (a AMF+ em 2023, o Mecanismo para a Ucrânia em 2024 e o empréstimo de AMF ao abrigo do Mecanismo de Cooperação para Empréstimos à Ucrânia a partir de 2025). Em 31 de dezembro de 2024, o saldo total da dívida da UE era ligeiramente superior a 600 mil milhões de EUR, dos quais 23,1 mil milhões de EUR sob a forma de instrumentos financeiros da UE.</w:t>
      </w:r>
    </w:p>
    <w:p w14:paraId="2371BB69" w14:textId="7DFAEB3A" w:rsidR="00F333BA" w:rsidRPr="00B126EB" w:rsidRDefault="00F333BA" w:rsidP="00F333BA">
      <w:pPr>
        <w:rPr>
          <w:noProof/>
        </w:rPr>
      </w:pPr>
      <w:r w:rsidRPr="00B126EB">
        <w:rPr>
          <w:noProof/>
        </w:rPr>
        <w:t>O presente relatório semestral</w:t>
      </w:r>
      <w:r w:rsidRPr="00B126EB">
        <w:rPr>
          <w:rStyle w:val="FootnoteReference"/>
          <w:noProof/>
        </w:rPr>
        <w:footnoteReference w:id="4"/>
      </w:r>
      <w:r w:rsidRPr="00B126EB">
        <w:rPr>
          <w:noProof/>
        </w:rPr>
        <w:t xml:space="preserve"> analisa a execução das operações de contração de empréstimos entre 1 de julho de 2024 e 31 de dezembro de 2024. Além disso, apresenta perspetivas para a emissão de obrigações da UE no primeiro semestre de 2025. Não avalia a forma como as receitas das emissões de obrigações da UE são utilizadas, inclusive em despesas do foro ecológico, uma vez que esse aspeto é abordado em relatórios distintos ao abrigo dos regulamentos relativos a cada instrumento</w:t>
      </w:r>
      <w:r w:rsidRPr="00B126EB">
        <w:rPr>
          <w:rStyle w:val="FootnoteReference"/>
          <w:noProof/>
        </w:rPr>
        <w:footnoteReference w:id="5"/>
      </w:r>
      <w:r w:rsidRPr="00B126EB">
        <w:rPr>
          <w:noProof/>
        </w:rPr>
        <w:t>.</w:t>
      </w:r>
    </w:p>
    <w:p w14:paraId="5D2F601E" w14:textId="7F249F7C" w:rsidR="00F333BA" w:rsidRPr="00B126EB" w:rsidRDefault="00F333BA" w:rsidP="00F333BA">
      <w:pPr>
        <w:rPr>
          <w:noProof/>
        </w:rPr>
      </w:pPr>
      <w:r w:rsidRPr="00B126EB">
        <w:rPr>
          <w:noProof/>
        </w:rPr>
        <w:t>Na sequência da recomendação do Tribunal de Contas Europeu (TCE), em junho de 2023</w:t>
      </w:r>
      <w:r w:rsidRPr="00B126EB">
        <w:rPr>
          <w:rStyle w:val="FootnoteReference"/>
          <w:noProof/>
        </w:rPr>
        <w:footnoteReference w:id="6"/>
      </w:r>
      <w:r w:rsidRPr="00B126EB">
        <w:rPr>
          <w:noProof/>
        </w:rPr>
        <w:t>, o anexo do presente relatório apresenta indicadores que podem ser utilizados para acompanhar a execução da estratégia global de gestão da dívida que orienta a abordagem de financiamento unificada da Comissão</w:t>
      </w:r>
      <w:r w:rsidRPr="00B126EB">
        <w:rPr>
          <w:rStyle w:val="FootnoteReference"/>
          <w:noProof/>
          <w:spacing w:val="-6"/>
        </w:rPr>
        <w:footnoteReference w:id="7"/>
      </w:r>
      <w:r w:rsidRPr="00B126EB">
        <w:rPr>
          <w:noProof/>
        </w:rPr>
        <w:t xml:space="preserve">.  </w:t>
      </w:r>
    </w:p>
    <w:p w14:paraId="4FD8F240" w14:textId="643AFC9B" w:rsidR="008B6253" w:rsidRPr="00B126EB" w:rsidRDefault="00BD5F9F" w:rsidP="00BE145B">
      <w:pPr>
        <w:pStyle w:val="Heading1"/>
        <w:rPr>
          <w:noProof/>
        </w:rPr>
      </w:pPr>
      <w:bookmarkStart w:id="7" w:name="_Ref155883558"/>
      <w:bookmarkStart w:id="8" w:name="_Ref169097162"/>
      <w:bookmarkStart w:id="9" w:name="_Toc193121318"/>
      <w:r w:rsidRPr="00B126EB">
        <w:rPr>
          <w:noProof/>
        </w:rPr>
        <w:t xml:space="preserve">Execução das operações de contração de empréstimos no segundo semestre de </w:t>
      </w:r>
      <w:bookmarkEnd w:id="7"/>
      <w:r w:rsidRPr="00B126EB">
        <w:rPr>
          <w:noProof/>
        </w:rPr>
        <w:t>202</w:t>
      </w:r>
      <w:bookmarkEnd w:id="8"/>
      <w:r w:rsidRPr="00B126EB">
        <w:rPr>
          <w:noProof/>
        </w:rPr>
        <w:t>4</w:t>
      </w:r>
      <w:bookmarkEnd w:id="9"/>
    </w:p>
    <w:p w14:paraId="15368E26" w14:textId="655EA9E9" w:rsidR="00A02D98" w:rsidRPr="00B126EB" w:rsidRDefault="00A02D98" w:rsidP="00A02D98">
      <w:pPr>
        <w:rPr>
          <w:noProof/>
        </w:rPr>
      </w:pPr>
      <w:bookmarkStart w:id="10" w:name="_Toc169303166"/>
      <w:r w:rsidRPr="00B126EB">
        <w:rPr>
          <w:noProof/>
        </w:rPr>
        <w:t>No segundo semestre de 2024, a Comissão continuou a mobilizar fundos nos mercados recorrendo à sua abordagem de financiamento unificada. Além de terem sido cumpridos tempestivamente todos os compromissos de desembolso, os montantes e os prazos de vencimento das obrigações emitidas mantiveram-se dentro dos parâmetros preestabelecidos e as condições de financiamento foram consentâneas com as de um emitente da dimensão da UE e com a sua notação. As secções que se seguem apresentam algumas das principais componentes das operações de contração e concessão de empréstimos da Comissão no segundo semestre de 2024. No anexo do presente relatório são analisados outros indicadores utilizados para acompanhar a execução da estratégia de financiamento da Comissão.</w:t>
      </w:r>
    </w:p>
    <w:p w14:paraId="0C7AA257" w14:textId="105F20BE" w:rsidR="005D6F11" w:rsidRPr="00B126EB" w:rsidRDefault="003926DF" w:rsidP="002703F1">
      <w:pPr>
        <w:pStyle w:val="Heading2"/>
        <w:rPr>
          <w:noProof/>
        </w:rPr>
      </w:pPr>
      <w:bookmarkStart w:id="11" w:name="_Toc170294782"/>
      <w:bookmarkStart w:id="12" w:name="_Toc187347924"/>
      <w:bookmarkStart w:id="13" w:name="_Toc187701953"/>
      <w:bookmarkStart w:id="14" w:name="_Toc187702008"/>
      <w:bookmarkStart w:id="15" w:name="_Toc190904644"/>
      <w:bookmarkStart w:id="16" w:name="_Toc193121319"/>
      <w:r w:rsidRPr="00B126EB">
        <w:rPr>
          <w:noProof/>
        </w:rPr>
        <w:t>Execução de operações de financiamento no segundo semestre de 2024</w:t>
      </w:r>
      <w:bookmarkEnd w:id="10"/>
      <w:bookmarkEnd w:id="11"/>
      <w:bookmarkEnd w:id="12"/>
      <w:bookmarkEnd w:id="13"/>
      <w:bookmarkEnd w:id="14"/>
      <w:bookmarkEnd w:id="15"/>
      <w:bookmarkEnd w:id="16"/>
    </w:p>
    <w:p w14:paraId="671F7083" w14:textId="1C54BB1A" w:rsidR="0049203F" w:rsidRPr="00B126EB" w:rsidRDefault="00C95DD4" w:rsidP="0049203F">
      <w:pPr>
        <w:rPr>
          <w:noProof/>
        </w:rPr>
      </w:pPr>
      <w:bookmarkStart w:id="17" w:name="_Hlk138161421"/>
      <w:r w:rsidRPr="00B126EB">
        <w:rPr>
          <w:noProof/>
        </w:rPr>
        <w:t xml:space="preserve">Em consonância com o plano de financiamento de 1 de julho a 31 de dezembro de 2024, a Comissão mobilizou um total de 64,3 mil milhões de EUR em obrigações da UE, com um prazo médio de vencimento de cerca de 12 anos (em comparação com 14 anos para o financiamento mobilizado no primeiro semestre de 2024). </w:t>
      </w:r>
      <w:r w:rsidRPr="00B126EB">
        <w:rPr>
          <w:noProof/>
          <w:color w:val="000000" w:themeColor="text1"/>
        </w:rPr>
        <w:t>Durante o segundo semestre de 2024, a emissão de obrigações verdes no quadro do NextGenerationEU foi de 8 mil milhões de EUR, elevando o valor total das obrigações verdes pendentes para 68,2 mil milhões de EUR, o que torna a UE o quinto maior emitente de obrigações verdes a nível mundial.</w:t>
      </w:r>
    </w:p>
    <w:p w14:paraId="3C2C3758" w14:textId="11EC2F1C" w:rsidR="0049203F" w:rsidRPr="00B126EB" w:rsidRDefault="0049203F" w:rsidP="0049203F">
      <w:pPr>
        <w:rPr>
          <w:noProof/>
        </w:rPr>
      </w:pPr>
      <w:r w:rsidRPr="00B126EB">
        <w:rPr>
          <w:noProof/>
        </w:rPr>
        <w:t xml:space="preserve">A Comissão utilizou uma combinação de quatro consórcios de emissão (58 % do montante mobilizado) e oito leilões (42 % do montante mobilizado), em conformidade com o objetivo anunciado. As obrigações da UE foram emitidas a intervalos regulares ao longo do período de seis meses, tendo em conta as condições de liquidez do mercado e assegurando simultaneamente uma presença regular no mercado. </w:t>
      </w:r>
    </w:p>
    <w:p w14:paraId="5C7794E5" w14:textId="77777777" w:rsidR="00EB47DD" w:rsidRPr="00B126EB" w:rsidRDefault="00EB47DD" w:rsidP="0049203F">
      <w:pPr>
        <w:rPr>
          <w:noProof/>
        </w:rPr>
      </w:pPr>
    </w:p>
    <w:p w14:paraId="5C86CE36" w14:textId="6C2FF610" w:rsidR="00BA3133" w:rsidRPr="00B126EB" w:rsidRDefault="00BA3133" w:rsidP="00810A51">
      <w:pPr>
        <w:rPr>
          <w:b/>
          <w:bCs/>
          <w:noProof/>
          <w:color w:val="034EA2" w:themeColor="accent1"/>
        </w:rPr>
      </w:pPr>
      <w:bookmarkStart w:id="18" w:name="_Hlk169095317"/>
      <w:r w:rsidRPr="00B126EB">
        <w:rPr>
          <w:b/>
          <w:noProof/>
          <w:color w:val="034EA2" w:themeColor="accent1"/>
        </w:rPr>
        <w:t>Gráfico 2: Financiamento obtido no âmbito da abordagem de financiamento unificada</w:t>
      </w:r>
    </w:p>
    <w:p w14:paraId="0C587116" w14:textId="22C555E8" w:rsidR="00A70983" w:rsidRPr="00B126EB" w:rsidRDefault="00A70983" w:rsidP="009428DB">
      <w:pPr>
        <w:rPr>
          <w:noProof/>
          <w:color w:val="3B3838" w:themeColor="background2" w:themeShade="40"/>
          <w:sz w:val="18"/>
          <w:szCs w:val="18"/>
        </w:rPr>
      </w:pPr>
      <w:r w:rsidRPr="00B126EB">
        <w:rPr>
          <w:noProof/>
          <w:lang w:val="en-GB" w:eastAsia="en-GB"/>
        </w:rPr>
        <w:drawing>
          <wp:inline distT="0" distB="0" distL="0" distR="0" wp14:anchorId="6C7032D5" wp14:editId="35B052A8">
            <wp:extent cx="5731510" cy="2383790"/>
            <wp:effectExtent l="0" t="0" r="0" b="0"/>
            <wp:docPr id="11318609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31510" cy="2383790"/>
                    </a:xfrm>
                    <a:prstGeom prst="rect">
                      <a:avLst/>
                    </a:prstGeom>
                    <a:noFill/>
                    <a:ln>
                      <a:noFill/>
                    </a:ln>
                  </pic:spPr>
                </pic:pic>
              </a:graphicData>
            </a:graphic>
          </wp:inline>
        </w:drawing>
      </w:r>
    </w:p>
    <w:p w14:paraId="480514B6" w14:textId="06E16302" w:rsidR="009428DB" w:rsidRPr="00B126EB" w:rsidRDefault="009428DB" w:rsidP="009428DB">
      <w:pPr>
        <w:rPr>
          <w:noProof/>
          <w:color w:val="3B3838" w:themeColor="background2" w:themeShade="40"/>
          <w:sz w:val="18"/>
          <w:szCs w:val="18"/>
        </w:rPr>
      </w:pPr>
      <w:r w:rsidRPr="00B126EB">
        <w:rPr>
          <w:noProof/>
          <w:color w:val="3B3838" w:themeColor="background2" w:themeShade="40"/>
          <w:sz w:val="18"/>
        </w:rPr>
        <w:t>* As duas primeiras operações do NextGenerationEU ocorreram em junho de 2021 e foram incluídas no valor do S2 2021, uma vez que faziam parte do mesmo plano de financiamento que as operações realizadas no S2 2021.</w:t>
      </w:r>
    </w:p>
    <w:bookmarkEnd w:id="18"/>
    <w:p w14:paraId="05F85E31" w14:textId="77777777" w:rsidR="009428DB" w:rsidRPr="00B126EB" w:rsidRDefault="009428DB" w:rsidP="009428DB">
      <w:pPr>
        <w:jc w:val="right"/>
        <w:rPr>
          <w:noProof/>
          <w:color w:val="595959" w:themeColor="text1" w:themeTint="A6"/>
          <w:sz w:val="18"/>
          <w:szCs w:val="18"/>
        </w:rPr>
      </w:pPr>
      <w:r w:rsidRPr="00B126EB">
        <w:rPr>
          <w:i/>
          <w:noProof/>
          <w:color w:val="595959" w:themeColor="text1" w:themeTint="A6"/>
          <w:sz w:val="18"/>
        </w:rPr>
        <w:t>Todos os montantes são expressos em milhares de milhões de EUR</w:t>
      </w:r>
    </w:p>
    <w:p w14:paraId="5938BA3D" w14:textId="5F3565CE" w:rsidR="002469E9" w:rsidRPr="00B126EB" w:rsidRDefault="002469E9" w:rsidP="002469E9">
      <w:pPr>
        <w:rPr>
          <w:noProof/>
        </w:rPr>
      </w:pPr>
      <w:bookmarkStart w:id="19" w:name="_Hlk156564741"/>
      <w:bookmarkStart w:id="20" w:name="_Hlk155181535"/>
      <w:bookmarkStart w:id="21" w:name="_Hlk169518262"/>
      <w:bookmarkStart w:id="22" w:name="_Hlk139454398"/>
      <w:r w:rsidRPr="00B126EB">
        <w:rPr>
          <w:noProof/>
        </w:rPr>
        <w:t xml:space="preserve">As operações no segundo semestre de 2024 elevaram o montante total de obrigações da UE pendentes para 578,2 mil milhões de EUR, dos quais 430,4 mil milhões de EUR foram emitidos através da estratégia de financiamento unificada da UE, lançada em junho de 2021. Deste último montante, </w:t>
      </w:r>
      <w:bookmarkStart w:id="23" w:name="_Hlk158104850"/>
      <w:bookmarkEnd w:id="19"/>
      <w:r w:rsidRPr="00B126EB">
        <w:rPr>
          <w:noProof/>
        </w:rPr>
        <w:t>68,2 mil milhões de EUR foram emitidos sob a forma de obrigações verdes no quadro do NextGenerationEU.</w:t>
      </w:r>
      <w:bookmarkEnd w:id="20"/>
      <w:r w:rsidRPr="00B126EB">
        <w:rPr>
          <w:noProof/>
        </w:rPr>
        <w:t xml:space="preserve"> </w:t>
      </w:r>
    </w:p>
    <w:bookmarkEnd w:id="21"/>
    <w:bookmarkEnd w:id="23"/>
    <w:p w14:paraId="737E3432" w14:textId="5D3202AB" w:rsidR="00542EFD" w:rsidRPr="00B126EB" w:rsidRDefault="002469E9" w:rsidP="005D6F11">
      <w:pPr>
        <w:rPr>
          <w:noProof/>
        </w:rPr>
      </w:pPr>
      <w:r w:rsidRPr="00B126EB">
        <w:rPr>
          <w:noProof/>
        </w:rPr>
        <w:t>No segundo semestre de 2024, a Comissão emitiu também instrumentos financeiros da UE a três e a seis meses mediante leilões quinzenais para satisfazer as necessidades de financiamento a curto prazo. No final de dezembro de 2024, a UE dispunha de 23,1 mil milhões de EUR de crédito em dívida através de instrumentos financeiros da UE.</w:t>
      </w:r>
      <w:bookmarkEnd w:id="22"/>
    </w:p>
    <w:p w14:paraId="6E7825A0" w14:textId="77777777" w:rsidR="001C6C43" w:rsidRPr="00B126EB" w:rsidRDefault="001C6C43" w:rsidP="005D6F11">
      <w:pPr>
        <w:rPr>
          <w:noProof/>
        </w:rPr>
      </w:pPr>
    </w:p>
    <w:p w14:paraId="1BBD1ABF" w14:textId="66D9714C" w:rsidR="003926DF" w:rsidRPr="00B126EB" w:rsidRDefault="003926DF" w:rsidP="005971A7">
      <w:pPr>
        <w:pStyle w:val="Heading2"/>
        <w:rPr>
          <w:noProof/>
        </w:rPr>
      </w:pPr>
      <w:bookmarkStart w:id="24" w:name="_Toc169303167"/>
      <w:bookmarkStart w:id="25" w:name="_Toc170294783"/>
      <w:bookmarkStart w:id="26" w:name="_Toc187347925"/>
      <w:bookmarkStart w:id="27" w:name="_Toc187701954"/>
      <w:bookmarkStart w:id="28" w:name="_Toc187702009"/>
      <w:bookmarkStart w:id="29" w:name="_Toc190904645"/>
      <w:bookmarkStart w:id="30" w:name="_Toc193121320"/>
      <w:bookmarkStart w:id="31" w:name="_Hlk169127536"/>
      <w:bookmarkEnd w:id="17"/>
      <w:r w:rsidRPr="00B126EB">
        <w:rPr>
          <w:noProof/>
        </w:rPr>
        <w:t>Desembolsos</w:t>
      </w:r>
      <w:bookmarkEnd w:id="24"/>
      <w:bookmarkEnd w:id="25"/>
      <w:bookmarkEnd w:id="26"/>
      <w:bookmarkEnd w:id="27"/>
      <w:bookmarkEnd w:id="28"/>
      <w:bookmarkEnd w:id="29"/>
      <w:bookmarkEnd w:id="30"/>
    </w:p>
    <w:p w14:paraId="57EC12A0" w14:textId="643FD7DD" w:rsidR="00083C92" w:rsidRPr="00B126EB" w:rsidRDefault="00DC2305" w:rsidP="009536A9">
      <w:pPr>
        <w:rPr>
          <w:noProof/>
        </w:rPr>
      </w:pPr>
      <w:bookmarkStart w:id="32" w:name="_Hlk187329427"/>
      <w:r w:rsidRPr="00B126EB">
        <w:rPr>
          <w:noProof/>
        </w:rPr>
        <w:t>Graças a estas operações, a Comissão continuou a financiar os planos de recuperação e resiliência dos Estados-Membros por meio do desembolso atempado das receitas (isto é, no prazo de cerca de seis dias úteis).</w:t>
      </w:r>
      <w:bookmarkEnd w:id="32"/>
    </w:p>
    <w:p w14:paraId="6FF8005B" w14:textId="35F15D50" w:rsidR="005C414E" w:rsidRPr="00B126EB" w:rsidRDefault="002C0915" w:rsidP="005C414E">
      <w:pPr>
        <w:rPr>
          <w:noProof/>
        </w:rPr>
      </w:pPr>
      <w:r w:rsidRPr="00B126EB">
        <w:rPr>
          <w:noProof/>
        </w:rPr>
        <w:t>Globalmente, no segundo semestre de 2024, a Comissão desembolsou um total de cerca de 78,5 mil milhões de EUR para todas as políticas combinadas, que financiou parcialmente com fundos já mobilizados no S1 2024. Dos fundos mobilizados durante este período, desembolsaram</w:t>
      </w:r>
      <w:r w:rsidR="00B126EB" w:rsidRPr="00B126EB">
        <w:rPr>
          <w:noProof/>
        </w:rPr>
        <w:noBreakHyphen/>
      </w:r>
      <w:r w:rsidRPr="00B126EB">
        <w:rPr>
          <w:noProof/>
        </w:rPr>
        <w:t>se 72,2 mil milhões de EUR para financiar o NextGenerationEU. Desse montante, 61,7 mil milhões de EUR foram utilizados para financiar os planos de recuperação e resiliência dos Estados-Membros no âmbito do Mecanismo de Recuperação e Resiliência (MRR). Este montante pode, por sua vez, ser repartido em 37,2 mil milhões de EUR sob a forma de subvenções a 15 Estados-Membros e em 24,5 mil milhões de EUR sob a forma de empréstimos a nove Estados</w:t>
      </w:r>
      <w:r w:rsidR="00B126EB" w:rsidRPr="00B126EB">
        <w:rPr>
          <w:noProof/>
        </w:rPr>
        <w:noBreakHyphen/>
      </w:r>
      <w:r w:rsidRPr="00B126EB">
        <w:rPr>
          <w:noProof/>
        </w:rPr>
        <w:t>Membros. Os restantes 10,5 mil milhões de EUR foram utilizados para financiar programas geridos pela UE e apoiados pelo NextGenerationEU</w:t>
      </w:r>
      <w:r w:rsidR="005C414E" w:rsidRPr="00B126EB">
        <w:rPr>
          <w:noProof/>
          <w:vertAlign w:val="superscript"/>
        </w:rPr>
        <w:footnoteReference w:id="8"/>
      </w:r>
      <w:r w:rsidRPr="00B126EB">
        <w:rPr>
          <w:noProof/>
        </w:rPr>
        <w:t>.</w:t>
      </w:r>
    </w:p>
    <w:p w14:paraId="1832A5BC" w14:textId="56217C6B" w:rsidR="005C414E" w:rsidRPr="00B126EB" w:rsidRDefault="005C414E" w:rsidP="005C414E">
      <w:pPr>
        <w:rPr>
          <w:noProof/>
        </w:rPr>
      </w:pPr>
      <w:r w:rsidRPr="00B126EB">
        <w:rPr>
          <w:noProof/>
        </w:rPr>
        <w:t>Globalmente, desde o verão de 2021, a Comissão desembolsou 375,4 mil milhões de EUR para apoiar o NextGenerationEU. Este montante inclui 197,4 mil milhões de EUR em subvenções e 108,7 mil milhões de EUR em empréstimos aos Estados-Membros ao abrigo do MRR e 69,3 mil milhões de EUR para os programas do NextGenerationEU geridos pela UE. Do total de 375,4 mil milhões de EUR de apoio ao NextGenerationEU, 365,8 mil milhões de EUR foram financiados através da emissão de dívida</w:t>
      </w:r>
      <w:r w:rsidRPr="00B126EB">
        <w:rPr>
          <w:noProof/>
          <w:vertAlign w:val="superscript"/>
        </w:rPr>
        <w:footnoteReference w:id="9"/>
      </w:r>
      <w:r w:rsidRPr="00B126EB">
        <w:rPr>
          <w:noProof/>
        </w:rPr>
        <w:t>.</w:t>
      </w:r>
    </w:p>
    <w:p w14:paraId="1FF529FF" w14:textId="4A5B5233" w:rsidR="00542EFD" w:rsidRPr="00B126EB" w:rsidRDefault="005C414E" w:rsidP="00DC2305">
      <w:pPr>
        <w:rPr>
          <w:noProof/>
        </w:rPr>
      </w:pPr>
      <w:r w:rsidRPr="00B126EB">
        <w:rPr>
          <w:noProof/>
        </w:rPr>
        <w:t xml:space="preserve">Para além dos desembolsos no âmbito do NextGenerationEU, a Comissão desembolsou 5,2 mil milhões de EUR à Ucrânia durante o segundo semestre de 2024 ao abrigo do Mecanismo para a Ucrânia, elevando o total desembolsado ao abrigo deste mecanismo em 2024 para 13,1 mil milhões de EUR. Durante o segundo semestre de 2024, a emissão de obrigações da UE financiou também empréstimos de AMF no valor de mil milhões de EUR ao Egito e de 95 milhões de EUR à Moldávia. </w:t>
      </w:r>
    </w:p>
    <w:p w14:paraId="6FEE8558" w14:textId="77777777" w:rsidR="003E4BE8" w:rsidRPr="00B126EB" w:rsidRDefault="003E4BE8" w:rsidP="00DC2305">
      <w:pPr>
        <w:rPr>
          <w:noProof/>
        </w:rPr>
      </w:pPr>
    </w:p>
    <w:p w14:paraId="53F3E1A0" w14:textId="3EDC669F" w:rsidR="003926DF" w:rsidRPr="00B126EB" w:rsidRDefault="00352DCC" w:rsidP="00A87F59">
      <w:pPr>
        <w:pStyle w:val="Heading2"/>
        <w:rPr>
          <w:noProof/>
        </w:rPr>
      </w:pPr>
      <w:bookmarkStart w:id="33" w:name="_Toc169303168"/>
      <w:bookmarkStart w:id="34" w:name="_Toc170294784"/>
      <w:bookmarkStart w:id="35" w:name="_Toc187347926"/>
      <w:bookmarkStart w:id="36" w:name="_Toc187701955"/>
      <w:bookmarkStart w:id="37" w:name="_Toc187702010"/>
      <w:bookmarkStart w:id="38" w:name="_Toc190904646"/>
      <w:bookmarkStart w:id="39" w:name="_Toc193121321"/>
      <w:bookmarkEnd w:id="31"/>
      <w:r w:rsidRPr="00B126EB">
        <w:rPr>
          <w:noProof/>
        </w:rPr>
        <w:t>Procura por parte de investidores e liquidez do mercado secundário</w:t>
      </w:r>
      <w:bookmarkEnd w:id="33"/>
      <w:bookmarkEnd w:id="34"/>
      <w:bookmarkEnd w:id="35"/>
      <w:bookmarkEnd w:id="36"/>
      <w:bookmarkEnd w:id="37"/>
      <w:bookmarkEnd w:id="38"/>
      <w:bookmarkEnd w:id="39"/>
    </w:p>
    <w:p w14:paraId="15738A70" w14:textId="3DFB2EC6" w:rsidR="00216746" w:rsidRPr="00B126EB" w:rsidRDefault="00556A0B" w:rsidP="00216746">
      <w:pPr>
        <w:rPr>
          <w:noProof/>
        </w:rPr>
      </w:pPr>
      <w:bookmarkStart w:id="40" w:name="_Hlk139454867"/>
      <w:r w:rsidRPr="00B126EB">
        <w:rPr>
          <w:noProof/>
        </w:rPr>
        <w:t>As emissões de obrigações da UE continuaram a beneficiar da procura de uma base de investidores mundial equilibrada e diversificada</w:t>
      </w:r>
      <w:r w:rsidR="00216746" w:rsidRPr="00B126EB">
        <w:rPr>
          <w:noProof/>
          <w:vertAlign w:val="superscript"/>
        </w:rPr>
        <w:footnoteReference w:id="10"/>
      </w:r>
      <w:r w:rsidRPr="00B126EB">
        <w:rPr>
          <w:noProof/>
        </w:rPr>
        <w:t>.</w:t>
      </w:r>
    </w:p>
    <w:p w14:paraId="340E80F0" w14:textId="1F6352D4" w:rsidR="00387E02" w:rsidRPr="00B126EB" w:rsidRDefault="00387E02">
      <w:pPr>
        <w:spacing w:line="259" w:lineRule="auto"/>
        <w:jc w:val="left"/>
        <w:rPr>
          <w:b/>
          <w:bCs/>
          <w:noProof/>
          <w:color w:val="034EA2" w:themeColor="accent1"/>
        </w:rPr>
      </w:pPr>
    </w:p>
    <w:p w14:paraId="41A81828" w14:textId="7371C4F1" w:rsidR="00EF6F31" w:rsidRPr="00B126EB" w:rsidRDefault="00EF6F31" w:rsidP="00216746">
      <w:pPr>
        <w:rPr>
          <w:b/>
          <w:bCs/>
          <w:noProof/>
          <w:color w:val="034EA2" w:themeColor="accent1"/>
        </w:rPr>
      </w:pPr>
      <w:r w:rsidRPr="00B126EB">
        <w:rPr>
          <w:b/>
          <w:noProof/>
          <w:color w:val="034EA2" w:themeColor="accent1"/>
        </w:rPr>
        <w:t>Gráfico 3: Repartição dos investidores em operações através de consórcios de emissão executadas no S2 2024</w:t>
      </w:r>
    </w:p>
    <w:p w14:paraId="718C1DF1" w14:textId="53B174AB" w:rsidR="00D52047" w:rsidRPr="00B126EB" w:rsidRDefault="00334E91" w:rsidP="00D52047">
      <w:pPr>
        <w:spacing w:after="0"/>
        <w:jc w:val="left"/>
        <w:rPr>
          <w:rFonts w:ascii="Times New Roman" w:eastAsia="Times New Roman" w:hAnsi="Times New Roman"/>
          <w:noProof/>
          <w:sz w:val="24"/>
        </w:rPr>
      </w:pPr>
      <w:r w:rsidRPr="00B126EB">
        <w:rPr>
          <w:noProof/>
          <w:lang w:val="en-GB" w:eastAsia="en-GB"/>
        </w:rPr>
        <w:drawing>
          <wp:inline distT="0" distB="0" distL="0" distR="0" wp14:anchorId="425F6EEA" wp14:editId="45366AF1">
            <wp:extent cx="5669280" cy="2244090"/>
            <wp:effectExtent l="0" t="0" r="0" b="0"/>
            <wp:docPr id="10203155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69280" cy="2244090"/>
                    </a:xfrm>
                    <a:prstGeom prst="rect">
                      <a:avLst/>
                    </a:prstGeom>
                    <a:noFill/>
                    <a:ln>
                      <a:noFill/>
                    </a:ln>
                  </pic:spPr>
                </pic:pic>
              </a:graphicData>
            </a:graphic>
          </wp:inline>
        </w:drawing>
      </w:r>
    </w:p>
    <w:p w14:paraId="1884B3F8" w14:textId="4FCA5B75" w:rsidR="00965EC1" w:rsidRPr="00B126EB" w:rsidRDefault="00334E91" w:rsidP="00FE2382">
      <w:pPr>
        <w:spacing w:after="0"/>
        <w:jc w:val="left"/>
        <w:rPr>
          <w:rFonts w:ascii="Times New Roman" w:eastAsia="Times New Roman" w:hAnsi="Times New Roman"/>
          <w:noProof/>
          <w:sz w:val="24"/>
        </w:rPr>
      </w:pPr>
      <w:r w:rsidRPr="00B126EB">
        <w:rPr>
          <w:noProof/>
          <w:lang w:val="en-GB" w:eastAsia="en-GB"/>
        </w:rPr>
        <w:drawing>
          <wp:inline distT="0" distB="0" distL="0" distR="0" wp14:anchorId="7D34A70B" wp14:editId="19129F2B">
            <wp:extent cx="5731510" cy="3366770"/>
            <wp:effectExtent l="0" t="0" r="0" b="0"/>
            <wp:docPr id="37166387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31510" cy="3366770"/>
                    </a:xfrm>
                    <a:prstGeom prst="rect">
                      <a:avLst/>
                    </a:prstGeom>
                    <a:noFill/>
                    <a:ln>
                      <a:noFill/>
                    </a:ln>
                  </pic:spPr>
                </pic:pic>
              </a:graphicData>
            </a:graphic>
          </wp:inline>
        </w:drawing>
      </w:r>
    </w:p>
    <w:p w14:paraId="534A4C4D" w14:textId="77777777" w:rsidR="00FE2382" w:rsidRPr="00B126EB" w:rsidRDefault="00FE2382" w:rsidP="00216746">
      <w:pPr>
        <w:rPr>
          <w:noProof/>
        </w:rPr>
      </w:pPr>
    </w:p>
    <w:p w14:paraId="5AEE9404" w14:textId="3D909477" w:rsidR="00F81553" w:rsidRPr="00B126EB" w:rsidRDefault="008979B0" w:rsidP="00B2444A">
      <w:pPr>
        <w:rPr>
          <w:noProof/>
        </w:rPr>
      </w:pPr>
      <w:bookmarkStart w:id="42" w:name="_Hlk169094028"/>
      <w:bookmarkEnd w:id="40"/>
      <w:r w:rsidRPr="00B126EB">
        <w:rPr>
          <w:noProof/>
        </w:rPr>
        <w:t>O prémio de novas emissões</w:t>
      </w:r>
      <w:r w:rsidR="002835C6" w:rsidRPr="00B126EB">
        <w:rPr>
          <w:noProof/>
          <w:vertAlign w:val="superscript"/>
        </w:rPr>
        <w:footnoteReference w:id="11"/>
      </w:r>
      <w:r w:rsidRPr="00B126EB">
        <w:rPr>
          <w:noProof/>
        </w:rPr>
        <w:t xml:space="preserve"> </w:t>
      </w:r>
      <w:bookmarkStart w:id="43" w:name="_Hlk170294116"/>
      <w:bookmarkEnd w:id="42"/>
      <w:r w:rsidRPr="00B126EB">
        <w:rPr>
          <w:noProof/>
        </w:rPr>
        <w:t>exigido pelos investidores a título de concessão quando a UE emite obrigações por meio de consórcios de emissão situou-se, em média, em cerca de 2,1 pontos de base no segundo semestre de 2024. Embora esse valor tenha sido superior aos níveis registados no primeiro semestre de 2024 (quando o prémio de novas emissões era, em média, de cerca de 1,2 pontos de base), os níveis do S2 2024 mantiveram-se em linha com as concessões de outros emitentes em operações comparáveis (medidas por dimensão e prazo de vencimento), refletindo uma maior volatilidade no terceiro trimestre de 2024.</w:t>
      </w:r>
    </w:p>
    <w:bookmarkEnd w:id="43"/>
    <w:p w14:paraId="10C2D56C" w14:textId="5AC148BA" w:rsidR="00733125" w:rsidRPr="00B126EB" w:rsidRDefault="00733125" w:rsidP="00733125">
      <w:pPr>
        <w:rPr>
          <w:noProof/>
        </w:rPr>
      </w:pPr>
      <w:r w:rsidRPr="00B126EB">
        <w:rPr>
          <w:noProof/>
        </w:rPr>
        <w:t xml:space="preserve">Ao mesmo tempo, a liquidez do mercado secundário de obrigações da UE no S2 2024 registou um ligeiro aumento em relação ao S1 2024. As modalidades de cotação em vigor desde novembro de 2023 (segundo as quais os corretores principais da UE são incentivados a publicar preços fiáveis das obrigações da UE nas principais plataformas de negociação eletrónica de obrigações) continuaram a apoiar a liquidez das obrigações da UE. Desde a introdução destas modalidades de cotação, os volumes diários de negociação de obrigações da UE na principal plataforma eletrónica de negociação situaram-se, em média, muito acima de 800 milhões de EUR, com picos diários superiores a 2 mil milhões de EUR. </w:t>
      </w:r>
    </w:p>
    <w:p w14:paraId="1D8254DF" w14:textId="4411754C" w:rsidR="00733125" w:rsidRPr="00B126EB" w:rsidRDefault="00733125" w:rsidP="00733125">
      <w:pPr>
        <w:rPr>
          <w:noProof/>
          <w:highlight w:val="yellow"/>
        </w:rPr>
      </w:pPr>
      <w:r w:rsidRPr="00B126EB">
        <w:rPr>
          <w:noProof/>
        </w:rPr>
        <w:t>A Comissão também apoiou a liquidez da curva das obrigações da UE, utilizando as linhas existentes e criando novas linhas para satisfazer as necessidades do programa e a procura dos investidores. Em consequência, o montante médio pendente por obrigação da UE manteve-se em cerca de 14,8 mil milhões de EUR no final de 2024 face aos 13 mil milhões de EUR no final do S1 2024. Foram igualmente lançadas novas linhas a cinco e a sete anos no segundo semestre de 2024.</w:t>
      </w:r>
    </w:p>
    <w:p w14:paraId="7B52885D" w14:textId="77777777" w:rsidR="003E4BE8" w:rsidRPr="00B126EB" w:rsidRDefault="003E4BE8" w:rsidP="00CE068C">
      <w:pPr>
        <w:rPr>
          <w:noProof/>
        </w:rPr>
      </w:pPr>
    </w:p>
    <w:p w14:paraId="076BA1BE" w14:textId="77777777" w:rsidR="001077F9" w:rsidRPr="00B126EB" w:rsidRDefault="001077F9" w:rsidP="00CE068C">
      <w:pPr>
        <w:rPr>
          <w:noProof/>
        </w:rPr>
      </w:pPr>
    </w:p>
    <w:p w14:paraId="7E62E083" w14:textId="77777777" w:rsidR="001077F9" w:rsidRPr="00B126EB" w:rsidRDefault="001077F9" w:rsidP="00CE068C">
      <w:pPr>
        <w:rPr>
          <w:noProof/>
        </w:rPr>
      </w:pPr>
    </w:p>
    <w:p w14:paraId="03C83E44" w14:textId="1ACAB312" w:rsidR="009A0198" w:rsidRPr="00B126EB" w:rsidRDefault="00EF6F31" w:rsidP="009A0198">
      <w:pPr>
        <w:rPr>
          <w:b/>
          <w:bCs/>
          <w:noProof/>
          <w:color w:val="034EA2" w:themeColor="accent1"/>
        </w:rPr>
      </w:pPr>
      <w:bookmarkStart w:id="44" w:name="_Hlk187333874"/>
      <w:r w:rsidRPr="00B126EB">
        <w:rPr>
          <w:b/>
          <w:noProof/>
          <w:color w:val="034EA2" w:themeColor="accent1"/>
        </w:rPr>
        <w:t>Gráfico 4: Volume de negócios trimestral no mercado secundário de obrigações da UE e de obrigações de dívida pública europeias (% de volume pendente)</w:t>
      </w:r>
    </w:p>
    <w:p w14:paraId="2D2CAD4A" w14:textId="551C67E2" w:rsidR="00F02986" w:rsidRPr="00B126EB" w:rsidRDefault="00334E91" w:rsidP="009A0198">
      <w:pPr>
        <w:rPr>
          <w:b/>
          <w:bCs/>
          <w:noProof/>
          <w:color w:val="034EA2" w:themeColor="accent1"/>
        </w:rPr>
      </w:pPr>
      <w:r w:rsidRPr="00B126EB">
        <w:rPr>
          <w:noProof/>
          <w:lang w:val="en-GB" w:eastAsia="en-GB"/>
        </w:rPr>
        <w:drawing>
          <wp:inline distT="0" distB="0" distL="0" distR="0" wp14:anchorId="7B39A429" wp14:editId="5BA874AB">
            <wp:extent cx="5731510" cy="3388995"/>
            <wp:effectExtent l="0" t="0" r="0" b="0"/>
            <wp:docPr id="18994832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3388995"/>
                    </a:xfrm>
                    <a:prstGeom prst="rect">
                      <a:avLst/>
                    </a:prstGeom>
                    <a:noFill/>
                    <a:ln>
                      <a:noFill/>
                    </a:ln>
                  </pic:spPr>
                </pic:pic>
              </a:graphicData>
            </a:graphic>
          </wp:inline>
        </w:drawing>
      </w:r>
    </w:p>
    <w:bookmarkEnd w:id="44"/>
    <w:p w14:paraId="66E247E6" w14:textId="0F5B713D" w:rsidR="009A0198" w:rsidRPr="00B126EB" w:rsidRDefault="009A0198" w:rsidP="009A0198">
      <w:pPr>
        <w:contextualSpacing/>
        <w:rPr>
          <w:noProof/>
          <w:sz w:val="20"/>
          <w:szCs w:val="20"/>
        </w:rPr>
      </w:pPr>
      <w:r w:rsidRPr="00B126EB">
        <w:rPr>
          <w:i/>
          <w:noProof/>
          <w:sz w:val="20"/>
        </w:rPr>
        <w:t>Fonte:</w:t>
      </w:r>
      <w:r w:rsidRPr="00B126EB">
        <w:rPr>
          <w:noProof/>
          <w:sz w:val="20"/>
        </w:rPr>
        <w:t xml:space="preserve"> Comissão Europeia, com base nos dados do Subcomité dos Mercados da Dívida Soberana da UE (MEDS) do Comité Económico e Financeiro. </w:t>
      </w:r>
    </w:p>
    <w:p w14:paraId="3A754BF0" w14:textId="023C5879" w:rsidR="00B60214" w:rsidRPr="00B126EB" w:rsidRDefault="009A0198" w:rsidP="009A0198">
      <w:pPr>
        <w:contextualSpacing/>
        <w:rPr>
          <w:noProof/>
          <w:sz w:val="20"/>
          <w:szCs w:val="20"/>
        </w:rPr>
      </w:pPr>
      <w:r w:rsidRPr="00B126EB">
        <w:rPr>
          <w:noProof/>
          <w:sz w:val="20"/>
        </w:rPr>
        <w:t>Nota: neste contexto, o mercado de obrigações de dívida pública europeias engloba as obrigações soberanas da área do euro, o Fundo Europeu de Estabilidade Financeira e o Mecanismo Europeu de Estabilidade. Os dados relativos ao terceiro e quarto trimestres de 2024 ainda não estão disponíveis.</w:t>
      </w:r>
    </w:p>
    <w:p w14:paraId="74E89C11" w14:textId="77777777" w:rsidR="00B60214" w:rsidRPr="00B126EB" w:rsidRDefault="00B60214" w:rsidP="009A0198">
      <w:pPr>
        <w:contextualSpacing/>
        <w:rPr>
          <w:noProof/>
          <w:sz w:val="20"/>
          <w:szCs w:val="20"/>
        </w:rPr>
      </w:pPr>
    </w:p>
    <w:p w14:paraId="0260D5D1" w14:textId="1D8DEE60" w:rsidR="00E81087" w:rsidRPr="00B126EB" w:rsidRDefault="00DB3549" w:rsidP="00A87F59">
      <w:pPr>
        <w:pStyle w:val="Heading1"/>
        <w:rPr>
          <w:noProof/>
        </w:rPr>
      </w:pPr>
      <w:bookmarkStart w:id="45" w:name="_Toc193121322"/>
      <w:r w:rsidRPr="00B126EB">
        <w:rPr>
          <w:noProof/>
        </w:rPr>
        <w:t>Custo do financiamento e saldos de liquidez</w:t>
      </w:r>
      <w:bookmarkEnd w:id="45"/>
    </w:p>
    <w:p w14:paraId="6EB8EACA" w14:textId="2859BED3" w:rsidR="001D0900" w:rsidRPr="00B126EB" w:rsidRDefault="001D0900" w:rsidP="00A87F59">
      <w:pPr>
        <w:pStyle w:val="Heading2"/>
        <w:rPr>
          <w:noProof/>
        </w:rPr>
      </w:pPr>
      <w:bookmarkStart w:id="46" w:name="_Toc187701957"/>
      <w:bookmarkStart w:id="47" w:name="_Toc187702012"/>
      <w:bookmarkStart w:id="48" w:name="_Toc190904648"/>
      <w:bookmarkStart w:id="49" w:name="_Toc193121323"/>
      <w:r w:rsidRPr="00B126EB">
        <w:rPr>
          <w:noProof/>
        </w:rPr>
        <w:t>Custo do financiamento</w:t>
      </w:r>
      <w:bookmarkEnd w:id="46"/>
      <w:bookmarkEnd w:id="47"/>
      <w:bookmarkEnd w:id="48"/>
      <w:bookmarkEnd w:id="49"/>
    </w:p>
    <w:p w14:paraId="5D65988D" w14:textId="2BB43FAA" w:rsidR="00943313" w:rsidRPr="00B126EB" w:rsidRDefault="00943313" w:rsidP="00035235">
      <w:pPr>
        <w:rPr>
          <w:noProof/>
        </w:rPr>
      </w:pPr>
      <w:r w:rsidRPr="00B126EB">
        <w:rPr>
          <w:noProof/>
        </w:rPr>
        <w:t>A metodologia de repartição dos custos no âmbito da estratégia de financiamento diversificada permite à Comissão associar os custos de financiamento afetados aos beneficiários (o orçamento da UE ou os beneficiários de empréstimos) às condições obtidas no mercado quando os desembolsos foram financiados</w:t>
      </w:r>
      <w:r w:rsidR="009E499F" w:rsidRPr="00B126EB">
        <w:rPr>
          <w:noProof/>
          <w:vertAlign w:val="superscript"/>
        </w:rPr>
        <w:footnoteReference w:id="12"/>
      </w:r>
      <w:r w:rsidRPr="00B126EB">
        <w:rPr>
          <w:noProof/>
        </w:rPr>
        <w:t xml:space="preserve">. Além disso, a partir de 30 de setembro de 2024, esta metodologia permite que os custos de contração de empréstimos sejam afetados num base relacionada com o programa, o que reflete o aumento do número de programas de políticas financiados pela estratégia de financiamento diversificada no âmbito da abordagem de financiamento unificada.  </w:t>
      </w:r>
    </w:p>
    <w:p w14:paraId="101583C3" w14:textId="6AD2041A" w:rsidR="006E1A53" w:rsidRPr="00B126EB" w:rsidRDefault="000214CF" w:rsidP="000214CF">
      <w:pPr>
        <w:rPr>
          <w:noProof/>
        </w:rPr>
      </w:pPr>
      <w:r w:rsidRPr="00B126EB">
        <w:rPr>
          <w:noProof/>
        </w:rPr>
        <w:t xml:space="preserve">Em consonância com esta metodologia, o custo do financiamento dos pagamentos do NextGenerationEU na divisão temporal de julho a dezembro de 2024 («DT7» no quadro </w:t>
      </w:r>
      <w:r w:rsidRPr="00B126EB">
        <w:rPr>
          <w:i/>
          <w:iCs/>
          <w:noProof/>
        </w:rPr>
        <w:t>infra</w:t>
      </w:r>
      <w:r w:rsidRPr="00B126EB">
        <w:rPr>
          <w:noProof/>
        </w:rPr>
        <w:t>) é estimado em 2,97 %, em comparação com 3,19 % na divisão temporal de seis meses anterior. O custo do financiamento para desembolsos ao abrigo do Mecanismo para a Ucrânia e do programa de AMF a favor do Egito era de 2,68 % no final de dezembro de 2024. Os custos de financiamento mais baixos para estas políticas em comparação com o NextGenerationEU refletem o facto de poderem ser financiados através de obrigações com prazos médios de vencimento mais curtos do que os utilizados para financiar o NextGenerationEU, uma vez que o perfil de reembolso deste instrumento (e, por conseguinte, os prazos médios de vencimento) tem de respeitar o limite máximo temporário específico dos «recursos próprios».</w:t>
      </w:r>
    </w:p>
    <w:p w14:paraId="2A2B87A2" w14:textId="77777777" w:rsidR="0094369E" w:rsidRPr="00B126EB" w:rsidRDefault="0094369E" w:rsidP="007B6993">
      <w:pPr>
        <w:rPr>
          <w:noProof/>
        </w:rPr>
      </w:pPr>
    </w:p>
    <w:p w14:paraId="769BE625" w14:textId="4080E997" w:rsidR="00EF6F31" w:rsidRPr="00B126EB" w:rsidRDefault="00EF6F31" w:rsidP="007B6993">
      <w:pPr>
        <w:rPr>
          <w:b/>
          <w:bCs/>
          <w:noProof/>
          <w:color w:val="034EA2" w:themeColor="accent1"/>
        </w:rPr>
      </w:pPr>
      <w:r w:rsidRPr="00B126EB">
        <w:rPr>
          <w:b/>
          <w:noProof/>
          <w:color w:val="034EA2" w:themeColor="accent1"/>
        </w:rPr>
        <w:t>Gráfico 5: Custo do financiamento</w:t>
      </w:r>
    </w:p>
    <w:tbl>
      <w:tblPr>
        <w:tblStyle w:val="TableGrid"/>
        <w:tblW w:w="9242"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45"/>
        <w:gridCol w:w="1013"/>
        <w:gridCol w:w="1014"/>
        <w:gridCol w:w="1014"/>
        <w:gridCol w:w="1014"/>
        <w:gridCol w:w="1014"/>
        <w:gridCol w:w="1014"/>
        <w:gridCol w:w="1014"/>
      </w:tblGrid>
      <w:tr w:rsidR="0094369E" w:rsidRPr="00B126EB" w14:paraId="34967047" w14:textId="5B58EB9C" w:rsidTr="00515408">
        <w:trPr>
          <w:trHeight w:val="415"/>
        </w:trPr>
        <w:tc>
          <w:tcPr>
            <w:tcW w:w="2145" w:type="dxa"/>
            <w:vMerge w:val="restart"/>
            <w:shd w:val="clear" w:color="auto" w:fill="034EA2" w:themeFill="accent1"/>
            <w:vAlign w:val="center"/>
          </w:tcPr>
          <w:p w14:paraId="4EFAAE64" w14:textId="52D2C32D" w:rsidR="0094369E" w:rsidRPr="00B126EB" w:rsidRDefault="0094369E" w:rsidP="0094369E">
            <w:pPr>
              <w:jc w:val="center"/>
              <w:rPr>
                <w:b/>
                <w:bCs/>
                <w:noProof/>
                <w:color w:val="FFFFFF" w:themeColor="background1"/>
              </w:rPr>
            </w:pPr>
            <w:r w:rsidRPr="00B126EB">
              <w:rPr>
                <w:b/>
                <w:noProof/>
                <w:color w:val="FFFFFF" w:themeColor="background1"/>
              </w:rPr>
              <w:t>NextGenerationEU</w:t>
            </w:r>
          </w:p>
        </w:tc>
        <w:tc>
          <w:tcPr>
            <w:tcW w:w="1013" w:type="dxa"/>
            <w:shd w:val="clear" w:color="auto" w:fill="034EA2" w:themeFill="accent1"/>
            <w:vAlign w:val="center"/>
            <w:hideMark/>
          </w:tcPr>
          <w:p w14:paraId="5C0F100C" w14:textId="219E3F9A" w:rsidR="0094369E" w:rsidRPr="00B126EB" w:rsidRDefault="0094369E">
            <w:pPr>
              <w:jc w:val="center"/>
              <w:rPr>
                <w:b/>
                <w:bCs/>
                <w:noProof/>
                <w:color w:val="FFFFFF" w:themeColor="background1"/>
              </w:rPr>
            </w:pPr>
            <w:r w:rsidRPr="00B126EB">
              <w:rPr>
                <w:b/>
                <w:noProof/>
                <w:color w:val="FFFFFF" w:themeColor="background1"/>
              </w:rPr>
              <w:t>DT1</w:t>
            </w:r>
          </w:p>
        </w:tc>
        <w:tc>
          <w:tcPr>
            <w:tcW w:w="1014" w:type="dxa"/>
            <w:shd w:val="clear" w:color="auto" w:fill="034EA2" w:themeFill="accent1"/>
            <w:vAlign w:val="center"/>
            <w:hideMark/>
          </w:tcPr>
          <w:p w14:paraId="48E77872" w14:textId="271C6655" w:rsidR="0094369E" w:rsidRPr="00B126EB" w:rsidRDefault="0094369E">
            <w:pPr>
              <w:jc w:val="center"/>
              <w:rPr>
                <w:b/>
                <w:bCs/>
                <w:noProof/>
                <w:color w:val="FFFFFF" w:themeColor="background1"/>
              </w:rPr>
            </w:pPr>
            <w:r w:rsidRPr="00B126EB">
              <w:rPr>
                <w:b/>
                <w:noProof/>
                <w:color w:val="FFFFFF" w:themeColor="background1"/>
              </w:rPr>
              <w:t>DT2</w:t>
            </w:r>
          </w:p>
        </w:tc>
        <w:tc>
          <w:tcPr>
            <w:tcW w:w="1014" w:type="dxa"/>
            <w:shd w:val="clear" w:color="auto" w:fill="034EA2" w:themeFill="accent1"/>
            <w:vAlign w:val="center"/>
            <w:hideMark/>
          </w:tcPr>
          <w:p w14:paraId="73049051" w14:textId="34F47E55" w:rsidR="0094369E" w:rsidRPr="00B126EB" w:rsidRDefault="0094369E">
            <w:pPr>
              <w:jc w:val="center"/>
              <w:rPr>
                <w:b/>
                <w:bCs/>
                <w:noProof/>
                <w:color w:val="FFFFFF" w:themeColor="background1"/>
              </w:rPr>
            </w:pPr>
            <w:r w:rsidRPr="00B126EB">
              <w:rPr>
                <w:b/>
                <w:noProof/>
                <w:color w:val="FFFFFF" w:themeColor="background1"/>
              </w:rPr>
              <w:t>DT3</w:t>
            </w:r>
          </w:p>
        </w:tc>
        <w:tc>
          <w:tcPr>
            <w:tcW w:w="1014" w:type="dxa"/>
            <w:shd w:val="clear" w:color="auto" w:fill="034EA2" w:themeFill="accent1"/>
            <w:vAlign w:val="center"/>
            <w:hideMark/>
          </w:tcPr>
          <w:p w14:paraId="11216AA4" w14:textId="64D1D479" w:rsidR="0094369E" w:rsidRPr="00B126EB" w:rsidRDefault="0094369E">
            <w:pPr>
              <w:jc w:val="center"/>
              <w:rPr>
                <w:b/>
                <w:bCs/>
                <w:noProof/>
                <w:color w:val="FFFFFF" w:themeColor="background1"/>
              </w:rPr>
            </w:pPr>
            <w:r w:rsidRPr="00B126EB">
              <w:rPr>
                <w:b/>
                <w:noProof/>
                <w:color w:val="FFFFFF" w:themeColor="background1"/>
              </w:rPr>
              <w:t>DT4</w:t>
            </w:r>
          </w:p>
        </w:tc>
        <w:tc>
          <w:tcPr>
            <w:tcW w:w="1014" w:type="dxa"/>
            <w:shd w:val="clear" w:color="auto" w:fill="034EA2" w:themeFill="accent1"/>
            <w:vAlign w:val="center"/>
            <w:hideMark/>
          </w:tcPr>
          <w:p w14:paraId="4A04C8C1" w14:textId="573508D0" w:rsidR="0094369E" w:rsidRPr="00B126EB" w:rsidRDefault="0094369E">
            <w:pPr>
              <w:jc w:val="center"/>
              <w:rPr>
                <w:b/>
                <w:bCs/>
                <w:noProof/>
                <w:color w:val="FFFFFF" w:themeColor="background1"/>
              </w:rPr>
            </w:pPr>
            <w:r w:rsidRPr="00B126EB">
              <w:rPr>
                <w:b/>
                <w:noProof/>
                <w:color w:val="FFFFFF" w:themeColor="background1"/>
              </w:rPr>
              <w:t>DT5</w:t>
            </w:r>
          </w:p>
        </w:tc>
        <w:tc>
          <w:tcPr>
            <w:tcW w:w="1014" w:type="dxa"/>
            <w:shd w:val="clear" w:color="auto" w:fill="034EA2" w:themeFill="accent1"/>
            <w:vAlign w:val="center"/>
          </w:tcPr>
          <w:p w14:paraId="1B6452C8" w14:textId="35FB1F9C" w:rsidR="0094369E" w:rsidRPr="00B126EB" w:rsidRDefault="0094369E" w:rsidP="00071659">
            <w:pPr>
              <w:jc w:val="center"/>
              <w:rPr>
                <w:b/>
                <w:bCs/>
                <w:noProof/>
                <w:color w:val="FFFFFF" w:themeColor="background1"/>
              </w:rPr>
            </w:pPr>
            <w:r w:rsidRPr="00B126EB">
              <w:rPr>
                <w:b/>
                <w:noProof/>
                <w:color w:val="FFFFFF" w:themeColor="background1"/>
              </w:rPr>
              <w:t>DT6</w:t>
            </w:r>
          </w:p>
        </w:tc>
        <w:tc>
          <w:tcPr>
            <w:tcW w:w="1014" w:type="dxa"/>
            <w:shd w:val="clear" w:color="auto" w:fill="034EA2" w:themeFill="accent1"/>
            <w:vAlign w:val="center"/>
          </w:tcPr>
          <w:p w14:paraId="7D53A173" w14:textId="5CDEFB5D" w:rsidR="0094369E" w:rsidRPr="00B126EB" w:rsidRDefault="0094369E" w:rsidP="008229A6">
            <w:pPr>
              <w:jc w:val="center"/>
              <w:rPr>
                <w:b/>
                <w:bCs/>
                <w:noProof/>
                <w:color w:val="FFFFFF" w:themeColor="background1"/>
              </w:rPr>
            </w:pPr>
            <w:r w:rsidRPr="00B126EB">
              <w:rPr>
                <w:b/>
                <w:noProof/>
                <w:color w:val="FFFFFF" w:themeColor="background1"/>
              </w:rPr>
              <w:t>DT7</w:t>
            </w:r>
          </w:p>
        </w:tc>
      </w:tr>
      <w:tr w:rsidR="0094369E" w:rsidRPr="00B126EB" w14:paraId="7F2149EF" w14:textId="0C65BA8E" w:rsidTr="00515408">
        <w:trPr>
          <w:trHeight w:val="415"/>
        </w:trPr>
        <w:tc>
          <w:tcPr>
            <w:tcW w:w="2145" w:type="dxa"/>
            <w:vMerge/>
          </w:tcPr>
          <w:p w14:paraId="7F9E03DF" w14:textId="77777777" w:rsidR="0094369E" w:rsidRPr="00B126EB" w:rsidRDefault="0094369E">
            <w:pPr>
              <w:jc w:val="center"/>
              <w:rPr>
                <w:noProof/>
                <w:color w:val="3B3838" w:themeColor="background2" w:themeShade="40"/>
              </w:rPr>
            </w:pPr>
          </w:p>
        </w:tc>
        <w:tc>
          <w:tcPr>
            <w:tcW w:w="1013" w:type="dxa"/>
            <w:vAlign w:val="center"/>
            <w:hideMark/>
          </w:tcPr>
          <w:p w14:paraId="0A5E174F" w14:textId="02011C0E" w:rsidR="0094369E" w:rsidRPr="00B126EB" w:rsidRDefault="0094369E">
            <w:pPr>
              <w:jc w:val="center"/>
              <w:rPr>
                <w:noProof/>
                <w:color w:val="3B3838" w:themeColor="background2" w:themeShade="40"/>
              </w:rPr>
            </w:pPr>
            <w:r w:rsidRPr="00B126EB">
              <w:rPr>
                <w:noProof/>
                <w:color w:val="3B3838" w:themeColor="background2" w:themeShade="40"/>
              </w:rPr>
              <w:t>0,15 %</w:t>
            </w:r>
          </w:p>
        </w:tc>
        <w:tc>
          <w:tcPr>
            <w:tcW w:w="1014" w:type="dxa"/>
            <w:vAlign w:val="center"/>
            <w:hideMark/>
          </w:tcPr>
          <w:p w14:paraId="56B0D810" w14:textId="2215903E" w:rsidR="0094369E" w:rsidRPr="00B126EB" w:rsidRDefault="0094369E">
            <w:pPr>
              <w:jc w:val="center"/>
              <w:rPr>
                <w:noProof/>
                <w:color w:val="3B3838" w:themeColor="background2" w:themeShade="40"/>
              </w:rPr>
            </w:pPr>
            <w:r w:rsidRPr="00B126EB">
              <w:rPr>
                <w:noProof/>
                <w:color w:val="3B3838" w:themeColor="background2" w:themeShade="40"/>
              </w:rPr>
              <w:t>1,38 %</w:t>
            </w:r>
          </w:p>
        </w:tc>
        <w:tc>
          <w:tcPr>
            <w:tcW w:w="1014" w:type="dxa"/>
            <w:vAlign w:val="center"/>
            <w:hideMark/>
          </w:tcPr>
          <w:p w14:paraId="595DB7A6" w14:textId="56F8C545" w:rsidR="0094369E" w:rsidRPr="00B126EB" w:rsidRDefault="0094369E">
            <w:pPr>
              <w:jc w:val="center"/>
              <w:rPr>
                <w:noProof/>
                <w:color w:val="3B3838" w:themeColor="background2" w:themeShade="40"/>
              </w:rPr>
            </w:pPr>
            <w:r w:rsidRPr="00B126EB">
              <w:rPr>
                <w:noProof/>
                <w:color w:val="3B3838" w:themeColor="background2" w:themeShade="40"/>
              </w:rPr>
              <w:t>2,61 %</w:t>
            </w:r>
          </w:p>
        </w:tc>
        <w:tc>
          <w:tcPr>
            <w:tcW w:w="1014" w:type="dxa"/>
            <w:vAlign w:val="center"/>
            <w:hideMark/>
          </w:tcPr>
          <w:p w14:paraId="7B5B5356" w14:textId="53E11789" w:rsidR="0094369E" w:rsidRPr="00B126EB" w:rsidRDefault="0094369E">
            <w:pPr>
              <w:jc w:val="center"/>
              <w:rPr>
                <w:noProof/>
                <w:color w:val="3B3838" w:themeColor="background2" w:themeShade="40"/>
              </w:rPr>
            </w:pPr>
            <w:r w:rsidRPr="00B126EB">
              <w:rPr>
                <w:noProof/>
                <w:color w:val="3B3838" w:themeColor="background2" w:themeShade="40"/>
              </w:rPr>
              <w:t>3,27 %</w:t>
            </w:r>
          </w:p>
        </w:tc>
        <w:tc>
          <w:tcPr>
            <w:tcW w:w="1014" w:type="dxa"/>
            <w:vAlign w:val="center"/>
            <w:hideMark/>
          </w:tcPr>
          <w:p w14:paraId="799909FE" w14:textId="0B7940F4" w:rsidR="0094369E" w:rsidRPr="00B126EB" w:rsidRDefault="0094369E">
            <w:pPr>
              <w:jc w:val="center"/>
              <w:rPr>
                <w:noProof/>
                <w:color w:val="3B3838" w:themeColor="background2" w:themeShade="40"/>
              </w:rPr>
            </w:pPr>
            <w:r w:rsidRPr="00B126EB">
              <w:rPr>
                <w:noProof/>
                <w:color w:val="3B3838" w:themeColor="background2" w:themeShade="40"/>
              </w:rPr>
              <w:t>3,63 %</w:t>
            </w:r>
          </w:p>
        </w:tc>
        <w:tc>
          <w:tcPr>
            <w:tcW w:w="1014" w:type="dxa"/>
            <w:vAlign w:val="center"/>
          </w:tcPr>
          <w:p w14:paraId="0F492973" w14:textId="2405E175" w:rsidR="0094369E" w:rsidRPr="00B126EB" w:rsidRDefault="0094369E" w:rsidP="00071659">
            <w:pPr>
              <w:jc w:val="center"/>
              <w:rPr>
                <w:noProof/>
                <w:color w:val="3B3838" w:themeColor="background2" w:themeShade="40"/>
              </w:rPr>
            </w:pPr>
            <w:r w:rsidRPr="00B126EB">
              <w:rPr>
                <w:noProof/>
                <w:color w:val="3B3838" w:themeColor="background2" w:themeShade="40"/>
              </w:rPr>
              <w:t>3,19 %</w:t>
            </w:r>
          </w:p>
        </w:tc>
        <w:tc>
          <w:tcPr>
            <w:tcW w:w="1014" w:type="dxa"/>
            <w:vAlign w:val="center"/>
          </w:tcPr>
          <w:p w14:paraId="35B2A424" w14:textId="40AC4AD0" w:rsidR="0094369E" w:rsidRPr="00B126EB" w:rsidRDefault="0004632F" w:rsidP="008229A6">
            <w:pPr>
              <w:jc w:val="center"/>
              <w:rPr>
                <w:noProof/>
                <w:color w:val="3B3838" w:themeColor="background2" w:themeShade="40"/>
              </w:rPr>
            </w:pPr>
            <w:r w:rsidRPr="00B126EB">
              <w:rPr>
                <w:noProof/>
                <w:color w:val="3B3838" w:themeColor="background2" w:themeShade="40"/>
              </w:rPr>
              <w:t>2,97 %</w:t>
            </w:r>
          </w:p>
        </w:tc>
      </w:tr>
    </w:tbl>
    <w:p w14:paraId="7FF44516" w14:textId="77777777" w:rsidR="00D62573" w:rsidRPr="00B126EB" w:rsidRDefault="00D62573" w:rsidP="007B6993">
      <w:pPr>
        <w:rPr>
          <w:b/>
          <w:bCs/>
          <w:noProof/>
          <w:color w:val="034EA2" w:themeColor="accent1"/>
        </w:rPr>
      </w:pPr>
    </w:p>
    <w:tbl>
      <w:tblPr>
        <w:tblStyle w:val="TableGrid"/>
        <w:tblW w:w="2093"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93"/>
      </w:tblGrid>
      <w:tr w:rsidR="00901B92" w:rsidRPr="00B126EB" w14:paraId="2BCF427E" w14:textId="77777777" w:rsidTr="00901B92">
        <w:trPr>
          <w:trHeight w:val="415"/>
        </w:trPr>
        <w:tc>
          <w:tcPr>
            <w:tcW w:w="2093" w:type="dxa"/>
            <w:shd w:val="clear" w:color="auto" w:fill="034EA2" w:themeFill="accent1"/>
            <w:vAlign w:val="center"/>
          </w:tcPr>
          <w:p w14:paraId="6BBC2473" w14:textId="3994960E" w:rsidR="00901B92" w:rsidRPr="00B126EB" w:rsidRDefault="00901B92" w:rsidP="001E1429">
            <w:pPr>
              <w:jc w:val="center"/>
              <w:rPr>
                <w:b/>
                <w:bCs/>
                <w:noProof/>
                <w:color w:val="FFFFFF" w:themeColor="background1"/>
              </w:rPr>
            </w:pPr>
            <w:r w:rsidRPr="00B126EB">
              <w:rPr>
                <w:b/>
                <w:noProof/>
                <w:color w:val="FFFFFF" w:themeColor="background1"/>
              </w:rPr>
              <w:t>Mecanismo para a Ucrânia</w:t>
            </w:r>
          </w:p>
        </w:tc>
      </w:tr>
      <w:tr w:rsidR="00901B92" w:rsidRPr="00B126EB" w14:paraId="5AAF8A75" w14:textId="77777777" w:rsidTr="00901B92">
        <w:trPr>
          <w:trHeight w:val="415"/>
        </w:trPr>
        <w:tc>
          <w:tcPr>
            <w:tcW w:w="2093" w:type="dxa"/>
            <w:vAlign w:val="center"/>
          </w:tcPr>
          <w:p w14:paraId="43E8F298" w14:textId="5148135F" w:rsidR="00901B92" w:rsidRPr="00B126EB" w:rsidRDefault="00016108" w:rsidP="001E1429">
            <w:pPr>
              <w:jc w:val="center"/>
              <w:rPr>
                <w:noProof/>
                <w:color w:val="3B3838" w:themeColor="background2" w:themeShade="40"/>
              </w:rPr>
            </w:pPr>
            <w:r w:rsidRPr="00B126EB">
              <w:rPr>
                <w:noProof/>
                <w:color w:val="3B3838" w:themeColor="background2" w:themeShade="40"/>
              </w:rPr>
              <w:t>2,68 %</w:t>
            </w:r>
          </w:p>
        </w:tc>
      </w:tr>
    </w:tbl>
    <w:p w14:paraId="353FF887" w14:textId="77777777" w:rsidR="00901B92" w:rsidRPr="00B126EB" w:rsidRDefault="00901B92" w:rsidP="007B6993">
      <w:pPr>
        <w:rPr>
          <w:b/>
          <w:bCs/>
          <w:noProof/>
          <w:color w:val="034EA2" w:themeColor="accent1"/>
        </w:rPr>
      </w:pPr>
    </w:p>
    <w:tbl>
      <w:tblPr>
        <w:tblStyle w:val="TableGrid"/>
        <w:tblW w:w="2093"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93"/>
      </w:tblGrid>
      <w:tr w:rsidR="00901B92" w:rsidRPr="00B126EB" w14:paraId="162C3904" w14:textId="77777777" w:rsidTr="00901B92">
        <w:trPr>
          <w:trHeight w:val="415"/>
        </w:trPr>
        <w:tc>
          <w:tcPr>
            <w:tcW w:w="2093" w:type="dxa"/>
            <w:shd w:val="clear" w:color="auto" w:fill="034EA2" w:themeFill="accent1"/>
            <w:vAlign w:val="center"/>
          </w:tcPr>
          <w:p w14:paraId="564AFF2D" w14:textId="67F6DA39" w:rsidR="00901B92" w:rsidRPr="00B126EB" w:rsidRDefault="00901B92" w:rsidP="001E1429">
            <w:pPr>
              <w:jc w:val="center"/>
              <w:rPr>
                <w:b/>
                <w:bCs/>
                <w:noProof/>
                <w:color w:val="FFFFFF" w:themeColor="background1"/>
              </w:rPr>
            </w:pPr>
            <w:r w:rsidRPr="00B126EB">
              <w:rPr>
                <w:b/>
                <w:noProof/>
                <w:color w:val="FFFFFF" w:themeColor="background1"/>
              </w:rPr>
              <w:t>AMF a favor do Egito</w:t>
            </w:r>
          </w:p>
        </w:tc>
      </w:tr>
      <w:tr w:rsidR="00901B92" w:rsidRPr="00B126EB" w14:paraId="50C72027" w14:textId="77777777" w:rsidTr="00901B92">
        <w:trPr>
          <w:trHeight w:val="415"/>
        </w:trPr>
        <w:tc>
          <w:tcPr>
            <w:tcW w:w="2093" w:type="dxa"/>
            <w:vAlign w:val="center"/>
          </w:tcPr>
          <w:p w14:paraId="4EDEB4B3" w14:textId="30121D81" w:rsidR="00901B92" w:rsidRPr="00B126EB" w:rsidRDefault="00016108" w:rsidP="001E1429">
            <w:pPr>
              <w:jc w:val="center"/>
              <w:rPr>
                <w:noProof/>
                <w:color w:val="3B3838" w:themeColor="background2" w:themeShade="40"/>
              </w:rPr>
            </w:pPr>
            <w:r w:rsidRPr="00B126EB">
              <w:rPr>
                <w:noProof/>
                <w:color w:val="3B3838" w:themeColor="background2" w:themeShade="40"/>
              </w:rPr>
              <w:t>2,68 %</w:t>
            </w:r>
          </w:p>
        </w:tc>
      </w:tr>
    </w:tbl>
    <w:p w14:paraId="506374B3" w14:textId="77777777" w:rsidR="00266B45" w:rsidRPr="00B126EB" w:rsidRDefault="00266B45" w:rsidP="00266B45">
      <w:pPr>
        <w:rPr>
          <w:noProof/>
        </w:rPr>
      </w:pPr>
    </w:p>
    <w:p w14:paraId="14B36A49" w14:textId="3D46E4DD" w:rsidR="00882B2E" w:rsidRPr="00B126EB" w:rsidRDefault="00266B45" w:rsidP="00882B2E">
      <w:pPr>
        <w:rPr>
          <w:noProof/>
        </w:rPr>
      </w:pPr>
      <w:r w:rsidRPr="00B126EB">
        <w:rPr>
          <w:noProof/>
        </w:rPr>
        <w:t>A nova redução dos custos de financiamento durante o segundo semestre de 2024 refletiu condições de mercado mais amplas e uma redução das taxas de rentabilidade das obrigações da UE face às taxas de rentabilidade das obrigações de dívida pública europeias durante o período de seis meses. As taxas de juro das obrigações da UE diminuíram cerca de 33 pontos de base no segundo semestre de 2024, passando de 3,23 % em 1 de julho de 2024 para 2,90 % em 31 de dezembro de 2024 para uma obrigação a 10 anos. Esta evolução foi apoiada pelas três reduções das taxas de juro de 25 pontos de base do Banco Central Europeu ao longo do segundo semestre de 2024. Os diferenciais das taxas de rentabilidade entre a UE e a maioria dos emitentes de obrigações de dívida pública europeias diminuíram durante o segundo semestre de 2024. Por exemplo, o diferencial da taxa de juros a 10 anos entre as obrigações da UE e um cabaz com 50/50 de obrigações soberanas alemãs e francesas caiu de cerca de 25 pontos de base no início do semestre para 12 pontos de base no final do semestre</w:t>
      </w:r>
      <w:bookmarkStart w:id="50" w:name="_Hlk169710857"/>
      <w:r w:rsidRPr="00B126EB">
        <w:rPr>
          <w:noProof/>
        </w:rPr>
        <w:t xml:space="preserve">. </w:t>
      </w:r>
    </w:p>
    <w:p w14:paraId="004D47C4" w14:textId="77777777" w:rsidR="008229A6" w:rsidRPr="00B126EB" w:rsidRDefault="008229A6" w:rsidP="00D42605">
      <w:pPr>
        <w:rPr>
          <w:noProof/>
        </w:rPr>
      </w:pPr>
    </w:p>
    <w:p w14:paraId="4FDD3DC4" w14:textId="77777777" w:rsidR="00387E02" w:rsidRPr="00B126EB" w:rsidRDefault="00387E02">
      <w:pPr>
        <w:spacing w:line="259" w:lineRule="auto"/>
        <w:jc w:val="left"/>
        <w:rPr>
          <w:b/>
          <w:bCs/>
          <w:noProof/>
          <w:color w:val="034EA2" w:themeColor="accent1"/>
        </w:rPr>
      </w:pPr>
      <w:r w:rsidRPr="00B126EB">
        <w:rPr>
          <w:noProof/>
        </w:rPr>
        <w:br w:type="page"/>
      </w:r>
    </w:p>
    <w:p w14:paraId="15E82C08" w14:textId="2B7558D2" w:rsidR="008229A6" w:rsidRPr="00B126EB" w:rsidRDefault="008229A6" w:rsidP="008229A6">
      <w:pPr>
        <w:rPr>
          <w:b/>
          <w:bCs/>
          <w:noProof/>
          <w:color w:val="034EA2" w:themeColor="accent1"/>
        </w:rPr>
      </w:pPr>
      <w:r w:rsidRPr="00B126EB">
        <w:rPr>
          <w:b/>
          <w:noProof/>
          <w:color w:val="034EA2" w:themeColor="accent1"/>
        </w:rPr>
        <w:t>Gráfico 6: Taxas de rentabilidade das obrigações da UE a 10 anos</w:t>
      </w:r>
    </w:p>
    <w:p w14:paraId="5CA94D4A" w14:textId="6BD53E57" w:rsidR="008229A6" w:rsidRPr="00B126EB" w:rsidRDefault="005B1BB2" w:rsidP="00D42605">
      <w:pPr>
        <w:rPr>
          <w:noProof/>
        </w:rPr>
      </w:pPr>
      <w:r w:rsidRPr="00B126EB">
        <w:rPr>
          <w:noProof/>
          <w:lang w:val="en-GB" w:eastAsia="en-GB"/>
        </w:rPr>
        <w:drawing>
          <wp:inline distT="0" distB="0" distL="0" distR="0" wp14:anchorId="6EC57DD3" wp14:editId="16146B06">
            <wp:extent cx="5731510" cy="3078480"/>
            <wp:effectExtent l="0" t="0" r="0" b="0"/>
            <wp:docPr id="96984286" name="Chart 1">
              <a:extLst xmlns:a="http://schemas.openxmlformats.org/drawingml/2006/main">
                <a:ext uri="{FF2B5EF4-FFF2-40B4-BE49-F238E27FC236}">
                  <a16:creationId xmlns:a16="http://schemas.microsoft.com/office/drawing/2014/main" id="{A959B213-9179-499A-9000-EC1899CB57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0178AF5" w14:textId="77777777" w:rsidR="008229A6" w:rsidRPr="00B126EB" w:rsidRDefault="008229A6" w:rsidP="00D42605">
      <w:pPr>
        <w:rPr>
          <w:strike/>
          <w:noProof/>
        </w:rPr>
      </w:pPr>
    </w:p>
    <w:p w14:paraId="578660E7" w14:textId="24AC3BA7" w:rsidR="00D73D12" w:rsidRPr="00B126EB" w:rsidRDefault="001D0900" w:rsidP="00A87F59">
      <w:pPr>
        <w:pStyle w:val="Heading2"/>
        <w:rPr>
          <w:noProof/>
        </w:rPr>
      </w:pPr>
      <w:bookmarkStart w:id="51" w:name="_Toc169303171"/>
      <w:bookmarkStart w:id="52" w:name="_Toc170294787"/>
      <w:bookmarkStart w:id="53" w:name="_Toc187347929"/>
      <w:bookmarkStart w:id="54" w:name="_Toc187701958"/>
      <w:bookmarkStart w:id="55" w:name="_Toc187702013"/>
      <w:bookmarkStart w:id="56" w:name="_Toc190904649"/>
      <w:bookmarkStart w:id="57" w:name="_Toc193121324"/>
      <w:bookmarkStart w:id="58" w:name="_Hlk187336294"/>
      <w:bookmarkEnd w:id="50"/>
      <w:r w:rsidRPr="00B126EB">
        <w:rPr>
          <w:noProof/>
        </w:rPr>
        <w:t>Gestão da liquidez</w:t>
      </w:r>
      <w:bookmarkEnd w:id="51"/>
      <w:bookmarkEnd w:id="52"/>
      <w:bookmarkEnd w:id="53"/>
      <w:bookmarkEnd w:id="54"/>
      <w:bookmarkEnd w:id="55"/>
      <w:bookmarkEnd w:id="56"/>
      <w:bookmarkEnd w:id="57"/>
    </w:p>
    <w:p w14:paraId="19DD8801" w14:textId="3E2640F6" w:rsidR="00046F24" w:rsidRPr="00B126EB" w:rsidRDefault="00046F24" w:rsidP="00046F24">
      <w:pPr>
        <w:rPr>
          <w:noProof/>
        </w:rPr>
      </w:pPr>
      <w:bookmarkStart w:id="59" w:name="_Ref155257759"/>
      <w:r w:rsidRPr="00B126EB">
        <w:rPr>
          <w:noProof/>
        </w:rPr>
        <w:t>A Comissão manteve uma presença regular e previsível nos mercados financeiros, em conformidade com o plano de financiamento anunciado em junho de 2024. Durante o segundo semestre desse ano, as reservas médias de liquidez aumentaram em comparação com o primeiro semestre, principalmente devido aos desembolsos concentrados no final de 2024 e no início de 2025. Consequentemente, as reservas médias de liquidez situaram-se em 50,7 mil milhões de EUR no segundo semestre do ano, face a 28,2 mil milhões de EUR no primeiro semestre de 2024. As reservas de tesouraria desceram para 33,8 mil milhões de EUR no início de 2025, após terem atingido um pico de 76,9 mil milhões de EUR no início de dezembro de 2024 (antes de desembolsos de quase 43 mil milhões de EUR nas três semanas seguintes). Os saldos de tesouraria remanescentes no final do ano serão utilizados no início de 2025 para satisfazer as necessidades de desembolso previstas.</w:t>
      </w:r>
    </w:p>
    <w:p w14:paraId="661F336D" w14:textId="58005575" w:rsidR="00996115" w:rsidRPr="00B126EB" w:rsidRDefault="00475680" w:rsidP="00440BC5">
      <w:pPr>
        <w:rPr>
          <w:noProof/>
        </w:rPr>
      </w:pPr>
      <w:r w:rsidRPr="00B126EB">
        <w:rPr>
          <w:noProof/>
        </w:rPr>
        <w:t xml:space="preserve">Estas reservas de liquidez não se traduziram em custos para os programas apoiados. Pelo contrário, as reservas de tesouraria excedentárias foram sujeitas a uma gestão ativa da liquidez ao longo do S2 2024, a fim de otimizar a rentabilidade das reservas de tesouraria sem incorrer em qualquer risco de contraparte. Sustentadas nesta gestão ativa da liquidez, as reservas de tesouraria geraram um rendimento líquido de 58,1 mil milhões de EUR entre julho e dezembro de 2024. Acumulados com os rendimentos gerados no primeiro semestre de 2024, os rendimentos anuais das reservas de liquidez situaram-se em 139,9 milhões de EUR no final do ano. Este rendimento será repartido proporcionalmente entre o orçamento da UE e os beneficiários dos empréstimos, nomeadamente os Estados-Membros, ao abrigo do programa de empréstimos do MRR. </w:t>
      </w:r>
    </w:p>
    <w:p w14:paraId="795EF447" w14:textId="341E071D" w:rsidR="00DF5658" w:rsidRPr="00B126EB" w:rsidRDefault="001401DA" w:rsidP="00DF5658">
      <w:pPr>
        <w:pStyle w:val="Heading1"/>
        <w:rPr>
          <w:noProof/>
        </w:rPr>
      </w:pPr>
      <w:bookmarkStart w:id="60" w:name="_Toc193121325"/>
      <w:bookmarkStart w:id="61" w:name="_Hlk187423718"/>
      <w:bookmarkEnd w:id="58"/>
      <w:r w:rsidRPr="00B126EB">
        <w:rPr>
          <w:noProof/>
        </w:rPr>
        <w:t>Medidas para continuar a desenvolver o ecossistema das obrigações da UE</w:t>
      </w:r>
      <w:bookmarkEnd w:id="59"/>
      <w:bookmarkEnd w:id="60"/>
    </w:p>
    <w:p w14:paraId="1AEA051A" w14:textId="2AE87235" w:rsidR="00847A54" w:rsidRPr="00B126EB" w:rsidRDefault="00847A54" w:rsidP="00847A54">
      <w:pPr>
        <w:rPr>
          <w:noProof/>
        </w:rPr>
      </w:pPr>
      <w:r w:rsidRPr="00B126EB">
        <w:rPr>
          <w:noProof/>
        </w:rPr>
        <w:t>Em outubro de 2024, a Comissão lançou um mecanismo de acordos de recompra de obrigações da UE, que lhe permite oferecer aos seus corretores principais a possibilidade de adquirirem temporariamente obrigações específicas da UE. O mecanismo visa ajudar os corretores principais da UE a publicarem ofertas de preços firmes e públicas das obrigações da UE, de modo a criar confiança dos investidores nas condições em que podem negociar obrigações da UE no mercado secundário, o que melhorará a eficiência e a liquidez do mercado de obrigações da UE.</w:t>
      </w:r>
    </w:p>
    <w:p w14:paraId="1ED269A0" w14:textId="640A7C41" w:rsidR="00847A54" w:rsidRPr="00B126EB" w:rsidRDefault="00847A54" w:rsidP="00847A54">
      <w:pPr>
        <w:rPr>
          <w:noProof/>
        </w:rPr>
      </w:pPr>
      <w:r w:rsidRPr="00B126EB">
        <w:rPr>
          <w:noProof/>
        </w:rPr>
        <w:t>A criação do mecanismo de recompra segue os passos de muitos grandes emitentes que oferecem este serviço aos seus corretores principais e constitui um próximo passo natural no aprofundamento do ecossistema de mercado das obrigações da UE. Com o lançamento deste regime, a UE cumpriu o último dos compromissos assumidos em dezembro de 2022 sobre as medidas destinadas a reforçar as capacidades de apoio ao mercado de obrigações da UE.</w:t>
      </w:r>
    </w:p>
    <w:p w14:paraId="092AD4ED" w14:textId="61FC9A52" w:rsidR="00847A54" w:rsidRPr="00B126EB" w:rsidRDefault="00847A54" w:rsidP="00847A54">
      <w:pPr>
        <w:rPr>
          <w:noProof/>
        </w:rPr>
      </w:pPr>
      <w:r w:rsidRPr="00B126EB">
        <w:rPr>
          <w:noProof/>
        </w:rPr>
        <w:t xml:space="preserve">O desenvolvimento em curso do ecossistema das obrigações da UE, juntamente com a consolidação dos volumes de financiamento ao abrigo da abordagem de financiamento unificada (em vigor desde janeiro de 2023), permitiu igualmente que os participantes no mercado tomassem iniciativas independentes, suscetíveis de continuar a apoiar o funcionamento do mercado de obrigações da UE. </w:t>
      </w:r>
    </w:p>
    <w:p w14:paraId="0C481F75" w14:textId="5AFC0C1F" w:rsidR="00DF5658" w:rsidRPr="00B126EB" w:rsidRDefault="004C7FC5" w:rsidP="001B0E99">
      <w:pPr>
        <w:rPr>
          <w:noProof/>
        </w:rPr>
      </w:pPr>
      <w:r w:rsidRPr="00B126EB">
        <w:rPr>
          <w:noProof/>
        </w:rPr>
        <w:t xml:space="preserve">Estas iniciativas independentes incluíram o lançamento, em dezembro de 2024, de um contrato de futuros baseado num índice de obrigações da UE. Uma importante bolsa europeia anunciou o seu interesse renovado em lançar no mercado, no decurso de 2025, um contrato de futuros tradicionais de obrigações da UE (liquidados fisicamente). A disponibilidade destes contratos de futuros apoiará ainda mais o investimento em obrigações da UE, permitindo aos participantes no mercado cobrir as posições abertas sobre as obrigações da UE e avaliar as expectativas do mercado quanto à fixação dos preços das obrigações da UE. Os fornecedores de índices continuaram a refletir sobre a melhor forma de classificar as obrigações da UE em diferentes índices, tendo um segundo gestor de índices comunicado que, na sequência de uma consulta aos utilizadores do índice, ainda não estava preparado para incluir as obrigações da UE nos seus índices soberanos pertinentes, mas que posteriormente reavaliaria a situação. </w:t>
      </w:r>
    </w:p>
    <w:p w14:paraId="6B3B3AB6" w14:textId="5C4F77D7" w:rsidR="00456072" w:rsidRPr="00B126EB" w:rsidRDefault="00456072" w:rsidP="00A87F59">
      <w:pPr>
        <w:pStyle w:val="Heading1"/>
        <w:rPr>
          <w:noProof/>
        </w:rPr>
      </w:pPr>
      <w:bookmarkStart w:id="62" w:name="_Ref169300365"/>
      <w:bookmarkStart w:id="63" w:name="_Ref169300367"/>
      <w:bookmarkStart w:id="64" w:name="_Toc193121326"/>
      <w:r w:rsidRPr="00B126EB">
        <w:rPr>
          <w:noProof/>
        </w:rPr>
        <w:t>Outras etapas no segundo semestre de 202</w:t>
      </w:r>
      <w:bookmarkEnd w:id="62"/>
      <w:bookmarkEnd w:id="63"/>
      <w:r w:rsidRPr="00B126EB">
        <w:rPr>
          <w:noProof/>
        </w:rPr>
        <w:t>4</w:t>
      </w:r>
      <w:bookmarkEnd w:id="64"/>
    </w:p>
    <w:p w14:paraId="5A4859E4" w14:textId="6FACD352" w:rsidR="00456072" w:rsidRPr="00B126EB" w:rsidRDefault="00DF5658" w:rsidP="00A87F59">
      <w:pPr>
        <w:pStyle w:val="Heading2"/>
        <w:rPr>
          <w:noProof/>
        </w:rPr>
      </w:pPr>
      <w:bookmarkStart w:id="65" w:name="_Toc187347932"/>
      <w:bookmarkStart w:id="66" w:name="_Toc187702016"/>
      <w:bookmarkStart w:id="67" w:name="_Toc190904652"/>
      <w:bookmarkStart w:id="68" w:name="_Toc193121327"/>
      <w:r w:rsidRPr="00B126EB">
        <w:rPr>
          <w:noProof/>
        </w:rPr>
        <w:t>Relatório de 2024 referente à afetação e ao impacto das obrigações verdes no quadro do NextGenerationEU</w:t>
      </w:r>
      <w:bookmarkEnd w:id="65"/>
      <w:bookmarkEnd w:id="66"/>
      <w:bookmarkEnd w:id="67"/>
      <w:bookmarkEnd w:id="68"/>
    </w:p>
    <w:p w14:paraId="5DBC0FB7" w14:textId="4259CC2F" w:rsidR="001A57FF" w:rsidRPr="00B126EB" w:rsidRDefault="001A57FF" w:rsidP="001A57FF">
      <w:pPr>
        <w:rPr>
          <w:noProof/>
        </w:rPr>
      </w:pPr>
      <w:bookmarkStart w:id="69" w:name="_Toc187702017"/>
      <w:bookmarkStart w:id="70" w:name="_Toc169303180"/>
      <w:r w:rsidRPr="00B126EB">
        <w:rPr>
          <w:noProof/>
        </w:rPr>
        <w:t>Três anos após a emissão das primeiras obrigações verdes em outubro de 2021, as emissões de obrigações verdes no quadro do NextGenerationEU ascenderam, no final de 2024, a mais de 68 mil milhões de EUR. Estas obrigações foram emitidas com base numa despesa relevante para o clima já comunicada e validada de 53 mil milhões de EUR e num total de 264 mil milhões de EUR de despesas relevantes para o clima constantes dos planos dos Estados-Membros financiados pelo MRR.</w:t>
      </w:r>
    </w:p>
    <w:p w14:paraId="12B3C829" w14:textId="58B35ADA" w:rsidR="001A57FF" w:rsidRPr="00B126EB" w:rsidRDefault="001A57FF" w:rsidP="001A57FF">
      <w:pPr>
        <w:rPr>
          <w:noProof/>
        </w:rPr>
      </w:pPr>
      <w:r w:rsidRPr="00B126EB">
        <w:rPr>
          <w:noProof/>
        </w:rPr>
        <w:t xml:space="preserve">Em conformidade com os requisitos de comunicação de informações do quadro de obrigações verdes do NextGenerationEU, a Comissão publicou em novembro a sua edição de 2024 do </w:t>
      </w:r>
      <w:hyperlink r:id="rId35" w:history="1">
        <w:r w:rsidRPr="00B126EB">
          <w:rPr>
            <w:rStyle w:val="Hyperlink"/>
            <w:noProof/>
          </w:rPr>
          <w:t>relatório anual referente à afetação e ao impacto das obrigações verdes no quadro do NextGenerationEU</w:t>
        </w:r>
      </w:hyperlink>
      <w:r w:rsidRPr="00B126EB">
        <w:rPr>
          <w:noProof/>
        </w:rPr>
        <w:t xml:space="preserve">. </w:t>
      </w:r>
    </w:p>
    <w:p w14:paraId="161276DB" w14:textId="140E4416" w:rsidR="001A57FF" w:rsidRPr="00B126EB" w:rsidRDefault="001A57FF" w:rsidP="001A57FF">
      <w:pPr>
        <w:rPr>
          <w:noProof/>
        </w:rPr>
      </w:pPr>
      <w:r w:rsidRPr="00B126EB">
        <w:rPr>
          <w:noProof/>
        </w:rPr>
        <w:t xml:space="preserve">O relatório indica (com base na data-limite de 1 de agosto de 2024) que: </w:t>
      </w:r>
    </w:p>
    <w:p w14:paraId="6D26210C" w14:textId="10648865" w:rsidR="00DB4A9B" w:rsidRPr="00B126EB" w:rsidRDefault="00334E91" w:rsidP="001A57FF">
      <w:pPr>
        <w:pStyle w:val="ListParagraph"/>
        <w:numPr>
          <w:ilvl w:val="0"/>
          <w:numId w:val="37"/>
        </w:numPr>
        <w:rPr>
          <w:rFonts w:ascii="EC Square Sans Pro" w:hAnsi="EC Square Sans Pro"/>
          <w:noProof/>
        </w:rPr>
      </w:pPr>
      <w:r w:rsidRPr="00B126EB">
        <w:rPr>
          <w:rFonts w:ascii="EC Square Sans Pro" w:hAnsi="EC Square Sans Pro"/>
          <w:noProof/>
        </w:rPr>
        <w:t>O</w:t>
      </w:r>
      <w:r w:rsidR="001A57FF" w:rsidRPr="00B126EB">
        <w:rPr>
          <w:rFonts w:ascii="EC Square Sans Pro" w:hAnsi="EC Square Sans Pro"/>
          <w:noProof/>
        </w:rPr>
        <w:t xml:space="preserve"> conjunto de despesas elegíveis com obrigações verdes no quadro do NextGenerationEU aumentou para 264,6 mil milhões de EUR em 2024, ou seja, quase 40 % mais elevadas do que em 2023. Este aumento deveu-se principalmente a maiores despesas relevantes para a transição climática após a revisão dos planos de recuperação e resiliência dos Estados-Membros para incluir o plano REPowerEU.</w:t>
      </w:r>
    </w:p>
    <w:p w14:paraId="6CD2A7E9" w14:textId="53228DB0" w:rsidR="00C97E32" w:rsidRPr="00B126EB" w:rsidRDefault="00555E15" w:rsidP="001A57FF">
      <w:pPr>
        <w:pStyle w:val="ListParagraph"/>
        <w:numPr>
          <w:ilvl w:val="0"/>
          <w:numId w:val="37"/>
        </w:numPr>
        <w:rPr>
          <w:rFonts w:ascii="EC Square Sans Pro" w:hAnsi="EC Square Sans Pro"/>
          <w:noProof/>
        </w:rPr>
      </w:pPr>
      <w:r w:rsidRPr="00B126EB">
        <w:rPr>
          <w:rFonts w:ascii="EC Square Sans Pro" w:hAnsi="EC Square Sans Pro"/>
          <w:noProof/>
        </w:rPr>
        <w:t xml:space="preserve">O conjunto de obrigações verdes do NextGenerationEU continua fortemente alinhado com a taxonomia da UE, tendo 63,4 % do conjunto total das despesas elegíveis das obrigações verdes do NextGenerationEU sido avaliadas como estando total ou substancialmente em consonância com os parâmetros da taxonomia da UE (em comparação com 57,5 % em 2023). </w:t>
      </w:r>
    </w:p>
    <w:p w14:paraId="58452BB4" w14:textId="585EF85C" w:rsidR="001A57FF" w:rsidRPr="00B126EB" w:rsidRDefault="001A57FF" w:rsidP="001A57FF">
      <w:pPr>
        <w:pStyle w:val="ListParagraph"/>
        <w:numPr>
          <w:ilvl w:val="0"/>
          <w:numId w:val="37"/>
        </w:numPr>
        <w:rPr>
          <w:noProof/>
        </w:rPr>
      </w:pPr>
      <w:r w:rsidRPr="00B126EB">
        <w:rPr>
          <w:rFonts w:ascii="EC Square Sans Pro" w:hAnsi="EC Square Sans Pro"/>
          <w:noProof/>
        </w:rPr>
        <w:t>Espera-se que a implantação plena dos investimentos financiados pelas obrigações verdes do NextGenerationEU reduza as emissões de gases com efeito de estufa (GEE) da UE em 55 milhões de toneladas por ano, o que equivale a 1,5 % de todas as emissões de GEE na UE.</w:t>
      </w:r>
      <w:r w:rsidRPr="00B126EB">
        <w:rPr>
          <w:noProof/>
        </w:rPr>
        <w:t xml:space="preserve"> </w:t>
      </w:r>
    </w:p>
    <w:p w14:paraId="66FAD1BA" w14:textId="19469A09" w:rsidR="00D9063C" w:rsidRPr="00B126EB" w:rsidRDefault="001A57FF" w:rsidP="0026697C">
      <w:pPr>
        <w:rPr>
          <w:noProof/>
        </w:rPr>
      </w:pPr>
      <w:r w:rsidRPr="00B126EB">
        <w:rPr>
          <w:noProof/>
        </w:rPr>
        <w:t>Numa perspetiva de futuro, as obrigações verdes no quadro do NextGenerationEU serão cada vez mais emitidas ao mesmo tempo que os Estados-Membros comunicam e validam as despesas elegíveis. No que se refere às despesas confirmadas após 2026, a Comissão poderá emitir obrigações verdes no quadro do NextGenerationEU para substituir as obrigações convencionais que vencem durante a fase de refinanciamento. Esta abordagem garante que todas as despesas elegíveis sejam integralmente verificadas antes da emissão das obrigações.</w:t>
      </w:r>
      <w:bookmarkEnd w:id="69"/>
    </w:p>
    <w:p w14:paraId="15D20713" w14:textId="2CD23F29" w:rsidR="001401DA" w:rsidRPr="00B126EB" w:rsidRDefault="007D6C82" w:rsidP="009C1A13">
      <w:pPr>
        <w:pStyle w:val="Heading1"/>
        <w:rPr>
          <w:noProof/>
        </w:rPr>
      </w:pPr>
      <w:bookmarkStart w:id="71" w:name="_Toc193121328"/>
      <w:bookmarkStart w:id="72" w:name="_Hlk155276042"/>
      <w:bookmarkStart w:id="73" w:name="_Hlk158303590"/>
      <w:bookmarkStart w:id="74" w:name="_Hlk158382887"/>
      <w:bookmarkEnd w:id="61"/>
      <w:bookmarkEnd w:id="70"/>
      <w:r w:rsidRPr="00B126EB">
        <w:rPr>
          <w:noProof/>
        </w:rPr>
        <w:t>Perspetivas de emissão no primeiro semestre de 2025</w:t>
      </w:r>
      <w:bookmarkEnd w:id="71"/>
    </w:p>
    <w:bookmarkEnd w:id="72"/>
    <w:bookmarkEnd w:id="73"/>
    <w:bookmarkEnd w:id="74"/>
    <w:p w14:paraId="6C59CE6F" w14:textId="0802000C" w:rsidR="003874C8" w:rsidRPr="00B126EB" w:rsidRDefault="003874C8" w:rsidP="003874C8">
      <w:pPr>
        <w:rPr>
          <w:noProof/>
        </w:rPr>
      </w:pPr>
      <w:r w:rsidRPr="00B126EB">
        <w:rPr>
          <w:noProof/>
        </w:rPr>
        <w:t xml:space="preserve">Em 10 de dezembro de 2024, a Comissão anunciou a intenção de emitir até 90 mil milhões de EUR em obrigações da UE no primeiro semestre de 2025, o objetivo de financiamento semestral mais elevado desde que a estratégia de financiamento diversificada foi lançada em 2021. Com base nas previsões de desembolso, a UE espera obter 160 mil milhões de EUR de financiamento em 2025 através da emissão de obrigações da UE. Estas necessidades de financiamento refletem a vasta gama de programas de políticas da UE, existentes e novos, que são financiados pelas receitas das obrigações da UE, que, no S2 2024, foram alargados de modo a incluir um novo empréstimo de AMF excecional de 18,1 mil milhões de EUR à Ucrânia no contexto do acordo do G7 e um novo apoio aos países candidatos ao alargamento ao abrigo da Facilidade de Investimento para os Balcãs Ocidentais e aos países vizinhos (como o Egito e a Jordânia). </w:t>
      </w:r>
    </w:p>
    <w:p w14:paraId="4C5176A7" w14:textId="46430963" w:rsidR="003874C8" w:rsidRPr="00B126EB" w:rsidRDefault="003874C8" w:rsidP="003874C8">
      <w:pPr>
        <w:rPr>
          <w:noProof/>
        </w:rPr>
      </w:pPr>
      <w:r w:rsidRPr="00B126EB">
        <w:rPr>
          <w:noProof/>
        </w:rPr>
        <w:t>Os montantes obtidos mediante a emissão de obrigações da UE serão complementados por financiamento de curto prazo através de instrumentos financeiros da UE e de outros instrumentos de financiamento de curto prazo. O aumento dos volumes dos instrumentos financeiros da UE será facilitado pela introdução de leilões em três segmentos e pelo lançamento de uma nova linha de instrumentos financeiros da UE a 12 meses em janeiro de 2025, para além das linhas a três e seis meses existentes.</w:t>
      </w:r>
    </w:p>
    <w:p w14:paraId="43AF04B0" w14:textId="0BBAFACD" w:rsidR="00063474" w:rsidRPr="00B126EB" w:rsidRDefault="0088395D" w:rsidP="00E7763D">
      <w:pPr>
        <w:rPr>
          <w:noProof/>
        </w:rPr>
      </w:pPr>
      <w:r w:rsidRPr="00B126EB">
        <w:rPr>
          <w:noProof/>
        </w:rPr>
        <w:t>Em consonância com o objetivo de aumento do financiamento, prevê-se também que sejam emitidas mais obrigações através de leilões durante o primeiro semestre de 2025, mantendo a estabilidade da percentagem de leilões. Este aumento será facilitado pela introdução de leilões de obrigações em três segmentos durante o primeiro semestre de 2025. Pela mesma ordem de ideias, a Comissão está a trabalhar no sentido de introduzir atribuições não concorrenciais ligadas a leilões («opção de aquisição de lotes suplementares»), para atribuir uma quantidade adicional limitada de obrigações leiloadas imediatamente após um leilão. Esta característica adicional é também utilizada por muitos programas de leilões de obrigações soberanas para incentivar os seus corretores principais a apoiar os leilões, permitindo-lhes adquirir obrigações adicionais em condições favoráveis se o preço de mercado após o leilão evoluir de forma que lhes seja vantajosa. A Comissão pretende aplicar atribuições não concorrenciais no âmbito do plano de financiamento para o segundo semestre de 2025.</w:t>
      </w:r>
    </w:p>
    <w:p w14:paraId="7DBF6AC6" w14:textId="0ED63147" w:rsidR="003F3424" w:rsidRPr="00B126EB" w:rsidRDefault="003F3424" w:rsidP="00F13D4C">
      <w:pPr>
        <w:rPr>
          <w:noProof/>
        </w:rPr>
        <w:sectPr w:rsidR="003F3424" w:rsidRPr="00B126EB" w:rsidSect="00CA43D7">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708" w:footer="708" w:gutter="0"/>
          <w:cols w:space="708"/>
          <w:docGrid w:linePitch="360"/>
        </w:sectPr>
      </w:pPr>
    </w:p>
    <w:p w14:paraId="1A69248E" w14:textId="72CEED08" w:rsidR="00D73D12" w:rsidRPr="00B126EB" w:rsidRDefault="00325F9E" w:rsidP="00F9742E">
      <w:pPr>
        <w:rPr>
          <w:b/>
          <w:bCs/>
          <w:noProof/>
          <w:color w:val="034EA2" w:themeColor="accent1"/>
        </w:rPr>
      </w:pPr>
      <w:r w:rsidRPr="00B126EB">
        <w:rPr>
          <w:b/>
          <w:noProof/>
          <w:color w:val="034EA2" w:themeColor="accent1"/>
        </w:rPr>
        <w:t>Anexo: Indicadores de execução sobre a correta utilização dos meios para cumprir os objetivos de eficiência e eficácia da estratégia global de gestão da dívida da Comissão</w:t>
      </w:r>
    </w:p>
    <w:tbl>
      <w:tblPr>
        <w:tblStyle w:val="GridTable4-Accent5"/>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1664"/>
        <w:gridCol w:w="3264"/>
        <w:gridCol w:w="2268"/>
        <w:gridCol w:w="2551"/>
        <w:gridCol w:w="4678"/>
      </w:tblGrid>
      <w:tr w:rsidR="00515675" w:rsidRPr="00B126EB" w14:paraId="49380785" w14:textId="77777777" w:rsidTr="04A2D39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928" w:type="dxa"/>
            <w:gridSpan w:val="2"/>
            <w:shd w:val="clear" w:color="auto" w:fill="034EA2" w:themeFill="accent1"/>
            <w:vAlign w:val="center"/>
          </w:tcPr>
          <w:p w14:paraId="43AA69EA" w14:textId="77777777" w:rsidR="00515675" w:rsidRPr="00B126EB" w:rsidRDefault="00515675" w:rsidP="001E1429">
            <w:pPr>
              <w:jc w:val="center"/>
              <w:rPr>
                <w:noProof/>
                <w:sz w:val="18"/>
                <w:szCs w:val="18"/>
              </w:rPr>
            </w:pPr>
            <w:r w:rsidRPr="00B126EB">
              <w:rPr>
                <w:noProof/>
                <w:sz w:val="18"/>
              </w:rPr>
              <w:t>Meios</w:t>
            </w:r>
          </w:p>
        </w:tc>
        <w:tc>
          <w:tcPr>
            <w:tcW w:w="2268" w:type="dxa"/>
            <w:shd w:val="clear" w:color="auto" w:fill="034EA2" w:themeFill="accent1"/>
            <w:vAlign w:val="center"/>
          </w:tcPr>
          <w:p w14:paraId="7BAE177C" w14:textId="77777777" w:rsidR="00515675" w:rsidRPr="00B126EB" w:rsidRDefault="00515675" w:rsidP="001E1429">
            <w:pPr>
              <w:ind w:left="113" w:hanging="113"/>
              <w:jc w:val="center"/>
              <w:cnfStyle w:val="100000000000" w:firstRow="1" w:lastRow="0" w:firstColumn="0" w:lastColumn="0" w:oddVBand="0" w:evenVBand="0" w:oddHBand="0" w:evenHBand="0" w:firstRowFirstColumn="0" w:firstRowLastColumn="0" w:lastRowFirstColumn="0" w:lastRowLastColumn="0"/>
              <w:rPr>
                <w:noProof/>
                <w:sz w:val="18"/>
                <w:szCs w:val="18"/>
              </w:rPr>
            </w:pPr>
            <w:r w:rsidRPr="00B126EB">
              <w:rPr>
                <w:noProof/>
                <w:sz w:val="18"/>
              </w:rPr>
              <w:t>Indicador</w:t>
            </w:r>
          </w:p>
        </w:tc>
        <w:tc>
          <w:tcPr>
            <w:tcW w:w="2551" w:type="dxa"/>
            <w:shd w:val="clear" w:color="auto" w:fill="034EA2" w:themeFill="accent1"/>
            <w:vAlign w:val="center"/>
          </w:tcPr>
          <w:p w14:paraId="60C7FC50" w14:textId="77777777" w:rsidR="00515675" w:rsidRPr="00B126EB" w:rsidRDefault="00515675" w:rsidP="001E1429">
            <w:pPr>
              <w:jc w:val="center"/>
              <w:cnfStyle w:val="100000000000" w:firstRow="1" w:lastRow="0" w:firstColumn="0" w:lastColumn="0" w:oddVBand="0" w:evenVBand="0" w:oddHBand="0" w:evenHBand="0" w:firstRowFirstColumn="0" w:firstRowLastColumn="0" w:lastRowFirstColumn="0" w:lastRowLastColumn="0"/>
              <w:rPr>
                <w:noProof/>
                <w:sz w:val="18"/>
                <w:szCs w:val="18"/>
              </w:rPr>
            </w:pPr>
            <w:r w:rsidRPr="00B126EB">
              <w:rPr>
                <w:noProof/>
                <w:sz w:val="18"/>
              </w:rPr>
              <w:t>Valor no S2 2024 (salvo indicação em contrário)</w:t>
            </w:r>
          </w:p>
        </w:tc>
        <w:tc>
          <w:tcPr>
            <w:tcW w:w="4678" w:type="dxa"/>
            <w:shd w:val="clear" w:color="auto" w:fill="034EA2" w:themeFill="accent1"/>
            <w:vAlign w:val="center"/>
          </w:tcPr>
          <w:p w14:paraId="73276419" w14:textId="77777777" w:rsidR="00515675" w:rsidRPr="00B126EB" w:rsidRDefault="00515675" w:rsidP="001E1429">
            <w:pPr>
              <w:jc w:val="center"/>
              <w:cnfStyle w:val="100000000000" w:firstRow="1" w:lastRow="0" w:firstColumn="0" w:lastColumn="0" w:oddVBand="0" w:evenVBand="0" w:oddHBand="0" w:evenHBand="0" w:firstRowFirstColumn="0" w:firstRowLastColumn="0" w:lastRowFirstColumn="0" w:lastRowLastColumn="0"/>
              <w:rPr>
                <w:noProof/>
                <w:sz w:val="18"/>
                <w:szCs w:val="18"/>
              </w:rPr>
            </w:pPr>
            <w:r w:rsidRPr="00B126EB">
              <w:rPr>
                <w:noProof/>
                <w:sz w:val="18"/>
              </w:rPr>
              <w:t>Observações sobre a execução no S2 2024</w:t>
            </w:r>
          </w:p>
        </w:tc>
      </w:tr>
      <w:tr w:rsidR="00515675" w:rsidRPr="00B126EB" w14:paraId="4B9315AC"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05855DA6" w14:textId="77777777" w:rsidR="00515675" w:rsidRPr="00B126EB" w:rsidRDefault="00515675" w:rsidP="001E1429">
            <w:pPr>
              <w:jc w:val="left"/>
              <w:rPr>
                <w:noProof/>
                <w:color w:val="034EA2" w:themeColor="accent1"/>
                <w:sz w:val="18"/>
                <w:szCs w:val="18"/>
              </w:rPr>
            </w:pPr>
            <w:r w:rsidRPr="00B126EB">
              <w:rPr>
                <w:noProof/>
                <w:color w:val="034EA2" w:themeColor="accent1"/>
                <w:sz w:val="18"/>
              </w:rPr>
              <w:t>Execução do programa de obrigações da UE</w:t>
            </w:r>
          </w:p>
          <w:p w14:paraId="68666518" w14:textId="77777777" w:rsidR="00515675" w:rsidRPr="00B126EB" w:rsidRDefault="00515675" w:rsidP="001E1429">
            <w:pPr>
              <w:rPr>
                <w:noProof/>
                <w:sz w:val="18"/>
                <w:szCs w:val="18"/>
              </w:rPr>
            </w:pPr>
          </w:p>
        </w:tc>
        <w:tc>
          <w:tcPr>
            <w:tcW w:w="3264" w:type="dxa"/>
            <w:vMerge w:val="restart"/>
            <w:shd w:val="clear" w:color="auto" w:fill="auto"/>
          </w:tcPr>
          <w:p w14:paraId="3B4147F9" w14:textId="77777777" w:rsidR="00515675" w:rsidRPr="00B126EB" w:rsidRDefault="00515675" w:rsidP="001E1429">
            <w:pPr>
              <w:pStyle w:val="ListParagraph"/>
              <w:numPr>
                <w:ilvl w:val="0"/>
                <w:numId w:val="27"/>
              </w:numPr>
              <w:spacing w:after="60" w:line="240" w:lineRule="auto"/>
              <w:ind w:left="170" w:hanging="170"/>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r w:rsidRPr="00B126EB">
              <w:rPr>
                <w:rFonts w:ascii="EC Square Sans Pro" w:hAnsi="EC Square Sans Pro"/>
                <w:noProof/>
                <w:color w:val="034EA2" w:themeColor="accent1"/>
                <w:sz w:val="18"/>
              </w:rPr>
              <w:t xml:space="preserve"> Emissões regulares ao longo da curva</w:t>
            </w:r>
          </w:p>
          <w:p w14:paraId="5272F7C5" w14:textId="77777777" w:rsidR="00515675" w:rsidRPr="00B126EB"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Emissões regulares de obrigações da UE (e obrigações verdes do NextGenerationEU) em todos os prazos de vencimento ao longo da curva (até 30 anos), a fim de proporcionar oportunidades de investimento aos diferentes tipos de investidores, como uma forma de manter uma forte procura por parte destes e, por conseguinte, a flexibilidade para determinar os volumes de emissão e os prazos de vencimento das operações individuais com base nas condições de mercado.</w:t>
            </w:r>
          </w:p>
        </w:tc>
        <w:tc>
          <w:tcPr>
            <w:tcW w:w="2268" w:type="dxa"/>
            <w:shd w:val="clear" w:color="auto" w:fill="auto"/>
          </w:tcPr>
          <w:p w14:paraId="1F981204" w14:textId="77777777" w:rsidR="00515675" w:rsidRPr="00B126EB" w:rsidRDefault="00515675" w:rsidP="001E1429">
            <w:pPr>
              <w:pStyle w:val="ListParagraph"/>
              <w:numPr>
                <w:ilvl w:val="0"/>
                <w:numId w:val="20"/>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Repartição do programa de emissão por prazos de vencimento</w:t>
            </w:r>
          </w:p>
        </w:tc>
        <w:tc>
          <w:tcPr>
            <w:tcW w:w="2551" w:type="dxa"/>
            <w:shd w:val="clear" w:color="auto" w:fill="auto"/>
          </w:tcPr>
          <w:p w14:paraId="27F7E7F0" w14:textId="77777777" w:rsidR="00515675" w:rsidRPr="00B126EB"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1-4 anos: 15 %</w:t>
            </w:r>
          </w:p>
          <w:p w14:paraId="6C89BCC6" w14:textId="77777777" w:rsidR="00515675" w:rsidRPr="00B126EB"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 xml:space="preserve">4-8 anos: 37 % </w:t>
            </w:r>
          </w:p>
          <w:p w14:paraId="7B1BE8EB" w14:textId="77777777" w:rsidR="00515675" w:rsidRPr="00B126EB"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8-12 anos: 10 %</w:t>
            </w:r>
          </w:p>
          <w:p w14:paraId="78C37C46" w14:textId="77777777" w:rsidR="00515675" w:rsidRPr="00B126EB"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12-17 anos: 12 %</w:t>
            </w:r>
          </w:p>
          <w:p w14:paraId="7E8381D6" w14:textId="77777777" w:rsidR="00515675" w:rsidRPr="00B126EB"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17-23 anos: 8 %</w:t>
            </w:r>
          </w:p>
          <w:p w14:paraId="1618EB0D" w14:textId="77777777" w:rsidR="00515675" w:rsidRPr="00B126EB"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23-31 anos: 17 %</w:t>
            </w:r>
          </w:p>
        </w:tc>
        <w:tc>
          <w:tcPr>
            <w:tcW w:w="4678" w:type="dxa"/>
            <w:vMerge w:val="restart"/>
            <w:shd w:val="clear" w:color="auto" w:fill="auto"/>
          </w:tcPr>
          <w:p w14:paraId="54FE1263" w14:textId="232CFE2E" w:rsidR="00515675" w:rsidRPr="00B126EB" w:rsidRDefault="00515675" w:rsidP="001E1429">
            <w:pPr>
              <w:spacing w:after="120"/>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No S2 2024, a Comissão prosseguiu o seu objetivo através de emissões regulares de obrigações com diferentes prazos de vencimento, a fim de proporcionar liquidez à curva da UE em todos os segmentos. As operações de financiamento foram repartidas ao longo do período de seis meses, a fim de assegurar uma presença regular no mercado. O número de operações foi inferior ao do S1 2024, uma vez que o objetivo de financiamento do S2 2024 de até 65 mil milhões de EUR ficou aquém do objetivo de financiamento do S1 2024 de 75 mil milhões de EUR.</w:t>
            </w:r>
          </w:p>
          <w:p w14:paraId="32143070" w14:textId="55389551" w:rsidR="00515675" w:rsidRPr="00B126EB" w:rsidRDefault="00515675" w:rsidP="001E1429">
            <w:pPr>
              <w:spacing w:after="120"/>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 xml:space="preserve">A emissão de obrigações verdes foi ligeiramente inferior à do primeiro semestre de 2024, refletindo o objetivo de financiamento mais baixo, as despesas verdes cumulativas comunicadas pelos Estados-Membros e a calibração adequada das emissões de obrigações verdes em relação a estas despesas. </w:t>
            </w:r>
          </w:p>
        </w:tc>
      </w:tr>
      <w:tr w:rsidR="00515675" w:rsidRPr="00B126EB" w14:paraId="22CABA41"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4B35148" w14:textId="77777777" w:rsidR="00515675" w:rsidRPr="00B126EB" w:rsidRDefault="00515675" w:rsidP="001E1429">
            <w:pPr>
              <w:jc w:val="left"/>
              <w:rPr>
                <w:noProof/>
                <w:color w:val="034EA2" w:themeColor="accent1"/>
                <w:sz w:val="18"/>
                <w:szCs w:val="18"/>
              </w:rPr>
            </w:pPr>
          </w:p>
        </w:tc>
        <w:tc>
          <w:tcPr>
            <w:tcW w:w="3264" w:type="dxa"/>
            <w:vMerge/>
          </w:tcPr>
          <w:p w14:paraId="4E422347" w14:textId="77777777" w:rsidR="00515675" w:rsidRPr="00B126EB" w:rsidRDefault="00515675" w:rsidP="001E1429">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5A5038C0" w14:textId="77777777" w:rsidR="00515675" w:rsidRPr="00B126EB" w:rsidRDefault="00515675" w:rsidP="001E1429">
            <w:pPr>
              <w:pStyle w:val="ListParagraph"/>
              <w:numPr>
                <w:ilvl w:val="0"/>
                <w:numId w:val="20"/>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i/>
                <w:iCs/>
                <w:noProof/>
                <w:sz w:val="18"/>
                <w:szCs w:val="18"/>
              </w:rPr>
            </w:pPr>
            <w:r w:rsidRPr="00B126EB">
              <w:rPr>
                <w:rFonts w:ascii="EC Square Sans Pro" w:hAnsi="EC Square Sans Pro"/>
                <w:i/>
                <w:noProof/>
                <w:sz w:val="18"/>
              </w:rPr>
              <w:t>Distribuição atempada das emissões</w:t>
            </w:r>
          </w:p>
          <w:p w14:paraId="529E1569" w14:textId="77777777" w:rsidR="00515675" w:rsidRPr="00B126EB" w:rsidRDefault="00515675" w:rsidP="001E1429">
            <w:pPr>
              <w:spacing w:after="40"/>
              <w:ind w:left="226" w:hanging="113"/>
              <w:jc w:val="left"/>
              <w:cnfStyle w:val="000000000000" w:firstRow="0" w:lastRow="0" w:firstColumn="0" w:lastColumn="0" w:oddVBand="0" w:evenVBand="0" w:oddHBand="0" w:evenHBand="0" w:firstRowFirstColumn="0" w:firstRowLastColumn="0" w:lastRowFirstColumn="0" w:lastRowLastColumn="0"/>
              <w:rPr>
                <w:i/>
                <w:iCs/>
                <w:noProof/>
                <w:sz w:val="18"/>
                <w:szCs w:val="18"/>
              </w:rPr>
            </w:pPr>
          </w:p>
        </w:tc>
        <w:tc>
          <w:tcPr>
            <w:tcW w:w="2551" w:type="dxa"/>
            <w:shd w:val="clear" w:color="auto" w:fill="auto"/>
          </w:tcPr>
          <w:p w14:paraId="15A83A0F" w14:textId="08A00629" w:rsidR="00515675" w:rsidRPr="00B126EB" w:rsidRDefault="006D00D3" w:rsidP="001E1429">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Quatro consórcios de emissão e seis leilões de obrigações, ou seja, uma ou duas emissões por mês.</w:t>
            </w:r>
          </w:p>
        </w:tc>
        <w:tc>
          <w:tcPr>
            <w:tcW w:w="4678" w:type="dxa"/>
            <w:vMerge/>
          </w:tcPr>
          <w:p w14:paraId="71C80DEA" w14:textId="77777777" w:rsidR="00515675" w:rsidRPr="00B126EB"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515675" w:rsidRPr="00B126EB" w14:paraId="14834C6F"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565806FC" w14:textId="77777777" w:rsidR="00515675" w:rsidRPr="00B126EB" w:rsidRDefault="00515675" w:rsidP="001E1429">
            <w:pPr>
              <w:jc w:val="left"/>
              <w:rPr>
                <w:noProof/>
                <w:color w:val="034EA2" w:themeColor="accent1"/>
                <w:sz w:val="18"/>
                <w:szCs w:val="18"/>
              </w:rPr>
            </w:pPr>
          </w:p>
        </w:tc>
        <w:tc>
          <w:tcPr>
            <w:tcW w:w="3264" w:type="dxa"/>
            <w:vMerge/>
          </w:tcPr>
          <w:p w14:paraId="0A10D44E" w14:textId="77777777" w:rsidR="00515675" w:rsidRPr="00B126EB" w:rsidRDefault="00515675" w:rsidP="001E1429">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42AD773F" w14:textId="77777777" w:rsidR="00515675" w:rsidRPr="00B126EB" w:rsidRDefault="00515675" w:rsidP="001E1429">
            <w:pPr>
              <w:pStyle w:val="ListParagraph"/>
              <w:numPr>
                <w:ilvl w:val="0"/>
                <w:numId w:val="20"/>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Emissões de obrigações verdes</w:t>
            </w:r>
            <w:r w:rsidRPr="00B126EB">
              <w:rPr>
                <w:rStyle w:val="FootnoteReference"/>
                <w:rFonts w:ascii="EC Square Sans Pro" w:hAnsi="EC Square Sans Pro" w:cs="Times New Roman"/>
                <w:i/>
                <w:iCs/>
                <w:noProof/>
                <w:sz w:val="18"/>
                <w:szCs w:val="18"/>
              </w:rPr>
              <w:footnoteReference w:id="13"/>
            </w:r>
          </w:p>
        </w:tc>
        <w:tc>
          <w:tcPr>
            <w:tcW w:w="2551" w:type="dxa"/>
            <w:shd w:val="clear" w:color="auto" w:fill="auto"/>
          </w:tcPr>
          <w:p w14:paraId="13C48D99" w14:textId="2FBE06BF" w:rsidR="00515675" w:rsidRPr="00B126EB"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8 mil milhões de EUR através de emissões contínuas de obrigações da UE com prazo até 2043 e 2050.</w:t>
            </w:r>
          </w:p>
        </w:tc>
        <w:tc>
          <w:tcPr>
            <w:tcW w:w="4678" w:type="dxa"/>
            <w:vMerge/>
          </w:tcPr>
          <w:p w14:paraId="7678D4A9" w14:textId="77777777" w:rsidR="00515675" w:rsidRPr="00B126EB"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515675" w:rsidRPr="00B126EB" w14:paraId="244B4E99"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0C180DAD" w14:textId="77777777" w:rsidR="00515675" w:rsidRPr="00B126EB" w:rsidRDefault="00515675" w:rsidP="001E1429">
            <w:pPr>
              <w:rPr>
                <w:noProof/>
                <w:sz w:val="18"/>
                <w:szCs w:val="18"/>
              </w:rPr>
            </w:pPr>
          </w:p>
        </w:tc>
        <w:tc>
          <w:tcPr>
            <w:tcW w:w="3264" w:type="dxa"/>
            <w:shd w:val="clear" w:color="auto" w:fill="auto"/>
          </w:tcPr>
          <w:p w14:paraId="11D1670A" w14:textId="77777777" w:rsidR="00515675" w:rsidRPr="00B126EB" w:rsidRDefault="00515675" w:rsidP="001E1429">
            <w:pPr>
              <w:pStyle w:val="ListParagraph"/>
              <w:numPr>
                <w:ilvl w:val="0"/>
                <w:numId w:val="27"/>
              </w:numPr>
              <w:spacing w:after="60" w:line="240" w:lineRule="auto"/>
              <w:ind w:left="17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r w:rsidRPr="00B126EB">
              <w:rPr>
                <w:rFonts w:ascii="EC Square Sans Pro" w:hAnsi="EC Square Sans Pro"/>
                <w:noProof/>
                <w:color w:val="034EA2" w:themeColor="accent1"/>
                <w:sz w:val="18"/>
              </w:rPr>
              <w:t xml:space="preserve"> Obtenção de um equilíbrio adequado entre leilões e consórcios de emissão</w:t>
            </w:r>
          </w:p>
          <w:p w14:paraId="296A9F29" w14:textId="77777777" w:rsidR="00515675" w:rsidRPr="00B126EB" w:rsidRDefault="00515675" w:rsidP="001E1429">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Utilização de diferentes técnicas de financiamento com um equilíbrio adequado, em função dos volumes totais de emissão e das condições de mercado, a fim de gerir os riscos de execução, melhorar a liquidez do mercado secundário e reduzir os custos de contração de empréstimos.</w:t>
            </w:r>
          </w:p>
        </w:tc>
        <w:tc>
          <w:tcPr>
            <w:tcW w:w="2268" w:type="dxa"/>
            <w:shd w:val="clear" w:color="auto" w:fill="auto"/>
          </w:tcPr>
          <w:p w14:paraId="7A68A808" w14:textId="77777777" w:rsidR="00515675" w:rsidRPr="00B126EB" w:rsidRDefault="00515675" w:rsidP="001E1429">
            <w:pPr>
              <w:pStyle w:val="ListParagraph"/>
              <w:numPr>
                <w:ilvl w:val="0"/>
                <w:numId w:val="23"/>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 xml:space="preserve">Proporção leilões/consórcios de emissão, em % </w:t>
            </w:r>
          </w:p>
        </w:tc>
        <w:tc>
          <w:tcPr>
            <w:tcW w:w="2551" w:type="dxa"/>
            <w:shd w:val="clear" w:color="auto" w:fill="auto"/>
          </w:tcPr>
          <w:p w14:paraId="1C032754" w14:textId="77777777" w:rsidR="00515675" w:rsidRPr="00B126EB" w:rsidRDefault="00515675" w:rsidP="001E1429">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 xml:space="preserve">42 % das emissões de obrigações tiveram lugar por leilão. </w:t>
            </w:r>
          </w:p>
        </w:tc>
        <w:tc>
          <w:tcPr>
            <w:tcW w:w="4678" w:type="dxa"/>
            <w:shd w:val="clear" w:color="auto" w:fill="auto"/>
          </w:tcPr>
          <w:p w14:paraId="40089510" w14:textId="377A460E" w:rsidR="00515675" w:rsidRPr="00B126EB"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No S2 2024, a Comissão emitiu 42 % das obrigações da UE através de leilões, em linha com a percentagem do S1 2024.</w:t>
            </w:r>
          </w:p>
        </w:tc>
      </w:tr>
      <w:tr w:rsidR="00515675" w:rsidRPr="00B126EB" w14:paraId="0955BDD5"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7812F781" w14:textId="77777777" w:rsidR="00515675" w:rsidRPr="00B126EB" w:rsidRDefault="00515675" w:rsidP="001E1429">
            <w:pPr>
              <w:rPr>
                <w:noProof/>
                <w:sz w:val="18"/>
                <w:szCs w:val="18"/>
              </w:rPr>
            </w:pPr>
          </w:p>
        </w:tc>
        <w:tc>
          <w:tcPr>
            <w:tcW w:w="3264" w:type="dxa"/>
            <w:vMerge w:val="restart"/>
            <w:shd w:val="clear" w:color="auto" w:fill="auto"/>
          </w:tcPr>
          <w:p w14:paraId="0AAE0B59" w14:textId="77777777" w:rsidR="00515675" w:rsidRPr="00B126EB" w:rsidRDefault="00515675" w:rsidP="001E1429">
            <w:pPr>
              <w:pStyle w:val="ListParagraph"/>
              <w:numPr>
                <w:ilvl w:val="0"/>
                <w:numId w:val="27"/>
              </w:numPr>
              <w:spacing w:after="60" w:line="240" w:lineRule="auto"/>
              <w:ind w:left="170" w:hanging="17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r w:rsidRPr="00B126EB">
              <w:rPr>
                <w:rFonts w:ascii="EC Square Sans Pro" w:hAnsi="EC Square Sans Pro"/>
                <w:noProof/>
                <w:color w:val="034EA2" w:themeColor="accent1"/>
                <w:sz w:val="18"/>
              </w:rPr>
              <w:t xml:space="preserve"> Criação de obrigações de referência de grande dimensão e liquidez</w:t>
            </w:r>
          </w:p>
          <w:p w14:paraId="51F615FF" w14:textId="77777777" w:rsidR="00515675" w:rsidRPr="00B126EB" w:rsidRDefault="00515675" w:rsidP="001E1429">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Aproveitamento das obrigações da UE para colocar o volume pendente das diferentes linhas a níveis compatíveis com as linhas de referência de grande dimensão e liquidez.</w:t>
            </w:r>
          </w:p>
        </w:tc>
        <w:tc>
          <w:tcPr>
            <w:tcW w:w="2268" w:type="dxa"/>
            <w:shd w:val="clear" w:color="auto" w:fill="auto"/>
          </w:tcPr>
          <w:p w14:paraId="68B6A81C" w14:textId="77777777" w:rsidR="00515675" w:rsidRPr="00B126EB" w:rsidRDefault="00515675" w:rsidP="001E1429">
            <w:pPr>
              <w:pStyle w:val="ListParagraph"/>
              <w:numPr>
                <w:ilvl w:val="0"/>
                <w:numId w:val="22"/>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18"/>
                <w:szCs w:val="18"/>
              </w:rPr>
            </w:pPr>
            <w:r w:rsidRPr="00B126EB">
              <w:rPr>
                <w:rFonts w:ascii="EC Square Sans Pro" w:hAnsi="EC Square Sans Pro"/>
                <w:i/>
                <w:noProof/>
                <w:sz w:val="18"/>
              </w:rPr>
              <w:t>Emissões através de novas obrigações face ao volume emitido através de emissões contínuas</w:t>
            </w:r>
          </w:p>
        </w:tc>
        <w:tc>
          <w:tcPr>
            <w:tcW w:w="2551" w:type="dxa"/>
            <w:shd w:val="clear" w:color="auto" w:fill="auto"/>
          </w:tcPr>
          <w:p w14:paraId="425C1728" w14:textId="77777777" w:rsidR="00515675" w:rsidRPr="00B126EB" w:rsidRDefault="00515675" w:rsidP="001E1429">
            <w:pPr>
              <w:pStyle w:val="ListParagraph"/>
              <w:numPr>
                <w:ilvl w:val="0"/>
                <w:numId w:val="15"/>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sz w:val="18"/>
                <w:szCs w:val="18"/>
              </w:rPr>
            </w:pPr>
            <w:r w:rsidRPr="00B126EB">
              <w:rPr>
                <w:rFonts w:ascii="EC Square Sans Pro" w:hAnsi="EC Square Sans Pro"/>
                <w:noProof/>
                <w:sz w:val="18"/>
              </w:rPr>
              <w:t xml:space="preserve">10 mil milhões de EUR através de novas obrigações </w:t>
            </w:r>
          </w:p>
          <w:p w14:paraId="61F14354" w14:textId="77777777" w:rsidR="00515675" w:rsidRPr="00B126EB" w:rsidRDefault="00515675" w:rsidP="001E1429">
            <w:pPr>
              <w:pStyle w:val="ListParagraph"/>
              <w:numPr>
                <w:ilvl w:val="0"/>
                <w:numId w:val="15"/>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sz w:val="18"/>
                <w:szCs w:val="18"/>
              </w:rPr>
            </w:pPr>
            <w:r w:rsidRPr="00B126EB">
              <w:rPr>
                <w:rFonts w:ascii="EC Square Sans Pro" w:hAnsi="EC Square Sans Pro"/>
                <w:noProof/>
                <w:sz w:val="18"/>
              </w:rPr>
              <w:t>54,2 mil milhões de EUR através de emissões contínuas</w:t>
            </w:r>
          </w:p>
        </w:tc>
        <w:tc>
          <w:tcPr>
            <w:tcW w:w="4678" w:type="dxa"/>
            <w:vMerge w:val="restart"/>
            <w:shd w:val="clear" w:color="auto" w:fill="auto"/>
          </w:tcPr>
          <w:p w14:paraId="7FB0D9A2" w14:textId="77777777" w:rsidR="00515675" w:rsidRPr="00B126EB" w:rsidRDefault="00515675" w:rsidP="001E1429">
            <w:pPr>
              <w:cnfStyle w:val="000000100000" w:firstRow="0" w:lastRow="0" w:firstColumn="0" w:lastColumn="0" w:oddVBand="0" w:evenVBand="0" w:oddHBand="1" w:evenHBand="0" w:firstRowFirstColumn="0" w:firstRowLastColumn="0" w:lastRowFirstColumn="0" w:lastRowLastColumn="0"/>
              <w:rPr>
                <w:noProof/>
                <w:spacing w:val="-4"/>
                <w:sz w:val="18"/>
                <w:szCs w:val="18"/>
              </w:rPr>
            </w:pPr>
            <w:r w:rsidRPr="00B126EB">
              <w:rPr>
                <w:noProof/>
                <w:sz w:val="18"/>
              </w:rPr>
              <w:t>A fim de apoiar a liquidez dos valores mobiliários da UE, a Comissão utilizou as suas operações para aproveitar as linhas de financiamento existentes, tendo aproximadamente 84 % do volume de financiamento sido mobilizado através de emissões contínuas.</w:t>
            </w:r>
          </w:p>
          <w:p w14:paraId="3E9A202D" w14:textId="77777777" w:rsidR="00515675" w:rsidRPr="00B126EB"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p w14:paraId="39D12FCC" w14:textId="29ABCD2C" w:rsidR="00515675" w:rsidRPr="00B126EB"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 xml:space="preserve">Foram lançadas novas linhas de financiamento para dotar o mercado de novas linhas de referência nos pontos necessários da curva e com base nas recomendações dos corretores principais da UE. No segundo semestre de 2024, foram lançadas novas obrigações a cinco e a sete anos. </w:t>
            </w:r>
          </w:p>
          <w:p w14:paraId="29236998" w14:textId="77777777" w:rsidR="00515675" w:rsidRPr="00B126EB"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p w14:paraId="4E96C6CE" w14:textId="6AAE23C7" w:rsidR="00515675" w:rsidRPr="00B126EB"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Em consequência, o montante médio pendente por obrigação aumentou marginalmente para cerca de 15 mil milhões de EUR até ao final de dezembro de 2024, assegurando uma liquidez constante das obrigações.</w:t>
            </w:r>
          </w:p>
        </w:tc>
      </w:tr>
      <w:tr w:rsidR="00515675" w:rsidRPr="00B126EB" w14:paraId="3089CEDE"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960448F" w14:textId="77777777" w:rsidR="00515675" w:rsidRPr="00B126EB" w:rsidRDefault="00515675" w:rsidP="001E1429">
            <w:pPr>
              <w:rPr>
                <w:noProof/>
                <w:sz w:val="18"/>
                <w:szCs w:val="18"/>
              </w:rPr>
            </w:pPr>
          </w:p>
        </w:tc>
        <w:tc>
          <w:tcPr>
            <w:tcW w:w="3264" w:type="dxa"/>
            <w:vMerge/>
          </w:tcPr>
          <w:p w14:paraId="3D32F3EC" w14:textId="77777777" w:rsidR="00515675" w:rsidRPr="00B126EB" w:rsidRDefault="00515675" w:rsidP="001E1429">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66C473A2" w14:textId="77777777" w:rsidR="00515675" w:rsidRPr="00B126EB" w:rsidRDefault="00515675" w:rsidP="001E1429">
            <w:pPr>
              <w:pStyle w:val="ListParagraph"/>
              <w:numPr>
                <w:ilvl w:val="0"/>
                <w:numId w:val="22"/>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Rapidez da utilização de novas obrigações</w:t>
            </w:r>
            <w:r w:rsidRPr="00B126EB">
              <w:rPr>
                <w:rStyle w:val="FootnoteReference"/>
                <w:rFonts w:ascii="EC Square Sans Pro" w:hAnsi="EC Square Sans Pro" w:cs="Times New Roman"/>
                <w:i/>
                <w:iCs/>
                <w:noProof/>
                <w:sz w:val="18"/>
                <w:szCs w:val="18"/>
              </w:rPr>
              <w:footnoteReference w:id="14"/>
            </w:r>
          </w:p>
        </w:tc>
        <w:tc>
          <w:tcPr>
            <w:tcW w:w="2551" w:type="dxa"/>
            <w:shd w:val="clear" w:color="auto" w:fill="auto"/>
          </w:tcPr>
          <w:p w14:paraId="1994F1F5" w14:textId="77777777" w:rsidR="00515675" w:rsidRPr="00B126EB"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2 meses</w:t>
            </w:r>
          </w:p>
        </w:tc>
        <w:tc>
          <w:tcPr>
            <w:tcW w:w="4678" w:type="dxa"/>
            <w:vMerge/>
          </w:tcPr>
          <w:p w14:paraId="02131142" w14:textId="77777777" w:rsidR="00515675" w:rsidRPr="00B126EB"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515675" w:rsidRPr="00B126EB" w14:paraId="20501354"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1D1F5D7" w14:textId="77777777" w:rsidR="00515675" w:rsidRPr="00B126EB" w:rsidRDefault="00515675" w:rsidP="001E1429">
            <w:pPr>
              <w:rPr>
                <w:noProof/>
                <w:sz w:val="18"/>
                <w:szCs w:val="18"/>
              </w:rPr>
            </w:pPr>
          </w:p>
        </w:tc>
        <w:tc>
          <w:tcPr>
            <w:tcW w:w="3264" w:type="dxa"/>
            <w:vMerge/>
          </w:tcPr>
          <w:p w14:paraId="5ED105C1" w14:textId="77777777" w:rsidR="00515675" w:rsidRPr="00B126EB" w:rsidRDefault="00515675" w:rsidP="001E1429">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13D6B65A" w14:textId="77777777" w:rsidR="00515675" w:rsidRPr="00B126EB" w:rsidRDefault="00515675" w:rsidP="001E1429">
            <w:pPr>
              <w:pStyle w:val="ListParagraph"/>
              <w:numPr>
                <w:ilvl w:val="0"/>
                <w:numId w:val="22"/>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18"/>
                <w:szCs w:val="18"/>
              </w:rPr>
            </w:pPr>
            <w:r w:rsidRPr="00B126EB">
              <w:rPr>
                <w:rFonts w:ascii="EC Square Sans Pro" w:hAnsi="EC Square Sans Pro"/>
                <w:i/>
                <w:noProof/>
                <w:sz w:val="18"/>
              </w:rPr>
              <w:t>Dimensão média das obrigações pendentes</w:t>
            </w:r>
            <w:r w:rsidRPr="00B126EB">
              <w:rPr>
                <w:rStyle w:val="FootnoteReference"/>
                <w:rFonts w:ascii="EC Square Sans Pro" w:hAnsi="EC Square Sans Pro" w:cs="Times New Roman"/>
                <w:i/>
                <w:iCs/>
                <w:noProof/>
                <w:sz w:val="18"/>
                <w:szCs w:val="18"/>
              </w:rPr>
              <w:footnoteReference w:id="15"/>
            </w:r>
          </w:p>
        </w:tc>
        <w:tc>
          <w:tcPr>
            <w:tcW w:w="2551" w:type="dxa"/>
            <w:shd w:val="clear" w:color="auto" w:fill="auto"/>
          </w:tcPr>
          <w:p w14:paraId="2F1E4A20" w14:textId="77777777" w:rsidR="00515675" w:rsidRPr="00B126EB"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Cerca de 15 mil milhões</w:t>
            </w:r>
          </w:p>
        </w:tc>
        <w:tc>
          <w:tcPr>
            <w:tcW w:w="4678" w:type="dxa"/>
            <w:vMerge/>
          </w:tcPr>
          <w:p w14:paraId="380E86A4" w14:textId="77777777" w:rsidR="00515675" w:rsidRPr="00B126EB" w:rsidRDefault="00515675" w:rsidP="001E1429">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515675" w:rsidRPr="00B126EB" w14:paraId="7FC29503"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3B023783" w14:textId="77777777" w:rsidR="00515675" w:rsidRPr="00B126EB" w:rsidRDefault="00515675" w:rsidP="001E1429">
            <w:pPr>
              <w:rPr>
                <w:noProof/>
                <w:sz w:val="18"/>
                <w:szCs w:val="18"/>
              </w:rPr>
            </w:pPr>
          </w:p>
        </w:tc>
        <w:tc>
          <w:tcPr>
            <w:tcW w:w="3264" w:type="dxa"/>
            <w:vMerge/>
          </w:tcPr>
          <w:p w14:paraId="5F1866B1" w14:textId="77777777" w:rsidR="00515675" w:rsidRPr="00B126EB" w:rsidRDefault="00515675" w:rsidP="001E1429">
            <w:pPr>
              <w:pStyle w:val="ListParagraph"/>
              <w:numPr>
                <w:ilvl w:val="0"/>
                <w:numId w:val="27"/>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462886CB" w14:textId="77777777" w:rsidR="00515675" w:rsidRPr="00B126EB" w:rsidRDefault="00515675" w:rsidP="001E1429">
            <w:pPr>
              <w:pStyle w:val="ListParagraph"/>
              <w:numPr>
                <w:ilvl w:val="0"/>
                <w:numId w:val="22"/>
              </w:numPr>
              <w:spacing w:after="40" w:line="240" w:lineRule="auto"/>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Volume de negócios em relação ao volume de emissão</w:t>
            </w:r>
          </w:p>
        </w:tc>
        <w:tc>
          <w:tcPr>
            <w:tcW w:w="2551" w:type="dxa"/>
            <w:shd w:val="clear" w:color="auto" w:fill="auto"/>
          </w:tcPr>
          <w:p w14:paraId="1BC7E234" w14:textId="6E835ADE" w:rsidR="00515675" w:rsidRPr="00B126EB" w:rsidRDefault="004A0E52" w:rsidP="001E1429">
            <w:pPr>
              <w:jc w:val="left"/>
              <w:cnfStyle w:val="000000000000" w:firstRow="0" w:lastRow="0" w:firstColumn="0" w:lastColumn="0" w:oddVBand="0" w:evenVBand="0" w:oddHBand="0" w:evenHBand="0" w:firstRowFirstColumn="0" w:firstRowLastColumn="0" w:lastRowFirstColumn="0" w:lastRowLastColumn="0"/>
              <w:rPr>
                <w:noProof/>
                <w:sz w:val="18"/>
                <w:szCs w:val="18"/>
                <w:highlight w:val="yellow"/>
              </w:rPr>
            </w:pPr>
            <w:r w:rsidRPr="00B126EB">
              <w:rPr>
                <w:noProof/>
                <w:sz w:val="18"/>
              </w:rPr>
              <w:t>Aproximadamente 155 % no S2 2024 face a 139 % no S1 2024.</w:t>
            </w:r>
          </w:p>
        </w:tc>
        <w:tc>
          <w:tcPr>
            <w:tcW w:w="4678" w:type="dxa"/>
            <w:vMerge/>
          </w:tcPr>
          <w:p w14:paraId="5E3DB12B" w14:textId="77777777" w:rsidR="00515675" w:rsidRPr="00B126EB" w:rsidRDefault="00515675" w:rsidP="001E1429">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855155" w:rsidRPr="00B126EB" w14:paraId="614A2488"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6DB7E7C" w14:textId="77777777" w:rsidR="00855155" w:rsidRPr="00B126EB" w:rsidRDefault="00855155" w:rsidP="00855155">
            <w:pPr>
              <w:rPr>
                <w:noProof/>
                <w:sz w:val="18"/>
                <w:szCs w:val="18"/>
              </w:rPr>
            </w:pPr>
          </w:p>
        </w:tc>
        <w:tc>
          <w:tcPr>
            <w:tcW w:w="3264" w:type="dxa"/>
            <w:vMerge/>
          </w:tcPr>
          <w:p w14:paraId="0D90588E" w14:textId="77777777" w:rsidR="00855155" w:rsidRPr="00B126EB" w:rsidRDefault="00855155" w:rsidP="00855155">
            <w:pPr>
              <w:pStyle w:val="ListParagraph"/>
              <w:numPr>
                <w:ilvl w:val="0"/>
                <w:numId w:val="27"/>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75A1FC93" w14:textId="77777777" w:rsidR="00855155" w:rsidRPr="00B126EB" w:rsidRDefault="00855155" w:rsidP="00855155">
            <w:pPr>
              <w:pStyle w:val="ListParagraph"/>
              <w:numPr>
                <w:ilvl w:val="0"/>
                <w:numId w:val="22"/>
              </w:numPr>
              <w:spacing w:after="40" w:line="240" w:lineRule="auto"/>
              <w:ind w:left="226" w:hanging="113"/>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Volume de negócios absoluto</w:t>
            </w:r>
          </w:p>
        </w:tc>
        <w:tc>
          <w:tcPr>
            <w:tcW w:w="2551" w:type="dxa"/>
            <w:shd w:val="clear" w:color="auto" w:fill="auto"/>
          </w:tcPr>
          <w:p w14:paraId="62638E0F" w14:textId="58BE0A6C" w:rsidR="00855155" w:rsidRPr="00B126EB"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894 mil milhões de EUR no S2 2024 face a 714 mil milhões de EUR no S1 2024.</w:t>
            </w:r>
          </w:p>
        </w:tc>
        <w:tc>
          <w:tcPr>
            <w:tcW w:w="4678" w:type="dxa"/>
            <w:vMerge/>
          </w:tcPr>
          <w:p w14:paraId="204DBCA1" w14:textId="77777777" w:rsidR="00855155" w:rsidRPr="00B126EB"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B126EB" w14:paraId="6CDFCE19"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74687083" w14:textId="77777777" w:rsidR="00855155" w:rsidRPr="00B126EB" w:rsidRDefault="00855155" w:rsidP="00855155">
            <w:pPr>
              <w:rPr>
                <w:noProof/>
                <w:sz w:val="18"/>
                <w:szCs w:val="18"/>
              </w:rPr>
            </w:pPr>
          </w:p>
        </w:tc>
        <w:tc>
          <w:tcPr>
            <w:tcW w:w="3264" w:type="dxa"/>
            <w:vMerge w:val="restart"/>
            <w:shd w:val="clear" w:color="auto" w:fill="auto"/>
          </w:tcPr>
          <w:p w14:paraId="65B13C23" w14:textId="77777777" w:rsidR="00855155" w:rsidRPr="00B126EB" w:rsidRDefault="00855155" w:rsidP="00855155">
            <w:pPr>
              <w:pStyle w:val="ListParagraph"/>
              <w:numPr>
                <w:ilvl w:val="0"/>
                <w:numId w:val="28"/>
              </w:numPr>
              <w:spacing w:after="60" w:line="240" w:lineRule="auto"/>
              <w:ind w:left="170" w:hanging="170"/>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r w:rsidRPr="00B126EB">
              <w:rPr>
                <w:rFonts w:ascii="EC Square Sans Pro" w:hAnsi="EC Square Sans Pro"/>
                <w:noProof/>
                <w:color w:val="034EA2" w:themeColor="accent1"/>
                <w:sz w:val="18"/>
              </w:rPr>
              <w:t xml:space="preserve"> Gestão do perfil de vencimento das emissões de obrigações da UE, tendo devidamente em conta:</w:t>
            </w:r>
          </w:p>
          <w:p w14:paraId="5B5CEFF1" w14:textId="77777777" w:rsidR="00855155" w:rsidRPr="00B126EB"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sidRPr="00B126EB">
              <w:rPr>
                <w:rFonts w:ascii="EC Square Sans Pro" w:hAnsi="EC Square Sans Pro"/>
                <w:noProof/>
                <w:sz w:val="18"/>
              </w:rPr>
              <w:t>a margem de manobra adicional temporária (para a contração de empréstimos relacionada com o NextGenerationEU) e a margem de manobra permanente (para a AMF+) ao abrigo do orçamento da UE,</w:t>
            </w:r>
          </w:p>
          <w:p w14:paraId="176DD99A" w14:textId="77777777" w:rsidR="00855155" w:rsidRPr="00B126EB"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sidRPr="00B126EB">
              <w:rPr>
                <w:rFonts w:ascii="EC Square Sans Pro" w:hAnsi="EC Square Sans Pro"/>
                <w:noProof/>
                <w:sz w:val="18"/>
              </w:rPr>
              <w:t xml:space="preserve">o resgate futuro dos desembolsos num determinado ano, </w:t>
            </w:r>
          </w:p>
          <w:p w14:paraId="6C41B5BF" w14:textId="77777777" w:rsidR="00855155" w:rsidRPr="00B126EB"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sidRPr="00B126EB">
              <w:rPr>
                <w:rFonts w:ascii="EC Square Sans Pro" w:hAnsi="EC Square Sans Pro"/>
                <w:noProof/>
                <w:sz w:val="18"/>
              </w:rPr>
              <w:t>a estabilidade das futuras necessidades de refinanciamento,</w:t>
            </w:r>
          </w:p>
          <w:p w14:paraId="2FE64132" w14:textId="77777777" w:rsidR="00855155" w:rsidRPr="00B126EB" w:rsidRDefault="00855155" w:rsidP="00855155">
            <w:pPr>
              <w:pStyle w:val="ListParagraph"/>
              <w:numPr>
                <w:ilvl w:val="0"/>
                <w:numId w:val="10"/>
              </w:numPr>
              <w:spacing w:after="60" w:line="240" w:lineRule="auto"/>
              <w:ind w:left="340" w:hanging="17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sz w:val="18"/>
                <w:szCs w:val="18"/>
              </w:rPr>
            </w:pPr>
            <w:r w:rsidRPr="00B126EB">
              <w:rPr>
                <w:rFonts w:ascii="EC Square Sans Pro" w:hAnsi="EC Square Sans Pro"/>
                <w:noProof/>
                <w:sz w:val="18"/>
              </w:rPr>
              <w:t>a necessidade de proteger a notação da UE para assegurar custos de contração de empréstimos baixos a longo prazo e uma forte procura por parte da sua principal base de investidores.</w:t>
            </w:r>
          </w:p>
        </w:tc>
        <w:tc>
          <w:tcPr>
            <w:tcW w:w="2268" w:type="dxa"/>
            <w:shd w:val="clear" w:color="auto" w:fill="auto"/>
          </w:tcPr>
          <w:p w14:paraId="2F5FE8B7" w14:textId="77777777" w:rsidR="00855155" w:rsidRPr="00B126EB" w:rsidRDefault="00855155" w:rsidP="00855155">
            <w:pPr>
              <w:pStyle w:val="ListParagraph"/>
              <w:numPr>
                <w:ilvl w:val="0"/>
                <w:numId w:val="21"/>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 xml:space="preserve">Prazo médio de vencimento das emissões </w:t>
            </w:r>
          </w:p>
        </w:tc>
        <w:tc>
          <w:tcPr>
            <w:tcW w:w="2551" w:type="dxa"/>
            <w:shd w:val="clear" w:color="auto" w:fill="auto"/>
          </w:tcPr>
          <w:p w14:paraId="0D6F8E3F" w14:textId="77777777" w:rsidR="00855155" w:rsidRPr="00B126E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 xml:space="preserve">Cerca de 12 anos </w:t>
            </w:r>
          </w:p>
        </w:tc>
        <w:tc>
          <w:tcPr>
            <w:tcW w:w="4678" w:type="dxa"/>
            <w:vMerge w:val="restart"/>
            <w:shd w:val="clear" w:color="auto" w:fill="auto"/>
          </w:tcPr>
          <w:p w14:paraId="0BB0D198" w14:textId="77777777" w:rsidR="00855155" w:rsidRPr="00B126E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No S2 2024, as emissões de obrigações da UE tinham um prazo médio de vencimento de 12 anos, reflexo da necessidade de repartir o perfil dos resgates ao longo do tempo e, ao mesmo tempo, atrair investidores para as operações no mercado primário da UE. O prazo médio de vencimento manteve-se abaixo do prazo médio de vencimento máximo de 17 anos estabelecido na decisão anual de contração de empréstimos para 2024.</w:t>
            </w:r>
          </w:p>
          <w:p w14:paraId="19656B5E" w14:textId="77777777" w:rsidR="00855155" w:rsidRPr="00B126E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p w14:paraId="62D4C2FF" w14:textId="77777777" w:rsidR="00855155" w:rsidRPr="00B126E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O prazo médio de vencimento da dívida pendente manteve-se estável (em cerca de 12 anos).</w:t>
            </w:r>
          </w:p>
          <w:p w14:paraId="1749A647" w14:textId="77777777" w:rsidR="00855155" w:rsidRPr="00B126E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p w14:paraId="7F7CAC02" w14:textId="265DCB7C" w:rsidR="00855155" w:rsidRPr="00B126E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O refinanciamento também se manteve estável, refletindo as emissões passadas e o perfil de resgate correspondente.</w:t>
            </w:r>
          </w:p>
        </w:tc>
      </w:tr>
      <w:tr w:rsidR="00855155" w:rsidRPr="00B126EB" w14:paraId="5FD08962"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0F27B35" w14:textId="77777777" w:rsidR="00855155" w:rsidRPr="00B126EB" w:rsidRDefault="00855155" w:rsidP="00855155">
            <w:pPr>
              <w:rPr>
                <w:noProof/>
                <w:sz w:val="18"/>
                <w:szCs w:val="18"/>
              </w:rPr>
            </w:pPr>
          </w:p>
        </w:tc>
        <w:tc>
          <w:tcPr>
            <w:tcW w:w="3264" w:type="dxa"/>
            <w:vMerge/>
          </w:tcPr>
          <w:p w14:paraId="516D9045" w14:textId="77777777" w:rsidR="00855155" w:rsidRPr="00B126EB" w:rsidRDefault="00855155" w:rsidP="00855155">
            <w:pPr>
              <w:pStyle w:val="ListParagraph"/>
              <w:numPr>
                <w:ilvl w:val="0"/>
                <w:numId w:val="28"/>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7344961B" w14:textId="77777777" w:rsidR="00855155" w:rsidRPr="00B126EB" w:rsidRDefault="00855155" w:rsidP="00855155">
            <w:pPr>
              <w:pStyle w:val="ListParagraph"/>
              <w:numPr>
                <w:ilvl w:val="0"/>
                <w:numId w:val="21"/>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Prazo médio de vencimento da dívida pendente</w:t>
            </w:r>
          </w:p>
        </w:tc>
        <w:tc>
          <w:tcPr>
            <w:tcW w:w="2551" w:type="dxa"/>
            <w:shd w:val="clear" w:color="auto" w:fill="auto"/>
          </w:tcPr>
          <w:p w14:paraId="293F915B" w14:textId="77777777" w:rsidR="00855155" w:rsidRPr="00B126EB"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Cerca de 12 anos</w:t>
            </w:r>
          </w:p>
        </w:tc>
        <w:tc>
          <w:tcPr>
            <w:tcW w:w="4678" w:type="dxa"/>
            <w:vMerge/>
          </w:tcPr>
          <w:p w14:paraId="06B81A2B" w14:textId="77777777" w:rsidR="00855155" w:rsidRPr="00B126EB"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B126EB" w14:paraId="6064274F"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5E33636B" w14:textId="77777777" w:rsidR="00855155" w:rsidRPr="00B126EB" w:rsidRDefault="00855155" w:rsidP="00855155">
            <w:pPr>
              <w:rPr>
                <w:noProof/>
                <w:sz w:val="18"/>
                <w:szCs w:val="18"/>
              </w:rPr>
            </w:pPr>
          </w:p>
        </w:tc>
        <w:tc>
          <w:tcPr>
            <w:tcW w:w="3264" w:type="dxa"/>
            <w:vMerge/>
          </w:tcPr>
          <w:p w14:paraId="7479F282" w14:textId="77777777" w:rsidR="00855155" w:rsidRPr="00B126EB" w:rsidRDefault="00855155" w:rsidP="00855155">
            <w:pPr>
              <w:pStyle w:val="ListParagraph"/>
              <w:numPr>
                <w:ilvl w:val="0"/>
                <w:numId w:val="28"/>
              </w:numPr>
              <w:spacing w:line="240" w:lineRule="auto"/>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055961FC" w14:textId="77777777" w:rsidR="00855155" w:rsidRPr="00B126EB" w:rsidRDefault="00855155" w:rsidP="00855155">
            <w:pPr>
              <w:pStyle w:val="ListParagraph"/>
              <w:numPr>
                <w:ilvl w:val="0"/>
                <w:numId w:val="21"/>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 xml:space="preserve">Refinanciamento a curto prazo, ou seja, percentagem do </w:t>
            </w:r>
            <w:r w:rsidRPr="00B126EB">
              <w:rPr>
                <w:rFonts w:ascii="EC Square Sans Pro" w:hAnsi="EC Square Sans Pro"/>
                <w:noProof/>
                <w:sz w:val="18"/>
              </w:rPr>
              <w:t>stock</w:t>
            </w:r>
            <w:r w:rsidRPr="00B126EB">
              <w:rPr>
                <w:rFonts w:ascii="EC Square Sans Pro" w:hAnsi="EC Square Sans Pro"/>
                <w:i/>
                <w:noProof/>
                <w:sz w:val="18"/>
              </w:rPr>
              <w:t xml:space="preserve"> de obrigações e instrumentos financeiros de curto prazo com vencimento nos próximos 12 meses</w:t>
            </w:r>
          </w:p>
        </w:tc>
        <w:tc>
          <w:tcPr>
            <w:tcW w:w="2551" w:type="dxa"/>
            <w:shd w:val="clear" w:color="auto" w:fill="auto"/>
          </w:tcPr>
          <w:p w14:paraId="5110C4A8" w14:textId="38BBEB78" w:rsidR="00855155" w:rsidRPr="00B126E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Menos de 10 %</w:t>
            </w:r>
          </w:p>
        </w:tc>
        <w:tc>
          <w:tcPr>
            <w:tcW w:w="4678" w:type="dxa"/>
            <w:vMerge/>
          </w:tcPr>
          <w:p w14:paraId="0B553F25" w14:textId="77777777" w:rsidR="00855155" w:rsidRPr="00B126E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855155" w:rsidRPr="00B126EB" w14:paraId="7562A384"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7D44FCBA" w14:textId="77777777" w:rsidR="00855155" w:rsidRPr="00B126EB" w:rsidRDefault="00855155" w:rsidP="00855155">
            <w:pPr>
              <w:rPr>
                <w:noProof/>
                <w:sz w:val="18"/>
                <w:szCs w:val="18"/>
              </w:rPr>
            </w:pPr>
          </w:p>
        </w:tc>
        <w:tc>
          <w:tcPr>
            <w:tcW w:w="3264" w:type="dxa"/>
            <w:vMerge/>
          </w:tcPr>
          <w:p w14:paraId="5AA07583" w14:textId="77777777" w:rsidR="00855155" w:rsidRPr="00B126EB" w:rsidRDefault="00855155" w:rsidP="00855155">
            <w:pPr>
              <w:pStyle w:val="ListParagraph"/>
              <w:numPr>
                <w:ilvl w:val="0"/>
                <w:numId w:val="28"/>
              </w:numPr>
              <w:spacing w:line="240" w:lineRule="auto"/>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noProof/>
                <w:color w:val="034EA2" w:themeColor="accent1"/>
                <w:sz w:val="18"/>
                <w:szCs w:val="18"/>
              </w:rPr>
            </w:pPr>
          </w:p>
        </w:tc>
        <w:tc>
          <w:tcPr>
            <w:tcW w:w="2268" w:type="dxa"/>
            <w:shd w:val="clear" w:color="auto" w:fill="auto"/>
          </w:tcPr>
          <w:p w14:paraId="58C90BDD" w14:textId="77777777" w:rsidR="00855155" w:rsidRPr="00B126EB" w:rsidRDefault="00855155" w:rsidP="00855155">
            <w:pPr>
              <w:pStyle w:val="ListParagraph"/>
              <w:numPr>
                <w:ilvl w:val="0"/>
                <w:numId w:val="21"/>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pacing w:val="-6"/>
                <w:sz w:val="18"/>
                <w:szCs w:val="18"/>
              </w:rPr>
            </w:pPr>
            <w:r w:rsidRPr="00B126EB">
              <w:rPr>
                <w:rFonts w:ascii="EC Square Sans Pro" w:hAnsi="EC Square Sans Pro"/>
                <w:i/>
                <w:noProof/>
                <w:sz w:val="18"/>
              </w:rPr>
              <w:t xml:space="preserve">Refinanciamento a médio prazo, ou seja, percentagem do </w:t>
            </w:r>
            <w:r w:rsidRPr="00B126EB">
              <w:rPr>
                <w:rFonts w:ascii="EC Square Sans Pro" w:hAnsi="EC Square Sans Pro"/>
                <w:noProof/>
                <w:sz w:val="18"/>
              </w:rPr>
              <w:t>stock</w:t>
            </w:r>
            <w:r w:rsidRPr="00B126EB">
              <w:rPr>
                <w:rFonts w:ascii="EC Square Sans Pro" w:hAnsi="EC Square Sans Pro"/>
                <w:i/>
                <w:noProof/>
                <w:sz w:val="18"/>
              </w:rPr>
              <w:t xml:space="preserve"> de obrigações e instrumentos financeiros de curto prazo com vencimento nos próximos cinco anos</w:t>
            </w:r>
          </w:p>
        </w:tc>
        <w:tc>
          <w:tcPr>
            <w:tcW w:w="2551" w:type="dxa"/>
            <w:shd w:val="clear" w:color="auto" w:fill="auto"/>
          </w:tcPr>
          <w:p w14:paraId="33D8FEFE" w14:textId="160C4F46" w:rsidR="00855155" w:rsidRPr="00B126EB"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Menos de 37 %.</w:t>
            </w:r>
          </w:p>
        </w:tc>
        <w:tc>
          <w:tcPr>
            <w:tcW w:w="4678" w:type="dxa"/>
            <w:vMerge/>
          </w:tcPr>
          <w:p w14:paraId="26BB2AB8" w14:textId="77777777" w:rsidR="00855155" w:rsidRPr="00B126EB"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B126EB" w14:paraId="53FD8A04"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6427F484" w14:textId="77777777" w:rsidR="00855155" w:rsidRPr="00B126EB" w:rsidRDefault="00855155" w:rsidP="00855155">
            <w:pPr>
              <w:jc w:val="left"/>
              <w:rPr>
                <w:noProof/>
                <w:color w:val="034EA2" w:themeColor="accent1"/>
                <w:sz w:val="18"/>
                <w:szCs w:val="18"/>
              </w:rPr>
            </w:pPr>
            <w:r w:rsidRPr="00B126EB">
              <w:rPr>
                <w:noProof/>
                <w:color w:val="034EA2" w:themeColor="accent1"/>
                <w:sz w:val="18"/>
              </w:rPr>
              <w:t>Execução do programa de instrumentos financeiros de curto prazo da UE</w:t>
            </w:r>
          </w:p>
          <w:p w14:paraId="6BDC45A4" w14:textId="77777777" w:rsidR="00855155" w:rsidRPr="00B126EB" w:rsidRDefault="00855155" w:rsidP="00855155">
            <w:pPr>
              <w:rPr>
                <w:noProof/>
                <w:sz w:val="18"/>
                <w:szCs w:val="18"/>
              </w:rPr>
            </w:pPr>
          </w:p>
        </w:tc>
        <w:tc>
          <w:tcPr>
            <w:tcW w:w="3264" w:type="dxa"/>
            <w:vMerge w:val="restart"/>
            <w:shd w:val="clear" w:color="auto" w:fill="auto"/>
          </w:tcPr>
          <w:p w14:paraId="7C688EAC" w14:textId="77777777" w:rsidR="00855155" w:rsidRPr="00B126EB"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Emissão regular de instrumentos financeiros de curto prazo da UE com prazos de vencimento até um ano através de leilões para atrair investidores adicionais (ou carteiras adicionais de investidores existentes) e apoiar a gestão da liquidez.</w:t>
            </w:r>
          </w:p>
        </w:tc>
        <w:tc>
          <w:tcPr>
            <w:tcW w:w="2268" w:type="dxa"/>
            <w:shd w:val="clear" w:color="auto" w:fill="auto"/>
          </w:tcPr>
          <w:p w14:paraId="5236647A" w14:textId="77777777" w:rsidR="00855155" w:rsidRPr="00B126EB" w:rsidRDefault="00855155" w:rsidP="00855155">
            <w:pPr>
              <w:pStyle w:val="ListParagraph"/>
              <w:numPr>
                <w:ilvl w:val="0"/>
                <w:numId w:val="24"/>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cs="Times New Roman"/>
                <w:i/>
                <w:iCs/>
                <w:noProof/>
                <w:sz w:val="18"/>
                <w:szCs w:val="18"/>
              </w:rPr>
            </w:pPr>
            <w:r w:rsidRPr="00B126EB">
              <w:rPr>
                <w:rFonts w:ascii="EC Square Sans Pro" w:hAnsi="EC Square Sans Pro"/>
                <w:i/>
                <w:noProof/>
                <w:sz w:val="18"/>
              </w:rPr>
              <w:t>Volume pendente de instrumentos financeiros de curto prazo da UE</w:t>
            </w:r>
          </w:p>
        </w:tc>
        <w:tc>
          <w:tcPr>
            <w:tcW w:w="2551" w:type="dxa"/>
            <w:shd w:val="clear" w:color="auto" w:fill="auto"/>
          </w:tcPr>
          <w:p w14:paraId="0BB9903D" w14:textId="77777777" w:rsidR="00855155" w:rsidRPr="00B126E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20-25 mil milhões de EUR</w:t>
            </w:r>
          </w:p>
        </w:tc>
        <w:tc>
          <w:tcPr>
            <w:tcW w:w="4678" w:type="dxa"/>
            <w:vMerge w:val="restart"/>
            <w:shd w:val="clear" w:color="auto" w:fill="auto"/>
          </w:tcPr>
          <w:p w14:paraId="68DF278F" w14:textId="77777777" w:rsidR="00855155" w:rsidRPr="00B126E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A dívida pendente ao abrigo do programa de instrumentos financeiros da UE aumentou de cerca de 20 mil milhões de EUR para cerca de 25 mil milhões de EUR ao longo do período, no âmbito do desenvolvimento do programa, a fim de proporcionar liquidez adicional quando necessário.</w:t>
            </w:r>
          </w:p>
        </w:tc>
      </w:tr>
      <w:tr w:rsidR="00855155" w:rsidRPr="00B126EB" w14:paraId="72EA0DDA"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40A498F7" w14:textId="77777777" w:rsidR="00855155" w:rsidRPr="00B126EB" w:rsidRDefault="00855155" w:rsidP="00855155">
            <w:pPr>
              <w:jc w:val="left"/>
              <w:rPr>
                <w:noProof/>
                <w:color w:val="034EA2" w:themeColor="accent1"/>
                <w:sz w:val="18"/>
                <w:szCs w:val="18"/>
              </w:rPr>
            </w:pPr>
          </w:p>
        </w:tc>
        <w:tc>
          <w:tcPr>
            <w:tcW w:w="3264" w:type="dxa"/>
            <w:vMerge/>
          </w:tcPr>
          <w:p w14:paraId="058D0996" w14:textId="77777777" w:rsidR="00855155" w:rsidRPr="00B126EB"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p>
        </w:tc>
        <w:tc>
          <w:tcPr>
            <w:tcW w:w="2268" w:type="dxa"/>
            <w:shd w:val="clear" w:color="auto" w:fill="auto"/>
          </w:tcPr>
          <w:p w14:paraId="0EB56868" w14:textId="77777777" w:rsidR="00855155" w:rsidRPr="00B126EB" w:rsidRDefault="00855155" w:rsidP="00855155">
            <w:pPr>
              <w:pStyle w:val="ListParagraph"/>
              <w:numPr>
                <w:ilvl w:val="0"/>
                <w:numId w:val="24"/>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Número de leilões de instrumentos financeiros de curto prazo da UE</w:t>
            </w:r>
          </w:p>
        </w:tc>
        <w:tc>
          <w:tcPr>
            <w:tcW w:w="2551" w:type="dxa"/>
            <w:shd w:val="clear" w:color="auto" w:fill="auto"/>
          </w:tcPr>
          <w:p w14:paraId="60731800" w14:textId="77777777" w:rsidR="00855155" w:rsidRPr="00B126EB"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10</w:t>
            </w:r>
          </w:p>
        </w:tc>
        <w:tc>
          <w:tcPr>
            <w:tcW w:w="4678" w:type="dxa"/>
            <w:vMerge/>
          </w:tcPr>
          <w:p w14:paraId="3A6C9702" w14:textId="77777777" w:rsidR="00855155" w:rsidRPr="00B126EB"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B126EB" w14:paraId="25619B42"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18225424" w14:textId="77777777" w:rsidR="00855155" w:rsidRPr="00B126EB" w:rsidRDefault="00855155" w:rsidP="00855155">
            <w:pPr>
              <w:rPr>
                <w:noProof/>
                <w:sz w:val="18"/>
                <w:szCs w:val="18"/>
              </w:rPr>
            </w:pPr>
            <w:r w:rsidRPr="00B126EB">
              <w:rPr>
                <w:noProof/>
                <w:color w:val="034EA2" w:themeColor="accent1"/>
                <w:sz w:val="18"/>
              </w:rPr>
              <w:t>Gestão da liquidez</w:t>
            </w:r>
          </w:p>
        </w:tc>
        <w:tc>
          <w:tcPr>
            <w:tcW w:w="3264" w:type="dxa"/>
            <w:shd w:val="clear" w:color="auto" w:fill="auto"/>
          </w:tcPr>
          <w:p w14:paraId="7802AAF0" w14:textId="78E36A07" w:rsidR="00855155" w:rsidRPr="00B126EB"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Gestão de uma reserva de liquidez com base nas obrigações de pagamento, nas necessidades de desembolso e nos custos das reservas de tesouraria, tendo devidamente em conta as condições de mercado prevalecentes.</w:t>
            </w:r>
          </w:p>
        </w:tc>
        <w:tc>
          <w:tcPr>
            <w:tcW w:w="2268" w:type="dxa"/>
            <w:shd w:val="clear" w:color="auto" w:fill="auto"/>
          </w:tcPr>
          <w:p w14:paraId="1964AC6E" w14:textId="77777777" w:rsidR="00855155" w:rsidRPr="00B126EB" w:rsidRDefault="00855155" w:rsidP="00855155">
            <w:pPr>
              <w:pStyle w:val="ListParagraph"/>
              <w:numPr>
                <w:ilvl w:val="0"/>
                <w:numId w:val="25"/>
              </w:numPr>
              <w:spacing w:after="40" w:line="240" w:lineRule="auto"/>
              <w:ind w:left="226" w:hanging="113"/>
              <w:contextualSpacing w:val="0"/>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Número de falhas de pagamento devido a falta de liquidez</w:t>
            </w:r>
          </w:p>
        </w:tc>
        <w:tc>
          <w:tcPr>
            <w:tcW w:w="2551" w:type="dxa"/>
            <w:shd w:val="clear" w:color="auto" w:fill="auto"/>
          </w:tcPr>
          <w:p w14:paraId="4637B986" w14:textId="77777777" w:rsidR="00855155" w:rsidRPr="00B126EB"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Nenhum</w:t>
            </w:r>
          </w:p>
        </w:tc>
        <w:tc>
          <w:tcPr>
            <w:tcW w:w="4678" w:type="dxa"/>
            <w:shd w:val="clear" w:color="auto" w:fill="auto"/>
          </w:tcPr>
          <w:p w14:paraId="62D5210B" w14:textId="188CFE01" w:rsidR="00855155" w:rsidRPr="00B126E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A Comissão satisfez todas as necessidades de desembolso e não se registaram falhas de liquidação durante o segundo semestre de 2024.</w:t>
            </w:r>
          </w:p>
        </w:tc>
      </w:tr>
      <w:tr w:rsidR="00855155" w:rsidRPr="00B126EB" w14:paraId="1DDCD7DB"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shd w:val="clear" w:color="auto" w:fill="auto"/>
          </w:tcPr>
          <w:p w14:paraId="2C8DFAE9" w14:textId="77777777" w:rsidR="00855155" w:rsidRPr="00B126EB" w:rsidRDefault="00855155" w:rsidP="00855155">
            <w:pPr>
              <w:jc w:val="left"/>
              <w:rPr>
                <w:noProof/>
                <w:sz w:val="18"/>
                <w:szCs w:val="18"/>
              </w:rPr>
            </w:pPr>
            <w:r w:rsidRPr="00B126EB">
              <w:rPr>
                <w:noProof/>
                <w:color w:val="034EA2" w:themeColor="accent1"/>
                <w:sz w:val="18"/>
              </w:rPr>
              <w:t>Rede de corretores principais</w:t>
            </w:r>
          </w:p>
        </w:tc>
        <w:tc>
          <w:tcPr>
            <w:tcW w:w="3264" w:type="dxa"/>
            <w:shd w:val="clear" w:color="auto" w:fill="auto"/>
          </w:tcPr>
          <w:p w14:paraId="5DDF7E81" w14:textId="3BDD073C" w:rsidR="00855155" w:rsidRPr="00B126EB"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Atrair um vasto leque de instituições financeiras com um forte empenho em apoiar as emissões da UE.</w:t>
            </w:r>
          </w:p>
        </w:tc>
        <w:tc>
          <w:tcPr>
            <w:tcW w:w="2268" w:type="dxa"/>
            <w:shd w:val="clear" w:color="auto" w:fill="auto"/>
          </w:tcPr>
          <w:p w14:paraId="62050E1A" w14:textId="7039DD80" w:rsidR="00855155" w:rsidRPr="00B126EB" w:rsidRDefault="00855155" w:rsidP="00855155">
            <w:pPr>
              <w:pStyle w:val="ListParagraph"/>
              <w:numPr>
                <w:ilvl w:val="0"/>
                <w:numId w:val="13"/>
              </w:numPr>
              <w:spacing w:after="40" w:line="240" w:lineRule="auto"/>
              <w:ind w:left="226" w:hanging="113"/>
              <w:contextualSpacing w:val="0"/>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cs="Times New Roman"/>
                <w:i/>
                <w:iCs/>
                <w:noProof/>
                <w:sz w:val="18"/>
                <w:szCs w:val="18"/>
              </w:rPr>
            </w:pPr>
            <w:bookmarkStart w:id="75" w:name="_Hlk187078956"/>
            <w:r w:rsidRPr="00B126EB">
              <w:rPr>
                <w:rFonts w:ascii="EC Square Sans Pro" w:hAnsi="EC Square Sans Pro"/>
                <w:i/>
                <w:noProof/>
                <w:sz w:val="18"/>
              </w:rPr>
              <w:t>Número de instituições que assinaram compromissos de tomada firme de operações nos últimos seis meses</w:t>
            </w:r>
            <w:bookmarkEnd w:id="75"/>
          </w:p>
        </w:tc>
        <w:tc>
          <w:tcPr>
            <w:tcW w:w="2551" w:type="dxa"/>
            <w:shd w:val="clear" w:color="auto" w:fill="auto"/>
          </w:tcPr>
          <w:p w14:paraId="76FAE338" w14:textId="14B1E47F" w:rsidR="00855155" w:rsidRPr="00B126EB"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15 (face a 19 no S1 2024)</w:t>
            </w:r>
          </w:p>
        </w:tc>
        <w:tc>
          <w:tcPr>
            <w:tcW w:w="4678" w:type="dxa"/>
            <w:shd w:val="clear" w:color="auto" w:fill="auto"/>
          </w:tcPr>
          <w:p w14:paraId="11EBCB24" w14:textId="60E17C19" w:rsidR="00855155" w:rsidRPr="00B126EB" w:rsidRDefault="00855155" w:rsidP="00855155">
            <w:pPr>
              <w:cnfStyle w:val="000000100000" w:firstRow="0" w:lastRow="0" w:firstColumn="0" w:lastColumn="0" w:oddVBand="0" w:evenVBand="0" w:oddHBand="1" w:evenHBand="0" w:firstRowFirstColumn="0" w:firstRowLastColumn="0" w:lastRowFirstColumn="0" w:lastRowLastColumn="0"/>
              <w:rPr>
                <w:bCs/>
                <w:noProof/>
                <w:sz w:val="18"/>
                <w:szCs w:val="18"/>
              </w:rPr>
            </w:pPr>
            <w:r w:rsidRPr="00B126EB">
              <w:rPr>
                <w:noProof/>
                <w:sz w:val="18"/>
              </w:rPr>
              <w:t>Os corretores principais da UE continuaram a apoiar a Comissão, tendo a rotação dos consórcios de emissão ajudado a Comissão a utilizar da melhor forma todos os bancos elegíveis para fazer parte de um consórcio.</w:t>
            </w:r>
          </w:p>
        </w:tc>
      </w:tr>
      <w:tr w:rsidR="00855155" w:rsidRPr="00B126EB" w14:paraId="0491B753"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val="restart"/>
            <w:shd w:val="clear" w:color="auto" w:fill="auto"/>
          </w:tcPr>
          <w:p w14:paraId="3C51B3BE" w14:textId="77777777" w:rsidR="00855155" w:rsidRPr="00B126EB" w:rsidRDefault="00855155" w:rsidP="00855155">
            <w:pPr>
              <w:jc w:val="left"/>
              <w:rPr>
                <w:noProof/>
                <w:sz w:val="18"/>
                <w:szCs w:val="18"/>
              </w:rPr>
            </w:pPr>
            <w:r w:rsidRPr="00B126EB">
              <w:rPr>
                <w:noProof/>
                <w:color w:val="034EA2" w:themeColor="accent1"/>
                <w:sz w:val="18"/>
              </w:rPr>
              <w:t xml:space="preserve">Comunicação com as diversas partes interessadas no mercado e os emitentes homólogos </w:t>
            </w:r>
          </w:p>
        </w:tc>
        <w:tc>
          <w:tcPr>
            <w:tcW w:w="3264" w:type="dxa"/>
            <w:vMerge w:val="restart"/>
            <w:shd w:val="clear" w:color="auto" w:fill="auto"/>
          </w:tcPr>
          <w:p w14:paraId="256948EE" w14:textId="2A730EEC" w:rsidR="00855155" w:rsidRPr="00B126EB"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Manter e reforçar a confiança da base de investidores, dos participantes no mercado e dos emitentes homólogos para apoiar a procura de dívida da UE e melhorar a compreensão, por parte da UE, da dinâmica do mercado e das necessidades dos investidores.</w:t>
            </w:r>
          </w:p>
        </w:tc>
        <w:tc>
          <w:tcPr>
            <w:tcW w:w="2268" w:type="dxa"/>
            <w:shd w:val="clear" w:color="auto" w:fill="auto"/>
          </w:tcPr>
          <w:p w14:paraId="531FA22F" w14:textId="77777777" w:rsidR="00855155" w:rsidRPr="00B126EB" w:rsidRDefault="00855155" w:rsidP="00855155">
            <w:pPr>
              <w:pStyle w:val="ListParagraph"/>
              <w:numPr>
                <w:ilvl w:val="0"/>
                <w:numId w:val="26"/>
              </w:numPr>
              <w:spacing w:after="40"/>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 xml:space="preserve">Desvios em relação aos calendários previamente anunciados para a publicação dos planos de financiamento </w:t>
            </w:r>
          </w:p>
        </w:tc>
        <w:tc>
          <w:tcPr>
            <w:tcW w:w="2551" w:type="dxa"/>
            <w:shd w:val="clear" w:color="auto" w:fill="auto"/>
          </w:tcPr>
          <w:p w14:paraId="7F9DC91A" w14:textId="77777777" w:rsidR="00855155" w:rsidRPr="00B126EB"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Nenhum</w:t>
            </w:r>
          </w:p>
        </w:tc>
        <w:tc>
          <w:tcPr>
            <w:tcW w:w="4678" w:type="dxa"/>
            <w:vMerge w:val="restart"/>
            <w:shd w:val="clear" w:color="auto" w:fill="auto"/>
          </w:tcPr>
          <w:p w14:paraId="6338D717" w14:textId="77777777" w:rsidR="00855155" w:rsidRPr="00B126EB" w:rsidRDefault="00855155" w:rsidP="00855155">
            <w:pPr>
              <w:spacing w:after="120"/>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 xml:space="preserve">A Comissão manteve uma comunicação regular e previsível com os mercados, em conformidade com os anúncios anteriores. </w:t>
            </w:r>
          </w:p>
          <w:p w14:paraId="16A075E2" w14:textId="74F314A6" w:rsidR="00855155" w:rsidRPr="00B126EB" w:rsidRDefault="00F71DFB" w:rsidP="00855155">
            <w:pPr>
              <w:spacing w:after="120"/>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Durante o segundo semestre de 2024, verificou-se uma redução da dotação para mil milhões de EUR devido à obtenção de condições de financiamento atrativas nos leilões de obrigações.</w:t>
            </w:r>
          </w:p>
          <w:p w14:paraId="24D7217D" w14:textId="1FAC08E4" w:rsidR="00855155" w:rsidRPr="00B126EB" w:rsidRDefault="00855155" w:rsidP="00855155">
            <w:pPr>
              <w:spacing w:after="120"/>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A Comissão publicou regularmente estatísticas sobre os investidores que permaneceram estáveis e a sua base de investidores diversificada continuou a aumentar.</w:t>
            </w:r>
          </w:p>
          <w:p w14:paraId="6C2C8FB3" w14:textId="77777777" w:rsidR="00855155" w:rsidRPr="00B126E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tc>
      </w:tr>
      <w:tr w:rsidR="00855155" w:rsidRPr="00B126EB" w14:paraId="62A4F545" w14:textId="77777777" w:rsidTr="04A2D39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53290D7" w14:textId="77777777" w:rsidR="00855155" w:rsidRPr="00B126EB" w:rsidRDefault="00855155" w:rsidP="00855155">
            <w:pPr>
              <w:rPr>
                <w:noProof/>
                <w:color w:val="034EA2" w:themeColor="accent1"/>
                <w:sz w:val="18"/>
                <w:szCs w:val="18"/>
              </w:rPr>
            </w:pPr>
          </w:p>
        </w:tc>
        <w:tc>
          <w:tcPr>
            <w:tcW w:w="3264" w:type="dxa"/>
            <w:vMerge/>
          </w:tcPr>
          <w:p w14:paraId="5FEB6FF4" w14:textId="77777777" w:rsidR="00855155" w:rsidRPr="00B126EB"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p>
        </w:tc>
        <w:tc>
          <w:tcPr>
            <w:tcW w:w="2268" w:type="dxa"/>
            <w:shd w:val="clear" w:color="auto" w:fill="auto"/>
          </w:tcPr>
          <w:p w14:paraId="6632DA66" w14:textId="77777777" w:rsidR="00855155" w:rsidRPr="00B126EB" w:rsidRDefault="00855155" w:rsidP="00855155">
            <w:pPr>
              <w:pStyle w:val="ListParagraph"/>
              <w:numPr>
                <w:ilvl w:val="0"/>
                <w:numId w:val="26"/>
              </w:numPr>
              <w:spacing w:after="40"/>
              <w:ind w:left="226" w:hanging="113"/>
              <w:jc w:val="left"/>
              <w:cnfStyle w:val="000000100000" w:firstRow="0" w:lastRow="0" w:firstColumn="0" w:lastColumn="0" w:oddVBand="0" w:evenVBand="0" w:oddHBand="1"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 xml:space="preserve">Desvio em relação aos volumes anunciados no plano de financiamento </w:t>
            </w:r>
          </w:p>
        </w:tc>
        <w:tc>
          <w:tcPr>
            <w:tcW w:w="2551" w:type="dxa"/>
            <w:shd w:val="clear" w:color="auto" w:fill="auto"/>
          </w:tcPr>
          <w:p w14:paraId="47F1776F" w14:textId="77777777" w:rsidR="00855155" w:rsidRPr="00B126EB" w:rsidRDefault="00855155" w:rsidP="00855155">
            <w:pPr>
              <w:jc w:val="left"/>
              <w:cnfStyle w:val="000000100000" w:firstRow="0" w:lastRow="0" w:firstColumn="0" w:lastColumn="0" w:oddVBand="0" w:evenVBand="0" w:oddHBand="1" w:evenHBand="0" w:firstRowFirstColumn="0" w:firstRowLastColumn="0" w:lastRowFirstColumn="0" w:lastRowLastColumn="0"/>
              <w:rPr>
                <w:noProof/>
                <w:sz w:val="18"/>
                <w:szCs w:val="18"/>
              </w:rPr>
            </w:pPr>
            <w:r w:rsidRPr="00B126EB">
              <w:rPr>
                <w:noProof/>
                <w:sz w:val="18"/>
              </w:rPr>
              <w:t>Menos de mil milhões de EUR ou menos de 2 % (em comparação com menos de 2 % no S1 2024).</w:t>
            </w:r>
          </w:p>
        </w:tc>
        <w:tc>
          <w:tcPr>
            <w:tcW w:w="4678" w:type="dxa"/>
            <w:vMerge/>
          </w:tcPr>
          <w:p w14:paraId="157FCB3F" w14:textId="77777777" w:rsidR="00855155" w:rsidRPr="00B126EB" w:rsidRDefault="00855155" w:rsidP="00855155">
            <w:pPr>
              <w:cnfStyle w:val="000000100000" w:firstRow="0" w:lastRow="0" w:firstColumn="0" w:lastColumn="0" w:oddVBand="0" w:evenVBand="0" w:oddHBand="1" w:evenHBand="0" w:firstRowFirstColumn="0" w:firstRowLastColumn="0" w:lastRowFirstColumn="0" w:lastRowLastColumn="0"/>
              <w:rPr>
                <w:noProof/>
                <w:sz w:val="18"/>
                <w:szCs w:val="18"/>
              </w:rPr>
            </w:pPr>
          </w:p>
        </w:tc>
      </w:tr>
      <w:tr w:rsidR="00855155" w:rsidRPr="00B126EB" w14:paraId="6C55C8BE" w14:textId="77777777" w:rsidTr="04A2D39D">
        <w:trPr>
          <w:trHeight w:val="20"/>
        </w:trPr>
        <w:tc>
          <w:tcPr>
            <w:cnfStyle w:val="001000000000" w:firstRow="0" w:lastRow="0" w:firstColumn="1" w:lastColumn="0" w:oddVBand="0" w:evenVBand="0" w:oddHBand="0" w:evenHBand="0" w:firstRowFirstColumn="0" w:firstRowLastColumn="0" w:lastRowFirstColumn="0" w:lastRowLastColumn="0"/>
            <w:tcW w:w="1664" w:type="dxa"/>
            <w:vMerge/>
          </w:tcPr>
          <w:p w14:paraId="6D62398C" w14:textId="77777777" w:rsidR="00855155" w:rsidRPr="00B126EB" w:rsidRDefault="00855155" w:rsidP="00855155">
            <w:pPr>
              <w:rPr>
                <w:noProof/>
                <w:color w:val="034EA2" w:themeColor="accent1"/>
                <w:sz w:val="18"/>
                <w:szCs w:val="18"/>
              </w:rPr>
            </w:pPr>
          </w:p>
        </w:tc>
        <w:tc>
          <w:tcPr>
            <w:tcW w:w="3264" w:type="dxa"/>
            <w:vMerge/>
          </w:tcPr>
          <w:p w14:paraId="6C4695C2" w14:textId="77777777" w:rsidR="00855155" w:rsidRPr="00B126EB"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p>
        </w:tc>
        <w:tc>
          <w:tcPr>
            <w:tcW w:w="2268" w:type="dxa"/>
            <w:shd w:val="clear" w:color="auto" w:fill="auto"/>
          </w:tcPr>
          <w:p w14:paraId="6AEC34E0" w14:textId="77777777" w:rsidR="00855155" w:rsidRPr="00B126EB" w:rsidRDefault="00855155" w:rsidP="00855155">
            <w:pPr>
              <w:pStyle w:val="ListParagraph"/>
              <w:numPr>
                <w:ilvl w:val="0"/>
                <w:numId w:val="26"/>
              </w:numPr>
              <w:spacing w:after="40"/>
              <w:ind w:left="226" w:hanging="113"/>
              <w:jc w:val="left"/>
              <w:cnfStyle w:val="000000000000" w:firstRow="0" w:lastRow="0" w:firstColumn="0" w:lastColumn="0" w:oddVBand="0" w:evenVBand="0" w:oddHBand="0" w:evenHBand="0" w:firstRowFirstColumn="0" w:firstRowLastColumn="0" w:lastRowFirstColumn="0" w:lastRowLastColumn="0"/>
              <w:rPr>
                <w:rFonts w:ascii="EC Square Sans Pro" w:hAnsi="EC Square Sans Pro"/>
                <w:i/>
                <w:iCs/>
                <w:noProof/>
                <w:sz w:val="18"/>
                <w:szCs w:val="18"/>
              </w:rPr>
            </w:pPr>
            <w:r w:rsidRPr="00B126EB">
              <w:rPr>
                <w:rFonts w:ascii="EC Square Sans Pro" w:hAnsi="EC Square Sans Pro"/>
                <w:i/>
                <w:noProof/>
                <w:sz w:val="18"/>
              </w:rPr>
              <w:t>Estatísticas de distribuição dos investidores</w:t>
            </w:r>
          </w:p>
        </w:tc>
        <w:tc>
          <w:tcPr>
            <w:tcW w:w="2551" w:type="dxa"/>
            <w:shd w:val="clear" w:color="auto" w:fill="auto"/>
          </w:tcPr>
          <w:p w14:paraId="43E73872" w14:textId="77777777" w:rsidR="00855155" w:rsidRPr="00B126EB"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 xml:space="preserve">Por tipo: </w:t>
            </w:r>
          </w:p>
          <w:p w14:paraId="186D47DB" w14:textId="1FA18E5F" w:rsidR="00855155" w:rsidRPr="00B126EB"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 xml:space="preserve">bancos centrais/instituições oficiais 25,1 %, gestores de fundos 22,5 %, tesourarias bancárias 21,9 %, fundos de seguros e fundos de pensões 20,5 %, bancos 7,3 %, fundos de cobertura 2,6 %. </w:t>
            </w:r>
          </w:p>
          <w:p w14:paraId="04AC14B1" w14:textId="630E0D44" w:rsidR="00855155" w:rsidRPr="00B126EB" w:rsidRDefault="00855155" w:rsidP="00855155">
            <w:pPr>
              <w:jc w:val="left"/>
              <w:cnfStyle w:val="000000000000" w:firstRow="0" w:lastRow="0" w:firstColumn="0" w:lastColumn="0" w:oddVBand="0" w:evenVBand="0" w:oddHBand="0" w:evenHBand="0" w:firstRowFirstColumn="0" w:firstRowLastColumn="0" w:lastRowFirstColumn="0" w:lastRowLastColumn="0"/>
              <w:rPr>
                <w:noProof/>
                <w:sz w:val="18"/>
                <w:szCs w:val="18"/>
              </w:rPr>
            </w:pPr>
            <w:r w:rsidRPr="00B126EB">
              <w:rPr>
                <w:noProof/>
                <w:sz w:val="18"/>
              </w:rPr>
              <w:t>Por país/região: Reino Unido 19,4 %, países nórdicos 12,4 %, França 11,7 %, Benelux 9,2 %, Itália 8,8 %, Ásia-Pacífico 8,2 %, Alemanha 8,1 %, Península Ibérica 7,9 %, outros países da UE 7,4 %, outros países europeus não pertencentes à UE 2,6 %, Américas 2,2 %, Médio Oriente e África 2,0 %.</w:t>
            </w:r>
          </w:p>
        </w:tc>
        <w:tc>
          <w:tcPr>
            <w:tcW w:w="4678" w:type="dxa"/>
            <w:vMerge/>
          </w:tcPr>
          <w:p w14:paraId="58A27B01" w14:textId="77777777" w:rsidR="00855155" w:rsidRPr="00B126EB" w:rsidRDefault="00855155" w:rsidP="00855155">
            <w:pPr>
              <w:cnfStyle w:val="000000000000" w:firstRow="0" w:lastRow="0" w:firstColumn="0" w:lastColumn="0" w:oddVBand="0" w:evenVBand="0" w:oddHBand="0" w:evenHBand="0" w:firstRowFirstColumn="0" w:firstRowLastColumn="0" w:lastRowFirstColumn="0" w:lastRowLastColumn="0"/>
              <w:rPr>
                <w:noProof/>
                <w:sz w:val="18"/>
                <w:szCs w:val="18"/>
              </w:rPr>
            </w:pPr>
          </w:p>
        </w:tc>
      </w:tr>
    </w:tbl>
    <w:p w14:paraId="07037DC9" w14:textId="77777777" w:rsidR="00515675" w:rsidRPr="00B126EB" w:rsidRDefault="00515675" w:rsidP="00515675">
      <w:pPr>
        <w:rPr>
          <w:b/>
          <w:bCs/>
          <w:noProof/>
          <w:color w:val="034EA2" w:themeColor="accent1"/>
        </w:rPr>
      </w:pPr>
    </w:p>
    <w:sectPr w:rsidR="00515675" w:rsidRPr="00B126EB" w:rsidSect="00A046A3">
      <w:headerReference w:type="even" r:id="rId42"/>
      <w:headerReference w:type="default" r:id="rId43"/>
      <w:footerReference w:type="even" r:id="rId44"/>
      <w:footerReference w:type="default" r:id="rId45"/>
      <w:headerReference w:type="first" r:id="rId46"/>
      <w:footerReference w:type="first" r:id="rId47"/>
      <w:pgSz w:w="16839" w:h="11907"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AA1D2" w14:textId="77777777" w:rsidR="0064354F" w:rsidRDefault="0064354F" w:rsidP="008B6253">
      <w:pPr>
        <w:spacing w:after="0"/>
      </w:pPr>
      <w:r>
        <w:separator/>
      </w:r>
    </w:p>
  </w:endnote>
  <w:endnote w:type="continuationSeparator" w:id="0">
    <w:p w14:paraId="47AE044C" w14:textId="77777777" w:rsidR="0064354F" w:rsidRDefault="0064354F" w:rsidP="008B6253">
      <w:pPr>
        <w:spacing w:after="0"/>
      </w:pPr>
      <w:r>
        <w:continuationSeparator/>
      </w:r>
    </w:p>
  </w:endnote>
  <w:endnote w:type="continuationNotice" w:id="1">
    <w:p w14:paraId="4A278816" w14:textId="77777777" w:rsidR="0064354F" w:rsidRDefault="006435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Pro">
    <w:altName w:val="Bahnschrift Light"/>
    <w:charset w:val="00"/>
    <w:family w:val="swiss"/>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92758" w14:textId="5F97EC68" w:rsidR="00DD69C6" w:rsidRPr="00DD69C6" w:rsidRDefault="00DD69C6" w:rsidP="00DD69C6">
    <w:pPr>
      <w:pStyle w:val="FooterCoverPage"/>
      <w:rPr>
        <w:rFonts w:ascii="Arial" w:hAnsi="Arial" w:cs="Arial"/>
        <w:b/>
        <w:sz w:val="48"/>
      </w:rPr>
    </w:pPr>
    <w:r w:rsidRPr="00DD69C6">
      <w:rPr>
        <w:rFonts w:ascii="Arial" w:hAnsi="Arial" w:cs="Arial"/>
        <w:b/>
        <w:sz w:val="48"/>
      </w:rPr>
      <w:t>PT</w:t>
    </w:r>
    <w:r w:rsidRPr="00DD69C6">
      <w:rPr>
        <w:rFonts w:ascii="Arial" w:hAnsi="Arial" w:cs="Arial"/>
        <w:b/>
        <w:sz w:val="48"/>
      </w:rPr>
      <w:tab/>
    </w:r>
    <w:r w:rsidRPr="00DD69C6">
      <w:rPr>
        <w:rFonts w:ascii="Arial" w:hAnsi="Arial" w:cs="Arial"/>
        <w:b/>
        <w:sz w:val="48"/>
      </w:rPr>
      <w:tab/>
    </w:r>
    <w:r w:rsidRPr="00DD69C6">
      <w:tab/>
    </w:r>
    <w:r w:rsidRPr="00DD69C6">
      <w:rPr>
        <w:rFonts w:ascii="Arial" w:hAnsi="Arial" w:cs="Arial"/>
        <w:b/>
        <w:sz w:val="48"/>
      </w:rPr>
      <w:t>PT</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FFC7" w14:textId="77777777" w:rsidR="001C2621" w:rsidRDefault="001C262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1F71" w14:textId="649A40BC" w:rsidR="001C2621" w:rsidRDefault="001C2621">
    <w:pPr>
      <w:pStyle w:val="Footer"/>
      <w:jc w:val="center"/>
      <w:rPr>
        <w:noProof/>
      </w:rPr>
    </w:pPr>
    <w:r>
      <w:fldChar w:fldCharType="begin"/>
    </w:r>
    <w:r>
      <w:instrText xml:space="preserve"> PAGE   \* MERGEFORMAT </w:instrText>
    </w:r>
    <w:r>
      <w:fldChar w:fldCharType="separate"/>
    </w:r>
    <w:r w:rsidR="004A00F6">
      <w:t>10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856E" w14:textId="77777777" w:rsidR="001C2621" w:rsidRDefault="001C2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0CC84" w14:textId="1E88472D" w:rsidR="00DD69C6" w:rsidRPr="00DD69C6" w:rsidRDefault="00DD69C6" w:rsidP="00DD69C6">
    <w:pPr>
      <w:pStyle w:val="FooterCoverPage"/>
      <w:rPr>
        <w:rFonts w:ascii="Arial" w:hAnsi="Arial" w:cs="Arial"/>
        <w:b/>
        <w:sz w:val="48"/>
      </w:rPr>
    </w:pPr>
    <w:r w:rsidRPr="00DD69C6">
      <w:rPr>
        <w:rFonts w:ascii="Arial" w:hAnsi="Arial" w:cs="Arial"/>
        <w:b/>
        <w:sz w:val="48"/>
      </w:rPr>
      <w:t>PT</w:t>
    </w:r>
    <w:r w:rsidRPr="00DD69C6">
      <w:rPr>
        <w:rFonts w:ascii="Arial" w:hAnsi="Arial" w:cs="Arial"/>
        <w:b/>
        <w:sz w:val="48"/>
      </w:rPr>
      <w:tab/>
    </w:r>
    <w:r w:rsidRPr="00DD69C6">
      <w:rPr>
        <w:rFonts w:ascii="Arial" w:hAnsi="Arial" w:cs="Arial"/>
        <w:b/>
        <w:sz w:val="48"/>
      </w:rPr>
      <w:tab/>
    </w:r>
    <w:r w:rsidRPr="00DD69C6">
      <w:tab/>
    </w:r>
    <w:r w:rsidRPr="00DD69C6">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DF68" w14:textId="77777777" w:rsidR="00DD69C6" w:rsidRPr="00DD69C6" w:rsidRDefault="00DD69C6" w:rsidP="00DD69C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073F5" w14:textId="77777777" w:rsidR="001C2621" w:rsidRDefault="001C26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C523" w14:textId="77777777" w:rsidR="001C2621" w:rsidRPr="007352EE" w:rsidRDefault="001C2621" w:rsidP="00BD68A5">
    <w:pPr>
      <w:pStyle w:val="FooterCoverPage"/>
      <w:rPr>
        <w:rFonts w:ascii="Arial" w:hAnsi="Arial" w:cs="Arial"/>
        <w:b/>
        <w:sz w:val="48"/>
      </w:rPr>
    </w:pPr>
    <w:r>
      <w:rPr>
        <w:rFonts w:ascii="Arial" w:hAnsi="Arial"/>
        <w:b/>
        <w:sz w:val="48"/>
      </w:rPr>
      <w:t>PT</w:t>
    </w:r>
    <w:r>
      <w:rPr>
        <w:rFonts w:ascii="Arial" w:hAnsi="Arial"/>
        <w:b/>
        <w:sz w:val="48"/>
      </w:rPr>
      <w:tab/>
    </w:r>
    <w:r>
      <w:rPr>
        <w:rFonts w:ascii="Arial" w:hAnsi="Arial"/>
        <w:b/>
        <w:sz w:val="48"/>
      </w:rPr>
      <w:tab/>
    </w:r>
    <w:r>
      <w:tab/>
    </w:r>
    <w:r>
      <w:rPr>
        <w:rFonts w:ascii="Arial" w:hAnsi="Arial"/>
        <w:b/>
        <w:sz w:val="48"/>
      </w:rPr>
      <w:t>PT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E83E4" w14:textId="77777777" w:rsidR="001C2621" w:rsidRDefault="001C26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B17A" w14:textId="77777777" w:rsidR="001C2621" w:rsidRDefault="001C26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095215"/>
      <w:docPartObj>
        <w:docPartGallery w:val="Page Numbers (Bottom of Page)"/>
        <w:docPartUnique/>
      </w:docPartObj>
    </w:sdtPr>
    <w:sdtEndPr>
      <w:rPr>
        <w:noProof/>
      </w:rPr>
    </w:sdtEndPr>
    <w:sdtContent>
      <w:p w14:paraId="19D1479D" w14:textId="3B3F1181" w:rsidR="001C2621" w:rsidRDefault="001C2621">
        <w:pPr>
          <w:pStyle w:val="Footer"/>
          <w:jc w:val="right"/>
        </w:pPr>
        <w:r>
          <w:fldChar w:fldCharType="begin"/>
        </w:r>
        <w:r>
          <w:instrText xml:space="preserve"> PAGE   \* MERGEFORMAT </w:instrText>
        </w:r>
        <w:r>
          <w:fldChar w:fldCharType="separate"/>
        </w:r>
        <w:r w:rsidR="00DD69C6">
          <w:rPr>
            <w:noProof/>
          </w:rPr>
          <w:t>13</w:t>
        </w:r>
        <w:r>
          <w:fldChar w:fldCharType="end"/>
        </w:r>
      </w:p>
    </w:sdtContent>
  </w:sdt>
  <w:p w14:paraId="0CB50D4F" w14:textId="77777777" w:rsidR="001C2621" w:rsidRDefault="001C262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0206" w14:textId="77777777" w:rsidR="001C2621" w:rsidRDefault="001C2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8878E" w14:textId="77777777" w:rsidR="0064354F" w:rsidRDefault="0064354F" w:rsidP="008B6253">
      <w:pPr>
        <w:spacing w:after="0"/>
      </w:pPr>
      <w:r>
        <w:separator/>
      </w:r>
    </w:p>
  </w:footnote>
  <w:footnote w:type="continuationSeparator" w:id="0">
    <w:p w14:paraId="02904CD4" w14:textId="77777777" w:rsidR="0064354F" w:rsidRDefault="0064354F" w:rsidP="008B6253">
      <w:pPr>
        <w:spacing w:after="0"/>
      </w:pPr>
      <w:r>
        <w:continuationSeparator/>
      </w:r>
    </w:p>
  </w:footnote>
  <w:footnote w:type="continuationNotice" w:id="1">
    <w:p w14:paraId="52232718" w14:textId="77777777" w:rsidR="0064354F" w:rsidRDefault="0064354F">
      <w:pPr>
        <w:spacing w:after="0"/>
      </w:pPr>
    </w:p>
  </w:footnote>
  <w:footnote w:id="2">
    <w:p w14:paraId="36A6D2BF" w14:textId="0FDCEEA8" w:rsidR="00072047" w:rsidRPr="000659B4" w:rsidRDefault="00072047" w:rsidP="00072047">
      <w:pPr>
        <w:pStyle w:val="FootnoteText"/>
        <w:ind w:left="0" w:firstLine="0"/>
      </w:pPr>
      <w:r>
        <w:rPr>
          <w:rStyle w:val="FootnoteReference"/>
        </w:rPr>
        <w:footnoteRef/>
      </w:r>
      <w:r>
        <w:t xml:space="preserve"> Em conformidade com a metodologia de repartição dos custos estabelecida na Decisão de Execução (UE) 2024/1974 da Comissão.</w:t>
      </w:r>
    </w:p>
  </w:footnote>
  <w:footnote w:id="3">
    <w:p w14:paraId="7D8748D8" w14:textId="77777777" w:rsidR="00F333BA" w:rsidRPr="001A5608" w:rsidRDefault="00F333BA" w:rsidP="00D7442D">
      <w:pPr>
        <w:pStyle w:val="FootnoteText"/>
        <w:ind w:left="0" w:firstLine="0"/>
      </w:pPr>
      <w:r>
        <w:rPr>
          <w:rStyle w:val="FootnoteReference"/>
        </w:rPr>
        <w:footnoteRef/>
      </w:r>
      <w:r>
        <w:rPr>
          <w:rStyle w:val="FootnoteReference"/>
        </w:rPr>
        <w:t xml:space="preserve"> </w:t>
      </w:r>
      <w:r>
        <w:t>Instrumento europeu de apoio temporário para atenuar os riscos de desemprego numa situação de emergência (SURE).</w:t>
      </w:r>
    </w:p>
  </w:footnote>
  <w:footnote w:id="4">
    <w:p w14:paraId="4A028087" w14:textId="2CBB7C47" w:rsidR="00F333BA" w:rsidRPr="000659B4" w:rsidRDefault="00F333BA" w:rsidP="00F333BA">
      <w:pPr>
        <w:pStyle w:val="FootnoteText"/>
        <w:ind w:left="0" w:firstLine="0"/>
      </w:pPr>
      <w:r>
        <w:rPr>
          <w:rStyle w:val="FootnoteReference"/>
        </w:rPr>
        <w:footnoteRef/>
      </w:r>
      <w:r>
        <w:t xml:space="preserve"> Elaborado em conformidade com o artigo 13.º da Decisão de Execução C(2023) 8010 da Comissão, que estabelece as disposições para a aplicação da abordagem de financiamento unificada das operações de contração de empréstimos e de gestão da dívida.</w:t>
      </w:r>
    </w:p>
  </w:footnote>
  <w:footnote w:id="5">
    <w:p w14:paraId="5D0990D6" w14:textId="4A9D86F3" w:rsidR="00F333BA" w:rsidRPr="000659B4" w:rsidRDefault="00F333BA" w:rsidP="00F333BA">
      <w:pPr>
        <w:pStyle w:val="FootnoteText"/>
        <w:ind w:left="0" w:firstLine="0"/>
      </w:pPr>
      <w:r>
        <w:rPr>
          <w:rStyle w:val="FootnoteReference"/>
        </w:rPr>
        <w:footnoteRef/>
      </w:r>
      <w:r>
        <w:t xml:space="preserve"> Ver, por exemplo, os relatórios anuais relativos ao </w:t>
      </w:r>
      <w:hyperlink r:id="rId1" w:history="1">
        <w:r>
          <w:rPr>
            <w:rStyle w:val="Hyperlink"/>
          </w:rPr>
          <w:t>Mecanismo de Recuperação e Resiliência</w:t>
        </w:r>
      </w:hyperlink>
      <w:r>
        <w:t xml:space="preserve"> e à </w:t>
      </w:r>
      <w:hyperlink r:id="rId2" w:history="1">
        <w:r>
          <w:rPr>
            <w:rStyle w:val="Hyperlink"/>
          </w:rPr>
          <w:t>assistência macrofinanceira</w:t>
        </w:r>
      </w:hyperlink>
      <w:r>
        <w:t xml:space="preserve"> e o </w:t>
      </w:r>
      <w:hyperlink r:id="rId3" w:history="1">
        <w:r>
          <w:rPr>
            <w:rStyle w:val="Hyperlink"/>
          </w:rPr>
          <w:t>relatório referente à afetação e ao impacto das obrigações verdes no quadro do NextGenerationEU</w:t>
        </w:r>
      </w:hyperlink>
      <w:r>
        <w:t xml:space="preserve">.  </w:t>
      </w:r>
    </w:p>
  </w:footnote>
  <w:footnote w:id="6">
    <w:p w14:paraId="53063AC2" w14:textId="77777777" w:rsidR="00F333BA" w:rsidRPr="000659B4" w:rsidRDefault="00F333BA" w:rsidP="00F333BA">
      <w:pPr>
        <w:pStyle w:val="FootnoteText"/>
      </w:pPr>
      <w:r>
        <w:rPr>
          <w:rStyle w:val="FootnoteReference"/>
        </w:rPr>
        <w:footnoteRef/>
      </w:r>
      <w:r>
        <w:t xml:space="preserve"> </w:t>
      </w:r>
      <w:hyperlink r:id="rId4" w:history="1">
        <w:r>
          <w:rPr>
            <w:rStyle w:val="Hyperlink"/>
          </w:rPr>
          <w:t>Relatório Especial 16/2023:</w:t>
        </w:r>
      </w:hyperlink>
      <w:hyperlink r:id="rId5" w:history="1">
        <w:r>
          <w:rPr>
            <w:rStyle w:val="Hyperlink"/>
          </w:rPr>
          <w:t xml:space="preserve"> Gestão da dívida do IRUE pela Comissão</w:t>
        </w:r>
      </w:hyperlink>
      <w:r>
        <w:t xml:space="preserve"> e </w:t>
      </w:r>
      <w:hyperlink r:id="rId6" w:history="1">
        <w:r>
          <w:rPr>
            <w:rStyle w:val="Hyperlink"/>
          </w:rPr>
          <w:t>Respostas da Comissão</w:t>
        </w:r>
      </w:hyperlink>
      <w:r>
        <w:t>.</w:t>
      </w:r>
    </w:p>
  </w:footnote>
  <w:footnote w:id="7">
    <w:p w14:paraId="3108F639" w14:textId="5E67AEF8" w:rsidR="00F333BA" w:rsidRPr="00B551F9" w:rsidRDefault="00F333BA" w:rsidP="00F333BA">
      <w:pPr>
        <w:pStyle w:val="FootnoteText"/>
        <w:ind w:left="0" w:firstLine="0"/>
      </w:pPr>
      <w:r>
        <w:rPr>
          <w:rStyle w:val="FootnoteReference"/>
        </w:rPr>
        <w:footnoteRef/>
      </w:r>
      <w:r>
        <w:t xml:space="preserve"> O relatório semestral sobre a execução das operações de contração e concessão de empréstimos da UE de 1 de janeiro de 2023 a 30 de junho de 2023 apresenta uma descrição da estratégia global de gestão da dívida; ver o quarto </w:t>
      </w:r>
      <w:hyperlink r:id="rId7" w:history="1">
        <w:r>
          <w:rPr>
            <w:rStyle w:val="Hyperlink"/>
          </w:rPr>
          <w:t>relatório semestral sobre a execução das operações de contração de empréstimos da UE (europa.eu)</w:t>
        </w:r>
      </w:hyperlink>
      <w:r>
        <w:t>.</w:t>
      </w:r>
    </w:p>
  </w:footnote>
  <w:footnote w:id="8">
    <w:p w14:paraId="0D2FD9E0" w14:textId="1193A835" w:rsidR="005C414E" w:rsidRPr="00877CA0" w:rsidRDefault="005C414E" w:rsidP="005C414E">
      <w:pPr>
        <w:pStyle w:val="FootnoteText"/>
        <w:ind w:left="113" w:hanging="113"/>
      </w:pPr>
      <w:r>
        <w:rPr>
          <w:rStyle w:val="FootnoteReference"/>
        </w:rPr>
        <w:footnoteRef/>
      </w:r>
      <w:r>
        <w:t xml:space="preserve"> Estes incluem a Plataforma de Tecnologias Estratégicas para a Europa (STEP), o Horizonte Europa, o Fundo InvestEU, a React-EU, o Mecanismo de Proteção Civil da União (RescEU), o Fundo Europeu Agrícola de Desenvolvimento Rural (FEADER) e o Fundo para uma Transição Justa.</w:t>
      </w:r>
    </w:p>
  </w:footnote>
  <w:footnote w:id="9">
    <w:p w14:paraId="7FC61A99" w14:textId="7292D153" w:rsidR="005C414E" w:rsidRPr="00C44E47" w:rsidRDefault="005C414E" w:rsidP="005C414E">
      <w:pPr>
        <w:pStyle w:val="FootnoteText"/>
        <w:ind w:left="113" w:hanging="113"/>
      </w:pPr>
      <w:r>
        <w:rPr>
          <w:rStyle w:val="FootnoteReference"/>
        </w:rPr>
        <w:footnoteRef/>
      </w:r>
      <w:r>
        <w:t xml:space="preserve"> Um montante adicional de 9,6 mil milhões de EUR relativo a despesas do NextGenerationEU foi financiado a partir de outras fontes [ou seja, o Sistema de Comércio de Licenças de Emissão da União Europeia (CELE) e a Reserva de Ajustamento ao Brexit (RAB)].</w:t>
      </w:r>
    </w:p>
  </w:footnote>
  <w:footnote w:id="10">
    <w:p w14:paraId="0AF853BC" w14:textId="2DC1F04B" w:rsidR="001C2621" w:rsidRPr="00C44E47" w:rsidRDefault="001C2621" w:rsidP="00456D3B">
      <w:pPr>
        <w:pStyle w:val="FootnoteText"/>
        <w:ind w:left="113" w:hanging="113"/>
      </w:pPr>
      <w:r>
        <w:rPr>
          <w:rStyle w:val="FootnoteReference"/>
        </w:rPr>
        <w:footnoteRef/>
      </w:r>
      <w:r>
        <w:t xml:space="preserve"> </w:t>
      </w:r>
      <w:bookmarkStart w:id="41" w:name="_Hlk187333391"/>
      <w:r>
        <w:t>Até à data, as obrigações da UE emitidas através de consórcios de emissão atraíram, no total, mais de 1 900 investidores de mais de 70 países. Mais de 65 % do investimento em consórcios de emissão de obrigações da UE é proveniente de investidores localizados na UE e quase 20 % de investidores internacionais que operam a partir do Reino Unido. O restante provém de investidores internacionais sediados na Ásia ou noutros países europeus não pertencentes à UE, como a Noruega e a Suíça. Mais de 65 % das obrigações emitidas pela UE foram adquiridas e mantidas por investidores (ou seja, gestores de fundos, companhias de seguros, fundos de pensões e bancos centrais/instituições oficiais). Regista-se igualmente uma boa representação de investidores que pretendem diferentes prazos de vencimento. Os bancos, centrais e outros (que normalmente preferem investir em obrigações com prazos de vencimento inferiores a 10 anos), representam cerca de 47 % das compras de obrigações da UE nos mercados primários em operações através de consórcios de emissão, enquanto os fundos de pensões e as companhias de seguros (que preferem prazos de vencimento superiores a 10 anos) representam mais de 20 %.</w:t>
      </w:r>
      <w:bookmarkEnd w:id="41"/>
    </w:p>
  </w:footnote>
  <w:footnote w:id="11">
    <w:p w14:paraId="24050A48" w14:textId="3C0AF7D2" w:rsidR="001C2621" w:rsidRPr="006839E6" w:rsidRDefault="001C2621" w:rsidP="006839E6">
      <w:pPr>
        <w:pStyle w:val="FootnoteText"/>
        <w:ind w:left="113" w:hanging="113"/>
      </w:pPr>
      <w:r>
        <w:rPr>
          <w:rStyle w:val="FootnoteReference"/>
        </w:rPr>
        <w:footnoteRef/>
      </w:r>
      <w:r>
        <w:t xml:space="preserve"> O prémio de novas emissões é um prémio que o emitente paga para persuadir os investidores a comprarem as suas obrigações no mercado primário e não no mercado secundário. </w:t>
      </w:r>
    </w:p>
  </w:footnote>
  <w:footnote w:id="12">
    <w:p w14:paraId="734BE8F3" w14:textId="0F78115F" w:rsidR="009E499F" w:rsidRPr="00C83356" w:rsidRDefault="009E499F" w:rsidP="009E499F">
      <w:pPr>
        <w:pStyle w:val="FootnoteText"/>
        <w:ind w:left="113" w:hanging="113"/>
      </w:pPr>
      <w:r>
        <w:rPr>
          <w:rStyle w:val="FootnoteReference"/>
        </w:rPr>
        <w:footnoteRef/>
      </w:r>
      <w:r>
        <w:rPr>
          <w:rStyle w:val="FootnoteReference"/>
        </w:rPr>
        <w:t xml:space="preserve"> </w:t>
      </w:r>
      <w:r>
        <w:t>No caso do NextGenerationEU, o custo dos juros incorridos é afetado ao orçamento da UE e aos Estados</w:t>
      </w:r>
      <w:r w:rsidR="00B126EB">
        <w:noBreakHyphen/>
      </w:r>
      <w:r>
        <w:t>Membros que recebem empréstimos, em conformidade com a metodologia definida na Decisão de Execução (UE) 2021/1095 da Comissão, bem como na Decisão de Execução (UE) 2022/9701 da Comissão e na Decisão de Execução (UE) 2024/1974 da Comissão, que lhe sucederam. Esta metodologia distingue três categorias de custos diferentes: i) o custo de financiamento dos desembolsos de apoios não reembolsáveis e de empréstimos calculado para divisões temporais de seis meses, ii) o custo da detenção e gestão de liquidez e iii) os custos administrativos. A divisão por programa tem sido possível desde que a Decisão de Execução (UE, Euratom) 2024/1974 da Comissão entrou em vigor no segundo semestre de 2024. A fim de evitar qualquer efeito retroativo, os programas que foram financiados e desembolsados antes da aplicação desta metodologia (como os empréstimos AMF+ à Ucrânia e o financiamento intercalar excecional ao abrigo do Mecanismo para a Ucrânia) continuam a ser agrupados com as operações de contração e concessão de empréstimos do NextGenerationEU ao abrigo da abordagem de financiamento unificada.</w:t>
      </w:r>
    </w:p>
  </w:footnote>
  <w:footnote w:id="13">
    <w:p w14:paraId="32030774" w14:textId="5148F7FD" w:rsidR="00515675" w:rsidRPr="00FA1F7E" w:rsidRDefault="00515675" w:rsidP="00334E91">
      <w:pPr>
        <w:pStyle w:val="FootnoteText"/>
        <w:ind w:left="142" w:hanging="142"/>
        <w:rPr>
          <w:sz w:val="18"/>
          <w:szCs w:val="18"/>
        </w:rPr>
      </w:pPr>
      <w:r>
        <w:rPr>
          <w:rStyle w:val="FootnoteReference"/>
          <w:sz w:val="18"/>
          <w:szCs w:val="18"/>
        </w:rPr>
        <w:footnoteRef/>
      </w:r>
      <w:r>
        <w:rPr>
          <w:sz w:val="18"/>
        </w:rPr>
        <w:t xml:space="preserve"> Estão disponíveis informações adicionais sobre as obrigações verdes no quadro do NextGenerationEU no painel de controlo das obrigações verdes do NextGenerationEU em: </w:t>
      </w:r>
      <w:hyperlink r:id="rId8" w:history="1">
        <w:r>
          <w:rPr>
            <w:rStyle w:val="Hyperlink"/>
            <w:sz w:val="18"/>
          </w:rPr>
          <w:t>Painel de controlo (europa.eu)</w:t>
        </w:r>
      </w:hyperlink>
      <w:r>
        <w:t>.</w:t>
      </w:r>
    </w:p>
  </w:footnote>
  <w:footnote w:id="14">
    <w:p w14:paraId="3941AC4E" w14:textId="27029CD1" w:rsidR="00515675" w:rsidRPr="00FA1F7E" w:rsidRDefault="00515675" w:rsidP="00515675">
      <w:pPr>
        <w:spacing w:after="0"/>
        <w:rPr>
          <w:sz w:val="18"/>
          <w:szCs w:val="18"/>
        </w:rPr>
      </w:pPr>
      <w:r>
        <w:rPr>
          <w:rStyle w:val="FootnoteReference"/>
          <w:sz w:val="18"/>
          <w:szCs w:val="18"/>
        </w:rPr>
        <w:footnoteRef/>
      </w:r>
      <w:r>
        <w:rPr>
          <w:sz w:val="18"/>
        </w:rPr>
        <w:t xml:space="preserve"> Com base no número médio de meses entre uma nova emissão e a primeira emissão contínua, tendo em conta as novas linhas emitidas de forma contínua durante o S2 2024</w:t>
      </w:r>
      <w:r>
        <w:t>.</w:t>
      </w:r>
    </w:p>
    <w:p w14:paraId="277C0AE6" w14:textId="77777777" w:rsidR="00515675" w:rsidRPr="00391716" w:rsidRDefault="00515675" w:rsidP="00515675">
      <w:pPr>
        <w:pStyle w:val="FootnoteText"/>
        <w:ind w:left="0" w:firstLine="0"/>
        <w:rPr>
          <w:sz w:val="18"/>
          <w:szCs w:val="18"/>
        </w:rPr>
      </w:pPr>
    </w:p>
  </w:footnote>
  <w:footnote w:id="15">
    <w:p w14:paraId="5CBAD5DF" w14:textId="6D9322A9" w:rsidR="00515675" w:rsidRPr="0002172B" w:rsidRDefault="00515675" w:rsidP="00515675">
      <w:pPr>
        <w:pStyle w:val="FootnoteText"/>
      </w:pPr>
      <w:r>
        <w:rPr>
          <w:rStyle w:val="FootnoteReference"/>
          <w:sz w:val="18"/>
          <w:szCs w:val="18"/>
        </w:rPr>
        <w:footnoteRef/>
      </w:r>
      <w:r>
        <w:rPr>
          <w:sz w:val="18"/>
        </w:rPr>
        <w:t xml:space="preserve"> Obrigações pendentes acima do número de obrigações no final do S2 2024, com base em obrigações emitidas ao abrigo da estratégia de financiamento diversificada.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95BB7" w14:textId="77777777" w:rsidR="00DD69C6" w:rsidRPr="00DD69C6" w:rsidRDefault="00DD69C6" w:rsidP="00DD69C6">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7D7D" w14:textId="77777777" w:rsidR="001C2621" w:rsidRDefault="001C26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654C" w14:textId="77777777" w:rsidR="001C2621" w:rsidRDefault="001C26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6542" w14:textId="77777777" w:rsidR="001C2621" w:rsidRDefault="001C2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AAEA3" w14:textId="77777777" w:rsidR="00DD69C6" w:rsidRPr="00DD69C6" w:rsidRDefault="00DD69C6" w:rsidP="00DD69C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6C226" w14:textId="77777777" w:rsidR="00DD69C6" w:rsidRPr="00DD69C6" w:rsidRDefault="00DD69C6" w:rsidP="00DD69C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2ED0" w14:textId="77777777" w:rsidR="001C2621" w:rsidRDefault="001C26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83EC3" w14:textId="77777777" w:rsidR="001C2621" w:rsidRDefault="001C26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F291" w14:textId="77777777" w:rsidR="001C2621" w:rsidRDefault="001C26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6167" w14:textId="77777777" w:rsidR="001C2621" w:rsidRDefault="001C26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BCEE" w14:textId="77777777" w:rsidR="001C2621" w:rsidRPr="00657B16" w:rsidRDefault="001C2621" w:rsidP="008927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9C5B" w14:textId="77777777" w:rsidR="001C2621" w:rsidRDefault="001C2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7285"/>
    <w:multiLevelType w:val="hybridMultilevel"/>
    <w:tmpl w:val="03C0452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161A4A"/>
    <w:multiLevelType w:val="hybridMultilevel"/>
    <w:tmpl w:val="9D847452"/>
    <w:lvl w:ilvl="0" w:tplc="0D9A2F4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BB670D"/>
    <w:multiLevelType w:val="hybridMultilevel"/>
    <w:tmpl w:val="7C3C86A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F15449"/>
    <w:multiLevelType w:val="hybridMultilevel"/>
    <w:tmpl w:val="680CEC7A"/>
    <w:lvl w:ilvl="0" w:tplc="4DC4E9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194ED2"/>
    <w:multiLevelType w:val="hybridMultilevel"/>
    <w:tmpl w:val="2B06D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55A0B"/>
    <w:multiLevelType w:val="hybridMultilevel"/>
    <w:tmpl w:val="04DCAB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66335"/>
    <w:multiLevelType w:val="hybridMultilevel"/>
    <w:tmpl w:val="505C6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7E7CA7"/>
    <w:multiLevelType w:val="hybridMultilevel"/>
    <w:tmpl w:val="DC8443FA"/>
    <w:lvl w:ilvl="0" w:tplc="36305444">
      <w:start w:val="1"/>
      <w:numFmt w:val="bullet"/>
      <w:lvlText w:val="-"/>
      <w:lvlJc w:val="left"/>
      <w:pPr>
        <w:ind w:left="720" w:hanging="360"/>
      </w:pPr>
      <w:rPr>
        <w:rFonts w:ascii="EC Square Sans Pro" w:eastAsia="Times New Roman" w:hAnsi="EC Square Sans Pro" w:cs="Times New Roman" w:hint="default"/>
        <w:b/>
        <w:bCs/>
        <w:color w:val="70AD47" w:themeColor="accent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F05598"/>
    <w:multiLevelType w:val="hybridMultilevel"/>
    <w:tmpl w:val="2C3074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D43C7C"/>
    <w:multiLevelType w:val="hybridMultilevel"/>
    <w:tmpl w:val="58C04AA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5614371"/>
    <w:multiLevelType w:val="hybridMultilevel"/>
    <w:tmpl w:val="7C3C86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A71202"/>
    <w:multiLevelType w:val="hybridMultilevel"/>
    <w:tmpl w:val="28CCA644"/>
    <w:lvl w:ilvl="0" w:tplc="111E0DF2">
      <w:start w:val="1"/>
      <w:numFmt w:val="bullet"/>
      <w:lvlText w:val=""/>
      <w:lvlJc w:val="left"/>
      <w:pPr>
        <w:ind w:left="720" w:hanging="360"/>
      </w:pPr>
      <w:rPr>
        <w:rFonts w:ascii="Symbol" w:hAnsi="Symbol" w:hint="default"/>
        <w:color w:val="034EA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084BB5"/>
    <w:multiLevelType w:val="hybridMultilevel"/>
    <w:tmpl w:val="DFC08A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751D3"/>
    <w:multiLevelType w:val="hybridMultilevel"/>
    <w:tmpl w:val="2CA2CE64"/>
    <w:lvl w:ilvl="0" w:tplc="6ECAA736">
      <w:start w:val="1"/>
      <w:numFmt w:val="lowerRoman"/>
      <w:lvlText w:val="%1."/>
      <w:lvlJc w:val="right"/>
      <w:pPr>
        <w:ind w:left="720" w:hanging="360"/>
      </w:pPr>
      <w:rPr>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E24E98"/>
    <w:multiLevelType w:val="hybridMultilevel"/>
    <w:tmpl w:val="E37CC0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27F54"/>
    <w:multiLevelType w:val="hybridMultilevel"/>
    <w:tmpl w:val="010A5B40"/>
    <w:lvl w:ilvl="0" w:tplc="42947A9C">
      <w:start w:val="1"/>
      <w:numFmt w:val="bullet"/>
      <w:lvlText w:val="•"/>
      <w:lvlJc w:val="left"/>
      <w:pPr>
        <w:tabs>
          <w:tab w:val="num" w:pos="720"/>
        </w:tabs>
        <w:ind w:left="720" w:hanging="360"/>
      </w:pPr>
      <w:rPr>
        <w:rFonts w:ascii="Arial" w:hAnsi="Arial" w:hint="default"/>
      </w:rPr>
    </w:lvl>
    <w:lvl w:ilvl="1" w:tplc="215AC05A" w:tentative="1">
      <w:start w:val="1"/>
      <w:numFmt w:val="bullet"/>
      <w:lvlText w:val="•"/>
      <w:lvlJc w:val="left"/>
      <w:pPr>
        <w:tabs>
          <w:tab w:val="num" w:pos="1440"/>
        </w:tabs>
        <w:ind w:left="1440" w:hanging="360"/>
      </w:pPr>
      <w:rPr>
        <w:rFonts w:ascii="Arial" w:hAnsi="Arial" w:hint="default"/>
      </w:rPr>
    </w:lvl>
    <w:lvl w:ilvl="2" w:tplc="ADD695E0" w:tentative="1">
      <w:start w:val="1"/>
      <w:numFmt w:val="bullet"/>
      <w:lvlText w:val="•"/>
      <w:lvlJc w:val="left"/>
      <w:pPr>
        <w:tabs>
          <w:tab w:val="num" w:pos="2160"/>
        </w:tabs>
        <w:ind w:left="2160" w:hanging="360"/>
      </w:pPr>
      <w:rPr>
        <w:rFonts w:ascii="Arial" w:hAnsi="Arial" w:hint="default"/>
      </w:rPr>
    </w:lvl>
    <w:lvl w:ilvl="3" w:tplc="529CBC18" w:tentative="1">
      <w:start w:val="1"/>
      <w:numFmt w:val="bullet"/>
      <w:lvlText w:val="•"/>
      <w:lvlJc w:val="left"/>
      <w:pPr>
        <w:tabs>
          <w:tab w:val="num" w:pos="2880"/>
        </w:tabs>
        <w:ind w:left="2880" w:hanging="360"/>
      </w:pPr>
      <w:rPr>
        <w:rFonts w:ascii="Arial" w:hAnsi="Arial" w:hint="default"/>
      </w:rPr>
    </w:lvl>
    <w:lvl w:ilvl="4" w:tplc="87264A7C" w:tentative="1">
      <w:start w:val="1"/>
      <w:numFmt w:val="bullet"/>
      <w:lvlText w:val="•"/>
      <w:lvlJc w:val="left"/>
      <w:pPr>
        <w:tabs>
          <w:tab w:val="num" w:pos="3600"/>
        </w:tabs>
        <w:ind w:left="3600" w:hanging="360"/>
      </w:pPr>
      <w:rPr>
        <w:rFonts w:ascii="Arial" w:hAnsi="Arial" w:hint="default"/>
      </w:rPr>
    </w:lvl>
    <w:lvl w:ilvl="5" w:tplc="0C662316" w:tentative="1">
      <w:start w:val="1"/>
      <w:numFmt w:val="bullet"/>
      <w:lvlText w:val="•"/>
      <w:lvlJc w:val="left"/>
      <w:pPr>
        <w:tabs>
          <w:tab w:val="num" w:pos="4320"/>
        </w:tabs>
        <w:ind w:left="4320" w:hanging="360"/>
      </w:pPr>
      <w:rPr>
        <w:rFonts w:ascii="Arial" w:hAnsi="Arial" w:hint="default"/>
      </w:rPr>
    </w:lvl>
    <w:lvl w:ilvl="6" w:tplc="6BB69D36" w:tentative="1">
      <w:start w:val="1"/>
      <w:numFmt w:val="bullet"/>
      <w:lvlText w:val="•"/>
      <w:lvlJc w:val="left"/>
      <w:pPr>
        <w:tabs>
          <w:tab w:val="num" w:pos="5040"/>
        </w:tabs>
        <w:ind w:left="5040" w:hanging="360"/>
      </w:pPr>
      <w:rPr>
        <w:rFonts w:ascii="Arial" w:hAnsi="Arial" w:hint="default"/>
      </w:rPr>
    </w:lvl>
    <w:lvl w:ilvl="7" w:tplc="AF4A540C" w:tentative="1">
      <w:start w:val="1"/>
      <w:numFmt w:val="bullet"/>
      <w:lvlText w:val="•"/>
      <w:lvlJc w:val="left"/>
      <w:pPr>
        <w:tabs>
          <w:tab w:val="num" w:pos="5760"/>
        </w:tabs>
        <w:ind w:left="5760" w:hanging="360"/>
      </w:pPr>
      <w:rPr>
        <w:rFonts w:ascii="Arial" w:hAnsi="Arial" w:hint="default"/>
      </w:rPr>
    </w:lvl>
    <w:lvl w:ilvl="8" w:tplc="CAF800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120080"/>
    <w:multiLevelType w:val="hybridMultilevel"/>
    <w:tmpl w:val="9D4E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473A4"/>
    <w:multiLevelType w:val="hybridMultilevel"/>
    <w:tmpl w:val="6D3E5978"/>
    <w:lvl w:ilvl="0" w:tplc="CDBC193C">
      <w:start w:val="1"/>
      <w:numFmt w:val="bullet"/>
      <w:lvlText w:val=""/>
      <w:lvlJc w:val="left"/>
      <w:pPr>
        <w:ind w:left="360" w:hanging="360"/>
      </w:pPr>
      <w:rPr>
        <w:rFonts w:ascii="Symbol" w:hAnsi="Symbol" w:hint="default"/>
        <w:color w:val="034EA2"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C62327"/>
    <w:multiLevelType w:val="hybridMultilevel"/>
    <w:tmpl w:val="7E726144"/>
    <w:lvl w:ilvl="0" w:tplc="F1D08040">
      <w:start w:val="1"/>
      <w:numFmt w:val="bullet"/>
      <w:lvlText w:val="•"/>
      <w:lvlJc w:val="left"/>
      <w:pPr>
        <w:tabs>
          <w:tab w:val="num" w:pos="720"/>
        </w:tabs>
        <w:ind w:left="720" w:hanging="360"/>
      </w:pPr>
      <w:rPr>
        <w:rFonts w:ascii="Arial" w:hAnsi="Arial" w:hint="default"/>
      </w:rPr>
    </w:lvl>
    <w:lvl w:ilvl="1" w:tplc="925C4DA6" w:tentative="1">
      <w:start w:val="1"/>
      <w:numFmt w:val="bullet"/>
      <w:lvlText w:val="•"/>
      <w:lvlJc w:val="left"/>
      <w:pPr>
        <w:tabs>
          <w:tab w:val="num" w:pos="1440"/>
        </w:tabs>
        <w:ind w:left="1440" w:hanging="360"/>
      </w:pPr>
      <w:rPr>
        <w:rFonts w:ascii="Arial" w:hAnsi="Arial" w:hint="default"/>
      </w:rPr>
    </w:lvl>
    <w:lvl w:ilvl="2" w:tplc="3E7C8AA6" w:tentative="1">
      <w:start w:val="1"/>
      <w:numFmt w:val="bullet"/>
      <w:lvlText w:val="•"/>
      <w:lvlJc w:val="left"/>
      <w:pPr>
        <w:tabs>
          <w:tab w:val="num" w:pos="2160"/>
        </w:tabs>
        <w:ind w:left="2160" w:hanging="360"/>
      </w:pPr>
      <w:rPr>
        <w:rFonts w:ascii="Arial" w:hAnsi="Arial" w:hint="default"/>
      </w:rPr>
    </w:lvl>
    <w:lvl w:ilvl="3" w:tplc="A94A1B4E" w:tentative="1">
      <w:start w:val="1"/>
      <w:numFmt w:val="bullet"/>
      <w:lvlText w:val="•"/>
      <w:lvlJc w:val="left"/>
      <w:pPr>
        <w:tabs>
          <w:tab w:val="num" w:pos="2880"/>
        </w:tabs>
        <w:ind w:left="2880" w:hanging="360"/>
      </w:pPr>
      <w:rPr>
        <w:rFonts w:ascii="Arial" w:hAnsi="Arial" w:hint="default"/>
      </w:rPr>
    </w:lvl>
    <w:lvl w:ilvl="4" w:tplc="08D8C6E0" w:tentative="1">
      <w:start w:val="1"/>
      <w:numFmt w:val="bullet"/>
      <w:lvlText w:val="•"/>
      <w:lvlJc w:val="left"/>
      <w:pPr>
        <w:tabs>
          <w:tab w:val="num" w:pos="3600"/>
        </w:tabs>
        <w:ind w:left="3600" w:hanging="360"/>
      </w:pPr>
      <w:rPr>
        <w:rFonts w:ascii="Arial" w:hAnsi="Arial" w:hint="default"/>
      </w:rPr>
    </w:lvl>
    <w:lvl w:ilvl="5" w:tplc="39109110" w:tentative="1">
      <w:start w:val="1"/>
      <w:numFmt w:val="bullet"/>
      <w:lvlText w:val="•"/>
      <w:lvlJc w:val="left"/>
      <w:pPr>
        <w:tabs>
          <w:tab w:val="num" w:pos="4320"/>
        </w:tabs>
        <w:ind w:left="4320" w:hanging="360"/>
      </w:pPr>
      <w:rPr>
        <w:rFonts w:ascii="Arial" w:hAnsi="Arial" w:hint="default"/>
      </w:rPr>
    </w:lvl>
    <w:lvl w:ilvl="6" w:tplc="BA8032D4" w:tentative="1">
      <w:start w:val="1"/>
      <w:numFmt w:val="bullet"/>
      <w:lvlText w:val="•"/>
      <w:lvlJc w:val="left"/>
      <w:pPr>
        <w:tabs>
          <w:tab w:val="num" w:pos="5040"/>
        </w:tabs>
        <w:ind w:left="5040" w:hanging="360"/>
      </w:pPr>
      <w:rPr>
        <w:rFonts w:ascii="Arial" w:hAnsi="Arial" w:hint="default"/>
      </w:rPr>
    </w:lvl>
    <w:lvl w:ilvl="7" w:tplc="72C2EF70" w:tentative="1">
      <w:start w:val="1"/>
      <w:numFmt w:val="bullet"/>
      <w:lvlText w:val="•"/>
      <w:lvlJc w:val="left"/>
      <w:pPr>
        <w:tabs>
          <w:tab w:val="num" w:pos="5760"/>
        </w:tabs>
        <w:ind w:left="5760" w:hanging="360"/>
      </w:pPr>
      <w:rPr>
        <w:rFonts w:ascii="Arial" w:hAnsi="Arial" w:hint="default"/>
      </w:rPr>
    </w:lvl>
    <w:lvl w:ilvl="8" w:tplc="22848B5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112BB0"/>
    <w:multiLevelType w:val="hybridMultilevel"/>
    <w:tmpl w:val="E9527C90"/>
    <w:lvl w:ilvl="0" w:tplc="0F465D34">
      <w:start w:val="12"/>
      <w:numFmt w:val="bullet"/>
      <w:lvlText w:val="-"/>
      <w:lvlJc w:val="left"/>
      <w:pPr>
        <w:ind w:left="720" w:hanging="360"/>
      </w:pPr>
      <w:rPr>
        <w:rFonts w:ascii="Verdana" w:eastAsia="Times New Roman" w:hAnsi="Verdana"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A63F3E"/>
    <w:multiLevelType w:val="hybridMultilevel"/>
    <w:tmpl w:val="15F6BF5C"/>
    <w:lvl w:ilvl="0" w:tplc="FFFFFFFF">
      <w:start w:val="4"/>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1E926F6"/>
    <w:multiLevelType w:val="hybridMultilevel"/>
    <w:tmpl w:val="9282F37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D205736"/>
    <w:multiLevelType w:val="multilevel"/>
    <w:tmpl w:val="FC98DC46"/>
    <w:lvl w:ilvl="0">
      <w:start w:val="1"/>
      <w:numFmt w:val="decimal"/>
      <w:pStyle w:val="Heading1"/>
      <w:lvlText w:val="%1."/>
      <w:lvlJc w:val="left"/>
      <w:pPr>
        <w:ind w:left="502" w:hanging="360"/>
      </w:pPr>
    </w:lvl>
    <w:lvl w:ilvl="1">
      <w:start w:val="2"/>
      <w:numFmt w:val="decimal"/>
      <w:isLgl/>
      <w:lvlText w:val="%1.%2"/>
      <w:lvlJc w:val="left"/>
      <w:pPr>
        <w:ind w:left="720" w:hanging="360"/>
      </w:pPr>
      <w:rPr>
        <w:rFonts w:hint="default"/>
        <w:b/>
      </w:rPr>
    </w:lvl>
    <w:lvl w:ilvl="2">
      <w:start w:val="1"/>
      <w:numFmt w:val="decimalZero"/>
      <w:isLgl/>
      <w:lvlText w:val="%1.%2.%3"/>
      <w:lvlJc w:val="left"/>
      <w:pPr>
        <w:ind w:left="1298" w:hanging="720"/>
      </w:pPr>
      <w:rPr>
        <w:rFonts w:hint="default"/>
        <w:b/>
      </w:rPr>
    </w:lvl>
    <w:lvl w:ilvl="3">
      <w:start w:val="1"/>
      <w:numFmt w:val="decimal"/>
      <w:isLgl/>
      <w:lvlText w:val="%1.%2.%3.%4"/>
      <w:lvlJc w:val="left"/>
      <w:pPr>
        <w:ind w:left="1516" w:hanging="720"/>
      </w:pPr>
      <w:rPr>
        <w:rFonts w:hint="default"/>
        <w:b/>
      </w:rPr>
    </w:lvl>
    <w:lvl w:ilvl="4">
      <w:start w:val="1"/>
      <w:numFmt w:val="decimal"/>
      <w:isLgl/>
      <w:lvlText w:val="%1.%2.%3.%4.%5"/>
      <w:lvlJc w:val="left"/>
      <w:pPr>
        <w:ind w:left="2094" w:hanging="1080"/>
      </w:pPr>
      <w:rPr>
        <w:rFonts w:hint="default"/>
        <w:b/>
      </w:rPr>
    </w:lvl>
    <w:lvl w:ilvl="5">
      <w:start w:val="1"/>
      <w:numFmt w:val="decimal"/>
      <w:isLgl/>
      <w:lvlText w:val="%1.%2.%3.%4.%5.%6"/>
      <w:lvlJc w:val="left"/>
      <w:pPr>
        <w:ind w:left="2312" w:hanging="1080"/>
      </w:pPr>
      <w:rPr>
        <w:rFonts w:hint="default"/>
        <w:b/>
      </w:rPr>
    </w:lvl>
    <w:lvl w:ilvl="6">
      <w:start w:val="1"/>
      <w:numFmt w:val="decimal"/>
      <w:isLgl/>
      <w:lvlText w:val="%1.%2.%3.%4.%5.%6.%7"/>
      <w:lvlJc w:val="left"/>
      <w:pPr>
        <w:ind w:left="2890" w:hanging="1440"/>
      </w:pPr>
      <w:rPr>
        <w:rFonts w:hint="default"/>
        <w:b/>
      </w:rPr>
    </w:lvl>
    <w:lvl w:ilvl="7">
      <w:start w:val="1"/>
      <w:numFmt w:val="decimal"/>
      <w:isLgl/>
      <w:lvlText w:val="%1.%2.%3.%4.%5.%6.%7.%8"/>
      <w:lvlJc w:val="left"/>
      <w:pPr>
        <w:ind w:left="3468" w:hanging="1800"/>
      </w:pPr>
      <w:rPr>
        <w:rFonts w:hint="default"/>
        <w:b/>
      </w:rPr>
    </w:lvl>
    <w:lvl w:ilvl="8">
      <w:start w:val="1"/>
      <w:numFmt w:val="decimal"/>
      <w:isLgl/>
      <w:lvlText w:val="%1.%2.%3.%4.%5.%6.%7.%8.%9"/>
      <w:lvlJc w:val="left"/>
      <w:pPr>
        <w:ind w:left="3686" w:hanging="1800"/>
      </w:pPr>
      <w:rPr>
        <w:rFonts w:hint="default"/>
        <w:b/>
      </w:rPr>
    </w:lvl>
  </w:abstractNum>
  <w:abstractNum w:abstractNumId="24" w15:restartNumberingAfterBreak="0">
    <w:nsid w:val="65926EE4"/>
    <w:multiLevelType w:val="hybridMultilevel"/>
    <w:tmpl w:val="D26402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32E50"/>
    <w:multiLevelType w:val="hybridMultilevel"/>
    <w:tmpl w:val="D80CFA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5426B"/>
    <w:multiLevelType w:val="hybridMultilevel"/>
    <w:tmpl w:val="04DCA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92166D"/>
    <w:multiLevelType w:val="hybridMultilevel"/>
    <w:tmpl w:val="135AE8A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C140E52"/>
    <w:multiLevelType w:val="hybridMultilevel"/>
    <w:tmpl w:val="3188A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B829CE"/>
    <w:multiLevelType w:val="hybridMultilevel"/>
    <w:tmpl w:val="0D56E2F8"/>
    <w:lvl w:ilvl="0" w:tplc="D67042A2">
      <w:start w:val="1"/>
      <w:numFmt w:val="bullet"/>
      <w:lvlText w:val="•"/>
      <w:lvlJc w:val="left"/>
      <w:pPr>
        <w:tabs>
          <w:tab w:val="num" w:pos="720"/>
        </w:tabs>
        <w:ind w:left="720" w:hanging="360"/>
      </w:pPr>
      <w:rPr>
        <w:rFonts w:ascii="Arial" w:hAnsi="Arial" w:hint="default"/>
      </w:rPr>
    </w:lvl>
    <w:lvl w:ilvl="1" w:tplc="C5A001CA" w:tentative="1">
      <w:start w:val="1"/>
      <w:numFmt w:val="bullet"/>
      <w:lvlText w:val="•"/>
      <w:lvlJc w:val="left"/>
      <w:pPr>
        <w:tabs>
          <w:tab w:val="num" w:pos="1440"/>
        </w:tabs>
        <w:ind w:left="1440" w:hanging="360"/>
      </w:pPr>
      <w:rPr>
        <w:rFonts w:ascii="Arial" w:hAnsi="Arial" w:hint="default"/>
      </w:rPr>
    </w:lvl>
    <w:lvl w:ilvl="2" w:tplc="0966FE9E" w:tentative="1">
      <w:start w:val="1"/>
      <w:numFmt w:val="bullet"/>
      <w:lvlText w:val="•"/>
      <w:lvlJc w:val="left"/>
      <w:pPr>
        <w:tabs>
          <w:tab w:val="num" w:pos="2160"/>
        </w:tabs>
        <w:ind w:left="2160" w:hanging="360"/>
      </w:pPr>
      <w:rPr>
        <w:rFonts w:ascii="Arial" w:hAnsi="Arial" w:hint="default"/>
      </w:rPr>
    </w:lvl>
    <w:lvl w:ilvl="3" w:tplc="B6BAA56C" w:tentative="1">
      <w:start w:val="1"/>
      <w:numFmt w:val="bullet"/>
      <w:lvlText w:val="•"/>
      <w:lvlJc w:val="left"/>
      <w:pPr>
        <w:tabs>
          <w:tab w:val="num" w:pos="2880"/>
        </w:tabs>
        <w:ind w:left="2880" w:hanging="360"/>
      </w:pPr>
      <w:rPr>
        <w:rFonts w:ascii="Arial" w:hAnsi="Arial" w:hint="default"/>
      </w:rPr>
    </w:lvl>
    <w:lvl w:ilvl="4" w:tplc="AC3E3172" w:tentative="1">
      <w:start w:val="1"/>
      <w:numFmt w:val="bullet"/>
      <w:lvlText w:val="•"/>
      <w:lvlJc w:val="left"/>
      <w:pPr>
        <w:tabs>
          <w:tab w:val="num" w:pos="3600"/>
        </w:tabs>
        <w:ind w:left="3600" w:hanging="360"/>
      </w:pPr>
      <w:rPr>
        <w:rFonts w:ascii="Arial" w:hAnsi="Arial" w:hint="default"/>
      </w:rPr>
    </w:lvl>
    <w:lvl w:ilvl="5" w:tplc="3F4472FC" w:tentative="1">
      <w:start w:val="1"/>
      <w:numFmt w:val="bullet"/>
      <w:lvlText w:val="•"/>
      <w:lvlJc w:val="left"/>
      <w:pPr>
        <w:tabs>
          <w:tab w:val="num" w:pos="4320"/>
        </w:tabs>
        <w:ind w:left="4320" w:hanging="360"/>
      </w:pPr>
      <w:rPr>
        <w:rFonts w:ascii="Arial" w:hAnsi="Arial" w:hint="default"/>
      </w:rPr>
    </w:lvl>
    <w:lvl w:ilvl="6" w:tplc="9392BC8A" w:tentative="1">
      <w:start w:val="1"/>
      <w:numFmt w:val="bullet"/>
      <w:lvlText w:val="•"/>
      <w:lvlJc w:val="left"/>
      <w:pPr>
        <w:tabs>
          <w:tab w:val="num" w:pos="5040"/>
        </w:tabs>
        <w:ind w:left="5040" w:hanging="360"/>
      </w:pPr>
      <w:rPr>
        <w:rFonts w:ascii="Arial" w:hAnsi="Arial" w:hint="default"/>
      </w:rPr>
    </w:lvl>
    <w:lvl w:ilvl="7" w:tplc="A95A6D3A" w:tentative="1">
      <w:start w:val="1"/>
      <w:numFmt w:val="bullet"/>
      <w:lvlText w:val="•"/>
      <w:lvlJc w:val="left"/>
      <w:pPr>
        <w:tabs>
          <w:tab w:val="num" w:pos="5760"/>
        </w:tabs>
        <w:ind w:left="5760" w:hanging="360"/>
      </w:pPr>
      <w:rPr>
        <w:rFonts w:ascii="Arial" w:hAnsi="Arial" w:hint="default"/>
      </w:rPr>
    </w:lvl>
    <w:lvl w:ilvl="8" w:tplc="C9DCB5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F34744"/>
    <w:multiLevelType w:val="hybridMultilevel"/>
    <w:tmpl w:val="88DCC72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D7B3804"/>
    <w:multiLevelType w:val="hybridMultilevel"/>
    <w:tmpl w:val="9282F37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B27204"/>
    <w:multiLevelType w:val="hybridMultilevel"/>
    <w:tmpl w:val="15F6BF5C"/>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28"/>
  </w:num>
  <w:num w:numId="3">
    <w:abstractNumId w:val="1"/>
  </w:num>
  <w:num w:numId="4">
    <w:abstractNumId w:val="20"/>
  </w:num>
  <w:num w:numId="5">
    <w:abstractNumId w:val="8"/>
  </w:num>
  <w:num w:numId="6">
    <w:abstractNumId w:val="10"/>
  </w:num>
  <w:num w:numId="7">
    <w:abstractNumId w:val="13"/>
  </w:num>
  <w:num w:numId="8">
    <w:abstractNumId w:val="15"/>
  </w:num>
  <w:num w:numId="9">
    <w:abstractNumId w:val="4"/>
  </w:num>
  <w:num w:numId="10">
    <w:abstractNumId w:val="11"/>
  </w:num>
  <w:num w:numId="11">
    <w:abstractNumId w:val="25"/>
  </w:num>
  <w:num w:numId="12">
    <w:abstractNumId w:val="24"/>
  </w:num>
  <w:num w:numId="13">
    <w:abstractNumId w:val="26"/>
  </w:num>
  <w:num w:numId="14">
    <w:abstractNumId w:val="32"/>
  </w:num>
  <w:num w:numId="15">
    <w:abstractNumId w:val="18"/>
  </w:num>
  <w:num w:numId="16">
    <w:abstractNumId w:val="5"/>
  </w:num>
  <w:num w:numId="17">
    <w:abstractNumId w:val="17"/>
  </w:num>
  <w:num w:numId="1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2"/>
  </w:num>
  <w:num w:numId="21">
    <w:abstractNumId w:val="9"/>
  </w:num>
  <w:num w:numId="22">
    <w:abstractNumId w:val="30"/>
  </w:num>
  <w:num w:numId="23">
    <w:abstractNumId w:val="31"/>
  </w:num>
  <w:num w:numId="24">
    <w:abstractNumId w:val="0"/>
  </w:num>
  <w:num w:numId="25">
    <w:abstractNumId w:val="14"/>
  </w:num>
  <w:num w:numId="26">
    <w:abstractNumId w:val="27"/>
  </w:num>
  <w:num w:numId="27">
    <w:abstractNumId w:val="2"/>
  </w:num>
  <w:num w:numId="28">
    <w:abstractNumId w:val="21"/>
  </w:num>
  <w:num w:numId="29">
    <w:abstractNumId w:val="7"/>
  </w:num>
  <w:num w:numId="30">
    <w:abstractNumId w:val="3"/>
  </w:num>
  <w:num w:numId="31">
    <w:abstractNumId w:val="12"/>
  </w:num>
  <w:num w:numId="32">
    <w:abstractNumId w:val="12"/>
  </w:num>
  <w:num w:numId="33">
    <w:abstractNumId w:val="12"/>
  </w:num>
  <w:num w:numId="34">
    <w:abstractNumId w:val="29"/>
  </w:num>
  <w:num w:numId="35">
    <w:abstractNumId w:val="19"/>
  </w:num>
  <w:num w:numId="36">
    <w:abstractNumId w:val="16"/>
  </w:num>
  <w:num w:numId="3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120"/>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03C6E0F4-DDE1-46E4-BB23-1C2C41BA331E"/>
    <w:docVar w:name="LW_COVERPAGE_TYPE" w:val="1"/>
    <w:docVar w:name="LW_CROSSREFERENCE" w:val="&lt;UNUSED&gt;"/>
    <w:docVar w:name="LW_DocType" w:val="NORMAL"/>
    <w:docVar w:name="LW_EMISSION" w:val="12.3.2025"/>
    <w:docVar w:name="LW_EMISSION_ISODATE" w:val="2025-03-12"/>
    <w:docVar w:name="LW_EMISSION_LOCATION" w:val="BRX"/>
    <w:docVar w:name="LW_EMISSION_PREFIX" w:val="Bruxelas, "/>
    <w:docVar w:name="LW_EMISSION_SUFFIX" w:val=" "/>
    <w:docVar w:name="LW_ID_DOCTYPE_NONLW" w:val="CP-006"/>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5) 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latório semestral sobre a execução das operações de contração de empréstimos, das operações de gestão da dívida e das operações conexas de concessão de empréstimos, nos termos do artigo 13.º da Decisão de Execução C(2023)8010 da Comissão_x000d__x000d__x000d__x000d__x000d__x000d__x000d__x000d__x000d__x000d__x000d__x000b__x000d__x000d__x000d__x000d__x000d__x000d__x000d__x000d__x000d__x000d__x000d__x000b__x000d__x000d__x000d__x000d__x000d__x000d__x000d__x000d__x000d__x000d__x000d__x000d__x000d__x000d__x000d__x000d__x000d__x000d__x000b__x000d__x000d__x000d__x000d__x000d__x000d__x000d__x000d__x000d__x000d__x000d__x000d__x000d__x000d__x000d__x000d__x000d__x000b__x000d_1 de julho a 31 de dezembro de 2024_x000d__x000d__x000d__x000d__x000d__x000d__x000d__x000d__x000d__x000d__x000d__x000d__x000d__x000d__x000d__x000d__x000d__x000d__x000b__x000d__x000d__x000d__x000d__x000d__x000d__x000d__x000d__x000d__x000d__x000d__x000d__x000d__x000d__x000d__x000d__x000d__x000b__x000d_"/>
    <w:docVar w:name="LW_TYPE.DOC.CP" w:val="RELATÓRIO DA COMISSÃO AO PARLAMENTO EUROPEU E AO CONSELHO"/>
    <w:docVar w:name="LwApiVersions" w:val="LW4CoDe 1.24.5.0; LW 9.0, Build 20240221"/>
  </w:docVars>
  <w:rsids>
    <w:rsidRoot w:val="008B6253"/>
    <w:rsid w:val="000006A3"/>
    <w:rsid w:val="000016AC"/>
    <w:rsid w:val="0000198B"/>
    <w:rsid w:val="00001C79"/>
    <w:rsid w:val="00002581"/>
    <w:rsid w:val="000025FB"/>
    <w:rsid w:val="000027C3"/>
    <w:rsid w:val="00003760"/>
    <w:rsid w:val="00003B2C"/>
    <w:rsid w:val="00004513"/>
    <w:rsid w:val="00004853"/>
    <w:rsid w:val="00004EFF"/>
    <w:rsid w:val="00005E65"/>
    <w:rsid w:val="000065CB"/>
    <w:rsid w:val="00006945"/>
    <w:rsid w:val="00007866"/>
    <w:rsid w:val="00007DB0"/>
    <w:rsid w:val="000113D6"/>
    <w:rsid w:val="000123E4"/>
    <w:rsid w:val="00012D54"/>
    <w:rsid w:val="00012F88"/>
    <w:rsid w:val="00013124"/>
    <w:rsid w:val="00013AFC"/>
    <w:rsid w:val="00015055"/>
    <w:rsid w:val="00016108"/>
    <w:rsid w:val="00016BBF"/>
    <w:rsid w:val="0001773F"/>
    <w:rsid w:val="00017BCF"/>
    <w:rsid w:val="00017F73"/>
    <w:rsid w:val="0002126B"/>
    <w:rsid w:val="00021271"/>
    <w:rsid w:val="000214CF"/>
    <w:rsid w:val="00021B91"/>
    <w:rsid w:val="00022392"/>
    <w:rsid w:val="0002402F"/>
    <w:rsid w:val="00024157"/>
    <w:rsid w:val="000248CD"/>
    <w:rsid w:val="00025D1D"/>
    <w:rsid w:val="000264A7"/>
    <w:rsid w:val="00026571"/>
    <w:rsid w:val="000275EB"/>
    <w:rsid w:val="000304D4"/>
    <w:rsid w:val="00030B16"/>
    <w:rsid w:val="00031566"/>
    <w:rsid w:val="000339B4"/>
    <w:rsid w:val="00034162"/>
    <w:rsid w:val="00034C0A"/>
    <w:rsid w:val="00035235"/>
    <w:rsid w:val="00036A07"/>
    <w:rsid w:val="00036DE3"/>
    <w:rsid w:val="00040E1F"/>
    <w:rsid w:val="0004137B"/>
    <w:rsid w:val="0004154A"/>
    <w:rsid w:val="0004225F"/>
    <w:rsid w:val="00042B53"/>
    <w:rsid w:val="0004460D"/>
    <w:rsid w:val="00044BC7"/>
    <w:rsid w:val="0004607D"/>
    <w:rsid w:val="00046267"/>
    <w:rsid w:val="0004632F"/>
    <w:rsid w:val="000466B2"/>
    <w:rsid w:val="00046807"/>
    <w:rsid w:val="00046F24"/>
    <w:rsid w:val="000500DD"/>
    <w:rsid w:val="00052C99"/>
    <w:rsid w:val="00052FDD"/>
    <w:rsid w:val="000545EE"/>
    <w:rsid w:val="000558F6"/>
    <w:rsid w:val="000559C6"/>
    <w:rsid w:val="00055E40"/>
    <w:rsid w:val="00056D87"/>
    <w:rsid w:val="00056EE5"/>
    <w:rsid w:val="000571C9"/>
    <w:rsid w:val="00057D8E"/>
    <w:rsid w:val="00060405"/>
    <w:rsid w:val="000623CD"/>
    <w:rsid w:val="00063474"/>
    <w:rsid w:val="00063876"/>
    <w:rsid w:val="0006518B"/>
    <w:rsid w:val="0006573D"/>
    <w:rsid w:val="000659B4"/>
    <w:rsid w:val="00065C93"/>
    <w:rsid w:val="0006645C"/>
    <w:rsid w:val="00067AC8"/>
    <w:rsid w:val="0007120F"/>
    <w:rsid w:val="00071659"/>
    <w:rsid w:val="00072047"/>
    <w:rsid w:val="000744F6"/>
    <w:rsid w:val="00074966"/>
    <w:rsid w:val="00075B6A"/>
    <w:rsid w:val="00075F80"/>
    <w:rsid w:val="0007609D"/>
    <w:rsid w:val="000761ED"/>
    <w:rsid w:val="00076F7B"/>
    <w:rsid w:val="000770E1"/>
    <w:rsid w:val="000777AF"/>
    <w:rsid w:val="00077F71"/>
    <w:rsid w:val="000804D7"/>
    <w:rsid w:val="00080B80"/>
    <w:rsid w:val="00081182"/>
    <w:rsid w:val="000811DA"/>
    <w:rsid w:val="00081EB2"/>
    <w:rsid w:val="000830C3"/>
    <w:rsid w:val="000831BF"/>
    <w:rsid w:val="00083C92"/>
    <w:rsid w:val="00084648"/>
    <w:rsid w:val="00085FEE"/>
    <w:rsid w:val="0008748B"/>
    <w:rsid w:val="0009189C"/>
    <w:rsid w:val="0009299B"/>
    <w:rsid w:val="0009414B"/>
    <w:rsid w:val="00094607"/>
    <w:rsid w:val="00094B94"/>
    <w:rsid w:val="00095BFD"/>
    <w:rsid w:val="00095DF7"/>
    <w:rsid w:val="00096802"/>
    <w:rsid w:val="00096D86"/>
    <w:rsid w:val="000973CE"/>
    <w:rsid w:val="00097D72"/>
    <w:rsid w:val="000A0545"/>
    <w:rsid w:val="000A0885"/>
    <w:rsid w:val="000A0AA1"/>
    <w:rsid w:val="000A1136"/>
    <w:rsid w:val="000A6EC7"/>
    <w:rsid w:val="000B0652"/>
    <w:rsid w:val="000B3537"/>
    <w:rsid w:val="000B4EF5"/>
    <w:rsid w:val="000B5255"/>
    <w:rsid w:val="000B6398"/>
    <w:rsid w:val="000C00E3"/>
    <w:rsid w:val="000C09D9"/>
    <w:rsid w:val="000C1517"/>
    <w:rsid w:val="000C168A"/>
    <w:rsid w:val="000C26FE"/>
    <w:rsid w:val="000C3020"/>
    <w:rsid w:val="000C3CD5"/>
    <w:rsid w:val="000C41A5"/>
    <w:rsid w:val="000C5D88"/>
    <w:rsid w:val="000C7051"/>
    <w:rsid w:val="000D008A"/>
    <w:rsid w:val="000D213D"/>
    <w:rsid w:val="000D2596"/>
    <w:rsid w:val="000D2B51"/>
    <w:rsid w:val="000D2FDD"/>
    <w:rsid w:val="000D5BA5"/>
    <w:rsid w:val="000D647C"/>
    <w:rsid w:val="000D7879"/>
    <w:rsid w:val="000D79AE"/>
    <w:rsid w:val="000E2B98"/>
    <w:rsid w:val="000E2CCD"/>
    <w:rsid w:val="000E4BFB"/>
    <w:rsid w:val="000E5618"/>
    <w:rsid w:val="000E5D4B"/>
    <w:rsid w:val="000E5EF5"/>
    <w:rsid w:val="000E6508"/>
    <w:rsid w:val="000E6611"/>
    <w:rsid w:val="000E6912"/>
    <w:rsid w:val="000E6982"/>
    <w:rsid w:val="000F037D"/>
    <w:rsid w:val="000F165A"/>
    <w:rsid w:val="000F1753"/>
    <w:rsid w:val="000F2ACA"/>
    <w:rsid w:val="000F3C9A"/>
    <w:rsid w:val="000F462D"/>
    <w:rsid w:val="000F5D63"/>
    <w:rsid w:val="000F6E3B"/>
    <w:rsid w:val="000F7CB6"/>
    <w:rsid w:val="001004B8"/>
    <w:rsid w:val="001019EB"/>
    <w:rsid w:val="00102155"/>
    <w:rsid w:val="00102ABC"/>
    <w:rsid w:val="00102D9B"/>
    <w:rsid w:val="0010394A"/>
    <w:rsid w:val="00103A63"/>
    <w:rsid w:val="0010410E"/>
    <w:rsid w:val="00104E19"/>
    <w:rsid w:val="0010771D"/>
    <w:rsid w:val="001077F9"/>
    <w:rsid w:val="00110D36"/>
    <w:rsid w:val="00113042"/>
    <w:rsid w:val="0011323F"/>
    <w:rsid w:val="001137FB"/>
    <w:rsid w:val="00113B9E"/>
    <w:rsid w:val="00114207"/>
    <w:rsid w:val="00114B84"/>
    <w:rsid w:val="00117185"/>
    <w:rsid w:val="0012011D"/>
    <w:rsid w:val="00120241"/>
    <w:rsid w:val="001208C2"/>
    <w:rsid w:val="00120B20"/>
    <w:rsid w:val="00121CE9"/>
    <w:rsid w:val="00122DAA"/>
    <w:rsid w:val="00127DB2"/>
    <w:rsid w:val="00127FC7"/>
    <w:rsid w:val="00131111"/>
    <w:rsid w:val="0013129F"/>
    <w:rsid w:val="0013341B"/>
    <w:rsid w:val="001337A8"/>
    <w:rsid w:val="00134308"/>
    <w:rsid w:val="00135190"/>
    <w:rsid w:val="001358C9"/>
    <w:rsid w:val="001359B6"/>
    <w:rsid w:val="00135B3B"/>
    <w:rsid w:val="0013697B"/>
    <w:rsid w:val="00137822"/>
    <w:rsid w:val="00137CF7"/>
    <w:rsid w:val="001401DA"/>
    <w:rsid w:val="00140C8A"/>
    <w:rsid w:val="00141100"/>
    <w:rsid w:val="00142200"/>
    <w:rsid w:val="0014295B"/>
    <w:rsid w:val="00142F64"/>
    <w:rsid w:val="00143006"/>
    <w:rsid w:val="001431B8"/>
    <w:rsid w:val="00143B58"/>
    <w:rsid w:val="00146211"/>
    <w:rsid w:val="00146FCA"/>
    <w:rsid w:val="0014728B"/>
    <w:rsid w:val="00147839"/>
    <w:rsid w:val="001505D1"/>
    <w:rsid w:val="00150F73"/>
    <w:rsid w:val="0015107E"/>
    <w:rsid w:val="0015130B"/>
    <w:rsid w:val="001524C7"/>
    <w:rsid w:val="00154274"/>
    <w:rsid w:val="00154875"/>
    <w:rsid w:val="00154A51"/>
    <w:rsid w:val="001555A6"/>
    <w:rsid w:val="001574CF"/>
    <w:rsid w:val="0016009E"/>
    <w:rsid w:val="00160344"/>
    <w:rsid w:val="00160A0F"/>
    <w:rsid w:val="00160C1F"/>
    <w:rsid w:val="00161936"/>
    <w:rsid w:val="00162300"/>
    <w:rsid w:val="0016311F"/>
    <w:rsid w:val="00163BF4"/>
    <w:rsid w:val="00164FBD"/>
    <w:rsid w:val="00164FD6"/>
    <w:rsid w:val="0016530F"/>
    <w:rsid w:val="00165420"/>
    <w:rsid w:val="00166CA0"/>
    <w:rsid w:val="001672C7"/>
    <w:rsid w:val="00171240"/>
    <w:rsid w:val="001717F0"/>
    <w:rsid w:val="00171F26"/>
    <w:rsid w:val="00175474"/>
    <w:rsid w:val="00176299"/>
    <w:rsid w:val="001767DC"/>
    <w:rsid w:val="00177222"/>
    <w:rsid w:val="00177D92"/>
    <w:rsid w:val="00180CE3"/>
    <w:rsid w:val="00181102"/>
    <w:rsid w:val="00181A94"/>
    <w:rsid w:val="00181E20"/>
    <w:rsid w:val="0018247B"/>
    <w:rsid w:val="0018389B"/>
    <w:rsid w:val="0018490F"/>
    <w:rsid w:val="00185E6B"/>
    <w:rsid w:val="00187563"/>
    <w:rsid w:val="00190160"/>
    <w:rsid w:val="00192332"/>
    <w:rsid w:val="001936B3"/>
    <w:rsid w:val="00194F65"/>
    <w:rsid w:val="00195E47"/>
    <w:rsid w:val="001977FA"/>
    <w:rsid w:val="001A2134"/>
    <w:rsid w:val="001A3541"/>
    <w:rsid w:val="001A445F"/>
    <w:rsid w:val="001A4733"/>
    <w:rsid w:val="001A5022"/>
    <w:rsid w:val="001A5608"/>
    <w:rsid w:val="001A57FF"/>
    <w:rsid w:val="001A59C4"/>
    <w:rsid w:val="001A66D1"/>
    <w:rsid w:val="001A675E"/>
    <w:rsid w:val="001B033B"/>
    <w:rsid w:val="001B0E99"/>
    <w:rsid w:val="001B31F3"/>
    <w:rsid w:val="001B4862"/>
    <w:rsid w:val="001B6374"/>
    <w:rsid w:val="001B6617"/>
    <w:rsid w:val="001B6959"/>
    <w:rsid w:val="001B6FE8"/>
    <w:rsid w:val="001B75AB"/>
    <w:rsid w:val="001B79B9"/>
    <w:rsid w:val="001C0880"/>
    <w:rsid w:val="001C11F1"/>
    <w:rsid w:val="001C1350"/>
    <w:rsid w:val="001C13F0"/>
    <w:rsid w:val="001C2621"/>
    <w:rsid w:val="001C28B3"/>
    <w:rsid w:val="001C33B2"/>
    <w:rsid w:val="001C3C2E"/>
    <w:rsid w:val="001C445C"/>
    <w:rsid w:val="001C542F"/>
    <w:rsid w:val="001C5859"/>
    <w:rsid w:val="001C6C43"/>
    <w:rsid w:val="001D0900"/>
    <w:rsid w:val="001D1371"/>
    <w:rsid w:val="001D15D9"/>
    <w:rsid w:val="001D2A9E"/>
    <w:rsid w:val="001D2AB4"/>
    <w:rsid w:val="001D2E91"/>
    <w:rsid w:val="001D30CA"/>
    <w:rsid w:val="001D446D"/>
    <w:rsid w:val="001D478A"/>
    <w:rsid w:val="001D47EB"/>
    <w:rsid w:val="001D5B74"/>
    <w:rsid w:val="001D69E8"/>
    <w:rsid w:val="001D72F9"/>
    <w:rsid w:val="001E0283"/>
    <w:rsid w:val="001E0480"/>
    <w:rsid w:val="001E1251"/>
    <w:rsid w:val="001E1429"/>
    <w:rsid w:val="001E1475"/>
    <w:rsid w:val="001E2E34"/>
    <w:rsid w:val="001E6FE8"/>
    <w:rsid w:val="001E7B69"/>
    <w:rsid w:val="001E7C4B"/>
    <w:rsid w:val="001F33BD"/>
    <w:rsid w:val="001F36F8"/>
    <w:rsid w:val="001F3746"/>
    <w:rsid w:val="001F43CE"/>
    <w:rsid w:val="001F5B65"/>
    <w:rsid w:val="001F6191"/>
    <w:rsid w:val="001F66FD"/>
    <w:rsid w:val="001F6E5E"/>
    <w:rsid w:val="00202BDB"/>
    <w:rsid w:val="002039FF"/>
    <w:rsid w:val="00203B8E"/>
    <w:rsid w:val="002040AE"/>
    <w:rsid w:val="00204834"/>
    <w:rsid w:val="002055AD"/>
    <w:rsid w:val="00207920"/>
    <w:rsid w:val="002101E7"/>
    <w:rsid w:val="0021075C"/>
    <w:rsid w:val="002107DC"/>
    <w:rsid w:val="00210CCA"/>
    <w:rsid w:val="00211FA8"/>
    <w:rsid w:val="00212A39"/>
    <w:rsid w:val="0021450B"/>
    <w:rsid w:val="002148BF"/>
    <w:rsid w:val="002151F6"/>
    <w:rsid w:val="00216746"/>
    <w:rsid w:val="0021776C"/>
    <w:rsid w:val="00217ED6"/>
    <w:rsid w:val="00221E97"/>
    <w:rsid w:val="00222DEE"/>
    <w:rsid w:val="002255AC"/>
    <w:rsid w:val="0022595F"/>
    <w:rsid w:val="00231768"/>
    <w:rsid w:val="00231D56"/>
    <w:rsid w:val="00232130"/>
    <w:rsid w:val="00232636"/>
    <w:rsid w:val="002334C2"/>
    <w:rsid w:val="002338DB"/>
    <w:rsid w:val="00234ADF"/>
    <w:rsid w:val="00237A80"/>
    <w:rsid w:val="00240156"/>
    <w:rsid w:val="0024146E"/>
    <w:rsid w:val="0024343F"/>
    <w:rsid w:val="00243E6C"/>
    <w:rsid w:val="00243FE5"/>
    <w:rsid w:val="002469E9"/>
    <w:rsid w:val="0024722E"/>
    <w:rsid w:val="00252C49"/>
    <w:rsid w:val="00253A22"/>
    <w:rsid w:val="002547A5"/>
    <w:rsid w:val="00254D4D"/>
    <w:rsid w:val="0026079A"/>
    <w:rsid w:val="00260BF1"/>
    <w:rsid w:val="00260CFD"/>
    <w:rsid w:val="00261126"/>
    <w:rsid w:val="002619C8"/>
    <w:rsid w:val="00261F4B"/>
    <w:rsid w:val="00262915"/>
    <w:rsid w:val="00262A23"/>
    <w:rsid w:val="00262AC8"/>
    <w:rsid w:val="00264614"/>
    <w:rsid w:val="002667A6"/>
    <w:rsid w:val="0026697C"/>
    <w:rsid w:val="00266B45"/>
    <w:rsid w:val="00266C5C"/>
    <w:rsid w:val="00267604"/>
    <w:rsid w:val="002703F1"/>
    <w:rsid w:val="00270C15"/>
    <w:rsid w:val="00274144"/>
    <w:rsid w:val="00275FE6"/>
    <w:rsid w:val="00276737"/>
    <w:rsid w:val="00276FC8"/>
    <w:rsid w:val="00280E09"/>
    <w:rsid w:val="002815FA"/>
    <w:rsid w:val="00282E65"/>
    <w:rsid w:val="002835C6"/>
    <w:rsid w:val="00284F80"/>
    <w:rsid w:val="002855E5"/>
    <w:rsid w:val="002858D3"/>
    <w:rsid w:val="00285D29"/>
    <w:rsid w:val="00286E0A"/>
    <w:rsid w:val="00287A0F"/>
    <w:rsid w:val="002913C3"/>
    <w:rsid w:val="002918A6"/>
    <w:rsid w:val="002936F3"/>
    <w:rsid w:val="00293811"/>
    <w:rsid w:val="00295066"/>
    <w:rsid w:val="002955CD"/>
    <w:rsid w:val="002958AA"/>
    <w:rsid w:val="00296908"/>
    <w:rsid w:val="002A1200"/>
    <w:rsid w:val="002A3273"/>
    <w:rsid w:val="002A3A30"/>
    <w:rsid w:val="002A6325"/>
    <w:rsid w:val="002A67DD"/>
    <w:rsid w:val="002A798E"/>
    <w:rsid w:val="002B0728"/>
    <w:rsid w:val="002B107F"/>
    <w:rsid w:val="002B1A1A"/>
    <w:rsid w:val="002B278C"/>
    <w:rsid w:val="002B2A5F"/>
    <w:rsid w:val="002B3935"/>
    <w:rsid w:val="002B4027"/>
    <w:rsid w:val="002B4117"/>
    <w:rsid w:val="002B535A"/>
    <w:rsid w:val="002B5B25"/>
    <w:rsid w:val="002B627C"/>
    <w:rsid w:val="002B7257"/>
    <w:rsid w:val="002C0014"/>
    <w:rsid w:val="002C0915"/>
    <w:rsid w:val="002C0B94"/>
    <w:rsid w:val="002C0C35"/>
    <w:rsid w:val="002C134A"/>
    <w:rsid w:val="002C1BE5"/>
    <w:rsid w:val="002C29AA"/>
    <w:rsid w:val="002C2D32"/>
    <w:rsid w:val="002C3985"/>
    <w:rsid w:val="002C4890"/>
    <w:rsid w:val="002C59A6"/>
    <w:rsid w:val="002C69E8"/>
    <w:rsid w:val="002C6D51"/>
    <w:rsid w:val="002C6DC8"/>
    <w:rsid w:val="002C7AD0"/>
    <w:rsid w:val="002D1554"/>
    <w:rsid w:val="002D32CA"/>
    <w:rsid w:val="002D5366"/>
    <w:rsid w:val="002D54AC"/>
    <w:rsid w:val="002D71E2"/>
    <w:rsid w:val="002D769E"/>
    <w:rsid w:val="002E086B"/>
    <w:rsid w:val="002E0AC8"/>
    <w:rsid w:val="002E2F3C"/>
    <w:rsid w:val="002E39D3"/>
    <w:rsid w:val="002E4FA7"/>
    <w:rsid w:val="002E56EE"/>
    <w:rsid w:val="002E570D"/>
    <w:rsid w:val="002E757F"/>
    <w:rsid w:val="002F10E6"/>
    <w:rsid w:val="002F24D1"/>
    <w:rsid w:val="002F28D6"/>
    <w:rsid w:val="002F4F1A"/>
    <w:rsid w:val="002F58AB"/>
    <w:rsid w:val="002F58B5"/>
    <w:rsid w:val="002F6BF4"/>
    <w:rsid w:val="002F6E61"/>
    <w:rsid w:val="002F7560"/>
    <w:rsid w:val="002F7768"/>
    <w:rsid w:val="002F7DBD"/>
    <w:rsid w:val="0030157E"/>
    <w:rsid w:val="00303189"/>
    <w:rsid w:val="0030390C"/>
    <w:rsid w:val="00303954"/>
    <w:rsid w:val="0030415F"/>
    <w:rsid w:val="0030418A"/>
    <w:rsid w:val="0030467E"/>
    <w:rsid w:val="0030557B"/>
    <w:rsid w:val="00306786"/>
    <w:rsid w:val="00310433"/>
    <w:rsid w:val="00311FEB"/>
    <w:rsid w:val="00312A3E"/>
    <w:rsid w:val="003130F2"/>
    <w:rsid w:val="00313841"/>
    <w:rsid w:val="00313B5F"/>
    <w:rsid w:val="00313D8B"/>
    <w:rsid w:val="00314041"/>
    <w:rsid w:val="003160E0"/>
    <w:rsid w:val="00316BEE"/>
    <w:rsid w:val="003173C5"/>
    <w:rsid w:val="00320534"/>
    <w:rsid w:val="0032072E"/>
    <w:rsid w:val="00322997"/>
    <w:rsid w:val="003244E6"/>
    <w:rsid w:val="003247A7"/>
    <w:rsid w:val="003257E5"/>
    <w:rsid w:val="00325F9E"/>
    <w:rsid w:val="00326FD4"/>
    <w:rsid w:val="003277B5"/>
    <w:rsid w:val="00330D09"/>
    <w:rsid w:val="00330EEA"/>
    <w:rsid w:val="00331131"/>
    <w:rsid w:val="00333383"/>
    <w:rsid w:val="00334E91"/>
    <w:rsid w:val="00334EED"/>
    <w:rsid w:val="003352BC"/>
    <w:rsid w:val="0033618F"/>
    <w:rsid w:val="00337165"/>
    <w:rsid w:val="003377B6"/>
    <w:rsid w:val="003409E9"/>
    <w:rsid w:val="00340F05"/>
    <w:rsid w:val="00342348"/>
    <w:rsid w:val="00343040"/>
    <w:rsid w:val="003437C9"/>
    <w:rsid w:val="00343D6C"/>
    <w:rsid w:val="003468B4"/>
    <w:rsid w:val="00350522"/>
    <w:rsid w:val="00350B76"/>
    <w:rsid w:val="00350EEC"/>
    <w:rsid w:val="0035219A"/>
    <w:rsid w:val="00352458"/>
    <w:rsid w:val="00352BF1"/>
    <w:rsid w:val="00352DCC"/>
    <w:rsid w:val="00353839"/>
    <w:rsid w:val="003547C7"/>
    <w:rsid w:val="00356700"/>
    <w:rsid w:val="00361B1E"/>
    <w:rsid w:val="00363BC3"/>
    <w:rsid w:val="00364E2A"/>
    <w:rsid w:val="00365323"/>
    <w:rsid w:val="003668D8"/>
    <w:rsid w:val="00366E07"/>
    <w:rsid w:val="00367924"/>
    <w:rsid w:val="00370204"/>
    <w:rsid w:val="00370471"/>
    <w:rsid w:val="003707F5"/>
    <w:rsid w:val="003707FA"/>
    <w:rsid w:val="003722FA"/>
    <w:rsid w:val="00372518"/>
    <w:rsid w:val="0037406F"/>
    <w:rsid w:val="00374646"/>
    <w:rsid w:val="00374A49"/>
    <w:rsid w:val="00375246"/>
    <w:rsid w:val="0037681F"/>
    <w:rsid w:val="00380223"/>
    <w:rsid w:val="00381941"/>
    <w:rsid w:val="003824EB"/>
    <w:rsid w:val="003835FD"/>
    <w:rsid w:val="003843F4"/>
    <w:rsid w:val="00384A09"/>
    <w:rsid w:val="00384CCF"/>
    <w:rsid w:val="003874C8"/>
    <w:rsid w:val="00387E02"/>
    <w:rsid w:val="00391716"/>
    <w:rsid w:val="003925C4"/>
    <w:rsid w:val="003926DF"/>
    <w:rsid w:val="0039294E"/>
    <w:rsid w:val="00394AA7"/>
    <w:rsid w:val="00395373"/>
    <w:rsid w:val="00395DF8"/>
    <w:rsid w:val="00396252"/>
    <w:rsid w:val="00396CA2"/>
    <w:rsid w:val="003974D6"/>
    <w:rsid w:val="003976C1"/>
    <w:rsid w:val="003A2408"/>
    <w:rsid w:val="003A39EA"/>
    <w:rsid w:val="003A42A4"/>
    <w:rsid w:val="003A47A7"/>
    <w:rsid w:val="003A4BBC"/>
    <w:rsid w:val="003A63C0"/>
    <w:rsid w:val="003A6B34"/>
    <w:rsid w:val="003A70A1"/>
    <w:rsid w:val="003A77A2"/>
    <w:rsid w:val="003A7DA8"/>
    <w:rsid w:val="003B0BAD"/>
    <w:rsid w:val="003B1D98"/>
    <w:rsid w:val="003B2793"/>
    <w:rsid w:val="003B52C9"/>
    <w:rsid w:val="003B5F66"/>
    <w:rsid w:val="003B6C79"/>
    <w:rsid w:val="003C0307"/>
    <w:rsid w:val="003C0956"/>
    <w:rsid w:val="003C42DA"/>
    <w:rsid w:val="003C4469"/>
    <w:rsid w:val="003C4943"/>
    <w:rsid w:val="003C524B"/>
    <w:rsid w:val="003C52F3"/>
    <w:rsid w:val="003C657A"/>
    <w:rsid w:val="003D0FED"/>
    <w:rsid w:val="003D31CE"/>
    <w:rsid w:val="003D3302"/>
    <w:rsid w:val="003D357F"/>
    <w:rsid w:val="003D5F52"/>
    <w:rsid w:val="003D7150"/>
    <w:rsid w:val="003D7999"/>
    <w:rsid w:val="003D7DB4"/>
    <w:rsid w:val="003D7F22"/>
    <w:rsid w:val="003E1782"/>
    <w:rsid w:val="003E27DC"/>
    <w:rsid w:val="003E2F5B"/>
    <w:rsid w:val="003E3635"/>
    <w:rsid w:val="003E3C67"/>
    <w:rsid w:val="003E3DF4"/>
    <w:rsid w:val="003E4A9D"/>
    <w:rsid w:val="003E4BE8"/>
    <w:rsid w:val="003E4E21"/>
    <w:rsid w:val="003E6F22"/>
    <w:rsid w:val="003F16EC"/>
    <w:rsid w:val="003F19E5"/>
    <w:rsid w:val="003F3424"/>
    <w:rsid w:val="003F3D5E"/>
    <w:rsid w:val="003F3F62"/>
    <w:rsid w:val="003F53BF"/>
    <w:rsid w:val="003F55A3"/>
    <w:rsid w:val="003F6229"/>
    <w:rsid w:val="003F654D"/>
    <w:rsid w:val="003F775B"/>
    <w:rsid w:val="0040010E"/>
    <w:rsid w:val="00402C7D"/>
    <w:rsid w:val="0040365E"/>
    <w:rsid w:val="0040566D"/>
    <w:rsid w:val="00406798"/>
    <w:rsid w:val="00406FC4"/>
    <w:rsid w:val="00407ED3"/>
    <w:rsid w:val="00410705"/>
    <w:rsid w:val="004109ED"/>
    <w:rsid w:val="004110DC"/>
    <w:rsid w:val="00411F86"/>
    <w:rsid w:val="00412F6D"/>
    <w:rsid w:val="00417698"/>
    <w:rsid w:val="00420A36"/>
    <w:rsid w:val="00420A92"/>
    <w:rsid w:val="0042179B"/>
    <w:rsid w:val="00422A17"/>
    <w:rsid w:val="00423091"/>
    <w:rsid w:val="00423F17"/>
    <w:rsid w:val="0042440C"/>
    <w:rsid w:val="0042478D"/>
    <w:rsid w:val="00424D8E"/>
    <w:rsid w:val="004258ED"/>
    <w:rsid w:val="00425E4F"/>
    <w:rsid w:val="004261C9"/>
    <w:rsid w:val="00426ED0"/>
    <w:rsid w:val="00427760"/>
    <w:rsid w:val="00430382"/>
    <w:rsid w:val="00432655"/>
    <w:rsid w:val="00432A72"/>
    <w:rsid w:val="00432EF9"/>
    <w:rsid w:val="00434763"/>
    <w:rsid w:val="00434E9A"/>
    <w:rsid w:val="004354A2"/>
    <w:rsid w:val="004366D5"/>
    <w:rsid w:val="0043697C"/>
    <w:rsid w:val="00440BC5"/>
    <w:rsid w:val="00441C73"/>
    <w:rsid w:val="00441CDD"/>
    <w:rsid w:val="00442A22"/>
    <w:rsid w:val="004432DE"/>
    <w:rsid w:val="00443911"/>
    <w:rsid w:val="004446BA"/>
    <w:rsid w:val="00444C81"/>
    <w:rsid w:val="00446140"/>
    <w:rsid w:val="0045252A"/>
    <w:rsid w:val="00452999"/>
    <w:rsid w:val="00452D19"/>
    <w:rsid w:val="00453ADD"/>
    <w:rsid w:val="0045555D"/>
    <w:rsid w:val="00456072"/>
    <w:rsid w:val="00456822"/>
    <w:rsid w:val="00456C7D"/>
    <w:rsid w:val="00456D3B"/>
    <w:rsid w:val="00460382"/>
    <w:rsid w:val="00462A26"/>
    <w:rsid w:val="00462ECF"/>
    <w:rsid w:val="0046302A"/>
    <w:rsid w:val="004650A2"/>
    <w:rsid w:val="00466FA8"/>
    <w:rsid w:val="004675E6"/>
    <w:rsid w:val="00470A50"/>
    <w:rsid w:val="00471184"/>
    <w:rsid w:val="00471D64"/>
    <w:rsid w:val="00472563"/>
    <w:rsid w:val="0047269B"/>
    <w:rsid w:val="004745F2"/>
    <w:rsid w:val="004751DA"/>
    <w:rsid w:val="00475680"/>
    <w:rsid w:val="00475E00"/>
    <w:rsid w:val="00476FFD"/>
    <w:rsid w:val="00477911"/>
    <w:rsid w:val="00477D1E"/>
    <w:rsid w:val="00480A1F"/>
    <w:rsid w:val="00482E48"/>
    <w:rsid w:val="00483303"/>
    <w:rsid w:val="0048379F"/>
    <w:rsid w:val="0048674A"/>
    <w:rsid w:val="0048700A"/>
    <w:rsid w:val="00487DA6"/>
    <w:rsid w:val="004904E7"/>
    <w:rsid w:val="004908A7"/>
    <w:rsid w:val="00491026"/>
    <w:rsid w:val="00491B57"/>
    <w:rsid w:val="0049203F"/>
    <w:rsid w:val="00493041"/>
    <w:rsid w:val="004930B6"/>
    <w:rsid w:val="0049506B"/>
    <w:rsid w:val="00495ADD"/>
    <w:rsid w:val="004977A4"/>
    <w:rsid w:val="0049785D"/>
    <w:rsid w:val="004A00F6"/>
    <w:rsid w:val="004A0271"/>
    <w:rsid w:val="004A0BA9"/>
    <w:rsid w:val="004A0E52"/>
    <w:rsid w:val="004A127E"/>
    <w:rsid w:val="004A2C87"/>
    <w:rsid w:val="004A4C37"/>
    <w:rsid w:val="004A561F"/>
    <w:rsid w:val="004A61C9"/>
    <w:rsid w:val="004A73B2"/>
    <w:rsid w:val="004A7891"/>
    <w:rsid w:val="004B06F0"/>
    <w:rsid w:val="004B07BD"/>
    <w:rsid w:val="004B097C"/>
    <w:rsid w:val="004B11E1"/>
    <w:rsid w:val="004B1671"/>
    <w:rsid w:val="004B29D1"/>
    <w:rsid w:val="004B3199"/>
    <w:rsid w:val="004B58D1"/>
    <w:rsid w:val="004B75BB"/>
    <w:rsid w:val="004B780F"/>
    <w:rsid w:val="004C17DE"/>
    <w:rsid w:val="004C1A08"/>
    <w:rsid w:val="004C23E6"/>
    <w:rsid w:val="004C2DA5"/>
    <w:rsid w:val="004C351A"/>
    <w:rsid w:val="004C49A2"/>
    <w:rsid w:val="004C4BA9"/>
    <w:rsid w:val="004C562D"/>
    <w:rsid w:val="004C5BE8"/>
    <w:rsid w:val="004C68F8"/>
    <w:rsid w:val="004C69CA"/>
    <w:rsid w:val="004C7FC5"/>
    <w:rsid w:val="004D086E"/>
    <w:rsid w:val="004D0899"/>
    <w:rsid w:val="004D0EB0"/>
    <w:rsid w:val="004D1861"/>
    <w:rsid w:val="004D39C2"/>
    <w:rsid w:val="004D4588"/>
    <w:rsid w:val="004D4B99"/>
    <w:rsid w:val="004D59F2"/>
    <w:rsid w:val="004E1833"/>
    <w:rsid w:val="004E1A9B"/>
    <w:rsid w:val="004E287C"/>
    <w:rsid w:val="004E380B"/>
    <w:rsid w:val="004E3F51"/>
    <w:rsid w:val="004E49E1"/>
    <w:rsid w:val="004E4B5D"/>
    <w:rsid w:val="004E5242"/>
    <w:rsid w:val="004E7244"/>
    <w:rsid w:val="004E7BA3"/>
    <w:rsid w:val="004F0A38"/>
    <w:rsid w:val="004F2370"/>
    <w:rsid w:val="004F3029"/>
    <w:rsid w:val="004F4654"/>
    <w:rsid w:val="004F575E"/>
    <w:rsid w:val="004F5D0C"/>
    <w:rsid w:val="004F6168"/>
    <w:rsid w:val="004F72E5"/>
    <w:rsid w:val="004F775B"/>
    <w:rsid w:val="004F7DB0"/>
    <w:rsid w:val="0050054D"/>
    <w:rsid w:val="00500C37"/>
    <w:rsid w:val="00500DC7"/>
    <w:rsid w:val="005018C6"/>
    <w:rsid w:val="00501B59"/>
    <w:rsid w:val="00501CA3"/>
    <w:rsid w:val="005021EA"/>
    <w:rsid w:val="0050453A"/>
    <w:rsid w:val="00504C75"/>
    <w:rsid w:val="005058F7"/>
    <w:rsid w:val="005072AE"/>
    <w:rsid w:val="00510A78"/>
    <w:rsid w:val="00511341"/>
    <w:rsid w:val="00511532"/>
    <w:rsid w:val="00512207"/>
    <w:rsid w:val="00512726"/>
    <w:rsid w:val="00512C51"/>
    <w:rsid w:val="0051310D"/>
    <w:rsid w:val="0051368B"/>
    <w:rsid w:val="0051433A"/>
    <w:rsid w:val="00514EF3"/>
    <w:rsid w:val="00515408"/>
    <w:rsid w:val="00515675"/>
    <w:rsid w:val="00520896"/>
    <w:rsid w:val="00524128"/>
    <w:rsid w:val="0052432C"/>
    <w:rsid w:val="00525A42"/>
    <w:rsid w:val="00525DD6"/>
    <w:rsid w:val="0052611C"/>
    <w:rsid w:val="00526244"/>
    <w:rsid w:val="005265EE"/>
    <w:rsid w:val="00526640"/>
    <w:rsid w:val="005269EF"/>
    <w:rsid w:val="0052705F"/>
    <w:rsid w:val="00527BF7"/>
    <w:rsid w:val="00527BFE"/>
    <w:rsid w:val="00531685"/>
    <w:rsid w:val="00532874"/>
    <w:rsid w:val="00532E05"/>
    <w:rsid w:val="00533E04"/>
    <w:rsid w:val="0053408A"/>
    <w:rsid w:val="005341C2"/>
    <w:rsid w:val="0053490A"/>
    <w:rsid w:val="005371A6"/>
    <w:rsid w:val="00537A70"/>
    <w:rsid w:val="0054119B"/>
    <w:rsid w:val="005428DB"/>
    <w:rsid w:val="00542A6E"/>
    <w:rsid w:val="00542EFD"/>
    <w:rsid w:val="00543FD9"/>
    <w:rsid w:val="00545761"/>
    <w:rsid w:val="00545864"/>
    <w:rsid w:val="00545F6E"/>
    <w:rsid w:val="00546180"/>
    <w:rsid w:val="00547173"/>
    <w:rsid w:val="00547755"/>
    <w:rsid w:val="00547DE9"/>
    <w:rsid w:val="00547E7D"/>
    <w:rsid w:val="00550CD9"/>
    <w:rsid w:val="005515C3"/>
    <w:rsid w:val="00551B89"/>
    <w:rsid w:val="00552430"/>
    <w:rsid w:val="00552F6F"/>
    <w:rsid w:val="00553237"/>
    <w:rsid w:val="005533A7"/>
    <w:rsid w:val="005543D6"/>
    <w:rsid w:val="00554456"/>
    <w:rsid w:val="005547C4"/>
    <w:rsid w:val="0055580C"/>
    <w:rsid w:val="00555E15"/>
    <w:rsid w:val="00556A0B"/>
    <w:rsid w:val="005601D1"/>
    <w:rsid w:val="0056086D"/>
    <w:rsid w:val="00560991"/>
    <w:rsid w:val="00561F48"/>
    <w:rsid w:val="00562772"/>
    <w:rsid w:val="00562CEC"/>
    <w:rsid w:val="005630F9"/>
    <w:rsid w:val="0056358A"/>
    <w:rsid w:val="00563BBD"/>
    <w:rsid w:val="00564724"/>
    <w:rsid w:val="00564896"/>
    <w:rsid w:val="00564D50"/>
    <w:rsid w:val="00565805"/>
    <w:rsid w:val="00566DBD"/>
    <w:rsid w:val="00567602"/>
    <w:rsid w:val="00570D76"/>
    <w:rsid w:val="00570D82"/>
    <w:rsid w:val="00570F8D"/>
    <w:rsid w:val="00571587"/>
    <w:rsid w:val="00571A9E"/>
    <w:rsid w:val="0057337E"/>
    <w:rsid w:val="00574761"/>
    <w:rsid w:val="0057694A"/>
    <w:rsid w:val="00580C86"/>
    <w:rsid w:val="00581289"/>
    <w:rsid w:val="00582DDA"/>
    <w:rsid w:val="00583183"/>
    <w:rsid w:val="005837D1"/>
    <w:rsid w:val="0058487B"/>
    <w:rsid w:val="00585379"/>
    <w:rsid w:val="00585EB8"/>
    <w:rsid w:val="005866B3"/>
    <w:rsid w:val="00587543"/>
    <w:rsid w:val="0059049F"/>
    <w:rsid w:val="005909A6"/>
    <w:rsid w:val="00590CE0"/>
    <w:rsid w:val="00591ED7"/>
    <w:rsid w:val="00592E38"/>
    <w:rsid w:val="00593541"/>
    <w:rsid w:val="005939F1"/>
    <w:rsid w:val="00595034"/>
    <w:rsid w:val="005956F3"/>
    <w:rsid w:val="005971A7"/>
    <w:rsid w:val="00597FCD"/>
    <w:rsid w:val="005A01CF"/>
    <w:rsid w:val="005A055B"/>
    <w:rsid w:val="005A0BF8"/>
    <w:rsid w:val="005A169C"/>
    <w:rsid w:val="005A214F"/>
    <w:rsid w:val="005A2447"/>
    <w:rsid w:val="005A2C6D"/>
    <w:rsid w:val="005A374D"/>
    <w:rsid w:val="005A484A"/>
    <w:rsid w:val="005A4EE1"/>
    <w:rsid w:val="005A522E"/>
    <w:rsid w:val="005A544A"/>
    <w:rsid w:val="005A76CE"/>
    <w:rsid w:val="005B02C7"/>
    <w:rsid w:val="005B0CDE"/>
    <w:rsid w:val="005B1BB2"/>
    <w:rsid w:val="005B1F67"/>
    <w:rsid w:val="005B2E28"/>
    <w:rsid w:val="005B2E50"/>
    <w:rsid w:val="005B2EFB"/>
    <w:rsid w:val="005B4C56"/>
    <w:rsid w:val="005C0779"/>
    <w:rsid w:val="005C0B64"/>
    <w:rsid w:val="005C0CD1"/>
    <w:rsid w:val="005C37A0"/>
    <w:rsid w:val="005C37F5"/>
    <w:rsid w:val="005C3F78"/>
    <w:rsid w:val="005C414E"/>
    <w:rsid w:val="005C41D9"/>
    <w:rsid w:val="005C4C97"/>
    <w:rsid w:val="005C5AB7"/>
    <w:rsid w:val="005C63E3"/>
    <w:rsid w:val="005C6A1E"/>
    <w:rsid w:val="005C70C7"/>
    <w:rsid w:val="005C75F9"/>
    <w:rsid w:val="005D04B7"/>
    <w:rsid w:val="005D297C"/>
    <w:rsid w:val="005D46F7"/>
    <w:rsid w:val="005D515D"/>
    <w:rsid w:val="005D59EF"/>
    <w:rsid w:val="005D5D3C"/>
    <w:rsid w:val="005D6F11"/>
    <w:rsid w:val="005D71B6"/>
    <w:rsid w:val="005E2CD1"/>
    <w:rsid w:val="005E4653"/>
    <w:rsid w:val="005E4AD8"/>
    <w:rsid w:val="005E4E8C"/>
    <w:rsid w:val="005E54EC"/>
    <w:rsid w:val="005E7022"/>
    <w:rsid w:val="005E77E4"/>
    <w:rsid w:val="005F0AA4"/>
    <w:rsid w:val="005F37FD"/>
    <w:rsid w:val="005F4F81"/>
    <w:rsid w:val="005F5F02"/>
    <w:rsid w:val="005F7189"/>
    <w:rsid w:val="005F7A04"/>
    <w:rsid w:val="005F7E9D"/>
    <w:rsid w:val="00600674"/>
    <w:rsid w:val="006008AF"/>
    <w:rsid w:val="00600CB1"/>
    <w:rsid w:val="006012E4"/>
    <w:rsid w:val="0060139C"/>
    <w:rsid w:val="00601905"/>
    <w:rsid w:val="00601A09"/>
    <w:rsid w:val="006063F4"/>
    <w:rsid w:val="006073D6"/>
    <w:rsid w:val="00607408"/>
    <w:rsid w:val="00607C1D"/>
    <w:rsid w:val="006115E1"/>
    <w:rsid w:val="006142DC"/>
    <w:rsid w:val="00614787"/>
    <w:rsid w:val="006148CC"/>
    <w:rsid w:val="00615A56"/>
    <w:rsid w:val="00620EEA"/>
    <w:rsid w:val="00621274"/>
    <w:rsid w:val="0062182B"/>
    <w:rsid w:val="00621889"/>
    <w:rsid w:val="006237D6"/>
    <w:rsid w:val="00625C66"/>
    <w:rsid w:val="006263DE"/>
    <w:rsid w:val="00626AC1"/>
    <w:rsid w:val="00630397"/>
    <w:rsid w:val="00630A1F"/>
    <w:rsid w:val="00632AD6"/>
    <w:rsid w:val="0063369B"/>
    <w:rsid w:val="006336D6"/>
    <w:rsid w:val="006352E7"/>
    <w:rsid w:val="00637D21"/>
    <w:rsid w:val="00640611"/>
    <w:rsid w:val="006409AF"/>
    <w:rsid w:val="00642983"/>
    <w:rsid w:val="006429A5"/>
    <w:rsid w:val="00642A38"/>
    <w:rsid w:val="006430EA"/>
    <w:rsid w:val="0064354F"/>
    <w:rsid w:val="006441EE"/>
    <w:rsid w:val="00645FB5"/>
    <w:rsid w:val="006469DE"/>
    <w:rsid w:val="00647E00"/>
    <w:rsid w:val="00647EE7"/>
    <w:rsid w:val="006502DB"/>
    <w:rsid w:val="006507A6"/>
    <w:rsid w:val="00651ECE"/>
    <w:rsid w:val="0065253B"/>
    <w:rsid w:val="006526C6"/>
    <w:rsid w:val="00652D66"/>
    <w:rsid w:val="00654088"/>
    <w:rsid w:val="00655CA2"/>
    <w:rsid w:val="006565E0"/>
    <w:rsid w:val="006601F5"/>
    <w:rsid w:val="00661018"/>
    <w:rsid w:val="00661D36"/>
    <w:rsid w:val="006638BA"/>
    <w:rsid w:val="00663A40"/>
    <w:rsid w:val="0066452E"/>
    <w:rsid w:val="00665AFE"/>
    <w:rsid w:val="006661B7"/>
    <w:rsid w:val="0066722F"/>
    <w:rsid w:val="00667E38"/>
    <w:rsid w:val="006710FA"/>
    <w:rsid w:val="006728B2"/>
    <w:rsid w:val="006754A8"/>
    <w:rsid w:val="0067556E"/>
    <w:rsid w:val="00676EA2"/>
    <w:rsid w:val="00677192"/>
    <w:rsid w:val="006776C3"/>
    <w:rsid w:val="00680782"/>
    <w:rsid w:val="00680C46"/>
    <w:rsid w:val="00681F32"/>
    <w:rsid w:val="0068361C"/>
    <w:rsid w:val="00683814"/>
    <w:rsid w:val="006839E6"/>
    <w:rsid w:val="0068450A"/>
    <w:rsid w:val="0068501F"/>
    <w:rsid w:val="0068622C"/>
    <w:rsid w:val="00690E88"/>
    <w:rsid w:val="006913DC"/>
    <w:rsid w:val="006914EA"/>
    <w:rsid w:val="00693973"/>
    <w:rsid w:val="00694E2D"/>
    <w:rsid w:val="00695370"/>
    <w:rsid w:val="0069582D"/>
    <w:rsid w:val="0069603F"/>
    <w:rsid w:val="006963ED"/>
    <w:rsid w:val="0069675F"/>
    <w:rsid w:val="006A0214"/>
    <w:rsid w:val="006A07E7"/>
    <w:rsid w:val="006A578A"/>
    <w:rsid w:val="006A72DE"/>
    <w:rsid w:val="006A74F1"/>
    <w:rsid w:val="006B0540"/>
    <w:rsid w:val="006B12D9"/>
    <w:rsid w:val="006B2FB3"/>
    <w:rsid w:val="006B472A"/>
    <w:rsid w:val="006B726B"/>
    <w:rsid w:val="006C015E"/>
    <w:rsid w:val="006C0EC4"/>
    <w:rsid w:val="006C1195"/>
    <w:rsid w:val="006C22A4"/>
    <w:rsid w:val="006C29D5"/>
    <w:rsid w:val="006C5F19"/>
    <w:rsid w:val="006C6378"/>
    <w:rsid w:val="006C6606"/>
    <w:rsid w:val="006C66D8"/>
    <w:rsid w:val="006C67C1"/>
    <w:rsid w:val="006C76F6"/>
    <w:rsid w:val="006D00D3"/>
    <w:rsid w:val="006D00F8"/>
    <w:rsid w:val="006D0545"/>
    <w:rsid w:val="006D139D"/>
    <w:rsid w:val="006D23F1"/>
    <w:rsid w:val="006D3171"/>
    <w:rsid w:val="006D541E"/>
    <w:rsid w:val="006D5A2A"/>
    <w:rsid w:val="006D6314"/>
    <w:rsid w:val="006D6C0E"/>
    <w:rsid w:val="006E10F7"/>
    <w:rsid w:val="006E1A53"/>
    <w:rsid w:val="006E2250"/>
    <w:rsid w:val="006E2644"/>
    <w:rsid w:val="006E2A5C"/>
    <w:rsid w:val="006E39B1"/>
    <w:rsid w:val="006E3BF2"/>
    <w:rsid w:val="006E6023"/>
    <w:rsid w:val="006E680B"/>
    <w:rsid w:val="006E7742"/>
    <w:rsid w:val="006F11E7"/>
    <w:rsid w:val="006F1EFC"/>
    <w:rsid w:val="006F2571"/>
    <w:rsid w:val="006F3037"/>
    <w:rsid w:val="006F3103"/>
    <w:rsid w:val="006F4E45"/>
    <w:rsid w:val="006F55DB"/>
    <w:rsid w:val="006F5904"/>
    <w:rsid w:val="006F65FE"/>
    <w:rsid w:val="006F6702"/>
    <w:rsid w:val="006F6FD4"/>
    <w:rsid w:val="006F7559"/>
    <w:rsid w:val="006F7AAA"/>
    <w:rsid w:val="0070205F"/>
    <w:rsid w:val="00702571"/>
    <w:rsid w:val="00702AD4"/>
    <w:rsid w:val="00702AE0"/>
    <w:rsid w:val="00702D9F"/>
    <w:rsid w:val="0070358A"/>
    <w:rsid w:val="0070410F"/>
    <w:rsid w:val="007057CC"/>
    <w:rsid w:val="007070F9"/>
    <w:rsid w:val="00707B56"/>
    <w:rsid w:val="00710028"/>
    <w:rsid w:val="0071009D"/>
    <w:rsid w:val="0071167C"/>
    <w:rsid w:val="007118E2"/>
    <w:rsid w:val="00711B9E"/>
    <w:rsid w:val="007120FC"/>
    <w:rsid w:val="00713A80"/>
    <w:rsid w:val="00713B9A"/>
    <w:rsid w:val="00714BD1"/>
    <w:rsid w:val="00715042"/>
    <w:rsid w:val="007164DA"/>
    <w:rsid w:val="0072000B"/>
    <w:rsid w:val="0072040A"/>
    <w:rsid w:val="00720B1A"/>
    <w:rsid w:val="00723236"/>
    <w:rsid w:val="00723A8F"/>
    <w:rsid w:val="00724759"/>
    <w:rsid w:val="007249C2"/>
    <w:rsid w:val="007253FD"/>
    <w:rsid w:val="0073033C"/>
    <w:rsid w:val="00730738"/>
    <w:rsid w:val="00731D10"/>
    <w:rsid w:val="00732337"/>
    <w:rsid w:val="00733125"/>
    <w:rsid w:val="00733174"/>
    <w:rsid w:val="007332A0"/>
    <w:rsid w:val="00733BD7"/>
    <w:rsid w:val="007352C3"/>
    <w:rsid w:val="00735865"/>
    <w:rsid w:val="00735D8C"/>
    <w:rsid w:val="00736030"/>
    <w:rsid w:val="00737114"/>
    <w:rsid w:val="0074065A"/>
    <w:rsid w:val="007436A5"/>
    <w:rsid w:val="00745105"/>
    <w:rsid w:val="00745414"/>
    <w:rsid w:val="0074596B"/>
    <w:rsid w:val="00745AF5"/>
    <w:rsid w:val="00746CFD"/>
    <w:rsid w:val="00750734"/>
    <w:rsid w:val="0075167C"/>
    <w:rsid w:val="00751AE1"/>
    <w:rsid w:val="00751D64"/>
    <w:rsid w:val="00752CE1"/>
    <w:rsid w:val="0075403C"/>
    <w:rsid w:val="00755B19"/>
    <w:rsid w:val="007560BD"/>
    <w:rsid w:val="00760221"/>
    <w:rsid w:val="00760A2E"/>
    <w:rsid w:val="00761E44"/>
    <w:rsid w:val="00762833"/>
    <w:rsid w:val="00762CEF"/>
    <w:rsid w:val="007633EC"/>
    <w:rsid w:val="00763711"/>
    <w:rsid w:val="00763ACD"/>
    <w:rsid w:val="0076452C"/>
    <w:rsid w:val="007653FA"/>
    <w:rsid w:val="007662F6"/>
    <w:rsid w:val="0076678F"/>
    <w:rsid w:val="00767241"/>
    <w:rsid w:val="00767800"/>
    <w:rsid w:val="00767987"/>
    <w:rsid w:val="0077082E"/>
    <w:rsid w:val="007712C5"/>
    <w:rsid w:val="0077171F"/>
    <w:rsid w:val="00772A8D"/>
    <w:rsid w:val="00772D70"/>
    <w:rsid w:val="00773531"/>
    <w:rsid w:val="00773F0E"/>
    <w:rsid w:val="00774C7F"/>
    <w:rsid w:val="00775B43"/>
    <w:rsid w:val="00775D9C"/>
    <w:rsid w:val="00775EC1"/>
    <w:rsid w:val="00776436"/>
    <w:rsid w:val="007764AF"/>
    <w:rsid w:val="00777D12"/>
    <w:rsid w:val="00780B69"/>
    <w:rsid w:val="00780DE7"/>
    <w:rsid w:val="00781659"/>
    <w:rsid w:val="00782D0A"/>
    <w:rsid w:val="00782EAB"/>
    <w:rsid w:val="00784312"/>
    <w:rsid w:val="0078579B"/>
    <w:rsid w:val="00785CBA"/>
    <w:rsid w:val="00786210"/>
    <w:rsid w:val="00786E34"/>
    <w:rsid w:val="00786F26"/>
    <w:rsid w:val="00787AB4"/>
    <w:rsid w:val="00790A35"/>
    <w:rsid w:val="0079106F"/>
    <w:rsid w:val="007911DD"/>
    <w:rsid w:val="007916CB"/>
    <w:rsid w:val="007917AA"/>
    <w:rsid w:val="00792B58"/>
    <w:rsid w:val="00792D94"/>
    <w:rsid w:val="007930D6"/>
    <w:rsid w:val="007943CC"/>
    <w:rsid w:val="00794B42"/>
    <w:rsid w:val="00795578"/>
    <w:rsid w:val="00795699"/>
    <w:rsid w:val="00796810"/>
    <w:rsid w:val="00796DA8"/>
    <w:rsid w:val="007A0D9A"/>
    <w:rsid w:val="007A197C"/>
    <w:rsid w:val="007A1FE8"/>
    <w:rsid w:val="007A2190"/>
    <w:rsid w:val="007A373F"/>
    <w:rsid w:val="007A660C"/>
    <w:rsid w:val="007A74E8"/>
    <w:rsid w:val="007B0523"/>
    <w:rsid w:val="007B08DA"/>
    <w:rsid w:val="007B2A55"/>
    <w:rsid w:val="007B3621"/>
    <w:rsid w:val="007B3B54"/>
    <w:rsid w:val="007B66F0"/>
    <w:rsid w:val="007B6993"/>
    <w:rsid w:val="007B7F4E"/>
    <w:rsid w:val="007C0D23"/>
    <w:rsid w:val="007C36D5"/>
    <w:rsid w:val="007C4284"/>
    <w:rsid w:val="007C4BA8"/>
    <w:rsid w:val="007C6091"/>
    <w:rsid w:val="007C76AC"/>
    <w:rsid w:val="007C7A34"/>
    <w:rsid w:val="007D00A6"/>
    <w:rsid w:val="007D0CE6"/>
    <w:rsid w:val="007D191B"/>
    <w:rsid w:val="007D3332"/>
    <w:rsid w:val="007D380E"/>
    <w:rsid w:val="007D4E4A"/>
    <w:rsid w:val="007D607F"/>
    <w:rsid w:val="007D6AD6"/>
    <w:rsid w:val="007D6C82"/>
    <w:rsid w:val="007D6E3C"/>
    <w:rsid w:val="007D7C6D"/>
    <w:rsid w:val="007E251D"/>
    <w:rsid w:val="007E4A8A"/>
    <w:rsid w:val="007E5972"/>
    <w:rsid w:val="007E5AB1"/>
    <w:rsid w:val="007E5C6F"/>
    <w:rsid w:val="007E6C81"/>
    <w:rsid w:val="007E77E8"/>
    <w:rsid w:val="007F07C3"/>
    <w:rsid w:val="007F0ECC"/>
    <w:rsid w:val="007F10A6"/>
    <w:rsid w:val="007F2DED"/>
    <w:rsid w:val="007F3F70"/>
    <w:rsid w:val="007F5F6F"/>
    <w:rsid w:val="007F6BD3"/>
    <w:rsid w:val="007F7B35"/>
    <w:rsid w:val="00800146"/>
    <w:rsid w:val="008002D3"/>
    <w:rsid w:val="008004E8"/>
    <w:rsid w:val="00800C56"/>
    <w:rsid w:val="00800EF0"/>
    <w:rsid w:val="00804B18"/>
    <w:rsid w:val="00804D94"/>
    <w:rsid w:val="00804E4F"/>
    <w:rsid w:val="008056EF"/>
    <w:rsid w:val="00805883"/>
    <w:rsid w:val="0080768A"/>
    <w:rsid w:val="00810743"/>
    <w:rsid w:val="00810A51"/>
    <w:rsid w:val="00810A53"/>
    <w:rsid w:val="00810E0F"/>
    <w:rsid w:val="00811C3B"/>
    <w:rsid w:val="00812772"/>
    <w:rsid w:val="008129E9"/>
    <w:rsid w:val="00813C69"/>
    <w:rsid w:val="0081661C"/>
    <w:rsid w:val="0081666A"/>
    <w:rsid w:val="008204F3"/>
    <w:rsid w:val="00820BC1"/>
    <w:rsid w:val="008210AC"/>
    <w:rsid w:val="008211C8"/>
    <w:rsid w:val="00821699"/>
    <w:rsid w:val="00821A0B"/>
    <w:rsid w:val="008229A6"/>
    <w:rsid w:val="00822BCC"/>
    <w:rsid w:val="00822FCC"/>
    <w:rsid w:val="008262CA"/>
    <w:rsid w:val="0082698E"/>
    <w:rsid w:val="00827F4B"/>
    <w:rsid w:val="0083106C"/>
    <w:rsid w:val="00831921"/>
    <w:rsid w:val="0083273D"/>
    <w:rsid w:val="00832D8D"/>
    <w:rsid w:val="00832ED7"/>
    <w:rsid w:val="008349E8"/>
    <w:rsid w:val="00836C79"/>
    <w:rsid w:val="0083737E"/>
    <w:rsid w:val="00837AF0"/>
    <w:rsid w:val="00840773"/>
    <w:rsid w:val="0084414B"/>
    <w:rsid w:val="00844CB3"/>
    <w:rsid w:val="00844DD8"/>
    <w:rsid w:val="0084544F"/>
    <w:rsid w:val="00845ED1"/>
    <w:rsid w:val="00846CB6"/>
    <w:rsid w:val="00847561"/>
    <w:rsid w:val="00847A54"/>
    <w:rsid w:val="0085119E"/>
    <w:rsid w:val="00851DE2"/>
    <w:rsid w:val="00851FBB"/>
    <w:rsid w:val="008532B9"/>
    <w:rsid w:val="008533E8"/>
    <w:rsid w:val="00855155"/>
    <w:rsid w:val="00855953"/>
    <w:rsid w:val="00855CCF"/>
    <w:rsid w:val="008562DF"/>
    <w:rsid w:val="00856D8B"/>
    <w:rsid w:val="008606D0"/>
    <w:rsid w:val="008611B0"/>
    <w:rsid w:val="008619D4"/>
    <w:rsid w:val="00864262"/>
    <w:rsid w:val="00864E2C"/>
    <w:rsid w:val="00865195"/>
    <w:rsid w:val="00865480"/>
    <w:rsid w:val="008718CB"/>
    <w:rsid w:val="00872418"/>
    <w:rsid w:val="00872E1F"/>
    <w:rsid w:val="0087342A"/>
    <w:rsid w:val="00873D64"/>
    <w:rsid w:val="00874092"/>
    <w:rsid w:val="008759B5"/>
    <w:rsid w:val="00877B96"/>
    <w:rsid w:val="00877CA0"/>
    <w:rsid w:val="008803BD"/>
    <w:rsid w:val="008805AC"/>
    <w:rsid w:val="00880AA2"/>
    <w:rsid w:val="00881F53"/>
    <w:rsid w:val="0088253F"/>
    <w:rsid w:val="00882B2E"/>
    <w:rsid w:val="0088395D"/>
    <w:rsid w:val="00883EE5"/>
    <w:rsid w:val="00885279"/>
    <w:rsid w:val="008855E7"/>
    <w:rsid w:val="00886DAC"/>
    <w:rsid w:val="0089037E"/>
    <w:rsid w:val="008907E7"/>
    <w:rsid w:val="00890FB6"/>
    <w:rsid w:val="008927F4"/>
    <w:rsid w:val="00893E3B"/>
    <w:rsid w:val="0089415E"/>
    <w:rsid w:val="008943E5"/>
    <w:rsid w:val="008946CA"/>
    <w:rsid w:val="00895D25"/>
    <w:rsid w:val="00896F9A"/>
    <w:rsid w:val="008979B0"/>
    <w:rsid w:val="008A02D6"/>
    <w:rsid w:val="008A0C66"/>
    <w:rsid w:val="008A17A6"/>
    <w:rsid w:val="008A2F85"/>
    <w:rsid w:val="008A3E6A"/>
    <w:rsid w:val="008A4A43"/>
    <w:rsid w:val="008A4D9E"/>
    <w:rsid w:val="008A6A46"/>
    <w:rsid w:val="008A6B5E"/>
    <w:rsid w:val="008A6BA6"/>
    <w:rsid w:val="008A6DA6"/>
    <w:rsid w:val="008A7DDB"/>
    <w:rsid w:val="008B0474"/>
    <w:rsid w:val="008B0587"/>
    <w:rsid w:val="008B0676"/>
    <w:rsid w:val="008B23B9"/>
    <w:rsid w:val="008B287B"/>
    <w:rsid w:val="008B466E"/>
    <w:rsid w:val="008B5224"/>
    <w:rsid w:val="008B5335"/>
    <w:rsid w:val="008B5BDC"/>
    <w:rsid w:val="008B6206"/>
    <w:rsid w:val="008B6253"/>
    <w:rsid w:val="008C0B34"/>
    <w:rsid w:val="008C0F4B"/>
    <w:rsid w:val="008C2215"/>
    <w:rsid w:val="008C383B"/>
    <w:rsid w:val="008C3C0C"/>
    <w:rsid w:val="008C40C7"/>
    <w:rsid w:val="008C4F58"/>
    <w:rsid w:val="008C533A"/>
    <w:rsid w:val="008C60C2"/>
    <w:rsid w:val="008C63E1"/>
    <w:rsid w:val="008C687B"/>
    <w:rsid w:val="008C79A4"/>
    <w:rsid w:val="008D3098"/>
    <w:rsid w:val="008D388C"/>
    <w:rsid w:val="008D4780"/>
    <w:rsid w:val="008D4B79"/>
    <w:rsid w:val="008D4CA4"/>
    <w:rsid w:val="008D536D"/>
    <w:rsid w:val="008D788C"/>
    <w:rsid w:val="008D7E8A"/>
    <w:rsid w:val="008E0BCE"/>
    <w:rsid w:val="008E17D3"/>
    <w:rsid w:val="008E1C79"/>
    <w:rsid w:val="008E1D15"/>
    <w:rsid w:val="008E2651"/>
    <w:rsid w:val="008E43C3"/>
    <w:rsid w:val="008E4F81"/>
    <w:rsid w:val="008E562E"/>
    <w:rsid w:val="008E5B42"/>
    <w:rsid w:val="008E6065"/>
    <w:rsid w:val="008F079D"/>
    <w:rsid w:val="008F12BB"/>
    <w:rsid w:val="008F23DD"/>
    <w:rsid w:val="008F2F2E"/>
    <w:rsid w:val="008F3C04"/>
    <w:rsid w:val="008F7517"/>
    <w:rsid w:val="00900DE2"/>
    <w:rsid w:val="009019C0"/>
    <w:rsid w:val="00901B92"/>
    <w:rsid w:val="00901F98"/>
    <w:rsid w:val="00902938"/>
    <w:rsid w:val="00902AFF"/>
    <w:rsid w:val="0090305E"/>
    <w:rsid w:val="00903DF1"/>
    <w:rsid w:val="00906359"/>
    <w:rsid w:val="00910BA2"/>
    <w:rsid w:val="00910C6C"/>
    <w:rsid w:val="00910E8F"/>
    <w:rsid w:val="00911008"/>
    <w:rsid w:val="0091353C"/>
    <w:rsid w:val="009139D9"/>
    <w:rsid w:val="00913EC8"/>
    <w:rsid w:val="00915315"/>
    <w:rsid w:val="0091594F"/>
    <w:rsid w:val="00915CBF"/>
    <w:rsid w:val="009166BC"/>
    <w:rsid w:val="009175A9"/>
    <w:rsid w:val="00920161"/>
    <w:rsid w:val="00920B4C"/>
    <w:rsid w:val="00921221"/>
    <w:rsid w:val="009216BF"/>
    <w:rsid w:val="00921C31"/>
    <w:rsid w:val="00921D3F"/>
    <w:rsid w:val="00922D50"/>
    <w:rsid w:val="00923220"/>
    <w:rsid w:val="009236B2"/>
    <w:rsid w:val="00924D26"/>
    <w:rsid w:val="009266EF"/>
    <w:rsid w:val="0092689E"/>
    <w:rsid w:val="00927020"/>
    <w:rsid w:val="0092755B"/>
    <w:rsid w:val="00930594"/>
    <w:rsid w:val="00931193"/>
    <w:rsid w:val="00931685"/>
    <w:rsid w:val="00931877"/>
    <w:rsid w:val="00931C51"/>
    <w:rsid w:val="009331D5"/>
    <w:rsid w:val="00933578"/>
    <w:rsid w:val="00933FF5"/>
    <w:rsid w:val="00934248"/>
    <w:rsid w:val="0093486C"/>
    <w:rsid w:val="009363AD"/>
    <w:rsid w:val="009363CC"/>
    <w:rsid w:val="00936D60"/>
    <w:rsid w:val="00937123"/>
    <w:rsid w:val="0094078E"/>
    <w:rsid w:val="009413B6"/>
    <w:rsid w:val="0094151F"/>
    <w:rsid w:val="00941A51"/>
    <w:rsid w:val="0094267A"/>
    <w:rsid w:val="009428DB"/>
    <w:rsid w:val="0094290B"/>
    <w:rsid w:val="00943313"/>
    <w:rsid w:val="0094369E"/>
    <w:rsid w:val="009438D2"/>
    <w:rsid w:val="00945A9D"/>
    <w:rsid w:val="00945D79"/>
    <w:rsid w:val="00947B55"/>
    <w:rsid w:val="009507F5"/>
    <w:rsid w:val="00950D10"/>
    <w:rsid w:val="0095117B"/>
    <w:rsid w:val="009516E6"/>
    <w:rsid w:val="009536A9"/>
    <w:rsid w:val="00953920"/>
    <w:rsid w:val="0095572E"/>
    <w:rsid w:val="00956424"/>
    <w:rsid w:val="009571DF"/>
    <w:rsid w:val="0096065D"/>
    <w:rsid w:val="0096105C"/>
    <w:rsid w:val="0096195B"/>
    <w:rsid w:val="00963A1F"/>
    <w:rsid w:val="0096526A"/>
    <w:rsid w:val="00965E9A"/>
    <w:rsid w:val="00965EC1"/>
    <w:rsid w:val="00966166"/>
    <w:rsid w:val="00966269"/>
    <w:rsid w:val="00966CF2"/>
    <w:rsid w:val="009678F3"/>
    <w:rsid w:val="00970261"/>
    <w:rsid w:val="009704A7"/>
    <w:rsid w:val="0097076C"/>
    <w:rsid w:val="009714A1"/>
    <w:rsid w:val="00971672"/>
    <w:rsid w:val="00971B2B"/>
    <w:rsid w:val="00972C84"/>
    <w:rsid w:val="00973A8D"/>
    <w:rsid w:val="0097414C"/>
    <w:rsid w:val="00974665"/>
    <w:rsid w:val="00974EB4"/>
    <w:rsid w:val="009758E3"/>
    <w:rsid w:val="0097648B"/>
    <w:rsid w:val="00977E2D"/>
    <w:rsid w:val="009805C3"/>
    <w:rsid w:val="009808D5"/>
    <w:rsid w:val="00980D74"/>
    <w:rsid w:val="00982FDF"/>
    <w:rsid w:val="00983819"/>
    <w:rsid w:val="0098518A"/>
    <w:rsid w:val="00985B09"/>
    <w:rsid w:val="00987D13"/>
    <w:rsid w:val="00992168"/>
    <w:rsid w:val="00992D76"/>
    <w:rsid w:val="009938CC"/>
    <w:rsid w:val="009944DB"/>
    <w:rsid w:val="0099453B"/>
    <w:rsid w:val="009946A3"/>
    <w:rsid w:val="009948BC"/>
    <w:rsid w:val="00994EDF"/>
    <w:rsid w:val="00995D0F"/>
    <w:rsid w:val="00996115"/>
    <w:rsid w:val="00996E1E"/>
    <w:rsid w:val="0099784E"/>
    <w:rsid w:val="009A0198"/>
    <w:rsid w:val="009A01E1"/>
    <w:rsid w:val="009A0CBD"/>
    <w:rsid w:val="009A16A3"/>
    <w:rsid w:val="009A1935"/>
    <w:rsid w:val="009A2C42"/>
    <w:rsid w:val="009A3010"/>
    <w:rsid w:val="009A3C57"/>
    <w:rsid w:val="009A6B07"/>
    <w:rsid w:val="009A6C61"/>
    <w:rsid w:val="009A73C3"/>
    <w:rsid w:val="009A7D29"/>
    <w:rsid w:val="009B2063"/>
    <w:rsid w:val="009B2A88"/>
    <w:rsid w:val="009B2C99"/>
    <w:rsid w:val="009B3417"/>
    <w:rsid w:val="009B3A74"/>
    <w:rsid w:val="009B4285"/>
    <w:rsid w:val="009B4E2A"/>
    <w:rsid w:val="009B507C"/>
    <w:rsid w:val="009B56EB"/>
    <w:rsid w:val="009B5DE2"/>
    <w:rsid w:val="009B647F"/>
    <w:rsid w:val="009B678B"/>
    <w:rsid w:val="009B705D"/>
    <w:rsid w:val="009B74B3"/>
    <w:rsid w:val="009C1073"/>
    <w:rsid w:val="009C1A13"/>
    <w:rsid w:val="009C2C1E"/>
    <w:rsid w:val="009C4827"/>
    <w:rsid w:val="009C4CA0"/>
    <w:rsid w:val="009C5F8F"/>
    <w:rsid w:val="009C65F9"/>
    <w:rsid w:val="009C7E88"/>
    <w:rsid w:val="009D0549"/>
    <w:rsid w:val="009D07EE"/>
    <w:rsid w:val="009D0F28"/>
    <w:rsid w:val="009D10D6"/>
    <w:rsid w:val="009D1126"/>
    <w:rsid w:val="009D18F6"/>
    <w:rsid w:val="009D2E41"/>
    <w:rsid w:val="009D31AF"/>
    <w:rsid w:val="009D32AB"/>
    <w:rsid w:val="009D3405"/>
    <w:rsid w:val="009D5D10"/>
    <w:rsid w:val="009D60A9"/>
    <w:rsid w:val="009D6831"/>
    <w:rsid w:val="009D7B64"/>
    <w:rsid w:val="009E02CD"/>
    <w:rsid w:val="009E0388"/>
    <w:rsid w:val="009E0845"/>
    <w:rsid w:val="009E132D"/>
    <w:rsid w:val="009E1442"/>
    <w:rsid w:val="009E155D"/>
    <w:rsid w:val="009E1A95"/>
    <w:rsid w:val="009E2B64"/>
    <w:rsid w:val="009E330D"/>
    <w:rsid w:val="009E499F"/>
    <w:rsid w:val="009E5066"/>
    <w:rsid w:val="009E58BB"/>
    <w:rsid w:val="009E62F9"/>
    <w:rsid w:val="009E6999"/>
    <w:rsid w:val="009E7F85"/>
    <w:rsid w:val="009F0B2D"/>
    <w:rsid w:val="009F0C8A"/>
    <w:rsid w:val="009F196E"/>
    <w:rsid w:val="009F1D3A"/>
    <w:rsid w:val="009F2CBE"/>
    <w:rsid w:val="009F3413"/>
    <w:rsid w:val="009F7677"/>
    <w:rsid w:val="009F790C"/>
    <w:rsid w:val="00A00080"/>
    <w:rsid w:val="00A00FE6"/>
    <w:rsid w:val="00A0158F"/>
    <w:rsid w:val="00A02D98"/>
    <w:rsid w:val="00A0375B"/>
    <w:rsid w:val="00A041D0"/>
    <w:rsid w:val="00A046A3"/>
    <w:rsid w:val="00A067D6"/>
    <w:rsid w:val="00A074EA"/>
    <w:rsid w:val="00A0763B"/>
    <w:rsid w:val="00A07697"/>
    <w:rsid w:val="00A078D3"/>
    <w:rsid w:val="00A07ACF"/>
    <w:rsid w:val="00A07E76"/>
    <w:rsid w:val="00A1028E"/>
    <w:rsid w:val="00A1084A"/>
    <w:rsid w:val="00A1134F"/>
    <w:rsid w:val="00A11F51"/>
    <w:rsid w:val="00A12163"/>
    <w:rsid w:val="00A1301D"/>
    <w:rsid w:val="00A1362A"/>
    <w:rsid w:val="00A1427B"/>
    <w:rsid w:val="00A15D5F"/>
    <w:rsid w:val="00A1683B"/>
    <w:rsid w:val="00A171AD"/>
    <w:rsid w:val="00A21296"/>
    <w:rsid w:val="00A22F27"/>
    <w:rsid w:val="00A25E8B"/>
    <w:rsid w:val="00A270AE"/>
    <w:rsid w:val="00A273F7"/>
    <w:rsid w:val="00A27A43"/>
    <w:rsid w:val="00A31923"/>
    <w:rsid w:val="00A31C96"/>
    <w:rsid w:val="00A356DB"/>
    <w:rsid w:val="00A36B12"/>
    <w:rsid w:val="00A37440"/>
    <w:rsid w:val="00A41F10"/>
    <w:rsid w:val="00A41FD0"/>
    <w:rsid w:val="00A4309F"/>
    <w:rsid w:val="00A43C10"/>
    <w:rsid w:val="00A450A6"/>
    <w:rsid w:val="00A4558E"/>
    <w:rsid w:val="00A462A7"/>
    <w:rsid w:val="00A46D38"/>
    <w:rsid w:val="00A46F12"/>
    <w:rsid w:val="00A50306"/>
    <w:rsid w:val="00A5040B"/>
    <w:rsid w:val="00A50927"/>
    <w:rsid w:val="00A5095C"/>
    <w:rsid w:val="00A50B02"/>
    <w:rsid w:val="00A50D24"/>
    <w:rsid w:val="00A512A6"/>
    <w:rsid w:val="00A521CC"/>
    <w:rsid w:val="00A534AD"/>
    <w:rsid w:val="00A53651"/>
    <w:rsid w:val="00A53CD2"/>
    <w:rsid w:val="00A543D6"/>
    <w:rsid w:val="00A547D6"/>
    <w:rsid w:val="00A55ED6"/>
    <w:rsid w:val="00A568F0"/>
    <w:rsid w:val="00A5711F"/>
    <w:rsid w:val="00A5781C"/>
    <w:rsid w:val="00A62854"/>
    <w:rsid w:val="00A62B4B"/>
    <w:rsid w:val="00A632F3"/>
    <w:rsid w:val="00A64F9B"/>
    <w:rsid w:val="00A65380"/>
    <w:rsid w:val="00A65782"/>
    <w:rsid w:val="00A65BCF"/>
    <w:rsid w:val="00A66DA5"/>
    <w:rsid w:val="00A6763F"/>
    <w:rsid w:val="00A70679"/>
    <w:rsid w:val="00A70983"/>
    <w:rsid w:val="00A70DF7"/>
    <w:rsid w:val="00A71C78"/>
    <w:rsid w:val="00A72D25"/>
    <w:rsid w:val="00A73181"/>
    <w:rsid w:val="00A73791"/>
    <w:rsid w:val="00A73AF9"/>
    <w:rsid w:val="00A7460A"/>
    <w:rsid w:val="00A74A03"/>
    <w:rsid w:val="00A75719"/>
    <w:rsid w:val="00A759AD"/>
    <w:rsid w:val="00A80F43"/>
    <w:rsid w:val="00A8112D"/>
    <w:rsid w:val="00A81372"/>
    <w:rsid w:val="00A824B4"/>
    <w:rsid w:val="00A84C8E"/>
    <w:rsid w:val="00A84D69"/>
    <w:rsid w:val="00A855A6"/>
    <w:rsid w:val="00A85A2C"/>
    <w:rsid w:val="00A85C89"/>
    <w:rsid w:val="00A85DAB"/>
    <w:rsid w:val="00A86BD9"/>
    <w:rsid w:val="00A86EB0"/>
    <w:rsid w:val="00A87C39"/>
    <w:rsid w:val="00A87F59"/>
    <w:rsid w:val="00A9046C"/>
    <w:rsid w:val="00A9084E"/>
    <w:rsid w:val="00A92957"/>
    <w:rsid w:val="00A95AE0"/>
    <w:rsid w:val="00A95BD7"/>
    <w:rsid w:val="00A961B6"/>
    <w:rsid w:val="00A96239"/>
    <w:rsid w:val="00AA1F50"/>
    <w:rsid w:val="00AA24D5"/>
    <w:rsid w:val="00AA3373"/>
    <w:rsid w:val="00AA3546"/>
    <w:rsid w:val="00AA4417"/>
    <w:rsid w:val="00AA6490"/>
    <w:rsid w:val="00AA6602"/>
    <w:rsid w:val="00AB0F9A"/>
    <w:rsid w:val="00AB1D7B"/>
    <w:rsid w:val="00AB20AA"/>
    <w:rsid w:val="00AB29A2"/>
    <w:rsid w:val="00AB2E9C"/>
    <w:rsid w:val="00AB311E"/>
    <w:rsid w:val="00AB39BC"/>
    <w:rsid w:val="00AB4083"/>
    <w:rsid w:val="00AB4AF4"/>
    <w:rsid w:val="00AB5D50"/>
    <w:rsid w:val="00AB673C"/>
    <w:rsid w:val="00AC02DD"/>
    <w:rsid w:val="00AC1040"/>
    <w:rsid w:val="00AC1A37"/>
    <w:rsid w:val="00AC2C4C"/>
    <w:rsid w:val="00AC53AE"/>
    <w:rsid w:val="00AC5DAB"/>
    <w:rsid w:val="00AD0495"/>
    <w:rsid w:val="00AD0771"/>
    <w:rsid w:val="00AD08A6"/>
    <w:rsid w:val="00AD3417"/>
    <w:rsid w:val="00AD3476"/>
    <w:rsid w:val="00AD3976"/>
    <w:rsid w:val="00AD5145"/>
    <w:rsid w:val="00AD5911"/>
    <w:rsid w:val="00AD734F"/>
    <w:rsid w:val="00AE21A6"/>
    <w:rsid w:val="00AE2783"/>
    <w:rsid w:val="00AE3B1B"/>
    <w:rsid w:val="00AE6C69"/>
    <w:rsid w:val="00AF09CF"/>
    <w:rsid w:val="00AF12BE"/>
    <w:rsid w:val="00AF175B"/>
    <w:rsid w:val="00AF3092"/>
    <w:rsid w:val="00AF3D43"/>
    <w:rsid w:val="00AF6546"/>
    <w:rsid w:val="00AF66B9"/>
    <w:rsid w:val="00AF709D"/>
    <w:rsid w:val="00B005B6"/>
    <w:rsid w:val="00B0090A"/>
    <w:rsid w:val="00B01AC2"/>
    <w:rsid w:val="00B02618"/>
    <w:rsid w:val="00B02B81"/>
    <w:rsid w:val="00B0605A"/>
    <w:rsid w:val="00B07AE0"/>
    <w:rsid w:val="00B103BF"/>
    <w:rsid w:val="00B10792"/>
    <w:rsid w:val="00B11EE8"/>
    <w:rsid w:val="00B11FAD"/>
    <w:rsid w:val="00B126EB"/>
    <w:rsid w:val="00B12D15"/>
    <w:rsid w:val="00B14D27"/>
    <w:rsid w:val="00B14D36"/>
    <w:rsid w:val="00B16275"/>
    <w:rsid w:val="00B163C5"/>
    <w:rsid w:val="00B168E6"/>
    <w:rsid w:val="00B17556"/>
    <w:rsid w:val="00B217C5"/>
    <w:rsid w:val="00B219C7"/>
    <w:rsid w:val="00B22230"/>
    <w:rsid w:val="00B2444A"/>
    <w:rsid w:val="00B24D55"/>
    <w:rsid w:val="00B27871"/>
    <w:rsid w:val="00B27CA6"/>
    <w:rsid w:val="00B27FE1"/>
    <w:rsid w:val="00B306B7"/>
    <w:rsid w:val="00B3107D"/>
    <w:rsid w:val="00B311E9"/>
    <w:rsid w:val="00B312C7"/>
    <w:rsid w:val="00B31CC1"/>
    <w:rsid w:val="00B32B8F"/>
    <w:rsid w:val="00B33560"/>
    <w:rsid w:val="00B33BCF"/>
    <w:rsid w:val="00B345B6"/>
    <w:rsid w:val="00B35E31"/>
    <w:rsid w:val="00B36115"/>
    <w:rsid w:val="00B36598"/>
    <w:rsid w:val="00B368C3"/>
    <w:rsid w:val="00B37171"/>
    <w:rsid w:val="00B37814"/>
    <w:rsid w:val="00B40F65"/>
    <w:rsid w:val="00B4100C"/>
    <w:rsid w:val="00B41195"/>
    <w:rsid w:val="00B42064"/>
    <w:rsid w:val="00B42A25"/>
    <w:rsid w:val="00B45F6E"/>
    <w:rsid w:val="00B4643F"/>
    <w:rsid w:val="00B46D14"/>
    <w:rsid w:val="00B47C0D"/>
    <w:rsid w:val="00B47F53"/>
    <w:rsid w:val="00B50B36"/>
    <w:rsid w:val="00B512D0"/>
    <w:rsid w:val="00B537CD"/>
    <w:rsid w:val="00B54EDF"/>
    <w:rsid w:val="00B551F9"/>
    <w:rsid w:val="00B568F1"/>
    <w:rsid w:val="00B57748"/>
    <w:rsid w:val="00B57AB1"/>
    <w:rsid w:val="00B60214"/>
    <w:rsid w:val="00B60611"/>
    <w:rsid w:val="00B636F0"/>
    <w:rsid w:val="00B648A0"/>
    <w:rsid w:val="00B64CC1"/>
    <w:rsid w:val="00B668E1"/>
    <w:rsid w:val="00B67790"/>
    <w:rsid w:val="00B70348"/>
    <w:rsid w:val="00B70F4E"/>
    <w:rsid w:val="00B71EEE"/>
    <w:rsid w:val="00B72277"/>
    <w:rsid w:val="00B7261C"/>
    <w:rsid w:val="00B72E66"/>
    <w:rsid w:val="00B73527"/>
    <w:rsid w:val="00B73E75"/>
    <w:rsid w:val="00B74CA8"/>
    <w:rsid w:val="00B7513E"/>
    <w:rsid w:val="00B75886"/>
    <w:rsid w:val="00B759EB"/>
    <w:rsid w:val="00B75C5C"/>
    <w:rsid w:val="00B75D15"/>
    <w:rsid w:val="00B76A38"/>
    <w:rsid w:val="00B77E6E"/>
    <w:rsid w:val="00B80050"/>
    <w:rsid w:val="00B804EB"/>
    <w:rsid w:val="00B8055A"/>
    <w:rsid w:val="00B83DDA"/>
    <w:rsid w:val="00B861F6"/>
    <w:rsid w:val="00B86D39"/>
    <w:rsid w:val="00B87456"/>
    <w:rsid w:val="00B87BE3"/>
    <w:rsid w:val="00B908B8"/>
    <w:rsid w:val="00B909E3"/>
    <w:rsid w:val="00B90C0F"/>
    <w:rsid w:val="00B90DE3"/>
    <w:rsid w:val="00B921BB"/>
    <w:rsid w:val="00B93571"/>
    <w:rsid w:val="00B935E8"/>
    <w:rsid w:val="00B93895"/>
    <w:rsid w:val="00B96418"/>
    <w:rsid w:val="00B966AD"/>
    <w:rsid w:val="00B96FC3"/>
    <w:rsid w:val="00BA025A"/>
    <w:rsid w:val="00BA0B58"/>
    <w:rsid w:val="00BA2500"/>
    <w:rsid w:val="00BA2ADF"/>
    <w:rsid w:val="00BA2ED4"/>
    <w:rsid w:val="00BA3133"/>
    <w:rsid w:val="00BA3247"/>
    <w:rsid w:val="00BA394E"/>
    <w:rsid w:val="00BA4BF0"/>
    <w:rsid w:val="00BA4F5A"/>
    <w:rsid w:val="00BA7BA6"/>
    <w:rsid w:val="00BB005C"/>
    <w:rsid w:val="00BB0445"/>
    <w:rsid w:val="00BB05DC"/>
    <w:rsid w:val="00BB07E3"/>
    <w:rsid w:val="00BB0B4E"/>
    <w:rsid w:val="00BB1BCA"/>
    <w:rsid w:val="00BB308F"/>
    <w:rsid w:val="00BB40A8"/>
    <w:rsid w:val="00BB5195"/>
    <w:rsid w:val="00BB5286"/>
    <w:rsid w:val="00BB59C0"/>
    <w:rsid w:val="00BB6D5E"/>
    <w:rsid w:val="00BB6EAD"/>
    <w:rsid w:val="00BB6F0B"/>
    <w:rsid w:val="00BC051C"/>
    <w:rsid w:val="00BC09CA"/>
    <w:rsid w:val="00BC0CE6"/>
    <w:rsid w:val="00BC2B00"/>
    <w:rsid w:val="00BC3CA9"/>
    <w:rsid w:val="00BC3F44"/>
    <w:rsid w:val="00BC4EBB"/>
    <w:rsid w:val="00BC5BE0"/>
    <w:rsid w:val="00BC5D06"/>
    <w:rsid w:val="00BC6B7E"/>
    <w:rsid w:val="00BD12EA"/>
    <w:rsid w:val="00BD142C"/>
    <w:rsid w:val="00BD1A7E"/>
    <w:rsid w:val="00BD21E3"/>
    <w:rsid w:val="00BD275C"/>
    <w:rsid w:val="00BD2C72"/>
    <w:rsid w:val="00BD3D19"/>
    <w:rsid w:val="00BD3E56"/>
    <w:rsid w:val="00BD4221"/>
    <w:rsid w:val="00BD45AF"/>
    <w:rsid w:val="00BD50FB"/>
    <w:rsid w:val="00BD527A"/>
    <w:rsid w:val="00BD5CC8"/>
    <w:rsid w:val="00BD5EEB"/>
    <w:rsid w:val="00BD5F9F"/>
    <w:rsid w:val="00BD68A5"/>
    <w:rsid w:val="00BD6917"/>
    <w:rsid w:val="00BD6E49"/>
    <w:rsid w:val="00BD7489"/>
    <w:rsid w:val="00BD74EC"/>
    <w:rsid w:val="00BD7AB1"/>
    <w:rsid w:val="00BD7D77"/>
    <w:rsid w:val="00BE069B"/>
    <w:rsid w:val="00BE07B2"/>
    <w:rsid w:val="00BE0B4D"/>
    <w:rsid w:val="00BE145B"/>
    <w:rsid w:val="00BE1D7D"/>
    <w:rsid w:val="00BE2922"/>
    <w:rsid w:val="00BE2956"/>
    <w:rsid w:val="00BE318B"/>
    <w:rsid w:val="00BE40D6"/>
    <w:rsid w:val="00BE4521"/>
    <w:rsid w:val="00BE470E"/>
    <w:rsid w:val="00BE7053"/>
    <w:rsid w:val="00BE70A5"/>
    <w:rsid w:val="00BE77A7"/>
    <w:rsid w:val="00BF064E"/>
    <w:rsid w:val="00BF0898"/>
    <w:rsid w:val="00BF56CF"/>
    <w:rsid w:val="00BF5876"/>
    <w:rsid w:val="00BF7ABF"/>
    <w:rsid w:val="00BF7E10"/>
    <w:rsid w:val="00C00C65"/>
    <w:rsid w:val="00C02227"/>
    <w:rsid w:val="00C0366E"/>
    <w:rsid w:val="00C03848"/>
    <w:rsid w:val="00C04940"/>
    <w:rsid w:val="00C04C34"/>
    <w:rsid w:val="00C0505E"/>
    <w:rsid w:val="00C05724"/>
    <w:rsid w:val="00C061CA"/>
    <w:rsid w:val="00C07DEC"/>
    <w:rsid w:val="00C07F6B"/>
    <w:rsid w:val="00C10D28"/>
    <w:rsid w:val="00C12C05"/>
    <w:rsid w:val="00C13350"/>
    <w:rsid w:val="00C13877"/>
    <w:rsid w:val="00C14137"/>
    <w:rsid w:val="00C151CC"/>
    <w:rsid w:val="00C15F2E"/>
    <w:rsid w:val="00C16A4F"/>
    <w:rsid w:val="00C17523"/>
    <w:rsid w:val="00C1764C"/>
    <w:rsid w:val="00C17C84"/>
    <w:rsid w:val="00C17F9A"/>
    <w:rsid w:val="00C20C72"/>
    <w:rsid w:val="00C20E0D"/>
    <w:rsid w:val="00C2124D"/>
    <w:rsid w:val="00C21AA9"/>
    <w:rsid w:val="00C23D3C"/>
    <w:rsid w:val="00C23FB6"/>
    <w:rsid w:val="00C240AB"/>
    <w:rsid w:val="00C249BB"/>
    <w:rsid w:val="00C25F02"/>
    <w:rsid w:val="00C261E0"/>
    <w:rsid w:val="00C30399"/>
    <w:rsid w:val="00C30E3F"/>
    <w:rsid w:val="00C30FD5"/>
    <w:rsid w:val="00C3131E"/>
    <w:rsid w:val="00C31E5F"/>
    <w:rsid w:val="00C3298E"/>
    <w:rsid w:val="00C342E4"/>
    <w:rsid w:val="00C35CD9"/>
    <w:rsid w:val="00C37856"/>
    <w:rsid w:val="00C40D5E"/>
    <w:rsid w:val="00C426CB"/>
    <w:rsid w:val="00C43354"/>
    <w:rsid w:val="00C4405A"/>
    <w:rsid w:val="00C44890"/>
    <w:rsid w:val="00C44912"/>
    <w:rsid w:val="00C44E47"/>
    <w:rsid w:val="00C45C1A"/>
    <w:rsid w:val="00C46220"/>
    <w:rsid w:val="00C466E9"/>
    <w:rsid w:val="00C47826"/>
    <w:rsid w:val="00C47A89"/>
    <w:rsid w:val="00C50368"/>
    <w:rsid w:val="00C50605"/>
    <w:rsid w:val="00C51AB6"/>
    <w:rsid w:val="00C51B45"/>
    <w:rsid w:val="00C52551"/>
    <w:rsid w:val="00C531FB"/>
    <w:rsid w:val="00C54A27"/>
    <w:rsid w:val="00C559AE"/>
    <w:rsid w:val="00C60216"/>
    <w:rsid w:val="00C602C6"/>
    <w:rsid w:val="00C60558"/>
    <w:rsid w:val="00C633C5"/>
    <w:rsid w:val="00C633CA"/>
    <w:rsid w:val="00C6453D"/>
    <w:rsid w:val="00C64675"/>
    <w:rsid w:val="00C64AB8"/>
    <w:rsid w:val="00C71004"/>
    <w:rsid w:val="00C715AD"/>
    <w:rsid w:val="00C71B42"/>
    <w:rsid w:val="00C71E5C"/>
    <w:rsid w:val="00C7276C"/>
    <w:rsid w:val="00C74AA7"/>
    <w:rsid w:val="00C75817"/>
    <w:rsid w:val="00C75E4E"/>
    <w:rsid w:val="00C764BB"/>
    <w:rsid w:val="00C77085"/>
    <w:rsid w:val="00C8066F"/>
    <w:rsid w:val="00C809F9"/>
    <w:rsid w:val="00C80D0B"/>
    <w:rsid w:val="00C81B23"/>
    <w:rsid w:val="00C8231F"/>
    <w:rsid w:val="00C82446"/>
    <w:rsid w:val="00C8297A"/>
    <w:rsid w:val="00C83356"/>
    <w:rsid w:val="00C853A3"/>
    <w:rsid w:val="00C863A5"/>
    <w:rsid w:val="00C86667"/>
    <w:rsid w:val="00C87A9F"/>
    <w:rsid w:val="00C92A3B"/>
    <w:rsid w:val="00C92EBC"/>
    <w:rsid w:val="00C94584"/>
    <w:rsid w:val="00C94FC6"/>
    <w:rsid w:val="00C9543F"/>
    <w:rsid w:val="00C95DD4"/>
    <w:rsid w:val="00C9641E"/>
    <w:rsid w:val="00C96CA0"/>
    <w:rsid w:val="00C9792D"/>
    <w:rsid w:val="00C97E32"/>
    <w:rsid w:val="00CA098D"/>
    <w:rsid w:val="00CA0EA4"/>
    <w:rsid w:val="00CA1596"/>
    <w:rsid w:val="00CA19BF"/>
    <w:rsid w:val="00CA211C"/>
    <w:rsid w:val="00CA2256"/>
    <w:rsid w:val="00CA43D7"/>
    <w:rsid w:val="00CA77EA"/>
    <w:rsid w:val="00CB02F4"/>
    <w:rsid w:val="00CB24A3"/>
    <w:rsid w:val="00CB277A"/>
    <w:rsid w:val="00CB27C7"/>
    <w:rsid w:val="00CB2828"/>
    <w:rsid w:val="00CB36BC"/>
    <w:rsid w:val="00CB3AA0"/>
    <w:rsid w:val="00CB5904"/>
    <w:rsid w:val="00CB6185"/>
    <w:rsid w:val="00CB64B7"/>
    <w:rsid w:val="00CB72AD"/>
    <w:rsid w:val="00CC01CC"/>
    <w:rsid w:val="00CC045D"/>
    <w:rsid w:val="00CC0D21"/>
    <w:rsid w:val="00CC15C9"/>
    <w:rsid w:val="00CC4073"/>
    <w:rsid w:val="00CC43A8"/>
    <w:rsid w:val="00CC44E4"/>
    <w:rsid w:val="00CC5489"/>
    <w:rsid w:val="00CC5C7F"/>
    <w:rsid w:val="00CC5EB3"/>
    <w:rsid w:val="00CC6BA9"/>
    <w:rsid w:val="00CC6FD6"/>
    <w:rsid w:val="00CC7334"/>
    <w:rsid w:val="00CC743B"/>
    <w:rsid w:val="00CC7E05"/>
    <w:rsid w:val="00CD11F0"/>
    <w:rsid w:val="00CD2C5C"/>
    <w:rsid w:val="00CD3F0A"/>
    <w:rsid w:val="00CD484C"/>
    <w:rsid w:val="00CD50EA"/>
    <w:rsid w:val="00CD66CA"/>
    <w:rsid w:val="00CD6862"/>
    <w:rsid w:val="00CD6EC6"/>
    <w:rsid w:val="00CD79C4"/>
    <w:rsid w:val="00CD7C4D"/>
    <w:rsid w:val="00CE068C"/>
    <w:rsid w:val="00CE2886"/>
    <w:rsid w:val="00CE311A"/>
    <w:rsid w:val="00CE34A2"/>
    <w:rsid w:val="00CE3769"/>
    <w:rsid w:val="00CE3862"/>
    <w:rsid w:val="00CE3D95"/>
    <w:rsid w:val="00CE62E0"/>
    <w:rsid w:val="00CF0060"/>
    <w:rsid w:val="00CF040B"/>
    <w:rsid w:val="00CF06D5"/>
    <w:rsid w:val="00CF1114"/>
    <w:rsid w:val="00CF29A0"/>
    <w:rsid w:val="00CF2C74"/>
    <w:rsid w:val="00CF3BA0"/>
    <w:rsid w:val="00CF4AC4"/>
    <w:rsid w:val="00CF5DC4"/>
    <w:rsid w:val="00CF6027"/>
    <w:rsid w:val="00CF616B"/>
    <w:rsid w:val="00CF61A0"/>
    <w:rsid w:val="00CF62CF"/>
    <w:rsid w:val="00D00934"/>
    <w:rsid w:val="00D02D0C"/>
    <w:rsid w:val="00D05443"/>
    <w:rsid w:val="00D060A0"/>
    <w:rsid w:val="00D110B2"/>
    <w:rsid w:val="00D12565"/>
    <w:rsid w:val="00D129D9"/>
    <w:rsid w:val="00D15076"/>
    <w:rsid w:val="00D171FA"/>
    <w:rsid w:val="00D2043C"/>
    <w:rsid w:val="00D22AE6"/>
    <w:rsid w:val="00D23533"/>
    <w:rsid w:val="00D260C5"/>
    <w:rsid w:val="00D26CB0"/>
    <w:rsid w:val="00D2793E"/>
    <w:rsid w:val="00D306F4"/>
    <w:rsid w:val="00D31252"/>
    <w:rsid w:val="00D312CC"/>
    <w:rsid w:val="00D31B75"/>
    <w:rsid w:val="00D325E9"/>
    <w:rsid w:val="00D33216"/>
    <w:rsid w:val="00D3353D"/>
    <w:rsid w:val="00D34F43"/>
    <w:rsid w:val="00D3563A"/>
    <w:rsid w:val="00D36031"/>
    <w:rsid w:val="00D3648A"/>
    <w:rsid w:val="00D3721F"/>
    <w:rsid w:val="00D40955"/>
    <w:rsid w:val="00D40C2D"/>
    <w:rsid w:val="00D418D6"/>
    <w:rsid w:val="00D42605"/>
    <w:rsid w:val="00D43379"/>
    <w:rsid w:val="00D4505C"/>
    <w:rsid w:val="00D47568"/>
    <w:rsid w:val="00D5002D"/>
    <w:rsid w:val="00D50941"/>
    <w:rsid w:val="00D50F7F"/>
    <w:rsid w:val="00D52047"/>
    <w:rsid w:val="00D52069"/>
    <w:rsid w:val="00D5396A"/>
    <w:rsid w:val="00D54782"/>
    <w:rsid w:val="00D554AF"/>
    <w:rsid w:val="00D56CFA"/>
    <w:rsid w:val="00D56EF0"/>
    <w:rsid w:val="00D57348"/>
    <w:rsid w:val="00D5787B"/>
    <w:rsid w:val="00D57DD8"/>
    <w:rsid w:val="00D6067D"/>
    <w:rsid w:val="00D614D2"/>
    <w:rsid w:val="00D6235C"/>
    <w:rsid w:val="00D624F8"/>
    <w:rsid w:val="00D62573"/>
    <w:rsid w:val="00D64DD7"/>
    <w:rsid w:val="00D6659D"/>
    <w:rsid w:val="00D66763"/>
    <w:rsid w:val="00D66AE3"/>
    <w:rsid w:val="00D676BA"/>
    <w:rsid w:val="00D7056F"/>
    <w:rsid w:val="00D707B9"/>
    <w:rsid w:val="00D70884"/>
    <w:rsid w:val="00D70967"/>
    <w:rsid w:val="00D73D12"/>
    <w:rsid w:val="00D73DFC"/>
    <w:rsid w:val="00D742B5"/>
    <w:rsid w:val="00D7442D"/>
    <w:rsid w:val="00D757BF"/>
    <w:rsid w:val="00D7623A"/>
    <w:rsid w:val="00D7652A"/>
    <w:rsid w:val="00D769F2"/>
    <w:rsid w:val="00D7754F"/>
    <w:rsid w:val="00D77C83"/>
    <w:rsid w:val="00D815F0"/>
    <w:rsid w:val="00D82844"/>
    <w:rsid w:val="00D82F29"/>
    <w:rsid w:val="00D83EF4"/>
    <w:rsid w:val="00D84897"/>
    <w:rsid w:val="00D848D3"/>
    <w:rsid w:val="00D8633C"/>
    <w:rsid w:val="00D86514"/>
    <w:rsid w:val="00D9063C"/>
    <w:rsid w:val="00D93936"/>
    <w:rsid w:val="00D940BF"/>
    <w:rsid w:val="00D95129"/>
    <w:rsid w:val="00D95188"/>
    <w:rsid w:val="00D96367"/>
    <w:rsid w:val="00D9747A"/>
    <w:rsid w:val="00D975B1"/>
    <w:rsid w:val="00D97EF4"/>
    <w:rsid w:val="00DA0DD1"/>
    <w:rsid w:val="00DA1B82"/>
    <w:rsid w:val="00DA1CEA"/>
    <w:rsid w:val="00DA2349"/>
    <w:rsid w:val="00DA2B2F"/>
    <w:rsid w:val="00DA3889"/>
    <w:rsid w:val="00DA39A5"/>
    <w:rsid w:val="00DA789B"/>
    <w:rsid w:val="00DB1071"/>
    <w:rsid w:val="00DB2233"/>
    <w:rsid w:val="00DB3549"/>
    <w:rsid w:val="00DB3B1D"/>
    <w:rsid w:val="00DB3F1A"/>
    <w:rsid w:val="00DB4822"/>
    <w:rsid w:val="00DB4A9B"/>
    <w:rsid w:val="00DB4AB6"/>
    <w:rsid w:val="00DB52FF"/>
    <w:rsid w:val="00DB57CF"/>
    <w:rsid w:val="00DB5919"/>
    <w:rsid w:val="00DB6542"/>
    <w:rsid w:val="00DB761C"/>
    <w:rsid w:val="00DB7DA5"/>
    <w:rsid w:val="00DC1E69"/>
    <w:rsid w:val="00DC2305"/>
    <w:rsid w:val="00DC38EE"/>
    <w:rsid w:val="00DC3E3D"/>
    <w:rsid w:val="00DC416D"/>
    <w:rsid w:val="00DC4494"/>
    <w:rsid w:val="00DC48DF"/>
    <w:rsid w:val="00DC4A1B"/>
    <w:rsid w:val="00DC5EEF"/>
    <w:rsid w:val="00DD0D1A"/>
    <w:rsid w:val="00DD0DB2"/>
    <w:rsid w:val="00DD2044"/>
    <w:rsid w:val="00DD2A57"/>
    <w:rsid w:val="00DD2DE8"/>
    <w:rsid w:val="00DD324A"/>
    <w:rsid w:val="00DD3361"/>
    <w:rsid w:val="00DD514E"/>
    <w:rsid w:val="00DD57BA"/>
    <w:rsid w:val="00DD69C6"/>
    <w:rsid w:val="00DE2986"/>
    <w:rsid w:val="00DE29C3"/>
    <w:rsid w:val="00DE34DA"/>
    <w:rsid w:val="00DE4377"/>
    <w:rsid w:val="00DE563C"/>
    <w:rsid w:val="00DF0BCB"/>
    <w:rsid w:val="00DF0F6A"/>
    <w:rsid w:val="00DF131F"/>
    <w:rsid w:val="00DF187D"/>
    <w:rsid w:val="00DF21D3"/>
    <w:rsid w:val="00DF2C1A"/>
    <w:rsid w:val="00DF4731"/>
    <w:rsid w:val="00DF4B32"/>
    <w:rsid w:val="00DF52DE"/>
    <w:rsid w:val="00DF5658"/>
    <w:rsid w:val="00DF5FAE"/>
    <w:rsid w:val="00E01996"/>
    <w:rsid w:val="00E01E9C"/>
    <w:rsid w:val="00E0210B"/>
    <w:rsid w:val="00E02208"/>
    <w:rsid w:val="00E0230B"/>
    <w:rsid w:val="00E0244F"/>
    <w:rsid w:val="00E03481"/>
    <w:rsid w:val="00E03A59"/>
    <w:rsid w:val="00E041E0"/>
    <w:rsid w:val="00E06416"/>
    <w:rsid w:val="00E12F6A"/>
    <w:rsid w:val="00E130D8"/>
    <w:rsid w:val="00E14B07"/>
    <w:rsid w:val="00E1511F"/>
    <w:rsid w:val="00E153F4"/>
    <w:rsid w:val="00E16EEC"/>
    <w:rsid w:val="00E209DB"/>
    <w:rsid w:val="00E20AFC"/>
    <w:rsid w:val="00E2120A"/>
    <w:rsid w:val="00E21C09"/>
    <w:rsid w:val="00E21E50"/>
    <w:rsid w:val="00E22DDC"/>
    <w:rsid w:val="00E2353B"/>
    <w:rsid w:val="00E24082"/>
    <w:rsid w:val="00E2426F"/>
    <w:rsid w:val="00E268AD"/>
    <w:rsid w:val="00E278BD"/>
    <w:rsid w:val="00E306EB"/>
    <w:rsid w:val="00E308DA"/>
    <w:rsid w:val="00E31443"/>
    <w:rsid w:val="00E336D2"/>
    <w:rsid w:val="00E34811"/>
    <w:rsid w:val="00E34D04"/>
    <w:rsid w:val="00E35D2F"/>
    <w:rsid w:val="00E3602F"/>
    <w:rsid w:val="00E36866"/>
    <w:rsid w:val="00E40C65"/>
    <w:rsid w:val="00E4144D"/>
    <w:rsid w:val="00E445DE"/>
    <w:rsid w:val="00E4536F"/>
    <w:rsid w:val="00E45FD7"/>
    <w:rsid w:val="00E460ED"/>
    <w:rsid w:val="00E462F0"/>
    <w:rsid w:val="00E46BB5"/>
    <w:rsid w:val="00E470E5"/>
    <w:rsid w:val="00E47E3E"/>
    <w:rsid w:val="00E51452"/>
    <w:rsid w:val="00E52306"/>
    <w:rsid w:val="00E52C73"/>
    <w:rsid w:val="00E53A75"/>
    <w:rsid w:val="00E54105"/>
    <w:rsid w:val="00E544C5"/>
    <w:rsid w:val="00E55541"/>
    <w:rsid w:val="00E561A9"/>
    <w:rsid w:val="00E56567"/>
    <w:rsid w:val="00E5667C"/>
    <w:rsid w:val="00E57621"/>
    <w:rsid w:val="00E5779C"/>
    <w:rsid w:val="00E631E9"/>
    <w:rsid w:val="00E63502"/>
    <w:rsid w:val="00E6355E"/>
    <w:rsid w:val="00E6358D"/>
    <w:rsid w:val="00E63612"/>
    <w:rsid w:val="00E6380D"/>
    <w:rsid w:val="00E63E54"/>
    <w:rsid w:val="00E63F2F"/>
    <w:rsid w:val="00E63FAB"/>
    <w:rsid w:val="00E646CE"/>
    <w:rsid w:val="00E65FEC"/>
    <w:rsid w:val="00E67408"/>
    <w:rsid w:val="00E675C0"/>
    <w:rsid w:val="00E67B25"/>
    <w:rsid w:val="00E71805"/>
    <w:rsid w:val="00E723D1"/>
    <w:rsid w:val="00E7253C"/>
    <w:rsid w:val="00E727FE"/>
    <w:rsid w:val="00E742AE"/>
    <w:rsid w:val="00E7593D"/>
    <w:rsid w:val="00E7690E"/>
    <w:rsid w:val="00E76992"/>
    <w:rsid w:val="00E7763D"/>
    <w:rsid w:val="00E8024C"/>
    <w:rsid w:val="00E81087"/>
    <w:rsid w:val="00E811A6"/>
    <w:rsid w:val="00E823CD"/>
    <w:rsid w:val="00E834C5"/>
    <w:rsid w:val="00E83992"/>
    <w:rsid w:val="00E85E78"/>
    <w:rsid w:val="00E85E9C"/>
    <w:rsid w:val="00E85EE5"/>
    <w:rsid w:val="00E864BD"/>
    <w:rsid w:val="00E87235"/>
    <w:rsid w:val="00E87AAF"/>
    <w:rsid w:val="00E9001B"/>
    <w:rsid w:val="00E9023F"/>
    <w:rsid w:val="00E91029"/>
    <w:rsid w:val="00E922DF"/>
    <w:rsid w:val="00E9236A"/>
    <w:rsid w:val="00E92C01"/>
    <w:rsid w:val="00E9547B"/>
    <w:rsid w:val="00E96000"/>
    <w:rsid w:val="00E979F7"/>
    <w:rsid w:val="00EA0740"/>
    <w:rsid w:val="00EA11EB"/>
    <w:rsid w:val="00EA1520"/>
    <w:rsid w:val="00EA2AA3"/>
    <w:rsid w:val="00EA3115"/>
    <w:rsid w:val="00EA6F46"/>
    <w:rsid w:val="00EA71C2"/>
    <w:rsid w:val="00EA7361"/>
    <w:rsid w:val="00EA79DE"/>
    <w:rsid w:val="00EA7A4D"/>
    <w:rsid w:val="00EB1AB6"/>
    <w:rsid w:val="00EB218C"/>
    <w:rsid w:val="00EB3372"/>
    <w:rsid w:val="00EB393C"/>
    <w:rsid w:val="00EB39F9"/>
    <w:rsid w:val="00EB47DD"/>
    <w:rsid w:val="00EB49F7"/>
    <w:rsid w:val="00EB6034"/>
    <w:rsid w:val="00EC0718"/>
    <w:rsid w:val="00EC0818"/>
    <w:rsid w:val="00EC08A0"/>
    <w:rsid w:val="00EC0942"/>
    <w:rsid w:val="00EC0C18"/>
    <w:rsid w:val="00EC0DDB"/>
    <w:rsid w:val="00EC0F07"/>
    <w:rsid w:val="00EC43E1"/>
    <w:rsid w:val="00EC442D"/>
    <w:rsid w:val="00EC66B0"/>
    <w:rsid w:val="00EC7667"/>
    <w:rsid w:val="00EC7F27"/>
    <w:rsid w:val="00ED0806"/>
    <w:rsid w:val="00ED0F8F"/>
    <w:rsid w:val="00ED1389"/>
    <w:rsid w:val="00ED2171"/>
    <w:rsid w:val="00ED2294"/>
    <w:rsid w:val="00ED38DC"/>
    <w:rsid w:val="00ED3942"/>
    <w:rsid w:val="00ED5650"/>
    <w:rsid w:val="00ED6804"/>
    <w:rsid w:val="00ED6DAF"/>
    <w:rsid w:val="00ED75D7"/>
    <w:rsid w:val="00ED76CE"/>
    <w:rsid w:val="00ED7D0E"/>
    <w:rsid w:val="00EE01EE"/>
    <w:rsid w:val="00EE104F"/>
    <w:rsid w:val="00EE2607"/>
    <w:rsid w:val="00EE2830"/>
    <w:rsid w:val="00EE2B30"/>
    <w:rsid w:val="00EE2C0C"/>
    <w:rsid w:val="00EE3051"/>
    <w:rsid w:val="00EE43CE"/>
    <w:rsid w:val="00EE47C9"/>
    <w:rsid w:val="00EE4D2C"/>
    <w:rsid w:val="00EE5577"/>
    <w:rsid w:val="00EE631F"/>
    <w:rsid w:val="00EE675E"/>
    <w:rsid w:val="00EF016E"/>
    <w:rsid w:val="00EF0994"/>
    <w:rsid w:val="00EF106A"/>
    <w:rsid w:val="00EF38A4"/>
    <w:rsid w:val="00EF4D17"/>
    <w:rsid w:val="00EF5CD7"/>
    <w:rsid w:val="00EF68C7"/>
    <w:rsid w:val="00EF6991"/>
    <w:rsid w:val="00EF6CCC"/>
    <w:rsid w:val="00EF6F31"/>
    <w:rsid w:val="00EF73A3"/>
    <w:rsid w:val="00F004A0"/>
    <w:rsid w:val="00F006D1"/>
    <w:rsid w:val="00F01C78"/>
    <w:rsid w:val="00F02405"/>
    <w:rsid w:val="00F02986"/>
    <w:rsid w:val="00F033DB"/>
    <w:rsid w:val="00F03AF2"/>
    <w:rsid w:val="00F06087"/>
    <w:rsid w:val="00F1027B"/>
    <w:rsid w:val="00F11836"/>
    <w:rsid w:val="00F12E70"/>
    <w:rsid w:val="00F130B8"/>
    <w:rsid w:val="00F131F1"/>
    <w:rsid w:val="00F13D4C"/>
    <w:rsid w:val="00F14661"/>
    <w:rsid w:val="00F154AA"/>
    <w:rsid w:val="00F159B2"/>
    <w:rsid w:val="00F162A8"/>
    <w:rsid w:val="00F17EFF"/>
    <w:rsid w:val="00F20813"/>
    <w:rsid w:val="00F21CD3"/>
    <w:rsid w:val="00F2283B"/>
    <w:rsid w:val="00F23458"/>
    <w:rsid w:val="00F25332"/>
    <w:rsid w:val="00F255CC"/>
    <w:rsid w:val="00F26048"/>
    <w:rsid w:val="00F26AE1"/>
    <w:rsid w:val="00F301E6"/>
    <w:rsid w:val="00F32988"/>
    <w:rsid w:val="00F33393"/>
    <w:rsid w:val="00F333BA"/>
    <w:rsid w:val="00F33DEF"/>
    <w:rsid w:val="00F3661F"/>
    <w:rsid w:val="00F36BA9"/>
    <w:rsid w:val="00F377B8"/>
    <w:rsid w:val="00F37831"/>
    <w:rsid w:val="00F402B2"/>
    <w:rsid w:val="00F40D30"/>
    <w:rsid w:val="00F41C25"/>
    <w:rsid w:val="00F431F3"/>
    <w:rsid w:val="00F4410F"/>
    <w:rsid w:val="00F4441B"/>
    <w:rsid w:val="00F46018"/>
    <w:rsid w:val="00F464A6"/>
    <w:rsid w:val="00F46B6D"/>
    <w:rsid w:val="00F47063"/>
    <w:rsid w:val="00F47376"/>
    <w:rsid w:val="00F47DD5"/>
    <w:rsid w:val="00F50489"/>
    <w:rsid w:val="00F50AA9"/>
    <w:rsid w:val="00F50F23"/>
    <w:rsid w:val="00F50FBB"/>
    <w:rsid w:val="00F5171E"/>
    <w:rsid w:val="00F517C8"/>
    <w:rsid w:val="00F52CE6"/>
    <w:rsid w:val="00F5307F"/>
    <w:rsid w:val="00F54024"/>
    <w:rsid w:val="00F55A79"/>
    <w:rsid w:val="00F55C9E"/>
    <w:rsid w:val="00F561B0"/>
    <w:rsid w:val="00F56A08"/>
    <w:rsid w:val="00F57E1D"/>
    <w:rsid w:val="00F60EB5"/>
    <w:rsid w:val="00F60F12"/>
    <w:rsid w:val="00F6157C"/>
    <w:rsid w:val="00F62977"/>
    <w:rsid w:val="00F62E14"/>
    <w:rsid w:val="00F62ED5"/>
    <w:rsid w:val="00F639CE"/>
    <w:rsid w:val="00F64146"/>
    <w:rsid w:val="00F64E24"/>
    <w:rsid w:val="00F64EE3"/>
    <w:rsid w:val="00F652FE"/>
    <w:rsid w:val="00F66676"/>
    <w:rsid w:val="00F700F4"/>
    <w:rsid w:val="00F70324"/>
    <w:rsid w:val="00F705FB"/>
    <w:rsid w:val="00F71904"/>
    <w:rsid w:val="00F71DFB"/>
    <w:rsid w:val="00F71E43"/>
    <w:rsid w:val="00F726BB"/>
    <w:rsid w:val="00F72C08"/>
    <w:rsid w:val="00F73068"/>
    <w:rsid w:val="00F75723"/>
    <w:rsid w:val="00F75F06"/>
    <w:rsid w:val="00F774AD"/>
    <w:rsid w:val="00F777EE"/>
    <w:rsid w:val="00F8148E"/>
    <w:rsid w:val="00F81553"/>
    <w:rsid w:val="00F82BBF"/>
    <w:rsid w:val="00F836DC"/>
    <w:rsid w:val="00F844A0"/>
    <w:rsid w:val="00F84747"/>
    <w:rsid w:val="00F8491E"/>
    <w:rsid w:val="00F84EBB"/>
    <w:rsid w:val="00F85764"/>
    <w:rsid w:val="00F85CBB"/>
    <w:rsid w:val="00F867FC"/>
    <w:rsid w:val="00F87AB3"/>
    <w:rsid w:val="00F87E8E"/>
    <w:rsid w:val="00F91FB0"/>
    <w:rsid w:val="00F923A5"/>
    <w:rsid w:val="00F93C79"/>
    <w:rsid w:val="00F943B2"/>
    <w:rsid w:val="00F946A9"/>
    <w:rsid w:val="00F953AC"/>
    <w:rsid w:val="00F959C7"/>
    <w:rsid w:val="00F95FD7"/>
    <w:rsid w:val="00F96BE2"/>
    <w:rsid w:val="00F96DDE"/>
    <w:rsid w:val="00F97153"/>
    <w:rsid w:val="00F9742E"/>
    <w:rsid w:val="00FA03FE"/>
    <w:rsid w:val="00FA1F7E"/>
    <w:rsid w:val="00FA256C"/>
    <w:rsid w:val="00FA3815"/>
    <w:rsid w:val="00FA3C9C"/>
    <w:rsid w:val="00FA6020"/>
    <w:rsid w:val="00FA612D"/>
    <w:rsid w:val="00FA68C2"/>
    <w:rsid w:val="00FA68E8"/>
    <w:rsid w:val="00FA6ECC"/>
    <w:rsid w:val="00FA7E39"/>
    <w:rsid w:val="00FB2051"/>
    <w:rsid w:val="00FB27C3"/>
    <w:rsid w:val="00FB284B"/>
    <w:rsid w:val="00FB2867"/>
    <w:rsid w:val="00FB46A7"/>
    <w:rsid w:val="00FB4B11"/>
    <w:rsid w:val="00FB5A91"/>
    <w:rsid w:val="00FB6E71"/>
    <w:rsid w:val="00FB6E8D"/>
    <w:rsid w:val="00FB72E6"/>
    <w:rsid w:val="00FB76FD"/>
    <w:rsid w:val="00FC1879"/>
    <w:rsid w:val="00FC3CCC"/>
    <w:rsid w:val="00FC59BC"/>
    <w:rsid w:val="00FC5CFE"/>
    <w:rsid w:val="00FC5FF8"/>
    <w:rsid w:val="00FC62A3"/>
    <w:rsid w:val="00FC69D5"/>
    <w:rsid w:val="00FD0501"/>
    <w:rsid w:val="00FD0EE1"/>
    <w:rsid w:val="00FD1044"/>
    <w:rsid w:val="00FD190D"/>
    <w:rsid w:val="00FD4208"/>
    <w:rsid w:val="00FD741E"/>
    <w:rsid w:val="00FE0F8D"/>
    <w:rsid w:val="00FE1536"/>
    <w:rsid w:val="00FE2382"/>
    <w:rsid w:val="00FE29DC"/>
    <w:rsid w:val="00FE2E17"/>
    <w:rsid w:val="00FE3E7E"/>
    <w:rsid w:val="00FE5106"/>
    <w:rsid w:val="00FE587A"/>
    <w:rsid w:val="00FE5D3A"/>
    <w:rsid w:val="00FE6858"/>
    <w:rsid w:val="00FE6E28"/>
    <w:rsid w:val="00FE7980"/>
    <w:rsid w:val="00FF080E"/>
    <w:rsid w:val="00FF125E"/>
    <w:rsid w:val="00FF1436"/>
    <w:rsid w:val="00FF2ABC"/>
    <w:rsid w:val="00FF5171"/>
    <w:rsid w:val="00FF57E2"/>
    <w:rsid w:val="00FF6691"/>
    <w:rsid w:val="00FF6728"/>
    <w:rsid w:val="00FF6B6B"/>
    <w:rsid w:val="00FF7356"/>
    <w:rsid w:val="00FF757F"/>
    <w:rsid w:val="00FF7703"/>
    <w:rsid w:val="00FF78D9"/>
    <w:rsid w:val="00FF7D13"/>
    <w:rsid w:val="00FF7E6B"/>
    <w:rsid w:val="023D4326"/>
    <w:rsid w:val="04A2D39D"/>
    <w:rsid w:val="0D353577"/>
    <w:rsid w:val="0E388B1A"/>
    <w:rsid w:val="18EA121D"/>
    <w:rsid w:val="1ACBD1D2"/>
    <w:rsid w:val="1BEB6044"/>
    <w:rsid w:val="29DAD07D"/>
    <w:rsid w:val="2F76101F"/>
    <w:rsid w:val="3134600D"/>
    <w:rsid w:val="4203F3B2"/>
    <w:rsid w:val="4292D8C3"/>
    <w:rsid w:val="4439011F"/>
    <w:rsid w:val="4802C35B"/>
    <w:rsid w:val="4E7C6B93"/>
    <w:rsid w:val="5C990295"/>
    <w:rsid w:val="5D4B8F4C"/>
    <w:rsid w:val="6016FD19"/>
    <w:rsid w:val="63F8525A"/>
    <w:rsid w:val="689FB946"/>
    <w:rsid w:val="6A3B62FE"/>
    <w:rsid w:val="6BB2DFDB"/>
    <w:rsid w:val="712E3AAC"/>
    <w:rsid w:val="79CAB406"/>
    <w:rsid w:val="7D842421"/>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2996028F"/>
  <w15:docId w15:val="{B0F25B92-0DE4-4A6D-BACF-25067B1E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B8"/>
    <w:pPr>
      <w:spacing w:line="240" w:lineRule="auto"/>
      <w:jc w:val="both"/>
    </w:pPr>
    <w:rPr>
      <w:rFonts w:ascii="EC Square Sans Pro" w:hAnsi="EC Square Sans Pro" w:cs="Times New Roman"/>
      <w:szCs w:val="24"/>
    </w:rPr>
  </w:style>
  <w:style w:type="paragraph" w:styleId="Heading1">
    <w:name w:val="heading 1"/>
    <w:basedOn w:val="Normal"/>
    <w:next w:val="Normal"/>
    <w:link w:val="Heading1Char"/>
    <w:uiPriority w:val="9"/>
    <w:qFormat/>
    <w:rsid w:val="00BE145B"/>
    <w:pPr>
      <w:keepNext/>
      <w:keepLines/>
      <w:numPr>
        <w:numId w:val="1"/>
      </w:numPr>
      <w:spacing w:before="360" w:after="240"/>
      <w:ind w:left="340" w:hanging="340"/>
      <w:outlineLvl w:val="0"/>
    </w:pPr>
    <w:rPr>
      <w:rFonts w:eastAsiaTheme="majorEastAsia" w:cstheme="majorBidi"/>
      <w:b/>
      <w:color w:val="034EA2" w:themeColor="accent1"/>
      <w:sz w:val="32"/>
      <w:szCs w:val="32"/>
    </w:rPr>
  </w:style>
  <w:style w:type="paragraph" w:styleId="Heading2">
    <w:name w:val="heading 2"/>
    <w:basedOn w:val="Normal"/>
    <w:next w:val="Normal"/>
    <w:link w:val="Heading2Char"/>
    <w:uiPriority w:val="9"/>
    <w:unhideWhenUsed/>
    <w:qFormat/>
    <w:rsid w:val="002703F1"/>
    <w:pPr>
      <w:keepNext/>
      <w:keepLines/>
      <w:spacing w:before="240"/>
      <w:outlineLvl w:val="1"/>
    </w:pPr>
    <w:rPr>
      <w:rFonts w:eastAsiaTheme="majorEastAsia" w:cstheme="majorBidi"/>
      <w:caps/>
      <w:color w:val="70AD47" w:themeColor="accent2"/>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45B"/>
    <w:rPr>
      <w:rFonts w:ascii="EC Square Sans Pro" w:eastAsiaTheme="majorEastAsia" w:hAnsi="EC Square Sans Pro" w:cstheme="majorBidi"/>
      <w:b/>
      <w:color w:val="034EA2" w:themeColor="accent1"/>
      <w:sz w:val="32"/>
      <w:szCs w:val="32"/>
      <w:lang w:val="pt-PT"/>
    </w:rPr>
  </w:style>
  <w:style w:type="paragraph" w:styleId="Header">
    <w:name w:val="header"/>
    <w:basedOn w:val="Normal"/>
    <w:link w:val="HeaderChar"/>
    <w:uiPriority w:val="99"/>
    <w:unhideWhenUsed/>
    <w:rsid w:val="008B6253"/>
    <w:pPr>
      <w:tabs>
        <w:tab w:val="center" w:pos="4513"/>
        <w:tab w:val="right" w:pos="9026"/>
      </w:tabs>
      <w:spacing w:after="0"/>
    </w:pPr>
  </w:style>
  <w:style w:type="character" w:customStyle="1" w:styleId="HeaderChar">
    <w:name w:val="Header Char"/>
    <w:basedOn w:val="DefaultParagraphFont"/>
    <w:link w:val="Header"/>
    <w:uiPriority w:val="99"/>
    <w:rsid w:val="008B6253"/>
    <w:rPr>
      <w:rFonts w:ascii="Times New Roman" w:hAnsi="Times New Roman" w:cs="Times New Roman"/>
      <w:sz w:val="24"/>
      <w:szCs w:val="24"/>
      <w:lang w:val="pt-PT"/>
    </w:rPr>
  </w:style>
  <w:style w:type="paragraph" w:styleId="Footer">
    <w:name w:val="footer"/>
    <w:basedOn w:val="Normal"/>
    <w:link w:val="FooterChar"/>
    <w:uiPriority w:val="99"/>
    <w:unhideWhenUsed/>
    <w:rsid w:val="008B6253"/>
    <w:pPr>
      <w:tabs>
        <w:tab w:val="center" w:pos="4513"/>
        <w:tab w:val="right" w:pos="9026"/>
      </w:tabs>
      <w:spacing w:after="0"/>
    </w:pPr>
  </w:style>
  <w:style w:type="character" w:customStyle="1" w:styleId="FooterChar">
    <w:name w:val="Footer Char"/>
    <w:basedOn w:val="DefaultParagraphFont"/>
    <w:link w:val="Footer"/>
    <w:uiPriority w:val="99"/>
    <w:rsid w:val="008B6253"/>
    <w:rPr>
      <w:rFonts w:ascii="Times New Roman" w:hAnsi="Times New Roman" w:cs="Times New Roman"/>
      <w:sz w:val="24"/>
      <w:szCs w:val="24"/>
      <w:lang w:val="pt-PT"/>
    </w:rPr>
  </w:style>
  <w:style w:type="paragraph" w:customStyle="1" w:styleId="FooterCoverPage">
    <w:name w:val="Footer Cover Page"/>
    <w:basedOn w:val="Normal"/>
    <w:link w:val="FooterCoverPageChar"/>
    <w:rsid w:val="008B6253"/>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basedOn w:val="DefaultParagraphFont"/>
    <w:link w:val="FooterCoverPage"/>
    <w:rsid w:val="008B6253"/>
    <w:rPr>
      <w:rFonts w:ascii="Times New Roman" w:hAnsi="Times New Roman" w:cs="Times New Roman"/>
      <w:sz w:val="24"/>
      <w:szCs w:val="24"/>
    </w:rPr>
  </w:style>
  <w:style w:type="paragraph" w:customStyle="1" w:styleId="HeaderCoverPage">
    <w:name w:val="Header Cover Page"/>
    <w:basedOn w:val="Normal"/>
    <w:link w:val="HeaderCoverPageChar"/>
    <w:rsid w:val="008B6253"/>
    <w:pPr>
      <w:tabs>
        <w:tab w:val="center" w:pos="4535"/>
        <w:tab w:val="right" w:pos="9071"/>
      </w:tabs>
      <w:spacing w:after="120"/>
    </w:pPr>
    <w:rPr>
      <w:rFonts w:ascii="Times New Roman" w:hAnsi="Times New Roman"/>
      <w:sz w:val="24"/>
    </w:rPr>
  </w:style>
  <w:style w:type="character" w:customStyle="1" w:styleId="HeaderCoverPageChar">
    <w:name w:val="Header Cover Page Char"/>
    <w:basedOn w:val="DefaultParagraphFont"/>
    <w:link w:val="HeaderCoverPage"/>
    <w:rsid w:val="008B6253"/>
    <w:rPr>
      <w:rFonts w:ascii="Times New Roman" w:hAnsi="Times New Roman" w:cs="Times New Roman"/>
      <w:sz w:val="24"/>
      <w:szCs w:val="24"/>
    </w:rPr>
  </w:style>
  <w:style w:type="character" w:styleId="FootnoteReference">
    <w:name w:val="footnote reference"/>
    <w:aliases w:val="BVI fnr,number,SUPERS,Footnote Reference Superscript,-E Fuﬂnotenzeichen,-E Fuûnotenzeichen,-E Fußnotenzeichen,EN Footnote Reference,Footnote number,stylish,Footnote symbol,(Footnote Reference),Footnote reference number,note TESI,ftref"/>
    <w:link w:val="BVIfnrChar"/>
    <w:uiPriority w:val="99"/>
    <w:qFormat/>
    <w:rsid w:val="008B6253"/>
    <w:rPr>
      <w:vertAlign w:val="superscript"/>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t"/>
    <w:basedOn w:val="Normal"/>
    <w:link w:val="FootnoteTextChar"/>
    <w:uiPriority w:val="99"/>
    <w:qFormat/>
    <w:rsid w:val="008B6253"/>
    <w:pPr>
      <w:spacing w:after="0"/>
      <w:ind w:left="720" w:hanging="720"/>
    </w:pPr>
    <w:rPr>
      <w:rFonts w:eastAsia="Times New Roman"/>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t Char"/>
    <w:basedOn w:val="DefaultParagraphFont"/>
    <w:link w:val="FootnoteText"/>
    <w:uiPriority w:val="99"/>
    <w:rsid w:val="008B6253"/>
    <w:rPr>
      <w:rFonts w:ascii="Times New Roman" w:eastAsia="Times New Roman" w:hAnsi="Times New Roman" w:cs="Times New Roman"/>
      <w:sz w:val="20"/>
      <w:szCs w:val="20"/>
      <w:lang w:val="pt-PT"/>
    </w:rPr>
  </w:style>
  <w:style w:type="paragraph" w:styleId="TOC1">
    <w:name w:val="toc 1"/>
    <w:basedOn w:val="Normal"/>
    <w:next w:val="Normal"/>
    <w:uiPriority w:val="39"/>
    <w:qFormat/>
    <w:rsid w:val="008B6253"/>
    <w:pPr>
      <w:tabs>
        <w:tab w:val="right" w:leader="dot" w:pos="9071"/>
      </w:tabs>
      <w:spacing w:before="60" w:after="120"/>
      <w:ind w:left="850" w:hanging="850"/>
    </w:pPr>
    <w:rPr>
      <w:rFonts w:eastAsia="Times New Roman"/>
    </w:rPr>
  </w:style>
  <w:style w:type="paragraph" w:styleId="TOCHeading">
    <w:name w:val="TOC Heading"/>
    <w:basedOn w:val="Normal"/>
    <w:next w:val="Normal"/>
    <w:link w:val="TOCHeadingChar"/>
    <w:uiPriority w:val="39"/>
    <w:qFormat/>
    <w:rsid w:val="008B6253"/>
    <w:pPr>
      <w:spacing w:before="120" w:after="240"/>
      <w:jc w:val="center"/>
    </w:pPr>
    <w:rPr>
      <w:rFonts w:eastAsia="Times New Roman"/>
      <w:b/>
      <w:sz w:val="28"/>
    </w:rPr>
  </w:style>
  <w:style w:type="character" w:styleId="Hyperlink">
    <w:name w:val="Hyperlink"/>
    <w:uiPriority w:val="99"/>
    <w:rsid w:val="008B6253"/>
    <w:rPr>
      <w:rFonts w:cs="Times New Roman"/>
      <w:color w:val="0000FF"/>
      <w:u w:val="single"/>
      <w:shd w:val="clear" w:color="auto" w:fill="auto"/>
    </w:rPr>
  </w:style>
  <w:style w:type="character" w:customStyle="1" w:styleId="TOCHeadingChar">
    <w:name w:val="TOC Heading Char"/>
    <w:link w:val="TOCHeading"/>
    <w:uiPriority w:val="39"/>
    <w:rsid w:val="008B6253"/>
    <w:rPr>
      <w:rFonts w:ascii="Times New Roman" w:eastAsia="Times New Roman" w:hAnsi="Times New Roman" w:cs="Times New Roman"/>
      <w:b/>
      <w:sz w:val="28"/>
      <w:szCs w:val="24"/>
      <w:lang w:val="pt-PT"/>
    </w:rPr>
  </w:style>
  <w:style w:type="paragraph" w:styleId="Subtitle">
    <w:name w:val="Subtitle"/>
    <w:basedOn w:val="Normal"/>
    <w:next w:val="Normal"/>
    <w:link w:val="SubtitleChar"/>
    <w:qFormat/>
    <w:rsid w:val="008B6253"/>
    <w:pPr>
      <w:spacing w:before="120" w:after="60"/>
      <w:jc w:val="center"/>
      <w:outlineLvl w:val="1"/>
    </w:pPr>
    <w:rPr>
      <w:rFonts w:ascii="Cambria" w:eastAsia="Times New Roman" w:hAnsi="Cambria"/>
    </w:rPr>
  </w:style>
  <w:style w:type="character" w:customStyle="1" w:styleId="SubtitleChar">
    <w:name w:val="Subtitle Char"/>
    <w:basedOn w:val="DefaultParagraphFont"/>
    <w:link w:val="Subtitle"/>
    <w:rsid w:val="008B6253"/>
    <w:rPr>
      <w:rFonts w:ascii="Cambria" w:eastAsia="Times New Roman" w:hAnsi="Cambria" w:cs="Times New Roman"/>
      <w:sz w:val="24"/>
      <w:szCs w:val="24"/>
      <w:lang w:val="pt-PT"/>
    </w:rPr>
  </w:style>
  <w:style w:type="paragraph" w:styleId="NormalWeb">
    <w:name w:val="Normal (Web)"/>
    <w:basedOn w:val="Normal"/>
    <w:uiPriority w:val="99"/>
    <w:unhideWhenUsed/>
    <w:rsid w:val="008B6253"/>
    <w:pPr>
      <w:spacing w:before="100" w:beforeAutospacing="1" w:after="100" w:afterAutospacing="1"/>
    </w:pPr>
    <w:rPr>
      <w:rFonts w:eastAsia="Times New Roman"/>
      <w:lang w:eastAsia="en-GB"/>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Appel note de bas de p."/>
    <w:basedOn w:val="Normal"/>
    <w:link w:val="FootnoteReference"/>
    <w:uiPriority w:val="99"/>
    <w:rsid w:val="008B6253"/>
    <w:pPr>
      <w:spacing w:line="240" w:lineRule="exact"/>
    </w:pPr>
    <w:rPr>
      <w:rFonts w:asciiTheme="minorHAnsi" w:hAnsiTheme="minorHAnsi" w:cstheme="minorBidi"/>
      <w:szCs w:val="22"/>
      <w:vertAlign w:val="superscript"/>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Bullet 1"/>
    <w:basedOn w:val="Normal"/>
    <w:link w:val="ListParagraphChar"/>
    <w:uiPriority w:val="34"/>
    <w:qFormat/>
    <w:rsid w:val="008B6253"/>
    <w:pPr>
      <w:spacing w:line="259" w:lineRule="auto"/>
      <w:ind w:left="720"/>
      <w:contextualSpacing/>
    </w:pPr>
    <w:rPr>
      <w:rFonts w:asciiTheme="minorHAnsi" w:hAnsiTheme="minorHAnsi" w:cstheme="minorBidi"/>
      <w:szCs w:val="22"/>
    </w:rPr>
  </w:style>
  <w:style w:type="character" w:styleId="IntenseReference">
    <w:name w:val="Intense Reference"/>
    <w:basedOn w:val="DefaultParagraphFont"/>
    <w:uiPriority w:val="32"/>
    <w:qFormat/>
    <w:rsid w:val="008B6253"/>
    <w:rPr>
      <w:b/>
      <w:bCs/>
      <w:smallCaps/>
      <w:color w:val="034EA2" w:themeColor="accent1"/>
      <w:spacing w:val="5"/>
    </w:rPr>
  </w:style>
  <w:style w:type="table" w:styleId="GridTable1Light-Accent1">
    <w:name w:val="Grid Table 1 Light Accent 1"/>
    <w:basedOn w:val="TableNormal"/>
    <w:uiPriority w:val="46"/>
    <w:rsid w:val="008B625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7B6FC" w:themeColor="accent1" w:themeTint="66"/>
        <w:left w:val="single" w:sz="4" w:space="0" w:color="77B6FC" w:themeColor="accent1" w:themeTint="66"/>
        <w:bottom w:val="single" w:sz="4" w:space="0" w:color="77B6FC" w:themeColor="accent1" w:themeTint="66"/>
        <w:right w:val="single" w:sz="4" w:space="0" w:color="77B6FC" w:themeColor="accent1" w:themeTint="66"/>
        <w:insideH w:val="single" w:sz="4" w:space="0" w:color="77B6FC" w:themeColor="accent1" w:themeTint="66"/>
        <w:insideV w:val="single" w:sz="4" w:space="0" w:color="77B6FC" w:themeColor="accent1" w:themeTint="66"/>
      </w:tblBorders>
    </w:tblPr>
    <w:tblStylePr w:type="firstRow">
      <w:rPr>
        <w:b/>
        <w:bCs/>
      </w:rPr>
      <w:tblPr/>
      <w:tcPr>
        <w:tcBorders>
          <w:bottom w:val="single" w:sz="12" w:space="0" w:color="3391FB" w:themeColor="accent1" w:themeTint="99"/>
        </w:tcBorders>
      </w:tcPr>
    </w:tblStylePr>
    <w:tblStylePr w:type="lastRow">
      <w:rPr>
        <w:b/>
        <w:bCs/>
      </w:rPr>
      <w:tblPr/>
      <w:tcPr>
        <w:tcBorders>
          <w:top w:val="double" w:sz="2" w:space="0" w:color="3391F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basedOn w:val="DefaultParagraphFont"/>
    <w:link w:val="ListParagraph"/>
    <w:uiPriority w:val="34"/>
    <w:qFormat/>
    <w:locked/>
    <w:rsid w:val="008B6253"/>
    <w:rPr>
      <w:lang w:val="pt-PT"/>
    </w:rPr>
  </w:style>
  <w:style w:type="table" w:customStyle="1" w:styleId="TableGrid1">
    <w:name w:val="Table Grid1"/>
    <w:basedOn w:val="TableNormal"/>
    <w:next w:val="TableGrid"/>
    <w:uiPriority w:val="39"/>
    <w:rsid w:val="008B625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8B6253"/>
    <w:rPr>
      <w:color w:val="0000FF"/>
      <w:shd w:val="clear" w:color="auto" w:fill="auto"/>
    </w:rPr>
  </w:style>
  <w:style w:type="paragraph" w:customStyle="1" w:styleId="Pagedecouverture">
    <w:name w:val="Page de couverture"/>
    <w:basedOn w:val="Normal"/>
    <w:next w:val="Normal"/>
    <w:rsid w:val="008B6253"/>
    <w:pPr>
      <w:spacing w:after="0"/>
    </w:pPr>
    <w:rPr>
      <w:szCs w:val="22"/>
    </w:rPr>
  </w:style>
  <w:style w:type="paragraph" w:customStyle="1" w:styleId="FooterSensitivity">
    <w:name w:val="Footer Sensitivity"/>
    <w:basedOn w:val="Normal"/>
    <w:link w:val="FooterSensitivityChar"/>
    <w:rsid w:val="008B6253"/>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TOCHeadingChar"/>
    <w:link w:val="FooterSensitivity"/>
    <w:rsid w:val="008B6253"/>
    <w:rPr>
      <w:rFonts w:ascii="Times New Roman" w:eastAsia="Times New Roman" w:hAnsi="Times New Roman" w:cs="Times New Roman"/>
      <w:b/>
      <w:sz w:val="32"/>
      <w:szCs w:val="24"/>
      <w:lang w:val="pt-PT"/>
    </w:rPr>
  </w:style>
  <w:style w:type="paragraph" w:customStyle="1" w:styleId="HeaderSensitivity">
    <w:name w:val="Header Sensitivity"/>
    <w:basedOn w:val="Normal"/>
    <w:link w:val="HeaderSensitivityChar"/>
    <w:rsid w:val="008B6253"/>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sid w:val="008B6253"/>
    <w:rPr>
      <w:rFonts w:ascii="Times New Roman" w:eastAsia="Times New Roman" w:hAnsi="Times New Roman" w:cs="Times New Roman"/>
      <w:b/>
      <w:sz w:val="32"/>
      <w:szCs w:val="24"/>
      <w:lang w:val="pt-PT"/>
    </w:rPr>
  </w:style>
  <w:style w:type="paragraph" w:customStyle="1" w:styleId="HeaderSensitivityRight">
    <w:name w:val="Header Sensitivity Right"/>
    <w:basedOn w:val="Normal"/>
    <w:link w:val="HeaderSensitivityRightChar"/>
    <w:rsid w:val="008B6253"/>
    <w:pPr>
      <w:spacing w:after="120"/>
      <w:jc w:val="right"/>
    </w:pPr>
    <w:rPr>
      <w:rFonts w:ascii="Times New Roman" w:hAnsi="Times New Roman"/>
      <w:sz w:val="28"/>
    </w:rPr>
  </w:style>
  <w:style w:type="character" w:customStyle="1" w:styleId="HeaderSensitivityRightChar">
    <w:name w:val="Header Sensitivity Right Char"/>
    <w:basedOn w:val="TOCHeadingChar"/>
    <w:link w:val="HeaderSensitivityRight"/>
    <w:rsid w:val="008B6253"/>
    <w:rPr>
      <w:rFonts w:ascii="Times New Roman" w:eastAsia="Times New Roman" w:hAnsi="Times New Roman" w:cs="Times New Roman"/>
      <w:b w:val="0"/>
      <w:sz w:val="28"/>
      <w:szCs w:val="24"/>
      <w:lang w:val="pt-PT"/>
    </w:rPr>
  </w:style>
  <w:style w:type="table" w:customStyle="1" w:styleId="TableGrid11">
    <w:name w:val="Table Grid11"/>
    <w:basedOn w:val="TableNormal"/>
    <w:next w:val="TableGrid"/>
    <w:uiPriority w:val="39"/>
    <w:rsid w:val="00804E4F"/>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554AF"/>
    <w:pPr>
      <w:spacing w:after="100"/>
      <w:ind w:left="240"/>
    </w:pPr>
  </w:style>
  <w:style w:type="character" w:styleId="CommentReference">
    <w:name w:val="annotation reference"/>
    <w:basedOn w:val="DefaultParagraphFont"/>
    <w:uiPriority w:val="99"/>
    <w:semiHidden/>
    <w:unhideWhenUsed/>
    <w:rsid w:val="00D56EF0"/>
    <w:rPr>
      <w:sz w:val="16"/>
      <w:szCs w:val="16"/>
    </w:rPr>
  </w:style>
  <w:style w:type="paragraph" w:styleId="CommentText">
    <w:name w:val="annotation text"/>
    <w:basedOn w:val="Normal"/>
    <w:link w:val="CommentTextChar"/>
    <w:uiPriority w:val="99"/>
    <w:unhideWhenUsed/>
    <w:rsid w:val="00D56EF0"/>
    <w:rPr>
      <w:sz w:val="20"/>
      <w:szCs w:val="20"/>
    </w:rPr>
  </w:style>
  <w:style w:type="character" w:customStyle="1" w:styleId="CommentTextChar">
    <w:name w:val="Comment Text Char"/>
    <w:basedOn w:val="DefaultParagraphFont"/>
    <w:link w:val="CommentText"/>
    <w:uiPriority w:val="99"/>
    <w:rsid w:val="00D56EF0"/>
    <w:rPr>
      <w:rFonts w:ascii="Times New Roman" w:hAnsi="Times New Roman" w:cs="Times New Roman"/>
      <w:sz w:val="20"/>
      <w:szCs w:val="20"/>
      <w:lang w:val="pt-PT"/>
    </w:rPr>
  </w:style>
  <w:style w:type="paragraph" w:styleId="BalloonText">
    <w:name w:val="Balloon Text"/>
    <w:basedOn w:val="Normal"/>
    <w:link w:val="BalloonTextChar"/>
    <w:uiPriority w:val="99"/>
    <w:semiHidden/>
    <w:unhideWhenUsed/>
    <w:rsid w:val="00D56E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F0"/>
    <w:rPr>
      <w:rFonts w:ascii="Segoe UI" w:hAnsi="Segoe UI" w:cs="Segoe UI"/>
      <w:sz w:val="18"/>
      <w:szCs w:val="18"/>
      <w:lang w:val="pt-PT"/>
    </w:rPr>
  </w:style>
  <w:style w:type="paragraph" w:styleId="CommentSubject">
    <w:name w:val="annotation subject"/>
    <w:basedOn w:val="CommentText"/>
    <w:next w:val="CommentText"/>
    <w:link w:val="CommentSubjectChar"/>
    <w:uiPriority w:val="99"/>
    <w:semiHidden/>
    <w:unhideWhenUsed/>
    <w:rsid w:val="002B7257"/>
    <w:rPr>
      <w:b/>
      <w:bCs/>
    </w:rPr>
  </w:style>
  <w:style w:type="character" w:customStyle="1" w:styleId="CommentSubjectChar">
    <w:name w:val="Comment Subject Char"/>
    <w:basedOn w:val="CommentTextChar"/>
    <w:link w:val="CommentSubject"/>
    <w:uiPriority w:val="99"/>
    <w:semiHidden/>
    <w:rsid w:val="002B7257"/>
    <w:rPr>
      <w:rFonts w:ascii="Times New Roman" w:hAnsi="Times New Roman" w:cs="Times New Roman"/>
      <w:b/>
      <w:bCs/>
      <w:sz w:val="20"/>
      <w:szCs w:val="20"/>
      <w:lang w:val="pt-PT"/>
    </w:rPr>
  </w:style>
  <w:style w:type="paragraph" w:styleId="Revision">
    <w:name w:val="Revision"/>
    <w:hidden/>
    <w:uiPriority w:val="99"/>
    <w:semiHidden/>
    <w:rsid w:val="00E834C5"/>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BD275C"/>
    <w:rPr>
      <w:b/>
      <w:bCs/>
    </w:rPr>
  </w:style>
  <w:style w:type="character" w:customStyle="1" w:styleId="Heading2Char">
    <w:name w:val="Heading 2 Char"/>
    <w:basedOn w:val="DefaultParagraphFont"/>
    <w:link w:val="Heading2"/>
    <w:uiPriority w:val="9"/>
    <w:rsid w:val="002703F1"/>
    <w:rPr>
      <w:rFonts w:ascii="EC Square Sans Pro" w:eastAsiaTheme="majorEastAsia" w:hAnsi="EC Square Sans Pro" w:cstheme="majorBidi"/>
      <w:caps/>
      <w:color w:val="70AD47" w:themeColor="accent2"/>
      <w:sz w:val="24"/>
      <w:szCs w:val="26"/>
      <w:lang w:val="pt-PT"/>
    </w:rPr>
  </w:style>
  <w:style w:type="character" w:styleId="FollowedHyperlink">
    <w:name w:val="FollowedHyperlink"/>
    <w:basedOn w:val="DefaultParagraphFont"/>
    <w:uiPriority w:val="99"/>
    <w:semiHidden/>
    <w:unhideWhenUsed/>
    <w:rsid w:val="001C3C2E"/>
    <w:rPr>
      <w:color w:val="954F72" w:themeColor="followedHyperlink"/>
      <w:u w:val="single"/>
    </w:rPr>
  </w:style>
  <w:style w:type="paragraph" w:styleId="PlainText">
    <w:name w:val="Plain Text"/>
    <w:basedOn w:val="Normal"/>
    <w:link w:val="PlainTextChar"/>
    <w:uiPriority w:val="99"/>
    <w:unhideWhenUsed/>
    <w:rsid w:val="00547755"/>
    <w:pPr>
      <w:spacing w:after="0"/>
    </w:pPr>
    <w:rPr>
      <w:rFonts w:ascii="Calibri" w:hAnsi="Calibri" w:cstheme="minorBidi"/>
      <w:szCs w:val="21"/>
    </w:rPr>
  </w:style>
  <w:style w:type="character" w:customStyle="1" w:styleId="PlainTextChar">
    <w:name w:val="Plain Text Char"/>
    <w:basedOn w:val="DefaultParagraphFont"/>
    <w:link w:val="PlainText"/>
    <w:uiPriority w:val="99"/>
    <w:rsid w:val="00547755"/>
    <w:rPr>
      <w:rFonts w:ascii="Calibri" w:hAnsi="Calibri"/>
      <w:szCs w:val="21"/>
      <w:lang w:val="pt-PT"/>
    </w:rPr>
  </w:style>
  <w:style w:type="paragraph" w:customStyle="1" w:styleId="ecl-page-header-standardiseddescription">
    <w:name w:val="ecl-page-header-standardised__description"/>
    <w:basedOn w:val="Normal"/>
    <w:uiPriority w:val="99"/>
    <w:rsid w:val="007A1FE8"/>
    <w:pPr>
      <w:spacing w:before="100" w:beforeAutospacing="1" w:after="100" w:afterAutospacing="1"/>
    </w:pPr>
    <w:rPr>
      <w:rFonts w:eastAsia="Times New Roman"/>
      <w:lang w:eastAsia="en-GB"/>
    </w:rPr>
  </w:style>
  <w:style w:type="character" w:customStyle="1" w:styleId="UnresolvedMention1">
    <w:name w:val="Unresolved Mention1"/>
    <w:basedOn w:val="DefaultParagraphFont"/>
    <w:uiPriority w:val="99"/>
    <w:semiHidden/>
    <w:unhideWhenUsed/>
    <w:rsid w:val="00580C86"/>
    <w:rPr>
      <w:color w:val="605E5C"/>
      <w:shd w:val="clear" w:color="auto" w:fill="E1DFDD"/>
    </w:rPr>
  </w:style>
  <w:style w:type="character" w:customStyle="1" w:styleId="UnresolvedMention">
    <w:name w:val="Unresolved Mention"/>
    <w:basedOn w:val="DefaultParagraphFont"/>
    <w:uiPriority w:val="99"/>
    <w:semiHidden/>
    <w:unhideWhenUsed/>
    <w:rsid w:val="00B7513E"/>
    <w:rPr>
      <w:color w:val="605E5C"/>
      <w:shd w:val="clear" w:color="auto" w:fill="E1DFDD"/>
    </w:rPr>
  </w:style>
  <w:style w:type="table" w:styleId="GridTable4-Accent5">
    <w:name w:val="Grid Table 4 Accent 5"/>
    <w:basedOn w:val="TableNormal"/>
    <w:uiPriority w:val="49"/>
    <w:rsid w:val="00FA602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xt2">
    <w:name w:val="Text 2"/>
    <w:basedOn w:val="Normal"/>
    <w:uiPriority w:val="1"/>
    <w:qFormat/>
    <w:rsid w:val="00471184"/>
    <w:pPr>
      <w:spacing w:after="240"/>
      <w:ind w:left="1077"/>
    </w:pPr>
    <w:rPr>
      <w:rFonts w:ascii="Times New Roman" w:eastAsia="Times New Roman" w:hAnsi="Times New Roman"/>
      <w:sz w:val="24"/>
      <w:szCs w:val="20"/>
      <w:lang w:eastAsia="en-GB"/>
    </w:rPr>
  </w:style>
  <w:style w:type="character" w:customStyle="1" w:styleId="Mention">
    <w:name w:val="Mention"/>
    <w:basedOn w:val="DefaultParagraphFont"/>
    <w:uiPriority w:val="99"/>
    <w:unhideWhenUsed/>
    <w:rsid w:val="005B0CDE"/>
    <w:rPr>
      <w:color w:val="2B579A"/>
      <w:shd w:val="clear" w:color="auto" w:fill="E1DFDD"/>
    </w:rPr>
  </w:style>
  <w:style w:type="paragraph" w:customStyle="1" w:styleId="LegalNumPar">
    <w:name w:val="LegalNumPar"/>
    <w:basedOn w:val="Normal"/>
    <w:rsid w:val="00607C1D"/>
    <w:pPr>
      <w:numPr>
        <w:numId w:val="33"/>
      </w:numPr>
      <w:spacing w:line="360" w:lineRule="auto"/>
    </w:pPr>
    <w:rPr>
      <w:sz w:val="24"/>
    </w:rPr>
  </w:style>
  <w:style w:type="paragraph" w:customStyle="1" w:styleId="LegalNumPar2">
    <w:name w:val="LegalNumPar2"/>
    <w:basedOn w:val="Normal"/>
    <w:rsid w:val="00607C1D"/>
    <w:pPr>
      <w:numPr>
        <w:ilvl w:val="1"/>
        <w:numId w:val="33"/>
      </w:numPr>
      <w:spacing w:line="360" w:lineRule="auto"/>
    </w:pPr>
    <w:rPr>
      <w:sz w:val="24"/>
    </w:rPr>
  </w:style>
  <w:style w:type="paragraph" w:customStyle="1" w:styleId="LegalNumPar3">
    <w:name w:val="LegalNumPar3"/>
    <w:basedOn w:val="Normal"/>
    <w:rsid w:val="00607C1D"/>
    <w:pPr>
      <w:numPr>
        <w:ilvl w:val="2"/>
        <w:numId w:val="33"/>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7865">
      <w:bodyDiv w:val="1"/>
      <w:marLeft w:val="0"/>
      <w:marRight w:val="0"/>
      <w:marTop w:val="0"/>
      <w:marBottom w:val="0"/>
      <w:divBdr>
        <w:top w:val="none" w:sz="0" w:space="0" w:color="auto"/>
        <w:left w:val="none" w:sz="0" w:space="0" w:color="auto"/>
        <w:bottom w:val="none" w:sz="0" w:space="0" w:color="auto"/>
        <w:right w:val="none" w:sz="0" w:space="0" w:color="auto"/>
      </w:divBdr>
    </w:div>
    <w:div w:id="32507214">
      <w:bodyDiv w:val="1"/>
      <w:marLeft w:val="0"/>
      <w:marRight w:val="0"/>
      <w:marTop w:val="0"/>
      <w:marBottom w:val="0"/>
      <w:divBdr>
        <w:top w:val="none" w:sz="0" w:space="0" w:color="auto"/>
        <w:left w:val="none" w:sz="0" w:space="0" w:color="auto"/>
        <w:bottom w:val="none" w:sz="0" w:space="0" w:color="auto"/>
        <w:right w:val="none" w:sz="0" w:space="0" w:color="auto"/>
      </w:divBdr>
    </w:div>
    <w:div w:id="34670410">
      <w:bodyDiv w:val="1"/>
      <w:marLeft w:val="0"/>
      <w:marRight w:val="0"/>
      <w:marTop w:val="0"/>
      <w:marBottom w:val="0"/>
      <w:divBdr>
        <w:top w:val="none" w:sz="0" w:space="0" w:color="auto"/>
        <w:left w:val="none" w:sz="0" w:space="0" w:color="auto"/>
        <w:bottom w:val="none" w:sz="0" w:space="0" w:color="auto"/>
        <w:right w:val="none" w:sz="0" w:space="0" w:color="auto"/>
      </w:divBdr>
    </w:div>
    <w:div w:id="81609872">
      <w:bodyDiv w:val="1"/>
      <w:marLeft w:val="0"/>
      <w:marRight w:val="0"/>
      <w:marTop w:val="0"/>
      <w:marBottom w:val="0"/>
      <w:divBdr>
        <w:top w:val="none" w:sz="0" w:space="0" w:color="auto"/>
        <w:left w:val="none" w:sz="0" w:space="0" w:color="auto"/>
        <w:bottom w:val="none" w:sz="0" w:space="0" w:color="auto"/>
        <w:right w:val="none" w:sz="0" w:space="0" w:color="auto"/>
      </w:divBdr>
      <w:divsChild>
        <w:div w:id="1276669232">
          <w:marLeft w:val="0"/>
          <w:marRight w:val="0"/>
          <w:marTop w:val="0"/>
          <w:marBottom w:val="0"/>
          <w:divBdr>
            <w:top w:val="none" w:sz="0" w:space="0" w:color="auto"/>
            <w:left w:val="none" w:sz="0" w:space="0" w:color="auto"/>
            <w:bottom w:val="none" w:sz="0" w:space="0" w:color="auto"/>
            <w:right w:val="none" w:sz="0" w:space="0" w:color="auto"/>
          </w:divBdr>
        </w:div>
      </w:divsChild>
    </w:div>
    <w:div w:id="84570062">
      <w:bodyDiv w:val="1"/>
      <w:marLeft w:val="0"/>
      <w:marRight w:val="0"/>
      <w:marTop w:val="0"/>
      <w:marBottom w:val="0"/>
      <w:divBdr>
        <w:top w:val="none" w:sz="0" w:space="0" w:color="auto"/>
        <w:left w:val="none" w:sz="0" w:space="0" w:color="auto"/>
        <w:bottom w:val="none" w:sz="0" w:space="0" w:color="auto"/>
        <w:right w:val="none" w:sz="0" w:space="0" w:color="auto"/>
      </w:divBdr>
    </w:div>
    <w:div w:id="115149302">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56501597">
      <w:bodyDiv w:val="1"/>
      <w:marLeft w:val="0"/>
      <w:marRight w:val="0"/>
      <w:marTop w:val="0"/>
      <w:marBottom w:val="0"/>
      <w:divBdr>
        <w:top w:val="none" w:sz="0" w:space="0" w:color="auto"/>
        <w:left w:val="none" w:sz="0" w:space="0" w:color="auto"/>
        <w:bottom w:val="none" w:sz="0" w:space="0" w:color="auto"/>
        <w:right w:val="none" w:sz="0" w:space="0" w:color="auto"/>
      </w:divBdr>
    </w:div>
    <w:div w:id="166022188">
      <w:bodyDiv w:val="1"/>
      <w:marLeft w:val="0"/>
      <w:marRight w:val="0"/>
      <w:marTop w:val="0"/>
      <w:marBottom w:val="0"/>
      <w:divBdr>
        <w:top w:val="none" w:sz="0" w:space="0" w:color="auto"/>
        <w:left w:val="none" w:sz="0" w:space="0" w:color="auto"/>
        <w:bottom w:val="none" w:sz="0" w:space="0" w:color="auto"/>
        <w:right w:val="none" w:sz="0" w:space="0" w:color="auto"/>
      </w:divBdr>
    </w:div>
    <w:div w:id="168252948">
      <w:bodyDiv w:val="1"/>
      <w:marLeft w:val="0"/>
      <w:marRight w:val="0"/>
      <w:marTop w:val="0"/>
      <w:marBottom w:val="0"/>
      <w:divBdr>
        <w:top w:val="none" w:sz="0" w:space="0" w:color="auto"/>
        <w:left w:val="none" w:sz="0" w:space="0" w:color="auto"/>
        <w:bottom w:val="none" w:sz="0" w:space="0" w:color="auto"/>
        <w:right w:val="none" w:sz="0" w:space="0" w:color="auto"/>
      </w:divBdr>
      <w:divsChild>
        <w:div w:id="182017978">
          <w:marLeft w:val="360"/>
          <w:marRight w:val="0"/>
          <w:marTop w:val="0"/>
          <w:marBottom w:val="60"/>
          <w:divBdr>
            <w:top w:val="none" w:sz="0" w:space="0" w:color="auto"/>
            <w:left w:val="none" w:sz="0" w:space="0" w:color="auto"/>
            <w:bottom w:val="none" w:sz="0" w:space="0" w:color="auto"/>
            <w:right w:val="none" w:sz="0" w:space="0" w:color="auto"/>
          </w:divBdr>
        </w:div>
      </w:divsChild>
    </w:div>
    <w:div w:id="169830019">
      <w:bodyDiv w:val="1"/>
      <w:marLeft w:val="0"/>
      <w:marRight w:val="0"/>
      <w:marTop w:val="0"/>
      <w:marBottom w:val="0"/>
      <w:divBdr>
        <w:top w:val="none" w:sz="0" w:space="0" w:color="auto"/>
        <w:left w:val="none" w:sz="0" w:space="0" w:color="auto"/>
        <w:bottom w:val="none" w:sz="0" w:space="0" w:color="auto"/>
        <w:right w:val="none" w:sz="0" w:space="0" w:color="auto"/>
      </w:divBdr>
      <w:divsChild>
        <w:div w:id="1590652496">
          <w:marLeft w:val="360"/>
          <w:marRight w:val="0"/>
          <w:marTop w:val="0"/>
          <w:marBottom w:val="60"/>
          <w:divBdr>
            <w:top w:val="none" w:sz="0" w:space="0" w:color="auto"/>
            <w:left w:val="none" w:sz="0" w:space="0" w:color="auto"/>
            <w:bottom w:val="none" w:sz="0" w:space="0" w:color="auto"/>
            <w:right w:val="none" w:sz="0" w:space="0" w:color="auto"/>
          </w:divBdr>
        </w:div>
      </w:divsChild>
    </w:div>
    <w:div w:id="204485303">
      <w:bodyDiv w:val="1"/>
      <w:marLeft w:val="0"/>
      <w:marRight w:val="0"/>
      <w:marTop w:val="0"/>
      <w:marBottom w:val="0"/>
      <w:divBdr>
        <w:top w:val="none" w:sz="0" w:space="0" w:color="auto"/>
        <w:left w:val="none" w:sz="0" w:space="0" w:color="auto"/>
        <w:bottom w:val="none" w:sz="0" w:space="0" w:color="auto"/>
        <w:right w:val="none" w:sz="0" w:space="0" w:color="auto"/>
      </w:divBdr>
    </w:div>
    <w:div w:id="210462789">
      <w:bodyDiv w:val="1"/>
      <w:marLeft w:val="0"/>
      <w:marRight w:val="0"/>
      <w:marTop w:val="0"/>
      <w:marBottom w:val="0"/>
      <w:divBdr>
        <w:top w:val="none" w:sz="0" w:space="0" w:color="auto"/>
        <w:left w:val="none" w:sz="0" w:space="0" w:color="auto"/>
        <w:bottom w:val="none" w:sz="0" w:space="0" w:color="auto"/>
        <w:right w:val="none" w:sz="0" w:space="0" w:color="auto"/>
      </w:divBdr>
    </w:div>
    <w:div w:id="226034699">
      <w:bodyDiv w:val="1"/>
      <w:marLeft w:val="0"/>
      <w:marRight w:val="0"/>
      <w:marTop w:val="0"/>
      <w:marBottom w:val="0"/>
      <w:divBdr>
        <w:top w:val="none" w:sz="0" w:space="0" w:color="auto"/>
        <w:left w:val="none" w:sz="0" w:space="0" w:color="auto"/>
        <w:bottom w:val="none" w:sz="0" w:space="0" w:color="auto"/>
        <w:right w:val="none" w:sz="0" w:space="0" w:color="auto"/>
      </w:divBdr>
    </w:div>
    <w:div w:id="238760014">
      <w:bodyDiv w:val="1"/>
      <w:marLeft w:val="0"/>
      <w:marRight w:val="0"/>
      <w:marTop w:val="0"/>
      <w:marBottom w:val="0"/>
      <w:divBdr>
        <w:top w:val="none" w:sz="0" w:space="0" w:color="auto"/>
        <w:left w:val="none" w:sz="0" w:space="0" w:color="auto"/>
        <w:bottom w:val="none" w:sz="0" w:space="0" w:color="auto"/>
        <w:right w:val="none" w:sz="0" w:space="0" w:color="auto"/>
      </w:divBdr>
    </w:div>
    <w:div w:id="265578364">
      <w:bodyDiv w:val="1"/>
      <w:marLeft w:val="0"/>
      <w:marRight w:val="0"/>
      <w:marTop w:val="0"/>
      <w:marBottom w:val="0"/>
      <w:divBdr>
        <w:top w:val="none" w:sz="0" w:space="0" w:color="auto"/>
        <w:left w:val="none" w:sz="0" w:space="0" w:color="auto"/>
        <w:bottom w:val="none" w:sz="0" w:space="0" w:color="auto"/>
        <w:right w:val="none" w:sz="0" w:space="0" w:color="auto"/>
      </w:divBdr>
    </w:div>
    <w:div w:id="279189576">
      <w:bodyDiv w:val="1"/>
      <w:marLeft w:val="0"/>
      <w:marRight w:val="0"/>
      <w:marTop w:val="0"/>
      <w:marBottom w:val="0"/>
      <w:divBdr>
        <w:top w:val="none" w:sz="0" w:space="0" w:color="auto"/>
        <w:left w:val="none" w:sz="0" w:space="0" w:color="auto"/>
        <w:bottom w:val="none" w:sz="0" w:space="0" w:color="auto"/>
        <w:right w:val="none" w:sz="0" w:space="0" w:color="auto"/>
      </w:divBdr>
    </w:div>
    <w:div w:id="284119342">
      <w:bodyDiv w:val="1"/>
      <w:marLeft w:val="0"/>
      <w:marRight w:val="0"/>
      <w:marTop w:val="0"/>
      <w:marBottom w:val="0"/>
      <w:divBdr>
        <w:top w:val="none" w:sz="0" w:space="0" w:color="auto"/>
        <w:left w:val="none" w:sz="0" w:space="0" w:color="auto"/>
        <w:bottom w:val="none" w:sz="0" w:space="0" w:color="auto"/>
        <w:right w:val="none" w:sz="0" w:space="0" w:color="auto"/>
      </w:divBdr>
    </w:div>
    <w:div w:id="287590709">
      <w:bodyDiv w:val="1"/>
      <w:marLeft w:val="0"/>
      <w:marRight w:val="0"/>
      <w:marTop w:val="0"/>
      <w:marBottom w:val="0"/>
      <w:divBdr>
        <w:top w:val="none" w:sz="0" w:space="0" w:color="auto"/>
        <w:left w:val="none" w:sz="0" w:space="0" w:color="auto"/>
        <w:bottom w:val="none" w:sz="0" w:space="0" w:color="auto"/>
        <w:right w:val="none" w:sz="0" w:space="0" w:color="auto"/>
      </w:divBdr>
      <w:divsChild>
        <w:div w:id="57674530">
          <w:marLeft w:val="360"/>
          <w:marRight w:val="0"/>
          <w:marTop w:val="0"/>
          <w:marBottom w:val="60"/>
          <w:divBdr>
            <w:top w:val="none" w:sz="0" w:space="0" w:color="auto"/>
            <w:left w:val="none" w:sz="0" w:space="0" w:color="auto"/>
            <w:bottom w:val="none" w:sz="0" w:space="0" w:color="auto"/>
            <w:right w:val="none" w:sz="0" w:space="0" w:color="auto"/>
          </w:divBdr>
        </w:div>
        <w:div w:id="521548672">
          <w:marLeft w:val="360"/>
          <w:marRight w:val="0"/>
          <w:marTop w:val="0"/>
          <w:marBottom w:val="60"/>
          <w:divBdr>
            <w:top w:val="none" w:sz="0" w:space="0" w:color="auto"/>
            <w:left w:val="none" w:sz="0" w:space="0" w:color="auto"/>
            <w:bottom w:val="none" w:sz="0" w:space="0" w:color="auto"/>
            <w:right w:val="none" w:sz="0" w:space="0" w:color="auto"/>
          </w:divBdr>
        </w:div>
      </w:divsChild>
    </w:div>
    <w:div w:id="295723376">
      <w:bodyDiv w:val="1"/>
      <w:marLeft w:val="0"/>
      <w:marRight w:val="0"/>
      <w:marTop w:val="0"/>
      <w:marBottom w:val="0"/>
      <w:divBdr>
        <w:top w:val="none" w:sz="0" w:space="0" w:color="auto"/>
        <w:left w:val="none" w:sz="0" w:space="0" w:color="auto"/>
        <w:bottom w:val="none" w:sz="0" w:space="0" w:color="auto"/>
        <w:right w:val="none" w:sz="0" w:space="0" w:color="auto"/>
      </w:divBdr>
    </w:div>
    <w:div w:id="297810240">
      <w:bodyDiv w:val="1"/>
      <w:marLeft w:val="0"/>
      <w:marRight w:val="0"/>
      <w:marTop w:val="0"/>
      <w:marBottom w:val="0"/>
      <w:divBdr>
        <w:top w:val="none" w:sz="0" w:space="0" w:color="auto"/>
        <w:left w:val="none" w:sz="0" w:space="0" w:color="auto"/>
        <w:bottom w:val="none" w:sz="0" w:space="0" w:color="auto"/>
        <w:right w:val="none" w:sz="0" w:space="0" w:color="auto"/>
      </w:divBdr>
    </w:div>
    <w:div w:id="303391389">
      <w:bodyDiv w:val="1"/>
      <w:marLeft w:val="0"/>
      <w:marRight w:val="0"/>
      <w:marTop w:val="0"/>
      <w:marBottom w:val="0"/>
      <w:divBdr>
        <w:top w:val="none" w:sz="0" w:space="0" w:color="auto"/>
        <w:left w:val="none" w:sz="0" w:space="0" w:color="auto"/>
        <w:bottom w:val="none" w:sz="0" w:space="0" w:color="auto"/>
        <w:right w:val="none" w:sz="0" w:space="0" w:color="auto"/>
      </w:divBdr>
    </w:div>
    <w:div w:id="321785287">
      <w:bodyDiv w:val="1"/>
      <w:marLeft w:val="0"/>
      <w:marRight w:val="0"/>
      <w:marTop w:val="0"/>
      <w:marBottom w:val="0"/>
      <w:divBdr>
        <w:top w:val="none" w:sz="0" w:space="0" w:color="auto"/>
        <w:left w:val="none" w:sz="0" w:space="0" w:color="auto"/>
        <w:bottom w:val="none" w:sz="0" w:space="0" w:color="auto"/>
        <w:right w:val="none" w:sz="0" w:space="0" w:color="auto"/>
      </w:divBdr>
    </w:div>
    <w:div w:id="340161298">
      <w:bodyDiv w:val="1"/>
      <w:marLeft w:val="0"/>
      <w:marRight w:val="0"/>
      <w:marTop w:val="0"/>
      <w:marBottom w:val="0"/>
      <w:divBdr>
        <w:top w:val="none" w:sz="0" w:space="0" w:color="auto"/>
        <w:left w:val="none" w:sz="0" w:space="0" w:color="auto"/>
        <w:bottom w:val="none" w:sz="0" w:space="0" w:color="auto"/>
        <w:right w:val="none" w:sz="0" w:space="0" w:color="auto"/>
      </w:divBdr>
    </w:div>
    <w:div w:id="351421111">
      <w:bodyDiv w:val="1"/>
      <w:marLeft w:val="0"/>
      <w:marRight w:val="0"/>
      <w:marTop w:val="0"/>
      <w:marBottom w:val="0"/>
      <w:divBdr>
        <w:top w:val="none" w:sz="0" w:space="0" w:color="auto"/>
        <w:left w:val="none" w:sz="0" w:space="0" w:color="auto"/>
        <w:bottom w:val="none" w:sz="0" w:space="0" w:color="auto"/>
        <w:right w:val="none" w:sz="0" w:space="0" w:color="auto"/>
      </w:divBdr>
    </w:div>
    <w:div w:id="351611388">
      <w:bodyDiv w:val="1"/>
      <w:marLeft w:val="0"/>
      <w:marRight w:val="0"/>
      <w:marTop w:val="0"/>
      <w:marBottom w:val="0"/>
      <w:divBdr>
        <w:top w:val="none" w:sz="0" w:space="0" w:color="auto"/>
        <w:left w:val="none" w:sz="0" w:space="0" w:color="auto"/>
        <w:bottom w:val="none" w:sz="0" w:space="0" w:color="auto"/>
        <w:right w:val="none" w:sz="0" w:space="0" w:color="auto"/>
      </w:divBdr>
    </w:div>
    <w:div w:id="364604937">
      <w:bodyDiv w:val="1"/>
      <w:marLeft w:val="0"/>
      <w:marRight w:val="0"/>
      <w:marTop w:val="0"/>
      <w:marBottom w:val="0"/>
      <w:divBdr>
        <w:top w:val="none" w:sz="0" w:space="0" w:color="auto"/>
        <w:left w:val="none" w:sz="0" w:space="0" w:color="auto"/>
        <w:bottom w:val="none" w:sz="0" w:space="0" w:color="auto"/>
        <w:right w:val="none" w:sz="0" w:space="0" w:color="auto"/>
      </w:divBdr>
    </w:div>
    <w:div w:id="374737370">
      <w:bodyDiv w:val="1"/>
      <w:marLeft w:val="0"/>
      <w:marRight w:val="0"/>
      <w:marTop w:val="0"/>
      <w:marBottom w:val="0"/>
      <w:divBdr>
        <w:top w:val="none" w:sz="0" w:space="0" w:color="auto"/>
        <w:left w:val="none" w:sz="0" w:space="0" w:color="auto"/>
        <w:bottom w:val="none" w:sz="0" w:space="0" w:color="auto"/>
        <w:right w:val="none" w:sz="0" w:space="0" w:color="auto"/>
      </w:divBdr>
    </w:div>
    <w:div w:id="393508607">
      <w:bodyDiv w:val="1"/>
      <w:marLeft w:val="0"/>
      <w:marRight w:val="0"/>
      <w:marTop w:val="0"/>
      <w:marBottom w:val="0"/>
      <w:divBdr>
        <w:top w:val="none" w:sz="0" w:space="0" w:color="auto"/>
        <w:left w:val="none" w:sz="0" w:space="0" w:color="auto"/>
        <w:bottom w:val="none" w:sz="0" w:space="0" w:color="auto"/>
        <w:right w:val="none" w:sz="0" w:space="0" w:color="auto"/>
      </w:divBdr>
    </w:div>
    <w:div w:id="405684663">
      <w:bodyDiv w:val="1"/>
      <w:marLeft w:val="0"/>
      <w:marRight w:val="0"/>
      <w:marTop w:val="0"/>
      <w:marBottom w:val="0"/>
      <w:divBdr>
        <w:top w:val="none" w:sz="0" w:space="0" w:color="auto"/>
        <w:left w:val="none" w:sz="0" w:space="0" w:color="auto"/>
        <w:bottom w:val="none" w:sz="0" w:space="0" w:color="auto"/>
        <w:right w:val="none" w:sz="0" w:space="0" w:color="auto"/>
      </w:divBdr>
    </w:div>
    <w:div w:id="410080985">
      <w:bodyDiv w:val="1"/>
      <w:marLeft w:val="0"/>
      <w:marRight w:val="0"/>
      <w:marTop w:val="0"/>
      <w:marBottom w:val="0"/>
      <w:divBdr>
        <w:top w:val="none" w:sz="0" w:space="0" w:color="auto"/>
        <w:left w:val="none" w:sz="0" w:space="0" w:color="auto"/>
        <w:bottom w:val="none" w:sz="0" w:space="0" w:color="auto"/>
        <w:right w:val="none" w:sz="0" w:space="0" w:color="auto"/>
      </w:divBdr>
      <w:divsChild>
        <w:div w:id="1007635415">
          <w:marLeft w:val="0"/>
          <w:marRight w:val="0"/>
          <w:marTop w:val="0"/>
          <w:marBottom w:val="0"/>
          <w:divBdr>
            <w:top w:val="none" w:sz="0" w:space="0" w:color="auto"/>
            <w:left w:val="none" w:sz="0" w:space="0" w:color="auto"/>
            <w:bottom w:val="none" w:sz="0" w:space="0" w:color="auto"/>
            <w:right w:val="none" w:sz="0" w:space="0" w:color="auto"/>
          </w:divBdr>
        </w:div>
      </w:divsChild>
    </w:div>
    <w:div w:id="442266534">
      <w:bodyDiv w:val="1"/>
      <w:marLeft w:val="0"/>
      <w:marRight w:val="0"/>
      <w:marTop w:val="0"/>
      <w:marBottom w:val="0"/>
      <w:divBdr>
        <w:top w:val="none" w:sz="0" w:space="0" w:color="auto"/>
        <w:left w:val="none" w:sz="0" w:space="0" w:color="auto"/>
        <w:bottom w:val="none" w:sz="0" w:space="0" w:color="auto"/>
        <w:right w:val="none" w:sz="0" w:space="0" w:color="auto"/>
      </w:divBdr>
    </w:div>
    <w:div w:id="483670406">
      <w:bodyDiv w:val="1"/>
      <w:marLeft w:val="0"/>
      <w:marRight w:val="0"/>
      <w:marTop w:val="0"/>
      <w:marBottom w:val="0"/>
      <w:divBdr>
        <w:top w:val="none" w:sz="0" w:space="0" w:color="auto"/>
        <w:left w:val="none" w:sz="0" w:space="0" w:color="auto"/>
        <w:bottom w:val="none" w:sz="0" w:space="0" w:color="auto"/>
        <w:right w:val="none" w:sz="0" w:space="0" w:color="auto"/>
      </w:divBdr>
    </w:div>
    <w:div w:id="570239873">
      <w:bodyDiv w:val="1"/>
      <w:marLeft w:val="0"/>
      <w:marRight w:val="0"/>
      <w:marTop w:val="0"/>
      <w:marBottom w:val="0"/>
      <w:divBdr>
        <w:top w:val="none" w:sz="0" w:space="0" w:color="auto"/>
        <w:left w:val="none" w:sz="0" w:space="0" w:color="auto"/>
        <w:bottom w:val="none" w:sz="0" w:space="0" w:color="auto"/>
        <w:right w:val="none" w:sz="0" w:space="0" w:color="auto"/>
      </w:divBdr>
    </w:div>
    <w:div w:id="573970309">
      <w:bodyDiv w:val="1"/>
      <w:marLeft w:val="0"/>
      <w:marRight w:val="0"/>
      <w:marTop w:val="0"/>
      <w:marBottom w:val="0"/>
      <w:divBdr>
        <w:top w:val="none" w:sz="0" w:space="0" w:color="auto"/>
        <w:left w:val="none" w:sz="0" w:space="0" w:color="auto"/>
        <w:bottom w:val="none" w:sz="0" w:space="0" w:color="auto"/>
        <w:right w:val="none" w:sz="0" w:space="0" w:color="auto"/>
      </w:divBdr>
    </w:div>
    <w:div w:id="581838311">
      <w:bodyDiv w:val="1"/>
      <w:marLeft w:val="0"/>
      <w:marRight w:val="0"/>
      <w:marTop w:val="0"/>
      <w:marBottom w:val="0"/>
      <w:divBdr>
        <w:top w:val="none" w:sz="0" w:space="0" w:color="auto"/>
        <w:left w:val="none" w:sz="0" w:space="0" w:color="auto"/>
        <w:bottom w:val="none" w:sz="0" w:space="0" w:color="auto"/>
        <w:right w:val="none" w:sz="0" w:space="0" w:color="auto"/>
      </w:divBdr>
    </w:div>
    <w:div w:id="595789768">
      <w:bodyDiv w:val="1"/>
      <w:marLeft w:val="0"/>
      <w:marRight w:val="0"/>
      <w:marTop w:val="0"/>
      <w:marBottom w:val="0"/>
      <w:divBdr>
        <w:top w:val="none" w:sz="0" w:space="0" w:color="auto"/>
        <w:left w:val="none" w:sz="0" w:space="0" w:color="auto"/>
        <w:bottom w:val="none" w:sz="0" w:space="0" w:color="auto"/>
        <w:right w:val="none" w:sz="0" w:space="0" w:color="auto"/>
      </w:divBdr>
    </w:div>
    <w:div w:id="596213421">
      <w:bodyDiv w:val="1"/>
      <w:marLeft w:val="0"/>
      <w:marRight w:val="0"/>
      <w:marTop w:val="0"/>
      <w:marBottom w:val="0"/>
      <w:divBdr>
        <w:top w:val="none" w:sz="0" w:space="0" w:color="auto"/>
        <w:left w:val="none" w:sz="0" w:space="0" w:color="auto"/>
        <w:bottom w:val="none" w:sz="0" w:space="0" w:color="auto"/>
        <w:right w:val="none" w:sz="0" w:space="0" w:color="auto"/>
      </w:divBdr>
    </w:div>
    <w:div w:id="600377750">
      <w:bodyDiv w:val="1"/>
      <w:marLeft w:val="0"/>
      <w:marRight w:val="0"/>
      <w:marTop w:val="0"/>
      <w:marBottom w:val="0"/>
      <w:divBdr>
        <w:top w:val="none" w:sz="0" w:space="0" w:color="auto"/>
        <w:left w:val="none" w:sz="0" w:space="0" w:color="auto"/>
        <w:bottom w:val="none" w:sz="0" w:space="0" w:color="auto"/>
        <w:right w:val="none" w:sz="0" w:space="0" w:color="auto"/>
      </w:divBdr>
    </w:div>
    <w:div w:id="608927152">
      <w:bodyDiv w:val="1"/>
      <w:marLeft w:val="0"/>
      <w:marRight w:val="0"/>
      <w:marTop w:val="0"/>
      <w:marBottom w:val="0"/>
      <w:divBdr>
        <w:top w:val="none" w:sz="0" w:space="0" w:color="auto"/>
        <w:left w:val="none" w:sz="0" w:space="0" w:color="auto"/>
        <w:bottom w:val="none" w:sz="0" w:space="0" w:color="auto"/>
        <w:right w:val="none" w:sz="0" w:space="0" w:color="auto"/>
      </w:divBdr>
    </w:div>
    <w:div w:id="652418492">
      <w:bodyDiv w:val="1"/>
      <w:marLeft w:val="0"/>
      <w:marRight w:val="0"/>
      <w:marTop w:val="0"/>
      <w:marBottom w:val="0"/>
      <w:divBdr>
        <w:top w:val="none" w:sz="0" w:space="0" w:color="auto"/>
        <w:left w:val="none" w:sz="0" w:space="0" w:color="auto"/>
        <w:bottom w:val="none" w:sz="0" w:space="0" w:color="auto"/>
        <w:right w:val="none" w:sz="0" w:space="0" w:color="auto"/>
      </w:divBdr>
    </w:div>
    <w:div w:id="663120349">
      <w:bodyDiv w:val="1"/>
      <w:marLeft w:val="0"/>
      <w:marRight w:val="0"/>
      <w:marTop w:val="0"/>
      <w:marBottom w:val="0"/>
      <w:divBdr>
        <w:top w:val="none" w:sz="0" w:space="0" w:color="auto"/>
        <w:left w:val="none" w:sz="0" w:space="0" w:color="auto"/>
        <w:bottom w:val="none" w:sz="0" w:space="0" w:color="auto"/>
        <w:right w:val="none" w:sz="0" w:space="0" w:color="auto"/>
      </w:divBdr>
    </w:div>
    <w:div w:id="666787323">
      <w:bodyDiv w:val="1"/>
      <w:marLeft w:val="0"/>
      <w:marRight w:val="0"/>
      <w:marTop w:val="0"/>
      <w:marBottom w:val="0"/>
      <w:divBdr>
        <w:top w:val="none" w:sz="0" w:space="0" w:color="auto"/>
        <w:left w:val="none" w:sz="0" w:space="0" w:color="auto"/>
        <w:bottom w:val="none" w:sz="0" w:space="0" w:color="auto"/>
        <w:right w:val="none" w:sz="0" w:space="0" w:color="auto"/>
      </w:divBdr>
    </w:div>
    <w:div w:id="709035680">
      <w:bodyDiv w:val="1"/>
      <w:marLeft w:val="0"/>
      <w:marRight w:val="0"/>
      <w:marTop w:val="0"/>
      <w:marBottom w:val="0"/>
      <w:divBdr>
        <w:top w:val="none" w:sz="0" w:space="0" w:color="auto"/>
        <w:left w:val="none" w:sz="0" w:space="0" w:color="auto"/>
        <w:bottom w:val="none" w:sz="0" w:space="0" w:color="auto"/>
        <w:right w:val="none" w:sz="0" w:space="0" w:color="auto"/>
      </w:divBdr>
    </w:div>
    <w:div w:id="722288728">
      <w:bodyDiv w:val="1"/>
      <w:marLeft w:val="0"/>
      <w:marRight w:val="0"/>
      <w:marTop w:val="0"/>
      <w:marBottom w:val="0"/>
      <w:divBdr>
        <w:top w:val="none" w:sz="0" w:space="0" w:color="auto"/>
        <w:left w:val="none" w:sz="0" w:space="0" w:color="auto"/>
        <w:bottom w:val="none" w:sz="0" w:space="0" w:color="auto"/>
        <w:right w:val="none" w:sz="0" w:space="0" w:color="auto"/>
      </w:divBdr>
    </w:div>
    <w:div w:id="732965235">
      <w:bodyDiv w:val="1"/>
      <w:marLeft w:val="0"/>
      <w:marRight w:val="0"/>
      <w:marTop w:val="0"/>
      <w:marBottom w:val="0"/>
      <w:divBdr>
        <w:top w:val="none" w:sz="0" w:space="0" w:color="auto"/>
        <w:left w:val="none" w:sz="0" w:space="0" w:color="auto"/>
        <w:bottom w:val="none" w:sz="0" w:space="0" w:color="auto"/>
        <w:right w:val="none" w:sz="0" w:space="0" w:color="auto"/>
      </w:divBdr>
      <w:divsChild>
        <w:div w:id="2105297646">
          <w:marLeft w:val="0"/>
          <w:marRight w:val="0"/>
          <w:marTop w:val="0"/>
          <w:marBottom w:val="0"/>
          <w:divBdr>
            <w:top w:val="none" w:sz="0" w:space="0" w:color="auto"/>
            <w:left w:val="none" w:sz="0" w:space="0" w:color="auto"/>
            <w:bottom w:val="none" w:sz="0" w:space="0" w:color="auto"/>
            <w:right w:val="none" w:sz="0" w:space="0" w:color="auto"/>
          </w:divBdr>
        </w:div>
      </w:divsChild>
    </w:div>
    <w:div w:id="774792856">
      <w:bodyDiv w:val="1"/>
      <w:marLeft w:val="0"/>
      <w:marRight w:val="0"/>
      <w:marTop w:val="0"/>
      <w:marBottom w:val="0"/>
      <w:divBdr>
        <w:top w:val="none" w:sz="0" w:space="0" w:color="auto"/>
        <w:left w:val="none" w:sz="0" w:space="0" w:color="auto"/>
        <w:bottom w:val="none" w:sz="0" w:space="0" w:color="auto"/>
        <w:right w:val="none" w:sz="0" w:space="0" w:color="auto"/>
      </w:divBdr>
    </w:div>
    <w:div w:id="827554824">
      <w:bodyDiv w:val="1"/>
      <w:marLeft w:val="0"/>
      <w:marRight w:val="0"/>
      <w:marTop w:val="0"/>
      <w:marBottom w:val="0"/>
      <w:divBdr>
        <w:top w:val="none" w:sz="0" w:space="0" w:color="auto"/>
        <w:left w:val="none" w:sz="0" w:space="0" w:color="auto"/>
        <w:bottom w:val="none" w:sz="0" w:space="0" w:color="auto"/>
        <w:right w:val="none" w:sz="0" w:space="0" w:color="auto"/>
      </w:divBdr>
      <w:divsChild>
        <w:div w:id="171920167">
          <w:marLeft w:val="0"/>
          <w:marRight w:val="0"/>
          <w:marTop w:val="0"/>
          <w:marBottom w:val="0"/>
          <w:divBdr>
            <w:top w:val="none" w:sz="0" w:space="0" w:color="auto"/>
            <w:left w:val="none" w:sz="0" w:space="0" w:color="auto"/>
            <w:bottom w:val="none" w:sz="0" w:space="0" w:color="auto"/>
            <w:right w:val="none" w:sz="0" w:space="0" w:color="auto"/>
          </w:divBdr>
        </w:div>
      </w:divsChild>
    </w:div>
    <w:div w:id="850220207">
      <w:bodyDiv w:val="1"/>
      <w:marLeft w:val="0"/>
      <w:marRight w:val="0"/>
      <w:marTop w:val="0"/>
      <w:marBottom w:val="0"/>
      <w:divBdr>
        <w:top w:val="none" w:sz="0" w:space="0" w:color="auto"/>
        <w:left w:val="none" w:sz="0" w:space="0" w:color="auto"/>
        <w:bottom w:val="none" w:sz="0" w:space="0" w:color="auto"/>
        <w:right w:val="none" w:sz="0" w:space="0" w:color="auto"/>
      </w:divBdr>
    </w:div>
    <w:div w:id="875892528">
      <w:bodyDiv w:val="1"/>
      <w:marLeft w:val="0"/>
      <w:marRight w:val="0"/>
      <w:marTop w:val="0"/>
      <w:marBottom w:val="0"/>
      <w:divBdr>
        <w:top w:val="none" w:sz="0" w:space="0" w:color="auto"/>
        <w:left w:val="none" w:sz="0" w:space="0" w:color="auto"/>
        <w:bottom w:val="none" w:sz="0" w:space="0" w:color="auto"/>
        <w:right w:val="none" w:sz="0" w:space="0" w:color="auto"/>
      </w:divBdr>
    </w:div>
    <w:div w:id="970861799">
      <w:bodyDiv w:val="1"/>
      <w:marLeft w:val="0"/>
      <w:marRight w:val="0"/>
      <w:marTop w:val="0"/>
      <w:marBottom w:val="0"/>
      <w:divBdr>
        <w:top w:val="none" w:sz="0" w:space="0" w:color="auto"/>
        <w:left w:val="none" w:sz="0" w:space="0" w:color="auto"/>
        <w:bottom w:val="none" w:sz="0" w:space="0" w:color="auto"/>
        <w:right w:val="none" w:sz="0" w:space="0" w:color="auto"/>
      </w:divBdr>
      <w:divsChild>
        <w:div w:id="1946419365">
          <w:marLeft w:val="0"/>
          <w:marRight w:val="0"/>
          <w:marTop w:val="0"/>
          <w:marBottom w:val="0"/>
          <w:divBdr>
            <w:top w:val="none" w:sz="0" w:space="0" w:color="auto"/>
            <w:left w:val="none" w:sz="0" w:space="0" w:color="auto"/>
            <w:bottom w:val="none" w:sz="0" w:space="0" w:color="auto"/>
            <w:right w:val="none" w:sz="0" w:space="0" w:color="auto"/>
          </w:divBdr>
        </w:div>
      </w:divsChild>
    </w:div>
    <w:div w:id="998536824">
      <w:bodyDiv w:val="1"/>
      <w:marLeft w:val="0"/>
      <w:marRight w:val="0"/>
      <w:marTop w:val="0"/>
      <w:marBottom w:val="0"/>
      <w:divBdr>
        <w:top w:val="none" w:sz="0" w:space="0" w:color="auto"/>
        <w:left w:val="none" w:sz="0" w:space="0" w:color="auto"/>
        <w:bottom w:val="none" w:sz="0" w:space="0" w:color="auto"/>
        <w:right w:val="none" w:sz="0" w:space="0" w:color="auto"/>
      </w:divBdr>
    </w:div>
    <w:div w:id="1010527088">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45788780">
      <w:bodyDiv w:val="1"/>
      <w:marLeft w:val="0"/>
      <w:marRight w:val="0"/>
      <w:marTop w:val="0"/>
      <w:marBottom w:val="0"/>
      <w:divBdr>
        <w:top w:val="none" w:sz="0" w:space="0" w:color="auto"/>
        <w:left w:val="none" w:sz="0" w:space="0" w:color="auto"/>
        <w:bottom w:val="none" w:sz="0" w:space="0" w:color="auto"/>
        <w:right w:val="none" w:sz="0" w:space="0" w:color="auto"/>
      </w:divBdr>
    </w:div>
    <w:div w:id="1126892997">
      <w:bodyDiv w:val="1"/>
      <w:marLeft w:val="0"/>
      <w:marRight w:val="0"/>
      <w:marTop w:val="0"/>
      <w:marBottom w:val="0"/>
      <w:divBdr>
        <w:top w:val="none" w:sz="0" w:space="0" w:color="auto"/>
        <w:left w:val="none" w:sz="0" w:space="0" w:color="auto"/>
        <w:bottom w:val="none" w:sz="0" w:space="0" w:color="auto"/>
        <w:right w:val="none" w:sz="0" w:space="0" w:color="auto"/>
      </w:divBdr>
    </w:div>
    <w:div w:id="1129395399">
      <w:bodyDiv w:val="1"/>
      <w:marLeft w:val="0"/>
      <w:marRight w:val="0"/>
      <w:marTop w:val="0"/>
      <w:marBottom w:val="0"/>
      <w:divBdr>
        <w:top w:val="none" w:sz="0" w:space="0" w:color="auto"/>
        <w:left w:val="none" w:sz="0" w:space="0" w:color="auto"/>
        <w:bottom w:val="none" w:sz="0" w:space="0" w:color="auto"/>
        <w:right w:val="none" w:sz="0" w:space="0" w:color="auto"/>
      </w:divBdr>
    </w:div>
    <w:div w:id="1156337307">
      <w:bodyDiv w:val="1"/>
      <w:marLeft w:val="0"/>
      <w:marRight w:val="0"/>
      <w:marTop w:val="0"/>
      <w:marBottom w:val="0"/>
      <w:divBdr>
        <w:top w:val="none" w:sz="0" w:space="0" w:color="auto"/>
        <w:left w:val="none" w:sz="0" w:space="0" w:color="auto"/>
        <w:bottom w:val="none" w:sz="0" w:space="0" w:color="auto"/>
        <w:right w:val="none" w:sz="0" w:space="0" w:color="auto"/>
      </w:divBdr>
    </w:div>
    <w:div w:id="1211502105">
      <w:bodyDiv w:val="1"/>
      <w:marLeft w:val="0"/>
      <w:marRight w:val="0"/>
      <w:marTop w:val="0"/>
      <w:marBottom w:val="0"/>
      <w:divBdr>
        <w:top w:val="none" w:sz="0" w:space="0" w:color="auto"/>
        <w:left w:val="none" w:sz="0" w:space="0" w:color="auto"/>
        <w:bottom w:val="none" w:sz="0" w:space="0" w:color="auto"/>
        <w:right w:val="none" w:sz="0" w:space="0" w:color="auto"/>
      </w:divBdr>
    </w:div>
    <w:div w:id="1228145319">
      <w:bodyDiv w:val="1"/>
      <w:marLeft w:val="0"/>
      <w:marRight w:val="0"/>
      <w:marTop w:val="0"/>
      <w:marBottom w:val="0"/>
      <w:divBdr>
        <w:top w:val="none" w:sz="0" w:space="0" w:color="auto"/>
        <w:left w:val="none" w:sz="0" w:space="0" w:color="auto"/>
        <w:bottom w:val="none" w:sz="0" w:space="0" w:color="auto"/>
        <w:right w:val="none" w:sz="0" w:space="0" w:color="auto"/>
      </w:divBdr>
    </w:div>
    <w:div w:id="1262833838">
      <w:bodyDiv w:val="1"/>
      <w:marLeft w:val="0"/>
      <w:marRight w:val="0"/>
      <w:marTop w:val="0"/>
      <w:marBottom w:val="0"/>
      <w:divBdr>
        <w:top w:val="none" w:sz="0" w:space="0" w:color="auto"/>
        <w:left w:val="none" w:sz="0" w:space="0" w:color="auto"/>
        <w:bottom w:val="none" w:sz="0" w:space="0" w:color="auto"/>
        <w:right w:val="none" w:sz="0" w:space="0" w:color="auto"/>
      </w:divBdr>
    </w:div>
    <w:div w:id="1287276350">
      <w:bodyDiv w:val="1"/>
      <w:marLeft w:val="0"/>
      <w:marRight w:val="0"/>
      <w:marTop w:val="0"/>
      <w:marBottom w:val="0"/>
      <w:divBdr>
        <w:top w:val="none" w:sz="0" w:space="0" w:color="auto"/>
        <w:left w:val="none" w:sz="0" w:space="0" w:color="auto"/>
        <w:bottom w:val="none" w:sz="0" w:space="0" w:color="auto"/>
        <w:right w:val="none" w:sz="0" w:space="0" w:color="auto"/>
      </w:divBdr>
    </w:div>
    <w:div w:id="1288047237">
      <w:bodyDiv w:val="1"/>
      <w:marLeft w:val="0"/>
      <w:marRight w:val="0"/>
      <w:marTop w:val="0"/>
      <w:marBottom w:val="0"/>
      <w:divBdr>
        <w:top w:val="none" w:sz="0" w:space="0" w:color="auto"/>
        <w:left w:val="none" w:sz="0" w:space="0" w:color="auto"/>
        <w:bottom w:val="none" w:sz="0" w:space="0" w:color="auto"/>
        <w:right w:val="none" w:sz="0" w:space="0" w:color="auto"/>
      </w:divBdr>
      <w:divsChild>
        <w:div w:id="111679979">
          <w:marLeft w:val="0"/>
          <w:marRight w:val="0"/>
          <w:marTop w:val="0"/>
          <w:marBottom w:val="0"/>
          <w:divBdr>
            <w:top w:val="none" w:sz="0" w:space="0" w:color="auto"/>
            <w:left w:val="none" w:sz="0" w:space="0" w:color="auto"/>
            <w:bottom w:val="none" w:sz="0" w:space="0" w:color="auto"/>
            <w:right w:val="none" w:sz="0" w:space="0" w:color="auto"/>
          </w:divBdr>
        </w:div>
      </w:divsChild>
    </w:div>
    <w:div w:id="1288388856">
      <w:bodyDiv w:val="1"/>
      <w:marLeft w:val="0"/>
      <w:marRight w:val="0"/>
      <w:marTop w:val="0"/>
      <w:marBottom w:val="0"/>
      <w:divBdr>
        <w:top w:val="none" w:sz="0" w:space="0" w:color="auto"/>
        <w:left w:val="none" w:sz="0" w:space="0" w:color="auto"/>
        <w:bottom w:val="none" w:sz="0" w:space="0" w:color="auto"/>
        <w:right w:val="none" w:sz="0" w:space="0" w:color="auto"/>
      </w:divBdr>
    </w:div>
    <w:div w:id="1290404034">
      <w:bodyDiv w:val="1"/>
      <w:marLeft w:val="0"/>
      <w:marRight w:val="0"/>
      <w:marTop w:val="0"/>
      <w:marBottom w:val="0"/>
      <w:divBdr>
        <w:top w:val="none" w:sz="0" w:space="0" w:color="auto"/>
        <w:left w:val="none" w:sz="0" w:space="0" w:color="auto"/>
        <w:bottom w:val="none" w:sz="0" w:space="0" w:color="auto"/>
        <w:right w:val="none" w:sz="0" w:space="0" w:color="auto"/>
      </w:divBdr>
    </w:div>
    <w:div w:id="1315720598">
      <w:bodyDiv w:val="1"/>
      <w:marLeft w:val="0"/>
      <w:marRight w:val="0"/>
      <w:marTop w:val="0"/>
      <w:marBottom w:val="0"/>
      <w:divBdr>
        <w:top w:val="none" w:sz="0" w:space="0" w:color="auto"/>
        <w:left w:val="none" w:sz="0" w:space="0" w:color="auto"/>
        <w:bottom w:val="none" w:sz="0" w:space="0" w:color="auto"/>
        <w:right w:val="none" w:sz="0" w:space="0" w:color="auto"/>
      </w:divBdr>
    </w:div>
    <w:div w:id="1318191764">
      <w:bodyDiv w:val="1"/>
      <w:marLeft w:val="0"/>
      <w:marRight w:val="0"/>
      <w:marTop w:val="0"/>
      <w:marBottom w:val="0"/>
      <w:divBdr>
        <w:top w:val="none" w:sz="0" w:space="0" w:color="auto"/>
        <w:left w:val="none" w:sz="0" w:space="0" w:color="auto"/>
        <w:bottom w:val="none" w:sz="0" w:space="0" w:color="auto"/>
        <w:right w:val="none" w:sz="0" w:space="0" w:color="auto"/>
      </w:divBdr>
    </w:div>
    <w:div w:id="1355961662">
      <w:bodyDiv w:val="1"/>
      <w:marLeft w:val="0"/>
      <w:marRight w:val="0"/>
      <w:marTop w:val="0"/>
      <w:marBottom w:val="0"/>
      <w:divBdr>
        <w:top w:val="none" w:sz="0" w:space="0" w:color="auto"/>
        <w:left w:val="none" w:sz="0" w:space="0" w:color="auto"/>
        <w:bottom w:val="none" w:sz="0" w:space="0" w:color="auto"/>
        <w:right w:val="none" w:sz="0" w:space="0" w:color="auto"/>
      </w:divBdr>
    </w:div>
    <w:div w:id="1388214577">
      <w:bodyDiv w:val="1"/>
      <w:marLeft w:val="0"/>
      <w:marRight w:val="0"/>
      <w:marTop w:val="0"/>
      <w:marBottom w:val="0"/>
      <w:divBdr>
        <w:top w:val="none" w:sz="0" w:space="0" w:color="auto"/>
        <w:left w:val="none" w:sz="0" w:space="0" w:color="auto"/>
        <w:bottom w:val="none" w:sz="0" w:space="0" w:color="auto"/>
        <w:right w:val="none" w:sz="0" w:space="0" w:color="auto"/>
      </w:divBdr>
      <w:divsChild>
        <w:div w:id="859125399">
          <w:marLeft w:val="0"/>
          <w:marRight w:val="0"/>
          <w:marTop w:val="0"/>
          <w:marBottom w:val="0"/>
          <w:divBdr>
            <w:top w:val="none" w:sz="0" w:space="0" w:color="auto"/>
            <w:left w:val="none" w:sz="0" w:space="0" w:color="auto"/>
            <w:bottom w:val="none" w:sz="0" w:space="0" w:color="auto"/>
            <w:right w:val="none" w:sz="0" w:space="0" w:color="auto"/>
          </w:divBdr>
        </w:div>
      </w:divsChild>
    </w:div>
    <w:div w:id="1394163210">
      <w:bodyDiv w:val="1"/>
      <w:marLeft w:val="0"/>
      <w:marRight w:val="0"/>
      <w:marTop w:val="0"/>
      <w:marBottom w:val="0"/>
      <w:divBdr>
        <w:top w:val="none" w:sz="0" w:space="0" w:color="auto"/>
        <w:left w:val="none" w:sz="0" w:space="0" w:color="auto"/>
        <w:bottom w:val="none" w:sz="0" w:space="0" w:color="auto"/>
        <w:right w:val="none" w:sz="0" w:space="0" w:color="auto"/>
      </w:divBdr>
    </w:div>
    <w:div w:id="1417903898">
      <w:bodyDiv w:val="1"/>
      <w:marLeft w:val="0"/>
      <w:marRight w:val="0"/>
      <w:marTop w:val="0"/>
      <w:marBottom w:val="0"/>
      <w:divBdr>
        <w:top w:val="none" w:sz="0" w:space="0" w:color="auto"/>
        <w:left w:val="none" w:sz="0" w:space="0" w:color="auto"/>
        <w:bottom w:val="none" w:sz="0" w:space="0" w:color="auto"/>
        <w:right w:val="none" w:sz="0" w:space="0" w:color="auto"/>
      </w:divBdr>
    </w:div>
    <w:div w:id="1450775992">
      <w:bodyDiv w:val="1"/>
      <w:marLeft w:val="0"/>
      <w:marRight w:val="0"/>
      <w:marTop w:val="0"/>
      <w:marBottom w:val="0"/>
      <w:divBdr>
        <w:top w:val="none" w:sz="0" w:space="0" w:color="auto"/>
        <w:left w:val="none" w:sz="0" w:space="0" w:color="auto"/>
        <w:bottom w:val="none" w:sz="0" w:space="0" w:color="auto"/>
        <w:right w:val="none" w:sz="0" w:space="0" w:color="auto"/>
      </w:divBdr>
    </w:div>
    <w:div w:id="1474521589">
      <w:bodyDiv w:val="1"/>
      <w:marLeft w:val="0"/>
      <w:marRight w:val="0"/>
      <w:marTop w:val="0"/>
      <w:marBottom w:val="0"/>
      <w:divBdr>
        <w:top w:val="none" w:sz="0" w:space="0" w:color="auto"/>
        <w:left w:val="none" w:sz="0" w:space="0" w:color="auto"/>
        <w:bottom w:val="none" w:sz="0" w:space="0" w:color="auto"/>
        <w:right w:val="none" w:sz="0" w:space="0" w:color="auto"/>
      </w:divBdr>
    </w:div>
    <w:div w:id="1474709656">
      <w:bodyDiv w:val="1"/>
      <w:marLeft w:val="0"/>
      <w:marRight w:val="0"/>
      <w:marTop w:val="0"/>
      <w:marBottom w:val="0"/>
      <w:divBdr>
        <w:top w:val="none" w:sz="0" w:space="0" w:color="auto"/>
        <w:left w:val="none" w:sz="0" w:space="0" w:color="auto"/>
        <w:bottom w:val="none" w:sz="0" w:space="0" w:color="auto"/>
        <w:right w:val="none" w:sz="0" w:space="0" w:color="auto"/>
      </w:divBdr>
    </w:div>
    <w:div w:id="1500196879">
      <w:bodyDiv w:val="1"/>
      <w:marLeft w:val="0"/>
      <w:marRight w:val="0"/>
      <w:marTop w:val="0"/>
      <w:marBottom w:val="0"/>
      <w:divBdr>
        <w:top w:val="none" w:sz="0" w:space="0" w:color="auto"/>
        <w:left w:val="none" w:sz="0" w:space="0" w:color="auto"/>
        <w:bottom w:val="none" w:sz="0" w:space="0" w:color="auto"/>
        <w:right w:val="none" w:sz="0" w:space="0" w:color="auto"/>
      </w:divBdr>
    </w:div>
    <w:div w:id="1569226456">
      <w:bodyDiv w:val="1"/>
      <w:marLeft w:val="0"/>
      <w:marRight w:val="0"/>
      <w:marTop w:val="0"/>
      <w:marBottom w:val="0"/>
      <w:divBdr>
        <w:top w:val="none" w:sz="0" w:space="0" w:color="auto"/>
        <w:left w:val="none" w:sz="0" w:space="0" w:color="auto"/>
        <w:bottom w:val="none" w:sz="0" w:space="0" w:color="auto"/>
        <w:right w:val="none" w:sz="0" w:space="0" w:color="auto"/>
      </w:divBdr>
    </w:div>
    <w:div w:id="1614945569">
      <w:bodyDiv w:val="1"/>
      <w:marLeft w:val="0"/>
      <w:marRight w:val="0"/>
      <w:marTop w:val="0"/>
      <w:marBottom w:val="0"/>
      <w:divBdr>
        <w:top w:val="none" w:sz="0" w:space="0" w:color="auto"/>
        <w:left w:val="none" w:sz="0" w:space="0" w:color="auto"/>
        <w:bottom w:val="none" w:sz="0" w:space="0" w:color="auto"/>
        <w:right w:val="none" w:sz="0" w:space="0" w:color="auto"/>
      </w:divBdr>
    </w:div>
    <w:div w:id="1638023686">
      <w:bodyDiv w:val="1"/>
      <w:marLeft w:val="0"/>
      <w:marRight w:val="0"/>
      <w:marTop w:val="0"/>
      <w:marBottom w:val="0"/>
      <w:divBdr>
        <w:top w:val="none" w:sz="0" w:space="0" w:color="auto"/>
        <w:left w:val="none" w:sz="0" w:space="0" w:color="auto"/>
        <w:bottom w:val="none" w:sz="0" w:space="0" w:color="auto"/>
        <w:right w:val="none" w:sz="0" w:space="0" w:color="auto"/>
      </w:divBdr>
    </w:div>
    <w:div w:id="1648700522">
      <w:bodyDiv w:val="1"/>
      <w:marLeft w:val="0"/>
      <w:marRight w:val="0"/>
      <w:marTop w:val="0"/>
      <w:marBottom w:val="0"/>
      <w:divBdr>
        <w:top w:val="none" w:sz="0" w:space="0" w:color="auto"/>
        <w:left w:val="none" w:sz="0" w:space="0" w:color="auto"/>
        <w:bottom w:val="none" w:sz="0" w:space="0" w:color="auto"/>
        <w:right w:val="none" w:sz="0" w:space="0" w:color="auto"/>
      </w:divBdr>
      <w:divsChild>
        <w:div w:id="1124738870">
          <w:marLeft w:val="0"/>
          <w:marRight w:val="0"/>
          <w:marTop w:val="0"/>
          <w:marBottom w:val="0"/>
          <w:divBdr>
            <w:top w:val="none" w:sz="0" w:space="0" w:color="auto"/>
            <w:left w:val="none" w:sz="0" w:space="0" w:color="auto"/>
            <w:bottom w:val="none" w:sz="0" w:space="0" w:color="auto"/>
            <w:right w:val="none" w:sz="0" w:space="0" w:color="auto"/>
          </w:divBdr>
        </w:div>
      </w:divsChild>
    </w:div>
    <w:div w:id="1660497559">
      <w:bodyDiv w:val="1"/>
      <w:marLeft w:val="0"/>
      <w:marRight w:val="0"/>
      <w:marTop w:val="0"/>
      <w:marBottom w:val="0"/>
      <w:divBdr>
        <w:top w:val="none" w:sz="0" w:space="0" w:color="auto"/>
        <w:left w:val="none" w:sz="0" w:space="0" w:color="auto"/>
        <w:bottom w:val="none" w:sz="0" w:space="0" w:color="auto"/>
        <w:right w:val="none" w:sz="0" w:space="0" w:color="auto"/>
      </w:divBdr>
    </w:div>
    <w:div w:id="1660814679">
      <w:bodyDiv w:val="1"/>
      <w:marLeft w:val="0"/>
      <w:marRight w:val="0"/>
      <w:marTop w:val="0"/>
      <w:marBottom w:val="0"/>
      <w:divBdr>
        <w:top w:val="none" w:sz="0" w:space="0" w:color="auto"/>
        <w:left w:val="none" w:sz="0" w:space="0" w:color="auto"/>
        <w:bottom w:val="none" w:sz="0" w:space="0" w:color="auto"/>
        <w:right w:val="none" w:sz="0" w:space="0" w:color="auto"/>
      </w:divBdr>
    </w:div>
    <w:div w:id="1669216219">
      <w:bodyDiv w:val="1"/>
      <w:marLeft w:val="0"/>
      <w:marRight w:val="0"/>
      <w:marTop w:val="0"/>
      <w:marBottom w:val="0"/>
      <w:divBdr>
        <w:top w:val="none" w:sz="0" w:space="0" w:color="auto"/>
        <w:left w:val="none" w:sz="0" w:space="0" w:color="auto"/>
        <w:bottom w:val="none" w:sz="0" w:space="0" w:color="auto"/>
        <w:right w:val="none" w:sz="0" w:space="0" w:color="auto"/>
      </w:divBdr>
    </w:div>
    <w:div w:id="1672757176">
      <w:bodyDiv w:val="1"/>
      <w:marLeft w:val="0"/>
      <w:marRight w:val="0"/>
      <w:marTop w:val="0"/>
      <w:marBottom w:val="0"/>
      <w:divBdr>
        <w:top w:val="none" w:sz="0" w:space="0" w:color="auto"/>
        <w:left w:val="none" w:sz="0" w:space="0" w:color="auto"/>
        <w:bottom w:val="none" w:sz="0" w:space="0" w:color="auto"/>
        <w:right w:val="none" w:sz="0" w:space="0" w:color="auto"/>
      </w:divBdr>
    </w:div>
    <w:div w:id="1675500195">
      <w:bodyDiv w:val="1"/>
      <w:marLeft w:val="0"/>
      <w:marRight w:val="0"/>
      <w:marTop w:val="0"/>
      <w:marBottom w:val="0"/>
      <w:divBdr>
        <w:top w:val="none" w:sz="0" w:space="0" w:color="auto"/>
        <w:left w:val="none" w:sz="0" w:space="0" w:color="auto"/>
        <w:bottom w:val="none" w:sz="0" w:space="0" w:color="auto"/>
        <w:right w:val="none" w:sz="0" w:space="0" w:color="auto"/>
      </w:divBdr>
    </w:div>
    <w:div w:id="1688209580">
      <w:bodyDiv w:val="1"/>
      <w:marLeft w:val="0"/>
      <w:marRight w:val="0"/>
      <w:marTop w:val="0"/>
      <w:marBottom w:val="0"/>
      <w:divBdr>
        <w:top w:val="none" w:sz="0" w:space="0" w:color="auto"/>
        <w:left w:val="none" w:sz="0" w:space="0" w:color="auto"/>
        <w:bottom w:val="none" w:sz="0" w:space="0" w:color="auto"/>
        <w:right w:val="none" w:sz="0" w:space="0" w:color="auto"/>
      </w:divBdr>
    </w:div>
    <w:div w:id="1706326875">
      <w:bodyDiv w:val="1"/>
      <w:marLeft w:val="0"/>
      <w:marRight w:val="0"/>
      <w:marTop w:val="0"/>
      <w:marBottom w:val="0"/>
      <w:divBdr>
        <w:top w:val="none" w:sz="0" w:space="0" w:color="auto"/>
        <w:left w:val="none" w:sz="0" w:space="0" w:color="auto"/>
        <w:bottom w:val="none" w:sz="0" w:space="0" w:color="auto"/>
        <w:right w:val="none" w:sz="0" w:space="0" w:color="auto"/>
      </w:divBdr>
    </w:div>
    <w:div w:id="1709911429">
      <w:bodyDiv w:val="1"/>
      <w:marLeft w:val="0"/>
      <w:marRight w:val="0"/>
      <w:marTop w:val="0"/>
      <w:marBottom w:val="0"/>
      <w:divBdr>
        <w:top w:val="none" w:sz="0" w:space="0" w:color="auto"/>
        <w:left w:val="none" w:sz="0" w:space="0" w:color="auto"/>
        <w:bottom w:val="none" w:sz="0" w:space="0" w:color="auto"/>
        <w:right w:val="none" w:sz="0" w:space="0" w:color="auto"/>
      </w:divBdr>
    </w:div>
    <w:div w:id="1714118258">
      <w:bodyDiv w:val="1"/>
      <w:marLeft w:val="0"/>
      <w:marRight w:val="0"/>
      <w:marTop w:val="0"/>
      <w:marBottom w:val="0"/>
      <w:divBdr>
        <w:top w:val="none" w:sz="0" w:space="0" w:color="auto"/>
        <w:left w:val="none" w:sz="0" w:space="0" w:color="auto"/>
        <w:bottom w:val="none" w:sz="0" w:space="0" w:color="auto"/>
        <w:right w:val="none" w:sz="0" w:space="0" w:color="auto"/>
      </w:divBdr>
    </w:div>
    <w:div w:id="1714383707">
      <w:bodyDiv w:val="1"/>
      <w:marLeft w:val="0"/>
      <w:marRight w:val="0"/>
      <w:marTop w:val="0"/>
      <w:marBottom w:val="0"/>
      <w:divBdr>
        <w:top w:val="none" w:sz="0" w:space="0" w:color="auto"/>
        <w:left w:val="none" w:sz="0" w:space="0" w:color="auto"/>
        <w:bottom w:val="none" w:sz="0" w:space="0" w:color="auto"/>
        <w:right w:val="none" w:sz="0" w:space="0" w:color="auto"/>
      </w:divBdr>
    </w:div>
    <w:div w:id="1723677598">
      <w:bodyDiv w:val="1"/>
      <w:marLeft w:val="0"/>
      <w:marRight w:val="0"/>
      <w:marTop w:val="0"/>
      <w:marBottom w:val="0"/>
      <w:divBdr>
        <w:top w:val="none" w:sz="0" w:space="0" w:color="auto"/>
        <w:left w:val="none" w:sz="0" w:space="0" w:color="auto"/>
        <w:bottom w:val="none" w:sz="0" w:space="0" w:color="auto"/>
        <w:right w:val="none" w:sz="0" w:space="0" w:color="auto"/>
      </w:divBdr>
    </w:div>
    <w:div w:id="1762096944">
      <w:bodyDiv w:val="1"/>
      <w:marLeft w:val="0"/>
      <w:marRight w:val="0"/>
      <w:marTop w:val="0"/>
      <w:marBottom w:val="0"/>
      <w:divBdr>
        <w:top w:val="none" w:sz="0" w:space="0" w:color="auto"/>
        <w:left w:val="none" w:sz="0" w:space="0" w:color="auto"/>
        <w:bottom w:val="none" w:sz="0" w:space="0" w:color="auto"/>
        <w:right w:val="none" w:sz="0" w:space="0" w:color="auto"/>
      </w:divBdr>
    </w:div>
    <w:div w:id="1765687436">
      <w:bodyDiv w:val="1"/>
      <w:marLeft w:val="0"/>
      <w:marRight w:val="0"/>
      <w:marTop w:val="0"/>
      <w:marBottom w:val="0"/>
      <w:divBdr>
        <w:top w:val="none" w:sz="0" w:space="0" w:color="auto"/>
        <w:left w:val="none" w:sz="0" w:space="0" w:color="auto"/>
        <w:bottom w:val="none" w:sz="0" w:space="0" w:color="auto"/>
        <w:right w:val="none" w:sz="0" w:space="0" w:color="auto"/>
      </w:divBdr>
    </w:div>
    <w:div w:id="1775784287">
      <w:bodyDiv w:val="1"/>
      <w:marLeft w:val="0"/>
      <w:marRight w:val="0"/>
      <w:marTop w:val="0"/>
      <w:marBottom w:val="0"/>
      <w:divBdr>
        <w:top w:val="none" w:sz="0" w:space="0" w:color="auto"/>
        <w:left w:val="none" w:sz="0" w:space="0" w:color="auto"/>
        <w:bottom w:val="none" w:sz="0" w:space="0" w:color="auto"/>
        <w:right w:val="none" w:sz="0" w:space="0" w:color="auto"/>
      </w:divBdr>
    </w:div>
    <w:div w:id="1785075376">
      <w:bodyDiv w:val="1"/>
      <w:marLeft w:val="0"/>
      <w:marRight w:val="0"/>
      <w:marTop w:val="0"/>
      <w:marBottom w:val="0"/>
      <w:divBdr>
        <w:top w:val="none" w:sz="0" w:space="0" w:color="auto"/>
        <w:left w:val="none" w:sz="0" w:space="0" w:color="auto"/>
        <w:bottom w:val="none" w:sz="0" w:space="0" w:color="auto"/>
        <w:right w:val="none" w:sz="0" w:space="0" w:color="auto"/>
      </w:divBdr>
    </w:div>
    <w:div w:id="1798600179">
      <w:bodyDiv w:val="1"/>
      <w:marLeft w:val="0"/>
      <w:marRight w:val="0"/>
      <w:marTop w:val="0"/>
      <w:marBottom w:val="0"/>
      <w:divBdr>
        <w:top w:val="none" w:sz="0" w:space="0" w:color="auto"/>
        <w:left w:val="none" w:sz="0" w:space="0" w:color="auto"/>
        <w:bottom w:val="none" w:sz="0" w:space="0" w:color="auto"/>
        <w:right w:val="none" w:sz="0" w:space="0" w:color="auto"/>
      </w:divBdr>
    </w:div>
    <w:div w:id="1836649100">
      <w:bodyDiv w:val="1"/>
      <w:marLeft w:val="0"/>
      <w:marRight w:val="0"/>
      <w:marTop w:val="0"/>
      <w:marBottom w:val="0"/>
      <w:divBdr>
        <w:top w:val="none" w:sz="0" w:space="0" w:color="auto"/>
        <w:left w:val="none" w:sz="0" w:space="0" w:color="auto"/>
        <w:bottom w:val="none" w:sz="0" w:space="0" w:color="auto"/>
        <w:right w:val="none" w:sz="0" w:space="0" w:color="auto"/>
      </w:divBdr>
    </w:div>
    <w:div w:id="1839616128">
      <w:bodyDiv w:val="1"/>
      <w:marLeft w:val="0"/>
      <w:marRight w:val="0"/>
      <w:marTop w:val="0"/>
      <w:marBottom w:val="0"/>
      <w:divBdr>
        <w:top w:val="none" w:sz="0" w:space="0" w:color="auto"/>
        <w:left w:val="none" w:sz="0" w:space="0" w:color="auto"/>
        <w:bottom w:val="none" w:sz="0" w:space="0" w:color="auto"/>
        <w:right w:val="none" w:sz="0" w:space="0" w:color="auto"/>
      </w:divBdr>
    </w:div>
    <w:div w:id="1840806679">
      <w:bodyDiv w:val="1"/>
      <w:marLeft w:val="0"/>
      <w:marRight w:val="0"/>
      <w:marTop w:val="0"/>
      <w:marBottom w:val="0"/>
      <w:divBdr>
        <w:top w:val="none" w:sz="0" w:space="0" w:color="auto"/>
        <w:left w:val="none" w:sz="0" w:space="0" w:color="auto"/>
        <w:bottom w:val="none" w:sz="0" w:space="0" w:color="auto"/>
        <w:right w:val="none" w:sz="0" w:space="0" w:color="auto"/>
      </w:divBdr>
    </w:div>
    <w:div w:id="1842045491">
      <w:bodyDiv w:val="1"/>
      <w:marLeft w:val="0"/>
      <w:marRight w:val="0"/>
      <w:marTop w:val="0"/>
      <w:marBottom w:val="0"/>
      <w:divBdr>
        <w:top w:val="none" w:sz="0" w:space="0" w:color="auto"/>
        <w:left w:val="none" w:sz="0" w:space="0" w:color="auto"/>
        <w:bottom w:val="none" w:sz="0" w:space="0" w:color="auto"/>
        <w:right w:val="none" w:sz="0" w:space="0" w:color="auto"/>
      </w:divBdr>
    </w:div>
    <w:div w:id="1861240334">
      <w:bodyDiv w:val="1"/>
      <w:marLeft w:val="0"/>
      <w:marRight w:val="0"/>
      <w:marTop w:val="0"/>
      <w:marBottom w:val="0"/>
      <w:divBdr>
        <w:top w:val="none" w:sz="0" w:space="0" w:color="auto"/>
        <w:left w:val="none" w:sz="0" w:space="0" w:color="auto"/>
        <w:bottom w:val="none" w:sz="0" w:space="0" w:color="auto"/>
        <w:right w:val="none" w:sz="0" w:space="0" w:color="auto"/>
      </w:divBdr>
    </w:div>
    <w:div w:id="1883394417">
      <w:bodyDiv w:val="1"/>
      <w:marLeft w:val="0"/>
      <w:marRight w:val="0"/>
      <w:marTop w:val="0"/>
      <w:marBottom w:val="0"/>
      <w:divBdr>
        <w:top w:val="none" w:sz="0" w:space="0" w:color="auto"/>
        <w:left w:val="none" w:sz="0" w:space="0" w:color="auto"/>
        <w:bottom w:val="none" w:sz="0" w:space="0" w:color="auto"/>
        <w:right w:val="none" w:sz="0" w:space="0" w:color="auto"/>
      </w:divBdr>
    </w:div>
    <w:div w:id="1894197801">
      <w:bodyDiv w:val="1"/>
      <w:marLeft w:val="0"/>
      <w:marRight w:val="0"/>
      <w:marTop w:val="0"/>
      <w:marBottom w:val="0"/>
      <w:divBdr>
        <w:top w:val="none" w:sz="0" w:space="0" w:color="auto"/>
        <w:left w:val="none" w:sz="0" w:space="0" w:color="auto"/>
        <w:bottom w:val="none" w:sz="0" w:space="0" w:color="auto"/>
        <w:right w:val="none" w:sz="0" w:space="0" w:color="auto"/>
      </w:divBdr>
    </w:div>
    <w:div w:id="1908613594">
      <w:bodyDiv w:val="1"/>
      <w:marLeft w:val="0"/>
      <w:marRight w:val="0"/>
      <w:marTop w:val="0"/>
      <w:marBottom w:val="0"/>
      <w:divBdr>
        <w:top w:val="none" w:sz="0" w:space="0" w:color="auto"/>
        <w:left w:val="none" w:sz="0" w:space="0" w:color="auto"/>
        <w:bottom w:val="none" w:sz="0" w:space="0" w:color="auto"/>
        <w:right w:val="none" w:sz="0" w:space="0" w:color="auto"/>
      </w:divBdr>
    </w:div>
    <w:div w:id="1916931386">
      <w:bodyDiv w:val="1"/>
      <w:marLeft w:val="0"/>
      <w:marRight w:val="0"/>
      <w:marTop w:val="0"/>
      <w:marBottom w:val="0"/>
      <w:divBdr>
        <w:top w:val="none" w:sz="0" w:space="0" w:color="auto"/>
        <w:left w:val="none" w:sz="0" w:space="0" w:color="auto"/>
        <w:bottom w:val="none" w:sz="0" w:space="0" w:color="auto"/>
        <w:right w:val="none" w:sz="0" w:space="0" w:color="auto"/>
      </w:divBdr>
    </w:div>
    <w:div w:id="1937863252">
      <w:bodyDiv w:val="1"/>
      <w:marLeft w:val="0"/>
      <w:marRight w:val="0"/>
      <w:marTop w:val="0"/>
      <w:marBottom w:val="0"/>
      <w:divBdr>
        <w:top w:val="none" w:sz="0" w:space="0" w:color="auto"/>
        <w:left w:val="none" w:sz="0" w:space="0" w:color="auto"/>
        <w:bottom w:val="none" w:sz="0" w:space="0" w:color="auto"/>
        <w:right w:val="none" w:sz="0" w:space="0" w:color="auto"/>
      </w:divBdr>
    </w:div>
    <w:div w:id="2019233640">
      <w:bodyDiv w:val="1"/>
      <w:marLeft w:val="0"/>
      <w:marRight w:val="0"/>
      <w:marTop w:val="0"/>
      <w:marBottom w:val="0"/>
      <w:divBdr>
        <w:top w:val="none" w:sz="0" w:space="0" w:color="auto"/>
        <w:left w:val="none" w:sz="0" w:space="0" w:color="auto"/>
        <w:bottom w:val="none" w:sz="0" w:space="0" w:color="auto"/>
        <w:right w:val="none" w:sz="0" w:space="0" w:color="auto"/>
      </w:divBdr>
    </w:div>
    <w:div w:id="2024090852">
      <w:bodyDiv w:val="1"/>
      <w:marLeft w:val="0"/>
      <w:marRight w:val="0"/>
      <w:marTop w:val="0"/>
      <w:marBottom w:val="0"/>
      <w:divBdr>
        <w:top w:val="none" w:sz="0" w:space="0" w:color="auto"/>
        <w:left w:val="none" w:sz="0" w:space="0" w:color="auto"/>
        <w:bottom w:val="none" w:sz="0" w:space="0" w:color="auto"/>
        <w:right w:val="none" w:sz="0" w:space="0" w:color="auto"/>
      </w:divBdr>
    </w:div>
    <w:div w:id="2034918745">
      <w:bodyDiv w:val="1"/>
      <w:marLeft w:val="0"/>
      <w:marRight w:val="0"/>
      <w:marTop w:val="0"/>
      <w:marBottom w:val="0"/>
      <w:divBdr>
        <w:top w:val="none" w:sz="0" w:space="0" w:color="auto"/>
        <w:left w:val="none" w:sz="0" w:space="0" w:color="auto"/>
        <w:bottom w:val="none" w:sz="0" w:space="0" w:color="auto"/>
        <w:right w:val="none" w:sz="0" w:space="0" w:color="auto"/>
      </w:divBdr>
    </w:div>
    <w:div w:id="2045592944">
      <w:bodyDiv w:val="1"/>
      <w:marLeft w:val="0"/>
      <w:marRight w:val="0"/>
      <w:marTop w:val="0"/>
      <w:marBottom w:val="0"/>
      <w:divBdr>
        <w:top w:val="none" w:sz="0" w:space="0" w:color="auto"/>
        <w:left w:val="none" w:sz="0" w:space="0" w:color="auto"/>
        <w:bottom w:val="none" w:sz="0" w:space="0" w:color="auto"/>
        <w:right w:val="none" w:sz="0" w:space="0" w:color="auto"/>
      </w:divBdr>
    </w:div>
    <w:div w:id="2065176386">
      <w:bodyDiv w:val="1"/>
      <w:marLeft w:val="0"/>
      <w:marRight w:val="0"/>
      <w:marTop w:val="0"/>
      <w:marBottom w:val="0"/>
      <w:divBdr>
        <w:top w:val="none" w:sz="0" w:space="0" w:color="auto"/>
        <w:left w:val="none" w:sz="0" w:space="0" w:color="auto"/>
        <w:bottom w:val="none" w:sz="0" w:space="0" w:color="auto"/>
        <w:right w:val="none" w:sz="0" w:space="0" w:color="auto"/>
      </w:divBdr>
    </w:div>
    <w:div w:id="2086297183">
      <w:bodyDiv w:val="1"/>
      <w:marLeft w:val="0"/>
      <w:marRight w:val="0"/>
      <w:marTop w:val="0"/>
      <w:marBottom w:val="0"/>
      <w:divBdr>
        <w:top w:val="none" w:sz="0" w:space="0" w:color="auto"/>
        <w:left w:val="none" w:sz="0" w:space="0" w:color="auto"/>
        <w:bottom w:val="none" w:sz="0" w:space="0" w:color="auto"/>
        <w:right w:val="none" w:sz="0" w:space="0" w:color="auto"/>
      </w:divBdr>
    </w:div>
    <w:div w:id="2090495717">
      <w:bodyDiv w:val="1"/>
      <w:marLeft w:val="0"/>
      <w:marRight w:val="0"/>
      <w:marTop w:val="0"/>
      <w:marBottom w:val="0"/>
      <w:divBdr>
        <w:top w:val="none" w:sz="0" w:space="0" w:color="auto"/>
        <w:left w:val="none" w:sz="0" w:space="0" w:color="auto"/>
        <w:bottom w:val="none" w:sz="0" w:space="0" w:color="auto"/>
        <w:right w:val="none" w:sz="0" w:space="0" w:color="auto"/>
      </w:divBdr>
    </w:div>
    <w:div w:id="2107459495">
      <w:bodyDiv w:val="1"/>
      <w:marLeft w:val="0"/>
      <w:marRight w:val="0"/>
      <w:marTop w:val="0"/>
      <w:marBottom w:val="0"/>
      <w:divBdr>
        <w:top w:val="none" w:sz="0" w:space="0" w:color="auto"/>
        <w:left w:val="none" w:sz="0" w:space="0" w:color="auto"/>
        <w:bottom w:val="none" w:sz="0" w:space="0" w:color="auto"/>
        <w:right w:val="none" w:sz="0" w:space="0" w:color="auto"/>
      </w:divBdr>
    </w:div>
    <w:div w:id="2110422544">
      <w:bodyDiv w:val="1"/>
      <w:marLeft w:val="0"/>
      <w:marRight w:val="0"/>
      <w:marTop w:val="0"/>
      <w:marBottom w:val="0"/>
      <w:divBdr>
        <w:top w:val="none" w:sz="0" w:space="0" w:color="auto"/>
        <w:left w:val="none" w:sz="0" w:space="0" w:color="auto"/>
        <w:bottom w:val="none" w:sz="0" w:space="0" w:color="auto"/>
        <w:right w:val="none" w:sz="0" w:space="0" w:color="auto"/>
      </w:divBdr>
    </w:div>
    <w:div w:id="212456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emf"/><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chart" Target="charts/chart1.xml"/><Relationship Id="rId42" Type="http://schemas.openxmlformats.org/officeDocument/2006/relationships/header" Target="header10.xml"/><Relationship Id="rId47"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emf"/><Relationship Id="rId33" Type="http://schemas.openxmlformats.org/officeDocument/2006/relationships/image" Target="media/image10.emf"/><Relationship Id="rId38" Type="http://schemas.openxmlformats.org/officeDocument/2006/relationships/footer" Target="footer7.xml"/><Relationship Id="rId46"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commission.europa.eu/document/download/abdee617-a078-4ee3-a3ec-20c7d32725b5_en?filename=NextGenerationEU%20Green%20Bonds%20Allocation%20and%20Impact%20Report%202024.pdf"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emf"/><Relationship Id="rId32" Type="http://schemas.openxmlformats.org/officeDocument/2006/relationships/image" Target="media/image9.emf"/><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6.gif"/><Relationship Id="rId36" Type="http://schemas.openxmlformats.org/officeDocument/2006/relationships/header" Target="header7.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8.emf"/><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5.emf"/><Relationship Id="rId30" Type="http://schemas.openxmlformats.org/officeDocument/2006/relationships/image" Target="media/image7.emf"/><Relationship Id="rId35" Type="http://schemas.openxmlformats.org/officeDocument/2006/relationships/hyperlink" Target="https://commission.europa.eu/document/download/abdee617-a078-4ee3-a3ec-20c7d32725b5_en?filename=NextGenerationEU%20Green%20Bonds%20Allocation%20and%20Impact%20Report%202024.pdf" TargetMode="Externa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trategy-and-policy/eu-budget/eu-borrower-investor-relations/nextgenerationeu-green-bonds/dashboard_pt" TargetMode="External"/><Relationship Id="rId3" Type="http://schemas.openxmlformats.org/officeDocument/2006/relationships/hyperlink" Target="https://commission.europa.eu/document/download/abdee617-a078-4ee3-a3ec-20c7d32725b5_en?filename=NextGenerationEU%20Green%20Bonds%20Allocation%20and%20Impact%20Report%202024.pdf" TargetMode="External"/><Relationship Id="rId7" Type="http://schemas.openxmlformats.org/officeDocument/2006/relationships/hyperlink" Target="https://eur-lex.europa.eu/legal-content/PT/TXT/PDF/?uri=CELEX:52023DC0461" TargetMode="External"/><Relationship Id="rId2" Type="http://schemas.openxmlformats.org/officeDocument/2006/relationships/hyperlink" Target="https://eur-lex.europa.eu/legal-content/PT/TXT/PDF/?uri=CELEX:52024DC0240" TargetMode="External"/><Relationship Id="rId1" Type="http://schemas.openxmlformats.org/officeDocument/2006/relationships/hyperlink" Target="https://eur-lex.europa.eu/legal-content/PT/TXT/HTML/?uri=CELEX:52024DC0474&amp;qid=1741543039769" TargetMode="External"/><Relationship Id="rId6" Type="http://schemas.openxmlformats.org/officeDocument/2006/relationships/hyperlink" Target="https://www.eca.europa.eu/Lists/ECAReplies/COM-Replies-SR-2023-16/COM-Replies-SR-2023-16_PT.pdf" TargetMode="External"/><Relationship Id="rId5" Type="http://schemas.openxmlformats.org/officeDocument/2006/relationships/hyperlink" Target="https://www.eca.europa.eu/ECAPublications/SR-2023-16/SR-2023-16_PT.pdf" TargetMode="External"/><Relationship Id="rId4" Type="http://schemas.openxmlformats.org/officeDocument/2006/relationships/hyperlink" Target="https://www.eca.europa.eu/ECAPublications/SR-2023-16/SR-2023-16_PT.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ohelee\AppData\Local\Microsoft\Windows\INetCache\Content.Outlook\DEERG5ZQ\Quarterly%20and%20semi-annual%20report%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869531763880728E-2"/>
          <c:y val="4.5379537953795381E-2"/>
          <c:w val="0.89284028118244585"/>
          <c:h val="0.74970180088875027"/>
        </c:manualLayout>
      </c:layout>
      <c:lineChart>
        <c:grouping val="standard"/>
        <c:varyColors val="0"/>
        <c:ser>
          <c:idx val="0"/>
          <c:order val="0"/>
          <c:tx>
            <c:strRef>
              <c:f>Data!$B$1</c:f>
              <c:strCache>
                <c:ptCount val="1"/>
                <c:pt idx="0">
                  <c:v>EU 10y yield</c:v>
                </c:pt>
              </c:strCache>
            </c:strRef>
          </c:tx>
          <c:spPr>
            <a:ln w="28575" cap="rnd">
              <a:solidFill>
                <a:schemeClr val="accent1"/>
              </a:solidFill>
              <a:round/>
            </a:ln>
            <a:effectLst/>
          </c:spPr>
          <c:marker>
            <c:symbol val="none"/>
          </c:marker>
          <c:cat>
            <c:numRef>
              <c:f>Data!$A$2:$A$249</c:f>
              <c:numCache>
                <c:formatCode>m/d/yyyy</c:formatCode>
                <c:ptCount val="248"/>
                <c:pt idx="0">
                  <c:v>45657</c:v>
                </c:pt>
                <c:pt idx="1">
                  <c:v>45656</c:v>
                </c:pt>
                <c:pt idx="2">
                  <c:v>45653</c:v>
                </c:pt>
                <c:pt idx="3">
                  <c:v>45650</c:v>
                </c:pt>
                <c:pt idx="4">
                  <c:v>45649</c:v>
                </c:pt>
                <c:pt idx="5">
                  <c:v>45646</c:v>
                </c:pt>
                <c:pt idx="6">
                  <c:v>45645</c:v>
                </c:pt>
                <c:pt idx="7">
                  <c:v>45644</c:v>
                </c:pt>
                <c:pt idx="8">
                  <c:v>45643</c:v>
                </c:pt>
                <c:pt idx="9">
                  <c:v>45642</c:v>
                </c:pt>
                <c:pt idx="10">
                  <c:v>45639</c:v>
                </c:pt>
                <c:pt idx="11">
                  <c:v>45638</c:v>
                </c:pt>
                <c:pt idx="12">
                  <c:v>45637</c:v>
                </c:pt>
                <c:pt idx="13">
                  <c:v>45636</c:v>
                </c:pt>
                <c:pt idx="14">
                  <c:v>45635</c:v>
                </c:pt>
                <c:pt idx="15">
                  <c:v>45632</c:v>
                </c:pt>
                <c:pt idx="16">
                  <c:v>45631</c:v>
                </c:pt>
                <c:pt idx="17">
                  <c:v>45630</c:v>
                </c:pt>
                <c:pt idx="18">
                  <c:v>45629</c:v>
                </c:pt>
                <c:pt idx="19">
                  <c:v>45628</c:v>
                </c:pt>
                <c:pt idx="20">
                  <c:v>45625</c:v>
                </c:pt>
                <c:pt idx="21">
                  <c:v>45624</c:v>
                </c:pt>
                <c:pt idx="22">
                  <c:v>45623</c:v>
                </c:pt>
                <c:pt idx="23">
                  <c:v>45622</c:v>
                </c:pt>
                <c:pt idx="24">
                  <c:v>45621</c:v>
                </c:pt>
                <c:pt idx="25">
                  <c:v>45618</c:v>
                </c:pt>
                <c:pt idx="26">
                  <c:v>45617</c:v>
                </c:pt>
                <c:pt idx="27">
                  <c:v>45616</c:v>
                </c:pt>
                <c:pt idx="28">
                  <c:v>45615</c:v>
                </c:pt>
                <c:pt idx="29">
                  <c:v>45614</c:v>
                </c:pt>
                <c:pt idx="30">
                  <c:v>45611</c:v>
                </c:pt>
                <c:pt idx="31">
                  <c:v>45610</c:v>
                </c:pt>
                <c:pt idx="32">
                  <c:v>45609</c:v>
                </c:pt>
                <c:pt idx="33">
                  <c:v>45608</c:v>
                </c:pt>
                <c:pt idx="34">
                  <c:v>45607</c:v>
                </c:pt>
                <c:pt idx="35">
                  <c:v>45604</c:v>
                </c:pt>
                <c:pt idx="36">
                  <c:v>45603</c:v>
                </c:pt>
                <c:pt idx="37">
                  <c:v>45602</c:v>
                </c:pt>
                <c:pt idx="38">
                  <c:v>45601</c:v>
                </c:pt>
                <c:pt idx="39">
                  <c:v>45600</c:v>
                </c:pt>
                <c:pt idx="40">
                  <c:v>45597</c:v>
                </c:pt>
                <c:pt idx="41">
                  <c:v>45596</c:v>
                </c:pt>
                <c:pt idx="42">
                  <c:v>45595</c:v>
                </c:pt>
                <c:pt idx="43">
                  <c:v>45594</c:v>
                </c:pt>
                <c:pt idx="44">
                  <c:v>45593</c:v>
                </c:pt>
                <c:pt idx="45">
                  <c:v>45590</c:v>
                </c:pt>
                <c:pt idx="46">
                  <c:v>45589</c:v>
                </c:pt>
                <c:pt idx="47">
                  <c:v>45588</c:v>
                </c:pt>
                <c:pt idx="48">
                  <c:v>45587</c:v>
                </c:pt>
                <c:pt idx="49">
                  <c:v>45586</c:v>
                </c:pt>
                <c:pt idx="50">
                  <c:v>45583</c:v>
                </c:pt>
                <c:pt idx="51">
                  <c:v>45582</c:v>
                </c:pt>
                <c:pt idx="52">
                  <c:v>45581</c:v>
                </c:pt>
                <c:pt idx="53">
                  <c:v>45580</c:v>
                </c:pt>
                <c:pt idx="54">
                  <c:v>45579</c:v>
                </c:pt>
                <c:pt idx="55">
                  <c:v>45576</c:v>
                </c:pt>
                <c:pt idx="56">
                  <c:v>45575</c:v>
                </c:pt>
                <c:pt idx="57">
                  <c:v>45574</c:v>
                </c:pt>
                <c:pt idx="58">
                  <c:v>45573</c:v>
                </c:pt>
                <c:pt idx="59">
                  <c:v>45572</c:v>
                </c:pt>
                <c:pt idx="60">
                  <c:v>45569</c:v>
                </c:pt>
                <c:pt idx="61">
                  <c:v>45568</c:v>
                </c:pt>
                <c:pt idx="62">
                  <c:v>45567</c:v>
                </c:pt>
                <c:pt idx="63">
                  <c:v>45566</c:v>
                </c:pt>
                <c:pt idx="64">
                  <c:v>45565</c:v>
                </c:pt>
                <c:pt idx="65">
                  <c:v>45562</c:v>
                </c:pt>
                <c:pt idx="66">
                  <c:v>45561</c:v>
                </c:pt>
                <c:pt idx="67">
                  <c:v>45560</c:v>
                </c:pt>
                <c:pt idx="68">
                  <c:v>45559</c:v>
                </c:pt>
                <c:pt idx="69">
                  <c:v>45558</c:v>
                </c:pt>
                <c:pt idx="70">
                  <c:v>45555</c:v>
                </c:pt>
                <c:pt idx="71">
                  <c:v>45554</c:v>
                </c:pt>
                <c:pt idx="72">
                  <c:v>45553</c:v>
                </c:pt>
                <c:pt idx="73">
                  <c:v>45552</c:v>
                </c:pt>
                <c:pt idx="74">
                  <c:v>45551</c:v>
                </c:pt>
                <c:pt idx="75">
                  <c:v>45548</c:v>
                </c:pt>
                <c:pt idx="76">
                  <c:v>45547</c:v>
                </c:pt>
                <c:pt idx="77">
                  <c:v>45546</c:v>
                </c:pt>
                <c:pt idx="78">
                  <c:v>45545</c:v>
                </c:pt>
                <c:pt idx="79">
                  <c:v>45544</c:v>
                </c:pt>
                <c:pt idx="80">
                  <c:v>45541</c:v>
                </c:pt>
                <c:pt idx="81">
                  <c:v>45540</c:v>
                </c:pt>
                <c:pt idx="82">
                  <c:v>45539</c:v>
                </c:pt>
                <c:pt idx="83">
                  <c:v>45538</c:v>
                </c:pt>
                <c:pt idx="84">
                  <c:v>45537</c:v>
                </c:pt>
                <c:pt idx="85">
                  <c:v>45534</c:v>
                </c:pt>
                <c:pt idx="86">
                  <c:v>45533</c:v>
                </c:pt>
                <c:pt idx="87">
                  <c:v>45532</c:v>
                </c:pt>
                <c:pt idx="88">
                  <c:v>45531</c:v>
                </c:pt>
                <c:pt idx="89">
                  <c:v>45530</c:v>
                </c:pt>
                <c:pt idx="90">
                  <c:v>45527</c:v>
                </c:pt>
                <c:pt idx="91">
                  <c:v>45526</c:v>
                </c:pt>
                <c:pt idx="92">
                  <c:v>45525</c:v>
                </c:pt>
                <c:pt idx="93">
                  <c:v>45524</c:v>
                </c:pt>
                <c:pt idx="94">
                  <c:v>45523</c:v>
                </c:pt>
                <c:pt idx="95">
                  <c:v>45520</c:v>
                </c:pt>
                <c:pt idx="96">
                  <c:v>45519</c:v>
                </c:pt>
                <c:pt idx="97">
                  <c:v>45518</c:v>
                </c:pt>
                <c:pt idx="98">
                  <c:v>45517</c:v>
                </c:pt>
                <c:pt idx="99">
                  <c:v>45516</c:v>
                </c:pt>
                <c:pt idx="100">
                  <c:v>45513</c:v>
                </c:pt>
                <c:pt idx="101">
                  <c:v>45512</c:v>
                </c:pt>
                <c:pt idx="102">
                  <c:v>45511</c:v>
                </c:pt>
                <c:pt idx="103">
                  <c:v>45510</c:v>
                </c:pt>
                <c:pt idx="104">
                  <c:v>45509</c:v>
                </c:pt>
                <c:pt idx="105">
                  <c:v>45506</c:v>
                </c:pt>
                <c:pt idx="106">
                  <c:v>45505</c:v>
                </c:pt>
                <c:pt idx="107">
                  <c:v>45504</c:v>
                </c:pt>
                <c:pt idx="108">
                  <c:v>45503</c:v>
                </c:pt>
                <c:pt idx="109">
                  <c:v>45502</c:v>
                </c:pt>
                <c:pt idx="110">
                  <c:v>45499</c:v>
                </c:pt>
                <c:pt idx="111">
                  <c:v>45498</c:v>
                </c:pt>
                <c:pt idx="112">
                  <c:v>45497</c:v>
                </c:pt>
                <c:pt idx="113">
                  <c:v>45496</c:v>
                </c:pt>
                <c:pt idx="114">
                  <c:v>45495</c:v>
                </c:pt>
                <c:pt idx="115">
                  <c:v>45492</c:v>
                </c:pt>
                <c:pt idx="116">
                  <c:v>45491</c:v>
                </c:pt>
                <c:pt idx="117">
                  <c:v>45490</c:v>
                </c:pt>
                <c:pt idx="118">
                  <c:v>45489</c:v>
                </c:pt>
                <c:pt idx="119">
                  <c:v>45488</c:v>
                </c:pt>
                <c:pt idx="120">
                  <c:v>45485</c:v>
                </c:pt>
                <c:pt idx="121">
                  <c:v>45484</c:v>
                </c:pt>
                <c:pt idx="122">
                  <c:v>45483</c:v>
                </c:pt>
                <c:pt idx="123">
                  <c:v>45482</c:v>
                </c:pt>
                <c:pt idx="124">
                  <c:v>45481</c:v>
                </c:pt>
                <c:pt idx="125">
                  <c:v>45478</c:v>
                </c:pt>
                <c:pt idx="126">
                  <c:v>45477</c:v>
                </c:pt>
                <c:pt idx="127">
                  <c:v>45476</c:v>
                </c:pt>
                <c:pt idx="128">
                  <c:v>45475</c:v>
                </c:pt>
                <c:pt idx="129">
                  <c:v>45474</c:v>
                </c:pt>
                <c:pt idx="130">
                  <c:v>45471</c:v>
                </c:pt>
                <c:pt idx="131">
                  <c:v>45470</c:v>
                </c:pt>
                <c:pt idx="132">
                  <c:v>45469</c:v>
                </c:pt>
                <c:pt idx="133">
                  <c:v>45468</c:v>
                </c:pt>
                <c:pt idx="134">
                  <c:v>45467</c:v>
                </c:pt>
                <c:pt idx="135">
                  <c:v>45464</c:v>
                </c:pt>
                <c:pt idx="136">
                  <c:v>45463</c:v>
                </c:pt>
                <c:pt idx="137">
                  <c:v>45462</c:v>
                </c:pt>
                <c:pt idx="138">
                  <c:v>45461</c:v>
                </c:pt>
                <c:pt idx="139">
                  <c:v>45460</c:v>
                </c:pt>
                <c:pt idx="140">
                  <c:v>45457</c:v>
                </c:pt>
                <c:pt idx="141">
                  <c:v>45456</c:v>
                </c:pt>
                <c:pt idx="142">
                  <c:v>45455</c:v>
                </c:pt>
                <c:pt idx="143">
                  <c:v>45454</c:v>
                </c:pt>
                <c:pt idx="144">
                  <c:v>45453</c:v>
                </c:pt>
                <c:pt idx="145">
                  <c:v>45450</c:v>
                </c:pt>
                <c:pt idx="146">
                  <c:v>45449</c:v>
                </c:pt>
                <c:pt idx="147">
                  <c:v>45448</c:v>
                </c:pt>
                <c:pt idx="148">
                  <c:v>45447</c:v>
                </c:pt>
                <c:pt idx="149">
                  <c:v>45446</c:v>
                </c:pt>
                <c:pt idx="150">
                  <c:v>45443</c:v>
                </c:pt>
                <c:pt idx="151">
                  <c:v>45442</c:v>
                </c:pt>
                <c:pt idx="152">
                  <c:v>45441</c:v>
                </c:pt>
                <c:pt idx="153">
                  <c:v>45440</c:v>
                </c:pt>
                <c:pt idx="154">
                  <c:v>45439</c:v>
                </c:pt>
                <c:pt idx="155">
                  <c:v>45436</c:v>
                </c:pt>
                <c:pt idx="156">
                  <c:v>45435</c:v>
                </c:pt>
                <c:pt idx="157">
                  <c:v>45434</c:v>
                </c:pt>
                <c:pt idx="158">
                  <c:v>45433</c:v>
                </c:pt>
                <c:pt idx="159">
                  <c:v>45432</c:v>
                </c:pt>
                <c:pt idx="160">
                  <c:v>45429</c:v>
                </c:pt>
                <c:pt idx="161">
                  <c:v>45428</c:v>
                </c:pt>
                <c:pt idx="162">
                  <c:v>45427</c:v>
                </c:pt>
                <c:pt idx="163">
                  <c:v>45426</c:v>
                </c:pt>
                <c:pt idx="164">
                  <c:v>45425</c:v>
                </c:pt>
                <c:pt idx="165">
                  <c:v>45422</c:v>
                </c:pt>
                <c:pt idx="166">
                  <c:v>45421</c:v>
                </c:pt>
                <c:pt idx="167">
                  <c:v>45420</c:v>
                </c:pt>
                <c:pt idx="168">
                  <c:v>45419</c:v>
                </c:pt>
                <c:pt idx="169">
                  <c:v>45418</c:v>
                </c:pt>
                <c:pt idx="170">
                  <c:v>45415</c:v>
                </c:pt>
                <c:pt idx="171">
                  <c:v>45414</c:v>
                </c:pt>
                <c:pt idx="172">
                  <c:v>45412</c:v>
                </c:pt>
                <c:pt idx="173">
                  <c:v>45411</c:v>
                </c:pt>
                <c:pt idx="174">
                  <c:v>45408</c:v>
                </c:pt>
                <c:pt idx="175">
                  <c:v>45407</c:v>
                </c:pt>
                <c:pt idx="176">
                  <c:v>45406</c:v>
                </c:pt>
                <c:pt idx="177">
                  <c:v>45405</c:v>
                </c:pt>
                <c:pt idx="178">
                  <c:v>45404</c:v>
                </c:pt>
                <c:pt idx="179">
                  <c:v>45401</c:v>
                </c:pt>
                <c:pt idx="180">
                  <c:v>45400</c:v>
                </c:pt>
                <c:pt idx="181">
                  <c:v>45399</c:v>
                </c:pt>
                <c:pt idx="182">
                  <c:v>45398</c:v>
                </c:pt>
                <c:pt idx="183">
                  <c:v>45397</c:v>
                </c:pt>
                <c:pt idx="184">
                  <c:v>45394</c:v>
                </c:pt>
                <c:pt idx="185">
                  <c:v>45393</c:v>
                </c:pt>
                <c:pt idx="186">
                  <c:v>45392</c:v>
                </c:pt>
                <c:pt idx="187">
                  <c:v>45391</c:v>
                </c:pt>
                <c:pt idx="188">
                  <c:v>45390</c:v>
                </c:pt>
                <c:pt idx="189">
                  <c:v>45387</c:v>
                </c:pt>
                <c:pt idx="190">
                  <c:v>45386</c:v>
                </c:pt>
                <c:pt idx="191">
                  <c:v>45385</c:v>
                </c:pt>
                <c:pt idx="192">
                  <c:v>45384</c:v>
                </c:pt>
                <c:pt idx="193">
                  <c:v>45379</c:v>
                </c:pt>
                <c:pt idx="194">
                  <c:v>45378</c:v>
                </c:pt>
                <c:pt idx="195">
                  <c:v>45377</c:v>
                </c:pt>
                <c:pt idx="196">
                  <c:v>45376</c:v>
                </c:pt>
                <c:pt idx="197">
                  <c:v>45373</c:v>
                </c:pt>
                <c:pt idx="198">
                  <c:v>45372</c:v>
                </c:pt>
                <c:pt idx="199">
                  <c:v>45371</c:v>
                </c:pt>
                <c:pt idx="200">
                  <c:v>45370</c:v>
                </c:pt>
                <c:pt idx="201">
                  <c:v>45369</c:v>
                </c:pt>
                <c:pt idx="202">
                  <c:v>45366</c:v>
                </c:pt>
                <c:pt idx="203">
                  <c:v>45365</c:v>
                </c:pt>
                <c:pt idx="204">
                  <c:v>45364</c:v>
                </c:pt>
                <c:pt idx="205">
                  <c:v>45363</c:v>
                </c:pt>
                <c:pt idx="206">
                  <c:v>45362</c:v>
                </c:pt>
                <c:pt idx="207">
                  <c:v>45359</c:v>
                </c:pt>
                <c:pt idx="208">
                  <c:v>45358</c:v>
                </c:pt>
                <c:pt idx="209">
                  <c:v>45357</c:v>
                </c:pt>
                <c:pt idx="210">
                  <c:v>45356</c:v>
                </c:pt>
                <c:pt idx="211">
                  <c:v>45355</c:v>
                </c:pt>
                <c:pt idx="212">
                  <c:v>45352</c:v>
                </c:pt>
                <c:pt idx="213">
                  <c:v>45351</c:v>
                </c:pt>
                <c:pt idx="214">
                  <c:v>45350</c:v>
                </c:pt>
                <c:pt idx="215">
                  <c:v>45349</c:v>
                </c:pt>
                <c:pt idx="216">
                  <c:v>45348</c:v>
                </c:pt>
                <c:pt idx="217">
                  <c:v>45345</c:v>
                </c:pt>
                <c:pt idx="218">
                  <c:v>45344</c:v>
                </c:pt>
                <c:pt idx="219">
                  <c:v>45343</c:v>
                </c:pt>
                <c:pt idx="220">
                  <c:v>45342</c:v>
                </c:pt>
                <c:pt idx="221">
                  <c:v>45341</c:v>
                </c:pt>
                <c:pt idx="222">
                  <c:v>45338</c:v>
                </c:pt>
                <c:pt idx="223">
                  <c:v>45337</c:v>
                </c:pt>
                <c:pt idx="224">
                  <c:v>45336</c:v>
                </c:pt>
                <c:pt idx="225">
                  <c:v>45335</c:v>
                </c:pt>
                <c:pt idx="226">
                  <c:v>45334</c:v>
                </c:pt>
                <c:pt idx="227">
                  <c:v>45331</c:v>
                </c:pt>
                <c:pt idx="228">
                  <c:v>45330</c:v>
                </c:pt>
                <c:pt idx="229">
                  <c:v>45329</c:v>
                </c:pt>
                <c:pt idx="230">
                  <c:v>45328</c:v>
                </c:pt>
                <c:pt idx="231">
                  <c:v>45327</c:v>
                </c:pt>
                <c:pt idx="232">
                  <c:v>45324</c:v>
                </c:pt>
                <c:pt idx="233">
                  <c:v>45323</c:v>
                </c:pt>
                <c:pt idx="234">
                  <c:v>45322</c:v>
                </c:pt>
                <c:pt idx="235">
                  <c:v>45321</c:v>
                </c:pt>
                <c:pt idx="236">
                  <c:v>45320</c:v>
                </c:pt>
                <c:pt idx="237">
                  <c:v>45317</c:v>
                </c:pt>
                <c:pt idx="238">
                  <c:v>45316</c:v>
                </c:pt>
                <c:pt idx="239">
                  <c:v>45315</c:v>
                </c:pt>
                <c:pt idx="240">
                  <c:v>45314</c:v>
                </c:pt>
                <c:pt idx="241">
                  <c:v>45313</c:v>
                </c:pt>
                <c:pt idx="242">
                  <c:v>45310</c:v>
                </c:pt>
                <c:pt idx="243">
                  <c:v>45309</c:v>
                </c:pt>
                <c:pt idx="244">
                  <c:v>45308</c:v>
                </c:pt>
                <c:pt idx="245">
                  <c:v>45307</c:v>
                </c:pt>
                <c:pt idx="246">
                  <c:v>45306</c:v>
                </c:pt>
                <c:pt idx="247">
                  <c:v>45303</c:v>
                </c:pt>
              </c:numCache>
            </c:numRef>
          </c:cat>
          <c:val>
            <c:numRef>
              <c:f>Data!$B$2:$B$249</c:f>
              <c:numCache>
                <c:formatCode>General</c:formatCode>
                <c:ptCount val="248"/>
                <c:pt idx="0">
                  <c:v>2.9020000000000001</c:v>
                </c:pt>
                <c:pt idx="1">
                  <c:v>2.9020000000000001</c:v>
                </c:pt>
                <c:pt idx="2">
                  <c:v>2.9289999999999998</c:v>
                </c:pt>
                <c:pt idx="3">
                  <c:v>2.863</c:v>
                </c:pt>
                <c:pt idx="4">
                  <c:v>2.863</c:v>
                </c:pt>
                <c:pt idx="5">
                  <c:v>2.823</c:v>
                </c:pt>
                <c:pt idx="6">
                  <c:v>2.8359999999999999</c:v>
                </c:pt>
                <c:pt idx="7">
                  <c:v>2.7709999999999999</c:v>
                </c:pt>
                <c:pt idx="8">
                  <c:v>2.7440000000000002</c:v>
                </c:pt>
                <c:pt idx="9">
                  <c:v>2.76</c:v>
                </c:pt>
                <c:pt idx="10">
                  <c:v>2.77</c:v>
                </c:pt>
                <c:pt idx="11">
                  <c:v>2.718</c:v>
                </c:pt>
                <c:pt idx="12">
                  <c:v>2.641</c:v>
                </c:pt>
                <c:pt idx="13">
                  <c:v>2.6240000000000001</c:v>
                </c:pt>
                <c:pt idx="14">
                  <c:v>2.625</c:v>
                </c:pt>
                <c:pt idx="15">
                  <c:v>2.605</c:v>
                </c:pt>
                <c:pt idx="16">
                  <c:v>2.6309999999999998</c:v>
                </c:pt>
                <c:pt idx="17">
                  <c:v>2.6190000000000002</c:v>
                </c:pt>
                <c:pt idx="18">
                  <c:v>2.6139999999999999</c:v>
                </c:pt>
                <c:pt idx="19">
                  <c:v>2.609</c:v>
                </c:pt>
                <c:pt idx="20">
                  <c:v>2.6539999999999999</c:v>
                </c:pt>
                <c:pt idx="21">
                  <c:v>2.7</c:v>
                </c:pt>
                <c:pt idx="22">
                  <c:v>2.734</c:v>
                </c:pt>
                <c:pt idx="23">
                  <c:v>2.7669999999999999</c:v>
                </c:pt>
                <c:pt idx="24">
                  <c:v>2.778</c:v>
                </c:pt>
                <c:pt idx="25">
                  <c:v>2.8050000000000002</c:v>
                </c:pt>
                <c:pt idx="26">
                  <c:v>2.9009999999999998</c:v>
                </c:pt>
                <c:pt idx="27">
                  <c:v>2.9159999999999999</c:v>
                </c:pt>
                <c:pt idx="28">
                  <c:v>2.8889999999999998</c:v>
                </c:pt>
                <c:pt idx="29">
                  <c:v>2.9020000000000001</c:v>
                </c:pt>
                <c:pt idx="30">
                  <c:v>2.8730000000000002</c:v>
                </c:pt>
                <c:pt idx="31">
                  <c:v>2.8730000000000002</c:v>
                </c:pt>
                <c:pt idx="32">
                  <c:v>2.9340000000000002</c:v>
                </c:pt>
                <c:pt idx="33">
                  <c:v>2.919</c:v>
                </c:pt>
                <c:pt idx="34">
                  <c:v>2.89</c:v>
                </c:pt>
                <c:pt idx="35">
                  <c:v>2.9540000000000002</c:v>
                </c:pt>
                <c:pt idx="36">
                  <c:v>3.0430000000000001</c:v>
                </c:pt>
                <c:pt idx="37">
                  <c:v>3.008</c:v>
                </c:pt>
                <c:pt idx="38">
                  <c:v>3.024</c:v>
                </c:pt>
                <c:pt idx="39">
                  <c:v>2.9990000000000001</c:v>
                </c:pt>
                <c:pt idx="40">
                  <c:v>2.992</c:v>
                </c:pt>
                <c:pt idx="41">
                  <c:v>2.988</c:v>
                </c:pt>
                <c:pt idx="42">
                  <c:v>2.9780000000000002</c:v>
                </c:pt>
                <c:pt idx="43">
                  <c:v>2.9209999999999998</c:v>
                </c:pt>
                <c:pt idx="44">
                  <c:v>2.89</c:v>
                </c:pt>
                <c:pt idx="45">
                  <c:v>2.89</c:v>
                </c:pt>
                <c:pt idx="46">
                  <c:v>2.8570000000000002</c:v>
                </c:pt>
                <c:pt idx="47">
                  <c:v>2.9</c:v>
                </c:pt>
                <c:pt idx="48">
                  <c:v>2.9239999999999999</c:v>
                </c:pt>
                <c:pt idx="49">
                  <c:v>2.8940000000000001</c:v>
                </c:pt>
                <c:pt idx="50">
                  <c:v>2.7959999999999998</c:v>
                </c:pt>
                <c:pt idx="51">
                  <c:v>2.8250000000000002</c:v>
                </c:pt>
                <c:pt idx="52">
                  <c:v>2.8010000000000002</c:v>
                </c:pt>
                <c:pt idx="53">
                  <c:v>2.835</c:v>
                </c:pt>
                <c:pt idx="54">
                  <c:v>2.9</c:v>
                </c:pt>
                <c:pt idx="55">
                  <c:v>2.8980000000000001</c:v>
                </c:pt>
                <c:pt idx="56">
                  <c:v>2.8940000000000001</c:v>
                </c:pt>
                <c:pt idx="57">
                  <c:v>2.8969999999999998</c:v>
                </c:pt>
                <c:pt idx="58">
                  <c:v>2.87</c:v>
                </c:pt>
                <c:pt idx="59">
                  <c:v>2.8820000000000001</c:v>
                </c:pt>
                <c:pt idx="60">
                  <c:v>2.8290000000000002</c:v>
                </c:pt>
                <c:pt idx="61">
                  <c:v>2.7829999999999999</c:v>
                </c:pt>
                <c:pt idx="62">
                  <c:v>2.7269999999999999</c:v>
                </c:pt>
                <c:pt idx="63">
                  <c:v>2.665</c:v>
                </c:pt>
                <c:pt idx="64">
                  <c:v>2.7639999999999998</c:v>
                </c:pt>
                <c:pt idx="65">
                  <c:v>2.7749999999999999</c:v>
                </c:pt>
                <c:pt idx="66">
                  <c:v>2.8370000000000002</c:v>
                </c:pt>
                <c:pt idx="67">
                  <c:v>2.8210000000000002</c:v>
                </c:pt>
                <c:pt idx="68">
                  <c:v>2.7959999999999998</c:v>
                </c:pt>
                <c:pt idx="69">
                  <c:v>2.798</c:v>
                </c:pt>
                <c:pt idx="70">
                  <c:v>2.8250000000000002</c:v>
                </c:pt>
                <c:pt idx="71">
                  <c:v>2.8159999999999998</c:v>
                </c:pt>
                <c:pt idx="72">
                  <c:v>2.8</c:v>
                </c:pt>
                <c:pt idx="73">
                  <c:v>2.7519999999999998</c:v>
                </c:pt>
                <c:pt idx="74">
                  <c:v>2.7290000000000001</c:v>
                </c:pt>
                <c:pt idx="75">
                  <c:v>2.758</c:v>
                </c:pt>
                <c:pt idx="76">
                  <c:v>2.7519999999999998</c:v>
                </c:pt>
                <c:pt idx="77">
                  <c:v>2.7170000000000001</c:v>
                </c:pt>
                <c:pt idx="78">
                  <c:v>2.7290000000000001</c:v>
                </c:pt>
                <c:pt idx="79">
                  <c:v>2.7570000000000001</c:v>
                </c:pt>
                <c:pt idx="80">
                  <c:v>2.7530000000000001</c:v>
                </c:pt>
                <c:pt idx="81">
                  <c:v>2.7919999999999998</c:v>
                </c:pt>
                <c:pt idx="82">
                  <c:v>2.823</c:v>
                </c:pt>
                <c:pt idx="83">
                  <c:v>2.87</c:v>
                </c:pt>
                <c:pt idx="84">
                  <c:v>2.92</c:v>
                </c:pt>
                <c:pt idx="85">
                  <c:v>2.8839999999999999</c:v>
                </c:pt>
                <c:pt idx="86">
                  <c:v>2.8559999999999999</c:v>
                </c:pt>
                <c:pt idx="87">
                  <c:v>2.8490000000000002</c:v>
                </c:pt>
                <c:pt idx="88">
                  <c:v>2.879</c:v>
                </c:pt>
                <c:pt idx="89">
                  <c:v>2.84</c:v>
                </c:pt>
                <c:pt idx="90">
                  <c:v>2.823</c:v>
                </c:pt>
                <c:pt idx="91">
                  <c:v>2.8420000000000001</c:v>
                </c:pt>
                <c:pt idx="92">
                  <c:v>2.7930000000000001</c:v>
                </c:pt>
                <c:pt idx="93">
                  <c:v>2.806</c:v>
                </c:pt>
                <c:pt idx="94">
                  <c:v>2.8370000000000002</c:v>
                </c:pt>
                <c:pt idx="95">
                  <c:v>2.8340000000000001</c:v>
                </c:pt>
                <c:pt idx="96">
                  <c:v>2.8319999999999999</c:v>
                </c:pt>
                <c:pt idx="97">
                  <c:v>2.7610000000000001</c:v>
                </c:pt>
                <c:pt idx="98">
                  <c:v>2.778</c:v>
                </c:pt>
                <c:pt idx="99">
                  <c:v>2.8220000000000001</c:v>
                </c:pt>
                <c:pt idx="100">
                  <c:v>2.8279999999999998</c:v>
                </c:pt>
                <c:pt idx="101">
                  <c:v>2.8679999999999999</c:v>
                </c:pt>
                <c:pt idx="102">
                  <c:v>2.8660000000000001</c:v>
                </c:pt>
                <c:pt idx="103">
                  <c:v>2.8210000000000002</c:v>
                </c:pt>
                <c:pt idx="104">
                  <c:v>2.8359999999999999</c:v>
                </c:pt>
                <c:pt idx="105">
                  <c:v>2.8029999999999999</c:v>
                </c:pt>
                <c:pt idx="106">
                  <c:v>2.847</c:v>
                </c:pt>
                <c:pt idx="107">
                  <c:v>2.8820000000000001</c:v>
                </c:pt>
                <c:pt idx="108">
                  <c:v>2.9169999999999998</c:v>
                </c:pt>
                <c:pt idx="109">
                  <c:v>2.9390000000000001</c:v>
                </c:pt>
                <c:pt idx="110">
                  <c:v>2.9849999999999999</c:v>
                </c:pt>
                <c:pt idx="111">
                  <c:v>2.9969999999999999</c:v>
                </c:pt>
                <c:pt idx="112">
                  <c:v>3.0190000000000001</c:v>
                </c:pt>
                <c:pt idx="113">
                  <c:v>3.004</c:v>
                </c:pt>
                <c:pt idx="114">
                  <c:v>3.0379999999999998</c:v>
                </c:pt>
                <c:pt idx="115">
                  <c:v>3.0139999999999998</c:v>
                </c:pt>
                <c:pt idx="116">
                  <c:v>2.99</c:v>
                </c:pt>
                <c:pt idx="117">
                  <c:v>2.988</c:v>
                </c:pt>
                <c:pt idx="118">
                  <c:v>2.9950000000000001</c:v>
                </c:pt>
                <c:pt idx="119">
                  <c:v>3.0430000000000001</c:v>
                </c:pt>
                <c:pt idx="120">
                  <c:v>3.0609999999999999</c:v>
                </c:pt>
                <c:pt idx="121">
                  <c:v>3.03</c:v>
                </c:pt>
                <c:pt idx="122">
                  <c:v>3.09</c:v>
                </c:pt>
                <c:pt idx="123">
                  <c:v>3.14</c:v>
                </c:pt>
                <c:pt idx="124">
                  <c:v>3.101</c:v>
                </c:pt>
                <c:pt idx="125">
                  <c:v>3.1179999999999999</c:v>
                </c:pt>
                <c:pt idx="126">
                  <c:v>3.169</c:v>
                </c:pt>
                <c:pt idx="127">
                  <c:v>3.1539999999999999</c:v>
                </c:pt>
                <c:pt idx="128">
                  <c:v>3.1989999999999998</c:v>
                </c:pt>
                <c:pt idx="129">
                  <c:v>3.2269999999999999</c:v>
                </c:pt>
                <c:pt idx="130">
                  <c:v>3.173</c:v>
                </c:pt>
                <c:pt idx="131">
                  <c:v>3.129</c:v>
                </c:pt>
                <c:pt idx="132">
                  <c:v>3.11</c:v>
                </c:pt>
                <c:pt idx="133">
                  <c:v>3.0649999999999999</c:v>
                </c:pt>
                <c:pt idx="134">
                  <c:v>3.073</c:v>
                </c:pt>
                <c:pt idx="135">
                  <c:v>3.0659999999999998</c:v>
                </c:pt>
                <c:pt idx="136">
                  <c:v>3.0659999999999998</c:v>
                </c:pt>
                <c:pt idx="137">
                  <c:v>3.0569999999999999</c:v>
                </c:pt>
                <c:pt idx="138">
                  <c:v>3.03</c:v>
                </c:pt>
                <c:pt idx="139">
                  <c:v>3.07</c:v>
                </c:pt>
                <c:pt idx="140">
                  <c:v>3.0489999999999999</c:v>
                </c:pt>
                <c:pt idx="141">
                  <c:v>3.0859999999999999</c:v>
                </c:pt>
                <c:pt idx="142">
                  <c:v>3.085</c:v>
                </c:pt>
                <c:pt idx="143">
                  <c:v>3.1629999999999998</c:v>
                </c:pt>
                <c:pt idx="144">
                  <c:v>3.1779999999999999</c:v>
                </c:pt>
                <c:pt idx="145">
                  <c:v>3.09</c:v>
                </c:pt>
                <c:pt idx="146">
                  <c:v>3.0329999999999999</c:v>
                </c:pt>
                <c:pt idx="147">
                  <c:v>3.0169999999999999</c:v>
                </c:pt>
                <c:pt idx="148">
                  <c:v>3.0430000000000001</c:v>
                </c:pt>
                <c:pt idx="149">
                  <c:v>3.069</c:v>
                </c:pt>
                <c:pt idx="150">
                  <c:v>3.1429999999999998</c:v>
                </c:pt>
                <c:pt idx="151">
                  <c:v>3.1309999999999998</c:v>
                </c:pt>
                <c:pt idx="152">
                  <c:v>3.1709999999999998</c:v>
                </c:pt>
                <c:pt idx="153">
                  <c:v>3.0870000000000002</c:v>
                </c:pt>
                <c:pt idx="154">
                  <c:v>3.0470000000000002</c:v>
                </c:pt>
                <c:pt idx="155">
                  <c:v>3.0640000000000001</c:v>
                </c:pt>
                <c:pt idx="156">
                  <c:v>3.0590000000000002</c:v>
                </c:pt>
                <c:pt idx="157">
                  <c:v>3.012</c:v>
                </c:pt>
                <c:pt idx="158">
                  <c:v>2.984</c:v>
                </c:pt>
                <c:pt idx="159">
                  <c:v>3.0129999999999999</c:v>
                </c:pt>
                <c:pt idx="160">
                  <c:v>3.0049999999999999</c:v>
                </c:pt>
                <c:pt idx="161">
                  <c:v>2.9729999999999999</c:v>
                </c:pt>
                <c:pt idx="162">
                  <c:v>2.9430000000000001</c:v>
                </c:pt>
                <c:pt idx="163">
                  <c:v>3.052</c:v>
                </c:pt>
                <c:pt idx="164">
                  <c:v>2.9969999999999999</c:v>
                </c:pt>
                <c:pt idx="165">
                  <c:v>2.9969999999999999</c:v>
                </c:pt>
                <c:pt idx="166">
                  <c:v>2.9889999999999999</c:v>
                </c:pt>
                <c:pt idx="167">
                  <c:v>2.9550000000000001</c:v>
                </c:pt>
                <c:pt idx="168">
                  <c:v>2.9510000000000001</c:v>
                </c:pt>
                <c:pt idx="169">
                  <c:v>3.0179999999999998</c:v>
                </c:pt>
                <c:pt idx="170">
                  <c:v>3.0369999999999999</c:v>
                </c:pt>
                <c:pt idx="171">
                  <c:v>3.0760000000000001</c:v>
                </c:pt>
                <c:pt idx="172">
                  <c:v>3.1059999999999999</c:v>
                </c:pt>
                <c:pt idx="173">
                  <c:v>3.0550000000000002</c:v>
                </c:pt>
                <c:pt idx="174">
                  <c:v>3.101</c:v>
                </c:pt>
                <c:pt idx="175">
                  <c:v>3.1579999999999999</c:v>
                </c:pt>
                <c:pt idx="176">
                  <c:v>3.161</c:v>
                </c:pt>
                <c:pt idx="177">
                  <c:v>3.089</c:v>
                </c:pt>
                <c:pt idx="178">
                  <c:v>3.0760000000000001</c:v>
                </c:pt>
                <c:pt idx="179">
                  <c:v>3.0830000000000002</c:v>
                </c:pt>
                <c:pt idx="180">
                  <c:v>3.0920000000000001</c:v>
                </c:pt>
                <c:pt idx="181">
                  <c:v>3.052</c:v>
                </c:pt>
                <c:pt idx="182">
                  <c:v>3.0939999999999999</c:v>
                </c:pt>
                <c:pt idx="183">
                  <c:v>3.05</c:v>
                </c:pt>
                <c:pt idx="184">
                  <c:v>2.9790000000000001</c:v>
                </c:pt>
                <c:pt idx="185">
                  <c:v>3.0710000000000002</c:v>
                </c:pt>
                <c:pt idx="186">
                  <c:v>3.04</c:v>
                </c:pt>
                <c:pt idx="187">
                  <c:v>2.9790000000000001</c:v>
                </c:pt>
                <c:pt idx="188">
                  <c:v>3.0030000000000001</c:v>
                </c:pt>
                <c:pt idx="189">
                  <c:v>2.9790000000000001</c:v>
                </c:pt>
                <c:pt idx="190">
                  <c:v>2.9369999999999998</c:v>
                </c:pt>
                <c:pt idx="191">
                  <c:v>2.9830000000000001</c:v>
                </c:pt>
                <c:pt idx="192">
                  <c:v>2.984</c:v>
                </c:pt>
                <c:pt idx="193">
                  <c:v>2.8719999999999999</c:v>
                </c:pt>
                <c:pt idx="194">
                  <c:v>2.8660000000000001</c:v>
                </c:pt>
                <c:pt idx="195">
                  <c:v>2.9049999999999998</c:v>
                </c:pt>
                <c:pt idx="196">
                  <c:v>2.931</c:v>
                </c:pt>
                <c:pt idx="197">
                  <c:v>2.8860000000000001</c:v>
                </c:pt>
                <c:pt idx="198">
                  <c:v>2.9420000000000002</c:v>
                </c:pt>
                <c:pt idx="199">
                  <c:v>2.964</c:v>
                </c:pt>
                <c:pt idx="200">
                  <c:v>2.98</c:v>
                </c:pt>
                <c:pt idx="201">
                  <c:v>2.99</c:v>
                </c:pt>
                <c:pt idx="202">
                  <c:v>2.9809999999999999</c:v>
                </c:pt>
                <c:pt idx="203">
                  <c:v>2.9649999999999999</c:v>
                </c:pt>
                <c:pt idx="204">
                  <c:v>2.9060000000000001</c:v>
                </c:pt>
                <c:pt idx="205">
                  <c:v>2.871</c:v>
                </c:pt>
                <c:pt idx="206">
                  <c:v>2.855</c:v>
                </c:pt>
                <c:pt idx="207">
                  <c:v>2.819</c:v>
                </c:pt>
                <c:pt idx="208">
                  <c:v>2.8650000000000002</c:v>
                </c:pt>
                <c:pt idx="209">
                  <c:v>2.8940000000000001</c:v>
                </c:pt>
                <c:pt idx="210">
                  <c:v>2.9060000000000001</c:v>
                </c:pt>
                <c:pt idx="211">
                  <c:v>2.9769999999999999</c:v>
                </c:pt>
                <c:pt idx="212">
                  <c:v>3.0030000000000001</c:v>
                </c:pt>
                <c:pt idx="213">
                  <c:v>2.9830000000000001</c:v>
                </c:pt>
                <c:pt idx="214">
                  <c:v>3.0379999999999998</c:v>
                </c:pt>
                <c:pt idx="215">
                  <c:v>3.05</c:v>
                </c:pt>
                <c:pt idx="216">
                  <c:v>3.0329999999999999</c:v>
                </c:pt>
                <c:pt idx="217">
                  <c:v>2.9540000000000002</c:v>
                </c:pt>
                <c:pt idx="218">
                  <c:v>3.03</c:v>
                </c:pt>
                <c:pt idx="219">
                  <c:v>3.0379999999999998</c:v>
                </c:pt>
                <c:pt idx="220">
                  <c:v>2.976</c:v>
                </c:pt>
                <c:pt idx="221">
                  <c:v>3.016</c:v>
                </c:pt>
                <c:pt idx="222">
                  <c:v>3.0089999999999999</c:v>
                </c:pt>
                <c:pt idx="223">
                  <c:v>2.9769999999999999</c:v>
                </c:pt>
                <c:pt idx="224">
                  <c:v>2.9580000000000002</c:v>
                </c:pt>
                <c:pt idx="225">
                  <c:v>3.0259999999999998</c:v>
                </c:pt>
                <c:pt idx="226">
                  <c:v>2.9969999999999999</c:v>
                </c:pt>
                <c:pt idx="227">
                  <c:v>3.0369999999999999</c:v>
                </c:pt>
                <c:pt idx="228">
                  <c:v>3.012</c:v>
                </c:pt>
                <c:pt idx="229">
                  <c:v>2.9769999999999999</c:v>
                </c:pt>
                <c:pt idx="230">
                  <c:v>2.9510000000000001</c:v>
                </c:pt>
                <c:pt idx="231">
                  <c:v>2.9670000000000001</c:v>
                </c:pt>
                <c:pt idx="232">
                  <c:v>2.883</c:v>
                </c:pt>
                <c:pt idx="233">
                  <c:v>2.802</c:v>
                </c:pt>
                <c:pt idx="234">
                  <c:v>2.8170000000000002</c:v>
                </c:pt>
                <c:pt idx="235">
                  <c:v>2.8959999999999999</c:v>
                </c:pt>
                <c:pt idx="236">
                  <c:v>2.86</c:v>
                </c:pt>
                <c:pt idx="237">
                  <c:v>2.919</c:v>
                </c:pt>
                <c:pt idx="238">
                  <c:v>2.9129999999999998</c:v>
                </c:pt>
                <c:pt idx="239">
                  <c:v>2.9689999999999999</c:v>
                </c:pt>
                <c:pt idx="240">
                  <c:v>2.9830000000000001</c:v>
                </c:pt>
                <c:pt idx="241">
                  <c:v>2.9220000000000002</c:v>
                </c:pt>
                <c:pt idx="242">
                  <c:v>2.9740000000000002</c:v>
                </c:pt>
                <c:pt idx="243">
                  <c:v>2.9870000000000001</c:v>
                </c:pt>
                <c:pt idx="244">
                  <c:v>2.931</c:v>
                </c:pt>
                <c:pt idx="245">
                  <c:v>2.8889999999999998</c:v>
                </c:pt>
                <c:pt idx="246">
                  <c:v>2.86</c:v>
                </c:pt>
                <c:pt idx="247">
                  <c:v>2.8260000000000001</c:v>
                </c:pt>
              </c:numCache>
            </c:numRef>
          </c:val>
          <c:smooth val="0"/>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C06E-46D1-A927-45AB9DAB9828}"/>
            </c:ext>
          </c:extLst>
        </c:ser>
        <c:dLbls>
          <c:showLegendKey val="0"/>
          <c:showVal val="0"/>
          <c:showCatName val="0"/>
          <c:showSerName val="0"/>
          <c:showPercent val="0"/>
          <c:showBubbleSize val="0"/>
        </c:dLbls>
        <c:smooth val="0"/>
        <c:axId val="1189277823"/>
        <c:axId val="1189280703"/>
      </c:lineChart>
      <c:dateAx>
        <c:axId val="1189277823"/>
        <c:scaling>
          <c:orientation val="minMax"/>
          <c:max val="45658"/>
          <c:min val="45292"/>
        </c:scaling>
        <c:delete val="0"/>
        <c:axPos val="b"/>
        <c:numFmt formatCode="m/d/yyyy"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80703"/>
        <c:crosses val="autoZero"/>
        <c:auto val="1"/>
        <c:lblOffset val="100"/>
        <c:baseTimeUnit val="days"/>
      </c:dateAx>
      <c:valAx>
        <c:axId val="1189280703"/>
        <c:scaling>
          <c:orientation val="minMax"/>
          <c:min val="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77823"/>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emi Annual">
      <a:dk1>
        <a:sysClr val="windowText" lastClr="000000"/>
      </a:dk1>
      <a:lt1>
        <a:sysClr val="window" lastClr="FFFFFF"/>
      </a:lt1>
      <a:dk2>
        <a:srgbClr val="44546A"/>
      </a:dk2>
      <a:lt2>
        <a:srgbClr val="E7E6E6"/>
      </a:lt2>
      <a:accent1>
        <a:srgbClr val="034EA2"/>
      </a:accent1>
      <a:accent2>
        <a:srgbClr val="70AD47"/>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fb9e4e-9a17-43c4-891a-079bfb0a02b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68ce457-625d-4aa4-9b00-ade22038be2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84981D676F7469FB7985B8196FE05" ma:contentTypeVersion="11" ma:contentTypeDescription="Create a new document." ma:contentTypeScope="" ma:versionID="cbdbc34adac4f579b59f992811bf0ebd">
  <xsd:schema xmlns:xsd="http://www.w3.org/2001/XMLSchema" xmlns:xs="http://www.w3.org/2001/XMLSchema" xmlns:p="http://schemas.microsoft.com/office/2006/metadata/properties" xmlns:ns2="e0fb9e4e-9a17-43c4-891a-079bfb0a02bd" xmlns:ns3="a68ce457-625d-4aa4-9b00-ade22038be21" targetNamespace="http://schemas.microsoft.com/office/2006/metadata/properties" ma:root="true" ma:fieldsID="b3d5e4c1fe961ddb3630e8deecf6f510" ns2:_="" ns3:_="">
    <xsd:import namespace="e0fb9e4e-9a17-43c4-891a-079bfb0a02bd"/>
    <xsd:import namespace="a68ce457-625d-4aa4-9b00-ade22038b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b9e4e-9a17-43c4-891a-079bfb0a0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ce457-625d-4aa4-9b00-ade22038b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b7ec0b-d50f-4274-96ed-1d4aa9483822}" ma:internalName="TaxCatchAll" ma:showField="CatchAllData" ma:web="a68ce457-625d-4aa4-9b00-ade22038b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D84AA-26DF-44BD-B729-4DCED448F13E}">
  <ds:schemaRefs>
    <ds:schemaRef ds:uri="http://purl.org/dc/elements/1.1/"/>
    <ds:schemaRef ds:uri="http://schemas.microsoft.com/office/2006/documentManagement/types"/>
    <ds:schemaRef ds:uri="http://purl.org/dc/dcmitype/"/>
    <ds:schemaRef ds:uri="http://www.w3.org/XML/1998/namespace"/>
    <ds:schemaRef ds:uri="e0fb9e4e-9a17-43c4-891a-079bfb0a02bd"/>
    <ds:schemaRef ds:uri="http://schemas.openxmlformats.org/package/2006/metadata/core-properties"/>
    <ds:schemaRef ds:uri="a68ce457-625d-4aa4-9b00-ade22038be2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AFA94C4-E85F-4C7D-86AE-AE48CDBB8582}">
  <ds:schemaRefs>
    <ds:schemaRef ds:uri="http://schemas.microsoft.com/sharepoint/v3/contenttype/forms"/>
  </ds:schemaRefs>
</ds:datastoreItem>
</file>

<file path=customXml/itemProps3.xml><?xml version="1.0" encoding="utf-8"?>
<ds:datastoreItem xmlns:ds="http://schemas.openxmlformats.org/officeDocument/2006/customXml" ds:itemID="{07BC009B-79F2-40F4-9DBF-EC4DC2A6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b9e4e-9a17-43c4-891a-079bfb0a02bd"/>
    <ds:schemaRef ds:uri="a68ce457-625d-4aa4-9b00-ade22038b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9A363-325F-442E-9935-D20E2F86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5678</Words>
  <Characters>32367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37970</CharactersWithSpaces>
  <SharedDoc>false</SharedDoc>
  <HLinks>
    <vt:vector size="96" baseType="variant">
      <vt:variant>
        <vt:i4>7667806</vt:i4>
      </vt:variant>
      <vt:variant>
        <vt:i4>51</vt:i4>
      </vt:variant>
      <vt:variant>
        <vt:i4>0</vt:i4>
      </vt:variant>
      <vt:variant>
        <vt:i4>5</vt:i4>
      </vt:variant>
      <vt:variant>
        <vt:lpwstr>https://commission.europa.eu/document/download/abdee617-a078-4ee3-a3ec-20c7d32725b5_en?filename=NextGenerationEU%20Green%20Bonds%20Allocation%20and%20Impact%20Report%202024.pdf</vt:lpwstr>
      </vt:variant>
      <vt:variant>
        <vt:lpwstr/>
      </vt:variant>
      <vt:variant>
        <vt:i4>7667806</vt:i4>
      </vt:variant>
      <vt:variant>
        <vt:i4>48</vt:i4>
      </vt:variant>
      <vt:variant>
        <vt:i4>0</vt:i4>
      </vt:variant>
      <vt:variant>
        <vt:i4>5</vt:i4>
      </vt:variant>
      <vt:variant>
        <vt:lpwstr>https://commission.europa.eu/document/download/abdee617-a078-4ee3-a3ec-20c7d32725b5_en?filename=NextGenerationEU%20Green%20Bonds%20Allocation%20and%20Impact%20Report%202024.pdf</vt:lpwstr>
      </vt:variant>
      <vt:variant>
        <vt:lpwstr/>
      </vt:variant>
      <vt:variant>
        <vt:i4>1441847</vt:i4>
      </vt:variant>
      <vt:variant>
        <vt:i4>38</vt:i4>
      </vt:variant>
      <vt:variant>
        <vt:i4>0</vt:i4>
      </vt:variant>
      <vt:variant>
        <vt:i4>5</vt:i4>
      </vt:variant>
      <vt:variant>
        <vt:lpwstr/>
      </vt:variant>
      <vt:variant>
        <vt:lpwstr>_Toc190904653</vt:lpwstr>
      </vt:variant>
      <vt:variant>
        <vt:i4>1441847</vt:i4>
      </vt:variant>
      <vt:variant>
        <vt:i4>32</vt:i4>
      </vt:variant>
      <vt:variant>
        <vt:i4>0</vt:i4>
      </vt:variant>
      <vt:variant>
        <vt:i4>5</vt:i4>
      </vt:variant>
      <vt:variant>
        <vt:lpwstr/>
      </vt:variant>
      <vt:variant>
        <vt:lpwstr>_Toc190904651</vt:lpwstr>
      </vt:variant>
      <vt:variant>
        <vt:i4>1441847</vt:i4>
      </vt:variant>
      <vt:variant>
        <vt:i4>26</vt:i4>
      </vt:variant>
      <vt:variant>
        <vt:i4>0</vt:i4>
      </vt:variant>
      <vt:variant>
        <vt:i4>5</vt:i4>
      </vt:variant>
      <vt:variant>
        <vt:lpwstr/>
      </vt:variant>
      <vt:variant>
        <vt:lpwstr>_Toc190904650</vt:lpwstr>
      </vt:variant>
      <vt:variant>
        <vt:i4>1507383</vt:i4>
      </vt:variant>
      <vt:variant>
        <vt:i4>20</vt:i4>
      </vt:variant>
      <vt:variant>
        <vt:i4>0</vt:i4>
      </vt:variant>
      <vt:variant>
        <vt:i4>5</vt:i4>
      </vt:variant>
      <vt:variant>
        <vt:lpwstr/>
      </vt:variant>
      <vt:variant>
        <vt:lpwstr>_Toc190904647</vt:lpwstr>
      </vt:variant>
      <vt:variant>
        <vt:i4>1507383</vt:i4>
      </vt:variant>
      <vt:variant>
        <vt:i4>14</vt:i4>
      </vt:variant>
      <vt:variant>
        <vt:i4>0</vt:i4>
      </vt:variant>
      <vt:variant>
        <vt:i4>5</vt:i4>
      </vt:variant>
      <vt:variant>
        <vt:lpwstr/>
      </vt:variant>
      <vt:variant>
        <vt:lpwstr>_Toc190904643</vt:lpwstr>
      </vt:variant>
      <vt:variant>
        <vt:i4>1507383</vt:i4>
      </vt:variant>
      <vt:variant>
        <vt:i4>8</vt:i4>
      </vt:variant>
      <vt:variant>
        <vt:i4>0</vt:i4>
      </vt:variant>
      <vt:variant>
        <vt:i4>5</vt:i4>
      </vt:variant>
      <vt:variant>
        <vt:lpwstr/>
      </vt:variant>
      <vt:variant>
        <vt:lpwstr>_Toc190904642</vt:lpwstr>
      </vt:variant>
      <vt:variant>
        <vt:i4>1507383</vt:i4>
      </vt:variant>
      <vt:variant>
        <vt:i4>2</vt:i4>
      </vt:variant>
      <vt:variant>
        <vt:i4>0</vt:i4>
      </vt:variant>
      <vt:variant>
        <vt:i4>5</vt:i4>
      </vt:variant>
      <vt:variant>
        <vt:lpwstr/>
      </vt:variant>
      <vt:variant>
        <vt:lpwstr>_Toc190904641</vt:lpwstr>
      </vt:variant>
      <vt:variant>
        <vt:i4>2097171</vt:i4>
      </vt:variant>
      <vt:variant>
        <vt:i4>18</vt:i4>
      </vt:variant>
      <vt:variant>
        <vt:i4>0</vt:i4>
      </vt:variant>
      <vt:variant>
        <vt:i4>5</vt:i4>
      </vt:variant>
      <vt:variant>
        <vt:lpwstr>https://commission.europa.eu/strategy-and-policy/eu-budget/eu-borrower-investor-relations/nextgenerationeu-green-bonds/dashboard_en</vt:lpwstr>
      </vt:variant>
      <vt:variant>
        <vt:lpwstr/>
      </vt:variant>
      <vt:variant>
        <vt:i4>7143527</vt:i4>
      </vt:variant>
      <vt:variant>
        <vt:i4>15</vt:i4>
      </vt:variant>
      <vt:variant>
        <vt:i4>0</vt:i4>
      </vt:variant>
      <vt:variant>
        <vt:i4>5</vt:i4>
      </vt:variant>
      <vt:variant>
        <vt:lpwstr>https://commission.europa.eu/system/files/2023-07/Fourth half-yearly report on the execution of the EU borrowing and lending operations.PDF</vt:lpwstr>
      </vt:variant>
      <vt:variant>
        <vt:lpwstr/>
      </vt:variant>
      <vt:variant>
        <vt:i4>7143426</vt:i4>
      </vt:variant>
      <vt:variant>
        <vt:i4>12</vt:i4>
      </vt:variant>
      <vt:variant>
        <vt:i4>0</vt:i4>
      </vt:variant>
      <vt:variant>
        <vt:i4>5</vt:i4>
      </vt:variant>
      <vt:variant>
        <vt:lpwstr>https://www.eca.europa.eu/Lists/ECAReplies/COM-Replies-SR-2023-16/COM-Replies-SR-2023-16_EN.pdf</vt:lpwstr>
      </vt:variant>
      <vt:variant>
        <vt:lpwstr/>
      </vt:variant>
      <vt:variant>
        <vt:i4>4653163</vt:i4>
      </vt:variant>
      <vt:variant>
        <vt:i4>9</vt:i4>
      </vt:variant>
      <vt:variant>
        <vt:i4>0</vt:i4>
      </vt:variant>
      <vt:variant>
        <vt:i4>5</vt:i4>
      </vt:variant>
      <vt:variant>
        <vt:lpwstr>https://www.eca.europa.eu/ECAPublications/SR-2023-16/SR-2023-16_EN.pdf</vt:lpwstr>
      </vt:variant>
      <vt:variant>
        <vt:lpwstr/>
      </vt:variant>
      <vt:variant>
        <vt:i4>7667806</vt:i4>
      </vt:variant>
      <vt:variant>
        <vt:i4>6</vt:i4>
      </vt:variant>
      <vt:variant>
        <vt:i4>0</vt:i4>
      </vt:variant>
      <vt:variant>
        <vt:i4>5</vt:i4>
      </vt:variant>
      <vt:variant>
        <vt:lpwstr>https://commission.europa.eu/document/download/abdee617-a078-4ee3-a3ec-20c7d32725b5_en?filename=NextGenerationEU%20Green%20Bonds%20Allocation%20and%20Impact%20Report%202024.pdf</vt:lpwstr>
      </vt:variant>
      <vt:variant>
        <vt:lpwstr/>
      </vt:variant>
      <vt:variant>
        <vt:i4>1179737</vt:i4>
      </vt:variant>
      <vt:variant>
        <vt:i4>3</vt:i4>
      </vt:variant>
      <vt:variant>
        <vt:i4>0</vt:i4>
      </vt:variant>
      <vt:variant>
        <vt:i4>5</vt:i4>
      </vt:variant>
      <vt:variant>
        <vt:lpwstr>https://eur-lex.europa.eu/legal-content/EN/TXT/PDF/?uri=CELEX:52024DC0240</vt:lpwstr>
      </vt:variant>
      <vt:variant>
        <vt:lpwstr/>
      </vt:variant>
      <vt:variant>
        <vt:i4>4653150</vt:i4>
      </vt:variant>
      <vt:variant>
        <vt:i4>0</vt:i4>
      </vt:variant>
      <vt:variant>
        <vt:i4>0</vt:i4>
      </vt:variant>
      <vt:variant>
        <vt:i4>5</vt:i4>
      </vt:variant>
      <vt:variant>
        <vt:lpwstr>https://commission.europa.eu/document/download/187852c2-07e0-4bef-af3f-5719b9077f2e_en?filename=COM_2024_474_1_EN_ACT_part1_v2.pdf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2024-01-25T06:41:00Z</cp:lastPrinted>
  <dcterms:created xsi:type="dcterms:W3CDTF">2025-02-26T08:21:00Z</dcterms:created>
  <dcterms:modified xsi:type="dcterms:W3CDTF">2025-03-19T06:58:00Z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9.1, Build 20240808</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2023-01-06T16:26:08Z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4805f13c-dee7-466f-8124-a3d55c6ed3fb</vt:lpwstr>
  </property>
  <property fmtid="{D5CDD505-2E9C-101B-9397-08002B2CF9AE}" pid="15" name="MSIP_Label_6bd9ddd1-4d20-43f6-abfa-fc3c07406f94_ContentBits">
    <vt:lpwstr>0</vt:lpwstr>
  </property>
  <property fmtid="{D5CDD505-2E9C-101B-9397-08002B2CF9AE}" pid="16" name="ContentTypeId">
    <vt:lpwstr>0x01010042F58E2EF54E454EA52B55214ED8DE92</vt:lpwstr>
  </property>
  <property fmtid="{D5CDD505-2E9C-101B-9397-08002B2CF9AE}" pid="17" name="_dlc_DocIdItemGuid">
    <vt:lpwstr>db1e2f6f-95af-4d44-836c-7358ec0b13c1</vt:lpwstr>
  </property>
  <property fmtid="{D5CDD505-2E9C-101B-9397-08002B2CF9AE}" pid="18" name="MediaServiceImageTags">
    <vt:lpwstr/>
  </property>
  <property name="OP_sanitized" fmtid="{D5CDD505-2E9C-101B-9397-08002B2CF9AE}" pid="19">
    <vt:lpwstr>True</vt:lpwstr>
  </property>
</Properties>
</file>