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AC6" w:rsidRPr="00A016EE" w:rsidRDefault="00257443" w:rsidP="0025744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7957E48-3000-4FC7-934D-16B9DD46B443" style="width:455.25pt;height:369.75pt">
            <v:imagedata r:id="rId11" o:title=""/>
          </v:shape>
        </w:pict>
      </w:r>
    </w:p>
    <w:p w:rsidR="00252AC6" w:rsidRPr="00A016EE" w:rsidRDefault="00252AC6" w:rsidP="00252AC6">
      <w:pPr>
        <w:rPr>
          <w:noProof/>
        </w:rPr>
        <w:sectPr w:rsidR="00252AC6" w:rsidRPr="00A016EE" w:rsidSect="00257443">
          <w:footerReference w:type="even" r:id="rId12"/>
          <w:footerReference w:type="default" r:id="rId13"/>
          <w:pgSz w:w="11907" w:h="16839"/>
          <w:pgMar w:top="1134" w:right="1417" w:bottom="1134" w:left="1417" w:header="709" w:footer="709" w:gutter="0"/>
          <w:pgNumType w:start="0"/>
          <w:cols w:space="720"/>
          <w:docGrid w:linePitch="360"/>
        </w:sectPr>
      </w:pPr>
    </w:p>
    <w:p w:rsidR="00252AC6" w:rsidRPr="00A016EE" w:rsidRDefault="00252AC6" w:rsidP="00F060F9">
      <w:pPr>
        <w:pStyle w:val="Exposdesmotifstitre"/>
        <w:rPr>
          <w:noProof/>
        </w:rPr>
      </w:pPr>
      <w:bookmarkStart w:id="0" w:name="_GoBack"/>
      <w:bookmarkEnd w:id="0"/>
      <w:r w:rsidRPr="00A016EE">
        <w:rPr>
          <w:noProof/>
        </w:rPr>
        <w:lastRenderedPageBreak/>
        <w:t>EXPOSIÇÃO DE MOTIVOS</w:t>
      </w:r>
    </w:p>
    <w:p w:rsidR="00252AC6" w:rsidRPr="00A016EE" w:rsidRDefault="00252AC6" w:rsidP="00252AC6">
      <w:pPr>
        <w:pStyle w:val="ManualHeading1"/>
        <w:rPr>
          <w:noProof/>
        </w:rPr>
      </w:pPr>
      <w:r w:rsidRPr="00A016EE">
        <w:rPr>
          <w:noProof/>
        </w:rPr>
        <w:t>CONTEXTO DA PROPOSTA</w:t>
      </w:r>
    </w:p>
    <w:p w:rsidR="00252AC6" w:rsidRPr="00A016EE" w:rsidRDefault="0001257F" w:rsidP="0001257F">
      <w:pPr>
        <w:pStyle w:val="ManualNumPar1"/>
        <w:rPr>
          <w:noProof/>
        </w:rPr>
      </w:pPr>
      <w:r w:rsidRPr="0001257F">
        <w:rPr>
          <w:noProof/>
        </w:rPr>
        <w:t>1.</w:t>
      </w:r>
      <w:r w:rsidRPr="0001257F">
        <w:rPr>
          <w:noProof/>
        </w:rPr>
        <w:tab/>
      </w:r>
      <w:r w:rsidR="00252AC6" w:rsidRPr="00A016EE">
        <w:rPr>
          <w:noProof/>
        </w:rPr>
        <w:t>As regras aplicáveis às contribuições financeiras do Fundo Europeu de Ajustamento à Globalização a favor dos Trabalhadores Despedidos (FEG) estão estabelecidas no Regulamento (UE) 2021/691 do Parlamento Europeu e do Conselho, de 28 de abril de 2021, relativo ao Fundo Europeu de Ajustamento à Globalização a favor dos Trabalhadores Despedidos (FEG) e que revoga o Regulamento (UE) n.º 1309/2013</w:t>
      </w:r>
      <w:r w:rsidR="00252AC6" w:rsidRPr="00A016EE">
        <w:rPr>
          <w:rStyle w:val="FootnoteReference"/>
          <w:noProof/>
        </w:rPr>
        <w:footnoteReference w:id="1"/>
      </w:r>
      <w:r w:rsidR="00252AC6" w:rsidRPr="00A016EE">
        <w:rPr>
          <w:noProof/>
        </w:rPr>
        <w:t>.</w:t>
      </w:r>
    </w:p>
    <w:p w:rsidR="00252AC6" w:rsidRPr="00A016EE" w:rsidRDefault="0001257F" w:rsidP="0001257F">
      <w:pPr>
        <w:pStyle w:val="ManualNumPar1"/>
        <w:rPr>
          <w:noProof/>
        </w:rPr>
      </w:pPr>
      <w:r w:rsidRPr="0001257F">
        <w:rPr>
          <w:noProof/>
        </w:rPr>
        <w:t>2.</w:t>
      </w:r>
      <w:r w:rsidRPr="0001257F">
        <w:rPr>
          <w:noProof/>
        </w:rPr>
        <w:tab/>
      </w:r>
      <w:r w:rsidR="00252AC6" w:rsidRPr="00A016EE">
        <w:rPr>
          <w:noProof/>
        </w:rPr>
        <w:t>Em 3 de junho de 2024, as autoridades belgas apresentaram a candidatura EGF/</w:t>
      </w:r>
      <w:bookmarkStart w:id="1" w:name="EGF_Ref_Year"/>
      <w:r w:rsidR="00252AC6" w:rsidRPr="00A016EE">
        <w:rPr>
          <w:noProof/>
        </w:rPr>
        <w:t>2024</w:t>
      </w:r>
      <w:bookmarkEnd w:id="1"/>
      <w:r w:rsidR="00252AC6" w:rsidRPr="00A016EE">
        <w:rPr>
          <w:noProof/>
        </w:rPr>
        <w:t>/</w:t>
      </w:r>
      <w:bookmarkStart w:id="2" w:name="EGF_Ref_CaseNumber"/>
      <w:r w:rsidR="00252AC6" w:rsidRPr="00A016EE">
        <w:rPr>
          <w:noProof/>
        </w:rPr>
        <w:t>001</w:t>
      </w:r>
      <w:bookmarkEnd w:id="2"/>
      <w:r w:rsidR="00252AC6" w:rsidRPr="00A016EE">
        <w:rPr>
          <w:noProof/>
        </w:rPr>
        <w:t xml:space="preserve"> </w:t>
      </w:r>
      <w:bookmarkStart w:id="3" w:name="MS_Code"/>
      <w:r w:rsidR="00252AC6" w:rsidRPr="00A016EE">
        <w:rPr>
          <w:noProof/>
        </w:rPr>
        <w:t>BE</w:t>
      </w:r>
      <w:bookmarkEnd w:id="3"/>
      <w:r w:rsidR="00252AC6" w:rsidRPr="00A016EE">
        <w:rPr>
          <w:noProof/>
        </w:rPr>
        <w:t>/</w:t>
      </w:r>
      <w:bookmarkStart w:id="4" w:name="EGF_Ref_CaseName"/>
      <w:r w:rsidR="00252AC6" w:rsidRPr="00A016EE">
        <w:rPr>
          <w:noProof/>
        </w:rPr>
        <w:t>Match</w:t>
      </w:r>
      <w:bookmarkEnd w:id="4"/>
      <w:r w:rsidR="00252AC6" w:rsidRPr="00A016EE">
        <w:rPr>
          <w:noProof/>
        </w:rPr>
        <w:t xml:space="preserve">-Smatch a uma contribuição financeira do FEG, na sequência de despedimentos nos </w:t>
      </w:r>
      <w:bookmarkStart w:id="5" w:name="PrimEnterprise_Name"/>
      <w:r w:rsidR="00252AC6" w:rsidRPr="00A016EE">
        <w:rPr>
          <w:noProof/>
        </w:rPr>
        <w:t>supermercados Match-Smatch (Match SA. e Profi SA.)</w:t>
      </w:r>
      <w:bookmarkEnd w:id="5"/>
      <w:r w:rsidR="00252AC6" w:rsidRPr="00A016EE">
        <w:rPr>
          <w:noProof/>
        </w:rPr>
        <w:t xml:space="preserve">, na </w:t>
      </w:r>
      <w:bookmarkStart w:id="6" w:name="MS_Name"/>
      <w:r w:rsidR="00252AC6" w:rsidRPr="00A016EE">
        <w:rPr>
          <w:noProof/>
        </w:rPr>
        <w:t>Bélgica</w:t>
      </w:r>
      <w:bookmarkEnd w:id="6"/>
      <w:r w:rsidR="00252AC6" w:rsidRPr="00A016EE">
        <w:rPr>
          <w:noProof/>
        </w:rPr>
        <w:t>.</w:t>
      </w:r>
    </w:p>
    <w:p w:rsidR="00252AC6" w:rsidRPr="00A016EE" w:rsidRDefault="0001257F" w:rsidP="0001257F">
      <w:pPr>
        <w:pStyle w:val="ManualNumPar1"/>
        <w:rPr>
          <w:noProof/>
        </w:rPr>
      </w:pPr>
      <w:r w:rsidRPr="0001257F">
        <w:rPr>
          <w:noProof/>
        </w:rPr>
        <w:t>3.</w:t>
      </w:r>
      <w:r w:rsidRPr="0001257F">
        <w:rPr>
          <w:noProof/>
        </w:rPr>
        <w:tab/>
      </w:r>
      <w:r w:rsidR="00252AC6" w:rsidRPr="00A016EE">
        <w:rPr>
          <w:noProof/>
        </w:rPr>
        <w:t xml:space="preserve">Após avaliação da referida candidatura, a Comissão concluiu que, em conformidade com todas as disposições aplicáveis do Regulamento (UE) 2021/691, estão reunidas as condições para a concessão de uma contribuição financeira ao abrigo do FEG. </w:t>
      </w:r>
    </w:p>
    <w:p w:rsidR="00252AC6" w:rsidRPr="00A016EE" w:rsidRDefault="00252AC6" w:rsidP="00252AC6">
      <w:pPr>
        <w:pStyle w:val="ManualHeading1"/>
        <w:rPr>
          <w:noProof/>
        </w:rPr>
      </w:pPr>
      <w:r w:rsidRPr="00A016EE">
        <w:rPr>
          <w:noProof/>
        </w:rPr>
        <w:t>SÍNTESE DA CANDIDATURA</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08"/>
        <w:gridCol w:w="1721"/>
        <w:gridCol w:w="2658"/>
      </w:tblGrid>
      <w:tr w:rsidR="00252AC6" w:rsidRPr="00A016EE" w:rsidTr="00C812FC">
        <w:tc>
          <w:tcPr>
            <w:tcW w:w="4908" w:type="dxa"/>
            <w:shd w:val="clear" w:color="auto" w:fill="auto"/>
          </w:tcPr>
          <w:p w:rsidR="00252AC6" w:rsidRPr="00A016EE" w:rsidRDefault="00252AC6" w:rsidP="00F060F9">
            <w:pPr>
              <w:spacing w:before="60" w:after="60"/>
              <w:jc w:val="left"/>
              <w:rPr>
                <w:rFonts w:eastAsia="Calibri"/>
                <w:noProof/>
              </w:rPr>
            </w:pPr>
            <w:r w:rsidRPr="00A016EE">
              <w:rPr>
                <w:noProof/>
              </w:rPr>
              <w:t>Candidatura ao FEG</w:t>
            </w:r>
          </w:p>
        </w:tc>
        <w:tc>
          <w:tcPr>
            <w:tcW w:w="4379" w:type="dxa"/>
            <w:gridSpan w:val="2"/>
            <w:shd w:val="clear" w:color="auto" w:fill="auto"/>
          </w:tcPr>
          <w:p w:rsidR="00252AC6" w:rsidRPr="00A016EE" w:rsidRDefault="00252AC6" w:rsidP="00F060F9">
            <w:pPr>
              <w:spacing w:before="60" w:after="60"/>
              <w:ind w:rightChars="192" w:right="461"/>
              <w:jc w:val="left"/>
              <w:rPr>
                <w:rFonts w:eastAsia="Calibri"/>
                <w:noProof/>
              </w:rPr>
            </w:pPr>
            <w:r w:rsidRPr="00A016EE">
              <w:rPr>
                <w:noProof/>
              </w:rPr>
              <w:t>EGF/2024/001 BE/Match-Smatch</w:t>
            </w:r>
          </w:p>
        </w:tc>
      </w:tr>
      <w:tr w:rsidR="00252AC6" w:rsidRPr="00A016EE" w:rsidTr="00C812FC">
        <w:tc>
          <w:tcPr>
            <w:tcW w:w="4908" w:type="dxa"/>
            <w:shd w:val="clear" w:color="auto" w:fill="auto"/>
          </w:tcPr>
          <w:p w:rsidR="00252AC6" w:rsidRPr="00A016EE" w:rsidRDefault="00252AC6" w:rsidP="00F060F9">
            <w:pPr>
              <w:spacing w:before="60" w:after="60"/>
              <w:jc w:val="left"/>
              <w:rPr>
                <w:rFonts w:eastAsia="Calibri"/>
                <w:noProof/>
              </w:rPr>
            </w:pPr>
            <w:r w:rsidRPr="00A016EE">
              <w:rPr>
                <w:noProof/>
              </w:rPr>
              <w:t>Estado-Membro</w:t>
            </w:r>
          </w:p>
        </w:tc>
        <w:tc>
          <w:tcPr>
            <w:tcW w:w="4379" w:type="dxa"/>
            <w:gridSpan w:val="2"/>
            <w:shd w:val="clear" w:color="auto" w:fill="auto"/>
          </w:tcPr>
          <w:p w:rsidR="00252AC6" w:rsidRPr="00A016EE" w:rsidRDefault="007C4649" w:rsidP="00F060F9">
            <w:pPr>
              <w:spacing w:before="60" w:after="60"/>
              <w:ind w:rightChars="192" w:right="461"/>
              <w:jc w:val="left"/>
              <w:rPr>
                <w:rFonts w:eastAsia="Calibri"/>
                <w:noProof/>
              </w:rPr>
            </w:pPr>
            <w:r w:rsidRPr="00A016EE">
              <w:rPr>
                <w:noProof/>
              </w:rPr>
              <w:t>Bélgica</w:t>
            </w:r>
          </w:p>
        </w:tc>
      </w:tr>
      <w:tr w:rsidR="00252AC6" w:rsidRPr="00A016EE" w:rsidTr="00C812FC">
        <w:tc>
          <w:tcPr>
            <w:tcW w:w="4908" w:type="dxa"/>
            <w:tcBorders>
              <w:bottom w:val="single"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Regiões em causa (nível NUTS</w:t>
            </w:r>
            <w:r w:rsidRPr="00A016EE">
              <w:rPr>
                <w:rStyle w:val="FootnoteReference"/>
                <w:noProof/>
              </w:rPr>
              <w:footnoteReference w:id="2"/>
            </w:r>
            <w:r w:rsidRPr="00A016EE">
              <w:rPr>
                <w:noProof/>
              </w:rPr>
              <w:t xml:space="preserve"> 2)</w:t>
            </w:r>
          </w:p>
        </w:tc>
        <w:tc>
          <w:tcPr>
            <w:tcW w:w="4379" w:type="dxa"/>
            <w:gridSpan w:val="2"/>
            <w:tcBorders>
              <w:bottom w:val="single" w:sz="4" w:space="0" w:color="auto"/>
            </w:tcBorders>
            <w:shd w:val="clear" w:color="auto" w:fill="auto"/>
          </w:tcPr>
          <w:p w:rsidR="00252AC6" w:rsidRPr="00A016EE" w:rsidRDefault="002644F6" w:rsidP="00F060F9">
            <w:pPr>
              <w:spacing w:before="0" w:after="0"/>
              <w:ind w:rightChars="192" w:right="461"/>
              <w:jc w:val="left"/>
              <w:rPr>
                <w:noProof/>
                <w:szCs w:val="24"/>
              </w:rPr>
            </w:pPr>
            <w:bookmarkStart w:id="7" w:name="Region_1_Name"/>
            <w:r w:rsidRPr="00A016EE">
              <w:rPr>
                <w:noProof/>
              </w:rPr>
              <w:t>Província do Hainaut</w:t>
            </w:r>
            <w:bookmarkEnd w:id="7"/>
            <w:r w:rsidRPr="00A016EE">
              <w:rPr>
                <w:noProof/>
              </w:rPr>
              <w:t xml:space="preserve"> (BE32), </w:t>
            </w:r>
          </w:p>
          <w:p w:rsidR="00252AC6" w:rsidRPr="00A016EE" w:rsidRDefault="002644F6" w:rsidP="00F060F9">
            <w:pPr>
              <w:spacing w:before="0" w:after="0"/>
              <w:ind w:rightChars="192" w:right="461"/>
              <w:jc w:val="left"/>
              <w:rPr>
                <w:noProof/>
                <w:szCs w:val="24"/>
              </w:rPr>
            </w:pPr>
            <w:r w:rsidRPr="00A016EE">
              <w:rPr>
                <w:noProof/>
              </w:rPr>
              <w:t>província de Liège (BE33) e</w:t>
            </w:r>
            <w:r w:rsidRPr="00A016EE">
              <w:rPr>
                <w:noProof/>
              </w:rPr>
              <w:br/>
              <w:t>província de Namur (BE35)</w:t>
            </w:r>
          </w:p>
        </w:tc>
      </w:tr>
      <w:tr w:rsidR="00252AC6" w:rsidRPr="00A016EE" w:rsidTr="00C812FC">
        <w:tc>
          <w:tcPr>
            <w:tcW w:w="4908" w:type="dxa"/>
            <w:tcBorders>
              <w:bottom w:val="dotted"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Data de apresentação da candidatura</w:t>
            </w:r>
          </w:p>
        </w:tc>
        <w:tc>
          <w:tcPr>
            <w:tcW w:w="4379" w:type="dxa"/>
            <w:gridSpan w:val="2"/>
            <w:tcBorders>
              <w:bottom w:val="dotted" w:sz="4" w:space="0" w:color="auto"/>
            </w:tcBorders>
            <w:shd w:val="clear" w:color="auto" w:fill="auto"/>
          </w:tcPr>
          <w:p w:rsidR="00252AC6" w:rsidRPr="00A016EE" w:rsidRDefault="00511F57" w:rsidP="00F060F9">
            <w:pPr>
              <w:spacing w:before="60" w:after="60"/>
              <w:ind w:rightChars="192" w:right="461"/>
              <w:jc w:val="left"/>
              <w:rPr>
                <w:rFonts w:eastAsia="Calibri"/>
                <w:noProof/>
              </w:rPr>
            </w:pPr>
            <w:r w:rsidRPr="00A016EE">
              <w:rPr>
                <w:noProof/>
              </w:rPr>
              <w:t>3 de junho de 2024</w:t>
            </w:r>
          </w:p>
        </w:tc>
      </w:tr>
      <w:tr w:rsidR="00252AC6" w:rsidRPr="00A016EE" w:rsidTr="00C812FC">
        <w:tc>
          <w:tcPr>
            <w:tcW w:w="4908" w:type="dxa"/>
            <w:tcBorders>
              <w:top w:val="dotted" w:sz="4" w:space="0" w:color="auto"/>
              <w:bottom w:val="dotted"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Data do aviso de receção da candidatura</w:t>
            </w:r>
          </w:p>
        </w:tc>
        <w:tc>
          <w:tcPr>
            <w:tcW w:w="4379" w:type="dxa"/>
            <w:gridSpan w:val="2"/>
            <w:tcBorders>
              <w:top w:val="dotted" w:sz="4" w:space="0" w:color="auto"/>
              <w:bottom w:val="dotted" w:sz="4" w:space="0" w:color="auto"/>
            </w:tcBorders>
            <w:shd w:val="clear" w:color="auto" w:fill="auto"/>
          </w:tcPr>
          <w:p w:rsidR="00252AC6" w:rsidRPr="00A016EE" w:rsidRDefault="00511F57" w:rsidP="00F060F9">
            <w:pPr>
              <w:spacing w:before="60" w:after="60"/>
              <w:ind w:rightChars="192" w:right="461"/>
              <w:jc w:val="left"/>
              <w:rPr>
                <w:rFonts w:eastAsia="Calibri"/>
                <w:noProof/>
              </w:rPr>
            </w:pPr>
            <w:r w:rsidRPr="00A016EE">
              <w:rPr>
                <w:noProof/>
              </w:rPr>
              <w:t>3 de junho de 2024</w:t>
            </w:r>
          </w:p>
        </w:tc>
      </w:tr>
      <w:tr w:rsidR="00252AC6" w:rsidRPr="00A016EE" w:rsidTr="00C812FC">
        <w:tc>
          <w:tcPr>
            <w:tcW w:w="4908" w:type="dxa"/>
            <w:tcBorders>
              <w:top w:val="dotted" w:sz="4" w:space="0" w:color="auto"/>
              <w:bottom w:val="dotted"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Data do pedido de informações complementares</w:t>
            </w:r>
          </w:p>
        </w:tc>
        <w:tc>
          <w:tcPr>
            <w:tcW w:w="4379" w:type="dxa"/>
            <w:gridSpan w:val="2"/>
            <w:tcBorders>
              <w:top w:val="dotted" w:sz="4" w:space="0" w:color="auto"/>
              <w:bottom w:val="dotted" w:sz="4" w:space="0" w:color="auto"/>
            </w:tcBorders>
            <w:shd w:val="clear" w:color="auto" w:fill="auto"/>
          </w:tcPr>
          <w:p w:rsidR="00252AC6" w:rsidRPr="00A016EE" w:rsidRDefault="00511F57" w:rsidP="00F060F9">
            <w:pPr>
              <w:spacing w:before="60" w:after="60"/>
              <w:ind w:rightChars="192" w:right="461"/>
              <w:jc w:val="left"/>
              <w:rPr>
                <w:rFonts w:eastAsia="Calibri"/>
                <w:noProof/>
              </w:rPr>
            </w:pPr>
            <w:r w:rsidRPr="00A016EE">
              <w:rPr>
                <w:noProof/>
              </w:rPr>
              <w:t>17 de junho de 2024</w:t>
            </w:r>
          </w:p>
        </w:tc>
      </w:tr>
      <w:tr w:rsidR="00252AC6" w:rsidRPr="00A016EE" w:rsidTr="00C812FC">
        <w:tc>
          <w:tcPr>
            <w:tcW w:w="4908" w:type="dxa"/>
            <w:tcBorders>
              <w:top w:val="dotted" w:sz="4" w:space="0" w:color="auto"/>
              <w:bottom w:val="dotted"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Prazo para a apresentação de informações complementares</w:t>
            </w:r>
          </w:p>
        </w:tc>
        <w:tc>
          <w:tcPr>
            <w:tcW w:w="4379" w:type="dxa"/>
            <w:gridSpan w:val="2"/>
            <w:tcBorders>
              <w:top w:val="dotted" w:sz="4" w:space="0" w:color="auto"/>
              <w:bottom w:val="dotted" w:sz="4" w:space="0" w:color="auto"/>
            </w:tcBorders>
            <w:shd w:val="clear" w:color="auto" w:fill="auto"/>
          </w:tcPr>
          <w:p w:rsidR="00252AC6" w:rsidRPr="00A016EE" w:rsidRDefault="00511F57" w:rsidP="00F060F9">
            <w:pPr>
              <w:spacing w:before="60" w:after="60"/>
              <w:ind w:rightChars="192" w:right="461"/>
              <w:jc w:val="left"/>
              <w:rPr>
                <w:rFonts w:eastAsia="Calibri"/>
                <w:noProof/>
              </w:rPr>
            </w:pPr>
            <w:r w:rsidRPr="00A016EE">
              <w:rPr>
                <w:noProof/>
              </w:rPr>
              <w:t>8 de julho de 2024</w:t>
            </w:r>
          </w:p>
        </w:tc>
      </w:tr>
      <w:tr w:rsidR="00252AC6" w:rsidRPr="00A016EE" w:rsidTr="00C812FC">
        <w:tc>
          <w:tcPr>
            <w:tcW w:w="4908" w:type="dxa"/>
            <w:tcBorders>
              <w:top w:val="dotted"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Prazo para a conclusão da avaliação</w:t>
            </w:r>
          </w:p>
        </w:tc>
        <w:tc>
          <w:tcPr>
            <w:tcW w:w="4379" w:type="dxa"/>
            <w:gridSpan w:val="2"/>
            <w:tcBorders>
              <w:top w:val="dotted" w:sz="4" w:space="0" w:color="auto"/>
            </w:tcBorders>
            <w:shd w:val="clear" w:color="auto" w:fill="auto"/>
          </w:tcPr>
          <w:p w:rsidR="00252AC6" w:rsidRPr="00A016EE" w:rsidRDefault="00511F57" w:rsidP="00F060F9">
            <w:pPr>
              <w:spacing w:before="60" w:after="60"/>
              <w:ind w:rightChars="192" w:right="461"/>
              <w:jc w:val="left"/>
              <w:rPr>
                <w:rFonts w:eastAsia="Calibri"/>
                <w:noProof/>
              </w:rPr>
            </w:pPr>
            <w:r w:rsidRPr="00A016EE">
              <w:rPr>
                <w:noProof/>
              </w:rPr>
              <w:t>17 de setembro de 2024</w:t>
            </w:r>
          </w:p>
        </w:tc>
      </w:tr>
      <w:tr w:rsidR="00252AC6" w:rsidRPr="00A016EE" w:rsidTr="00C812FC">
        <w:tc>
          <w:tcPr>
            <w:tcW w:w="4908" w:type="dxa"/>
            <w:shd w:val="clear" w:color="auto" w:fill="auto"/>
          </w:tcPr>
          <w:p w:rsidR="00252AC6" w:rsidRPr="00A016EE" w:rsidRDefault="00252AC6" w:rsidP="00F060F9">
            <w:pPr>
              <w:spacing w:before="60" w:after="60"/>
              <w:jc w:val="left"/>
              <w:rPr>
                <w:rFonts w:eastAsia="Calibri"/>
                <w:noProof/>
              </w:rPr>
            </w:pPr>
            <w:r w:rsidRPr="00A016EE">
              <w:rPr>
                <w:noProof/>
              </w:rPr>
              <w:t>Critério de intervenção</w:t>
            </w:r>
          </w:p>
        </w:tc>
        <w:tc>
          <w:tcPr>
            <w:tcW w:w="4379" w:type="dxa"/>
            <w:gridSpan w:val="2"/>
            <w:shd w:val="clear" w:color="auto" w:fill="auto"/>
          </w:tcPr>
          <w:p w:rsidR="00252AC6" w:rsidRPr="00A016EE" w:rsidRDefault="00252AC6" w:rsidP="00136567">
            <w:pPr>
              <w:spacing w:before="60" w:after="60"/>
              <w:ind w:rightChars="192" w:right="461"/>
              <w:jc w:val="left"/>
              <w:rPr>
                <w:rFonts w:eastAsia="Calibri"/>
                <w:noProof/>
              </w:rPr>
            </w:pPr>
            <w:r w:rsidRPr="00A016EE">
              <w:rPr>
                <w:noProof/>
              </w:rPr>
              <w:t>Artigo 4.º, n.º 2, alínea a), do Regulamento (UE) 2021/691</w:t>
            </w:r>
          </w:p>
        </w:tc>
      </w:tr>
      <w:tr w:rsidR="00252AC6" w:rsidRPr="00A016EE" w:rsidTr="00C812FC">
        <w:tc>
          <w:tcPr>
            <w:tcW w:w="4908" w:type="dxa"/>
            <w:tcBorders>
              <w:top w:val="single" w:sz="4" w:space="0" w:color="auto"/>
              <w:bottom w:val="single" w:sz="4" w:space="0" w:color="auto"/>
              <w:right w:val="single"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br w:type="page"/>
              <w:t>Empresa principal</w:t>
            </w:r>
          </w:p>
        </w:tc>
        <w:tc>
          <w:tcPr>
            <w:tcW w:w="4379" w:type="dxa"/>
            <w:gridSpan w:val="2"/>
            <w:tcBorders>
              <w:top w:val="single" w:sz="4" w:space="0" w:color="auto"/>
              <w:left w:val="single" w:sz="4" w:space="0" w:color="auto"/>
              <w:bottom w:val="single" w:sz="4" w:space="0" w:color="auto"/>
            </w:tcBorders>
            <w:shd w:val="clear" w:color="auto" w:fill="auto"/>
          </w:tcPr>
          <w:p w:rsidR="00252AC6" w:rsidRPr="00A016EE" w:rsidRDefault="007C4649" w:rsidP="00F060F9">
            <w:pPr>
              <w:spacing w:before="60" w:after="60"/>
              <w:ind w:rightChars="192" w:right="461"/>
              <w:jc w:val="left"/>
              <w:rPr>
                <w:noProof/>
                <w:szCs w:val="24"/>
              </w:rPr>
            </w:pPr>
            <w:r w:rsidRPr="00A016EE">
              <w:rPr>
                <w:noProof/>
              </w:rPr>
              <w:t>Match-Smatch</w:t>
            </w:r>
          </w:p>
        </w:tc>
      </w:tr>
      <w:tr w:rsidR="00252AC6" w:rsidRPr="00A016EE" w:rsidTr="00C812FC">
        <w:tc>
          <w:tcPr>
            <w:tcW w:w="4908" w:type="dxa"/>
            <w:tcBorders>
              <w:top w:val="single" w:sz="4" w:space="0" w:color="auto"/>
              <w:bottom w:val="single" w:sz="4" w:space="0" w:color="auto"/>
              <w:right w:val="single"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br w:type="page"/>
              <w:t>Número de empresas afetadas</w:t>
            </w:r>
          </w:p>
        </w:tc>
        <w:tc>
          <w:tcPr>
            <w:tcW w:w="4379" w:type="dxa"/>
            <w:gridSpan w:val="2"/>
            <w:tcBorders>
              <w:top w:val="single" w:sz="4" w:space="0" w:color="auto"/>
              <w:left w:val="single" w:sz="4" w:space="0" w:color="auto"/>
              <w:bottom w:val="single" w:sz="4" w:space="0" w:color="auto"/>
            </w:tcBorders>
            <w:shd w:val="clear" w:color="auto" w:fill="auto"/>
          </w:tcPr>
          <w:p w:rsidR="00252AC6" w:rsidRPr="00A016EE" w:rsidRDefault="007C4649" w:rsidP="00F060F9">
            <w:pPr>
              <w:spacing w:before="60" w:after="60"/>
              <w:ind w:rightChars="192" w:right="461"/>
              <w:jc w:val="left"/>
              <w:rPr>
                <w:noProof/>
                <w:szCs w:val="24"/>
              </w:rPr>
            </w:pPr>
            <w:r w:rsidRPr="00A016EE">
              <w:rPr>
                <w:noProof/>
              </w:rPr>
              <w:t>1</w:t>
            </w:r>
          </w:p>
        </w:tc>
      </w:tr>
      <w:tr w:rsidR="00252AC6" w:rsidRPr="00A016EE" w:rsidTr="00C812FC">
        <w:tc>
          <w:tcPr>
            <w:tcW w:w="4908" w:type="dxa"/>
            <w:shd w:val="clear" w:color="auto" w:fill="auto"/>
          </w:tcPr>
          <w:p w:rsidR="00252AC6" w:rsidRPr="00A016EE" w:rsidRDefault="00252AC6" w:rsidP="00F060F9">
            <w:pPr>
              <w:spacing w:before="60" w:after="60"/>
              <w:jc w:val="left"/>
              <w:rPr>
                <w:rFonts w:eastAsia="Calibri"/>
                <w:noProof/>
              </w:rPr>
            </w:pPr>
            <w:r w:rsidRPr="00A016EE">
              <w:rPr>
                <w:noProof/>
              </w:rPr>
              <w:t>Setor(es) de atividade económica</w:t>
            </w:r>
          </w:p>
          <w:p w:rsidR="00252AC6" w:rsidRPr="00A016EE" w:rsidRDefault="00252AC6" w:rsidP="00BB0146">
            <w:pPr>
              <w:spacing w:before="60" w:after="60"/>
              <w:jc w:val="left"/>
              <w:rPr>
                <w:rFonts w:eastAsia="Calibri"/>
                <w:noProof/>
              </w:rPr>
            </w:pPr>
            <w:r w:rsidRPr="00A016EE">
              <w:rPr>
                <w:noProof/>
              </w:rPr>
              <w:t>(Divisão da NACE Revisão 2)</w:t>
            </w:r>
            <w:r w:rsidRPr="00A016EE">
              <w:rPr>
                <w:rStyle w:val="FootnoteReference"/>
                <w:noProof/>
                <w:szCs w:val="24"/>
              </w:rPr>
              <w:footnoteReference w:id="3"/>
            </w:r>
          </w:p>
        </w:tc>
        <w:tc>
          <w:tcPr>
            <w:tcW w:w="4379" w:type="dxa"/>
            <w:gridSpan w:val="2"/>
            <w:shd w:val="clear" w:color="auto" w:fill="auto"/>
          </w:tcPr>
          <w:p w:rsidR="00252AC6" w:rsidRPr="00A016EE" w:rsidRDefault="00252AC6" w:rsidP="00F060F9">
            <w:pPr>
              <w:spacing w:before="60" w:after="60"/>
              <w:ind w:rightChars="192" w:right="461"/>
              <w:jc w:val="left"/>
              <w:rPr>
                <w:noProof/>
                <w:szCs w:val="24"/>
              </w:rPr>
            </w:pPr>
            <w:r w:rsidRPr="00A016EE">
              <w:rPr>
                <w:noProof/>
              </w:rPr>
              <w:t>Divisão 47 (Mercados retalhistas, exceto de veículos automóveis e motociclos)</w:t>
            </w:r>
          </w:p>
        </w:tc>
      </w:tr>
      <w:tr w:rsidR="00252AC6" w:rsidRPr="00A016EE" w:rsidTr="00C812FC">
        <w:tc>
          <w:tcPr>
            <w:tcW w:w="4908" w:type="dxa"/>
            <w:tcBorders>
              <w:bottom w:val="single" w:sz="4" w:space="0" w:color="auto"/>
            </w:tcBorders>
            <w:shd w:val="clear" w:color="auto" w:fill="auto"/>
          </w:tcPr>
          <w:p w:rsidR="00252AC6" w:rsidRPr="00A016EE" w:rsidRDefault="00252AC6">
            <w:pPr>
              <w:spacing w:before="60" w:after="60"/>
              <w:jc w:val="left"/>
              <w:rPr>
                <w:rFonts w:eastAsia="Calibri"/>
                <w:noProof/>
              </w:rPr>
            </w:pPr>
            <w:r w:rsidRPr="00A016EE">
              <w:rPr>
                <w:noProof/>
              </w:rPr>
              <w:t>Período de referência (quatro meses):</w:t>
            </w:r>
          </w:p>
        </w:tc>
        <w:tc>
          <w:tcPr>
            <w:tcW w:w="4379" w:type="dxa"/>
            <w:gridSpan w:val="2"/>
            <w:tcBorders>
              <w:bottom w:val="single" w:sz="4" w:space="0" w:color="auto"/>
            </w:tcBorders>
            <w:shd w:val="clear" w:color="auto" w:fill="auto"/>
          </w:tcPr>
          <w:p w:rsidR="00252AC6" w:rsidRPr="00A016EE" w:rsidRDefault="00604BFF" w:rsidP="00F060F9">
            <w:pPr>
              <w:spacing w:before="60" w:after="60"/>
              <w:ind w:rightChars="192" w:right="461"/>
              <w:jc w:val="left"/>
              <w:rPr>
                <w:rFonts w:eastAsia="Calibri"/>
                <w:noProof/>
              </w:rPr>
            </w:pPr>
            <w:r w:rsidRPr="00A016EE">
              <w:rPr>
                <w:noProof/>
              </w:rPr>
              <w:t>11 de dezembro de 2023 - 11 de abril de 2024</w:t>
            </w:r>
          </w:p>
        </w:tc>
      </w:tr>
      <w:tr w:rsidR="00252AC6" w:rsidRPr="00A016EE" w:rsidTr="00C812FC">
        <w:tc>
          <w:tcPr>
            <w:tcW w:w="4908" w:type="dxa"/>
            <w:tcBorders>
              <w:bottom w:val="dotted" w:sz="4" w:space="0" w:color="auto"/>
            </w:tcBorders>
            <w:shd w:val="clear" w:color="auto" w:fill="auto"/>
          </w:tcPr>
          <w:p w:rsidR="00252AC6" w:rsidRPr="00A016EE" w:rsidRDefault="00252AC6" w:rsidP="00730D6A">
            <w:pPr>
              <w:spacing w:before="60" w:after="60"/>
              <w:jc w:val="left"/>
              <w:rPr>
                <w:rFonts w:eastAsia="Calibri"/>
                <w:noProof/>
                <w:highlight w:val="magenta"/>
              </w:rPr>
            </w:pPr>
            <w:r w:rsidRPr="00A016EE">
              <w:rPr>
                <w:noProof/>
              </w:rPr>
              <w:t>Número de despedimentos durante o período de referência (</w:t>
            </w:r>
            <w:r w:rsidRPr="00A016EE">
              <w:rPr>
                <w:i/>
                <w:iCs/>
                <w:noProof/>
              </w:rPr>
              <w:t>a</w:t>
            </w:r>
            <w:r w:rsidRPr="00A016EE">
              <w:rPr>
                <w:noProof/>
              </w:rPr>
              <w:t>)</w:t>
            </w:r>
          </w:p>
        </w:tc>
        <w:tc>
          <w:tcPr>
            <w:tcW w:w="4379" w:type="dxa"/>
            <w:gridSpan w:val="2"/>
            <w:tcBorders>
              <w:bottom w:val="dotted" w:sz="4" w:space="0" w:color="auto"/>
            </w:tcBorders>
            <w:shd w:val="clear" w:color="auto" w:fill="auto"/>
          </w:tcPr>
          <w:p w:rsidR="00252AC6" w:rsidRPr="00A016EE" w:rsidRDefault="00537682" w:rsidP="00F060F9">
            <w:pPr>
              <w:spacing w:before="60" w:after="60"/>
              <w:ind w:rightChars="192" w:right="461"/>
              <w:jc w:val="left"/>
              <w:rPr>
                <w:rFonts w:eastAsia="Calibri"/>
                <w:noProof/>
                <w:highlight w:val="magenta"/>
              </w:rPr>
            </w:pPr>
            <w:r w:rsidRPr="00A016EE">
              <w:rPr>
                <w:noProof/>
              </w:rPr>
              <w:t>444</w:t>
            </w:r>
          </w:p>
        </w:tc>
      </w:tr>
      <w:tr w:rsidR="00252AC6" w:rsidRPr="00A016EE" w:rsidTr="00C812FC">
        <w:tc>
          <w:tcPr>
            <w:tcW w:w="4908" w:type="dxa"/>
            <w:tcBorders>
              <w:top w:val="dotted" w:sz="4" w:space="0" w:color="auto"/>
              <w:bottom w:val="dotted" w:sz="4" w:space="0" w:color="auto"/>
            </w:tcBorders>
            <w:shd w:val="clear" w:color="auto" w:fill="auto"/>
          </w:tcPr>
          <w:p w:rsidR="00252AC6" w:rsidRPr="00A016EE" w:rsidRDefault="00252AC6" w:rsidP="00F060F9">
            <w:pPr>
              <w:spacing w:before="60" w:after="60"/>
              <w:jc w:val="left"/>
              <w:rPr>
                <w:rFonts w:eastAsia="Calibri"/>
                <w:noProof/>
                <w:highlight w:val="magenta"/>
              </w:rPr>
            </w:pPr>
            <w:r w:rsidRPr="00A016EE">
              <w:rPr>
                <w:noProof/>
              </w:rPr>
              <w:t>Número de despedimentos antes ou após o período de referência (</w:t>
            </w:r>
            <w:r w:rsidRPr="00A016EE">
              <w:rPr>
                <w:i/>
                <w:iCs/>
                <w:noProof/>
              </w:rPr>
              <w:t>b</w:t>
            </w:r>
            <w:r w:rsidRPr="00A016EE">
              <w:rPr>
                <w:noProof/>
              </w:rPr>
              <w:t>)</w:t>
            </w:r>
          </w:p>
        </w:tc>
        <w:tc>
          <w:tcPr>
            <w:tcW w:w="4379" w:type="dxa"/>
            <w:gridSpan w:val="2"/>
            <w:tcBorders>
              <w:top w:val="dotted" w:sz="4" w:space="0" w:color="auto"/>
              <w:bottom w:val="dotted" w:sz="4" w:space="0" w:color="auto"/>
            </w:tcBorders>
            <w:shd w:val="clear" w:color="auto" w:fill="auto"/>
          </w:tcPr>
          <w:p w:rsidR="00252AC6" w:rsidRPr="00A016EE" w:rsidRDefault="00384E9F" w:rsidP="00A60360">
            <w:pPr>
              <w:spacing w:before="60" w:after="60"/>
              <w:ind w:rightChars="192" w:right="461"/>
              <w:jc w:val="left"/>
              <w:rPr>
                <w:rFonts w:eastAsia="Calibri"/>
                <w:noProof/>
              </w:rPr>
            </w:pPr>
            <w:r w:rsidRPr="00A016EE">
              <w:rPr>
                <w:noProof/>
              </w:rPr>
              <w:t>69</w:t>
            </w:r>
          </w:p>
        </w:tc>
      </w:tr>
      <w:tr w:rsidR="00252AC6" w:rsidRPr="00A016EE" w:rsidTr="00C812FC">
        <w:tc>
          <w:tcPr>
            <w:tcW w:w="4908" w:type="dxa"/>
            <w:tcBorders>
              <w:top w:val="dotted" w:sz="4" w:space="0" w:color="auto"/>
              <w:bottom w:val="single" w:sz="4" w:space="0" w:color="auto"/>
            </w:tcBorders>
            <w:shd w:val="clear" w:color="auto" w:fill="auto"/>
          </w:tcPr>
          <w:p w:rsidR="00252AC6" w:rsidRPr="00A016EE" w:rsidRDefault="00252AC6" w:rsidP="00A60360">
            <w:pPr>
              <w:spacing w:before="60" w:after="60"/>
              <w:jc w:val="left"/>
              <w:rPr>
                <w:rFonts w:eastAsia="Calibri"/>
                <w:noProof/>
              </w:rPr>
            </w:pPr>
            <w:r w:rsidRPr="00A016EE">
              <w:rPr>
                <w:noProof/>
              </w:rPr>
              <w:t>Número total de despedimentos (</w:t>
            </w:r>
            <w:r w:rsidRPr="00A016EE">
              <w:rPr>
                <w:i/>
                <w:iCs/>
                <w:noProof/>
              </w:rPr>
              <w:t>a</w:t>
            </w:r>
            <w:r w:rsidRPr="00A016EE">
              <w:rPr>
                <w:noProof/>
              </w:rPr>
              <w:t xml:space="preserve"> + </w:t>
            </w:r>
            <w:r w:rsidRPr="00A016EE">
              <w:rPr>
                <w:i/>
                <w:iCs/>
                <w:noProof/>
              </w:rPr>
              <w:t>b</w:t>
            </w:r>
            <w:r w:rsidRPr="00A016EE">
              <w:rPr>
                <w:noProof/>
              </w:rPr>
              <w:t>)</w:t>
            </w:r>
          </w:p>
        </w:tc>
        <w:tc>
          <w:tcPr>
            <w:tcW w:w="4379" w:type="dxa"/>
            <w:gridSpan w:val="2"/>
            <w:tcBorders>
              <w:top w:val="dotted" w:sz="4" w:space="0" w:color="auto"/>
              <w:bottom w:val="single" w:sz="4" w:space="0" w:color="auto"/>
            </w:tcBorders>
            <w:shd w:val="clear" w:color="auto" w:fill="auto"/>
          </w:tcPr>
          <w:p w:rsidR="00252AC6" w:rsidRPr="00A016EE" w:rsidRDefault="00E2235E" w:rsidP="00F060F9">
            <w:pPr>
              <w:spacing w:before="60" w:after="60"/>
              <w:ind w:rightChars="192" w:right="461"/>
              <w:jc w:val="left"/>
              <w:rPr>
                <w:rFonts w:eastAsia="Calibri"/>
                <w:noProof/>
              </w:rPr>
            </w:pPr>
            <w:r w:rsidRPr="00A016EE">
              <w:rPr>
                <w:noProof/>
              </w:rPr>
              <w:t>513</w:t>
            </w:r>
          </w:p>
        </w:tc>
      </w:tr>
      <w:tr w:rsidR="00252AC6" w:rsidRPr="00A016EE" w:rsidTr="00C812FC">
        <w:tc>
          <w:tcPr>
            <w:tcW w:w="4908" w:type="dxa"/>
            <w:tcBorders>
              <w:bottom w:val="dotted"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Número total de beneficiários elegíveis</w:t>
            </w:r>
          </w:p>
        </w:tc>
        <w:tc>
          <w:tcPr>
            <w:tcW w:w="4379" w:type="dxa"/>
            <w:gridSpan w:val="2"/>
            <w:tcBorders>
              <w:bottom w:val="dotted" w:sz="4" w:space="0" w:color="auto"/>
            </w:tcBorders>
            <w:shd w:val="clear" w:color="auto" w:fill="auto"/>
          </w:tcPr>
          <w:p w:rsidR="00252AC6" w:rsidRPr="00A016EE" w:rsidRDefault="004B193D" w:rsidP="00F060F9">
            <w:pPr>
              <w:spacing w:before="60" w:after="60"/>
              <w:ind w:rightChars="192" w:right="461"/>
              <w:jc w:val="left"/>
              <w:rPr>
                <w:rFonts w:eastAsia="Calibri"/>
                <w:noProof/>
              </w:rPr>
            </w:pPr>
            <w:r w:rsidRPr="00A016EE">
              <w:rPr>
                <w:noProof/>
              </w:rPr>
              <w:t>513</w:t>
            </w:r>
          </w:p>
        </w:tc>
      </w:tr>
      <w:tr w:rsidR="00252AC6" w:rsidRPr="00A016EE" w:rsidTr="00C812FC">
        <w:tc>
          <w:tcPr>
            <w:tcW w:w="4908" w:type="dxa"/>
            <w:tcBorders>
              <w:top w:val="dotted" w:sz="4" w:space="0" w:color="auto"/>
              <w:bottom w:val="dotted" w:sz="4" w:space="0" w:color="auto"/>
            </w:tcBorders>
            <w:shd w:val="clear" w:color="auto" w:fill="auto"/>
          </w:tcPr>
          <w:p w:rsidR="00252AC6" w:rsidRPr="00A016EE" w:rsidRDefault="00252AC6" w:rsidP="00F060F9">
            <w:pPr>
              <w:spacing w:before="60" w:after="60"/>
              <w:jc w:val="left"/>
              <w:rPr>
                <w:rFonts w:eastAsia="Calibri"/>
                <w:noProof/>
              </w:rPr>
            </w:pPr>
            <w:r w:rsidRPr="00A016EE">
              <w:rPr>
                <w:noProof/>
              </w:rPr>
              <w:t>Número total de beneficiários visados</w:t>
            </w:r>
          </w:p>
        </w:tc>
        <w:tc>
          <w:tcPr>
            <w:tcW w:w="4379" w:type="dxa"/>
            <w:gridSpan w:val="2"/>
            <w:tcBorders>
              <w:top w:val="dotted" w:sz="4" w:space="0" w:color="auto"/>
              <w:bottom w:val="dotted" w:sz="4" w:space="0" w:color="auto"/>
            </w:tcBorders>
            <w:shd w:val="clear" w:color="auto" w:fill="auto"/>
          </w:tcPr>
          <w:p w:rsidR="00252AC6" w:rsidRPr="00A016EE" w:rsidRDefault="00F05548" w:rsidP="00F060F9">
            <w:pPr>
              <w:spacing w:before="60" w:after="60"/>
              <w:ind w:rightChars="192" w:right="461"/>
              <w:jc w:val="left"/>
              <w:rPr>
                <w:rFonts w:eastAsia="Calibri"/>
                <w:noProof/>
              </w:rPr>
            </w:pPr>
            <w:r w:rsidRPr="00A016EE">
              <w:rPr>
                <w:noProof/>
              </w:rPr>
              <w:t>365</w:t>
            </w:r>
          </w:p>
        </w:tc>
      </w:tr>
      <w:tr w:rsidR="00C812FC" w:rsidRPr="00A016EE" w:rsidTr="00C812FC">
        <w:tc>
          <w:tcPr>
            <w:tcW w:w="4908" w:type="dxa"/>
            <w:tcBorders>
              <w:bottom w:val="dotted" w:sz="4" w:space="0" w:color="auto"/>
            </w:tcBorders>
            <w:shd w:val="clear" w:color="auto" w:fill="auto"/>
            <w:vAlign w:val="center"/>
          </w:tcPr>
          <w:p w:rsidR="00C812FC" w:rsidRPr="00A016EE" w:rsidRDefault="00C812FC" w:rsidP="00F060F9">
            <w:pPr>
              <w:spacing w:before="0" w:after="0"/>
              <w:jc w:val="left"/>
              <w:rPr>
                <w:noProof/>
              </w:rPr>
            </w:pPr>
            <w:r w:rsidRPr="00A016EE">
              <w:rPr>
                <w:noProof/>
              </w:rPr>
              <w:t>Orçamento para serviços personalizados (EUR)</w:t>
            </w:r>
          </w:p>
        </w:tc>
        <w:tc>
          <w:tcPr>
            <w:tcW w:w="1721" w:type="dxa"/>
            <w:tcBorders>
              <w:bottom w:val="dotted" w:sz="4" w:space="0" w:color="auto"/>
              <w:right w:val="nil"/>
            </w:tcBorders>
            <w:shd w:val="clear" w:color="auto" w:fill="auto"/>
            <w:vAlign w:val="center"/>
          </w:tcPr>
          <w:p w:rsidR="00C812FC" w:rsidRPr="00A016EE" w:rsidRDefault="00537682" w:rsidP="00C812FC">
            <w:pPr>
              <w:spacing w:before="0" w:after="0"/>
              <w:ind w:rightChars="192" w:right="461"/>
              <w:jc w:val="right"/>
              <w:rPr>
                <w:noProof/>
              </w:rPr>
            </w:pPr>
            <w:r w:rsidRPr="00A016EE">
              <w:rPr>
                <w:noProof/>
              </w:rPr>
              <w:t>3 009 752</w:t>
            </w:r>
          </w:p>
        </w:tc>
        <w:tc>
          <w:tcPr>
            <w:tcW w:w="2658" w:type="dxa"/>
            <w:tcBorders>
              <w:left w:val="nil"/>
              <w:bottom w:val="dotted" w:sz="4" w:space="0" w:color="auto"/>
            </w:tcBorders>
            <w:shd w:val="clear" w:color="auto" w:fill="auto"/>
            <w:vAlign w:val="center"/>
          </w:tcPr>
          <w:p w:rsidR="00C812FC" w:rsidRPr="00A016EE" w:rsidRDefault="00C812FC" w:rsidP="00F060F9">
            <w:pPr>
              <w:spacing w:before="0" w:after="0"/>
              <w:ind w:rightChars="192" w:right="461"/>
              <w:jc w:val="left"/>
              <w:rPr>
                <w:noProof/>
              </w:rPr>
            </w:pPr>
          </w:p>
        </w:tc>
      </w:tr>
      <w:tr w:rsidR="00C812FC" w:rsidRPr="00A016EE" w:rsidTr="00C812FC">
        <w:tc>
          <w:tcPr>
            <w:tcW w:w="4908" w:type="dxa"/>
            <w:tcBorders>
              <w:top w:val="dotted" w:sz="4" w:space="0" w:color="auto"/>
              <w:bottom w:val="dotted" w:sz="4" w:space="0" w:color="auto"/>
            </w:tcBorders>
            <w:shd w:val="clear" w:color="auto" w:fill="auto"/>
            <w:vAlign w:val="center"/>
          </w:tcPr>
          <w:p w:rsidR="00C812FC" w:rsidRPr="00A016EE" w:rsidRDefault="00C812FC" w:rsidP="00F060F9">
            <w:pPr>
              <w:spacing w:before="0" w:after="0"/>
              <w:jc w:val="left"/>
              <w:rPr>
                <w:noProof/>
              </w:rPr>
            </w:pPr>
            <w:r w:rsidRPr="00A016EE">
              <w:rPr>
                <w:noProof/>
              </w:rPr>
              <w:t>Orçamento para a execução do FEG</w:t>
            </w:r>
            <w:r w:rsidRPr="00A016EE">
              <w:rPr>
                <w:rStyle w:val="FootnoteReference"/>
                <w:noProof/>
              </w:rPr>
              <w:footnoteReference w:id="4"/>
            </w:r>
            <w:r w:rsidRPr="00A016EE">
              <w:rPr>
                <w:noProof/>
              </w:rPr>
              <w:t xml:space="preserve"> (EUR)</w:t>
            </w:r>
          </w:p>
        </w:tc>
        <w:tc>
          <w:tcPr>
            <w:tcW w:w="1721" w:type="dxa"/>
            <w:tcBorders>
              <w:top w:val="dotted" w:sz="4" w:space="0" w:color="auto"/>
              <w:bottom w:val="dotted" w:sz="4" w:space="0" w:color="auto"/>
              <w:right w:val="nil"/>
            </w:tcBorders>
            <w:shd w:val="clear" w:color="auto" w:fill="auto"/>
            <w:vAlign w:val="center"/>
          </w:tcPr>
          <w:p w:rsidR="00C812FC" w:rsidRPr="00A016EE" w:rsidRDefault="00537682" w:rsidP="00C812FC">
            <w:pPr>
              <w:spacing w:before="0" w:after="0"/>
              <w:ind w:rightChars="192" w:right="461"/>
              <w:jc w:val="right"/>
              <w:rPr>
                <w:noProof/>
              </w:rPr>
            </w:pPr>
            <w:r w:rsidRPr="00A016EE">
              <w:rPr>
                <w:noProof/>
              </w:rPr>
              <w:t>121 500</w:t>
            </w:r>
          </w:p>
        </w:tc>
        <w:tc>
          <w:tcPr>
            <w:tcW w:w="2658" w:type="dxa"/>
            <w:tcBorders>
              <w:top w:val="dotted" w:sz="4" w:space="0" w:color="auto"/>
              <w:left w:val="nil"/>
              <w:bottom w:val="dotted" w:sz="4" w:space="0" w:color="auto"/>
            </w:tcBorders>
            <w:shd w:val="clear" w:color="auto" w:fill="auto"/>
            <w:vAlign w:val="center"/>
          </w:tcPr>
          <w:p w:rsidR="00C812FC" w:rsidRPr="00A016EE" w:rsidRDefault="00C812FC" w:rsidP="00F060F9">
            <w:pPr>
              <w:spacing w:before="0" w:after="0"/>
              <w:ind w:rightChars="192" w:right="461"/>
              <w:jc w:val="left"/>
              <w:rPr>
                <w:noProof/>
              </w:rPr>
            </w:pPr>
          </w:p>
        </w:tc>
      </w:tr>
      <w:tr w:rsidR="00C812FC" w:rsidRPr="00A016EE" w:rsidTr="00C812FC">
        <w:tc>
          <w:tcPr>
            <w:tcW w:w="4908" w:type="dxa"/>
            <w:tcBorders>
              <w:top w:val="dotted" w:sz="4" w:space="0" w:color="auto"/>
              <w:bottom w:val="dotted" w:sz="4" w:space="0" w:color="auto"/>
            </w:tcBorders>
            <w:shd w:val="clear" w:color="auto" w:fill="auto"/>
            <w:vAlign w:val="center"/>
          </w:tcPr>
          <w:p w:rsidR="00C812FC" w:rsidRPr="00A016EE" w:rsidRDefault="00C812FC" w:rsidP="00F060F9">
            <w:pPr>
              <w:spacing w:before="0" w:after="0"/>
              <w:jc w:val="left"/>
              <w:rPr>
                <w:noProof/>
              </w:rPr>
            </w:pPr>
            <w:r w:rsidRPr="00A016EE">
              <w:rPr>
                <w:noProof/>
              </w:rPr>
              <w:t>Orçamento total (EUR)</w:t>
            </w:r>
          </w:p>
        </w:tc>
        <w:tc>
          <w:tcPr>
            <w:tcW w:w="1721" w:type="dxa"/>
            <w:tcBorders>
              <w:top w:val="dotted" w:sz="4" w:space="0" w:color="auto"/>
              <w:bottom w:val="dotted" w:sz="4" w:space="0" w:color="auto"/>
              <w:right w:val="nil"/>
            </w:tcBorders>
            <w:shd w:val="clear" w:color="auto" w:fill="auto"/>
            <w:vAlign w:val="center"/>
          </w:tcPr>
          <w:p w:rsidR="00C812FC" w:rsidRPr="00A016EE" w:rsidRDefault="00537682" w:rsidP="00C812FC">
            <w:pPr>
              <w:spacing w:before="0" w:after="0"/>
              <w:ind w:rightChars="192" w:right="461"/>
              <w:jc w:val="right"/>
              <w:rPr>
                <w:noProof/>
              </w:rPr>
            </w:pPr>
            <w:r w:rsidRPr="00A016EE">
              <w:rPr>
                <w:noProof/>
              </w:rPr>
              <w:t>3 131 252</w:t>
            </w:r>
          </w:p>
        </w:tc>
        <w:tc>
          <w:tcPr>
            <w:tcW w:w="2658" w:type="dxa"/>
            <w:tcBorders>
              <w:top w:val="dotted" w:sz="4" w:space="0" w:color="auto"/>
              <w:left w:val="nil"/>
              <w:bottom w:val="dotted" w:sz="4" w:space="0" w:color="auto"/>
            </w:tcBorders>
            <w:shd w:val="clear" w:color="auto" w:fill="auto"/>
            <w:vAlign w:val="center"/>
          </w:tcPr>
          <w:p w:rsidR="00C812FC" w:rsidRPr="00A016EE" w:rsidRDefault="00C812FC" w:rsidP="00F060F9">
            <w:pPr>
              <w:spacing w:before="0" w:after="0"/>
              <w:ind w:rightChars="192" w:right="461"/>
              <w:jc w:val="left"/>
              <w:rPr>
                <w:noProof/>
              </w:rPr>
            </w:pPr>
          </w:p>
        </w:tc>
      </w:tr>
      <w:tr w:rsidR="00C812FC" w:rsidRPr="00A016EE" w:rsidTr="00C812FC">
        <w:tc>
          <w:tcPr>
            <w:tcW w:w="4908" w:type="dxa"/>
            <w:tcBorders>
              <w:top w:val="dotted" w:sz="4" w:space="0" w:color="auto"/>
            </w:tcBorders>
            <w:shd w:val="clear" w:color="auto" w:fill="auto"/>
            <w:vAlign w:val="center"/>
          </w:tcPr>
          <w:p w:rsidR="00C812FC" w:rsidRPr="00A016EE" w:rsidRDefault="00C812FC" w:rsidP="00284DA4">
            <w:pPr>
              <w:spacing w:before="0" w:after="0"/>
              <w:jc w:val="left"/>
              <w:rPr>
                <w:noProof/>
              </w:rPr>
            </w:pPr>
            <w:r w:rsidRPr="00A016EE">
              <w:rPr>
                <w:noProof/>
              </w:rPr>
              <w:t>Contribuição do FEG (85 %) (EUR)</w:t>
            </w:r>
          </w:p>
        </w:tc>
        <w:tc>
          <w:tcPr>
            <w:tcW w:w="1721" w:type="dxa"/>
            <w:tcBorders>
              <w:top w:val="dotted" w:sz="4" w:space="0" w:color="auto"/>
              <w:right w:val="nil"/>
            </w:tcBorders>
            <w:shd w:val="clear" w:color="auto" w:fill="auto"/>
            <w:vAlign w:val="center"/>
          </w:tcPr>
          <w:p w:rsidR="00C812FC" w:rsidRPr="00A016EE" w:rsidRDefault="00537682" w:rsidP="00C812FC">
            <w:pPr>
              <w:spacing w:before="0" w:after="0"/>
              <w:ind w:rightChars="192" w:right="461"/>
              <w:jc w:val="right"/>
              <w:rPr>
                <w:noProof/>
              </w:rPr>
            </w:pPr>
            <w:r w:rsidRPr="00A016EE">
              <w:rPr>
                <w:noProof/>
              </w:rPr>
              <w:t>2 661 564</w:t>
            </w:r>
          </w:p>
        </w:tc>
        <w:tc>
          <w:tcPr>
            <w:tcW w:w="2658" w:type="dxa"/>
            <w:tcBorders>
              <w:top w:val="dotted" w:sz="4" w:space="0" w:color="auto"/>
              <w:left w:val="nil"/>
            </w:tcBorders>
            <w:shd w:val="clear" w:color="auto" w:fill="auto"/>
            <w:vAlign w:val="center"/>
          </w:tcPr>
          <w:p w:rsidR="00C812FC" w:rsidRPr="00A016EE" w:rsidRDefault="00C812FC" w:rsidP="00F060F9">
            <w:pPr>
              <w:spacing w:before="0" w:after="0"/>
              <w:ind w:rightChars="192" w:right="461"/>
              <w:jc w:val="left"/>
              <w:rPr>
                <w:noProof/>
              </w:rPr>
            </w:pPr>
          </w:p>
        </w:tc>
      </w:tr>
    </w:tbl>
    <w:p w:rsidR="00252AC6" w:rsidRPr="00A016EE" w:rsidRDefault="00252AC6" w:rsidP="00252AC6">
      <w:pPr>
        <w:pStyle w:val="ManualHeading1"/>
        <w:rPr>
          <w:noProof/>
        </w:rPr>
      </w:pPr>
      <w:r w:rsidRPr="00A016EE">
        <w:rPr>
          <w:noProof/>
        </w:rPr>
        <w:t>AVALIAÇÃO DA CANDIDATURA</w:t>
      </w:r>
    </w:p>
    <w:p w:rsidR="00252AC6" w:rsidRPr="00A016EE" w:rsidRDefault="00252AC6" w:rsidP="00252AC6">
      <w:pPr>
        <w:pStyle w:val="ManualHeading2"/>
        <w:rPr>
          <w:noProof/>
        </w:rPr>
      </w:pPr>
      <w:r w:rsidRPr="00A016EE">
        <w:rPr>
          <w:noProof/>
        </w:rPr>
        <w:t>Procedimento</w:t>
      </w:r>
    </w:p>
    <w:p w:rsidR="00252AC6" w:rsidRPr="00A016EE" w:rsidRDefault="0001257F" w:rsidP="0001257F">
      <w:pPr>
        <w:pStyle w:val="ManualNumPar1"/>
        <w:rPr>
          <w:noProof/>
        </w:rPr>
      </w:pPr>
      <w:r w:rsidRPr="0001257F">
        <w:rPr>
          <w:noProof/>
        </w:rPr>
        <w:t>4.</w:t>
      </w:r>
      <w:r w:rsidRPr="0001257F">
        <w:rPr>
          <w:noProof/>
        </w:rPr>
        <w:tab/>
      </w:r>
      <w:r w:rsidR="000C64A4" w:rsidRPr="00A016EE">
        <w:rPr>
          <w:noProof/>
        </w:rPr>
        <w:t xml:space="preserve">Em 3 de junho de 2024, a Bélgica apresentou a candidatura EGF/2024/001 BE/Match-Smatch no prazo de 12 semanas a contar da data em que foram cumpridos os critérios de intervenção previstos no artigo 4.º, n.º 2, alínea a), do Regulamento (UE) 2021/691. A Comissão confirmou a receção da candidatura na mesma data e pediu informações complementares às autoridades belgas em 17 de junho de 2024. Essas informações foram transmitidas no prazo de 15 dias úteis a contar da data do pedido. O prazo de 50 dias úteis a contar da receção da candidatura completa de que a Comissão dispõe para concluir se a candidatura cumpre as condições para atribuição de uma contribuição financeira termina em 17 de setembro de 2024. </w:t>
      </w:r>
    </w:p>
    <w:p w:rsidR="00252AC6" w:rsidRPr="00A016EE" w:rsidRDefault="00252AC6" w:rsidP="00252AC6">
      <w:pPr>
        <w:pStyle w:val="ManualHeading2"/>
        <w:rPr>
          <w:noProof/>
        </w:rPr>
      </w:pPr>
      <w:r w:rsidRPr="00A016EE">
        <w:rPr>
          <w:noProof/>
        </w:rPr>
        <w:t>Elegibilidade da candidatura</w:t>
      </w:r>
    </w:p>
    <w:p w:rsidR="00252AC6" w:rsidRPr="00A016EE" w:rsidRDefault="00252AC6" w:rsidP="00252AC6">
      <w:pPr>
        <w:pStyle w:val="ManualHeading3"/>
        <w:rPr>
          <w:noProof/>
        </w:rPr>
      </w:pPr>
      <w:r w:rsidRPr="00A016EE">
        <w:rPr>
          <w:noProof/>
        </w:rPr>
        <w:t>Empresas e beneficiários em causa</w:t>
      </w:r>
    </w:p>
    <w:p w:rsidR="00252AC6" w:rsidRPr="00A016EE" w:rsidRDefault="0001257F" w:rsidP="0001257F">
      <w:pPr>
        <w:pStyle w:val="ManualNumPar1"/>
        <w:rPr>
          <w:noProof/>
          <w:szCs w:val="24"/>
        </w:rPr>
      </w:pPr>
      <w:r w:rsidRPr="0001257F">
        <w:rPr>
          <w:noProof/>
        </w:rPr>
        <w:t>5.</w:t>
      </w:r>
      <w:r w:rsidRPr="0001257F">
        <w:rPr>
          <w:noProof/>
        </w:rPr>
        <w:tab/>
      </w:r>
      <w:r w:rsidR="00252AC6" w:rsidRPr="00A016EE">
        <w:rPr>
          <w:noProof/>
        </w:rPr>
        <w:t>A candidatura diz respeito a 513 trabalhadores despedidos cuja atividade cessou na empresa Match-Smatch. Esta empresa opera no setor económico classificado na divisão 47 da NACE Rev. 2 (Mercados retalhistas, exceto de veículos automóveis e motociclos). Os despedimentos estão localizados principalmente nas regiões de nível NUTS 2 da província do Hainaut (BE32), da província de Liège (BE33) e da província de Namur (BE35).</w:t>
      </w:r>
    </w:p>
    <w:p w:rsidR="00252AC6" w:rsidRPr="00A016EE" w:rsidRDefault="00252AC6" w:rsidP="00252AC6">
      <w:pPr>
        <w:pStyle w:val="ManualHeading3"/>
        <w:rPr>
          <w:noProof/>
        </w:rPr>
      </w:pPr>
      <w:r w:rsidRPr="00A016EE">
        <w:rPr>
          <w:noProof/>
        </w:rPr>
        <w:t>Critérios de intervenção</w:t>
      </w:r>
    </w:p>
    <w:p w:rsidR="00252AC6" w:rsidRPr="00A016EE" w:rsidRDefault="0001257F" w:rsidP="0001257F">
      <w:pPr>
        <w:pStyle w:val="ManualNumPar1"/>
        <w:rPr>
          <w:noProof/>
        </w:rPr>
      </w:pPr>
      <w:r w:rsidRPr="0001257F">
        <w:rPr>
          <w:noProof/>
        </w:rPr>
        <w:t>6.</w:t>
      </w:r>
      <w:r w:rsidRPr="0001257F">
        <w:rPr>
          <w:noProof/>
        </w:rPr>
        <w:tab/>
      </w:r>
      <w:r w:rsidR="000C64A4" w:rsidRPr="00A016EE">
        <w:rPr>
          <w:noProof/>
        </w:rPr>
        <w:t>As autoridades belgas apresentaram a candidatura ao abrigo do critério de intervenção previsto no artigo 4.º, n.º 2, alínea a), do Regulamento (UE) 2021/691, que requer a cessação da atividade de pelo menos 200 trabalhadores despedidos durante um período de referência de quatro meses numa empresa de um Estado</w:t>
      </w:r>
      <w:r w:rsidR="00266734">
        <w:rPr>
          <w:noProof/>
        </w:rPr>
        <w:noBreakHyphen/>
      </w:r>
      <w:r w:rsidR="000C64A4" w:rsidRPr="00A016EE">
        <w:rPr>
          <w:noProof/>
        </w:rPr>
        <w:t>Membro, incluindo trabalhadores despedidos em empresas fornecedoras ou produtoras a jusante e/ou trabalhadores independentes cuja atividade tenha cessado.</w:t>
      </w:r>
    </w:p>
    <w:p w:rsidR="00252AC6" w:rsidRPr="00A016EE" w:rsidRDefault="0001257F" w:rsidP="0001257F">
      <w:pPr>
        <w:pStyle w:val="ManualNumPar1"/>
        <w:rPr>
          <w:noProof/>
        </w:rPr>
      </w:pPr>
      <w:bookmarkStart w:id="8" w:name="_Ref372189348"/>
      <w:r w:rsidRPr="0001257F">
        <w:rPr>
          <w:noProof/>
        </w:rPr>
        <w:t>7.</w:t>
      </w:r>
      <w:r w:rsidRPr="0001257F">
        <w:rPr>
          <w:noProof/>
        </w:rPr>
        <w:tab/>
      </w:r>
      <w:r w:rsidR="00252AC6" w:rsidRPr="00A016EE">
        <w:rPr>
          <w:noProof/>
        </w:rPr>
        <w:t>O período de referência de quatro meses decorreu de 11 de dezembro de 2023 a</w:t>
      </w:r>
      <w:bookmarkEnd w:id="8"/>
      <w:r w:rsidR="00252AC6" w:rsidRPr="00A016EE">
        <w:rPr>
          <w:noProof/>
        </w:rPr>
        <w:t xml:space="preserve"> 11 de abril de 2024.</w:t>
      </w:r>
    </w:p>
    <w:p w:rsidR="00252AC6" w:rsidRPr="00A016EE" w:rsidRDefault="0001257F" w:rsidP="0001257F">
      <w:pPr>
        <w:pStyle w:val="ManualNumPar1"/>
        <w:rPr>
          <w:noProof/>
        </w:rPr>
      </w:pPr>
      <w:r w:rsidRPr="0001257F">
        <w:rPr>
          <w:noProof/>
        </w:rPr>
        <w:t>8.</w:t>
      </w:r>
      <w:r w:rsidRPr="0001257F">
        <w:rPr>
          <w:noProof/>
        </w:rPr>
        <w:tab/>
      </w:r>
      <w:r w:rsidR="00596F33" w:rsidRPr="00A016EE">
        <w:rPr>
          <w:noProof/>
        </w:rPr>
        <w:t>Durante o período de referência, foram despedidos 444 trabalhadores da Match</w:t>
      </w:r>
      <w:r w:rsidR="00266734">
        <w:rPr>
          <w:noProof/>
        </w:rPr>
        <w:noBreakHyphen/>
      </w:r>
      <w:r w:rsidR="00596F33" w:rsidRPr="00A016EE">
        <w:rPr>
          <w:noProof/>
        </w:rPr>
        <w:t xml:space="preserve">Smatch. </w:t>
      </w:r>
    </w:p>
    <w:p w:rsidR="00252AC6" w:rsidRPr="00A016EE" w:rsidRDefault="00252AC6" w:rsidP="00252AC6">
      <w:pPr>
        <w:pStyle w:val="ManualHeading3"/>
        <w:rPr>
          <w:noProof/>
        </w:rPr>
      </w:pPr>
      <w:r w:rsidRPr="00A016EE">
        <w:rPr>
          <w:noProof/>
        </w:rPr>
        <w:t>Cálculo dos despedimentos e da cessação de atividade</w:t>
      </w:r>
    </w:p>
    <w:p w:rsidR="00252AC6" w:rsidRPr="00A016EE" w:rsidRDefault="0001257F" w:rsidP="0001257F">
      <w:pPr>
        <w:pStyle w:val="ManualNumPar1"/>
        <w:rPr>
          <w:noProof/>
        </w:rPr>
      </w:pPr>
      <w:r w:rsidRPr="0001257F">
        <w:rPr>
          <w:noProof/>
        </w:rPr>
        <w:t>9.</w:t>
      </w:r>
      <w:r w:rsidRPr="0001257F">
        <w:rPr>
          <w:noProof/>
        </w:rPr>
        <w:tab/>
      </w:r>
      <w:r w:rsidR="00440384" w:rsidRPr="00A016EE">
        <w:rPr>
          <w:noProof/>
        </w:rPr>
        <w:t>Nos termos do artigo 6.º, primeiro parágrafo, alínea a), em conjugação com o artigo 5.º, primeiro parágrafo, alínea c), do Regulamento (UE) 2021/691, a cessação das atividades dos trabalhadores despedidos durante o período de referência foi calculada a contar da data do termo efetivo ou da caducidade do contrato de trabalho.</w:t>
      </w:r>
    </w:p>
    <w:p w:rsidR="00252AC6" w:rsidRPr="00A016EE" w:rsidRDefault="00252AC6" w:rsidP="00252AC6">
      <w:pPr>
        <w:pStyle w:val="ManualHeading3"/>
        <w:rPr>
          <w:noProof/>
        </w:rPr>
      </w:pPr>
      <w:r w:rsidRPr="00A016EE">
        <w:rPr>
          <w:noProof/>
        </w:rPr>
        <w:t>Beneficiários elegíveis</w:t>
      </w:r>
    </w:p>
    <w:p w:rsidR="00252AC6" w:rsidRPr="00A016EE" w:rsidRDefault="0001257F" w:rsidP="0001257F">
      <w:pPr>
        <w:pStyle w:val="ManualNumPar1"/>
        <w:rPr>
          <w:noProof/>
        </w:rPr>
      </w:pPr>
      <w:r w:rsidRPr="0001257F">
        <w:rPr>
          <w:noProof/>
        </w:rPr>
        <w:t>10.</w:t>
      </w:r>
      <w:r w:rsidRPr="0001257F">
        <w:rPr>
          <w:noProof/>
        </w:rPr>
        <w:tab/>
      </w:r>
      <w:r w:rsidR="00252AC6" w:rsidRPr="00A016EE">
        <w:rPr>
          <w:noProof/>
        </w:rPr>
        <w:t>Para além dos trabalhadores já referidos, o conjunto dos beneficiários elegíveis inclui 69 trabalhadores despedidos cuja atividade cessou antes ou depois do período de referência de quatro meses. Todos estes trabalhadores cessaram a sua atividade nos seis meses anteriores ao início do período de referência e/ou entre o termo do período de referência e o dia anterior à adoção da presente proposta, nos termos do artigo 6.º, primeiro parágrafo, alínea b), do Regulamento (UE) 2021/691, tal como exigido pelo artigo 6.º, segundo parágrafo, do Regulamento (UE) 2021/691. É possível estabelecer um vínculo causal claro com o evento que motivou a cessação das atividades dos trabalhadores despedidos durante o período de referência, como estabelecido pelo artigo 6.º, segundo parágrafo, do Regulamento (UE) 2021/691.</w:t>
      </w:r>
    </w:p>
    <w:p w:rsidR="00252AC6" w:rsidRPr="00A016EE" w:rsidRDefault="0001257F" w:rsidP="0001257F">
      <w:pPr>
        <w:pStyle w:val="ManualNumPar1"/>
        <w:rPr>
          <w:noProof/>
        </w:rPr>
      </w:pPr>
      <w:r w:rsidRPr="0001257F">
        <w:rPr>
          <w:noProof/>
        </w:rPr>
        <w:t>11.</w:t>
      </w:r>
      <w:r w:rsidRPr="0001257F">
        <w:rPr>
          <w:noProof/>
        </w:rPr>
        <w:tab/>
      </w:r>
      <w:r w:rsidR="00252AC6" w:rsidRPr="00A016EE">
        <w:rPr>
          <w:noProof/>
        </w:rPr>
        <w:t>O número total de beneficiários elegíveis é 513.</w:t>
      </w:r>
    </w:p>
    <w:p w:rsidR="00252AC6" w:rsidRPr="00A016EE" w:rsidRDefault="00385115" w:rsidP="00252AC6">
      <w:pPr>
        <w:pStyle w:val="ManualHeading3"/>
        <w:rPr>
          <w:noProof/>
        </w:rPr>
      </w:pPr>
      <w:r w:rsidRPr="00A016EE">
        <w:rPr>
          <w:noProof/>
        </w:rPr>
        <w:t>Descrição dos acontecimentos que conduziram aos despedimentos e à cessação de atividade</w:t>
      </w:r>
    </w:p>
    <w:p w:rsidR="001C7D02" w:rsidRPr="00A016EE" w:rsidRDefault="0001257F" w:rsidP="0001257F">
      <w:pPr>
        <w:pStyle w:val="ManualNumPar1"/>
        <w:rPr>
          <w:noProof/>
        </w:rPr>
      </w:pPr>
      <w:r w:rsidRPr="0001257F">
        <w:rPr>
          <w:noProof/>
        </w:rPr>
        <w:t>12.</w:t>
      </w:r>
      <w:r w:rsidRPr="0001257F">
        <w:rPr>
          <w:noProof/>
        </w:rPr>
        <w:tab/>
      </w:r>
      <w:r w:rsidR="001C7D02" w:rsidRPr="00A016EE">
        <w:rPr>
          <w:noProof/>
        </w:rPr>
        <w:t>Durante vários anos a Match-Smatch enfrentou uma situação económica difícil. Em 2019, uma primeira reestruturação conduziu ao encerramento de 15 lojas e a 140 despedimentos. Em 2020, a pandemia de COVID-19 esteve na origem de um aumento pronunciado do volume de negócios da Match-Smatch, assim como no setor dos produtos alimentares a retalho em geral, devido ao encerramento do setor da hospitalidade, à corrida para comprar alimentos, etc. Esta situação excecional permitiu à empresa Match-Smatch obter um resultado positivo líquido de 3,6 milhões de EUR. No entanto, à medida que a situação sanitária regressou à normalidade, a Match-Smatch voltou a registar perdas de 11,9 milhões de EUR em 2021</w:t>
      </w:r>
      <w:r w:rsidR="0079619E" w:rsidRPr="00A016EE">
        <w:rPr>
          <w:rStyle w:val="FootnoteReference"/>
          <w:noProof/>
        </w:rPr>
        <w:footnoteReference w:id="5"/>
      </w:r>
      <w:r w:rsidR="001C7D02" w:rsidRPr="00A016EE">
        <w:rPr>
          <w:noProof/>
        </w:rPr>
        <w:t>.</w:t>
      </w:r>
    </w:p>
    <w:p w:rsidR="001C7D02" w:rsidRPr="00A016EE" w:rsidRDefault="0001257F" w:rsidP="0001257F">
      <w:pPr>
        <w:pStyle w:val="ManualNumPar1"/>
        <w:rPr>
          <w:noProof/>
        </w:rPr>
      </w:pPr>
      <w:r w:rsidRPr="0001257F">
        <w:rPr>
          <w:noProof/>
        </w:rPr>
        <w:t>13.</w:t>
      </w:r>
      <w:r w:rsidRPr="0001257F">
        <w:rPr>
          <w:noProof/>
        </w:rPr>
        <w:tab/>
      </w:r>
      <w:r w:rsidR="001C7D02" w:rsidRPr="00A016EE">
        <w:rPr>
          <w:noProof/>
        </w:rPr>
        <w:t>Em janeiro de 2022, foi lançado um plano de ação para reduzir as perdas e voltar a colocar a empresa numa trajetória de equilíbrio financeiro. No entanto, o comércio de produtos alimentares foi fortemente afetado pela crise energética e inflacionista. Consequentemente, o plano de ação falhou e o valor operacional bruto atingiu uma perda histórica de 36,5 milhões de EUR em 2022 e nove lojas tiveram de encerrar.</w:t>
      </w:r>
    </w:p>
    <w:p w:rsidR="001C7D02" w:rsidRPr="00A016EE" w:rsidRDefault="0001257F" w:rsidP="0001257F">
      <w:pPr>
        <w:pStyle w:val="ManualNumPar1"/>
        <w:rPr>
          <w:noProof/>
        </w:rPr>
      </w:pPr>
      <w:r w:rsidRPr="0001257F">
        <w:rPr>
          <w:noProof/>
        </w:rPr>
        <w:t>14.</w:t>
      </w:r>
      <w:r w:rsidRPr="0001257F">
        <w:rPr>
          <w:noProof/>
        </w:rPr>
        <w:tab/>
      </w:r>
      <w:r w:rsidR="00513C7E" w:rsidRPr="00A016EE">
        <w:rPr>
          <w:noProof/>
        </w:rPr>
        <w:t>De um modo geral, o setor belga do comércio retalhista de produtos alimentares registou uma diminuição significativa nos volumes vendidos em 2023. O aumento das compras transfronteiras e do comércio eletrónico explica parcialmente este fenómeno. De acordo com a Comeos, a associação belga de comércio e serviços, as aquisições transfronteiras em França aumentaram quase 70 % no primeiro trimestre de 2023, em comparação com o primeiro trimestre de 2022</w:t>
      </w:r>
      <w:r w:rsidR="001C7D02" w:rsidRPr="00A016EE">
        <w:rPr>
          <w:rStyle w:val="FootnoteReference"/>
          <w:noProof/>
        </w:rPr>
        <w:footnoteReference w:id="6"/>
      </w:r>
      <w:r w:rsidR="00513C7E" w:rsidRPr="00A016EE">
        <w:rPr>
          <w:noProof/>
        </w:rPr>
        <w:t xml:space="preserve">. </w:t>
      </w:r>
    </w:p>
    <w:p w:rsidR="001C7D02" w:rsidRPr="00A016EE" w:rsidRDefault="0001257F" w:rsidP="0001257F">
      <w:pPr>
        <w:pStyle w:val="ManualNumPar1"/>
        <w:rPr>
          <w:noProof/>
        </w:rPr>
      </w:pPr>
      <w:r w:rsidRPr="0001257F">
        <w:rPr>
          <w:noProof/>
        </w:rPr>
        <w:t>15.</w:t>
      </w:r>
      <w:r w:rsidRPr="0001257F">
        <w:rPr>
          <w:noProof/>
        </w:rPr>
        <w:tab/>
      </w:r>
      <w:r w:rsidR="001C7D02" w:rsidRPr="00A016EE">
        <w:rPr>
          <w:noProof/>
        </w:rPr>
        <w:t>Para evitar uma nova acumulação de perdas, a Match-Smatch aceitou a proposta do Grupo Colruyt de adquirir 57 das 84 lojas, incluindo o pessoal das lojas (1 069 pessoas). Oito lojas adicionais foram adquiridas pela Carrefour, Delhaise, Intermarché e Delfood.</w:t>
      </w:r>
    </w:p>
    <w:p w:rsidR="00252AC6" w:rsidRPr="00A016EE" w:rsidRDefault="0001257F" w:rsidP="0001257F">
      <w:pPr>
        <w:pStyle w:val="ManualNumPar1"/>
        <w:rPr>
          <w:noProof/>
        </w:rPr>
      </w:pPr>
      <w:r w:rsidRPr="0001257F">
        <w:rPr>
          <w:noProof/>
        </w:rPr>
        <w:t>16.</w:t>
      </w:r>
      <w:r w:rsidRPr="0001257F">
        <w:rPr>
          <w:noProof/>
        </w:rPr>
        <w:tab/>
      </w:r>
      <w:r w:rsidR="001C7D02" w:rsidRPr="00A016EE">
        <w:rPr>
          <w:noProof/>
        </w:rPr>
        <w:t xml:space="preserve">Os 339 trabalhadores das 19 lojas para as quais não foi possível encontrar comprador, bem como os 174 trabalhadores da sede da Match-Smatch, foram sujeitos a um processo de despedimento coletivo. </w:t>
      </w:r>
    </w:p>
    <w:p w:rsidR="00252AC6" w:rsidRPr="00A016EE" w:rsidRDefault="00252AC6" w:rsidP="00252AC6">
      <w:pPr>
        <w:pStyle w:val="ManualHeading3"/>
        <w:tabs>
          <w:tab w:val="clear" w:pos="850"/>
          <w:tab w:val="left" w:pos="0"/>
        </w:tabs>
        <w:ind w:left="0" w:firstLine="0"/>
        <w:rPr>
          <w:noProof/>
        </w:rPr>
      </w:pPr>
      <w:r w:rsidRPr="00A016EE">
        <w:rPr>
          <w:noProof/>
        </w:rPr>
        <w:t>Impacto esperado dos despedimentos na economia local, regional ou nacional e no emprego</w:t>
      </w:r>
    </w:p>
    <w:p w:rsidR="00607321" w:rsidRPr="00A016EE" w:rsidRDefault="0001257F" w:rsidP="0001257F">
      <w:pPr>
        <w:pStyle w:val="ManualNumPar1"/>
        <w:rPr>
          <w:noProof/>
        </w:rPr>
      </w:pPr>
      <w:r w:rsidRPr="0001257F">
        <w:rPr>
          <w:noProof/>
        </w:rPr>
        <w:t>17.</w:t>
      </w:r>
      <w:r w:rsidRPr="0001257F">
        <w:rPr>
          <w:noProof/>
        </w:rPr>
        <w:tab/>
      </w:r>
      <w:r w:rsidR="00D40096" w:rsidRPr="00A016EE">
        <w:rPr>
          <w:noProof/>
        </w:rPr>
        <w:t xml:space="preserve">Os despedimentos da Match-Smatch afetam toda a Bélgica. No entanto, o impacto territorial dos despedimentos varia </w:t>
      </w:r>
      <w:r w:rsidR="00D40096" w:rsidRPr="00A016EE">
        <w:rPr>
          <w:rStyle w:val="rynqvb"/>
          <w:noProof/>
        </w:rPr>
        <w:t>devido às diferenças entre os mercados de trabalho flamengo e valão e ao facto de mais de 70 % dos despedimentos se concentrarem na Valónia</w:t>
      </w:r>
      <w:r w:rsidR="00D40096" w:rsidRPr="00A016EE">
        <w:rPr>
          <w:noProof/>
        </w:rPr>
        <w:t>.</w:t>
      </w:r>
    </w:p>
    <w:p w:rsidR="00D40096" w:rsidRPr="00A016EE" w:rsidRDefault="0001257F" w:rsidP="0001257F">
      <w:pPr>
        <w:pStyle w:val="ManualNumPar1"/>
        <w:rPr>
          <w:noProof/>
        </w:rPr>
      </w:pPr>
      <w:r w:rsidRPr="0001257F">
        <w:rPr>
          <w:noProof/>
        </w:rPr>
        <w:t>18.</w:t>
      </w:r>
      <w:r w:rsidRPr="0001257F">
        <w:rPr>
          <w:noProof/>
        </w:rPr>
        <w:tab/>
      </w:r>
      <w:r w:rsidR="00D40096" w:rsidRPr="00A016EE">
        <w:rPr>
          <w:noProof/>
        </w:rPr>
        <w:t>Em 2023, a taxa de desemprego no conjunto da Bélgica manteve-se nos 5,5 %, o mesmo nível que em 2022. A nível regional, o desemprego aumentou de 3,2 % para 3,4 % na Flandres e diminuiu de 8,4 % para 8,2 % na Valónia. No entanto, persiste a diferença de cerca de 5 pontos percentuais (p.p.) na taxa de desemprego</w:t>
      </w:r>
      <w:r w:rsidR="006845C3" w:rsidRPr="00A016EE">
        <w:rPr>
          <w:rStyle w:val="FootnoteReference"/>
          <w:noProof/>
        </w:rPr>
        <w:footnoteReference w:id="7"/>
      </w:r>
      <w:r w:rsidR="00D40096" w:rsidRPr="00A016EE">
        <w:rPr>
          <w:noProof/>
        </w:rPr>
        <w:t>.</w:t>
      </w:r>
    </w:p>
    <w:p w:rsidR="00D40096" w:rsidRPr="00A016EE" w:rsidRDefault="0001257F" w:rsidP="0001257F">
      <w:pPr>
        <w:pStyle w:val="ManualNumPar1"/>
        <w:rPr>
          <w:noProof/>
        </w:rPr>
      </w:pPr>
      <w:r w:rsidRPr="0001257F">
        <w:rPr>
          <w:noProof/>
        </w:rPr>
        <w:t>19.</w:t>
      </w:r>
      <w:r w:rsidRPr="0001257F">
        <w:rPr>
          <w:noProof/>
        </w:rPr>
        <w:tab/>
      </w:r>
      <w:r w:rsidR="00D40096" w:rsidRPr="00A016EE">
        <w:rPr>
          <w:noProof/>
        </w:rPr>
        <w:t>No último trimestre de 2023, a taxa de emprego na Flandres era de 77,0 %</w:t>
      </w:r>
      <w:r w:rsidR="00511891" w:rsidRPr="00A016EE">
        <w:rPr>
          <w:rStyle w:val="FootnoteReference"/>
          <w:noProof/>
        </w:rPr>
        <w:footnoteReference w:id="8"/>
      </w:r>
      <w:r w:rsidR="00D40096" w:rsidRPr="00A016EE">
        <w:rPr>
          <w:noProof/>
        </w:rPr>
        <w:t xml:space="preserve"> e, por isso, 1,5 p.p. acima da média da UE de 75,5 %</w:t>
      </w:r>
      <w:r w:rsidR="00601B62" w:rsidRPr="00A016EE">
        <w:rPr>
          <w:rStyle w:val="FootnoteReference"/>
          <w:noProof/>
        </w:rPr>
        <w:footnoteReference w:id="9"/>
      </w:r>
      <w:r w:rsidR="00D40096" w:rsidRPr="00A016EE">
        <w:rPr>
          <w:noProof/>
        </w:rPr>
        <w:t>, enquanto a taxa de emprego na Valónia (66,7 %) era 10,3 p.p. inferior à da Flandres e cerca de 9 p.p. inferior à média da UE</w:t>
      </w:r>
      <w:r w:rsidR="00997428" w:rsidRPr="00A016EE">
        <w:rPr>
          <w:rStyle w:val="FootnoteReference"/>
          <w:noProof/>
        </w:rPr>
        <w:footnoteReference w:id="10"/>
      </w:r>
      <w:r w:rsidR="00D40096" w:rsidRPr="00A016EE">
        <w:rPr>
          <w:noProof/>
        </w:rPr>
        <w:t>.</w:t>
      </w:r>
    </w:p>
    <w:p w:rsidR="00D40096" w:rsidRPr="00A016EE" w:rsidRDefault="0001257F" w:rsidP="0001257F">
      <w:pPr>
        <w:pStyle w:val="ManualNumPar1"/>
        <w:rPr>
          <w:noProof/>
        </w:rPr>
      </w:pPr>
      <w:r w:rsidRPr="0001257F">
        <w:rPr>
          <w:noProof/>
        </w:rPr>
        <w:t>20.</w:t>
      </w:r>
      <w:r w:rsidRPr="0001257F">
        <w:rPr>
          <w:noProof/>
        </w:rPr>
        <w:tab/>
      </w:r>
      <w:r w:rsidR="00D40096" w:rsidRPr="00A016EE">
        <w:rPr>
          <w:noProof/>
        </w:rPr>
        <w:t>Os trabalhadores mais velhos enfrentam mais dificuldades para reingressarem no mercado de trabalho. No último trimestre de 2023, havia uma diferença de 18,3 p.p. entre a taxa de emprego do grupo etário 20-54 (76,8 %) e a taxa de emprego do grupo etário 55+ (58,5 %) a nível nacional</w:t>
      </w:r>
      <w:r w:rsidR="00D25069" w:rsidRPr="00A016EE">
        <w:rPr>
          <w:rStyle w:val="FootnoteReference"/>
          <w:noProof/>
        </w:rPr>
        <w:footnoteReference w:id="11"/>
      </w:r>
      <w:r w:rsidR="00D40096" w:rsidRPr="00A016EE">
        <w:rPr>
          <w:noProof/>
        </w:rPr>
        <w:t>. No mercado de trabalho da Valónia, os candidatos a emprego registados com idade igual ou superior a 50 anos representavam 25 % do total de candidatos a emprego em março de 2024</w:t>
      </w:r>
      <w:r w:rsidR="00A555F7" w:rsidRPr="00A016EE">
        <w:rPr>
          <w:rStyle w:val="FootnoteReference"/>
          <w:noProof/>
        </w:rPr>
        <w:footnoteReference w:id="12"/>
      </w:r>
      <w:r w:rsidR="00D40096" w:rsidRPr="00A016EE">
        <w:rPr>
          <w:noProof/>
        </w:rPr>
        <w:t>. Cerca de metade dos trabalhadores despedidos pela Match-Smatch (46 %) têm 50 anos de idade ou mais.</w:t>
      </w:r>
    </w:p>
    <w:p w:rsidR="00824671" w:rsidRPr="00A016EE" w:rsidRDefault="0001257F" w:rsidP="0001257F">
      <w:pPr>
        <w:pStyle w:val="ManualNumPar1"/>
        <w:rPr>
          <w:noProof/>
        </w:rPr>
      </w:pPr>
      <w:r w:rsidRPr="0001257F">
        <w:rPr>
          <w:noProof/>
        </w:rPr>
        <w:t>21.</w:t>
      </w:r>
      <w:r w:rsidRPr="0001257F">
        <w:rPr>
          <w:noProof/>
        </w:rPr>
        <w:tab/>
      </w:r>
      <w:r w:rsidR="00006E8C" w:rsidRPr="00A016EE">
        <w:rPr>
          <w:noProof/>
        </w:rPr>
        <w:t>A mão de obra da Match-Smatch é composta essencialmente por caixas e trabalhadores de armazém. A crise económica causada pela pandemia de COVID-19 acelerou a procura de trabalhadores mais qualificados no mercado de trabalho belga</w:t>
      </w:r>
      <w:r w:rsidR="00824671" w:rsidRPr="00A016EE">
        <w:rPr>
          <w:rStyle w:val="FootnoteReference"/>
          <w:noProof/>
        </w:rPr>
        <w:footnoteReference w:id="13"/>
      </w:r>
      <w:r w:rsidR="00006E8C" w:rsidRPr="00A016EE">
        <w:rPr>
          <w:noProof/>
        </w:rPr>
        <w:t>, dificultando a reintegração no mercado de trabalho dos antigos trabalhadores da Match-Smatch.</w:t>
      </w:r>
    </w:p>
    <w:p w:rsidR="00252AC6" w:rsidRPr="00A016EE" w:rsidRDefault="0001257F" w:rsidP="0001257F">
      <w:pPr>
        <w:pStyle w:val="ManualNumPar1"/>
        <w:rPr>
          <w:noProof/>
        </w:rPr>
      </w:pPr>
      <w:r w:rsidRPr="0001257F">
        <w:rPr>
          <w:noProof/>
        </w:rPr>
        <w:t>22.</w:t>
      </w:r>
      <w:r w:rsidRPr="0001257F">
        <w:rPr>
          <w:noProof/>
        </w:rPr>
        <w:tab/>
      </w:r>
      <w:r w:rsidR="008E5881" w:rsidRPr="00A016EE">
        <w:rPr>
          <w:noProof/>
        </w:rPr>
        <w:t>A Bélgica candidatou-se ao cofinanciamento do FEG apenas para apoiar os antigos trabalhadores da Match-Smatch residentes na Valónia. As autoridades regionais flamengas consideram que não é necessário complementar o apoio disponível para os antigos trabalhadores da Match-Smatch residentes na Flandres com cofinanciamento europeu do FEG, dada a situação no mercado de trabalho regional.</w:t>
      </w:r>
    </w:p>
    <w:p w:rsidR="00CE3812" w:rsidRPr="00A016EE" w:rsidRDefault="00CE3812" w:rsidP="00CE3812">
      <w:pPr>
        <w:pStyle w:val="ManualHeading2"/>
        <w:rPr>
          <w:noProof/>
        </w:rPr>
      </w:pPr>
      <w:r w:rsidRPr="00A016EE">
        <w:rPr>
          <w:noProof/>
        </w:rPr>
        <w:t>Aplicação do Quadro de qualidade da UE para a antecipação da mudança e de processos de reestruturação</w:t>
      </w:r>
    </w:p>
    <w:p w:rsidR="00A515C9" w:rsidRPr="00A016EE" w:rsidRDefault="0001257F" w:rsidP="0001257F">
      <w:pPr>
        <w:pStyle w:val="ManualNumPar1"/>
        <w:rPr>
          <w:noProof/>
        </w:rPr>
      </w:pPr>
      <w:r w:rsidRPr="0001257F">
        <w:rPr>
          <w:noProof/>
        </w:rPr>
        <w:t>23.</w:t>
      </w:r>
      <w:r w:rsidRPr="0001257F">
        <w:rPr>
          <w:noProof/>
        </w:rPr>
        <w:tab/>
      </w:r>
      <w:r w:rsidR="00A515C9" w:rsidRPr="00A016EE">
        <w:rPr>
          <w:noProof/>
        </w:rPr>
        <w:t>A Bélgica descreveu de que forma foram tidas em conta as recomendações formuladas no Quadro de qualidade da UE para a antecipação da mudança e de processos de reestruturação</w:t>
      </w:r>
      <w:r w:rsidR="006E2FBA" w:rsidRPr="00A016EE">
        <w:rPr>
          <w:rStyle w:val="FootnoteReference"/>
          <w:noProof/>
        </w:rPr>
        <w:footnoteReference w:id="14"/>
      </w:r>
      <w:r w:rsidR="00A515C9" w:rsidRPr="00A016EE">
        <w:rPr>
          <w:noProof/>
        </w:rPr>
        <w:t>.</w:t>
      </w:r>
    </w:p>
    <w:p w:rsidR="00812C24" w:rsidRPr="00A016EE" w:rsidRDefault="0001257F" w:rsidP="0001257F">
      <w:pPr>
        <w:pStyle w:val="ManualNumPar1"/>
        <w:rPr>
          <w:noProof/>
        </w:rPr>
      </w:pPr>
      <w:r w:rsidRPr="0001257F">
        <w:rPr>
          <w:noProof/>
        </w:rPr>
        <w:t>24.</w:t>
      </w:r>
      <w:r w:rsidRPr="0001257F">
        <w:rPr>
          <w:noProof/>
        </w:rPr>
        <w:tab/>
      </w:r>
      <w:r w:rsidR="00812C24" w:rsidRPr="00A016EE">
        <w:rPr>
          <w:noProof/>
        </w:rPr>
        <w:t xml:space="preserve">A Match-Smatch respeitou a legislação belga relativa aos despedimentos coletivos, que prevê um procedimento obrigatório de informação e consulta dos representantes dos trabalhadores. O procedimento permite explorar todas as possibilidades de evitar ou reduzir o número de despedimentos. Procura atenuar as consequências da perda de postos de trabalho através de medidas sociais complementares, como o apoio à reafetação ou à reconversão profissional dos trabalhadores despedidos. As negociações garantiram um orçamento específico de </w:t>
      </w:r>
      <w:bookmarkStart w:id="10" w:name="_Hlk168668396"/>
      <w:r w:rsidR="00812C24" w:rsidRPr="00A016EE">
        <w:rPr>
          <w:noProof/>
        </w:rPr>
        <w:t>533 500 EUR para cobrir os custos de reconversão profissional.</w:t>
      </w:r>
    </w:p>
    <w:bookmarkEnd w:id="10"/>
    <w:p w:rsidR="00A515C9" w:rsidRPr="00A016EE" w:rsidRDefault="0001257F" w:rsidP="0001257F">
      <w:pPr>
        <w:pStyle w:val="ManualNumPar1"/>
        <w:rPr>
          <w:noProof/>
        </w:rPr>
      </w:pPr>
      <w:r w:rsidRPr="0001257F">
        <w:rPr>
          <w:noProof/>
        </w:rPr>
        <w:t>25.</w:t>
      </w:r>
      <w:r w:rsidRPr="0001257F">
        <w:rPr>
          <w:noProof/>
        </w:rPr>
        <w:tab/>
      </w:r>
      <w:r w:rsidR="00A515C9" w:rsidRPr="00A016EE">
        <w:rPr>
          <w:noProof/>
        </w:rPr>
        <w:t>As autoridades belgas comunicaram que a legislação laboral nacional</w:t>
      </w:r>
      <w:r w:rsidR="008C3DFF" w:rsidRPr="00A016EE">
        <w:rPr>
          <w:rStyle w:val="FootnoteReference"/>
          <w:noProof/>
        </w:rPr>
        <w:footnoteReference w:id="15"/>
      </w:r>
      <w:r w:rsidR="00A515C9" w:rsidRPr="00A016EE">
        <w:rPr>
          <w:noProof/>
        </w:rPr>
        <w:t xml:space="preserve"> relativa à gestão ativa de processos de reestruturação obriga as empresas em reestruturação a criar uma unidade de emprego (</w:t>
      </w:r>
      <w:r w:rsidR="00A515C9" w:rsidRPr="00A016EE">
        <w:rPr>
          <w:i/>
          <w:iCs/>
          <w:noProof/>
        </w:rPr>
        <w:t>cellule pour l’emploi</w:t>
      </w:r>
      <w:r w:rsidR="00A515C9" w:rsidRPr="00A016EE">
        <w:rPr>
          <w:noProof/>
        </w:rPr>
        <w:t>)</w:t>
      </w:r>
      <w:r w:rsidR="007039B7" w:rsidRPr="00A016EE">
        <w:rPr>
          <w:rStyle w:val="FootnoteReference"/>
          <w:noProof/>
        </w:rPr>
        <w:footnoteReference w:id="16"/>
      </w:r>
      <w:r w:rsidR="00A515C9" w:rsidRPr="00A016EE">
        <w:rPr>
          <w:noProof/>
        </w:rPr>
        <w:t>, cujo objetivo é prestar aos trabalhadores despedidos no contexto de despedimentos coletivos 30 horas de serviços de recolocação por um período de três meses (60 horas em seis meses para os trabalhadores com mais de 45 anos).</w:t>
      </w:r>
    </w:p>
    <w:p w:rsidR="00CE3812" w:rsidRPr="00A016EE" w:rsidRDefault="0001257F" w:rsidP="0001257F">
      <w:pPr>
        <w:pStyle w:val="ManualNumPar1"/>
        <w:rPr>
          <w:noProof/>
        </w:rPr>
      </w:pPr>
      <w:r w:rsidRPr="0001257F">
        <w:rPr>
          <w:noProof/>
        </w:rPr>
        <w:t>26.</w:t>
      </w:r>
      <w:r w:rsidRPr="0001257F">
        <w:rPr>
          <w:noProof/>
        </w:rPr>
        <w:tab/>
      </w:r>
      <w:r w:rsidR="00A515C9" w:rsidRPr="00A016EE">
        <w:rPr>
          <w:noProof/>
        </w:rPr>
        <w:t>A legislação regional da Valónia</w:t>
      </w:r>
      <w:r w:rsidR="00812C24" w:rsidRPr="00A016EE">
        <w:rPr>
          <w:rStyle w:val="FootnoteReference"/>
          <w:noProof/>
        </w:rPr>
        <w:footnoteReference w:id="17"/>
      </w:r>
      <w:r w:rsidR="00A515C9" w:rsidRPr="00A016EE">
        <w:rPr>
          <w:noProof/>
        </w:rPr>
        <w:t xml:space="preserve"> prevê um apoio específico a trabalhadores despedidos, sob a forma de uma unidade de reconversão (</w:t>
      </w:r>
      <w:r w:rsidR="00A515C9" w:rsidRPr="00A016EE">
        <w:rPr>
          <w:i/>
          <w:iCs/>
          <w:noProof/>
        </w:rPr>
        <w:t>cellule de reconversion</w:t>
      </w:r>
      <w:r w:rsidR="00A515C9" w:rsidRPr="00A016EE">
        <w:rPr>
          <w:noProof/>
        </w:rPr>
        <w:t>)</w:t>
      </w:r>
      <w:r w:rsidR="00CD0B29" w:rsidRPr="00A016EE">
        <w:rPr>
          <w:rStyle w:val="FootnoteReference"/>
          <w:noProof/>
        </w:rPr>
        <w:footnoteReference w:id="18"/>
      </w:r>
      <w:r w:rsidR="00A515C9" w:rsidRPr="00A016EE">
        <w:rPr>
          <w:noProof/>
        </w:rPr>
        <w:t xml:space="preserve"> da responsabilidade do serviço público de emprego e formação profissional regional (Le Forem), a pedido de organizações representativas dos trabalhadores. A unidade de reconversão não constitui uma obrigação para o empregador, nem para o Forem. A execução das medidas cofinanciadas pelo FEG será gerida através dessa unidade de reconversão.</w:t>
      </w:r>
    </w:p>
    <w:p w:rsidR="00AE1620" w:rsidRPr="00A016EE" w:rsidRDefault="0001257F" w:rsidP="0001257F">
      <w:pPr>
        <w:pStyle w:val="ManualNumPar1"/>
        <w:rPr>
          <w:noProof/>
        </w:rPr>
      </w:pPr>
      <w:r w:rsidRPr="0001257F">
        <w:rPr>
          <w:noProof/>
        </w:rPr>
        <w:t>27.</w:t>
      </w:r>
      <w:r w:rsidRPr="0001257F">
        <w:rPr>
          <w:noProof/>
        </w:rPr>
        <w:tab/>
      </w:r>
      <w:r w:rsidR="00570056" w:rsidRPr="00A016EE">
        <w:rPr>
          <w:noProof/>
        </w:rPr>
        <w:t xml:space="preserve">As autoridades belgas comunicaram que a unidade de reconversão foi criada em 1 de janeiro de 2024, pouco depois dos primeiros despedimentos. </w:t>
      </w:r>
    </w:p>
    <w:p w:rsidR="00CE3812" w:rsidRPr="00A016EE" w:rsidRDefault="00CE3812" w:rsidP="00CE3812">
      <w:pPr>
        <w:pStyle w:val="ManualHeading3"/>
        <w:rPr>
          <w:noProof/>
        </w:rPr>
      </w:pPr>
      <w:r w:rsidRPr="00A016EE">
        <w:rPr>
          <w:noProof/>
        </w:rPr>
        <w:t>Complementaridade com as ações financiadas pelos fundos nacionais ou da União</w:t>
      </w:r>
    </w:p>
    <w:p w:rsidR="00CE3812" w:rsidRPr="00A016EE" w:rsidRDefault="0001257F" w:rsidP="0001257F">
      <w:pPr>
        <w:pStyle w:val="ManualNumPar1"/>
        <w:rPr>
          <w:noProof/>
        </w:rPr>
      </w:pPr>
      <w:r w:rsidRPr="0001257F">
        <w:rPr>
          <w:noProof/>
        </w:rPr>
        <w:t>28.</w:t>
      </w:r>
      <w:r w:rsidRPr="0001257F">
        <w:rPr>
          <w:noProof/>
        </w:rPr>
        <w:tab/>
      </w:r>
      <w:r w:rsidR="00367496" w:rsidRPr="00A016EE">
        <w:rPr>
          <w:noProof/>
        </w:rPr>
        <w:t>As autoridades belgas indicaram que as medidas específicas a seguir descritas que beneficiam de contribuições financeiras do FEG não receberão também contribuições financeiras de outros instrumentos financeiros da União.</w:t>
      </w:r>
    </w:p>
    <w:p w:rsidR="00504633" w:rsidRPr="00A016EE" w:rsidRDefault="0001257F" w:rsidP="0001257F">
      <w:pPr>
        <w:pStyle w:val="ManualNumPar1"/>
        <w:rPr>
          <w:noProof/>
        </w:rPr>
      </w:pPr>
      <w:r w:rsidRPr="0001257F">
        <w:rPr>
          <w:noProof/>
        </w:rPr>
        <w:t>29.</w:t>
      </w:r>
      <w:r w:rsidRPr="0001257F">
        <w:rPr>
          <w:noProof/>
        </w:rPr>
        <w:tab/>
      </w:r>
      <w:r w:rsidR="008260B7" w:rsidRPr="00A016EE">
        <w:rPr>
          <w:noProof/>
        </w:rPr>
        <w:t xml:space="preserve">O pacote coordenado de serviços personalizados complementa as ações financiadas por outros fundos nacionais ou da UE (ver serviços de recolocação descritos no ponto 25). </w:t>
      </w:r>
    </w:p>
    <w:p w:rsidR="00504633" w:rsidRPr="00A016EE" w:rsidRDefault="00504633" w:rsidP="00504633">
      <w:pPr>
        <w:pStyle w:val="ManualHeading3"/>
        <w:tabs>
          <w:tab w:val="clear" w:pos="850"/>
          <w:tab w:val="left" w:pos="0"/>
        </w:tabs>
        <w:ind w:left="0" w:firstLine="0"/>
        <w:rPr>
          <w:noProof/>
          <w:u w:val="single"/>
        </w:rPr>
      </w:pPr>
      <w:r w:rsidRPr="00A016EE">
        <w:rPr>
          <w:noProof/>
        </w:rPr>
        <w:t>Procedimentos de consulta dos beneficiários visados, dos seus representantes ou dos parceiros sociais, bem como das autoridades locais e regionais</w:t>
      </w:r>
    </w:p>
    <w:p w:rsidR="00504633" w:rsidRPr="00A016EE" w:rsidRDefault="0001257F" w:rsidP="0001257F">
      <w:pPr>
        <w:pStyle w:val="ManualNumPar1"/>
        <w:rPr>
          <w:noProof/>
        </w:rPr>
      </w:pPr>
      <w:r w:rsidRPr="0001257F">
        <w:rPr>
          <w:noProof/>
        </w:rPr>
        <w:t>30.</w:t>
      </w:r>
      <w:r w:rsidRPr="0001257F">
        <w:rPr>
          <w:noProof/>
        </w:rPr>
        <w:tab/>
      </w:r>
      <w:r w:rsidR="00367496" w:rsidRPr="00A016EE">
        <w:rPr>
          <w:noProof/>
        </w:rPr>
        <w:t>As autoridades belgas indicaram que o pacote coordenado de serviços personalizados foi elaborado em consulta com os beneficiários visados, os seus representantes e os parceiros sociais, como previsto no artigo 7.º, n.º 4, do Regulamento (UE) 2021/691.</w:t>
      </w:r>
    </w:p>
    <w:p w:rsidR="00504633" w:rsidRPr="00A016EE" w:rsidRDefault="0001257F" w:rsidP="0001257F">
      <w:pPr>
        <w:pStyle w:val="ManualNumPar1"/>
        <w:rPr>
          <w:noProof/>
        </w:rPr>
      </w:pPr>
      <w:r w:rsidRPr="0001257F">
        <w:rPr>
          <w:noProof/>
        </w:rPr>
        <w:t>31.</w:t>
      </w:r>
      <w:r w:rsidRPr="0001257F">
        <w:rPr>
          <w:noProof/>
        </w:rPr>
        <w:tab/>
      </w:r>
      <w:r w:rsidR="00367496" w:rsidRPr="00A016EE">
        <w:rPr>
          <w:noProof/>
        </w:rPr>
        <w:t>Com o objetivo de preparar um pacote sólido de medidas adaptadas para apoiar os esforços dos trabalhadores da Match-Smatch para voltarem ao trabalho, Le Forem, as confederações sindicais (FGTB</w:t>
      </w:r>
      <w:r w:rsidR="00AB691F" w:rsidRPr="00A016EE">
        <w:rPr>
          <w:rStyle w:val="FootnoteReference"/>
          <w:noProof/>
        </w:rPr>
        <w:footnoteReference w:id="19"/>
      </w:r>
      <w:r w:rsidR="00367496" w:rsidRPr="00A016EE">
        <w:rPr>
          <w:noProof/>
        </w:rPr>
        <w:t xml:space="preserve"> e CSC</w:t>
      </w:r>
      <w:r w:rsidR="00AB691F" w:rsidRPr="00A016EE">
        <w:rPr>
          <w:rStyle w:val="FootnoteReference"/>
          <w:noProof/>
        </w:rPr>
        <w:footnoteReference w:id="20"/>
      </w:r>
      <w:r w:rsidR="00367496" w:rsidRPr="00A016EE">
        <w:rPr>
          <w:noProof/>
        </w:rPr>
        <w:t>) e outros parceiros reuniram-se em 17 de janeiro, 5 de fevereiro e 19 de março de 2024, a fim de compreender melhor as necessidades de reconversão profissional dos trabalhadores. Os conselheiros sociais que acompanharam os trabalhadores após o seu despedimento foram igualmente consultados. Estas reuniões resultaram num pacote coordenado de medidas do FEG que cumpre o disposto no artigo 7.º, n.º 4, do Regulamento (UE) 2021/691.</w:t>
      </w:r>
    </w:p>
    <w:p w:rsidR="00252AC6" w:rsidRPr="00A016EE" w:rsidRDefault="00252AC6" w:rsidP="00252AC6">
      <w:pPr>
        <w:pStyle w:val="ManualHeading2"/>
        <w:rPr>
          <w:noProof/>
        </w:rPr>
      </w:pPr>
      <w:r w:rsidRPr="00A016EE">
        <w:rPr>
          <w:noProof/>
        </w:rPr>
        <w:t>Beneficiários visados e medidas propostas</w:t>
      </w:r>
    </w:p>
    <w:p w:rsidR="00252AC6" w:rsidRPr="00A016EE" w:rsidRDefault="00252AC6" w:rsidP="00252AC6">
      <w:pPr>
        <w:pStyle w:val="ManualHeading3"/>
        <w:rPr>
          <w:noProof/>
        </w:rPr>
      </w:pPr>
      <w:r w:rsidRPr="00A016EE">
        <w:rPr>
          <w:noProof/>
        </w:rPr>
        <w:t>Beneficiários visados</w:t>
      </w:r>
    </w:p>
    <w:p w:rsidR="00252AC6" w:rsidRPr="00A016EE" w:rsidRDefault="0001257F" w:rsidP="0001257F">
      <w:pPr>
        <w:pStyle w:val="ManualNumPar1"/>
        <w:rPr>
          <w:noProof/>
        </w:rPr>
      </w:pPr>
      <w:r w:rsidRPr="0001257F">
        <w:rPr>
          <w:noProof/>
        </w:rPr>
        <w:t>32.</w:t>
      </w:r>
      <w:r w:rsidRPr="0001257F">
        <w:rPr>
          <w:noProof/>
        </w:rPr>
        <w:tab/>
      </w:r>
      <w:r w:rsidR="00252AC6" w:rsidRPr="00A016EE">
        <w:rPr>
          <w:noProof/>
        </w:rPr>
        <w:t>Estima-se que venham a participar nas medidas 365 trabalhadores despedidos. Nos termos do artigo 8.º, n.º 7, alínea f), do Regulamento (UE) 2021/691, a repartição apresentada dos trabalhadores por género, grupo etário e nível de habilitações é a seguinte:</w:t>
      </w:r>
    </w:p>
    <w:tbl>
      <w:tblPr>
        <w:tblW w:w="0" w:type="auto"/>
        <w:jc w:val="center"/>
        <w:tblLook w:val="04A0" w:firstRow="1" w:lastRow="0" w:firstColumn="1" w:lastColumn="0" w:noHBand="0" w:noVBand="1"/>
      </w:tblPr>
      <w:tblGrid>
        <w:gridCol w:w="1496"/>
        <w:gridCol w:w="2063"/>
        <w:gridCol w:w="1176"/>
        <w:gridCol w:w="1176"/>
      </w:tblGrid>
      <w:tr w:rsidR="00252AC6" w:rsidRPr="00A016EE" w:rsidTr="00F060F9">
        <w:trPr>
          <w:jc w:val="center"/>
        </w:trPr>
        <w:tc>
          <w:tcPr>
            <w:tcW w:w="3559" w:type="dxa"/>
            <w:gridSpan w:val="2"/>
            <w:tcBorders>
              <w:top w:val="single" w:sz="4" w:space="0" w:color="auto"/>
              <w:left w:val="nil"/>
              <w:bottom w:val="single" w:sz="4" w:space="0" w:color="auto"/>
              <w:right w:val="nil"/>
            </w:tcBorders>
            <w:hideMark/>
          </w:tcPr>
          <w:p w:rsidR="00252AC6" w:rsidRPr="00A016EE" w:rsidRDefault="00252AC6" w:rsidP="00F060F9">
            <w:pPr>
              <w:spacing w:before="60" w:after="60"/>
              <w:jc w:val="center"/>
              <w:rPr>
                <w:noProof/>
              </w:rPr>
            </w:pPr>
            <w:r w:rsidRPr="00A016EE">
              <w:rPr>
                <w:noProof/>
              </w:rPr>
              <w:t>Categoria</w:t>
            </w:r>
          </w:p>
        </w:tc>
        <w:tc>
          <w:tcPr>
            <w:tcW w:w="2352" w:type="dxa"/>
            <w:gridSpan w:val="2"/>
            <w:tcBorders>
              <w:top w:val="single" w:sz="4" w:space="0" w:color="auto"/>
              <w:left w:val="nil"/>
              <w:bottom w:val="single" w:sz="4" w:space="0" w:color="auto"/>
              <w:right w:val="nil"/>
            </w:tcBorders>
            <w:hideMark/>
          </w:tcPr>
          <w:p w:rsidR="00252AC6" w:rsidRPr="00A016EE" w:rsidRDefault="00252AC6" w:rsidP="00C3711A">
            <w:pPr>
              <w:spacing w:before="60" w:after="60"/>
              <w:jc w:val="center"/>
              <w:rPr>
                <w:noProof/>
              </w:rPr>
            </w:pPr>
            <w:r w:rsidRPr="00A016EE">
              <w:rPr>
                <w:noProof/>
              </w:rPr>
              <w:t xml:space="preserve">Número de </w:t>
            </w:r>
            <w:r w:rsidRPr="00A016EE">
              <w:rPr>
                <w:noProof/>
              </w:rPr>
              <w:br/>
              <w:t>beneficiários previstos</w:t>
            </w:r>
          </w:p>
        </w:tc>
      </w:tr>
      <w:tr w:rsidR="00252AC6" w:rsidRPr="00A016EE" w:rsidTr="007244BC">
        <w:trPr>
          <w:jc w:val="center"/>
        </w:trPr>
        <w:tc>
          <w:tcPr>
            <w:tcW w:w="1496" w:type="dxa"/>
            <w:tcBorders>
              <w:top w:val="single" w:sz="4" w:space="0" w:color="auto"/>
              <w:left w:val="nil"/>
              <w:right w:val="nil"/>
            </w:tcBorders>
            <w:hideMark/>
          </w:tcPr>
          <w:p w:rsidR="00252AC6" w:rsidRPr="00A016EE" w:rsidRDefault="00CC3C30" w:rsidP="00F060F9">
            <w:pPr>
              <w:spacing w:before="60" w:after="60"/>
              <w:rPr>
                <w:noProof/>
              </w:rPr>
            </w:pPr>
            <w:r w:rsidRPr="00A016EE">
              <w:rPr>
                <w:noProof/>
              </w:rPr>
              <w:t>Género:</w:t>
            </w:r>
          </w:p>
        </w:tc>
        <w:tc>
          <w:tcPr>
            <w:tcW w:w="2063" w:type="dxa"/>
            <w:tcBorders>
              <w:top w:val="single" w:sz="4" w:space="0" w:color="auto"/>
              <w:left w:val="nil"/>
              <w:right w:val="nil"/>
            </w:tcBorders>
            <w:hideMark/>
          </w:tcPr>
          <w:p w:rsidR="00252AC6" w:rsidRPr="00A016EE" w:rsidRDefault="00252AC6" w:rsidP="00F060F9">
            <w:pPr>
              <w:spacing w:before="60" w:after="60"/>
              <w:rPr>
                <w:noProof/>
              </w:rPr>
            </w:pPr>
            <w:r w:rsidRPr="00A016EE">
              <w:rPr>
                <w:noProof/>
              </w:rPr>
              <w:t>Homens:</w:t>
            </w:r>
          </w:p>
        </w:tc>
        <w:tc>
          <w:tcPr>
            <w:tcW w:w="1176" w:type="dxa"/>
            <w:tcBorders>
              <w:top w:val="single" w:sz="4" w:space="0" w:color="auto"/>
              <w:left w:val="nil"/>
              <w:right w:val="nil"/>
            </w:tcBorders>
            <w:hideMark/>
          </w:tcPr>
          <w:p w:rsidR="00252AC6" w:rsidRPr="00A016EE" w:rsidRDefault="00F05548" w:rsidP="00F060F9">
            <w:pPr>
              <w:spacing w:before="60" w:after="60"/>
              <w:jc w:val="right"/>
              <w:rPr>
                <w:noProof/>
              </w:rPr>
            </w:pPr>
            <w:r w:rsidRPr="00A016EE">
              <w:rPr>
                <w:noProof/>
              </w:rPr>
              <w:t>238</w:t>
            </w:r>
          </w:p>
        </w:tc>
        <w:tc>
          <w:tcPr>
            <w:tcW w:w="1176" w:type="dxa"/>
            <w:tcBorders>
              <w:top w:val="single" w:sz="4" w:space="0" w:color="auto"/>
              <w:left w:val="nil"/>
              <w:right w:val="nil"/>
            </w:tcBorders>
            <w:hideMark/>
          </w:tcPr>
          <w:p w:rsidR="00252AC6" w:rsidRPr="00A016EE" w:rsidRDefault="00252AC6" w:rsidP="00F060F9">
            <w:pPr>
              <w:spacing w:before="60" w:after="60"/>
              <w:jc w:val="right"/>
              <w:rPr>
                <w:noProof/>
              </w:rPr>
            </w:pPr>
            <w:r w:rsidRPr="00A016EE">
              <w:rPr>
                <w:noProof/>
              </w:rPr>
              <w:t>(65,2 %)</w:t>
            </w:r>
          </w:p>
        </w:tc>
      </w:tr>
      <w:tr w:rsidR="00CC3C30" w:rsidRPr="00A016EE" w:rsidTr="007244BC">
        <w:trPr>
          <w:jc w:val="center"/>
        </w:trPr>
        <w:tc>
          <w:tcPr>
            <w:tcW w:w="1496" w:type="dxa"/>
            <w:tcBorders>
              <w:top w:val="nil"/>
              <w:left w:val="nil"/>
              <w:right w:val="nil"/>
            </w:tcBorders>
          </w:tcPr>
          <w:p w:rsidR="00CC3C30" w:rsidRPr="00A016EE" w:rsidRDefault="00CC3C30" w:rsidP="00CC3C30">
            <w:pPr>
              <w:spacing w:before="60" w:after="60"/>
              <w:rPr>
                <w:noProof/>
              </w:rPr>
            </w:pPr>
          </w:p>
        </w:tc>
        <w:tc>
          <w:tcPr>
            <w:tcW w:w="2063" w:type="dxa"/>
            <w:tcBorders>
              <w:top w:val="nil"/>
              <w:left w:val="nil"/>
              <w:right w:val="nil"/>
            </w:tcBorders>
          </w:tcPr>
          <w:p w:rsidR="00CC3C30" w:rsidRPr="00A016EE" w:rsidRDefault="00CC3C30" w:rsidP="00CC3C30">
            <w:pPr>
              <w:spacing w:before="60" w:after="60"/>
              <w:rPr>
                <w:rFonts w:eastAsia="Calibri"/>
                <w:noProof/>
              </w:rPr>
            </w:pPr>
            <w:r w:rsidRPr="00A016EE">
              <w:rPr>
                <w:noProof/>
              </w:rPr>
              <w:t>Mulheres:</w:t>
            </w:r>
          </w:p>
        </w:tc>
        <w:tc>
          <w:tcPr>
            <w:tcW w:w="1176" w:type="dxa"/>
          </w:tcPr>
          <w:p w:rsidR="00CC3C30" w:rsidRPr="00A016EE" w:rsidRDefault="00F05548" w:rsidP="00CC3C30">
            <w:pPr>
              <w:spacing w:before="60" w:after="60"/>
              <w:jc w:val="right"/>
              <w:rPr>
                <w:noProof/>
              </w:rPr>
            </w:pPr>
            <w:r w:rsidRPr="00A016EE">
              <w:rPr>
                <w:noProof/>
              </w:rPr>
              <w:t>127</w:t>
            </w:r>
          </w:p>
        </w:tc>
        <w:tc>
          <w:tcPr>
            <w:tcW w:w="1176" w:type="dxa"/>
          </w:tcPr>
          <w:p w:rsidR="00CC3C30" w:rsidRPr="00A016EE" w:rsidRDefault="00CC3C30" w:rsidP="00CC3C30">
            <w:pPr>
              <w:spacing w:before="60" w:after="60"/>
              <w:jc w:val="right"/>
              <w:rPr>
                <w:rFonts w:eastAsia="Calibri"/>
                <w:noProof/>
              </w:rPr>
            </w:pPr>
            <w:r w:rsidRPr="00A016EE">
              <w:rPr>
                <w:noProof/>
              </w:rPr>
              <w:t>(34,8 %)</w:t>
            </w:r>
          </w:p>
        </w:tc>
      </w:tr>
      <w:tr w:rsidR="00CC3C30" w:rsidRPr="00A016EE" w:rsidTr="007244BC">
        <w:trPr>
          <w:jc w:val="center"/>
        </w:trPr>
        <w:tc>
          <w:tcPr>
            <w:tcW w:w="1496" w:type="dxa"/>
            <w:tcBorders>
              <w:left w:val="nil"/>
              <w:bottom w:val="single" w:sz="4" w:space="0" w:color="auto"/>
              <w:right w:val="nil"/>
            </w:tcBorders>
          </w:tcPr>
          <w:p w:rsidR="00CC3C30" w:rsidRPr="00A016EE" w:rsidRDefault="00CC3C30" w:rsidP="00CC3C30">
            <w:pPr>
              <w:spacing w:before="60" w:after="60"/>
              <w:rPr>
                <w:noProof/>
              </w:rPr>
            </w:pPr>
          </w:p>
        </w:tc>
        <w:tc>
          <w:tcPr>
            <w:tcW w:w="2063" w:type="dxa"/>
            <w:tcBorders>
              <w:left w:val="nil"/>
              <w:bottom w:val="single" w:sz="4" w:space="0" w:color="auto"/>
              <w:right w:val="nil"/>
            </w:tcBorders>
          </w:tcPr>
          <w:p w:rsidR="00CC3C30" w:rsidRPr="00A016EE" w:rsidRDefault="00CC3C30" w:rsidP="00CC3C30">
            <w:pPr>
              <w:spacing w:before="60" w:after="60"/>
              <w:rPr>
                <w:noProof/>
              </w:rPr>
            </w:pPr>
            <w:r w:rsidRPr="00A016EE">
              <w:rPr>
                <w:noProof/>
              </w:rPr>
              <w:t>Pessoas não binárias</w:t>
            </w:r>
          </w:p>
        </w:tc>
        <w:tc>
          <w:tcPr>
            <w:tcW w:w="1176" w:type="dxa"/>
            <w:tcBorders>
              <w:bottom w:val="single" w:sz="4" w:space="0" w:color="auto"/>
            </w:tcBorders>
            <w:hideMark/>
          </w:tcPr>
          <w:p w:rsidR="00CC3C30" w:rsidRPr="00A016EE" w:rsidRDefault="00C73327" w:rsidP="00CC3C30">
            <w:pPr>
              <w:spacing w:before="60" w:after="60"/>
              <w:jc w:val="right"/>
              <w:rPr>
                <w:noProof/>
              </w:rPr>
            </w:pPr>
            <w:r w:rsidRPr="00A016EE">
              <w:rPr>
                <w:noProof/>
              </w:rPr>
              <w:t>0</w:t>
            </w:r>
          </w:p>
        </w:tc>
        <w:tc>
          <w:tcPr>
            <w:tcW w:w="1176" w:type="dxa"/>
            <w:tcBorders>
              <w:bottom w:val="single" w:sz="4" w:space="0" w:color="auto"/>
            </w:tcBorders>
            <w:hideMark/>
          </w:tcPr>
          <w:p w:rsidR="00CC3C30" w:rsidRPr="00A016EE" w:rsidRDefault="00CC3C30" w:rsidP="00CC3C30">
            <w:pPr>
              <w:spacing w:before="60" w:after="60"/>
              <w:jc w:val="right"/>
              <w:rPr>
                <w:noProof/>
              </w:rPr>
            </w:pPr>
            <w:r w:rsidRPr="00A016EE">
              <w:rPr>
                <w:noProof/>
              </w:rPr>
              <w:t>(0,0 %)</w:t>
            </w:r>
          </w:p>
        </w:tc>
      </w:tr>
      <w:tr w:rsidR="00CC3C30" w:rsidRPr="00A016EE" w:rsidTr="00F060F9">
        <w:trPr>
          <w:jc w:val="center"/>
        </w:trPr>
        <w:tc>
          <w:tcPr>
            <w:tcW w:w="1496" w:type="dxa"/>
            <w:tcBorders>
              <w:top w:val="single" w:sz="4" w:space="0" w:color="auto"/>
              <w:left w:val="nil"/>
              <w:bottom w:val="nil"/>
              <w:right w:val="nil"/>
            </w:tcBorders>
            <w:hideMark/>
          </w:tcPr>
          <w:p w:rsidR="00CC3C30" w:rsidRPr="00A016EE" w:rsidRDefault="00CC3C30" w:rsidP="00CC3C30">
            <w:pPr>
              <w:spacing w:before="60" w:after="60"/>
              <w:rPr>
                <w:noProof/>
              </w:rPr>
            </w:pPr>
            <w:r w:rsidRPr="00A016EE">
              <w:rPr>
                <w:noProof/>
              </w:rPr>
              <w:t>Grupo etário:</w:t>
            </w:r>
          </w:p>
        </w:tc>
        <w:tc>
          <w:tcPr>
            <w:tcW w:w="2063" w:type="dxa"/>
            <w:tcBorders>
              <w:top w:val="single" w:sz="4" w:space="0" w:color="auto"/>
              <w:left w:val="nil"/>
              <w:bottom w:val="nil"/>
              <w:right w:val="nil"/>
            </w:tcBorders>
            <w:hideMark/>
          </w:tcPr>
          <w:p w:rsidR="00CC3C30" w:rsidRPr="00A016EE" w:rsidRDefault="001812CD" w:rsidP="001812CD">
            <w:pPr>
              <w:spacing w:before="60" w:after="60"/>
              <w:rPr>
                <w:noProof/>
              </w:rPr>
            </w:pPr>
            <w:r w:rsidRPr="00A016EE">
              <w:rPr>
                <w:noProof/>
              </w:rPr>
              <w:t>Menos de 30 anos:</w:t>
            </w:r>
          </w:p>
        </w:tc>
        <w:tc>
          <w:tcPr>
            <w:tcW w:w="1176" w:type="dxa"/>
            <w:tcBorders>
              <w:top w:val="single" w:sz="4" w:space="0" w:color="auto"/>
            </w:tcBorders>
            <w:hideMark/>
          </w:tcPr>
          <w:p w:rsidR="00CC3C30" w:rsidRPr="00A016EE" w:rsidRDefault="00F05548" w:rsidP="00CC3C30">
            <w:pPr>
              <w:spacing w:before="60" w:after="60"/>
              <w:jc w:val="right"/>
              <w:rPr>
                <w:noProof/>
              </w:rPr>
            </w:pPr>
            <w:r w:rsidRPr="00A016EE">
              <w:rPr>
                <w:noProof/>
              </w:rPr>
              <w:t>28</w:t>
            </w:r>
          </w:p>
        </w:tc>
        <w:tc>
          <w:tcPr>
            <w:tcW w:w="1176" w:type="dxa"/>
            <w:tcBorders>
              <w:top w:val="single" w:sz="4" w:space="0" w:color="auto"/>
            </w:tcBorders>
            <w:hideMark/>
          </w:tcPr>
          <w:p w:rsidR="00CC3C30" w:rsidRPr="00A016EE" w:rsidRDefault="00CC3C30" w:rsidP="00CC3C30">
            <w:pPr>
              <w:spacing w:before="60" w:after="60"/>
              <w:jc w:val="right"/>
              <w:rPr>
                <w:noProof/>
              </w:rPr>
            </w:pPr>
            <w:r w:rsidRPr="00A016EE">
              <w:rPr>
                <w:noProof/>
              </w:rPr>
              <w:t>(7,7 %)</w:t>
            </w:r>
          </w:p>
        </w:tc>
      </w:tr>
      <w:tr w:rsidR="00CC3C30" w:rsidRPr="00A016EE" w:rsidTr="00F060F9">
        <w:trPr>
          <w:jc w:val="center"/>
        </w:trPr>
        <w:tc>
          <w:tcPr>
            <w:tcW w:w="1496" w:type="dxa"/>
          </w:tcPr>
          <w:p w:rsidR="00CC3C30" w:rsidRPr="00A016EE" w:rsidRDefault="00CC3C30" w:rsidP="00CC3C30">
            <w:pPr>
              <w:spacing w:before="60" w:after="60"/>
              <w:rPr>
                <w:noProof/>
              </w:rPr>
            </w:pPr>
          </w:p>
        </w:tc>
        <w:tc>
          <w:tcPr>
            <w:tcW w:w="2063" w:type="dxa"/>
            <w:hideMark/>
          </w:tcPr>
          <w:p w:rsidR="00CC3C30" w:rsidRPr="00A016EE" w:rsidRDefault="00CC3C30" w:rsidP="00CC3C30">
            <w:pPr>
              <w:spacing w:before="60" w:after="60"/>
              <w:rPr>
                <w:noProof/>
              </w:rPr>
            </w:pPr>
            <w:r w:rsidRPr="00A016EE">
              <w:rPr>
                <w:noProof/>
              </w:rPr>
              <w:t>30-54 anos:</w:t>
            </w:r>
          </w:p>
        </w:tc>
        <w:tc>
          <w:tcPr>
            <w:tcW w:w="1176" w:type="dxa"/>
            <w:hideMark/>
          </w:tcPr>
          <w:p w:rsidR="00CC3C30" w:rsidRPr="00A016EE" w:rsidRDefault="00F05548" w:rsidP="00CC3C30">
            <w:pPr>
              <w:spacing w:before="60" w:after="60"/>
              <w:jc w:val="right"/>
              <w:rPr>
                <w:noProof/>
              </w:rPr>
            </w:pPr>
            <w:r w:rsidRPr="00A016EE">
              <w:rPr>
                <w:noProof/>
              </w:rPr>
              <w:t>222</w:t>
            </w:r>
          </w:p>
        </w:tc>
        <w:tc>
          <w:tcPr>
            <w:tcW w:w="1176" w:type="dxa"/>
            <w:hideMark/>
          </w:tcPr>
          <w:p w:rsidR="00CC3C30" w:rsidRPr="00A016EE" w:rsidRDefault="00CC3C30" w:rsidP="00CC3C30">
            <w:pPr>
              <w:spacing w:before="60" w:after="60"/>
              <w:jc w:val="right"/>
              <w:rPr>
                <w:noProof/>
              </w:rPr>
            </w:pPr>
            <w:r w:rsidRPr="00A016EE">
              <w:rPr>
                <w:noProof/>
              </w:rPr>
              <w:t>(60,8 %)</w:t>
            </w:r>
          </w:p>
        </w:tc>
      </w:tr>
      <w:tr w:rsidR="00CC3C30" w:rsidRPr="00A016EE" w:rsidTr="007244BC">
        <w:trPr>
          <w:jc w:val="center"/>
        </w:trPr>
        <w:tc>
          <w:tcPr>
            <w:tcW w:w="1496" w:type="dxa"/>
          </w:tcPr>
          <w:p w:rsidR="00CC3C30" w:rsidRPr="00A016EE" w:rsidRDefault="00CC3C30" w:rsidP="00CC3C30">
            <w:pPr>
              <w:spacing w:before="60" w:after="60"/>
              <w:rPr>
                <w:noProof/>
              </w:rPr>
            </w:pPr>
          </w:p>
        </w:tc>
        <w:tc>
          <w:tcPr>
            <w:tcW w:w="2063" w:type="dxa"/>
            <w:hideMark/>
          </w:tcPr>
          <w:p w:rsidR="00CC3C30" w:rsidRPr="00A016EE" w:rsidRDefault="005E38AF" w:rsidP="005E38AF">
            <w:pPr>
              <w:spacing w:before="60" w:after="60"/>
              <w:jc w:val="left"/>
              <w:rPr>
                <w:noProof/>
              </w:rPr>
            </w:pPr>
            <w:r w:rsidRPr="00A016EE">
              <w:rPr>
                <w:noProof/>
              </w:rPr>
              <w:t>Mais de 54 anos:</w:t>
            </w:r>
          </w:p>
        </w:tc>
        <w:tc>
          <w:tcPr>
            <w:tcW w:w="1176" w:type="dxa"/>
            <w:hideMark/>
          </w:tcPr>
          <w:p w:rsidR="00CC3C30" w:rsidRPr="00A016EE" w:rsidRDefault="00F05548" w:rsidP="00CC3C30">
            <w:pPr>
              <w:spacing w:before="60" w:after="60"/>
              <w:jc w:val="right"/>
              <w:rPr>
                <w:noProof/>
              </w:rPr>
            </w:pPr>
            <w:r w:rsidRPr="00A016EE">
              <w:rPr>
                <w:noProof/>
              </w:rPr>
              <w:t>115</w:t>
            </w:r>
          </w:p>
        </w:tc>
        <w:tc>
          <w:tcPr>
            <w:tcW w:w="1176" w:type="dxa"/>
            <w:hideMark/>
          </w:tcPr>
          <w:p w:rsidR="00CC3C30" w:rsidRPr="00A016EE" w:rsidRDefault="00CC3C30" w:rsidP="00CC3C30">
            <w:pPr>
              <w:spacing w:before="60" w:after="60"/>
              <w:jc w:val="right"/>
              <w:rPr>
                <w:noProof/>
              </w:rPr>
            </w:pPr>
            <w:r w:rsidRPr="00A016EE">
              <w:rPr>
                <w:noProof/>
              </w:rPr>
              <w:t>(31,5 %)</w:t>
            </w:r>
          </w:p>
        </w:tc>
      </w:tr>
      <w:tr w:rsidR="005C2354" w:rsidRPr="00A016EE" w:rsidTr="007244BC">
        <w:trPr>
          <w:jc w:val="center"/>
        </w:trPr>
        <w:tc>
          <w:tcPr>
            <w:tcW w:w="1496" w:type="dxa"/>
            <w:tcBorders>
              <w:top w:val="single" w:sz="4" w:space="0" w:color="auto"/>
              <w:left w:val="nil"/>
              <w:bottom w:val="nil"/>
              <w:right w:val="nil"/>
            </w:tcBorders>
          </w:tcPr>
          <w:p w:rsidR="005C2354" w:rsidRPr="00A016EE" w:rsidRDefault="005C2354" w:rsidP="005C2354">
            <w:pPr>
              <w:spacing w:before="60" w:after="60"/>
              <w:rPr>
                <w:noProof/>
              </w:rPr>
            </w:pPr>
            <w:r w:rsidRPr="00A016EE">
              <w:rPr>
                <w:noProof/>
              </w:rPr>
              <w:t>Nível de habilitações</w:t>
            </w:r>
          </w:p>
        </w:tc>
        <w:tc>
          <w:tcPr>
            <w:tcW w:w="2063" w:type="dxa"/>
            <w:tcBorders>
              <w:top w:val="single" w:sz="4" w:space="0" w:color="auto"/>
              <w:left w:val="nil"/>
              <w:bottom w:val="nil"/>
              <w:right w:val="nil"/>
            </w:tcBorders>
          </w:tcPr>
          <w:p w:rsidR="005C2354" w:rsidRPr="00A016EE" w:rsidRDefault="005C2354" w:rsidP="005C2354">
            <w:pPr>
              <w:spacing w:before="60" w:after="60"/>
              <w:rPr>
                <w:noProof/>
              </w:rPr>
            </w:pPr>
            <w:r w:rsidRPr="00A016EE">
              <w:rPr>
                <w:noProof/>
              </w:rPr>
              <w:t>Ensino básico ou menos</w:t>
            </w:r>
            <w:r w:rsidRPr="00A016EE">
              <w:rPr>
                <w:rStyle w:val="FootnoteReference"/>
                <w:noProof/>
              </w:rPr>
              <w:footnoteReference w:id="21"/>
            </w:r>
            <w:r w:rsidRPr="00A016EE">
              <w:rPr>
                <w:noProof/>
              </w:rPr>
              <w:t xml:space="preserve"> </w:t>
            </w:r>
          </w:p>
        </w:tc>
        <w:tc>
          <w:tcPr>
            <w:tcW w:w="1176" w:type="dxa"/>
            <w:tcBorders>
              <w:top w:val="single" w:sz="4" w:space="0" w:color="auto"/>
              <w:left w:val="nil"/>
              <w:bottom w:val="nil"/>
              <w:right w:val="nil"/>
            </w:tcBorders>
          </w:tcPr>
          <w:p w:rsidR="005C2354" w:rsidRPr="00A016EE" w:rsidRDefault="00F05548" w:rsidP="005C2354">
            <w:pPr>
              <w:spacing w:before="60" w:after="60"/>
              <w:jc w:val="right"/>
              <w:rPr>
                <w:noProof/>
              </w:rPr>
            </w:pPr>
            <w:r w:rsidRPr="00A016EE">
              <w:rPr>
                <w:noProof/>
              </w:rPr>
              <w:t>110</w:t>
            </w:r>
          </w:p>
        </w:tc>
        <w:tc>
          <w:tcPr>
            <w:tcW w:w="1176" w:type="dxa"/>
            <w:tcBorders>
              <w:top w:val="single" w:sz="4" w:space="0" w:color="auto"/>
              <w:left w:val="nil"/>
              <w:bottom w:val="nil"/>
              <w:right w:val="nil"/>
            </w:tcBorders>
          </w:tcPr>
          <w:p w:rsidR="005C2354" w:rsidRPr="00A016EE" w:rsidRDefault="005C2354" w:rsidP="005C2354">
            <w:pPr>
              <w:spacing w:before="60" w:after="60"/>
              <w:jc w:val="right"/>
              <w:rPr>
                <w:rFonts w:eastAsia="Calibri"/>
                <w:noProof/>
              </w:rPr>
            </w:pPr>
            <w:r w:rsidRPr="00A016EE">
              <w:rPr>
                <w:noProof/>
              </w:rPr>
              <w:t>(30,1 %)</w:t>
            </w:r>
          </w:p>
        </w:tc>
      </w:tr>
      <w:tr w:rsidR="005C2354" w:rsidRPr="00A016EE" w:rsidTr="007244BC">
        <w:trPr>
          <w:jc w:val="center"/>
        </w:trPr>
        <w:tc>
          <w:tcPr>
            <w:tcW w:w="1496" w:type="dxa"/>
            <w:tcBorders>
              <w:top w:val="nil"/>
              <w:left w:val="nil"/>
              <w:right w:val="nil"/>
            </w:tcBorders>
          </w:tcPr>
          <w:p w:rsidR="005C2354" w:rsidRPr="00A016EE" w:rsidRDefault="005C2354" w:rsidP="005C2354">
            <w:pPr>
              <w:spacing w:before="60" w:after="60"/>
              <w:rPr>
                <w:noProof/>
              </w:rPr>
            </w:pPr>
          </w:p>
        </w:tc>
        <w:tc>
          <w:tcPr>
            <w:tcW w:w="2063" w:type="dxa"/>
            <w:tcBorders>
              <w:top w:val="nil"/>
              <w:left w:val="nil"/>
              <w:right w:val="nil"/>
            </w:tcBorders>
          </w:tcPr>
          <w:p w:rsidR="005C2354" w:rsidRPr="00A016EE" w:rsidRDefault="005C2354" w:rsidP="005C2354">
            <w:pPr>
              <w:spacing w:before="60" w:after="60"/>
              <w:rPr>
                <w:noProof/>
              </w:rPr>
            </w:pPr>
            <w:r w:rsidRPr="00A016EE">
              <w:rPr>
                <w:noProof/>
              </w:rPr>
              <w:t>Ensino secundário</w:t>
            </w:r>
            <w:r w:rsidRPr="00A016EE">
              <w:rPr>
                <w:rStyle w:val="FootnoteReference"/>
                <w:noProof/>
              </w:rPr>
              <w:footnoteReference w:id="22"/>
            </w:r>
            <w:r w:rsidRPr="00A016EE">
              <w:rPr>
                <w:noProof/>
              </w:rPr>
              <w:t xml:space="preserve"> ou pós-secundário</w:t>
            </w:r>
            <w:r w:rsidRPr="00A016EE">
              <w:rPr>
                <w:rStyle w:val="FootnoteReference"/>
                <w:noProof/>
              </w:rPr>
              <w:footnoteReference w:id="23"/>
            </w:r>
          </w:p>
        </w:tc>
        <w:tc>
          <w:tcPr>
            <w:tcW w:w="1176" w:type="dxa"/>
            <w:tcBorders>
              <w:top w:val="nil"/>
              <w:left w:val="nil"/>
              <w:right w:val="nil"/>
            </w:tcBorders>
          </w:tcPr>
          <w:p w:rsidR="005C2354" w:rsidRPr="00A016EE" w:rsidRDefault="00F05548" w:rsidP="005C2354">
            <w:pPr>
              <w:spacing w:before="60" w:after="60"/>
              <w:jc w:val="right"/>
              <w:rPr>
                <w:noProof/>
              </w:rPr>
            </w:pPr>
            <w:r w:rsidRPr="00A016EE">
              <w:rPr>
                <w:noProof/>
              </w:rPr>
              <w:t>192</w:t>
            </w:r>
          </w:p>
        </w:tc>
        <w:tc>
          <w:tcPr>
            <w:tcW w:w="1176" w:type="dxa"/>
            <w:tcBorders>
              <w:top w:val="nil"/>
              <w:left w:val="nil"/>
              <w:right w:val="nil"/>
            </w:tcBorders>
          </w:tcPr>
          <w:p w:rsidR="005C2354" w:rsidRPr="00A016EE" w:rsidRDefault="005C2354" w:rsidP="005C2354">
            <w:pPr>
              <w:spacing w:before="60" w:after="60"/>
              <w:jc w:val="right"/>
              <w:rPr>
                <w:rFonts w:eastAsia="Calibri"/>
                <w:noProof/>
              </w:rPr>
            </w:pPr>
            <w:r w:rsidRPr="00A016EE">
              <w:rPr>
                <w:noProof/>
              </w:rPr>
              <w:t>(52,6 %)</w:t>
            </w:r>
          </w:p>
        </w:tc>
      </w:tr>
      <w:tr w:rsidR="005C2354" w:rsidRPr="00A016EE" w:rsidTr="007244BC">
        <w:trPr>
          <w:jc w:val="center"/>
        </w:trPr>
        <w:tc>
          <w:tcPr>
            <w:tcW w:w="1496" w:type="dxa"/>
            <w:tcBorders>
              <w:top w:val="nil"/>
              <w:left w:val="nil"/>
              <w:bottom w:val="single" w:sz="4" w:space="0" w:color="auto"/>
              <w:right w:val="nil"/>
            </w:tcBorders>
          </w:tcPr>
          <w:p w:rsidR="005C2354" w:rsidRPr="00A016EE" w:rsidRDefault="005C2354" w:rsidP="005C2354">
            <w:pPr>
              <w:spacing w:before="60" w:after="60"/>
              <w:rPr>
                <w:noProof/>
              </w:rPr>
            </w:pPr>
          </w:p>
        </w:tc>
        <w:tc>
          <w:tcPr>
            <w:tcW w:w="2063" w:type="dxa"/>
            <w:tcBorders>
              <w:top w:val="nil"/>
              <w:left w:val="nil"/>
              <w:bottom w:val="single" w:sz="4" w:space="0" w:color="auto"/>
              <w:right w:val="nil"/>
            </w:tcBorders>
          </w:tcPr>
          <w:p w:rsidR="005C2354" w:rsidRPr="00A016EE" w:rsidRDefault="005C2354" w:rsidP="005C2354">
            <w:pPr>
              <w:spacing w:before="60" w:after="60"/>
              <w:rPr>
                <w:noProof/>
              </w:rPr>
            </w:pPr>
            <w:r w:rsidRPr="00A016EE">
              <w:rPr>
                <w:noProof/>
              </w:rPr>
              <w:t>Ensino superior</w:t>
            </w:r>
            <w:r w:rsidRPr="00A016EE">
              <w:rPr>
                <w:rStyle w:val="FootnoteReference"/>
                <w:noProof/>
              </w:rPr>
              <w:footnoteReference w:id="24"/>
            </w:r>
          </w:p>
        </w:tc>
        <w:tc>
          <w:tcPr>
            <w:tcW w:w="1176" w:type="dxa"/>
            <w:tcBorders>
              <w:top w:val="nil"/>
              <w:left w:val="nil"/>
              <w:bottom w:val="single" w:sz="4" w:space="0" w:color="auto"/>
              <w:right w:val="nil"/>
            </w:tcBorders>
          </w:tcPr>
          <w:p w:rsidR="005C2354" w:rsidRPr="00A016EE" w:rsidRDefault="00B24BEA" w:rsidP="005C2354">
            <w:pPr>
              <w:spacing w:before="60" w:after="60"/>
              <w:jc w:val="right"/>
              <w:rPr>
                <w:noProof/>
              </w:rPr>
            </w:pPr>
            <w:r w:rsidRPr="00A016EE">
              <w:rPr>
                <w:noProof/>
              </w:rPr>
              <w:t>63</w:t>
            </w:r>
          </w:p>
        </w:tc>
        <w:tc>
          <w:tcPr>
            <w:tcW w:w="1176" w:type="dxa"/>
            <w:tcBorders>
              <w:top w:val="nil"/>
              <w:left w:val="nil"/>
              <w:bottom w:val="single" w:sz="4" w:space="0" w:color="auto"/>
              <w:right w:val="nil"/>
            </w:tcBorders>
          </w:tcPr>
          <w:p w:rsidR="005C2354" w:rsidRPr="00A016EE" w:rsidRDefault="005C2354" w:rsidP="005C2354">
            <w:pPr>
              <w:spacing w:before="60" w:after="60"/>
              <w:jc w:val="right"/>
              <w:rPr>
                <w:rFonts w:eastAsia="Calibri"/>
                <w:noProof/>
              </w:rPr>
            </w:pPr>
            <w:r w:rsidRPr="00A016EE">
              <w:rPr>
                <w:noProof/>
              </w:rPr>
              <w:t>(17,3 %)</w:t>
            </w:r>
          </w:p>
        </w:tc>
      </w:tr>
    </w:tbl>
    <w:p w:rsidR="00252AC6" w:rsidRPr="00A016EE" w:rsidRDefault="00FF75EB" w:rsidP="00252AC6">
      <w:pPr>
        <w:pStyle w:val="ManualHeading3"/>
        <w:rPr>
          <w:noProof/>
          <w:u w:val="single"/>
        </w:rPr>
      </w:pPr>
      <w:r w:rsidRPr="00A016EE">
        <w:rPr>
          <w:noProof/>
        </w:rPr>
        <w:t>Medidas propostas</w:t>
      </w:r>
    </w:p>
    <w:p w:rsidR="00252AC6" w:rsidRPr="00A016EE" w:rsidRDefault="0001257F" w:rsidP="0001257F">
      <w:pPr>
        <w:pStyle w:val="ManualNumPar1"/>
        <w:rPr>
          <w:noProof/>
        </w:rPr>
      </w:pPr>
      <w:bookmarkStart w:id="11" w:name="_Ref372214239"/>
      <w:r w:rsidRPr="0001257F">
        <w:rPr>
          <w:noProof/>
        </w:rPr>
        <w:t>33.</w:t>
      </w:r>
      <w:r w:rsidRPr="0001257F">
        <w:rPr>
          <w:noProof/>
        </w:rPr>
        <w:tab/>
      </w:r>
      <w:r w:rsidR="00930B53" w:rsidRPr="00A016EE">
        <w:rPr>
          <w:noProof/>
        </w:rPr>
        <w:t xml:space="preserve">Nos termos do artigo 8.º, n.º 7, alínea h), do Regulamento (UE) 2021/691, o pacote coordenado personalizado a apresentar aos trabalhadores despedidos consiste nas seguintes medidas: </w:t>
      </w:r>
      <w:bookmarkEnd w:id="11"/>
    </w:p>
    <w:p w:rsidR="00252AC6" w:rsidRPr="00A016EE" w:rsidRDefault="008B5BC0" w:rsidP="003C2969">
      <w:pPr>
        <w:pStyle w:val="Tiret1"/>
        <w:numPr>
          <w:ilvl w:val="0"/>
          <w:numId w:val="11"/>
        </w:numPr>
        <w:rPr>
          <w:noProof/>
        </w:rPr>
      </w:pPr>
      <w:r w:rsidRPr="00A016EE">
        <w:rPr>
          <w:noProof/>
          <w:u w:val="single"/>
        </w:rPr>
        <w:t>Serviços de informação, orientação profissional e assistência à recolocação</w:t>
      </w:r>
      <w:r w:rsidRPr="00A016EE">
        <w:rPr>
          <w:noProof/>
        </w:rPr>
        <w:t>: Este conjunto de serviços alarga as atividades normais de apoio aos antigos trabalhadores da Match-Smatch realizadas pela unidade de emprego do Forem em nome da empresa que procede aos despedimentos. A oferta normal será prorrogada para além do período obrigatório e serão propostos serviços específicos adicionais, tais como orientação individual, apoio na procura ativa de emprego e na correspondência entre oferta e procura de emprego.</w:t>
      </w:r>
    </w:p>
    <w:p w:rsidR="005D57B7" w:rsidRPr="00A016EE" w:rsidRDefault="008B5BC0" w:rsidP="005D57B7">
      <w:pPr>
        <w:pStyle w:val="Tiret1"/>
        <w:rPr>
          <w:noProof/>
        </w:rPr>
      </w:pPr>
      <w:r w:rsidRPr="00A016EE">
        <w:rPr>
          <w:noProof/>
          <w:u w:val="single"/>
        </w:rPr>
        <w:t>Formação, reconversão e formação profissional</w:t>
      </w:r>
      <w:r w:rsidRPr="00A016EE">
        <w:rPr>
          <w:noProof/>
        </w:rPr>
        <w:t>: Os trabalhadores terão acesso à oferta de formação regular do Forem e dos seus parceiros. Além disso, após a definição de perfis e o estabelecimento de projetos individuais com o conselheiro profissional, será proposta formação específica cofinanciada pelo FEG para responder às necessidades identificadas dos trabalhadores.</w:t>
      </w:r>
    </w:p>
    <w:p w:rsidR="005D57B7" w:rsidRPr="00A016EE" w:rsidRDefault="00703A76" w:rsidP="005D57B7">
      <w:pPr>
        <w:pStyle w:val="Tiret1"/>
        <w:rPr>
          <w:noProof/>
        </w:rPr>
      </w:pPr>
      <w:r w:rsidRPr="00A016EE">
        <w:rPr>
          <w:noProof/>
          <w:u w:val="single"/>
        </w:rPr>
        <w:t>Apoio à criação de empresas</w:t>
      </w:r>
      <w:r w:rsidRPr="00A016EE">
        <w:rPr>
          <w:noProof/>
        </w:rPr>
        <w:t>: A medida visa os trabalhadores que queiram criar a sua própria empresa e incluirá uma fase de diagnóstico e orientação, ações de sensibilização para o empreendedorismo, sessões de informação sobre o potencial de criação de empresas através de diagnósticos económicos territoriais e da criação de redes com empresários relevantes e com formadores certificados na criação de empresas.</w:t>
      </w:r>
    </w:p>
    <w:p w:rsidR="00755E62" w:rsidRPr="00A016EE" w:rsidRDefault="00D16908" w:rsidP="00214915">
      <w:pPr>
        <w:pStyle w:val="Tiret1"/>
        <w:rPr>
          <w:noProof/>
        </w:rPr>
      </w:pPr>
      <w:r w:rsidRPr="00A016EE">
        <w:rPr>
          <w:noProof/>
          <w:u w:val="single"/>
        </w:rPr>
        <w:t>Contribuição para a criação de empresas</w:t>
      </w:r>
      <w:r w:rsidRPr="00A016EE">
        <w:rPr>
          <w:noProof/>
        </w:rPr>
        <w:t>: Os trabalhadores que criem uma empresa ou iniciem uma atividade por conta própria receberão uma contribuição até 15 000 EUR. A contribuição será paga em duas prestações, após ter sido comprovado documentalmente o início e o desenvolvimento da atividade.</w:t>
      </w:r>
    </w:p>
    <w:p w:rsidR="003736CE" w:rsidRPr="00A016EE" w:rsidRDefault="00F93AC5" w:rsidP="00214915">
      <w:pPr>
        <w:pStyle w:val="Tiret1"/>
        <w:rPr>
          <w:noProof/>
        </w:rPr>
      </w:pPr>
      <w:r w:rsidRPr="00A016EE">
        <w:rPr>
          <w:noProof/>
          <w:u w:val="single"/>
        </w:rPr>
        <w:t>Incentivos e subsídios</w:t>
      </w:r>
      <w:r w:rsidRPr="00A016EE">
        <w:rPr>
          <w:noProof/>
        </w:rPr>
        <w:t>: 1) </w:t>
      </w:r>
      <w:r w:rsidRPr="00A016EE">
        <w:rPr>
          <w:b/>
          <w:bCs/>
          <w:noProof/>
        </w:rPr>
        <w:t>Subsídios de procura de emprego e de formação</w:t>
      </w:r>
      <w:r w:rsidRPr="00A016EE">
        <w:rPr>
          <w:noProof/>
        </w:rPr>
        <w:t>. Os trabalhadores receberão 2 EUR por hora de participação efetiva em ações de formação ou em atividades de procura de emprego. 2) </w:t>
      </w:r>
      <w:r w:rsidRPr="00A016EE">
        <w:rPr>
          <w:b/>
          <w:bCs/>
          <w:noProof/>
        </w:rPr>
        <w:t>Bónus para melhorar as competências informáticas</w:t>
      </w:r>
      <w:r w:rsidRPr="00A016EE">
        <w:rPr>
          <w:noProof/>
        </w:rPr>
        <w:t>. Os trabalhadores que sigam o módulo de acesso à autonomia digital e o seu módulo complementar receberão um montante fixo de 700 EUR, sob reserva da sua participação ativa na formação e da conclusão da mesma. O bónus visa reduzir a iliteracia digital, incentivando os trabalhadores a melhorarem as suas competências informáticas. 3) </w:t>
      </w:r>
      <w:r w:rsidRPr="00A016EE">
        <w:rPr>
          <w:b/>
          <w:bCs/>
          <w:noProof/>
        </w:rPr>
        <w:t>Bónus para melhorar as competências linguísticas</w:t>
      </w:r>
      <w:r w:rsidRPr="00A016EE">
        <w:rPr>
          <w:noProof/>
        </w:rPr>
        <w:t>. Os trabalhadores que frequentem formação linguística para melhorar as suas competências em língua neerlandesa, inglesa ou alemã no âmbito de uma procura de emprego específica, que lhes permita atingir um nível mais elevado do Quadro Europeu Comum de Referência para as Línguas receberão um montante fixo de 700 EUR. O mesmo se aplica aos trabalhadores cuja língua materna não é o francês e que melhoram as suas competências de francês para um nível superior. O objetivo deste bónus é incentivar o desenvolvimento interdisciplinar de competências linguísticas para facilitar a reintegração dos trabalhadores no mercado de trabalho. 4) </w:t>
      </w:r>
      <w:r w:rsidRPr="00A016EE">
        <w:rPr>
          <w:b/>
          <w:bCs/>
          <w:noProof/>
        </w:rPr>
        <w:t>Subsídio de regresso à escola</w:t>
      </w:r>
      <w:r w:rsidRPr="00A016EE">
        <w:rPr>
          <w:noProof/>
        </w:rPr>
        <w:t>. Será concedido um subsídio mensal de 350 EUR aos trabalhadores que iniciem estudos secundários e terciários a tempo inteiro ou formação qualificada, independentemente da sua idade. 5) </w:t>
      </w:r>
      <w:r w:rsidRPr="00A016EE">
        <w:rPr>
          <w:b/>
          <w:bCs/>
          <w:noProof/>
        </w:rPr>
        <w:t>Subsídio de criação de uma empresa</w:t>
      </w:r>
      <w:r w:rsidRPr="00A016EE">
        <w:rPr>
          <w:noProof/>
        </w:rPr>
        <w:t>. Para ajudar os trabalhadores a criar empresas próprias, será atribuído um subsídio mensal de 350 EUR por um período máximo de 12 meses</w:t>
      </w:r>
      <w:r w:rsidR="00717FE5" w:rsidRPr="00A016EE">
        <w:rPr>
          <w:rStyle w:val="FootnoteReference"/>
          <w:noProof/>
        </w:rPr>
        <w:footnoteReference w:id="25"/>
      </w:r>
      <w:r w:rsidRPr="00A016EE">
        <w:rPr>
          <w:noProof/>
        </w:rPr>
        <w:t>. 6) </w:t>
      </w:r>
      <w:r w:rsidRPr="00A016EE">
        <w:rPr>
          <w:b/>
          <w:bCs/>
          <w:noProof/>
        </w:rPr>
        <w:t>Incentivos à contratação</w:t>
      </w:r>
      <w:r w:rsidRPr="00A016EE">
        <w:rPr>
          <w:noProof/>
        </w:rPr>
        <w:t>. As empresas que recrutem antigos trabalhadores da Match-Smatch de 50 anos de idade ou mais receberão 10 000 EUR em caso de contratos permanentes a tempo inteiro ou de contratos a termo até seis meses seguidos de contratos permanentes.</w:t>
      </w:r>
    </w:p>
    <w:p w:rsidR="00252AC6" w:rsidRPr="00A016EE" w:rsidRDefault="0001257F" w:rsidP="0001257F">
      <w:pPr>
        <w:pStyle w:val="ManualNumPar1"/>
        <w:rPr>
          <w:noProof/>
        </w:rPr>
      </w:pPr>
      <w:r w:rsidRPr="0001257F">
        <w:rPr>
          <w:noProof/>
        </w:rPr>
        <w:t>34.</w:t>
      </w:r>
      <w:r w:rsidRPr="0001257F">
        <w:rPr>
          <w:noProof/>
        </w:rPr>
        <w:tab/>
      </w:r>
      <w:r w:rsidR="00335FD0" w:rsidRPr="00A016EE">
        <w:rPr>
          <w:noProof/>
        </w:rPr>
        <w:t>A formação para adquirir autonomia digital acima referida, que complementa a formação regular do Forem para desenvolver competências digitais, juntamente com um módulo sobre economia circular e utilização eficiente dos recursos, está em conformidade com os requisitos estabelecidos no artigo 7.º, n.º 2, do Regulamento (UE) 2021/691. O módulo sobre economia circular e utilização eficiente dos recursos desenvolvido para os antigos trabalhadores da Swissport (EGF/2020/005 BE)</w:t>
      </w:r>
      <w:r w:rsidR="00613A0B" w:rsidRPr="00A016EE">
        <w:rPr>
          <w:rStyle w:val="FootnoteReference"/>
          <w:noProof/>
        </w:rPr>
        <w:footnoteReference w:id="26"/>
      </w:r>
      <w:r w:rsidR="00335FD0" w:rsidRPr="00A016EE">
        <w:rPr>
          <w:noProof/>
        </w:rPr>
        <w:t xml:space="preserve"> faz agora parte da oferta de formação regular do Forem cofinanciada pelo FSE+. Por conseguinte, não está orçamentado na presente proposta. O módulo sobre economia circular é complementado por um módulo sobre economia social também desenvolvido no âmbito de uma intervenção do FEG</w:t>
      </w:r>
      <w:r w:rsidR="008D41C8" w:rsidRPr="00A016EE">
        <w:rPr>
          <w:rStyle w:val="FootnoteReference"/>
          <w:noProof/>
        </w:rPr>
        <w:footnoteReference w:id="27"/>
      </w:r>
      <w:r w:rsidR="00335FD0" w:rsidRPr="00A016EE">
        <w:rPr>
          <w:noProof/>
        </w:rPr>
        <w:t>.</w:t>
      </w:r>
    </w:p>
    <w:p w:rsidR="00252AC6" w:rsidRPr="00A016EE" w:rsidRDefault="0001257F" w:rsidP="0001257F">
      <w:pPr>
        <w:pStyle w:val="ManualNumPar1"/>
        <w:rPr>
          <w:noProof/>
        </w:rPr>
      </w:pPr>
      <w:bookmarkStart w:id="12" w:name="_Ref372214242"/>
      <w:r w:rsidRPr="0001257F">
        <w:rPr>
          <w:noProof/>
        </w:rPr>
        <w:t>35.</w:t>
      </w:r>
      <w:r w:rsidRPr="0001257F">
        <w:rPr>
          <w:noProof/>
        </w:rPr>
        <w:tab/>
      </w:r>
      <w:r w:rsidR="00C96520" w:rsidRPr="00A016EE">
        <w:rPr>
          <w:noProof/>
        </w:rPr>
        <w:t xml:space="preserve">As ações propostas, aqui descritas, constituem medidas ativas do mercado de trabalho que se enquadram nas ações elegíveis definidas no artigo 7.º do Regulamento (UE) 2021/691. Estas ações não substituem as medidas passivas de proteção social. </w:t>
      </w:r>
    </w:p>
    <w:p w:rsidR="004545BE" w:rsidRPr="00A016EE" w:rsidRDefault="0001257F" w:rsidP="0001257F">
      <w:pPr>
        <w:pStyle w:val="ManualNumPar1"/>
        <w:rPr>
          <w:noProof/>
        </w:rPr>
      </w:pPr>
      <w:r w:rsidRPr="0001257F">
        <w:rPr>
          <w:noProof/>
        </w:rPr>
        <w:t>36.</w:t>
      </w:r>
      <w:r w:rsidRPr="0001257F">
        <w:rPr>
          <w:noProof/>
        </w:rPr>
        <w:tab/>
      </w:r>
      <w:r w:rsidR="00FC076B" w:rsidRPr="00A016EE">
        <w:rPr>
          <w:noProof/>
        </w:rPr>
        <w:t xml:space="preserve">As autoridades belgas informaram que as 30/60 horas de serviços de recolocação, que são obrigação legal do empregador, começaram imediatamente após os despedimentos. A unidade de reconversão cofinanciada pelo FEG assumiu esse encargo após o termo da obrigação legal, sem intervalo de tempo. </w:t>
      </w:r>
    </w:p>
    <w:p w:rsidR="00252AC6" w:rsidRPr="00A016EE" w:rsidRDefault="0001257F" w:rsidP="0001257F">
      <w:pPr>
        <w:pStyle w:val="ManualNumPar1"/>
        <w:rPr>
          <w:noProof/>
        </w:rPr>
      </w:pPr>
      <w:r w:rsidRPr="0001257F">
        <w:rPr>
          <w:noProof/>
        </w:rPr>
        <w:t>37.</w:t>
      </w:r>
      <w:r w:rsidRPr="0001257F">
        <w:rPr>
          <w:noProof/>
        </w:rPr>
        <w:tab/>
      </w:r>
      <w:r w:rsidR="00FC076B" w:rsidRPr="00A016EE">
        <w:rPr>
          <w:noProof/>
        </w:rPr>
        <w:t>As autoridades belgas forneceram as informações exigidas sobre as medidas que as empresas têm de empreender por força da legislação nacional ou das convenções coletivas. Nos termos do artigo 9.º, n.º 1, do Regulamento (UE) 2021/691, as autoridades belgas confirmaram que a contribuição financeira do FEG não irá substituir nenhuma dessas medidas.</w:t>
      </w:r>
      <w:bookmarkEnd w:id="12"/>
    </w:p>
    <w:p w:rsidR="00252AC6" w:rsidRPr="00A016EE" w:rsidRDefault="00252AC6" w:rsidP="00252AC6">
      <w:pPr>
        <w:pStyle w:val="ManualHeading3"/>
        <w:rPr>
          <w:noProof/>
        </w:rPr>
      </w:pPr>
      <w:r w:rsidRPr="00A016EE">
        <w:rPr>
          <w:noProof/>
        </w:rPr>
        <w:t>Orçamento estimado</w:t>
      </w:r>
    </w:p>
    <w:p w:rsidR="00252AC6" w:rsidRPr="00A016EE" w:rsidRDefault="0001257F" w:rsidP="0001257F">
      <w:pPr>
        <w:pStyle w:val="ManualNumPar1"/>
        <w:rPr>
          <w:noProof/>
        </w:rPr>
      </w:pPr>
      <w:r w:rsidRPr="0001257F">
        <w:rPr>
          <w:noProof/>
        </w:rPr>
        <w:t>38.</w:t>
      </w:r>
      <w:r w:rsidRPr="0001257F">
        <w:rPr>
          <w:noProof/>
        </w:rPr>
        <w:tab/>
      </w:r>
      <w:r w:rsidR="00252AC6" w:rsidRPr="00A016EE">
        <w:rPr>
          <w:noProof/>
        </w:rPr>
        <w:t>O total dos custos estimados é de 3 131 252 EUR, incluindo despesas com serviços personalizados no valor de 3 009 752 EUR e despesas com atividades de preparação, gestão, informação e publicidade, controlo e elaboração de relatórios de 121 500 EUR.</w:t>
      </w:r>
    </w:p>
    <w:p w:rsidR="00252AC6" w:rsidRPr="00A016EE" w:rsidRDefault="0001257F" w:rsidP="0001257F">
      <w:pPr>
        <w:pStyle w:val="ManualNumPar1"/>
        <w:rPr>
          <w:noProof/>
        </w:rPr>
      </w:pPr>
      <w:bookmarkStart w:id="13" w:name="_Ref372550770"/>
      <w:r w:rsidRPr="0001257F">
        <w:rPr>
          <w:noProof/>
        </w:rPr>
        <w:t>39.</w:t>
      </w:r>
      <w:r w:rsidRPr="0001257F">
        <w:rPr>
          <w:noProof/>
        </w:rPr>
        <w:tab/>
      </w:r>
      <w:r w:rsidR="00252AC6" w:rsidRPr="00A016EE">
        <w:rPr>
          <w:noProof/>
        </w:rPr>
        <w:t>A contribuição financeira total solicitada ao FEG ascende a 2 661 564 EUR (85 % dos custos totais).</w:t>
      </w:r>
      <w:bookmarkEnd w:id="13"/>
    </w:p>
    <w:p w:rsidR="007F59AB" w:rsidRPr="00A016EE" w:rsidRDefault="0001257F" w:rsidP="0001257F">
      <w:pPr>
        <w:pStyle w:val="ManualNumPar1"/>
        <w:rPr>
          <w:noProof/>
        </w:rPr>
      </w:pPr>
      <w:r w:rsidRPr="0001257F">
        <w:rPr>
          <w:noProof/>
        </w:rPr>
        <w:t>40.</w:t>
      </w:r>
      <w:r w:rsidRPr="0001257F">
        <w:rPr>
          <w:noProof/>
        </w:rPr>
        <w:tab/>
      </w:r>
      <w:r w:rsidR="00281459" w:rsidRPr="00A016EE">
        <w:rPr>
          <w:noProof/>
        </w:rPr>
        <w:t>Nos termos do artigo 8.º, n.º 7, alínea m), do Regulamento (UE) 2021/691, as autoridades belgas especificaram que o pré-financiamento nacional e o cofinanciamento são concedidos pela Région Wallone.</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rsidR="00252AC6" w:rsidRPr="00A016EE" w:rsidTr="00F060F9">
        <w:tc>
          <w:tcPr>
            <w:tcW w:w="4644" w:type="dxa"/>
            <w:shd w:val="clear" w:color="auto" w:fill="auto"/>
            <w:vAlign w:val="center"/>
          </w:tcPr>
          <w:p w:rsidR="00252AC6" w:rsidRPr="00A016EE" w:rsidRDefault="00D5559A" w:rsidP="00F060F9">
            <w:pPr>
              <w:spacing w:before="60" w:after="60"/>
              <w:jc w:val="center"/>
              <w:rPr>
                <w:rFonts w:eastAsia="Times New Roman"/>
                <w:noProof/>
                <w:sz w:val="22"/>
              </w:rPr>
            </w:pPr>
            <w:r w:rsidRPr="00A016EE">
              <w:rPr>
                <w:noProof/>
                <w:sz w:val="22"/>
              </w:rPr>
              <w:t>Medidas</w:t>
            </w:r>
          </w:p>
        </w:tc>
        <w:tc>
          <w:tcPr>
            <w:tcW w:w="1548" w:type="dxa"/>
            <w:shd w:val="clear" w:color="auto" w:fill="auto"/>
            <w:vAlign w:val="center"/>
          </w:tcPr>
          <w:p w:rsidR="00252AC6" w:rsidRPr="00A016EE" w:rsidRDefault="00252AC6" w:rsidP="00F060F9">
            <w:pPr>
              <w:spacing w:before="60" w:after="60"/>
              <w:jc w:val="center"/>
              <w:rPr>
                <w:rFonts w:eastAsia="Times New Roman"/>
                <w:noProof/>
                <w:sz w:val="22"/>
              </w:rPr>
            </w:pPr>
            <w:r w:rsidRPr="00A016EE">
              <w:rPr>
                <w:noProof/>
                <w:sz w:val="22"/>
              </w:rPr>
              <w:t>Número estimado de participantes</w:t>
            </w:r>
          </w:p>
        </w:tc>
        <w:tc>
          <w:tcPr>
            <w:tcW w:w="1548" w:type="dxa"/>
            <w:shd w:val="clear" w:color="auto" w:fill="auto"/>
            <w:vAlign w:val="center"/>
          </w:tcPr>
          <w:p w:rsidR="00252AC6" w:rsidRPr="00A016EE" w:rsidRDefault="00252AC6" w:rsidP="00F060F9">
            <w:pPr>
              <w:spacing w:before="60" w:after="60"/>
              <w:jc w:val="center"/>
              <w:rPr>
                <w:rFonts w:eastAsia="Times New Roman"/>
                <w:noProof/>
                <w:sz w:val="22"/>
              </w:rPr>
            </w:pPr>
            <w:r w:rsidRPr="00A016EE">
              <w:rPr>
                <w:noProof/>
                <w:sz w:val="22"/>
              </w:rPr>
              <w:t>Custo estimado por participante</w:t>
            </w:r>
            <w:r w:rsidRPr="00A016EE">
              <w:rPr>
                <w:noProof/>
                <w:sz w:val="22"/>
              </w:rPr>
              <w:br/>
            </w:r>
            <w:r w:rsidRPr="00A016EE">
              <w:rPr>
                <w:i/>
                <w:noProof/>
                <w:sz w:val="22"/>
              </w:rPr>
              <w:t>(em EUR)</w:t>
            </w:r>
            <w:r w:rsidR="00A31F0E" w:rsidRPr="00A016EE">
              <w:rPr>
                <w:rStyle w:val="FootnoteReference"/>
                <w:rFonts w:eastAsia="Times New Roman"/>
                <w:i/>
                <w:noProof/>
                <w:sz w:val="22"/>
              </w:rPr>
              <w:footnoteReference w:id="28"/>
            </w:r>
          </w:p>
        </w:tc>
        <w:tc>
          <w:tcPr>
            <w:tcW w:w="1548" w:type="dxa"/>
            <w:shd w:val="clear" w:color="auto" w:fill="auto"/>
            <w:vAlign w:val="center"/>
          </w:tcPr>
          <w:p w:rsidR="00252AC6" w:rsidRPr="00A016EE" w:rsidRDefault="00252AC6" w:rsidP="00F060F9">
            <w:pPr>
              <w:spacing w:before="60" w:after="60"/>
              <w:jc w:val="center"/>
              <w:rPr>
                <w:rFonts w:eastAsia="Times New Roman"/>
                <w:noProof/>
                <w:sz w:val="22"/>
              </w:rPr>
            </w:pPr>
            <w:r w:rsidRPr="00A016EE">
              <w:rPr>
                <w:noProof/>
                <w:sz w:val="22"/>
              </w:rPr>
              <w:t>Custo total estimado</w:t>
            </w:r>
          </w:p>
          <w:p w:rsidR="00252AC6" w:rsidRPr="00A016EE" w:rsidRDefault="00252AC6" w:rsidP="00F060F9">
            <w:pPr>
              <w:spacing w:before="60" w:after="60"/>
              <w:jc w:val="center"/>
              <w:rPr>
                <w:rFonts w:eastAsia="Times New Roman"/>
                <w:noProof/>
                <w:sz w:val="22"/>
              </w:rPr>
            </w:pPr>
            <w:r w:rsidRPr="00A016EE">
              <w:rPr>
                <w:i/>
                <w:noProof/>
                <w:sz w:val="22"/>
              </w:rPr>
              <w:t>(em EUR)</w:t>
            </w:r>
            <w:r w:rsidR="002060F6" w:rsidRPr="00A016EE">
              <w:rPr>
                <w:rStyle w:val="FootnoteReference"/>
                <w:rFonts w:eastAsia="Times New Roman"/>
                <w:i/>
                <w:noProof/>
                <w:sz w:val="22"/>
              </w:rPr>
              <w:footnoteReference w:id="29"/>
            </w:r>
            <w:r w:rsidRPr="00A016EE">
              <w:rPr>
                <w:i/>
                <w:noProof/>
                <w:sz w:val="22"/>
              </w:rPr>
              <w:t xml:space="preserve"> </w:t>
            </w:r>
          </w:p>
        </w:tc>
      </w:tr>
      <w:tr w:rsidR="00252AC6" w:rsidRPr="00A016EE" w:rsidTr="00F060F9">
        <w:tc>
          <w:tcPr>
            <w:tcW w:w="9288" w:type="dxa"/>
            <w:gridSpan w:val="4"/>
            <w:shd w:val="clear" w:color="auto" w:fill="auto"/>
          </w:tcPr>
          <w:p w:rsidR="00252AC6" w:rsidRPr="00A016EE" w:rsidRDefault="00252AC6" w:rsidP="00CD31A0">
            <w:pPr>
              <w:spacing w:before="60" w:after="60"/>
              <w:jc w:val="left"/>
              <w:rPr>
                <w:rFonts w:eastAsia="Times New Roman"/>
                <w:noProof/>
                <w:sz w:val="22"/>
              </w:rPr>
            </w:pPr>
            <w:r w:rsidRPr="00A016EE">
              <w:rPr>
                <w:noProof/>
              </w:rPr>
              <w:t>Serviços personalizados [medidas ao abrigo do artigo 7.º, n.º 2, segundo parágrafo, alínea a), do Regulamento (UE) 2021/691]</w:t>
            </w:r>
          </w:p>
        </w:tc>
      </w:tr>
      <w:tr w:rsidR="00252AC6" w:rsidRPr="00A016EE"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016EE" w:rsidRDefault="008B5BC0" w:rsidP="00F060F9">
            <w:pPr>
              <w:spacing w:before="60" w:after="60"/>
              <w:jc w:val="left"/>
              <w:rPr>
                <w:noProof/>
              </w:rPr>
            </w:pPr>
            <w:r w:rsidRPr="00A016EE">
              <w:rPr>
                <w:noProof/>
              </w:rPr>
              <w:t>Serviços de informação, orientação profissional e assistência à recolocação</w:t>
            </w:r>
            <w:r w:rsidRPr="00A016EE">
              <w:rPr>
                <w:noProof/>
              </w:rPr>
              <w:br/>
              <w:t>(</w:t>
            </w:r>
            <w:r w:rsidRPr="00A016EE">
              <w:rPr>
                <w:i/>
                <w:noProof/>
              </w:rPr>
              <w:t>Reconversion: accompagnement/orientation/mobilisation)</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4F07A5" w:rsidP="00F060F9">
            <w:pPr>
              <w:spacing w:before="60" w:after="60"/>
              <w:jc w:val="center"/>
              <w:rPr>
                <w:noProof/>
              </w:rPr>
            </w:pPr>
            <w:r w:rsidRPr="00A016EE">
              <w:rPr>
                <w:noProof/>
              </w:rPr>
              <w:t>365</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4F07A5" w:rsidP="00F060F9">
            <w:pPr>
              <w:spacing w:before="60" w:after="60"/>
              <w:jc w:val="center"/>
              <w:rPr>
                <w:noProof/>
              </w:rPr>
            </w:pPr>
            <w:r w:rsidRPr="00A016EE">
              <w:rPr>
                <w:noProof/>
              </w:rPr>
              <w:t>5 279</w:t>
            </w:r>
          </w:p>
        </w:tc>
        <w:tc>
          <w:tcPr>
            <w:tcW w:w="1548" w:type="dxa"/>
            <w:tcBorders>
              <w:top w:val="single" w:sz="4" w:space="0" w:color="auto"/>
              <w:left w:val="single" w:sz="4" w:space="0" w:color="auto"/>
              <w:bottom w:val="single" w:sz="4" w:space="0" w:color="auto"/>
              <w:right w:val="nil"/>
            </w:tcBorders>
            <w:vAlign w:val="center"/>
            <w:hideMark/>
          </w:tcPr>
          <w:p w:rsidR="00252AC6" w:rsidRPr="00A016EE" w:rsidRDefault="001366C1" w:rsidP="00F060F9">
            <w:pPr>
              <w:spacing w:before="60" w:after="60"/>
              <w:jc w:val="center"/>
              <w:rPr>
                <w:noProof/>
              </w:rPr>
            </w:pPr>
            <w:r w:rsidRPr="00A016EE">
              <w:rPr>
                <w:noProof/>
              </w:rPr>
              <w:t>1 926 807</w:t>
            </w:r>
          </w:p>
        </w:tc>
      </w:tr>
      <w:tr w:rsidR="00252AC6" w:rsidRPr="00A016EE"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016EE" w:rsidRDefault="001366C1" w:rsidP="00F060F9">
            <w:pPr>
              <w:spacing w:before="60" w:after="60"/>
              <w:jc w:val="left"/>
              <w:rPr>
                <w:noProof/>
              </w:rPr>
            </w:pPr>
            <w:r w:rsidRPr="00A016EE">
              <w:rPr>
                <w:noProof/>
              </w:rPr>
              <w:t xml:space="preserve">Formação, reconversão e formação profissional </w:t>
            </w:r>
            <w:r w:rsidRPr="00A016EE">
              <w:rPr>
                <w:i/>
                <w:iCs/>
                <w:noProof/>
              </w:rPr>
              <w:t>Formation</w:t>
            </w:r>
            <w:r w:rsidRPr="00A016EE">
              <w:rPr>
                <w:noProof/>
              </w:rPr>
              <w:t>)</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703A76" w:rsidP="00F060F9">
            <w:pPr>
              <w:spacing w:before="60" w:after="60"/>
              <w:jc w:val="center"/>
              <w:rPr>
                <w:noProof/>
              </w:rPr>
            </w:pPr>
            <w:r w:rsidRPr="00A016EE">
              <w:rPr>
                <w:noProof/>
              </w:rPr>
              <w:t>150</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703A76" w:rsidP="00F060F9">
            <w:pPr>
              <w:spacing w:before="60" w:after="60"/>
              <w:jc w:val="center"/>
              <w:rPr>
                <w:noProof/>
              </w:rPr>
            </w:pPr>
            <w:r w:rsidRPr="00A016EE">
              <w:rPr>
                <w:noProof/>
              </w:rPr>
              <w:t>208</w:t>
            </w:r>
          </w:p>
        </w:tc>
        <w:tc>
          <w:tcPr>
            <w:tcW w:w="1548" w:type="dxa"/>
            <w:tcBorders>
              <w:top w:val="single" w:sz="4" w:space="0" w:color="auto"/>
              <w:left w:val="single" w:sz="4" w:space="0" w:color="auto"/>
              <w:bottom w:val="single" w:sz="4" w:space="0" w:color="auto"/>
              <w:right w:val="nil"/>
            </w:tcBorders>
            <w:vAlign w:val="center"/>
            <w:hideMark/>
          </w:tcPr>
          <w:p w:rsidR="00252AC6" w:rsidRPr="00A016EE" w:rsidRDefault="00703A76" w:rsidP="00F060F9">
            <w:pPr>
              <w:spacing w:before="60" w:after="60"/>
              <w:jc w:val="center"/>
              <w:rPr>
                <w:noProof/>
              </w:rPr>
            </w:pPr>
            <w:r w:rsidRPr="00A016EE">
              <w:rPr>
                <w:noProof/>
              </w:rPr>
              <w:t>31 200</w:t>
            </w:r>
          </w:p>
        </w:tc>
      </w:tr>
      <w:tr w:rsidR="00252AC6" w:rsidRPr="00A016EE"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016EE" w:rsidRDefault="00E1167F" w:rsidP="00F060F9">
            <w:pPr>
              <w:spacing w:before="60" w:after="60"/>
              <w:jc w:val="left"/>
              <w:rPr>
                <w:noProof/>
              </w:rPr>
            </w:pPr>
            <w:r w:rsidRPr="00A016EE">
              <w:rPr>
                <w:noProof/>
              </w:rPr>
              <w:t xml:space="preserve">Apoio à criação de empresas </w:t>
            </w:r>
            <w:r w:rsidRPr="00A016EE">
              <w:rPr>
                <w:noProof/>
              </w:rPr>
              <w:br/>
              <w:t>(</w:t>
            </w:r>
            <w:r w:rsidRPr="00A016EE">
              <w:rPr>
                <w:i/>
                <w:iCs/>
                <w:noProof/>
              </w:rPr>
              <w:t>Dispositif d'accompagnement à l'entrepreneuriat</w:t>
            </w:r>
            <w:r w:rsidRPr="00A016EE">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D16908" w:rsidP="00F060F9">
            <w:pPr>
              <w:spacing w:before="60" w:after="60"/>
              <w:jc w:val="center"/>
              <w:rPr>
                <w:noProof/>
              </w:rPr>
            </w:pPr>
            <w:r w:rsidRPr="00A016EE">
              <w:rPr>
                <w:noProof/>
              </w:rPr>
              <w:t>45</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D16908" w:rsidP="00F060F9">
            <w:pPr>
              <w:spacing w:before="60" w:after="60"/>
              <w:jc w:val="center"/>
              <w:rPr>
                <w:noProof/>
              </w:rPr>
            </w:pPr>
            <w:r w:rsidRPr="00A016EE">
              <w:rPr>
                <w:noProof/>
              </w:rPr>
              <w:t>3 594</w:t>
            </w:r>
          </w:p>
        </w:tc>
        <w:tc>
          <w:tcPr>
            <w:tcW w:w="1548" w:type="dxa"/>
            <w:tcBorders>
              <w:top w:val="single" w:sz="4" w:space="0" w:color="auto"/>
              <w:left w:val="single" w:sz="4" w:space="0" w:color="auto"/>
              <w:bottom w:val="single" w:sz="4" w:space="0" w:color="auto"/>
              <w:right w:val="nil"/>
            </w:tcBorders>
            <w:vAlign w:val="center"/>
            <w:hideMark/>
          </w:tcPr>
          <w:p w:rsidR="00252AC6" w:rsidRPr="00A016EE" w:rsidRDefault="00D16908" w:rsidP="00F060F9">
            <w:pPr>
              <w:spacing w:before="60" w:after="60"/>
              <w:jc w:val="center"/>
              <w:rPr>
                <w:noProof/>
              </w:rPr>
            </w:pPr>
            <w:r w:rsidRPr="00A016EE">
              <w:rPr>
                <w:noProof/>
              </w:rPr>
              <w:t>161 727</w:t>
            </w:r>
          </w:p>
        </w:tc>
      </w:tr>
      <w:tr w:rsidR="00252AC6" w:rsidRPr="00A016EE"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016EE" w:rsidRDefault="009961C7" w:rsidP="00F060F9">
            <w:pPr>
              <w:spacing w:before="60" w:after="60"/>
              <w:jc w:val="left"/>
              <w:rPr>
                <w:noProof/>
              </w:rPr>
            </w:pPr>
            <w:r w:rsidRPr="00A016EE">
              <w:rPr>
                <w:noProof/>
              </w:rPr>
              <w:t>Contribuição para a criação de empresas</w:t>
            </w:r>
            <w:r w:rsidRPr="00A016EE">
              <w:rPr>
                <w:noProof/>
              </w:rPr>
              <w:br/>
              <w:t>(</w:t>
            </w:r>
            <w:r w:rsidRPr="00A016EE">
              <w:rPr>
                <w:i/>
                <w:iCs/>
                <w:noProof/>
              </w:rPr>
              <w:t>Bourse de lancement</w:t>
            </w:r>
            <w:r w:rsidRPr="00A016EE">
              <w:rPr>
                <w:noProof/>
              </w:rPr>
              <w:t>)</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517C37" w:rsidP="00F060F9">
            <w:pPr>
              <w:spacing w:before="60" w:after="60"/>
              <w:jc w:val="center"/>
              <w:rPr>
                <w:noProof/>
              </w:rPr>
            </w:pPr>
            <w:r w:rsidRPr="00A016EE">
              <w:rPr>
                <w:noProof/>
              </w:rPr>
              <w:t>12</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517C37" w:rsidP="00F060F9">
            <w:pPr>
              <w:spacing w:before="60" w:after="60"/>
              <w:jc w:val="center"/>
              <w:rPr>
                <w:noProof/>
              </w:rPr>
            </w:pPr>
            <w:r w:rsidRPr="00A016EE">
              <w:rPr>
                <w:noProof/>
              </w:rPr>
              <w:t>10 000</w:t>
            </w:r>
          </w:p>
        </w:tc>
        <w:tc>
          <w:tcPr>
            <w:tcW w:w="1548" w:type="dxa"/>
            <w:tcBorders>
              <w:top w:val="single" w:sz="4" w:space="0" w:color="auto"/>
              <w:left w:val="single" w:sz="4" w:space="0" w:color="auto"/>
              <w:bottom w:val="single" w:sz="4" w:space="0" w:color="auto"/>
              <w:right w:val="nil"/>
            </w:tcBorders>
            <w:vAlign w:val="center"/>
            <w:hideMark/>
          </w:tcPr>
          <w:p w:rsidR="00252AC6" w:rsidRPr="00A016EE" w:rsidRDefault="00517C37" w:rsidP="00F060F9">
            <w:pPr>
              <w:spacing w:before="60" w:after="60"/>
              <w:jc w:val="center"/>
              <w:rPr>
                <w:noProof/>
              </w:rPr>
            </w:pPr>
            <w:r w:rsidRPr="00A016EE">
              <w:rPr>
                <w:noProof/>
              </w:rPr>
              <w:t>120 000</w:t>
            </w:r>
          </w:p>
        </w:tc>
      </w:tr>
      <w:tr w:rsidR="00252AC6" w:rsidRPr="00A016EE" w:rsidTr="00F060F9">
        <w:trPr>
          <w:trHeight w:val="398"/>
        </w:trPr>
        <w:tc>
          <w:tcPr>
            <w:tcW w:w="4644" w:type="dxa"/>
            <w:vMerge w:val="restart"/>
            <w:shd w:val="clear" w:color="auto" w:fill="auto"/>
            <w:vAlign w:val="center"/>
          </w:tcPr>
          <w:p w:rsidR="00252AC6" w:rsidRPr="00A016EE" w:rsidRDefault="00252AC6" w:rsidP="00F060F9">
            <w:pPr>
              <w:spacing w:before="60" w:after="60"/>
              <w:jc w:val="right"/>
              <w:rPr>
                <w:rFonts w:eastAsia="Times New Roman"/>
                <w:noProof/>
                <w:sz w:val="22"/>
              </w:rPr>
            </w:pPr>
            <w:r w:rsidRPr="00A016EE">
              <w:rPr>
                <w:noProof/>
                <w:sz w:val="22"/>
              </w:rPr>
              <w:t>Subtotal a):</w:t>
            </w:r>
          </w:p>
          <w:p w:rsidR="00252AC6" w:rsidRPr="00A016EE" w:rsidRDefault="00252AC6" w:rsidP="00F060F9">
            <w:pPr>
              <w:spacing w:before="60" w:after="60"/>
              <w:jc w:val="right"/>
              <w:rPr>
                <w:rFonts w:eastAsia="Times New Roman"/>
                <w:noProof/>
                <w:sz w:val="22"/>
              </w:rPr>
            </w:pPr>
            <w:r w:rsidRPr="00A016EE">
              <w:rPr>
                <w:noProof/>
                <w:sz w:val="22"/>
              </w:rPr>
              <w:t xml:space="preserve">Percentagem do pacote de serviços personalizados </w:t>
            </w:r>
          </w:p>
        </w:tc>
        <w:tc>
          <w:tcPr>
            <w:tcW w:w="3096" w:type="dxa"/>
            <w:gridSpan w:val="2"/>
            <w:vMerge w:val="restart"/>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tcBorders>
              <w:bottom w:val="nil"/>
            </w:tcBorders>
            <w:shd w:val="clear" w:color="auto" w:fill="auto"/>
            <w:vAlign w:val="center"/>
          </w:tcPr>
          <w:p w:rsidR="00252AC6" w:rsidRPr="00A016EE" w:rsidRDefault="00CB6793" w:rsidP="00F060F9">
            <w:pPr>
              <w:spacing w:before="60" w:after="60"/>
              <w:jc w:val="center"/>
              <w:rPr>
                <w:rFonts w:eastAsia="Times New Roman"/>
                <w:noProof/>
                <w:sz w:val="22"/>
              </w:rPr>
            </w:pPr>
            <w:r w:rsidRPr="00A016EE">
              <w:rPr>
                <w:noProof/>
              </w:rPr>
              <w:t>2 239 734</w:t>
            </w:r>
          </w:p>
        </w:tc>
      </w:tr>
      <w:tr w:rsidR="00252AC6" w:rsidRPr="00A016EE" w:rsidTr="00F060F9">
        <w:trPr>
          <w:trHeight w:val="397"/>
        </w:trPr>
        <w:tc>
          <w:tcPr>
            <w:tcW w:w="4644" w:type="dxa"/>
            <w:vMerge/>
            <w:shd w:val="clear" w:color="auto" w:fill="auto"/>
            <w:vAlign w:val="center"/>
          </w:tcPr>
          <w:p w:rsidR="00252AC6" w:rsidRPr="00A016EE" w:rsidRDefault="00252AC6" w:rsidP="00F060F9">
            <w:pPr>
              <w:spacing w:before="60" w:after="60"/>
              <w:jc w:val="right"/>
              <w:rPr>
                <w:rFonts w:eastAsia="Times New Roman"/>
                <w:noProof/>
                <w:sz w:val="22"/>
              </w:rPr>
            </w:pPr>
          </w:p>
        </w:tc>
        <w:tc>
          <w:tcPr>
            <w:tcW w:w="3096" w:type="dxa"/>
            <w:gridSpan w:val="2"/>
            <w:vMerge/>
            <w:shd w:val="clear" w:color="auto" w:fill="D9D9D9"/>
            <w:vAlign w:val="center"/>
          </w:tcPr>
          <w:p w:rsidR="00252AC6" w:rsidRPr="00A016EE" w:rsidRDefault="00252AC6" w:rsidP="00F060F9">
            <w:pPr>
              <w:spacing w:before="60" w:after="60"/>
              <w:jc w:val="center"/>
              <w:rPr>
                <w:rFonts w:eastAsia="Times New Roman"/>
                <w:noProof/>
                <w:sz w:val="22"/>
              </w:rPr>
            </w:pPr>
          </w:p>
        </w:tc>
        <w:tc>
          <w:tcPr>
            <w:tcW w:w="1548" w:type="dxa"/>
            <w:tcBorders>
              <w:top w:val="nil"/>
            </w:tcBorders>
            <w:shd w:val="clear" w:color="auto" w:fill="auto"/>
            <w:vAlign w:val="center"/>
          </w:tcPr>
          <w:p w:rsidR="00252AC6" w:rsidRPr="00A016EE" w:rsidRDefault="00252AC6" w:rsidP="00F060F9">
            <w:pPr>
              <w:spacing w:before="60" w:after="60"/>
              <w:jc w:val="center"/>
              <w:rPr>
                <w:rFonts w:eastAsia="Times New Roman"/>
                <w:noProof/>
                <w:sz w:val="22"/>
              </w:rPr>
            </w:pPr>
            <w:r w:rsidRPr="00A016EE">
              <w:rPr>
                <w:noProof/>
                <w:sz w:val="22"/>
              </w:rPr>
              <w:t>(</w:t>
            </w:r>
            <w:r w:rsidRPr="00A016EE">
              <w:rPr>
                <w:noProof/>
              </w:rPr>
              <w:t>74,42 </w:t>
            </w:r>
            <w:r w:rsidRPr="00A016EE">
              <w:rPr>
                <w:noProof/>
                <w:sz w:val="22"/>
              </w:rPr>
              <w:t>%)</w:t>
            </w:r>
          </w:p>
        </w:tc>
      </w:tr>
      <w:tr w:rsidR="00252AC6" w:rsidRPr="00A016EE" w:rsidTr="00F060F9">
        <w:tc>
          <w:tcPr>
            <w:tcW w:w="9288" w:type="dxa"/>
            <w:gridSpan w:val="4"/>
            <w:shd w:val="clear" w:color="auto" w:fill="auto"/>
            <w:vAlign w:val="center"/>
          </w:tcPr>
          <w:p w:rsidR="00252AC6" w:rsidRPr="00A016EE" w:rsidRDefault="00252AC6" w:rsidP="006B3709">
            <w:pPr>
              <w:spacing w:before="60" w:after="60"/>
              <w:jc w:val="left"/>
              <w:rPr>
                <w:noProof/>
                <w:sz w:val="22"/>
              </w:rPr>
            </w:pPr>
            <w:r w:rsidRPr="00A016EE">
              <w:rPr>
                <w:noProof/>
              </w:rPr>
              <w:t>Subsídios e incentivos [medidas ao abrigo do artigo 7.º, n.º 2, segundo parágrafo, alínea b), do Regulamento (UE) 2021/691]</w:t>
            </w:r>
          </w:p>
        </w:tc>
      </w:tr>
      <w:tr w:rsidR="00252AC6" w:rsidRPr="00A016EE" w:rsidTr="00F060F9">
        <w:trPr>
          <w:trHeight w:val="802"/>
        </w:trPr>
        <w:tc>
          <w:tcPr>
            <w:tcW w:w="4644" w:type="dxa"/>
            <w:tcBorders>
              <w:top w:val="single" w:sz="4" w:space="0" w:color="auto"/>
              <w:left w:val="nil"/>
              <w:bottom w:val="single" w:sz="4" w:space="0" w:color="auto"/>
              <w:right w:val="single" w:sz="4" w:space="0" w:color="auto"/>
            </w:tcBorders>
            <w:vAlign w:val="center"/>
            <w:hideMark/>
          </w:tcPr>
          <w:p w:rsidR="00252AC6" w:rsidRPr="00A016EE" w:rsidRDefault="00CB6793" w:rsidP="00F060F9">
            <w:pPr>
              <w:spacing w:before="60" w:after="60"/>
              <w:jc w:val="left"/>
              <w:rPr>
                <w:noProof/>
              </w:rPr>
            </w:pPr>
            <w:r w:rsidRPr="00A016EE">
              <w:rPr>
                <w:noProof/>
              </w:rPr>
              <w:t>Incentivos e subsídios</w:t>
            </w:r>
            <w:r w:rsidRPr="00A016EE">
              <w:rPr>
                <w:noProof/>
              </w:rPr>
              <w:br/>
              <w:t>(</w:t>
            </w:r>
            <w:r w:rsidRPr="00A016EE">
              <w:rPr>
                <w:i/>
                <w:noProof/>
              </w:rPr>
              <w:t>Allocation de recherche d'emploi et de formation, prime numérique, prime langue, allocation de reprise d'études, allocation d'entrepreneuriat et subvention 50+)</w:t>
            </w:r>
            <w:r w:rsidRPr="00A016EE">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5D7338" w:rsidP="00F060F9">
            <w:pPr>
              <w:spacing w:before="60" w:after="60"/>
              <w:jc w:val="center"/>
              <w:rPr>
                <w:noProof/>
              </w:rPr>
            </w:pPr>
            <w:r w:rsidRPr="00A016EE">
              <w:rPr>
                <w:noProof/>
              </w:rPr>
              <w:t>365</w:t>
            </w:r>
          </w:p>
        </w:tc>
        <w:tc>
          <w:tcPr>
            <w:tcW w:w="1548" w:type="dxa"/>
            <w:tcBorders>
              <w:top w:val="single" w:sz="4" w:space="0" w:color="auto"/>
              <w:left w:val="single" w:sz="4" w:space="0" w:color="auto"/>
              <w:bottom w:val="single" w:sz="4" w:space="0" w:color="auto"/>
              <w:right w:val="single" w:sz="4" w:space="0" w:color="auto"/>
            </w:tcBorders>
            <w:vAlign w:val="center"/>
            <w:hideMark/>
          </w:tcPr>
          <w:p w:rsidR="00252AC6" w:rsidRPr="00A016EE" w:rsidRDefault="005D7338" w:rsidP="00F060F9">
            <w:pPr>
              <w:spacing w:before="60" w:after="60"/>
              <w:jc w:val="center"/>
              <w:rPr>
                <w:noProof/>
              </w:rPr>
            </w:pPr>
            <w:r w:rsidRPr="00A016EE">
              <w:rPr>
                <w:noProof/>
              </w:rPr>
              <w:t>2 110</w:t>
            </w:r>
          </w:p>
        </w:tc>
        <w:tc>
          <w:tcPr>
            <w:tcW w:w="1548" w:type="dxa"/>
            <w:tcBorders>
              <w:top w:val="single" w:sz="4" w:space="0" w:color="auto"/>
              <w:left w:val="single" w:sz="4" w:space="0" w:color="auto"/>
              <w:bottom w:val="single" w:sz="4" w:space="0" w:color="auto"/>
              <w:right w:val="nil"/>
            </w:tcBorders>
            <w:vAlign w:val="center"/>
            <w:hideMark/>
          </w:tcPr>
          <w:p w:rsidR="00252AC6" w:rsidRPr="00A016EE" w:rsidRDefault="005D7338" w:rsidP="00F060F9">
            <w:pPr>
              <w:spacing w:before="60" w:after="60"/>
              <w:jc w:val="center"/>
              <w:rPr>
                <w:noProof/>
              </w:rPr>
            </w:pPr>
            <w:r w:rsidRPr="00A016EE">
              <w:rPr>
                <w:noProof/>
              </w:rPr>
              <w:t>770 018</w:t>
            </w:r>
          </w:p>
        </w:tc>
      </w:tr>
      <w:tr w:rsidR="00252AC6" w:rsidRPr="00A016EE" w:rsidTr="00F060F9">
        <w:trPr>
          <w:trHeight w:val="203"/>
        </w:trPr>
        <w:tc>
          <w:tcPr>
            <w:tcW w:w="4644" w:type="dxa"/>
            <w:vMerge w:val="restart"/>
            <w:shd w:val="clear" w:color="auto" w:fill="auto"/>
            <w:vAlign w:val="center"/>
          </w:tcPr>
          <w:p w:rsidR="00252AC6" w:rsidRPr="00A016EE" w:rsidRDefault="00252AC6" w:rsidP="00F060F9">
            <w:pPr>
              <w:spacing w:before="60" w:after="60"/>
              <w:jc w:val="right"/>
              <w:rPr>
                <w:rFonts w:eastAsia="Times New Roman"/>
                <w:noProof/>
                <w:sz w:val="22"/>
              </w:rPr>
            </w:pPr>
            <w:r w:rsidRPr="00A016EE">
              <w:rPr>
                <w:noProof/>
                <w:sz w:val="22"/>
              </w:rPr>
              <w:t>Subtotal b):</w:t>
            </w:r>
          </w:p>
          <w:p w:rsidR="00252AC6" w:rsidRPr="00A016EE" w:rsidRDefault="00252AC6" w:rsidP="00F060F9">
            <w:pPr>
              <w:spacing w:before="60" w:after="60"/>
              <w:jc w:val="right"/>
              <w:rPr>
                <w:rFonts w:eastAsia="Times New Roman"/>
                <w:noProof/>
                <w:sz w:val="22"/>
              </w:rPr>
            </w:pPr>
            <w:r w:rsidRPr="00A016EE">
              <w:rPr>
                <w:noProof/>
                <w:sz w:val="22"/>
              </w:rPr>
              <w:t>Percentagem do pacote de serviços personalizados:</w:t>
            </w:r>
          </w:p>
        </w:tc>
        <w:tc>
          <w:tcPr>
            <w:tcW w:w="3096" w:type="dxa"/>
            <w:gridSpan w:val="2"/>
            <w:vMerge w:val="restart"/>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tcBorders>
              <w:bottom w:val="nil"/>
            </w:tcBorders>
            <w:shd w:val="clear" w:color="auto" w:fill="auto"/>
            <w:vAlign w:val="center"/>
          </w:tcPr>
          <w:p w:rsidR="00252AC6" w:rsidRPr="00A016EE" w:rsidRDefault="005D7338" w:rsidP="00F060F9">
            <w:pPr>
              <w:spacing w:before="60" w:after="60"/>
              <w:jc w:val="center"/>
              <w:rPr>
                <w:rFonts w:eastAsia="Times New Roman"/>
                <w:noProof/>
                <w:sz w:val="22"/>
              </w:rPr>
            </w:pPr>
            <w:r w:rsidRPr="00A016EE">
              <w:rPr>
                <w:noProof/>
              </w:rPr>
              <w:t>770 018</w:t>
            </w:r>
          </w:p>
        </w:tc>
      </w:tr>
      <w:tr w:rsidR="00252AC6" w:rsidRPr="00A016EE" w:rsidTr="00F060F9">
        <w:trPr>
          <w:trHeight w:val="202"/>
        </w:trPr>
        <w:tc>
          <w:tcPr>
            <w:tcW w:w="4644" w:type="dxa"/>
            <w:vMerge/>
            <w:shd w:val="clear" w:color="auto" w:fill="auto"/>
            <w:vAlign w:val="center"/>
          </w:tcPr>
          <w:p w:rsidR="00252AC6" w:rsidRPr="00A016EE" w:rsidRDefault="00252AC6" w:rsidP="00F060F9">
            <w:pPr>
              <w:spacing w:before="60" w:after="60"/>
              <w:jc w:val="right"/>
              <w:rPr>
                <w:rFonts w:eastAsia="Times New Roman"/>
                <w:noProof/>
                <w:sz w:val="22"/>
              </w:rPr>
            </w:pPr>
          </w:p>
        </w:tc>
        <w:tc>
          <w:tcPr>
            <w:tcW w:w="3096" w:type="dxa"/>
            <w:gridSpan w:val="2"/>
            <w:vMerge/>
            <w:shd w:val="clear" w:color="auto" w:fill="D9D9D9"/>
            <w:vAlign w:val="center"/>
          </w:tcPr>
          <w:p w:rsidR="00252AC6" w:rsidRPr="00A016EE" w:rsidRDefault="00252AC6" w:rsidP="00F060F9">
            <w:pPr>
              <w:spacing w:before="60" w:after="60"/>
              <w:jc w:val="center"/>
              <w:rPr>
                <w:rFonts w:eastAsia="Times New Roman"/>
                <w:noProof/>
                <w:sz w:val="22"/>
              </w:rPr>
            </w:pPr>
          </w:p>
        </w:tc>
        <w:tc>
          <w:tcPr>
            <w:tcW w:w="1548" w:type="dxa"/>
            <w:tcBorders>
              <w:top w:val="nil"/>
            </w:tcBorders>
            <w:shd w:val="clear" w:color="auto" w:fill="auto"/>
            <w:vAlign w:val="center"/>
          </w:tcPr>
          <w:p w:rsidR="00252AC6" w:rsidRPr="00A016EE" w:rsidRDefault="00252AC6" w:rsidP="00F060F9">
            <w:pPr>
              <w:spacing w:before="60" w:after="60"/>
              <w:jc w:val="center"/>
              <w:rPr>
                <w:rFonts w:eastAsia="Times New Roman"/>
                <w:noProof/>
                <w:sz w:val="22"/>
              </w:rPr>
            </w:pPr>
            <w:r w:rsidRPr="00A016EE">
              <w:rPr>
                <w:noProof/>
                <w:sz w:val="22"/>
              </w:rPr>
              <w:t>(</w:t>
            </w:r>
            <w:r w:rsidRPr="00A016EE">
              <w:rPr>
                <w:noProof/>
              </w:rPr>
              <w:t>25,58 </w:t>
            </w:r>
            <w:r w:rsidRPr="00A016EE">
              <w:rPr>
                <w:noProof/>
                <w:sz w:val="22"/>
              </w:rPr>
              <w:t>%)</w:t>
            </w:r>
          </w:p>
        </w:tc>
      </w:tr>
      <w:tr w:rsidR="00252AC6" w:rsidRPr="00A016EE" w:rsidTr="00F060F9">
        <w:tc>
          <w:tcPr>
            <w:tcW w:w="9288" w:type="dxa"/>
            <w:gridSpan w:val="4"/>
            <w:shd w:val="clear" w:color="auto" w:fill="auto"/>
            <w:vAlign w:val="center"/>
          </w:tcPr>
          <w:p w:rsidR="00252AC6" w:rsidRPr="00A016EE" w:rsidRDefault="008516EA" w:rsidP="00CD31A0">
            <w:pPr>
              <w:spacing w:before="60" w:after="60"/>
              <w:jc w:val="left"/>
              <w:rPr>
                <w:rFonts w:eastAsia="Times New Roman"/>
                <w:noProof/>
                <w:sz w:val="22"/>
              </w:rPr>
            </w:pPr>
            <w:r w:rsidRPr="00A016EE">
              <w:rPr>
                <w:noProof/>
                <w:sz w:val="22"/>
              </w:rPr>
              <w:t>Atividades nos termos do artigo 7.º, n.º 5, do Regulamento (UE) 2021/691.</w:t>
            </w:r>
          </w:p>
        </w:tc>
      </w:tr>
      <w:tr w:rsidR="00252AC6" w:rsidRPr="00A016EE" w:rsidTr="00F060F9">
        <w:tc>
          <w:tcPr>
            <w:tcW w:w="4644" w:type="dxa"/>
            <w:shd w:val="clear" w:color="auto" w:fill="auto"/>
          </w:tcPr>
          <w:p w:rsidR="00252AC6" w:rsidRPr="00A016EE" w:rsidRDefault="00252AC6" w:rsidP="00F060F9">
            <w:pPr>
              <w:spacing w:before="60" w:after="60"/>
              <w:ind w:left="284"/>
              <w:jc w:val="left"/>
              <w:rPr>
                <w:rFonts w:eastAsia="Times New Roman"/>
                <w:noProof/>
                <w:sz w:val="22"/>
              </w:rPr>
            </w:pPr>
            <w:r w:rsidRPr="00A016EE">
              <w:rPr>
                <w:noProof/>
                <w:sz w:val="22"/>
              </w:rPr>
              <w:t>1. Atividades preparatórias</w:t>
            </w:r>
          </w:p>
        </w:tc>
        <w:tc>
          <w:tcPr>
            <w:tcW w:w="3096" w:type="dxa"/>
            <w:gridSpan w:val="2"/>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shd w:val="clear" w:color="auto" w:fill="auto"/>
          </w:tcPr>
          <w:p w:rsidR="00252AC6" w:rsidRPr="00A016EE" w:rsidRDefault="005D7338" w:rsidP="00F060F9">
            <w:pPr>
              <w:spacing w:before="60" w:after="60"/>
              <w:jc w:val="center"/>
              <w:rPr>
                <w:rFonts w:eastAsia="Times New Roman"/>
                <w:noProof/>
                <w:sz w:val="22"/>
              </w:rPr>
            </w:pPr>
            <w:r w:rsidRPr="00A016EE">
              <w:rPr>
                <w:noProof/>
              </w:rPr>
              <w:t>78 400</w:t>
            </w:r>
          </w:p>
        </w:tc>
      </w:tr>
      <w:tr w:rsidR="00252AC6" w:rsidRPr="00A016EE" w:rsidTr="00F060F9">
        <w:tc>
          <w:tcPr>
            <w:tcW w:w="4644" w:type="dxa"/>
            <w:shd w:val="clear" w:color="auto" w:fill="auto"/>
          </w:tcPr>
          <w:p w:rsidR="00252AC6" w:rsidRPr="00A016EE" w:rsidRDefault="00252AC6" w:rsidP="00F060F9">
            <w:pPr>
              <w:spacing w:before="60" w:after="60"/>
              <w:ind w:left="284"/>
              <w:jc w:val="left"/>
              <w:rPr>
                <w:rFonts w:eastAsia="Times New Roman"/>
                <w:noProof/>
                <w:sz w:val="22"/>
              </w:rPr>
            </w:pPr>
            <w:r w:rsidRPr="00A016EE">
              <w:rPr>
                <w:noProof/>
                <w:sz w:val="22"/>
              </w:rPr>
              <w:t>2. Gestão</w:t>
            </w:r>
          </w:p>
        </w:tc>
        <w:tc>
          <w:tcPr>
            <w:tcW w:w="3096" w:type="dxa"/>
            <w:gridSpan w:val="2"/>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shd w:val="clear" w:color="auto" w:fill="auto"/>
          </w:tcPr>
          <w:p w:rsidR="00252AC6" w:rsidRPr="00A016EE" w:rsidRDefault="005D7338" w:rsidP="00F060F9">
            <w:pPr>
              <w:spacing w:before="60" w:after="60"/>
              <w:jc w:val="center"/>
              <w:rPr>
                <w:rFonts w:eastAsia="Times New Roman"/>
                <w:noProof/>
                <w:sz w:val="22"/>
              </w:rPr>
            </w:pPr>
            <w:r w:rsidRPr="00A016EE">
              <w:rPr>
                <w:noProof/>
              </w:rPr>
              <w:t>13 000</w:t>
            </w:r>
          </w:p>
        </w:tc>
      </w:tr>
      <w:tr w:rsidR="00252AC6" w:rsidRPr="00A016EE" w:rsidTr="00F060F9">
        <w:tc>
          <w:tcPr>
            <w:tcW w:w="4644" w:type="dxa"/>
            <w:shd w:val="clear" w:color="auto" w:fill="auto"/>
          </w:tcPr>
          <w:p w:rsidR="00252AC6" w:rsidRPr="00A016EE" w:rsidRDefault="00252AC6" w:rsidP="00F060F9">
            <w:pPr>
              <w:spacing w:before="60" w:after="60"/>
              <w:ind w:left="284"/>
              <w:jc w:val="left"/>
              <w:rPr>
                <w:rFonts w:eastAsia="Times New Roman"/>
                <w:noProof/>
                <w:sz w:val="22"/>
              </w:rPr>
            </w:pPr>
            <w:r w:rsidRPr="00A016EE">
              <w:rPr>
                <w:noProof/>
                <w:sz w:val="22"/>
              </w:rPr>
              <w:t>3. Informação e publicidade</w:t>
            </w:r>
          </w:p>
        </w:tc>
        <w:tc>
          <w:tcPr>
            <w:tcW w:w="3096" w:type="dxa"/>
            <w:gridSpan w:val="2"/>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shd w:val="clear" w:color="auto" w:fill="auto"/>
          </w:tcPr>
          <w:p w:rsidR="00252AC6" w:rsidRPr="00A016EE" w:rsidRDefault="005D7338" w:rsidP="00F060F9">
            <w:pPr>
              <w:spacing w:before="60" w:after="60"/>
              <w:jc w:val="center"/>
              <w:rPr>
                <w:rFonts w:eastAsia="Times New Roman"/>
                <w:noProof/>
                <w:sz w:val="22"/>
              </w:rPr>
            </w:pPr>
            <w:r w:rsidRPr="00A016EE">
              <w:rPr>
                <w:noProof/>
              </w:rPr>
              <w:t>5 000</w:t>
            </w:r>
          </w:p>
        </w:tc>
      </w:tr>
      <w:tr w:rsidR="00252AC6" w:rsidRPr="00A016EE" w:rsidTr="00F060F9">
        <w:tc>
          <w:tcPr>
            <w:tcW w:w="4644" w:type="dxa"/>
            <w:shd w:val="clear" w:color="auto" w:fill="auto"/>
          </w:tcPr>
          <w:p w:rsidR="00252AC6" w:rsidRPr="00A016EE" w:rsidRDefault="00252AC6" w:rsidP="00F060F9">
            <w:pPr>
              <w:spacing w:before="60" w:after="60"/>
              <w:ind w:left="284"/>
              <w:jc w:val="left"/>
              <w:rPr>
                <w:rFonts w:eastAsia="Times New Roman"/>
                <w:noProof/>
                <w:sz w:val="22"/>
              </w:rPr>
            </w:pPr>
            <w:r w:rsidRPr="00A016EE">
              <w:rPr>
                <w:noProof/>
                <w:sz w:val="22"/>
              </w:rPr>
              <w:t>4. Controlo e elaboração de relatórios</w:t>
            </w:r>
          </w:p>
        </w:tc>
        <w:tc>
          <w:tcPr>
            <w:tcW w:w="3096" w:type="dxa"/>
            <w:gridSpan w:val="2"/>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tcBorders>
              <w:bottom w:val="single" w:sz="4" w:space="0" w:color="auto"/>
            </w:tcBorders>
            <w:shd w:val="clear" w:color="auto" w:fill="auto"/>
          </w:tcPr>
          <w:p w:rsidR="00252AC6" w:rsidRPr="00A016EE" w:rsidRDefault="005D7338" w:rsidP="00F060F9">
            <w:pPr>
              <w:spacing w:before="60" w:after="60"/>
              <w:jc w:val="center"/>
              <w:rPr>
                <w:rFonts w:eastAsia="Times New Roman"/>
                <w:noProof/>
                <w:sz w:val="22"/>
              </w:rPr>
            </w:pPr>
            <w:r w:rsidRPr="00A016EE">
              <w:rPr>
                <w:noProof/>
              </w:rPr>
              <w:t>25 100</w:t>
            </w:r>
          </w:p>
        </w:tc>
      </w:tr>
      <w:tr w:rsidR="00252AC6" w:rsidRPr="00A016EE" w:rsidTr="00F060F9">
        <w:trPr>
          <w:trHeight w:val="203"/>
        </w:trPr>
        <w:tc>
          <w:tcPr>
            <w:tcW w:w="4644" w:type="dxa"/>
            <w:vMerge w:val="restart"/>
            <w:shd w:val="clear" w:color="auto" w:fill="auto"/>
            <w:vAlign w:val="center"/>
          </w:tcPr>
          <w:p w:rsidR="00252AC6" w:rsidRPr="00A016EE" w:rsidRDefault="00252AC6" w:rsidP="00F060F9">
            <w:pPr>
              <w:spacing w:before="60" w:after="60"/>
              <w:jc w:val="right"/>
              <w:rPr>
                <w:rFonts w:eastAsia="Times New Roman"/>
                <w:noProof/>
                <w:sz w:val="22"/>
              </w:rPr>
            </w:pPr>
            <w:r w:rsidRPr="00A016EE">
              <w:rPr>
                <w:noProof/>
                <w:sz w:val="22"/>
              </w:rPr>
              <w:t>Subtotal c):</w:t>
            </w:r>
          </w:p>
          <w:p w:rsidR="00252AC6" w:rsidRPr="00A016EE" w:rsidRDefault="00252AC6" w:rsidP="00F060F9">
            <w:pPr>
              <w:spacing w:before="60" w:after="60"/>
              <w:jc w:val="right"/>
              <w:rPr>
                <w:rFonts w:eastAsia="Times New Roman"/>
                <w:noProof/>
                <w:sz w:val="22"/>
              </w:rPr>
            </w:pPr>
            <w:r w:rsidRPr="00A016EE">
              <w:rPr>
                <w:noProof/>
                <w:sz w:val="22"/>
              </w:rPr>
              <w:t>Percentagem dos custos totais:</w:t>
            </w:r>
          </w:p>
        </w:tc>
        <w:tc>
          <w:tcPr>
            <w:tcW w:w="3096" w:type="dxa"/>
            <w:gridSpan w:val="2"/>
            <w:vMerge w:val="restart"/>
            <w:shd w:val="clear" w:color="auto" w:fill="D9D9D9"/>
            <w:vAlign w:val="center"/>
          </w:tcPr>
          <w:p w:rsidR="00252AC6" w:rsidRPr="00A016EE" w:rsidRDefault="00252AC6" w:rsidP="00F060F9">
            <w:pPr>
              <w:spacing w:before="0" w:after="0"/>
              <w:jc w:val="center"/>
              <w:rPr>
                <w:rFonts w:eastAsia="Times New Roman"/>
                <w:noProof/>
                <w:sz w:val="22"/>
              </w:rPr>
            </w:pPr>
            <w:r w:rsidRPr="00A016EE">
              <w:rPr>
                <w:noProof/>
                <w:sz w:val="22"/>
              </w:rPr>
              <w:t>–</w:t>
            </w:r>
          </w:p>
        </w:tc>
        <w:tc>
          <w:tcPr>
            <w:tcW w:w="1548" w:type="dxa"/>
            <w:tcBorders>
              <w:bottom w:val="nil"/>
            </w:tcBorders>
            <w:shd w:val="clear" w:color="auto" w:fill="auto"/>
            <w:vAlign w:val="center"/>
          </w:tcPr>
          <w:p w:rsidR="00252AC6" w:rsidRPr="00A016EE" w:rsidRDefault="005D7338" w:rsidP="00F060F9">
            <w:pPr>
              <w:spacing w:before="60" w:after="60"/>
              <w:jc w:val="center"/>
              <w:rPr>
                <w:rFonts w:eastAsia="Times New Roman"/>
                <w:noProof/>
                <w:sz w:val="22"/>
              </w:rPr>
            </w:pPr>
            <w:r w:rsidRPr="00A016EE">
              <w:rPr>
                <w:noProof/>
              </w:rPr>
              <w:t>121 500</w:t>
            </w:r>
          </w:p>
        </w:tc>
      </w:tr>
      <w:tr w:rsidR="00252AC6" w:rsidRPr="00A016EE" w:rsidTr="00F060F9">
        <w:trPr>
          <w:trHeight w:val="202"/>
        </w:trPr>
        <w:tc>
          <w:tcPr>
            <w:tcW w:w="4644" w:type="dxa"/>
            <w:vMerge/>
            <w:shd w:val="clear" w:color="auto" w:fill="auto"/>
          </w:tcPr>
          <w:p w:rsidR="00252AC6" w:rsidRPr="00A016EE" w:rsidRDefault="00252AC6" w:rsidP="00F060F9">
            <w:pPr>
              <w:spacing w:before="0" w:after="0"/>
              <w:jc w:val="right"/>
              <w:rPr>
                <w:rFonts w:eastAsia="Times New Roman"/>
                <w:noProof/>
                <w:sz w:val="22"/>
              </w:rPr>
            </w:pPr>
          </w:p>
        </w:tc>
        <w:tc>
          <w:tcPr>
            <w:tcW w:w="3096" w:type="dxa"/>
            <w:gridSpan w:val="2"/>
            <w:vMerge/>
            <w:shd w:val="clear" w:color="auto" w:fill="D9D9D9"/>
            <w:vAlign w:val="center"/>
          </w:tcPr>
          <w:p w:rsidR="00252AC6" w:rsidRPr="00A016EE" w:rsidRDefault="00252AC6" w:rsidP="00F060F9">
            <w:pPr>
              <w:spacing w:before="0" w:after="0"/>
              <w:jc w:val="center"/>
              <w:rPr>
                <w:rFonts w:eastAsia="Times New Roman"/>
                <w:noProof/>
                <w:sz w:val="22"/>
              </w:rPr>
            </w:pPr>
          </w:p>
        </w:tc>
        <w:tc>
          <w:tcPr>
            <w:tcW w:w="1548" w:type="dxa"/>
            <w:tcBorders>
              <w:top w:val="nil"/>
            </w:tcBorders>
            <w:shd w:val="clear" w:color="auto" w:fill="auto"/>
            <w:vAlign w:val="center"/>
          </w:tcPr>
          <w:p w:rsidR="00252AC6" w:rsidRPr="00A016EE" w:rsidRDefault="00252AC6" w:rsidP="00F060F9">
            <w:pPr>
              <w:spacing w:before="60" w:after="60"/>
              <w:jc w:val="center"/>
              <w:rPr>
                <w:rFonts w:eastAsia="Times New Roman"/>
                <w:noProof/>
                <w:sz w:val="22"/>
              </w:rPr>
            </w:pPr>
            <w:r w:rsidRPr="00A016EE">
              <w:rPr>
                <w:noProof/>
                <w:sz w:val="22"/>
              </w:rPr>
              <w:t>(</w:t>
            </w:r>
            <w:r w:rsidRPr="00A016EE">
              <w:rPr>
                <w:noProof/>
              </w:rPr>
              <w:t>3,88 </w:t>
            </w:r>
            <w:r w:rsidRPr="00A016EE">
              <w:rPr>
                <w:noProof/>
                <w:sz w:val="22"/>
              </w:rPr>
              <w:t>%)</w:t>
            </w:r>
          </w:p>
        </w:tc>
      </w:tr>
      <w:tr w:rsidR="00252AC6" w:rsidRPr="00A016EE" w:rsidTr="00F060F9">
        <w:tc>
          <w:tcPr>
            <w:tcW w:w="4644" w:type="dxa"/>
            <w:shd w:val="clear" w:color="auto" w:fill="auto"/>
          </w:tcPr>
          <w:p w:rsidR="00252AC6" w:rsidRPr="00A016EE" w:rsidRDefault="00252AC6" w:rsidP="00F060F9">
            <w:pPr>
              <w:spacing w:before="60" w:after="60"/>
              <w:jc w:val="left"/>
              <w:rPr>
                <w:rFonts w:eastAsia="Times New Roman"/>
                <w:noProof/>
                <w:sz w:val="22"/>
              </w:rPr>
            </w:pPr>
            <w:r w:rsidRPr="00A016EE">
              <w:rPr>
                <w:noProof/>
                <w:sz w:val="22"/>
              </w:rPr>
              <w:t>Custo total (a + b + c):</w:t>
            </w:r>
          </w:p>
        </w:tc>
        <w:tc>
          <w:tcPr>
            <w:tcW w:w="3096" w:type="dxa"/>
            <w:gridSpan w:val="2"/>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shd w:val="clear" w:color="auto" w:fill="auto"/>
          </w:tcPr>
          <w:p w:rsidR="00252AC6" w:rsidRPr="00A016EE" w:rsidRDefault="0039039E" w:rsidP="00F060F9">
            <w:pPr>
              <w:spacing w:before="60" w:after="60"/>
              <w:jc w:val="center"/>
              <w:rPr>
                <w:noProof/>
                <w:sz w:val="22"/>
              </w:rPr>
            </w:pPr>
            <w:r w:rsidRPr="00A016EE">
              <w:rPr>
                <w:noProof/>
              </w:rPr>
              <w:t>3 131 252</w:t>
            </w:r>
          </w:p>
        </w:tc>
      </w:tr>
      <w:tr w:rsidR="00252AC6" w:rsidRPr="00A016EE" w:rsidTr="00F060F9">
        <w:tc>
          <w:tcPr>
            <w:tcW w:w="4644" w:type="dxa"/>
            <w:shd w:val="clear" w:color="auto" w:fill="auto"/>
          </w:tcPr>
          <w:p w:rsidR="00252AC6" w:rsidRPr="00A016EE" w:rsidRDefault="00252AC6" w:rsidP="00F060F9">
            <w:pPr>
              <w:spacing w:before="60" w:after="60"/>
              <w:jc w:val="left"/>
              <w:rPr>
                <w:rFonts w:eastAsia="Times New Roman"/>
                <w:noProof/>
                <w:sz w:val="22"/>
              </w:rPr>
            </w:pPr>
            <w:r w:rsidRPr="00A016EE">
              <w:rPr>
                <w:noProof/>
              </w:rPr>
              <w:t>Contribuição do FEG (85 % dos custos totais)</w:t>
            </w:r>
          </w:p>
        </w:tc>
        <w:tc>
          <w:tcPr>
            <w:tcW w:w="3096" w:type="dxa"/>
            <w:gridSpan w:val="2"/>
            <w:shd w:val="clear" w:color="auto" w:fill="D9D9D9"/>
            <w:vAlign w:val="center"/>
          </w:tcPr>
          <w:p w:rsidR="00252AC6" w:rsidRPr="00A016EE" w:rsidRDefault="00252AC6" w:rsidP="00F060F9">
            <w:pPr>
              <w:spacing w:before="60" w:after="60"/>
              <w:jc w:val="center"/>
              <w:rPr>
                <w:rFonts w:eastAsia="Times New Roman"/>
                <w:noProof/>
                <w:sz w:val="22"/>
              </w:rPr>
            </w:pPr>
            <w:r w:rsidRPr="00A016EE">
              <w:rPr>
                <w:noProof/>
                <w:sz w:val="22"/>
              </w:rPr>
              <w:t>–</w:t>
            </w:r>
          </w:p>
        </w:tc>
        <w:tc>
          <w:tcPr>
            <w:tcW w:w="1548" w:type="dxa"/>
            <w:shd w:val="clear" w:color="auto" w:fill="auto"/>
          </w:tcPr>
          <w:p w:rsidR="00252AC6" w:rsidRPr="00A016EE" w:rsidRDefault="00537682" w:rsidP="00F060F9">
            <w:pPr>
              <w:spacing w:before="60" w:after="60"/>
              <w:jc w:val="center"/>
              <w:rPr>
                <w:rFonts w:eastAsia="Times New Roman"/>
                <w:noProof/>
                <w:sz w:val="22"/>
              </w:rPr>
            </w:pPr>
            <w:r w:rsidRPr="00A016EE">
              <w:rPr>
                <w:noProof/>
              </w:rPr>
              <w:t>2 661 564</w:t>
            </w:r>
          </w:p>
        </w:tc>
      </w:tr>
    </w:tbl>
    <w:p w:rsidR="00252AC6" w:rsidRPr="00A016EE" w:rsidRDefault="0001257F" w:rsidP="0001257F">
      <w:pPr>
        <w:pStyle w:val="ManualNumPar1"/>
        <w:rPr>
          <w:noProof/>
          <w:szCs w:val="20"/>
        </w:rPr>
      </w:pPr>
      <w:r w:rsidRPr="0001257F">
        <w:rPr>
          <w:noProof/>
        </w:rPr>
        <w:t>41.</w:t>
      </w:r>
      <w:r w:rsidRPr="0001257F">
        <w:rPr>
          <w:noProof/>
        </w:rPr>
        <w:tab/>
      </w:r>
      <w:r w:rsidR="00252AC6" w:rsidRPr="00A016EE">
        <w:rPr>
          <w:noProof/>
        </w:rPr>
        <w:t>Os custos das medidas identificadas no quadro acima como medidas abrangidas pelo artigo 7.º, n.º 2, segundo parágrafo, alínea b), do Regulamento (UE) 2021/691 não excedem 35 % dos custos totais do pacote coordenado de serviços personalizados. As autoridades belgas confirmaram que estas medidas dependem da participação ativa dos beneficiários visados em atividades de procura de emprego e formação.</w:t>
      </w:r>
    </w:p>
    <w:p w:rsidR="00252AC6" w:rsidRPr="00A016EE" w:rsidRDefault="0001257F" w:rsidP="0001257F">
      <w:pPr>
        <w:pStyle w:val="ManualNumPar1"/>
        <w:rPr>
          <w:noProof/>
        </w:rPr>
      </w:pPr>
      <w:r w:rsidRPr="0001257F">
        <w:rPr>
          <w:noProof/>
        </w:rPr>
        <w:t>42.</w:t>
      </w:r>
      <w:r w:rsidRPr="0001257F">
        <w:rPr>
          <w:noProof/>
        </w:rPr>
        <w:tab/>
      </w:r>
      <w:r w:rsidR="006B3709" w:rsidRPr="00A016EE">
        <w:rPr>
          <w:noProof/>
        </w:rPr>
        <w:t>Nos termos do artigo 7.º, n.º 2, quarto parágrafo, do Regulamento (UE) 2021/691, as autoridades belgas confirmaram que os custos dos investimentos para a atividade por conta própria, a criação de empresas e a aquisição de empresas pelos trabalhadores não poderão exceder 22 000 EUR por beneficiário.</w:t>
      </w:r>
    </w:p>
    <w:p w:rsidR="00252AC6" w:rsidRPr="00A016EE" w:rsidRDefault="00252AC6" w:rsidP="00252AC6">
      <w:pPr>
        <w:pStyle w:val="ManualHeading3"/>
        <w:rPr>
          <w:noProof/>
        </w:rPr>
      </w:pPr>
      <w:r w:rsidRPr="00A016EE">
        <w:rPr>
          <w:noProof/>
        </w:rPr>
        <w:t>Período de elegibilidade das despesas</w:t>
      </w:r>
    </w:p>
    <w:p w:rsidR="009D0554" w:rsidRPr="00A016EE" w:rsidRDefault="0001257F" w:rsidP="0001257F">
      <w:pPr>
        <w:pStyle w:val="ManualNumPar1"/>
        <w:rPr>
          <w:noProof/>
        </w:rPr>
      </w:pPr>
      <w:r w:rsidRPr="0001257F">
        <w:rPr>
          <w:noProof/>
        </w:rPr>
        <w:t>43.</w:t>
      </w:r>
      <w:r w:rsidRPr="0001257F">
        <w:rPr>
          <w:noProof/>
        </w:rPr>
        <w:tab/>
      </w:r>
      <w:r w:rsidR="00AC0761" w:rsidRPr="00A016EE">
        <w:rPr>
          <w:noProof/>
        </w:rPr>
        <w:t>As autoridades belgas deram início à prestação de serviços personalizados aos beneficiários visados em 1 de janeiro de 2024. As despesas relativas às medidas serão, por conseguinte, elegíveis para uma contribuição financeira do FEG de 1 de janeiro de 2024 até 24 meses após a data de entrada em vigor da decisão de financiamento.</w:t>
      </w:r>
    </w:p>
    <w:p w:rsidR="00441C9E" w:rsidRPr="00A016EE" w:rsidRDefault="0001257F" w:rsidP="0001257F">
      <w:pPr>
        <w:pStyle w:val="ManualNumPar1"/>
        <w:rPr>
          <w:noProof/>
        </w:rPr>
      </w:pPr>
      <w:r w:rsidRPr="0001257F">
        <w:rPr>
          <w:noProof/>
        </w:rPr>
        <w:t>44.</w:t>
      </w:r>
      <w:r w:rsidRPr="0001257F">
        <w:rPr>
          <w:noProof/>
        </w:rPr>
        <w:tab/>
      </w:r>
      <w:r w:rsidR="008672FE" w:rsidRPr="00A016EE">
        <w:rPr>
          <w:noProof/>
        </w:rPr>
        <w:t xml:space="preserve">As autoridades belgas iniciaram as despesas administrativas para a execução do FEG em 22 de setembro de 2023. Consequentemente, as despesas relativas às atividades de preparação, gestão, informação e publicidade, controlo e elaboração de relatórios serão elegíveis para uma contribuição financeira do FEG, de 22 de setembro de 2023 até 31 meses após a data de entrada em vigor da decisão de financiamento. </w:t>
      </w:r>
    </w:p>
    <w:p w:rsidR="00252AC6" w:rsidRPr="00A016EE" w:rsidRDefault="00252AC6" w:rsidP="004D7E25">
      <w:pPr>
        <w:pStyle w:val="ManualHeading2"/>
        <w:rPr>
          <w:noProof/>
        </w:rPr>
      </w:pPr>
      <w:r w:rsidRPr="00A016EE">
        <w:rPr>
          <w:noProof/>
        </w:rPr>
        <w:t>Sistemas de gestão e de controlo</w:t>
      </w:r>
    </w:p>
    <w:p w:rsidR="00252AC6" w:rsidRPr="00A016EE" w:rsidRDefault="0001257F" w:rsidP="0001257F">
      <w:pPr>
        <w:pStyle w:val="ManualNumPar1"/>
        <w:rPr>
          <w:noProof/>
        </w:rPr>
      </w:pPr>
      <w:r w:rsidRPr="0001257F">
        <w:rPr>
          <w:noProof/>
        </w:rPr>
        <w:t>45.</w:t>
      </w:r>
      <w:r w:rsidRPr="0001257F">
        <w:rPr>
          <w:noProof/>
        </w:rPr>
        <w:tab/>
      </w:r>
      <w:r w:rsidR="00252AC6" w:rsidRPr="00A016EE">
        <w:rPr>
          <w:noProof/>
        </w:rPr>
        <w:t>A candidatura contém uma descrição pormenorizada dos sistemas de gestão e de controlo exigidos no artigo 23.º do Regulamento (UE) 2021/691, que especifica as responsabilidades dos organismos envolvidos. As autoridades belgas comunicaram à Comissão que a contribuição financeira será gerida e controlada pelos mesmos organismos que gerem e controlam o FSE+.</w:t>
      </w:r>
    </w:p>
    <w:p w:rsidR="00252AC6" w:rsidRPr="00A016EE" w:rsidRDefault="00252AC6" w:rsidP="00252AC6">
      <w:pPr>
        <w:pStyle w:val="ManualHeading2"/>
        <w:rPr>
          <w:noProof/>
        </w:rPr>
      </w:pPr>
      <w:r w:rsidRPr="00A016EE">
        <w:rPr>
          <w:noProof/>
        </w:rPr>
        <w:t>Compromissos assumidos pelo Estado-Membro em questão</w:t>
      </w:r>
    </w:p>
    <w:p w:rsidR="00252AC6" w:rsidRPr="00A016EE" w:rsidRDefault="0001257F" w:rsidP="0001257F">
      <w:pPr>
        <w:pStyle w:val="ManualNumPar1"/>
        <w:rPr>
          <w:noProof/>
        </w:rPr>
      </w:pPr>
      <w:r w:rsidRPr="0001257F">
        <w:rPr>
          <w:noProof/>
        </w:rPr>
        <w:t>46.</w:t>
      </w:r>
      <w:r w:rsidRPr="0001257F">
        <w:rPr>
          <w:noProof/>
        </w:rPr>
        <w:tab/>
      </w:r>
      <w:r w:rsidR="00413611" w:rsidRPr="00A016EE">
        <w:rPr>
          <w:noProof/>
        </w:rPr>
        <w:t xml:space="preserve">As autoridades belgas prestaram todas as garantias necessárias no que respeita ao seguinte: </w:t>
      </w:r>
    </w:p>
    <w:p w:rsidR="00252AC6" w:rsidRPr="00A016EE" w:rsidRDefault="00252AC6" w:rsidP="00252AC6">
      <w:pPr>
        <w:pStyle w:val="Tiret1"/>
        <w:rPr>
          <w:noProof/>
        </w:rPr>
      </w:pPr>
      <w:r w:rsidRPr="00A016EE">
        <w:rPr>
          <w:noProof/>
        </w:rPr>
        <w:t>Serão respeitados os princípios da igualdade de tratamento e da não discriminação no acesso às medidas propostas e na sua execução;</w:t>
      </w:r>
    </w:p>
    <w:p w:rsidR="00252AC6" w:rsidRPr="00A016EE" w:rsidRDefault="00252AC6" w:rsidP="00252AC6">
      <w:pPr>
        <w:pStyle w:val="Tiret1"/>
        <w:rPr>
          <w:noProof/>
        </w:rPr>
      </w:pPr>
      <w:r w:rsidRPr="00A016EE">
        <w:rPr>
          <w:noProof/>
        </w:rPr>
        <w:t>Foram cumpridos os requisitos definidos na legislação nacional e da UE em matéria de despedimentos coletivos;</w:t>
      </w:r>
    </w:p>
    <w:p w:rsidR="00252AC6" w:rsidRPr="00A016EE" w:rsidRDefault="00252AC6" w:rsidP="007D38CD">
      <w:pPr>
        <w:pStyle w:val="Tiret1"/>
        <w:rPr>
          <w:noProof/>
        </w:rPr>
      </w:pPr>
      <w:r w:rsidRPr="00A016EE">
        <w:rPr>
          <w:noProof/>
        </w:rPr>
        <w:t>Será evitado qualquer duplo financiamento;</w:t>
      </w:r>
    </w:p>
    <w:p w:rsidR="00252AC6" w:rsidRPr="00A016EE" w:rsidRDefault="00252AC6" w:rsidP="00252AC6">
      <w:pPr>
        <w:pStyle w:val="Tiret1"/>
        <w:rPr>
          <w:noProof/>
        </w:rPr>
      </w:pPr>
      <w:r w:rsidRPr="00A016EE">
        <w:rPr>
          <w:noProof/>
        </w:rPr>
        <w:t>A contribuição financeira do FEG cumprirá as regras processuais e materiais da União em matéria de auxílios estatais.</w:t>
      </w:r>
    </w:p>
    <w:p w:rsidR="00252AC6" w:rsidRPr="00A016EE" w:rsidRDefault="00252AC6" w:rsidP="00252AC6">
      <w:pPr>
        <w:pStyle w:val="ManualHeading1"/>
        <w:rPr>
          <w:noProof/>
        </w:rPr>
      </w:pPr>
      <w:r w:rsidRPr="00A016EE">
        <w:rPr>
          <w:noProof/>
        </w:rPr>
        <w:t>INCIDÊNCIA ORÇAMENTAL</w:t>
      </w:r>
    </w:p>
    <w:p w:rsidR="00252AC6" w:rsidRPr="00A016EE" w:rsidRDefault="00252AC6" w:rsidP="00252AC6">
      <w:pPr>
        <w:pStyle w:val="ManualHeading2"/>
        <w:rPr>
          <w:noProof/>
        </w:rPr>
      </w:pPr>
      <w:r w:rsidRPr="00A016EE">
        <w:rPr>
          <w:noProof/>
        </w:rPr>
        <w:t>Proposta orçamental</w:t>
      </w:r>
    </w:p>
    <w:p w:rsidR="00252AC6" w:rsidRPr="00A016EE" w:rsidRDefault="0001257F" w:rsidP="0001257F">
      <w:pPr>
        <w:pStyle w:val="ManualNumPar1"/>
        <w:rPr>
          <w:noProof/>
        </w:rPr>
      </w:pPr>
      <w:bookmarkStart w:id="14" w:name="_Hlk174701094"/>
      <w:bookmarkStart w:id="15" w:name="_Hlk172121357"/>
      <w:r w:rsidRPr="0001257F">
        <w:rPr>
          <w:noProof/>
        </w:rPr>
        <w:t>47.</w:t>
      </w:r>
      <w:r w:rsidRPr="0001257F">
        <w:rPr>
          <w:noProof/>
        </w:rPr>
        <w:tab/>
      </w:r>
      <w:r w:rsidR="00252AC6" w:rsidRPr="00A016EE">
        <w:rPr>
          <w:noProof/>
        </w:rPr>
        <w:t>A intervenção do FEG não pode exceder o montante máximo anual de 30 milhões de EUR (preços de 2018), conforme disposto no artigo 8.º do Regulamento (UE, Euratom) 2020/2093 do Conselho, de 17 de dezembro de 2020, que estabelece o quadro financeiro plurianual para o período de 2021 a 2027</w:t>
      </w:r>
      <w:r w:rsidR="00252AC6" w:rsidRPr="00A016EE">
        <w:rPr>
          <w:rStyle w:val="FootnoteReference"/>
          <w:noProof/>
        </w:rPr>
        <w:footnoteReference w:id="30"/>
      </w:r>
      <w:r w:rsidR="00252AC6" w:rsidRPr="00A016EE">
        <w:rPr>
          <w:noProof/>
        </w:rPr>
        <w:t>, com a redação que lhe foi dada pelo Regulamento (UE, Euratom) 2024/765, de 29 de fevereiro de 2024</w:t>
      </w:r>
      <w:r w:rsidR="00301E61" w:rsidRPr="00A016EE">
        <w:rPr>
          <w:rStyle w:val="FootnoteReference"/>
          <w:noProof/>
        </w:rPr>
        <w:footnoteReference w:id="31"/>
      </w:r>
      <w:r w:rsidR="00252AC6" w:rsidRPr="00A016EE">
        <w:rPr>
          <w:noProof/>
        </w:rPr>
        <w:t>.</w:t>
      </w:r>
      <w:bookmarkEnd w:id="14"/>
    </w:p>
    <w:bookmarkEnd w:id="15"/>
    <w:p w:rsidR="00252AC6" w:rsidRPr="00A016EE" w:rsidRDefault="0001257F" w:rsidP="0001257F">
      <w:pPr>
        <w:pStyle w:val="ManualNumPar1"/>
        <w:rPr>
          <w:rFonts w:eastAsia="Calibri"/>
          <w:noProof/>
        </w:rPr>
      </w:pPr>
      <w:r w:rsidRPr="0001257F">
        <w:rPr>
          <w:noProof/>
        </w:rPr>
        <w:t>48.</w:t>
      </w:r>
      <w:r w:rsidRPr="0001257F">
        <w:rPr>
          <w:noProof/>
        </w:rPr>
        <w:tab/>
      </w:r>
      <w:r w:rsidR="00252AC6" w:rsidRPr="00A016EE">
        <w:rPr>
          <w:noProof/>
        </w:rPr>
        <w:t>Tendo examinado a candidatura no que diz respeito às condições estabelecidas no artigo 13.º, n.</w:t>
      </w:r>
      <w:r w:rsidR="00252AC6" w:rsidRPr="00A016EE">
        <w:rPr>
          <w:noProof/>
          <w:vertAlign w:val="superscript"/>
        </w:rPr>
        <w:t>os</w:t>
      </w:r>
      <w:r w:rsidR="00252AC6" w:rsidRPr="00A016EE">
        <w:rPr>
          <w:noProof/>
        </w:rPr>
        <w:t> 1 e 2, do Regulamento (UE) 2021/691 e tendo em conta o número de beneficiários visados, as medidas propostas e os custos estimados, a Comissão propõe a mobilização do FEG no montante de 2 661 564 EUR, o correspondente a 85 % dos custos totais das medidas propostas, a fim de conceder uma contribuição financeira em resposta à candidatura.</w:t>
      </w:r>
    </w:p>
    <w:p w:rsidR="00252AC6" w:rsidRPr="00A016EE" w:rsidRDefault="0001257F" w:rsidP="0001257F">
      <w:pPr>
        <w:pStyle w:val="ManualNumPar1"/>
        <w:rPr>
          <w:rFonts w:eastAsia="Times New Roman"/>
          <w:noProof/>
        </w:rPr>
      </w:pPr>
      <w:r w:rsidRPr="0001257F">
        <w:rPr>
          <w:noProof/>
        </w:rPr>
        <w:t>49.</w:t>
      </w:r>
      <w:r w:rsidRPr="0001257F">
        <w:rPr>
          <w:noProof/>
        </w:rPr>
        <w:tab/>
      </w:r>
      <w:r w:rsidR="00252AC6" w:rsidRPr="00A016EE">
        <w:rPr>
          <w:noProof/>
        </w:rPr>
        <w:t>A decisão proposta relativa à mobilização do FEG será adotada conjuntamente pelo Parlamento Europeu e o Conselho, nos termos do artigo 15.º, n.º 1, primeiro parágrafo, segunda frase, do Regulamento (UE) 2021/691, e em conformidade com o ponto 9 do Acordo Interinstitucional de 16 de dezembro de 2020 entre o Parlamento Europeu, o Conselho da União Europeia e a Comissão Europeia sobre a disciplina orçamental, a cooperação em matéria orçamental e a boa gestão financeira, bem como sobre os novos recursos próprios, incluindo um roteiro para a introdução de novos recursos próprios</w:t>
      </w:r>
      <w:r w:rsidR="00252AC6" w:rsidRPr="00A016EE">
        <w:rPr>
          <w:rStyle w:val="FootnoteReference"/>
          <w:noProof/>
        </w:rPr>
        <w:footnoteReference w:id="32"/>
      </w:r>
      <w:r w:rsidR="00252AC6" w:rsidRPr="00A016EE">
        <w:rPr>
          <w:noProof/>
        </w:rPr>
        <w:t>.</w:t>
      </w:r>
    </w:p>
    <w:p w:rsidR="00252AC6" w:rsidRPr="00A016EE" w:rsidRDefault="00252AC6" w:rsidP="00252AC6">
      <w:pPr>
        <w:pStyle w:val="ManualHeading2"/>
        <w:rPr>
          <w:noProof/>
        </w:rPr>
      </w:pPr>
      <w:r w:rsidRPr="00A016EE">
        <w:rPr>
          <w:noProof/>
        </w:rPr>
        <w:t>Atos relacionados</w:t>
      </w:r>
    </w:p>
    <w:p w:rsidR="00E544E0" w:rsidRPr="00A016EE" w:rsidRDefault="0001257F" w:rsidP="0001257F">
      <w:pPr>
        <w:pStyle w:val="ManualNumPar1"/>
        <w:rPr>
          <w:noProof/>
        </w:rPr>
      </w:pPr>
      <w:r w:rsidRPr="0001257F">
        <w:rPr>
          <w:noProof/>
        </w:rPr>
        <w:t>50.</w:t>
      </w:r>
      <w:r w:rsidRPr="0001257F">
        <w:rPr>
          <w:noProof/>
        </w:rPr>
        <w:tab/>
      </w:r>
      <w:r w:rsidR="00252AC6" w:rsidRPr="00A016EE">
        <w:rPr>
          <w:noProof/>
        </w:rPr>
        <w:t>Ao mesmo tempo que apresenta a sua proposta de decisão relativa à mobilização do FEG, a Comissão apresenta ao Parlamento Europeu e ao Conselho uma proposta de transferência de 2 661 564 EUR para a rubrica orçamental relevante.</w:t>
      </w:r>
    </w:p>
    <w:p w:rsidR="00BB42D9" w:rsidRPr="00A016EE" w:rsidRDefault="0001257F" w:rsidP="0001257F">
      <w:pPr>
        <w:pStyle w:val="ManualNumPar1"/>
        <w:rPr>
          <w:noProof/>
        </w:rPr>
      </w:pPr>
      <w:r w:rsidRPr="0001257F">
        <w:rPr>
          <w:noProof/>
        </w:rPr>
        <w:t>51.</w:t>
      </w:r>
      <w:r w:rsidRPr="0001257F">
        <w:rPr>
          <w:noProof/>
        </w:rPr>
        <w:tab/>
      </w:r>
      <w:r w:rsidR="00BB42D9" w:rsidRPr="00A016EE">
        <w:rPr>
          <w:noProof/>
        </w:rPr>
        <w:t>Ao mesmo tempo que adotou a presente proposta de decisão relativa à mobilização do FEG, a Comissão adotou uma decisão relativa a uma contribuição financeira que constitui uma decisão de financiamento na aceção do artigo 110.º do Regulamento (UE, Euratom) 2018/1046</w:t>
      </w:r>
      <w:r w:rsidR="00E76684" w:rsidRPr="00A016EE">
        <w:rPr>
          <w:rStyle w:val="FootnoteReference"/>
          <w:noProof/>
        </w:rPr>
        <w:footnoteReference w:id="33"/>
      </w:r>
      <w:r w:rsidR="00BB42D9" w:rsidRPr="00A016EE">
        <w:rPr>
          <w:noProof/>
        </w:rPr>
        <w:t>. Essa decisão de financiamento entra em vigor na data em que a Comissão for notificada da aprovação da transferência orçamental pelo Parlamento Europeu e pelo Conselho, nos termos do artigo 15.º, n.º 2, primeiro parágrafo, do Regulamento (UE) 2021/691.</w:t>
      </w:r>
    </w:p>
    <w:p w:rsidR="00252AC6" w:rsidRPr="00A016EE" w:rsidRDefault="00252AC6" w:rsidP="00252AC6">
      <w:pPr>
        <w:rPr>
          <w:noProof/>
        </w:rPr>
        <w:sectPr w:rsidR="00252AC6" w:rsidRPr="00A016EE" w:rsidSect="0025744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08"/>
          <w:docGrid w:linePitch="360"/>
        </w:sectPr>
      </w:pPr>
    </w:p>
    <w:p w:rsidR="002B4D0B" w:rsidRDefault="00A46DC9">
      <w:pPr>
        <w:pStyle w:val="Rfrenceinterinstitutionnelle"/>
        <w:rPr>
          <w:noProof/>
        </w:rPr>
      </w:pPr>
      <w:r>
        <w:rPr>
          <w:noProof/>
        </w:rPr>
        <w:t>2024/0226 (BUD)</w:t>
      </w:r>
    </w:p>
    <w:p w:rsidR="00252AC6" w:rsidRPr="00A016EE" w:rsidRDefault="00A016EE" w:rsidP="00A016EE">
      <w:pPr>
        <w:pStyle w:val="Statut"/>
        <w:rPr>
          <w:noProof/>
        </w:rPr>
      </w:pPr>
      <w:r w:rsidRPr="00A016EE">
        <w:rPr>
          <w:noProof/>
        </w:rPr>
        <w:t>Proposta de</w:t>
      </w:r>
    </w:p>
    <w:p w:rsidR="00252AC6" w:rsidRPr="00A016EE" w:rsidRDefault="00A016EE" w:rsidP="00A016EE">
      <w:pPr>
        <w:pStyle w:val="Typedudocument"/>
        <w:rPr>
          <w:noProof/>
        </w:rPr>
      </w:pPr>
      <w:r w:rsidRPr="00A016EE">
        <w:rPr>
          <w:noProof/>
        </w:rPr>
        <w:t>DECISÃO DO PARLAMENTO EUROPEU E DO CONSELHO</w:t>
      </w:r>
    </w:p>
    <w:p w:rsidR="00252AC6" w:rsidRPr="00A016EE" w:rsidRDefault="00A016EE" w:rsidP="00A016EE">
      <w:pPr>
        <w:pStyle w:val="Titreobjet"/>
        <w:rPr>
          <w:noProof/>
        </w:rPr>
      </w:pPr>
      <w:r w:rsidRPr="00A016EE">
        <w:rPr>
          <w:noProof/>
        </w:rPr>
        <w:t>relativa à mobilização do Fundo Europeu de Ajustamento à Globalização a favor dos Trabalhadores Despedidos na sequência de uma candidatura da Bélgica — EGF/2024/001 BE/Match-Smatch</w:t>
      </w:r>
    </w:p>
    <w:p w:rsidR="00252AC6" w:rsidRPr="00A016EE" w:rsidRDefault="00252AC6" w:rsidP="00252AC6">
      <w:pPr>
        <w:pStyle w:val="Institutionquiagit"/>
        <w:rPr>
          <w:noProof/>
        </w:rPr>
      </w:pPr>
      <w:r w:rsidRPr="00A016EE">
        <w:rPr>
          <w:noProof/>
        </w:rPr>
        <w:t>O PARLAMENTO EUROPEU E O CONSELHO DA UNIÃO EUROPEIA,</w:t>
      </w:r>
    </w:p>
    <w:p w:rsidR="00252AC6" w:rsidRPr="00A016EE" w:rsidRDefault="00252AC6" w:rsidP="00252AC6">
      <w:pPr>
        <w:rPr>
          <w:noProof/>
        </w:rPr>
      </w:pPr>
      <w:r w:rsidRPr="00A016EE">
        <w:rPr>
          <w:noProof/>
        </w:rPr>
        <w:t>Tendo em conta o Tratado sobre o Funcionamento da União Europeia,</w:t>
      </w:r>
    </w:p>
    <w:p w:rsidR="00252AC6" w:rsidRPr="00A016EE" w:rsidRDefault="00252AC6" w:rsidP="00252AC6">
      <w:pPr>
        <w:rPr>
          <w:noProof/>
        </w:rPr>
      </w:pPr>
      <w:r w:rsidRPr="00A016EE">
        <w:rPr>
          <w:noProof/>
        </w:rPr>
        <w:t>Tendo em conta o Regulamento (UE) 2021/691 do Parlamento Europeu e do Conselho, de 28 de abril de 2021, relativo ao Fundo Europeu de Ajustamento à Globalização a favor dos Trabalhadores Despedidos (FEG) e que revoga o Regulamento (UE) n.º 1309/2013</w:t>
      </w:r>
      <w:r w:rsidRPr="00A016EE">
        <w:rPr>
          <w:rStyle w:val="FootnoteReference"/>
          <w:noProof/>
        </w:rPr>
        <w:footnoteReference w:id="34"/>
      </w:r>
      <w:r w:rsidRPr="00A016EE">
        <w:rPr>
          <w:noProof/>
        </w:rPr>
        <w:t>, nomeadamente o artigo 15.º, n.º 1, primeiro parágrafo,</w:t>
      </w:r>
    </w:p>
    <w:p w:rsidR="00252AC6" w:rsidRPr="00A016EE" w:rsidRDefault="00252AC6" w:rsidP="00252AC6">
      <w:pPr>
        <w:rPr>
          <w:noProof/>
        </w:rPr>
      </w:pPr>
      <w:r w:rsidRPr="00A016EE">
        <w:rPr>
          <w:noProof/>
        </w:rPr>
        <w:t>Tendo em conta o Acordo Interinstitucional de 16 de dezembro de 2020 entre o Parlamento Europeu, o Conselho da União Europeia e a Comissão Europeia sobre a disciplina orçamental, a cooperação em matéria orçamental e a boa gestão financeira, bem como sobre os novos recursos próprios, incluindo um roteiro para a introdução de novos recursos próprios</w:t>
      </w:r>
      <w:r w:rsidR="008238DD" w:rsidRPr="00A016EE">
        <w:rPr>
          <w:rStyle w:val="FootnoteReference"/>
          <w:noProof/>
        </w:rPr>
        <w:footnoteReference w:id="35"/>
      </w:r>
      <w:r w:rsidRPr="00A016EE">
        <w:rPr>
          <w:noProof/>
        </w:rPr>
        <w:t>, em especial o ponto 9,</w:t>
      </w:r>
    </w:p>
    <w:p w:rsidR="00252AC6" w:rsidRPr="00A016EE" w:rsidRDefault="00252AC6" w:rsidP="00252AC6">
      <w:pPr>
        <w:rPr>
          <w:noProof/>
        </w:rPr>
      </w:pPr>
      <w:r w:rsidRPr="00A016EE">
        <w:rPr>
          <w:noProof/>
        </w:rPr>
        <w:t>Tendo em conta a proposta da Comissão Europeia,</w:t>
      </w:r>
    </w:p>
    <w:p w:rsidR="00252AC6" w:rsidRPr="00A016EE" w:rsidRDefault="00252AC6" w:rsidP="00252AC6">
      <w:pPr>
        <w:rPr>
          <w:noProof/>
        </w:rPr>
      </w:pPr>
      <w:r w:rsidRPr="00A016EE">
        <w:rPr>
          <w:noProof/>
        </w:rPr>
        <w:t>Considerando o seguinte:</w:t>
      </w:r>
    </w:p>
    <w:p w:rsidR="00252AC6" w:rsidRPr="00A016EE" w:rsidRDefault="0001257F" w:rsidP="0001257F">
      <w:pPr>
        <w:pStyle w:val="ManualConsidrant"/>
        <w:rPr>
          <w:noProof/>
        </w:rPr>
      </w:pPr>
      <w:r w:rsidRPr="0001257F">
        <w:rPr>
          <w:noProof/>
        </w:rPr>
        <w:t>(1)</w:t>
      </w:r>
      <w:r w:rsidRPr="0001257F">
        <w:rPr>
          <w:noProof/>
        </w:rPr>
        <w:tab/>
      </w:r>
      <w:r w:rsidR="00252AC6" w:rsidRPr="00A016EE">
        <w:rPr>
          <w:noProof/>
        </w:rPr>
        <w:t xml:space="preserve">O Fundo Europeu de Ajustamento à Globalização a favor dos Trabalhadores Despedidos (FEG) visa demonstrar solidariedade e promover o emprego digno e sustentável na União, prestando apoio aos trabalhadores despedidos e aos trabalhadores independentes cuja atividade tenha cessado em caso de grandes processos de reestruturação e ajudando-os a regressar a um emprego digno e sustentável o mais rapidamente possível. </w:t>
      </w:r>
    </w:p>
    <w:p w:rsidR="00252AC6" w:rsidRPr="00A016EE" w:rsidRDefault="0001257F" w:rsidP="0001257F">
      <w:pPr>
        <w:pStyle w:val="ManualConsidrant"/>
        <w:rPr>
          <w:noProof/>
        </w:rPr>
      </w:pPr>
      <w:bookmarkStart w:id="16" w:name="_Hlk174701323"/>
      <w:r w:rsidRPr="0001257F">
        <w:rPr>
          <w:noProof/>
        </w:rPr>
        <w:t>(2)</w:t>
      </w:r>
      <w:r w:rsidRPr="0001257F">
        <w:rPr>
          <w:noProof/>
        </w:rPr>
        <w:tab/>
      </w:r>
      <w:r w:rsidR="00252AC6" w:rsidRPr="00A016EE">
        <w:rPr>
          <w:noProof/>
        </w:rPr>
        <w:t>A intervenção do FEG não deve exceder o montante máximo anual de 30 milhões de EUR (preços de 2018), conforme disposto no artigo 8.º do Regulamento (UE, Euratom) 2020/2093 do Conselho</w:t>
      </w:r>
      <w:r w:rsidR="00252AC6" w:rsidRPr="00A016EE">
        <w:rPr>
          <w:rStyle w:val="FootnoteReference"/>
          <w:noProof/>
        </w:rPr>
        <w:footnoteReference w:id="36"/>
      </w:r>
      <w:r w:rsidR="00252AC6" w:rsidRPr="00A016EE">
        <w:rPr>
          <w:noProof/>
        </w:rPr>
        <w:t>, com a redação que lhe foi dada pelo Regulamento (UE, Euratom) 2024/765</w:t>
      </w:r>
      <w:r w:rsidR="00DE50E5" w:rsidRPr="00A016EE">
        <w:rPr>
          <w:rStyle w:val="FootnoteReference"/>
          <w:noProof/>
        </w:rPr>
        <w:footnoteReference w:id="37"/>
      </w:r>
      <w:r w:rsidR="00252AC6" w:rsidRPr="00A016EE">
        <w:rPr>
          <w:noProof/>
        </w:rPr>
        <w:t>, e no artigo 16.º do Regulamento (UE) 2021/691.</w:t>
      </w:r>
    </w:p>
    <w:bookmarkEnd w:id="16"/>
    <w:p w:rsidR="00252AC6" w:rsidRPr="00A016EE" w:rsidRDefault="0001257F" w:rsidP="0001257F">
      <w:pPr>
        <w:pStyle w:val="ManualConsidrant"/>
        <w:rPr>
          <w:noProof/>
        </w:rPr>
      </w:pPr>
      <w:r w:rsidRPr="0001257F">
        <w:rPr>
          <w:noProof/>
        </w:rPr>
        <w:t>(3)</w:t>
      </w:r>
      <w:r w:rsidRPr="0001257F">
        <w:rPr>
          <w:noProof/>
        </w:rPr>
        <w:tab/>
      </w:r>
      <w:r w:rsidR="00252AC6" w:rsidRPr="00A016EE">
        <w:rPr>
          <w:noProof/>
        </w:rPr>
        <w:t>Em 3 de junho de 2024, as autoridades belgas apresentaram uma candidatura à mobilização do FEG, nos termos do artigo 8.º, n.º 1, do Regulamento (UE) 2021/691, relativamente a despedimentos na empresa Match-Smatch (Match SA. e Profi SA.), na Bélgica. A candidatura foi complementada por informações adicionais, transmitidas em conformidade com o artigo 8.º, n.º 5, do Regulamento (UE) 2021/691. Com base na avaliação efetuada pela Comissão na proposta de decisão de mobilização do Parlamento Europeu e do Conselho, considera-se que a candidatura cumpre as condições para atribuição de uma contribuição financeira do FEG, previstas no artigo 13.º do Regulamento (UE) 2021/691</w:t>
      </w:r>
      <w:r w:rsidR="0097092E" w:rsidRPr="00A016EE">
        <w:rPr>
          <w:rStyle w:val="FootnoteReference"/>
          <w:iCs/>
          <w:noProof/>
        </w:rPr>
        <w:footnoteReference w:id="38"/>
      </w:r>
      <w:r w:rsidR="00252AC6" w:rsidRPr="00A016EE">
        <w:rPr>
          <w:noProof/>
        </w:rPr>
        <w:t>.</w:t>
      </w:r>
    </w:p>
    <w:p w:rsidR="00252AC6" w:rsidRPr="00A016EE" w:rsidRDefault="0001257F" w:rsidP="0001257F">
      <w:pPr>
        <w:pStyle w:val="ManualConsidrant"/>
        <w:rPr>
          <w:noProof/>
        </w:rPr>
      </w:pPr>
      <w:r w:rsidRPr="0001257F">
        <w:rPr>
          <w:noProof/>
        </w:rPr>
        <w:t>(4)</w:t>
      </w:r>
      <w:r w:rsidRPr="0001257F">
        <w:rPr>
          <w:noProof/>
        </w:rPr>
        <w:tab/>
      </w:r>
      <w:r w:rsidR="00252AC6" w:rsidRPr="00A016EE">
        <w:rPr>
          <w:noProof/>
        </w:rPr>
        <w:t>O FEG deverá, por conseguinte, ser mobilizado a fim de conceder uma contribuição financeira no montante de 2 661 564 EUR em resposta à candidatura apresentada pela Bélgica.</w:t>
      </w:r>
    </w:p>
    <w:p w:rsidR="00252AC6" w:rsidRPr="00A016EE" w:rsidRDefault="0001257F" w:rsidP="0001257F">
      <w:pPr>
        <w:pStyle w:val="ManualConsidrant"/>
        <w:rPr>
          <w:noProof/>
        </w:rPr>
      </w:pPr>
      <w:r w:rsidRPr="0001257F">
        <w:rPr>
          <w:noProof/>
        </w:rPr>
        <w:t>(5)</w:t>
      </w:r>
      <w:r w:rsidRPr="0001257F">
        <w:rPr>
          <w:noProof/>
        </w:rPr>
        <w:tab/>
      </w:r>
      <w:r w:rsidR="00252AC6" w:rsidRPr="00A016EE">
        <w:rPr>
          <w:noProof/>
        </w:rPr>
        <w:t>Para reduzir ao mínimo o tempo necessário para a mobilização do FEG, a presente decisão deverá ser aplicável a partir da data da sua adoção,</w:t>
      </w:r>
    </w:p>
    <w:p w:rsidR="00252AC6" w:rsidRPr="00A016EE" w:rsidRDefault="00252AC6" w:rsidP="00252AC6">
      <w:pPr>
        <w:pStyle w:val="Formuledadoption"/>
        <w:rPr>
          <w:noProof/>
        </w:rPr>
      </w:pPr>
      <w:r w:rsidRPr="00A016EE">
        <w:rPr>
          <w:noProof/>
        </w:rPr>
        <w:t xml:space="preserve">ADOTARAM A SEGUINTE DECISÃO: </w:t>
      </w:r>
    </w:p>
    <w:p w:rsidR="00252AC6" w:rsidRPr="00A016EE" w:rsidRDefault="00252AC6" w:rsidP="00252AC6">
      <w:pPr>
        <w:pStyle w:val="Titrearticle"/>
        <w:rPr>
          <w:noProof/>
        </w:rPr>
      </w:pPr>
      <w:r w:rsidRPr="00A016EE">
        <w:rPr>
          <w:noProof/>
        </w:rPr>
        <w:t>Artigo 1.º</w:t>
      </w:r>
    </w:p>
    <w:p w:rsidR="00252AC6" w:rsidRPr="00A016EE" w:rsidRDefault="00252AC6" w:rsidP="00252AC6">
      <w:pPr>
        <w:rPr>
          <w:noProof/>
        </w:rPr>
      </w:pPr>
      <w:r w:rsidRPr="00A016EE">
        <w:rPr>
          <w:noProof/>
        </w:rPr>
        <w:t>No quadro do orçamento geral da União Europeia para o exercício de 2024, é mobilizada a quantia de 2 661 564 EUR em dotações de autorização e de pagamento ao abrigo do Fundo Europeu de Ajustamento à Globalização a favor dos Trabalhadores Despedidos.</w:t>
      </w:r>
    </w:p>
    <w:p w:rsidR="00252AC6" w:rsidRPr="00A016EE" w:rsidRDefault="00252AC6" w:rsidP="001B7F45">
      <w:pPr>
        <w:pStyle w:val="Titrearticle"/>
        <w:rPr>
          <w:noProof/>
        </w:rPr>
      </w:pPr>
      <w:r w:rsidRPr="00A016EE">
        <w:rPr>
          <w:noProof/>
        </w:rPr>
        <w:t>Artigo 2.º</w:t>
      </w:r>
    </w:p>
    <w:p w:rsidR="00252AC6" w:rsidRPr="00A016EE" w:rsidRDefault="00252AC6" w:rsidP="00252AC6">
      <w:pPr>
        <w:keepNext/>
        <w:keepLines/>
        <w:rPr>
          <w:noProof/>
        </w:rPr>
      </w:pPr>
      <w:r w:rsidRPr="00A016EE">
        <w:rPr>
          <w:noProof/>
        </w:rPr>
        <w:t xml:space="preserve">A presente decisão entra em vigor no dia da sua publicação no </w:t>
      </w:r>
      <w:r w:rsidRPr="00A016EE">
        <w:rPr>
          <w:i/>
          <w:iCs/>
          <w:noProof/>
        </w:rPr>
        <w:t>Jornal Oficial da União Europeia</w:t>
      </w:r>
      <w:r w:rsidRPr="00A016EE">
        <w:rPr>
          <w:noProof/>
        </w:rPr>
        <w:t xml:space="preserve">. É aplicável a partir de </w:t>
      </w:r>
      <w:r w:rsidRPr="00A016EE">
        <w:rPr>
          <w:noProof/>
          <w:color w:val="FF0000"/>
        </w:rPr>
        <w:t>[</w:t>
      </w:r>
      <w:r w:rsidRPr="00A016EE">
        <w:rPr>
          <w:i/>
          <w:iCs/>
          <w:noProof/>
          <w:color w:val="FF0000"/>
        </w:rPr>
        <w:t>a data da sua adoção</w:t>
      </w:r>
      <w:r w:rsidRPr="00A016EE">
        <w:rPr>
          <w:noProof/>
          <w:color w:val="FF0000"/>
        </w:rPr>
        <w:t>]</w:t>
      </w:r>
      <w:r w:rsidRPr="00A016EE">
        <w:rPr>
          <w:rStyle w:val="FootnoteReference"/>
          <w:noProof/>
          <w:color w:val="FF0000"/>
        </w:rPr>
        <w:footnoteReference w:customMarkFollows="1" w:id="39"/>
        <w:t>*</w:t>
      </w:r>
      <w:r w:rsidRPr="00A016EE">
        <w:rPr>
          <w:noProof/>
        </w:rPr>
        <w:t>.</w:t>
      </w:r>
    </w:p>
    <w:p w:rsidR="00252AC6" w:rsidRPr="00A016EE" w:rsidRDefault="00A016EE" w:rsidP="001B7F45">
      <w:pPr>
        <w:pStyle w:val="Fait"/>
        <w:rPr>
          <w:noProof/>
        </w:rPr>
      </w:pPr>
      <w:r>
        <w:rPr>
          <w:noProof/>
        </w:rPr>
        <w:t>Feito em Bruxelas, em</w:t>
      </w:r>
    </w:p>
    <w:p w:rsidR="00252AC6" w:rsidRPr="00A016EE" w:rsidRDefault="00252AC6" w:rsidP="001B7F45">
      <w:pPr>
        <w:pStyle w:val="Institutionquisigne"/>
        <w:rPr>
          <w:noProof/>
        </w:rPr>
      </w:pPr>
      <w:r w:rsidRPr="00A016EE">
        <w:rPr>
          <w:noProof/>
        </w:rPr>
        <w:t>Pelo Parlamento Europeu</w:t>
      </w:r>
      <w:r w:rsidRPr="00A016EE">
        <w:rPr>
          <w:noProof/>
        </w:rPr>
        <w:tab/>
        <w:t>Pelo Conselho</w:t>
      </w:r>
    </w:p>
    <w:p w:rsidR="00252AC6" w:rsidRPr="00A016EE" w:rsidRDefault="00252AC6" w:rsidP="00252AC6">
      <w:pPr>
        <w:pStyle w:val="Personnequisigne"/>
        <w:rPr>
          <w:noProof/>
        </w:rPr>
      </w:pPr>
      <w:r w:rsidRPr="00A016EE">
        <w:rPr>
          <w:noProof/>
        </w:rPr>
        <w:t>A Presidente</w:t>
      </w:r>
      <w:r w:rsidRPr="00A016EE">
        <w:rPr>
          <w:noProof/>
        </w:rPr>
        <w:tab/>
        <w:t>O Presidente</w:t>
      </w:r>
      <w:r w:rsidRPr="00A016EE">
        <w:rPr>
          <w:noProof/>
        </w:rPr>
        <w:br/>
      </w:r>
    </w:p>
    <w:sectPr w:rsidR="00252AC6" w:rsidRPr="00A016EE" w:rsidSect="0025744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9EF" w:rsidRDefault="001509EF" w:rsidP="00252AC6">
      <w:pPr>
        <w:spacing w:before="0" w:after="0"/>
      </w:pPr>
      <w:r>
        <w:separator/>
      </w:r>
    </w:p>
  </w:endnote>
  <w:endnote w:type="continuationSeparator" w:id="0">
    <w:p w:rsidR="001509EF" w:rsidRDefault="001509EF" w:rsidP="00252A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43" w:rsidRPr="00257443" w:rsidRDefault="00257443" w:rsidP="00257443">
    <w:pPr>
      <w:pStyle w:val="Footer"/>
      <w:rPr>
        <w:rFonts w:ascii="Arial" w:hAnsi="Arial" w:cs="Arial"/>
        <w:b/>
        <w:sz w:val="48"/>
      </w:rPr>
    </w:pPr>
    <w:r w:rsidRPr="00257443">
      <w:rPr>
        <w:rFonts w:ascii="Arial" w:hAnsi="Arial" w:cs="Arial"/>
        <w:b/>
        <w:sz w:val="48"/>
      </w:rPr>
      <w:t>PT</w:t>
    </w:r>
    <w:r w:rsidRPr="00257443">
      <w:rPr>
        <w:rFonts w:ascii="Arial" w:hAnsi="Arial" w:cs="Arial"/>
        <w:b/>
        <w:sz w:val="48"/>
      </w:rPr>
      <w:tab/>
    </w:r>
    <w:r w:rsidRPr="00257443">
      <w:rPr>
        <w:rFonts w:ascii="Arial" w:hAnsi="Arial" w:cs="Arial"/>
        <w:b/>
        <w:sz w:val="48"/>
      </w:rPr>
      <w:tab/>
    </w:r>
    <w:r w:rsidRPr="00257443">
      <w:tab/>
    </w:r>
    <w:r w:rsidRPr="00257443">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43" w:rsidRPr="00257443" w:rsidRDefault="00257443" w:rsidP="00257443">
    <w:pPr>
      <w:pStyle w:val="Footer"/>
      <w:rPr>
        <w:rFonts w:ascii="Arial" w:hAnsi="Arial" w:cs="Arial"/>
        <w:b/>
        <w:sz w:val="48"/>
      </w:rPr>
    </w:pPr>
    <w:r w:rsidRPr="00257443">
      <w:rPr>
        <w:rFonts w:ascii="Arial" w:hAnsi="Arial" w:cs="Arial"/>
        <w:b/>
        <w:sz w:val="48"/>
      </w:rPr>
      <w:t>PT</w:t>
    </w:r>
    <w:r w:rsidRPr="00257443">
      <w:rPr>
        <w:rFonts w:ascii="Arial" w:hAnsi="Arial" w:cs="Arial"/>
        <w:b/>
        <w:sz w:val="48"/>
      </w:rPr>
      <w:tab/>
    </w:r>
    <w:r w:rsidRPr="00257443">
      <w:rPr>
        <w:rFonts w:ascii="Arial" w:hAnsi="Arial" w:cs="Arial"/>
        <w:b/>
        <w:sz w:val="48"/>
      </w:rPr>
      <w:tab/>
    </w:r>
    <w:r w:rsidRPr="00257443">
      <w:tab/>
    </w:r>
    <w:r w:rsidRPr="00257443">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43" w:rsidRDefault="002574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43" w:rsidRPr="00257443" w:rsidRDefault="00257443" w:rsidP="00257443">
    <w:pPr>
      <w:pStyle w:val="Footer"/>
      <w:rPr>
        <w:rFonts w:ascii="Arial" w:hAnsi="Arial" w:cs="Arial"/>
        <w:b/>
        <w:sz w:val="48"/>
      </w:rPr>
    </w:pPr>
    <w:r w:rsidRPr="00257443">
      <w:rPr>
        <w:rFonts w:ascii="Arial" w:hAnsi="Arial" w:cs="Arial"/>
        <w:b/>
        <w:sz w:val="48"/>
      </w:rPr>
      <w:t>PT</w:t>
    </w:r>
    <w:r w:rsidRPr="00257443">
      <w:rPr>
        <w:rFonts w:ascii="Arial" w:hAnsi="Arial" w:cs="Arial"/>
        <w:b/>
        <w:sz w:val="48"/>
      </w:rPr>
      <w:tab/>
    </w:r>
    <w:r>
      <w:fldChar w:fldCharType="begin"/>
    </w:r>
    <w:r>
      <w:instrText xml:space="preserve"> PAGE  \* MERGEFORMAT </w:instrText>
    </w:r>
    <w:r>
      <w:fldChar w:fldCharType="separate"/>
    </w:r>
    <w:r w:rsidR="001B7F45">
      <w:rPr>
        <w:noProof/>
      </w:rPr>
      <w:t>13</w:t>
    </w:r>
    <w:r>
      <w:fldChar w:fldCharType="end"/>
    </w:r>
    <w:r>
      <w:tab/>
    </w:r>
    <w:r w:rsidRPr="00257443">
      <w:tab/>
    </w:r>
    <w:r w:rsidRPr="00257443">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43" w:rsidRDefault="00257443" w:rsidP="00257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9EF" w:rsidRDefault="001509EF" w:rsidP="00252AC6">
      <w:pPr>
        <w:spacing w:before="0" w:after="0"/>
      </w:pPr>
      <w:r>
        <w:separator/>
      </w:r>
    </w:p>
  </w:footnote>
  <w:footnote w:type="continuationSeparator" w:id="0">
    <w:p w:rsidR="001509EF" w:rsidRDefault="001509EF" w:rsidP="00252AC6">
      <w:pPr>
        <w:spacing w:before="0" w:after="0"/>
      </w:pPr>
      <w:r>
        <w:continuationSeparator/>
      </w:r>
    </w:p>
  </w:footnote>
  <w:footnote w:id="1">
    <w:p w:rsidR="00440384" w:rsidRPr="00BE109D" w:rsidRDefault="00440384" w:rsidP="00252AC6">
      <w:pPr>
        <w:pStyle w:val="FootnoteText"/>
      </w:pPr>
      <w:r>
        <w:rPr>
          <w:rStyle w:val="FootnoteReference"/>
        </w:rPr>
        <w:footnoteRef/>
      </w:r>
      <w:r>
        <w:tab/>
        <w:t>JO L 153 de 3.5.2021, p. 48.</w:t>
      </w:r>
    </w:p>
  </w:footnote>
  <w:footnote w:id="2">
    <w:p w:rsidR="00440384" w:rsidRPr="002308DE" w:rsidRDefault="00440384" w:rsidP="00252AC6">
      <w:pPr>
        <w:pStyle w:val="FootnoteText"/>
      </w:pPr>
      <w:r>
        <w:rPr>
          <w:rStyle w:val="FootnoteReference"/>
        </w:rPr>
        <w:footnoteRef/>
      </w:r>
      <w:r>
        <w:tab/>
        <w:t>Regulamento Delegado (UE) 2019/1755 da Comissão, de 8 de agosto de 2019, que altera os anexos do Regulamento (CE) n.º 1059/2003 do Parlamento Europeu e do Conselho relativo à instituição de uma Nomenclatura Comum das Unidades Territoriais Estatísticas (NUTS). JO L 270 de 24.10.2019, p. 1.</w:t>
      </w:r>
    </w:p>
  </w:footnote>
  <w:footnote w:id="3">
    <w:p w:rsidR="00440384" w:rsidRPr="00A50D50" w:rsidRDefault="00440384" w:rsidP="00252AC6">
      <w:pPr>
        <w:pStyle w:val="FootnoteText"/>
      </w:pPr>
      <w:r>
        <w:rPr>
          <w:rStyle w:val="FootnoteReference"/>
        </w:rPr>
        <w:footnoteRef/>
      </w:r>
      <w:r>
        <w:tab/>
        <w:t>JO L 393 de 30.12.2006, p. 1.</w:t>
      </w:r>
    </w:p>
  </w:footnote>
  <w:footnote w:id="4">
    <w:p w:rsidR="00C812FC" w:rsidRPr="00A50D50" w:rsidRDefault="00C812FC" w:rsidP="00252AC6">
      <w:pPr>
        <w:pStyle w:val="FootnoteText"/>
      </w:pPr>
      <w:r>
        <w:rPr>
          <w:rStyle w:val="FootnoteReference"/>
        </w:rPr>
        <w:footnoteRef/>
      </w:r>
      <w:r>
        <w:tab/>
        <w:t>Em conformidade com o artigo 7.º, n.º 5, do Regulamento (UE) 2021/691.</w:t>
      </w:r>
    </w:p>
  </w:footnote>
  <w:footnote w:id="5">
    <w:p w:rsidR="0079619E" w:rsidRPr="006E0ACC" w:rsidRDefault="0079619E">
      <w:pPr>
        <w:pStyle w:val="FootnoteText"/>
      </w:pPr>
      <w:r>
        <w:rPr>
          <w:rStyle w:val="FootnoteReference"/>
        </w:rPr>
        <w:footnoteRef/>
      </w:r>
      <w:r>
        <w:tab/>
        <w:t>Conselho de empresa de 22 de setembro de 2023.</w:t>
      </w:r>
    </w:p>
  </w:footnote>
  <w:footnote w:id="6">
    <w:p w:rsidR="001C7D02" w:rsidRPr="001C7D02" w:rsidRDefault="001C7D02">
      <w:pPr>
        <w:pStyle w:val="FootnoteText"/>
      </w:pPr>
      <w:r>
        <w:rPr>
          <w:rStyle w:val="FootnoteReference"/>
        </w:rPr>
        <w:footnoteRef/>
      </w:r>
      <w:r>
        <w:tab/>
      </w:r>
      <w:hyperlink r:id="rId1" w:history="1">
        <w:r>
          <w:rPr>
            <w:rStyle w:val="Hyperlink"/>
          </w:rPr>
          <w:t>Mémorandum électoral 2024</w:t>
        </w:r>
      </w:hyperlink>
      <w:r>
        <w:t xml:space="preserve"> (As novas tendências que afetam o comércio e os serviços e a conjuntura económica difícil).</w:t>
      </w:r>
    </w:p>
  </w:footnote>
  <w:footnote w:id="7">
    <w:p w:rsidR="006845C3" w:rsidRPr="00A016EE" w:rsidRDefault="006845C3">
      <w:pPr>
        <w:pStyle w:val="FootnoteText"/>
        <w:rPr>
          <w:lang w:val="fr-FR"/>
        </w:rPr>
      </w:pPr>
      <w:r>
        <w:rPr>
          <w:rStyle w:val="FootnoteReference"/>
        </w:rPr>
        <w:footnoteRef/>
      </w:r>
      <w:r w:rsidRPr="00A016EE">
        <w:rPr>
          <w:lang w:val="fr-FR"/>
        </w:rPr>
        <w:tab/>
      </w:r>
      <w:hyperlink r:id="rId2" w:history="1">
        <w:r w:rsidRPr="00A016EE">
          <w:rPr>
            <w:rStyle w:val="Hyperlink"/>
            <w:lang w:val="fr-FR"/>
          </w:rPr>
          <w:t>Statbel.</w:t>
        </w:r>
      </w:hyperlink>
      <w:hyperlink r:id="rId3" w:history="1">
        <w:r w:rsidRPr="00A016EE">
          <w:rPr>
            <w:rStyle w:val="Hyperlink"/>
            <w:lang w:val="fr-FR"/>
          </w:rPr>
          <w:t xml:space="preserve"> Emploi et chômage (13.6.2024)</w:t>
        </w:r>
      </w:hyperlink>
    </w:p>
  </w:footnote>
  <w:footnote w:id="8">
    <w:p w:rsidR="00511891" w:rsidRPr="006E0ACC" w:rsidRDefault="00511891">
      <w:pPr>
        <w:pStyle w:val="FootnoteText"/>
      </w:pPr>
      <w:r>
        <w:rPr>
          <w:rStyle w:val="FootnoteReference"/>
        </w:rPr>
        <w:footnoteRef/>
      </w:r>
      <w:r w:rsidRPr="00A016EE">
        <w:rPr>
          <w:lang w:val="fr-FR"/>
        </w:rPr>
        <w:tab/>
      </w:r>
      <w:hyperlink r:id="rId4" w:history="1">
        <w:r w:rsidRPr="00A016EE">
          <w:rPr>
            <w:rStyle w:val="Hyperlink"/>
            <w:lang w:val="fr-FR"/>
          </w:rPr>
          <w:t>Statbel.</w:t>
        </w:r>
      </w:hyperlink>
      <w:hyperlink r:id="rId5" w:history="1">
        <w:r w:rsidRPr="00A016EE">
          <w:rPr>
            <w:rStyle w:val="Hyperlink"/>
            <w:lang w:val="fr-FR"/>
          </w:rPr>
          <w:t xml:space="preserve"> </w:t>
        </w:r>
        <w:r>
          <w:rPr>
            <w:rStyle w:val="Hyperlink"/>
          </w:rPr>
          <w:t>Emploi et chômage (13.6.2024)</w:t>
        </w:r>
      </w:hyperlink>
    </w:p>
  </w:footnote>
  <w:footnote w:id="9">
    <w:p w:rsidR="00601B62" w:rsidRPr="006E0ACC" w:rsidRDefault="00601B62">
      <w:pPr>
        <w:pStyle w:val="FootnoteText"/>
      </w:pPr>
      <w:r>
        <w:rPr>
          <w:rStyle w:val="FootnoteReference"/>
        </w:rPr>
        <w:footnoteRef/>
      </w:r>
      <w:r>
        <w:tab/>
      </w:r>
      <w:hyperlink r:id="rId6" w:anchor="Estonia.2C_Malta.2C_Lithuania_and_Latvia_see_the_greatest_increase_in_labour_market_slack" w:history="1">
        <w:r>
          <w:rPr>
            <w:rStyle w:val="Hyperlink"/>
          </w:rPr>
          <w:t>Estatísticas trimestrais do Eurostat sobre o mercado de trabalho na UE</w:t>
        </w:r>
      </w:hyperlink>
      <w:r>
        <w:t>.</w:t>
      </w:r>
    </w:p>
  </w:footnote>
  <w:footnote w:id="10">
    <w:p w:rsidR="00997428" w:rsidRPr="00A016EE" w:rsidRDefault="00997428">
      <w:pPr>
        <w:pStyle w:val="FootnoteText"/>
        <w:rPr>
          <w:lang w:val="fr-FR"/>
        </w:rPr>
      </w:pPr>
      <w:r>
        <w:rPr>
          <w:rStyle w:val="FootnoteReference"/>
        </w:rPr>
        <w:footnoteRef/>
      </w:r>
      <w:r w:rsidRPr="00A016EE">
        <w:rPr>
          <w:lang w:val="fr-FR"/>
        </w:rPr>
        <w:tab/>
      </w:r>
      <w:hyperlink r:id="rId7" w:history="1">
        <w:r w:rsidRPr="00A016EE">
          <w:rPr>
            <w:rStyle w:val="Hyperlink"/>
            <w:lang w:val="fr-FR"/>
          </w:rPr>
          <w:t>Statbel.</w:t>
        </w:r>
      </w:hyperlink>
      <w:hyperlink r:id="rId8" w:history="1">
        <w:r w:rsidRPr="00A016EE">
          <w:rPr>
            <w:rStyle w:val="Hyperlink"/>
            <w:lang w:val="fr-FR"/>
          </w:rPr>
          <w:t xml:space="preserve"> Emploi et chômage (13.6.2024)</w:t>
        </w:r>
      </w:hyperlink>
      <w:r w:rsidRPr="00A016EE">
        <w:rPr>
          <w:rStyle w:val="Hyperlink"/>
          <w:lang w:val="fr-FR"/>
        </w:rPr>
        <w:t>. Chiffres.</w:t>
      </w:r>
    </w:p>
  </w:footnote>
  <w:footnote w:id="11">
    <w:p w:rsidR="00D25069" w:rsidRPr="00A016EE" w:rsidRDefault="00D25069">
      <w:pPr>
        <w:pStyle w:val="FootnoteText"/>
        <w:rPr>
          <w:lang w:val="fr-FR"/>
        </w:rPr>
      </w:pPr>
      <w:r>
        <w:rPr>
          <w:rStyle w:val="FootnoteReference"/>
        </w:rPr>
        <w:footnoteRef/>
      </w:r>
      <w:r w:rsidRPr="00A016EE">
        <w:rPr>
          <w:lang w:val="fr-FR"/>
        </w:rPr>
        <w:tab/>
      </w:r>
      <w:hyperlink r:id="rId9" w:anchor="figures" w:history="1">
        <w:r w:rsidRPr="00A016EE">
          <w:rPr>
            <w:rStyle w:val="Hyperlink"/>
            <w:lang w:val="fr-FR"/>
          </w:rPr>
          <w:t>Statbel.</w:t>
        </w:r>
      </w:hyperlink>
      <w:hyperlink r:id="rId10" w:anchor="figures" w:history="1">
        <w:r w:rsidRPr="00A016EE">
          <w:rPr>
            <w:rStyle w:val="Hyperlink"/>
            <w:lang w:val="fr-FR"/>
          </w:rPr>
          <w:t xml:space="preserve"> Emploi et chômage (13.6.2024).</w:t>
        </w:r>
      </w:hyperlink>
      <w:hyperlink r:id="rId11" w:anchor="figures" w:history="1">
        <w:r w:rsidRPr="00A016EE">
          <w:rPr>
            <w:rStyle w:val="Hyperlink"/>
            <w:lang w:val="fr-FR"/>
          </w:rPr>
          <w:t xml:space="preserve"> Chiffres</w:t>
        </w:r>
      </w:hyperlink>
      <w:r w:rsidRPr="00A016EE">
        <w:rPr>
          <w:lang w:val="fr-FR"/>
        </w:rPr>
        <w:t>.</w:t>
      </w:r>
    </w:p>
  </w:footnote>
  <w:footnote w:id="12">
    <w:p w:rsidR="00A555F7" w:rsidRPr="00A016EE" w:rsidRDefault="00A555F7">
      <w:pPr>
        <w:pStyle w:val="FootnoteText"/>
        <w:rPr>
          <w:lang w:val="fr-FR"/>
        </w:rPr>
      </w:pPr>
      <w:r>
        <w:rPr>
          <w:rStyle w:val="FootnoteReference"/>
        </w:rPr>
        <w:footnoteRef/>
      </w:r>
      <w:r w:rsidRPr="00A016EE">
        <w:rPr>
          <w:lang w:val="fr-FR"/>
        </w:rPr>
        <w:tab/>
      </w:r>
      <w:bookmarkStart w:id="9" w:name="_Hlk168668594"/>
      <w:r>
        <w:fldChar w:fldCharType="begin"/>
      </w:r>
      <w:r w:rsidRPr="00A016EE">
        <w:rPr>
          <w:lang w:val="fr-FR"/>
        </w:rPr>
        <w:instrText>HYPERLINK "https://www.leforem.be/content/dam/leforem/fr/documents/chiffres-et-analyses/chiffres-TCD-photolocale-202405.xlsx"</w:instrText>
      </w:r>
      <w:r>
        <w:fldChar w:fldCharType="separate"/>
      </w:r>
      <w:r w:rsidRPr="00A016EE">
        <w:rPr>
          <w:rStyle w:val="Hyperlink"/>
          <w:lang w:val="fr-FR"/>
        </w:rPr>
        <w:t xml:space="preserve">Le Forem, « Emploi du temps. Photo locale de la demande d’emploi ». </w:t>
      </w:r>
      <w:r w:rsidR="00266734" w:rsidRPr="00A016EE">
        <w:rPr>
          <w:rStyle w:val="Hyperlink"/>
          <w:lang w:val="fr-FR"/>
        </w:rPr>
        <w:t>Maio</w:t>
      </w:r>
      <w:r w:rsidRPr="00A016EE">
        <w:rPr>
          <w:rStyle w:val="Hyperlink"/>
          <w:lang w:val="fr-FR"/>
        </w:rPr>
        <w:t xml:space="preserve"> de 2024</w:t>
      </w:r>
      <w:r>
        <w:fldChar w:fldCharType="end"/>
      </w:r>
      <w:bookmarkEnd w:id="9"/>
      <w:r w:rsidRPr="00A016EE">
        <w:rPr>
          <w:lang w:val="fr-FR"/>
        </w:rPr>
        <w:t>.</w:t>
      </w:r>
    </w:p>
  </w:footnote>
  <w:footnote w:id="13">
    <w:p w:rsidR="00824671" w:rsidRPr="00CB6793" w:rsidRDefault="00824671" w:rsidP="00824671">
      <w:pPr>
        <w:pStyle w:val="FootnoteText"/>
      </w:pPr>
      <w:r>
        <w:rPr>
          <w:rStyle w:val="FootnoteReference"/>
        </w:rPr>
        <w:footnoteRef/>
      </w:r>
      <w:r w:rsidRPr="00A016EE">
        <w:rPr>
          <w:lang w:val="fr-FR"/>
        </w:rPr>
        <w:tab/>
        <w:t xml:space="preserve">Bodart, V. &amp; B. Van der Linden (2022), Crise du COVID-19. Rebond économique et difficultés de recrutement en Belgique. </w:t>
      </w:r>
      <w:r>
        <w:t>Regards économiques 168, UCLouvain.</w:t>
      </w:r>
    </w:p>
  </w:footnote>
  <w:footnote w:id="14">
    <w:p w:rsidR="006E2FBA" w:rsidRPr="00B80404" w:rsidRDefault="006E2FBA">
      <w:pPr>
        <w:pStyle w:val="FootnoteText"/>
      </w:pPr>
      <w:r>
        <w:rPr>
          <w:rStyle w:val="FootnoteReference"/>
        </w:rPr>
        <w:footnoteRef/>
      </w:r>
      <w:r>
        <w:tab/>
      </w:r>
      <w:hyperlink r:id="rId12" w:history="1">
        <w:r>
          <w:rPr>
            <w:rStyle w:val="Hyperlink"/>
          </w:rPr>
          <w:t>Quadro de qualidade para a antecipação da mudança e de processos de reestruturação</w:t>
        </w:r>
      </w:hyperlink>
    </w:p>
  </w:footnote>
  <w:footnote w:id="15">
    <w:p w:rsidR="008C3DFF" w:rsidRPr="008C3DFF" w:rsidRDefault="008C3DFF">
      <w:pPr>
        <w:pStyle w:val="FootnoteText"/>
      </w:pPr>
      <w:r>
        <w:rPr>
          <w:rStyle w:val="FootnoteReference"/>
        </w:rPr>
        <w:footnoteRef/>
      </w:r>
      <w:r>
        <w:tab/>
        <w:t>Decreto real (</w:t>
      </w:r>
      <w:r>
        <w:rPr>
          <w:i/>
          <w:iCs/>
        </w:rPr>
        <w:t>Arrêté Royal</w:t>
      </w:r>
      <w:r>
        <w:t>), de 10 de novembro de 2006, que altera o Decreto real de 9 de março de 2006.</w:t>
      </w:r>
    </w:p>
  </w:footnote>
  <w:footnote w:id="16">
    <w:p w:rsidR="007039B7" w:rsidRPr="007039B7" w:rsidRDefault="007039B7">
      <w:pPr>
        <w:pStyle w:val="FootnoteText"/>
      </w:pPr>
      <w:r>
        <w:rPr>
          <w:rStyle w:val="FootnoteReference"/>
        </w:rPr>
        <w:footnoteRef/>
      </w:r>
      <w:r>
        <w:tab/>
      </w:r>
      <w:hyperlink r:id="rId13" w:history="1">
        <w:r>
          <w:rPr>
            <w:rStyle w:val="Hyperlink"/>
          </w:rPr>
          <w:t>Le Forem.</w:t>
        </w:r>
      </w:hyperlink>
      <w:hyperlink r:id="rId14" w:history="1">
        <w:r>
          <w:rPr>
            <w:rStyle w:val="Hyperlink"/>
          </w:rPr>
          <w:t xml:space="preserve"> Evento de reestruturação:</w:t>
        </w:r>
      </w:hyperlink>
      <w:hyperlink r:id="rId15" w:history="1">
        <w:r>
          <w:rPr>
            <w:rStyle w:val="Hyperlink"/>
          </w:rPr>
          <w:t xml:space="preserve"> unidades de emprego</w:t>
        </w:r>
      </w:hyperlink>
      <w:r>
        <w:rPr>
          <w:rStyle w:val="Hyperlink"/>
        </w:rPr>
        <w:t>.</w:t>
      </w:r>
    </w:p>
  </w:footnote>
  <w:footnote w:id="17">
    <w:p w:rsidR="00812C24" w:rsidRPr="00812C24" w:rsidRDefault="00812C24">
      <w:pPr>
        <w:pStyle w:val="FootnoteText"/>
      </w:pPr>
      <w:r>
        <w:rPr>
          <w:rStyle w:val="FootnoteReference"/>
        </w:rPr>
        <w:footnoteRef/>
      </w:r>
      <w:r>
        <w:tab/>
        <w:t>Decreto do governo da Valónia, de 29 de janeiro de 2004, alterado pelo Decreto de 30 de abril de 2009.</w:t>
      </w:r>
    </w:p>
  </w:footnote>
  <w:footnote w:id="18">
    <w:p w:rsidR="00CD0B29" w:rsidRPr="00CD0B29" w:rsidRDefault="00CD0B29">
      <w:pPr>
        <w:pStyle w:val="FootnoteText"/>
      </w:pPr>
      <w:r>
        <w:rPr>
          <w:rStyle w:val="FootnoteReference"/>
        </w:rPr>
        <w:footnoteRef/>
      </w:r>
      <w:r>
        <w:tab/>
      </w:r>
      <w:r>
        <w:rPr>
          <w:rStyle w:val="Hyperlink"/>
        </w:rPr>
        <w:t xml:space="preserve">Le </w:t>
      </w:r>
      <w:hyperlink r:id="rId16" w:history="1">
        <w:r>
          <w:rPr>
            <w:rStyle w:val="Hyperlink"/>
          </w:rPr>
          <w:t>Forem.</w:t>
        </w:r>
      </w:hyperlink>
      <w:hyperlink r:id="rId17" w:history="1">
        <w:r>
          <w:rPr>
            <w:rStyle w:val="Hyperlink"/>
          </w:rPr>
          <w:t xml:space="preserve"> Evento de reestruturação:</w:t>
        </w:r>
      </w:hyperlink>
      <w:hyperlink r:id="rId18" w:history="1">
        <w:r>
          <w:rPr>
            <w:rStyle w:val="Hyperlink"/>
          </w:rPr>
          <w:t xml:space="preserve"> unidades de reconversão</w:t>
        </w:r>
      </w:hyperlink>
      <w:r>
        <w:rPr>
          <w:rStyle w:val="Hyperlink"/>
        </w:rPr>
        <w:t>.</w:t>
      </w:r>
    </w:p>
  </w:footnote>
  <w:footnote w:id="19">
    <w:p w:rsidR="00AB691F" w:rsidRPr="00A016EE" w:rsidRDefault="00AB691F">
      <w:pPr>
        <w:pStyle w:val="FootnoteText"/>
        <w:rPr>
          <w:lang w:val="fr-FR"/>
        </w:rPr>
      </w:pPr>
      <w:r>
        <w:rPr>
          <w:rStyle w:val="FootnoteReference"/>
        </w:rPr>
        <w:footnoteRef/>
      </w:r>
      <w:r w:rsidRPr="00A016EE">
        <w:rPr>
          <w:lang w:val="fr-FR"/>
        </w:rPr>
        <w:tab/>
        <w:t>Fédération générale du travail de Belgique.</w:t>
      </w:r>
    </w:p>
  </w:footnote>
  <w:footnote w:id="20">
    <w:p w:rsidR="00AB691F" w:rsidRPr="00A016EE" w:rsidRDefault="00AB691F">
      <w:pPr>
        <w:pStyle w:val="FootnoteText"/>
        <w:rPr>
          <w:lang w:val="fr-FR"/>
        </w:rPr>
      </w:pPr>
      <w:r>
        <w:rPr>
          <w:rStyle w:val="FootnoteReference"/>
        </w:rPr>
        <w:footnoteRef/>
      </w:r>
      <w:r w:rsidRPr="00A016EE">
        <w:rPr>
          <w:lang w:val="fr-FR"/>
        </w:rPr>
        <w:tab/>
        <w:t>Conféderation des syndicats chrétiens.</w:t>
      </w:r>
    </w:p>
  </w:footnote>
  <w:footnote w:id="21">
    <w:p w:rsidR="00440384" w:rsidRPr="00A016EE" w:rsidRDefault="00440384">
      <w:pPr>
        <w:pStyle w:val="FootnoteText"/>
        <w:rPr>
          <w:lang w:val="fr-FR"/>
        </w:rPr>
      </w:pPr>
      <w:r>
        <w:rPr>
          <w:rStyle w:val="FootnoteReference"/>
        </w:rPr>
        <w:footnoteRef/>
      </w:r>
      <w:r w:rsidRPr="00A016EE">
        <w:rPr>
          <w:lang w:val="fr-FR"/>
        </w:rPr>
        <w:tab/>
        <w:t>CITE 0-2</w:t>
      </w:r>
    </w:p>
  </w:footnote>
  <w:footnote w:id="22">
    <w:p w:rsidR="00440384" w:rsidRPr="00A31F0E" w:rsidRDefault="00440384">
      <w:pPr>
        <w:pStyle w:val="FootnoteText"/>
      </w:pPr>
      <w:r>
        <w:rPr>
          <w:rStyle w:val="FootnoteReference"/>
        </w:rPr>
        <w:footnoteRef/>
      </w:r>
      <w:r>
        <w:tab/>
        <w:t>CITE 3</w:t>
      </w:r>
    </w:p>
  </w:footnote>
  <w:footnote w:id="23">
    <w:p w:rsidR="00440384" w:rsidRPr="00A31F0E" w:rsidRDefault="00440384">
      <w:pPr>
        <w:pStyle w:val="FootnoteText"/>
      </w:pPr>
      <w:r>
        <w:rPr>
          <w:rStyle w:val="FootnoteReference"/>
        </w:rPr>
        <w:footnoteRef/>
      </w:r>
      <w:r>
        <w:tab/>
        <w:t>CITE 4</w:t>
      </w:r>
    </w:p>
  </w:footnote>
  <w:footnote w:id="24">
    <w:p w:rsidR="00440384" w:rsidRPr="00A31F0E" w:rsidRDefault="00440384">
      <w:pPr>
        <w:pStyle w:val="FootnoteText"/>
      </w:pPr>
      <w:r>
        <w:rPr>
          <w:rStyle w:val="FootnoteReference"/>
        </w:rPr>
        <w:footnoteRef/>
      </w:r>
      <w:r>
        <w:tab/>
        <w:t>CITE 5-8</w:t>
      </w:r>
    </w:p>
  </w:footnote>
  <w:footnote w:id="25">
    <w:p w:rsidR="00717FE5" w:rsidRPr="00717FE5" w:rsidRDefault="00717FE5">
      <w:pPr>
        <w:pStyle w:val="FootnoteText"/>
      </w:pPr>
      <w:r>
        <w:rPr>
          <w:rStyle w:val="FootnoteReference"/>
        </w:rPr>
        <w:footnoteRef/>
      </w:r>
      <w:r>
        <w:tab/>
        <w:t xml:space="preserve">18 meses se for realizado um ensaio à escala real. </w:t>
      </w:r>
    </w:p>
  </w:footnote>
  <w:footnote w:id="26">
    <w:p w:rsidR="00613A0B" w:rsidRPr="00A016EE" w:rsidRDefault="00613A0B">
      <w:pPr>
        <w:pStyle w:val="FootnoteText"/>
        <w:rPr>
          <w:lang w:val="en-IE"/>
        </w:rPr>
      </w:pPr>
      <w:r>
        <w:rPr>
          <w:rStyle w:val="FootnoteReference"/>
        </w:rPr>
        <w:footnoteRef/>
      </w:r>
      <w:r w:rsidRPr="00A016EE">
        <w:rPr>
          <w:lang w:val="en-IE"/>
        </w:rPr>
        <w:tab/>
        <w:t>COM(2021) 212.</w:t>
      </w:r>
    </w:p>
  </w:footnote>
  <w:footnote w:id="27">
    <w:p w:rsidR="008D41C8" w:rsidRPr="00A016EE" w:rsidRDefault="008D41C8">
      <w:pPr>
        <w:pStyle w:val="FootnoteText"/>
        <w:rPr>
          <w:lang w:val="en-IE"/>
        </w:rPr>
      </w:pPr>
      <w:r>
        <w:rPr>
          <w:rStyle w:val="FootnoteReference"/>
        </w:rPr>
        <w:footnoteRef/>
      </w:r>
      <w:r w:rsidRPr="00A016EE">
        <w:rPr>
          <w:lang w:val="en-IE"/>
        </w:rPr>
        <w:tab/>
        <w:t>EGF/2022/002 BE/TNT. COM(2023) 69</w:t>
      </w:r>
      <w:r w:rsidRPr="00A016EE">
        <w:rPr>
          <w:lang w:val="en-IE"/>
        </w:rPr>
        <w:tab/>
      </w:r>
      <w:r w:rsidRPr="00A016EE">
        <w:rPr>
          <w:lang w:val="en-IE"/>
        </w:rPr>
        <w:tab/>
      </w:r>
    </w:p>
  </w:footnote>
  <w:footnote w:id="28">
    <w:p w:rsidR="00440384" w:rsidRPr="00A31F0E" w:rsidRDefault="00440384">
      <w:pPr>
        <w:pStyle w:val="FootnoteText"/>
      </w:pPr>
      <w:r>
        <w:rPr>
          <w:rStyle w:val="FootnoteReference"/>
        </w:rPr>
        <w:footnoteRef/>
      </w:r>
      <w:r>
        <w:tab/>
        <w:t>A fim de evitar casas decimais, as estimativas dos custos por trabalhador foram arredondadas. Contudo, o arredondamento não tem impacto no custo total de cada medida, o qual corresponde ao que foi indicado na candidatura apresentada pela Bélgica.</w:t>
      </w:r>
    </w:p>
  </w:footnote>
  <w:footnote w:id="29">
    <w:p w:rsidR="00440384" w:rsidRPr="002060F6" w:rsidRDefault="00440384">
      <w:pPr>
        <w:pStyle w:val="FootnoteText"/>
      </w:pPr>
      <w:r>
        <w:rPr>
          <w:rStyle w:val="FootnoteReference"/>
        </w:rPr>
        <w:footnoteRef/>
      </w:r>
      <w:r>
        <w:tab/>
        <w:t>Os totais não correspondem devido a arredondamentos.</w:t>
      </w:r>
    </w:p>
  </w:footnote>
  <w:footnote w:id="30">
    <w:p w:rsidR="00440384" w:rsidRDefault="00440384" w:rsidP="00252AC6">
      <w:pPr>
        <w:pStyle w:val="FootnoteText"/>
      </w:pPr>
      <w:r>
        <w:rPr>
          <w:rStyle w:val="FootnoteReference"/>
        </w:rPr>
        <w:footnoteRef/>
      </w:r>
      <w:r>
        <w:tab/>
        <w:t>JO L 433 I de 22.12.2020, p. 11.</w:t>
      </w:r>
    </w:p>
  </w:footnote>
  <w:footnote w:id="31">
    <w:p w:rsidR="00301E61" w:rsidRPr="00A43A82" w:rsidRDefault="00301E61">
      <w:pPr>
        <w:pStyle w:val="FootnoteText"/>
      </w:pPr>
      <w:r>
        <w:rPr>
          <w:rStyle w:val="FootnoteReference"/>
        </w:rPr>
        <w:footnoteRef/>
      </w:r>
      <w:r>
        <w:tab/>
        <w:t xml:space="preserve">JO L 765 de 29.2.2024, p. 4. </w:t>
      </w:r>
    </w:p>
  </w:footnote>
  <w:footnote w:id="32">
    <w:p w:rsidR="00440384" w:rsidRDefault="00440384" w:rsidP="00252AC6">
      <w:pPr>
        <w:pStyle w:val="FootnoteText"/>
      </w:pPr>
      <w:r>
        <w:rPr>
          <w:rStyle w:val="FootnoteReference"/>
        </w:rPr>
        <w:footnoteRef/>
      </w:r>
      <w:r>
        <w:tab/>
        <w:t>JO L 433 I de 22.12.2020, p. 28.</w:t>
      </w:r>
    </w:p>
  </w:footnote>
  <w:footnote w:id="33">
    <w:p w:rsidR="00440384" w:rsidRPr="00E76684" w:rsidRDefault="00440384">
      <w:pPr>
        <w:pStyle w:val="FootnoteText"/>
      </w:pPr>
      <w:r>
        <w:rPr>
          <w:rStyle w:val="FootnoteReference"/>
        </w:rPr>
        <w:footnoteRef/>
      </w:r>
      <w:r>
        <w:tab/>
        <w:t>Regulamento (UE, Euratom) 2018/1046 do Parlamento Europeu e do Conselho, de 18 de julho de 2018, relativo às disposições financeiras aplicáveis ao orçamento geral da União, que altera os Regulamentos (UE) n.º 1296/2013, (UE) n.º 1301/2013, (UE) n.º 1303/2013, (UE) n.º 1304/2013, (UE) n.º 1309/2013, (UE) n.º 1316/2013, (UE) n.º 223/2014 e (UE) n.º 283/2014, e a Decisão n.º 541/2014/UE, e revoga o Regulamento (UE, Euratom) n.º 966/2012 (JO L 193 de 30.7.2018, p. 1).</w:t>
      </w:r>
    </w:p>
  </w:footnote>
  <w:footnote w:id="34">
    <w:p w:rsidR="00440384" w:rsidRDefault="00440384" w:rsidP="00252AC6">
      <w:pPr>
        <w:pStyle w:val="FootnoteText"/>
      </w:pPr>
      <w:r>
        <w:rPr>
          <w:rStyle w:val="FootnoteReference"/>
        </w:rPr>
        <w:footnoteRef/>
      </w:r>
      <w:r>
        <w:tab/>
        <w:t>JO L 153 de 3.5.2021, p. 48.</w:t>
      </w:r>
    </w:p>
  </w:footnote>
  <w:footnote w:id="35">
    <w:p w:rsidR="00440384" w:rsidRPr="00973296" w:rsidRDefault="00440384">
      <w:pPr>
        <w:pStyle w:val="FootnoteText"/>
      </w:pPr>
      <w:r>
        <w:rPr>
          <w:rStyle w:val="FootnoteReference"/>
        </w:rPr>
        <w:footnoteRef/>
      </w:r>
      <w:r>
        <w:tab/>
        <w:t>JO L 433 I de 22.12.2020, p. 28.</w:t>
      </w:r>
    </w:p>
  </w:footnote>
  <w:footnote w:id="36">
    <w:p w:rsidR="00440384" w:rsidRPr="009F7C73" w:rsidRDefault="00440384" w:rsidP="00252AC6">
      <w:pPr>
        <w:pStyle w:val="FootnoteText"/>
      </w:pPr>
      <w:r>
        <w:rPr>
          <w:rStyle w:val="FootnoteReference"/>
        </w:rPr>
        <w:footnoteRef/>
      </w:r>
      <w:r>
        <w:tab/>
        <w:t>Regulamento (UE, Euratom) 2020/2093 do Conselho, de 17 de dezembro de 2020, que estabelece o quadro financeiro plurianual para o período de 2021 a 2027 (JO L 433 I de 22.12.2020, p. 11).</w:t>
      </w:r>
    </w:p>
  </w:footnote>
  <w:footnote w:id="37">
    <w:p w:rsidR="00DE50E5" w:rsidRPr="00BB0126" w:rsidRDefault="00DE50E5" w:rsidP="00DE50E5">
      <w:pPr>
        <w:pStyle w:val="FootnoteText"/>
      </w:pPr>
      <w:r>
        <w:rPr>
          <w:rStyle w:val="FootnoteReference"/>
        </w:rPr>
        <w:footnoteRef/>
      </w:r>
      <w:r>
        <w:tab/>
        <w:t>JO L 765 de 29.2.2024, p. 4.</w:t>
      </w:r>
    </w:p>
  </w:footnote>
  <w:footnote w:id="38">
    <w:p w:rsidR="0097092E" w:rsidRPr="0097092E" w:rsidRDefault="0097092E">
      <w:pPr>
        <w:pStyle w:val="FootnoteText"/>
      </w:pPr>
      <w:r>
        <w:rPr>
          <w:rStyle w:val="FootnoteReference"/>
        </w:rPr>
        <w:footnoteRef/>
      </w:r>
      <w:r>
        <w:tab/>
        <w:t>COM(2024) 275.</w:t>
      </w:r>
    </w:p>
  </w:footnote>
  <w:footnote w:id="39">
    <w:p w:rsidR="003C1AC6" w:rsidRPr="003C1AC6" w:rsidRDefault="003C1AC6">
      <w:pPr>
        <w:pStyle w:val="FootnoteText"/>
      </w:pPr>
      <w:r>
        <w:rPr>
          <w:rStyle w:val="FootnoteReference"/>
        </w:rPr>
        <w:t>*</w:t>
      </w:r>
      <w:r>
        <w:tab/>
      </w:r>
      <w:r>
        <w:rPr>
          <w:color w:val="FF0000"/>
        </w:rPr>
        <w:t>Data a inserir pelo Parlamento antes da publicação no JO.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43" w:rsidRDefault="00257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43" w:rsidRDefault="00257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attachedTemplate r:id="rId1"/>
  <w:revisionView w:markup="0"/>
  <w:documentProtection w:edit="forms" w:enforcement="0"/>
  <w:defaultTabStop w:val="720"/>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09-13 09:55: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7957E48-3000-4FC7-934D-16B9DD46B443"/>
    <w:docVar w:name="LW_COVERPAGE_TYPE" w:val="1"/>
    <w:docVar w:name="LW_CROSSREFERENCE" w:val="&lt;UNUSED&gt;"/>
    <w:docVar w:name="LW_DocType" w:val="COM"/>
    <w:docVar w:name="LW_EMISSION" w:val="16.9.2024"/>
    <w:docVar w:name="LW_EMISSION_ISODATE" w:val="2024-09-16"/>
    <w:docVar w:name="LW_EMISSION_LOCATION" w:val="BRX"/>
    <w:docVar w:name="LW_EMISSION_PREFIX" w:val="Bruxelas, "/>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BUD"/>
    <w:docVar w:name="LW_REF.II.NEW.CP_NUMBER" w:val="0226"/>
    <w:docVar w:name="LW_REF.II.NEW.CP_YEAR" w:val="2024"/>
    <w:docVar w:name="LW_REF.INST.NEW" w:val="COM"/>
    <w:docVar w:name="LW_REF.INST.NEW_ADOPTED" w:val="final"/>
    <w:docVar w:name="LW_REF.INST.NEW_TEXT" w:val="(2024) 27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a à mobilização do Fundo Europeu de Ajustamento à Globalização a favor dos Trabalhadores Despedidos na sequência de uma candidatura da Bélgica \u8212? EGF/2024/001 BE/Match-Smatch"/>
    <w:docVar w:name="LW_TYPE.DOC.CP" w:val="DECISÃO DO PARLAMENTO EUROPEU E DO CONSELHO"/>
    <w:docVar w:name="LwApiVersions" w:val="LW4CoDe 1.24.5.0; LW 9.0, Build 20240221"/>
  </w:docVars>
  <w:rsids>
    <w:rsidRoot w:val="00252AC6"/>
    <w:rsid w:val="000066CA"/>
    <w:rsid w:val="00006E8C"/>
    <w:rsid w:val="00011051"/>
    <w:rsid w:val="0001257F"/>
    <w:rsid w:val="000171CA"/>
    <w:rsid w:val="00020052"/>
    <w:rsid w:val="00037F6F"/>
    <w:rsid w:val="000402F3"/>
    <w:rsid w:val="000438A8"/>
    <w:rsid w:val="000472AF"/>
    <w:rsid w:val="000510EB"/>
    <w:rsid w:val="00056F4C"/>
    <w:rsid w:val="00057D89"/>
    <w:rsid w:val="00067B4B"/>
    <w:rsid w:val="000706E6"/>
    <w:rsid w:val="00070D05"/>
    <w:rsid w:val="00070E8E"/>
    <w:rsid w:val="00073C68"/>
    <w:rsid w:val="00077BDB"/>
    <w:rsid w:val="00082463"/>
    <w:rsid w:val="0008396E"/>
    <w:rsid w:val="000925F4"/>
    <w:rsid w:val="00096654"/>
    <w:rsid w:val="000B1EAF"/>
    <w:rsid w:val="000C63EB"/>
    <w:rsid w:val="000C64A4"/>
    <w:rsid w:val="000D005E"/>
    <w:rsid w:val="000D0C7F"/>
    <w:rsid w:val="000D1317"/>
    <w:rsid w:val="000D6FCB"/>
    <w:rsid w:val="000E061C"/>
    <w:rsid w:val="000E0876"/>
    <w:rsid w:val="000E461A"/>
    <w:rsid w:val="000E4A97"/>
    <w:rsid w:val="000F30C9"/>
    <w:rsid w:val="00102E2A"/>
    <w:rsid w:val="0010731B"/>
    <w:rsid w:val="00112EB5"/>
    <w:rsid w:val="00125023"/>
    <w:rsid w:val="00125A99"/>
    <w:rsid w:val="00126B44"/>
    <w:rsid w:val="00134EE6"/>
    <w:rsid w:val="00136567"/>
    <w:rsid w:val="001366C1"/>
    <w:rsid w:val="00142595"/>
    <w:rsid w:val="00145384"/>
    <w:rsid w:val="001509EF"/>
    <w:rsid w:val="001535C9"/>
    <w:rsid w:val="001812CD"/>
    <w:rsid w:val="00184282"/>
    <w:rsid w:val="0018741E"/>
    <w:rsid w:val="001921C1"/>
    <w:rsid w:val="00197482"/>
    <w:rsid w:val="001A25E0"/>
    <w:rsid w:val="001A56C5"/>
    <w:rsid w:val="001B7F45"/>
    <w:rsid w:val="001C7D02"/>
    <w:rsid w:val="001D4700"/>
    <w:rsid w:val="001D5AB0"/>
    <w:rsid w:val="001E353B"/>
    <w:rsid w:val="001E3B29"/>
    <w:rsid w:val="001E7960"/>
    <w:rsid w:val="001F5323"/>
    <w:rsid w:val="002060F6"/>
    <w:rsid w:val="00224842"/>
    <w:rsid w:val="00252AC6"/>
    <w:rsid w:val="00257443"/>
    <w:rsid w:val="0026281E"/>
    <w:rsid w:val="002644F6"/>
    <w:rsid w:val="00266734"/>
    <w:rsid w:val="00266EF2"/>
    <w:rsid w:val="002703A8"/>
    <w:rsid w:val="00270F9D"/>
    <w:rsid w:val="00281459"/>
    <w:rsid w:val="00284DA4"/>
    <w:rsid w:val="00295349"/>
    <w:rsid w:val="00296C70"/>
    <w:rsid w:val="002A1B48"/>
    <w:rsid w:val="002A337D"/>
    <w:rsid w:val="002B481F"/>
    <w:rsid w:val="002B4D0B"/>
    <w:rsid w:val="002B73EC"/>
    <w:rsid w:val="002C0C3E"/>
    <w:rsid w:val="002C51B9"/>
    <w:rsid w:val="002E17C8"/>
    <w:rsid w:val="002E476B"/>
    <w:rsid w:val="002F4D4D"/>
    <w:rsid w:val="002F548F"/>
    <w:rsid w:val="002F62E6"/>
    <w:rsid w:val="002F7B79"/>
    <w:rsid w:val="00301E61"/>
    <w:rsid w:val="00303932"/>
    <w:rsid w:val="00316F93"/>
    <w:rsid w:val="00332432"/>
    <w:rsid w:val="00335FD0"/>
    <w:rsid w:val="003459D6"/>
    <w:rsid w:val="00346336"/>
    <w:rsid w:val="00352527"/>
    <w:rsid w:val="0035345D"/>
    <w:rsid w:val="003607E2"/>
    <w:rsid w:val="00367496"/>
    <w:rsid w:val="00367994"/>
    <w:rsid w:val="00372E03"/>
    <w:rsid w:val="003736CE"/>
    <w:rsid w:val="0038363B"/>
    <w:rsid w:val="00384805"/>
    <w:rsid w:val="00384E9F"/>
    <w:rsid w:val="00385115"/>
    <w:rsid w:val="00386E78"/>
    <w:rsid w:val="00387574"/>
    <w:rsid w:val="0039039E"/>
    <w:rsid w:val="00394EE8"/>
    <w:rsid w:val="0039736A"/>
    <w:rsid w:val="003A6ABD"/>
    <w:rsid w:val="003C1AC6"/>
    <w:rsid w:val="003C2969"/>
    <w:rsid w:val="003C7EFC"/>
    <w:rsid w:val="003D0D69"/>
    <w:rsid w:val="003D4C12"/>
    <w:rsid w:val="003D6403"/>
    <w:rsid w:val="003E3994"/>
    <w:rsid w:val="003E4E03"/>
    <w:rsid w:val="003F1545"/>
    <w:rsid w:val="00400A1E"/>
    <w:rsid w:val="00413611"/>
    <w:rsid w:val="004219BC"/>
    <w:rsid w:val="00427205"/>
    <w:rsid w:val="00434B1C"/>
    <w:rsid w:val="00436F16"/>
    <w:rsid w:val="00440384"/>
    <w:rsid w:val="00441C9E"/>
    <w:rsid w:val="00451F84"/>
    <w:rsid w:val="00453094"/>
    <w:rsid w:val="004545BE"/>
    <w:rsid w:val="00454DE2"/>
    <w:rsid w:val="00456F51"/>
    <w:rsid w:val="00460CAB"/>
    <w:rsid w:val="00482329"/>
    <w:rsid w:val="004830C1"/>
    <w:rsid w:val="004861DA"/>
    <w:rsid w:val="004960B2"/>
    <w:rsid w:val="004A0D82"/>
    <w:rsid w:val="004B193D"/>
    <w:rsid w:val="004B2CF6"/>
    <w:rsid w:val="004B7137"/>
    <w:rsid w:val="004C0989"/>
    <w:rsid w:val="004D0CA9"/>
    <w:rsid w:val="004D4359"/>
    <w:rsid w:val="004D7E25"/>
    <w:rsid w:val="004E2487"/>
    <w:rsid w:val="004F07A5"/>
    <w:rsid w:val="005013C0"/>
    <w:rsid w:val="00502763"/>
    <w:rsid w:val="00504633"/>
    <w:rsid w:val="00506C72"/>
    <w:rsid w:val="00510966"/>
    <w:rsid w:val="00511891"/>
    <w:rsid w:val="00511F57"/>
    <w:rsid w:val="00513C7E"/>
    <w:rsid w:val="00517C37"/>
    <w:rsid w:val="00532CC9"/>
    <w:rsid w:val="005364ED"/>
    <w:rsid w:val="00537099"/>
    <w:rsid w:val="00537682"/>
    <w:rsid w:val="005438CD"/>
    <w:rsid w:val="0054531D"/>
    <w:rsid w:val="005508D4"/>
    <w:rsid w:val="005526C6"/>
    <w:rsid w:val="0055343F"/>
    <w:rsid w:val="0055545C"/>
    <w:rsid w:val="0056136C"/>
    <w:rsid w:val="00570056"/>
    <w:rsid w:val="00570E40"/>
    <w:rsid w:val="00571FD0"/>
    <w:rsid w:val="00582067"/>
    <w:rsid w:val="005874F7"/>
    <w:rsid w:val="005907AE"/>
    <w:rsid w:val="005917E9"/>
    <w:rsid w:val="00596F33"/>
    <w:rsid w:val="00597B96"/>
    <w:rsid w:val="005A5843"/>
    <w:rsid w:val="005A7BD5"/>
    <w:rsid w:val="005A7C9D"/>
    <w:rsid w:val="005C2354"/>
    <w:rsid w:val="005C2CA5"/>
    <w:rsid w:val="005C364A"/>
    <w:rsid w:val="005D57B7"/>
    <w:rsid w:val="005D7338"/>
    <w:rsid w:val="005D7EC5"/>
    <w:rsid w:val="005E1B21"/>
    <w:rsid w:val="005E38AF"/>
    <w:rsid w:val="005E7A0C"/>
    <w:rsid w:val="005F0673"/>
    <w:rsid w:val="00601B62"/>
    <w:rsid w:val="00604BFF"/>
    <w:rsid w:val="00605110"/>
    <w:rsid w:val="00607321"/>
    <w:rsid w:val="00613A0B"/>
    <w:rsid w:val="006203F2"/>
    <w:rsid w:val="006271C7"/>
    <w:rsid w:val="0063277E"/>
    <w:rsid w:val="00640DB0"/>
    <w:rsid w:val="00675985"/>
    <w:rsid w:val="00676AC9"/>
    <w:rsid w:val="00683D73"/>
    <w:rsid w:val="006845C3"/>
    <w:rsid w:val="006A49CB"/>
    <w:rsid w:val="006B3709"/>
    <w:rsid w:val="006C2060"/>
    <w:rsid w:val="006D0A1A"/>
    <w:rsid w:val="006E0ACC"/>
    <w:rsid w:val="006E2FBA"/>
    <w:rsid w:val="006E793E"/>
    <w:rsid w:val="006F2B86"/>
    <w:rsid w:val="006F75D8"/>
    <w:rsid w:val="007039B7"/>
    <w:rsid w:val="00703A76"/>
    <w:rsid w:val="0071093F"/>
    <w:rsid w:val="00710AB0"/>
    <w:rsid w:val="007152E9"/>
    <w:rsid w:val="00715F80"/>
    <w:rsid w:val="00717407"/>
    <w:rsid w:val="00717FE5"/>
    <w:rsid w:val="007244BC"/>
    <w:rsid w:val="00727100"/>
    <w:rsid w:val="00730D6A"/>
    <w:rsid w:val="00733000"/>
    <w:rsid w:val="0074376F"/>
    <w:rsid w:val="00744A06"/>
    <w:rsid w:val="0075392B"/>
    <w:rsid w:val="00754065"/>
    <w:rsid w:val="00754075"/>
    <w:rsid w:val="00754B53"/>
    <w:rsid w:val="00755E62"/>
    <w:rsid w:val="007716D4"/>
    <w:rsid w:val="0077197F"/>
    <w:rsid w:val="00771E89"/>
    <w:rsid w:val="00772C02"/>
    <w:rsid w:val="00774F5C"/>
    <w:rsid w:val="00775C7F"/>
    <w:rsid w:val="00780384"/>
    <w:rsid w:val="0078515E"/>
    <w:rsid w:val="007923A7"/>
    <w:rsid w:val="0079619E"/>
    <w:rsid w:val="007B3192"/>
    <w:rsid w:val="007C346E"/>
    <w:rsid w:val="007C4649"/>
    <w:rsid w:val="007D0A0E"/>
    <w:rsid w:val="007D178B"/>
    <w:rsid w:val="007D38CD"/>
    <w:rsid w:val="007E107D"/>
    <w:rsid w:val="007E5A41"/>
    <w:rsid w:val="007E5A76"/>
    <w:rsid w:val="007F177C"/>
    <w:rsid w:val="007F3271"/>
    <w:rsid w:val="007F59AB"/>
    <w:rsid w:val="00800AF6"/>
    <w:rsid w:val="00805CF8"/>
    <w:rsid w:val="00812C24"/>
    <w:rsid w:val="00820AD0"/>
    <w:rsid w:val="008238DD"/>
    <w:rsid w:val="00824671"/>
    <w:rsid w:val="008260B7"/>
    <w:rsid w:val="00827942"/>
    <w:rsid w:val="00830AA3"/>
    <w:rsid w:val="008516EA"/>
    <w:rsid w:val="00856A5A"/>
    <w:rsid w:val="0085780D"/>
    <w:rsid w:val="008672FE"/>
    <w:rsid w:val="008675A2"/>
    <w:rsid w:val="00872D5A"/>
    <w:rsid w:val="00877878"/>
    <w:rsid w:val="00886F23"/>
    <w:rsid w:val="008960FA"/>
    <w:rsid w:val="0089670E"/>
    <w:rsid w:val="008A0068"/>
    <w:rsid w:val="008A7BAA"/>
    <w:rsid w:val="008B5BC0"/>
    <w:rsid w:val="008C3DFF"/>
    <w:rsid w:val="008D41C8"/>
    <w:rsid w:val="008E40F9"/>
    <w:rsid w:val="008E4808"/>
    <w:rsid w:val="008E5881"/>
    <w:rsid w:val="008E5E59"/>
    <w:rsid w:val="008E6F7B"/>
    <w:rsid w:val="008F0E6D"/>
    <w:rsid w:val="009039A4"/>
    <w:rsid w:val="009139A7"/>
    <w:rsid w:val="00923CDE"/>
    <w:rsid w:val="00930A7F"/>
    <w:rsid w:val="00930B53"/>
    <w:rsid w:val="009339C7"/>
    <w:rsid w:val="00934FF5"/>
    <w:rsid w:val="00942E1E"/>
    <w:rsid w:val="00953263"/>
    <w:rsid w:val="00954359"/>
    <w:rsid w:val="00956F9D"/>
    <w:rsid w:val="009610D2"/>
    <w:rsid w:val="0096450A"/>
    <w:rsid w:val="0097092E"/>
    <w:rsid w:val="00973290"/>
    <w:rsid w:val="00973296"/>
    <w:rsid w:val="009733A7"/>
    <w:rsid w:val="00973FFF"/>
    <w:rsid w:val="00982C7F"/>
    <w:rsid w:val="00983904"/>
    <w:rsid w:val="0098522C"/>
    <w:rsid w:val="00990036"/>
    <w:rsid w:val="009931C9"/>
    <w:rsid w:val="009961C7"/>
    <w:rsid w:val="00997428"/>
    <w:rsid w:val="009C5E9F"/>
    <w:rsid w:val="009D0554"/>
    <w:rsid w:val="009D6A3D"/>
    <w:rsid w:val="009F3686"/>
    <w:rsid w:val="009F55D5"/>
    <w:rsid w:val="00A0108B"/>
    <w:rsid w:val="00A016EE"/>
    <w:rsid w:val="00A115E6"/>
    <w:rsid w:val="00A164F2"/>
    <w:rsid w:val="00A31F0E"/>
    <w:rsid w:val="00A43A82"/>
    <w:rsid w:val="00A515C9"/>
    <w:rsid w:val="00A54DB0"/>
    <w:rsid w:val="00A555F7"/>
    <w:rsid w:val="00A56F9D"/>
    <w:rsid w:val="00A60360"/>
    <w:rsid w:val="00A77488"/>
    <w:rsid w:val="00A77E9F"/>
    <w:rsid w:val="00A82F6E"/>
    <w:rsid w:val="00A91556"/>
    <w:rsid w:val="00A96B55"/>
    <w:rsid w:val="00A96CA6"/>
    <w:rsid w:val="00AA44A5"/>
    <w:rsid w:val="00AA6AA1"/>
    <w:rsid w:val="00AB691F"/>
    <w:rsid w:val="00AC0761"/>
    <w:rsid w:val="00AD120E"/>
    <w:rsid w:val="00AD571F"/>
    <w:rsid w:val="00AE1620"/>
    <w:rsid w:val="00AE76F3"/>
    <w:rsid w:val="00AF17EF"/>
    <w:rsid w:val="00AF3638"/>
    <w:rsid w:val="00B0059D"/>
    <w:rsid w:val="00B01214"/>
    <w:rsid w:val="00B05929"/>
    <w:rsid w:val="00B10386"/>
    <w:rsid w:val="00B108EF"/>
    <w:rsid w:val="00B179E6"/>
    <w:rsid w:val="00B217E3"/>
    <w:rsid w:val="00B24BEA"/>
    <w:rsid w:val="00B2710F"/>
    <w:rsid w:val="00B43DF2"/>
    <w:rsid w:val="00B46294"/>
    <w:rsid w:val="00B50955"/>
    <w:rsid w:val="00B5183B"/>
    <w:rsid w:val="00B57C41"/>
    <w:rsid w:val="00B619F9"/>
    <w:rsid w:val="00B62966"/>
    <w:rsid w:val="00B63126"/>
    <w:rsid w:val="00B64D66"/>
    <w:rsid w:val="00B6657B"/>
    <w:rsid w:val="00B70829"/>
    <w:rsid w:val="00B80404"/>
    <w:rsid w:val="00B82A15"/>
    <w:rsid w:val="00BA0D4D"/>
    <w:rsid w:val="00BB0126"/>
    <w:rsid w:val="00BB0146"/>
    <w:rsid w:val="00BB344B"/>
    <w:rsid w:val="00BB3AEC"/>
    <w:rsid w:val="00BB42D9"/>
    <w:rsid w:val="00BC55F7"/>
    <w:rsid w:val="00BC65F3"/>
    <w:rsid w:val="00BC692C"/>
    <w:rsid w:val="00BD1C02"/>
    <w:rsid w:val="00BD3524"/>
    <w:rsid w:val="00BD3840"/>
    <w:rsid w:val="00BE3A22"/>
    <w:rsid w:val="00C10A0D"/>
    <w:rsid w:val="00C174FA"/>
    <w:rsid w:val="00C267A9"/>
    <w:rsid w:val="00C26BAF"/>
    <w:rsid w:val="00C36E0D"/>
    <w:rsid w:val="00C370E1"/>
    <w:rsid w:val="00C3711A"/>
    <w:rsid w:val="00C438CA"/>
    <w:rsid w:val="00C4651E"/>
    <w:rsid w:val="00C5115A"/>
    <w:rsid w:val="00C5278F"/>
    <w:rsid w:val="00C57490"/>
    <w:rsid w:val="00C64C62"/>
    <w:rsid w:val="00C65AB3"/>
    <w:rsid w:val="00C71DD8"/>
    <w:rsid w:val="00C73327"/>
    <w:rsid w:val="00C812FC"/>
    <w:rsid w:val="00C8476A"/>
    <w:rsid w:val="00C861EB"/>
    <w:rsid w:val="00C87F01"/>
    <w:rsid w:val="00C92759"/>
    <w:rsid w:val="00C94123"/>
    <w:rsid w:val="00C946EF"/>
    <w:rsid w:val="00C96520"/>
    <w:rsid w:val="00CB6793"/>
    <w:rsid w:val="00CC2F97"/>
    <w:rsid w:val="00CC3C30"/>
    <w:rsid w:val="00CC51E3"/>
    <w:rsid w:val="00CD0B29"/>
    <w:rsid w:val="00CD31A0"/>
    <w:rsid w:val="00CD4A4E"/>
    <w:rsid w:val="00CD70EB"/>
    <w:rsid w:val="00CE0AF0"/>
    <w:rsid w:val="00CE3812"/>
    <w:rsid w:val="00CF531A"/>
    <w:rsid w:val="00D11675"/>
    <w:rsid w:val="00D16908"/>
    <w:rsid w:val="00D25069"/>
    <w:rsid w:val="00D36723"/>
    <w:rsid w:val="00D40096"/>
    <w:rsid w:val="00D5559A"/>
    <w:rsid w:val="00D71B77"/>
    <w:rsid w:val="00D820BE"/>
    <w:rsid w:val="00DA00E3"/>
    <w:rsid w:val="00DA0A24"/>
    <w:rsid w:val="00DA60DC"/>
    <w:rsid w:val="00DA7448"/>
    <w:rsid w:val="00DB39B6"/>
    <w:rsid w:val="00DD48D0"/>
    <w:rsid w:val="00DD74C7"/>
    <w:rsid w:val="00DE50E5"/>
    <w:rsid w:val="00DE64A3"/>
    <w:rsid w:val="00DE7FEE"/>
    <w:rsid w:val="00DF1957"/>
    <w:rsid w:val="00DF5AEA"/>
    <w:rsid w:val="00E061EC"/>
    <w:rsid w:val="00E1167F"/>
    <w:rsid w:val="00E11EAC"/>
    <w:rsid w:val="00E15271"/>
    <w:rsid w:val="00E15E2B"/>
    <w:rsid w:val="00E1631F"/>
    <w:rsid w:val="00E1756A"/>
    <w:rsid w:val="00E2235E"/>
    <w:rsid w:val="00E23A5E"/>
    <w:rsid w:val="00E26B35"/>
    <w:rsid w:val="00E4612E"/>
    <w:rsid w:val="00E53238"/>
    <w:rsid w:val="00E5392B"/>
    <w:rsid w:val="00E544E0"/>
    <w:rsid w:val="00E57CEF"/>
    <w:rsid w:val="00E673B1"/>
    <w:rsid w:val="00E76684"/>
    <w:rsid w:val="00E84E70"/>
    <w:rsid w:val="00E94A94"/>
    <w:rsid w:val="00E9660F"/>
    <w:rsid w:val="00EB3A3D"/>
    <w:rsid w:val="00EB3D4D"/>
    <w:rsid w:val="00EB5D85"/>
    <w:rsid w:val="00EC0C69"/>
    <w:rsid w:val="00EE4DD7"/>
    <w:rsid w:val="00EF380A"/>
    <w:rsid w:val="00EF6AF1"/>
    <w:rsid w:val="00F05548"/>
    <w:rsid w:val="00F060F9"/>
    <w:rsid w:val="00F10C20"/>
    <w:rsid w:val="00F241B3"/>
    <w:rsid w:val="00F24B47"/>
    <w:rsid w:val="00F25F8C"/>
    <w:rsid w:val="00F33B6E"/>
    <w:rsid w:val="00F43B03"/>
    <w:rsid w:val="00F46043"/>
    <w:rsid w:val="00F51BCD"/>
    <w:rsid w:val="00F5313C"/>
    <w:rsid w:val="00F74109"/>
    <w:rsid w:val="00F767E9"/>
    <w:rsid w:val="00F8118B"/>
    <w:rsid w:val="00F86C51"/>
    <w:rsid w:val="00F86F37"/>
    <w:rsid w:val="00F93AC5"/>
    <w:rsid w:val="00F93C61"/>
    <w:rsid w:val="00FA0572"/>
    <w:rsid w:val="00FA0755"/>
    <w:rsid w:val="00FA2F02"/>
    <w:rsid w:val="00FB3635"/>
    <w:rsid w:val="00FB3A8B"/>
    <w:rsid w:val="00FC076B"/>
    <w:rsid w:val="00FD46CB"/>
    <w:rsid w:val="00FE426A"/>
    <w:rsid w:val="00FE5B5E"/>
    <w:rsid w:val="00FF3C47"/>
    <w:rsid w:val="00FF55F7"/>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5:docId w15:val="{FD28939C-0469-4D8F-BD77-41492AA6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252AC6"/>
    <w:pPr>
      <w:numPr>
        <w:numId w:val="1"/>
      </w:numPr>
      <w:contextualSpacing/>
    </w:pPr>
  </w:style>
  <w:style w:type="paragraph" w:styleId="ListBullet2">
    <w:name w:val="List Bullet 2"/>
    <w:basedOn w:val="Normal"/>
    <w:uiPriority w:val="99"/>
    <w:semiHidden/>
    <w:unhideWhenUsed/>
    <w:rsid w:val="00252AC6"/>
    <w:pPr>
      <w:numPr>
        <w:numId w:val="2"/>
      </w:numPr>
      <w:contextualSpacing/>
    </w:pPr>
  </w:style>
  <w:style w:type="paragraph" w:styleId="ListBullet3">
    <w:name w:val="List Bullet 3"/>
    <w:basedOn w:val="Normal"/>
    <w:uiPriority w:val="99"/>
    <w:semiHidden/>
    <w:unhideWhenUsed/>
    <w:rsid w:val="00252AC6"/>
    <w:pPr>
      <w:numPr>
        <w:numId w:val="3"/>
      </w:numPr>
      <w:contextualSpacing/>
    </w:pPr>
  </w:style>
  <w:style w:type="paragraph" w:styleId="ListBullet4">
    <w:name w:val="List Bullet 4"/>
    <w:basedOn w:val="Normal"/>
    <w:uiPriority w:val="99"/>
    <w:semiHidden/>
    <w:unhideWhenUsed/>
    <w:rsid w:val="00252AC6"/>
    <w:pPr>
      <w:numPr>
        <w:numId w:val="4"/>
      </w:numPr>
      <w:contextualSpacing/>
    </w:pPr>
  </w:style>
  <w:style w:type="paragraph" w:styleId="BalloonText">
    <w:name w:val="Balloon Text"/>
    <w:basedOn w:val="Normal"/>
    <w:link w:val="BalloonTextChar"/>
    <w:uiPriority w:val="99"/>
    <w:semiHidden/>
    <w:unhideWhenUsed/>
    <w:rsid w:val="00252A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AC6"/>
    <w:rPr>
      <w:rFonts w:ascii="Tahoma" w:hAnsi="Tahoma" w:cs="Tahoma"/>
      <w:sz w:val="16"/>
      <w:szCs w:val="16"/>
      <w:lang w:val="pt-PT"/>
    </w:rPr>
  </w:style>
  <w:style w:type="character" w:styleId="CommentReference">
    <w:name w:val="annotation reference"/>
    <w:basedOn w:val="DefaultParagraphFont"/>
    <w:uiPriority w:val="99"/>
    <w:semiHidden/>
    <w:unhideWhenUsed/>
    <w:rsid w:val="00252AC6"/>
    <w:rPr>
      <w:sz w:val="16"/>
      <w:szCs w:val="16"/>
    </w:rPr>
  </w:style>
  <w:style w:type="paragraph" w:styleId="CommentText">
    <w:name w:val="annotation text"/>
    <w:basedOn w:val="Normal"/>
    <w:link w:val="CommentTextChar"/>
    <w:uiPriority w:val="99"/>
    <w:unhideWhenUsed/>
    <w:rsid w:val="00252AC6"/>
    <w:rPr>
      <w:sz w:val="20"/>
      <w:szCs w:val="20"/>
    </w:rPr>
  </w:style>
  <w:style w:type="character" w:customStyle="1" w:styleId="CommentTextChar">
    <w:name w:val="Comment Text Char"/>
    <w:basedOn w:val="DefaultParagraphFont"/>
    <w:link w:val="CommentText"/>
    <w:uiPriority w:val="99"/>
    <w:rsid w:val="00252AC6"/>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252AC6"/>
    <w:rPr>
      <w:b/>
      <w:bCs/>
    </w:rPr>
  </w:style>
  <w:style w:type="character" w:customStyle="1" w:styleId="CommentSubjectChar">
    <w:name w:val="Comment Subject Char"/>
    <w:basedOn w:val="CommentTextChar"/>
    <w:link w:val="CommentSubject"/>
    <w:uiPriority w:val="99"/>
    <w:semiHidden/>
    <w:rsid w:val="00252AC6"/>
    <w:rPr>
      <w:rFonts w:ascii="Times New Roman" w:hAnsi="Times New Roman" w:cs="Times New Roman"/>
      <w:b/>
      <w:bCs/>
      <w:sz w:val="20"/>
      <w:szCs w:val="20"/>
      <w:lang w:val="pt-PT"/>
    </w:rPr>
  </w:style>
  <w:style w:type="paragraph" w:styleId="Revision">
    <w:name w:val="Revision"/>
    <w:hidden/>
    <w:uiPriority w:val="99"/>
    <w:semiHidden/>
    <w:rsid w:val="00252AC6"/>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252AC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252AC6"/>
    <w:pPr>
      <w:spacing w:after="0"/>
    </w:pPr>
  </w:style>
  <w:style w:type="paragraph" w:styleId="ListNumber">
    <w:name w:val="List Number"/>
    <w:basedOn w:val="Normal"/>
    <w:uiPriority w:val="99"/>
    <w:semiHidden/>
    <w:unhideWhenUsed/>
    <w:rsid w:val="00252AC6"/>
    <w:pPr>
      <w:numPr>
        <w:numId w:val="7"/>
      </w:numPr>
      <w:contextualSpacing/>
    </w:pPr>
  </w:style>
  <w:style w:type="paragraph" w:styleId="ListNumber2">
    <w:name w:val="List Number 2"/>
    <w:basedOn w:val="Normal"/>
    <w:uiPriority w:val="99"/>
    <w:semiHidden/>
    <w:unhideWhenUsed/>
    <w:rsid w:val="00252AC6"/>
    <w:pPr>
      <w:numPr>
        <w:numId w:val="8"/>
      </w:numPr>
      <w:contextualSpacing/>
    </w:pPr>
  </w:style>
  <w:style w:type="paragraph" w:styleId="ListNumber3">
    <w:name w:val="List Number 3"/>
    <w:basedOn w:val="Normal"/>
    <w:uiPriority w:val="99"/>
    <w:semiHidden/>
    <w:unhideWhenUsed/>
    <w:rsid w:val="00252AC6"/>
    <w:pPr>
      <w:numPr>
        <w:numId w:val="9"/>
      </w:numPr>
      <w:contextualSpacing/>
    </w:pPr>
  </w:style>
  <w:style w:type="paragraph" w:styleId="ListNumber4">
    <w:name w:val="List Number 4"/>
    <w:basedOn w:val="Normal"/>
    <w:uiPriority w:val="99"/>
    <w:semiHidden/>
    <w:unhideWhenUsed/>
    <w:rsid w:val="00252AC6"/>
    <w:pPr>
      <w:numPr>
        <w:numId w:val="10"/>
      </w:numPr>
      <w:contextualSpacing/>
    </w:pPr>
  </w:style>
  <w:style w:type="character" w:styleId="Hyperlink">
    <w:name w:val="Hyperlink"/>
    <w:basedOn w:val="DefaultParagraphFont"/>
    <w:uiPriority w:val="99"/>
    <w:unhideWhenUsed/>
    <w:rsid w:val="00252AC6"/>
    <w:rPr>
      <w:color w:val="0000FF" w:themeColor="hyperlink"/>
      <w:u w:val="single"/>
    </w:rPr>
  </w:style>
  <w:style w:type="paragraph" w:customStyle="1" w:styleId="Sous-titreobjet">
    <w:name w:val="Sous-titre objet"/>
    <w:basedOn w:val="Normal"/>
    <w:rsid w:val="00252AC6"/>
    <w:pPr>
      <w:spacing w:before="0" w:after="0"/>
      <w:jc w:val="center"/>
    </w:pPr>
    <w:rPr>
      <w:b/>
    </w:rPr>
  </w:style>
  <w:style w:type="paragraph" w:customStyle="1" w:styleId="Sous-titreobjetPagedecouverture">
    <w:name w:val="Sous-titre objet (Page de couverture)"/>
    <w:basedOn w:val="Sous-titreobjet"/>
    <w:rsid w:val="00252AC6"/>
  </w:style>
  <w:style w:type="character" w:customStyle="1" w:styleId="viiyi">
    <w:name w:val="viiyi"/>
    <w:basedOn w:val="DefaultParagraphFont"/>
    <w:rsid w:val="00772C02"/>
  </w:style>
  <w:style w:type="character" w:customStyle="1" w:styleId="jlqj4b">
    <w:name w:val="jlqj4b"/>
    <w:basedOn w:val="DefaultParagraphFont"/>
    <w:rsid w:val="00772C02"/>
  </w:style>
  <w:style w:type="paragraph" w:styleId="ListParagraph">
    <w:name w:val="List Paragraph"/>
    <w:basedOn w:val="Normal"/>
    <w:uiPriority w:val="34"/>
    <w:qFormat/>
    <w:rsid w:val="004219BC"/>
    <w:pPr>
      <w:spacing w:before="0" w:after="0"/>
      <w:ind w:left="720"/>
      <w:jc w:val="left"/>
    </w:pPr>
    <w:rPr>
      <w:rFonts w:ascii="Calibri" w:hAnsi="Calibri" w:cs="Calibri"/>
      <w:sz w:val="22"/>
    </w:rPr>
  </w:style>
  <w:style w:type="character" w:customStyle="1" w:styleId="rynqvb">
    <w:name w:val="rynqvb"/>
    <w:basedOn w:val="DefaultParagraphFont"/>
    <w:rsid w:val="00F25F8C"/>
  </w:style>
  <w:style w:type="character" w:styleId="FollowedHyperlink">
    <w:name w:val="FollowedHyperlink"/>
    <w:basedOn w:val="DefaultParagraphFont"/>
    <w:uiPriority w:val="99"/>
    <w:semiHidden/>
    <w:unhideWhenUsed/>
    <w:rsid w:val="00D40096"/>
    <w:rPr>
      <w:color w:val="800080" w:themeColor="followedHyperlink"/>
      <w:u w:val="single"/>
    </w:rPr>
  </w:style>
  <w:style w:type="character" w:customStyle="1" w:styleId="UnresolvedMention">
    <w:name w:val="Unresolved Mention"/>
    <w:basedOn w:val="DefaultParagraphFont"/>
    <w:uiPriority w:val="99"/>
    <w:semiHidden/>
    <w:unhideWhenUsed/>
    <w:rsid w:val="00D25069"/>
    <w:rPr>
      <w:color w:val="605E5C"/>
      <w:shd w:val="clear" w:color="auto" w:fill="E1DFDD"/>
    </w:rPr>
  </w:style>
  <w:style w:type="character" w:customStyle="1" w:styleId="hwtze">
    <w:name w:val="hwtze"/>
    <w:basedOn w:val="DefaultParagraphFont"/>
    <w:rsid w:val="00607321"/>
  </w:style>
  <w:style w:type="character" w:customStyle="1" w:styleId="HeaderChar">
    <w:name w:val="Header Char"/>
    <w:basedOn w:val="DefaultParagraphFont"/>
    <w:link w:val="Header"/>
    <w:uiPriority w:val="99"/>
    <w:rsid w:val="00257443"/>
    <w:rPr>
      <w:rFonts w:ascii="Times New Roman" w:hAnsi="Times New Roman" w:cs="Times New Roman"/>
      <w:sz w:val="24"/>
      <w:lang w:val="pt-PT"/>
    </w:rPr>
  </w:style>
  <w:style w:type="character" w:customStyle="1" w:styleId="FooterChar">
    <w:name w:val="Footer Char"/>
    <w:basedOn w:val="DefaultParagraphFont"/>
    <w:link w:val="Footer"/>
    <w:uiPriority w:val="99"/>
    <w:rsid w:val="00257443"/>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5744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57443"/>
    <w:pPr>
      <w:spacing w:before="0"/>
      <w:jc w:val="right"/>
    </w:pPr>
    <w:rPr>
      <w:sz w:val="28"/>
    </w:rPr>
  </w:style>
  <w:style w:type="paragraph" w:customStyle="1" w:styleId="FooterSensitivity">
    <w:name w:val="Footer Sensitivity"/>
    <w:basedOn w:val="Normal"/>
    <w:rsid w:val="0025744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57443"/>
    <w:pPr>
      <w:tabs>
        <w:tab w:val="center" w:pos="4535"/>
        <w:tab w:val="right" w:pos="9071"/>
      </w:tabs>
      <w:spacing w:before="0"/>
    </w:pPr>
  </w:style>
  <w:style w:type="paragraph" w:customStyle="1" w:styleId="HeaderLandscape">
    <w:name w:val="HeaderLandscape"/>
    <w:basedOn w:val="Normal"/>
    <w:rsid w:val="00257443"/>
    <w:pPr>
      <w:tabs>
        <w:tab w:val="center" w:pos="7285"/>
        <w:tab w:val="right" w:pos="14003"/>
      </w:tabs>
      <w:spacing w:before="0"/>
    </w:pPr>
  </w:style>
  <w:style w:type="paragraph" w:styleId="Footer">
    <w:name w:val="footer"/>
    <w:basedOn w:val="Normal"/>
    <w:link w:val="FooterChar"/>
    <w:uiPriority w:val="99"/>
    <w:unhideWhenUsed/>
    <w:rsid w:val="0025744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5744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526">
      <w:bodyDiv w:val="1"/>
      <w:marLeft w:val="0"/>
      <w:marRight w:val="0"/>
      <w:marTop w:val="0"/>
      <w:marBottom w:val="0"/>
      <w:divBdr>
        <w:top w:val="none" w:sz="0" w:space="0" w:color="auto"/>
        <w:left w:val="none" w:sz="0" w:space="0" w:color="auto"/>
        <w:bottom w:val="none" w:sz="0" w:space="0" w:color="auto"/>
        <w:right w:val="none" w:sz="0" w:space="0" w:color="auto"/>
      </w:divBdr>
    </w:div>
    <w:div w:id="9895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tatbel.fgov.be/fr/themes/emploi-formation/marche-du-travail/emploi-et-chomage" TargetMode="External"/><Relationship Id="rId13" Type="http://schemas.openxmlformats.org/officeDocument/2006/relationships/hyperlink" Target="https://www.leforem.be/a-propos/reconversions-collectives.html" TargetMode="External"/><Relationship Id="rId18" Type="http://schemas.openxmlformats.org/officeDocument/2006/relationships/hyperlink" Target="https://www.leforem.be/a-propos/reconversions-collectives.html" TargetMode="External"/><Relationship Id="rId3" Type="http://schemas.openxmlformats.org/officeDocument/2006/relationships/hyperlink" Target="https://statbel.fgov.be/fr/themes/emploi-formation/marche-du-travail/emploi-et-chomage" TargetMode="External"/><Relationship Id="rId7" Type="http://schemas.openxmlformats.org/officeDocument/2006/relationships/hyperlink" Target="https://statbel.fgov.be/fr/themes/emploi-formation/marche-du-travail/emploi-et-chomage" TargetMode="External"/><Relationship Id="rId12" Type="http://schemas.openxmlformats.org/officeDocument/2006/relationships/hyperlink" Target="https://eur-lex.europa.eu/legal-content/PT/TXT/?uri=celex%3A52013DC0882" TargetMode="External"/><Relationship Id="rId17" Type="http://schemas.openxmlformats.org/officeDocument/2006/relationships/hyperlink" Target="https://www.leforem.be/a-propos/reconversions-collectives.html" TargetMode="External"/><Relationship Id="rId2" Type="http://schemas.openxmlformats.org/officeDocument/2006/relationships/hyperlink" Target="https://statbel.fgov.be/fr/themes/emploi-formation/marche-du-travail/emploi-et-chomage" TargetMode="External"/><Relationship Id="rId16" Type="http://schemas.openxmlformats.org/officeDocument/2006/relationships/hyperlink" Target="https://www.leforem.be/a-propos/reconversions-collectives.html" TargetMode="External"/><Relationship Id="rId1" Type="http://schemas.openxmlformats.org/officeDocument/2006/relationships/hyperlink" Target="https://memorandum.comeos.be/" TargetMode="External"/><Relationship Id="rId6" Type="http://schemas.openxmlformats.org/officeDocument/2006/relationships/hyperlink" Target="https://ec.europa.eu/eurostat/statistics-explained/index.php?title=EU_labour_market_-_quarterly_statistics" TargetMode="External"/><Relationship Id="rId11" Type="http://schemas.openxmlformats.org/officeDocument/2006/relationships/hyperlink" Target="https://statbel.fgov.be/fr/themes/emploi-formation/marche-du-travail/emploi-et-chomage" TargetMode="External"/><Relationship Id="rId5" Type="http://schemas.openxmlformats.org/officeDocument/2006/relationships/hyperlink" Target="https://statbel.fgov.be/fr/themes/emploi-formation/marche-du-travail/emploi-et-chomage" TargetMode="External"/><Relationship Id="rId15" Type="http://schemas.openxmlformats.org/officeDocument/2006/relationships/hyperlink" Target="https://www.leforem.be/a-propos/reconversions-collectives.html" TargetMode="External"/><Relationship Id="rId10" Type="http://schemas.openxmlformats.org/officeDocument/2006/relationships/hyperlink" Target="https://statbel.fgov.be/fr/themes/emploi-formation/marche-du-travail/emploi-et-chomage" TargetMode="External"/><Relationship Id="rId4" Type="http://schemas.openxmlformats.org/officeDocument/2006/relationships/hyperlink" Target="https://statbel.fgov.be/fr/themes/emploi-formation/marche-du-travail/emploi-et-chomage" TargetMode="External"/><Relationship Id="rId9" Type="http://schemas.openxmlformats.org/officeDocument/2006/relationships/hyperlink" Target="https://statbel.fgov.be/fr/themes/emploi-formation/marche-du-travail/emploi-et-chomage" TargetMode="External"/><Relationship Id="rId14" Type="http://schemas.openxmlformats.org/officeDocument/2006/relationships/hyperlink" Target="https://www.leforem.be/a-propos/reconversions-collectiv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00471E0E84FDE40A394C615C9CF850C" ma:contentTypeVersion="0" ma:contentTypeDescription="Create a new document in this library." ma:contentTypeScope="" ma:versionID="ec3f874474660a385341d0a3ef868793">
  <xsd:schema xmlns:xsd="http://www.w3.org/2001/XMLSchema" xmlns:xs="http://www.w3.org/2001/XMLSchema" xmlns:p="http://schemas.microsoft.com/office/2006/metadata/properties" xmlns:ns2="http://schemas.microsoft.com/sharepoint/v3/fields" xmlns:ns3="e8bbf505-73b7-42a7-9437-c7a2be47f6a1" targetNamespace="http://schemas.microsoft.com/office/2006/metadata/properties" ma:root="true" ma:fieldsID="8000eaa638cf87e4708861a8efc484ca" ns2:_="" ns3:_="">
    <xsd:import namespace="http://schemas.microsoft.com/sharepoint/v3/fields"/>
    <xsd:import namespace="e8bbf505-73b7-42a7-9437-c7a2be47f6a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bbf505-73b7-42a7-9437-c7a2be47f6a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e8bbf505-73b7-42a7-9437-c7a2be47f6a1">EN</EC_Collab_DocumentLanguage>
    <EC_Collab_Status xmlns="e8bbf505-73b7-42a7-9437-c7a2be47f6a1">Not Started</EC_Collab_Status>
    <EC_Collab_Reference xmlns="e8bbf505-73b7-42a7-9437-c7a2be47f6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1063-5954-4263-BE23-3059D35B0A13}">
  <ds:schemaRefs>
    <ds:schemaRef ds:uri="http://schemas.microsoft.com/sharepoint/v3/contenttype/forms"/>
  </ds:schemaRefs>
</ds:datastoreItem>
</file>

<file path=customXml/itemProps2.xml><?xml version="1.0" encoding="utf-8"?>
<ds:datastoreItem xmlns:ds="http://schemas.openxmlformats.org/officeDocument/2006/customXml" ds:itemID="{8DCD2B8F-D28B-4626-BAEF-C96BF6AF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bbf505-73b7-42a7-9437-c7a2be47f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19991-B6ED-45CD-B1F2-4B56ACA9E571}">
  <ds:schemaRefs>
    <ds:schemaRef ds:uri="http://schemas.microsoft.com/office/2006/metadata/properties"/>
    <ds:schemaRef ds:uri="http://schemas.microsoft.com/office/infopath/2007/PartnerControls"/>
    <ds:schemaRef ds:uri="http://schemas.microsoft.com/sharepoint/v3/fields"/>
    <ds:schemaRef ds:uri="e8bbf505-73b7-42a7-9437-c7a2be47f6a1"/>
  </ds:schemaRefs>
</ds:datastoreItem>
</file>

<file path=customXml/itemProps4.xml><?xml version="1.0" encoding="utf-8"?>
<ds:datastoreItem xmlns:ds="http://schemas.openxmlformats.org/officeDocument/2006/customXml" ds:itemID="{CED3D951-DD80-4507-B9BA-61F1485F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37</TotalTime>
  <Pages>10</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26</cp:revision>
  <dcterms:created xsi:type="dcterms:W3CDTF">2024-08-18T16:13:00Z</dcterms:created>
  <dcterms:modified xsi:type="dcterms:W3CDTF">2024-09-13T07:55:00Z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9.0, Build 20230317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ContentTypeId">
    <vt:lpwstr>0x010100258AA79CEB83498886A3A0868112325000100471E0E84FDE40A394C615C9CF850C</vt:lpwstr>
  </property>
  <property fmtid="{D5CDD505-2E9C-101B-9397-08002B2CF9AE}" pid="11" name="MSIP_Label_6bd9ddd1-4d20-43f6-abfa-fc3c07406f94_Enabled">
    <vt:lpwstr>true</vt:lpwstr>
  </property>
  <property fmtid="{D5CDD505-2E9C-101B-9397-08002B2CF9AE}" pid="12" name="MSIP_Label_6bd9ddd1-4d20-43f6-abfa-fc3c07406f94_SetDate">
    <vt:lpwstr>2023-07-19T15:09:50Z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4044ce7e-d272-479d-8704-10b5761674c5</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