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7.svg" ContentType="image/svg+xml"/>
  <Override PartName="/word/media/image9.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1AE100" w14:textId="06CC1CE7" w:rsidR="00A428CF" w:rsidRPr="005459EB" w:rsidRDefault="00ED73CE" w:rsidP="00ED73CE">
      <w:pPr>
        <w:pStyle w:val="Pagedecouverture"/>
        <w:rPr>
          <w:noProof/>
        </w:rPr>
      </w:pPr>
      <w:bookmarkStart w:id="0" w:name="LW_BM_COVERPAGE"/>
      <w:r>
        <w:rPr>
          <w:noProof/>
        </w:rPr>
        <w:pict w14:anchorId="2F3D7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0336755-0E7F-404D-A302-728012C3E88D" style="width:455.15pt;height:311.35pt">
            <v:imagedata r:id="rId12" o:title=""/>
          </v:shape>
        </w:pict>
      </w:r>
    </w:p>
    <w:bookmarkEnd w:id="0"/>
    <w:p w14:paraId="339AB0E6" w14:textId="77777777" w:rsidR="00092BD5" w:rsidRPr="005459EB" w:rsidRDefault="00092BD5" w:rsidP="00092BD5">
      <w:pPr>
        <w:rPr>
          <w:noProof/>
        </w:rPr>
        <w:sectPr w:rsidR="00092BD5" w:rsidRPr="005459EB" w:rsidSect="00ED73CE">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5DBA30D" w14:textId="77777777" w:rsidR="00A37F3F" w:rsidRDefault="00A37F3F" w:rsidP="00CC0E62">
      <w:pPr>
        <w:pStyle w:val="Heading2"/>
        <w:numPr>
          <w:ilvl w:val="0"/>
          <w:numId w:val="0"/>
        </w:numPr>
        <w:rPr>
          <w:noProof/>
        </w:rPr>
      </w:pPr>
      <w:bookmarkStart w:id="1" w:name="_GoBack"/>
      <w:bookmarkEnd w:id="1"/>
    </w:p>
    <w:p w14:paraId="2E698A70" w14:textId="77777777" w:rsidR="00A37F3F" w:rsidRDefault="00A37F3F" w:rsidP="00CC0E62">
      <w:pPr>
        <w:pStyle w:val="Heading2"/>
        <w:numPr>
          <w:ilvl w:val="0"/>
          <w:numId w:val="0"/>
        </w:numPr>
        <w:rPr>
          <w:noProof/>
        </w:rPr>
      </w:pPr>
    </w:p>
    <w:p w14:paraId="27DC3854" w14:textId="77777777" w:rsidR="00A37F3F" w:rsidRDefault="00A37F3F" w:rsidP="00CC0E62">
      <w:pPr>
        <w:pStyle w:val="Heading2"/>
        <w:numPr>
          <w:ilvl w:val="0"/>
          <w:numId w:val="0"/>
        </w:numPr>
        <w:rPr>
          <w:noProof/>
        </w:rPr>
      </w:pPr>
    </w:p>
    <w:p w14:paraId="7665E035" w14:textId="21F0A44F" w:rsidR="00CC0E62" w:rsidRDefault="00CC0E62" w:rsidP="00CC0E62">
      <w:pPr>
        <w:pStyle w:val="Heading2"/>
        <w:numPr>
          <w:ilvl w:val="0"/>
          <w:numId w:val="0"/>
        </w:numPr>
        <w:rPr>
          <w:noProof/>
        </w:rPr>
      </w:pPr>
      <w:bookmarkStart w:id="2" w:name="_Toc179201286"/>
      <w:r>
        <w:rPr>
          <w:noProof/>
        </w:rPr>
        <w:t>Prefácio</w:t>
      </w:r>
      <w:bookmarkEnd w:id="2"/>
      <w:r>
        <w:rPr>
          <w:noProof/>
          <w:color w:val="5B9BD5" w:themeColor="accent1"/>
          <w14:textFill>
            <w14:solidFill>
              <w14:schemeClr w14:val="accent1">
                <w14:lumMod w14:val="75000"/>
                <w14:lumMod w14:val="75000"/>
                <w14:lumMod w14:val="75000"/>
              </w14:schemeClr>
            </w14:solidFill>
          </w14:textFill>
        </w:rPr>
        <w:t xml:space="preserve"> </w:t>
      </w:r>
    </w:p>
    <w:p w14:paraId="140149E2" w14:textId="1E8DA1BB" w:rsidR="006C6E0A" w:rsidRPr="007B6952" w:rsidRDefault="004E1574" w:rsidP="00FE6068">
      <w:pPr>
        <w:rPr>
          <w:noProof/>
        </w:rPr>
      </w:pPr>
      <w:r>
        <w:rPr>
          <w:noProof/>
        </w:rPr>
        <w:t>Tenho o prazer de apresentar o presente relatório, que abrange o ciclo de 2023 do instrumento de assistência técnica (IAT).  Na sua terceira recorrência, o IAT confirma ser um instrumento político bem-sucedido e com benefícios concretos para os Estados-Membros. Contudo, uma vez mais, o número de pedidos de assistência das autoridades nacionais foi consideravelmente superior ao número de pedidos que a DG REFORM pôde satisfazer.</w:t>
      </w:r>
    </w:p>
    <w:p w14:paraId="48983CED" w14:textId="61DD7720" w:rsidR="002D616C" w:rsidRDefault="00C6424F" w:rsidP="002D616C">
      <w:pPr>
        <w:rPr>
          <w:rFonts w:eastAsiaTheme="minorEastAsia"/>
          <w:noProof/>
          <w:color w:val="000000" w:themeColor="text1" w:themeShade="BF"/>
        </w:rPr>
      </w:pPr>
      <w:r>
        <w:rPr>
          <w:noProof/>
        </w:rPr>
        <w:t xml:space="preserve">Os dados apresentados no presente relatório mostram que o IAT ajuda os Estados-Membros a melhorar a sua capacidade administrativa para conceber, desenvolver e executar reformas, e contribui para alcançar um crescimento sustentável e facilitar as transições ecológica e digital. </w:t>
      </w:r>
      <w:r>
        <w:rPr>
          <w:noProof/>
          <w:color w:val="000000" w:themeColor="text1" w:themeShade="BF"/>
        </w:rPr>
        <w:t xml:space="preserve">Sem a afetação prévia de fundos com base em fatores geográficos ou temáticos, o IAT continua a ser um instrumento flexível e operado com base na procura que permite a adaptação a necessidades emergentes e a ambientes em rápida mutação.  </w:t>
      </w:r>
    </w:p>
    <w:p w14:paraId="13663A33" w14:textId="0F9A974B" w:rsidR="002D616C" w:rsidRPr="00A859F7" w:rsidRDefault="00997E01" w:rsidP="002D616C">
      <w:pPr>
        <w:rPr>
          <w:noProof/>
        </w:rPr>
      </w:pPr>
      <w:r>
        <w:rPr>
          <w:noProof/>
        </w:rPr>
        <w:t xml:space="preserve">É notável que o interesse dos Estados-Membros na participação em projetos plurinacionais tenha continuado a aumentar, com 34 projetos deste tipo ao abrigo do IAT de 2023. Os Estados-Membros demonstraram também o seu interesse em reforçar a cooperação a nível regional através de 10 projetos multirregionais. De igual modo, verificou-se uma forte aceitação pelos Estados-Membros dos 12 projetos emblemáticos de assistência técnica, selecionados com base nas necessidades dos Estados-Membros e ligados às principais prioridades da UE. </w:t>
      </w:r>
    </w:p>
    <w:p w14:paraId="685FEC56" w14:textId="0E626864" w:rsidR="002D616C" w:rsidRPr="007B6952" w:rsidRDefault="002D616C" w:rsidP="002D616C">
      <w:pPr>
        <w:rPr>
          <w:noProof/>
        </w:rPr>
      </w:pPr>
      <w:r>
        <w:rPr>
          <w:noProof/>
          <w:color w:val="000000" w:themeColor="text1" w:themeShade="BF"/>
        </w:rPr>
        <w:t>Em 2023, a maioria das reformas apoiadas pelo IAT prendeu-se com a execução dos planos nacionais de recuperação e resiliência.</w:t>
      </w:r>
      <w:r>
        <w:rPr>
          <w:noProof/>
        </w:rPr>
        <w:t xml:space="preserve"> Além disso, no contexto da prioridade política da Comissão de acelerar o processo de integração e adesão, o IAT estendeu-se para além das fronteiras da UE e lançou um projeto-piloto com os países do alargamento na qualidade de observadores de projetos selecionados de assistência técnica. </w:t>
      </w:r>
    </w:p>
    <w:p w14:paraId="689C6D0A" w14:textId="5F1FE106" w:rsidR="00A935D2" w:rsidRPr="007B6952" w:rsidRDefault="00217C89" w:rsidP="00F746DF">
      <w:pPr>
        <w:rPr>
          <w:noProof/>
        </w:rPr>
      </w:pPr>
      <w:r>
        <w:rPr>
          <w:noProof/>
        </w:rPr>
        <w:t xml:space="preserve">Outro marco importante em 2023 foi a adoção da comunicação intitulada </w:t>
      </w:r>
      <w:hyperlink r:id="rId19" w:history="1">
        <w:r>
          <w:rPr>
            <w:rStyle w:val="Hyperlink"/>
            <w:noProof/>
            <w:color w:val="034990" w:themeColor="hyperlink" w:themeShade="BF"/>
            <w14:textFill>
              <w14:solidFill>
                <w14:schemeClr w14:val="hlink">
                  <w14:lumMod w14:val="75000"/>
                  <w14:lumMod w14:val="75000"/>
                </w14:schemeClr>
              </w14:solidFill>
            </w14:textFill>
          </w:rPr>
          <w:t>Reforçar o espaço administrativo europeu (ComPAct)</w:t>
        </w:r>
      </w:hyperlink>
      <w:r>
        <w:rPr>
          <w:noProof/>
        </w:rPr>
        <w:t xml:space="preserve">, que propunha ações concretas para ajudar as administrações públicas a satisfazer as necessidades das pessoas e das empresas em toda a Europa. Associada ao ComPAct, foi igualmente lançada em 2023, enquanto projeto emblemático do IAT, a iniciativa Cooperação e intercâmbios entre as administrações públicas (PACE). Esta iniciativa visa promover a aprendizagem entre pares e o intercâmbio de boas práticas entre funcionários públicos de diferentes Estados-Membros, a fim de reforçar a capacidade administrativa e as competências de elaboração e execução de políticas. A iniciativa PACE registou uma adesão significativa, com a participação de mais de 300 funcionários públicos em 70 intercâmbios entre os Estados-Membros. </w:t>
      </w:r>
    </w:p>
    <w:p w14:paraId="15B0A3B9" w14:textId="29819319" w:rsidR="001B4567" w:rsidRPr="007B6952" w:rsidRDefault="00425679" w:rsidP="00FE6068">
      <w:pPr>
        <w:rPr>
          <w:noProof/>
        </w:rPr>
      </w:pPr>
      <w:r>
        <w:rPr>
          <w:noProof/>
        </w:rPr>
        <w:t xml:space="preserve">Com o presente relatório, a Comissão salienta igualmente o contributo significativo do IAT para a competitividade, uma das prioridades principais da UE. Esta síntese do apoio prestado pelo IAT aos Estados-Membros, em 2023, em matéria de competitividade articula-se em torno dos nove vetores da competitividade identificados na </w:t>
      </w:r>
      <w:hyperlink r:id="rId20" w:history="1">
        <w:r>
          <w:rPr>
            <w:rStyle w:val="Hyperlink"/>
            <w:noProof/>
            <w:color w:val="034990" w:themeColor="hyperlink" w:themeShade="BF"/>
            <w14:textFill>
              <w14:solidFill>
                <w14:schemeClr w14:val="hlink">
                  <w14:lumMod w14:val="75000"/>
                  <w14:lumMod w14:val="75000"/>
                </w14:schemeClr>
              </w14:solidFill>
            </w14:textFill>
          </w:rPr>
          <w:t>Comunicação intitulada «30 anos de mercado único»</w:t>
        </w:r>
      </w:hyperlink>
      <w:r>
        <w:rPr>
          <w:noProof/>
        </w:rPr>
        <w:t xml:space="preserve"> e no </w:t>
      </w:r>
      <w:hyperlink r:id="rId21" w:history="1">
        <w:r>
          <w:rPr>
            <w:rStyle w:val="Hyperlink"/>
            <w:noProof/>
            <w:color w:val="034990" w:themeColor="hyperlink" w:themeShade="BF"/>
            <w14:textFill>
              <w14:solidFill>
                <w14:schemeClr w14:val="hlink">
                  <w14:lumMod w14:val="75000"/>
                  <w14:lumMod w14:val="75000"/>
                </w14:schemeClr>
              </w14:solidFill>
            </w14:textFill>
          </w:rPr>
          <w:t>Relatório anual de 2024 do mercado único e da competitividade</w:t>
        </w:r>
      </w:hyperlink>
      <w:r>
        <w:rPr>
          <w:rStyle w:val="Hyperlink"/>
          <w:noProof/>
          <w:color w:val="034990" w:themeColor="hyperlink" w:themeShade="BF"/>
          <w14:textFill>
            <w14:solidFill>
              <w14:schemeClr w14:val="hlink">
                <w14:lumMod w14:val="75000"/>
                <w14:lumMod w14:val="75000"/>
              </w14:schemeClr>
            </w14:solidFill>
          </w14:textFill>
        </w:rPr>
        <w:t>.</w:t>
      </w:r>
      <w:r>
        <w:rPr>
          <w:noProof/>
        </w:rPr>
        <w:t xml:space="preserve"> O relatório apresenta casos concretos em que o IAT ajudou as empresas europeias a impulsionar as economias dos Estados-Membros com a criação de emprego, coesão, inovação e prosperidade. </w:t>
      </w:r>
    </w:p>
    <w:p w14:paraId="774531EC" w14:textId="38C28147" w:rsidR="00FE6068" w:rsidRDefault="00FE6068" w:rsidP="00C22B0D">
      <w:pPr>
        <w:spacing w:after="320"/>
        <w:rPr>
          <w:noProof/>
        </w:rPr>
      </w:pPr>
      <w:r>
        <w:rPr>
          <w:noProof/>
        </w:rPr>
        <w:t>Estou confiante de que o IAT continuará a apoiar a conceção e a execução de reformas em consonância com as principais políticas e prioridades da UE, a dar resposta aos desafios nacionais e transnacionais e, com isso, a ter um impacto claramente positivo à escala da UE nos próximos anos.</w:t>
      </w:r>
    </w:p>
    <w:p w14:paraId="4A29120A" w14:textId="526B0AE6" w:rsidR="00A37F3F" w:rsidRPr="007B6952" w:rsidRDefault="00A37F3F" w:rsidP="004A413E">
      <w:pPr>
        <w:spacing w:after="320"/>
        <w:jc w:val="left"/>
        <w:rPr>
          <w:noProof/>
        </w:rPr>
      </w:pPr>
      <w:r>
        <w:rPr>
          <w:noProof/>
          <w:lang w:val="en-GB" w:eastAsia="en-GB"/>
        </w:rPr>
        <w:drawing>
          <wp:inline distT="0" distB="0" distL="0" distR="0" wp14:anchorId="3E1A32A3" wp14:editId="712C7AAC">
            <wp:extent cx="2486025" cy="1666875"/>
            <wp:effectExtent l="0" t="0" r="9525" b="9525"/>
            <wp:docPr id="1752090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86025" cy="1666875"/>
                    </a:xfrm>
                    <a:prstGeom prst="rect">
                      <a:avLst/>
                    </a:prstGeom>
                    <a:noFill/>
                    <a:ln>
                      <a:noFill/>
                    </a:ln>
                  </pic:spPr>
                </pic:pic>
              </a:graphicData>
            </a:graphic>
          </wp:inline>
        </w:drawing>
      </w:r>
    </w:p>
    <w:p w14:paraId="6FE94F59" w14:textId="6AF4DF8D" w:rsidR="00FE6068" w:rsidRPr="007B6952" w:rsidRDefault="00ED6467" w:rsidP="00C22B0D">
      <w:pPr>
        <w:spacing w:after="0"/>
        <w:rPr>
          <w:noProof/>
        </w:rPr>
      </w:pPr>
      <w:r>
        <w:rPr>
          <w:noProof/>
        </w:rPr>
        <w:t>Judit RÓZSA</w:t>
      </w:r>
    </w:p>
    <w:p w14:paraId="14D0A96D" w14:textId="4ED7BAD1" w:rsidR="00ED6467" w:rsidRPr="007B6952" w:rsidRDefault="00ED6467" w:rsidP="00FE6068">
      <w:pPr>
        <w:jc w:val="left"/>
        <w:rPr>
          <w:noProof/>
        </w:rPr>
      </w:pPr>
      <w:r>
        <w:rPr>
          <w:noProof/>
        </w:rPr>
        <w:t>Diretora-Geral em exercício da DG REFORM</w:t>
      </w:r>
    </w:p>
    <w:p w14:paraId="7BB1D2ED" w14:textId="61D2A772" w:rsidR="001D773F" w:rsidRPr="006274EE" w:rsidRDefault="001D773F" w:rsidP="001D773F">
      <w:pPr>
        <w:rPr>
          <w:rFonts w:cs="Times New Roman"/>
          <w:noProof/>
        </w:rPr>
      </w:pPr>
    </w:p>
    <w:p w14:paraId="473E8C9A" w14:textId="77777777" w:rsidR="00FB718E" w:rsidRPr="006274EE" w:rsidRDefault="00FB718E" w:rsidP="001D773F">
      <w:pPr>
        <w:rPr>
          <w:rFonts w:cs="Times New Roman"/>
          <w:noProof/>
        </w:rPr>
      </w:pPr>
    </w:p>
    <w:p w14:paraId="161D2A4E" w14:textId="098D120D" w:rsidR="004D7D5C" w:rsidRPr="006274EE" w:rsidRDefault="004D7D5C" w:rsidP="006740EE">
      <w:pPr>
        <w:rPr>
          <w:i/>
          <w:iCs/>
          <w:noProof/>
        </w:rPr>
      </w:pPr>
    </w:p>
    <w:p w14:paraId="02501EE9" w14:textId="77777777" w:rsidR="004D7D5C" w:rsidRPr="006274EE" w:rsidRDefault="004D7D5C" w:rsidP="00FB718E">
      <w:pPr>
        <w:rPr>
          <w:noProof/>
        </w:rPr>
      </w:pPr>
    </w:p>
    <w:p w14:paraId="2DC01DFB" w14:textId="77777777" w:rsidR="00FB718E" w:rsidRPr="006274EE" w:rsidRDefault="00FB718E" w:rsidP="001D773F">
      <w:pPr>
        <w:rPr>
          <w:rFonts w:cs="Times New Roman"/>
          <w:noProof/>
        </w:rPr>
      </w:pPr>
    </w:p>
    <w:p w14:paraId="33D7EB35" w14:textId="77777777" w:rsidR="000248CD" w:rsidRPr="00ED6467" w:rsidRDefault="000248CD">
      <w:pPr>
        <w:jc w:val="left"/>
        <w:rPr>
          <w:rFonts w:ascii="Times New Roman" w:hAnsi="Times New Roman" w:cs="Times New Roman"/>
          <w:noProof/>
        </w:rPr>
      </w:pPr>
      <w:r>
        <w:rPr>
          <w:noProof/>
        </w:rPr>
        <w:br w:type="page"/>
      </w:r>
    </w:p>
    <w:p w14:paraId="0044BEC4" w14:textId="77777777" w:rsidR="00071209" w:rsidRPr="006274EE" w:rsidRDefault="00071209" w:rsidP="00CA1528">
      <w:pPr>
        <w:rPr>
          <w:rFonts w:ascii="Times New Roman" w:hAnsi="Times New Roman" w:cs="Times New Roman"/>
          <w:noProof/>
        </w:rPr>
      </w:pPr>
    </w:p>
    <w:sdt>
      <w:sdtPr>
        <w:rPr>
          <w:rFonts w:eastAsiaTheme="minorHAnsi" w:cstheme="minorBidi"/>
          <w:b w:val="0"/>
          <w:caps w:val="0"/>
          <w:noProof/>
          <w:color w:val="000000"/>
          <w:sz w:val="24"/>
          <w:szCs w:val="24"/>
          <w14:textFill>
            <w14:solidFill>
              <w14:srgbClr w14:val="000000">
                <w14:lumMod w14:val="75000"/>
              </w14:srgbClr>
            </w14:solidFill>
          </w14:textFill>
        </w:rPr>
        <w:id w:val="-1204323856"/>
        <w:docPartObj>
          <w:docPartGallery w:val="Table of Contents"/>
          <w:docPartUnique/>
        </w:docPartObj>
      </w:sdtPr>
      <w:sdtEndPr>
        <w:rPr>
          <w:bCs/>
        </w:rPr>
      </w:sdtEndPr>
      <w:sdtContent>
        <w:p w14:paraId="093E151F" w14:textId="612ED130" w:rsidR="005121D1" w:rsidRPr="005459EB" w:rsidRDefault="005121D1">
          <w:pPr>
            <w:pStyle w:val="TOCHeading"/>
            <w:rPr>
              <w:noProof/>
              <w:color w:val="2E74B5" w:themeColor="accent1" w:themeShade="BF"/>
            </w:rPr>
          </w:pPr>
          <w:r>
            <w:rPr>
              <w:noProof/>
              <w:color w:val="2E74B5" w:themeColor="accent1" w:themeShade="BF"/>
            </w:rPr>
            <w:t>Índice</w:t>
          </w:r>
        </w:p>
        <w:p w14:paraId="7DAC860B" w14:textId="65545733" w:rsidR="006274EE" w:rsidRDefault="005121D1">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r w:rsidRPr="005459EB">
            <w:rPr>
              <w:noProof/>
            </w:rPr>
            <w:fldChar w:fldCharType="begin"/>
          </w:r>
          <w:r w:rsidRPr="005459EB">
            <w:rPr>
              <w:noProof/>
            </w:rPr>
            <w:instrText xml:space="preserve"> TOC \o "1-3" \h \z \u </w:instrText>
          </w:r>
          <w:r w:rsidRPr="005459EB">
            <w:rPr>
              <w:noProof/>
            </w:rPr>
            <w:fldChar w:fldCharType="separate"/>
          </w:r>
          <w:hyperlink w:anchor="_Toc179201286" w:history="1">
            <w:r w:rsidR="006274EE" w:rsidRPr="009B1A25">
              <w:rPr>
                <w:rStyle w:val="Hyperlink"/>
                <w:noProof/>
                <w:color w:val="034990" w:themeColor="hyperlink" w:themeShade="BF"/>
                <w14:textFill>
                  <w14:solidFill>
                    <w14:schemeClr w14:val="hlink">
                      <w14:lumMod w14:val="75000"/>
                      <w14:lumMod w14:val="75000"/>
                    </w14:schemeClr>
                  </w14:solidFill>
                </w14:textFill>
              </w:rPr>
              <w:t>Prefácio</w:t>
            </w:r>
            <w:r w:rsidR="006274EE">
              <w:rPr>
                <w:noProof/>
                <w:webHidden/>
              </w:rPr>
              <w:tab/>
            </w:r>
            <w:r w:rsidR="006274EE">
              <w:rPr>
                <w:noProof/>
                <w:webHidden/>
              </w:rPr>
              <w:fldChar w:fldCharType="begin"/>
            </w:r>
            <w:r w:rsidR="006274EE">
              <w:rPr>
                <w:noProof/>
                <w:webHidden/>
              </w:rPr>
              <w:instrText xml:space="preserve"> PAGEREF _Toc179201286 \h </w:instrText>
            </w:r>
            <w:r w:rsidR="006274EE">
              <w:rPr>
                <w:noProof/>
                <w:webHidden/>
              </w:rPr>
            </w:r>
            <w:r w:rsidR="006274EE">
              <w:rPr>
                <w:noProof/>
                <w:webHidden/>
              </w:rPr>
              <w:fldChar w:fldCharType="separate"/>
            </w:r>
            <w:r w:rsidR="006274EE">
              <w:rPr>
                <w:noProof/>
                <w:webHidden/>
              </w:rPr>
              <w:t>1</w:t>
            </w:r>
            <w:r w:rsidR="006274EE">
              <w:rPr>
                <w:noProof/>
                <w:webHidden/>
              </w:rPr>
              <w:fldChar w:fldCharType="end"/>
            </w:r>
          </w:hyperlink>
        </w:p>
        <w:p w14:paraId="5E9F4E47" w14:textId="1A56EDDB" w:rsidR="006274EE" w:rsidRDefault="00ED73CE">
          <w:pPr>
            <w:pStyle w:val="TOC1"/>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87" w:history="1">
            <w:r w:rsidR="006274EE" w:rsidRPr="009B1A25">
              <w:rPr>
                <w:rStyle w:val="Hyperlink"/>
                <w:noProof/>
                <w:color w:val="034990" w:themeColor="hyperlink" w:themeShade="BF"/>
                <w14:textFill>
                  <w14:solidFill>
                    <w14:schemeClr w14:val="hlink">
                      <w14:lumMod w14:val="75000"/>
                      <w14:lumMod w14:val="75000"/>
                    </w14:schemeClr>
                  </w14:solidFill>
                </w14:textFill>
              </w:rPr>
              <w:t>Instrumento de assistência técnica</w:t>
            </w:r>
            <w:r w:rsidR="006274EE">
              <w:rPr>
                <w:noProof/>
                <w:webHidden/>
              </w:rPr>
              <w:tab/>
            </w:r>
            <w:r w:rsidR="006274EE">
              <w:rPr>
                <w:noProof/>
                <w:webHidden/>
              </w:rPr>
              <w:fldChar w:fldCharType="begin"/>
            </w:r>
            <w:r w:rsidR="006274EE">
              <w:rPr>
                <w:noProof/>
                <w:webHidden/>
              </w:rPr>
              <w:instrText xml:space="preserve"> PAGEREF _Toc179201287 \h </w:instrText>
            </w:r>
            <w:r w:rsidR="006274EE">
              <w:rPr>
                <w:noProof/>
                <w:webHidden/>
              </w:rPr>
            </w:r>
            <w:r w:rsidR="006274EE">
              <w:rPr>
                <w:noProof/>
                <w:webHidden/>
              </w:rPr>
              <w:fldChar w:fldCharType="separate"/>
            </w:r>
            <w:r w:rsidR="006274EE">
              <w:rPr>
                <w:noProof/>
                <w:webHidden/>
              </w:rPr>
              <w:t>4</w:t>
            </w:r>
            <w:r w:rsidR="006274EE">
              <w:rPr>
                <w:noProof/>
                <w:webHidden/>
              </w:rPr>
              <w:fldChar w:fldCharType="end"/>
            </w:r>
          </w:hyperlink>
        </w:p>
        <w:p w14:paraId="208AE46B" w14:textId="6A4A5AAE" w:rsidR="006274EE" w:rsidRDefault="00ED73CE">
          <w:pPr>
            <w:pStyle w:val="TOC1"/>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88" w:history="1">
            <w:r w:rsidR="006274EE" w:rsidRPr="009B1A25">
              <w:rPr>
                <w:rStyle w:val="Hyperlink"/>
                <w:noProof/>
                <w:color w:val="034990" w:themeColor="hyperlink" w:themeShade="BF"/>
                <w14:textFill>
                  <w14:solidFill>
                    <w14:schemeClr w14:val="hlink">
                      <w14:lumMod w14:val="75000"/>
                      <w14:lumMod w14:val="75000"/>
                    </w14:schemeClr>
                  </w14:solidFill>
                </w14:textFill>
              </w:rPr>
              <w:t>O IAT em 2023</w:t>
            </w:r>
            <w:r w:rsidR="006274EE">
              <w:rPr>
                <w:noProof/>
                <w:webHidden/>
              </w:rPr>
              <w:tab/>
            </w:r>
            <w:r w:rsidR="006274EE">
              <w:rPr>
                <w:noProof/>
                <w:webHidden/>
              </w:rPr>
              <w:fldChar w:fldCharType="begin"/>
            </w:r>
            <w:r w:rsidR="006274EE">
              <w:rPr>
                <w:noProof/>
                <w:webHidden/>
              </w:rPr>
              <w:instrText xml:space="preserve"> PAGEREF _Toc179201288 \h </w:instrText>
            </w:r>
            <w:r w:rsidR="006274EE">
              <w:rPr>
                <w:noProof/>
                <w:webHidden/>
              </w:rPr>
            </w:r>
            <w:r w:rsidR="006274EE">
              <w:rPr>
                <w:noProof/>
                <w:webHidden/>
              </w:rPr>
              <w:fldChar w:fldCharType="separate"/>
            </w:r>
            <w:r w:rsidR="006274EE">
              <w:rPr>
                <w:noProof/>
                <w:webHidden/>
              </w:rPr>
              <w:t>5</w:t>
            </w:r>
            <w:r w:rsidR="006274EE">
              <w:rPr>
                <w:noProof/>
                <w:webHidden/>
              </w:rPr>
              <w:fldChar w:fldCharType="end"/>
            </w:r>
          </w:hyperlink>
        </w:p>
        <w:p w14:paraId="0B69A28F" w14:textId="381384B7"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89" w:history="1">
            <w:r w:rsidR="006274EE" w:rsidRPr="009B1A25">
              <w:rPr>
                <w:rStyle w:val="Hyperlink"/>
                <w:noProof/>
                <w:color w:val="034990" w:themeColor="hyperlink" w:themeShade="BF"/>
                <w14:textFill>
                  <w14:solidFill>
                    <w14:schemeClr w14:val="hlink">
                      <w14:lumMod w14:val="75000"/>
                      <w14:lumMod w14:val="75000"/>
                    </w14:schemeClr>
                  </w14:solidFill>
                </w14:textFill>
              </w:rPr>
              <w:t>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Destaques</w:t>
            </w:r>
            <w:r w:rsidR="006274EE">
              <w:rPr>
                <w:noProof/>
                <w:webHidden/>
              </w:rPr>
              <w:tab/>
            </w:r>
            <w:r w:rsidR="006274EE">
              <w:rPr>
                <w:noProof/>
                <w:webHidden/>
              </w:rPr>
              <w:fldChar w:fldCharType="begin"/>
            </w:r>
            <w:r w:rsidR="006274EE">
              <w:rPr>
                <w:noProof/>
                <w:webHidden/>
              </w:rPr>
              <w:instrText xml:space="preserve"> PAGEREF _Toc179201289 \h </w:instrText>
            </w:r>
            <w:r w:rsidR="006274EE">
              <w:rPr>
                <w:noProof/>
                <w:webHidden/>
              </w:rPr>
            </w:r>
            <w:r w:rsidR="006274EE">
              <w:rPr>
                <w:noProof/>
                <w:webHidden/>
              </w:rPr>
              <w:fldChar w:fldCharType="separate"/>
            </w:r>
            <w:r w:rsidR="006274EE">
              <w:rPr>
                <w:noProof/>
                <w:webHidden/>
              </w:rPr>
              <w:t>5</w:t>
            </w:r>
            <w:r w:rsidR="006274EE">
              <w:rPr>
                <w:noProof/>
                <w:webHidden/>
              </w:rPr>
              <w:fldChar w:fldCharType="end"/>
            </w:r>
          </w:hyperlink>
        </w:p>
        <w:p w14:paraId="6E8DF893" w14:textId="11CFA853"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0" w:history="1">
            <w:r w:rsidR="006274EE" w:rsidRPr="009B1A25">
              <w:rPr>
                <w:rStyle w:val="Hyperlink"/>
                <w:noProof/>
                <w:color w:val="034990" w:themeColor="hyperlink" w:themeShade="BF"/>
                <w14:textFill>
                  <w14:solidFill>
                    <w14:schemeClr w14:val="hlink">
                      <w14:lumMod w14:val="75000"/>
                      <w14:lumMod w14:val="75000"/>
                    </w14:schemeClr>
                  </w14:solidFill>
                </w14:textFill>
              </w:rPr>
              <w:t>Administração pública e governação</w:t>
            </w:r>
            <w:r w:rsidR="006274EE">
              <w:rPr>
                <w:noProof/>
                <w:webHidden/>
              </w:rPr>
              <w:tab/>
            </w:r>
            <w:r w:rsidR="006274EE">
              <w:rPr>
                <w:noProof/>
                <w:webHidden/>
              </w:rPr>
              <w:fldChar w:fldCharType="begin"/>
            </w:r>
            <w:r w:rsidR="006274EE">
              <w:rPr>
                <w:noProof/>
                <w:webHidden/>
              </w:rPr>
              <w:instrText xml:space="preserve"> PAGEREF _Toc179201290 \h </w:instrText>
            </w:r>
            <w:r w:rsidR="006274EE">
              <w:rPr>
                <w:noProof/>
                <w:webHidden/>
              </w:rPr>
            </w:r>
            <w:r w:rsidR="006274EE">
              <w:rPr>
                <w:noProof/>
                <w:webHidden/>
              </w:rPr>
              <w:fldChar w:fldCharType="separate"/>
            </w:r>
            <w:r w:rsidR="006274EE">
              <w:rPr>
                <w:noProof/>
                <w:webHidden/>
              </w:rPr>
              <w:t>6</w:t>
            </w:r>
            <w:r w:rsidR="006274EE">
              <w:rPr>
                <w:noProof/>
                <w:webHidden/>
              </w:rPr>
              <w:fldChar w:fldCharType="end"/>
            </w:r>
          </w:hyperlink>
        </w:p>
        <w:p w14:paraId="57861B2F" w14:textId="3CC291A3"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1" w:history="1">
            <w:r w:rsidR="006274EE" w:rsidRPr="009B1A25">
              <w:rPr>
                <w:rStyle w:val="Hyperlink"/>
                <w:noProof/>
                <w:color w:val="034990" w:themeColor="hyperlink" w:themeShade="BF"/>
                <w14:textFill>
                  <w14:solidFill>
                    <w14:schemeClr w14:val="hlink">
                      <w14:lumMod w14:val="75000"/>
                      <w14:lumMod w14:val="75000"/>
                    </w14:schemeClr>
                  </w14:solidFill>
                </w14:textFill>
              </w:rPr>
              <w:t>II.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O ciclo de 2023 do IAT - factos e números</w:t>
            </w:r>
            <w:r w:rsidR="006274EE">
              <w:rPr>
                <w:noProof/>
                <w:webHidden/>
              </w:rPr>
              <w:tab/>
            </w:r>
            <w:r w:rsidR="006274EE">
              <w:rPr>
                <w:noProof/>
                <w:webHidden/>
              </w:rPr>
              <w:fldChar w:fldCharType="begin"/>
            </w:r>
            <w:r w:rsidR="006274EE">
              <w:rPr>
                <w:noProof/>
                <w:webHidden/>
              </w:rPr>
              <w:instrText xml:space="preserve"> PAGEREF _Toc179201291 \h </w:instrText>
            </w:r>
            <w:r w:rsidR="006274EE">
              <w:rPr>
                <w:noProof/>
                <w:webHidden/>
              </w:rPr>
            </w:r>
            <w:r w:rsidR="006274EE">
              <w:rPr>
                <w:noProof/>
                <w:webHidden/>
              </w:rPr>
              <w:fldChar w:fldCharType="separate"/>
            </w:r>
            <w:r w:rsidR="006274EE">
              <w:rPr>
                <w:noProof/>
                <w:webHidden/>
              </w:rPr>
              <w:t>7</w:t>
            </w:r>
            <w:r w:rsidR="006274EE">
              <w:rPr>
                <w:noProof/>
                <w:webHidden/>
              </w:rPr>
              <w:fldChar w:fldCharType="end"/>
            </w:r>
          </w:hyperlink>
        </w:p>
        <w:p w14:paraId="4ECDB69C" w14:textId="3F195488"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2" w:history="1">
            <w:r w:rsidR="006274EE" w:rsidRPr="009B1A25">
              <w:rPr>
                <w:rStyle w:val="Hyperlink"/>
                <w:noProof/>
                <w:color w:val="034990" w:themeColor="hyperlink" w:themeShade="BF"/>
                <w14:textFill>
                  <w14:solidFill>
                    <w14:schemeClr w14:val="hlink">
                      <w14:lumMod w14:val="75000"/>
                      <w14:lumMod w14:val="75000"/>
                    </w14:schemeClr>
                  </w14:solidFill>
                </w14:textFill>
              </w:rPr>
              <w:t>Lançamento do ciclo de 2023 do IAT</w:t>
            </w:r>
            <w:r w:rsidR="006274EE">
              <w:rPr>
                <w:noProof/>
                <w:webHidden/>
              </w:rPr>
              <w:tab/>
            </w:r>
            <w:r w:rsidR="006274EE">
              <w:rPr>
                <w:noProof/>
                <w:webHidden/>
              </w:rPr>
              <w:fldChar w:fldCharType="begin"/>
            </w:r>
            <w:r w:rsidR="006274EE">
              <w:rPr>
                <w:noProof/>
                <w:webHidden/>
              </w:rPr>
              <w:instrText xml:space="preserve"> PAGEREF _Toc179201292 \h </w:instrText>
            </w:r>
            <w:r w:rsidR="006274EE">
              <w:rPr>
                <w:noProof/>
                <w:webHidden/>
              </w:rPr>
            </w:r>
            <w:r w:rsidR="006274EE">
              <w:rPr>
                <w:noProof/>
                <w:webHidden/>
              </w:rPr>
              <w:fldChar w:fldCharType="separate"/>
            </w:r>
            <w:r w:rsidR="006274EE">
              <w:rPr>
                <w:noProof/>
                <w:webHidden/>
              </w:rPr>
              <w:t>7</w:t>
            </w:r>
            <w:r w:rsidR="006274EE">
              <w:rPr>
                <w:noProof/>
                <w:webHidden/>
              </w:rPr>
              <w:fldChar w:fldCharType="end"/>
            </w:r>
          </w:hyperlink>
        </w:p>
        <w:p w14:paraId="44E36506" w14:textId="1EE1C8A7"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3" w:history="1">
            <w:r w:rsidR="006274EE" w:rsidRPr="009B1A25">
              <w:rPr>
                <w:rStyle w:val="Hyperlink"/>
                <w:noProof/>
                <w:color w:val="034990" w:themeColor="hyperlink" w:themeShade="BF"/>
                <w14:textFill>
                  <w14:solidFill>
                    <w14:schemeClr w14:val="hlink">
                      <w14:lumMod w14:val="75000"/>
                      <w14:lumMod w14:val="75000"/>
                    </w14:schemeClr>
                  </w14:solidFill>
                </w14:textFill>
              </w:rPr>
              <w:t>Pedidos de assistência do IAT de 2023</w:t>
            </w:r>
            <w:r w:rsidR="006274EE">
              <w:rPr>
                <w:noProof/>
                <w:webHidden/>
              </w:rPr>
              <w:tab/>
            </w:r>
            <w:r w:rsidR="006274EE">
              <w:rPr>
                <w:noProof/>
                <w:webHidden/>
              </w:rPr>
              <w:fldChar w:fldCharType="begin"/>
            </w:r>
            <w:r w:rsidR="006274EE">
              <w:rPr>
                <w:noProof/>
                <w:webHidden/>
              </w:rPr>
              <w:instrText xml:space="preserve"> PAGEREF _Toc179201293 \h </w:instrText>
            </w:r>
            <w:r w:rsidR="006274EE">
              <w:rPr>
                <w:noProof/>
                <w:webHidden/>
              </w:rPr>
            </w:r>
            <w:r w:rsidR="006274EE">
              <w:rPr>
                <w:noProof/>
                <w:webHidden/>
              </w:rPr>
              <w:fldChar w:fldCharType="separate"/>
            </w:r>
            <w:r w:rsidR="006274EE">
              <w:rPr>
                <w:noProof/>
                <w:webHidden/>
              </w:rPr>
              <w:t>8</w:t>
            </w:r>
            <w:r w:rsidR="006274EE">
              <w:rPr>
                <w:noProof/>
                <w:webHidden/>
              </w:rPr>
              <w:fldChar w:fldCharType="end"/>
            </w:r>
          </w:hyperlink>
        </w:p>
        <w:p w14:paraId="62A775AA" w14:textId="09D16971"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4" w:history="1">
            <w:r w:rsidR="006274EE" w:rsidRPr="009B1A25">
              <w:rPr>
                <w:rStyle w:val="Hyperlink"/>
                <w:noProof/>
                <w:color w:val="034990" w:themeColor="hyperlink" w:themeShade="BF"/>
                <w14:textFill>
                  <w14:solidFill>
                    <w14:schemeClr w14:val="hlink">
                      <w14:lumMod w14:val="75000"/>
                      <w14:lumMod w14:val="75000"/>
                    </w14:schemeClr>
                  </w14:solidFill>
                </w14:textFill>
              </w:rPr>
              <w:t>Projetos do IAT de 2023</w:t>
            </w:r>
            <w:r w:rsidR="006274EE">
              <w:rPr>
                <w:noProof/>
                <w:webHidden/>
              </w:rPr>
              <w:tab/>
            </w:r>
            <w:r w:rsidR="006274EE">
              <w:rPr>
                <w:noProof/>
                <w:webHidden/>
              </w:rPr>
              <w:fldChar w:fldCharType="begin"/>
            </w:r>
            <w:r w:rsidR="006274EE">
              <w:rPr>
                <w:noProof/>
                <w:webHidden/>
              </w:rPr>
              <w:instrText xml:space="preserve"> PAGEREF _Toc179201294 \h </w:instrText>
            </w:r>
            <w:r w:rsidR="006274EE">
              <w:rPr>
                <w:noProof/>
                <w:webHidden/>
              </w:rPr>
            </w:r>
            <w:r w:rsidR="006274EE">
              <w:rPr>
                <w:noProof/>
                <w:webHidden/>
              </w:rPr>
              <w:fldChar w:fldCharType="separate"/>
            </w:r>
            <w:r w:rsidR="006274EE">
              <w:rPr>
                <w:noProof/>
                <w:webHidden/>
              </w:rPr>
              <w:t>10</w:t>
            </w:r>
            <w:r w:rsidR="006274EE">
              <w:rPr>
                <w:noProof/>
                <w:webHidden/>
              </w:rPr>
              <w:fldChar w:fldCharType="end"/>
            </w:r>
          </w:hyperlink>
        </w:p>
        <w:p w14:paraId="4D59D678" w14:textId="7B7EFA68"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5" w:history="1">
            <w:r w:rsidR="006274EE" w:rsidRPr="009B1A25">
              <w:rPr>
                <w:rStyle w:val="Hyperlink"/>
                <w:noProof/>
                <w:color w:val="034990" w:themeColor="hyperlink" w:themeShade="BF"/>
                <w14:textFill>
                  <w14:solidFill>
                    <w14:schemeClr w14:val="hlink">
                      <w14:lumMod w14:val="75000"/>
                      <w14:lumMod w14:val="75000"/>
                    </w14:schemeClr>
                  </w14:solidFill>
                </w14:textFill>
              </w:rPr>
              <w:t>Projetos emblemáticos</w:t>
            </w:r>
            <w:r w:rsidR="006274EE">
              <w:rPr>
                <w:noProof/>
                <w:webHidden/>
              </w:rPr>
              <w:tab/>
            </w:r>
            <w:r w:rsidR="006274EE">
              <w:rPr>
                <w:noProof/>
                <w:webHidden/>
              </w:rPr>
              <w:fldChar w:fldCharType="begin"/>
            </w:r>
            <w:r w:rsidR="006274EE">
              <w:rPr>
                <w:noProof/>
                <w:webHidden/>
              </w:rPr>
              <w:instrText xml:space="preserve"> PAGEREF _Toc179201295 \h </w:instrText>
            </w:r>
            <w:r w:rsidR="006274EE">
              <w:rPr>
                <w:noProof/>
                <w:webHidden/>
              </w:rPr>
            </w:r>
            <w:r w:rsidR="006274EE">
              <w:rPr>
                <w:noProof/>
                <w:webHidden/>
              </w:rPr>
              <w:fldChar w:fldCharType="separate"/>
            </w:r>
            <w:r w:rsidR="006274EE">
              <w:rPr>
                <w:noProof/>
                <w:webHidden/>
              </w:rPr>
              <w:t>12</w:t>
            </w:r>
            <w:r w:rsidR="006274EE">
              <w:rPr>
                <w:noProof/>
                <w:webHidden/>
              </w:rPr>
              <w:fldChar w:fldCharType="end"/>
            </w:r>
          </w:hyperlink>
        </w:p>
        <w:p w14:paraId="0A85A006" w14:textId="125CD017"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6" w:history="1">
            <w:r w:rsidR="006274EE" w:rsidRPr="009B1A25">
              <w:rPr>
                <w:rStyle w:val="Hyperlink"/>
                <w:noProof/>
                <w:color w:val="034990" w:themeColor="hyperlink" w:themeShade="BF"/>
                <w14:textFill>
                  <w14:solidFill>
                    <w14:schemeClr w14:val="hlink">
                      <w14:lumMod w14:val="75000"/>
                      <w14:lumMod w14:val="75000"/>
                    </w14:schemeClr>
                  </w14:solidFill>
                </w14:textFill>
              </w:rPr>
              <w:t>Apoio aos PRR</w:t>
            </w:r>
            <w:r w:rsidR="006274EE">
              <w:rPr>
                <w:noProof/>
                <w:webHidden/>
              </w:rPr>
              <w:tab/>
            </w:r>
            <w:r w:rsidR="006274EE">
              <w:rPr>
                <w:noProof/>
                <w:webHidden/>
              </w:rPr>
              <w:fldChar w:fldCharType="begin"/>
            </w:r>
            <w:r w:rsidR="006274EE">
              <w:rPr>
                <w:noProof/>
                <w:webHidden/>
              </w:rPr>
              <w:instrText xml:space="preserve"> PAGEREF _Toc179201296 \h </w:instrText>
            </w:r>
            <w:r w:rsidR="006274EE">
              <w:rPr>
                <w:noProof/>
                <w:webHidden/>
              </w:rPr>
            </w:r>
            <w:r w:rsidR="006274EE">
              <w:rPr>
                <w:noProof/>
                <w:webHidden/>
              </w:rPr>
              <w:fldChar w:fldCharType="separate"/>
            </w:r>
            <w:r w:rsidR="006274EE">
              <w:rPr>
                <w:noProof/>
                <w:webHidden/>
              </w:rPr>
              <w:t>12</w:t>
            </w:r>
            <w:r w:rsidR="006274EE">
              <w:rPr>
                <w:noProof/>
                <w:webHidden/>
              </w:rPr>
              <w:fldChar w:fldCharType="end"/>
            </w:r>
          </w:hyperlink>
        </w:p>
        <w:p w14:paraId="4358C545" w14:textId="2CF6E5EC" w:rsidR="006274EE" w:rsidRDefault="00ED73CE">
          <w:pPr>
            <w:pStyle w:val="TOC3"/>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7" w:history="1">
            <w:r w:rsidR="006274EE" w:rsidRPr="009B1A25">
              <w:rPr>
                <w:rStyle w:val="Hyperlink"/>
                <w:noProof/>
                <w:color w:val="034990" w:themeColor="hyperlink" w:themeShade="BF"/>
                <w14:textFill>
                  <w14:solidFill>
                    <w14:schemeClr w14:val="hlink">
                      <w14:lumMod w14:val="75000"/>
                      <w14:lumMod w14:val="75000"/>
                    </w14:schemeClr>
                  </w14:solidFill>
                </w14:textFill>
              </w:rPr>
              <w:t>Projeto-piloto para os países do alargamento na qualidade de observadores</w:t>
            </w:r>
            <w:r w:rsidR="006274EE">
              <w:rPr>
                <w:noProof/>
                <w:webHidden/>
              </w:rPr>
              <w:tab/>
            </w:r>
            <w:r w:rsidR="006274EE">
              <w:rPr>
                <w:noProof/>
                <w:webHidden/>
              </w:rPr>
              <w:fldChar w:fldCharType="begin"/>
            </w:r>
            <w:r w:rsidR="006274EE">
              <w:rPr>
                <w:noProof/>
                <w:webHidden/>
              </w:rPr>
              <w:instrText xml:space="preserve"> PAGEREF _Toc179201297 \h </w:instrText>
            </w:r>
            <w:r w:rsidR="006274EE">
              <w:rPr>
                <w:noProof/>
                <w:webHidden/>
              </w:rPr>
            </w:r>
            <w:r w:rsidR="006274EE">
              <w:rPr>
                <w:noProof/>
                <w:webHidden/>
              </w:rPr>
              <w:fldChar w:fldCharType="separate"/>
            </w:r>
            <w:r w:rsidR="006274EE">
              <w:rPr>
                <w:noProof/>
                <w:webHidden/>
              </w:rPr>
              <w:t>13</w:t>
            </w:r>
            <w:r w:rsidR="006274EE">
              <w:rPr>
                <w:noProof/>
                <w:webHidden/>
              </w:rPr>
              <w:fldChar w:fldCharType="end"/>
            </w:r>
          </w:hyperlink>
        </w:p>
        <w:p w14:paraId="3F94BFA8" w14:textId="3A0FE731"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8" w:history="1">
            <w:r w:rsidR="006274EE" w:rsidRPr="009B1A25">
              <w:rPr>
                <w:rStyle w:val="Hyperlink"/>
                <w:noProof/>
                <w:color w:val="034990" w:themeColor="hyperlink" w:themeShade="BF"/>
                <w14:textFill>
                  <w14:solidFill>
                    <w14:schemeClr w14:val="hlink">
                      <w14:lumMod w14:val="75000"/>
                      <w14:lumMod w14:val="75000"/>
                    </w14:schemeClr>
                  </w14:solidFill>
                </w14:textFill>
              </w:rPr>
              <w:t>III.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Execução dos projetos</w:t>
            </w:r>
            <w:r w:rsidR="006274EE">
              <w:rPr>
                <w:noProof/>
                <w:webHidden/>
              </w:rPr>
              <w:tab/>
            </w:r>
            <w:r w:rsidR="006274EE">
              <w:rPr>
                <w:noProof/>
                <w:webHidden/>
              </w:rPr>
              <w:fldChar w:fldCharType="begin"/>
            </w:r>
            <w:r w:rsidR="006274EE">
              <w:rPr>
                <w:noProof/>
                <w:webHidden/>
              </w:rPr>
              <w:instrText xml:space="preserve"> PAGEREF _Toc179201298 \h </w:instrText>
            </w:r>
            <w:r w:rsidR="006274EE">
              <w:rPr>
                <w:noProof/>
                <w:webHidden/>
              </w:rPr>
            </w:r>
            <w:r w:rsidR="006274EE">
              <w:rPr>
                <w:noProof/>
                <w:webHidden/>
              </w:rPr>
              <w:fldChar w:fldCharType="separate"/>
            </w:r>
            <w:r w:rsidR="006274EE">
              <w:rPr>
                <w:noProof/>
                <w:webHidden/>
              </w:rPr>
              <w:t>14</w:t>
            </w:r>
            <w:r w:rsidR="006274EE">
              <w:rPr>
                <w:noProof/>
                <w:webHidden/>
              </w:rPr>
              <w:fldChar w:fldCharType="end"/>
            </w:r>
          </w:hyperlink>
        </w:p>
        <w:p w14:paraId="488976D5" w14:textId="09322820"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299" w:history="1">
            <w:r w:rsidR="006274EE" w:rsidRPr="009B1A25">
              <w:rPr>
                <w:rStyle w:val="Hyperlink"/>
                <w:noProof/>
                <w:color w:val="034990" w:themeColor="hyperlink" w:themeShade="BF"/>
                <w14:textFill>
                  <w14:solidFill>
                    <w14:schemeClr w14:val="hlink">
                      <w14:lumMod w14:val="75000"/>
                      <w14:lumMod w14:val="75000"/>
                    </w14:schemeClr>
                  </w14:solidFill>
                </w14:textFill>
              </w:rPr>
              <w:t>IV.</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Planos de cooperação e assistência</w:t>
            </w:r>
            <w:r w:rsidR="006274EE">
              <w:rPr>
                <w:noProof/>
                <w:webHidden/>
              </w:rPr>
              <w:tab/>
            </w:r>
            <w:r w:rsidR="006274EE">
              <w:rPr>
                <w:noProof/>
                <w:webHidden/>
              </w:rPr>
              <w:fldChar w:fldCharType="begin"/>
            </w:r>
            <w:r w:rsidR="006274EE">
              <w:rPr>
                <w:noProof/>
                <w:webHidden/>
              </w:rPr>
              <w:instrText xml:space="preserve"> PAGEREF _Toc179201299 \h </w:instrText>
            </w:r>
            <w:r w:rsidR="006274EE">
              <w:rPr>
                <w:noProof/>
                <w:webHidden/>
              </w:rPr>
            </w:r>
            <w:r w:rsidR="006274EE">
              <w:rPr>
                <w:noProof/>
                <w:webHidden/>
              </w:rPr>
              <w:fldChar w:fldCharType="separate"/>
            </w:r>
            <w:r w:rsidR="006274EE">
              <w:rPr>
                <w:noProof/>
                <w:webHidden/>
              </w:rPr>
              <w:t>15</w:t>
            </w:r>
            <w:r w:rsidR="006274EE">
              <w:rPr>
                <w:noProof/>
                <w:webHidden/>
              </w:rPr>
              <w:fldChar w:fldCharType="end"/>
            </w:r>
          </w:hyperlink>
        </w:p>
        <w:p w14:paraId="5CA0AB4F" w14:textId="26D731AC"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0" w:history="1">
            <w:r w:rsidR="006274EE" w:rsidRPr="009B1A25">
              <w:rPr>
                <w:rStyle w:val="Hyperlink"/>
                <w:noProof/>
                <w14:textFill>
                  <w14:solidFill>
                    <w14:schemeClr w14:val="hlink">
                      <w14:lumMod w14:val="75000"/>
                      <w14:lumMod w14:val="75000"/>
                      <w14:lumMod w14:val="75000"/>
                    </w14:schemeClr>
                  </w14:solidFill>
                </w14:textFill>
              </w:rPr>
              <w:t>V.</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Comunicação sobre o IAT</w:t>
            </w:r>
            <w:r w:rsidR="006274EE">
              <w:rPr>
                <w:noProof/>
                <w:webHidden/>
              </w:rPr>
              <w:tab/>
            </w:r>
            <w:r w:rsidR="006274EE">
              <w:rPr>
                <w:noProof/>
                <w:webHidden/>
              </w:rPr>
              <w:fldChar w:fldCharType="begin"/>
            </w:r>
            <w:r w:rsidR="006274EE">
              <w:rPr>
                <w:noProof/>
                <w:webHidden/>
              </w:rPr>
              <w:instrText xml:space="preserve"> PAGEREF _Toc179201300 \h </w:instrText>
            </w:r>
            <w:r w:rsidR="006274EE">
              <w:rPr>
                <w:noProof/>
                <w:webHidden/>
              </w:rPr>
            </w:r>
            <w:r w:rsidR="006274EE">
              <w:rPr>
                <w:noProof/>
                <w:webHidden/>
              </w:rPr>
              <w:fldChar w:fldCharType="separate"/>
            </w:r>
            <w:r w:rsidR="006274EE">
              <w:rPr>
                <w:noProof/>
                <w:webHidden/>
              </w:rPr>
              <w:t>15</w:t>
            </w:r>
            <w:r w:rsidR="006274EE">
              <w:rPr>
                <w:noProof/>
                <w:webHidden/>
              </w:rPr>
              <w:fldChar w:fldCharType="end"/>
            </w:r>
          </w:hyperlink>
        </w:p>
        <w:p w14:paraId="1AD8DF0D" w14:textId="2EAF59DB"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1" w:history="1">
            <w:r w:rsidR="006274EE" w:rsidRPr="009B1A25">
              <w:rPr>
                <w:rStyle w:val="Hyperlink"/>
                <w:noProof/>
                <w:color w:val="034990" w:themeColor="hyperlink" w:themeShade="BF"/>
                <w14:textFill>
                  <w14:solidFill>
                    <w14:schemeClr w14:val="hlink">
                      <w14:lumMod w14:val="75000"/>
                      <w14:lumMod w14:val="75000"/>
                    </w14:schemeClr>
                  </w14:solidFill>
                </w14:textFill>
              </w:rPr>
              <w:t>VI.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Avaliação do IAT</w:t>
            </w:r>
            <w:r w:rsidR="006274EE">
              <w:rPr>
                <w:noProof/>
                <w:webHidden/>
              </w:rPr>
              <w:tab/>
            </w:r>
            <w:r w:rsidR="006274EE">
              <w:rPr>
                <w:noProof/>
                <w:webHidden/>
              </w:rPr>
              <w:fldChar w:fldCharType="begin"/>
            </w:r>
            <w:r w:rsidR="006274EE">
              <w:rPr>
                <w:noProof/>
                <w:webHidden/>
              </w:rPr>
              <w:instrText xml:space="preserve"> PAGEREF _Toc179201301 \h </w:instrText>
            </w:r>
            <w:r w:rsidR="006274EE">
              <w:rPr>
                <w:noProof/>
                <w:webHidden/>
              </w:rPr>
            </w:r>
            <w:r w:rsidR="006274EE">
              <w:rPr>
                <w:noProof/>
                <w:webHidden/>
              </w:rPr>
              <w:fldChar w:fldCharType="separate"/>
            </w:r>
            <w:r w:rsidR="006274EE">
              <w:rPr>
                <w:noProof/>
                <w:webHidden/>
              </w:rPr>
              <w:t>17</w:t>
            </w:r>
            <w:r w:rsidR="006274EE">
              <w:rPr>
                <w:noProof/>
                <w:webHidden/>
              </w:rPr>
              <w:fldChar w:fldCharType="end"/>
            </w:r>
          </w:hyperlink>
        </w:p>
        <w:p w14:paraId="0CF1B80A" w14:textId="01B99D0D" w:rsidR="006274EE" w:rsidRDefault="00ED73CE">
          <w:pPr>
            <w:pStyle w:val="TOC1"/>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2" w:history="1">
            <w:r w:rsidR="006274EE" w:rsidRPr="009B1A25">
              <w:rPr>
                <w:rStyle w:val="Hyperlink"/>
                <w:noProof/>
                <w:color w:val="034990" w:themeColor="hyperlink" w:themeShade="BF"/>
                <w14:textFill>
                  <w14:solidFill>
                    <w14:schemeClr w14:val="hlink">
                      <w14:lumMod w14:val="75000"/>
                      <w14:lumMod w14:val="75000"/>
                    </w14:schemeClr>
                  </w14:solidFill>
                </w14:textFill>
              </w:rPr>
              <w:t>O IAT enquanto instrumento fundamental para apoiar a competitividade da UE</w:t>
            </w:r>
            <w:r w:rsidR="006274EE">
              <w:rPr>
                <w:noProof/>
                <w:webHidden/>
              </w:rPr>
              <w:tab/>
            </w:r>
            <w:r w:rsidR="006274EE">
              <w:rPr>
                <w:noProof/>
                <w:webHidden/>
              </w:rPr>
              <w:fldChar w:fldCharType="begin"/>
            </w:r>
            <w:r w:rsidR="006274EE">
              <w:rPr>
                <w:noProof/>
                <w:webHidden/>
              </w:rPr>
              <w:instrText xml:space="preserve"> PAGEREF _Toc179201302 \h </w:instrText>
            </w:r>
            <w:r w:rsidR="006274EE">
              <w:rPr>
                <w:noProof/>
                <w:webHidden/>
              </w:rPr>
            </w:r>
            <w:r w:rsidR="006274EE">
              <w:rPr>
                <w:noProof/>
                <w:webHidden/>
              </w:rPr>
              <w:fldChar w:fldCharType="separate"/>
            </w:r>
            <w:r w:rsidR="006274EE">
              <w:rPr>
                <w:noProof/>
                <w:webHidden/>
              </w:rPr>
              <w:t>18</w:t>
            </w:r>
            <w:r w:rsidR="006274EE">
              <w:rPr>
                <w:noProof/>
                <w:webHidden/>
              </w:rPr>
              <w:fldChar w:fldCharType="end"/>
            </w:r>
          </w:hyperlink>
        </w:p>
        <w:p w14:paraId="302E0198" w14:textId="19958757"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3" w:history="1">
            <w:r w:rsidR="006274EE" w:rsidRPr="009B1A25">
              <w:rPr>
                <w:rStyle w:val="Hyperlink"/>
                <w:noProof/>
                <w:color w:val="034990" w:themeColor="hyperlink" w:themeShade="BF"/>
                <w14:textFill>
                  <w14:solidFill>
                    <w14:schemeClr w14:val="hlink">
                      <w14:lumMod w14:val="75000"/>
                      <w14:lumMod w14:val="75000"/>
                    </w14:schemeClr>
                  </w14:solidFill>
                </w14:textFill>
              </w:rPr>
              <w:t>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Mercado interno funcional</w:t>
            </w:r>
            <w:r w:rsidR="006274EE">
              <w:rPr>
                <w:noProof/>
                <w:webHidden/>
              </w:rPr>
              <w:tab/>
            </w:r>
            <w:r w:rsidR="006274EE">
              <w:rPr>
                <w:noProof/>
                <w:webHidden/>
              </w:rPr>
              <w:fldChar w:fldCharType="begin"/>
            </w:r>
            <w:r w:rsidR="006274EE">
              <w:rPr>
                <w:noProof/>
                <w:webHidden/>
              </w:rPr>
              <w:instrText xml:space="preserve"> PAGEREF _Toc179201303 \h </w:instrText>
            </w:r>
            <w:r w:rsidR="006274EE">
              <w:rPr>
                <w:noProof/>
                <w:webHidden/>
              </w:rPr>
            </w:r>
            <w:r w:rsidR="006274EE">
              <w:rPr>
                <w:noProof/>
                <w:webHidden/>
              </w:rPr>
              <w:fldChar w:fldCharType="separate"/>
            </w:r>
            <w:r w:rsidR="006274EE">
              <w:rPr>
                <w:noProof/>
                <w:webHidden/>
              </w:rPr>
              <w:t>20</w:t>
            </w:r>
            <w:r w:rsidR="006274EE">
              <w:rPr>
                <w:noProof/>
                <w:webHidden/>
              </w:rPr>
              <w:fldChar w:fldCharType="end"/>
            </w:r>
          </w:hyperlink>
        </w:p>
        <w:p w14:paraId="6FFFF344" w14:textId="3584EFA9"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4" w:history="1">
            <w:r w:rsidR="006274EE" w:rsidRPr="009B1A25">
              <w:rPr>
                <w:rStyle w:val="Hyperlink"/>
                <w:noProof/>
                <w:color w:val="034990" w:themeColor="hyperlink" w:themeShade="BF"/>
                <w14:textFill>
                  <w14:solidFill>
                    <w14:schemeClr w14:val="hlink">
                      <w14:lumMod w14:val="75000"/>
                      <w14:lumMod w14:val="75000"/>
                    </w14:schemeClr>
                  </w14:solidFill>
                </w14:textFill>
              </w:rPr>
              <w:t>II.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Acesso ao capital privado</w:t>
            </w:r>
            <w:r w:rsidR="006274EE">
              <w:rPr>
                <w:noProof/>
                <w:webHidden/>
              </w:rPr>
              <w:tab/>
            </w:r>
            <w:r w:rsidR="006274EE">
              <w:rPr>
                <w:noProof/>
                <w:webHidden/>
              </w:rPr>
              <w:fldChar w:fldCharType="begin"/>
            </w:r>
            <w:r w:rsidR="006274EE">
              <w:rPr>
                <w:noProof/>
                <w:webHidden/>
              </w:rPr>
              <w:instrText xml:space="preserve"> PAGEREF _Toc179201304 \h </w:instrText>
            </w:r>
            <w:r w:rsidR="006274EE">
              <w:rPr>
                <w:noProof/>
                <w:webHidden/>
              </w:rPr>
            </w:r>
            <w:r w:rsidR="006274EE">
              <w:rPr>
                <w:noProof/>
                <w:webHidden/>
              </w:rPr>
              <w:fldChar w:fldCharType="separate"/>
            </w:r>
            <w:r w:rsidR="006274EE">
              <w:rPr>
                <w:noProof/>
                <w:webHidden/>
              </w:rPr>
              <w:t>21</w:t>
            </w:r>
            <w:r w:rsidR="006274EE">
              <w:rPr>
                <w:noProof/>
                <w:webHidden/>
              </w:rPr>
              <w:fldChar w:fldCharType="end"/>
            </w:r>
          </w:hyperlink>
        </w:p>
        <w:p w14:paraId="492469BE" w14:textId="7DC8D96B"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5" w:history="1">
            <w:r w:rsidR="006274EE" w:rsidRPr="009B1A25">
              <w:rPr>
                <w:rStyle w:val="Hyperlink"/>
                <w:noProof/>
                <w:color w:val="034990" w:themeColor="hyperlink" w:themeShade="BF"/>
                <w14:textFill>
                  <w14:solidFill>
                    <w14:schemeClr w14:val="hlink">
                      <w14:lumMod w14:val="75000"/>
                      <w14:lumMod w14:val="75000"/>
                    </w14:schemeClr>
                  </w14:solidFill>
                </w14:textFill>
              </w:rPr>
              <w:t>III.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Investimento público e infraestruturas</w:t>
            </w:r>
            <w:r w:rsidR="006274EE">
              <w:rPr>
                <w:noProof/>
                <w:webHidden/>
              </w:rPr>
              <w:tab/>
            </w:r>
            <w:r w:rsidR="006274EE">
              <w:rPr>
                <w:noProof/>
                <w:webHidden/>
              </w:rPr>
              <w:fldChar w:fldCharType="begin"/>
            </w:r>
            <w:r w:rsidR="006274EE">
              <w:rPr>
                <w:noProof/>
                <w:webHidden/>
              </w:rPr>
              <w:instrText xml:space="preserve"> PAGEREF _Toc179201305 \h </w:instrText>
            </w:r>
            <w:r w:rsidR="006274EE">
              <w:rPr>
                <w:noProof/>
                <w:webHidden/>
              </w:rPr>
            </w:r>
            <w:r w:rsidR="006274EE">
              <w:rPr>
                <w:noProof/>
                <w:webHidden/>
              </w:rPr>
              <w:fldChar w:fldCharType="separate"/>
            </w:r>
            <w:r w:rsidR="006274EE">
              <w:rPr>
                <w:noProof/>
                <w:webHidden/>
              </w:rPr>
              <w:t>22</w:t>
            </w:r>
            <w:r w:rsidR="006274EE">
              <w:rPr>
                <w:noProof/>
                <w:webHidden/>
              </w:rPr>
              <w:fldChar w:fldCharType="end"/>
            </w:r>
          </w:hyperlink>
        </w:p>
        <w:p w14:paraId="14F9898C" w14:textId="62D6EAF0"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6" w:history="1">
            <w:r w:rsidR="006274EE" w:rsidRPr="009B1A25">
              <w:rPr>
                <w:rStyle w:val="Hyperlink"/>
                <w:noProof/>
                <w:color w:val="034990" w:themeColor="hyperlink" w:themeShade="BF"/>
                <w14:textFill>
                  <w14:solidFill>
                    <w14:schemeClr w14:val="hlink">
                      <w14:lumMod w14:val="75000"/>
                      <w14:lumMod w14:val="75000"/>
                    </w14:schemeClr>
                  </w14:solidFill>
                </w14:textFill>
              </w:rPr>
              <w:t>IV.</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Investigação e inovação</w:t>
            </w:r>
            <w:r w:rsidR="006274EE">
              <w:rPr>
                <w:noProof/>
                <w:webHidden/>
              </w:rPr>
              <w:tab/>
            </w:r>
            <w:r w:rsidR="006274EE">
              <w:rPr>
                <w:noProof/>
                <w:webHidden/>
              </w:rPr>
              <w:fldChar w:fldCharType="begin"/>
            </w:r>
            <w:r w:rsidR="006274EE">
              <w:rPr>
                <w:noProof/>
                <w:webHidden/>
              </w:rPr>
              <w:instrText xml:space="preserve"> PAGEREF _Toc179201306 \h </w:instrText>
            </w:r>
            <w:r w:rsidR="006274EE">
              <w:rPr>
                <w:noProof/>
                <w:webHidden/>
              </w:rPr>
            </w:r>
            <w:r w:rsidR="006274EE">
              <w:rPr>
                <w:noProof/>
                <w:webHidden/>
              </w:rPr>
              <w:fldChar w:fldCharType="separate"/>
            </w:r>
            <w:r w:rsidR="006274EE">
              <w:rPr>
                <w:noProof/>
                <w:webHidden/>
              </w:rPr>
              <w:t>24</w:t>
            </w:r>
            <w:r w:rsidR="006274EE">
              <w:rPr>
                <w:noProof/>
                <w:webHidden/>
              </w:rPr>
              <w:fldChar w:fldCharType="end"/>
            </w:r>
          </w:hyperlink>
        </w:p>
        <w:p w14:paraId="441E8C70" w14:textId="7FAA6606"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7" w:history="1">
            <w:r w:rsidR="006274EE" w:rsidRPr="009B1A25">
              <w:rPr>
                <w:rStyle w:val="Hyperlink"/>
                <w:noProof/>
                <w:color w:val="034990" w:themeColor="hyperlink" w:themeShade="BF"/>
                <w14:textFill>
                  <w14:solidFill>
                    <w14:schemeClr w14:val="hlink">
                      <w14:lumMod w14:val="75000"/>
                      <w14:lumMod w14:val="75000"/>
                    </w14:schemeClr>
                  </w14:solidFill>
                </w14:textFill>
              </w:rPr>
              <w:t>V.</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Energia</w:t>
            </w:r>
            <w:r w:rsidR="006274EE">
              <w:rPr>
                <w:noProof/>
                <w:webHidden/>
              </w:rPr>
              <w:tab/>
            </w:r>
            <w:r w:rsidR="006274EE">
              <w:rPr>
                <w:noProof/>
                <w:webHidden/>
              </w:rPr>
              <w:fldChar w:fldCharType="begin"/>
            </w:r>
            <w:r w:rsidR="006274EE">
              <w:rPr>
                <w:noProof/>
                <w:webHidden/>
              </w:rPr>
              <w:instrText xml:space="preserve"> PAGEREF _Toc179201307 \h </w:instrText>
            </w:r>
            <w:r w:rsidR="006274EE">
              <w:rPr>
                <w:noProof/>
                <w:webHidden/>
              </w:rPr>
            </w:r>
            <w:r w:rsidR="006274EE">
              <w:rPr>
                <w:noProof/>
                <w:webHidden/>
              </w:rPr>
              <w:fldChar w:fldCharType="separate"/>
            </w:r>
            <w:r w:rsidR="006274EE">
              <w:rPr>
                <w:noProof/>
                <w:webHidden/>
              </w:rPr>
              <w:t>25</w:t>
            </w:r>
            <w:r w:rsidR="006274EE">
              <w:rPr>
                <w:noProof/>
                <w:webHidden/>
              </w:rPr>
              <w:fldChar w:fldCharType="end"/>
            </w:r>
          </w:hyperlink>
        </w:p>
        <w:p w14:paraId="62FE7097" w14:textId="7B1E5ECC"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8" w:history="1">
            <w:r w:rsidR="006274EE" w:rsidRPr="009B1A25">
              <w:rPr>
                <w:rStyle w:val="Hyperlink"/>
                <w:noProof/>
                <w:color w:val="034990" w:themeColor="hyperlink" w:themeShade="BF"/>
                <w14:textFill>
                  <w14:solidFill>
                    <w14:schemeClr w14:val="hlink">
                      <w14:lumMod w14:val="75000"/>
                      <w14:lumMod w14:val="75000"/>
                    </w14:schemeClr>
                  </w14:solidFill>
                </w14:textFill>
              </w:rPr>
              <w:t>VI.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Circularidade</w:t>
            </w:r>
            <w:r w:rsidR="006274EE">
              <w:rPr>
                <w:noProof/>
                <w:webHidden/>
              </w:rPr>
              <w:tab/>
            </w:r>
            <w:r w:rsidR="006274EE">
              <w:rPr>
                <w:noProof/>
                <w:webHidden/>
              </w:rPr>
              <w:fldChar w:fldCharType="begin"/>
            </w:r>
            <w:r w:rsidR="006274EE">
              <w:rPr>
                <w:noProof/>
                <w:webHidden/>
              </w:rPr>
              <w:instrText xml:space="preserve"> PAGEREF _Toc179201308 \h </w:instrText>
            </w:r>
            <w:r w:rsidR="006274EE">
              <w:rPr>
                <w:noProof/>
                <w:webHidden/>
              </w:rPr>
            </w:r>
            <w:r w:rsidR="006274EE">
              <w:rPr>
                <w:noProof/>
                <w:webHidden/>
              </w:rPr>
              <w:fldChar w:fldCharType="separate"/>
            </w:r>
            <w:r w:rsidR="006274EE">
              <w:rPr>
                <w:noProof/>
                <w:webHidden/>
              </w:rPr>
              <w:t>26</w:t>
            </w:r>
            <w:r w:rsidR="006274EE">
              <w:rPr>
                <w:noProof/>
                <w:webHidden/>
              </w:rPr>
              <w:fldChar w:fldCharType="end"/>
            </w:r>
          </w:hyperlink>
        </w:p>
        <w:p w14:paraId="56322AC5" w14:textId="3ABC02B6"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09" w:history="1">
            <w:r w:rsidR="006274EE" w:rsidRPr="009B1A25">
              <w:rPr>
                <w:rStyle w:val="Hyperlink"/>
                <w:noProof/>
                <w:color w:val="034990" w:themeColor="hyperlink" w:themeShade="BF"/>
                <w14:textFill>
                  <w14:solidFill>
                    <w14:schemeClr w14:val="hlink">
                      <w14:lumMod w14:val="75000"/>
                      <w14:lumMod w14:val="75000"/>
                    </w14:schemeClr>
                  </w14:solidFill>
                </w14:textFill>
              </w:rPr>
              <w:t>VII.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Digitalização</w:t>
            </w:r>
            <w:r w:rsidR="006274EE">
              <w:rPr>
                <w:noProof/>
                <w:webHidden/>
              </w:rPr>
              <w:tab/>
            </w:r>
            <w:r w:rsidR="006274EE">
              <w:rPr>
                <w:noProof/>
                <w:webHidden/>
              </w:rPr>
              <w:fldChar w:fldCharType="begin"/>
            </w:r>
            <w:r w:rsidR="006274EE">
              <w:rPr>
                <w:noProof/>
                <w:webHidden/>
              </w:rPr>
              <w:instrText xml:space="preserve"> PAGEREF _Toc179201309 \h </w:instrText>
            </w:r>
            <w:r w:rsidR="006274EE">
              <w:rPr>
                <w:noProof/>
                <w:webHidden/>
              </w:rPr>
            </w:r>
            <w:r w:rsidR="006274EE">
              <w:rPr>
                <w:noProof/>
                <w:webHidden/>
              </w:rPr>
              <w:fldChar w:fldCharType="separate"/>
            </w:r>
            <w:r w:rsidR="006274EE">
              <w:rPr>
                <w:noProof/>
                <w:webHidden/>
              </w:rPr>
              <w:t>27</w:t>
            </w:r>
            <w:r w:rsidR="006274EE">
              <w:rPr>
                <w:noProof/>
                <w:webHidden/>
              </w:rPr>
              <w:fldChar w:fldCharType="end"/>
            </w:r>
          </w:hyperlink>
        </w:p>
        <w:p w14:paraId="5D9FA035" w14:textId="7CBE85FA"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10" w:history="1">
            <w:r w:rsidR="006274EE" w:rsidRPr="009B1A25">
              <w:rPr>
                <w:rStyle w:val="Hyperlink"/>
                <w:noProof/>
                <w:color w:val="034990" w:themeColor="hyperlink" w:themeShade="BF"/>
                <w14:textFill>
                  <w14:solidFill>
                    <w14:schemeClr w14:val="hlink">
                      <w14:lumMod w14:val="75000"/>
                      <w14:lumMod w14:val="75000"/>
                    </w14:schemeClr>
                  </w14:solidFill>
                </w14:textFill>
              </w:rPr>
              <w:t>VIII.</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Educação e competências</w:t>
            </w:r>
            <w:r w:rsidR="006274EE">
              <w:rPr>
                <w:noProof/>
                <w:webHidden/>
              </w:rPr>
              <w:tab/>
            </w:r>
            <w:r w:rsidR="006274EE">
              <w:rPr>
                <w:noProof/>
                <w:webHidden/>
              </w:rPr>
              <w:fldChar w:fldCharType="begin"/>
            </w:r>
            <w:r w:rsidR="006274EE">
              <w:rPr>
                <w:noProof/>
                <w:webHidden/>
              </w:rPr>
              <w:instrText xml:space="preserve"> PAGEREF _Toc179201310 \h </w:instrText>
            </w:r>
            <w:r w:rsidR="006274EE">
              <w:rPr>
                <w:noProof/>
                <w:webHidden/>
              </w:rPr>
            </w:r>
            <w:r w:rsidR="006274EE">
              <w:rPr>
                <w:noProof/>
                <w:webHidden/>
              </w:rPr>
              <w:fldChar w:fldCharType="separate"/>
            </w:r>
            <w:r w:rsidR="006274EE">
              <w:rPr>
                <w:noProof/>
                <w:webHidden/>
              </w:rPr>
              <w:t>28</w:t>
            </w:r>
            <w:r w:rsidR="006274EE">
              <w:rPr>
                <w:noProof/>
                <w:webHidden/>
              </w:rPr>
              <w:fldChar w:fldCharType="end"/>
            </w:r>
          </w:hyperlink>
        </w:p>
        <w:p w14:paraId="4FD1E686" w14:textId="1B654C49"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11" w:history="1">
            <w:r w:rsidR="006274EE" w:rsidRPr="009B1A25">
              <w:rPr>
                <w:rStyle w:val="Hyperlink"/>
                <w:noProof/>
                <w:color w:val="034990" w:themeColor="hyperlink" w:themeShade="BF"/>
                <w14:textFill>
                  <w14:solidFill>
                    <w14:schemeClr w14:val="hlink">
                      <w14:lumMod w14:val="75000"/>
                      <w14:lumMod w14:val="75000"/>
                    </w14:schemeClr>
                  </w14:solidFill>
                </w14:textFill>
              </w:rPr>
              <w:t>IX.</w:t>
            </w:r>
            <w:r w:rsidR="006274EE">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tab/>
            </w:r>
            <w:r w:rsidR="006274EE" w:rsidRPr="009B1A25">
              <w:rPr>
                <w:rStyle w:val="Hyperlink"/>
                <w:noProof/>
                <w14:textFill>
                  <w14:solidFill>
                    <w14:schemeClr w14:val="hlink">
                      <w14:lumMod w14:val="75000"/>
                      <w14:lumMod w14:val="75000"/>
                      <w14:lumMod w14:val="75000"/>
                    </w14:schemeClr>
                  </w14:solidFill>
                </w14:textFill>
              </w:rPr>
              <w:t>Comércio e autonomia estratégica aberta</w:t>
            </w:r>
            <w:r w:rsidR="006274EE">
              <w:rPr>
                <w:noProof/>
                <w:webHidden/>
              </w:rPr>
              <w:tab/>
            </w:r>
            <w:r w:rsidR="006274EE">
              <w:rPr>
                <w:noProof/>
                <w:webHidden/>
              </w:rPr>
              <w:fldChar w:fldCharType="begin"/>
            </w:r>
            <w:r w:rsidR="006274EE">
              <w:rPr>
                <w:noProof/>
                <w:webHidden/>
              </w:rPr>
              <w:instrText xml:space="preserve"> PAGEREF _Toc179201311 \h </w:instrText>
            </w:r>
            <w:r w:rsidR="006274EE">
              <w:rPr>
                <w:noProof/>
                <w:webHidden/>
              </w:rPr>
            </w:r>
            <w:r w:rsidR="006274EE">
              <w:rPr>
                <w:noProof/>
                <w:webHidden/>
              </w:rPr>
              <w:fldChar w:fldCharType="separate"/>
            </w:r>
            <w:r w:rsidR="006274EE">
              <w:rPr>
                <w:noProof/>
                <w:webHidden/>
              </w:rPr>
              <w:t>29</w:t>
            </w:r>
            <w:r w:rsidR="006274EE">
              <w:rPr>
                <w:noProof/>
                <w:webHidden/>
              </w:rPr>
              <w:fldChar w:fldCharType="end"/>
            </w:r>
          </w:hyperlink>
        </w:p>
        <w:p w14:paraId="42857148" w14:textId="3DECD98F" w:rsidR="006274EE" w:rsidRDefault="00ED73CE">
          <w:pPr>
            <w:pStyle w:val="TOC1"/>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12" w:history="1">
            <w:r w:rsidR="006274EE" w:rsidRPr="009B1A25">
              <w:rPr>
                <w:rStyle w:val="Hyperlink"/>
                <w:noProof/>
                <w:color w:val="034990" w:themeColor="hyperlink" w:themeShade="BF"/>
                <w14:textFill>
                  <w14:solidFill>
                    <w14:schemeClr w14:val="hlink">
                      <w14:lumMod w14:val="75000"/>
                      <w14:lumMod w14:val="75000"/>
                    </w14:schemeClr>
                  </w14:solidFill>
                </w14:textFill>
              </w:rPr>
              <w:t>Conclusão</w:t>
            </w:r>
            <w:r w:rsidR="006274EE">
              <w:rPr>
                <w:noProof/>
                <w:webHidden/>
              </w:rPr>
              <w:tab/>
            </w:r>
            <w:r w:rsidR="006274EE">
              <w:rPr>
                <w:noProof/>
                <w:webHidden/>
              </w:rPr>
              <w:fldChar w:fldCharType="begin"/>
            </w:r>
            <w:r w:rsidR="006274EE">
              <w:rPr>
                <w:noProof/>
                <w:webHidden/>
              </w:rPr>
              <w:instrText xml:space="preserve"> PAGEREF _Toc179201312 \h </w:instrText>
            </w:r>
            <w:r w:rsidR="006274EE">
              <w:rPr>
                <w:noProof/>
                <w:webHidden/>
              </w:rPr>
            </w:r>
            <w:r w:rsidR="006274EE">
              <w:rPr>
                <w:noProof/>
                <w:webHidden/>
              </w:rPr>
              <w:fldChar w:fldCharType="separate"/>
            </w:r>
            <w:r w:rsidR="006274EE">
              <w:rPr>
                <w:noProof/>
                <w:webHidden/>
              </w:rPr>
              <w:t>31</w:t>
            </w:r>
            <w:r w:rsidR="006274EE">
              <w:rPr>
                <w:noProof/>
                <w:webHidden/>
              </w:rPr>
              <w:fldChar w:fldCharType="end"/>
            </w:r>
          </w:hyperlink>
        </w:p>
        <w:p w14:paraId="14579F64" w14:textId="5F828AA8"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13" w:history="1">
            <w:r w:rsidR="006274EE" w:rsidRPr="009B1A25">
              <w:rPr>
                <w:rStyle w:val="Hyperlink"/>
                <w:noProof/>
                <w14:textFill>
                  <w14:solidFill>
                    <w14:schemeClr w14:val="hlink">
                      <w14:lumMod w14:val="75000"/>
                      <w14:lumMod w14:val="75000"/>
                      <w14:lumMod w14:val="75000"/>
                    </w14:schemeClr>
                  </w14:solidFill>
                </w14:textFill>
              </w:rPr>
              <w:t>Anexo</w:t>
            </w:r>
            <w:r w:rsidR="006274EE" w:rsidRPr="009B1A25">
              <w:rPr>
                <w:rStyle w:val="Hyperlink"/>
                <w:rFonts w:ascii="Calibri" w:hAnsi="Calibri" w:cs="Calibri"/>
                <w:noProof/>
                <w14:textFill>
                  <w14:solidFill>
                    <w14:schemeClr w14:val="hlink">
                      <w14:lumMod w14:val="75000"/>
                      <w14:lumMod w14:val="75000"/>
                      <w14:lumMod w14:val="75000"/>
                    </w14:schemeClr>
                  </w14:solidFill>
                </w14:textFill>
              </w:rPr>
              <w:t> </w:t>
            </w:r>
            <w:r w:rsidR="006274EE" w:rsidRPr="009B1A25">
              <w:rPr>
                <w:rStyle w:val="Hyperlink"/>
                <w:noProof/>
                <w14:textFill>
                  <w14:solidFill>
                    <w14:schemeClr w14:val="hlink">
                      <w14:lumMod w14:val="75000"/>
                      <w14:lumMod w14:val="75000"/>
                      <w14:lumMod w14:val="75000"/>
                    </w14:schemeClr>
                  </w14:solidFill>
                </w14:textFill>
              </w:rPr>
              <w:t xml:space="preserve">1 </w:t>
            </w:r>
            <w:r w:rsidR="006274EE" w:rsidRPr="009B1A25">
              <w:rPr>
                <w:rStyle w:val="Hyperlink"/>
                <w:rFonts w:cs="EC Square Sans Pro"/>
                <w:noProof/>
                <w14:textFill>
                  <w14:solidFill>
                    <w14:schemeClr w14:val="hlink">
                      <w14:lumMod w14:val="75000"/>
                      <w14:lumMod w14:val="75000"/>
                      <w14:lumMod w14:val="75000"/>
                    </w14:schemeClr>
                  </w14:solidFill>
                </w14:textFill>
              </w:rPr>
              <w:t>–</w:t>
            </w:r>
            <w:r w:rsidR="006274EE" w:rsidRPr="009B1A25">
              <w:rPr>
                <w:rStyle w:val="Hyperlink"/>
                <w:noProof/>
                <w14:textFill>
                  <w14:solidFill>
                    <w14:schemeClr w14:val="hlink">
                      <w14:lumMod w14:val="75000"/>
                      <w14:lumMod w14:val="75000"/>
                      <w14:lumMod w14:val="75000"/>
                    </w14:schemeClr>
                  </w14:solidFill>
                </w14:textFill>
              </w:rPr>
              <w:t xml:space="preserve"> Ciclo anual do IAT</w:t>
            </w:r>
            <w:r w:rsidR="006274EE">
              <w:rPr>
                <w:noProof/>
                <w:webHidden/>
              </w:rPr>
              <w:tab/>
            </w:r>
            <w:r w:rsidR="006274EE">
              <w:rPr>
                <w:noProof/>
                <w:webHidden/>
              </w:rPr>
              <w:fldChar w:fldCharType="begin"/>
            </w:r>
            <w:r w:rsidR="006274EE">
              <w:rPr>
                <w:noProof/>
                <w:webHidden/>
              </w:rPr>
              <w:instrText xml:space="preserve"> PAGEREF _Toc179201313 \h </w:instrText>
            </w:r>
            <w:r w:rsidR="006274EE">
              <w:rPr>
                <w:noProof/>
                <w:webHidden/>
              </w:rPr>
            </w:r>
            <w:r w:rsidR="006274EE">
              <w:rPr>
                <w:noProof/>
                <w:webHidden/>
              </w:rPr>
              <w:fldChar w:fldCharType="separate"/>
            </w:r>
            <w:r w:rsidR="006274EE">
              <w:rPr>
                <w:noProof/>
                <w:webHidden/>
              </w:rPr>
              <w:t>32</w:t>
            </w:r>
            <w:r w:rsidR="006274EE">
              <w:rPr>
                <w:noProof/>
                <w:webHidden/>
              </w:rPr>
              <w:fldChar w:fldCharType="end"/>
            </w:r>
          </w:hyperlink>
        </w:p>
        <w:p w14:paraId="008A76B4" w14:textId="244669C4" w:rsidR="006274EE" w:rsidRDefault="00ED73CE">
          <w:pPr>
            <w:pStyle w:val="TOC2"/>
            <w:rPr>
              <w:rFonts w:asciiTheme="minorHAnsi" w:eastAsiaTheme="minorEastAsia" w:hAnsiTheme="minorHAnsi"/>
              <w:noProof/>
              <w:color w:val="auto"/>
              <w:kern w:val="2"/>
              <w:sz w:val="22"/>
              <w:szCs w:val="22"/>
              <w:lang w:val="de-DE" w:eastAsia="de-DE"/>
              <w14:textFill>
                <w14:solidFill>
                  <w14:srgbClr w14:val="000000">
                    <w14:lumMod w14:val="75000"/>
                  </w14:srgbClr>
                </w14:solidFill>
              </w14:textFill>
              <w14:ligatures w14:val="standardContextual"/>
            </w:rPr>
          </w:pPr>
          <w:hyperlink w:anchor="_Toc179201314" w:history="1">
            <w:r w:rsidR="006274EE" w:rsidRPr="009B1A25">
              <w:rPr>
                <w:rStyle w:val="Hyperlink"/>
                <w:noProof/>
                <w14:textFill>
                  <w14:solidFill>
                    <w14:schemeClr w14:val="hlink">
                      <w14:lumMod w14:val="75000"/>
                      <w14:lumMod w14:val="75000"/>
                      <w14:lumMod w14:val="75000"/>
                    </w14:schemeClr>
                  </w14:solidFill>
                </w14:textFill>
              </w:rPr>
              <w:t>Anexo</w:t>
            </w:r>
            <w:r w:rsidR="006274EE" w:rsidRPr="009B1A25">
              <w:rPr>
                <w:rStyle w:val="Hyperlink"/>
                <w:rFonts w:ascii="Calibri" w:hAnsi="Calibri" w:cs="Calibri"/>
                <w:noProof/>
                <w14:textFill>
                  <w14:solidFill>
                    <w14:schemeClr w14:val="hlink">
                      <w14:lumMod w14:val="75000"/>
                      <w14:lumMod w14:val="75000"/>
                      <w14:lumMod w14:val="75000"/>
                    </w14:schemeClr>
                  </w14:solidFill>
                </w14:textFill>
              </w:rPr>
              <w:t> </w:t>
            </w:r>
            <w:r w:rsidR="006274EE" w:rsidRPr="009B1A25">
              <w:rPr>
                <w:rStyle w:val="Hyperlink"/>
                <w:noProof/>
                <w14:textFill>
                  <w14:solidFill>
                    <w14:schemeClr w14:val="hlink">
                      <w14:lumMod w14:val="75000"/>
                      <w14:lumMod w14:val="75000"/>
                      <w14:lumMod w14:val="75000"/>
                    </w14:schemeClr>
                  </w14:solidFill>
                </w14:textFill>
              </w:rPr>
              <w:t xml:space="preserve">2 </w:t>
            </w:r>
            <w:r w:rsidR="006274EE" w:rsidRPr="009B1A25">
              <w:rPr>
                <w:rStyle w:val="Hyperlink"/>
                <w:rFonts w:cs="EC Square Sans Pro"/>
                <w:noProof/>
                <w14:textFill>
                  <w14:solidFill>
                    <w14:schemeClr w14:val="hlink">
                      <w14:lumMod w14:val="75000"/>
                      <w14:lumMod w14:val="75000"/>
                      <w14:lumMod w14:val="75000"/>
                    </w14:schemeClr>
                  </w14:solidFill>
                </w14:textFill>
              </w:rPr>
              <w:t>–</w:t>
            </w:r>
            <w:r w:rsidR="006274EE" w:rsidRPr="009B1A25">
              <w:rPr>
                <w:rStyle w:val="Hyperlink"/>
                <w:noProof/>
                <w14:textFill>
                  <w14:solidFill>
                    <w14:schemeClr w14:val="hlink">
                      <w14:lumMod w14:val="75000"/>
                      <w14:lumMod w14:val="75000"/>
                      <w14:lumMod w14:val="75000"/>
                    </w14:schemeClr>
                  </w14:solidFill>
                </w14:textFill>
              </w:rPr>
              <w:t xml:space="preserve"> Convite geral </w:t>
            </w:r>
            <w:r w:rsidR="006274EE" w:rsidRPr="009B1A25">
              <w:rPr>
                <w:rStyle w:val="Hyperlink"/>
                <w:rFonts w:cs="EC Square Sans Pro"/>
                <w:noProof/>
                <w14:textFill>
                  <w14:solidFill>
                    <w14:schemeClr w14:val="hlink">
                      <w14:lumMod w14:val="75000"/>
                      <w14:lumMod w14:val="75000"/>
                      <w14:lumMod w14:val="75000"/>
                    </w14:schemeClr>
                  </w14:solidFill>
                </w14:textFill>
              </w:rPr>
              <w:t>à</w:t>
            </w:r>
            <w:r w:rsidR="006274EE" w:rsidRPr="009B1A25">
              <w:rPr>
                <w:rStyle w:val="Hyperlink"/>
                <w:noProof/>
                <w14:textFill>
                  <w14:solidFill>
                    <w14:schemeClr w14:val="hlink">
                      <w14:lumMod w14:val="75000"/>
                      <w14:lumMod w14:val="75000"/>
                      <w14:lumMod w14:val="75000"/>
                    </w14:schemeClr>
                  </w14:solidFill>
                </w14:textFill>
              </w:rPr>
              <w:t xml:space="preserve"> apresenta</w:t>
            </w:r>
            <w:r w:rsidR="006274EE" w:rsidRPr="009B1A25">
              <w:rPr>
                <w:rStyle w:val="Hyperlink"/>
                <w:rFonts w:cs="EC Square Sans Pro"/>
                <w:noProof/>
                <w14:textFill>
                  <w14:solidFill>
                    <w14:schemeClr w14:val="hlink">
                      <w14:lumMod w14:val="75000"/>
                      <w14:lumMod w14:val="75000"/>
                      <w14:lumMod w14:val="75000"/>
                    </w14:schemeClr>
                  </w14:solidFill>
                </w14:textFill>
              </w:rPr>
              <w:t>çã</w:t>
            </w:r>
            <w:r w:rsidR="006274EE" w:rsidRPr="009B1A25">
              <w:rPr>
                <w:rStyle w:val="Hyperlink"/>
                <w:noProof/>
                <w14:textFill>
                  <w14:solidFill>
                    <w14:schemeClr w14:val="hlink">
                      <w14:lumMod w14:val="75000"/>
                      <w14:lumMod w14:val="75000"/>
                      <w14:lumMod w14:val="75000"/>
                    </w14:schemeClr>
                  </w14:solidFill>
                </w14:textFill>
              </w:rPr>
              <w:t>o de pedidos do IAT de 2023: pedidos por Estado-Membro</w:t>
            </w:r>
            <w:r w:rsidR="006274EE">
              <w:rPr>
                <w:noProof/>
                <w:webHidden/>
              </w:rPr>
              <w:tab/>
            </w:r>
            <w:r w:rsidR="006274EE">
              <w:rPr>
                <w:noProof/>
                <w:webHidden/>
              </w:rPr>
              <w:fldChar w:fldCharType="begin"/>
            </w:r>
            <w:r w:rsidR="006274EE">
              <w:rPr>
                <w:noProof/>
                <w:webHidden/>
              </w:rPr>
              <w:instrText xml:space="preserve"> PAGEREF _Toc179201314 \h </w:instrText>
            </w:r>
            <w:r w:rsidR="006274EE">
              <w:rPr>
                <w:noProof/>
                <w:webHidden/>
              </w:rPr>
            </w:r>
            <w:r w:rsidR="006274EE">
              <w:rPr>
                <w:noProof/>
                <w:webHidden/>
              </w:rPr>
              <w:fldChar w:fldCharType="separate"/>
            </w:r>
            <w:r w:rsidR="006274EE">
              <w:rPr>
                <w:noProof/>
                <w:webHidden/>
              </w:rPr>
              <w:t>33</w:t>
            </w:r>
            <w:r w:rsidR="006274EE">
              <w:rPr>
                <w:noProof/>
                <w:webHidden/>
              </w:rPr>
              <w:fldChar w:fldCharType="end"/>
            </w:r>
          </w:hyperlink>
        </w:p>
        <w:p w14:paraId="2DBCF94A" w14:textId="5AF893C8" w:rsidR="005121D1" w:rsidRPr="005459EB" w:rsidRDefault="005121D1">
          <w:pPr>
            <w:rPr>
              <w:noProof/>
            </w:rPr>
          </w:pPr>
          <w:r w:rsidRPr="005459EB">
            <w:rPr>
              <w:b/>
              <w:noProof/>
            </w:rPr>
            <w:fldChar w:fldCharType="end"/>
          </w:r>
        </w:p>
      </w:sdtContent>
    </w:sdt>
    <w:p w14:paraId="22BED4F8" w14:textId="39E78557" w:rsidR="00071209" w:rsidRPr="005459EB" w:rsidRDefault="00071209">
      <w:pPr>
        <w:jc w:val="left"/>
        <w:rPr>
          <w:rFonts w:ascii="Times New Roman" w:hAnsi="Times New Roman" w:cs="Times New Roman"/>
          <w:noProof/>
        </w:rPr>
      </w:pPr>
      <w:r>
        <w:rPr>
          <w:noProof/>
        </w:rPr>
        <w:br w:type="page"/>
      </w:r>
    </w:p>
    <w:p w14:paraId="5FF9C265" w14:textId="27076559" w:rsidR="00830990" w:rsidRPr="005459EB" w:rsidRDefault="001F02E1" w:rsidP="00CB6475">
      <w:pPr>
        <w:pStyle w:val="Heading1"/>
        <w:rPr>
          <w:b w:val="0"/>
          <w:noProof/>
          <w:color w:val="2E74B5" w:themeColor="accent1" w:themeShade="BF"/>
        </w:rPr>
      </w:pPr>
      <w:bookmarkStart w:id="3" w:name="_Toc179201287"/>
      <w:r>
        <w:rPr>
          <w:noProof/>
          <w:color w:val="2E74B5" w:themeColor="accent1" w:themeShade="BF"/>
        </w:rPr>
        <w:t>Instrumento de assistência técnica</w:t>
      </w:r>
      <w:bookmarkEnd w:id="3"/>
    </w:p>
    <w:p w14:paraId="06B87F80" w14:textId="08DE9D03" w:rsidR="00F30EDE" w:rsidRPr="005459EB" w:rsidRDefault="004A0655" w:rsidP="00CB203D">
      <w:pPr>
        <w:rPr>
          <w:noProof/>
        </w:rPr>
      </w:pPr>
      <w:r>
        <w:rPr>
          <w:noProof/>
        </w:rPr>
        <w:t xml:space="preserve">Estabelecido em 2021, o </w:t>
      </w:r>
      <w:r>
        <w:rPr>
          <w:b/>
          <w:noProof/>
        </w:rPr>
        <w:t>instrumento de assistência técnica</w:t>
      </w:r>
      <w:r w:rsidR="00894698" w:rsidRPr="00AD3EDB">
        <w:rPr>
          <w:rStyle w:val="FootnoteReference"/>
          <w:bCs/>
          <w:noProof/>
        </w:rPr>
        <w:footnoteReference w:id="2"/>
      </w:r>
      <w:r>
        <w:rPr>
          <w:b/>
          <w:noProof/>
        </w:rPr>
        <w:t xml:space="preserve"> (IAT) é o programa da UE que presta apoio técnico feito à medida dos Estados-Membros para estes melhorarem a capacidade de conceção e execução do seu programa de reformas, nomeadamente através dos respetivos planos nacionais de recuperação e resiliência</w:t>
      </w:r>
      <w:r>
        <w:rPr>
          <w:noProof/>
        </w:rPr>
        <w:t>. O objetivo geral deste instrumento é promover a coesão económica, social e territorial da UE, assistindo os esforços dos Estados-Membros na execução das reformas necessárias para garantir a recuperação económica e social, a resiliência e uma convergência ascendente das economias e sociedades.</w:t>
      </w:r>
    </w:p>
    <w:p w14:paraId="37DCB7F2" w14:textId="3ACE3897" w:rsidR="001450C7" w:rsidRPr="005459EB" w:rsidRDefault="001450C7" w:rsidP="00CB203D">
      <w:pPr>
        <w:rPr>
          <w:noProof/>
        </w:rPr>
      </w:pPr>
      <w:r>
        <w:rPr>
          <w:noProof/>
        </w:rPr>
        <w:t xml:space="preserve">Gerido pela DG REFORM da Comissão Europeia, o IAT pode ser utilizado por qualquer Estado-Membro que tenha dificuldade em definir e executar reformas. Aí se incluem reformas que visem confrontar os desafios identificados no processo de coordenação de políticas económicas do </w:t>
      </w:r>
      <w:r>
        <w:rPr>
          <w:b/>
          <w:noProof/>
        </w:rPr>
        <w:t>Semestre Europeu</w:t>
      </w:r>
      <w:r>
        <w:rPr>
          <w:noProof/>
        </w:rPr>
        <w:t xml:space="preserve"> e as </w:t>
      </w:r>
      <w:r>
        <w:rPr>
          <w:b/>
          <w:noProof/>
        </w:rPr>
        <w:t>prioridades políticas da UE</w:t>
      </w:r>
      <w:r>
        <w:rPr>
          <w:noProof/>
        </w:rPr>
        <w:t xml:space="preserve"> ou reformas empreendidas por </w:t>
      </w:r>
      <w:r>
        <w:rPr>
          <w:b/>
          <w:noProof/>
        </w:rPr>
        <w:t>iniciativa própria dos Estados-Membros</w:t>
      </w:r>
      <w:r>
        <w:rPr>
          <w:noProof/>
        </w:rPr>
        <w:t xml:space="preserve">. O IAT </w:t>
      </w:r>
      <w:r>
        <w:rPr>
          <w:b/>
          <w:noProof/>
        </w:rPr>
        <w:t xml:space="preserve">não faz alocação prévia de fundos </w:t>
      </w:r>
      <w:r>
        <w:rPr>
          <w:noProof/>
        </w:rPr>
        <w:t>por Estado-Membro ou por domínio de intervenção.</w:t>
      </w:r>
    </w:p>
    <w:p w14:paraId="03AE93FF" w14:textId="78E675B0" w:rsidR="00B53B67" w:rsidRPr="005459EB" w:rsidRDefault="000905D0" w:rsidP="00CB203D">
      <w:pPr>
        <w:rPr>
          <w:noProof/>
        </w:rPr>
      </w:pPr>
      <w:r>
        <w:rPr>
          <w:noProof/>
        </w:rPr>
        <w:t xml:space="preserve">O IAT não exige cofinanciamento por parte dos Estados-Membros. O seu orçamento global a título do quadro financeiro plurianual de 2021-2027 situa-se nos </w:t>
      </w:r>
      <w:r>
        <w:rPr>
          <w:b/>
          <w:noProof/>
        </w:rPr>
        <w:t>864,4 milhões de EUR</w:t>
      </w:r>
      <w:r>
        <w:rPr>
          <w:noProof/>
        </w:rPr>
        <w:t>. Além disso, os Estados-Membros podem solicitar assistência técnica adicional através de uma contribuição direta ou no âmbito dos respetivos planos de recuperação e resiliência.</w:t>
      </w:r>
    </w:p>
    <w:tbl>
      <w:tblPr>
        <w:tblStyle w:val="TableGrid"/>
        <w:tblpPr w:leftFromText="180" w:rightFromText="180" w:vertAnchor="text" w:horzAnchor="margin"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128"/>
        <w:gridCol w:w="1128"/>
        <w:gridCol w:w="1128"/>
        <w:gridCol w:w="1128"/>
        <w:gridCol w:w="1128"/>
        <w:gridCol w:w="1128"/>
        <w:gridCol w:w="1129"/>
      </w:tblGrid>
      <w:tr w:rsidR="00B53B67" w:rsidRPr="005459EB" w14:paraId="10394305" w14:textId="77777777" w:rsidTr="00C30C1C">
        <w:trPr>
          <w:trHeight w:val="342"/>
        </w:trPr>
        <w:tc>
          <w:tcPr>
            <w:tcW w:w="1134" w:type="dxa"/>
            <w:tcBorders>
              <w:bottom w:val="single" w:sz="4" w:space="0" w:color="auto"/>
            </w:tcBorders>
            <w:shd w:val="clear" w:color="auto" w:fill="D9E2F3" w:themeFill="accent5" w:themeFillTint="33"/>
            <w:vAlign w:val="center"/>
          </w:tcPr>
          <w:p w14:paraId="5B70614C" w14:textId="77777777" w:rsidR="00B53B67" w:rsidRPr="005459EB" w:rsidRDefault="00B53B67" w:rsidP="00C30C1C">
            <w:pPr>
              <w:rPr>
                <w:noProof/>
              </w:rPr>
            </w:pPr>
            <w:r>
              <w:rPr>
                <w:noProof/>
              </w:rPr>
              <w:t>2021</w:t>
            </w:r>
          </w:p>
        </w:tc>
        <w:tc>
          <w:tcPr>
            <w:tcW w:w="1134" w:type="dxa"/>
            <w:tcBorders>
              <w:bottom w:val="single" w:sz="4" w:space="0" w:color="auto"/>
            </w:tcBorders>
            <w:shd w:val="clear" w:color="auto" w:fill="D9E2F3" w:themeFill="accent5" w:themeFillTint="33"/>
            <w:vAlign w:val="center"/>
          </w:tcPr>
          <w:p w14:paraId="01517B47" w14:textId="77777777" w:rsidR="00B53B67" w:rsidRPr="005459EB" w:rsidRDefault="00B53B67" w:rsidP="00C30C1C">
            <w:pPr>
              <w:rPr>
                <w:noProof/>
              </w:rPr>
            </w:pPr>
            <w:r>
              <w:rPr>
                <w:noProof/>
              </w:rPr>
              <w:t>2022</w:t>
            </w:r>
          </w:p>
        </w:tc>
        <w:tc>
          <w:tcPr>
            <w:tcW w:w="1134" w:type="dxa"/>
            <w:tcBorders>
              <w:bottom w:val="single" w:sz="4" w:space="0" w:color="auto"/>
            </w:tcBorders>
            <w:shd w:val="clear" w:color="auto" w:fill="D9E2F3" w:themeFill="accent5" w:themeFillTint="33"/>
            <w:vAlign w:val="center"/>
          </w:tcPr>
          <w:p w14:paraId="2DF2FE07" w14:textId="77777777" w:rsidR="00B53B67" w:rsidRPr="005459EB" w:rsidRDefault="00B53B67" w:rsidP="00C30C1C">
            <w:pPr>
              <w:rPr>
                <w:noProof/>
              </w:rPr>
            </w:pPr>
            <w:r>
              <w:rPr>
                <w:noProof/>
              </w:rPr>
              <w:t>2023</w:t>
            </w:r>
          </w:p>
        </w:tc>
        <w:tc>
          <w:tcPr>
            <w:tcW w:w="1134" w:type="dxa"/>
            <w:tcBorders>
              <w:bottom w:val="single" w:sz="4" w:space="0" w:color="auto"/>
            </w:tcBorders>
            <w:shd w:val="clear" w:color="auto" w:fill="D9E2F3" w:themeFill="accent5" w:themeFillTint="33"/>
            <w:vAlign w:val="center"/>
          </w:tcPr>
          <w:p w14:paraId="5E0824F7" w14:textId="77777777" w:rsidR="00B53B67" w:rsidRPr="005459EB" w:rsidRDefault="00B53B67" w:rsidP="00C30C1C">
            <w:pPr>
              <w:rPr>
                <w:noProof/>
              </w:rPr>
            </w:pPr>
            <w:r>
              <w:rPr>
                <w:noProof/>
              </w:rPr>
              <w:t>2024</w:t>
            </w:r>
          </w:p>
        </w:tc>
        <w:tc>
          <w:tcPr>
            <w:tcW w:w="1134" w:type="dxa"/>
            <w:tcBorders>
              <w:bottom w:val="single" w:sz="4" w:space="0" w:color="auto"/>
            </w:tcBorders>
            <w:shd w:val="clear" w:color="auto" w:fill="D9E2F3" w:themeFill="accent5" w:themeFillTint="33"/>
            <w:vAlign w:val="center"/>
          </w:tcPr>
          <w:p w14:paraId="797EF593" w14:textId="77777777" w:rsidR="00B53B67" w:rsidRPr="005459EB" w:rsidRDefault="00B53B67" w:rsidP="00C30C1C">
            <w:pPr>
              <w:rPr>
                <w:noProof/>
              </w:rPr>
            </w:pPr>
            <w:r>
              <w:rPr>
                <w:noProof/>
              </w:rPr>
              <w:t>2025</w:t>
            </w:r>
          </w:p>
        </w:tc>
        <w:tc>
          <w:tcPr>
            <w:tcW w:w="1134" w:type="dxa"/>
            <w:tcBorders>
              <w:bottom w:val="single" w:sz="4" w:space="0" w:color="auto"/>
            </w:tcBorders>
            <w:shd w:val="clear" w:color="auto" w:fill="D9E2F3" w:themeFill="accent5" w:themeFillTint="33"/>
            <w:vAlign w:val="center"/>
          </w:tcPr>
          <w:p w14:paraId="16A008D5" w14:textId="77777777" w:rsidR="00B53B67" w:rsidRPr="005459EB" w:rsidRDefault="00B53B67" w:rsidP="00C30C1C">
            <w:pPr>
              <w:rPr>
                <w:noProof/>
              </w:rPr>
            </w:pPr>
            <w:r>
              <w:rPr>
                <w:noProof/>
              </w:rPr>
              <w:t>2026</w:t>
            </w:r>
          </w:p>
        </w:tc>
        <w:tc>
          <w:tcPr>
            <w:tcW w:w="1134" w:type="dxa"/>
            <w:tcBorders>
              <w:bottom w:val="single" w:sz="4" w:space="0" w:color="auto"/>
            </w:tcBorders>
            <w:shd w:val="clear" w:color="auto" w:fill="D9E2F3" w:themeFill="accent5" w:themeFillTint="33"/>
            <w:vAlign w:val="center"/>
          </w:tcPr>
          <w:p w14:paraId="147F93BF" w14:textId="77777777" w:rsidR="00B53B67" w:rsidRPr="005459EB" w:rsidRDefault="00B53B67" w:rsidP="00C30C1C">
            <w:pPr>
              <w:rPr>
                <w:noProof/>
              </w:rPr>
            </w:pPr>
            <w:r>
              <w:rPr>
                <w:noProof/>
              </w:rPr>
              <w:t>2027</w:t>
            </w:r>
          </w:p>
        </w:tc>
        <w:tc>
          <w:tcPr>
            <w:tcW w:w="1134" w:type="dxa"/>
            <w:tcBorders>
              <w:bottom w:val="single" w:sz="4" w:space="0" w:color="auto"/>
            </w:tcBorders>
            <w:shd w:val="clear" w:color="auto" w:fill="D9E2F3" w:themeFill="accent5" w:themeFillTint="33"/>
            <w:vAlign w:val="center"/>
          </w:tcPr>
          <w:p w14:paraId="7D53BAFC" w14:textId="77777777" w:rsidR="00B53B67" w:rsidRPr="005459EB" w:rsidRDefault="00B53B67" w:rsidP="00C30C1C">
            <w:pPr>
              <w:rPr>
                <w:noProof/>
              </w:rPr>
            </w:pPr>
            <w:r>
              <w:rPr>
                <w:noProof/>
              </w:rPr>
              <w:t>Total</w:t>
            </w:r>
          </w:p>
        </w:tc>
      </w:tr>
      <w:tr w:rsidR="00B53B67" w:rsidRPr="005459EB" w14:paraId="4064AD47" w14:textId="77777777" w:rsidTr="00C30C1C">
        <w:trPr>
          <w:trHeight w:val="423"/>
        </w:trPr>
        <w:tc>
          <w:tcPr>
            <w:tcW w:w="1134" w:type="dxa"/>
            <w:tcBorders>
              <w:top w:val="single" w:sz="4" w:space="0" w:color="auto"/>
            </w:tcBorders>
            <w:vAlign w:val="center"/>
          </w:tcPr>
          <w:p w14:paraId="7FCCD8D3" w14:textId="77777777" w:rsidR="00B53B67" w:rsidRPr="005459EB" w:rsidRDefault="00B53B67" w:rsidP="00C30C1C">
            <w:pPr>
              <w:rPr>
                <w:noProof/>
              </w:rPr>
            </w:pPr>
            <w:r>
              <w:rPr>
                <w:noProof/>
              </w:rPr>
              <w:t>116,4</w:t>
            </w:r>
          </w:p>
        </w:tc>
        <w:tc>
          <w:tcPr>
            <w:tcW w:w="1134" w:type="dxa"/>
            <w:tcBorders>
              <w:top w:val="single" w:sz="4" w:space="0" w:color="auto"/>
            </w:tcBorders>
            <w:vAlign w:val="center"/>
          </w:tcPr>
          <w:p w14:paraId="70A717D3" w14:textId="77777777" w:rsidR="00B53B67" w:rsidRPr="005459EB" w:rsidRDefault="00B53B67" w:rsidP="00C30C1C">
            <w:pPr>
              <w:rPr>
                <w:noProof/>
              </w:rPr>
            </w:pPr>
            <w:r>
              <w:rPr>
                <w:noProof/>
              </w:rPr>
              <w:t>118,7</w:t>
            </w:r>
          </w:p>
        </w:tc>
        <w:tc>
          <w:tcPr>
            <w:tcW w:w="1134" w:type="dxa"/>
            <w:tcBorders>
              <w:top w:val="single" w:sz="4" w:space="0" w:color="auto"/>
            </w:tcBorders>
            <w:vAlign w:val="center"/>
          </w:tcPr>
          <w:p w14:paraId="5549FF8C" w14:textId="77777777" w:rsidR="00B53B67" w:rsidRPr="005459EB" w:rsidRDefault="00B53B67" w:rsidP="00C30C1C">
            <w:pPr>
              <w:rPr>
                <w:noProof/>
              </w:rPr>
            </w:pPr>
            <w:r>
              <w:rPr>
                <w:noProof/>
              </w:rPr>
              <w:t>121,1</w:t>
            </w:r>
          </w:p>
        </w:tc>
        <w:tc>
          <w:tcPr>
            <w:tcW w:w="1134" w:type="dxa"/>
            <w:tcBorders>
              <w:top w:val="single" w:sz="4" w:space="0" w:color="auto"/>
            </w:tcBorders>
            <w:vAlign w:val="center"/>
          </w:tcPr>
          <w:p w14:paraId="12DD8E7B" w14:textId="77777777" w:rsidR="00B53B67" w:rsidRPr="005459EB" w:rsidRDefault="00B53B67" w:rsidP="00C30C1C">
            <w:pPr>
              <w:rPr>
                <w:noProof/>
              </w:rPr>
            </w:pPr>
            <w:r>
              <w:rPr>
                <w:noProof/>
              </w:rPr>
              <w:t>123,5</w:t>
            </w:r>
          </w:p>
        </w:tc>
        <w:tc>
          <w:tcPr>
            <w:tcW w:w="1134" w:type="dxa"/>
            <w:tcBorders>
              <w:top w:val="single" w:sz="4" w:space="0" w:color="auto"/>
            </w:tcBorders>
            <w:vAlign w:val="center"/>
          </w:tcPr>
          <w:p w14:paraId="58AFB862" w14:textId="77777777" w:rsidR="00B53B67" w:rsidRPr="005459EB" w:rsidRDefault="00B53B67" w:rsidP="00C30C1C">
            <w:pPr>
              <w:rPr>
                <w:noProof/>
              </w:rPr>
            </w:pPr>
            <w:r>
              <w:rPr>
                <w:noProof/>
              </w:rPr>
              <w:t>126,0</w:t>
            </w:r>
          </w:p>
        </w:tc>
        <w:tc>
          <w:tcPr>
            <w:tcW w:w="1134" w:type="dxa"/>
            <w:tcBorders>
              <w:top w:val="single" w:sz="4" w:space="0" w:color="auto"/>
            </w:tcBorders>
            <w:vAlign w:val="center"/>
          </w:tcPr>
          <w:p w14:paraId="68416E2D" w14:textId="77777777" w:rsidR="00B53B67" w:rsidRPr="005459EB" w:rsidRDefault="00B53B67" w:rsidP="00C30C1C">
            <w:pPr>
              <w:rPr>
                <w:noProof/>
              </w:rPr>
            </w:pPr>
            <w:r>
              <w:rPr>
                <w:noProof/>
              </w:rPr>
              <w:t>128,5</w:t>
            </w:r>
          </w:p>
        </w:tc>
        <w:tc>
          <w:tcPr>
            <w:tcW w:w="1134" w:type="dxa"/>
            <w:tcBorders>
              <w:top w:val="single" w:sz="4" w:space="0" w:color="auto"/>
            </w:tcBorders>
            <w:vAlign w:val="center"/>
          </w:tcPr>
          <w:p w14:paraId="312CA7BD" w14:textId="77777777" w:rsidR="00B53B67" w:rsidRPr="005459EB" w:rsidRDefault="00B53B67" w:rsidP="00C30C1C">
            <w:pPr>
              <w:rPr>
                <w:noProof/>
              </w:rPr>
            </w:pPr>
            <w:r>
              <w:rPr>
                <w:noProof/>
              </w:rPr>
              <w:t>130,4</w:t>
            </w:r>
          </w:p>
        </w:tc>
        <w:tc>
          <w:tcPr>
            <w:tcW w:w="1134" w:type="dxa"/>
            <w:tcBorders>
              <w:top w:val="single" w:sz="4" w:space="0" w:color="auto"/>
            </w:tcBorders>
            <w:vAlign w:val="center"/>
          </w:tcPr>
          <w:p w14:paraId="192BCD03" w14:textId="77777777" w:rsidR="00B53B67" w:rsidRPr="005459EB" w:rsidRDefault="00B53B67" w:rsidP="00C30C1C">
            <w:pPr>
              <w:rPr>
                <w:noProof/>
              </w:rPr>
            </w:pPr>
            <w:r>
              <w:rPr>
                <w:noProof/>
              </w:rPr>
              <w:t>864,4</w:t>
            </w:r>
          </w:p>
        </w:tc>
      </w:tr>
    </w:tbl>
    <w:p w14:paraId="715857AE" w14:textId="43C0B6F3" w:rsidR="00B53B67" w:rsidRPr="005459EB" w:rsidRDefault="00B53B67" w:rsidP="008F1908">
      <w:pPr>
        <w:pStyle w:val="Caption"/>
        <w:spacing w:after="240"/>
        <w:rPr>
          <w:noProof/>
          <w:color w:val="2E74B5" w:themeColor="accent1" w:themeShade="BF"/>
        </w:rPr>
      </w:pPr>
      <w:bookmarkStart w:id="4" w:name="_Ref139911367"/>
      <w:r>
        <w:rPr>
          <w:noProof/>
          <w14:textFill>
            <w14:solidFill>
              <w14:schemeClr w14:val="accent1">
                <w14:lumMod w14:val="75000"/>
                <w14:lumMod w14:val="75000"/>
                <w14:lumMod w14:val="75000"/>
              </w14:schemeClr>
            </w14:solidFill>
          </w14:textFill>
        </w:rPr>
        <w:t xml:space="preserve">Figura </w:t>
      </w:r>
      <w:r w:rsidRPr="005459EB">
        <w:rPr>
          <w:noProof/>
          <w:color w:val="2E74B5" w:themeColor="accent1" w:themeShade="BF"/>
        </w:rPr>
        <w:fldChar w:fldCharType="begin"/>
      </w:r>
      <w:r w:rsidRPr="005459EB">
        <w:rPr>
          <w:noProof/>
          <w14:textFill>
            <w14:solidFill>
              <w14:schemeClr w14:val="accent1">
                <w14:lumMod w14:val="75000"/>
                <w14:lumMod w14:val="75000"/>
                <w14:lumMod w14:val="75000"/>
              </w14:schemeClr>
            </w14:solidFill>
          </w14:textFill>
        </w:rPr>
        <w:instrText xml:space="preserve"> SEQ Figure \* ARABIC </w:instrText>
      </w:r>
      <w:r w:rsidRPr="005459EB">
        <w:rPr>
          <w:noProof/>
          <w:color w:val="2E74B5" w:themeColor="accent1" w:themeShade="BF"/>
        </w:rPr>
        <w:fldChar w:fldCharType="separate"/>
      </w:r>
      <w:r w:rsidR="00F95E79">
        <w:rPr>
          <w:noProof/>
          <w14:textFill>
            <w14:solidFill>
              <w14:schemeClr w14:val="accent1">
                <w14:lumMod w14:val="75000"/>
                <w14:lumMod w14:val="75000"/>
                <w14:lumMod w14:val="75000"/>
              </w14:schemeClr>
            </w14:solidFill>
          </w14:textFill>
        </w:rPr>
        <w:t>1</w:t>
      </w:r>
      <w:r w:rsidRPr="005459EB">
        <w:rPr>
          <w:noProof/>
          <w:color w:val="2E74B5" w:themeColor="accent1" w:themeShade="BF"/>
        </w:rPr>
        <w:fldChar w:fldCharType="end"/>
      </w:r>
      <w:bookmarkEnd w:id="4"/>
      <w:r>
        <w:rPr>
          <w:noProof/>
          <w14:textFill>
            <w14:solidFill>
              <w14:schemeClr w14:val="accent1">
                <w14:lumMod w14:val="75000"/>
                <w14:lumMod w14:val="75000"/>
                <w14:lumMod w14:val="75000"/>
              </w14:schemeClr>
            </w14:solidFill>
          </w14:textFill>
        </w:rPr>
        <w:t>– Programação orçamental do IAT para 2021-2027 (milhões de euros)</w:t>
      </w:r>
    </w:p>
    <w:p w14:paraId="5D58C92F" w14:textId="5980CB20" w:rsidR="0088566D" w:rsidRPr="005459EB" w:rsidRDefault="00584086" w:rsidP="00CB203D">
      <w:pPr>
        <w:rPr>
          <w:noProof/>
        </w:rPr>
      </w:pPr>
      <w:r>
        <w:rPr>
          <w:noProof/>
        </w:rPr>
        <w:t xml:space="preserve">O IAT proporciona às autoridades beneficiárias dos Estados-Membros um acesso único, com base num projeto, a apoio técnico e oportunidades de aprendizagem entre pares, para as ajudar a superar os desafios inerentes às reformas. Trata-se de um </w:t>
      </w:r>
      <w:r>
        <w:rPr>
          <w:b/>
          <w:noProof/>
        </w:rPr>
        <w:t>instrumento</w:t>
      </w:r>
      <w:r>
        <w:rPr>
          <w:noProof/>
        </w:rPr>
        <w:t xml:space="preserve"> orientado para as exigências dos Estados-Membros e organizado em </w:t>
      </w:r>
      <w:r>
        <w:rPr>
          <w:b/>
          <w:noProof/>
        </w:rPr>
        <w:t>ciclos anuais</w:t>
      </w:r>
      <w:r>
        <w:rPr>
          <w:noProof/>
        </w:rPr>
        <w:t>, conforme descrito no anexo 1. O apoio do IAT abrange a disponibilização de conhecimentos especializados e de peritos para o aconselhamento em matéria de políticas, mudança de políticas e elaboração de estratégias e roteiros de reformas, bem como para o apoio a reformas legislativas, institucionais, estruturais e administrativas. Abrange igualmente o reforço das capacidades institucionais, administrativas ou setoriais, seminários, conferências e ateliês, intercâmbios de boas práticas, ações de formação, o desenvolvimento de metodologias comuns, o reforço das capacidades informáticas e a realização de estudos.</w:t>
      </w:r>
    </w:p>
    <w:p w14:paraId="1A820078" w14:textId="0911D7A7" w:rsidR="00855F35" w:rsidRPr="005459EB" w:rsidRDefault="00855F35" w:rsidP="00C22B0D">
      <w:pPr>
        <w:spacing w:after="360"/>
        <w:rPr>
          <w:noProof/>
        </w:rPr>
      </w:pPr>
      <w:r>
        <w:rPr>
          <w:noProof/>
        </w:rPr>
        <w:t>Por conseguinte, o IAT reforça a capacidade institucional e administrativa dos Estados-Membros da UE. O apoio é adaptado às necessidades de reforma e à dotação de capacidade de cada autoridade beneficiária. Cada projeto recebe uma combinação única de conhecimentos especializados dos peritos internos da Comissão Europeia (a seguir, «Comissão») e de peritos das administrações nacionais dos Estados-Membros da UE (por exemplo, através do instrumento de assistência técnica e intercâmbio de informações da Comissão, o TAIEX</w:t>
      </w:r>
      <w:r w:rsidR="005D6C3C" w:rsidRPr="005459EB">
        <w:rPr>
          <w:rStyle w:val="FootnoteReference"/>
          <w:noProof/>
        </w:rPr>
        <w:footnoteReference w:id="3"/>
      </w:r>
      <w:r>
        <w:rPr>
          <w:noProof/>
        </w:rPr>
        <w:t>), de organizações internacionais ou do setor privado. Quando necessário, a Comissão contrata peritos externos no quadro da gestão direta (sobretudo do setor privado) ou da gestão indireta</w:t>
      </w:r>
      <w:r w:rsidR="005D6C3C" w:rsidRPr="005459EB">
        <w:rPr>
          <w:rStyle w:val="FootnoteReference"/>
          <w:noProof/>
        </w:rPr>
        <w:footnoteReference w:id="4"/>
      </w:r>
      <w:r>
        <w:rPr>
          <w:noProof/>
        </w:rPr>
        <w:t xml:space="preserve"> (sobretudo de organizações internacionais). O pessoal da DG REFORM participa plenamente em todo o processo de execução dos projetos.</w:t>
      </w:r>
    </w:p>
    <w:p w14:paraId="635247EC" w14:textId="18CBC350" w:rsidR="006A554C" w:rsidRPr="005459EB" w:rsidRDefault="006A554C" w:rsidP="006A554C">
      <w:pPr>
        <w:pStyle w:val="Heading1"/>
        <w:rPr>
          <w:noProof/>
          <w:color w:val="2E74B5" w:themeColor="accent1" w:themeShade="BF"/>
        </w:rPr>
      </w:pPr>
      <w:bookmarkStart w:id="5" w:name="_Toc179201288"/>
      <w:bookmarkStart w:id="6" w:name="_Toc146743804"/>
      <w:bookmarkStart w:id="7" w:name="_Toc146751215"/>
      <w:r>
        <w:rPr>
          <w:noProof/>
          <w:color w:val="2E74B5" w:themeColor="accent1" w:themeShade="BF"/>
        </w:rPr>
        <w:t>O IAT em 2023</w:t>
      </w:r>
      <w:bookmarkEnd w:id="5"/>
    </w:p>
    <w:p w14:paraId="669E039F" w14:textId="6E123B71" w:rsidR="006A554C" w:rsidRPr="005459EB" w:rsidRDefault="006A554C" w:rsidP="006A554C">
      <w:pPr>
        <w:pStyle w:val="Heading2"/>
        <w:rPr>
          <w:noProof/>
        </w:rPr>
      </w:pPr>
      <w:bookmarkStart w:id="8" w:name="_Toc179201289"/>
      <w:r>
        <w:rPr>
          <w:noProof/>
          <w:color w:val="5B9BD5" w:themeColor="accent1"/>
          <w14:textFill>
            <w14:solidFill>
              <w14:schemeClr w14:val="accent1">
                <w14:lumMod w14:val="75000"/>
                <w14:lumMod w14:val="75000"/>
                <w14:lumMod w14:val="75000"/>
              </w14:schemeClr>
            </w14:solidFill>
          </w14:textFill>
        </w:rPr>
        <w:t>Destaques</w:t>
      </w:r>
      <w:bookmarkEnd w:id="8"/>
    </w:p>
    <w:p w14:paraId="349D51FC" w14:textId="5C109E2A" w:rsidR="00363FA1" w:rsidRPr="005459EB" w:rsidRDefault="00363FA1" w:rsidP="00363FA1">
      <w:pPr>
        <w:rPr>
          <w:noProof/>
        </w:rPr>
      </w:pPr>
      <w:r>
        <w:rPr>
          <w:noProof/>
        </w:rPr>
        <w:t xml:space="preserve">Como em anos anteriores, em 2023, na sequência dos pedidos apresentados pelas autoridades nacionais, o IAT prestou assistência técnica a todos os Estados-Membros num </w:t>
      </w:r>
      <w:r>
        <w:rPr>
          <w:b/>
          <w:noProof/>
        </w:rPr>
        <w:t>vasto leque de domínios de intervenção</w:t>
      </w:r>
      <w:r>
        <w:rPr>
          <w:noProof/>
        </w:rPr>
        <w:t>, nomeadamente a administração pública e governação, a transição ecológica e digital, a competitividade, a saúde e os cuidados de longa duração, a administração das receitas e união aduaneira, a gestão das finanças públicas, a justiça, o Estado de direito, a luta contra a corrupção, a integridade e os contratos públicos, o mercado de trabalho e a proteção social, as competências, a educação e formação e a migração.</w:t>
      </w:r>
    </w:p>
    <w:p w14:paraId="468C9EB8" w14:textId="661B52E9" w:rsidR="008B56AA" w:rsidRPr="005459EB" w:rsidRDefault="00313982" w:rsidP="008F1908">
      <w:pPr>
        <w:spacing w:after="120"/>
        <w:rPr>
          <w:rFonts w:ascii="Times New Roman" w:hAnsi="Times New Roman" w:cs="Times New Roman"/>
          <w:noProof/>
        </w:rPr>
      </w:pPr>
      <w:r>
        <w:rPr>
          <w:rFonts w:ascii="Times New Roman" w:hAnsi="Times New Roman"/>
          <w:noProof/>
          <w:lang w:val="en-GB" w:eastAsia="en-GB"/>
        </w:rPr>
        <w:drawing>
          <wp:inline distT="0" distB="0" distL="0" distR="0" wp14:anchorId="55EC335D" wp14:editId="659F0BAE">
            <wp:extent cx="5239996" cy="3403879"/>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239996" cy="3403879"/>
                    </a:xfrm>
                    <a:prstGeom prst="rect">
                      <a:avLst/>
                    </a:prstGeom>
                    <a:noFill/>
                  </pic:spPr>
                </pic:pic>
              </a:graphicData>
            </a:graphic>
          </wp:inline>
        </w:drawing>
      </w:r>
    </w:p>
    <w:p w14:paraId="0761B41E" w14:textId="5CD5E3E3" w:rsidR="00473AD5" w:rsidRPr="005459EB" w:rsidRDefault="00473AD5" w:rsidP="008F1908">
      <w:pPr>
        <w:pStyle w:val="Caption"/>
        <w:spacing w:after="240"/>
        <w:rPr>
          <w:rFonts w:ascii="Times New Roman" w:hAnsi="Times New Roman" w:cs="Times New Roman"/>
          <w:noProof/>
          <w:color w:val="2E74B5" w:themeColor="accent1" w:themeShade="BF"/>
        </w:rPr>
      </w:pPr>
      <w:r>
        <w:rPr>
          <w:noProof/>
          <w:color w:val="2E74B5" w:themeColor="accent1" w:themeShade="BF"/>
        </w:rPr>
        <w:t xml:space="preserve">Figura </w:t>
      </w:r>
      <w:r w:rsidRPr="005459EB">
        <w:rPr>
          <w:noProof/>
          <w:color w:val="2E74B5" w:themeColor="accent1" w:themeShade="BF"/>
        </w:rPr>
        <w:fldChar w:fldCharType="begin"/>
      </w:r>
      <w:r w:rsidRPr="005459EB">
        <w:rPr>
          <w:noProof/>
          <w:color w:val="2E74B5" w:themeColor="accent1" w:themeShade="BF"/>
        </w:rPr>
        <w:instrText xml:space="preserve"> SEQ Figure \* ARABIC </w:instrText>
      </w:r>
      <w:r w:rsidRPr="005459EB">
        <w:rPr>
          <w:noProof/>
          <w:color w:val="2E74B5" w:themeColor="accent1" w:themeShade="BF"/>
        </w:rPr>
        <w:fldChar w:fldCharType="separate"/>
      </w:r>
      <w:r w:rsidR="00F95E79">
        <w:rPr>
          <w:noProof/>
          <w:color w:val="2E74B5" w:themeColor="accent1" w:themeShade="BF"/>
        </w:rPr>
        <w:t>2</w:t>
      </w:r>
      <w:r w:rsidRPr="005459EB">
        <w:rPr>
          <w:noProof/>
          <w:color w:val="2E74B5" w:themeColor="accent1" w:themeShade="BF"/>
        </w:rPr>
        <w:fldChar w:fldCharType="end"/>
      </w:r>
      <w:r>
        <w:rPr>
          <w:noProof/>
          <w:color w:val="2E74B5" w:themeColor="accent1" w:themeShade="BF"/>
        </w:rPr>
        <w:t xml:space="preserve"> - IAT 2023: Contributo para as prioridades políticas fundamentais</w:t>
      </w:r>
    </w:p>
    <w:p w14:paraId="3942D5BE" w14:textId="1F284E89" w:rsidR="003C0851" w:rsidRPr="005459EB" w:rsidRDefault="003C0851" w:rsidP="00CB203D">
      <w:pPr>
        <w:rPr>
          <w:noProof/>
        </w:rPr>
      </w:pPr>
      <w:r>
        <w:rPr>
          <w:noProof/>
        </w:rPr>
        <w:t xml:space="preserve">Os projetos do IAT de 2023 também apoiaram fortemente a execução dos </w:t>
      </w:r>
      <w:r>
        <w:rPr>
          <w:b/>
          <w:noProof/>
        </w:rPr>
        <w:t>planos de recuperação e resiliência</w:t>
      </w:r>
      <w:r w:rsidRPr="005459EB">
        <w:rPr>
          <w:rStyle w:val="FootnoteReference"/>
          <w:rFonts w:ascii="Times New Roman" w:hAnsi="Times New Roman" w:cs="Times New Roman"/>
          <w:noProof/>
        </w:rPr>
        <w:footnoteReference w:id="5"/>
      </w:r>
      <w:r>
        <w:rPr>
          <w:noProof/>
        </w:rPr>
        <w:t xml:space="preserve"> (PRR) nacionais. O IAT continuou a apoiar os Estados-Membros na conceção e execução das reformas para as </w:t>
      </w:r>
      <w:r>
        <w:rPr>
          <w:b/>
          <w:noProof/>
        </w:rPr>
        <w:t>transições ecológica e digital</w:t>
      </w:r>
      <w:r>
        <w:rPr>
          <w:noProof/>
        </w:rPr>
        <w:t>. A fim de reforçar a solidariedade para com a Ucrânia, o IAT apoiou igualmente os Estados-Membros na adoção de medidas restritivas contra a Rússia. Por fim, em consonância com o Ano Europeu das Competências 2023, o IAT apoiou vários Estados-Membros na elaboração das respetivas estratégias nacionais para superar a escassez e a inadequação de competências.</w:t>
      </w:r>
    </w:p>
    <w:p w14:paraId="746C7815" w14:textId="1992DA6E" w:rsidR="005D6C3C" w:rsidRPr="005459EB" w:rsidRDefault="005D6C3C" w:rsidP="00C22B0D">
      <w:pPr>
        <w:spacing w:after="240"/>
        <w:rPr>
          <w:noProof/>
        </w:rPr>
      </w:pPr>
      <w:r>
        <w:rPr>
          <w:noProof/>
        </w:rPr>
        <w:t>A nível interinstitucional, em 7 de novembro de 2023, a comissária da Coesão e Reformas, Elisa Ferreira, reuniu com a Comissão dos Orçamentos e a Comissão dos Assuntos Económicos e Monetários do Parlamento Europeu para uma troca de pontos de vista sobre a aplicação do IAT.</w:t>
      </w:r>
    </w:p>
    <w:p w14:paraId="13318E6E" w14:textId="54777C96" w:rsidR="009A4BB4" w:rsidRPr="005459EB" w:rsidRDefault="008C41DF" w:rsidP="00CB6475">
      <w:pPr>
        <w:pStyle w:val="Heading3"/>
        <w:rPr>
          <w:color w:val="2E74B5" w:themeColor="accent1" w:themeShade="BF"/>
        </w:rPr>
      </w:pPr>
      <w:bookmarkStart w:id="9" w:name="_Toc179201290"/>
      <w:r>
        <w:rPr>
          <w:color w:val="2E74B5" w:themeColor="accent1" w:themeShade="BF"/>
        </w:rPr>
        <w:t>Administração pública e governação</w:t>
      </w:r>
      <w:bookmarkEnd w:id="9"/>
    </w:p>
    <w:p w14:paraId="5421B5A7" w14:textId="085BC0B0" w:rsidR="00B9054A" w:rsidRPr="005459EB" w:rsidRDefault="00CF1477" w:rsidP="00B9054A">
      <w:pPr>
        <w:rPr>
          <w:noProof/>
        </w:rPr>
      </w:pPr>
      <w:r>
        <w:rPr>
          <w:noProof/>
        </w:rPr>
        <w:t>A Comissão adotou, a</w:t>
      </w:r>
      <w:r>
        <w:rPr>
          <w:rFonts w:ascii="Calibri" w:hAnsi="Calibri"/>
          <w:noProof/>
        </w:rPr>
        <w:t xml:space="preserve"> </w:t>
      </w:r>
      <w:r>
        <w:rPr>
          <w:noProof/>
        </w:rPr>
        <w:t xml:space="preserve">25 de outubro de 2023, uma nova comunicação intitulada </w:t>
      </w:r>
      <w:hyperlink r:id="rId24" w:history="1">
        <w:r>
          <w:rPr>
            <w:rStyle w:val="Hyperlink"/>
            <w:b/>
            <w:noProof/>
            <w:color w:val="034990" w:themeColor="hyperlink" w:themeShade="BF"/>
            <w14:textFill>
              <w14:solidFill>
                <w14:schemeClr w14:val="hlink">
                  <w14:lumMod w14:val="75000"/>
                  <w14:lumMod w14:val="75000"/>
                </w14:schemeClr>
              </w14:solidFill>
            </w14:textFill>
          </w:rPr>
          <w:t>Reforçar o espaço administrativo europeu (ComPAct)</w:t>
        </w:r>
      </w:hyperlink>
      <w:r>
        <w:rPr>
          <w:noProof/>
        </w:rPr>
        <w:t xml:space="preserve">, que propunha ações concretas para ajudar as administrações públicas a satisfazer as necessidades das pessoas e das empresas em toda a Europa. Em 7 de dezembro de 2023, a comissária Elisa Ferreira apresentou o </w:t>
      </w:r>
      <w:r>
        <w:rPr>
          <w:b/>
          <w:noProof/>
        </w:rPr>
        <w:t xml:space="preserve">ComPAct no </w:t>
      </w:r>
      <w:hyperlink r:id="rId25" w:history="1">
        <w:r>
          <w:rPr>
            <w:rStyle w:val="Hyperlink"/>
            <w:b/>
            <w:noProof/>
            <w:color w:val="034990" w:themeColor="hyperlink" w:themeShade="BF"/>
          </w:rPr>
          <w:t>Conselho (Competitividade)</w:t>
        </w:r>
      </w:hyperlink>
      <w:r>
        <w:rPr>
          <w:noProof/>
        </w:rPr>
        <w:t xml:space="preserve"> sobre Mercado Interno e Indústria).</w:t>
      </w:r>
    </w:p>
    <w:p w14:paraId="5C640E06" w14:textId="263C58AD" w:rsidR="00CF1477" w:rsidRPr="005459EB" w:rsidRDefault="008D4D2B" w:rsidP="00B9054A">
      <w:pPr>
        <w:rPr>
          <w:noProof/>
        </w:rPr>
      </w:pPr>
      <w:r>
        <w:rPr>
          <w:noProof/>
        </w:rPr>
        <w:t xml:space="preserve">O ComPAct respondia aos apelos dos Estados-Membros, do Parlamento Europeu e do Comité das Regiões para que a Comissão promova a cooperação e o diálogo político, e contribua para melhorar a capacidade e a qualidade das administrações públicas a nível central, regional e local na UE. O ComPAct responde igualmente às expectativas dos europeus expressas no </w:t>
      </w:r>
      <w:hyperlink r:id="rId26" w:history="1">
        <w:r>
          <w:rPr>
            <w:rStyle w:val="Hyperlink"/>
            <w:b/>
            <w:noProof/>
            <w:color w:val="034990" w:themeColor="hyperlink" w:themeShade="BF"/>
          </w:rPr>
          <w:t>inquérito Eurobarómetro sobre reformas e administrações públicas</w:t>
        </w:r>
      </w:hyperlink>
      <w:r>
        <w:rPr>
          <w:noProof/>
        </w:rPr>
        <w:t>, lançado na primavera de 2023 pela DG REFORM. Mediante este inquérito, os cidadãos apelaram a que as administrações públicas se tornassem menos burocráticas, mais céleres na prestação de serviços, mais transparentes e mais próximas das pessoas. O ComPact é o primeiro conjunto abrangente de ações da Comissão para apoiar a modernização das administrações nacionais e reforçar a sua colaboração transnacional para que, conjuntamente, possam fazer face a desafios comuns.</w:t>
      </w:r>
    </w:p>
    <w:p w14:paraId="3010333B" w14:textId="162EAB1B" w:rsidR="001D3962" w:rsidRPr="005459EB" w:rsidRDefault="00491095" w:rsidP="00CB203D">
      <w:pPr>
        <w:rPr>
          <w:noProof/>
        </w:rPr>
      </w:pPr>
      <w:r>
        <w:rPr>
          <w:noProof/>
        </w:rPr>
        <w:t xml:space="preserve">O ComPAct tem por objetivo </w:t>
      </w:r>
      <w:r>
        <w:rPr>
          <w:b/>
          <w:noProof/>
        </w:rPr>
        <w:t>promover a cooperação e o diálogo político</w:t>
      </w:r>
      <w:r>
        <w:rPr>
          <w:noProof/>
        </w:rPr>
        <w:t xml:space="preserve">, bem como ajudar a </w:t>
      </w:r>
      <w:r>
        <w:rPr>
          <w:b/>
          <w:noProof/>
        </w:rPr>
        <w:t>melhorar a capacidade e a qualidade das administrações públicas a nível central, regional e local na UE</w:t>
      </w:r>
      <w:r>
        <w:rPr>
          <w:noProof/>
        </w:rPr>
        <w:t>. A Comissão propõe um conjunto estratégico de ações para reforçar o Espaço Administrativo Europeu, promovendo um conjunto comum de princípios gerais subjacentes à qualidade da administração pública e reforçando o seu apoio à modernização administrativa dos Estados-Membros.</w:t>
      </w:r>
    </w:p>
    <w:p w14:paraId="54E5D9ED" w14:textId="680B24F1" w:rsidR="00681191" w:rsidRPr="005459EB" w:rsidRDefault="00681191" w:rsidP="00C22B0D">
      <w:pPr>
        <w:spacing w:after="360"/>
        <w:rPr>
          <w:noProof/>
        </w:rPr>
      </w:pPr>
      <w:r>
        <w:rPr>
          <w:noProof/>
        </w:rPr>
        <w:t>Em articulação com o ComPAct, foi lançada, em 2023, uma nova iniciativa emblemática do IAT, a iniciativa Cooperação e intercâmbios entre as administrações públicas (PACE). Esta iniciativa visa promover a aprendizagem entre pares e o intercâmbio de boas práticas entre funcionários públicos de diferentes Estados-Membros, a fim de reforçar a capacidade administrativa, bem como as competências de elaboração e execução de políticas. O estreito alinhamento entre o ComPAct e o IAT contribui para manter a forte ênfase política na melhoria da capacidade operacional e a eficiência das administrações públicas dos Estados-Membros.</w:t>
      </w:r>
    </w:p>
    <w:p w14:paraId="14A97A4D" w14:textId="0B18BC82" w:rsidR="00D34F4F" w:rsidRPr="005459EB" w:rsidRDefault="00A02DF2" w:rsidP="00241898">
      <w:pPr>
        <w:pStyle w:val="Heading2"/>
        <w:spacing w:before="0"/>
        <w:rPr>
          <w:noProof/>
        </w:rPr>
      </w:pPr>
      <w:bookmarkStart w:id="10" w:name="_Toc179201291"/>
      <w:r>
        <w:rPr>
          <w:noProof/>
          <w:color w:val="5B9BD5" w:themeColor="accent1"/>
          <w14:textFill>
            <w14:solidFill>
              <w14:schemeClr w14:val="accent1">
                <w14:lumMod w14:val="75000"/>
                <w14:lumMod w14:val="75000"/>
                <w14:lumMod w14:val="75000"/>
              </w14:schemeClr>
            </w14:solidFill>
          </w14:textFill>
        </w:rPr>
        <w:t>O ciclo de 2023 do IAT - factos e números</w:t>
      </w:r>
      <w:bookmarkEnd w:id="10"/>
    </w:p>
    <w:p w14:paraId="23D93F77" w14:textId="11F5375E" w:rsidR="00655EA2" w:rsidRPr="005459EB" w:rsidRDefault="00694A35" w:rsidP="00D34F4F">
      <w:pPr>
        <w:pStyle w:val="Heading3"/>
        <w:rPr>
          <w:color w:val="2E74B5" w:themeColor="accent1" w:themeShade="BF"/>
        </w:rPr>
      </w:pPr>
      <w:bookmarkStart w:id="11" w:name="_Toc179201292"/>
      <w:r>
        <w:rPr>
          <w:color w:val="2E74B5" w:themeColor="accent1" w:themeShade="BF"/>
        </w:rPr>
        <w:t>Lançamento do ciclo de 2023 do IAT</w:t>
      </w:r>
      <w:bookmarkEnd w:id="11"/>
    </w:p>
    <w:bookmarkEnd w:id="6"/>
    <w:bookmarkEnd w:id="7"/>
    <w:p w14:paraId="39A0E66C" w14:textId="47D5C802" w:rsidR="00E7442C" w:rsidRPr="005459EB" w:rsidRDefault="00B65823" w:rsidP="00CB203D">
      <w:pPr>
        <w:rPr>
          <w:noProof/>
        </w:rPr>
      </w:pPr>
      <w:r>
        <w:rPr>
          <w:noProof/>
        </w:rPr>
        <w:t xml:space="preserve">O ciclo de 2023 do IAT foi lançado durante a </w:t>
      </w:r>
      <w:hyperlink r:id="rId27">
        <w:r>
          <w:rPr>
            <w:rStyle w:val="Hyperlink"/>
            <w:b/>
            <w:noProof/>
            <w:color w:val="034990"/>
            <w14:textFill>
              <w14:solidFill>
                <w14:srgbClr w14:val="034990">
                  <w14:lumMod w14:val="75000"/>
                </w14:srgbClr>
              </w14:solidFill>
            </w14:textFill>
          </w:rPr>
          <w:t>conferência anual sobre o IAT</w:t>
        </w:r>
      </w:hyperlink>
      <w:r>
        <w:rPr>
          <w:rStyle w:val="Hyperlink"/>
          <w:noProof/>
          <w:color w:val="034990"/>
          <w:u w:val="none"/>
          <w14:textFill>
            <w14:solidFill>
              <w14:srgbClr w14:val="034990">
                <w14:lumMod w14:val="75000"/>
              </w14:srgbClr>
            </w14:solidFill>
          </w14:textFill>
        </w:rPr>
        <w:t xml:space="preserve"> </w:t>
      </w:r>
      <w:r>
        <w:rPr>
          <w:rStyle w:val="Hyperlink"/>
          <w:b/>
          <w:noProof/>
          <w:color w:val="034990"/>
          <w14:textFill>
            <w14:solidFill>
              <w14:srgbClr w14:val="034990">
                <w14:lumMod w14:val="75000"/>
              </w14:srgbClr>
            </w14:solidFill>
          </w14:textFill>
        </w:rPr>
        <w:t>«Reforçar a resiliência dos Estados-Membros»</w:t>
      </w:r>
      <w:r>
        <w:rPr>
          <w:noProof/>
        </w:rPr>
        <w:t>, realizada em linha em 5 de maio de 2022. A conferência revelou como pode o IAT apoiar os Estados-Membros na conceção e execução bem-sucedidas de reformas de apoio ao reforço da resiliência, em especial no contexto das crises recentes (pandemia de COVID-19 e invasão da Ucrânia pela Rússia). De igual modo, apresentou as prioridades principais do IAT em 2023, nomeadamente:</w:t>
      </w:r>
    </w:p>
    <w:p w14:paraId="753536E9" w14:textId="0F775E93" w:rsidR="00E7442C" w:rsidRPr="005459EB" w:rsidRDefault="008B14F0" w:rsidP="00CB6475">
      <w:pPr>
        <w:pStyle w:val="ListParagraph"/>
        <w:numPr>
          <w:ilvl w:val="0"/>
          <w:numId w:val="58"/>
        </w:numPr>
        <w:rPr>
          <w:noProof/>
        </w:rPr>
      </w:pPr>
      <w:r>
        <w:rPr>
          <w:noProof/>
        </w:rPr>
        <w:t>apoiar continuamente a execução dos planos de recuperação e resiliência (PRR),</w:t>
      </w:r>
    </w:p>
    <w:p w14:paraId="5F0D6D4A" w14:textId="15E889D0" w:rsidR="000C0E72" w:rsidRPr="005459EB" w:rsidRDefault="008B14F0" w:rsidP="00CB6475">
      <w:pPr>
        <w:pStyle w:val="ListParagraph"/>
        <w:numPr>
          <w:ilvl w:val="0"/>
          <w:numId w:val="58"/>
        </w:numPr>
        <w:rPr>
          <w:noProof/>
        </w:rPr>
      </w:pPr>
      <w:r>
        <w:rPr>
          <w:noProof/>
        </w:rPr>
        <w:t>centrar o apoio nas prioridades da UE selecionadas, através do conceito inovador da DG REFORM dos projetos emblemáticos, que constituem conceitos de projeto propostos proativamente pela Comissão aos Estados-Membros, e</w:t>
      </w:r>
    </w:p>
    <w:p w14:paraId="3DE7BB10" w14:textId="409FE3D1" w:rsidR="00E166CD" w:rsidRPr="005459EB" w:rsidRDefault="008B14F0" w:rsidP="00CB6475">
      <w:pPr>
        <w:pStyle w:val="ListParagraph"/>
        <w:numPr>
          <w:ilvl w:val="0"/>
          <w:numId w:val="58"/>
        </w:numPr>
        <w:rPr>
          <w:noProof/>
        </w:rPr>
      </w:pPr>
      <w:r>
        <w:rPr>
          <w:noProof/>
        </w:rPr>
        <w:t>incentivar a conceção e a execução de projetos plurinacionais e multirregionais.</w:t>
      </w:r>
    </w:p>
    <w:p w14:paraId="3111C736" w14:textId="73324E8B" w:rsidR="00B973B3" w:rsidRPr="005459EB" w:rsidRDefault="006B598C" w:rsidP="00CB203D">
      <w:pPr>
        <w:rPr>
          <w:noProof/>
        </w:rPr>
      </w:pPr>
      <w:r>
        <w:rPr>
          <w:noProof/>
        </w:rPr>
        <w:t xml:space="preserve">A conferência constituiu também a oportunidade de apresentar as </w:t>
      </w:r>
      <w:r>
        <w:rPr>
          <w:b/>
          <w:noProof/>
        </w:rPr>
        <w:t>12 ideias de projetos «emblemáticos» de assistência técnica</w:t>
      </w:r>
      <w:r>
        <w:rPr>
          <w:noProof/>
        </w:rPr>
        <w:t>, avançadas por darem resposta às necessidades de reforma em vários Estados-Membros e estarem ligadas às principais prioridades da UE que os Estados-Membros estão a executar. Visam, pois, apoiar os Estados-Membros a lograrem a execução de reformas que promovam a resiliência e o crescimento.</w:t>
      </w:r>
    </w:p>
    <w:p w14:paraId="180D9CB8" w14:textId="267A99F1" w:rsidR="0080585F" w:rsidRPr="005459EB" w:rsidRDefault="00A44353" w:rsidP="00CB203D">
      <w:pPr>
        <w:rPr>
          <w:noProof/>
        </w:rPr>
      </w:pPr>
      <w:r>
        <w:rPr>
          <w:noProof/>
        </w:rPr>
        <w:t>Além disso, a iniciativa emblemática do IAT de 2022 «</w:t>
      </w:r>
      <w:hyperlink r:id="rId28" w:history="1">
        <w:r>
          <w:rPr>
            <w:rStyle w:val="Hyperlink"/>
            <w:noProof/>
            <w:color w:val="034990" w:themeColor="hyperlink" w:themeShade="BF"/>
            <w14:textFill>
              <w14:solidFill>
                <w14:schemeClr w14:val="hlink">
                  <w14:lumMod w14:val="75000"/>
                  <w14:lumMod w14:val="75000"/>
                </w14:schemeClr>
              </w14:solidFill>
            </w14:textFill>
          </w:rPr>
          <w:t>Academia Europeia de Supervisão das Finanças Digitais para reforçar as competências das autoridades de supervisão financeira</w:t>
        </w:r>
      </w:hyperlink>
      <w:r>
        <w:rPr>
          <w:noProof/>
        </w:rPr>
        <w:t>» voltou a ser proposta para o ciclo de 2023 do IAT.</w:t>
      </w:r>
    </w:p>
    <w:p w14:paraId="088B641D" w14:textId="35CD77D3" w:rsidR="00B65823" w:rsidRPr="005459EB" w:rsidRDefault="005F3ACA" w:rsidP="00C22B0D">
      <w:pPr>
        <w:spacing w:after="0"/>
        <w:rPr>
          <w:rFonts w:ascii="Times New Roman" w:hAnsi="Times New Roman" w:cs="Times New Roman"/>
          <w:noProof/>
        </w:rPr>
      </w:pPr>
      <w:r>
        <w:rPr>
          <w:noProof/>
          <w:lang w:val="en-GB" w:eastAsia="en-GB"/>
        </w:rPr>
        <mc:AlternateContent>
          <mc:Choice Requires="wps">
            <w:drawing>
              <wp:anchor distT="0" distB="0" distL="114300" distR="114300" simplePos="0" relativeHeight="251658240" behindDoc="0" locked="0" layoutInCell="1" allowOverlap="1" wp14:anchorId="2EB73D58" wp14:editId="1FE67417">
                <wp:simplePos x="0" y="0"/>
                <wp:positionH relativeFrom="column">
                  <wp:posOffset>0</wp:posOffset>
                </wp:positionH>
                <wp:positionV relativeFrom="paragraph">
                  <wp:posOffset>0</wp:posOffset>
                </wp:positionV>
                <wp:extent cx="1828800" cy="1828800"/>
                <wp:effectExtent l="0" t="0" r="15240" b="2159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5">
                            <a:lumMod val="40000"/>
                            <a:lumOff val="60000"/>
                          </a:schemeClr>
                        </a:solidFill>
                        <a:ln w="6350">
                          <a:solidFill>
                            <a:prstClr val="black"/>
                          </a:solidFill>
                        </a:ln>
                      </wps:spPr>
                      <wps:txbx>
                        <w:txbxContent>
                          <w:p w14:paraId="49A77262" w14:textId="19983E54" w:rsidR="00473B5D" w:rsidRPr="005459EB" w:rsidRDefault="00473B5D" w:rsidP="00CB6475">
                            <w:pPr>
                              <w:shd w:val="clear" w:color="auto" w:fill="B4C6E7" w:themeFill="accent5" w:themeFillTint="66"/>
                              <w:spacing w:after="0"/>
                              <w:ind w:left="360" w:hanging="360"/>
                              <w:jc w:val="center"/>
                              <w:rPr>
                                <w:b/>
                                <w:bCs/>
                              </w:rPr>
                            </w:pPr>
                            <w:r>
                              <w:rPr>
                                <w:b/>
                              </w:rPr>
                              <w:t>Projetos emblemáticos de assistência técnica do IAT de 2023</w:t>
                            </w:r>
                          </w:p>
                          <w:p w14:paraId="208CF9E2" w14:textId="6563FB1F" w:rsidR="00F13727" w:rsidRPr="005459EB" w:rsidRDefault="00ED73CE" w:rsidP="002C22A7">
                            <w:pPr>
                              <w:numPr>
                                <w:ilvl w:val="0"/>
                                <w:numId w:val="51"/>
                              </w:numPr>
                              <w:spacing w:after="0" w:afterAutospacing="1" w:line="240" w:lineRule="auto"/>
                              <w:jc w:val="left"/>
                              <w:rPr>
                                <w:rFonts w:cs="Arial"/>
                              </w:rPr>
                            </w:pPr>
                            <w:hyperlink r:id="rId29" w:history="1">
                              <w:r w:rsidR="003F00DC">
                                <w:rPr>
                                  <w:rStyle w:val="Hyperlink"/>
                                  <w:color w:val="034990" w:themeColor="hyperlink" w:themeShade="BF"/>
                                  <w14:textFill>
                                    <w14:solidFill>
                                      <w14:schemeClr w14:val="hlink">
                                        <w14:lumMod w14:val="75000"/>
                                        <w14:lumMod w14:val="75000"/>
                                      </w14:schemeClr>
                                    </w14:solidFill>
                                  </w14:textFill>
                                </w:rPr>
                                <w:t>integrar as dimensões ambientais nas finanças públicas — aplicação do princípio de «não prejudicar significativamente» nos programas de financiamento público</w:t>
                              </w:r>
                            </w:hyperlink>
                            <w:r w:rsidR="003F00DC">
                              <w:rPr>
                                <w:rFonts w:ascii="Calibri" w:hAnsi="Calibri"/>
                              </w:rPr>
                              <w:t> </w:t>
                            </w:r>
                          </w:p>
                          <w:p w14:paraId="5B5B1BD1" w14:textId="77777777" w:rsidR="00F13727" w:rsidRPr="005459EB" w:rsidRDefault="00ED73CE" w:rsidP="00F13727">
                            <w:pPr>
                              <w:numPr>
                                <w:ilvl w:val="0"/>
                                <w:numId w:val="51"/>
                              </w:numPr>
                              <w:spacing w:beforeAutospacing="1" w:after="0" w:afterAutospacing="1" w:line="240" w:lineRule="auto"/>
                              <w:jc w:val="left"/>
                              <w:rPr>
                                <w:rFonts w:cs="Arial"/>
                              </w:rPr>
                            </w:pPr>
                            <w:hyperlink r:id="rId30" w:history="1">
                              <w:r w:rsidR="003F00DC">
                                <w:rPr>
                                  <w:rStyle w:val="Hyperlink"/>
                                  <w:color w:val="034990" w:themeColor="hyperlink" w:themeShade="BF"/>
                                  <w14:textFill>
                                    <w14:solidFill>
                                      <w14:schemeClr w14:val="hlink">
                                        <w14:lumMod w14:val="75000"/>
                                        <w14:lumMod w14:val="75000"/>
                                      </w14:schemeClr>
                                    </w14:solidFill>
                                  </w14:textFill>
                                </w:rPr>
                                <w:t>acelerar a concessão de licenças para energias renováveis</w:t>
                              </w:r>
                            </w:hyperlink>
                          </w:p>
                          <w:p w14:paraId="514718C6" w14:textId="009BD64A" w:rsidR="00F13727" w:rsidRPr="005459EB" w:rsidRDefault="00ED73CE" w:rsidP="00F13727">
                            <w:pPr>
                              <w:numPr>
                                <w:ilvl w:val="0"/>
                                <w:numId w:val="51"/>
                              </w:numPr>
                              <w:spacing w:beforeAutospacing="1" w:after="0" w:afterAutospacing="1" w:line="240" w:lineRule="auto"/>
                              <w:jc w:val="left"/>
                              <w:rPr>
                                <w:rFonts w:cs="Arial"/>
                              </w:rPr>
                            </w:pPr>
                            <w:hyperlink r:id="rId31" w:history="1">
                              <w:r w:rsidR="003F00DC">
                                <w:rPr>
                                  <w:rStyle w:val="Hyperlink"/>
                                  <w:color w:val="034990" w:themeColor="hyperlink" w:themeShade="BF"/>
                                  <w14:textFill>
                                    <w14:solidFill>
                                      <w14:schemeClr w14:val="hlink">
                                        <w14:lumMod w14:val="75000"/>
                                        <w14:lumMod w14:val="75000"/>
                                      </w14:schemeClr>
                                    </w14:solidFill>
                                  </w14:textFill>
                                </w:rPr>
                                <w:t>apoiar a adaptação às alterações climáticas</w:t>
                              </w:r>
                            </w:hyperlink>
                          </w:p>
                          <w:p w14:paraId="2F8E3F0B" w14:textId="77777777" w:rsidR="00F13727" w:rsidRPr="005459EB" w:rsidRDefault="00ED73CE" w:rsidP="00F13727">
                            <w:pPr>
                              <w:numPr>
                                <w:ilvl w:val="0"/>
                                <w:numId w:val="51"/>
                              </w:numPr>
                              <w:spacing w:beforeAutospacing="1" w:after="0" w:afterAutospacing="1" w:line="240" w:lineRule="auto"/>
                              <w:jc w:val="left"/>
                              <w:rPr>
                                <w:rFonts w:cs="Arial"/>
                              </w:rPr>
                            </w:pPr>
                            <w:hyperlink r:id="rId32" w:history="1">
                              <w:r w:rsidR="003F00DC">
                                <w:rPr>
                                  <w:rStyle w:val="Hyperlink"/>
                                  <w:color w:val="034990" w:themeColor="hyperlink" w:themeShade="BF"/>
                                  <w14:textFill>
                                    <w14:solidFill>
                                      <w14:schemeClr w14:val="hlink">
                                        <w14:lumMod w14:val="75000"/>
                                        <w14:lumMod w14:val="75000"/>
                                      </w14:schemeClr>
                                    </w14:solidFill>
                                  </w14:textFill>
                                </w:rPr>
                                <w:t>gestão dos riscos ASG para o setor financeiro</w:t>
                              </w:r>
                            </w:hyperlink>
                          </w:p>
                          <w:p w14:paraId="7F155E09" w14:textId="75788A14" w:rsidR="00F13727" w:rsidRPr="005459EB" w:rsidRDefault="00ED73CE" w:rsidP="00F13727">
                            <w:pPr>
                              <w:numPr>
                                <w:ilvl w:val="0"/>
                                <w:numId w:val="51"/>
                              </w:numPr>
                              <w:spacing w:beforeAutospacing="1" w:after="0" w:afterAutospacing="1" w:line="240" w:lineRule="auto"/>
                              <w:jc w:val="left"/>
                              <w:rPr>
                                <w:rFonts w:cs="Arial"/>
                              </w:rPr>
                            </w:pPr>
                            <w:hyperlink r:id="rId33" w:history="1">
                              <w:r w:rsidR="003F00DC">
                                <w:rPr>
                                  <w:rStyle w:val="Hyperlink"/>
                                  <w:color w:val="034990" w:themeColor="hyperlink" w:themeShade="BF"/>
                                  <w14:textFill>
                                    <w14:solidFill>
                                      <w14:schemeClr w14:val="hlink">
                                        <w14:lumMod w14:val="75000"/>
                                        <w14:lumMod w14:val="75000"/>
                                      </w14:schemeClr>
                                    </w14:solidFill>
                                  </w14:textFill>
                                </w:rPr>
                                <w:t>apoiar os ecossistemas industriais</w:t>
                              </w:r>
                            </w:hyperlink>
                          </w:p>
                          <w:p w14:paraId="71C585B0" w14:textId="77777777" w:rsidR="00F13727" w:rsidRPr="005459EB" w:rsidRDefault="00ED73CE" w:rsidP="00F13727">
                            <w:pPr>
                              <w:numPr>
                                <w:ilvl w:val="0"/>
                                <w:numId w:val="51"/>
                              </w:numPr>
                              <w:spacing w:beforeAutospacing="1" w:after="0" w:afterAutospacing="1" w:line="240" w:lineRule="auto"/>
                              <w:jc w:val="left"/>
                              <w:rPr>
                                <w:rFonts w:cs="Arial"/>
                              </w:rPr>
                            </w:pPr>
                            <w:hyperlink r:id="rId34" w:history="1">
                              <w:r w:rsidR="003F00DC">
                                <w:rPr>
                                  <w:rStyle w:val="Hyperlink"/>
                                  <w:color w:val="034990" w:themeColor="hyperlink" w:themeShade="BF"/>
                                  <w14:textFill>
                                    <w14:solidFill>
                                      <w14:schemeClr w14:val="hlink">
                                        <w14:lumMod w14:val="75000"/>
                                        <w14:lumMod w14:val="75000"/>
                                      </w14:schemeClr>
                                    </w14:solidFill>
                                  </w14:textFill>
                                </w:rPr>
                                <w:t>migração e atração de talentos</w:t>
                              </w:r>
                            </w:hyperlink>
                          </w:p>
                          <w:p w14:paraId="41A6AC0B" w14:textId="77777777" w:rsidR="00F13727" w:rsidRPr="005459EB" w:rsidRDefault="00ED73CE" w:rsidP="00F13727">
                            <w:pPr>
                              <w:numPr>
                                <w:ilvl w:val="0"/>
                                <w:numId w:val="51"/>
                              </w:numPr>
                              <w:spacing w:beforeAutospacing="1" w:after="0" w:afterAutospacing="1" w:line="240" w:lineRule="auto"/>
                              <w:jc w:val="left"/>
                              <w:rPr>
                                <w:rFonts w:cs="Arial"/>
                              </w:rPr>
                            </w:pPr>
                            <w:hyperlink r:id="rId35" w:history="1">
                              <w:r w:rsidR="003F00DC">
                                <w:rPr>
                                  <w:rStyle w:val="Hyperlink"/>
                                  <w:color w:val="034990" w:themeColor="hyperlink" w:themeShade="BF"/>
                                  <w14:textFill>
                                    <w14:solidFill>
                                      <w14:schemeClr w14:val="hlink">
                                        <w14:lumMod w14:val="75000"/>
                                        <w14:lumMod w14:val="75000"/>
                                      </w14:schemeClr>
                                    </w14:solidFill>
                                  </w14:textFill>
                                </w:rPr>
                                <w:t>cuidados integrados centrados na pessoa</w:t>
                              </w:r>
                            </w:hyperlink>
                          </w:p>
                          <w:p w14:paraId="32230C9F" w14:textId="77777777" w:rsidR="00F13727" w:rsidRPr="005459EB" w:rsidRDefault="00ED73CE" w:rsidP="00F13727">
                            <w:pPr>
                              <w:numPr>
                                <w:ilvl w:val="0"/>
                                <w:numId w:val="51"/>
                              </w:numPr>
                              <w:spacing w:beforeAutospacing="1" w:after="0" w:afterAutospacing="1" w:line="240" w:lineRule="auto"/>
                              <w:jc w:val="left"/>
                              <w:rPr>
                                <w:rFonts w:cs="Arial"/>
                              </w:rPr>
                            </w:pPr>
                            <w:hyperlink r:id="rId36" w:history="1">
                              <w:r w:rsidR="003F00DC">
                                <w:rPr>
                                  <w:rStyle w:val="Hyperlink"/>
                                  <w:color w:val="034990" w:themeColor="hyperlink" w:themeShade="BF"/>
                                  <w14:textFill>
                                    <w14:solidFill>
                                      <w14:schemeClr w14:val="hlink">
                                        <w14:lumMod w14:val="75000"/>
                                        <w14:lumMod w14:val="75000"/>
                                      </w14:schemeClr>
                                    </w14:solidFill>
                                  </w14:textFill>
                                </w:rPr>
                                <w:t>YOUTH FIRST— apoiar o bem-estar das crianças e dos jovens, a educação, a formação, a proteção social e as perspetivas laborais</w:t>
                              </w:r>
                            </w:hyperlink>
                          </w:p>
                          <w:p w14:paraId="05A7F573" w14:textId="77777777" w:rsidR="00F13727" w:rsidRPr="005459EB" w:rsidRDefault="00ED73CE" w:rsidP="00F13727">
                            <w:pPr>
                              <w:numPr>
                                <w:ilvl w:val="0"/>
                                <w:numId w:val="51"/>
                              </w:numPr>
                              <w:spacing w:beforeAutospacing="1" w:after="0" w:afterAutospacing="1" w:line="240" w:lineRule="auto"/>
                              <w:jc w:val="left"/>
                              <w:rPr>
                                <w:rFonts w:cs="Arial"/>
                              </w:rPr>
                            </w:pPr>
                            <w:hyperlink r:id="rId37" w:history="1">
                              <w:r w:rsidR="003F00DC">
                                <w:rPr>
                                  <w:rStyle w:val="Hyperlink"/>
                                  <w:color w:val="034990" w:themeColor="hyperlink" w:themeShade="BF"/>
                                  <w14:textFill>
                                    <w14:solidFill>
                                      <w14:schemeClr w14:val="hlink">
                                        <w14:lumMod w14:val="75000"/>
                                        <w14:lumMod w14:val="75000"/>
                                      </w14:schemeClr>
                                    </w14:solidFill>
                                  </w14:textFill>
                                </w:rPr>
                                <w:t>PACE — Cooperação e intercâmbios entre as administrações públicas</w:t>
                              </w:r>
                            </w:hyperlink>
                          </w:p>
                          <w:p w14:paraId="177FED69" w14:textId="77777777" w:rsidR="00F13727" w:rsidRPr="005459EB" w:rsidRDefault="00ED73CE" w:rsidP="00F13727">
                            <w:pPr>
                              <w:numPr>
                                <w:ilvl w:val="0"/>
                                <w:numId w:val="51"/>
                              </w:numPr>
                              <w:spacing w:beforeAutospacing="1" w:after="0" w:afterAutospacing="1" w:line="240" w:lineRule="auto"/>
                              <w:jc w:val="left"/>
                              <w:rPr>
                                <w:rFonts w:cs="Arial"/>
                              </w:rPr>
                            </w:pPr>
                            <w:hyperlink r:id="rId38" w:history="1">
                              <w:r w:rsidR="003F00DC">
                                <w:rPr>
                                  <w:rStyle w:val="Hyperlink"/>
                                  <w:color w:val="034990" w:themeColor="hyperlink" w:themeShade="BF"/>
                                  <w14:textFill>
                                    <w14:solidFill>
                                      <w14:schemeClr w14:val="hlink">
                                        <w14:lumMod w14:val="75000"/>
                                        <w14:lumMod w14:val="75000"/>
                                      </w14:schemeClr>
                                    </w14:solidFill>
                                  </w14:textFill>
                                </w:rPr>
                                <w:t>melhorar a qualidade e a utilização das informações fiscais trocadas entre os Estados-Membros no contexto da Diretiva relativa à cooperação administrativa (DCA)</w:t>
                              </w:r>
                            </w:hyperlink>
                          </w:p>
                          <w:p w14:paraId="21C38434" w14:textId="77777777" w:rsidR="00F13727" w:rsidRPr="005459EB" w:rsidRDefault="00ED73CE" w:rsidP="00F13727">
                            <w:pPr>
                              <w:numPr>
                                <w:ilvl w:val="0"/>
                                <w:numId w:val="51"/>
                              </w:numPr>
                              <w:spacing w:beforeAutospacing="1" w:after="0" w:afterAutospacing="1" w:line="240" w:lineRule="auto"/>
                              <w:jc w:val="left"/>
                              <w:rPr>
                                <w:rFonts w:cs="Arial"/>
                              </w:rPr>
                            </w:pPr>
                            <w:hyperlink r:id="rId39" w:history="1">
                              <w:r w:rsidR="003F00DC">
                                <w:rPr>
                                  <w:rStyle w:val="Hyperlink"/>
                                  <w:color w:val="034990" w:themeColor="hyperlink" w:themeShade="BF"/>
                                  <w14:textFill>
                                    <w14:solidFill>
                                      <w14:schemeClr w14:val="hlink">
                                        <w14:lumMod w14:val="75000"/>
                                        <w14:lumMod w14:val="75000"/>
                                      </w14:schemeClr>
                                    </w14:solidFill>
                                  </w14:textFill>
                                </w:rPr>
                                <w:t>profissionalizar o pessoal responsável pela contratação pública:</w:t>
                              </w:r>
                            </w:hyperlink>
                            <w:hyperlink r:id="rId40" w:history="1">
                              <w:r w:rsidR="003F00DC">
                                <w:rPr>
                                  <w:rStyle w:val="Hyperlink"/>
                                  <w:color w:val="034990" w:themeColor="hyperlink" w:themeShade="BF"/>
                                  <w14:textFill>
                                    <w14:solidFill>
                                      <w14:schemeClr w14:val="hlink">
                                        <w14:lumMod w14:val="75000"/>
                                        <w14:lumMod w14:val="75000"/>
                                      </w14:schemeClr>
                                    </w14:solidFill>
                                  </w14:textFill>
                                </w:rPr>
                                <w:t>promover metodologias estratégicas, a integridade e a transparência</w:t>
                              </w:r>
                            </w:hyperlink>
                          </w:p>
                          <w:p w14:paraId="6DEF6C22" w14:textId="0DD902A8" w:rsidR="00F13727" w:rsidRPr="005459EB" w:rsidRDefault="00ED73CE" w:rsidP="00EC281E">
                            <w:pPr>
                              <w:numPr>
                                <w:ilvl w:val="0"/>
                                <w:numId w:val="51"/>
                              </w:numPr>
                              <w:shd w:val="clear" w:color="auto" w:fill="B4C6E7" w:themeFill="accent5" w:themeFillTint="66"/>
                              <w:spacing w:beforeAutospacing="1" w:after="0" w:afterAutospacing="1" w:line="240" w:lineRule="auto"/>
                              <w:jc w:val="left"/>
                              <w:rPr>
                                <w:rFonts w:cs="Times New Roman"/>
                              </w:rPr>
                            </w:pPr>
                            <w:hyperlink r:id="rId41" w:history="1">
                              <w:r w:rsidR="003F00DC">
                                <w:rPr>
                                  <w:rStyle w:val="Hyperlink"/>
                                  <w:color w:val="034990" w:themeColor="hyperlink" w:themeShade="BF"/>
                                  <w14:textFill>
                                    <w14:solidFill>
                                      <w14:schemeClr w14:val="hlink">
                                        <w14:lumMod w14:val="75000"/>
                                        <w14:lumMod w14:val="75000"/>
                                      </w14:schemeClr>
                                    </w14:solidFill>
                                  </w14:textFill>
                                </w:rPr>
                                <w:t>transformação digital para as administrações públicas regionais e locais</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2EB73D58"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82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" fillcolor="#b4c6e7 [1304]" strokeweight=".5pt">
                <v:textbox style="mso-fit-shape-to-text:t">
                  <w:txbxContent>
                    <w:p w14:paraId="49A77262" w14:textId="19983E54" w:rsidR="00473B5D" w:rsidRPr="005459EB" w:rsidRDefault="00473B5D" w:rsidP="00CB6475">
                      <w:pPr>
                        <w:shd w:val="clear" w:color="auto" w:fill="B4C6E7" w:themeFill="accent5" w:themeFillTint="66"/>
                        <w:spacing w:after="0"/>
                        <w:ind w:left="360" w:hanging="360"/>
                        <w:jc w:val="center"/>
                        <w:rPr>
                          <w:b/>
                          <w:bCs/>
                        </w:rPr>
                      </w:pPr>
                      <w:r>
                        <w:rPr>
                          <w:b/>
                        </w:rPr>
                        <w:t>Projetos emblemáticos de assistência técnica do IAT de 2023</w:t>
                      </w:r>
                    </w:p>
                    <w:p w14:paraId="208CF9E2" w14:textId="6563FB1F" w:rsidR="00F13727" w:rsidRPr="005459EB" w:rsidRDefault="00ED73CE" w:rsidP="002C22A7">
                      <w:pPr>
                        <w:numPr>
                          <w:ilvl w:val="0"/>
                          <w:numId w:val="51"/>
                        </w:numPr>
                        <w:spacing w:after="0" w:afterAutospacing="1" w:line="240" w:lineRule="auto"/>
                        <w:jc w:val="left"/>
                        <w:rPr>
                          <w:rFonts w:cs="Arial"/>
                        </w:rPr>
                      </w:pPr>
                      <w:hyperlink r:id="rId42" w:history="1">
                        <w:r w:rsidR="003F00DC">
                          <w:rPr>
                            <w:rStyle w:val="Hyperlink"/>
                            <w:color w:val="034990" w:themeColor="hyperlink" w:themeShade="BF"/>
                            <w14:textFill>
                              <w14:solidFill>
                                <w14:schemeClr w14:val="hlink">
                                  <w14:lumMod w14:val="75000"/>
                                  <w14:lumMod w14:val="75000"/>
                                </w14:schemeClr>
                              </w14:solidFill>
                            </w14:textFill>
                          </w:rPr>
                          <w:t>integrar as dimensões ambientais nas finanças públicas — aplicação do princípio de «não prejudicar significativamente» nos programas de financiamento público</w:t>
                        </w:r>
                      </w:hyperlink>
                      <w:r w:rsidR="003F00DC">
                        <w:rPr>
                          <w:rFonts w:ascii="Calibri" w:hAnsi="Calibri"/>
                        </w:rPr>
                        <w:t> </w:t>
                      </w:r>
                    </w:p>
                    <w:p w14:paraId="5B5B1BD1" w14:textId="77777777" w:rsidR="00F13727" w:rsidRPr="005459EB" w:rsidRDefault="00ED73CE" w:rsidP="00F13727">
                      <w:pPr>
                        <w:numPr>
                          <w:ilvl w:val="0"/>
                          <w:numId w:val="51"/>
                        </w:numPr>
                        <w:spacing w:beforeAutospacing="1" w:after="0" w:afterAutospacing="1" w:line="240" w:lineRule="auto"/>
                        <w:jc w:val="left"/>
                        <w:rPr>
                          <w:rFonts w:cs="Arial"/>
                        </w:rPr>
                      </w:pPr>
                      <w:hyperlink r:id="rId43" w:history="1">
                        <w:r w:rsidR="003F00DC">
                          <w:rPr>
                            <w:rStyle w:val="Hyperlink"/>
                            <w:color w:val="034990" w:themeColor="hyperlink" w:themeShade="BF"/>
                            <w14:textFill>
                              <w14:solidFill>
                                <w14:schemeClr w14:val="hlink">
                                  <w14:lumMod w14:val="75000"/>
                                  <w14:lumMod w14:val="75000"/>
                                </w14:schemeClr>
                              </w14:solidFill>
                            </w14:textFill>
                          </w:rPr>
                          <w:t>acelerar a concessão de licenças para energias renováveis</w:t>
                        </w:r>
                      </w:hyperlink>
                    </w:p>
                    <w:p w14:paraId="514718C6" w14:textId="009BD64A" w:rsidR="00F13727" w:rsidRPr="005459EB" w:rsidRDefault="00ED73CE" w:rsidP="00F13727">
                      <w:pPr>
                        <w:numPr>
                          <w:ilvl w:val="0"/>
                          <w:numId w:val="51"/>
                        </w:numPr>
                        <w:spacing w:beforeAutospacing="1" w:after="0" w:afterAutospacing="1" w:line="240" w:lineRule="auto"/>
                        <w:jc w:val="left"/>
                        <w:rPr>
                          <w:rFonts w:cs="Arial"/>
                        </w:rPr>
                      </w:pPr>
                      <w:hyperlink r:id="rId44" w:history="1">
                        <w:r w:rsidR="003F00DC">
                          <w:rPr>
                            <w:rStyle w:val="Hyperlink"/>
                            <w:color w:val="034990" w:themeColor="hyperlink" w:themeShade="BF"/>
                            <w14:textFill>
                              <w14:solidFill>
                                <w14:schemeClr w14:val="hlink">
                                  <w14:lumMod w14:val="75000"/>
                                  <w14:lumMod w14:val="75000"/>
                                </w14:schemeClr>
                              </w14:solidFill>
                            </w14:textFill>
                          </w:rPr>
                          <w:t>apoiar a adaptação às alterações climáticas</w:t>
                        </w:r>
                      </w:hyperlink>
                    </w:p>
                    <w:p w14:paraId="2F8E3F0B" w14:textId="77777777" w:rsidR="00F13727" w:rsidRPr="005459EB" w:rsidRDefault="00ED73CE" w:rsidP="00F13727">
                      <w:pPr>
                        <w:numPr>
                          <w:ilvl w:val="0"/>
                          <w:numId w:val="51"/>
                        </w:numPr>
                        <w:spacing w:beforeAutospacing="1" w:after="0" w:afterAutospacing="1" w:line="240" w:lineRule="auto"/>
                        <w:jc w:val="left"/>
                        <w:rPr>
                          <w:rFonts w:cs="Arial"/>
                        </w:rPr>
                      </w:pPr>
                      <w:hyperlink r:id="rId45" w:history="1">
                        <w:r w:rsidR="003F00DC">
                          <w:rPr>
                            <w:rStyle w:val="Hyperlink"/>
                            <w:color w:val="034990" w:themeColor="hyperlink" w:themeShade="BF"/>
                            <w14:textFill>
                              <w14:solidFill>
                                <w14:schemeClr w14:val="hlink">
                                  <w14:lumMod w14:val="75000"/>
                                  <w14:lumMod w14:val="75000"/>
                                </w14:schemeClr>
                              </w14:solidFill>
                            </w14:textFill>
                          </w:rPr>
                          <w:t>gestão dos riscos ASG para o setor financeiro</w:t>
                        </w:r>
                      </w:hyperlink>
                    </w:p>
                    <w:p w14:paraId="7F155E09" w14:textId="75788A14" w:rsidR="00F13727" w:rsidRPr="005459EB" w:rsidRDefault="00ED73CE" w:rsidP="00F13727">
                      <w:pPr>
                        <w:numPr>
                          <w:ilvl w:val="0"/>
                          <w:numId w:val="51"/>
                        </w:numPr>
                        <w:spacing w:beforeAutospacing="1" w:after="0" w:afterAutospacing="1" w:line="240" w:lineRule="auto"/>
                        <w:jc w:val="left"/>
                        <w:rPr>
                          <w:rFonts w:cs="Arial"/>
                        </w:rPr>
                      </w:pPr>
                      <w:hyperlink r:id="rId46" w:history="1">
                        <w:r w:rsidR="003F00DC">
                          <w:rPr>
                            <w:rStyle w:val="Hyperlink"/>
                            <w:color w:val="034990" w:themeColor="hyperlink" w:themeShade="BF"/>
                            <w14:textFill>
                              <w14:solidFill>
                                <w14:schemeClr w14:val="hlink">
                                  <w14:lumMod w14:val="75000"/>
                                  <w14:lumMod w14:val="75000"/>
                                </w14:schemeClr>
                              </w14:solidFill>
                            </w14:textFill>
                          </w:rPr>
                          <w:t>apoiar os ecossistemas industriais</w:t>
                        </w:r>
                      </w:hyperlink>
                    </w:p>
                    <w:p w14:paraId="71C585B0" w14:textId="77777777" w:rsidR="00F13727" w:rsidRPr="005459EB" w:rsidRDefault="00ED73CE" w:rsidP="00F13727">
                      <w:pPr>
                        <w:numPr>
                          <w:ilvl w:val="0"/>
                          <w:numId w:val="51"/>
                        </w:numPr>
                        <w:spacing w:beforeAutospacing="1" w:after="0" w:afterAutospacing="1" w:line="240" w:lineRule="auto"/>
                        <w:jc w:val="left"/>
                        <w:rPr>
                          <w:rFonts w:cs="Arial"/>
                        </w:rPr>
                      </w:pPr>
                      <w:hyperlink r:id="rId47" w:history="1">
                        <w:r w:rsidR="003F00DC">
                          <w:rPr>
                            <w:rStyle w:val="Hyperlink"/>
                            <w:color w:val="034990" w:themeColor="hyperlink" w:themeShade="BF"/>
                            <w14:textFill>
                              <w14:solidFill>
                                <w14:schemeClr w14:val="hlink">
                                  <w14:lumMod w14:val="75000"/>
                                  <w14:lumMod w14:val="75000"/>
                                </w14:schemeClr>
                              </w14:solidFill>
                            </w14:textFill>
                          </w:rPr>
                          <w:t>migração e atração de talentos</w:t>
                        </w:r>
                      </w:hyperlink>
                    </w:p>
                    <w:p w14:paraId="41A6AC0B" w14:textId="77777777" w:rsidR="00F13727" w:rsidRPr="005459EB" w:rsidRDefault="00ED73CE" w:rsidP="00F13727">
                      <w:pPr>
                        <w:numPr>
                          <w:ilvl w:val="0"/>
                          <w:numId w:val="51"/>
                        </w:numPr>
                        <w:spacing w:beforeAutospacing="1" w:after="0" w:afterAutospacing="1" w:line="240" w:lineRule="auto"/>
                        <w:jc w:val="left"/>
                        <w:rPr>
                          <w:rFonts w:cs="Arial"/>
                        </w:rPr>
                      </w:pPr>
                      <w:hyperlink r:id="rId48" w:history="1">
                        <w:r w:rsidR="003F00DC">
                          <w:rPr>
                            <w:rStyle w:val="Hyperlink"/>
                            <w:color w:val="034990" w:themeColor="hyperlink" w:themeShade="BF"/>
                            <w14:textFill>
                              <w14:solidFill>
                                <w14:schemeClr w14:val="hlink">
                                  <w14:lumMod w14:val="75000"/>
                                  <w14:lumMod w14:val="75000"/>
                                </w14:schemeClr>
                              </w14:solidFill>
                            </w14:textFill>
                          </w:rPr>
                          <w:t>cuidados integrados centrados na pessoa</w:t>
                        </w:r>
                      </w:hyperlink>
                    </w:p>
                    <w:p w14:paraId="32230C9F" w14:textId="77777777" w:rsidR="00F13727" w:rsidRPr="005459EB" w:rsidRDefault="00ED73CE" w:rsidP="00F13727">
                      <w:pPr>
                        <w:numPr>
                          <w:ilvl w:val="0"/>
                          <w:numId w:val="51"/>
                        </w:numPr>
                        <w:spacing w:beforeAutospacing="1" w:after="0" w:afterAutospacing="1" w:line="240" w:lineRule="auto"/>
                        <w:jc w:val="left"/>
                        <w:rPr>
                          <w:rFonts w:cs="Arial"/>
                        </w:rPr>
                      </w:pPr>
                      <w:hyperlink r:id="rId49" w:history="1">
                        <w:r w:rsidR="003F00DC">
                          <w:rPr>
                            <w:rStyle w:val="Hyperlink"/>
                            <w:color w:val="034990" w:themeColor="hyperlink" w:themeShade="BF"/>
                            <w14:textFill>
                              <w14:solidFill>
                                <w14:schemeClr w14:val="hlink">
                                  <w14:lumMod w14:val="75000"/>
                                  <w14:lumMod w14:val="75000"/>
                                </w14:schemeClr>
                              </w14:solidFill>
                            </w14:textFill>
                          </w:rPr>
                          <w:t>YOUTH FIRST— apoiar o bem-estar das crianças e dos jovens, a educação, a formação, a proteção social e as perspetivas laborais</w:t>
                        </w:r>
                      </w:hyperlink>
                    </w:p>
                    <w:p w14:paraId="05A7F573" w14:textId="77777777" w:rsidR="00F13727" w:rsidRPr="005459EB" w:rsidRDefault="00ED73CE" w:rsidP="00F13727">
                      <w:pPr>
                        <w:numPr>
                          <w:ilvl w:val="0"/>
                          <w:numId w:val="51"/>
                        </w:numPr>
                        <w:spacing w:beforeAutospacing="1" w:after="0" w:afterAutospacing="1" w:line="240" w:lineRule="auto"/>
                        <w:jc w:val="left"/>
                        <w:rPr>
                          <w:rFonts w:cs="Arial"/>
                        </w:rPr>
                      </w:pPr>
                      <w:hyperlink r:id="rId50" w:history="1">
                        <w:r w:rsidR="003F00DC">
                          <w:rPr>
                            <w:rStyle w:val="Hyperlink"/>
                            <w:color w:val="034990" w:themeColor="hyperlink" w:themeShade="BF"/>
                            <w14:textFill>
                              <w14:solidFill>
                                <w14:schemeClr w14:val="hlink">
                                  <w14:lumMod w14:val="75000"/>
                                  <w14:lumMod w14:val="75000"/>
                                </w14:schemeClr>
                              </w14:solidFill>
                            </w14:textFill>
                          </w:rPr>
                          <w:t>PACE — Cooperação e intercâmbios entre as administrações públicas</w:t>
                        </w:r>
                      </w:hyperlink>
                    </w:p>
                    <w:p w14:paraId="177FED69" w14:textId="77777777" w:rsidR="00F13727" w:rsidRPr="005459EB" w:rsidRDefault="00ED73CE" w:rsidP="00F13727">
                      <w:pPr>
                        <w:numPr>
                          <w:ilvl w:val="0"/>
                          <w:numId w:val="51"/>
                        </w:numPr>
                        <w:spacing w:beforeAutospacing="1" w:after="0" w:afterAutospacing="1" w:line="240" w:lineRule="auto"/>
                        <w:jc w:val="left"/>
                        <w:rPr>
                          <w:rFonts w:cs="Arial"/>
                        </w:rPr>
                      </w:pPr>
                      <w:hyperlink r:id="rId51" w:history="1">
                        <w:r w:rsidR="003F00DC">
                          <w:rPr>
                            <w:rStyle w:val="Hyperlink"/>
                            <w:color w:val="034990" w:themeColor="hyperlink" w:themeShade="BF"/>
                            <w14:textFill>
                              <w14:solidFill>
                                <w14:schemeClr w14:val="hlink">
                                  <w14:lumMod w14:val="75000"/>
                                  <w14:lumMod w14:val="75000"/>
                                </w14:schemeClr>
                              </w14:solidFill>
                            </w14:textFill>
                          </w:rPr>
                          <w:t>melhorar a qualidade e a utilização das informações fiscais trocadas entre os Estados-Membros no contexto da Diretiva relativa à cooperação administrativa (DCA)</w:t>
                        </w:r>
                      </w:hyperlink>
                    </w:p>
                    <w:p w14:paraId="21C38434" w14:textId="77777777" w:rsidR="00F13727" w:rsidRPr="005459EB" w:rsidRDefault="00ED73CE" w:rsidP="00F13727">
                      <w:pPr>
                        <w:numPr>
                          <w:ilvl w:val="0"/>
                          <w:numId w:val="51"/>
                        </w:numPr>
                        <w:spacing w:beforeAutospacing="1" w:after="0" w:afterAutospacing="1" w:line="240" w:lineRule="auto"/>
                        <w:jc w:val="left"/>
                        <w:rPr>
                          <w:rFonts w:cs="Arial"/>
                        </w:rPr>
                      </w:pPr>
                      <w:hyperlink r:id="rId52" w:history="1">
                        <w:r w:rsidR="003F00DC">
                          <w:rPr>
                            <w:rStyle w:val="Hyperlink"/>
                            <w:color w:val="034990" w:themeColor="hyperlink" w:themeShade="BF"/>
                            <w14:textFill>
                              <w14:solidFill>
                                <w14:schemeClr w14:val="hlink">
                                  <w14:lumMod w14:val="75000"/>
                                  <w14:lumMod w14:val="75000"/>
                                </w14:schemeClr>
                              </w14:solidFill>
                            </w14:textFill>
                          </w:rPr>
                          <w:t>profissionalizar o pessoal responsável pela contratação pública:</w:t>
                        </w:r>
                      </w:hyperlink>
                      <w:hyperlink r:id="rId53" w:history="1">
                        <w:r w:rsidR="003F00DC">
                          <w:rPr>
                            <w:rStyle w:val="Hyperlink"/>
                            <w:color w:val="034990" w:themeColor="hyperlink" w:themeShade="BF"/>
                            <w14:textFill>
                              <w14:solidFill>
                                <w14:schemeClr w14:val="hlink">
                                  <w14:lumMod w14:val="75000"/>
                                  <w14:lumMod w14:val="75000"/>
                                </w14:schemeClr>
                              </w14:solidFill>
                            </w14:textFill>
                          </w:rPr>
                          <w:t>promover metodologias estratégicas, a integridade e a transparência</w:t>
                        </w:r>
                      </w:hyperlink>
                    </w:p>
                    <w:p w14:paraId="6DEF6C22" w14:textId="0DD902A8" w:rsidR="00F13727" w:rsidRPr="005459EB" w:rsidRDefault="00ED73CE" w:rsidP="00EC281E">
                      <w:pPr>
                        <w:numPr>
                          <w:ilvl w:val="0"/>
                          <w:numId w:val="51"/>
                        </w:numPr>
                        <w:shd w:val="clear" w:color="auto" w:fill="B4C6E7" w:themeFill="accent5" w:themeFillTint="66"/>
                        <w:spacing w:beforeAutospacing="1" w:after="0" w:afterAutospacing="1" w:line="240" w:lineRule="auto"/>
                        <w:jc w:val="left"/>
                        <w:rPr>
                          <w:rFonts w:cs="Times New Roman"/>
                        </w:rPr>
                      </w:pPr>
                      <w:hyperlink r:id="rId54" w:history="1">
                        <w:r w:rsidR="003F00DC">
                          <w:rPr>
                            <w:rStyle w:val="Hyperlink"/>
                            <w:color w:val="034990" w:themeColor="hyperlink" w:themeShade="BF"/>
                            <w14:textFill>
                              <w14:solidFill>
                                <w14:schemeClr w14:val="hlink">
                                  <w14:lumMod w14:val="75000"/>
                                  <w14:lumMod w14:val="75000"/>
                                </w14:schemeClr>
                              </w14:solidFill>
                            </w14:textFill>
                          </w:rPr>
                          <w:t>transformação digital para as administrações públicas regionais e locais</w:t>
                        </w:r>
                      </w:hyperlink>
                    </w:p>
                  </w:txbxContent>
                </v:textbox>
                <w10:wrap type="square"/>
              </v:shape>
            </w:pict>
          </mc:Fallback>
        </mc:AlternateContent>
      </w:r>
    </w:p>
    <w:p w14:paraId="4C9266EA" w14:textId="48CA141A" w:rsidR="00E82967" w:rsidRPr="005459EB" w:rsidRDefault="00A31A2F" w:rsidP="00CB6475">
      <w:pPr>
        <w:pStyle w:val="Heading3"/>
        <w:rPr>
          <w:color w:val="2E74B5" w:themeColor="accent1" w:themeShade="BF"/>
        </w:rPr>
      </w:pPr>
      <w:bookmarkStart w:id="12" w:name="_Toc179201293"/>
      <w:r>
        <w:rPr>
          <w:color w:val="2E74B5" w:themeColor="accent1" w:themeShade="BF"/>
        </w:rPr>
        <w:t>Pedidos de assistência do IAT de 2023</w:t>
      </w:r>
      <w:bookmarkEnd w:id="12"/>
    </w:p>
    <w:p w14:paraId="5765DE76" w14:textId="3E9226D8" w:rsidR="00DA4926" w:rsidRPr="005459EB" w:rsidRDefault="000B7572" w:rsidP="00CB203D">
      <w:pPr>
        <w:rPr>
          <w:noProof/>
        </w:rPr>
      </w:pPr>
      <w:r>
        <w:rPr>
          <w:noProof/>
        </w:rPr>
        <w:t xml:space="preserve">Em resposta ao convite geral à apresentação de pedidos do IAT de 2023, até 31 de outubro de 2022, </w:t>
      </w:r>
      <w:r>
        <w:rPr>
          <w:b/>
          <w:noProof/>
        </w:rPr>
        <w:t>27 Estados-Membros tinham apresentado 530 pedidos</w:t>
      </w:r>
      <w:r>
        <w:rPr>
          <w:noProof/>
        </w:rPr>
        <w:t xml:space="preserve"> de assistência técnica, num montante total de 256 milhões de EUR, mais do dobro do montante de financiamento disponível. Embora todos os pedidos apresentados tenham sido considerados elegíveis</w:t>
      </w:r>
      <w:r w:rsidR="001D2BC0" w:rsidRPr="005459EB">
        <w:rPr>
          <w:rStyle w:val="FootnoteReference"/>
          <w:noProof/>
        </w:rPr>
        <w:footnoteReference w:id="6"/>
      </w:r>
      <w:r>
        <w:rPr>
          <w:noProof/>
        </w:rPr>
        <w:t>, os Estados-Membros requerentes retiraram sete deles durante a fase de avaliação.</w:t>
      </w:r>
      <w:r>
        <w:rPr>
          <w:noProof/>
          <w:color w:val="FF0000"/>
          <w14:textFill>
            <w14:solidFill>
              <w14:srgbClr w14:val="FF0000">
                <w14:lumMod w14:val="75000"/>
              </w14:srgbClr>
            </w14:solidFill>
          </w14:textFill>
        </w:rPr>
        <w:t xml:space="preserve"> </w:t>
      </w:r>
      <w:r>
        <w:rPr>
          <w:noProof/>
        </w:rPr>
        <w:t>Assim, foram avaliados 523 pedidos para seleção.</w:t>
      </w:r>
    </w:p>
    <w:p w14:paraId="172DCA43" w14:textId="77777777" w:rsidR="00896D49" w:rsidRDefault="00896D49" w:rsidP="00896D49">
      <w:pPr>
        <w:rPr>
          <w:noProof/>
        </w:rPr>
      </w:pPr>
      <w:r>
        <w:rPr>
          <w:noProof/>
        </w:rPr>
        <w:t>A DG REFORM assegurou, através de um processo de tomada de decisão bem definido (ver o anexo 1), que os projetos são selecionados com base nos critérios de avaliação definidos no artigo 9.º, n.º 5, do Regulamento IAT. Os pedidos são analisados atendendo à urgência, amplitude e magnitude dos desafios identificados, às necessidades de assistência nos domínios de intervenção em causa, à análise dos indicadores socioeconómicos e à capacidade institucional e administrativa geral do Estado-Membro em causa. Através da verificação da elegibilidade, a DG REFORM assegura igualmente que as ações são elegíveis em conformidade com o artigo 8.º do Regulamento IAT.</w:t>
      </w:r>
    </w:p>
    <w:p w14:paraId="772EFD3D" w14:textId="52B52C8D" w:rsidR="00896D49" w:rsidRPr="005459EB" w:rsidRDefault="00896D49" w:rsidP="00896D49">
      <w:pPr>
        <w:rPr>
          <w:noProof/>
        </w:rPr>
      </w:pPr>
      <w:r>
        <w:rPr>
          <w:noProof/>
        </w:rPr>
        <w:t xml:space="preserve">A Comissão pode apoiar os Estados-Membros com </w:t>
      </w:r>
      <w:r>
        <w:rPr>
          <w:b/>
          <w:noProof/>
        </w:rPr>
        <w:t>medidas especiais</w:t>
      </w:r>
      <w:r>
        <w:rPr>
          <w:noProof/>
        </w:rPr>
        <w:t xml:space="preserve"> para responder a necessidades urgentes. De facto, nos termos do artigo 12.º, n.º 7, do Regulamento IAT, a DG REFORM pode adotar medidas especiais, em conformidade com os objetivos e ações estabelecidos no referido regulamento, a fim de prestar assistência técnica às autoridades nacionais para responder a </w:t>
      </w:r>
      <w:r>
        <w:rPr>
          <w:b/>
          <w:noProof/>
        </w:rPr>
        <w:t>necessidades urgentes</w:t>
      </w:r>
      <w:r>
        <w:rPr>
          <w:noProof/>
        </w:rPr>
        <w:t>. Essas medidas especiais têm um caráter provisório e devem estar relacionadas com as circunstâncias previstas no artigo 9.º, n.º 3, (nomeadamente, a elaboração ou execução dos planos de recuperação e resiliência ao abrigo do Mecanismo de Recuperação e Resiliência, reformas no contexto dos processos de governação económica, em especial das recomendações específicas por país (REP), e a execução de programas de ajustamento económico). Em 2023, a DG REFORM não apoiou qualquer medida especial.</w:t>
      </w:r>
    </w:p>
    <w:p w14:paraId="1FCE721F" w14:textId="592BFBAE" w:rsidR="00FA3B46" w:rsidRPr="005459EB" w:rsidRDefault="00FA3B46" w:rsidP="00CB203D">
      <w:pPr>
        <w:rPr>
          <w:noProof/>
        </w:rPr>
      </w:pPr>
      <w:r>
        <w:rPr>
          <w:noProof/>
        </w:rPr>
        <w:t>A DG REFORM consultou os outros serviços e direções-gerais da Comissão para se assegurar que a assistência técnica prestada ao abrigo do IAT de 2023 era coerente com as políticas da UE, não duplicava outras ações e financiamentos da UE e complementava e tirava partido de outros programas da UE.</w:t>
      </w:r>
    </w:p>
    <w:p w14:paraId="7FDEBFDA" w14:textId="07633528" w:rsidR="00D9652E" w:rsidRPr="005459EB" w:rsidRDefault="00D9652E" w:rsidP="00D9652E">
      <w:pPr>
        <w:rPr>
          <w:noProof/>
        </w:rPr>
      </w:pPr>
      <w:r>
        <w:rPr>
          <w:noProof/>
        </w:rPr>
        <w:t>De um modo mais geral, os pedidos apresentados respondiam às necessidades de assistência à execução de reformas identificadas em diferentes circunstâncias, nomeadamente no contexto das prioridades de reforma dos próprios Estados-Membros e das reformas destinadas a dar resposta aos desafios identificados através do processo de governação económica da UE, bem como às ligadas à execução das prioridades da UE.</w:t>
      </w:r>
    </w:p>
    <w:p w14:paraId="379A45E3" w14:textId="6D4116A2" w:rsidR="00D9652E" w:rsidRPr="005459EB" w:rsidRDefault="00404B76" w:rsidP="008F1908">
      <w:pPr>
        <w:spacing w:after="120"/>
        <w:rPr>
          <w:rFonts w:ascii="Times New Roman" w:hAnsi="Times New Roman" w:cs="Times New Roman"/>
          <w:noProof/>
        </w:rPr>
      </w:pPr>
      <w:r>
        <w:rPr>
          <w:rFonts w:ascii="Times New Roman" w:hAnsi="Times New Roman" w:cs="Times New Roman"/>
          <w:noProof/>
          <w:lang w:val="en-GB" w:eastAsia="en-GB"/>
        </w:rPr>
        <w:drawing>
          <wp:inline distT="0" distB="0" distL="0" distR="0" wp14:anchorId="5893B7D0" wp14:editId="24E1D820">
            <wp:extent cx="5608533" cy="2593075"/>
            <wp:effectExtent l="0" t="0" r="0" b="0"/>
            <wp:docPr id="76054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636622" cy="2606062"/>
                    </a:xfrm>
                    <a:prstGeom prst="rect">
                      <a:avLst/>
                    </a:prstGeom>
                    <a:noFill/>
                  </pic:spPr>
                </pic:pic>
              </a:graphicData>
            </a:graphic>
          </wp:inline>
        </w:drawing>
      </w:r>
    </w:p>
    <w:p w14:paraId="3477D7A1" w14:textId="0E996170" w:rsidR="00D9652E" w:rsidRPr="005459EB" w:rsidRDefault="00D9652E" w:rsidP="008F1908">
      <w:pPr>
        <w:pStyle w:val="Caption"/>
        <w:spacing w:after="240"/>
        <w:rPr>
          <w:rFonts w:ascii="Times New Roman" w:hAnsi="Times New Roman" w:cs="Times New Roman"/>
          <w:noProof/>
          <w:color w:val="2E74B5" w:themeColor="accent1" w:themeShade="BF"/>
        </w:rPr>
      </w:pPr>
      <w:r>
        <w:rPr>
          <w:noProof/>
          <w:color w:val="2E74B5" w:themeColor="accent1" w:themeShade="BF"/>
        </w:rPr>
        <w:t xml:space="preserve">Figura </w:t>
      </w:r>
      <w:r w:rsidRPr="005459EB">
        <w:rPr>
          <w:noProof/>
          <w:color w:val="2E74B5" w:themeColor="accent1" w:themeShade="BF"/>
        </w:rPr>
        <w:fldChar w:fldCharType="begin"/>
      </w:r>
      <w:r w:rsidRPr="005459EB">
        <w:rPr>
          <w:noProof/>
          <w:color w:val="2E74B5" w:themeColor="accent1" w:themeShade="BF"/>
        </w:rPr>
        <w:instrText xml:space="preserve"> SEQ Figure \* ARABIC </w:instrText>
      </w:r>
      <w:r w:rsidRPr="005459EB">
        <w:rPr>
          <w:noProof/>
          <w:color w:val="2E74B5" w:themeColor="accent1" w:themeShade="BF"/>
        </w:rPr>
        <w:fldChar w:fldCharType="separate"/>
      </w:r>
      <w:r w:rsidR="00F95E79">
        <w:rPr>
          <w:noProof/>
          <w:color w:val="2E74B5" w:themeColor="accent1" w:themeShade="BF"/>
        </w:rPr>
        <w:t>3</w:t>
      </w:r>
      <w:r w:rsidRPr="005459EB">
        <w:rPr>
          <w:noProof/>
          <w:color w:val="2E74B5" w:themeColor="accent1" w:themeShade="BF"/>
        </w:rPr>
        <w:fldChar w:fldCharType="end"/>
      </w:r>
      <w:r>
        <w:rPr>
          <w:noProof/>
          <w:color w:val="2E74B5" w:themeColor="accent1" w:themeShade="BF"/>
        </w:rPr>
        <w:t xml:space="preserve"> - IAT 2023: Circunstâncias dos pedidos dos Estados-Membros</w:t>
      </w:r>
    </w:p>
    <w:p w14:paraId="0229B4EF" w14:textId="752144EC" w:rsidR="000345D3" w:rsidRPr="005459EB" w:rsidRDefault="00D9652E" w:rsidP="00CB203D">
      <w:pPr>
        <w:rPr>
          <w:noProof/>
        </w:rPr>
      </w:pPr>
      <w:r>
        <w:rPr>
          <w:b/>
          <w:noProof/>
        </w:rPr>
        <w:t xml:space="preserve">No âmbito </w:t>
      </w:r>
      <w:r>
        <w:rPr>
          <w:noProof/>
        </w:rPr>
        <w:t xml:space="preserve">do convite geral à apresentação de pedidos </w:t>
      </w:r>
      <w:r>
        <w:rPr>
          <w:b/>
          <w:noProof/>
        </w:rPr>
        <w:t>do IAT de 2023</w:t>
      </w:r>
      <w:r>
        <w:rPr>
          <w:noProof/>
        </w:rPr>
        <w:t xml:space="preserve">, na sequência do processo de avaliação e seleção descrito no anexo 1, </w:t>
      </w:r>
      <w:r>
        <w:rPr>
          <w:b/>
          <w:noProof/>
        </w:rPr>
        <w:t>foram selecionados</w:t>
      </w:r>
      <w:r>
        <w:rPr>
          <w:noProof/>
        </w:rPr>
        <w:t xml:space="preserve"> </w:t>
      </w:r>
      <w:r>
        <w:rPr>
          <w:b/>
          <w:noProof/>
        </w:rPr>
        <w:t>231 pedidos</w:t>
      </w:r>
      <w:r>
        <w:rPr>
          <w:noProof/>
        </w:rPr>
        <w:t>,</w:t>
      </w:r>
      <w:r>
        <w:rPr>
          <w:b/>
          <w:noProof/>
        </w:rPr>
        <w:t xml:space="preserve"> num montante de 119,7 milhões de EUR</w:t>
      </w:r>
      <w:r>
        <w:rPr>
          <w:noProof/>
        </w:rPr>
        <w:t>, abrangendo as principais prioridades da UE, mais especificamente</w:t>
      </w:r>
      <w:r w:rsidR="000345D3" w:rsidRPr="005459EB">
        <w:rPr>
          <w:rStyle w:val="FootnoteReference"/>
          <w:rFonts w:ascii="Times New Roman" w:hAnsi="Times New Roman" w:cs="Times New Roman"/>
          <w:noProof/>
        </w:rPr>
        <w:footnoteReference w:id="7"/>
      </w:r>
      <w:r>
        <w:rPr>
          <w:noProof/>
        </w:rPr>
        <w:t>:</w:t>
      </w:r>
    </w:p>
    <w:p w14:paraId="150EE7DA" w14:textId="7057EC7F" w:rsidR="000345D3" w:rsidRPr="005459EB" w:rsidRDefault="00FD65B3" w:rsidP="00CB6475">
      <w:pPr>
        <w:pStyle w:val="ListParagraph"/>
        <w:numPr>
          <w:ilvl w:val="0"/>
          <w:numId w:val="54"/>
        </w:numPr>
        <w:rPr>
          <w:noProof/>
        </w:rPr>
      </w:pPr>
      <w:r>
        <w:rPr>
          <w:noProof/>
        </w:rPr>
        <w:t>90 pedidos relacionados com a execução dos PRR nacionais,</w:t>
      </w:r>
    </w:p>
    <w:p w14:paraId="77E1646B" w14:textId="7D287E22" w:rsidR="000345D3" w:rsidRPr="005459EB" w:rsidRDefault="00D6746E" w:rsidP="00CB6475">
      <w:pPr>
        <w:pStyle w:val="ListParagraph"/>
        <w:numPr>
          <w:ilvl w:val="0"/>
          <w:numId w:val="54"/>
        </w:numPr>
        <w:rPr>
          <w:noProof/>
        </w:rPr>
      </w:pPr>
      <w:r>
        <w:rPr>
          <w:noProof/>
        </w:rPr>
        <w:t>69 pedidos relacionados com a transição digital,</w:t>
      </w:r>
    </w:p>
    <w:p w14:paraId="1CD665FE" w14:textId="5BFEE1E0" w:rsidR="000345D3" w:rsidRPr="005459EB" w:rsidRDefault="00B00B2E" w:rsidP="00CB6475">
      <w:pPr>
        <w:pStyle w:val="ListParagraph"/>
        <w:numPr>
          <w:ilvl w:val="0"/>
          <w:numId w:val="54"/>
        </w:numPr>
        <w:rPr>
          <w:noProof/>
        </w:rPr>
      </w:pPr>
      <w:r>
        <w:rPr>
          <w:noProof/>
        </w:rPr>
        <w:t>83 pedidos relacionados com o Pacto Ecológico Europeu,</w:t>
      </w:r>
    </w:p>
    <w:p w14:paraId="68138455" w14:textId="5CFF212B" w:rsidR="000345D3" w:rsidRPr="005459EB" w:rsidRDefault="00B00B2E" w:rsidP="00CB6475">
      <w:pPr>
        <w:pStyle w:val="ListParagraph"/>
        <w:numPr>
          <w:ilvl w:val="0"/>
          <w:numId w:val="54"/>
        </w:numPr>
        <w:rPr>
          <w:noProof/>
        </w:rPr>
      </w:pPr>
      <w:r>
        <w:rPr>
          <w:noProof/>
        </w:rPr>
        <w:t>34 pedidos relacionados com a igualdade: apoio às mulheres, às pessoas com deficiência, à comunidade cigana, aos migrantes, aos idosos e à comunidade LGBTIQ+.</w:t>
      </w:r>
    </w:p>
    <w:p w14:paraId="6812D6A0" w14:textId="4E40F968" w:rsidR="00A34126" w:rsidRPr="005459EB" w:rsidRDefault="00A34126" w:rsidP="00C22B0D">
      <w:pPr>
        <w:spacing w:after="240"/>
        <w:rPr>
          <w:noProof/>
        </w:rPr>
      </w:pPr>
      <w:r>
        <w:rPr>
          <w:noProof/>
        </w:rPr>
        <w:t>O apoio do IAT de 2023 abrangeu medidas em todos os Estados-Membros.</w:t>
      </w:r>
    </w:p>
    <w:p w14:paraId="6EB9EE27" w14:textId="473FB0DC" w:rsidR="00AC110A" w:rsidRPr="005459EB" w:rsidRDefault="003A77A9" w:rsidP="00CB6475">
      <w:pPr>
        <w:pStyle w:val="Heading3"/>
        <w:rPr>
          <w:color w:val="2E74B5" w:themeColor="accent1" w:themeShade="BF"/>
        </w:rPr>
      </w:pPr>
      <w:bookmarkStart w:id="13" w:name="_Toc179201294"/>
      <w:r>
        <w:rPr>
          <w:color w:val="2E74B5" w:themeColor="accent1" w:themeShade="BF"/>
        </w:rPr>
        <w:t>Projetos do IAT de 2023</w:t>
      </w:r>
      <w:bookmarkEnd w:id="13"/>
    </w:p>
    <w:p w14:paraId="1A652C39" w14:textId="03BE95B0" w:rsidR="007F16CF" w:rsidRPr="005459EB" w:rsidRDefault="0026587E" w:rsidP="007F16CF">
      <w:pPr>
        <w:rPr>
          <w:rFonts w:eastAsia="Times New Roman" w:cs="Times New Roman"/>
          <w:noProof/>
        </w:rPr>
      </w:pPr>
      <w:r>
        <w:rPr>
          <w:noProof/>
        </w:rPr>
        <w:t xml:space="preserve">Na sequência da </w:t>
      </w:r>
      <w:hyperlink r:id="rId56" w:history="1">
        <w:r>
          <w:rPr>
            <w:rStyle w:val="Hyperlink"/>
            <w:noProof/>
            <w:color w:val="034990" w:themeColor="hyperlink" w:themeShade="BF"/>
          </w:rPr>
          <w:t>adoção, em 21 de</w:t>
        </w:r>
        <w:r>
          <w:rPr>
            <w:rStyle w:val="Hyperlink"/>
            <w:rFonts w:ascii="Calibri" w:hAnsi="Calibri"/>
            <w:noProof/>
            <w:color w:val="034990" w:themeColor="hyperlink" w:themeShade="BF"/>
          </w:rPr>
          <w:t> </w:t>
        </w:r>
        <w:r>
          <w:rPr>
            <w:rStyle w:val="Hyperlink"/>
            <w:noProof/>
            <w:color w:val="034990" w:themeColor="hyperlink" w:themeShade="BF"/>
          </w:rPr>
          <w:t>março de 2023, da decisão de financiamento e do programa de trabalho anual</w:t>
        </w:r>
      </w:hyperlink>
      <w:r>
        <w:rPr>
          <w:noProof/>
        </w:rPr>
        <w:t xml:space="preserve"> que estabelecem as medidas necessárias para executar o IAT de 2023</w:t>
      </w:r>
      <w:r w:rsidRPr="005459EB">
        <w:rPr>
          <w:rStyle w:val="FootnoteReference"/>
          <w:rFonts w:ascii="Times New Roman" w:hAnsi="Times New Roman" w:cs="Times New Roman"/>
          <w:noProof/>
        </w:rPr>
        <w:footnoteReference w:id="8"/>
      </w:r>
      <w:r>
        <w:rPr>
          <w:noProof/>
        </w:rPr>
        <w:t xml:space="preserve">, os </w:t>
      </w:r>
      <w:r>
        <w:rPr>
          <w:b/>
          <w:noProof/>
        </w:rPr>
        <w:t>231 pedidos selecionados resultaram em 151 projetos,</w:t>
      </w:r>
      <w:r>
        <w:rPr>
          <w:noProof/>
        </w:rPr>
        <w:t xml:space="preserve"> visto que, em certos casos, vários pedidos foram fundidos num único projeto para tirar partido de economias de escala, estimular sinergias e facilitar oportunidades de aprendizagem entre pares. Por sua vez, esses 151 projetos apoiaram os </w:t>
      </w:r>
      <w:r>
        <w:rPr>
          <w:b/>
          <w:noProof/>
        </w:rPr>
        <w:t>27 Estados-Membros</w:t>
      </w:r>
      <w:r>
        <w:rPr>
          <w:noProof/>
        </w:rPr>
        <w:t xml:space="preserve"> na preparação, conceção e execução de </w:t>
      </w:r>
      <w:r>
        <w:rPr>
          <w:b/>
          <w:noProof/>
        </w:rPr>
        <w:t>326 reformas inovadoras</w:t>
      </w:r>
      <w:r w:rsidR="00BE0D5D" w:rsidRPr="00AD3EDB">
        <w:rPr>
          <w:rStyle w:val="FootnoteReference"/>
          <w:bCs/>
          <w:noProof/>
        </w:rPr>
        <w:footnoteReference w:id="9"/>
      </w:r>
      <w:r>
        <w:rPr>
          <w:noProof/>
        </w:rPr>
        <w:t>.</w:t>
      </w:r>
    </w:p>
    <w:p w14:paraId="311CFB67" w14:textId="29D38BB9" w:rsidR="006B3FBA" w:rsidRPr="005459EB" w:rsidRDefault="00624073" w:rsidP="008F1908">
      <w:pPr>
        <w:spacing w:after="0"/>
        <w:jc w:val="center"/>
        <w:rPr>
          <w:b/>
          <w:bCs/>
          <w:noProof/>
        </w:rPr>
      </w:pPr>
      <w:r>
        <w:rPr>
          <w:b/>
          <w:noProof/>
          <w:lang w:val="en-GB" w:eastAsia="en-GB"/>
        </w:rPr>
        <w:drawing>
          <wp:inline distT="0" distB="0" distL="0" distR="0" wp14:anchorId="33A40EFA" wp14:editId="1D46C18E">
            <wp:extent cx="5730819" cy="4882551"/>
            <wp:effectExtent l="19050" t="19050" r="22860" b="13335"/>
            <wp:docPr id="6" name="Picture 6" descr="Mapa da Europa com os países/regiões a exibir cores diferente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map of europe with different colored countries/regions&#10;&#10;Description automatically generated"/>
                    <pic:cNvPicPr/>
                  </pic:nvPicPr>
                  <pic:blipFill rotWithShape="1">
                    <a:blip r:embed="rId57" cstate="print">
                      <a:extLst>
                        <a:ext uri="{28A0092B-C50C-407E-A947-70E740481C1C}">
                          <a14:useLocalDpi xmlns:a14="http://schemas.microsoft.com/office/drawing/2010/main" val="0"/>
                        </a:ext>
                      </a:extLst>
                    </a:blip>
                    <a:srcRect t="9783" b="5019"/>
                    <a:stretch/>
                  </pic:blipFill>
                  <pic:spPr bwMode="auto">
                    <a:xfrm>
                      <a:off x="0" y="0"/>
                      <a:ext cx="5730819" cy="48825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AA73592" w14:textId="6C7D5164" w:rsidR="006B3FBA" w:rsidRPr="005459EB" w:rsidRDefault="006B3FBA" w:rsidP="008F1908">
      <w:pPr>
        <w:pStyle w:val="Caption"/>
        <w:spacing w:after="240"/>
        <w:rPr>
          <w:bCs/>
          <w:noProof/>
          <w:color w:val="2E74B5" w:themeColor="accent1" w:themeShade="BF"/>
        </w:rPr>
      </w:pPr>
      <w:r>
        <w:rPr>
          <w:noProof/>
          <w:color w:val="2E74B5" w:themeColor="accent1" w:themeShade="BF"/>
        </w:rPr>
        <w:t xml:space="preserve">Figura </w:t>
      </w:r>
      <w:r w:rsidRPr="005459EB">
        <w:rPr>
          <w:noProof/>
          <w:color w:val="2E74B5" w:themeColor="accent1" w:themeShade="BF"/>
        </w:rPr>
        <w:fldChar w:fldCharType="begin"/>
      </w:r>
      <w:r w:rsidRPr="005459EB">
        <w:rPr>
          <w:noProof/>
          <w:color w:val="2E74B5" w:themeColor="accent1" w:themeShade="BF"/>
        </w:rPr>
        <w:instrText xml:space="preserve"> SEQ Figure \* ARABIC </w:instrText>
      </w:r>
      <w:r w:rsidRPr="005459EB">
        <w:rPr>
          <w:noProof/>
          <w:color w:val="2E74B5" w:themeColor="accent1" w:themeShade="BF"/>
        </w:rPr>
        <w:fldChar w:fldCharType="separate"/>
      </w:r>
      <w:r w:rsidR="00F95E79">
        <w:rPr>
          <w:noProof/>
          <w:color w:val="2E74B5" w:themeColor="accent1" w:themeShade="BF"/>
        </w:rPr>
        <w:t>4</w:t>
      </w:r>
      <w:r w:rsidRPr="005459EB">
        <w:rPr>
          <w:noProof/>
          <w:color w:val="2E74B5" w:themeColor="accent1" w:themeShade="BF"/>
        </w:rPr>
        <w:fldChar w:fldCharType="end"/>
      </w:r>
      <w:r>
        <w:rPr>
          <w:noProof/>
          <w:color w:val="2E74B5" w:themeColor="accent1" w:themeShade="BF"/>
        </w:rPr>
        <w:t xml:space="preserve"> - IAT 2023: Número de reformas apoiadas em cada Estado-Membro</w:t>
      </w:r>
    </w:p>
    <w:p w14:paraId="25CDFC3E" w14:textId="2AF0B919" w:rsidR="0044477C" w:rsidRPr="005459EB" w:rsidRDefault="00EC601E" w:rsidP="0044477C">
      <w:pPr>
        <w:rPr>
          <w:b/>
          <w:bCs/>
          <w:noProof/>
        </w:rPr>
      </w:pPr>
      <w:r>
        <w:rPr>
          <w:noProof/>
        </w:rPr>
        <w:t xml:space="preserve">O interesse dos Estados-Membros na participação em projetos plurinacionais continuou a aumentar em 2023, o que levou a um forte aumento, de dois projetos plurinacionais no âmbito do IAT de 2021 para 21 no âmbito do IAT de 2022 e </w:t>
      </w:r>
      <w:r>
        <w:rPr>
          <w:b/>
          <w:noProof/>
        </w:rPr>
        <w:t>34 no âmbito do IAT de 2023</w:t>
      </w:r>
      <w:r>
        <w:rPr>
          <w:noProof/>
        </w:rPr>
        <w:t xml:space="preserve">. Os Estados-Membros demonstraram também o seu interesse em reforçar a cooperação a nível regional através de </w:t>
      </w:r>
      <w:r>
        <w:rPr>
          <w:b/>
          <w:noProof/>
        </w:rPr>
        <w:t>10 projetos multirregionais.</w:t>
      </w:r>
    </w:p>
    <w:p w14:paraId="4DB6D961" w14:textId="64B8E9F5" w:rsidR="00DB3904" w:rsidRPr="005459EB" w:rsidRDefault="00BE0D5D" w:rsidP="00DB3904">
      <w:pPr>
        <w:rPr>
          <w:noProof/>
        </w:rPr>
      </w:pPr>
      <w:r>
        <w:rPr>
          <w:noProof/>
        </w:rPr>
        <w:t xml:space="preserve">O projeto emblemático plurinacional da iniciativa </w:t>
      </w:r>
      <w:r>
        <w:rPr>
          <w:b/>
          <w:noProof/>
        </w:rPr>
        <w:t>Cooperação e intercâmbios entre as administrações públicas</w:t>
      </w:r>
      <w:r>
        <w:rPr>
          <w:noProof/>
        </w:rPr>
        <w:t xml:space="preserve"> (PACE) - destinado a promover a cooperação e os intercâmbios transfronteiriços entre os Estados-Membros para reforçar a capacidade administrativa e preparar a próxima geração de decisores políticos da União Europeia - teve uma aceitação significativa e definiu como objetivo realizar </w:t>
      </w:r>
      <w:r>
        <w:rPr>
          <w:b/>
          <w:noProof/>
        </w:rPr>
        <w:t>70 intercâmbios em 17 Estados-Membros para mais de 300 participantes</w:t>
      </w:r>
      <w:r>
        <w:rPr>
          <w:noProof/>
        </w:rPr>
        <w:t>.</w:t>
      </w:r>
    </w:p>
    <w:p w14:paraId="6A52A4E5" w14:textId="77777777" w:rsidR="0044477C" w:rsidRPr="005459EB" w:rsidRDefault="0044477C" w:rsidP="0044477C">
      <w:pPr>
        <w:spacing w:after="0" w:line="240" w:lineRule="auto"/>
        <w:rPr>
          <w:rFonts w:ascii="Times New Roman" w:hAnsi="Times New Roman" w:cs="Times New Roman"/>
          <w:noProof/>
        </w:rPr>
      </w:pPr>
    </w:p>
    <w:p w14:paraId="7F8CE53E" w14:textId="77777777" w:rsidR="0044477C" w:rsidRPr="005459EB" w:rsidRDefault="0044477C" w:rsidP="0044477C">
      <w:pPr>
        <w:spacing w:after="0" w:line="240" w:lineRule="auto"/>
        <w:jc w:val="center"/>
        <w:rPr>
          <w:rFonts w:ascii="Times New Roman" w:hAnsi="Times New Roman" w:cs="Times New Roman"/>
          <w:noProof/>
          <w:color w:val="5B9BD5" w:themeColor="accent1"/>
          <w14:textFill>
            <w14:solidFill>
              <w14:schemeClr w14:val="accent1">
                <w14:lumMod w14:val="75000"/>
                <w14:lumMod w14:val="75000"/>
                <w14:lumMod w14:val="75000"/>
              </w14:schemeClr>
            </w14:solidFill>
          </w14:textFill>
        </w:rPr>
      </w:pPr>
      <w:r>
        <w:rPr>
          <w:rFonts w:ascii="Times New Roman" w:hAnsi="Times New Roman"/>
          <w:noProof/>
          <w:color w:val="5B9BD5" w:themeColor="accent1"/>
          <w:lang w:val="en-GB" w:eastAsia="en-GB"/>
          <w14:textFill>
            <w14:solidFill>
              <w14:schemeClr w14:val="accent1">
                <w14:lumMod w14:val="75000"/>
                <w14:lumMod w14:val="75000"/>
                <w14:lumMod w14:val="75000"/>
              </w14:schemeClr>
            </w14:solidFill>
          </w14:textFill>
        </w:rPr>
        <w:drawing>
          <wp:inline distT="0" distB="0" distL="0" distR="0" wp14:anchorId="3C858A6B" wp14:editId="08F6C24B">
            <wp:extent cx="4012981" cy="2359538"/>
            <wp:effectExtent l="0" t="0" r="698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59"/>
                        </a:ext>
                      </a:extLst>
                    </a:blip>
                    <a:stretch>
                      <a:fillRect/>
                    </a:stretch>
                  </pic:blipFill>
                  <pic:spPr bwMode="auto">
                    <a:xfrm>
                      <a:off x="0" y="0"/>
                      <a:ext cx="4012981" cy="2359538"/>
                    </a:xfrm>
                    <a:prstGeom prst="rect">
                      <a:avLst/>
                    </a:prstGeom>
                  </pic:spPr>
                </pic:pic>
              </a:graphicData>
            </a:graphic>
          </wp:inline>
        </w:drawing>
      </w:r>
    </w:p>
    <w:p w14:paraId="439E6665" w14:textId="1166A818" w:rsidR="0044477C" w:rsidRPr="005459EB" w:rsidRDefault="00731391" w:rsidP="008F1908">
      <w:pPr>
        <w:pStyle w:val="Caption"/>
        <w:spacing w:after="240"/>
        <w:rPr>
          <w:noProof/>
          <w:color w:val="2E74B5" w:themeColor="accent1" w:themeShade="BF"/>
        </w:rPr>
      </w:pPr>
      <w:r>
        <w:rPr>
          <w:noProof/>
          <w:color w:val="2E74B5" w:themeColor="accent1" w:themeShade="BF"/>
        </w:rPr>
        <w:t>Figura 5 - IAT 2021-2023: Variação do número de projetos plurinacionais</w:t>
      </w:r>
    </w:p>
    <w:p w14:paraId="2EB7EAA1" w14:textId="472303F0" w:rsidR="00F2701B" w:rsidRDefault="0044477C" w:rsidP="00C22B0D">
      <w:pPr>
        <w:spacing w:after="240"/>
        <w:rPr>
          <w:noProof/>
        </w:rPr>
      </w:pPr>
      <w:r>
        <w:rPr>
          <w:noProof/>
        </w:rPr>
        <w:t xml:space="preserve">Os projetos do IAT de 2023 incluíram dois projetos plurinacionais destinados a apoiar os ecossistemas industriais de vários Estados-Membros (EL, ES, FI, PT e SE) e a contribuir para a aceleração do licenciamento de energias renováveis (LT e NL), com ambos os projetos a contribuírem para </w:t>
      </w:r>
      <w:r>
        <w:rPr>
          <w:b/>
          <w:noProof/>
        </w:rPr>
        <w:t>promover a competitividade</w:t>
      </w:r>
      <w:r>
        <w:rPr>
          <w:noProof/>
        </w:rPr>
        <w:t xml:space="preserve"> da economia da UE. Incluíram também o projeto plurinacional «Medir a satisfação dos cidadãos com os principais serviços públicos para melhorar o desempenho e reforçar a confiança» (BE, EE, EL, ES, HR, IE, LT, LV, AT, SI e FI), o projeto «Gerir os riscos ASG para o setor financeiro» (BG, CY, EL, FI, FR, HR, IE, IT, LV, RO e SI), destinado a reforçar a capacidade de resposta dos supervisores financeiros aos desafios associados aos riscos ambientais, sociais e de governação (ASG), e o projeto «Melhorar a qualidade e a utilização das informações fiscais trocadas entre os Estados-Membros no contexto da Diretiva relativa à cooperação administrativa (DCA)» na Croácia e na Irlanda.</w:t>
      </w:r>
    </w:p>
    <w:p w14:paraId="00B5F53A" w14:textId="749D0B14" w:rsidR="00F2701B" w:rsidRPr="005E57EA" w:rsidRDefault="00D031B3" w:rsidP="008F1908">
      <w:pPr>
        <w:spacing w:after="0"/>
        <w:jc w:val="center"/>
        <w:rPr>
          <w:noProof/>
          <w:highlight w:val="yellow"/>
        </w:rPr>
      </w:pPr>
      <w:r>
        <w:rPr>
          <w:noProof/>
          <w:highlight w:val="yellow"/>
          <w:lang w:val="en-GB" w:eastAsia="en-GB"/>
        </w:rPr>
        <w:drawing>
          <wp:inline distT="0" distB="0" distL="0" distR="0" wp14:anchorId="6EAC84D1" wp14:editId="306D7B0B">
            <wp:extent cx="4212512" cy="2316881"/>
            <wp:effectExtent l="0" t="0" r="0" b="7620"/>
            <wp:docPr id="755303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03163" name="Picture 2"/>
                    <pic:cNvPicPr>
                      <a:picLocks noChangeAspect="1" noChangeArrowheads="1"/>
                    </pic:cNvPicPr>
                  </pic:nvPicPr>
                  <pic:blipFill>
                    <a:blip r:embed="rId6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61"/>
                        </a:ext>
                      </a:extLst>
                    </a:blip>
                    <a:stretch>
                      <a:fillRect/>
                    </a:stretch>
                  </pic:blipFill>
                  <pic:spPr bwMode="auto">
                    <a:xfrm>
                      <a:off x="0" y="0"/>
                      <a:ext cx="4212512" cy="2316881"/>
                    </a:xfrm>
                    <a:prstGeom prst="rect">
                      <a:avLst/>
                    </a:prstGeom>
                  </pic:spPr>
                </pic:pic>
              </a:graphicData>
            </a:graphic>
          </wp:inline>
        </w:drawing>
      </w:r>
    </w:p>
    <w:p w14:paraId="47FE4453" w14:textId="2113EBBE" w:rsidR="00F2701B" w:rsidRPr="00DF7FB0" w:rsidRDefault="00F95E79" w:rsidP="008F1908">
      <w:pPr>
        <w:pStyle w:val="Caption"/>
        <w:spacing w:after="240"/>
        <w:rPr>
          <w:noProof/>
          <w:color w:val="2E74B5" w:themeColor="accent1" w:themeShade="BF"/>
        </w:rPr>
      </w:pPr>
      <w:r>
        <w:rPr>
          <w:noProof/>
          <w:color w:val="2E74B5" w:themeColor="accent1" w:themeShade="BF"/>
        </w:rPr>
        <w:t>Figura 6 - IAT 2021-2023: Evolução do número de projetos com uma dimensão regional/local</w:t>
      </w:r>
    </w:p>
    <w:p w14:paraId="7C0C71B8" w14:textId="4426995F" w:rsidR="00456256" w:rsidRPr="00456256" w:rsidRDefault="7C8EEB58">
      <w:pPr>
        <w:rPr>
          <w:noProof/>
        </w:rPr>
      </w:pPr>
      <w:r>
        <w:rPr>
          <w:noProof/>
        </w:rPr>
        <w:t xml:space="preserve">Ao longo dos anos, uma percentagem crescente de projetos do IAT apoiou os Estados-Membros na concretização de reformas a nível regional e local, em consonância com as prioridades da UE. Por exemplo, em 2023, o IAT apoiou 10 regiões de cinco Estados-Membros no </w:t>
      </w:r>
      <w:hyperlink r:id="rId62" w:history="1">
        <w:r>
          <w:rPr>
            <w:rStyle w:val="Hyperlink"/>
            <w:noProof/>
            <w:color w:val="034990"/>
            <w14:textFill>
              <w14:solidFill>
                <w14:srgbClr w14:val="034990">
                  <w14:lumMod w14:val="75000"/>
                </w14:srgbClr>
              </w14:solidFill>
            </w14:textFill>
          </w:rPr>
          <w:t>reforço dos ecossistemas mineiros regionais da UE para apoiar a transição ecológica e garantir o aprovisionamento de matérias-primas minerais</w:t>
        </w:r>
      </w:hyperlink>
      <w:r>
        <w:rPr>
          <w:noProof/>
        </w:rPr>
        <w:t>.</w:t>
      </w:r>
    </w:p>
    <w:p w14:paraId="4671A6E0" w14:textId="29B1D1A5" w:rsidR="00A12995" w:rsidRPr="005459EB" w:rsidRDefault="00A12995" w:rsidP="00A12995">
      <w:pPr>
        <w:pStyle w:val="Heading3"/>
        <w:rPr>
          <w:color w:val="2E74B5" w:themeColor="accent1" w:themeShade="BF"/>
        </w:rPr>
      </w:pPr>
      <w:bookmarkStart w:id="14" w:name="_Toc179201295"/>
      <w:r>
        <w:rPr>
          <w:color w:val="2E74B5" w:themeColor="accent1" w:themeShade="BF"/>
        </w:rPr>
        <w:t>Projetos emblemáticos</w:t>
      </w:r>
      <w:bookmarkEnd w:id="14"/>
    </w:p>
    <w:p w14:paraId="111BC32F" w14:textId="1F9C87A6" w:rsidR="00A12995" w:rsidRPr="005459EB" w:rsidRDefault="00A12995" w:rsidP="00A12995">
      <w:pPr>
        <w:rPr>
          <w:noProof/>
        </w:rPr>
      </w:pPr>
      <w:r>
        <w:rPr>
          <w:noProof/>
        </w:rPr>
        <w:t xml:space="preserve">O IAT de 2023 registou também uma </w:t>
      </w:r>
      <w:r>
        <w:rPr>
          <w:b/>
          <w:noProof/>
        </w:rPr>
        <w:t>forte aceitação dos projetos emblemáticos</w:t>
      </w:r>
      <w:r>
        <w:rPr>
          <w:noProof/>
        </w:rPr>
        <w:t xml:space="preserve"> em comparação com o IAT de 2022, no qual foi introduzido o conceito. Dos 151 projetos do IAT de 2023, 50 estavam ligados a projetos emblemáticos, nomeadamente nos domínios ecológico, digital, da energia, da administração pública, das finanças públicas, da integração dos migrantes e dos cuidados de saúde.</w:t>
      </w:r>
    </w:p>
    <w:p w14:paraId="711B9373" w14:textId="5DC84060" w:rsidR="00A12995" w:rsidRPr="005459EB" w:rsidRDefault="00A12995" w:rsidP="00C22B0D">
      <w:pPr>
        <w:spacing w:after="240"/>
        <w:rPr>
          <w:noProof/>
        </w:rPr>
      </w:pPr>
      <w:r>
        <w:rPr>
          <w:noProof/>
        </w:rPr>
        <w:t xml:space="preserve">De igual modo, o convite à apresentação de pedidos no âmbito do IAT de 2023 permitiu a adesão de oito novas autoridades beneficiárias dos Estados-Membros à </w:t>
      </w:r>
      <w:hyperlink r:id="rId63" w:history="1">
        <w:r>
          <w:rPr>
            <w:rStyle w:val="Hyperlink"/>
            <w:noProof/>
            <w:color w:val="034990" w:themeColor="hyperlink" w:themeShade="BF"/>
            <w14:textFill>
              <w14:solidFill>
                <w14:schemeClr w14:val="hlink">
                  <w14:lumMod w14:val="75000"/>
                  <w14:lumMod w14:val="75000"/>
                </w14:schemeClr>
              </w14:solidFill>
            </w14:textFill>
          </w:rPr>
          <w:t>Academia Europeia de Supervisão das Finanças Digitais</w:t>
        </w:r>
      </w:hyperlink>
      <w:r>
        <w:rPr>
          <w:noProof/>
        </w:rPr>
        <w:t>, inicialmente concebida no âmbito do IAT de 2022, elevando o total de participantes para 32 autoridades de 25 Estados-Membros.</w:t>
      </w:r>
    </w:p>
    <w:p w14:paraId="094212B5" w14:textId="77777777" w:rsidR="00C73EE1" w:rsidRPr="005459EB" w:rsidRDefault="00C73EE1" w:rsidP="00C73EE1">
      <w:pPr>
        <w:pStyle w:val="Heading3"/>
        <w:rPr>
          <w:color w:val="2E74B5" w:themeColor="accent1" w:themeShade="BF"/>
        </w:rPr>
      </w:pPr>
      <w:bookmarkStart w:id="15" w:name="_Toc179201296"/>
      <w:r>
        <w:rPr>
          <w:color w:val="2E74B5" w:themeColor="accent1" w:themeShade="BF"/>
        </w:rPr>
        <w:t>Apoio aos PRR</w:t>
      </w:r>
      <w:bookmarkEnd w:id="15"/>
    </w:p>
    <w:p w14:paraId="46D45643" w14:textId="56AB9D53" w:rsidR="00C73EE1" w:rsidRPr="005459EB" w:rsidRDefault="00C73EE1" w:rsidP="00C73EE1">
      <w:pPr>
        <w:rPr>
          <w:noProof/>
        </w:rPr>
      </w:pPr>
      <w:r>
        <w:rPr>
          <w:b/>
          <w:noProof/>
        </w:rPr>
        <w:t>O IAT tem vindo a apoiar a execução das reformas e investimentos incluídos nos PRR, nomeadamente nos domínios de intervenção</w:t>
      </w:r>
      <w:r>
        <w:rPr>
          <w:noProof/>
        </w:rPr>
        <w:t xml:space="preserve"> da governação e administração pública, digital, do crescimento sustentável, do ambiente empresarial, do mercado de trabalho, da saúde, da educação, dos serviços sociais, da administração das receitas e da gestão das finanças públicas, bem como do setor financeiro.</w:t>
      </w:r>
    </w:p>
    <w:p w14:paraId="5AFE1E22" w14:textId="56DE029F" w:rsidR="00C73EE1" w:rsidRPr="005459EB" w:rsidRDefault="00C73EE1" w:rsidP="00C22B0D">
      <w:pPr>
        <w:spacing w:after="240"/>
        <w:rPr>
          <w:noProof/>
        </w:rPr>
      </w:pPr>
      <w:r>
        <w:rPr>
          <w:noProof/>
        </w:rPr>
        <w:t xml:space="preserve">Em 2023, </w:t>
      </w:r>
      <w:r>
        <w:rPr>
          <w:b/>
          <w:noProof/>
        </w:rPr>
        <w:t>66 % dos projetos do IAT de 2023 estiveram direta ou indiretamente ligados aos planos nacionais de recuperação e resiliência</w:t>
      </w:r>
      <w:r>
        <w:rPr>
          <w:noProof/>
        </w:rPr>
        <w:t>, ajudando os Estados-Membros a reforçar a sua capacidade de execução dos PRR, nomeadamente ao nível dos métodos de acompanhamento e gestão dos projetos dos PRR, dos mecanismos de prestação de informações, dos quadros de auditoria e controlo, da estratégia de comunicação, das estruturas de governação, dos sistemas informáticos e da aplicação do princípio de «não prejudicar significativamente».</w:t>
      </w:r>
    </w:p>
    <w:p w14:paraId="70614A53" w14:textId="4AA48DB5" w:rsidR="00C73EE1" w:rsidRPr="00453337" w:rsidRDefault="00190CA5" w:rsidP="00CB6475">
      <w:pPr>
        <w:pBdr>
          <w:top w:val="single" w:sz="4" w:space="1" w:color="auto"/>
          <w:left w:val="single" w:sz="4" w:space="4" w:color="auto"/>
          <w:bottom w:val="single" w:sz="4" w:space="0" w:color="auto"/>
          <w:right w:val="single" w:sz="4" w:space="4" w:color="auto"/>
        </w:pBdr>
        <w:shd w:val="clear" w:color="auto" w:fill="B4C6E7" w:themeFill="accent5" w:themeFillTint="66"/>
        <w:spacing w:before="120"/>
        <w:jc w:val="center"/>
        <w:rPr>
          <w:rFonts w:cs="Times New Roman"/>
          <w:b/>
          <w:bCs/>
          <w:noProof/>
        </w:rPr>
      </w:pPr>
      <w:r>
        <w:rPr>
          <w:b/>
          <w:noProof/>
        </w:rPr>
        <w:t>ÊNFASE NOS PROJETOS DO IAT COM LIGAÇÕES DIRETAS AOS PRR</w:t>
      </w:r>
    </w:p>
    <w:p w14:paraId="5F6D44A4" w14:textId="08200FD8" w:rsidR="00C73EE1" w:rsidRPr="00453337" w:rsidRDefault="00C73EE1" w:rsidP="00CB6475">
      <w:pPr>
        <w:pBdr>
          <w:top w:val="single" w:sz="4" w:space="1" w:color="auto"/>
          <w:left w:val="single" w:sz="4" w:space="4" w:color="auto"/>
          <w:bottom w:val="single" w:sz="4" w:space="0" w:color="auto"/>
          <w:right w:val="single" w:sz="4" w:space="4" w:color="auto"/>
        </w:pBdr>
        <w:shd w:val="clear" w:color="auto" w:fill="B4C6E7" w:themeFill="accent5" w:themeFillTint="66"/>
        <w:spacing w:before="120"/>
        <w:rPr>
          <w:rFonts w:cs="Times New Roman"/>
          <w:noProof/>
        </w:rPr>
      </w:pPr>
      <w:r>
        <w:rPr>
          <w:noProof/>
        </w:rPr>
        <w:t xml:space="preserve">No âmbito do IAT de 2023, a DG REFORM apoiou </w:t>
      </w:r>
      <w:r>
        <w:rPr>
          <w:b/>
          <w:noProof/>
        </w:rPr>
        <w:t>projetos</w:t>
      </w:r>
      <w:r>
        <w:rPr>
          <w:noProof/>
        </w:rPr>
        <w:t xml:space="preserve"> de reforma diretamente ligados à execução dos PRR.</w:t>
      </w:r>
    </w:p>
    <w:p w14:paraId="7DEF3665" w14:textId="0205E07F" w:rsidR="00C73EE1" w:rsidRPr="00453337" w:rsidRDefault="00852551" w:rsidP="00E708AB">
      <w:pPr>
        <w:pStyle w:val="ListParagraph"/>
        <w:numPr>
          <w:ilvl w:val="0"/>
          <w:numId w:val="44"/>
        </w:numPr>
        <w:pBdr>
          <w:top w:val="single" w:sz="4" w:space="1" w:color="auto"/>
          <w:left w:val="single" w:sz="4" w:space="4" w:color="auto"/>
          <w:bottom w:val="single" w:sz="4" w:space="0" w:color="auto"/>
          <w:right w:val="single" w:sz="4" w:space="4" w:color="auto"/>
        </w:pBdr>
        <w:shd w:val="clear" w:color="auto" w:fill="B4C6E7" w:themeFill="accent5" w:themeFillTint="66"/>
        <w:spacing w:before="120" w:after="0" w:line="240" w:lineRule="auto"/>
        <w:contextualSpacing w:val="0"/>
        <w:rPr>
          <w:rFonts w:cs="Times New Roman"/>
          <w:noProof/>
        </w:rPr>
      </w:pPr>
      <w:r>
        <w:rPr>
          <w:b/>
          <w:noProof/>
        </w:rPr>
        <w:t>Dez Estados-Membros</w:t>
      </w:r>
      <w:r>
        <w:rPr>
          <w:noProof/>
        </w:rPr>
        <w:t xml:space="preserve"> (BE, BG, CY, ES, IE, LV, PT, RO, NL e SI) receberam apoio geral para executar o respetivo PRR. A título de exemplo, em 27 de novembro de 2023, na presença dos representantes dos oito Estados-Membros beneficiários (BE, BG, CY, ES, LV, NL, PT e RO), da DG REFORM, da DG COMM, do Grupo de Trabalho Recuperação e Resiliência e da DG ECFIN e dos funcionários especializados no Semestre Europeu de todos os Estados-Membros participantes, foi oficialmente lançado um projeto plurinacional sobre a comunicação do impacto dos PRR ao grande público. Este projeto visava reforçar as capacidades de comunicação dos Estados-Membros e apoiá-los com medidas de assistência técnica específicas por país para melhorarem a sua comunicação sobre os benefícios do respetivo PRR. A conceção do projeto baseou-se em dois projetos de comunicação do PRR bem-sucedidos executados na Eslováquia e na Chéquia.</w:t>
      </w:r>
    </w:p>
    <w:p w14:paraId="5D06B355" w14:textId="741D79C7" w:rsidR="00C73EE1" w:rsidRPr="00453337" w:rsidRDefault="00563A96" w:rsidP="00C22B0D">
      <w:pPr>
        <w:pStyle w:val="ListParagraph"/>
        <w:numPr>
          <w:ilvl w:val="0"/>
          <w:numId w:val="44"/>
        </w:numPr>
        <w:pBdr>
          <w:top w:val="single" w:sz="4" w:space="1" w:color="auto"/>
          <w:left w:val="single" w:sz="4" w:space="4" w:color="auto"/>
          <w:bottom w:val="single" w:sz="4" w:space="0" w:color="auto"/>
          <w:right w:val="single" w:sz="4" w:space="4" w:color="auto"/>
        </w:pBdr>
        <w:shd w:val="clear" w:color="auto" w:fill="B4C6E7" w:themeFill="accent5" w:themeFillTint="66"/>
        <w:spacing w:before="120" w:after="360" w:line="240" w:lineRule="auto"/>
        <w:ind w:left="357" w:hanging="357"/>
        <w:contextualSpacing w:val="0"/>
        <w:rPr>
          <w:rFonts w:cs="Times New Roman"/>
          <w:noProof/>
        </w:rPr>
      </w:pPr>
      <w:r>
        <w:rPr>
          <w:b/>
          <w:noProof/>
        </w:rPr>
        <w:t>Dezasseis Estados-Membros</w:t>
      </w:r>
      <w:r>
        <w:rPr>
          <w:noProof/>
        </w:rPr>
        <w:t xml:space="preserve"> (BE, BG, CY, CZ, DK, EE, EL, HR, HU, IT, LV, MT, PL, PT, RO e SK) receberam apoio para a execução de reformas e investimentos específicos incluídos nos seus PRR. Entre os exemplos contam-se o apoio à institucionalização do novo quadro de carreiras académicas (Letónia), o apoio às empresas para alcançarem um nível mais elevado de digitalização (Chéquia) e o apoio à otimização dos planos estratégicos para continuar a desenvolver a saúde em linha (Polónia).</w:t>
      </w:r>
    </w:p>
    <w:p w14:paraId="48A2F335" w14:textId="67C78CE5" w:rsidR="00C73EE1" w:rsidRPr="005459EB" w:rsidRDefault="008B1C8D" w:rsidP="00C22B0D">
      <w:pPr>
        <w:spacing w:after="240"/>
        <w:rPr>
          <w:i/>
          <w:iCs/>
          <w:noProof/>
        </w:rPr>
      </w:pPr>
      <w:r>
        <w:rPr>
          <w:noProof/>
        </w:rPr>
        <w:t>A avaliação intercalar do Mecanismo de Recuperação e Resiliência (MRR)</w:t>
      </w:r>
      <w:r w:rsidR="00C73EE1" w:rsidRPr="005459EB">
        <w:rPr>
          <w:rStyle w:val="FootnoteReference"/>
          <w:rFonts w:ascii="Times New Roman" w:hAnsi="Times New Roman" w:cs="Times New Roman"/>
          <w:noProof/>
        </w:rPr>
        <w:footnoteReference w:id="10"/>
      </w:r>
      <w:r>
        <w:rPr>
          <w:rFonts w:ascii="Times New Roman" w:hAnsi="Times New Roman"/>
          <w:noProof/>
        </w:rPr>
        <w:t xml:space="preserve"> </w:t>
      </w:r>
      <w:r>
        <w:rPr>
          <w:noProof/>
        </w:rPr>
        <w:t>salienta que: «A coerência entre o MRR e o IAT deve-se à geração de sinergias entre os dois instrumentos e ao alinhamento dos seus critérios de avaliação</w:t>
      </w:r>
      <w:r>
        <w:rPr>
          <w:i/>
          <w:noProof/>
        </w:rPr>
        <w:t xml:space="preserve">. </w:t>
      </w:r>
      <w:r>
        <w:rPr>
          <w:noProof/>
        </w:rPr>
        <w:t>O Regulamento MRR promove ativamente sinergias entre o MRR e o IAT, permitindo que os Estados-Membros afetem até 4 % da sua dotação total à assistência técnica na execução dos PRR, opção utilizada por quatro Estados-Membros</w:t>
      </w:r>
      <w:r>
        <w:rPr>
          <w:i/>
          <w:noProof/>
        </w:rPr>
        <w:t xml:space="preserve">. </w:t>
      </w:r>
      <w:r>
        <w:rPr>
          <w:noProof/>
        </w:rPr>
        <w:t>O alinhamento dos critérios de avaliação do MRR e dos IAT evidencia que ambos os instrumentos perseguem os mesmos objetivos estratégicos e que as suas prioridades estão em sintonia</w:t>
      </w:r>
      <w:r>
        <w:rPr>
          <w:i/>
          <w:noProof/>
        </w:rPr>
        <w:t xml:space="preserve">. </w:t>
      </w:r>
      <w:r>
        <w:rPr>
          <w:noProof/>
        </w:rPr>
        <w:t>Por exemplo, a pertinência das recomendações específicas por país é um dos critérios de avaliação aplicados tanto para a seleção dos projetos ao abrigo do IAT como para a aprovação dos PRR</w:t>
      </w:r>
      <w:r>
        <w:rPr>
          <w:i/>
          <w:noProof/>
        </w:rPr>
        <w:t xml:space="preserve">. </w:t>
      </w:r>
      <w:r>
        <w:rPr>
          <w:noProof/>
        </w:rPr>
        <w:t>A coerência dos dois instrumentos é demonstrada pelo facto de mais de 400 projetos aprovados ao abrigo do IAT estarem ligados à elaboração ou execução dos PRR dos Estados-Membros, o que salienta o papel fundamental dos instrumentos no mecanismo.»</w:t>
      </w:r>
      <w:r>
        <w:rPr>
          <w:i/>
          <w:noProof/>
        </w:rPr>
        <w:t>.</w:t>
      </w:r>
    </w:p>
    <w:p w14:paraId="2C215129" w14:textId="79204810" w:rsidR="004D617B" w:rsidRPr="005459EB" w:rsidRDefault="005D3F67" w:rsidP="00E708AB">
      <w:pPr>
        <w:pStyle w:val="Heading3"/>
        <w:rPr>
          <w:color w:val="2E74B5" w:themeColor="accent1" w:themeShade="BF"/>
        </w:rPr>
      </w:pPr>
      <w:bookmarkStart w:id="16" w:name="_Toc179201297"/>
      <w:bookmarkStart w:id="17" w:name="_Hlk172223190"/>
      <w:r>
        <w:rPr>
          <w:color w:val="2E74B5" w:themeColor="accent1" w:themeShade="BF"/>
        </w:rPr>
        <w:t>Projeto-piloto para os países do alargamento na qualidade de observadores</w:t>
      </w:r>
      <w:bookmarkEnd w:id="16"/>
    </w:p>
    <w:p w14:paraId="1D20BB25" w14:textId="62E439E1" w:rsidR="001E5121" w:rsidRPr="005459EB" w:rsidRDefault="008B1FC2" w:rsidP="009A0C5C">
      <w:pPr>
        <w:rPr>
          <w:noProof/>
        </w:rPr>
      </w:pPr>
      <w:r>
        <w:rPr>
          <w:noProof/>
        </w:rPr>
        <w:t>No contexto da prioridade política da Comissão de acelerar o processo de integração e adesão dos países do alargamento</w:t>
      </w:r>
      <w:r w:rsidR="009E56A4" w:rsidRPr="005459EB">
        <w:rPr>
          <w:rStyle w:val="FootnoteReference"/>
          <w:noProof/>
        </w:rPr>
        <w:footnoteReference w:id="11"/>
      </w:r>
      <w:r>
        <w:rPr>
          <w:noProof/>
        </w:rPr>
        <w:t>, a DG REFORM e a DG NEAR desenvolveram um projeto-piloto no âmbito do IAT para permitir que os países do alargamento sejam «observadores» de projetos selecionados ao abrigo do IAT em 2023. Tal foi efetuado com o acordo das respetivas autoridades beneficiárias dos Estados-Membros e sem que o IAT financiasse a sua participação.</w:t>
      </w:r>
    </w:p>
    <w:p w14:paraId="00FC977C" w14:textId="29CFFD63" w:rsidR="009A0C5C" w:rsidRPr="005459EB" w:rsidRDefault="001E5121" w:rsidP="00C22B0D">
      <w:pPr>
        <w:spacing w:after="240"/>
        <w:rPr>
          <w:noProof/>
        </w:rPr>
      </w:pPr>
      <w:r>
        <w:rPr>
          <w:noProof/>
        </w:rPr>
        <w:t>O projeto-piloto teve início em 13 de setembro de 2023, com a participação de oito países do alargamento, nomeadamente a Bósnia-Herzegovina, a Moldávia, a Macedónia do Norte, a Albânia, a Sérvia, a Turquia, a Geórgia e o Kosovo</w:t>
      </w:r>
      <w:r w:rsidR="002716FB" w:rsidRPr="005459EB">
        <w:rPr>
          <w:rStyle w:val="FootnoteReference"/>
          <w:noProof/>
        </w:rPr>
        <w:footnoteReference w:id="12"/>
      </w:r>
      <w:r>
        <w:rPr>
          <w:noProof/>
        </w:rPr>
        <w:t>. Os projetos selecionados pelos países do alargamento consistiram, sobretudo, em projetos plurinacionais ao abrigo do IAT. As administrações públicas envolvidas, tanto dos países do alargamento como dos Estados-Membros, congratularam-se com as oportunidades de cooperação proporcionadas pelo projeto-piloto.</w:t>
      </w:r>
      <w:bookmarkEnd w:id="17"/>
    </w:p>
    <w:p w14:paraId="7E066878" w14:textId="60429B00" w:rsidR="0044477C" w:rsidRPr="00B86038" w:rsidRDefault="00396669" w:rsidP="00CB6475">
      <w:pPr>
        <w:pStyle w:val="Heading2"/>
        <w:rPr>
          <w:noProof/>
        </w:rPr>
      </w:pPr>
      <w:bookmarkStart w:id="18" w:name="_Toc179201298"/>
      <w:r>
        <w:rPr>
          <w:noProof/>
          <w:color w:val="5B9BD5" w:themeColor="accent1"/>
          <w14:textFill>
            <w14:solidFill>
              <w14:schemeClr w14:val="accent1">
                <w14:lumMod w14:val="75000"/>
                <w14:lumMod w14:val="75000"/>
                <w14:lumMod w14:val="75000"/>
              </w14:schemeClr>
            </w14:solidFill>
          </w14:textFill>
        </w:rPr>
        <w:t>Execução dos projetos</w:t>
      </w:r>
      <w:bookmarkEnd w:id="18"/>
    </w:p>
    <w:p w14:paraId="2A7687E6" w14:textId="68952D2D" w:rsidR="00D43C3A" w:rsidRPr="005459EB" w:rsidRDefault="00221199" w:rsidP="00CB6475">
      <w:pPr>
        <w:rPr>
          <w:rFonts w:ascii="Times New Roman" w:hAnsi="Times New Roman" w:cs="Times New Roman"/>
          <w:noProof/>
        </w:rPr>
      </w:pPr>
      <w:r>
        <w:rPr>
          <w:noProof/>
        </w:rPr>
        <w:t>Desde a fase de conceção até à execução, acompanhamento e avaliação do projeto, o IAT exige a participação constante da DG REFORM.</w:t>
      </w:r>
    </w:p>
    <w:p w14:paraId="50195DB2" w14:textId="78BC7C8E" w:rsidR="00F5791D" w:rsidRPr="005459EB" w:rsidRDefault="00F5791D" w:rsidP="00981BB1">
      <w:pPr>
        <w:rPr>
          <w:noProof/>
        </w:rPr>
      </w:pPr>
      <w:r>
        <w:rPr>
          <w:noProof/>
        </w:rPr>
        <w:t>A DG REFORM intervém desde a fase inicial de identificação dos projetos, através de um grande número de atividades de sensibilização destinadas às autoridades nacionais, de uma interação permanente entre os coordenadores nacionais da DG REFORM e as autoridades de coordenação correspondentes e de reuniões entre os principais responsáveis da DG REFORM e as autoridades nacionais de cada Estado-Membro.</w:t>
      </w:r>
    </w:p>
    <w:p w14:paraId="782C459C" w14:textId="12A6E1EE" w:rsidR="00F5791D" w:rsidRPr="005459EB" w:rsidRDefault="00F5791D" w:rsidP="00F5791D">
      <w:pPr>
        <w:rPr>
          <w:noProof/>
        </w:rPr>
      </w:pPr>
      <w:r>
        <w:rPr>
          <w:noProof/>
        </w:rPr>
        <w:t>Uma vez selecionados os pedidos do IAT de 2023 e decididos os respetivos modos de execução, os analistas de políticas da DG REFORM estabeleceram contactos regulares com as autoridades nacionais para determinar os resultados dos projetos e definir os seus planos de trabalho e atividades. Integraram todas as equipas de projeto conexas, juntamente com os fornecedores selecionados, e cooperaram na gestão diária do projeto. Asseguraram igualmente uma comunicação fluida entre os fornecedores e as autoridades nacionais, promovendo um entendimento mútuo para garantir o êxito dos projetos.</w:t>
      </w:r>
    </w:p>
    <w:p w14:paraId="55776A9B" w14:textId="24776ECB" w:rsidR="00F5791D" w:rsidRPr="005459EB" w:rsidRDefault="00F5791D" w:rsidP="00F5791D">
      <w:pPr>
        <w:rPr>
          <w:noProof/>
        </w:rPr>
      </w:pPr>
      <w:r>
        <w:rPr>
          <w:noProof/>
        </w:rPr>
        <w:t>A DG REFORM coordenou também o seu trabalho com os outros serviços da Comissão através de uma rede permanente de representantes de outras direções-gerais. Esta coordenação visou assegurar que a assistência técnica prestada com o IAT fosse coerente com as políticas da UE, não duplicasse outros projetos e complementasse e tirasse partido de outros programas da UE (nomeadamente facilitando o acesso a conhecimentos técnicos especializados disponíveis na Comissão ou facilmente mobilizáveis por outros programas da UE).</w:t>
      </w:r>
    </w:p>
    <w:p w14:paraId="61419CBD" w14:textId="5F3E0903" w:rsidR="00F5791D" w:rsidRPr="005459EB" w:rsidRDefault="00F5791D" w:rsidP="00C22B0D">
      <w:pPr>
        <w:spacing w:after="240"/>
        <w:rPr>
          <w:noProof/>
        </w:rPr>
      </w:pPr>
      <w:r>
        <w:rPr>
          <w:noProof/>
        </w:rPr>
        <w:t>Por último, a comissão executiva de cada projeto incluiu um membro do pessoal da DG REFORM, juntamente com altos funcionários das autoridades nacionais, de modo a assegurar a coerência contínua dos projetos com as prioridades nacionais e, se necessário, a sua adaptação à evolução do contexto, com o objetivo de contribuir para a execução dos programas de reformas nacionais e, simultaneamente, gerar valor acrescentado europeu.</w:t>
      </w:r>
    </w:p>
    <w:p w14:paraId="7FDFB476" w14:textId="77777777" w:rsidR="00A02DF2" w:rsidRPr="005459EB" w:rsidRDefault="00A02DF2" w:rsidP="00CB6475">
      <w:pPr>
        <w:pStyle w:val="Heading2"/>
        <w:rPr>
          <w:noProof/>
        </w:rPr>
      </w:pPr>
      <w:bookmarkStart w:id="19" w:name="_Toc170603817"/>
      <w:bookmarkStart w:id="20" w:name="_Toc170603857"/>
      <w:bookmarkStart w:id="21" w:name="_Toc170603900"/>
      <w:bookmarkStart w:id="22" w:name="_Toc170647694"/>
      <w:bookmarkStart w:id="23" w:name="_Toc170647723"/>
      <w:bookmarkStart w:id="24" w:name="_Toc170667435"/>
      <w:bookmarkStart w:id="25" w:name="_Toc179201299"/>
      <w:bookmarkEnd w:id="19"/>
      <w:bookmarkEnd w:id="20"/>
      <w:bookmarkEnd w:id="21"/>
      <w:bookmarkEnd w:id="22"/>
      <w:bookmarkEnd w:id="23"/>
      <w:bookmarkEnd w:id="24"/>
      <w:r>
        <w:rPr>
          <w:noProof/>
          <w:color w:val="5B9BD5" w:themeColor="accent1"/>
          <w14:textFill>
            <w14:solidFill>
              <w14:schemeClr w14:val="accent1">
                <w14:lumMod w14:val="75000"/>
                <w14:lumMod w14:val="75000"/>
                <w14:lumMod w14:val="75000"/>
              </w14:schemeClr>
            </w14:solidFill>
          </w14:textFill>
        </w:rPr>
        <w:t>Planos de cooperação e assistência</w:t>
      </w:r>
      <w:bookmarkEnd w:id="25"/>
    </w:p>
    <w:p w14:paraId="441B2175" w14:textId="352E0422" w:rsidR="00A02DF2" w:rsidRPr="005459EB" w:rsidRDefault="00A02DF2" w:rsidP="00A02DF2">
      <w:pPr>
        <w:rPr>
          <w:rFonts w:ascii="Segoe UI" w:eastAsia="Times New Roman" w:hAnsi="Segoe UI" w:cs="Segoe UI"/>
          <w:noProof/>
          <w:sz w:val="18"/>
          <w:szCs w:val="18"/>
        </w:rPr>
      </w:pPr>
      <w:r>
        <w:rPr>
          <w:noProof/>
        </w:rPr>
        <w:t xml:space="preserve">Em 2023, </w:t>
      </w:r>
      <w:r>
        <w:rPr>
          <w:b/>
          <w:noProof/>
        </w:rPr>
        <w:t>foram concluídos planos de cooperação e assistência</w:t>
      </w:r>
      <w:r w:rsidR="0011622C">
        <w:rPr>
          <w:rStyle w:val="FootnoteReference"/>
          <w:b/>
          <w:bCs/>
          <w:noProof/>
          <w:lang w:eastAsia="en-IE"/>
        </w:rPr>
        <w:footnoteReference w:id="13"/>
      </w:r>
      <w:r>
        <w:rPr>
          <w:b/>
          <w:noProof/>
        </w:rPr>
        <w:t xml:space="preserve"> </w:t>
      </w:r>
      <w:r>
        <w:rPr>
          <w:noProof/>
        </w:rPr>
        <w:t>com todos os 27 Estados-Membros para definir os princípios orientadores e métodos de trabalho da assistência prestada pelo IAT, os quais foram partilhados, em setembro de 2023, com o Conselho e o Parlamento Europeu. Cada plano apresenta os domínios de intervenção abrangidos e o âmbito das medidas de assistência a aplicar, bem como os calendários indicativos e os orçamentos estimados, dando assim a cada Estado-Membro uma visão estratégica da aplicação das medidas de assistência ao abrigo do IAT, a nível nacional e regional.</w:t>
      </w:r>
    </w:p>
    <w:p w14:paraId="778E218B" w14:textId="63A76082" w:rsidR="00A02DF2" w:rsidRPr="005459EB" w:rsidRDefault="005D1DE1" w:rsidP="00C22B0D">
      <w:pPr>
        <w:spacing w:after="240"/>
        <w:rPr>
          <w:rFonts w:ascii="Times New Roman" w:hAnsi="Times New Roman" w:cs="Times New Roman"/>
          <w:noProof/>
        </w:rPr>
      </w:pPr>
      <w:r>
        <w:rPr>
          <w:noProof/>
        </w:rPr>
        <w:t>Em 2023, estes planos incluíram igualmente uma proposta de mandato das autoridades nacionais de coordenação do IAT, descrevendo o seu papel em cada etapa do ciclo do IAT, incluindo o potencial envolvimento em atividades de comunicação e avaliação e a sua participação numa rede de autoridades de coordenação presidida pela DG REFORM. Em 2023, esta rede reuniu cinco vezes (quatro vezes em linha e uma vez presencialmente, em 12 de setembro de 2023, em Madrid). A reunião presencial, em particular, constituiu uma oportunidade para sublinhar a importância do papel das autoridades de coordenação dos Estados-Membros para o bom funcionamento do IAT e debater a melhor forma de agregar e coordenar ideias e partes interessadas no sentido de gerar pedidos plurinacionais no âmbito do IAT.</w:t>
      </w:r>
    </w:p>
    <w:p w14:paraId="6AF1760A" w14:textId="77777777" w:rsidR="00F2378A" w:rsidRPr="00C22B0D" w:rsidRDefault="00F2378A" w:rsidP="00CC0E62">
      <w:pPr>
        <w:pStyle w:val="Heading2"/>
        <w:rPr>
          <w:noProof/>
          <w:color w:val="5B9BD5" w:themeColor="accent1"/>
          <w14:textFill>
            <w14:solidFill>
              <w14:schemeClr w14:val="accent1">
                <w14:lumMod w14:val="75000"/>
                <w14:lumMod w14:val="75000"/>
                <w14:lumMod w14:val="75000"/>
              </w14:schemeClr>
            </w14:solidFill>
          </w14:textFill>
        </w:rPr>
      </w:pPr>
      <w:bookmarkStart w:id="26" w:name="_Toc179201300"/>
      <w:r>
        <w:rPr>
          <w:noProof/>
          <w:color w:val="5B9BD5" w:themeColor="accent1"/>
          <w14:textFill>
            <w14:solidFill>
              <w14:schemeClr w14:val="accent1">
                <w14:lumMod w14:val="75000"/>
                <w14:lumMod w14:val="75000"/>
                <w14:lumMod w14:val="75000"/>
              </w14:schemeClr>
            </w14:solidFill>
          </w14:textFill>
        </w:rPr>
        <w:t>Comunicação sobre o IAT</w:t>
      </w:r>
      <w:bookmarkEnd w:id="26"/>
    </w:p>
    <w:p w14:paraId="26EB972E" w14:textId="38B6051D" w:rsidR="0002792B" w:rsidRPr="005459EB" w:rsidRDefault="00FE62CD" w:rsidP="00FE62CD">
      <w:pPr>
        <w:rPr>
          <w:noProof/>
        </w:rPr>
      </w:pPr>
      <w:r>
        <w:rPr>
          <w:noProof/>
        </w:rPr>
        <w:t xml:space="preserve">O instrumento de assistência técnica é único em termos de conceção e flexibilidade. Trabalha com as administrações nacionais para as assistir na conceção e execução das respetivas reformas, em benefício dos cidadãos e das empresas. A fim de assegurar a </w:t>
      </w:r>
      <w:r>
        <w:rPr>
          <w:b/>
          <w:noProof/>
        </w:rPr>
        <w:t>visibilidade do financiamento da UE</w:t>
      </w:r>
      <w:r>
        <w:rPr>
          <w:noProof/>
        </w:rPr>
        <w:t xml:space="preserve">, a DG REFORM promove o trabalho do IAT, os respetivos projetos e os seus resultados em colaboração com as autoridades beneficiárias, os prestadores de assistência e os serviços de representação do Parlamento Europeu e da Comissão em cada Estado-Membro. As atividades de comunicação através de canais próprios (sítio Web sobre a assistência ao processo de reforma, redes sociais, publicações, eventos, etc.) prestam </w:t>
      </w:r>
      <w:r>
        <w:rPr>
          <w:b/>
          <w:noProof/>
        </w:rPr>
        <w:t>informação dirigida a diversos públicos</w:t>
      </w:r>
      <w:r>
        <w:rPr>
          <w:noProof/>
        </w:rPr>
        <w:t>, incluindo meios de comunicação social e público em geral.</w:t>
      </w:r>
    </w:p>
    <w:p w14:paraId="450F31BD" w14:textId="2A0023EB" w:rsidR="005E75CF" w:rsidRPr="005459EB" w:rsidRDefault="00FE62CD" w:rsidP="00CB203D">
      <w:pPr>
        <w:rPr>
          <w:noProof/>
        </w:rPr>
      </w:pPr>
      <w:r>
        <w:rPr>
          <w:noProof/>
        </w:rPr>
        <w:t>Em 2023, as atividades de comunicação relativas ao IAT e à elaboração de políticas em matéria de administração pública e governação tiveram uma maior orientação para os resultados. Mais concretamente, a DG REFORM realizou, em 21 de</w:t>
      </w:r>
      <w:r>
        <w:rPr>
          <w:rFonts w:ascii="Calibri" w:hAnsi="Calibri"/>
          <w:noProof/>
        </w:rPr>
        <w:t> </w:t>
      </w:r>
      <w:r>
        <w:rPr>
          <w:noProof/>
        </w:rPr>
        <w:t xml:space="preserve">março de 2023, a </w:t>
      </w:r>
      <w:hyperlink r:id="rId64" w:history="1">
        <w:r>
          <w:rPr>
            <w:rStyle w:val="Hyperlink"/>
            <w:noProof/>
            <w:color w:val="034990" w:themeColor="hyperlink" w:themeShade="BF"/>
          </w:rPr>
          <w:t>conferência de imprensa anual sobre o IAT de 2023</w:t>
        </w:r>
      </w:hyperlink>
      <w:r>
        <w:rPr>
          <w:noProof/>
        </w:rPr>
        <w:t xml:space="preserve"> para assinalar a adoção do programa de trabalho do IAT desse ano. A DG REFORM organizou também, em 25 de maio de 2023, a </w:t>
      </w:r>
      <w:hyperlink r:id="rId65">
        <w:r>
          <w:rPr>
            <w:rStyle w:val="Hyperlink"/>
            <w:b/>
            <w:noProof/>
            <w:color w:val="034990"/>
            <w14:textFill>
              <w14:solidFill>
                <w14:srgbClr w14:val="034990">
                  <w14:lumMod w14:val="75000"/>
                </w14:srgbClr>
              </w14:solidFill>
            </w14:textFill>
          </w:rPr>
          <w:t>conferência anual sobre o IAT</w:t>
        </w:r>
      </w:hyperlink>
      <w:r>
        <w:rPr>
          <w:noProof/>
        </w:rPr>
        <w:t xml:space="preserve">, dedicada ao tema </w:t>
      </w:r>
      <w:r>
        <w:rPr>
          <w:rStyle w:val="Hyperlink"/>
          <w:b/>
          <w:noProof/>
          <w:color w:val="034990"/>
          <w14:textFill>
            <w14:solidFill>
              <w14:srgbClr w14:val="034990">
                <w14:lumMod w14:val="75000"/>
              </w14:srgbClr>
            </w14:solidFill>
          </w14:textFill>
        </w:rPr>
        <w:t>«</w:t>
      </w:r>
      <w:hyperlink r:id="rId66" w:history="1">
        <w:r>
          <w:rPr>
            <w:rStyle w:val="Hyperlink"/>
            <w:b/>
            <w:noProof/>
            <w:color w:val="034990" w:themeColor="hyperlink" w:themeShade="BF"/>
          </w:rPr>
          <w:t>Administração pública preparada para o futuro e adaptável à mudança</w:t>
        </w:r>
      </w:hyperlink>
      <w:r>
        <w:rPr>
          <w:rStyle w:val="Hyperlink"/>
          <w:noProof/>
          <w:color w:val="034990"/>
          <w14:textFill>
            <w14:solidFill>
              <w14:srgbClr w14:val="034990">
                <w14:lumMod w14:val="75000"/>
              </w14:srgbClr>
            </w14:solidFill>
          </w14:textFill>
        </w:rPr>
        <w:t>»</w:t>
      </w:r>
      <w:r>
        <w:rPr>
          <w:noProof/>
        </w:rPr>
        <w:t>. Esta conferência marcou o lançamento do ciclo de 2024 do IAT. O seu formato de programa televisivo captou a atenção dos 1 600 participantes em linha durante todo o evento.</w:t>
      </w:r>
    </w:p>
    <w:p w14:paraId="79CF31EA" w14:textId="4B22ED91" w:rsidR="007938AD" w:rsidRPr="005459EB" w:rsidRDefault="00300D51" w:rsidP="00CB203D">
      <w:pPr>
        <w:rPr>
          <w:noProof/>
        </w:rPr>
      </w:pPr>
      <w:r>
        <w:rPr>
          <w:noProof/>
        </w:rPr>
        <w:t xml:space="preserve">A DG REFORM coorganizou e/ou participou em </w:t>
      </w:r>
      <w:hyperlink r:id="rId67" w:history="1">
        <w:r>
          <w:rPr>
            <w:rStyle w:val="Hyperlink"/>
            <w:b/>
            <w:noProof/>
            <w:color w:val="034990" w:themeColor="hyperlink" w:themeShade="BF"/>
            <w:u w:val="none"/>
          </w:rPr>
          <w:t>eventos públicos</w:t>
        </w:r>
      </w:hyperlink>
      <w:r>
        <w:rPr>
          <w:noProof/>
        </w:rPr>
        <w:t>, a nível local e em linha, destinados a dar a conhecer casos de sucesso e a divulgar informações sobre os resultados do IAT. De referir, nomeadamente:</w:t>
      </w:r>
    </w:p>
    <w:p w14:paraId="1CBAC4BD" w14:textId="1600C066" w:rsidR="007938AD" w:rsidRPr="005459EB" w:rsidRDefault="007938AD" w:rsidP="00CB6475">
      <w:pPr>
        <w:pStyle w:val="ListParagraph"/>
        <w:numPr>
          <w:ilvl w:val="0"/>
          <w:numId w:val="55"/>
        </w:numPr>
        <w:rPr>
          <w:noProof/>
        </w:rPr>
      </w:pPr>
      <w:r>
        <w:rPr>
          <w:noProof/>
        </w:rPr>
        <w:t>DG REFORM no VIII.º Fórum Económico de Delfos, 26-29 de abril de 2023,</w:t>
      </w:r>
    </w:p>
    <w:p w14:paraId="3D632051" w14:textId="35E1D209" w:rsidR="007938AD" w:rsidRPr="005459EB" w:rsidRDefault="007938AD" w:rsidP="00CB6475">
      <w:pPr>
        <w:pStyle w:val="ListParagraph"/>
        <w:numPr>
          <w:ilvl w:val="0"/>
          <w:numId w:val="55"/>
        </w:numPr>
        <w:rPr>
          <w:noProof/>
        </w:rPr>
      </w:pPr>
      <w:r>
        <w:rPr>
          <w:noProof/>
        </w:rPr>
        <w:t>«Supporting skills development through reforms» (Apoiar o desenvolvimento das competências através das reformas), 25 de maio de 2023,</w:t>
      </w:r>
    </w:p>
    <w:p w14:paraId="6BB9B987" w14:textId="3EAAB247" w:rsidR="007938AD" w:rsidRPr="005459EB" w:rsidRDefault="007938AD">
      <w:pPr>
        <w:pStyle w:val="ListParagraph"/>
        <w:numPr>
          <w:ilvl w:val="0"/>
          <w:numId w:val="55"/>
        </w:numPr>
        <w:rPr>
          <w:noProof/>
        </w:rPr>
      </w:pPr>
      <w:r>
        <w:rPr>
          <w:noProof/>
        </w:rPr>
        <w:t>«Tourism data sharing, governance and integration» (Partilha, governação e integração de dados sobre o turismo), 27-28 de setembro de 2023,</w:t>
      </w:r>
    </w:p>
    <w:p w14:paraId="0C58417C" w14:textId="35861474" w:rsidR="00454BEB" w:rsidRPr="005459EB" w:rsidRDefault="00C33658" w:rsidP="00E24898">
      <w:pPr>
        <w:pStyle w:val="ListParagraph"/>
        <w:numPr>
          <w:ilvl w:val="0"/>
          <w:numId w:val="55"/>
        </w:numPr>
        <w:rPr>
          <w:noProof/>
        </w:rPr>
      </w:pPr>
      <w:r>
        <w:rPr>
          <w:noProof/>
        </w:rPr>
        <w:t>«Science for policy in Europe» (Ciência para as políticas na Europa), 10-11 de outubro de 2023,</w:t>
      </w:r>
    </w:p>
    <w:p w14:paraId="707A863A" w14:textId="73CB64A1" w:rsidR="00E24898" w:rsidRPr="005459EB" w:rsidRDefault="00454BEB" w:rsidP="00E24898">
      <w:pPr>
        <w:pStyle w:val="ListParagraph"/>
        <w:numPr>
          <w:ilvl w:val="0"/>
          <w:numId w:val="55"/>
        </w:numPr>
        <w:rPr>
          <w:noProof/>
        </w:rPr>
      </w:pPr>
      <w:r>
        <w:rPr>
          <w:noProof/>
        </w:rPr>
        <w:t>«Sustainable finance» (Financiamento sustentável) - evento paralelo da COP 28, 4 de dezembro de 2023.</w:t>
      </w:r>
    </w:p>
    <w:p w14:paraId="086D3762" w14:textId="5E2056BF" w:rsidR="00211B1B" w:rsidRPr="005459EB" w:rsidRDefault="00516082" w:rsidP="00753AB4">
      <w:pPr>
        <w:rPr>
          <w:b/>
          <w:bCs/>
          <w:noProof/>
        </w:rPr>
      </w:pPr>
      <w:r>
        <w:rPr>
          <w:noProof/>
        </w:rPr>
        <w:t xml:space="preserve">Afastando-se da abordagem orientada para os projetos dos primeiros anos do IAT e centrando-se mais nas reformas e no seu impacto na vida das pessoas, a DG REFORM aumentou também as suas </w:t>
      </w:r>
      <w:r>
        <w:rPr>
          <w:b/>
          <w:noProof/>
        </w:rPr>
        <w:t>atividades junto da imprensa</w:t>
      </w:r>
      <w:r>
        <w:rPr>
          <w:noProof/>
        </w:rPr>
        <w:t xml:space="preserve"> através de entrevistas e </w:t>
      </w:r>
      <w:r>
        <w:rPr>
          <w:b/>
          <w:noProof/>
        </w:rPr>
        <w:t>eventos para os meios de comunicação social.</w:t>
      </w:r>
    </w:p>
    <w:p w14:paraId="5D8C6655" w14:textId="061E1069" w:rsidR="0074162F" w:rsidRPr="005459EB" w:rsidRDefault="00516082" w:rsidP="00DC454F">
      <w:pPr>
        <w:rPr>
          <w:noProof/>
        </w:rPr>
      </w:pPr>
      <w:r>
        <w:rPr>
          <w:noProof/>
        </w:rPr>
        <w:t xml:space="preserve">Navegado por mais de </w:t>
      </w:r>
      <w:r>
        <w:rPr>
          <w:b/>
          <w:noProof/>
        </w:rPr>
        <w:t>160 000 visitantes individuais em 2023</w:t>
      </w:r>
      <w:r>
        <w:rPr>
          <w:noProof/>
        </w:rPr>
        <w:t xml:space="preserve">, o </w:t>
      </w:r>
      <w:hyperlink r:id="rId68" w:history="1">
        <w:r>
          <w:rPr>
            <w:rStyle w:val="Hyperlink"/>
            <w:b/>
            <w:noProof/>
            <w:color w:val="034990" w:themeColor="hyperlink" w:themeShade="BF"/>
          </w:rPr>
          <w:t>sítio Web sobre a assistência ao processo de reforma</w:t>
        </w:r>
      </w:hyperlink>
      <w:r>
        <w:rPr>
          <w:noProof/>
        </w:rPr>
        <w:t xml:space="preserve"> passou também a exibir um formato mais convivial para disponibilizar informações  pormenorizadas sobre reformas e projetos de reforma, por </w:t>
      </w:r>
      <w:hyperlink r:id="rId69" w:history="1">
        <w:r>
          <w:rPr>
            <w:rStyle w:val="Hyperlink"/>
            <w:b/>
            <w:noProof/>
            <w:color w:val="034990" w:themeColor="hyperlink" w:themeShade="BF"/>
          </w:rPr>
          <w:t>domínio de intervenção</w:t>
        </w:r>
      </w:hyperlink>
      <w:r>
        <w:rPr>
          <w:noProof/>
        </w:rPr>
        <w:t xml:space="preserve"> e por </w:t>
      </w:r>
      <w:hyperlink r:id="rId70" w:history="1">
        <w:r>
          <w:rPr>
            <w:rStyle w:val="Hyperlink"/>
            <w:b/>
            <w:noProof/>
            <w:color w:val="034990" w:themeColor="hyperlink" w:themeShade="BF"/>
          </w:rPr>
          <w:t>país</w:t>
        </w:r>
      </w:hyperlink>
      <w:r>
        <w:rPr>
          <w:noProof/>
        </w:rPr>
        <w:t>. No final de dezembro de 2023, havia mais de 350 descrições de projetos disponíveis em linha.</w:t>
      </w:r>
    </w:p>
    <w:p w14:paraId="2F2B39AD" w14:textId="1E01358E" w:rsidR="00DC454F" w:rsidRPr="005459EB" w:rsidRDefault="00DC454F" w:rsidP="00DC454F">
      <w:pPr>
        <w:rPr>
          <w:noProof/>
        </w:rPr>
      </w:pPr>
      <w:r>
        <w:rPr>
          <w:noProof/>
        </w:rPr>
        <w:t xml:space="preserve">Em conformidade com o requisito de transparência estabelecido no artigo 17.º do Regulamento IAT, o sítio Web sobre a assistência ao processo de reforma acolhe um </w:t>
      </w:r>
      <w:hyperlink r:id="rId71" w:history="1">
        <w:r>
          <w:rPr>
            <w:rStyle w:val="Hyperlink"/>
            <w:b/>
            <w:noProof/>
            <w:color w:val="034990" w:themeColor="hyperlink" w:themeShade="BF"/>
            <w14:textFill>
              <w14:solidFill>
                <w14:schemeClr w14:val="hlink">
                  <w14:lumMod w14:val="75000"/>
                  <w14:lumMod w14:val="75000"/>
                </w14:schemeClr>
              </w14:solidFill>
            </w14:textFill>
          </w:rPr>
          <w:t>repositório público único em linha</w:t>
        </w:r>
      </w:hyperlink>
      <w:r>
        <w:rPr>
          <w:noProof/>
        </w:rPr>
        <w:t xml:space="preserve"> dos estudos finais ou relatórios elaborados no âmbito dos projetos de assistência do IAT. O repositório é pesquisável por ano, tema e Estado-Membro, para ajudar a divulgar as diversas publicações junto de um público vasto. No final de dezembro de 2023, 45 % dos projetos do IAT concluídos tinham já um estudo final disponível em linha.</w:t>
      </w:r>
    </w:p>
    <w:p w14:paraId="17B95911" w14:textId="66E031FD" w:rsidR="005B05F5" w:rsidRPr="005459EB" w:rsidRDefault="00753AB4" w:rsidP="00CB203D">
      <w:pPr>
        <w:rPr>
          <w:noProof/>
        </w:rPr>
      </w:pPr>
      <w:r>
        <w:rPr>
          <w:noProof/>
        </w:rPr>
        <w:t xml:space="preserve">A DG REFORM manteve-se ativa nas redes sociais, com </w:t>
      </w:r>
      <w:r>
        <w:rPr>
          <w:b/>
          <w:noProof/>
        </w:rPr>
        <w:t>3</w:t>
      </w:r>
      <w:r>
        <w:rPr>
          <w:rFonts w:ascii="Calibri" w:hAnsi="Calibri"/>
          <w:b/>
          <w:noProof/>
        </w:rPr>
        <w:t> </w:t>
      </w:r>
      <w:r>
        <w:rPr>
          <w:b/>
          <w:noProof/>
        </w:rPr>
        <w:t>500 seguidores na sua</w:t>
      </w:r>
      <w:r>
        <w:rPr>
          <w:noProof/>
        </w:rPr>
        <w:t xml:space="preserve"> conta </w:t>
      </w:r>
      <w:hyperlink r:id="rId72" w:history="1">
        <w:r>
          <w:rPr>
            <w:rStyle w:val="Hyperlink"/>
            <w:b/>
            <w:noProof/>
            <w:color w:val="034990" w:themeColor="hyperlink" w:themeShade="BF"/>
          </w:rPr>
          <w:t>@EU_reforms</w:t>
        </w:r>
      </w:hyperlink>
      <w:r>
        <w:rPr>
          <w:noProof/>
        </w:rPr>
        <w:t xml:space="preserve"> da rede social X (anteriormente Twitter), e, em simultâneo, renovou o seu </w:t>
      </w:r>
      <w:hyperlink r:id="rId73" w:history="1">
        <w:r>
          <w:rPr>
            <w:rStyle w:val="Hyperlink"/>
            <w:b/>
            <w:noProof/>
            <w:color w:val="034990" w:themeColor="hyperlink" w:themeShade="BF"/>
          </w:rPr>
          <w:t>canal no YouTube</w:t>
        </w:r>
      </w:hyperlink>
      <w:r>
        <w:rPr>
          <w:noProof/>
        </w:rPr>
        <w:t xml:space="preserve"> com novos conteúdos e produtos audiovisuais originais. A DG REFORM aumentou ainda a sua capacidade interna de produção de vídeos em 2023, tendo produzido vários vídeos para apoiar a</w:t>
      </w:r>
      <w:hyperlink r:id="rId74" w:history="1">
        <w:r>
          <w:rPr>
            <w:rStyle w:val="Hyperlink"/>
            <w:b/>
            <w:noProof/>
            <w:color w:val="034990" w:themeColor="hyperlink" w:themeShade="BF"/>
          </w:rPr>
          <w:t>série «Project in the spotlight» (Projeto em destaque)</w:t>
        </w:r>
      </w:hyperlink>
      <w:r>
        <w:rPr>
          <w:noProof/>
        </w:rPr>
        <w:t>.</w:t>
      </w:r>
    </w:p>
    <w:p w14:paraId="2EAEE8BD" w14:textId="1349C563" w:rsidR="001C033B" w:rsidRPr="005459EB" w:rsidRDefault="00927226" w:rsidP="00C22B0D">
      <w:pPr>
        <w:spacing w:after="240"/>
        <w:rPr>
          <w:noProof/>
        </w:rPr>
      </w:pPr>
      <w:r>
        <w:rPr>
          <w:noProof/>
        </w:rPr>
        <w:t xml:space="preserve">Frequentemente, </w:t>
      </w:r>
      <w:r>
        <w:rPr>
          <w:noProof/>
        </w:rPr>
        <w:noBreakHyphen/>
        <w:t xml:space="preserve">campanhas de comunicação e relatórios à escala da UE referem também o IAT como uma importante fonte de apoio aos Estados-Membros na execução do seu programa de reformas, em coerência com as prioridades da UE. Neste contexto, o IAT foi mencionado sete vezes no </w:t>
      </w:r>
      <w:hyperlink r:id="rId75" w:history="1">
        <w:r>
          <w:rPr>
            <w:rStyle w:val="Hyperlink"/>
            <w:b/>
            <w:noProof/>
            <w:color w:val="034990" w:themeColor="hyperlink" w:themeShade="BF"/>
          </w:rPr>
          <w:t>Relatório Geral sobre a Atividade da União Europeia de 2023</w:t>
        </w:r>
      </w:hyperlink>
      <w:r>
        <w:rPr>
          <w:noProof/>
        </w:rPr>
        <w:t>, com referências específicas ao trabalho realizado para apoiar os PRR, a União dos Mercados de Capitais, o plano REPowerEU, a educação e a saúde. O referido relatório incluiu igualmente duas referências à comunicação ComPAct.</w:t>
      </w:r>
    </w:p>
    <w:p w14:paraId="41E256B1" w14:textId="77777777" w:rsidR="00F57538" w:rsidRPr="005459EB" w:rsidRDefault="00F57538" w:rsidP="00CB6475">
      <w:pPr>
        <w:pStyle w:val="Heading2"/>
        <w:rPr>
          <w:noProof/>
        </w:rPr>
      </w:pPr>
      <w:bookmarkStart w:id="27" w:name="_Toc179201301"/>
      <w:r>
        <w:rPr>
          <w:noProof/>
          <w:color w:val="5B9BD5" w:themeColor="accent1"/>
          <w14:textFill>
            <w14:solidFill>
              <w14:schemeClr w14:val="accent1">
                <w14:lumMod w14:val="75000"/>
                <w14:lumMod w14:val="75000"/>
                <w14:lumMod w14:val="75000"/>
              </w14:schemeClr>
            </w14:solidFill>
          </w14:textFill>
        </w:rPr>
        <w:t>Avaliação do IAT</w:t>
      </w:r>
      <w:bookmarkEnd w:id="27"/>
    </w:p>
    <w:p w14:paraId="2324A230" w14:textId="22E4FACD" w:rsidR="00F57538" w:rsidRPr="005459EB" w:rsidRDefault="00F57538" w:rsidP="00CB6475">
      <w:pPr>
        <w:rPr>
          <w:noProof/>
        </w:rPr>
      </w:pPr>
      <w:r>
        <w:rPr>
          <w:noProof/>
        </w:rPr>
        <w:t>A DG REFORM avalia a assistência que presta aos Estados-Membros tanto ao nível do programa como dos projetos. A avaliação do programa e dos projetos do IAT baseia-se nos elementos de prova dos resultados obtidos para os Estados-Membros e os cidadãos no terreno. A Comissão considera ser importante partilhar esses resultados com as partes interessadas e o grande público, de modo a demonstrar que a ação da UE introduz mudanças positivas.</w:t>
      </w:r>
    </w:p>
    <w:p w14:paraId="4F6ED5C4" w14:textId="64DCFD51" w:rsidR="00F57538" w:rsidRPr="005459EB" w:rsidRDefault="00F57538" w:rsidP="00CB6475">
      <w:pPr>
        <w:rPr>
          <w:noProof/>
        </w:rPr>
      </w:pPr>
      <w:r>
        <w:rPr>
          <w:noProof/>
        </w:rPr>
        <w:t xml:space="preserve">A </w:t>
      </w:r>
      <w:hyperlink r:id="rId76" w:history="1">
        <w:r>
          <w:rPr>
            <w:rStyle w:val="Hyperlink"/>
            <w:noProof/>
            <w:color w:val="034990" w:themeColor="hyperlink" w:themeShade="BF"/>
            <w14:textFill>
              <w14:solidFill>
                <w14:schemeClr w14:val="hlink">
                  <w14:lumMod w14:val="75000"/>
                  <w14:lumMod w14:val="75000"/>
                </w14:schemeClr>
              </w14:solidFill>
            </w14:textFill>
          </w:rPr>
          <w:t xml:space="preserve">avaliação </w:t>
        </w:r>
        <w:r>
          <w:rPr>
            <w:rStyle w:val="Hyperlink"/>
            <w:i/>
            <w:noProof/>
            <w:color w:val="034990" w:themeColor="hyperlink" w:themeShade="BF"/>
            <w14:textFill>
              <w14:solidFill>
                <w14:schemeClr w14:val="hlink">
                  <w14:lumMod w14:val="75000"/>
                  <w14:lumMod w14:val="75000"/>
                </w14:schemeClr>
              </w14:solidFill>
            </w14:textFill>
          </w:rPr>
          <w:t>ex</w:t>
        </w:r>
        <w:r>
          <w:rPr>
            <w:rStyle w:val="Hyperlink"/>
            <w:rFonts w:ascii="Calibri" w:hAnsi="Calibri"/>
            <w:i/>
            <w:noProof/>
            <w:color w:val="034990" w:themeColor="hyperlink" w:themeShade="BF"/>
            <w14:textFill>
              <w14:solidFill>
                <w14:schemeClr w14:val="hlink">
                  <w14:lumMod w14:val="75000"/>
                  <w14:lumMod w14:val="75000"/>
                </w14:schemeClr>
              </w14:solidFill>
            </w14:textFill>
          </w:rPr>
          <w:t> </w:t>
        </w:r>
        <w:r>
          <w:rPr>
            <w:rStyle w:val="Hyperlink"/>
            <w:i/>
            <w:noProof/>
            <w:color w:val="034990" w:themeColor="hyperlink" w:themeShade="BF"/>
            <w14:textFill>
              <w14:solidFill>
                <w14:schemeClr w14:val="hlink">
                  <w14:lumMod w14:val="75000"/>
                  <w14:lumMod w14:val="75000"/>
                </w14:schemeClr>
              </w14:solidFill>
            </w14:textFill>
          </w:rPr>
          <w:t>post</w:t>
        </w:r>
        <w:r>
          <w:rPr>
            <w:rStyle w:val="Hyperlink"/>
            <w:noProof/>
            <w:color w:val="034990" w:themeColor="hyperlink" w:themeShade="BF"/>
            <w14:textFill>
              <w14:solidFill>
                <w14:schemeClr w14:val="hlink">
                  <w14:lumMod w14:val="75000"/>
                  <w14:lumMod w14:val="75000"/>
                </w14:schemeClr>
              </w14:solidFill>
            </w14:textFill>
          </w:rPr>
          <w:t xml:space="preserve"> do Programa de Apoio às Reformas Estruturais</w:t>
        </w:r>
      </w:hyperlink>
      <w:r>
        <w:rPr>
          <w:rStyle w:val="Hyperlink"/>
          <w:noProof/>
          <w:color w:val="034990" w:themeColor="hyperlink" w:themeShade="BF"/>
          <w14:textFill>
            <w14:solidFill>
              <w14:schemeClr w14:val="hlink">
                <w14:lumMod w14:val="75000"/>
                <w14:lumMod w14:val="75000"/>
              </w14:schemeClr>
            </w14:solidFill>
          </w14:textFill>
        </w:rPr>
        <w:t xml:space="preserve"> (PARE </w:t>
      </w:r>
      <w:r>
        <w:rPr>
          <w:rStyle w:val="Hyperlink"/>
          <w:i/>
          <w:noProof/>
          <w:color w:val="034990" w:themeColor="hyperlink" w:themeShade="BF"/>
          <w14:textFill>
            <w14:solidFill>
              <w14:schemeClr w14:val="hlink">
                <w14:lumMod w14:val="75000"/>
                <w14:lumMod w14:val="75000"/>
              </w14:schemeClr>
            </w14:solidFill>
          </w14:textFill>
        </w:rPr>
        <w:t>ex</w:t>
      </w:r>
      <w:r>
        <w:rPr>
          <w:rStyle w:val="Hyperlink"/>
          <w:rFonts w:ascii="Calibri" w:hAnsi="Calibri"/>
          <w:i/>
          <w:noProof/>
          <w:color w:val="034990" w:themeColor="hyperlink" w:themeShade="BF"/>
          <w14:textFill>
            <w14:solidFill>
              <w14:schemeClr w14:val="hlink">
                <w14:lumMod w14:val="75000"/>
                <w14:lumMod w14:val="75000"/>
              </w14:schemeClr>
            </w14:solidFill>
          </w14:textFill>
        </w:rPr>
        <w:t> </w:t>
      </w:r>
      <w:r>
        <w:rPr>
          <w:rStyle w:val="Hyperlink"/>
          <w:i/>
          <w:noProof/>
          <w:color w:val="034990" w:themeColor="hyperlink" w:themeShade="BF"/>
          <w14:textFill>
            <w14:solidFill>
              <w14:schemeClr w14:val="hlink">
                <w14:lumMod w14:val="75000"/>
                <w14:lumMod w14:val="75000"/>
              </w14:schemeClr>
            </w14:solidFill>
          </w14:textFill>
        </w:rPr>
        <w:t>post</w:t>
      </w:r>
      <w:r>
        <w:rPr>
          <w:rStyle w:val="Hyperlink"/>
          <w:noProof/>
          <w:color w:val="034990" w:themeColor="hyperlink" w:themeShade="BF"/>
          <w14:textFill>
            <w14:solidFill>
              <w14:schemeClr w14:val="hlink">
                <w14:lumMod w14:val="75000"/>
                <w14:lumMod w14:val="75000"/>
              </w14:schemeClr>
            </w14:solidFill>
          </w14:textFill>
        </w:rPr>
        <w:t>)</w:t>
      </w:r>
      <w:r>
        <w:rPr>
          <w:noProof/>
        </w:rPr>
        <w:t>, o antecessor do IAT, foi publicada em outubro de 2023. Esta avaliação resultou em informações essenciais sobre a conceção, a execução e os efeitos dos projetos de assistência técnica executados pela DG REFORM (e pelo Serviço de Apoio às Reformas Estruturais). Segundo o relatório, o objetivo geral do PARE, contribuir para a realização de reformas institucionais, administrativas e estruturais favoráveis ao crescimento nos Estados-Membros, foi alcançado com êxito. O PARE foi considerado um instrumento altamente pertinente e bem adaptado para reforçar as capacidades administrativas dos Estados-Membros para conceber e executar reformas e responder aos desafios. Para o êxito do PARE contribuíram fatores fundamentais como a forte participação das administrações nacionais e a apropriação dos projetos pelas mesmas.</w:t>
      </w:r>
    </w:p>
    <w:p w14:paraId="6A0BA13C" w14:textId="04D812D6" w:rsidR="00F57538" w:rsidRPr="005459EB" w:rsidRDefault="00F57538" w:rsidP="004C6CCE">
      <w:pPr>
        <w:rPr>
          <w:rFonts w:eastAsiaTheme="minorEastAsia"/>
          <w:noProof/>
        </w:rPr>
      </w:pPr>
      <w:r>
        <w:rPr>
          <w:noProof/>
        </w:rPr>
        <w:t xml:space="preserve">Em 2023, em conformidade com o artigo 16.º do </w:t>
      </w:r>
      <w:hyperlink r:id="rId77" w:history="1">
        <w:r>
          <w:rPr>
            <w:rStyle w:val="Hyperlink"/>
            <w:noProof/>
            <w:color w:val="034990"/>
            <w14:textFill>
              <w14:solidFill>
                <w14:srgbClr w14:val="034990">
                  <w14:lumMod w14:val="75000"/>
                </w14:srgbClr>
              </w14:solidFill>
            </w14:textFill>
          </w:rPr>
          <w:t>Regulamento</w:t>
        </w:r>
      </w:hyperlink>
      <w:r>
        <w:rPr>
          <w:noProof/>
        </w:rPr>
        <w:t xml:space="preserve"> IAT, a DG REFORM iniciou os preparativos para o lançamento da avaliação intercalar do IAT. Esta avaliação decorrerá até fevereiro de 2025 e deverá desempenhar um papel importante na definição do futuro do programa para o próximo quadro financeiro plurianual. Além de avaliar a execução inicial do IAT de acordo com os cinco critérios obrigatórios de avaliação «Legislar Melhor» (eficácia, eficiência, relevância, coerência e valor acrescentado da UE), a avaliação intercalar analisará igualmente os efeitos a longo prazo e a sustentabilidade do programa precedente, o PARE.</w:t>
      </w:r>
    </w:p>
    <w:p w14:paraId="5E7DFCC5" w14:textId="2651FA4F" w:rsidR="0047108F" w:rsidRPr="005459EB" w:rsidRDefault="0047108F" w:rsidP="0047108F">
      <w:pPr>
        <w:rPr>
          <w:noProof/>
        </w:rPr>
      </w:pPr>
      <w:r>
        <w:rPr>
          <w:noProof/>
        </w:rPr>
        <w:t>A par da avaliação realizada ao nível do programa, a DG REFORM adotou um procedimento em duas fases para recolher dados de avaliação sobre todos os projetos de assistência técnica do IAT. A primeira fase, iniciada logo após a conclusão do projeto, avaliará o nível de satisfação das principais partes interessadas envolvidas na sua conceção e execução. A segunda fase, a ter lugar pelo menos um ano após a conclusão do projeto, avaliará em que medida foram obtidos os resultados esperados.</w:t>
      </w:r>
    </w:p>
    <w:p w14:paraId="519CFB17" w14:textId="3F5E0296" w:rsidR="00BF345D" w:rsidRPr="005459EB" w:rsidRDefault="00F57538" w:rsidP="00C22B0D">
      <w:pPr>
        <w:spacing w:after="240"/>
        <w:rPr>
          <w:noProof/>
        </w:rPr>
      </w:pPr>
      <w:r>
        <w:rPr>
          <w:noProof/>
        </w:rPr>
        <w:t>Em 2023, a DG REFORM recebeu questionários de satisfação preenchidos pelas autoridades beneficiárias referentes a 94 projetos do IAT, ou seja, uma taxa de resposta de 72 %. As impressões transmitidas pelas autoridades beneficiárias indicam uma satisfação média de 9 em 10 no que toca ao apoio prestado pela DG REFORM e de 8,7 em 10 em relação ao êxito dos projetos. Embora a duração de um projeto possa variar, em média, são necessários 24 meses para concluir um projeto ao abrigo do IAT. Assim sendo, é ainda demasiado cedo para avaliar os resultados dos projetos no terreno.</w:t>
      </w:r>
    </w:p>
    <w:p w14:paraId="769F30CF" w14:textId="266E3735" w:rsidR="00B81571" w:rsidRPr="005459EB" w:rsidRDefault="004C6CCE" w:rsidP="00CB6475">
      <w:pPr>
        <w:pStyle w:val="Heading1"/>
        <w:rPr>
          <w:noProof/>
          <w:color w:val="2E74B5" w:themeColor="accent1" w:themeShade="BF"/>
        </w:rPr>
      </w:pPr>
      <w:bookmarkStart w:id="28" w:name="_Toc179201302"/>
      <w:r>
        <w:rPr>
          <w:noProof/>
          <w:color w:val="2E74B5" w:themeColor="accent1" w:themeShade="BF"/>
        </w:rPr>
        <w:t>O IAT enquanto instrumento fundamental para apoiar a competitividade da UE</w:t>
      </w:r>
      <w:bookmarkEnd w:id="28"/>
    </w:p>
    <w:p w14:paraId="6D36BE1A" w14:textId="0791F96C" w:rsidR="00E82967" w:rsidRPr="005459EB" w:rsidRDefault="00E82967" w:rsidP="00CB203D">
      <w:pPr>
        <w:rPr>
          <w:noProof/>
        </w:rPr>
      </w:pPr>
      <w:r>
        <w:rPr>
          <w:noProof/>
        </w:rPr>
        <w:t xml:space="preserve">As empresas europeias impulsionam as economias dos Estados-Membros, criando emprego, coesão, inovação e prosperidade. Porém, as perturbações nas cadeias de abastecimento e a elevada inflação decorrentes das sucessivas crises recentes vieram acentuar as </w:t>
      </w:r>
      <w:r>
        <w:rPr>
          <w:b/>
          <w:noProof/>
        </w:rPr>
        <w:t>preocupações de longa data sobre os baixos níveis de produtividade e competitividade na UE</w:t>
      </w:r>
      <w:r>
        <w:rPr>
          <w:noProof/>
        </w:rPr>
        <w:t xml:space="preserve">. A Comissão respondeu a estes desafios, entre outros, com a </w:t>
      </w:r>
      <w:hyperlink r:id="rId78" w:history="1">
        <w:r>
          <w:rPr>
            <w:rStyle w:val="Hyperlink"/>
            <w:noProof/>
            <w:color w:val="034990" w:themeColor="hyperlink" w:themeShade="BF"/>
            <w14:textFill>
              <w14:solidFill>
                <w14:schemeClr w14:val="hlink">
                  <w14:lumMod w14:val="75000"/>
                  <w14:lumMod w14:val="75000"/>
                </w14:schemeClr>
              </w14:solidFill>
            </w14:textFill>
          </w:rPr>
          <w:t>Estratégia Industrial para a Europa</w:t>
        </w:r>
      </w:hyperlink>
      <w:r>
        <w:rPr>
          <w:noProof/>
        </w:rPr>
        <w:t xml:space="preserve">, o </w:t>
      </w:r>
      <w:hyperlink r:id="rId79" w:history="1">
        <w:r>
          <w:rPr>
            <w:rStyle w:val="Hyperlink"/>
            <w:noProof/>
            <w:color w:val="034990" w:themeColor="hyperlink" w:themeShade="BF"/>
            <w14:textFill>
              <w14:solidFill>
                <w14:schemeClr w14:val="hlink">
                  <w14:lumMod w14:val="75000"/>
                  <w14:lumMod w14:val="75000"/>
                </w14:schemeClr>
              </w14:solidFill>
            </w14:textFill>
          </w:rPr>
          <w:t>Plano Industrial do Pacto Ecológico</w:t>
        </w:r>
      </w:hyperlink>
      <w:r>
        <w:rPr>
          <w:rStyle w:val="Hyperlink"/>
          <w:noProof/>
          <w:color w:val="034990" w:themeColor="hyperlink" w:themeShade="BF"/>
          <w14:textFill>
            <w14:solidFill>
              <w14:schemeClr w14:val="hlink">
                <w14:lumMod w14:val="75000"/>
                <w14:lumMod w14:val="75000"/>
              </w14:schemeClr>
            </w14:solidFill>
          </w14:textFill>
        </w:rPr>
        <w:t>,</w:t>
      </w:r>
      <w:r>
        <w:rPr>
          <w:noProof/>
        </w:rPr>
        <w:t xml:space="preserve"> uma </w:t>
      </w:r>
      <w:hyperlink r:id="rId80" w:history="1">
        <w:r>
          <w:rPr>
            <w:rStyle w:val="Hyperlink"/>
            <w:noProof/>
            <w:color w:val="034990" w:themeColor="hyperlink" w:themeShade="BF"/>
            <w14:textFill>
              <w14:solidFill>
                <w14:schemeClr w14:val="hlink">
                  <w14:lumMod w14:val="75000"/>
                  <w14:lumMod w14:val="75000"/>
                </w14:schemeClr>
              </w14:solidFill>
            </w14:textFill>
          </w:rPr>
          <w:t>comunicação sobre a competitividade da UE a longo prazo</w:t>
        </w:r>
      </w:hyperlink>
      <w:r>
        <w:rPr>
          <w:noProof/>
        </w:rPr>
        <w:t xml:space="preserve"> e iniciativas destinadas a reforçar </w:t>
      </w:r>
      <w:hyperlink r:id="rId81" w:history="1">
        <w:r>
          <w:rPr>
            <w:rStyle w:val="Hyperlink"/>
            <w:noProof/>
            <w:color w:val="034990" w:themeColor="hyperlink" w:themeShade="BF"/>
            <w14:textFill>
              <w14:solidFill>
                <w14:schemeClr w14:val="hlink">
                  <w14:lumMod w14:val="75000"/>
                  <w14:lumMod w14:val="75000"/>
                </w14:schemeClr>
              </w14:solidFill>
            </w14:textFill>
          </w:rPr>
          <w:t>a segurança económica da UE</w:t>
        </w:r>
      </w:hyperlink>
      <w:r>
        <w:rPr>
          <w:noProof/>
        </w:rPr>
        <w:t xml:space="preserve">. Conforme frisou a Presidente no seu </w:t>
      </w:r>
      <w:hyperlink r:id="rId82" w:history="1">
        <w:r>
          <w:rPr>
            <w:rStyle w:val="Hyperlink"/>
            <w:noProof/>
            <w:color w:val="034990" w:themeColor="hyperlink" w:themeShade="BF"/>
            <w14:textFill>
              <w14:solidFill>
                <w14:schemeClr w14:val="hlink">
                  <w14:lumMod w14:val="75000"/>
                  <w14:lumMod w14:val="75000"/>
                </w14:schemeClr>
              </w14:solidFill>
            </w14:textFill>
          </w:rPr>
          <w:t>discurso sobre o estado da União</w:t>
        </w:r>
      </w:hyperlink>
      <w:r>
        <w:rPr>
          <w:noProof/>
        </w:rPr>
        <w:t>, «a Europa fará “tudo o que for preciso” para manter a sua vantagem competitiva.»</w:t>
      </w:r>
    </w:p>
    <w:p w14:paraId="6827E73A" w14:textId="6C59CDBC" w:rsidR="00E82967" w:rsidRPr="005459EB" w:rsidRDefault="00E82967" w:rsidP="00CB203D">
      <w:pPr>
        <w:rPr>
          <w:noProof/>
        </w:rPr>
      </w:pPr>
      <w:r>
        <w:rPr>
          <w:noProof/>
        </w:rPr>
        <w:t xml:space="preserve">A presente secção faz uma síntese do apoio da DG REFORM aos Estados-Membros em matéria de competitividade durante 2023, estruturado em função dos nove motores da competitividade identificados identificados na </w:t>
      </w:r>
      <w:hyperlink r:id="rId83" w:history="1">
        <w:r>
          <w:rPr>
            <w:rStyle w:val="Hyperlink"/>
            <w:noProof/>
            <w:color w:val="034990" w:themeColor="hyperlink" w:themeShade="BF"/>
            <w14:textFill>
              <w14:solidFill>
                <w14:schemeClr w14:val="hlink">
                  <w14:lumMod w14:val="75000"/>
                  <w14:lumMod w14:val="75000"/>
                </w14:schemeClr>
              </w14:solidFill>
            </w14:textFill>
          </w:rPr>
          <w:t>Comunicação intitulada «30 anos de mercado único»</w:t>
        </w:r>
      </w:hyperlink>
      <w:r>
        <w:rPr>
          <w:noProof/>
        </w:rPr>
        <w:t xml:space="preserve"> e no </w:t>
      </w:r>
      <w:hyperlink r:id="rId84" w:history="1">
        <w:r>
          <w:rPr>
            <w:rStyle w:val="Hyperlink"/>
            <w:noProof/>
            <w:color w:val="034990" w:themeColor="hyperlink" w:themeShade="BF"/>
            <w14:textFill>
              <w14:solidFill>
                <w14:schemeClr w14:val="hlink">
                  <w14:lumMod w14:val="75000"/>
                  <w14:lumMod w14:val="75000"/>
                </w14:schemeClr>
              </w14:solidFill>
            </w14:textFill>
          </w:rPr>
          <w:t>Relatório anual de 2024 do mercado único e da competitividade</w:t>
        </w:r>
      </w:hyperlink>
      <w:r>
        <w:rPr>
          <w:noProof/>
        </w:rPr>
        <w:t xml:space="preserve"> (ver figura 3). A fim de prestar um apoio eficaz aos Estados-Membros em coerência com as prioridades da UE, a DG REFORM colaborou estreitamente nos projetos de assistência com as direções-gerais competentes da Comissão, nomeadamente, CLIMA, CNECT, COMP, DIGIT, EAC, ENER, ENV, ECFIN, EMPL, ESTAT, FISMA, GROW, HOME, JRC, MOVE, REGIO, RTD, SG RECOVER, SG, TAXUD e TRADE.</w:t>
      </w:r>
    </w:p>
    <w:p w14:paraId="5DDE789B" w14:textId="77777777" w:rsidR="00E82967" w:rsidRPr="005459EB" w:rsidRDefault="00E82967" w:rsidP="00E82967">
      <w:pPr>
        <w:rPr>
          <w:rFonts w:ascii="Times New Roman" w:hAnsi="Times New Roman" w:cs="Times New Roman"/>
          <w:noProof/>
        </w:rPr>
        <w:sectPr w:rsidR="00E82967" w:rsidRPr="005459EB" w:rsidSect="00092BD5">
          <w:headerReference w:type="even" r:id="rId85"/>
          <w:headerReference w:type="default" r:id="rId86"/>
          <w:footerReference w:type="even" r:id="rId87"/>
          <w:footerReference w:type="default" r:id="rId88"/>
          <w:headerReference w:type="first" r:id="rId89"/>
          <w:footerReference w:type="first" r:id="rId90"/>
          <w:pgSz w:w="11906" w:h="16838"/>
          <w:pgMar w:top="1134" w:right="1440" w:bottom="1440" w:left="1440" w:header="708" w:footer="708" w:gutter="0"/>
          <w:cols w:space="720"/>
          <w:docGrid w:linePitch="360"/>
        </w:sectPr>
      </w:pPr>
      <w:r>
        <w:rPr>
          <w:noProof/>
        </w:rPr>
        <w:br w:type="page"/>
      </w:r>
    </w:p>
    <w:p w14:paraId="3AC5B8A9" w14:textId="5B8D5816" w:rsidR="00E82967" w:rsidRPr="005459EB" w:rsidRDefault="00E82967" w:rsidP="00E82967">
      <w:pPr>
        <w:rPr>
          <w:rFonts w:cs="Times New Roman"/>
          <w:noProof/>
          <w:color w:val="2E74B5" w:themeColor="accent1" w:themeShade="BF"/>
          <w14:textFill>
            <w14:solidFill>
              <w14:schemeClr w14:val="accent1">
                <w14:lumMod w14:val="75000"/>
                <w14:lumMod w14:val="75000"/>
              </w14:schemeClr>
            </w14:solidFill>
          </w14:textFill>
        </w:rPr>
      </w:pPr>
      <w:r>
        <w:rPr>
          <w:noProof/>
          <w:color w:val="2E74B5" w:themeColor="accent1" w:themeShade="BF"/>
          <w14:textFill>
            <w14:solidFill>
              <w14:schemeClr w14:val="accent1">
                <w14:lumMod w14:val="75000"/>
                <w14:lumMod w14:val="75000"/>
              </w14:schemeClr>
            </w14:solidFill>
          </w14:textFill>
        </w:rPr>
        <w:t>Figura 7 - Exemplos do apoio do IAT em 2023 com base nos nove vetores da competitividade</w:t>
      </w:r>
    </w:p>
    <w:p w14:paraId="4E4A09E1" w14:textId="77777777" w:rsidR="00E82967" w:rsidRPr="005459EB" w:rsidRDefault="00E82967" w:rsidP="00E82967">
      <w:pPr>
        <w:rPr>
          <w:rFonts w:ascii="Times New Roman" w:hAnsi="Times New Roman" w:cs="Times New Roman"/>
          <w:noProof/>
        </w:rPr>
      </w:pPr>
    </w:p>
    <w:p w14:paraId="0969D874" w14:textId="77777777" w:rsidR="00E82967" w:rsidRPr="005459EB" w:rsidRDefault="00E82967" w:rsidP="00E82967">
      <w:pPr>
        <w:rPr>
          <w:rFonts w:ascii="Times New Roman" w:hAnsi="Times New Roman" w:cs="Times New Roman"/>
          <w:noProof/>
        </w:rPr>
        <w:sectPr w:rsidR="00E82967" w:rsidRPr="005459EB" w:rsidSect="00BA7D5C">
          <w:headerReference w:type="even" r:id="rId91"/>
          <w:headerReference w:type="default" r:id="rId92"/>
          <w:footerReference w:type="even" r:id="rId93"/>
          <w:footerReference w:type="default" r:id="rId94"/>
          <w:headerReference w:type="first" r:id="rId95"/>
          <w:footerReference w:type="first" r:id="rId96"/>
          <w:pgSz w:w="16838" w:h="11906" w:orient="landscape"/>
          <w:pgMar w:top="1440" w:right="1440" w:bottom="1440" w:left="1440" w:header="708" w:footer="708" w:gutter="0"/>
          <w:cols w:space="708"/>
          <w:docGrid w:linePitch="360"/>
        </w:sectPr>
      </w:pPr>
      <w:r>
        <w:rPr>
          <w:rFonts w:ascii="Times New Roman" w:hAnsi="Times New Roman"/>
          <w:noProof/>
          <w:lang w:val="en-GB" w:eastAsia="en-GB"/>
        </w:rPr>
        <w:drawing>
          <wp:inline distT="0" distB="0" distL="0" distR="0" wp14:anchorId="13DAF475" wp14:editId="44598253">
            <wp:extent cx="8039637" cy="4617281"/>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Picture 385"/>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0" y="0"/>
                      <a:ext cx="8039637" cy="4617281"/>
                    </a:xfrm>
                    <a:prstGeom prst="rect">
                      <a:avLst/>
                    </a:prstGeom>
                    <a:noFill/>
                  </pic:spPr>
                </pic:pic>
              </a:graphicData>
            </a:graphic>
          </wp:inline>
        </w:drawing>
      </w:r>
    </w:p>
    <w:p w14:paraId="1EA5A259" w14:textId="5CCDF6D7" w:rsidR="00E82967" w:rsidRPr="00997E7F" w:rsidRDefault="00E82967" w:rsidP="005B1923">
      <w:pPr>
        <w:pStyle w:val="Heading2"/>
        <w:numPr>
          <w:ilvl w:val="0"/>
          <w:numId w:val="53"/>
        </w:numPr>
        <w:rPr>
          <w:noProof/>
          <w:u w:val="single"/>
        </w:rPr>
      </w:pPr>
      <w:bookmarkStart w:id="29" w:name="_Toc162018525"/>
      <w:bookmarkStart w:id="30" w:name="_Toc179201303"/>
      <w:r>
        <w:rPr>
          <w:noProof/>
          <w:color w:val="5B9BD5" w:themeColor="accent1"/>
          <w14:textFill>
            <w14:solidFill>
              <w14:schemeClr w14:val="accent1">
                <w14:lumMod w14:val="75000"/>
                <w14:lumMod w14:val="75000"/>
                <w14:lumMod w14:val="75000"/>
              </w14:schemeClr>
            </w14:solidFill>
          </w14:textFill>
        </w:rPr>
        <w:t>Mercado interno funcional</w:t>
      </w:r>
      <w:bookmarkEnd w:id="29"/>
      <w:bookmarkEnd w:id="30"/>
    </w:p>
    <w:p w14:paraId="5351E18F" w14:textId="0E2F9E2F" w:rsidR="00E82967" w:rsidRPr="005459EB" w:rsidRDefault="00E82967" w:rsidP="00C22B0D">
      <w:pPr>
        <w:spacing w:before="120" w:after="240"/>
        <w:rPr>
          <w:rFonts w:cs="Times New Roman"/>
          <w:noProof/>
        </w:rPr>
      </w:pPr>
      <w:r>
        <w:rPr>
          <w:noProof/>
        </w:rPr>
        <w:t xml:space="preserve">O apoio da DG REFORM aos Estados-Membros ajuda-os a aumentar a sua capacidade para realizar reformas tendo em vista </w:t>
      </w:r>
      <w:r>
        <w:rPr>
          <w:b/>
          <w:noProof/>
        </w:rPr>
        <w:t xml:space="preserve">um mercado interno funcional e a competitividade. </w:t>
      </w:r>
      <w:r>
        <w:rPr>
          <w:noProof/>
        </w:rPr>
        <w:t>O apoio abrange um vasto leque de domínios de intervenção, desde a indústria e a inovação aos transportes e à transição digital.</w:t>
      </w:r>
    </w:p>
    <w:tbl>
      <w:tblPr>
        <w:tblStyle w:val="TableGrid"/>
        <w:tblW w:w="0" w:type="auto"/>
        <w:tblInd w:w="108" w:type="dxa"/>
        <w:shd w:val="clear" w:color="auto" w:fill="B4C6E7" w:themeFill="accent5" w:themeFillTint="66"/>
        <w:tblLook w:val="04A0" w:firstRow="1" w:lastRow="0" w:firstColumn="1" w:lastColumn="0" w:noHBand="0" w:noVBand="1"/>
      </w:tblPr>
      <w:tblGrid>
        <w:gridCol w:w="9072"/>
      </w:tblGrid>
      <w:tr w:rsidR="00E82967" w:rsidRPr="005459EB" w14:paraId="0D2E0874" w14:textId="77777777" w:rsidTr="00BA7D5C">
        <w:tc>
          <w:tcPr>
            <w:tcW w:w="9072" w:type="dxa"/>
            <w:shd w:val="clear" w:color="auto" w:fill="B4C6E7" w:themeFill="accent5" w:themeFillTint="66"/>
          </w:tcPr>
          <w:p w14:paraId="074711C1" w14:textId="773A68D3" w:rsidR="00E82967" w:rsidRPr="005459EB" w:rsidRDefault="00190CA5" w:rsidP="00BA7D5C">
            <w:pPr>
              <w:spacing w:before="120"/>
              <w:jc w:val="center"/>
              <w:rPr>
                <w:rFonts w:cs="Times New Roman"/>
                <w:b/>
                <w:bCs/>
                <w:noProof/>
              </w:rPr>
            </w:pPr>
            <w:bookmarkStart w:id="31" w:name="_Hlk168491611"/>
            <w:r>
              <w:rPr>
                <w:b/>
                <w:noProof/>
              </w:rPr>
              <w:t>INICIATIVAS EMBLEMÁTICAS EM DESTAQUE</w:t>
            </w:r>
          </w:p>
          <w:p w14:paraId="4C80D4AE" w14:textId="588756D5" w:rsidR="00E82967" w:rsidRPr="005459EB" w:rsidRDefault="00E82967" w:rsidP="00BA7D5C">
            <w:pPr>
              <w:spacing w:before="120"/>
              <w:rPr>
                <w:rFonts w:cs="Times New Roman"/>
                <w:noProof/>
              </w:rPr>
            </w:pPr>
            <w:r>
              <w:rPr>
                <w:noProof/>
              </w:rPr>
              <w:t xml:space="preserve">Em 2023, a DG REFORM lançou </w:t>
            </w:r>
            <w:r>
              <w:rPr>
                <w:b/>
                <w:noProof/>
              </w:rPr>
              <w:t>duas iniciativas emblemáticas</w:t>
            </w:r>
            <w:r>
              <w:rPr>
                <w:noProof/>
              </w:rPr>
              <w:t xml:space="preserve"> no domínio do mercado único e da competitividade:</w:t>
            </w:r>
          </w:p>
          <w:p w14:paraId="056C0090" w14:textId="2D5B2C1D" w:rsidR="00E82967" w:rsidRPr="005459EB" w:rsidRDefault="00E82967" w:rsidP="00E82967">
            <w:pPr>
              <w:pStyle w:val="ListParagraph"/>
              <w:numPr>
                <w:ilvl w:val="0"/>
                <w:numId w:val="44"/>
              </w:numPr>
              <w:spacing w:before="120"/>
              <w:contextualSpacing w:val="0"/>
              <w:rPr>
                <w:rFonts w:cs="Times New Roman"/>
                <w:noProof/>
              </w:rPr>
            </w:pPr>
            <w:r>
              <w:rPr>
                <w:b/>
                <w:noProof/>
              </w:rPr>
              <w:t>sete Estados-Membros</w:t>
            </w:r>
            <w:r>
              <w:rPr>
                <w:noProof/>
              </w:rPr>
              <w:t xml:space="preserve"> (HR, EL, IT, MT, PT, SI e ES) foram apoiados ao abrigo da </w:t>
            </w:r>
            <w:hyperlink r:id="rId98" w:history="1">
              <w:r>
                <w:rPr>
                  <w:rStyle w:val="Hyperlink"/>
                  <w:b/>
                  <w:noProof/>
                  <w:color w:val="034990" w:themeColor="hyperlink" w:themeShade="BF"/>
                  <w14:textFill>
                    <w14:solidFill>
                      <w14:schemeClr w14:val="hlink">
                        <w14:lumMod w14:val="75000"/>
                        <w14:lumMod w14:val="75000"/>
                      </w14:schemeClr>
                    </w14:solidFill>
                  </w14:textFill>
                </w:rPr>
                <w:t xml:space="preserve"> iniciativa emblemática do IAT de 2022 sobre</w:t>
              </w:r>
              <w:r>
                <w:rPr>
                  <w:rStyle w:val="Hyperlink"/>
                  <w:noProof/>
                  <w:color w:val="034990" w:themeColor="hyperlink" w:themeShade="BF"/>
                  <w14:textFill>
                    <w14:solidFill>
                      <w14:schemeClr w14:val="hlink">
                        <w14:lumMod w14:val="75000"/>
                        <w14:lumMod w14:val="75000"/>
                      </w14:schemeClr>
                    </w14:solidFill>
                  </w14:textFill>
                </w:rPr>
                <w:t xml:space="preserve"> </w:t>
              </w:r>
              <w:r>
                <w:rPr>
                  <w:rStyle w:val="Hyperlink"/>
                  <w:b/>
                  <w:noProof/>
                  <w:color w:val="034990" w:themeColor="hyperlink" w:themeShade="BF"/>
                  <w14:textFill>
                    <w14:solidFill>
                      <w14:schemeClr w14:val="hlink">
                        <w14:lumMod w14:val="75000"/>
                        <w14:lumMod w14:val="75000"/>
                      </w14:schemeClr>
                    </w14:solidFill>
                  </w14:textFill>
                </w:rPr>
                <w:t>um ecossistema do turismo mais sustentável, resiliente e digital</w:t>
              </w:r>
            </w:hyperlink>
            <w:r>
              <w:rPr>
                <w:noProof/>
              </w:rPr>
              <w:t>. No âmbito destes projetos, a DG REFORM e a DG GROW realizaram, em setembro de 2023, um seminário de peritos de dois dias sobre a partilha, governação e integração de dados sobre o turismo, que reuniu cerca de 300 participantes oriundos de três continentes.</w:t>
            </w:r>
          </w:p>
          <w:p w14:paraId="1B5E56A0" w14:textId="059B5891" w:rsidR="00E82967" w:rsidRPr="005459EB" w:rsidRDefault="00E82967" w:rsidP="00E82967">
            <w:pPr>
              <w:pStyle w:val="ListParagraph"/>
              <w:numPr>
                <w:ilvl w:val="0"/>
                <w:numId w:val="44"/>
              </w:numPr>
              <w:spacing w:before="120" w:after="240"/>
              <w:ind w:left="357" w:hanging="357"/>
              <w:contextualSpacing w:val="0"/>
              <w:rPr>
                <w:rFonts w:cs="Times New Roman"/>
                <w:noProof/>
              </w:rPr>
            </w:pPr>
            <w:r>
              <w:rPr>
                <w:b/>
                <w:noProof/>
              </w:rPr>
              <w:t>onze Estados-Membros</w:t>
            </w:r>
            <w:r>
              <w:rPr>
                <w:noProof/>
              </w:rPr>
              <w:t xml:space="preserve"> (CY, DK, FI, GR, LV, PT, RO, SK, SI, ES e SE) receberam apoio ao abrigo da </w:t>
            </w:r>
            <w:hyperlink r:id="rId99"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sobre o reforço dos ecossistemas industriais da UE</w:t>
              </w:r>
            </w:hyperlink>
            <w:r>
              <w:rPr>
                <w:noProof/>
              </w:rPr>
              <w:t>, centrado nas estratégias industriais e nos sistemas de fiscalização do mercado e de propriedade intelectual, bem como na requalificação e melhoria de competências da mão de obra industrial.</w:t>
            </w:r>
          </w:p>
        </w:tc>
      </w:tr>
    </w:tbl>
    <w:bookmarkEnd w:id="31"/>
    <w:p w14:paraId="3A06F2D4" w14:textId="29559698" w:rsidR="00E82967" w:rsidRPr="005459EB" w:rsidRDefault="00E82967" w:rsidP="00E82967">
      <w:pPr>
        <w:spacing w:before="360" w:after="360"/>
        <w:rPr>
          <w:rFonts w:cs="Times New Roman"/>
          <w:noProof/>
        </w:rPr>
      </w:pPr>
      <w:r>
        <w:rPr>
          <w:noProof/>
        </w:rPr>
        <w:t xml:space="preserve">Em 2023, a DG REFORM apoiou </w:t>
      </w:r>
      <w:r>
        <w:rPr>
          <w:b/>
          <w:noProof/>
        </w:rPr>
        <w:t>26 Estados-Membros</w:t>
      </w:r>
      <w:r>
        <w:rPr>
          <w:noProof/>
        </w:rPr>
        <w:t xml:space="preserve"> (BE, BG, CY, CZ, DE, DK, EE, EL, ES, FR, HR, HU, IE, IT, LT, LV, MT, NL, PL, PT, AT, RO, SI, SK, FI e SE), incluindo no âmbito de projetos emblemáticos do IAT, para i) desenvolver as suas estratégias </w:t>
      </w:r>
      <w:r>
        <w:rPr>
          <w:b/>
          <w:noProof/>
        </w:rPr>
        <w:t>industriais</w:t>
      </w:r>
      <w:r>
        <w:rPr>
          <w:noProof/>
        </w:rPr>
        <w:t xml:space="preserve"> e melhorar os seus sistemas nacionais de fiscalização do mercado e de propriedade intelectual, ii) promover um ecossistema do </w:t>
      </w:r>
      <w:r>
        <w:rPr>
          <w:b/>
          <w:noProof/>
        </w:rPr>
        <w:t>turismo</w:t>
      </w:r>
      <w:r>
        <w:rPr>
          <w:noProof/>
        </w:rPr>
        <w:t xml:space="preserve"> sustentável, resiliente e digital, e iii) acelerar a </w:t>
      </w:r>
      <w:r>
        <w:rPr>
          <w:b/>
          <w:noProof/>
        </w:rPr>
        <w:t>transição digital.</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28F57884" w14:textId="77777777" w:rsidTr="00BA7D5C">
        <w:tc>
          <w:tcPr>
            <w:tcW w:w="9072" w:type="dxa"/>
            <w:shd w:val="clear" w:color="auto" w:fill="DBDBDB" w:themeFill="accent3" w:themeFillTint="66"/>
          </w:tcPr>
          <w:p w14:paraId="379E7AB2"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55D5C3AC" w14:textId="405D7CEF" w:rsidR="00E82967" w:rsidRPr="005459EB" w:rsidRDefault="00E82967" w:rsidP="00BA7D5C">
            <w:pPr>
              <w:spacing w:before="120"/>
              <w:rPr>
                <w:rStyle w:val="normaltextrun"/>
                <w:rFonts w:cs="Times New Roman"/>
                <w:noProof/>
              </w:rPr>
            </w:pPr>
            <w:r>
              <w:rPr>
                <w:rStyle w:val="normaltextrun"/>
                <w:b/>
                <w:noProof/>
              </w:rPr>
              <w:t>Exemplos específicos de reformas e de reforço das capacidades</w:t>
            </w:r>
            <w:r>
              <w:rPr>
                <w:rStyle w:val="normaltextrun"/>
                <w:noProof/>
              </w:rPr>
              <w:t xml:space="preserve"> no domínio do mercado único e da competitividade, em 2023, com o apoio do IAT:</w:t>
            </w:r>
          </w:p>
          <w:p w14:paraId="04C0827E" w14:textId="6644E0C8"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Croácia</w:t>
            </w:r>
            <w:r>
              <w:rPr>
                <w:noProof/>
              </w:rPr>
              <w:t xml:space="preserve"> criou uma plataforma digital para o teste das PME e adotou nova legislação relativa à avaliação do impacto regulamentar,</w:t>
            </w:r>
          </w:p>
          <w:p w14:paraId="685AC98D" w14:textId="7B704227"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Província Autónoma de Trento (Itália)</w:t>
            </w:r>
            <w:r>
              <w:rPr>
                <w:noProof/>
              </w:rPr>
              <w:t xml:space="preserve"> aprovou nova legislação que adota a abordagem baseada nos riscos para os procedimentos administrativos, incluindo as inspeções,</w:t>
            </w:r>
          </w:p>
          <w:p w14:paraId="7DF325BF" w14:textId="2ACECA55"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Eslovénia</w:t>
            </w:r>
            <w:r>
              <w:rPr>
                <w:noProof/>
              </w:rPr>
              <w:t xml:space="preserve"> melhorou o seu sistema de investigação e inovação com o estabelecimento de um novo modelo de governação, incluindo um conselho interministerial de programas para iniciativas estratégicas,</w:t>
            </w:r>
          </w:p>
          <w:p w14:paraId="73FC166E" w14:textId="406BF2A9" w:rsidR="00E82967" w:rsidRPr="005459EB" w:rsidRDefault="00E82967" w:rsidP="00E82967">
            <w:pPr>
              <w:pStyle w:val="ListParagraph"/>
              <w:numPr>
                <w:ilvl w:val="0"/>
                <w:numId w:val="45"/>
              </w:numPr>
              <w:spacing w:before="120" w:after="240"/>
              <w:ind w:left="357" w:hanging="357"/>
              <w:contextualSpacing w:val="0"/>
              <w:rPr>
                <w:rFonts w:cs="Times New Roman"/>
                <w:noProof/>
              </w:rPr>
            </w:pPr>
            <w:r>
              <w:rPr>
                <w:noProof/>
              </w:rPr>
              <w:t xml:space="preserve">a </w:t>
            </w:r>
            <w:r>
              <w:rPr>
                <w:b/>
                <w:noProof/>
              </w:rPr>
              <w:t>Roménia</w:t>
            </w:r>
            <w:r>
              <w:rPr>
                <w:noProof/>
              </w:rPr>
              <w:t xml:space="preserve"> adotou nova legislação nacional para um melhor alinhamento do seu quadro de governação das empresas públicas com as diretrizes da OCDE.</w:t>
            </w:r>
          </w:p>
        </w:tc>
      </w:tr>
    </w:tbl>
    <w:p w14:paraId="6C1D31D9" w14:textId="737CAEEE" w:rsidR="00E82967" w:rsidRPr="005459EB" w:rsidRDefault="00E82967" w:rsidP="00E82967">
      <w:pPr>
        <w:spacing w:before="240" w:after="240"/>
        <w:rPr>
          <w:rFonts w:cs="Times New Roman"/>
          <w:iCs/>
          <w:noProof/>
        </w:rPr>
      </w:pPr>
    </w:p>
    <w:p w14:paraId="38BEF3DA" w14:textId="5A80F92B" w:rsidR="00E82967" w:rsidRPr="005459EB" w:rsidRDefault="00E82967" w:rsidP="005B1923">
      <w:pPr>
        <w:pStyle w:val="Heading2"/>
        <w:rPr>
          <w:noProof/>
        </w:rPr>
      </w:pPr>
      <w:bookmarkStart w:id="32" w:name="_Toc162018526"/>
      <w:bookmarkStart w:id="33" w:name="_Toc179201304"/>
      <w:r>
        <w:rPr>
          <w:noProof/>
          <w:color w:val="5B9BD5" w:themeColor="accent1"/>
          <w14:textFill>
            <w14:solidFill>
              <w14:schemeClr w14:val="accent1">
                <w14:lumMod w14:val="75000"/>
                <w14:lumMod w14:val="75000"/>
                <w14:lumMod w14:val="75000"/>
              </w14:schemeClr>
            </w14:solidFill>
          </w14:textFill>
        </w:rPr>
        <w:t>Acesso ao capital privado</w:t>
      </w:r>
      <w:bookmarkEnd w:id="32"/>
      <w:bookmarkEnd w:id="33"/>
    </w:p>
    <w:p w14:paraId="109DBF13" w14:textId="65D41E0A" w:rsidR="00E82967" w:rsidRPr="005459EB" w:rsidRDefault="00E82967" w:rsidP="00E82967">
      <w:pPr>
        <w:rPr>
          <w:rFonts w:cs="Times New Roman"/>
          <w:noProof/>
        </w:rPr>
      </w:pPr>
      <w:r>
        <w:rPr>
          <w:noProof/>
        </w:rPr>
        <w:t xml:space="preserve">O apoio da DG REFORM contribui para melhorar as capacidades dos Estados-Membros para executar reformas que </w:t>
      </w:r>
      <w:r>
        <w:rPr>
          <w:b/>
          <w:noProof/>
        </w:rPr>
        <w:t>facilitem o acesso ao capital privado tão necessário para impulsionar transformações digitais e sustentáveis.</w:t>
      </w:r>
      <w:r>
        <w:rPr>
          <w:noProof/>
        </w:rPr>
        <w:t xml:space="preserve"> O apoio abrangeu um vasto conjunto de domínios de intervenção, nomeadamente a União dos Mercados de Capitais, a União Bancária, a execução da estratégia de financiamento digital e o quadro de financiamento sustentável da UE.</w:t>
      </w:r>
    </w:p>
    <w:tbl>
      <w:tblPr>
        <w:tblStyle w:val="TableGrid"/>
        <w:tblW w:w="0" w:type="auto"/>
        <w:tblInd w:w="108" w:type="dxa"/>
        <w:shd w:val="clear" w:color="auto" w:fill="B4C6E7" w:themeFill="accent5" w:themeFillTint="66"/>
        <w:tblLook w:val="04A0" w:firstRow="1" w:lastRow="0" w:firstColumn="1" w:lastColumn="0" w:noHBand="0" w:noVBand="1"/>
      </w:tblPr>
      <w:tblGrid>
        <w:gridCol w:w="9072"/>
      </w:tblGrid>
      <w:tr w:rsidR="00E82967" w:rsidRPr="005459EB" w14:paraId="2B4B3E86" w14:textId="77777777" w:rsidTr="00BA7D5C">
        <w:tc>
          <w:tcPr>
            <w:tcW w:w="9072" w:type="dxa"/>
            <w:shd w:val="clear" w:color="auto" w:fill="B4C6E7" w:themeFill="accent5" w:themeFillTint="66"/>
          </w:tcPr>
          <w:p w14:paraId="0EB7FD51" w14:textId="114FE2EA" w:rsidR="00E82967" w:rsidRPr="005459EB" w:rsidRDefault="00190CA5" w:rsidP="00BA7D5C">
            <w:pPr>
              <w:spacing w:before="120"/>
              <w:jc w:val="center"/>
              <w:rPr>
                <w:rFonts w:cs="Times New Roman"/>
                <w:b/>
                <w:bCs/>
                <w:noProof/>
              </w:rPr>
            </w:pPr>
            <w:r>
              <w:rPr>
                <w:b/>
                <w:noProof/>
              </w:rPr>
              <w:t>INICIATIVAS EMBLEMÁTICAS EM DESTAQUE</w:t>
            </w:r>
          </w:p>
          <w:p w14:paraId="437DD5DB" w14:textId="15915248" w:rsidR="00E82967" w:rsidRPr="005459EB" w:rsidRDefault="00E82967" w:rsidP="00BA7D5C">
            <w:pPr>
              <w:rPr>
                <w:rFonts w:cs="Times New Roman"/>
                <w:noProof/>
              </w:rPr>
            </w:pPr>
            <w:r>
              <w:rPr>
                <w:noProof/>
              </w:rPr>
              <w:t xml:space="preserve">Em 2023, a DG REFORM lançou </w:t>
            </w:r>
            <w:r>
              <w:rPr>
                <w:b/>
                <w:noProof/>
              </w:rPr>
              <w:t>duas iniciativas emblemáticas</w:t>
            </w:r>
            <w:r>
              <w:rPr>
                <w:noProof/>
              </w:rPr>
              <w:t xml:space="preserve"> sobre o acesso ao capital privado:</w:t>
            </w:r>
          </w:p>
          <w:p w14:paraId="4D820CB2" w14:textId="1D46AD44" w:rsidR="00E82967" w:rsidRPr="005459EB" w:rsidRDefault="00E82967" w:rsidP="00E82967">
            <w:pPr>
              <w:pStyle w:val="ListParagraph"/>
              <w:numPr>
                <w:ilvl w:val="0"/>
                <w:numId w:val="46"/>
              </w:numPr>
              <w:spacing w:before="120"/>
              <w:contextualSpacing w:val="0"/>
              <w:rPr>
                <w:rFonts w:cs="Times New Roman"/>
                <w:noProof/>
              </w:rPr>
            </w:pPr>
            <w:r>
              <w:rPr>
                <w:noProof/>
              </w:rPr>
              <w:t xml:space="preserve">doze autoridades de supervisão nacionais de </w:t>
            </w:r>
            <w:r>
              <w:rPr>
                <w:b/>
                <w:noProof/>
              </w:rPr>
              <w:t>11 Estados-Membros</w:t>
            </w:r>
            <w:r>
              <w:rPr>
                <w:noProof/>
              </w:rPr>
              <w:t xml:space="preserve"> (BG, CY, IE, EL, FR, HR, IT, LV, RO,SI e FI) receberam apoio, ao abrigo da </w:t>
            </w:r>
            <w:hyperlink r:id="rId100"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sobre a gestão dos riscos ambientais, sociais e de governação (ASG) para o setor financeiro</w:t>
              </w:r>
            </w:hyperlink>
            <w:r>
              <w:rPr>
                <w:noProof/>
              </w:rPr>
              <w:t>, para dar resposta à necessidade de uma supervisão dos riscos ASG eficaz e contribuir para orientar capital para a economia verde,</w:t>
            </w:r>
          </w:p>
          <w:p w14:paraId="112DF636" w14:textId="35780505" w:rsidR="00E82967" w:rsidRPr="005459EB" w:rsidRDefault="00E82967" w:rsidP="00E82967">
            <w:pPr>
              <w:pStyle w:val="ListParagraph"/>
              <w:numPr>
                <w:ilvl w:val="0"/>
                <w:numId w:val="46"/>
              </w:numPr>
              <w:spacing w:before="120" w:after="240"/>
              <w:ind w:left="357" w:hanging="357"/>
              <w:contextualSpacing w:val="0"/>
              <w:rPr>
                <w:rFonts w:cs="Times New Roman"/>
                <w:noProof/>
              </w:rPr>
            </w:pPr>
            <w:r>
              <w:rPr>
                <w:noProof/>
              </w:rPr>
              <w:t xml:space="preserve">34 autoridades de supervisão financeira de </w:t>
            </w:r>
            <w:r>
              <w:rPr>
                <w:b/>
                <w:noProof/>
              </w:rPr>
              <w:t>25 Estados-Membros</w:t>
            </w:r>
            <w:r>
              <w:rPr>
                <w:noProof/>
              </w:rPr>
              <w:t xml:space="preserve"> receberam apoio, através da </w:t>
            </w:r>
            <w:hyperlink r:id="rId101"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2022 relativa à Academia Europeia de Supervisão das Finanças Digitais</w:t>
              </w:r>
            </w:hyperlink>
            <w:r>
              <w:rPr>
                <w:noProof/>
              </w:rPr>
              <w:t xml:space="preserve">, para reforçar a sua capacidade de supervisão no domínio das finanças digitais, em consonância com a estratégia de financiamento digital. </w:t>
            </w:r>
          </w:p>
        </w:tc>
      </w:tr>
    </w:tbl>
    <w:p w14:paraId="00AA6A68" w14:textId="4186F8CF" w:rsidR="00E82967" w:rsidRPr="005459EB" w:rsidRDefault="00E82967" w:rsidP="00E82967">
      <w:pPr>
        <w:spacing w:before="360" w:after="360"/>
        <w:rPr>
          <w:rFonts w:cs="Times New Roman"/>
          <w:noProof/>
        </w:rPr>
      </w:pPr>
      <w:r>
        <w:rPr>
          <w:noProof/>
        </w:rPr>
        <w:t xml:space="preserve">Em 2023, a DG REFORM ajudou os </w:t>
      </w:r>
      <w:r>
        <w:rPr>
          <w:b/>
          <w:noProof/>
        </w:rPr>
        <w:t>27 Estados-Membros</w:t>
      </w:r>
      <w:r>
        <w:rPr>
          <w:noProof/>
        </w:rPr>
        <w:t xml:space="preserve"> a expandir as suas oportunidades de investimento e a construir um sistema financeiro mais estável, resiliente e competitivo, necessário para aumentar o investimento privado. A DG REFORM formulou recomendações e ajudou os Estados-Membros a adotar uma abordagem estratégica para o desenvolvimento dos mercados de capitais locais. Tal consistiu no desenvolvimento de políticas para efetivar a transição para uma economia sustentável, na modernização dos quadros de insolvência, no reforço das capacidades de supervisão das autoridades nacionais através da digitalização e da convergência no domínio da supervisão, no apoio ao desenvolvimento das bases de investidores públicos e privados e na melhoria da literacia financeira das pessoas e das empresas.</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758DB9D6" w14:textId="77777777" w:rsidTr="00BA7D5C">
        <w:tc>
          <w:tcPr>
            <w:tcW w:w="9072" w:type="dxa"/>
            <w:shd w:val="clear" w:color="auto" w:fill="DBDBDB" w:themeFill="accent3" w:themeFillTint="66"/>
          </w:tcPr>
          <w:p w14:paraId="24C0D573"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14C96310" w14:textId="7203F35D" w:rsidR="00E82967" w:rsidRPr="005459EB" w:rsidRDefault="00E82967" w:rsidP="00BA7D5C">
            <w:pPr>
              <w:spacing w:before="120"/>
              <w:rPr>
                <w:rStyle w:val="normaltextrun"/>
                <w:rFonts w:cs="Times New Roman"/>
                <w:noProof/>
              </w:rPr>
            </w:pPr>
            <w:r>
              <w:rPr>
                <w:rStyle w:val="normaltextrun"/>
                <w:b/>
                <w:noProof/>
              </w:rPr>
              <w:t>Exemplos específicos de reformas e de reforço das capacidades</w:t>
            </w:r>
            <w:r>
              <w:rPr>
                <w:rStyle w:val="normaltextrun"/>
                <w:noProof/>
              </w:rPr>
              <w:t xml:space="preserve"> em matéria de acesso ao capital privado, em 2023, com o apoio do IAT:</w:t>
            </w:r>
          </w:p>
          <w:p w14:paraId="0CEA2A54" w14:textId="4EC85806" w:rsidR="00E82967" w:rsidRPr="005459EB" w:rsidRDefault="00E82967" w:rsidP="00E82967">
            <w:pPr>
              <w:pStyle w:val="ListParagraph"/>
              <w:numPr>
                <w:ilvl w:val="0"/>
                <w:numId w:val="48"/>
              </w:numPr>
              <w:spacing w:before="120" w:after="240" w:line="276" w:lineRule="auto"/>
              <w:ind w:left="357" w:hanging="357"/>
              <w:textAlignment w:val="baseline"/>
              <w:rPr>
                <w:rStyle w:val="normaltextrun"/>
                <w:rFonts w:cs="Times New Roman"/>
                <w:noProof/>
              </w:rPr>
            </w:pPr>
            <w:r>
              <w:rPr>
                <w:rStyle w:val="normaltextrun"/>
                <w:noProof/>
              </w:rPr>
              <w:t xml:space="preserve">a </w:t>
            </w:r>
            <w:r>
              <w:rPr>
                <w:rStyle w:val="normaltextrun"/>
                <w:b/>
                <w:noProof/>
              </w:rPr>
              <w:t>Roménia</w:t>
            </w:r>
            <w:r>
              <w:rPr>
                <w:rStyle w:val="normaltextrun"/>
                <w:noProof/>
              </w:rPr>
              <w:t>, a</w:t>
            </w:r>
            <w:r>
              <w:rPr>
                <w:rStyle w:val="normaltextrun"/>
                <w:b/>
                <w:noProof/>
              </w:rPr>
              <w:t xml:space="preserve"> Croácia</w:t>
            </w:r>
            <w:r>
              <w:rPr>
                <w:rStyle w:val="normaltextrun"/>
                <w:noProof/>
              </w:rPr>
              <w:t xml:space="preserve">, a </w:t>
            </w:r>
            <w:r>
              <w:rPr>
                <w:rStyle w:val="normaltextrun"/>
                <w:b/>
                <w:noProof/>
              </w:rPr>
              <w:t>Polónia</w:t>
            </w:r>
            <w:r>
              <w:rPr>
                <w:rStyle w:val="normaltextrun"/>
                <w:noProof/>
              </w:rPr>
              <w:t xml:space="preserve"> e </w:t>
            </w:r>
            <w:r>
              <w:rPr>
                <w:rStyle w:val="normaltextrun"/>
                <w:b/>
                <w:noProof/>
              </w:rPr>
              <w:t>Malta</w:t>
            </w:r>
            <w:r>
              <w:rPr>
                <w:rStyle w:val="normaltextrun"/>
                <w:noProof/>
              </w:rPr>
              <w:t xml:space="preserve"> reforçaram a capacidade das suas autoridades de supervisão do setor financeiro e alcançaram a convergência trabalhando em conjunto para desenvolver práticas de supervisão da divulgação de informações e mecanismos de prestação de informações sobre os requisitos em matéria de financiamento sustentável. Esta colaboração visou criar um ambiente mais estável e previsível para os investimentos sustentáveis das empresas do setor privado,</w:t>
            </w:r>
          </w:p>
          <w:p w14:paraId="0E669B9E" w14:textId="66046C6D" w:rsidR="00E82967" w:rsidRPr="005459EB" w:rsidRDefault="00E82967" w:rsidP="00E82967">
            <w:pPr>
              <w:pStyle w:val="ListParagraph"/>
              <w:numPr>
                <w:ilvl w:val="0"/>
                <w:numId w:val="48"/>
              </w:numPr>
              <w:spacing w:before="240" w:after="240" w:line="276" w:lineRule="auto"/>
              <w:textAlignment w:val="baseline"/>
              <w:rPr>
                <w:rStyle w:val="normaltextrun"/>
                <w:rFonts w:cs="Times New Roman"/>
                <w:noProof/>
              </w:rPr>
            </w:pPr>
            <w:r>
              <w:rPr>
                <w:rStyle w:val="normaltextrun"/>
                <w:noProof/>
              </w:rPr>
              <w:t xml:space="preserve">a </w:t>
            </w:r>
            <w:r>
              <w:rPr>
                <w:rStyle w:val="normaltextrun"/>
                <w:b/>
                <w:noProof/>
              </w:rPr>
              <w:t>Bulgária</w:t>
            </w:r>
            <w:r>
              <w:rPr>
                <w:rStyle w:val="normaltextrun"/>
                <w:noProof/>
              </w:rPr>
              <w:t xml:space="preserve"> e a </w:t>
            </w:r>
            <w:r>
              <w:rPr>
                <w:rStyle w:val="normaltextrun"/>
                <w:b/>
                <w:noProof/>
              </w:rPr>
              <w:t>Grécia</w:t>
            </w:r>
            <w:r>
              <w:rPr>
                <w:rStyle w:val="normaltextrun"/>
                <w:noProof/>
              </w:rPr>
              <w:t xml:space="preserve"> desenvolveram análises aprofundadas e formularam recomendações visando o desenvolvimento dos seus mercados de capitais. O objetivo era melhorar a eficiência do mercado, promover a confiança dos investidores e facilitar um acesso mais amplo ao financiamento por parte das empresas,</w:t>
            </w:r>
          </w:p>
          <w:p w14:paraId="116CB5FC" w14:textId="77777777" w:rsidR="00E82967" w:rsidRPr="005459EB" w:rsidRDefault="00E82967" w:rsidP="00E82967">
            <w:pPr>
              <w:pStyle w:val="ListParagraph"/>
              <w:numPr>
                <w:ilvl w:val="0"/>
                <w:numId w:val="48"/>
              </w:numPr>
              <w:spacing w:before="240" w:after="240" w:line="276" w:lineRule="auto"/>
              <w:textAlignment w:val="baseline"/>
              <w:rPr>
                <w:rStyle w:val="normaltextrun"/>
                <w:rFonts w:cs="Times New Roman"/>
                <w:noProof/>
              </w:rPr>
            </w:pPr>
            <w:r>
              <w:rPr>
                <w:rStyle w:val="normaltextrun"/>
                <w:noProof/>
              </w:rPr>
              <w:t xml:space="preserve">a </w:t>
            </w:r>
            <w:r>
              <w:rPr>
                <w:rStyle w:val="normaltextrun"/>
                <w:b/>
                <w:noProof/>
              </w:rPr>
              <w:t>Estónia</w:t>
            </w:r>
            <w:r>
              <w:rPr>
                <w:rStyle w:val="normaltextrun"/>
                <w:noProof/>
              </w:rPr>
              <w:t xml:space="preserve"> e a </w:t>
            </w:r>
            <w:r>
              <w:rPr>
                <w:rStyle w:val="normaltextrun"/>
                <w:b/>
                <w:noProof/>
              </w:rPr>
              <w:t>Letónia</w:t>
            </w:r>
            <w:r>
              <w:rPr>
                <w:rStyle w:val="normaltextrun"/>
                <w:noProof/>
              </w:rPr>
              <w:t xml:space="preserve"> desenvolveram conjuntamente a sua abordagem para aplicar a taxonomia e a estratégia da UE para o financiamento sustentável, alinhando mais estreitamente os seus setores financeiro e não financeiro com os objetivos de investimento sustentável e reforçando o mercado de financiamento verde em ambos os países,</w:t>
            </w:r>
          </w:p>
          <w:p w14:paraId="128E3B83" w14:textId="2A685693" w:rsidR="00E82967" w:rsidRPr="005459EB" w:rsidRDefault="00E82967" w:rsidP="00E82967">
            <w:pPr>
              <w:pStyle w:val="ListParagraph"/>
              <w:numPr>
                <w:ilvl w:val="0"/>
                <w:numId w:val="48"/>
              </w:numPr>
              <w:spacing w:before="240" w:after="240" w:line="276" w:lineRule="auto"/>
              <w:textAlignment w:val="baseline"/>
              <w:rPr>
                <w:rFonts w:cs="Times New Roman"/>
                <w:noProof/>
              </w:rPr>
            </w:pPr>
            <w:r>
              <w:rPr>
                <w:rStyle w:val="normaltextrun"/>
                <w:noProof/>
              </w:rPr>
              <w:t xml:space="preserve">a </w:t>
            </w:r>
            <w:r>
              <w:rPr>
                <w:rStyle w:val="normaltextrun"/>
                <w:b/>
                <w:noProof/>
              </w:rPr>
              <w:t>Grécia</w:t>
            </w:r>
            <w:r>
              <w:rPr>
                <w:rStyle w:val="normaltextrun"/>
                <w:noProof/>
              </w:rPr>
              <w:t xml:space="preserve">, a </w:t>
            </w:r>
            <w:r>
              <w:rPr>
                <w:rStyle w:val="normaltextrun"/>
                <w:b/>
                <w:noProof/>
              </w:rPr>
              <w:t>Polónia</w:t>
            </w:r>
            <w:r>
              <w:rPr>
                <w:rStyle w:val="normaltextrun"/>
                <w:noProof/>
              </w:rPr>
              <w:t xml:space="preserve"> e </w:t>
            </w:r>
            <w:r>
              <w:rPr>
                <w:rStyle w:val="normaltextrun"/>
                <w:b/>
                <w:noProof/>
              </w:rPr>
              <w:t>Portugal</w:t>
            </w:r>
            <w:r>
              <w:rPr>
                <w:rStyle w:val="normaltextrun"/>
                <w:noProof/>
              </w:rPr>
              <w:t xml:space="preserve"> desenvolveram as suas estratégias de educação financeira destinadas a capacitar os consumidores para tomarem decisões informadas sobre os seus investimentos.</w:t>
            </w:r>
          </w:p>
        </w:tc>
      </w:tr>
    </w:tbl>
    <w:p w14:paraId="46F30431" w14:textId="77777777" w:rsidR="00E82967" w:rsidRPr="005459EB" w:rsidRDefault="00E82967" w:rsidP="00C22B0D">
      <w:pPr>
        <w:pStyle w:val="Heading2"/>
        <w:spacing w:before="360"/>
        <w:rPr>
          <w:noProof/>
        </w:rPr>
      </w:pPr>
      <w:bookmarkStart w:id="34" w:name="_Toc162018527"/>
      <w:bookmarkStart w:id="35" w:name="_Toc179201305"/>
      <w:r>
        <w:rPr>
          <w:noProof/>
          <w:color w:val="5B9BD5" w:themeColor="accent1"/>
          <w14:textFill>
            <w14:solidFill>
              <w14:schemeClr w14:val="accent1">
                <w14:lumMod w14:val="75000"/>
                <w14:lumMod w14:val="75000"/>
                <w14:lumMod w14:val="75000"/>
              </w14:schemeClr>
            </w14:solidFill>
          </w14:textFill>
        </w:rPr>
        <w:t>Investimento público e infraestruturas</w:t>
      </w:r>
      <w:bookmarkEnd w:id="34"/>
      <w:bookmarkEnd w:id="35"/>
    </w:p>
    <w:p w14:paraId="73F496A7" w14:textId="1350F243" w:rsidR="00E82967" w:rsidRPr="005459EB" w:rsidRDefault="00E82967" w:rsidP="00E82967">
      <w:pPr>
        <w:spacing w:before="120"/>
        <w:rPr>
          <w:rFonts w:cs="Times New Roman"/>
          <w:noProof/>
        </w:rPr>
      </w:pPr>
      <w:bookmarkStart w:id="36" w:name="_Toc161911516"/>
      <w:bookmarkStart w:id="37" w:name="_Toc161913828"/>
      <w:bookmarkStart w:id="38" w:name="_Toc161913886"/>
      <w:bookmarkStart w:id="39" w:name="_Toc161914333"/>
      <w:bookmarkStart w:id="40" w:name="_Toc161911517"/>
      <w:bookmarkStart w:id="41" w:name="_Toc161913829"/>
      <w:bookmarkStart w:id="42" w:name="_Toc161913887"/>
      <w:bookmarkStart w:id="43" w:name="_Toc161914334"/>
      <w:bookmarkStart w:id="44" w:name="_Toc161914404"/>
      <w:bookmarkEnd w:id="36"/>
      <w:bookmarkEnd w:id="37"/>
      <w:bookmarkEnd w:id="38"/>
      <w:bookmarkEnd w:id="39"/>
      <w:bookmarkEnd w:id="40"/>
      <w:bookmarkEnd w:id="41"/>
      <w:bookmarkEnd w:id="42"/>
      <w:bookmarkEnd w:id="43"/>
      <w:bookmarkEnd w:id="44"/>
      <w:r>
        <w:rPr>
          <w:noProof/>
        </w:rPr>
        <w:t xml:space="preserve">O apoio da DG REFORM aos Estados-Membros ajuda-os a aumentar a sua capacidade para realizar reformas nos domínios da </w:t>
      </w:r>
      <w:r>
        <w:rPr>
          <w:b/>
          <w:noProof/>
        </w:rPr>
        <w:t xml:space="preserve">gestão do investimento público e da governação das infraestruturas. </w:t>
      </w:r>
      <w:r>
        <w:rPr>
          <w:noProof/>
        </w:rPr>
        <w:t>O apoio abrange um vasto leque de domínios de intervenção, assumindo uma perspetiva transversal e setorial, desde a otimização das práticas de gestão do investimento público até ao reforço do planeamento das infraestruturas, para concretizar a transição ecológica e digital.</w:t>
      </w:r>
    </w:p>
    <w:tbl>
      <w:tblPr>
        <w:tblStyle w:val="TableGrid"/>
        <w:tblW w:w="0" w:type="auto"/>
        <w:tblInd w:w="108" w:type="dxa"/>
        <w:shd w:val="clear" w:color="auto" w:fill="B4C6E7" w:themeFill="accent5" w:themeFillTint="66"/>
        <w:tblLook w:val="04A0" w:firstRow="1" w:lastRow="0" w:firstColumn="1" w:lastColumn="0" w:noHBand="0" w:noVBand="1"/>
      </w:tblPr>
      <w:tblGrid>
        <w:gridCol w:w="9072"/>
      </w:tblGrid>
      <w:tr w:rsidR="00E82967" w:rsidRPr="005459EB" w14:paraId="10AA18F4" w14:textId="77777777" w:rsidTr="00BA7D5C">
        <w:tc>
          <w:tcPr>
            <w:tcW w:w="9072" w:type="dxa"/>
            <w:shd w:val="clear" w:color="auto" w:fill="B4C6E7" w:themeFill="accent5" w:themeFillTint="66"/>
          </w:tcPr>
          <w:p w14:paraId="0944701E" w14:textId="6B06AA71" w:rsidR="00E82967" w:rsidRPr="005459EB" w:rsidRDefault="00190CA5" w:rsidP="00BA7D5C">
            <w:pPr>
              <w:spacing w:before="120"/>
              <w:jc w:val="center"/>
              <w:rPr>
                <w:rFonts w:cs="Times New Roman"/>
                <w:b/>
                <w:bCs/>
                <w:noProof/>
              </w:rPr>
            </w:pPr>
            <w:r>
              <w:rPr>
                <w:b/>
                <w:noProof/>
              </w:rPr>
              <w:t>INICIATIVAS EMBLEMÁTICAS EM DESTAQUE</w:t>
            </w:r>
          </w:p>
          <w:p w14:paraId="218DF4A9" w14:textId="4C9DFB24" w:rsidR="00E82967" w:rsidRPr="005459EB" w:rsidRDefault="00E82967" w:rsidP="00BA7D5C">
            <w:pPr>
              <w:spacing w:before="120"/>
              <w:rPr>
                <w:rFonts w:cs="Times New Roman"/>
                <w:noProof/>
              </w:rPr>
            </w:pPr>
            <w:r>
              <w:rPr>
                <w:noProof/>
              </w:rPr>
              <w:t xml:space="preserve">Em 2023, a DG REFORM lançou </w:t>
            </w:r>
            <w:r>
              <w:rPr>
                <w:b/>
                <w:noProof/>
              </w:rPr>
              <w:t>duas iniciativas emblemáticas</w:t>
            </w:r>
            <w:r>
              <w:rPr>
                <w:noProof/>
              </w:rPr>
              <w:t xml:space="preserve"> em matéria de investimento público e infraestruturas:</w:t>
            </w:r>
          </w:p>
          <w:p w14:paraId="5DEFAEFD" w14:textId="40303334" w:rsidR="00E82967" w:rsidRPr="005459EB" w:rsidRDefault="00E82967" w:rsidP="00E82967">
            <w:pPr>
              <w:pStyle w:val="ListParagraph"/>
              <w:numPr>
                <w:ilvl w:val="0"/>
                <w:numId w:val="44"/>
              </w:numPr>
              <w:spacing w:before="120"/>
              <w:contextualSpacing w:val="0"/>
              <w:rPr>
                <w:rFonts w:cs="Times New Roman"/>
                <w:noProof/>
              </w:rPr>
            </w:pPr>
            <w:r>
              <w:rPr>
                <w:b/>
                <w:noProof/>
              </w:rPr>
              <w:t>oito Estados-Membros</w:t>
            </w:r>
            <w:r>
              <w:rPr>
                <w:noProof/>
              </w:rPr>
              <w:t xml:space="preserve"> (BE, ES, HU, IT, LV, AT, SI e SK) receberam apoio ao abrigo da </w:t>
            </w:r>
            <w:hyperlink r:id="rId102"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sobre a aplicação do princípio de «não prejudicar significativamente» aos investimentos públicos</w:t>
              </w:r>
            </w:hyperlink>
            <w:r>
              <w:rPr>
                <w:noProof/>
              </w:rPr>
              <w:t>, proveniente de fundos e programas nacionais e da UE, entre os quais o Mecanismo de Recuperação e Resiliência (MRR). Outros três Estados-Membros (FI, CZ e PL) receberam esse apoio ao abrigo do IAT de 2022,</w:t>
            </w:r>
          </w:p>
          <w:p w14:paraId="4F191792" w14:textId="57F1A055" w:rsidR="00E82967" w:rsidRPr="005459EB" w:rsidRDefault="00E82967" w:rsidP="00E82967">
            <w:pPr>
              <w:pStyle w:val="ListParagraph"/>
              <w:numPr>
                <w:ilvl w:val="0"/>
                <w:numId w:val="44"/>
              </w:numPr>
              <w:spacing w:before="120" w:after="240"/>
              <w:ind w:left="357" w:hanging="357"/>
              <w:contextualSpacing w:val="0"/>
              <w:rPr>
                <w:rFonts w:cs="Times New Roman"/>
                <w:noProof/>
              </w:rPr>
            </w:pPr>
            <w:r>
              <w:rPr>
                <w:b/>
                <w:noProof/>
              </w:rPr>
              <w:t>sete Estados-Membros</w:t>
            </w:r>
            <w:r>
              <w:rPr>
                <w:noProof/>
              </w:rPr>
              <w:t xml:space="preserve"> (IT, EL, NL, MT, BE, PL e SK) foram apoiados ao abrigo da </w:t>
            </w:r>
            <w:hyperlink r:id="rId103"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2022 para promover a mobilidade urbana sustentável</w:t>
              </w:r>
            </w:hyperlink>
            <w:r>
              <w:rPr>
                <w:noProof/>
              </w:rPr>
              <w:t>, nomeadamente através da adoção de veículos com nível nulo ou baixo de emissões e da execução de planos de mobilidade urbana sustentável.</w:t>
            </w:r>
          </w:p>
        </w:tc>
      </w:tr>
    </w:tbl>
    <w:p w14:paraId="688C051B" w14:textId="29D438AE" w:rsidR="000C19BE" w:rsidRDefault="00E82967" w:rsidP="00E82967">
      <w:pPr>
        <w:spacing w:before="360" w:after="360"/>
        <w:rPr>
          <w:rFonts w:cs="Times New Roman"/>
          <w:noProof/>
        </w:rPr>
      </w:pPr>
      <w:r>
        <w:rPr>
          <w:noProof/>
        </w:rPr>
        <w:t xml:space="preserve">Em 2023, a DG REFORM apoiou </w:t>
      </w:r>
      <w:r>
        <w:rPr>
          <w:b/>
          <w:noProof/>
        </w:rPr>
        <w:t>20 Estados-Membros</w:t>
      </w:r>
      <w:r>
        <w:rPr>
          <w:noProof/>
        </w:rPr>
        <w:t xml:space="preserve"> (BE, BG, CZ, DE, EL, ES, HU, IE, IT, LT, LV, MT, NL, PL, PT, AT, RO, SI, SK e FI), incluindo ao abrigo de iniciativas emblemáticas do IAT, para i) otimizar a afetação de fundos públicos, ii) assegurar a sua utilização eficiente e o seu alinhamento com os objetivos estratégicos gerais nacionais e da UE, como o Pacto Ecológico, iii) reforçar as capacidades institucionais dos Estados-Membros no planeamento, execução e avaliação de projetos e iv) desenvolver e melhorar as infraestruturas públicas em domínios como a energia, os transportes e a conectividade digital. Com este apoio, a DG REFORM procurou elevar a qualidade e o impacto dos investimentos públicos no crescimento sustentável e na resiliência na UE.</w:t>
      </w:r>
    </w:p>
    <w:p w14:paraId="3C976FA6" w14:textId="77777777" w:rsidR="000C19BE" w:rsidRDefault="000C19BE">
      <w:pPr>
        <w:jc w:val="left"/>
        <w:rPr>
          <w:rFonts w:cs="Times New Roman"/>
          <w:noProof/>
        </w:rPr>
      </w:pPr>
      <w:r>
        <w:rPr>
          <w:noProof/>
        </w:rPr>
        <w:br w:type="page"/>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6AA628C9" w14:textId="77777777" w:rsidTr="00BA7D5C">
        <w:tc>
          <w:tcPr>
            <w:tcW w:w="9072" w:type="dxa"/>
            <w:shd w:val="clear" w:color="auto" w:fill="DBDBDB" w:themeFill="accent3" w:themeFillTint="66"/>
          </w:tcPr>
          <w:p w14:paraId="5EACCD0D"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2643494F" w14:textId="21862FB2" w:rsidR="00E82967" w:rsidRPr="005459EB" w:rsidRDefault="00E82967" w:rsidP="00BA7D5C">
            <w:pPr>
              <w:spacing w:before="120"/>
              <w:rPr>
                <w:rStyle w:val="normaltextrun"/>
                <w:rFonts w:cs="Times New Roman"/>
                <w:noProof/>
              </w:rPr>
            </w:pPr>
            <w:r>
              <w:rPr>
                <w:rStyle w:val="normaltextrun"/>
                <w:b/>
                <w:noProof/>
              </w:rPr>
              <w:t>Exemplos específicos de reformas</w:t>
            </w:r>
            <w:r>
              <w:rPr>
                <w:rStyle w:val="normaltextrun"/>
                <w:noProof/>
              </w:rPr>
              <w:t xml:space="preserve"> no domínio dos investimentos públicos e infraestruturas concluídas em 2023 com o apoio do IAT:</w:t>
            </w:r>
          </w:p>
          <w:p w14:paraId="7E603084" w14:textId="4A2F9B4E"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Irlanda</w:t>
            </w:r>
            <w:r>
              <w:rPr>
                <w:noProof/>
              </w:rPr>
              <w:t xml:space="preserve"> reviu as suas orientações em matéria de avaliação do capital para acelerar a execução do seu plano nacional de desenvolvimento,</w:t>
            </w:r>
          </w:p>
          <w:p w14:paraId="4B322978" w14:textId="52DD8E10" w:rsidR="00E82967" w:rsidRPr="005459EB" w:rsidRDefault="00E82967" w:rsidP="00E82967">
            <w:pPr>
              <w:pStyle w:val="ListParagraph"/>
              <w:numPr>
                <w:ilvl w:val="0"/>
                <w:numId w:val="48"/>
              </w:numPr>
              <w:spacing w:before="120"/>
              <w:contextualSpacing w:val="0"/>
              <w:rPr>
                <w:rFonts w:cs="Times New Roman"/>
                <w:iCs/>
                <w:noProof/>
              </w:rPr>
            </w:pPr>
            <w:r>
              <w:rPr>
                <w:noProof/>
              </w:rPr>
              <w:t xml:space="preserve">a </w:t>
            </w:r>
            <w:r>
              <w:rPr>
                <w:b/>
                <w:noProof/>
              </w:rPr>
              <w:t>Grécia</w:t>
            </w:r>
            <w:r>
              <w:rPr>
                <w:noProof/>
              </w:rPr>
              <w:t xml:space="preserve"> melhorou o seu sistema informático e os mecanismos de prestação de informações para racionalizar o acompanhamento do orçamento do investimento público. Preparou igualmente uma revisão profunda do quadro legislativo, a apresentar ao Parlamento em 2024,</w:t>
            </w:r>
          </w:p>
          <w:p w14:paraId="5E6DC1A0" w14:textId="2BC28FBC"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Eslováquia</w:t>
            </w:r>
            <w:r>
              <w:rPr>
                <w:noProof/>
              </w:rPr>
              <w:t xml:space="preserve"> lançou uma reforma da gestão dos investimentos destinada a aumentar o valor económico dos projetos de investimento recentemente executados e a obter um retorno mais elevado por cada euro,</w:t>
            </w:r>
          </w:p>
          <w:p w14:paraId="33A9F995" w14:textId="3E91B824" w:rsidR="00E82967" w:rsidRPr="005459EB" w:rsidRDefault="00E82967" w:rsidP="00E82967">
            <w:pPr>
              <w:pStyle w:val="ListParagraph"/>
              <w:numPr>
                <w:ilvl w:val="0"/>
                <w:numId w:val="48"/>
              </w:numPr>
              <w:spacing w:before="120"/>
              <w:contextualSpacing w:val="0"/>
              <w:rPr>
                <w:rFonts w:cs="Times New Roman"/>
                <w:noProof/>
              </w:rPr>
            </w:pPr>
            <w:r>
              <w:rPr>
                <w:noProof/>
                <w:color w:val="000000" w:themeColor="text1" w:themeShade="BF"/>
                <w14:textFill>
                  <w14:solidFill>
                    <w14:schemeClr w14:val="tx1">
                      <w14:lumMod w14:val="75000"/>
                      <w14:lumMod w14:val="75000"/>
                    </w14:schemeClr>
                  </w14:solidFill>
                </w14:textFill>
              </w:rPr>
              <w:t xml:space="preserve">a </w:t>
            </w:r>
            <w:r>
              <w:rPr>
                <w:b/>
                <w:noProof/>
                <w:color w:val="000000" w:themeColor="text1" w:themeShade="BF"/>
                <w14:textFill>
                  <w14:solidFill>
                    <w14:schemeClr w14:val="tx1">
                      <w14:lumMod w14:val="75000"/>
                      <w14:lumMod w14:val="75000"/>
                    </w14:schemeClr>
                  </w14:solidFill>
                </w14:textFill>
              </w:rPr>
              <w:t>Bélgica</w:t>
            </w:r>
            <w:r>
              <w:rPr>
                <w:noProof/>
                <w:color w:val="000000" w:themeColor="text1" w:themeShade="BF"/>
                <w14:textFill>
                  <w14:solidFill>
                    <w14:schemeClr w14:val="tx1">
                      <w14:lumMod w14:val="75000"/>
                      <w14:lumMod w14:val="75000"/>
                    </w14:schemeClr>
                  </w14:solidFill>
                </w14:textFill>
              </w:rPr>
              <w:t xml:space="preserve"> criou um comité de estudos sobre investimentos públicos para elaborar relatórios e pareceres sobre as tendências, as necessidades, a aplicação e os efeitos do investimento público, estando o IAT a apoiar a sua operacionalização,</w:t>
            </w:r>
          </w:p>
          <w:p w14:paraId="1AD89688" w14:textId="77777777"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Roménia</w:t>
            </w:r>
            <w:r>
              <w:rPr>
                <w:noProof/>
              </w:rPr>
              <w:t xml:space="preserve"> publicou orientações sobre as parcerias público-privadas para ajudar as autoridades locais e nacionais a lançarem e executarem com êxito projetos de investimento,</w:t>
            </w:r>
          </w:p>
          <w:p w14:paraId="0213AB3D" w14:textId="3CC0A7F1"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Grécia</w:t>
            </w:r>
            <w:r>
              <w:rPr>
                <w:noProof/>
              </w:rPr>
              <w:t xml:space="preserve"> adotou uma estratégia e um roteiro para a introdução da modelação da informação na construção (BIM) em projetos de infraestruturas públicas, que permitirá economias de custos significativas e uma melhor utilização dos recursos,</w:t>
            </w:r>
          </w:p>
          <w:p w14:paraId="479CEFBE" w14:textId="45F7ABAE" w:rsidR="00E82967" w:rsidRPr="005459EB" w:rsidRDefault="00E82967" w:rsidP="00E82967">
            <w:pPr>
              <w:pStyle w:val="ListParagraph"/>
              <w:numPr>
                <w:ilvl w:val="0"/>
                <w:numId w:val="48"/>
              </w:numPr>
              <w:spacing w:before="120" w:after="240"/>
              <w:contextualSpacing w:val="0"/>
              <w:rPr>
                <w:rFonts w:cs="Times New Roman"/>
                <w:noProof/>
              </w:rPr>
            </w:pPr>
            <w:r>
              <w:rPr>
                <w:noProof/>
              </w:rPr>
              <w:t xml:space="preserve">na </w:t>
            </w:r>
            <w:r>
              <w:rPr>
                <w:b/>
                <w:noProof/>
              </w:rPr>
              <w:t>Bélgica</w:t>
            </w:r>
            <w:r>
              <w:rPr>
                <w:noProof/>
              </w:rPr>
              <w:t>, com o apoio do IAT, o porto de Antuérpia adotou medidas para melhorar a navegação interior e as condições de tráfego na zona portuária de Antuérpia.</w:t>
            </w:r>
          </w:p>
        </w:tc>
      </w:tr>
    </w:tbl>
    <w:p w14:paraId="0938D543" w14:textId="77777777" w:rsidR="00E82967" w:rsidRPr="005459EB" w:rsidRDefault="00E82967" w:rsidP="00C22B0D">
      <w:pPr>
        <w:pStyle w:val="Heading2"/>
        <w:spacing w:before="360"/>
        <w:rPr>
          <w:noProof/>
        </w:rPr>
      </w:pPr>
      <w:bookmarkStart w:id="45" w:name="_Toc161911520"/>
      <w:bookmarkStart w:id="46" w:name="_Toc161913832"/>
      <w:bookmarkStart w:id="47" w:name="_Toc161913890"/>
      <w:bookmarkStart w:id="48" w:name="_Toc161914337"/>
      <w:bookmarkStart w:id="49" w:name="_Toc161914407"/>
      <w:bookmarkStart w:id="50" w:name="_Toc161914507"/>
      <w:bookmarkStart w:id="51" w:name="_Toc161914600"/>
      <w:bookmarkStart w:id="52" w:name="_Toc162018528"/>
      <w:bookmarkStart w:id="53" w:name="_Toc179201306"/>
      <w:bookmarkEnd w:id="45"/>
      <w:bookmarkEnd w:id="46"/>
      <w:bookmarkEnd w:id="47"/>
      <w:bookmarkEnd w:id="48"/>
      <w:bookmarkEnd w:id="49"/>
      <w:bookmarkEnd w:id="50"/>
      <w:bookmarkEnd w:id="51"/>
      <w:r>
        <w:rPr>
          <w:noProof/>
          <w:color w:val="5B9BD5" w:themeColor="accent1"/>
          <w14:textFill>
            <w14:solidFill>
              <w14:schemeClr w14:val="accent1">
                <w14:lumMod w14:val="75000"/>
                <w14:lumMod w14:val="75000"/>
                <w14:lumMod w14:val="75000"/>
              </w14:schemeClr>
            </w14:solidFill>
          </w14:textFill>
        </w:rPr>
        <w:t>Investigação e inovação</w:t>
      </w:r>
      <w:bookmarkEnd w:id="52"/>
      <w:bookmarkEnd w:id="53"/>
    </w:p>
    <w:p w14:paraId="645A20C3" w14:textId="4ECFAADC" w:rsidR="00E82967" w:rsidRPr="005459EB" w:rsidRDefault="00E82967" w:rsidP="00E82967">
      <w:pPr>
        <w:spacing w:before="120"/>
        <w:rPr>
          <w:rFonts w:cs="Times New Roman"/>
          <w:b/>
          <w:bCs/>
          <w:noProof/>
        </w:rPr>
      </w:pPr>
      <w:r>
        <w:rPr>
          <w:noProof/>
        </w:rPr>
        <w:t xml:space="preserve">O apoio da DG REFORM aos Estados-Membros aumenta a sua capacidade para realizar reformas </w:t>
      </w:r>
      <w:r>
        <w:rPr>
          <w:b/>
          <w:noProof/>
        </w:rPr>
        <w:t>com vista ao reforço da investigação e da inovação</w:t>
      </w:r>
      <w:r>
        <w:rPr>
          <w:noProof/>
        </w:rPr>
        <w:t>. De igual modo, ajudou-os a concretizar os objetivos da</w:t>
      </w:r>
      <w:r>
        <w:rPr>
          <w:b/>
          <w:noProof/>
        </w:rPr>
        <w:t xml:space="preserve"> Comunicação da Comissão «Um novo EEI para a Investigação e a Inovação»</w:t>
      </w:r>
      <w:r w:rsidR="006E3C9A">
        <w:rPr>
          <w:rStyle w:val="FootnoteReference"/>
          <w:rFonts w:cs="Times New Roman"/>
          <w:b/>
          <w:bCs/>
          <w:noProof/>
        </w:rPr>
        <w:footnoteReference w:id="14"/>
      </w:r>
      <w:r>
        <w:rPr>
          <w:b/>
          <w:noProof/>
        </w:rPr>
        <w:t xml:space="preserve"> </w:t>
      </w:r>
      <w:r>
        <w:rPr>
          <w:noProof/>
        </w:rPr>
        <w:t>e da</w:t>
      </w:r>
      <w:r>
        <w:rPr>
          <w:b/>
          <w:noProof/>
        </w:rPr>
        <w:t xml:space="preserve"> Estratégia Europeia para as Universidades</w:t>
      </w:r>
      <w:r w:rsidR="00663B62">
        <w:rPr>
          <w:rStyle w:val="FootnoteReference"/>
          <w:rFonts w:cs="Times New Roman"/>
          <w:b/>
          <w:bCs/>
          <w:noProof/>
        </w:rPr>
        <w:footnoteReference w:id="15"/>
      </w:r>
      <w:r>
        <w:rPr>
          <w:b/>
          <w:noProof/>
        </w:rPr>
        <w:t xml:space="preserve">. </w:t>
      </w:r>
      <w:r>
        <w:rPr>
          <w:noProof/>
        </w:rPr>
        <w:t>O apoio abrange um vasto conjunto de domínios de intervenção, desde a descarbonização e a digitalização até à demografia. Inclui a promoção de estratégias, políticas e instrumentos para promover novos conhecimentos e inovação radical capazes de impulsionar as transformações ecológica e digital, bem como a reengenharia das instituições nacionais de investigação e inovação.</w:t>
      </w:r>
    </w:p>
    <w:p w14:paraId="5EAC1731" w14:textId="18C9AC5A" w:rsidR="00C9760D" w:rsidRPr="005459EB" w:rsidRDefault="00E82967" w:rsidP="00C22B0D">
      <w:pPr>
        <w:spacing w:before="120" w:after="240"/>
        <w:rPr>
          <w:rFonts w:cs="Times New Roman"/>
          <w:noProof/>
        </w:rPr>
      </w:pPr>
      <w:r>
        <w:rPr>
          <w:noProof/>
        </w:rPr>
        <w:t xml:space="preserve">Em 2023, a DG REFORM prestou apoio a </w:t>
      </w:r>
      <w:r>
        <w:rPr>
          <w:b/>
          <w:noProof/>
        </w:rPr>
        <w:t>16 Estados-Membros</w:t>
      </w:r>
      <w:r>
        <w:rPr>
          <w:noProof/>
        </w:rPr>
        <w:t xml:space="preserve"> (BG, CY, CZ, DE, EE, ES, FR, HR, HU, IT, LV, NL, PL, PT, SI e SK) no domínio da investigação e inovação, o que criou oportunidades para </w:t>
      </w:r>
      <w:r>
        <w:rPr>
          <w:b/>
          <w:noProof/>
        </w:rPr>
        <w:t>modernizar o ensino superior</w:t>
      </w:r>
      <w:r>
        <w:rPr>
          <w:noProof/>
        </w:rPr>
        <w:t xml:space="preserve">, de forma a melhor responder às necessidades do mercado de trabalho, e fomentar </w:t>
      </w:r>
      <w:r>
        <w:rPr>
          <w:b/>
          <w:noProof/>
        </w:rPr>
        <w:t>o intercâmbio de conhecimentos entre universidades, centros de investigação e empresas</w:t>
      </w:r>
      <w:r>
        <w:rPr>
          <w:noProof/>
        </w:rPr>
        <w:t xml:space="preserve">. A </w:t>
      </w:r>
      <w:r>
        <w:rPr>
          <w:b/>
          <w:noProof/>
        </w:rPr>
        <w:t>elaboração de políticas baseadas em dados concretos</w:t>
      </w:r>
      <w:r>
        <w:rPr>
          <w:noProof/>
        </w:rPr>
        <w:t xml:space="preserve"> foi igualmente reforçada com a facilitação da aprendizagem entre pares, parcerias e a experimentação de políticas. Tal contribuiu para criar potenciais benefícios a longo prazo nos domínios </w:t>
      </w:r>
      <w:r>
        <w:rPr>
          <w:b/>
          <w:noProof/>
        </w:rPr>
        <w:t>da competitividade, do progresso social e do desenvolvimento económico sustentável</w:t>
      </w:r>
      <w:r>
        <w:rPr>
          <w:noProof/>
        </w:rPr>
        <w:t>.</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0263796C" w14:textId="77777777" w:rsidTr="00BA7D5C">
        <w:tc>
          <w:tcPr>
            <w:tcW w:w="9072" w:type="dxa"/>
            <w:shd w:val="clear" w:color="auto" w:fill="DBDBDB" w:themeFill="accent3" w:themeFillTint="66"/>
          </w:tcPr>
          <w:p w14:paraId="6F6CCD20"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3C064308" w14:textId="77777777" w:rsidR="00E82967" w:rsidRPr="005459EB" w:rsidRDefault="00E82967" w:rsidP="00BA7D5C">
            <w:pPr>
              <w:spacing w:before="120"/>
              <w:rPr>
                <w:rStyle w:val="normaltextrun"/>
                <w:rFonts w:cs="Times New Roman"/>
                <w:noProof/>
              </w:rPr>
            </w:pPr>
            <w:r>
              <w:rPr>
                <w:rStyle w:val="normaltextrun"/>
                <w:b/>
                <w:noProof/>
              </w:rPr>
              <w:t>Exemplos específicos de reformas e de reforço das capacidades</w:t>
            </w:r>
            <w:r>
              <w:rPr>
                <w:rStyle w:val="normaltextrun"/>
                <w:noProof/>
              </w:rPr>
              <w:t xml:space="preserve"> no domínio da investigação e inovação, em 2023, com o apoio do IAT:</w:t>
            </w:r>
          </w:p>
          <w:p w14:paraId="57464DDD" w14:textId="78BFB9C1"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Letónia</w:t>
            </w:r>
            <w:r>
              <w:rPr>
                <w:noProof/>
              </w:rPr>
              <w:t xml:space="preserve"> desenvolveu um novo modelo de carreiras académicas em conformidade com as boas práticas internacionais e recebe atualmente apoio para a sua aplicação,</w:t>
            </w:r>
          </w:p>
          <w:p w14:paraId="3F260DD2" w14:textId="77777777"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Itália</w:t>
            </w:r>
            <w:r>
              <w:rPr>
                <w:noProof/>
              </w:rPr>
              <w:t xml:space="preserve"> criou um quadro dinâmico e sólido para o intercâmbio de conhecimentos e a cooperação,</w:t>
            </w:r>
          </w:p>
          <w:p w14:paraId="31ED18C4" w14:textId="6E460BF5"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Hungria</w:t>
            </w:r>
            <w:r>
              <w:rPr>
                <w:noProof/>
              </w:rPr>
              <w:t xml:space="preserve"> adaptou o seu sistema de garantia da qualidade do ensino superior à era digital,</w:t>
            </w:r>
          </w:p>
          <w:p w14:paraId="6FDBEB1F" w14:textId="5056A66F" w:rsidR="00E82967" w:rsidRPr="005459EB" w:rsidRDefault="00E82967" w:rsidP="00E82967">
            <w:pPr>
              <w:pStyle w:val="ListParagraph"/>
              <w:numPr>
                <w:ilvl w:val="0"/>
                <w:numId w:val="48"/>
              </w:numPr>
              <w:spacing w:before="120"/>
              <w:contextualSpacing w:val="0"/>
              <w:rPr>
                <w:rFonts w:cs="Times New Roman"/>
                <w:noProof/>
              </w:rPr>
            </w:pPr>
            <w:r>
              <w:rPr>
                <w:b/>
                <w:noProof/>
              </w:rPr>
              <w:t>Espanha</w:t>
            </w:r>
            <w:r>
              <w:rPr>
                <w:noProof/>
              </w:rPr>
              <w:t xml:space="preserve"> alargou o âmbito e melhorou a qualidade e a eficiência do intercâmbio de conhecimentos entre universidades, institutos de investigação e empresas,</w:t>
            </w:r>
          </w:p>
          <w:p w14:paraId="62D7EEE2" w14:textId="1045B71C"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Croácia</w:t>
            </w:r>
            <w:r>
              <w:rPr>
                <w:noProof/>
              </w:rPr>
              <w:t xml:space="preserve"> avaliou a preparação digital das instituições de ensino superior,</w:t>
            </w:r>
          </w:p>
          <w:p w14:paraId="10F4403A" w14:textId="5D8E5F73" w:rsidR="00E82967" w:rsidRPr="005459EB" w:rsidRDefault="00E82967" w:rsidP="00E82967">
            <w:pPr>
              <w:pStyle w:val="ListParagraph"/>
              <w:numPr>
                <w:ilvl w:val="0"/>
                <w:numId w:val="48"/>
              </w:numPr>
              <w:spacing w:before="120"/>
              <w:contextualSpacing w:val="0"/>
              <w:rPr>
                <w:rFonts w:cs="Times New Roman"/>
                <w:noProof/>
              </w:rPr>
            </w:pPr>
            <w:r>
              <w:rPr>
                <w:noProof/>
              </w:rPr>
              <w:t xml:space="preserve">a </w:t>
            </w:r>
            <w:r>
              <w:rPr>
                <w:b/>
                <w:noProof/>
              </w:rPr>
              <w:t>Eslovénia</w:t>
            </w:r>
            <w:r>
              <w:rPr>
                <w:noProof/>
              </w:rPr>
              <w:t xml:space="preserve"> reforçou o seu sistema de investigação e inovação através da criação de um novo modelo de governação, que incentiva a colaboração entre as administrações competentes responsáveis pelas políticas de I&amp;I para um melhor alinhamento dos seus planos,</w:t>
            </w:r>
          </w:p>
          <w:p w14:paraId="0550A8AC" w14:textId="39F0940C" w:rsidR="00E82967" w:rsidRPr="005459EB" w:rsidRDefault="00E82967" w:rsidP="00E82967">
            <w:pPr>
              <w:pStyle w:val="ListParagraph"/>
              <w:numPr>
                <w:ilvl w:val="0"/>
                <w:numId w:val="48"/>
              </w:numPr>
              <w:spacing w:before="120" w:after="240"/>
              <w:contextualSpacing w:val="0"/>
              <w:rPr>
                <w:rFonts w:cs="Times New Roman"/>
                <w:noProof/>
              </w:rPr>
            </w:pPr>
            <w:r>
              <w:rPr>
                <w:b/>
                <w:noProof/>
              </w:rPr>
              <w:t>Chipre</w:t>
            </w:r>
            <w:r>
              <w:rPr>
                <w:noProof/>
              </w:rPr>
              <w:t xml:space="preserve"> melhorou a capacidade do seu Gabinete de Competência em Banda Larga do Ministério Adjunto da Investigação, Inovação e Política Digital e criou um regime de vales e especificações técnicas para o lançamento de concursos para investimentos.</w:t>
            </w:r>
          </w:p>
        </w:tc>
      </w:tr>
    </w:tbl>
    <w:p w14:paraId="4D6D554B" w14:textId="0F3E8122" w:rsidR="00E82967" w:rsidRPr="005459EB" w:rsidRDefault="00E82967" w:rsidP="00C22B0D">
      <w:pPr>
        <w:pStyle w:val="Heading2"/>
        <w:spacing w:before="360"/>
        <w:rPr>
          <w:noProof/>
        </w:rPr>
      </w:pPr>
      <w:bookmarkStart w:id="54" w:name="_Toc161911522"/>
      <w:bookmarkStart w:id="55" w:name="_Toc161913834"/>
      <w:bookmarkStart w:id="56" w:name="_Toc161913892"/>
      <w:bookmarkStart w:id="57" w:name="_Toc161914339"/>
      <w:bookmarkStart w:id="58" w:name="_Toc161914409"/>
      <w:bookmarkStart w:id="59" w:name="_Toc161914509"/>
      <w:bookmarkStart w:id="60" w:name="_Toc161914602"/>
      <w:bookmarkStart w:id="61" w:name="_Toc162018529"/>
      <w:bookmarkStart w:id="62" w:name="_Toc179201307"/>
      <w:bookmarkEnd w:id="54"/>
      <w:bookmarkEnd w:id="55"/>
      <w:bookmarkEnd w:id="56"/>
      <w:bookmarkEnd w:id="57"/>
      <w:bookmarkEnd w:id="58"/>
      <w:bookmarkEnd w:id="59"/>
      <w:bookmarkEnd w:id="60"/>
      <w:r>
        <w:rPr>
          <w:noProof/>
          <w:color w:val="5B9BD5" w:themeColor="accent1"/>
          <w14:textFill>
            <w14:solidFill>
              <w14:schemeClr w14:val="accent1">
                <w14:lumMod w14:val="75000"/>
                <w14:lumMod w14:val="75000"/>
                <w14:lumMod w14:val="75000"/>
              </w14:schemeClr>
            </w14:solidFill>
          </w14:textFill>
        </w:rPr>
        <w:t>Energia</w:t>
      </w:r>
      <w:bookmarkEnd w:id="61"/>
      <w:bookmarkEnd w:id="62"/>
    </w:p>
    <w:p w14:paraId="766DF2C3" w14:textId="47CE5816" w:rsidR="00E82967" w:rsidRPr="005459EB" w:rsidRDefault="00E82967" w:rsidP="00E82967">
      <w:pPr>
        <w:spacing w:before="120"/>
        <w:rPr>
          <w:rFonts w:cs="Times New Roman"/>
          <w:noProof/>
        </w:rPr>
      </w:pPr>
      <w:r>
        <w:rPr>
          <w:noProof/>
        </w:rPr>
        <w:t xml:space="preserve">O apoio da DG REFORM aos Estados-Membros </w:t>
      </w:r>
      <w:r>
        <w:rPr>
          <w:b/>
          <w:noProof/>
        </w:rPr>
        <w:t xml:space="preserve">reforça a sua capacidade para realizar reformas no domínio da energia. </w:t>
      </w:r>
      <w:r>
        <w:rPr>
          <w:noProof/>
        </w:rPr>
        <w:t>O apoio abrange um vasto leque de domínios de intervenção, desde o aprovisionamento a partir de energias renováveis até à transição justa e à eficiência energética.</w:t>
      </w:r>
    </w:p>
    <w:tbl>
      <w:tblPr>
        <w:tblStyle w:val="TableGrid"/>
        <w:tblW w:w="0" w:type="auto"/>
        <w:tblInd w:w="108" w:type="dxa"/>
        <w:shd w:val="clear" w:color="auto" w:fill="B4C6E7" w:themeFill="accent5" w:themeFillTint="66"/>
        <w:tblLook w:val="04A0" w:firstRow="1" w:lastRow="0" w:firstColumn="1" w:lastColumn="0" w:noHBand="0" w:noVBand="1"/>
      </w:tblPr>
      <w:tblGrid>
        <w:gridCol w:w="9072"/>
      </w:tblGrid>
      <w:tr w:rsidR="00E82967" w:rsidRPr="005459EB" w14:paraId="570268E4" w14:textId="77777777" w:rsidTr="00BA7D5C">
        <w:tc>
          <w:tcPr>
            <w:tcW w:w="9072" w:type="dxa"/>
            <w:shd w:val="clear" w:color="auto" w:fill="B4C6E7" w:themeFill="accent5" w:themeFillTint="66"/>
          </w:tcPr>
          <w:p w14:paraId="73071ED8" w14:textId="77A5310D" w:rsidR="00E82967" w:rsidRPr="005459EB" w:rsidRDefault="00190CA5" w:rsidP="00BA7D5C">
            <w:pPr>
              <w:spacing w:before="120"/>
              <w:jc w:val="center"/>
              <w:rPr>
                <w:rFonts w:cs="Times New Roman"/>
                <w:b/>
                <w:bCs/>
                <w:noProof/>
              </w:rPr>
            </w:pPr>
            <w:r>
              <w:rPr>
                <w:b/>
                <w:noProof/>
              </w:rPr>
              <w:t>INICIATIVAS EMBLEMÁTICAS EM DESTAQUE</w:t>
            </w:r>
          </w:p>
          <w:p w14:paraId="733735FB" w14:textId="52162938" w:rsidR="00E82967" w:rsidRPr="005459EB" w:rsidRDefault="00E82967" w:rsidP="00BA7D5C">
            <w:pPr>
              <w:spacing w:before="120" w:after="60"/>
              <w:rPr>
                <w:rFonts w:cs="Times New Roman"/>
                <w:noProof/>
              </w:rPr>
            </w:pPr>
            <w:r>
              <w:rPr>
                <w:noProof/>
              </w:rPr>
              <w:t xml:space="preserve">Em 2023, a DG REFORM lançou </w:t>
            </w:r>
            <w:r>
              <w:rPr>
                <w:b/>
                <w:noProof/>
              </w:rPr>
              <w:t>três iniciativas emblemáticas</w:t>
            </w:r>
            <w:r>
              <w:rPr>
                <w:noProof/>
              </w:rPr>
              <w:t xml:space="preserve"> sobre o mercado único e a competitividade:</w:t>
            </w:r>
          </w:p>
          <w:p w14:paraId="281EE595" w14:textId="17033CAF" w:rsidR="00E82967" w:rsidRPr="005459EB" w:rsidRDefault="00E82967" w:rsidP="00E82967">
            <w:pPr>
              <w:pStyle w:val="ListParagraph"/>
              <w:numPr>
                <w:ilvl w:val="0"/>
                <w:numId w:val="44"/>
              </w:numPr>
              <w:contextualSpacing w:val="0"/>
              <w:rPr>
                <w:rFonts w:cs="Times New Roman"/>
                <w:noProof/>
              </w:rPr>
            </w:pPr>
            <w:r>
              <w:rPr>
                <w:b/>
                <w:noProof/>
              </w:rPr>
              <w:t>seis Estados-Membros</w:t>
            </w:r>
            <w:r>
              <w:rPr>
                <w:noProof/>
              </w:rPr>
              <w:t xml:space="preserve"> (CY, SK, FI, NL, LT e IE) receberam apoio ao abrigo da </w:t>
            </w:r>
            <w:hyperlink r:id="rId104"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sobre a aceleração do licenciamento de projetos de energias renováveis</w:t>
              </w:r>
            </w:hyperlink>
            <w:r>
              <w:rPr>
                <w:noProof/>
              </w:rPr>
              <w:t>. A DG REFORM trabalhou no sentido de criar processos mais claros, mais céleres e mais transparentes para a candidatura e a concessão de licenças para projetos de energias renováveis, em consonância com a legislação da UE aplicável e as futuras iniciativas da UE,</w:t>
            </w:r>
          </w:p>
          <w:p w14:paraId="445A414C" w14:textId="6BA2CE35" w:rsidR="00E82967" w:rsidRPr="005459EB" w:rsidRDefault="00E82967" w:rsidP="00E82967">
            <w:pPr>
              <w:pStyle w:val="ListParagraph"/>
              <w:numPr>
                <w:ilvl w:val="0"/>
                <w:numId w:val="44"/>
              </w:numPr>
              <w:spacing w:before="120"/>
              <w:contextualSpacing w:val="0"/>
              <w:rPr>
                <w:rFonts w:cs="Times New Roman"/>
                <w:noProof/>
              </w:rPr>
            </w:pPr>
            <w:r>
              <w:rPr>
                <w:b/>
                <w:noProof/>
              </w:rPr>
              <w:t>cinco Estados-Membros</w:t>
            </w:r>
            <w:r>
              <w:rPr>
                <w:noProof/>
              </w:rPr>
              <w:t xml:space="preserve"> (IT, SE, HR, HU e SK) receberam apoio ao abrigo da </w:t>
            </w:r>
            <w:hyperlink r:id="rId105"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2022 para apoiar a execução de uma transição justa</w:t>
              </w:r>
            </w:hyperlink>
            <w:r>
              <w:rPr>
                <w:noProof/>
              </w:rPr>
              <w:t>. A DG REFORM ajudou os Estados-Membros a responder a desafios específicos nas regiões e setores afetados pela transição,</w:t>
            </w:r>
          </w:p>
          <w:p w14:paraId="5587D4FA" w14:textId="4ABC4D36" w:rsidR="00E82967" w:rsidRPr="005459EB" w:rsidRDefault="00E64B66" w:rsidP="00E82967">
            <w:pPr>
              <w:pStyle w:val="ListParagraph"/>
              <w:numPr>
                <w:ilvl w:val="0"/>
                <w:numId w:val="44"/>
              </w:numPr>
              <w:spacing w:before="120" w:after="240"/>
              <w:ind w:left="357" w:hanging="357"/>
              <w:contextualSpacing w:val="0"/>
              <w:rPr>
                <w:rFonts w:cs="Times New Roman"/>
                <w:noProof/>
              </w:rPr>
            </w:pPr>
            <w:r>
              <w:rPr>
                <w:b/>
                <w:noProof/>
              </w:rPr>
              <w:t>oito Estados-Membros</w:t>
            </w:r>
            <w:r>
              <w:rPr>
                <w:noProof/>
              </w:rPr>
              <w:t xml:space="preserve"> (BE, CY, EE, HU, IE, LT, MT e SK) foram apoiados ao abrigo da </w:t>
            </w:r>
            <w:hyperlink r:id="rId106"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2022 para apoiar a Vaga de Renovação</w:t>
              </w:r>
            </w:hyperlink>
            <w:r>
              <w:rPr>
                <w:noProof/>
              </w:rPr>
              <w:t>. A DG REFORM ajudou os Estados-Membros a eliminar alguns dos obstáculos principais à renovação dos edifícios.</w:t>
            </w:r>
          </w:p>
        </w:tc>
      </w:tr>
    </w:tbl>
    <w:p w14:paraId="127EC627" w14:textId="723BCFFA" w:rsidR="00E82967" w:rsidRPr="005459EB" w:rsidRDefault="00E82967" w:rsidP="00C22B0D">
      <w:pPr>
        <w:spacing w:before="360" w:after="240"/>
        <w:rPr>
          <w:rFonts w:cs="Times New Roman"/>
          <w:noProof/>
        </w:rPr>
      </w:pPr>
      <w:r>
        <w:rPr>
          <w:noProof/>
        </w:rPr>
        <w:t xml:space="preserve">Em 2023, a DG REFORM apoiou </w:t>
      </w:r>
      <w:r>
        <w:rPr>
          <w:b/>
          <w:noProof/>
        </w:rPr>
        <w:t>23 Estados-Membros</w:t>
      </w:r>
      <w:r>
        <w:rPr>
          <w:noProof/>
        </w:rPr>
        <w:t xml:space="preserve"> (, BE, BG, CZ, DK, IE, ES, EE, FR, EL, HR, HU, LV, LT, MT, NL, PL, PT, AT, RO, SK, SI, FI e SE), incluindo ao abrigo de iniciativas emblemáticas do IAT, para acelerar o </w:t>
      </w:r>
      <w:r>
        <w:rPr>
          <w:b/>
          <w:noProof/>
        </w:rPr>
        <w:t>licenciamento</w:t>
      </w:r>
      <w:r>
        <w:rPr>
          <w:noProof/>
        </w:rPr>
        <w:t xml:space="preserve"> de projetos de </w:t>
      </w:r>
      <w:r>
        <w:rPr>
          <w:b/>
          <w:noProof/>
        </w:rPr>
        <w:t>energias renováveis</w:t>
      </w:r>
      <w:r>
        <w:rPr>
          <w:noProof/>
        </w:rPr>
        <w:t xml:space="preserve">, apoiar a execução da </w:t>
      </w:r>
      <w:r>
        <w:rPr>
          <w:b/>
          <w:noProof/>
        </w:rPr>
        <w:t>transição justa</w:t>
      </w:r>
      <w:r>
        <w:rPr>
          <w:noProof/>
        </w:rPr>
        <w:t xml:space="preserve"> e apoiar a </w:t>
      </w:r>
      <w:r>
        <w:rPr>
          <w:b/>
          <w:noProof/>
        </w:rPr>
        <w:t>Vaga de Renovação</w:t>
      </w:r>
      <w:r>
        <w:rPr>
          <w:noProof/>
        </w:rPr>
        <w:t>.</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0FA11573" w14:textId="77777777" w:rsidTr="00BA7D5C">
        <w:tc>
          <w:tcPr>
            <w:tcW w:w="9072" w:type="dxa"/>
            <w:shd w:val="clear" w:color="auto" w:fill="DBDBDB" w:themeFill="accent3" w:themeFillTint="66"/>
          </w:tcPr>
          <w:p w14:paraId="2484790C"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092481A7" w14:textId="403503A0" w:rsidR="00E82967" w:rsidRPr="005459EB" w:rsidRDefault="00E82967" w:rsidP="00BA7D5C">
            <w:pPr>
              <w:spacing w:before="60"/>
              <w:rPr>
                <w:rStyle w:val="normaltextrun"/>
                <w:rFonts w:cs="Times New Roman"/>
                <w:noProof/>
              </w:rPr>
            </w:pPr>
            <w:r>
              <w:rPr>
                <w:rStyle w:val="normaltextrun"/>
                <w:b/>
                <w:noProof/>
              </w:rPr>
              <w:t>Exemplos específicos de reformas e de reforço das capacidades</w:t>
            </w:r>
            <w:r>
              <w:rPr>
                <w:rStyle w:val="normaltextrun"/>
                <w:noProof/>
              </w:rPr>
              <w:t xml:space="preserve"> nos domínios do mercado único e da competitividade, em 2023, com o apoio do IAT:</w:t>
            </w:r>
          </w:p>
          <w:p w14:paraId="588E914C" w14:textId="06E4354E" w:rsidR="00E82967" w:rsidRPr="005459EB" w:rsidRDefault="00E82967" w:rsidP="00E82967">
            <w:pPr>
              <w:pStyle w:val="paragraph"/>
              <w:numPr>
                <w:ilvl w:val="0"/>
                <w:numId w:val="45"/>
              </w:numPr>
              <w:spacing w:before="60" w:beforeAutospacing="0" w:after="0" w:afterAutospacing="0"/>
              <w:jc w:val="both"/>
              <w:textAlignment w:val="baseline"/>
              <w:rPr>
                <w:rFonts w:ascii="EC Square Sans Pro" w:hAnsi="EC Square Sans Pro"/>
                <w:noProof/>
              </w:rPr>
            </w:pPr>
            <w:r>
              <w:rPr>
                <w:rFonts w:ascii="EC Square Sans Pro" w:hAnsi="EC Square Sans Pro"/>
                <w:noProof/>
              </w:rPr>
              <w:t xml:space="preserve">logo após o início da guerra de agressão da Rússia contra a Ucrânia, o IAT apoiou </w:t>
            </w:r>
            <w:r>
              <w:rPr>
                <w:rFonts w:ascii="EC Square Sans Pro" w:hAnsi="EC Square Sans Pro"/>
                <w:b/>
                <w:noProof/>
              </w:rPr>
              <w:t>17 Estados-Membros</w:t>
            </w:r>
            <w:r>
              <w:rPr>
                <w:rFonts w:ascii="EC Square Sans Pro" w:hAnsi="EC Square Sans Pro"/>
                <w:noProof/>
              </w:rPr>
              <w:t xml:space="preserve"> (BE, BG, CY, CZ, EE, EL, ES, FI, HR, HU, IE, IT, PL, PT, RO, SI e SK) na identificação de reformas e investimentos para reduzir a dependência das importações de combustíveis fósseis provenientes da Rússia e executar o plano REPowerEU,</w:t>
            </w:r>
          </w:p>
          <w:p w14:paraId="70690233" w14:textId="7BDDA9FA" w:rsidR="00E82967" w:rsidRPr="005459EB" w:rsidRDefault="00E82967" w:rsidP="00E82967">
            <w:pPr>
              <w:pStyle w:val="paragraph"/>
              <w:numPr>
                <w:ilvl w:val="0"/>
                <w:numId w:val="45"/>
              </w:numPr>
              <w:spacing w:before="60" w:beforeAutospacing="0" w:after="0" w:afterAutospacing="0"/>
              <w:jc w:val="both"/>
              <w:textAlignment w:val="baseline"/>
              <w:rPr>
                <w:rFonts w:ascii="EC Square Sans Pro" w:hAnsi="EC Square Sans Pro"/>
                <w:noProof/>
              </w:rPr>
            </w:pPr>
            <w:r>
              <w:rPr>
                <w:rFonts w:ascii="EC Square Sans Pro" w:hAnsi="EC Square Sans Pro"/>
                <w:noProof/>
              </w:rPr>
              <w:t xml:space="preserve">a </w:t>
            </w:r>
            <w:r>
              <w:rPr>
                <w:rFonts w:ascii="EC Square Sans Pro" w:hAnsi="EC Square Sans Pro"/>
                <w:b/>
                <w:noProof/>
              </w:rPr>
              <w:t>Eslovénia</w:t>
            </w:r>
            <w:r>
              <w:rPr>
                <w:rFonts w:ascii="EC Square Sans Pro" w:hAnsi="EC Square Sans Pro"/>
                <w:noProof/>
              </w:rPr>
              <w:t xml:space="preserve"> adotou uma lei sobre a implantação de instalações de produção de eletricidade a partir de fontes de energia renováveis,</w:t>
            </w:r>
          </w:p>
          <w:p w14:paraId="07864675" w14:textId="01CEE851" w:rsidR="00E82967" w:rsidRPr="005459EB" w:rsidRDefault="00E82967" w:rsidP="00E82967">
            <w:pPr>
              <w:pStyle w:val="paragraph"/>
              <w:numPr>
                <w:ilvl w:val="0"/>
                <w:numId w:val="45"/>
              </w:numPr>
              <w:spacing w:beforeLines="60" w:before="144" w:beforeAutospacing="0" w:after="0" w:afterAutospacing="0"/>
              <w:jc w:val="both"/>
              <w:textAlignment w:val="baseline"/>
              <w:rPr>
                <w:rFonts w:ascii="EC Square Sans Pro" w:hAnsi="EC Square Sans Pro"/>
                <w:strike/>
                <w:noProof/>
              </w:rPr>
            </w:pPr>
            <w:r>
              <w:rPr>
                <w:rFonts w:ascii="EC Square Sans Pro" w:hAnsi="EC Square Sans Pro"/>
                <w:noProof/>
              </w:rPr>
              <w:t xml:space="preserve">a </w:t>
            </w:r>
            <w:r>
              <w:rPr>
                <w:rFonts w:ascii="EC Square Sans Pro" w:hAnsi="EC Square Sans Pro"/>
                <w:b/>
                <w:noProof/>
              </w:rPr>
              <w:t>Roménia</w:t>
            </w:r>
            <w:r>
              <w:rPr>
                <w:rFonts w:ascii="EC Square Sans Pro" w:hAnsi="EC Square Sans Pro"/>
                <w:noProof/>
              </w:rPr>
              <w:t xml:space="preserve"> aprovou a sua estratégia e o seu plano de ação para o hidrogénio para 2030,</w:t>
            </w:r>
          </w:p>
          <w:p w14:paraId="4549A795" w14:textId="65487186" w:rsidR="00E82967" w:rsidRPr="005459EB" w:rsidRDefault="00E82967" w:rsidP="00E82967">
            <w:pPr>
              <w:pStyle w:val="ListParagraph"/>
              <w:numPr>
                <w:ilvl w:val="0"/>
                <w:numId w:val="45"/>
              </w:numPr>
              <w:spacing w:beforeLines="60" w:before="144"/>
              <w:contextualSpacing w:val="0"/>
              <w:jc w:val="left"/>
              <w:rPr>
                <w:rFonts w:cs="Times New Roman"/>
                <w:noProof/>
              </w:rPr>
            </w:pPr>
            <w:r>
              <w:rPr>
                <w:noProof/>
              </w:rPr>
              <w:t xml:space="preserve">a </w:t>
            </w:r>
            <w:r>
              <w:rPr>
                <w:b/>
                <w:noProof/>
              </w:rPr>
              <w:t>Roménia</w:t>
            </w:r>
            <w:r>
              <w:rPr>
                <w:noProof/>
              </w:rPr>
              <w:t xml:space="preserve"> apresentou, para consulta pública, o seu projeto de estratégia a longo prazo para a redução das emissões de gases com efeito de estufa,</w:t>
            </w:r>
          </w:p>
          <w:p w14:paraId="35AED7FF" w14:textId="2E47FA7C" w:rsidR="00E82967" w:rsidRPr="005459EB" w:rsidRDefault="00E82967" w:rsidP="00E82967">
            <w:pPr>
              <w:pStyle w:val="ListParagraph"/>
              <w:numPr>
                <w:ilvl w:val="0"/>
                <w:numId w:val="45"/>
              </w:numPr>
              <w:spacing w:beforeLines="60" w:before="144" w:after="240"/>
              <w:ind w:left="357" w:hanging="357"/>
              <w:contextualSpacing w:val="0"/>
              <w:jc w:val="left"/>
              <w:rPr>
                <w:rFonts w:cs="Times New Roman"/>
                <w:noProof/>
              </w:rPr>
            </w:pPr>
            <w:r>
              <w:rPr>
                <w:noProof/>
              </w:rPr>
              <w:t xml:space="preserve">a </w:t>
            </w:r>
            <w:r>
              <w:rPr>
                <w:b/>
                <w:noProof/>
              </w:rPr>
              <w:t>Lituânia</w:t>
            </w:r>
            <w:r>
              <w:rPr>
                <w:noProof/>
              </w:rPr>
              <w:t xml:space="preserve"> aprovou uma lei relativa aos impostos especiais sobre o consumo, que introduz um imposto sobre o carbono incidindo sobre os combustíveis poluentes.</w:t>
            </w:r>
          </w:p>
        </w:tc>
      </w:tr>
    </w:tbl>
    <w:p w14:paraId="5234495E" w14:textId="77777777" w:rsidR="00E82967" w:rsidRPr="005459EB" w:rsidRDefault="00E82967" w:rsidP="00C22B0D">
      <w:pPr>
        <w:pStyle w:val="Heading2"/>
        <w:spacing w:before="360"/>
        <w:rPr>
          <w:noProof/>
        </w:rPr>
      </w:pPr>
      <w:bookmarkStart w:id="63" w:name="_Toc161911524"/>
      <w:bookmarkStart w:id="64" w:name="_Toc161913836"/>
      <w:bookmarkStart w:id="65" w:name="_Toc161913894"/>
      <w:bookmarkStart w:id="66" w:name="_Toc161914341"/>
      <w:bookmarkStart w:id="67" w:name="_Toc161914411"/>
      <w:bookmarkStart w:id="68" w:name="_Toc161914511"/>
      <w:bookmarkStart w:id="69" w:name="_Toc162018530"/>
      <w:bookmarkStart w:id="70" w:name="_Toc179201308"/>
      <w:bookmarkEnd w:id="63"/>
      <w:bookmarkEnd w:id="64"/>
      <w:bookmarkEnd w:id="65"/>
      <w:bookmarkEnd w:id="66"/>
      <w:bookmarkEnd w:id="67"/>
      <w:bookmarkEnd w:id="68"/>
      <w:r>
        <w:rPr>
          <w:noProof/>
          <w:color w:val="5B9BD5" w:themeColor="accent1"/>
          <w14:textFill>
            <w14:solidFill>
              <w14:schemeClr w14:val="accent1">
                <w14:lumMod w14:val="75000"/>
                <w14:lumMod w14:val="75000"/>
                <w14:lumMod w14:val="75000"/>
              </w14:schemeClr>
            </w14:solidFill>
          </w14:textFill>
        </w:rPr>
        <w:t>Circularidade</w:t>
      </w:r>
      <w:bookmarkEnd w:id="69"/>
      <w:bookmarkEnd w:id="70"/>
    </w:p>
    <w:p w14:paraId="3AEF8CD1" w14:textId="765B8D70" w:rsidR="00E82967" w:rsidRPr="005459EB" w:rsidRDefault="00E82967" w:rsidP="00E82967">
      <w:pPr>
        <w:rPr>
          <w:rFonts w:cs="Times New Roman"/>
          <w:noProof/>
        </w:rPr>
      </w:pPr>
      <w:r>
        <w:rPr>
          <w:noProof/>
        </w:rPr>
        <w:t xml:space="preserve">O apoio da DG REFORM aos Estados-Membros </w:t>
      </w:r>
      <w:r>
        <w:rPr>
          <w:b/>
          <w:noProof/>
        </w:rPr>
        <w:t xml:space="preserve">reforça a sua capacidade para realizar reformas com vista à transição para uma economia mais circular e competitiva. </w:t>
      </w:r>
      <w:r>
        <w:rPr>
          <w:noProof/>
        </w:rPr>
        <w:t>O apoio abrange, nomeadamente, a gestão de resíduos e as matérias-primas críticas.</w:t>
      </w:r>
    </w:p>
    <w:p w14:paraId="12F9F676" w14:textId="1691D1B0" w:rsidR="00273F5C" w:rsidRDefault="00E82967" w:rsidP="00C22B0D">
      <w:pPr>
        <w:spacing w:before="120" w:after="360"/>
        <w:rPr>
          <w:rFonts w:cs="Times New Roman"/>
          <w:noProof/>
        </w:rPr>
      </w:pPr>
      <w:r>
        <w:rPr>
          <w:noProof/>
        </w:rPr>
        <w:t xml:space="preserve">Em 2023, a DG REFORM apoiou </w:t>
      </w:r>
      <w:r>
        <w:rPr>
          <w:b/>
          <w:noProof/>
        </w:rPr>
        <w:t>11 Estados-Membros</w:t>
      </w:r>
      <w:r>
        <w:rPr>
          <w:noProof/>
        </w:rPr>
        <w:t xml:space="preserve"> (AT, CZ, DK, EL, ES, FI, HU, IT, PT, RO e SE), incluindo ao abrigo de uma iniciativa emblemática do IAT, para i) desenvolver </w:t>
      </w:r>
      <w:r>
        <w:rPr>
          <w:b/>
          <w:noProof/>
        </w:rPr>
        <w:t>estratégias</w:t>
      </w:r>
      <w:r>
        <w:rPr>
          <w:noProof/>
        </w:rPr>
        <w:t xml:space="preserve">, planos de ação e mecanismos de acompanhamento nacionais para a economia circular, ii) criar uma base de conhecimentos para a transição das </w:t>
      </w:r>
      <w:r>
        <w:rPr>
          <w:b/>
          <w:noProof/>
        </w:rPr>
        <w:t>PME</w:t>
      </w:r>
      <w:r>
        <w:rPr>
          <w:noProof/>
        </w:rPr>
        <w:t xml:space="preserve">, iii) introduzir regulamentação em matéria de gestão de </w:t>
      </w:r>
      <w:r>
        <w:rPr>
          <w:b/>
          <w:noProof/>
        </w:rPr>
        <w:t>resíduos</w:t>
      </w:r>
      <w:r>
        <w:rPr>
          <w:noProof/>
        </w:rPr>
        <w:t xml:space="preserve">, iv) criar um conjunto de dados e uma ferramenta de planeamento para os fluxos e existências de </w:t>
      </w:r>
      <w:r>
        <w:rPr>
          <w:b/>
          <w:noProof/>
        </w:rPr>
        <w:t>matérias-primas</w:t>
      </w:r>
      <w:r>
        <w:rPr>
          <w:noProof/>
        </w:rPr>
        <w:t xml:space="preserve"> e v) reforçar a circularidade da </w:t>
      </w:r>
      <w:r>
        <w:rPr>
          <w:b/>
          <w:noProof/>
        </w:rPr>
        <w:t>mineração</w:t>
      </w:r>
      <w:r>
        <w:rPr>
          <w:noProof/>
        </w:rPr>
        <w:t>.</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437D95F1" w14:textId="77777777" w:rsidTr="00BA7D5C">
        <w:tc>
          <w:tcPr>
            <w:tcW w:w="9072" w:type="dxa"/>
            <w:shd w:val="clear" w:color="auto" w:fill="DBDBDB" w:themeFill="accent3" w:themeFillTint="66"/>
          </w:tcPr>
          <w:p w14:paraId="1A70B9C0"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7192CD05" w14:textId="77777777" w:rsidR="00E82967" w:rsidRPr="005459EB" w:rsidRDefault="00E82967" w:rsidP="00BA7D5C">
            <w:pPr>
              <w:spacing w:before="120"/>
              <w:rPr>
                <w:rStyle w:val="normaltextrun"/>
                <w:rFonts w:cs="Times New Roman"/>
                <w:noProof/>
              </w:rPr>
            </w:pPr>
            <w:r>
              <w:rPr>
                <w:rStyle w:val="normaltextrun"/>
                <w:b/>
                <w:noProof/>
              </w:rPr>
              <w:t>Exemplos específicos de reformas e de reforço das capacidades</w:t>
            </w:r>
            <w:r>
              <w:rPr>
                <w:rStyle w:val="normaltextrun"/>
                <w:noProof/>
              </w:rPr>
              <w:t xml:space="preserve"> no domínio da circularidade, em 2023, com o apoio do IAT:</w:t>
            </w:r>
          </w:p>
          <w:p w14:paraId="27D02397" w14:textId="163F2574"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Roménia</w:t>
            </w:r>
            <w:r>
              <w:rPr>
                <w:noProof/>
              </w:rPr>
              <w:t xml:space="preserve"> adotou uma estratégia e um plano de ação para a economia circular e um plano de monitorização correspondente. Além disso, aprovou novo direito derivado sobre o cálculo das tarifas relativas de resíduos para incentivar uma maior circularidade,</w:t>
            </w:r>
          </w:p>
          <w:p w14:paraId="76F22B8C" w14:textId="0F8C8486" w:rsidR="00E82967" w:rsidRPr="005459EB" w:rsidRDefault="00E82967" w:rsidP="00E82967">
            <w:pPr>
              <w:pStyle w:val="ListParagraph"/>
              <w:numPr>
                <w:ilvl w:val="0"/>
                <w:numId w:val="45"/>
              </w:numPr>
              <w:spacing w:before="120" w:after="240"/>
              <w:ind w:left="357" w:hanging="357"/>
              <w:contextualSpacing w:val="0"/>
              <w:rPr>
                <w:rFonts w:cs="Times New Roman"/>
                <w:noProof/>
              </w:rPr>
            </w:pPr>
            <w:r>
              <w:rPr>
                <w:b/>
                <w:noProof/>
              </w:rPr>
              <w:t>Espanha</w:t>
            </w:r>
            <w:r>
              <w:rPr>
                <w:noProof/>
              </w:rPr>
              <w:t xml:space="preserve"> dotou os municípios com material de comunicação e instrumentos de reforço das capacidades para melhorar a circularidade da gestão dos resíduos.</w:t>
            </w:r>
          </w:p>
        </w:tc>
      </w:tr>
    </w:tbl>
    <w:p w14:paraId="1EFF9374" w14:textId="77777777" w:rsidR="00E82967" w:rsidRPr="005459EB" w:rsidRDefault="00E82967" w:rsidP="00C22B0D">
      <w:pPr>
        <w:pStyle w:val="Heading2"/>
        <w:spacing w:before="360"/>
        <w:rPr>
          <w:noProof/>
        </w:rPr>
      </w:pPr>
      <w:bookmarkStart w:id="71" w:name="_Toc161911528"/>
      <w:bookmarkStart w:id="72" w:name="_Toc161913840"/>
      <w:bookmarkStart w:id="73" w:name="_Toc161913898"/>
      <w:bookmarkStart w:id="74" w:name="_Toc161914345"/>
      <w:bookmarkStart w:id="75" w:name="_Toc161914415"/>
      <w:bookmarkStart w:id="76" w:name="_Toc161914515"/>
      <w:bookmarkStart w:id="77" w:name="_Toc161914605"/>
      <w:bookmarkStart w:id="78" w:name="_Toc162018531"/>
      <w:bookmarkStart w:id="79" w:name="_Toc179201309"/>
      <w:bookmarkEnd w:id="71"/>
      <w:bookmarkEnd w:id="72"/>
      <w:bookmarkEnd w:id="73"/>
      <w:bookmarkEnd w:id="74"/>
      <w:bookmarkEnd w:id="75"/>
      <w:bookmarkEnd w:id="76"/>
      <w:bookmarkEnd w:id="77"/>
      <w:r>
        <w:rPr>
          <w:noProof/>
          <w:color w:val="5B9BD5" w:themeColor="accent1"/>
          <w14:textFill>
            <w14:solidFill>
              <w14:schemeClr w14:val="accent1">
                <w14:lumMod w14:val="75000"/>
                <w14:lumMod w14:val="75000"/>
                <w14:lumMod w14:val="75000"/>
              </w14:schemeClr>
            </w14:solidFill>
          </w14:textFill>
        </w:rPr>
        <w:t>Digitalização</w:t>
      </w:r>
      <w:bookmarkEnd w:id="78"/>
      <w:bookmarkEnd w:id="79"/>
    </w:p>
    <w:p w14:paraId="4DC882C3" w14:textId="3D5A7A0B" w:rsidR="00E82967" w:rsidRPr="005459EB" w:rsidRDefault="00E82967" w:rsidP="00E82967">
      <w:pPr>
        <w:spacing w:before="120"/>
        <w:ind w:left="-20" w:right="-20"/>
        <w:rPr>
          <w:rFonts w:eastAsia="Calibri" w:cs="Times New Roman"/>
          <w:noProof/>
        </w:rPr>
      </w:pPr>
      <w:r>
        <w:rPr>
          <w:noProof/>
        </w:rPr>
        <w:t xml:space="preserve">O apoio da DG REFORM aos Estados-Membros contribui para a sua transformação digital, em coerência com a prioridade </w:t>
      </w:r>
      <w:r>
        <w:rPr>
          <w:b/>
          <w:noProof/>
        </w:rPr>
        <w:t>«Uma Europa Preparada para a Era Digital»</w:t>
      </w:r>
      <w:r>
        <w:rPr>
          <w:noProof/>
        </w:rPr>
        <w:t xml:space="preserve"> da Comissão e com vista à consecução das metas da </w:t>
      </w:r>
      <w:r>
        <w:rPr>
          <w:b/>
          <w:noProof/>
        </w:rPr>
        <w:t>Década Digital</w:t>
      </w:r>
      <w:r>
        <w:rPr>
          <w:noProof/>
        </w:rPr>
        <w:t xml:space="preserve">. A digitalização da administração pública é essencial para que os cidadãos e as empresas possam preparar o terreno para uma economia da UE competitiva. O apoio abrange um </w:t>
      </w:r>
      <w:r>
        <w:rPr>
          <w:b/>
          <w:noProof/>
        </w:rPr>
        <w:t>vasto conjunto de domínios de intervenção</w:t>
      </w:r>
      <w:r>
        <w:rPr>
          <w:noProof/>
        </w:rPr>
        <w:t>, desde a interoperabilidade, a inteligência artificial (IA), a reengenharia dos processos empresariais e a tomada de decisões informadas com base em dados até às competências digitais.</w:t>
      </w:r>
    </w:p>
    <w:tbl>
      <w:tblPr>
        <w:tblStyle w:val="TableGrid"/>
        <w:tblW w:w="0" w:type="auto"/>
        <w:tblInd w:w="108" w:type="dxa"/>
        <w:shd w:val="clear" w:color="auto" w:fill="B4C6E7" w:themeFill="accent5" w:themeFillTint="66"/>
        <w:tblLook w:val="04A0" w:firstRow="1" w:lastRow="0" w:firstColumn="1" w:lastColumn="0" w:noHBand="0" w:noVBand="1"/>
      </w:tblPr>
      <w:tblGrid>
        <w:gridCol w:w="9072"/>
      </w:tblGrid>
      <w:tr w:rsidR="00E82967" w:rsidRPr="005459EB" w14:paraId="1DA0C99C" w14:textId="77777777" w:rsidTr="00BA7D5C">
        <w:trPr>
          <w:trHeight w:val="300"/>
        </w:trPr>
        <w:tc>
          <w:tcPr>
            <w:tcW w:w="9072" w:type="dxa"/>
            <w:shd w:val="clear" w:color="auto" w:fill="B4C6E7" w:themeFill="accent5" w:themeFillTint="66"/>
          </w:tcPr>
          <w:p w14:paraId="204D4078" w14:textId="564C6215" w:rsidR="00E82967" w:rsidRPr="005459EB" w:rsidRDefault="00190CA5" w:rsidP="00BA7D5C">
            <w:pPr>
              <w:spacing w:before="120"/>
              <w:jc w:val="center"/>
              <w:rPr>
                <w:rFonts w:cs="Times New Roman"/>
                <w:b/>
                <w:bCs/>
                <w:noProof/>
              </w:rPr>
            </w:pPr>
            <w:r>
              <w:rPr>
                <w:b/>
                <w:noProof/>
              </w:rPr>
              <w:t>INICIATIVAS EMBLEMÁTICAS EM DESTAQUE</w:t>
            </w:r>
          </w:p>
          <w:p w14:paraId="4EAEF5F6" w14:textId="5308BA3B" w:rsidR="00E82967" w:rsidRPr="005459EB" w:rsidRDefault="00E82967" w:rsidP="00BA7D5C">
            <w:pPr>
              <w:spacing w:before="120"/>
              <w:rPr>
                <w:rFonts w:cs="Times New Roman"/>
                <w:noProof/>
              </w:rPr>
            </w:pPr>
            <w:r>
              <w:rPr>
                <w:noProof/>
              </w:rPr>
              <w:t xml:space="preserve">Em 2023, a DG REFORM lançou </w:t>
            </w:r>
            <w:r>
              <w:rPr>
                <w:b/>
                <w:noProof/>
              </w:rPr>
              <w:t>duas iniciativas emblemáticas</w:t>
            </w:r>
            <w:r>
              <w:rPr>
                <w:noProof/>
              </w:rPr>
              <w:t xml:space="preserve"> sobre a transformação digital:</w:t>
            </w:r>
          </w:p>
          <w:p w14:paraId="291ECB51" w14:textId="16B20057" w:rsidR="00E82967" w:rsidRPr="005459EB" w:rsidRDefault="00E82967" w:rsidP="00E82967">
            <w:pPr>
              <w:pStyle w:val="ListParagraph"/>
              <w:numPr>
                <w:ilvl w:val="0"/>
                <w:numId w:val="44"/>
              </w:numPr>
              <w:spacing w:before="120"/>
              <w:contextualSpacing w:val="0"/>
              <w:rPr>
                <w:rFonts w:cs="Times New Roman"/>
                <w:noProof/>
              </w:rPr>
            </w:pPr>
            <w:r>
              <w:rPr>
                <w:b/>
                <w:noProof/>
              </w:rPr>
              <w:t>nove Estados-Membros</w:t>
            </w:r>
            <w:r>
              <w:rPr>
                <w:noProof/>
              </w:rPr>
              <w:t xml:space="preserve"> (DK, IT, EL, LV, PT, SK, CY, IE e NL) receberam apoio ao abrigo das </w:t>
            </w:r>
            <w:hyperlink r:id="rId107" w:history="1">
              <w:r>
                <w:rPr>
                  <w:rStyle w:val="Hyperlink"/>
                  <w:b/>
                  <w:noProof/>
                  <w:color w:val="034990" w:themeColor="hyperlink" w:themeShade="BF"/>
                  <w14:textFill>
                    <w14:solidFill>
                      <w14:schemeClr w14:val="hlink">
                        <w14:lumMod w14:val="75000"/>
                        <w14:lumMod w14:val="75000"/>
                      </w14:schemeClr>
                    </w14:solidFill>
                  </w14:textFill>
                </w:rPr>
                <w:t>iniciativas emblemáticas do IAT de 2022 sobre o desenvolvimento de serviços públicos digitais resilientes, inovadores e centrados no ser humano</w:t>
              </w:r>
            </w:hyperlink>
            <w:r>
              <w:rPr>
                <w:noProof/>
              </w:rPr>
              <w:t>. Os projetos contribuem para definir estratégias e planos de ação que ajudarão a concretizar a transição digital do setor público da UE,</w:t>
            </w:r>
          </w:p>
          <w:p w14:paraId="1D6A99F3" w14:textId="7ABA89B1" w:rsidR="00E82967" w:rsidRPr="005459EB" w:rsidRDefault="00E82967" w:rsidP="00E82967">
            <w:pPr>
              <w:pStyle w:val="ListParagraph"/>
              <w:numPr>
                <w:ilvl w:val="0"/>
                <w:numId w:val="44"/>
              </w:numPr>
              <w:spacing w:before="120" w:after="240"/>
              <w:contextualSpacing w:val="0"/>
              <w:rPr>
                <w:rFonts w:cs="Times New Roman"/>
                <w:noProof/>
              </w:rPr>
            </w:pPr>
            <w:r>
              <w:rPr>
                <w:b/>
                <w:noProof/>
              </w:rPr>
              <w:t>quatro Estados-Membros</w:t>
            </w:r>
            <w:r>
              <w:rPr>
                <w:noProof/>
              </w:rPr>
              <w:t xml:space="preserve"> (PT, ES, DK e RO) receberam apoio ao abrigo da</w:t>
            </w:r>
            <w:r>
              <w:rPr>
                <w:b/>
                <w:noProof/>
              </w:rPr>
              <w:t xml:space="preserve"> </w:t>
            </w:r>
            <w:hyperlink r:id="rId108"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sobre a transformação digital nas administrações públicas regionais e locais</w:t>
              </w:r>
            </w:hyperlink>
            <w:r>
              <w:rPr>
                <w:b/>
                <w:noProof/>
              </w:rPr>
              <w:t xml:space="preserve">. </w:t>
            </w:r>
            <w:r>
              <w:rPr>
                <w:noProof/>
              </w:rPr>
              <w:t xml:space="preserve">Por exemplo, a </w:t>
            </w:r>
            <w:r>
              <w:rPr>
                <w:b/>
                <w:noProof/>
              </w:rPr>
              <w:t>Dinamarca</w:t>
            </w:r>
            <w:r>
              <w:rPr>
                <w:noProof/>
              </w:rPr>
              <w:t xml:space="preserve"> recebeu apoio para o desenvolvimento de ferramentas de avaliação de riscos em projetos de IA empreendidos pelas autoridades locais, regionais e nacionais. Tal implica a criação de um repositório dos casos existentes de utilização da IA na administração dinamarquesa, com o objetivo de promover a reutilizabilidade tanto a nível nacional como europeu. </w:t>
            </w:r>
          </w:p>
        </w:tc>
      </w:tr>
    </w:tbl>
    <w:p w14:paraId="6AE01712" w14:textId="46783058" w:rsidR="00F60694" w:rsidRDefault="00E82967" w:rsidP="007B6952">
      <w:pPr>
        <w:spacing w:before="360" w:after="360"/>
        <w:ind w:right="-23"/>
        <w:rPr>
          <w:rFonts w:eastAsia="Calibri" w:cs="Times New Roman"/>
          <w:noProof/>
        </w:rPr>
      </w:pPr>
      <w:r>
        <w:rPr>
          <w:noProof/>
        </w:rPr>
        <w:t>Em 2023, a DG REFORM prestou apoio a todos os Estados-Membros, incluindo ao abrigo de iniciativas emblemáticas do IAT, para avançarem com a sua digitalização e melhorarem a prestação de serviços digitais, a gestão de dados, a utilização da IA e a garantia da interoperabilidade dos sistemas.</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31B4D038" w14:textId="77777777" w:rsidTr="00BA7D5C">
        <w:tc>
          <w:tcPr>
            <w:tcW w:w="9072" w:type="dxa"/>
            <w:shd w:val="clear" w:color="auto" w:fill="DBDBDB" w:themeFill="accent3" w:themeFillTint="66"/>
          </w:tcPr>
          <w:p w14:paraId="41DC8C10"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44F60F37" w14:textId="77777777" w:rsidR="00E82967" w:rsidRPr="005459EB" w:rsidRDefault="00E82967" w:rsidP="00BA7D5C">
            <w:pPr>
              <w:spacing w:before="120"/>
              <w:rPr>
                <w:rStyle w:val="normaltextrun"/>
                <w:rFonts w:cs="Times New Roman"/>
                <w:noProof/>
              </w:rPr>
            </w:pPr>
            <w:r>
              <w:rPr>
                <w:rStyle w:val="normaltextrun"/>
                <w:b/>
                <w:noProof/>
              </w:rPr>
              <w:t>Exemplos específicos de reformas e de reforço das capacidades</w:t>
            </w:r>
            <w:r>
              <w:rPr>
                <w:rStyle w:val="normaltextrun"/>
                <w:noProof/>
              </w:rPr>
              <w:t xml:space="preserve"> no domínio da digitalização, em 2023, com o apoio do IAT:</w:t>
            </w:r>
          </w:p>
          <w:p w14:paraId="2EB27CCF" w14:textId="42042239"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Eslováquia</w:t>
            </w:r>
            <w:r>
              <w:rPr>
                <w:noProof/>
              </w:rPr>
              <w:t xml:space="preserve"> adotou uma abordagem abrangente para reforçar os serviços da administração pública digital, integrando a IA e o quadro eIDAS para a identificação digital. Adotou estratégias de governação de dados, legislação preparada para o digital e conceção institucional, incluindo considerações sobre os recursos humanos e as tecnologias, a segurança e os impactos financeiros da legislação digital nacional e da UE,</w:t>
            </w:r>
          </w:p>
          <w:p w14:paraId="106AE426" w14:textId="7878A111"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Finlândia</w:t>
            </w:r>
            <w:r>
              <w:rPr>
                <w:noProof/>
              </w:rPr>
              <w:t xml:space="preserve"> otimizou esforços no sentido da digitalização do sistema judicial e da melhoria da eficiência operacional através da execução de uma estratégia de governação das TIC,</w:t>
            </w:r>
          </w:p>
          <w:p w14:paraId="6FBF3C33" w14:textId="46C8094E"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Itália</w:t>
            </w:r>
            <w:r>
              <w:rPr>
                <w:noProof/>
              </w:rPr>
              <w:t xml:space="preserve"> criou uma nova estrutura organizacional e adaptou os processos empresariais no ministério da Economia e das Finanças com a ajuda de medidas de assistência abrangentes centradas na gestão da mudança e na mudança cultural,</w:t>
            </w:r>
          </w:p>
          <w:p w14:paraId="16756BCA" w14:textId="1F9CB614" w:rsidR="00E82967" w:rsidRPr="005459EB" w:rsidRDefault="00E82967" w:rsidP="00E82967">
            <w:pPr>
              <w:pStyle w:val="ListParagraph"/>
              <w:numPr>
                <w:ilvl w:val="0"/>
                <w:numId w:val="45"/>
              </w:numPr>
              <w:spacing w:before="120" w:after="240"/>
              <w:ind w:left="357" w:hanging="357"/>
              <w:contextualSpacing w:val="0"/>
              <w:rPr>
                <w:rFonts w:cs="Times New Roman"/>
                <w:noProof/>
              </w:rPr>
            </w:pPr>
            <w:r>
              <w:rPr>
                <w:b/>
                <w:noProof/>
              </w:rPr>
              <w:t>Portugal</w:t>
            </w:r>
            <w:r>
              <w:rPr>
                <w:noProof/>
              </w:rPr>
              <w:t xml:space="preserve"> desenvolveu, com a participação de mais de 400 partes interessadas, uma Estratégia Nacional para as Cidades Inteligentes, no âmbito do Plano de Ação para a Transição Digital.</w:t>
            </w:r>
          </w:p>
        </w:tc>
      </w:tr>
    </w:tbl>
    <w:p w14:paraId="01455E38" w14:textId="77777777" w:rsidR="00E82967" w:rsidRPr="006A28B9" w:rsidRDefault="00E82967" w:rsidP="00C22B0D">
      <w:pPr>
        <w:pStyle w:val="Heading2"/>
        <w:spacing w:before="360"/>
        <w:rPr>
          <w:noProof/>
        </w:rPr>
      </w:pPr>
      <w:bookmarkStart w:id="80" w:name="_Toc161911530"/>
      <w:bookmarkStart w:id="81" w:name="_Toc161913842"/>
      <w:bookmarkStart w:id="82" w:name="_Toc161913900"/>
      <w:bookmarkStart w:id="83" w:name="_Toc161914347"/>
      <w:bookmarkStart w:id="84" w:name="_Toc161914417"/>
      <w:bookmarkStart w:id="85" w:name="_Toc161914517"/>
      <w:bookmarkStart w:id="86" w:name="_Toc161914607"/>
      <w:bookmarkStart w:id="87" w:name="_Toc162018532"/>
      <w:bookmarkStart w:id="88" w:name="_Toc179201310"/>
      <w:bookmarkEnd w:id="80"/>
      <w:bookmarkEnd w:id="81"/>
      <w:bookmarkEnd w:id="82"/>
      <w:bookmarkEnd w:id="83"/>
      <w:bookmarkEnd w:id="84"/>
      <w:bookmarkEnd w:id="85"/>
      <w:bookmarkEnd w:id="86"/>
      <w:r>
        <w:rPr>
          <w:noProof/>
          <w:color w:val="5B9BD5" w:themeColor="accent1"/>
          <w14:textFill>
            <w14:solidFill>
              <w14:schemeClr w14:val="accent1">
                <w14:lumMod w14:val="75000"/>
                <w14:lumMod w14:val="75000"/>
                <w14:lumMod w14:val="75000"/>
              </w14:schemeClr>
            </w14:solidFill>
          </w14:textFill>
        </w:rPr>
        <w:t>Educação e competências</w:t>
      </w:r>
      <w:bookmarkEnd w:id="87"/>
      <w:bookmarkEnd w:id="88"/>
    </w:p>
    <w:p w14:paraId="5D3C4922" w14:textId="1EFF0F04" w:rsidR="00E82967" w:rsidRPr="005459EB" w:rsidRDefault="00E82967" w:rsidP="00E82967">
      <w:pPr>
        <w:spacing w:before="120"/>
        <w:rPr>
          <w:rFonts w:cs="Times New Roman"/>
          <w:bCs/>
          <w:noProof/>
        </w:rPr>
      </w:pPr>
      <w:r>
        <w:rPr>
          <w:noProof/>
        </w:rPr>
        <w:t xml:space="preserve">O apoio da DG REFORM aos Estados-Membros contribuiu para reforçar as suas </w:t>
      </w:r>
      <w:r>
        <w:rPr>
          <w:b/>
          <w:noProof/>
        </w:rPr>
        <w:t>políticas de educação, competências e atração de talentos</w:t>
      </w:r>
      <w:r>
        <w:rPr>
          <w:noProof/>
        </w:rPr>
        <w:t xml:space="preserve"> destinadas a garantir uma mão de obra qualificada. O apoio reforçou a sua capacidade para conceber e executar reformas destinadas a lançar as bases para o desenvolvimento inclusivo de competências desde tenra idade e a proporcionar oportunidades sistemáticas de melhoria de competências e requalificação, incluindo para os grupos desfavorecido. Foram também executadas reformas adicionais com o intuito de atrair talentos de fora da UE.</w:t>
      </w:r>
    </w:p>
    <w:tbl>
      <w:tblPr>
        <w:tblStyle w:val="TableGrid"/>
        <w:tblW w:w="0" w:type="auto"/>
        <w:tblInd w:w="108" w:type="dxa"/>
        <w:shd w:val="clear" w:color="auto" w:fill="B4C6E7" w:themeFill="accent5" w:themeFillTint="66"/>
        <w:tblLook w:val="04A0" w:firstRow="1" w:lastRow="0" w:firstColumn="1" w:lastColumn="0" w:noHBand="0" w:noVBand="1"/>
      </w:tblPr>
      <w:tblGrid>
        <w:gridCol w:w="9072"/>
      </w:tblGrid>
      <w:tr w:rsidR="00E82967" w:rsidRPr="005459EB" w14:paraId="33F2E114" w14:textId="77777777" w:rsidTr="00BA7D5C">
        <w:tc>
          <w:tcPr>
            <w:tcW w:w="9072" w:type="dxa"/>
            <w:shd w:val="clear" w:color="auto" w:fill="B4C6E7" w:themeFill="accent5" w:themeFillTint="66"/>
          </w:tcPr>
          <w:p w14:paraId="78779B9B" w14:textId="4EAD669F" w:rsidR="00E82967" w:rsidRPr="005459EB" w:rsidRDefault="00E82967" w:rsidP="00BA7D5C">
            <w:pPr>
              <w:spacing w:before="120"/>
              <w:jc w:val="center"/>
              <w:rPr>
                <w:rFonts w:cs="Times New Roman"/>
                <w:b/>
                <w:bCs/>
                <w:noProof/>
              </w:rPr>
            </w:pPr>
            <w:r>
              <w:rPr>
                <w:noProof/>
              </w:rPr>
              <w:br w:type="page"/>
            </w:r>
            <w:r>
              <w:rPr>
                <w:b/>
                <w:noProof/>
              </w:rPr>
              <w:t>INICIATIVAS EMBLEMÁTICAS EM DESTAQUE</w:t>
            </w:r>
          </w:p>
          <w:p w14:paraId="1F997702" w14:textId="545D2666" w:rsidR="00E82967" w:rsidRPr="005459EB" w:rsidRDefault="00E82967" w:rsidP="00BA7D5C">
            <w:pPr>
              <w:spacing w:before="120"/>
              <w:rPr>
                <w:rFonts w:cs="Times New Roman"/>
                <w:noProof/>
              </w:rPr>
            </w:pPr>
            <w:r>
              <w:rPr>
                <w:noProof/>
              </w:rPr>
              <w:t xml:space="preserve">Em 2023, a DG REFORM lançou </w:t>
            </w:r>
            <w:r>
              <w:rPr>
                <w:b/>
                <w:noProof/>
              </w:rPr>
              <w:t>duas iniciativas emblemáticas</w:t>
            </w:r>
            <w:r>
              <w:rPr>
                <w:noProof/>
              </w:rPr>
              <w:t xml:space="preserve"> no domínio da educação e competências:</w:t>
            </w:r>
          </w:p>
          <w:p w14:paraId="5D773834" w14:textId="6F76B399" w:rsidR="00E82967" w:rsidRPr="005459EB" w:rsidRDefault="00E82967" w:rsidP="00E82967">
            <w:pPr>
              <w:pStyle w:val="ListParagraph"/>
              <w:numPr>
                <w:ilvl w:val="0"/>
                <w:numId w:val="44"/>
              </w:numPr>
              <w:spacing w:before="120"/>
              <w:contextualSpacing w:val="0"/>
              <w:rPr>
                <w:rFonts w:cs="Times New Roman"/>
                <w:noProof/>
              </w:rPr>
            </w:pPr>
            <w:r>
              <w:rPr>
                <w:b/>
                <w:noProof/>
              </w:rPr>
              <w:t>dez Estados-Membros</w:t>
            </w:r>
            <w:r>
              <w:rPr>
                <w:noProof/>
              </w:rPr>
              <w:t xml:space="preserve"> (AT, CY, CZ, ES, FI, IE, LV, PL, PT e SI) receberam apoio ao abrigo da </w:t>
            </w:r>
            <w:hyperlink r:id="rId109"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«Os jovens primeiro</w:t>
              </w:r>
            </w:hyperlink>
            <w:r>
              <w:rPr>
                <w:rStyle w:val="Hyperlink"/>
                <w:b/>
                <w:noProof/>
                <w:color w:val="034990" w:themeColor="hyperlink" w:themeShade="BF"/>
                <w14:textFill>
                  <w14:solidFill>
                    <w14:schemeClr w14:val="hlink">
                      <w14:lumMod w14:val="75000"/>
                      <w14:lumMod w14:val="75000"/>
                    </w14:schemeClr>
                  </w14:solidFill>
                </w14:textFill>
              </w:rPr>
              <w:t>»</w:t>
            </w:r>
            <w:r>
              <w:rPr>
                <w:noProof/>
              </w:rPr>
              <w:t xml:space="preserve"> que visa apoiar as reformas que melhorem os resultados, nos domínios da educação, da saúde e social, para as crianças e os jovens. O apoio abrange aspetos fundamentais para a mão de obra europeia futura, como o acesso a uma educação e formação inclusivas e de qualidade e o apoio à melhoria de competências e à requalificação,</w:t>
            </w:r>
          </w:p>
          <w:p w14:paraId="41B410BC" w14:textId="2EB94857" w:rsidR="00E82967" w:rsidRPr="005459EB" w:rsidRDefault="00E82967" w:rsidP="00E82967">
            <w:pPr>
              <w:pStyle w:val="ListParagraph"/>
              <w:numPr>
                <w:ilvl w:val="0"/>
                <w:numId w:val="44"/>
              </w:numPr>
              <w:spacing w:before="120" w:after="240"/>
              <w:ind w:left="357" w:hanging="357"/>
              <w:contextualSpacing w:val="0"/>
              <w:rPr>
                <w:rFonts w:cs="Times New Roman"/>
                <w:noProof/>
              </w:rPr>
            </w:pPr>
            <w:r>
              <w:rPr>
                <w:b/>
                <w:noProof/>
              </w:rPr>
              <w:t>sete Estados-Membros</w:t>
            </w:r>
            <w:r>
              <w:rPr>
                <w:noProof/>
              </w:rPr>
              <w:t xml:space="preserve"> (BE, CY, DK, ES, MT, NL e SE) receberam apoio ao abrigo da </w:t>
            </w:r>
            <w:hyperlink r:id="rId110" w:history="1">
              <w:r>
                <w:rPr>
                  <w:rStyle w:val="Hyperlink"/>
                  <w:b/>
                  <w:noProof/>
                  <w:color w:val="034990" w:themeColor="hyperlink" w:themeShade="BF"/>
                  <w14:textFill>
                    <w14:solidFill>
                      <w14:schemeClr w14:val="hlink">
                        <w14:lumMod w14:val="75000"/>
                        <w14:lumMod w14:val="75000"/>
                      </w14:schemeClr>
                    </w14:solidFill>
                  </w14:textFill>
                </w:rPr>
                <w:t>iniciativa emblemática do IAT de 2023 «Integração de migrantes e atração de talentos»</w:t>
              </w:r>
            </w:hyperlink>
            <w:r>
              <w:rPr>
                <w:noProof/>
              </w:rPr>
              <w:t>, dirigida aos Estados-Membros que pretendam beneficiar dos ganhos sociais e económicos de uma</w:t>
            </w:r>
            <w:r>
              <w:rPr>
                <w:rFonts w:ascii="Calibri" w:hAnsi="Calibri"/>
                <w:noProof/>
              </w:rPr>
              <w:t> </w:t>
            </w:r>
            <w:r>
              <w:rPr>
                <w:rStyle w:val="Strong"/>
                <w:noProof/>
              </w:rPr>
              <w:t>maior</w:t>
            </w:r>
            <w:r>
              <w:rPr>
                <w:rFonts w:ascii="Calibri" w:hAnsi="Calibri"/>
                <w:noProof/>
              </w:rPr>
              <w:t> </w:t>
            </w:r>
            <w:r>
              <w:rPr>
                <w:rStyle w:val="Strong"/>
                <w:noProof/>
              </w:rPr>
              <w:t>integração, participação no mercado de trabalho e mobilidade laboral dos nacionais de países terceiros, num contexto de agravamento da escassez de competências e de uma crescente concorrência mundial para a captação de talentos.</w:t>
            </w:r>
          </w:p>
        </w:tc>
      </w:tr>
    </w:tbl>
    <w:p w14:paraId="07B17B82" w14:textId="482D8B9D" w:rsidR="00E82967" w:rsidRPr="00B623C1" w:rsidRDefault="00E82967" w:rsidP="00E82967">
      <w:pPr>
        <w:spacing w:before="360" w:after="360"/>
        <w:rPr>
          <w:rFonts w:cs="Times New Roman"/>
          <w:bCs/>
          <w:noProof/>
        </w:rPr>
      </w:pPr>
      <w:r>
        <w:rPr>
          <w:noProof/>
        </w:rPr>
        <w:t xml:space="preserve">Em 2023, a DG REFORM apoiou os </w:t>
      </w:r>
      <w:r>
        <w:rPr>
          <w:b/>
          <w:noProof/>
        </w:rPr>
        <w:t>27 Estados-Membros</w:t>
      </w:r>
      <w:r>
        <w:rPr>
          <w:noProof/>
        </w:rPr>
        <w:t xml:space="preserve"> através de projetos emblemáticos individuais, plurinacionais e do IAT destinados a melhorar a qualidade e a adequação às necessidades do mercado de trabalho do ensino escolar, do ensino e formação profissionais, do ensino superior e da educação de adultos, bem como dos sistemas de requalificação e melhoria de competências, a garantir a elevada qualidade do pessoal docente, a manter e atrair trabalhadores qualificados de fora da UE, a acelerar o reconhecimento das competências e qualificações de estrangeiros e a facilitar o acesso a uma educação e acolhimento na primeira infância de elevada qualidade, para que os pais possam trabalhar fora de casa.</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46F1492D" w14:textId="77777777" w:rsidTr="00BA7D5C">
        <w:tc>
          <w:tcPr>
            <w:tcW w:w="9072" w:type="dxa"/>
            <w:shd w:val="clear" w:color="auto" w:fill="DBDBDB" w:themeFill="accent3" w:themeFillTint="66"/>
          </w:tcPr>
          <w:p w14:paraId="3EDBE964"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15957FE4" w14:textId="231F4B9C" w:rsidR="00E82967" w:rsidRPr="005459EB" w:rsidRDefault="00E82967" w:rsidP="00BA7D5C">
            <w:pPr>
              <w:spacing w:before="120"/>
              <w:rPr>
                <w:rStyle w:val="normaltextrun"/>
                <w:rFonts w:cs="Times New Roman"/>
                <w:noProof/>
              </w:rPr>
            </w:pPr>
            <w:r>
              <w:rPr>
                <w:rStyle w:val="normaltextrun"/>
                <w:b/>
                <w:noProof/>
              </w:rPr>
              <w:t xml:space="preserve">Exemplos específicos de reformas e de reforço das capacidades </w:t>
            </w:r>
            <w:r>
              <w:rPr>
                <w:rStyle w:val="normaltextrun"/>
                <w:noProof/>
              </w:rPr>
              <w:t>para aumentar a competitividade através do investimento na educação e nas competências, em 2023, com o apoio do IAT:</w:t>
            </w:r>
          </w:p>
          <w:p w14:paraId="23580A26" w14:textId="02A45A7F" w:rsidR="00E82967" w:rsidRPr="005459EB" w:rsidRDefault="00E82967" w:rsidP="00E82967">
            <w:pPr>
              <w:pStyle w:val="ListParagraph"/>
              <w:numPr>
                <w:ilvl w:val="0"/>
                <w:numId w:val="45"/>
              </w:numPr>
              <w:spacing w:before="120"/>
              <w:contextualSpacing w:val="0"/>
              <w:rPr>
                <w:rFonts w:cs="Times New Roman"/>
                <w:iCs/>
                <w:noProof/>
              </w:rPr>
            </w:pPr>
            <w:r>
              <w:rPr>
                <w:b/>
                <w:noProof/>
              </w:rPr>
              <w:t>França</w:t>
            </w:r>
            <w:r>
              <w:rPr>
                <w:noProof/>
              </w:rPr>
              <w:t xml:space="preserve"> estabeleceu uma nova geração de </w:t>
            </w:r>
            <w:r>
              <w:rPr>
                <w:i/>
                <w:noProof/>
              </w:rPr>
              <w:t>campus</w:t>
            </w:r>
            <w:r>
              <w:rPr>
                <w:noProof/>
              </w:rPr>
              <w:t xml:space="preserve"> de excelência no domínio do ensino e formação profissionais, centrando-se na melhoria da adequação às necessidades do mercado de trabalho e aplicando as orientações desenvolvidas através de um projeto do IAT,</w:t>
            </w:r>
          </w:p>
          <w:p w14:paraId="038A0FC0" w14:textId="76305DCD" w:rsidR="00E82967" w:rsidRPr="005459EB" w:rsidRDefault="00E82967" w:rsidP="00E82967">
            <w:pPr>
              <w:pStyle w:val="ListParagraph"/>
              <w:numPr>
                <w:ilvl w:val="0"/>
                <w:numId w:val="45"/>
              </w:numPr>
              <w:spacing w:before="120"/>
              <w:contextualSpacing w:val="0"/>
              <w:rPr>
                <w:rFonts w:cs="Times New Roman"/>
                <w:iCs/>
                <w:noProof/>
              </w:rPr>
            </w:pPr>
            <w:r>
              <w:rPr>
                <w:noProof/>
              </w:rPr>
              <w:t xml:space="preserve">na </w:t>
            </w:r>
            <w:r>
              <w:rPr>
                <w:b/>
                <w:noProof/>
              </w:rPr>
              <w:t>Bélgica</w:t>
            </w:r>
            <w:r>
              <w:rPr>
                <w:noProof/>
              </w:rPr>
              <w:t>, o Governo da Valónia desenvolveu parcerias de melhoria de competências entre prestadores de formação de adultos que procuram desenvolver cursos de formação conjuntos e acordos de cooperação,</w:t>
            </w:r>
          </w:p>
          <w:p w14:paraId="628AF836" w14:textId="388B6CFF" w:rsidR="00E82967" w:rsidRPr="005459EB" w:rsidRDefault="00E82967" w:rsidP="00E82967">
            <w:pPr>
              <w:pStyle w:val="ListParagraph"/>
              <w:numPr>
                <w:ilvl w:val="0"/>
                <w:numId w:val="45"/>
              </w:numPr>
              <w:spacing w:before="120"/>
              <w:contextualSpacing w:val="0"/>
              <w:rPr>
                <w:rFonts w:cs="Times New Roman"/>
                <w:noProof/>
              </w:rPr>
            </w:pPr>
            <w:r>
              <w:rPr>
                <w:b/>
                <w:noProof/>
              </w:rPr>
              <w:t>Malta</w:t>
            </w:r>
            <w:r>
              <w:rPr>
                <w:noProof/>
              </w:rPr>
              <w:t xml:space="preserve"> atualizou o seu quadro de garantia da qualidade dos estabelecimentos de ensino, utilizando um conjunto de normas revistas que combina a autoavaliação com a inspeção externa dos mesmos,</w:t>
            </w:r>
          </w:p>
          <w:p w14:paraId="08612A0E" w14:textId="57E15637" w:rsidR="00E82967" w:rsidRPr="005459EB" w:rsidRDefault="00E82967" w:rsidP="00E82967">
            <w:pPr>
              <w:pStyle w:val="ListParagraph"/>
              <w:numPr>
                <w:ilvl w:val="0"/>
                <w:numId w:val="45"/>
              </w:numPr>
              <w:spacing w:before="120"/>
              <w:contextualSpacing w:val="0"/>
              <w:rPr>
                <w:rFonts w:cs="Times New Roman"/>
                <w:noProof/>
              </w:rPr>
            </w:pPr>
            <w:r>
              <w:rPr>
                <w:noProof/>
              </w:rPr>
              <w:t xml:space="preserve">a </w:t>
            </w:r>
            <w:r>
              <w:rPr>
                <w:b/>
                <w:noProof/>
              </w:rPr>
              <w:t>Estónia</w:t>
            </w:r>
            <w:r>
              <w:rPr>
                <w:noProof/>
              </w:rPr>
              <w:t xml:space="preserve"> integrou os seus sistemas de educação formal e de aprendizagem não formal (incluindo as atividades de juventude), a fim de permitir que os jovens desenvolvam competências ao longo de percursos de aprendizagem mais flexíveis,</w:t>
            </w:r>
          </w:p>
          <w:p w14:paraId="129706EC" w14:textId="4634442F" w:rsidR="00E82967" w:rsidRPr="005459EB" w:rsidRDefault="00E82967" w:rsidP="00E82967">
            <w:pPr>
              <w:pStyle w:val="ListParagraph"/>
              <w:numPr>
                <w:ilvl w:val="0"/>
                <w:numId w:val="45"/>
              </w:numPr>
              <w:spacing w:before="120" w:after="240"/>
              <w:ind w:left="357" w:hanging="357"/>
              <w:contextualSpacing w:val="0"/>
              <w:rPr>
                <w:rFonts w:cs="Times New Roman"/>
                <w:noProof/>
              </w:rPr>
            </w:pPr>
            <w:r>
              <w:rPr>
                <w:b/>
                <w:noProof/>
              </w:rPr>
              <w:t>Espanha</w:t>
            </w:r>
            <w:r>
              <w:rPr>
                <w:noProof/>
              </w:rPr>
              <w:t xml:space="preserve"> começou a desenvolver uma estratégia para facilitar a inclusão no mercado de trabalho e a atração de pessoas de outros países, nomeadamente através da utilização de uma plataforma digital.</w:t>
            </w:r>
          </w:p>
        </w:tc>
      </w:tr>
    </w:tbl>
    <w:p w14:paraId="26C90FBB" w14:textId="4DCA2194" w:rsidR="00E82967" w:rsidRPr="005459EB" w:rsidRDefault="00E82967" w:rsidP="00C22B0D">
      <w:pPr>
        <w:pStyle w:val="Heading2"/>
        <w:spacing w:before="360"/>
        <w:rPr>
          <w:noProof/>
        </w:rPr>
      </w:pPr>
      <w:bookmarkStart w:id="89" w:name="_Toc161911532"/>
      <w:bookmarkStart w:id="90" w:name="_Toc161913844"/>
      <w:bookmarkStart w:id="91" w:name="_Toc161913902"/>
      <w:bookmarkStart w:id="92" w:name="_Toc161914349"/>
      <w:bookmarkStart w:id="93" w:name="_Toc161914419"/>
      <w:bookmarkStart w:id="94" w:name="_Toc161914519"/>
      <w:bookmarkStart w:id="95" w:name="_Toc161914609"/>
      <w:bookmarkStart w:id="96" w:name="_Toc161911533"/>
      <w:bookmarkStart w:id="97" w:name="_Toc161913845"/>
      <w:bookmarkStart w:id="98" w:name="_Toc161913903"/>
      <w:bookmarkStart w:id="99" w:name="_Toc161914350"/>
      <w:bookmarkStart w:id="100" w:name="_Toc161914420"/>
      <w:bookmarkStart w:id="101" w:name="_Toc161914520"/>
      <w:bookmarkStart w:id="102" w:name="_Toc161914610"/>
      <w:bookmarkStart w:id="103" w:name="_Toc162018533"/>
      <w:bookmarkStart w:id="104" w:name="_Toc179201311"/>
      <w:bookmarkEnd w:id="89"/>
      <w:bookmarkEnd w:id="90"/>
      <w:bookmarkEnd w:id="91"/>
      <w:bookmarkEnd w:id="92"/>
      <w:bookmarkEnd w:id="93"/>
      <w:bookmarkEnd w:id="94"/>
      <w:bookmarkEnd w:id="95"/>
      <w:bookmarkEnd w:id="96"/>
      <w:bookmarkEnd w:id="97"/>
      <w:bookmarkEnd w:id="98"/>
      <w:bookmarkEnd w:id="99"/>
      <w:bookmarkEnd w:id="100"/>
      <w:bookmarkEnd w:id="101"/>
      <w:bookmarkEnd w:id="102"/>
      <w:r>
        <w:rPr>
          <w:noProof/>
          <w:color w:val="5B9BD5" w:themeColor="accent1"/>
          <w14:textFill>
            <w14:solidFill>
              <w14:schemeClr w14:val="accent1">
                <w14:lumMod w14:val="75000"/>
                <w14:lumMod w14:val="75000"/>
                <w14:lumMod w14:val="75000"/>
              </w14:schemeClr>
            </w14:solidFill>
          </w14:textFill>
        </w:rPr>
        <w:t>Comércio e autonomia estratégica aberta</w:t>
      </w:r>
      <w:bookmarkEnd w:id="103"/>
      <w:bookmarkEnd w:id="104"/>
    </w:p>
    <w:p w14:paraId="0A6D52A0" w14:textId="55D8622E" w:rsidR="00E82967" w:rsidRPr="005459EB" w:rsidRDefault="00E82967" w:rsidP="00E82967">
      <w:pPr>
        <w:spacing w:before="120"/>
        <w:rPr>
          <w:rFonts w:cs="Times New Roman"/>
          <w:bCs/>
          <w:noProof/>
        </w:rPr>
      </w:pPr>
      <w:r>
        <w:rPr>
          <w:noProof/>
        </w:rPr>
        <w:t>O apoio da DG REFORM aos Estados-Membros reforça a sua capacidade para realizar reformas no domínio do</w:t>
      </w:r>
      <w:r>
        <w:rPr>
          <w:b/>
          <w:noProof/>
        </w:rPr>
        <w:t xml:space="preserve"> comércio e autonomia estratégica aberta. </w:t>
      </w:r>
      <w:r>
        <w:rPr>
          <w:noProof/>
        </w:rPr>
        <w:t>Neste domínio, o apoio consiste no desenvolvimento de estratégias, políticas e instrumentos para facilitar o investimento estrangeiro, reduzir as dependências, promover a concorrência e reforçar a segurança e a resiliência económicas.</w:t>
      </w:r>
    </w:p>
    <w:p w14:paraId="1F0787DD" w14:textId="693B60F1" w:rsidR="00E82967" w:rsidRPr="005459EB" w:rsidRDefault="00E82967" w:rsidP="00E82967">
      <w:pPr>
        <w:spacing w:before="120"/>
        <w:rPr>
          <w:rFonts w:cs="Times New Roman"/>
          <w:noProof/>
        </w:rPr>
      </w:pPr>
      <w:r>
        <w:rPr>
          <w:noProof/>
        </w:rPr>
        <w:t xml:space="preserve">Em 2023, a DG REFORM prestou apoio a </w:t>
      </w:r>
      <w:r>
        <w:rPr>
          <w:b/>
          <w:noProof/>
        </w:rPr>
        <w:t>oito Estados-Membros</w:t>
      </w:r>
      <w:r>
        <w:rPr>
          <w:noProof/>
        </w:rPr>
        <w:t xml:space="preserve"> (EL, ES, FI, LV, PL, PT, RO e SE) para desenvolver e reforçar a resiliência dos seus ecossistemas industriais, atenuar a dependência de recursos essenciais e promover cadeias de abastecimento mais resilientes.</w:t>
      </w:r>
    </w:p>
    <w:tbl>
      <w:tblPr>
        <w:tblStyle w:val="TableGrid"/>
        <w:tblW w:w="0" w:type="auto"/>
        <w:tblInd w:w="108" w:type="dxa"/>
        <w:shd w:val="clear" w:color="auto" w:fill="DBDBDB" w:themeFill="accent3" w:themeFillTint="66"/>
        <w:tblLook w:val="04A0" w:firstRow="1" w:lastRow="0" w:firstColumn="1" w:lastColumn="0" w:noHBand="0" w:noVBand="1"/>
      </w:tblPr>
      <w:tblGrid>
        <w:gridCol w:w="9072"/>
      </w:tblGrid>
      <w:tr w:rsidR="00E82967" w:rsidRPr="005459EB" w14:paraId="330530ED" w14:textId="77777777" w:rsidTr="00BA7D5C">
        <w:tc>
          <w:tcPr>
            <w:tcW w:w="9072" w:type="dxa"/>
            <w:shd w:val="clear" w:color="auto" w:fill="DBDBDB" w:themeFill="accent3" w:themeFillTint="66"/>
          </w:tcPr>
          <w:p w14:paraId="7EF3E48D" w14:textId="77777777" w:rsidR="00E82967" w:rsidRPr="005459EB" w:rsidRDefault="00E82967" w:rsidP="00BA7D5C">
            <w:pPr>
              <w:pStyle w:val="paragraph"/>
              <w:spacing w:before="120" w:beforeAutospacing="0" w:after="0" w:afterAutospacing="0"/>
              <w:jc w:val="center"/>
              <w:textAlignment w:val="baseline"/>
              <w:rPr>
                <w:rFonts w:ascii="EC Square Sans Pro" w:hAnsi="EC Square Sans Pro"/>
                <w:b/>
                <w:bCs/>
                <w:noProof/>
              </w:rPr>
            </w:pPr>
            <w:r>
              <w:rPr>
                <w:rFonts w:ascii="EC Square Sans Pro" w:hAnsi="EC Square Sans Pro"/>
                <w:b/>
                <w:noProof/>
              </w:rPr>
              <w:t>REALIZAÇÕES</w:t>
            </w:r>
          </w:p>
          <w:p w14:paraId="6D93E90F" w14:textId="2602DC69" w:rsidR="00E82967" w:rsidRPr="005459EB" w:rsidRDefault="00E82967" w:rsidP="00BA7D5C">
            <w:pPr>
              <w:spacing w:before="120"/>
              <w:rPr>
                <w:rStyle w:val="normaltextrun"/>
                <w:rFonts w:cs="Times New Roman"/>
                <w:noProof/>
              </w:rPr>
            </w:pPr>
            <w:r>
              <w:rPr>
                <w:rStyle w:val="normaltextrun"/>
                <w:b/>
                <w:noProof/>
              </w:rPr>
              <w:t>Exemplos específicos de reformas e de reforço das capacidades</w:t>
            </w:r>
            <w:r>
              <w:rPr>
                <w:rStyle w:val="normaltextrun"/>
                <w:noProof/>
              </w:rPr>
              <w:t xml:space="preserve"> no domínio do comércio e autonomia estratégica, em 2023, com o apoio do IAT:</w:t>
            </w:r>
          </w:p>
          <w:p w14:paraId="5E60DDC2" w14:textId="56CE8056" w:rsidR="00E82967" w:rsidRPr="005459EB" w:rsidRDefault="00E82967" w:rsidP="00E82967">
            <w:pPr>
              <w:pStyle w:val="ListParagraph"/>
              <w:numPr>
                <w:ilvl w:val="0"/>
                <w:numId w:val="45"/>
              </w:numPr>
              <w:spacing w:before="120"/>
              <w:contextualSpacing w:val="0"/>
              <w:rPr>
                <w:rFonts w:cs="Times New Roman"/>
                <w:noProof/>
              </w:rPr>
            </w:pPr>
            <w:r>
              <w:rPr>
                <w:b/>
                <w:noProof/>
              </w:rPr>
              <w:t>Espanha</w:t>
            </w:r>
            <w:r>
              <w:rPr>
                <w:noProof/>
              </w:rPr>
              <w:t xml:space="preserve"> criou um grupo de trabalho permanente sobre a crise de abastecimento estratégico no seu sistema de segurança nacional,</w:t>
            </w:r>
          </w:p>
          <w:p w14:paraId="45283850" w14:textId="77777777" w:rsidR="00E82967" w:rsidRPr="005459EB" w:rsidRDefault="00E82967" w:rsidP="00E82967">
            <w:pPr>
              <w:pStyle w:val="ListParagraph"/>
              <w:numPr>
                <w:ilvl w:val="0"/>
                <w:numId w:val="45"/>
              </w:numPr>
              <w:spacing w:before="120" w:after="240"/>
              <w:ind w:left="357" w:hanging="357"/>
              <w:contextualSpacing w:val="0"/>
              <w:rPr>
                <w:rFonts w:cs="Times New Roman"/>
                <w:noProof/>
              </w:rPr>
            </w:pPr>
            <w:r>
              <w:rPr>
                <w:noProof/>
              </w:rPr>
              <w:t xml:space="preserve">a </w:t>
            </w:r>
            <w:r>
              <w:rPr>
                <w:b/>
                <w:noProof/>
              </w:rPr>
              <w:t>Croácia</w:t>
            </w:r>
            <w:r>
              <w:rPr>
                <w:noProof/>
              </w:rPr>
              <w:t xml:space="preserve"> reforçou o quadro estratégico para a promoção e facilitação do investimento direto estrangeiro.</w:t>
            </w:r>
          </w:p>
        </w:tc>
      </w:tr>
    </w:tbl>
    <w:p w14:paraId="755E197D" w14:textId="60E68E23" w:rsidR="00994FB0" w:rsidRPr="005459EB" w:rsidRDefault="00EC65C1" w:rsidP="00416205">
      <w:pPr>
        <w:spacing w:before="240" w:after="240"/>
        <w:rPr>
          <w:rFonts w:eastAsia="Times New Roman" w:cstheme="majorBidi"/>
          <w:b/>
          <w:caps/>
          <w:noProof/>
          <w:color w:val="2E74B5" w:themeColor="accent1" w:themeShade="BF"/>
          <w:sz w:val="36"/>
          <w:szCs w:val="32"/>
          <w14:textFill>
            <w14:solidFill>
              <w14:schemeClr w14:val="accent1">
                <w14:lumMod w14:val="75000"/>
                <w14:lumMod w14:val="75000"/>
              </w14:schemeClr>
            </w14:solidFill>
          </w14:textFill>
        </w:rPr>
      </w:pPr>
      <w:r>
        <w:rPr>
          <w:noProof/>
        </w:rPr>
        <w:t xml:space="preserve">Em termos gerais, em 2023, a DG REFORM apoiou eficazmente os Estados-Membros nas principais reformas e no reforço das capacidades no domínio da competitividade. No entanto, no futuro, os Estados-Membros continuarão a enfrentar desafios significativos na construção de uma base económica mais competitiva e resiliente, e preparada para as transições ecológica e digital. </w:t>
      </w:r>
      <w:bookmarkStart w:id="105" w:name="_Toc146743806"/>
      <w:bookmarkStart w:id="106" w:name="_Toc146751217"/>
      <w:bookmarkStart w:id="107" w:name="_Toc146743808"/>
      <w:bookmarkStart w:id="108" w:name="_Toc146751219"/>
      <w:r>
        <w:rPr>
          <w:noProof/>
        </w:rPr>
        <w:br w:type="page"/>
      </w:r>
    </w:p>
    <w:p w14:paraId="3405BB49" w14:textId="4312066A" w:rsidR="00EF598C" w:rsidRPr="005459EB" w:rsidRDefault="003D0FF2" w:rsidP="00CB6475">
      <w:pPr>
        <w:pStyle w:val="Heading1"/>
        <w:rPr>
          <w:noProof/>
          <w:color w:val="2E74B5" w:themeColor="accent1" w:themeShade="BF"/>
        </w:rPr>
      </w:pPr>
      <w:bookmarkStart w:id="109" w:name="_Toc179201312"/>
      <w:bookmarkEnd w:id="105"/>
      <w:bookmarkEnd w:id="106"/>
      <w:r>
        <w:rPr>
          <w:noProof/>
          <w:color w:val="2E74B5" w:themeColor="accent1" w:themeShade="BF"/>
        </w:rPr>
        <w:t>Conclusão</w:t>
      </w:r>
      <w:bookmarkEnd w:id="107"/>
      <w:bookmarkEnd w:id="108"/>
      <w:bookmarkEnd w:id="109"/>
    </w:p>
    <w:p w14:paraId="4291CAFC" w14:textId="03F56C6C" w:rsidR="009431E2" w:rsidRPr="005459EB" w:rsidRDefault="004E23FD" w:rsidP="004D0721">
      <w:pPr>
        <w:rPr>
          <w:rFonts w:cs="Times New Roman"/>
          <w:noProof/>
        </w:rPr>
      </w:pPr>
      <w:r>
        <w:rPr>
          <w:noProof/>
        </w:rPr>
        <w:t>Em 2023, a DG REFORM intensificou as suas atividades de comunicação para sensibilizar as autoridades nacionais para as oportunidades proporcionadas pelo IAT e reforçar a prestação de contas relativamente ao apoio prestado através deste instrumento. Esse esforço resultou na receção de 530 pedidos de assistência de elevada qualidade no ciclo de 2023 do IAT, total que excedeu novamente a capacidade do programa e atestou o interesse das autoridades nacionais nas oportunidades oferecidas por este instrumento.</w:t>
      </w:r>
    </w:p>
    <w:p w14:paraId="58B4A164" w14:textId="3C538AF1" w:rsidR="00BD0D77" w:rsidRPr="005459EB" w:rsidRDefault="00BD0D77" w:rsidP="00BD0D77">
      <w:pPr>
        <w:rPr>
          <w:rFonts w:cs="Times New Roman"/>
          <w:noProof/>
        </w:rPr>
      </w:pPr>
      <w:r>
        <w:rPr>
          <w:noProof/>
        </w:rPr>
        <w:t xml:space="preserve">No âmbito do convite geral à apresentação de pedidos do </w:t>
      </w:r>
      <w:r>
        <w:rPr>
          <w:b/>
          <w:noProof/>
        </w:rPr>
        <w:t>IAT de 2023</w:t>
      </w:r>
      <w:r>
        <w:rPr>
          <w:noProof/>
        </w:rPr>
        <w:t xml:space="preserve">, na sequência do processo de avaliação e seleção, </w:t>
      </w:r>
      <w:r>
        <w:rPr>
          <w:b/>
          <w:noProof/>
        </w:rPr>
        <w:t>foram selecionados 231 pedidos, num montante de 119,7 milhões de EUR</w:t>
      </w:r>
      <w:r>
        <w:rPr>
          <w:noProof/>
        </w:rPr>
        <w:t xml:space="preserve">, o que levou à elaboração de </w:t>
      </w:r>
      <w:r>
        <w:rPr>
          <w:b/>
          <w:noProof/>
        </w:rPr>
        <w:t>151 projetos</w:t>
      </w:r>
      <w:r>
        <w:rPr>
          <w:noProof/>
        </w:rPr>
        <w:t xml:space="preserve"> para apoiar </w:t>
      </w:r>
      <w:r>
        <w:rPr>
          <w:b/>
          <w:noProof/>
        </w:rPr>
        <w:t>326 reformas inovadoras</w:t>
      </w:r>
      <w:r>
        <w:rPr>
          <w:noProof/>
        </w:rPr>
        <w:t xml:space="preserve"> em todos os Estados-Membros. Dos 231 pedidos selecionados, 30 % respeitavam à transição digital e 35 % ao Pacto Ecológico Europeu. Além disso, 66 % dos 151 projetos do IAT de 2023 estão direta ou indiretamente ligados aos planos nacionais de recuperação e resiliência.</w:t>
      </w:r>
    </w:p>
    <w:p w14:paraId="03720484" w14:textId="3E400313" w:rsidR="001216F3" w:rsidRPr="005459EB" w:rsidRDefault="003E6627" w:rsidP="004D0721">
      <w:pPr>
        <w:rPr>
          <w:noProof/>
        </w:rPr>
      </w:pPr>
      <w:r>
        <w:rPr>
          <w:noProof/>
        </w:rPr>
        <w:t xml:space="preserve">O grande </w:t>
      </w:r>
      <w:r>
        <w:rPr>
          <w:b/>
          <w:noProof/>
        </w:rPr>
        <w:t>aumento no número de projetos plurinacionais</w:t>
      </w:r>
      <w:r>
        <w:rPr>
          <w:noProof/>
        </w:rPr>
        <w:t xml:space="preserve"> ao longo dos últimos três anos é um indicador da capacidade do IAT para gerar mais «valor acrescentado europeu» e facilitar o intercâmbio de boas práticas e de oportunidades de aprendizagem mútua entre as administrações nacionais. O IAT de 2023 registou também uma </w:t>
      </w:r>
      <w:r>
        <w:rPr>
          <w:b/>
          <w:noProof/>
        </w:rPr>
        <w:t>forte aceitação dos projetos emblemáticos do IAT</w:t>
      </w:r>
      <w:r>
        <w:rPr>
          <w:noProof/>
        </w:rPr>
        <w:t xml:space="preserve"> em comparação com o IAT de 2022, no qual foi introduzido o conceito.</w:t>
      </w:r>
    </w:p>
    <w:p w14:paraId="24485772" w14:textId="5B22069C" w:rsidR="0050327B" w:rsidRPr="005459EB" w:rsidRDefault="09A4F443" w:rsidP="5B162347">
      <w:pPr>
        <w:rPr>
          <w:rFonts w:cs="Times New Roman"/>
          <w:noProof/>
        </w:rPr>
      </w:pPr>
      <w:r>
        <w:rPr>
          <w:noProof/>
        </w:rPr>
        <w:t xml:space="preserve">A DG REFORM apoiou os Estados-Membros na execução dos projetos do IAT, incluindo os de ciclos anteriores, assegurando o seu êxito e que os seus resultados continuavam em conformidade com os objetivos dos Estados-Membros. Os projetos abrangeram um vasto leque de domínios de intervenção, em consonância com os pedidos das autoridades nacionais. Um desses domínios, salientado no presente relatório, foi o da </w:t>
      </w:r>
      <w:r>
        <w:rPr>
          <w:b/>
          <w:noProof/>
        </w:rPr>
        <w:t>competitividade</w:t>
      </w:r>
      <w:r>
        <w:rPr>
          <w:noProof/>
        </w:rPr>
        <w:t>, para o qual todos os 27 Estados-Membros receberam assistência, indo desde o apoio a um mercado interno funcional até ao investimento público e infraestruturas, à digitalização e à educação e competências.</w:t>
      </w:r>
    </w:p>
    <w:p w14:paraId="2AD18F2A" w14:textId="1D3578F7" w:rsidR="00B97A27" w:rsidRPr="005459EB" w:rsidRDefault="00F05300" w:rsidP="00B97A27">
      <w:pPr>
        <w:rPr>
          <w:noProof/>
        </w:rPr>
      </w:pPr>
      <w:r>
        <w:rPr>
          <w:noProof/>
        </w:rPr>
        <w:t xml:space="preserve">A adoção, em outubro de 2023, da </w:t>
      </w:r>
      <w:hyperlink r:id="rId111" w:history="1">
        <w:r>
          <w:rPr>
            <w:noProof/>
          </w:rPr>
          <w:t>Comunicação intitulada «Reforçar o espaço administrativo europeu» (</w:t>
        </w:r>
        <w:r>
          <w:rPr>
            <w:b/>
            <w:noProof/>
          </w:rPr>
          <w:t>ComPAct</w:t>
        </w:r>
        <w:r>
          <w:rPr>
            <w:noProof/>
          </w:rPr>
          <w:t>)</w:t>
        </w:r>
      </w:hyperlink>
      <w:r>
        <w:rPr>
          <w:noProof/>
        </w:rPr>
        <w:t xml:space="preserve">, que propõe ações concretas para ajudar as administrações públicas a satisfazer as necessidades das pessoas e das empresas em toda a Europa, reforça o papel que o IAT pode desempenhar ao contribuir para o reforço das capacidades das administrações nacionais para conceber e executar reformas e realizar o intercâmbio de boas práticas, designadamente através do </w:t>
      </w:r>
      <w:r>
        <w:rPr>
          <w:b/>
          <w:noProof/>
        </w:rPr>
        <w:t>PACE</w:t>
      </w:r>
      <w:r>
        <w:rPr>
          <w:noProof/>
        </w:rPr>
        <w:t>, projeto emblemático do IAT.</w:t>
      </w:r>
    </w:p>
    <w:p w14:paraId="50327F3A" w14:textId="0480023E" w:rsidR="00B54273" w:rsidRPr="005459EB" w:rsidRDefault="008A4B21" w:rsidP="007D2E8F">
      <w:pPr>
        <w:rPr>
          <w:rFonts w:cs="Times New Roman"/>
          <w:noProof/>
        </w:rPr>
      </w:pPr>
      <w:r>
        <w:rPr>
          <w:noProof/>
        </w:rPr>
        <w:t xml:space="preserve">Segundo o retorno recebido das autoridades beneficiárias a nível dos projetos e das autoridades de coordenação a nível nacional, os </w:t>
      </w:r>
      <w:r>
        <w:rPr>
          <w:b/>
          <w:noProof/>
        </w:rPr>
        <w:t>Estados-Membros apreciaram a assistência</w:t>
      </w:r>
      <w:r>
        <w:rPr>
          <w:noProof/>
        </w:rPr>
        <w:t xml:space="preserve"> prestada através do IAT, em especial o facto de poderem ter um papel ativo na conceção e execução dos projetos, e a </w:t>
      </w:r>
      <w:r>
        <w:rPr>
          <w:b/>
          <w:noProof/>
        </w:rPr>
        <w:t>comunicação eficaz assegurada pela DG REFORM</w:t>
      </w:r>
      <w:r>
        <w:rPr>
          <w:noProof/>
        </w:rPr>
        <w:t>.</w:t>
      </w:r>
    </w:p>
    <w:p w14:paraId="4FBBCF91" w14:textId="17890523" w:rsidR="007D7C4F" w:rsidRPr="005459EB" w:rsidRDefault="007D7C4F">
      <w:pPr>
        <w:jc w:val="left"/>
        <w:rPr>
          <w:rFonts w:cs="Times New Roman"/>
          <w:noProof/>
        </w:rPr>
      </w:pPr>
      <w:r>
        <w:rPr>
          <w:noProof/>
        </w:rPr>
        <w:br w:type="page"/>
      </w:r>
    </w:p>
    <w:p w14:paraId="7E96DA44" w14:textId="1536C29C" w:rsidR="007D7C4F" w:rsidRPr="005459EB" w:rsidRDefault="007D7C4F" w:rsidP="00CB6475">
      <w:pPr>
        <w:pStyle w:val="Heading2"/>
        <w:numPr>
          <w:ilvl w:val="0"/>
          <w:numId w:val="0"/>
        </w:numPr>
        <w:rPr>
          <w:b w:val="0"/>
          <w:noProof/>
        </w:rPr>
      </w:pPr>
      <w:bookmarkStart w:id="110" w:name="_Toc179201313"/>
      <w:r>
        <w:rPr>
          <w:noProof/>
          <w:color w:val="5B9BD5" w:themeColor="accent1"/>
          <w14:textFill>
            <w14:solidFill>
              <w14:schemeClr w14:val="accent1">
                <w14:lumMod w14:val="75000"/>
                <w14:lumMod w14:val="75000"/>
                <w14:lumMod w14:val="75000"/>
              </w14:schemeClr>
            </w14:solidFill>
          </w14:textFill>
        </w:rPr>
        <w:t>Anexo 1 – Ciclo anual do IAT</w:t>
      </w:r>
      <w:bookmarkEnd w:id="110"/>
    </w:p>
    <w:p w14:paraId="3F8015AC" w14:textId="35853D49" w:rsidR="007D7C4F" w:rsidRPr="005459EB" w:rsidRDefault="00BF2C3F" w:rsidP="003A20A4">
      <w:pPr>
        <w:keepNext/>
        <w:jc w:val="center"/>
        <w:rPr>
          <w:noProof/>
        </w:rPr>
      </w:pPr>
      <w:r>
        <w:rPr>
          <w:noProof/>
          <w:lang w:val="en-GB" w:eastAsia="en-GB"/>
        </w:rPr>
        <w:drawing>
          <wp:inline distT="0" distB="0" distL="0" distR="0" wp14:anchorId="538CDCCE" wp14:editId="77512930">
            <wp:extent cx="5447143" cy="8622805"/>
            <wp:effectExtent l="0" t="0" r="127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2">
                      <a:extLst>
                        <a:ext uri="{28A0092B-C50C-407E-A947-70E740481C1C}">
                          <a14:useLocalDpi xmlns:a14="http://schemas.microsoft.com/office/drawing/2010/main" val="0"/>
                        </a:ext>
                      </a:extLst>
                    </a:blip>
                    <a:stretch>
                      <a:fillRect/>
                    </a:stretch>
                  </pic:blipFill>
                  <pic:spPr>
                    <a:xfrm>
                      <a:off x="0" y="0"/>
                      <a:ext cx="5447143" cy="8622805"/>
                    </a:xfrm>
                    <a:prstGeom prst="rect">
                      <a:avLst/>
                    </a:prstGeom>
                  </pic:spPr>
                </pic:pic>
              </a:graphicData>
            </a:graphic>
          </wp:inline>
        </w:drawing>
      </w:r>
    </w:p>
    <w:p w14:paraId="14695F3C" w14:textId="61F05566" w:rsidR="007D7C4F" w:rsidRPr="007B6952" w:rsidRDefault="00944B24" w:rsidP="00C22B0D">
      <w:pPr>
        <w:pStyle w:val="Heading2"/>
        <w:numPr>
          <w:ilvl w:val="0"/>
          <w:numId w:val="0"/>
        </w:numPr>
        <w:spacing w:after="360"/>
        <w:rPr>
          <w:noProof/>
        </w:rPr>
      </w:pPr>
      <w:r>
        <w:rPr>
          <w:noProof/>
        </w:rPr>
        <w:br w:type="page"/>
      </w:r>
      <w:bookmarkStart w:id="111" w:name="_Toc179201314"/>
      <w:r>
        <w:rPr>
          <w:noProof/>
          <w:color w:val="5B9BD5" w:themeColor="accent1"/>
          <w14:textFill>
            <w14:solidFill>
              <w14:schemeClr w14:val="accent1">
                <w14:lumMod w14:val="75000"/>
                <w14:lumMod w14:val="75000"/>
                <w14:lumMod w14:val="75000"/>
              </w14:schemeClr>
            </w14:solidFill>
          </w14:textFill>
        </w:rPr>
        <w:t>Anexo 2 – Convite geral à apresentação de pedidos do IAT de 2023: pedidos por Estado-Membro</w:t>
      </w:r>
      <w:bookmarkEnd w:id="111"/>
    </w:p>
    <w:p w14:paraId="5342C4DC" w14:textId="39A10A5A" w:rsidR="00E81F66" w:rsidRPr="005459EB" w:rsidRDefault="008D1174" w:rsidP="007D2E8F">
      <w:pPr>
        <w:rPr>
          <w:rFonts w:ascii="Times New Roman" w:hAnsi="Times New Roman" w:cs="Times New Roman"/>
          <w:b/>
          <w:bCs/>
          <w:noProof/>
        </w:rPr>
      </w:pPr>
      <w:r>
        <w:rPr>
          <w:rFonts w:ascii="Times New Roman" w:hAnsi="Times New Roman"/>
          <w:b/>
          <w:noProof/>
          <w:lang w:val="en-GB" w:eastAsia="en-GB"/>
        </w:rPr>
        <w:drawing>
          <wp:inline distT="0" distB="0" distL="0" distR="0" wp14:anchorId="7216E8DF" wp14:editId="3F585DEC">
            <wp:extent cx="5850890" cy="5318169"/>
            <wp:effectExtent l="0" t="0" r="0" b="0"/>
            <wp:docPr id="1760049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49435" name="Picture 1"/>
                    <pic:cNvPicPr/>
                  </pic:nvPicPr>
                  <pic:blipFill>
                    <a:blip r:embed="rId113">
                      <a:extLst>
                        <a:ext uri="{28A0092B-C50C-407E-A947-70E740481C1C}">
                          <a14:useLocalDpi xmlns:a14="http://schemas.microsoft.com/office/drawing/2010/main" val="0"/>
                        </a:ext>
                      </a:extLst>
                    </a:blip>
                    <a:stretch>
                      <a:fillRect/>
                    </a:stretch>
                  </pic:blipFill>
                  <pic:spPr>
                    <a:xfrm>
                      <a:off x="0" y="0"/>
                      <a:ext cx="5850890" cy="5318169"/>
                    </a:xfrm>
                    <a:prstGeom prst="rect">
                      <a:avLst/>
                    </a:prstGeom>
                  </pic:spPr>
                </pic:pic>
              </a:graphicData>
            </a:graphic>
          </wp:inline>
        </w:drawing>
      </w:r>
    </w:p>
    <w:sectPr w:rsidR="00E81F66" w:rsidRPr="005459EB" w:rsidSect="0077004A">
      <w:headerReference w:type="even" r:id="rId114"/>
      <w:headerReference w:type="default" r:id="rId115"/>
      <w:footerReference w:type="even" r:id="rId116"/>
      <w:footerReference w:type="default" r:id="rId117"/>
      <w:headerReference w:type="first" r:id="rId118"/>
      <w:footerReference w:type="first" r:id="rId119"/>
      <w:pgSz w:w="11906" w:h="16838"/>
      <w:pgMar w:top="993" w:right="1274" w:bottom="1276" w:left="1418" w:header="680" w:footer="6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12153" w14:textId="77777777" w:rsidR="00241898" w:rsidRPr="005459EB" w:rsidRDefault="00241898" w:rsidP="008D0040">
      <w:r w:rsidRPr="005459EB">
        <w:separator/>
      </w:r>
    </w:p>
  </w:endnote>
  <w:endnote w:type="continuationSeparator" w:id="0">
    <w:p w14:paraId="02A51B42" w14:textId="77777777" w:rsidR="00241898" w:rsidRPr="005459EB" w:rsidRDefault="00241898" w:rsidP="008D0040">
      <w:r w:rsidRPr="005459EB">
        <w:continuationSeparator/>
      </w:r>
    </w:p>
  </w:endnote>
  <w:endnote w:type="continuationNotice" w:id="1">
    <w:p w14:paraId="681ADB29" w14:textId="77777777" w:rsidR="00241898" w:rsidRPr="005459EB" w:rsidRDefault="00241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C Square Sans Pro">
    <w:altName w:val="Bahnschrift Light"/>
    <w:charset w:val="00"/>
    <w:family w:val="swiss"/>
    <w:pitch w:val="variable"/>
    <w:sig w:usb0="00000001"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D0FBA" w14:textId="22EFF138" w:rsidR="00ED73CE" w:rsidRPr="00ED73CE" w:rsidRDefault="00ED73CE" w:rsidP="00ED73CE">
    <w:pPr>
      <w:pStyle w:val="FooterCoverPage"/>
      <w:rPr>
        <w:rFonts w:ascii="Arial" w:hAnsi="Arial" w:cs="Arial"/>
        <w:b/>
        <w:sz w:val="48"/>
      </w:rPr>
    </w:pPr>
    <w:r w:rsidRPr="00ED73CE">
      <w:rPr>
        <w:rFonts w:ascii="Arial" w:hAnsi="Arial" w:cs="Arial"/>
        <w:b/>
        <w:sz w:val="48"/>
      </w:rPr>
      <w:t>PT</w:t>
    </w:r>
    <w:r w:rsidRPr="00ED73CE">
      <w:rPr>
        <w:rFonts w:ascii="Arial" w:hAnsi="Arial" w:cs="Arial"/>
        <w:b/>
        <w:sz w:val="48"/>
      </w:rPr>
      <w:tab/>
    </w:r>
    <w:r w:rsidRPr="00ED73CE">
      <w:rPr>
        <w:rFonts w:ascii="Arial" w:hAnsi="Arial" w:cs="Arial"/>
        <w:b/>
        <w:sz w:val="48"/>
      </w:rPr>
      <w:tab/>
    </w:r>
    <w:r w:rsidRPr="00ED73CE">
      <w:tab/>
    </w:r>
    <w:r w:rsidRPr="00ED73CE">
      <w:rPr>
        <w:rFonts w:ascii="Arial" w:hAnsi="Arial" w:cs="Arial"/>
        <w:b/>
        <w:sz w:val="48"/>
      </w:rP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3DCC1" w14:textId="343C935A" w:rsidR="00ED73CE" w:rsidRPr="00ED73CE" w:rsidRDefault="00ED73CE" w:rsidP="00ED73CE">
    <w:pPr>
      <w:pStyle w:val="FooterCoverPage"/>
      <w:rPr>
        <w:rFonts w:ascii="Arial" w:hAnsi="Arial" w:cs="Arial"/>
        <w:b/>
        <w:sz w:val="48"/>
      </w:rPr>
    </w:pPr>
    <w:r w:rsidRPr="00ED73CE">
      <w:rPr>
        <w:rFonts w:ascii="Arial" w:hAnsi="Arial" w:cs="Arial"/>
        <w:b/>
        <w:sz w:val="48"/>
      </w:rPr>
      <w:t>PT</w:t>
    </w:r>
    <w:r w:rsidRPr="00ED73CE">
      <w:rPr>
        <w:rFonts w:ascii="Arial" w:hAnsi="Arial" w:cs="Arial"/>
        <w:b/>
        <w:sz w:val="48"/>
      </w:rPr>
      <w:tab/>
    </w:r>
    <w:r w:rsidRPr="00ED73CE">
      <w:rPr>
        <w:rFonts w:ascii="Arial" w:hAnsi="Arial" w:cs="Arial"/>
        <w:b/>
        <w:sz w:val="48"/>
      </w:rPr>
      <w:tab/>
    </w:r>
    <w:r w:rsidRPr="00ED73CE">
      <w:tab/>
    </w:r>
    <w:r w:rsidRPr="00ED73CE">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593C4" w14:textId="77777777" w:rsidR="00ED73CE" w:rsidRPr="00ED73CE" w:rsidRDefault="00ED73CE" w:rsidP="00ED73C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7743A" w14:textId="77777777" w:rsidR="00092BD5" w:rsidRPr="005459EB" w:rsidRDefault="00092B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814302"/>
      <w:docPartObj>
        <w:docPartGallery w:val="Page Numbers (Bottom of Page)"/>
        <w:docPartUnique/>
      </w:docPartObj>
    </w:sdtPr>
    <w:sdtEndPr/>
    <w:sdtContent>
      <w:p w14:paraId="0E1F42B7" w14:textId="7F4C7240" w:rsidR="00092BD5" w:rsidRPr="005459EB" w:rsidRDefault="00092BD5">
        <w:pPr>
          <w:pStyle w:val="Footer"/>
          <w:jc w:val="right"/>
        </w:pPr>
        <w:r w:rsidRPr="005459EB">
          <w:fldChar w:fldCharType="begin"/>
        </w:r>
        <w:r w:rsidRPr="005459EB">
          <w:instrText xml:space="preserve"> PAGE   \* MERGEFORMAT </w:instrText>
        </w:r>
        <w:r w:rsidRPr="005459EB">
          <w:fldChar w:fldCharType="separate"/>
        </w:r>
        <w:r w:rsidR="00ED73CE">
          <w:rPr>
            <w:noProof/>
          </w:rPr>
          <w:t>1</w:t>
        </w:r>
        <w:r w:rsidRPr="005459EB">
          <w:fldChar w:fldCharType="end"/>
        </w:r>
      </w:p>
    </w:sdtContent>
  </w:sdt>
  <w:p w14:paraId="604F1CBA" w14:textId="77777777" w:rsidR="00092BD5" w:rsidRPr="005459EB" w:rsidRDefault="00092B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922645"/>
      <w:docPartObj>
        <w:docPartGallery w:val="Page Numbers (Bottom of Page)"/>
        <w:docPartUnique/>
      </w:docPartObj>
    </w:sdtPr>
    <w:sdtEndPr/>
    <w:sdtContent>
      <w:p w14:paraId="49BC9A03" w14:textId="77777777" w:rsidR="00092BD5" w:rsidRPr="005459EB" w:rsidRDefault="00092BD5">
        <w:pPr>
          <w:pStyle w:val="Footer"/>
          <w:jc w:val="right"/>
        </w:pPr>
        <w:r w:rsidRPr="005459EB">
          <w:fldChar w:fldCharType="begin"/>
        </w:r>
        <w:r w:rsidRPr="005459EB">
          <w:instrText xml:space="preserve"> PAGE   \* MERGEFORMAT </w:instrText>
        </w:r>
        <w:r w:rsidRPr="005459EB">
          <w:fldChar w:fldCharType="separate"/>
        </w:r>
        <w:r w:rsidRPr="005459EB">
          <w:t>2</w:t>
        </w:r>
        <w:r w:rsidRPr="005459EB">
          <w:fldChar w:fldCharType="end"/>
        </w:r>
      </w:p>
    </w:sdtContent>
  </w:sdt>
  <w:p w14:paraId="636D4C1D" w14:textId="77777777" w:rsidR="00092BD5" w:rsidRPr="005459EB" w:rsidRDefault="00092BD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F18CA" w14:textId="77777777" w:rsidR="00092BD5" w:rsidRPr="005459EB" w:rsidRDefault="00092BD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403638"/>
      <w:docPartObj>
        <w:docPartGallery w:val="Page Numbers (Bottom of Page)"/>
        <w:docPartUnique/>
      </w:docPartObj>
    </w:sdtPr>
    <w:sdtEndPr/>
    <w:sdtContent>
      <w:p w14:paraId="1D699D88" w14:textId="77777777" w:rsidR="00092BD5" w:rsidRPr="005459EB" w:rsidRDefault="00092BD5">
        <w:pPr>
          <w:pStyle w:val="Footer"/>
          <w:jc w:val="right"/>
        </w:pPr>
        <w:r w:rsidRPr="005459EB">
          <w:fldChar w:fldCharType="begin"/>
        </w:r>
        <w:r w:rsidRPr="005459EB">
          <w:instrText xml:space="preserve"> PAGE   \* MERGEFORMAT </w:instrText>
        </w:r>
        <w:r w:rsidRPr="005459EB">
          <w:fldChar w:fldCharType="separate"/>
        </w:r>
        <w:r w:rsidRPr="005459EB">
          <w:t>1</w:t>
        </w:r>
        <w:r w:rsidRPr="005459EB">
          <w:fldChar w:fldCharType="end"/>
        </w:r>
      </w:p>
    </w:sdtContent>
  </w:sdt>
  <w:p w14:paraId="77CD20CD" w14:textId="77777777" w:rsidR="00092BD5" w:rsidRPr="005459EB" w:rsidRDefault="00092BD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116073"/>
      <w:docPartObj>
        <w:docPartGallery w:val="Page Numbers (Bottom of Page)"/>
        <w:docPartUnique/>
      </w:docPartObj>
    </w:sdtPr>
    <w:sdtEndPr/>
    <w:sdtContent>
      <w:p w14:paraId="694E15A7" w14:textId="77777777" w:rsidR="00092BD5" w:rsidRPr="005459EB" w:rsidRDefault="00092BD5">
        <w:pPr>
          <w:pStyle w:val="Footer"/>
          <w:jc w:val="right"/>
        </w:pPr>
        <w:r w:rsidRPr="005459EB">
          <w:fldChar w:fldCharType="begin"/>
        </w:r>
        <w:r w:rsidRPr="005459EB">
          <w:instrText xml:space="preserve"> PAGE   \* MERGEFORMAT </w:instrText>
        </w:r>
        <w:r w:rsidRPr="005459EB">
          <w:fldChar w:fldCharType="separate"/>
        </w:r>
        <w:r w:rsidRPr="005459EB">
          <w:t>2</w:t>
        </w:r>
        <w:r w:rsidRPr="005459EB">
          <w:fldChar w:fldCharType="end"/>
        </w:r>
      </w:p>
    </w:sdtContent>
  </w:sdt>
  <w:p w14:paraId="73A19CB4" w14:textId="77777777" w:rsidR="00092BD5" w:rsidRPr="005459EB" w:rsidRDefault="00092BD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ECB59" w14:textId="77777777" w:rsidR="00670CD2" w:rsidRPr="005459EB" w:rsidRDefault="00670CD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810162"/>
      <w:docPartObj>
        <w:docPartGallery w:val="Page Numbers (Bottom of Page)"/>
        <w:docPartUnique/>
      </w:docPartObj>
    </w:sdtPr>
    <w:sdtEndPr/>
    <w:sdtContent>
      <w:p w14:paraId="7AC70FFA" w14:textId="147AC71C" w:rsidR="00EC65C1" w:rsidRPr="005459EB" w:rsidRDefault="00EC65C1">
        <w:pPr>
          <w:pStyle w:val="Footer"/>
          <w:jc w:val="right"/>
        </w:pPr>
        <w:r w:rsidRPr="005459EB">
          <w:fldChar w:fldCharType="begin"/>
        </w:r>
        <w:r w:rsidRPr="005459EB">
          <w:instrText xml:space="preserve"> PAGE   \* MERGEFORMAT </w:instrText>
        </w:r>
        <w:r w:rsidRPr="005459EB">
          <w:fldChar w:fldCharType="separate"/>
        </w:r>
        <w:r w:rsidRPr="005459EB">
          <w:t>2</w:t>
        </w:r>
        <w:r w:rsidRPr="005459EB">
          <w:fldChar w:fldCharType="end"/>
        </w:r>
      </w:p>
    </w:sdtContent>
  </w:sdt>
  <w:p w14:paraId="74529009" w14:textId="7CCFCE4E" w:rsidR="00670CD2" w:rsidRPr="005459EB" w:rsidRDefault="00670CD2" w:rsidP="00B74001">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161090"/>
      <w:docPartObj>
        <w:docPartGallery w:val="Page Numbers (Bottom of Page)"/>
        <w:docPartUnique/>
      </w:docPartObj>
    </w:sdtPr>
    <w:sdtEndPr/>
    <w:sdtContent>
      <w:p w14:paraId="543ABADD" w14:textId="77777777" w:rsidR="00092BD5" w:rsidRPr="005459EB" w:rsidRDefault="00092BD5">
        <w:pPr>
          <w:pStyle w:val="Footer"/>
          <w:jc w:val="right"/>
        </w:pPr>
        <w:r w:rsidRPr="005459EB">
          <w:fldChar w:fldCharType="begin"/>
        </w:r>
        <w:r w:rsidRPr="005459EB">
          <w:instrText xml:space="preserve"> PAGE   \* MERGEFORMAT </w:instrText>
        </w:r>
        <w:r w:rsidRPr="005459EB">
          <w:fldChar w:fldCharType="separate"/>
        </w:r>
        <w:r w:rsidRPr="005459EB">
          <w:t>2</w:t>
        </w:r>
        <w:r w:rsidRPr="005459EB">
          <w:fldChar w:fldCharType="end"/>
        </w:r>
      </w:p>
    </w:sdtContent>
  </w:sdt>
  <w:p w14:paraId="6C1F8D6B" w14:textId="77777777" w:rsidR="00092BD5" w:rsidRPr="005459EB" w:rsidRDefault="00092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310A9" w14:textId="77777777" w:rsidR="00241898" w:rsidRPr="005459EB" w:rsidRDefault="00241898" w:rsidP="008D0040">
      <w:r w:rsidRPr="005459EB">
        <w:separator/>
      </w:r>
    </w:p>
  </w:footnote>
  <w:footnote w:type="continuationSeparator" w:id="0">
    <w:p w14:paraId="45171F10" w14:textId="77777777" w:rsidR="00241898" w:rsidRPr="005459EB" w:rsidRDefault="00241898" w:rsidP="008D0040">
      <w:r w:rsidRPr="005459EB">
        <w:continuationSeparator/>
      </w:r>
    </w:p>
  </w:footnote>
  <w:footnote w:type="continuationNotice" w:id="1">
    <w:p w14:paraId="27C3136F" w14:textId="77777777" w:rsidR="00241898" w:rsidRPr="005459EB" w:rsidRDefault="00241898">
      <w:pPr>
        <w:spacing w:after="0" w:line="240" w:lineRule="auto"/>
      </w:pPr>
    </w:p>
  </w:footnote>
  <w:footnote w:id="2">
    <w:p w14:paraId="0159D6F5" w14:textId="0026EA77" w:rsidR="00894698" w:rsidRPr="005459EB" w:rsidRDefault="00894698">
      <w:pPr>
        <w:pStyle w:val="FootnoteText"/>
      </w:pPr>
      <w:r>
        <w:rPr>
          <w:rStyle w:val="FootnoteReference"/>
        </w:rPr>
        <w:footnoteRef/>
      </w:r>
      <w:r>
        <w:t>Regulamento (UE) 2021/240 do Parlamento Europeu e do Conselho, de 10</w:t>
      </w:r>
      <w:r>
        <w:rPr>
          <w:rFonts w:ascii="Calibri" w:hAnsi="Calibri"/>
        </w:rPr>
        <w:t> </w:t>
      </w:r>
      <w:r>
        <w:t>de fevereiro de 2021, que cria um instrumento de assistência técnica (JO L 57 de 18.2.2021, p. </w:t>
      </w:r>
      <w:r>
        <w:rPr>
          <w:rFonts w:ascii="Calibri" w:hAnsi="Calibri"/>
        </w:rPr>
        <w:t> </w:t>
      </w:r>
      <w:r>
        <w:t>1 (a seguir, «Regulamento IAT»).</w:t>
      </w:r>
    </w:p>
  </w:footnote>
  <w:footnote w:id="3">
    <w:p w14:paraId="26426081" w14:textId="28AA5C77" w:rsidR="005D6C3C" w:rsidRPr="005459EB" w:rsidRDefault="005D6C3C">
      <w:pPr>
        <w:pStyle w:val="FootnoteText"/>
      </w:pPr>
      <w:r>
        <w:rPr>
          <w:rStyle w:val="FootnoteReference"/>
        </w:rPr>
        <w:footnoteRef/>
      </w:r>
      <w:r>
        <w:t>https://neighbourhood-enlargement.ec.europa.eu/funding-and-technical-assistance/taiex_pt</w:t>
      </w:r>
    </w:p>
  </w:footnote>
  <w:footnote w:id="4">
    <w:p w14:paraId="22398B51" w14:textId="6CBE48B0" w:rsidR="005D6C3C" w:rsidRPr="005459EB" w:rsidRDefault="005D6C3C" w:rsidP="005D6C3C">
      <w:pPr>
        <w:pStyle w:val="FootnoteText"/>
      </w:pPr>
      <w:r>
        <w:rPr>
          <w:rStyle w:val="FootnoteReference"/>
        </w:rPr>
        <w:footnoteRef/>
      </w:r>
      <w:r>
        <w:t xml:space="preserve">A lista das entidades encarregadas da execução dos fundos da UE em regime de gestão indireta no que diz respeito ao instrumento de assistência técnica é apresentada no </w:t>
      </w:r>
      <w:hyperlink r:id="rId1" w:history="1">
        <w:r>
          <w:rPr>
            <w:rStyle w:val="Hyperlink"/>
            <w:color w:val="034990" w:themeColor="hyperlink" w:themeShade="BF"/>
            <w14:textFill>
              <w14:solidFill>
                <w14:schemeClr w14:val="hlink">
                  <w14:lumMod w14:val="75000"/>
                  <w14:lumMod w14:val="75000"/>
                </w14:schemeClr>
              </w14:solidFill>
            </w14:textFill>
          </w:rPr>
          <w:t>sítio Web do instrumento de assistência técnica</w:t>
        </w:r>
      </w:hyperlink>
      <w:r>
        <w:t>.</w:t>
      </w:r>
    </w:p>
  </w:footnote>
  <w:footnote w:id="5">
    <w:p w14:paraId="4C81E2DA" w14:textId="640872F0" w:rsidR="003C0851" w:rsidRPr="005459EB" w:rsidRDefault="003C0851" w:rsidP="003C0851">
      <w:pPr>
        <w:pStyle w:val="FootnoteText"/>
        <w:rPr>
          <w:rFonts w:cs="Times New Roman"/>
        </w:rPr>
      </w:pPr>
      <w:r>
        <w:rPr>
          <w:rStyle w:val="FootnoteReference"/>
          <w:rFonts w:cs="Times New Roman"/>
        </w:rPr>
        <w:footnoteRef/>
      </w:r>
      <w:r>
        <w:t xml:space="preserve"> Regulamento (UE) 2021/241 do Parlamento Europeu e do Conselho, de 12 de fevereiro de 2021, que cria o Mecanismo de Recuperação e Resiliência, JO L 57 de 18.2.2021, p.</w:t>
      </w:r>
      <w:r>
        <w:rPr>
          <w:rFonts w:ascii="Calibri" w:hAnsi="Calibri"/>
        </w:rPr>
        <w:t> </w:t>
      </w:r>
      <w:r>
        <w:t>17 (a seguir, «</w:t>
      </w:r>
      <w:hyperlink r:id="rId2" w:history="1">
        <w:r>
          <w:rPr>
            <w:rStyle w:val="Hyperlink"/>
            <w:color w:val="034990" w:themeColor="hyperlink" w:themeShade="BF"/>
          </w:rPr>
          <w:t xml:space="preserve">Regulamento </w:t>
        </w:r>
      </w:hyperlink>
      <w:r>
        <w:t>MRR», artigo</w:t>
      </w:r>
      <w:r>
        <w:rPr>
          <w:rFonts w:ascii="Calibri" w:hAnsi="Calibri"/>
        </w:rPr>
        <w:t> </w:t>
      </w:r>
      <w:r>
        <w:t>7.º, n.º 2).</w:t>
      </w:r>
    </w:p>
  </w:footnote>
  <w:footnote w:id="6">
    <w:p w14:paraId="6AA6335B" w14:textId="30EC37F9" w:rsidR="001D2BC0" w:rsidRPr="005459EB" w:rsidRDefault="001D2BC0">
      <w:pPr>
        <w:pStyle w:val="FootnoteText"/>
      </w:pPr>
      <w:r>
        <w:rPr>
          <w:rStyle w:val="FootnoteReference"/>
        </w:rPr>
        <w:footnoteRef/>
      </w:r>
      <w:r>
        <w:t xml:space="preserve"> A elegibilidade dos pedidos é verificada com base nos critérios estabelecidos no Regulamento IAT, nomeadamente nos artigos 8.º e 9.º. O mesmo acontece com a elegibilidade dos potenciais beneficiários, verificada com base nos critérios estabelecidos no artigo 2.º do referido regulamento.</w:t>
      </w:r>
    </w:p>
  </w:footnote>
  <w:footnote w:id="7">
    <w:p w14:paraId="4FC8A085" w14:textId="712C2465" w:rsidR="000345D3" w:rsidRPr="005459EB" w:rsidRDefault="000345D3" w:rsidP="005F0171">
      <w:pPr>
        <w:pStyle w:val="FootnoteText"/>
      </w:pPr>
      <w:r>
        <w:rPr>
          <w:rStyle w:val="FootnoteReference"/>
          <w:rFonts w:cs="Times New Roman"/>
        </w:rPr>
        <w:footnoteRef/>
      </w:r>
      <w:r>
        <w:t>Um único pedido de assistência técnica pode contribuir para várias prioridades da UE.</w:t>
      </w:r>
    </w:p>
  </w:footnote>
  <w:footnote w:id="8">
    <w:p w14:paraId="251994D3" w14:textId="51BC1851" w:rsidR="0026587E" w:rsidRPr="005459EB" w:rsidRDefault="0026587E" w:rsidP="0026587E">
      <w:pPr>
        <w:pStyle w:val="FootnoteText"/>
        <w:rPr>
          <w:rFonts w:cs="Times New Roman"/>
        </w:rPr>
      </w:pPr>
      <w:r>
        <w:rPr>
          <w:rStyle w:val="FootnoteReference"/>
          <w:rFonts w:cs="Times New Roman"/>
        </w:rPr>
        <w:footnoteRef/>
      </w:r>
      <w:r>
        <w:tab/>
        <w:t>Decisão de Execução C(2023)1786</w:t>
      </w:r>
      <w:r>
        <w:rPr>
          <w:rFonts w:ascii="Calibri" w:hAnsi="Calibri"/>
        </w:rPr>
        <w:t xml:space="preserve"> </w:t>
      </w:r>
      <w:r>
        <w:t>da Comissão, de 20.3.2023, sobre o financiamento do instrumento de assistência técnica e a adoção do programa de trabalho para 2023.</w:t>
      </w:r>
    </w:p>
  </w:footnote>
  <w:footnote w:id="9">
    <w:p w14:paraId="22A98DA6" w14:textId="6C61AC7D" w:rsidR="00BE0D5D" w:rsidRPr="005459EB" w:rsidRDefault="00BE0D5D">
      <w:pPr>
        <w:pStyle w:val="FootnoteText"/>
      </w:pPr>
      <w:r>
        <w:rPr>
          <w:rStyle w:val="FootnoteReference"/>
        </w:rPr>
        <w:footnoteRef/>
      </w:r>
      <w:r>
        <w:t xml:space="preserve"> </w:t>
      </w:r>
      <w:r w:rsidR="00093871">
        <w:tab/>
      </w:r>
      <w:r>
        <w:t>O número total de reformas apoiadas ao abrigo do IAT de 2023 é superior ao número total de projetos apoiados e ao número total de pedidos selecionados, uma vez que os projetos e pedidos plurinacionais corresponderam a várias reformas em diferentes Estados-Membros ao abrigo do IAT de 2023.</w:t>
      </w:r>
    </w:p>
  </w:footnote>
  <w:footnote w:id="10">
    <w:p w14:paraId="49192CF5" w14:textId="561989A2" w:rsidR="00C73EE1" w:rsidRPr="005459EB" w:rsidRDefault="00C73EE1" w:rsidP="00C73EE1">
      <w:pPr>
        <w:pStyle w:val="FootnoteText"/>
        <w:rPr>
          <w:rFonts w:cs="Times New Roman"/>
        </w:rPr>
      </w:pPr>
      <w:r>
        <w:rPr>
          <w:rStyle w:val="FootnoteReference"/>
          <w:rFonts w:ascii="Times New Roman" w:hAnsi="Times New Roman" w:cs="Times New Roman"/>
        </w:rPr>
        <w:footnoteRef/>
      </w:r>
      <w:r>
        <w:rPr>
          <w:rFonts w:ascii="Times New Roman" w:hAnsi="Times New Roman"/>
        </w:rPr>
        <w:t xml:space="preserve"> </w:t>
      </w:r>
      <w:r>
        <w:t>Documento de trabalho dos serviços da Comissão intitulado «Mid-term evaluation of the Recovery and Resilience Facility» (Avaliação intercalar do Mecanismo de Recuperação e Resiliência) (página 62).</w:t>
      </w:r>
    </w:p>
  </w:footnote>
  <w:footnote w:id="11">
    <w:p w14:paraId="17333D31" w14:textId="2CC1ED56" w:rsidR="009E56A4" w:rsidRPr="005459EB" w:rsidRDefault="009E56A4">
      <w:pPr>
        <w:pStyle w:val="FootnoteText"/>
      </w:pPr>
      <w:r>
        <w:rPr>
          <w:rStyle w:val="FootnoteReference"/>
        </w:rPr>
        <w:footnoteRef/>
      </w:r>
      <w:r>
        <w:t xml:space="preserve"> Bósnia-Herzegovina, Montenegro, Moldávia, Macedónia do Norte, Albânia, Sérvia, Turquia, Ucrânia, Geórgia e Kosovo.</w:t>
      </w:r>
    </w:p>
  </w:footnote>
  <w:footnote w:id="12">
    <w:p w14:paraId="23BA5269" w14:textId="26BABBC9" w:rsidR="002716FB" w:rsidRPr="005459EB" w:rsidRDefault="002716FB" w:rsidP="002716FB">
      <w:pPr>
        <w:pStyle w:val="FootnoteText"/>
      </w:pPr>
      <w:r>
        <w:rPr>
          <w:rStyle w:val="FootnoteReference"/>
        </w:rPr>
        <w:footnoteRef/>
      </w:r>
      <w:r>
        <w:t xml:space="preserve"> O Montenegro e a Ucrânia não participaram no projeto-piloto por motivos de capacidade administrativa limitada, mas manifestaram grande interesse em participar no futuro.</w:t>
      </w:r>
    </w:p>
  </w:footnote>
  <w:footnote w:id="13">
    <w:p w14:paraId="55AA3186" w14:textId="3F637452" w:rsidR="0011622C" w:rsidRPr="00AD3EDB" w:rsidRDefault="0011622C">
      <w:pPr>
        <w:pStyle w:val="FootnoteText"/>
      </w:pPr>
      <w:r>
        <w:rPr>
          <w:rStyle w:val="FootnoteReference"/>
        </w:rPr>
        <w:footnoteRef/>
      </w:r>
      <w:r>
        <w:t>Conforme o artigo 9.º, n.º 5, do regulamento IAT.</w:t>
      </w:r>
    </w:p>
  </w:footnote>
  <w:footnote w:id="14">
    <w:p w14:paraId="5CB83907" w14:textId="3DB52163" w:rsidR="006E3C9A" w:rsidRPr="00663B62" w:rsidRDefault="006E3C9A">
      <w:pPr>
        <w:pStyle w:val="FootnoteText"/>
      </w:pPr>
      <w:r>
        <w:rPr>
          <w:rStyle w:val="FootnoteReference"/>
        </w:rPr>
        <w:footnoteRef/>
      </w:r>
      <w:r>
        <w:t>COM(2020) 628 final.</w:t>
      </w:r>
    </w:p>
  </w:footnote>
  <w:footnote w:id="15">
    <w:p w14:paraId="56FFE2CD" w14:textId="511AFCC0" w:rsidR="00663B62" w:rsidRPr="00663B62" w:rsidRDefault="00663B62">
      <w:pPr>
        <w:pStyle w:val="FootnoteText"/>
      </w:pPr>
      <w:r>
        <w:rPr>
          <w:rStyle w:val="FootnoteReference"/>
        </w:rPr>
        <w:footnoteRef/>
      </w:r>
      <w:r>
        <w:t>COM(2022) 16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12C2" w14:textId="77777777" w:rsidR="00ED73CE" w:rsidRPr="00ED73CE" w:rsidRDefault="00ED73CE" w:rsidP="00ED73C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4746" w14:textId="77777777" w:rsidR="00ED73CE" w:rsidRPr="00ED73CE" w:rsidRDefault="00ED73CE" w:rsidP="00ED73C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BC622" w14:textId="77777777" w:rsidR="00ED73CE" w:rsidRPr="00ED73CE" w:rsidRDefault="00ED73CE" w:rsidP="00ED73C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6F15" w14:textId="77777777" w:rsidR="00092BD5" w:rsidRPr="005459EB" w:rsidRDefault="00092B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4B636" w14:textId="77777777" w:rsidR="00092BD5" w:rsidRPr="005459EB" w:rsidRDefault="00092BD5">
    <w:pPr>
      <w:pStyle w:val="Header"/>
      <w:jc w:val="right"/>
      <w:rPr>
        <w:b/>
        <w:bCs/>
        <w:i/>
        <w:iCs/>
        <w:u w:val="singl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5EDA" w14:textId="77777777" w:rsidR="00092BD5" w:rsidRPr="005459EB" w:rsidRDefault="00092B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64076" w14:textId="77777777" w:rsidR="00092BD5" w:rsidRPr="005459EB" w:rsidRDefault="00092B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70F68" w14:textId="77777777" w:rsidR="00092BD5" w:rsidRPr="005459EB" w:rsidRDefault="00092BD5">
    <w:pPr>
      <w:pStyle w:val="Header"/>
      <w:jc w:val="right"/>
      <w:rPr>
        <w:b/>
        <w:bCs/>
        <w:i/>
        <w:iCs/>
        <w:u w:val="singl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46C13" w14:textId="77777777" w:rsidR="00092BD5" w:rsidRPr="005459EB" w:rsidRDefault="00092B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68C96" w14:textId="77777777" w:rsidR="00670CD2" w:rsidRPr="005459EB" w:rsidRDefault="00670CD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5A8CD" w14:textId="77777777" w:rsidR="00670CD2" w:rsidRPr="005459EB" w:rsidRDefault="00670CD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4DFFD" w14:textId="77777777" w:rsidR="00670CD2" w:rsidRPr="005459EB" w:rsidRDefault="00670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09BF"/>
    <w:multiLevelType w:val="hybridMultilevel"/>
    <w:tmpl w:val="01707F02"/>
    <w:lvl w:ilvl="0" w:tplc="373079AA">
      <w:start w:val="1"/>
      <w:numFmt w:val="upperRoman"/>
      <w:lvlText w:val="%1&gt;"/>
      <w:lvlJc w:val="left"/>
      <w:pPr>
        <w:ind w:left="1080" w:hanging="720"/>
      </w:pPr>
      <w:rPr>
        <w:rFonts w:ascii="EC Square Sans Pro" w:hAnsi="EC Square Sans Pro" w:cstheme="minorBidi"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DC26AF"/>
    <w:multiLevelType w:val="multilevel"/>
    <w:tmpl w:val="7C9C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7354F"/>
    <w:multiLevelType w:val="hybridMultilevel"/>
    <w:tmpl w:val="9C724A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6824EC2"/>
    <w:multiLevelType w:val="multilevel"/>
    <w:tmpl w:val="3A568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97BF4"/>
    <w:multiLevelType w:val="hybridMultilevel"/>
    <w:tmpl w:val="185CD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524C61"/>
    <w:multiLevelType w:val="hybridMultilevel"/>
    <w:tmpl w:val="4DDE9E38"/>
    <w:lvl w:ilvl="0" w:tplc="4F1AE72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9D30DB1"/>
    <w:multiLevelType w:val="multilevel"/>
    <w:tmpl w:val="F81CF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D353DF"/>
    <w:multiLevelType w:val="hybridMultilevel"/>
    <w:tmpl w:val="C49C4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69593F"/>
    <w:multiLevelType w:val="multilevel"/>
    <w:tmpl w:val="417C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F6EFE"/>
    <w:multiLevelType w:val="hybridMultilevel"/>
    <w:tmpl w:val="4B8EE5E6"/>
    <w:lvl w:ilvl="0" w:tplc="BE0A0C1C">
      <w:start w:val="1"/>
      <w:numFmt w:val="upperRoman"/>
      <w:pStyle w:val="Heading2"/>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20B7201"/>
    <w:multiLevelType w:val="multilevel"/>
    <w:tmpl w:val="9A702B88"/>
    <w:name w:val="ListNumberNumbering"/>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4BC1721"/>
    <w:multiLevelType w:val="hybridMultilevel"/>
    <w:tmpl w:val="F59E3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5E244A0"/>
    <w:multiLevelType w:val="hybridMultilevel"/>
    <w:tmpl w:val="03BCA4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8EB26AA"/>
    <w:multiLevelType w:val="multilevel"/>
    <w:tmpl w:val="EFC8859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BE7455"/>
    <w:multiLevelType w:val="hybridMultilevel"/>
    <w:tmpl w:val="DB0E5668"/>
    <w:lvl w:ilvl="0" w:tplc="3C6A272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550DD1"/>
    <w:multiLevelType w:val="hybridMultilevel"/>
    <w:tmpl w:val="62E44A56"/>
    <w:lvl w:ilvl="0" w:tplc="A1D01FC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500F01"/>
    <w:multiLevelType w:val="hybridMultilevel"/>
    <w:tmpl w:val="934445F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F123C93"/>
    <w:multiLevelType w:val="hybridMultilevel"/>
    <w:tmpl w:val="0180F7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02730EE"/>
    <w:multiLevelType w:val="hybridMultilevel"/>
    <w:tmpl w:val="B3E6FBD8"/>
    <w:lvl w:ilvl="0" w:tplc="5768983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BAB340">
      <w:start w:val="1"/>
      <w:numFmt w:val="bullet"/>
      <w:lvlRestart w:val="0"/>
      <w:lvlText w:val="•"/>
      <w:lvlJc w:val="left"/>
      <w:pPr>
        <w:ind w:left="1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8E2E6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F8E36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2CD28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20676E">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22F06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EEF76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1A4A8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1AA358C"/>
    <w:multiLevelType w:val="multilevel"/>
    <w:tmpl w:val="E18E8C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23E4A3E"/>
    <w:multiLevelType w:val="hybridMultilevel"/>
    <w:tmpl w:val="F3581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2AB21B4"/>
    <w:multiLevelType w:val="multilevel"/>
    <w:tmpl w:val="6810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E37BAC"/>
    <w:multiLevelType w:val="hybridMultilevel"/>
    <w:tmpl w:val="82BE4B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2B75699E"/>
    <w:multiLevelType w:val="hybridMultilevel"/>
    <w:tmpl w:val="3D9E4A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C5159E"/>
    <w:multiLevelType w:val="hybridMultilevel"/>
    <w:tmpl w:val="D2A0C7B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E4C5FDC"/>
    <w:multiLevelType w:val="multilevel"/>
    <w:tmpl w:val="94E45C2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FC416B"/>
    <w:multiLevelType w:val="hybridMultilevel"/>
    <w:tmpl w:val="E6E466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3D07AD9"/>
    <w:multiLevelType w:val="multilevel"/>
    <w:tmpl w:val="363C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8E5439"/>
    <w:multiLevelType w:val="hybridMultilevel"/>
    <w:tmpl w:val="BD8ADD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7673B34"/>
    <w:multiLevelType w:val="multilevel"/>
    <w:tmpl w:val="E76A4B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652E96"/>
    <w:multiLevelType w:val="hybridMultilevel"/>
    <w:tmpl w:val="D08E63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A4B08F3"/>
    <w:multiLevelType w:val="hybridMultilevel"/>
    <w:tmpl w:val="2A36BA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3B9E4A60"/>
    <w:multiLevelType w:val="hybridMultilevel"/>
    <w:tmpl w:val="08CA7890"/>
    <w:lvl w:ilvl="0" w:tplc="9214A37E">
      <w:start w:val="1"/>
      <w:numFmt w:val="bullet"/>
      <w:lvlText w:val="•"/>
      <w:lvlJc w:val="left"/>
      <w:pPr>
        <w:tabs>
          <w:tab w:val="num" w:pos="720"/>
        </w:tabs>
        <w:ind w:left="720" w:hanging="360"/>
      </w:pPr>
      <w:rPr>
        <w:rFonts w:ascii="Times New Roman" w:hAnsi="Times New Roman" w:hint="default"/>
      </w:rPr>
    </w:lvl>
    <w:lvl w:ilvl="1" w:tplc="AA02B494" w:tentative="1">
      <w:start w:val="1"/>
      <w:numFmt w:val="bullet"/>
      <w:lvlText w:val="•"/>
      <w:lvlJc w:val="left"/>
      <w:pPr>
        <w:tabs>
          <w:tab w:val="num" w:pos="1440"/>
        </w:tabs>
        <w:ind w:left="1440" w:hanging="360"/>
      </w:pPr>
      <w:rPr>
        <w:rFonts w:ascii="Times New Roman" w:hAnsi="Times New Roman" w:hint="default"/>
      </w:rPr>
    </w:lvl>
    <w:lvl w:ilvl="2" w:tplc="26E22286" w:tentative="1">
      <w:start w:val="1"/>
      <w:numFmt w:val="bullet"/>
      <w:lvlText w:val="•"/>
      <w:lvlJc w:val="left"/>
      <w:pPr>
        <w:tabs>
          <w:tab w:val="num" w:pos="2160"/>
        </w:tabs>
        <w:ind w:left="2160" w:hanging="360"/>
      </w:pPr>
      <w:rPr>
        <w:rFonts w:ascii="Times New Roman" w:hAnsi="Times New Roman" w:hint="default"/>
      </w:rPr>
    </w:lvl>
    <w:lvl w:ilvl="3" w:tplc="B6E025A2" w:tentative="1">
      <w:start w:val="1"/>
      <w:numFmt w:val="bullet"/>
      <w:lvlText w:val="•"/>
      <w:lvlJc w:val="left"/>
      <w:pPr>
        <w:tabs>
          <w:tab w:val="num" w:pos="2880"/>
        </w:tabs>
        <w:ind w:left="2880" w:hanging="360"/>
      </w:pPr>
      <w:rPr>
        <w:rFonts w:ascii="Times New Roman" w:hAnsi="Times New Roman" w:hint="default"/>
      </w:rPr>
    </w:lvl>
    <w:lvl w:ilvl="4" w:tplc="455E722E" w:tentative="1">
      <w:start w:val="1"/>
      <w:numFmt w:val="bullet"/>
      <w:lvlText w:val="•"/>
      <w:lvlJc w:val="left"/>
      <w:pPr>
        <w:tabs>
          <w:tab w:val="num" w:pos="3600"/>
        </w:tabs>
        <w:ind w:left="3600" w:hanging="360"/>
      </w:pPr>
      <w:rPr>
        <w:rFonts w:ascii="Times New Roman" w:hAnsi="Times New Roman" w:hint="default"/>
      </w:rPr>
    </w:lvl>
    <w:lvl w:ilvl="5" w:tplc="D99CB98C" w:tentative="1">
      <w:start w:val="1"/>
      <w:numFmt w:val="bullet"/>
      <w:lvlText w:val="•"/>
      <w:lvlJc w:val="left"/>
      <w:pPr>
        <w:tabs>
          <w:tab w:val="num" w:pos="4320"/>
        </w:tabs>
        <w:ind w:left="4320" w:hanging="360"/>
      </w:pPr>
      <w:rPr>
        <w:rFonts w:ascii="Times New Roman" w:hAnsi="Times New Roman" w:hint="default"/>
      </w:rPr>
    </w:lvl>
    <w:lvl w:ilvl="6" w:tplc="A2308C54" w:tentative="1">
      <w:start w:val="1"/>
      <w:numFmt w:val="bullet"/>
      <w:lvlText w:val="•"/>
      <w:lvlJc w:val="left"/>
      <w:pPr>
        <w:tabs>
          <w:tab w:val="num" w:pos="5040"/>
        </w:tabs>
        <w:ind w:left="5040" w:hanging="360"/>
      </w:pPr>
      <w:rPr>
        <w:rFonts w:ascii="Times New Roman" w:hAnsi="Times New Roman" w:hint="default"/>
      </w:rPr>
    </w:lvl>
    <w:lvl w:ilvl="7" w:tplc="E0CEE996" w:tentative="1">
      <w:start w:val="1"/>
      <w:numFmt w:val="bullet"/>
      <w:lvlText w:val="•"/>
      <w:lvlJc w:val="left"/>
      <w:pPr>
        <w:tabs>
          <w:tab w:val="num" w:pos="5760"/>
        </w:tabs>
        <w:ind w:left="5760" w:hanging="360"/>
      </w:pPr>
      <w:rPr>
        <w:rFonts w:ascii="Times New Roman" w:hAnsi="Times New Roman" w:hint="default"/>
      </w:rPr>
    </w:lvl>
    <w:lvl w:ilvl="8" w:tplc="E5D8317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3BFB3C01"/>
    <w:multiLevelType w:val="hybridMultilevel"/>
    <w:tmpl w:val="66288018"/>
    <w:lvl w:ilvl="0" w:tplc="8CD64F00">
      <w:start w:val="1"/>
      <w:numFmt w:val="decimal"/>
      <w:lvlText w:val="%1."/>
      <w:lvlJc w:val="left"/>
      <w:pPr>
        <w:ind w:left="720" w:hanging="360"/>
      </w:pPr>
    </w:lvl>
    <w:lvl w:ilvl="1" w:tplc="3AE4B60A">
      <w:start w:val="1"/>
      <w:numFmt w:val="decimal"/>
      <w:lvlText w:val="%2."/>
      <w:lvlJc w:val="left"/>
      <w:pPr>
        <w:ind w:left="720" w:hanging="360"/>
      </w:pPr>
    </w:lvl>
    <w:lvl w:ilvl="2" w:tplc="0FD2319C">
      <w:start w:val="1"/>
      <w:numFmt w:val="decimal"/>
      <w:lvlText w:val="%3."/>
      <w:lvlJc w:val="left"/>
      <w:pPr>
        <w:ind w:left="720" w:hanging="360"/>
      </w:pPr>
    </w:lvl>
    <w:lvl w:ilvl="3" w:tplc="8998F004">
      <w:start w:val="1"/>
      <w:numFmt w:val="decimal"/>
      <w:lvlText w:val="%4."/>
      <w:lvlJc w:val="left"/>
      <w:pPr>
        <w:ind w:left="720" w:hanging="360"/>
      </w:pPr>
    </w:lvl>
    <w:lvl w:ilvl="4" w:tplc="7F66F9A0">
      <w:start w:val="1"/>
      <w:numFmt w:val="decimal"/>
      <w:lvlText w:val="%5."/>
      <w:lvlJc w:val="left"/>
      <w:pPr>
        <w:ind w:left="720" w:hanging="360"/>
      </w:pPr>
    </w:lvl>
    <w:lvl w:ilvl="5" w:tplc="31D4FE4C">
      <w:start w:val="1"/>
      <w:numFmt w:val="decimal"/>
      <w:lvlText w:val="%6."/>
      <w:lvlJc w:val="left"/>
      <w:pPr>
        <w:ind w:left="720" w:hanging="360"/>
      </w:pPr>
    </w:lvl>
    <w:lvl w:ilvl="6" w:tplc="6868CE34">
      <w:start w:val="1"/>
      <w:numFmt w:val="decimal"/>
      <w:lvlText w:val="%7."/>
      <w:lvlJc w:val="left"/>
      <w:pPr>
        <w:ind w:left="720" w:hanging="360"/>
      </w:pPr>
    </w:lvl>
    <w:lvl w:ilvl="7" w:tplc="3202D3FA">
      <w:start w:val="1"/>
      <w:numFmt w:val="decimal"/>
      <w:lvlText w:val="%8."/>
      <w:lvlJc w:val="left"/>
      <w:pPr>
        <w:ind w:left="720" w:hanging="360"/>
      </w:pPr>
    </w:lvl>
    <w:lvl w:ilvl="8" w:tplc="A1886D12">
      <w:start w:val="1"/>
      <w:numFmt w:val="decimal"/>
      <w:lvlText w:val="%9."/>
      <w:lvlJc w:val="left"/>
      <w:pPr>
        <w:ind w:left="720" w:hanging="360"/>
      </w:pPr>
    </w:lvl>
  </w:abstractNum>
  <w:abstractNum w:abstractNumId="34" w15:restartNumberingAfterBreak="0">
    <w:nsid w:val="41412B99"/>
    <w:multiLevelType w:val="hybridMultilevel"/>
    <w:tmpl w:val="78C6C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18B3E27"/>
    <w:multiLevelType w:val="hybridMultilevel"/>
    <w:tmpl w:val="DD20BCC6"/>
    <w:lvl w:ilvl="0" w:tplc="2EBC6D6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8412381"/>
    <w:multiLevelType w:val="hybridMultilevel"/>
    <w:tmpl w:val="7CFC4AA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4A112F00"/>
    <w:multiLevelType w:val="multilevel"/>
    <w:tmpl w:val="BA887E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A1842FF"/>
    <w:multiLevelType w:val="hybridMultilevel"/>
    <w:tmpl w:val="39D4F89E"/>
    <w:lvl w:ilvl="0" w:tplc="42FE5DBA">
      <w:start w:val="1"/>
      <w:numFmt w:val="upperRoman"/>
      <w:lvlText w:val="%1."/>
      <w:lvlJc w:val="left"/>
      <w:pPr>
        <w:ind w:left="1080" w:hanging="720"/>
      </w:pPr>
      <w:rPr>
        <w:rFonts w:hint="default"/>
      </w:rPr>
    </w:lvl>
    <w:lvl w:ilvl="1" w:tplc="4BF2EE12">
      <w:numFmt w:val="bullet"/>
      <w:lvlText w:val="•"/>
      <w:lvlJc w:val="left"/>
      <w:pPr>
        <w:ind w:left="1800" w:hanging="720"/>
      </w:pPr>
      <w:rPr>
        <w:rFonts w:ascii="Times New Roman" w:eastAsiaTheme="minorHAnsi" w:hAnsi="Times New Roman" w:cs="Times New Roman"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C4E0DEB"/>
    <w:multiLevelType w:val="hybridMultilevel"/>
    <w:tmpl w:val="BC30EDF0"/>
    <w:lvl w:ilvl="0" w:tplc="AA94975A">
      <w:start w:val="9"/>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0010BB5"/>
    <w:multiLevelType w:val="hybridMultilevel"/>
    <w:tmpl w:val="96D260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5CF3AD9"/>
    <w:multiLevelType w:val="hybridMultilevel"/>
    <w:tmpl w:val="BFB03BB6"/>
    <w:lvl w:ilvl="0" w:tplc="026651E2">
      <w:start w:val="1"/>
      <w:numFmt w:val="decimal"/>
      <w:lvlText w:val="%1."/>
      <w:lvlJc w:val="left"/>
      <w:pPr>
        <w:ind w:left="1440" w:hanging="360"/>
      </w:pPr>
    </w:lvl>
    <w:lvl w:ilvl="1" w:tplc="D018E04E">
      <w:start w:val="1"/>
      <w:numFmt w:val="decimal"/>
      <w:lvlText w:val="%2."/>
      <w:lvlJc w:val="left"/>
      <w:pPr>
        <w:ind w:left="1440" w:hanging="360"/>
      </w:pPr>
    </w:lvl>
    <w:lvl w:ilvl="2" w:tplc="B164DF26">
      <w:start w:val="1"/>
      <w:numFmt w:val="decimal"/>
      <w:lvlText w:val="%3."/>
      <w:lvlJc w:val="left"/>
      <w:pPr>
        <w:ind w:left="1440" w:hanging="360"/>
      </w:pPr>
    </w:lvl>
    <w:lvl w:ilvl="3" w:tplc="6E0899F6">
      <w:start w:val="1"/>
      <w:numFmt w:val="decimal"/>
      <w:lvlText w:val="%4."/>
      <w:lvlJc w:val="left"/>
      <w:pPr>
        <w:ind w:left="1440" w:hanging="360"/>
      </w:pPr>
    </w:lvl>
    <w:lvl w:ilvl="4" w:tplc="E65CF5D8">
      <w:start w:val="1"/>
      <w:numFmt w:val="decimal"/>
      <w:lvlText w:val="%5."/>
      <w:lvlJc w:val="left"/>
      <w:pPr>
        <w:ind w:left="1440" w:hanging="360"/>
      </w:pPr>
    </w:lvl>
    <w:lvl w:ilvl="5" w:tplc="E696CA9A">
      <w:start w:val="1"/>
      <w:numFmt w:val="decimal"/>
      <w:lvlText w:val="%6."/>
      <w:lvlJc w:val="left"/>
      <w:pPr>
        <w:ind w:left="1440" w:hanging="360"/>
      </w:pPr>
    </w:lvl>
    <w:lvl w:ilvl="6" w:tplc="2A06821E">
      <w:start w:val="1"/>
      <w:numFmt w:val="decimal"/>
      <w:lvlText w:val="%7."/>
      <w:lvlJc w:val="left"/>
      <w:pPr>
        <w:ind w:left="1440" w:hanging="360"/>
      </w:pPr>
    </w:lvl>
    <w:lvl w:ilvl="7" w:tplc="32AE8C3A">
      <w:start w:val="1"/>
      <w:numFmt w:val="decimal"/>
      <w:lvlText w:val="%8."/>
      <w:lvlJc w:val="left"/>
      <w:pPr>
        <w:ind w:left="1440" w:hanging="360"/>
      </w:pPr>
    </w:lvl>
    <w:lvl w:ilvl="8" w:tplc="23721F22">
      <w:start w:val="1"/>
      <w:numFmt w:val="decimal"/>
      <w:lvlText w:val="%9."/>
      <w:lvlJc w:val="left"/>
      <w:pPr>
        <w:ind w:left="1440" w:hanging="360"/>
      </w:pPr>
    </w:lvl>
  </w:abstractNum>
  <w:abstractNum w:abstractNumId="42" w15:restartNumberingAfterBreak="0">
    <w:nsid w:val="5DE85327"/>
    <w:multiLevelType w:val="multilevel"/>
    <w:tmpl w:val="9CB0A4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FD8307B"/>
    <w:multiLevelType w:val="hybridMultilevel"/>
    <w:tmpl w:val="5C2C9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128745E"/>
    <w:multiLevelType w:val="multilevel"/>
    <w:tmpl w:val="37DA00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2EE0675"/>
    <w:multiLevelType w:val="hybridMultilevel"/>
    <w:tmpl w:val="AD0E80BC"/>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5F53385"/>
    <w:multiLevelType w:val="hybridMultilevel"/>
    <w:tmpl w:val="609474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68EF6F70"/>
    <w:multiLevelType w:val="hybridMultilevel"/>
    <w:tmpl w:val="BBAC6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8F543CB"/>
    <w:multiLevelType w:val="hybridMultilevel"/>
    <w:tmpl w:val="F632944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B00359B"/>
    <w:multiLevelType w:val="hybridMultilevel"/>
    <w:tmpl w:val="4D2E55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C7465EE"/>
    <w:multiLevelType w:val="hybridMultilevel"/>
    <w:tmpl w:val="548ABB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E6D222D"/>
    <w:multiLevelType w:val="multilevel"/>
    <w:tmpl w:val="B768AE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07E72BA"/>
    <w:multiLevelType w:val="hybridMultilevel"/>
    <w:tmpl w:val="421C774E"/>
    <w:lvl w:ilvl="0" w:tplc="5400DA3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3" w15:restartNumberingAfterBreak="0">
    <w:nsid w:val="70C34B5C"/>
    <w:multiLevelType w:val="multilevel"/>
    <w:tmpl w:val="9834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E27F66"/>
    <w:multiLevelType w:val="hybridMultilevel"/>
    <w:tmpl w:val="A022BF68"/>
    <w:lvl w:ilvl="0" w:tplc="1809001B">
      <w:start w:val="1"/>
      <w:numFmt w:val="lowerRoman"/>
      <w:lvlText w:val="%1."/>
      <w:lvlJc w:val="right"/>
      <w:pPr>
        <w:ind w:left="360" w:hanging="360"/>
      </w:pPr>
      <w:rPr>
        <w:rFonts w:hint="default"/>
      </w:rPr>
    </w:lvl>
    <w:lvl w:ilvl="1" w:tplc="18090019">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55" w15:restartNumberingAfterBreak="0">
    <w:nsid w:val="78E41940"/>
    <w:multiLevelType w:val="hybridMultilevel"/>
    <w:tmpl w:val="2542E11A"/>
    <w:lvl w:ilvl="0" w:tplc="29A4CE18">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AB1184D"/>
    <w:multiLevelType w:val="multilevel"/>
    <w:tmpl w:val="E7C29E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BEB4CEA"/>
    <w:multiLevelType w:val="hybridMultilevel"/>
    <w:tmpl w:val="DA9A00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D934955"/>
    <w:multiLevelType w:val="multilevel"/>
    <w:tmpl w:val="F0AEDA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8"/>
  </w:num>
  <w:num w:numId="3">
    <w:abstractNumId w:val="14"/>
  </w:num>
  <w:num w:numId="4">
    <w:abstractNumId w:val="3"/>
  </w:num>
  <w:num w:numId="5">
    <w:abstractNumId w:val="8"/>
  </w:num>
  <w:num w:numId="6">
    <w:abstractNumId w:val="1"/>
  </w:num>
  <w:num w:numId="7">
    <w:abstractNumId w:val="32"/>
  </w:num>
  <w:num w:numId="8">
    <w:abstractNumId w:val="15"/>
  </w:num>
  <w:num w:numId="9">
    <w:abstractNumId w:val="5"/>
  </w:num>
  <w:num w:numId="10">
    <w:abstractNumId w:val="35"/>
  </w:num>
  <w:num w:numId="11">
    <w:abstractNumId w:val="55"/>
  </w:num>
  <w:num w:numId="12">
    <w:abstractNumId w:val="40"/>
  </w:num>
  <w:num w:numId="13">
    <w:abstractNumId w:val="11"/>
  </w:num>
  <w:num w:numId="14">
    <w:abstractNumId w:val="28"/>
  </w:num>
  <w:num w:numId="15">
    <w:abstractNumId w:val="16"/>
  </w:num>
  <w:num w:numId="16">
    <w:abstractNumId w:val="7"/>
  </w:num>
  <w:num w:numId="17">
    <w:abstractNumId w:val="10"/>
  </w:num>
  <w:num w:numId="18">
    <w:abstractNumId w:val="34"/>
  </w:num>
  <w:num w:numId="19">
    <w:abstractNumId w:val="26"/>
  </w:num>
  <w:num w:numId="20">
    <w:abstractNumId w:val="27"/>
  </w:num>
  <w:num w:numId="21">
    <w:abstractNumId w:val="39"/>
  </w:num>
  <w:num w:numId="22">
    <w:abstractNumId w:val="57"/>
  </w:num>
  <w:num w:numId="23">
    <w:abstractNumId w:val="43"/>
  </w:num>
  <w:num w:numId="24">
    <w:abstractNumId w:val="49"/>
  </w:num>
  <w:num w:numId="25">
    <w:abstractNumId w:val="47"/>
  </w:num>
  <w:num w:numId="26">
    <w:abstractNumId w:val="21"/>
  </w:num>
  <w:num w:numId="27">
    <w:abstractNumId w:val="29"/>
  </w:num>
  <w:num w:numId="28">
    <w:abstractNumId w:val="44"/>
  </w:num>
  <w:num w:numId="29">
    <w:abstractNumId w:val="37"/>
  </w:num>
  <w:num w:numId="30">
    <w:abstractNumId w:val="6"/>
  </w:num>
  <w:num w:numId="31">
    <w:abstractNumId w:val="42"/>
  </w:num>
  <w:num w:numId="32">
    <w:abstractNumId w:val="25"/>
  </w:num>
  <w:num w:numId="33">
    <w:abstractNumId w:val="56"/>
  </w:num>
  <w:num w:numId="34">
    <w:abstractNumId w:val="19"/>
  </w:num>
  <w:num w:numId="35">
    <w:abstractNumId w:val="51"/>
  </w:num>
  <w:num w:numId="36">
    <w:abstractNumId w:val="58"/>
  </w:num>
  <w:num w:numId="37">
    <w:abstractNumId w:val="13"/>
  </w:num>
  <w:num w:numId="38">
    <w:abstractNumId w:val="4"/>
  </w:num>
  <w:num w:numId="39">
    <w:abstractNumId w:val="17"/>
  </w:num>
  <w:num w:numId="40">
    <w:abstractNumId w:val="46"/>
  </w:num>
  <w:num w:numId="41">
    <w:abstractNumId w:val="0"/>
  </w:num>
  <w:num w:numId="42">
    <w:abstractNumId w:val="38"/>
  </w:num>
  <w:num w:numId="43">
    <w:abstractNumId w:val="23"/>
  </w:num>
  <w:num w:numId="44">
    <w:abstractNumId w:val="36"/>
  </w:num>
  <w:num w:numId="45">
    <w:abstractNumId w:val="22"/>
  </w:num>
  <w:num w:numId="46">
    <w:abstractNumId w:val="2"/>
  </w:num>
  <w:num w:numId="47">
    <w:abstractNumId w:val="54"/>
  </w:num>
  <w:num w:numId="48">
    <w:abstractNumId w:val="45"/>
  </w:num>
  <w:num w:numId="49">
    <w:abstractNumId w:val="48"/>
  </w:num>
  <w:num w:numId="50">
    <w:abstractNumId w:val="30"/>
  </w:num>
  <w:num w:numId="51">
    <w:abstractNumId w:val="31"/>
  </w:num>
  <w:num w:numId="52">
    <w:abstractNumId w:val="9"/>
  </w:num>
  <w:num w:numId="53">
    <w:abstractNumId w:val="9"/>
    <w:lvlOverride w:ilvl="0">
      <w:startOverride w:val="1"/>
    </w:lvlOverride>
  </w:num>
  <w:num w:numId="54">
    <w:abstractNumId w:val="20"/>
  </w:num>
  <w:num w:numId="55">
    <w:abstractNumId w:val="50"/>
  </w:num>
  <w:num w:numId="56">
    <w:abstractNumId w:val="53"/>
  </w:num>
  <w:num w:numId="57">
    <w:abstractNumId w:val="9"/>
    <w:lvlOverride w:ilvl="0">
      <w:startOverride w:val="1"/>
    </w:lvlOverride>
  </w:num>
  <w:num w:numId="58">
    <w:abstractNumId w:val="12"/>
  </w:num>
  <w:num w:numId="59">
    <w:abstractNumId w:val="52"/>
  </w:num>
  <w:num w:numId="60">
    <w:abstractNumId w:val="9"/>
  </w:num>
  <w:num w:numId="61">
    <w:abstractNumId w:val="41"/>
  </w:num>
  <w:num w:numId="62">
    <w:abstractNumId w:val="33"/>
  </w:num>
  <w:num w:numId="63">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00336755-0E7F-404D-A302-728012C3E88D"/>
    <w:docVar w:name="LW_COVERPAGE_TYPE" w:val="1"/>
    <w:docVar w:name="LW_CROSSREFERENCE" w:val="&lt;UNUSED&gt;"/>
    <w:docVar w:name="LW_DocType" w:val="NORMAL"/>
    <w:docVar w:name="LW_EMISSION" w:val="8.10.2024"/>
    <w:docVar w:name="LW_EMISSION_ISODATE" w:val="2024-10-08"/>
    <w:docVar w:name="LW_EMISSION_LOCATION" w:val="BRX"/>
    <w:docVar w:name="LW_EMISSION_PREFIX" w:val="Bruxelas, "/>
    <w:docVar w:name="LW_EMISSION_SUFFIX" w:val=" "/>
    <w:docVar w:name="LW_ID_DOCTYPE_NONLW" w:val="CP-006"/>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4) 4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Instrumento de Assistência Técnica - Relatório Anual de 2023_x000d_&lt;/FMT&gt;_x000b_"/>
    <w:docVar w:name="LW_TYPE.DOC.CP" w:val="RELATÓRIO DA COMISSÃO AO PARLAMENTO EUROPEU E AO CONSELHO"/>
    <w:docVar w:name="LwApiVersions" w:val="LW4CoDe 1.24.5.0; LW 9.0, Build 20240221"/>
    <w:docVar w:name="Stamp" w:val="\\dossiers.dgt.cec.eu.int\dossiers\REFORM\REFORM-2023-00077\REFORM-2023-00077-00-00-EN-EDT-00.202311271024329644499.DOCX"/>
  </w:docVars>
  <w:rsids>
    <w:rsidRoot w:val="00A0218A"/>
    <w:rsid w:val="00000222"/>
    <w:rsid w:val="000008D9"/>
    <w:rsid w:val="0000093E"/>
    <w:rsid w:val="00000B8E"/>
    <w:rsid w:val="00000EE3"/>
    <w:rsid w:val="00001747"/>
    <w:rsid w:val="000018DC"/>
    <w:rsid w:val="00001A70"/>
    <w:rsid w:val="000020D2"/>
    <w:rsid w:val="000020DD"/>
    <w:rsid w:val="00002B98"/>
    <w:rsid w:val="00002FC1"/>
    <w:rsid w:val="000034BB"/>
    <w:rsid w:val="00003950"/>
    <w:rsid w:val="00003FF3"/>
    <w:rsid w:val="00004717"/>
    <w:rsid w:val="00004784"/>
    <w:rsid w:val="00004891"/>
    <w:rsid w:val="00004C82"/>
    <w:rsid w:val="000050A6"/>
    <w:rsid w:val="00005351"/>
    <w:rsid w:val="00005366"/>
    <w:rsid w:val="000053AA"/>
    <w:rsid w:val="000054DE"/>
    <w:rsid w:val="0000599F"/>
    <w:rsid w:val="00005DD6"/>
    <w:rsid w:val="00006577"/>
    <w:rsid w:val="0000658F"/>
    <w:rsid w:val="00006891"/>
    <w:rsid w:val="000068B1"/>
    <w:rsid w:val="00006951"/>
    <w:rsid w:val="00006A30"/>
    <w:rsid w:val="0000729E"/>
    <w:rsid w:val="00007A6E"/>
    <w:rsid w:val="00007AF4"/>
    <w:rsid w:val="00007E17"/>
    <w:rsid w:val="000104A7"/>
    <w:rsid w:val="000105B7"/>
    <w:rsid w:val="00010753"/>
    <w:rsid w:val="00010A53"/>
    <w:rsid w:val="000111F0"/>
    <w:rsid w:val="00011503"/>
    <w:rsid w:val="000117C4"/>
    <w:rsid w:val="00011B85"/>
    <w:rsid w:val="00011BD0"/>
    <w:rsid w:val="00011C63"/>
    <w:rsid w:val="00011D4F"/>
    <w:rsid w:val="000122AD"/>
    <w:rsid w:val="00012301"/>
    <w:rsid w:val="00012827"/>
    <w:rsid w:val="0001293B"/>
    <w:rsid w:val="00013869"/>
    <w:rsid w:val="00015772"/>
    <w:rsid w:val="00015E2B"/>
    <w:rsid w:val="00015FC1"/>
    <w:rsid w:val="0001605B"/>
    <w:rsid w:val="00016102"/>
    <w:rsid w:val="00016368"/>
    <w:rsid w:val="0001658C"/>
    <w:rsid w:val="000165EE"/>
    <w:rsid w:val="00016AC5"/>
    <w:rsid w:val="00017354"/>
    <w:rsid w:val="00017D1B"/>
    <w:rsid w:val="00017DEF"/>
    <w:rsid w:val="00017FD8"/>
    <w:rsid w:val="000200CC"/>
    <w:rsid w:val="000203D7"/>
    <w:rsid w:val="000206E5"/>
    <w:rsid w:val="00020C2C"/>
    <w:rsid w:val="0002113C"/>
    <w:rsid w:val="000218F9"/>
    <w:rsid w:val="00021F03"/>
    <w:rsid w:val="00022E85"/>
    <w:rsid w:val="0002315A"/>
    <w:rsid w:val="000231A0"/>
    <w:rsid w:val="000231A9"/>
    <w:rsid w:val="00023FEB"/>
    <w:rsid w:val="0002428A"/>
    <w:rsid w:val="00024597"/>
    <w:rsid w:val="000248B4"/>
    <w:rsid w:val="000248CD"/>
    <w:rsid w:val="00024984"/>
    <w:rsid w:val="00024D0F"/>
    <w:rsid w:val="00024E46"/>
    <w:rsid w:val="00024FA9"/>
    <w:rsid w:val="00024FC5"/>
    <w:rsid w:val="00025051"/>
    <w:rsid w:val="00025D91"/>
    <w:rsid w:val="00025E3C"/>
    <w:rsid w:val="000261DB"/>
    <w:rsid w:val="00026872"/>
    <w:rsid w:val="00026A98"/>
    <w:rsid w:val="00026B24"/>
    <w:rsid w:val="00026B99"/>
    <w:rsid w:val="00026CA4"/>
    <w:rsid w:val="00026EA5"/>
    <w:rsid w:val="00027135"/>
    <w:rsid w:val="0002792B"/>
    <w:rsid w:val="00027AF5"/>
    <w:rsid w:val="00027DDF"/>
    <w:rsid w:val="0002E24D"/>
    <w:rsid w:val="00030038"/>
    <w:rsid w:val="000304B7"/>
    <w:rsid w:val="000308B4"/>
    <w:rsid w:val="00030E7B"/>
    <w:rsid w:val="00031605"/>
    <w:rsid w:val="00031738"/>
    <w:rsid w:val="000318F1"/>
    <w:rsid w:val="00032138"/>
    <w:rsid w:val="000323B2"/>
    <w:rsid w:val="00032F09"/>
    <w:rsid w:val="0003331D"/>
    <w:rsid w:val="0003341B"/>
    <w:rsid w:val="00033735"/>
    <w:rsid w:val="00033826"/>
    <w:rsid w:val="00033C8D"/>
    <w:rsid w:val="00034545"/>
    <w:rsid w:val="000345D3"/>
    <w:rsid w:val="000353C0"/>
    <w:rsid w:val="00035CA2"/>
    <w:rsid w:val="0003605A"/>
    <w:rsid w:val="00036589"/>
    <w:rsid w:val="00036722"/>
    <w:rsid w:val="00037E2E"/>
    <w:rsid w:val="00037FF5"/>
    <w:rsid w:val="000406D0"/>
    <w:rsid w:val="00040B2C"/>
    <w:rsid w:val="00040ED0"/>
    <w:rsid w:val="000411D7"/>
    <w:rsid w:val="00042059"/>
    <w:rsid w:val="00042207"/>
    <w:rsid w:val="000423D5"/>
    <w:rsid w:val="00042C03"/>
    <w:rsid w:val="00042C96"/>
    <w:rsid w:val="000438BC"/>
    <w:rsid w:val="00043986"/>
    <w:rsid w:val="00043B84"/>
    <w:rsid w:val="0004403D"/>
    <w:rsid w:val="000442C4"/>
    <w:rsid w:val="00044827"/>
    <w:rsid w:val="00044A0F"/>
    <w:rsid w:val="0004579C"/>
    <w:rsid w:val="00045AFD"/>
    <w:rsid w:val="00045CE9"/>
    <w:rsid w:val="00045F9B"/>
    <w:rsid w:val="00046136"/>
    <w:rsid w:val="000466D1"/>
    <w:rsid w:val="000469F2"/>
    <w:rsid w:val="00046B5B"/>
    <w:rsid w:val="00046E52"/>
    <w:rsid w:val="000470FD"/>
    <w:rsid w:val="00047967"/>
    <w:rsid w:val="00047F35"/>
    <w:rsid w:val="00050209"/>
    <w:rsid w:val="00050A36"/>
    <w:rsid w:val="00050C8C"/>
    <w:rsid w:val="000511BF"/>
    <w:rsid w:val="00051878"/>
    <w:rsid w:val="00051976"/>
    <w:rsid w:val="00051998"/>
    <w:rsid w:val="00052394"/>
    <w:rsid w:val="0005297E"/>
    <w:rsid w:val="00053640"/>
    <w:rsid w:val="0005365D"/>
    <w:rsid w:val="00053A50"/>
    <w:rsid w:val="00053AA0"/>
    <w:rsid w:val="00053D40"/>
    <w:rsid w:val="00054394"/>
    <w:rsid w:val="00054595"/>
    <w:rsid w:val="0005483F"/>
    <w:rsid w:val="00054B39"/>
    <w:rsid w:val="00054DDE"/>
    <w:rsid w:val="00055639"/>
    <w:rsid w:val="00055677"/>
    <w:rsid w:val="00055850"/>
    <w:rsid w:val="0005627E"/>
    <w:rsid w:val="00056B93"/>
    <w:rsid w:val="00057C71"/>
    <w:rsid w:val="00057F86"/>
    <w:rsid w:val="00060098"/>
    <w:rsid w:val="00060733"/>
    <w:rsid w:val="00060AF3"/>
    <w:rsid w:val="00061089"/>
    <w:rsid w:val="00061195"/>
    <w:rsid w:val="00061253"/>
    <w:rsid w:val="00061673"/>
    <w:rsid w:val="00061814"/>
    <w:rsid w:val="000619DE"/>
    <w:rsid w:val="000620FC"/>
    <w:rsid w:val="00062321"/>
    <w:rsid w:val="0006278A"/>
    <w:rsid w:val="00062890"/>
    <w:rsid w:val="0006294D"/>
    <w:rsid w:val="0006340C"/>
    <w:rsid w:val="00063B95"/>
    <w:rsid w:val="00063EB8"/>
    <w:rsid w:val="00063F36"/>
    <w:rsid w:val="00063FD9"/>
    <w:rsid w:val="00064156"/>
    <w:rsid w:val="00064331"/>
    <w:rsid w:val="000643C3"/>
    <w:rsid w:val="0006490B"/>
    <w:rsid w:val="0006560B"/>
    <w:rsid w:val="00065756"/>
    <w:rsid w:val="000657DC"/>
    <w:rsid w:val="00065904"/>
    <w:rsid w:val="00066082"/>
    <w:rsid w:val="00066202"/>
    <w:rsid w:val="0006640F"/>
    <w:rsid w:val="000664A6"/>
    <w:rsid w:val="00066971"/>
    <w:rsid w:val="000669D4"/>
    <w:rsid w:val="00066C0F"/>
    <w:rsid w:val="00066D76"/>
    <w:rsid w:val="00066E90"/>
    <w:rsid w:val="000674D5"/>
    <w:rsid w:val="00067692"/>
    <w:rsid w:val="000677C1"/>
    <w:rsid w:val="00067982"/>
    <w:rsid w:val="00067C79"/>
    <w:rsid w:val="00067E01"/>
    <w:rsid w:val="0007038E"/>
    <w:rsid w:val="000709A0"/>
    <w:rsid w:val="0007109F"/>
    <w:rsid w:val="00071209"/>
    <w:rsid w:val="00071716"/>
    <w:rsid w:val="00071B01"/>
    <w:rsid w:val="00071BD4"/>
    <w:rsid w:val="00072169"/>
    <w:rsid w:val="00072388"/>
    <w:rsid w:val="00072E14"/>
    <w:rsid w:val="00072EB1"/>
    <w:rsid w:val="000734CC"/>
    <w:rsid w:val="00073935"/>
    <w:rsid w:val="00073F84"/>
    <w:rsid w:val="000741F2"/>
    <w:rsid w:val="00074727"/>
    <w:rsid w:val="00074EDA"/>
    <w:rsid w:val="00074F26"/>
    <w:rsid w:val="0007554D"/>
    <w:rsid w:val="000757A8"/>
    <w:rsid w:val="00075BFA"/>
    <w:rsid w:val="00075FF9"/>
    <w:rsid w:val="00076373"/>
    <w:rsid w:val="00076EF2"/>
    <w:rsid w:val="00077178"/>
    <w:rsid w:val="00077819"/>
    <w:rsid w:val="000800CB"/>
    <w:rsid w:val="00080139"/>
    <w:rsid w:val="000801B1"/>
    <w:rsid w:val="0008090A"/>
    <w:rsid w:val="00080A53"/>
    <w:rsid w:val="00080D8F"/>
    <w:rsid w:val="00081257"/>
    <w:rsid w:val="00081F9E"/>
    <w:rsid w:val="000823CA"/>
    <w:rsid w:val="0008284C"/>
    <w:rsid w:val="00082ABD"/>
    <w:rsid w:val="00082C2A"/>
    <w:rsid w:val="0008311D"/>
    <w:rsid w:val="00083F4A"/>
    <w:rsid w:val="00085193"/>
    <w:rsid w:val="000854FE"/>
    <w:rsid w:val="000864FF"/>
    <w:rsid w:val="000868FE"/>
    <w:rsid w:val="00086C91"/>
    <w:rsid w:val="00087362"/>
    <w:rsid w:val="00087436"/>
    <w:rsid w:val="000879C4"/>
    <w:rsid w:val="00087D3E"/>
    <w:rsid w:val="000905D0"/>
    <w:rsid w:val="00090A67"/>
    <w:rsid w:val="00090ABC"/>
    <w:rsid w:val="00091323"/>
    <w:rsid w:val="000913E6"/>
    <w:rsid w:val="00091D97"/>
    <w:rsid w:val="00091FB8"/>
    <w:rsid w:val="00092A3A"/>
    <w:rsid w:val="00092BA9"/>
    <w:rsid w:val="00092BD5"/>
    <w:rsid w:val="00092CEC"/>
    <w:rsid w:val="00092D9A"/>
    <w:rsid w:val="000933A9"/>
    <w:rsid w:val="000933AD"/>
    <w:rsid w:val="00093871"/>
    <w:rsid w:val="000939B1"/>
    <w:rsid w:val="00093D7E"/>
    <w:rsid w:val="0009429E"/>
    <w:rsid w:val="000947CE"/>
    <w:rsid w:val="00095133"/>
    <w:rsid w:val="00095461"/>
    <w:rsid w:val="00095D0A"/>
    <w:rsid w:val="0009687B"/>
    <w:rsid w:val="00096A26"/>
    <w:rsid w:val="00096BF2"/>
    <w:rsid w:val="00097132"/>
    <w:rsid w:val="000974C1"/>
    <w:rsid w:val="00097545"/>
    <w:rsid w:val="00097789"/>
    <w:rsid w:val="00097D38"/>
    <w:rsid w:val="000A005A"/>
    <w:rsid w:val="000A0D03"/>
    <w:rsid w:val="000A0D2B"/>
    <w:rsid w:val="000A1165"/>
    <w:rsid w:val="000A1916"/>
    <w:rsid w:val="000A1A19"/>
    <w:rsid w:val="000A1E15"/>
    <w:rsid w:val="000A244B"/>
    <w:rsid w:val="000A2A59"/>
    <w:rsid w:val="000A2BB3"/>
    <w:rsid w:val="000A31F5"/>
    <w:rsid w:val="000A327F"/>
    <w:rsid w:val="000A3398"/>
    <w:rsid w:val="000A3407"/>
    <w:rsid w:val="000A3444"/>
    <w:rsid w:val="000A37E5"/>
    <w:rsid w:val="000A3ED8"/>
    <w:rsid w:val="000A4567"/>
    <w:rsid w:val="000A466A"/>
    <w:rsid w:val="000A4F48"/>
    <w:rsid w:val="000A5F4E"/>
    <w:rsid w:val="000A6736"/>
    <w:rsid w:val="000A6B7D"/>
    <w:rsid w:val="000A6C06"/>
    <w:rsid w:val="000A6CE8"/>
    <w:rsid w:val="000A6F8C"/>
    <w:rsid w:val="000A7220"/>
    <w:rsid w:val="000A7826"/>
    <w:rsid w:val="000A7CDA"/>
    <w:rsid w:val="000B02D7"/>
    <w:rsid w:val="000B13C6"/>
    <w:rsid w:val="000B14F8"/>
    <w:rsid w:val="000B1A09"/>
    <w:rsid w:val="000B2576"/>
    <w:rsid w:val="000B28D1"/>
    <w:rsid w:val="000B2A5B"/>
    <w:rsid w:val="000B30C0"/>
    <w:rsid w:val="000B3624"/>
    <w:rsid w:val="000B3629"/>
    <w:rsid w:val="000B36B6"/>
    <w:rsid w:val="000B3AFE"/>
    <w:rsid w:val="000B43E2"/>
    <w:rsid w:val="000B4518"/>
    <w:rsid w:val="000B54C0"/>
    <w:rsid w:val="000B5511"/>
    <w:rsid w:val="000B5F33"/>
    <w:rsid w:val="000B6409"/>
    <w:rsid w:val="000B65A4"/>
    <w:rsid w:val="000B6B59"/>
    <w:rsid w:val="000B6F7A"/>
    <w:rsid w:val="000B7572"/>
    <w:rsid w:val="000B789B"/>
    <w:rsid w:val="000C0345"/>
    <w:rsid w:val="000C039B"/>
    <w:rsid w:val="000C0E72"/>
    <w:rsid w:val="000C10F3"/>
    <w:rsid w:val="000C1334"/>
    <w:rsid w:val="000C17A4"/>
    <w:rsid w:val="000C1968"/>
    <w:rsid w:val="000C19BE"/>
    <w:rsid w:val="000C1A90"/>
    <w:rsid w:val="000C1C49"/>
    <w:rsid w:val="000C1C8A"/>
    <w:rsid w:val="000C23B1"/>
    <w:rsid w:val="000C2494"/>
    <w:rsid w:val="000C2617"/>
    <w:rsid w:val="000C3725"/>
    <w:rsid w:val="000C3C94"/>
    <w:rsid w:val="000C3E71"/>
    <w:rsid w:val="000C41D4"/>
    <w:rsid w:val="000C428D"/>
    <w:rsid w:val="000C453E"/>
    <w:rsid w:val="000C4C50"/>
    <w:rsid w:val="000C4D68"/>
    <w:rsid w:val="000C567D"/>
    <w:rsid w:val="000C584B"/>
    <w:rsid w:val="000C597C"/>
    <w:rsid w:val="000C5A5E"/>
    <w:rsid w:val="000C6B3E"/>
    <w:rsid w:val="000C6EA0"/>
    <w:rsid w:val="000C7257"/>
    <w:rsid w:val="000C729F"/>
    <w:rsid w:val="000C76EB"/>
    <w:rsid w:val="000D0199"/>
    <w:rsid w:val="000D0BB3"/>
    <w:rsid w:val="000D0FD3"/>
    <w:rsid w:val="000D16AB"/>
    <w:rsid w:val="000D194F"/>
    <w:rsid w:val="000D1DB8"/>
    <w:rsid w:val="000D222D"/>
    <w:rsid w:val="000D237D"/>
    <w:rsid w:val="000D2502"/>
    <w:rsid w:val="000D26EB"/>
    <w:rsid w:val="000D284E"/>
    <w:rsid w:val="000D2E3E"/>
    <w:rsid w:val="000D2EC4"/>
    <w:rsid w:val="000D2F4F"/>
    <w:rsid w:val="000D2F95"/>
    <w:rsid w:val="000D31AF"/>
    <w:rsid w:val="000D3D87"/>
    <w:rsid w:val="000D3E43"/>
    <w:rsid w:val="000D4605"/>
    <w:rsid w:val="000D49B9"/>
    <w:rsid w:val="000D5200"/>
    <w:rsid w:val="000D56DB"/>
    <w:rsid w:val="000D578E"/>
    <w:rsid w:val="000D5ABB"/>
    <w:rsid w:val="000D5D73"/>
    <w:rsid w:val="000D666F"/>
    <w:rsid w:val="000D6AA4"/>
    <w:rsid w:val="000D6EBD"/>
    <w:rsid w:val="000D757A"/>
    <w:rsid w:val="000D763C"/>
    <w:rsid w:val="000D79A6"/>
    <w:rsid w:val="000D7C4A"/>
    <w:rsid w:val="000E00EB"/>
    <w:rsid w:val="000E05D4"/>
    <w:rsid w:val="000E07E8"/>
    <w:rsid w:val="000E0ABA"/>
    <w:rsid w:val="000E0BD0"/>
    <w:rsid w:val="000E13AC"/>
    <w:rsid w:val="000E15DF"/>
    <w:rsid w:val="000E1743"/>
    <w:rsid w:val="000E19B6"/>
    <w:rsid w:val="000E1DD3"/>
    <w:rsid w:val="000E1F5C"/>
    <w:rsid w:val="000E2D4C"/>
    <w:rsid w:val="000E31AD"/>
    <w:rsid w:val="000E3301"/>
    <w:rsid w:val="000E3508"/>
    <w:rsid w:val="000E3CA4"/>
    <w:rsid w:val="000E451A"/>
    <w:rsid w:val="000E5123"/>
    <w:rsid w:val="000E5A3B"/>
    <w:rsid w:val="000E5FEC"/>
    <w:rsid w:val="000E6180"/>
    <w:rsid w:val="000E6913"/>
    <w:rsid w:val="000E7023"/>
    <w:rsid w:val="000E7194"/>
    <w:rsid w:val="000E768D"/>
    <w:rsid w:val="000F0783"/>
    <w:rsid w:val="000F099E"/>
    <w:rsid w:val="000F0C33"/>
    <w:rsid w:val="000F0F3B"/>
    <w:rsid w:val="000F10A2"/>
    <w:rsid w:val="000F129F"/>
    <w:rsid w:val="000F1861"/>
    <w:rsid w:val="000F1D50"/>
    <w:rsid w:val="000F2129"/>
    <w:rsid w:val="000F212B"/>
    <w:rsid w:val="000F2219"/>
    <w:rsid w:val="000F2FDF"/>
    <w:rsid w:val="000F30D3"/>
    <w:rsid w:val="000F32F2"/>
    <w:rsid w:val="000F3EBA"/>
    <w:rsid w:val="000F3F1D"/>
    <w:rsid w:val="000F441A"/>
    <w:rsid w:val="000F476E"/>
    <w:rsid w:val="000F4E8A"/>
    <w:rsid w:val="000F5115"/>
    <w:rsid w:val="000F57DF"/>
    <w:rsid w:val="000F67D2"/>
    <w:rsid w:val="000F6942"/>
    <w:rsid w:val="000F6AE0"/>
    <w:rsid w:val="000F7050"/>
    <w:rsid w:val="000F725A"/>
    <w:rsid w:val="000F7371"/>
    <w:rsid w:val="000F7467"/>
    <w:rsid w:val="000F755F"/>
    <w:rsid w:val="000F7FDF"/>
    <w:rsid w:val="00101692"/>
    <w:rsid w:val="00101F76"/>
    <w:rsid w:val="00102633"/>
    <w:rsid w:val="001029B3"/>
    <w:rsid w:val="00102B09"/>
    <w:rsid w:val="0010320F"/>
    <w:rsid w:val="00103258"/>
    <w:rsid w:val="00103994"/>
    <w:rsid w:val="00103E17"/>
    <w:rsid w:val="00104082"/>
    <w:rsid w:val="00104737"/>
    <w:rsid w:val="0010494E"/>
    <w:rsid w:val="001056F2"/>
    <w:rsid w:val="001057B4"/>
    <w:rsid w:val="0010591B"/>
    <w:rsid w:val="00105976"/>
    <w:rsid w:val="0010616B"/>
    <w:rsid w:val="00106607"/>
    <w:rsid w:val="00106870"/>
    <w:rsid w:val="00106C57"/>
    <w:rsid w:val="001072DF"/>
    <w:rsid w:val="00107791"/>
    <w:rsid w:val="001077C6"/>
    <w:rsid w:val="00107ABF"/>
    <w:rsid w:val="00110808"/>
    <w:rsid w:val="00110C31"/>
    <w:rsid w:val="00110D6A"/>
    <w:rsid w:val="00110DDB"/>
    <w:rsid w:val="00110EF4"/>
    <w:rsid w:val="00111026"/>
    <w:rsid w:val="001110BC"/>
    <w:rsid w:val="00111487"/>
    <w:rsid w:val="001118CC"/>
    <w:rsid w:val="00111E21"/>
    <w:rsid w:val="00112430"/>
    <w:rsid w:val="00112829"/>
    <w:rsid w:val="00112D2B"/>
    <w:rsid w:val="00112FD2"/>
    <w:rsid w:val="001131EC"/>
    <w:rsid w:val="00113584"/>
    <w:rsid w:val="00113D6D"/>
    <w:rsid w:val="0011413E"/>
    <w:rsid w:val="00114226"/>
    <w:rsid w:val="00114827"/>
    <w:rsid w:val="00114E48"/>
    <w:rsid w:val="001150FF"/>
    <w:rsid w:val="00115D0B"/>
    <w:rsid w:val="00115E0A"/>
    <w:rsid w:val="00116041"/>
    <w:rsid w:val="0011622C"/>
    <w:rsid w:val="00116A77"/>
    <w:rsid w:val="00116C33"/>
    <w:rsid w:val="001174C8"/>
    <w:rsid w:val="00117528"/>
    <w:rsid w:val="00117535"/>
    <w:rsid w:val="00117567"/>
    <w:rsid w:val="00117EAB"/>
    <w:rsid w:val="001202F8"/>
    <w:rsid w:val="00120366"/>
    <w:rsid w:val="001207B3"/>
    <w:rsid w:val="00120A94"/>
    <w:rsid w:val="00120AA6"/>
    <w:rsid w:val="001214A9"/>
    <w:rsid w:val="001216F3"/>
    <w:rsid w:val="00122C7E"/>
    <w:rsid w:val="00122DE4"/>
    <w:rsid w:val="00122ECE"/>
    <w:rsid w:val="00123090"/>
    <w:rsid w:val="0012351F"/>
    <w:rsid w:val="001240AC"/>
    <w:rsid w:val="00124290"/>
    <w:rsid w:val="001242AD"/>
    <w:rsid w:val="00124328"/>
    <w:rsid w:val="001248D6"/>
    <w:rsid w:val="00124B79"/>
    <w:rsid w:val="00124E66"/>
    <w:rsid w:val="0012534E"/>
    <w:rsid w:val="00125B52"/>
    <w:rsid w:val="00126386"/>
    <w:rsid w:val="00126954"/>
    <w:rsid w:val="00126C10"/>
    <w:rsid w:val="00126D12"/>
    <w:rsid w:val="001270F7"/>
    <w:rsid w:val="001271E6"/>
    <w:rsid w:val="00127671"/>
    <w:rsid w:val="001279A3"/>
    <w:rsid w:val="001279BD"/>
    <w:rsid w:val="00127A28"/>
    <w:rsid w:val="00127AD7"/>
    <w:rsid w:val="00127F25"/>
    <w:rsid w:val="001305A1"/>
    <w:rsid w:val="00130F16"/>
    <w:rsid w:val="001315F3"/>
    <w:rsid w:val="00131640"/>
    <w:rsid w:val="00131995"/>
    <w:rsid w:val="00131C97"/>
    <w:rsid w:val="00131EB8"/>
    <w:rsid w:val="001322CA"/>
    <w:rsid w:val="00132314"/>
    <w:rsid w:val="001326E7"/>
    <w:rsid w:val="00132750"/>
    <w:rsid w:val="00132AE8"/>
    <w:rsid w:val="00133902"/>
    <w:rsid w:val="00133CE3"/>
    <w:rsid w:val="00133E4B"/>
    <w:rsid w:val="00133F57"/>
    <w:rsid w:val="00134102"/>
    <w:rsid w:val="001343EC"/>
    <w:rsid w:val="001346C1"/>
    <w:rsid w:val="00134846"/>
    <w:rsid w:val="0013554C"/>
    <w:rsid w:val="00135565"/>
    <w:rsid w:val="001360F5"/>
    <w:rsid w:val="0013687F"/>
    <w:rsid w:val="001368B4"/>
    <w:rsid w:val="00136C0D"/>
    <w:rsid w:val="00136DA6"/>
    <w:rsid w:val="00137A34"/>
    <w:rsid w:val="0014085C"/>
    <w:rsid w:val="00141131"/>
    <w:rsid w:val="001411F7"/>
    <w:rsid w:val="00141308"/>
    <w:rsid w:val="00142142"/>
    <w:rsid w:val="001428C1"/>
    <w:rsid w:val="00142975"/>
    <w:rsid w:val="00142FD1"/>
    <w:rsid w:val="001431C3"/>
    <w:rsid w:val="0014336B"/>
    <w:rsid w:val="0014340C"/>
    <w:rsid w:val="00143A3F"/>
    <w:rsid w:val="00143B3A"/>
    <w:rsid w:val="0014409C"/>
    <w:rsid w:val="00144A19"/>
    <w:rsid w:val="00144DE2"/>
    <w:rsid w:val="001450C7"/>
    <w:rsid w:val="00145201"/>
    <w:rsid w:val="0014537E"/>
    <w:rsid w:val="001453B9"/>
    <w:rsid w:val="00145439"/>
    <w:rsid w:val="001464DA"/>
    <w:rsid w:val="001466CC"/>
    <w:rsid w:val="00146703"/>
    <w:rsid w:val="0014679D"/>
    <w:rsid w:val="00147215"/>
    <w:rsid w:val="001477F9"/>
    <w:rsid w:val="00147D46"/>
    <w:rsid w:val="00150010"/>
    <w:rsid w:val="001500F8"/>
    <w:rsid w:val="00150368"/>
    <w:rsid w:val="0015048E"/>
    <w:rsid w:val="001507CC"/>
    <w:rsid w:val="0015095C"/>
    <w:rsid w:val="001512DD"/>
    <w:rsid w:val="00151761"/>
    <w:rsid w:val="00151C68"/>
    <w:rsid w:val="0015203D"/>
    <w:rsid w:val="00152A50"/>
    <w:rsid w:val="00152BB5"/>
    <w:rsid w:val="0015329B"/>
    <w:rsid w:val="001535B3"/>
    <w:rsid w:val="00153E35"/>
    <w:rsid w:val="001541EA"/>
    <w:rsid w:val="001543AE"/>
    <w:rsid w:val="0015464B"/>
    <w:rsid w:val="00154D02"/>
    <w:rsid w:val="0015573C"/>
    <w:rsid w:val="00155C08"/>
    <w:rsid w:val="00155D11"/>
    <w:rsid w:val="001567C3"/>
    <w:rsid w:val="001567FC"/>
    <w:rsid w:val="00156A45"/>
    <w:rsid w:val="00156FC0"/>
    <w:rsid w:val="001575C3"/>
    <w:rsid w:val="00157880"/>
    <w:rsid w:val="00157D55"/>
    <w:rsid w:val="00157E11"/>
    <w:rsid w:val="00160E5F"/>
    <w:rsid w:val="0016151B"/>
    <w:rsid w:val="00162172"/>
    <w:rsid w:val="0016265B"/>
    <w:rsid w:val="001627D7"/>
    <w:rsid w:val="001628F8"/>
    <w:rsid w:val="001630DD"/>
    <w:rsid w:val="00163E40"/>
    <w:rsid w:val="00164551"/>
    <w:rsid w:val="001660ED"/>
    <w:rsid w:val="001667AB"/>
    <w:rsid w:val="001669EA"/>
    <w:rsid w:val="00166A8A"/>
    <w:rsid w:val="00166F0D"/>
    <w:rsid w:val="001672A8"/>
    <w:rsid w:val="001704DD"/>
    <w:rsid w:val="001704E1"/>
    <w:rsid w:val="00170546"/>
    <w:rsid w:val="0017071B"/>
    <w:rsid w:val="001708EB"/>
    <w:rsid w:val="00170AF5"/>
    <w:rsid w:val="0017131F"/>
    <w:rsid w:val="0017145E"/>
    <w:rsid w:val="0017195F"/>
    <w:rsid w:val="00171BD6"/>
    <w:rsid w:val="00171C23"/>
    <w:rsid w:val="00171DF4"/>
    <w:rsid w:val="0017215E"/>
    <w:rsid w:val="001724F1"/>
    <w:rsid w:val="00172589"/>
    <w:rsid w:val="00173094"/>
    <w:rsid w:val="00173473"/>
    <w:rsid w:val="0017362E"/>
    <w:rsid w:val="001736D3"/>
    <w:rsid w:val="0017375A"/>
    <w:rsid w:val="00173843"/>
    <w:rsid w:val="00173C04"/>
    <w:rsid w:val="00175476"/>
    <w:rsid w:val="00175935"/>
    <w:rsid w:val="00175AD5"/>
    <w:rsid w:val="00175E1C"/>
    <w:rsid w:val="00176169"/>
    <w:rsid w:val="001761E5"/>
    <w:rsid w:val="001764B6"/>
    <w:rsid w:val="001764F1"/>
    <w:rsid w:val="00176665"/>
    <w:rsid w:val="00176747"/>
    <w:rsid w:val="00176795"/>
    <w:rsid w:val="001767B1"/>
    <w:rsid w:val="001768B9"/>
    <w:rsid w:val="00176C41"/>
    <w:rsid w:val="00176E2C"/>
    <w:rsid w:val="00176FDF"/>
    <w:rsid w:val="00177624"/>
    <w:rsid w:val="0017766D"/>
    <w:rsid w:val="00177792"/>
    <w:rsid w:val="001809AA"/>
    <w:rsid w:val="00180DDC"/>
    <w:rsid w:val="001810B7"/>
    <w:rsid w:val="0018123B"/>
    <w:rsid w:val="0018136F"/>
    <w:rsid w:val="0018141D"/>
    <w:rsid w:val="001818CD"/>
    <w:rsid w:val="00182407"/>
    <w:rsid w:val="00182BCB"/>
    <w:rsid w:val="00182ED5"/>
    <w:rsid w:val="00182F24"/>
    <w:rsid w:val="0018395B"/>
    <w:rsid w:val="00183D05"/>
    <w:rsid w:val="00183F84"/>
    <w:rsid w:val="001841B8"/>
    <w:rsid w:val="00184208"/>
    <w:rsid w:val="001842FC"/>
    <w:rsid w:val="001844F9"/>
    <w:rsid w:val="001845A1"/>
    <w:rsid w:val="001846B9"/>
    <w:rsid w:val="00184F81"/>
    <w:rsid w:val="00184FE8"/>
    <w:rsid w:val="00185012"/>
    <w:rsid w:val="00185286"/>
    <w:rsid w:val="00185356"/>
    <w:rsid w:val="0018565D"/>
    <w:rsid w:val="0018580E"/>
    <w:rsid w:val="00185C63"/>
    <w:rsid w:val="00185DB0"/>
    <w:rsid w:val="0018671E"/>
    <w:rsid w:val="001869BF"/>
    <w:rsid w:val="001871E7"/>
    <w:rsid w:val="00187259"/>
    <w:rsid w:val="001878BF"/>
    <w:rsid w:val="001878FE"/>
    <w:rsid w:val="00187968"/>
    <w:rsid w:val="00187F57"/>
    <w:rsid w:val="00190CA5"/>
    <w:rsid w:val="00190ED8"/>
    <w:rsid w:val="00190F1B"/>
    <w:rsid w:val="00191096"/>
    <w:rsid w:val="001914E4"/>
    <w:rsid w:val="00191A30"/>
    <w:rsid w:val="001928F1"/>
    <w:rsid w:val="0019315B"/>
    <w:rsid w:val="001939DF"/>
    <w:rsid w:val="0019425C"/>
    <w:rsid w:val="00194318"/>
    <w:rsid w:val="001944D8"/>
    <w:rsid w:val="00194509"/>
    <w:rsid w:val="00194516"/>
    <w:rsid w:val="00194F83"/>
    <w:rsid w:val="00195272"/>
    <w:rsid w:val="00195B47"/>
    <w:rsid w:val="0019610D"/>
    <w:rsid w:val="00196280"/>
    <w:rsid w:val="00196588"/>
    <w:rsid w:val="00196618"/>
    <w:rsid w:val="001967A3"/>
    <w:rsid w:val="00196A49"/>
    <w:rsid w:val="00196D12"/>
    <w:rsid w:val="00196E7B"/>
    <w:rsid w:val="00197376"/>
    <w:rsid w:val="001975F1"/>
    <w:rsid w:val="00197EBD"/>
    <w:rsid w:val="001A0564"/>
    <w:rsid w:val="001A05CB"/>
    <w:rsid w:val="001A0F29"/>
    <w:rsid w:val="001A102E"/>
    <w:rsid w:val="001A12A7"/>
    <w:rsid w:val="001A1B04"/>
    <w:rsid w:val="001A1F63"/>
    <w:rsid w:val="001A252B"/>
    <w:rsid w:val="001A27DB"/>
    <w:rsid w:val="001A2C14"/>
    <w:rsid w:val="001A2F9F"/>
    <w:rsid w:val="001A3334"/>
    <w:rsid w:val="001A3A78"/>
    <w:rsid w:val="001A3C92"/>
    <w:rsid w:val="001A3E00"/>
    <w:rsid w:val="001A43CE"/>
    <w:rsid w:val="001A4663"/>
    <w:rsid w:val="001A46DC"/>
    <w:rsid w:val="001A4B62"/>
    <w:rsid w:val="001A5376"/>
    <w:rsid w:val="001A576F"/>
    <w:rsid w:val="001A57CB"/>
    <w:rsid w:val="001A5F02"/>
    <w:rsid w:val="001A6474"/>
    <w:rsid w:val="001A67D2"/>
    <w:rsid w:val="001A6875"/>
    <w:rsid w:val="001A6969"/>
    <w:rsid w:val="001A6CA2"/>
    <w:rsid w:val="001A757C"/>
    <w:rsid w:val="001A78EC"/>
    <w:rsid w:val="001A7B4D"/>
    <w:rsid w:val="001A7B5E"/>
    <w:rsid w:val="001A7E84"/>
    <w:rsid w:val="001B04E6"/>
    <w:rsid w:val="001B0BDB"/>
    <w:rsid w:val="001B0F4B"/>
    <w:rsid w:val="001B0F95"/>
    <w:rsid w:val="001B1320"/>
    <w:rsid w:val="001B186C"/>
    <w:rsid w:val="001B1E9D"/>
    <w:rsid w:val="001B202C"/>
    <w:rsid w:val="001B2325"/>
    <w:rsid w:val="001B23A0"/>
    <w:rsid w:val="001B25AE"/>
    <w:rsid w:val="001B2852"/>
    <w:rsid w:val="001B2936"/>
    <w:rsid w:val="001B2F18"/>
    <w:rsid w:val="001B40E7"/>
    <w:rsid w:val="001B4444"/>
    <w:rsid w:val="001B4567"/>
    <w:rsid w:val="001B458B"/>
    <w:rsid w:val="001B4CD9"/>
    <w:rsid w:val="001B4D63"/>
    <w:rsid w:val="001B5C4F"/>
    <w:rsid w:val="001B6003"/>
    <w:rsid w:val="001B6207"/>
    <w:rsid w:val="001B65BF"/>
    <w:rsid w:val="001B6895"/>
    <w:rsid w:val="001B6D16"/>
    <w:rsid w:val="001B6D27"/>
    <w:rsid w:val="001C033B"/>
    <w:rsid w:val="001C0971"/>
    <w:rsid w:val="001C1504"/>
    <w:rsid w:val="001C1A15"/>
    <w:rsid w:val="001C1A40"/>
    <w:rsid w:val="001C1B56"/>
    <w:rsid w:val="001C2000"/>
    <w:rsid w:val="001C2434"/>
    <w:rsid w:val="001C2B0A"/>
    <w:rsid w:val="001C2E82"/>
    <w:rsid w:val="001C2E92"/>
    <w:rsid w:val="001C327C"/>
    <w:rsid w:val="001C37AC"/>
    <w:rsid w:val="001C381F"/>
    <w:rsid w:val="001C3C0F"/>
    <w:rsid w:val="001C3E06"/>
    <w:rsid w:val="001C43D1"/>
    <w:rsid w:val="001C453E"/>
    <w:rsid w:val="001C45B8"/>
    <w:rsid w:val="001C4746"/>
    <w:rsid w:val="001C4CA2"/>
    <w:rsid w:val="001C4D87"/>
    <w:rsid w:val="001C5528"/>
    <w:rsid w:val="001C5C9A"/>
    <w:rsid w:val="001C5CBE"/>
    <w:rsid w:val="001C67B3"/>
    <w:rsid w:val="001C6935"/>
    <w:rsid w:val="001C6A8C"/>
    <w:rsid w:val="001C7020"/>
    <w:rsid w:val="001C7732"/>
    <w:rsid w:val="001D00C5"/>
    <w:rsid w:val="001D06C5"/>
    <w:rsid w:val="001D075C"/>
    <w:rsid w:val="001D0BAB"/>
    <w:rsid w:val="001D0EA0"/>
    <w:rsid w:val="001D12ED"/>
    <w:rsid w:val="001D153B"/>
    <w:rsid w:val="001D159A"/>
    <w:rsid w:val="001D16B8"/>
    <w:rsid w:val="001D1B19"/>
    <w:rsid w:val="001D1D4B"/>
    <w:rsid w:val="001D1E6B"/>
    <w:rsid w:val="001D1F8A"/>
    <w:rsid w:val="001D21F3"/>
    <w:rsid w:val="001D2571"/>
    <w:rsid w:val="001D2BC0"/>
    <w:rsid w:val="001D2CC1"/>
    <w:rsid w:val="001D3962"/>
    <w:rsid w:val="001D4FB4"/>
    <w:rsid w:val="001D5F00"/>
    <w:rsid w:val="001D60A3"/>
    <w:rsid w:val="001D6732"/>
    <w:rsid w:val="001D773F"/>
    <w:rsid w:val="001D7762"/>
    <w:rsid w:val="001D797C"/>
    <w:rsid w:val="001D7D2B"/>
    <w:rsid w:val="001D7E4C"/>
    <w:rsid w:val="001D7FF0"/>
    <w:rsid w:val="001E03FE"/>
    <w:rsid w:val="001E0580"/>
    <w:rsid w:val="001E0973"/>
    <w:rsid w:val="001E1104"/>
    <w:rsid w:val="001E16A3"/>
    <w:rsid w:val="001E1F94"/>
    <w:rsid w:val="001E269B"/>
    <w:rsid w:val="001E28DD"/>
    <w:rsid w:val="001E2B3E"/>
    <w:rsid w:val="001E2B78"/>
    <w:rsid w:val="001E3197"/>
    <w:rsid w:val="001E31DE"/>
    <w:rsid w:val="001E33BF"/>
    <w:rsid w:val="001E3DE8"/>
    <w:rsid w:val="001E4F95"/>
    <w:rsid w:val="001E5121"/>
    <w:rsid w:val="001E6984"/>
    <w:rsid w:val="001E6A82"/>
    <w:rsid w:val="001E72A6"/>
    <w:rsid w:val="001E7304"/>
    <w:rsid w:val="001E74DF"/>
    <w:rsid w:val="001E7884"/>
    <w:rsid w:val="001E7B23"/>
    <w:rsid w:val="001E7B96"/>
    <w:rsid w:val="001E7FAA"/>
    <w:rsid w:val="001F02E1"/>
    <w:rsid w:val="001F0884"/>
    <w:rsid w:val="001F0A1A"/>
    <w:rsid w:val="001F0A2E"/>
    <w:rsid w:val="001F0E93"/>
    <w:rsid w:val="001F0EC8"/>
    <w:rsid w:val="001F1045"/>
    <w:rsid w:val="001F11E0"/>
    <w:rsid w:val="001F1265"/>
    <w:rsid w:val="001F12AC"/>
    <w:rsid w:val="001F2AD6"/>
    <w:rsid w:val="001F2AF4"/>
    <w:rsid w:val="001F2C3B"/>
    <w:rsid w:val="001F359B"/>
    <w:rsid w:val="001F37D8"/>
    <w:rsid w:val="001F38E4"/>
    <w:rsid w:val="001F3B5A"/>
    <w:rsid w:val="001F3DDE"/>
    <w:rsid w:val="001F419E"/>
    <w:rsid w:val="001F41B3"/>
    <w:rsid w:val="001F42C9"/>
    <w:rsid w:val="001F46E9"/>
    <w:rsid w:val="001F4AE3"/>
    <w:rsid w:val="001F53DF"/>
    <w:rsid w:val="001F5737"/>
    <w:rsid w:val="001F573A"/>
    <w:rsid w:val="001F58C1"/>
    <w:rsid w:val="001F5B2E"/>
    <w:rsid w:val="001F5E56"/>
    <w:rsid w:val="001F5F55"/>
    <w:rsid w:val="001F646D"/>
    <w:rsid w:val="001F646F"/>
    <w:rsid w:val="001F64BA"/>
    <w:rsid w:val="001F6781"/>
    <w:rsid w:val="001F6DE2"/>
    <w:rsid w:val="001F6F8E"/>
    <w:rsid w:val="001F71EE"/>
    <w:rsid w:val="001F7CCD"/>
    <w:rsid w:val="00200332"/>
    <w:rsid w:val="00200A26"/>
    <w:rsid w:val="00200D3C"/>
    <w:rsid w:val="00201359"/>
    <w:rsid w:val="002013E9"/>
    <w:rsid w:val="002015A0"/>
    <w:rsid w:val="00201997"/>
    <w:rsid w:val="002019BC"/>
    <w:rsid w:val="00201A0B"/>
    <w:rsid w:val="0020243F"/>
    <w:rsid w:val="002024C5"/>
    <w:rsid w:val="0020266C"/>
    <w:rsid w:val="00202837"/>
    <w:rsid w:val="00202D28"/>
    <w:rsid w:val="00202D72"/>
    <w:rsid w:val="0020320C"/>
    <w:rsid w:val="00203217"/>
    <w:rsid w:val="00203735"/>
    <w:rsid w:val="00203AE7"/>
    <w:rsid w:val="00203C68"/>
    <w:rsid w:val="002042A3"/>
    <w:rsid w:val="002045EE"/>
    <w:rsid w:val="002049BD"/>
    <w:rsid w:val="00204F98"/>
    <w:rsid w:val="002051A3"/>
    <w:rsid w:val="0020528A"/>
    <w:rsid w:val="00205BFF"/>
    <w:rsid w:val="002067A2"/>
    <w:rsid w:val="00206F14"/>
    <w:rsid w:val="00207329"/>
    <w:rsid w:val="00207DC3"/>
    <w:rsid w:val="0021001E"/>
    <w:rsid w:val="0021073D"/>
    <w:rsid w:val="00210907"/>
    <w:rsid w:val="00210BC8"/>
    <w:rsid w:val="0021139D"/>
    <w:rsid w:val="00211447"/>
    <w:rsid w:val="00211449"/>
    <w:rsid w:val="0021154F"/>
    <w:rsid w:val="00211B1B"/>
    <w:rsid w:val="00211E58"/>
    <w:rsid w:val="00211FF4"/>
    <w:rsid w:val="002121E5"/>
    <w:rsid w:val="002129EE"/>
    <w:rsid w:val="0021308D"/>
    <w:rsid w:val="002134A1"/>
    <w:rsid w:val="0021387E"/>
    <w:rsid w:val="00213FEF"/>
    <w:rsid w:val="00214178"/>
    <w:rsid w:val="0021425D"/>
    <w:rsid w:val="00214642"/>
    <w:rsid w:val="00214817"/>
    <w:rsid w:val="00214927"/>
    <w:rsid w:val="00214A92"/>
    <w:rsid w:val="00214BCE"/>
    <w:rsid w:val="00214BE6"/>
    <w:rsid w:val="00214EC0"/>
    <w:rsid w:val="002151AF"/>
    <w:rsid w:val="002152AB"/>
    <w:rsid w:val="00215A4F"/>
    <w:rsid w:val="00216929"/>
    <w:rsid w:val="00216B98"/>
    <w:rsid w:val="00216E9C"/>
    <w:rsid w:val="00216ED5"/>
    <w:rsid w:val="00217359"/>
    <w:rsid w:val="0021743F"/>
    <w:rsid w:val="002174DD"/>
    <w:rsid w:val="0021758D"/>
    <w:rsid w:val="002175E1"/>
    <w:rsid w:val="00217B9D"/>
    <w:rsid w:val="00217C89"/>
    <w:rsid w:val="00217D62"/>
    <w:rsid w:val="00217F93"/>
    <w:rsid w:val="00220234"/>
    <w:rsid w:val="0022058B"/>
    <w:rsid w:val="00221199"/>
    <w:rsid w:val="002216D6"/>
    <w:rsid w:val="0022173B"/>
    <w:rsid w:val="00221D90"/>
    <w:rsid w:val="0022238A"/>
    <w:rsid w:val="00222656"/>
    <w:rsid w:val="002226FB"/>
    <w:rsid w:val="00222B45"/>
    <w:rsid w:val="00222F4B"/>
    <w:rsid w:val="00222FC6"/>
    <w:rsid w:val="0022312B"/>
    <w:rsid w:val="00223606"/>
    <w:rsid w:val="002237BC"/>
    <w:rsid w:val="0022392E"/>
    <w:rsid w:val="002241F5"/>
    <w:rsid w:val="0022455D"/>
    <w:rsid w:val="002245A6"/>
    <w:rsid w:val="00224A2B"/>
    <w:rsid w:val="00224F23"/>
    <w:rsid w:val="002251EC"/>
    <w:rsid w:val="00225436"/>
    <w:rsid w:val="002255C1"/>
    <w:rsid w:val="00225B8B"/>
    <w:rsid w:val="00225BED"/>
    <w:rsid w:val="00225F86"/>
    <w:rsid w:val="002260FC"/>
    <w:rsid w:val="00226557"/>
    <w:rsid w:val="00226C56"/>
    <w:rsid w:val="00227077"/>
    <w:rsid w:val="0022719B"/>
    <w:rsid w:val="00227353"/>
    <w:rsid w:val="002275D5"/>
    <w:rsid w:val="00227681"/>
    <w:rsid w:val="0022768D"/>
    <w:rsid w:val="002278B5"/>
    <w:rsid w:val="00227A88"/>
    <w:rsid w:val="00227C75"/>
    <w:rsid w:val="00227D55"/>
    <w:rsid w:val="002302D7"/>
    <w:rsid w:val="00231A1D"/>
    <w:rsid w:val="00231AB7"/>
    <w:rsid w:val="00231AFB"/>
    <w:rsid w:val="00231B6D"/>
    <w:rsid w:val="002327AE"/>
    <w:rsid w:val="00232850"/>
    <w:rsid w:val="00232935"/>
    <w:rsid w:val="00232A25"/>
    <w:rsid w:val="00232F9E"/>
    <w:rsid w:val="00233FF4"/>
    <w:rsid w:val="00234375"/>
    <w:rsid w:val="00234540"/>
    <w:rsid w:val="00234740"/>
    <w:rsid w:val="0023518F"/>
    <w:rsid w:val="002351EF"/>
    <w:rsid w:val="00235462"/>
    <w:rsid w:val="002357CF"/>
    <w:rsid w:val="00235ABC"/>
    <w:rsid w:val="00236407"/>
    <w:rsid w:val="0023673C"/>
    <w:rsid w:val="002375FE"/>
    <w:rsid w:val="00237AEE"/>
    <w:rsid w:val="00237B6B"/>
    <w:rsid w:val="00237C84"/>
    <w:rsid w:val="00237F2F"/>
    <w:rsid w:val="002407AC"/>
    <w:rsid w:val="00241898"/>
    <w:rsid w:val="00241FC8"/>
    <w:rsid w:val="00242545"/>
    <w:rsid w:val="002429D1"/>
    <w:rsid w:val="00243187"/>
    <w:rsid w:val="00243808"/>
    <w:rsid w:val="002440F1"/>
    <w:rsid w:val="00244A59"/>
    <w:rsid w:val="0024520B"/>
    <w:rsid w:val="002453DA"/>
    <w:rsid w:val="0024572B"/>
    <w:rsid w:val="00245F9E"/>
    <w:rsid w:val="002461EE"/>
    <w:rsid w:val="00246A3F"/>
    <w:rsid w:val="00246E45"/>
    <w:rsid w:val="00246E6E"/>
    <w:rsid w:val="00247470"/>
    <w:rsid w:val="00247C22"/>
    <w:rsid w:val="00247E0A"/>
    <w:rsid w:val="0025029E"/>
    <w:rsid w:val="00250A21"/>
    <w:rsid w:val="00250C5F"/>
    <w:rsid w:val="00250DA7"/>
    <w:rsid w:val="00250FAC"/>
    <w:rsid w:val="00251067"/>
    <w:rsid w:val="0025123F"/>
    <w:rsid w:val="00251555"/>
    <w:rsid w:val="00251F2A"/>
    <w:rsid w:val="002522FF"/>
    <w:rsid w:val="0025257A"/>
    <w:rsid w:val="002526FD"/>
    <w:rsid w:val="00253494"/>
    <w:rsid w:val="002535C6"/>
    <w:rsid w:val="00253695"/>
    <w:rsid w:val="00253A50"/>
    <w:rsid w:val="00254501"/>
    <w:rsid w:val="00254658"/>
    <w:rsid w:val="002547A9"/>
    <w:rsid w:val="002549C4"/>
    <w:rsid w:val="00254A73"/>
    <w:rsid w:val="00254BAE"/>
    <w:rsid w:val="00254DB7"/>
    <w:rsid w:val="00254F43"/>
    <w:rsid w:val="002553EC"/>
    <w:rsid w:val="00255836"/>
    <w:rsid w:val="002558A8"/>
    <w:rsid w:val="00255994"/>
    <w:rsid w:val="002562C9"/>
    <w:rsid w:val="00256A1B"/>
    <w:rsid w:val="00256EF0"/>
    <w:rsid w:val="00256F8B"/>
    <w:rsid w:val="002572A8"/>
    <w:rsid w:val="00257FF0"/>
    <w:rsid w:val="002604E0"/>
    <w:rsid w:val="00260754"/>
    <w:rsid w:val="00260E98"/>
    <w:rsid w:val="002612D4"/>
    <w:rsid w:val="002617BA"/>
    <w:rsid w:val="00261A19"/>
    <w:rsid w:val="00261C7D"/>
    <w:rsid w:val="00261ED1"/>
    <w:rsid w:val="002623CE"/>
    <w:rsid w:val="002624C2"/>
    <w:rsid w:val="00262508"/>
    <w:rsid w:val="00262788"/>
    <w:rsid w:val="0026286B"/>
    <w:rsid w:val="0026389B"/>
    <w:rsid w:val="00263A20"/>
    <w:rsid w:val="00263DF7"/>
    <w:rsid w:val="002643E3"/>
    <w:rsid w:val="002645B7"/>
    <w:rsid w:val="0026472F"/>
    <w:rsid w:val="00265059"/>
    <w:rsid w:val="00265340"/>
    <w:rsid w:val="002654CE"/>
    <w:rsid w:val="0026587E"/>
    <w:rsid w:val="00265CE1"/>
    <w:rsid w:val="00265EF7"/>
    <w:rsid w:val="00266992"/>
    <w:rsid w:val="00266F0C"/>
    <w:rsid w:val="00266F84"/>
    <w:rsid w:val="00267287"/>
    <w:rsid w:val="00267867"/>
    <w:rsid w:val="00270154"/>
    <w:rsid w:val="002701B3"/>
    <w:rsid w:val="0027069B"/>
    <w:rsid w:val="00270932"/>
    <w:rsid w:val="00270C0A"/>
    <w:rsid w:val="00270F77"/>
    <w:rsid w:val="002716FB"/>
    <w:rsid w:val="00271789"/>
    <w:rsid w:val="00271AA7"/>
    <w:rsid w:val="00271B70"/>
    <w:rsid w:val="002722EC"/>
    <w:rsid w:val="0027244E"/>
    <w:rsid w:val="002724C5"/>
    <w:rsid w:val="00272F1D"/>
    <w:rsid w:val="00273C6B"/>
    <w:rsid w:val="00273F5C"/>
    <w:rsid w:val="00273FBC"/>
    <w:rsid w:val="00273FC8"/>
    <w:rsid w:val="00274A6A"/>
    <w:rsid w:val="00274D05"/>
    <w:rsid w:val="00274D3C"/>
    <w:rsid w:val="00275085"/>
    <w:rsid w:val="00275125"/>
    <w:rsid w:val="002751DE"/>
    <w:rsid w:val="0027530D"/>
    <w:rsid w:val="00275467"/>
    <w:rsid w:val="0027570D"/>
    <w:rsid w:val="002758DC"/>
    <w:rsid w:val="00275DE4"/>
    <w:rsid w:val="00275E84"/>
    <w:rsid w:val="002762C9"/>
    <w:rsid w:val="002763C7"/>
    <w:rsid w:val="0027640E"/>
    <w:rsid w:val="00276C37"/>
    <w:rsid w:val="00276E7F"/>
    <w:rsid w:val="00276EFF"/>
    <w:rsid w:val="002772C7"/>
    <w:rsid w:val="002773FC"/>
    <w:rsid w:val="00277BCC"/>
    <w:rsid w:val="00277EAD"/>
    <w:rsid w:val="002800AE"/>
    <w:rsid w:val="0028053A"/>
    <w:rsid w:val="00280E7C"/>
    <w:rsid w:val="002815DE"/>
    <w:rsid w:val="00281D5E"/>
    <w:rsid w:val="00281E69"/>
    <w:rsid w:val="002821AD"/>
    <w:rsid w:val="0028267F"/>
    <w:rsid w:val="002827C4"/>
    <w:rsid w:val="00282842"/>
    <w:rsid w:val="00282A74"/>
    <w:rsid w:val="0028379B"/>
    <w:rsid w:val="002837A8"/>
    <w:rsid w:val="00284671"/>
    <w:rsid w:val="00284736"/>
    <w:rsid w:val="00284BBF"/>
    <w:rsid w:val="00284BC6"/>
    <w:rsid w:val="0028506B"/>
    <w:rsid w:val="00285FF5"/>
    <w:rsid w:val="002865BD"/>
    <w:rsid w:val="002866FC"/>
    <w:rsid w:val="00286CB7"/>
    <w:rsid w:val="00286CFB"/>
    <w:rsid w:val="00286F5C"/>
    <w:rsid w:val="00287282"/>
    <w:rsid w:val="00287992"/>
    <w:rsid w:val="0028A653"/>
    <w:rsid w:val="00290265"/>
    <w:rsid w:val="0029036A"/>
    <w:rsid w:val="0029054B"/>
    <w:rsid w:val="00290EFE"/>
    <w:rsid w:val="0029102C"/>
    <w:rsid w:val="0029136B"/>
    <w:rsid w:val="00291CBB"/>
    <w:rsid w:val="00291EC1"/>
    <w:rsid w:val="00291F27"/>
    <w:rsid w:val="00291F5C"/>
    <w:rsid w:val="00291FBC"/>
    <w:rsid w:val="00292293"/>
    <w:rsid w:val="00292FE4"/>
    <w:rsid w:val="002930AD"/>
    <w:rsid w:val="002933AD"/>
    <w:rsid w:val="002936C8"/>
    <w:rsid w:val="0029390A"/>
    <w:rsid w:val="002939A8"/>
    <w:rsid w:val="00293D24"/>
    <w:rsid w:val="00293FF3"/>
    <w:rsid w:val="0029496D"/>
    <w:rsid w:val="00294E92"/>
    <w:rsid w:val="00294FB3"/>
    <w:rsid w:val="002950F3"/>
    <w:rsid w:val="00295411"/>
    <w:rsid w:val="0029544B"/>
    <w:rsid w:val="0029548F"/>
    <w:rsid w:val="00295AD4"/>
    <w:rsid w:val="00296236"/>
    <w:rsid w:val="00296AC4"/>
    <w:rsid w:val="00296C52"/>
    <w:rsid w:val="00297334"/>
    <w:rsid w:val="00297941"/>
    <w:rsid w:val="00297991"/>
    <w:rsid w:val="00297A87"/>
    <w:rsid w:val="002A047A"/>
    <w:rsid w:val="002A048C"/>
    <w:rsid w:val="002A098A"/>
    <w:rsid w:val="002A0AA7"/>
    <w:rsid w:val="002A11AD"/>
    <w:rsid w:val="002A1481"/>
    <w:rsid w:val="002A14BD"/>
    <w:rsid w:val="002A182A"/>
    <w:rsid w:val="002A1AFE"/>
    <w:rsid w:val="002A1B07"/>
    <w:rsid w:val="002A238C"/>
    <w:rsid w:val="002A2847"/>
    <w:rsid w:val="002A3322"/>
    <w:rsid w:val="002A36CE"/>
    <w:rsid w:val="002A3A69"/>
    <w:rsid w:val="002A4545"/>
    <w:rsid w:val="002A4A16"/>
    <w:rsid w:val="002A4DC1"/>
    <w:rsid w:val="002A5350"/>
    <w:rsid w:val="002A55A8"/>
    <w:rsid w:val="002A5A29"/>
    <w:rsid w:val="002A5CA7"/>
    <w:rsid w:val="002A5E44"/>
    <w:rsid w:val="002A5E85"/>
    <w:rsid w:val="002A5F33"/>
    <w:rsid w:val="002A6561"/>
    <w:rsid w:val="002A67D6"/>
    <w:rsid w:val="002A7117"/>
    <w:rsid w:val="002A7348"/>
    <w:rsid w:val="002A73AB"/>
    <w:rsid w:val="002A7C89"/>
    <w:rsid w:val="002A7EA5"/>
    <w:rsid w:val="002A7FE5"/>
    <w:rsid w:val="002B01E9"/>
    <w:rsid w:val="002B0DB7"/>
    <w:rsid w:val="002B10C8"/>
    <w:rsid w:val="002B11C9"/>
    <w:rsid w:val="002B1285"/>
    <w:rsid w:val="002B12FB"/>
    <w:rsid w:val="002B1438"/>
    <w:rsid w:val="002B1EB3"/>
    <w:rsid w:val="002B22FA"/>
    <w:rsid w:val="002B24AA"/>
    <w:rsid w:val="002B2896"/>
    <w:rsid w:val="002B2F85"/>
    <w:rsid w:val="002B2FB0"/>
    <w:rsid w:val="002B3038"/>
    <w:rsid w:val="002B326C"/>
    <w:rsid w:val="002B36B4"/>
    <w:rsid w:val="002B3933"/>
    <w:rsid w:val="002B3CC7"/>
    <w:rsid w:val="002B3EC6"/>
    <w:rsid w:val="002B3F9B"/>
    <w:rsid w:val="002B41E4"/>
    <w:rsid w:val="002B41F0"/>
    <w:rsid w:val="002B466E"/>
    <w:rsid w:val="002B4AF8"/>
    <w:rsid w:val="002B5741"/>
    <w:rsid w:val="002B5BF9"/>
    <w:rsid w:val="002B5EC2"/>
    <w:rsid w:val="002B5FF0"/>
    <w:rsid w:val="002B68A9"/>
    <w:rsid w:val="002B6EC9"/>
    <w:rsid w:val="002B7142"/>
    <w:rsid w:val="002B78F5"/>
    <w:rsid w:val="002B7A8D"/>
    <w:rsid w:val="002B7DFA"/>
    <w:rsid w:val="002C010A"/>
    <w:rsid w:val="002C0348"/>
    <w:rsid w:val="002C03DF"/>
    <w:rsid w:val="002C0469"/>
    <w:rsid w:val="002C0E3A"/>
    <w:rsid w:val="002C0E56"/>
    <w:rsid w:val="002C1C90"/>
    <w:rsid w:val="002C22A7"/>
    <w:rsid w:val="002C2ED5"/>
    <w:rsid w:val="002C3003"/>
    <w:rsid w:val="002C37C6"/>
    <w:rsid w:val="002C40F5"/>
    <w:rsid w:val="002C4838"/>
    <w:rsid w:val="002C4A5A"/>
    <w:rsid w:val="002C4B6C"/>
    <w:rsid w:val="002C4C72"/>
    <w:rsid w:val="002C4D7E"/>
    <w:rsid w:val="002C5085"/>
    <w:rsid w:val="002C5525"/>
    <w:rsid w:val="002C564D"/>
    <w:rsid w:val="002C5764"/>
    <w:rsid w:val="002C578F"/>
    <w:rsid w:val="002C5899"/>
    <w:rsid w:val="002C5ABB"/>
    <w:rsid w:val="002C5E70"/>
    <w:rsid w:val="002C6D1A"/>
    <w:rsid w:val="002C701E"/>
    <w:rsid w:val="002C71F1"/>
    <w:rsid w:val="002C7486"/>
    <w:rsid w:val="002C75E3"/>
    <w:rsid w:val="002C763B"/>
    <w:rsid w:val="002C7747"/>
    <w:rsid w:val="002C7C3E"/>
    <w:rsid w:val="002D012A"/>
    <w:rsid w:val="002D0579"/>
    <w:rsid w:val="002D05B2"/>
    <w:rsid w:val="002D13B3"/>
    <w:rsid w:val="002D152D"/>
    <w:rsid w:val="002D22E0"/>
    <w:rsid w:val="002D2CE3"/>
    <w:rsid w:val="002D341E"/>
    <w:rsid w:val="002D370D"/>
    <w:rsid w:val="002D3A5C"/>
    <w:rsid w:val="002D3CEB"/>
    <w:rsid w:val="002D3F4F"/>
    <w:rsid w:val="002D45A5"/>
    <w:rsid w:val="002D4FE8"/>
    <w:rsid w:val="002D5132"/>
    <w:rsid w:val="002D52C2"/>
    <w:rsid w:val="002D5504"/>
    <w:rsid w:val="002D58DA"/>
    <w:rsid w:val="002D5BFC"/>
    <w:rsid w:val="002D616C"/>
    <w:rsid w:val="002D617E"/>
    <w:rsid w:val="002D61CE"/>
    <w:rsid w:val="002D623C"/>
    <w:rsid w:val="002D663C"/>
    <w:rsid w:val="002D66F3"/>
    <w:rsid w:val="002D709D"/>
    <w:rsid w:val="002D70F7"/>
    <w:rsid w:val="002D7C2F"/>
    <w:rsid w:val="002E0BF5"/>
    <w:rsid w:val="002E0C1B"/>
    <w:rsid w:val="002E1184"/>
    <w:rsid w:val="002E11FA"/>
    <w:rsid w:val="002E131F"/>
    <w:rsid w:val="002E15AD"/>
    <w:rsid w:val="002E1BD2"/>
    <w:rsid w:val="002E262C"/>
    <w:rsid w:val="002E2C46"/>
    <w:rsid w:val="002E2F72"/>
    <w:rsid w:val="002E317E"/>
    <w:rsid w:val="002E33BA"/>
    <w:rsid w:val="002E35D6"/>
    <w:rsid w:val="002E38A7"/>
    <w:rsid w:val="002E404F"/>
    <w:rsid w:val="002E428D"/>
    <w:rsid w:val="002E46D1"/>
    <w:rsid w:val="002E491B"/>
    <w:rsid w:val="002E4AAA"/>
    <w:rsid w:val="002E4BD9"/>
    <w:rsid w:val="002E549F"/>
    <w:rsid w:val="002E636F"/>
    <w:rsid w:val="002E63F5"/>
    <w:rsid w:val="002E6BA1"/>
    <w:rsid w:val="002E6EF2"/>
    <w:rsid w:val="002E74A0"/>
    <w:rsid w:val="002E7C83"/>
    <w:rsid w:val="002E7E9E"/>
    <w:rsid w:val="002F0F3B"/>
    <w:rsid w:val="002F125C"/>
    <w:rsid w:val="002F13F6"/>
    <w:rsid w:val="002F171C"/>
    <w:rsid w:val="002F1B84"/>
    <w:rsid w:val="002F1FAE"/>
    <w:rsid w:val="002F206D"/>
    <w:rsid w:val="002F20AA"/>
    <w:rsid w:val="002F229C"/>
    <w:rsid w:val="002F22DF"/>
    <w:rsid w:val="002F246F"/>
    <w:rsid w:val="002F257E"/>
    <w:rsid w:val="002F25DD"/>
    <w:rsid w:val="002F27BC"/>
    <w:rsid w:val="002F2865"/>
    <w:rsid w:val="002F2900"/>
    <w:rsid w:val="002F2AE2"/>
    <w:rsid w:val="002F2B5F"/>
    <w:rsid w:val="002F2DE4"/>
    <w:rsid w:val="002F319C"/>
    <w:rsid w:val="002F3CB5"/>
    <w:rsid w:val="002F4B78"/>
    <w:rsid w:val="002F4CC9"/>
    <w:rsid w:val="002F4DD9"/>
    <w:rsid w:val="002F5385"/>
    <w:rsid w:val="002F5823"/>
    <w:rsid w:val="002F5AEB"/>
    <w:rsid w:val="002F5F3F"/>
    <w:rsid w:val="002F6354"/>
    <w:rsid w:val="002F6510"/>
    <w:rsid w:val="002F6A5E"/>
    <w:rsid w:val="002F6C57"/>
    <w:rsid w:val="002F6E8E"/>
    <w:rsid w:val="002F6E9F"/>
    <w:rsid w:val="002F7193"/>
    <w:rsid w:val="002F7296"/>
    <w:rsid w:val="002F7709"/>
    <w:rsid w:val="002F77AF"/>
    <w:rsid w:val="0030058B"/>
    <w:rsid w:val="003008F9"/>
    <w:rsid w:val="00300BEB"/>
    <w:rsid w:val="00300D51"/>
    <w:rsid w:val="00300E42"/>
    <w:rsid w:val="00301224"/>
    <w:rsid w:val="003018B8"/>
    <w:rsid w:val="00301963"/>
    <w:rsid w:val="00301C10"/>
    <w:rsid w:val="00301C37"/>
    <w:rsid w:val="0030222A"/>
    <w:rsid w:val="00302450"/>
    <w:rsid w:val="003028E9"/>
    <w:rsid w:val="00302A28"/>
    <w:rsid w:val="00302C39"/>
    <w:rsid w:val="00303346"/>
    <w:rsid w:val="00303C06"/>
    <w:rsid w:val="00303F99"/>
    <w:rsid w:val="00304156"/>
    <w:rsid w:val="00304711"/>
    <w:rsid w:val="00305304"/>
    <w:rsid w:val="00305CAA"/>
    <w:rsid w:val="00305D42"/>
    <w:rsid w:val="00305F62"/>
    <w:rsid w:val="003060EA"/>
    <w:rsid w:val="003067DD"/>
    <w:rsid w:val="003067E6"/>
    <w:rsid w:val="00306878"/>
    <w:rsid w:val="00306C21"/>
    <w:rsid w:val="00306F06"/>
    <w:rsid w:val="00307584"/>
    <w:rsid w:val="003076F8"/>
    <w:rsid w:val="0030772B"/>
    <w:rsid w:val="00307C22"/>
    <w:rsid w:val="00310B97"/>
    <w:rsid w:val="00310C2F"/>
    <w:rsid w:val="00310D2A"/>
    <w:rsid w:val="00311005"/>
    <w:rsid w:val="003112CF"/>
    <w:rsid w:val="0031160F"/>
    <w:rsid w:val="003119BC"/>
    <w:rsid w:val="00311EE5"/>
    <w:rsid w:val="00312254"/>
    <w:rsid w:val="0031255F"/>
    <w:rsid w:val="003129C4"/>
    <w:rsid w:val="00312F7D"/>
    <w:rsid w:val="0031318E"/>
    <w:rsid w:val="0031336C"/>
    <w:rsid w:val="0031350F"/>
    <w:rsid w:val="003138B9"/>
    <w:rsid w:val="00313982"/>
    <w:rsid w:val="003139FF"/>
    <w:rsid w:val="00313AB8"/>
    <w:rsid w:val="00313B69"/>
    <w:rsid w:val="00313C2A"/>
    <w:rsid w:val="00313F0C"/>
    <w:rsid w:val="00314801"/>
    <w:rsid w:val="00314B27"/>
    <w:rsid w:val="00315655"/>
    <w:rsid w:val="00315D3F"/>
    <w:rsid w:val="003162D8"/>
    <w:rsid w:val="00316965"/>
    <w:rsid w:val="00316AF4"/>
    <w:rsid w:val="00316E39"/>
    <w:rsid w:val="003174A8"/>
    <w:rsid w:val="003174FB"/>
    <w:rsid w:val="003175E5"/>
    <w:rsid w:val="00317689"/>
    <w:rsid w:val="0031782D"/>
    <w:rsid w:val="00317898"/>
    <w:rsid w:val="0032069E"/>
    <w:rsid w:val="00320C75"/>
    <w:rsid w:val="00321231"/>
    <w:rsid w:val="003215C9"/>
    <w:rsid w:val="00321FCD"/>
    <w:rsid w:val="00321FD2"/>
    <w:rsid w:val="00321FD4"/>
    <w:rsid w:val="00322DBE"/>
    <w:rsid w:val="00322DEE"/>
    <w:rsid w:val="003231F2"/>
    <w:rsid w:val="00323388"/>
    <w:rsid w:val="003245EB"/>
    <w:rsid w:val="00324A75"/>
    <w:rsid w:val="003252B1"/>
    <w:rsid w:val="00325779"/>
    <w:rsid w:val="003258F1"/>
    <w:rsid w:val="00325BE0"/>
    <w:rsid w:val="003263E3"/>
    <w:rsid w:val="0032665B"/>
    <w:rsid w:val="00326B19"/>
    <w:rsid w:val="00327112"/>
    <w:rsid w:val="00327325"/>
    <w:rsid w:val="00327498"/>
    <w:rsid w:val="00327885"/>
    <w:rsid w:val="00327B77"/>
    <w:rsid w:val="00327D5A"/>
    <w:rsid w:val="00330426"/>
    <w:rsid w:val="00330850"/>
    <w:rsid w:val="00330A04"/>
    <w:rsid w:val="00330F84"/>
    <w:rsid w:val="0033184B"/>
    <w:rsid w:val="00331E45"/>
    <w:rsid w:val="00331EA7"/>
    <w:rsid w:val="003333D9"/>
    <w:rsid w:val="0033342D"/>
    <w:rsid w:val="00333A35"/>
    <w:rsid w:val="00333AFB"/>
    <w:rsid w:val="00333D93"/>
    <w:rsid w:val="00333E29"/>
    <w:rsid w:val="003343C5"/>
    <w:rsid w:val="003344A3"/>
    <w:rsid w:val="00334650"/>
    <w:rsid w:val="00334782"/>
    <w:rsid w:val="00335A8F"/>
    <w:rsid w:val="00335C2C"/>
    <w:rsid w:val="00335DA2"/>
    <w:rsid w:val="00335EAC"/>
    <w:rsid w:val="00335F84"/>
    <w:rsid w:val="00335FA3"/>
    <w:rsid w:val="0033604E"/>
    <w:rsid w:val="00336773"/>
    <w:rsid w:val="00337A14"/>
    <w:rsid w:val="00337F8A"/>
    <w:rsid w:val="00340031"/>
    <w:rsid w:val="003400BB"/>
    <w:rsid w:val="003405EA"/>
    <w:rsid w:val="00340979"/>
    <w:rsid w:val="00340C28"/>
    <w:rsid w:val="00341264"/>
    <w:rsid w:val="0034139E"/>
    <w:rsid w:val="00341970"/>
    <w:rsid w:val="00341A3B"/>
    <w:rsid w:val="003421C3"/>
    <w:rsid w:val="00342404"/>
    <w:rsid w:val="003427C6"/>
    <w:rsid w:val="0034306D"/>
    <w:rsid w:val="003435E5"/>
    <w:rsid w:val="0034374C"/>
    <w:rsid w:val="00343A2D"/>
    <w:rsid w:val="00343BF7"/>
    <w:rsid w:val="00343D78"/>
    <w:rsid w:val="00343E4F"/>
    <w:rsid w:val="003446A3"/>
    <w:rsid w:val="00345173"/>
    <w:rsid w:val="00345190"/>
    <w:rsid w:val="00345A10"/>
    <w:rsid w:val="00345AD2"/>
    <w:rsid w:val="00345BFD"/>
    <w:rsid w:val="00345C80"/>
    <w:rsid w:val="00345EC9"/>
    <w:rsid w:val="003462D5"/>
    <w:rsid w:val="003463D2"/>
    <w:rsid w:val="003465D6"/>
    <w:rsid w:val="00346623"/>
    <w:rsid w:val="0034690E"/>
    <w:rsid w:val="00346D83"/>
    <w:rsid w:val="003470E1"/>
    <w:rsid w:val="0034764A"/>
    <w:rsid w:val="00347B43"/>
    <w:rsid w:val="0035004D"/>
    <w:rsid w:val="00350136"/>
    <w:rsid w:val="0035055B"/>
    <w:rsid w:val="00350AE7"/>
    <w:rsid w:val="00350DB2"/>
    <w:rsid w:val="00351333"/>
    <w:rsid w:val="003529B4"/>
    <w:rsid w:val="00352A6C"/>
    <w:rsid w:val="00352B67"/>
    <w:rsid w:val="00352E7A"/>
    <w:rsid w:val="003534C7"/>
    <w:rsid w:val="00353BCD"/>
    <w:rsid w:val="00353CC0"/>
    <w:rsid w:val="00355356"/>
    <w:rsid w:val="00355598"/>
    <w:rsid w:val="003555D2"/>
    <w:rsid w:val="00355A0E"/>
    <w:rsid w:val="00355CC0"/>
    <w:rsid w:val="00355DFB"/>
    <w:rsid w:val="00356AF0"/>
    <w:rsid w:val="00356F26"/>
    <w:rsid w:val="0035774B"/>
    <w:rsid w:val="00357854"/>
    <w:rsid w:val="00357BEF"/>
    <w:rsid w:val="00357CB3"/>
    <w:rsid w:val="00357ED2"/>
    <w:rsid w:val="0036096C"/>
    <w:rsid w:val="00360EC4"/>
    <w:rsid w:val="00360FF0"/>
    <w:rsid w:val="00362343"/>
    <w:rsid w:val="0036243A"/>
    <w:rsid w:val="003625D9"/>
    <w:rsid w:val="00362983"/>
    <w:rsid w:val="0036299B"/>
    <w:rsid w:val="00362E1C"/>
    <w:rsid w:val="00362E73"/>
    <w:rsid w:val="0036378D"/>
    <w:rsid w:val="003637C9"/>
    <w:rsid w:val="00363FA1"/>
    <w:rsid w:val="00364372"/>
    <w:rsid w:val="00364B1F"/>
    <w:rsid w:val="00364C6F"/>
    <w:rsid w:val="00364E21"/>
    <w:rsid w:val="00364E41"/>
    <w:rsid w:val="00365586"/>
    <w:rsid w:val="00365835"/>
    <w:rsid w:val="00365AEA"/>
    <w:rsid w:val="00365AF6"/>
    <w:rsid w:val="003662B1"/>
    <w:rsid w:val="003665FA"/>
    <w:rsid w:val="003666BA"/>
    <w:rsid w:val="00366735"/>
    <w:rsid w:val="00367125"/>
    <w:rsid w:val="003671B1"/>
    <w:rsid w:val="00367599"/>
    <w:rsid w:val="00367C61"/>
    <w:rsid w:val="00367DF2"/>
    <w:rsid w:val="00367FC6"/>
    <w:rsid w:val="0037062D"/>
    <w:rsid w:val="00370B5C"/>
    <w:rsid w:val="00370BCF"/>
    <w:rsid w:val="0037154B"/>
    <w:rsid w:val="00371667"/>
    <w:rsid w:val="003716D8"/>
    <w:rsid w:val="0037198B"/>
    <w:rsid w:val="00371AA4"/>
    <w:rsid w:val="00371B71"/>
    <w:rsid w:val="00371D29"/>
    <w:rsid w:val="00371D8F"/>
    <w:rsid w:val="0037269E"/>
    <w:rsid w:val="00373031"/>
    <w:rsid w:val="003734DC"/>
    <w:rsid w:val="003736BE"/>
    <w:rsid w:val="00373711"/>
    <w:rsid w:val="003739F1"/>
    <w:rsid w:val="00373F99"/>
    <w:rsid w:val="0037403D"/>
    <w:rsid w:val="003742D4"/>
    <w:rsid w:val="0037434D"/>
    <w:rsid w:val="003747D0"/>
    <w:rsid w:val="00374C94"/>
    <w:rsid w:val="00374E33"/>
    <w:rsid w:val="00374F31"/>
    <w:rsid w:val="003753DD"/>
    <w:rsid w:val="00375824"/>
    <w:rsid w:val="00375CCC"/>
    <w:rsid w:val="003762E1"/>
    <w:rsid w:val="003769F2"/>
    <w:rsid w:val="00376BBF"/>
    <w:rsid w:val="00377FAB"/>
    <w:rsid w:val="003800C9"/>
    <w:rsid w:val="00380207"/>
    <w:rsid w:val="0038022E"/>
    <w:rsid w:val="003813E2"/>
    <w:rsid w:val="00381F80"/>
    <w:rsid w:val="00382318"/>
    <w:rsid w:val="00382610"/>
    <w:rsid w:val="00382626"/>
    <w:rsid w:val="00382834"/>
    <w:rsid w:val="00382BC1"/>
    <w:rsid w:val="00382E4D"/>
    <w:rsid w:val="0038319D"/>
    <w:rsid w:val="00383FA3"/>
    <w:rsid w:val="003843B4"/>
    <w:rsid w:val="00384447"/>
    <w:rsid w:val="00384780"/>
    <w:rsid w:val="003849C1"/>
    <w:rsid w:val="00385189"/>
    <w:rsid w:val="003852EF"/>
    <w:rsid w:val="00385F3A"/>
    <w:rsid w:val="003865FD"/>
    <w:rsid w:val="00386F81"/>
    <w:rsid w:val="00387574"/>
    <w:rsid w:val="00387A9C"/>
    <w:rsid w:val="00387C50"/>
    <w:rsid w:val="00387DA9"/>
    <w:rsid w:val="00390028"/>
    <w:rsid w:val="003901EE"/>
    <w:rsid w:val="00390919"/>
    <w:rsid w:val="003909B7"/>
    <w:rsid w:val="00390E9D"/>
    <w:rsid w:val="00391293"/>
    <w:rsid w:val="003912FD"/>
    <w:rsid w:val="00391464"/>
    <w:rsid w:val="00391A92"/>
    <w:rsid w:val="00391BA0"/>
    <w:rsid w:val="00391BEC"/>
    <w:rsid w:val="00391F64"/>
    <w:rsid w:val="00392626"/>
    <w:rsid w:val="00392ACE"/>
    <w:rsid w:val="00392D75"/>
    <w:rsid w:val="0039339C"/>
    <w:rsid w:val="00393567"/>
    <w:rsid w:val="00394A41"/>
    <w:rsid w:val="00394DEE"/>
    <w:rsid w:val="00394F43"/>
    <w:rsid w:val="003950FE"/>
    <w:rsid w:val="0039512B"/>
    <w:rsid w:val="0039554B"/>
    <w:rsid w:val="00396173"/>
    <w:rsid w:val="00396669"/>
    <w:rsid w:val="00396746"/>
    <w:rsid w:val="0039691F"/>
    <w:rsid w:val="00396A97"/>
    <w:rsid w:val="00396FE1"/>
    <w:rsid w:val="00397184"/>
    <w:rsid w:val="003975D9"/>
    <w:rsid w:val="003977BF"/>
    <w:rsid w:val="00397996"/>
    <w:rsid w:val="003A0340"/>
    <w:rsid w:val="003A0C48"/>
    <w:rsid w:val="003A0D44"/>
    <w:rsid w:val="003A19BF"/>
    <w:rsid w:val="003A1AFB"/>
    <w:rsid w:val="003A1CB5"/>
    <w:rsid w:val="003A1DD9"/>
    <w:rsid w:val="003A2078"/>
    <w:rsid w:val="003A20A4"/>
    <w:rsid w:val="003A2BC0"/>
    <w:rsid w:val="003A348A"/>
    <w:rsid w:val="003A3539"/>
    <w:rsid w:val="003A380A"/>
    <w:rsid w:val="003A3B14"/>
    <w:rsid w:val="003A3BFD"/>
    <w:rsid w:val="003A40C9"/>
    <w:rsid w:val="003A40CC"/>
    <w:rsid w:val="003A42B7"/>
    <w:rsid w:val="003A48F6"/>
    <w:rsid w:val="003A56DD"/>
    <w:rsid w:val="003A5985"/>
    <w:rsid w:val="003A5997"/>
    <w:rsid w:val="003A5AC3"/>
    <w:rsid w:val="003A6778"/>
    <w:rsid w:val="003A6CD6"/>
    <w:rsid w:val="003A6DCD"/>
    <w:rsid w:val="003A73A7"/>
    <w:rsid w:val="003A77A9"/>
    <w:rsid w:val="003B0056"/>
    <w:rsid w:val="003B016F"/>
    <w:rsid w:val="003B0256"/>
    <w:rsid w:val="003B1087"/>
    <w:rsid w:val="003B189D"/>
    <w:rsid w:val="003B1B11"/>
    <w:rsid w:val="003B1F35"/>
    <w:rsid w:val="003B248A"/>
    <w:rsid w:val="003B27C5"/>
    <w:rsid w:val="003B29C0"/>
    <w:rsid w:val="003B29E9"/>
    <w:rsid w:val="003B2E5D"/>
    <w:rsid w:val="003B3163"/>
    <w:rsid w:val="003B3A91"/>
    <w:rsid w:val="003B429C"/>
    <w:rsid w:val="003B485F"/>
    <w:rsid w:val="003B4879"/>
    <w:rsid w:val="003B4E62"/>
    <w:rsid w:val="003B53D7"/>
    <w:rsid w:val="003B5870"/>
    <w:rsid w:val="003B63B4"/>
    <w:rsid w:val="003B63F3"/>
    <w:rsid w:val="003B6512"/>
    <w:rsid w:val="003B6A65"/>
    <w:rsid w:val="003B6B91"/>
    <w:rsid w:val="003B6DA7"/>
    <w:rsid w:val="003B6FAA"/>
    <w:rsid w:val="003B70CE"/>
    <w:rsid w:val="003B718E"/>
    <w:rsid w:val="003B75B0"/>
    <w:rsid w:val="003B78D6"/>
    <w:rsid w:val="003C0040"/>
    <w:rsid w:val="003C0851"/>
    <w:rsid w:val="003C0C82"/>
    <w:rsid w:val="003C0FF6"/>
    <w:rsid w:val="003C103B"/>
    <w:rsid w:val="003C18A3"/>
    <w:rsid w:val="003C1AF1"/>
    <w:rsid w:val="003C1D63"/>
    <w:rsid w:val="003C20B9"/>
    <w:rsid w:val="003C30C3"/>
    <w:rsid w:val="003C3451"/>
    <w:rsid w:val="003C3578"/>
    <w:rsid w:val="003C37F8"/>
    <w:rsid w:val="003C399F"/>
    <w:rsid w:val="003C3BD5"/>
    <w:rsid w:val="003C478A"/>
    <w:rsid w:val="003C4BE2"/>
    <w:rsid w:val="003C50CE"/>
    <w:rsid w:val="003C5410"/>
    <w:rsid w:val="003C5532"/>
    <w:rsid w:val="003C5549"/>
    <w:rsid w:val="003C5B93"/>
    <w:rsid w:val="003C634A"/>
    <w:rsid w:val="003C6495"/>
    <w:rsid w:val="003C64F2"/>
    <w:rsid w:val="003C6667"/>
    <w:rsid w:val="003C736C"/>
    <w:rsid w:val="003C7471"/>
    <w:rsid w:val="003D02FE"/>
    <w:rsid w:val="003D0A30"/>
    <w:rsid w:val="003D0FF2"/>
    <w:rsid w:val="003D1846"/>
    <w:rsid w:val="003D1B12"/>
    <w:rsid w:val="003D1FB9"/>
    <w:rsid w:val="003D25F1"/>
    <w:rsid w:val="003D2632"/>
    <w:rsid w:val="003D27FF"/>
    <w:rsid w:val="003D2D2E"/>
    <w:rsid w:val="003D2D8C"/>
    <w:rsid w:val="003D3147"/>
    <w:rsid w:val="003D31A8"/>
    <w:rsid w:val="003D36C6"/>
    <w:rsid w:val="003D3EF7"/>
    <w:rsid w:val="003D4080"/>
    <w:rsid w:val="003D447C"/>
    <w:rsid w:val="003D48A9"/>
    <w:rsid w:val="003D4FD5"/>
    <w:rsid w:val="003D503C"/>
    <w:rsid w:val="003D5141"/>
    <w:rsid w:val="003D5514"/>
    <w:rsid w:val="003D5B3D"/>
    <w:rsid w:val="003D76A1"/>
    <w:rsid w:val="003D77B7"/>
    <w:rsid w:val="003D79ED"/>
    <w:rsid w:val="003D7AF1"/>
    <w:rsid w:val="003D7C00"/>
    <w:rsid w:val="003D7D50"/>
    <w:rsid w:val="003DEE22"/>
    <w:rsid w:val="003E033E"/>
    <w:rsid w:val="003E09CB"/>
    <w:rsid w:val="003E0ACD"/>
    <w:rsid w:val="003E1279"/>
    <w:rsid w:val="003E13F9"/>
    <w:rsid w:val="003E17F9"/>
    <w:rsid w:val="003E2276"/>
    <w:rsid w:val="003E23E3"/>
    <w:rsid w:val="003E280C"/>
    <w:rsid w:val="003E2B85"/>
    <w:rsid w:val="003E2D23"/>
    <w:rsid w:val="003E350A"/>
    <w:rsid w:val="003E3703"/>
    <w:rsid w:val="003E3C9C"/>
    <w:rsid w:val="003E3D88"/>
    <w:rsid w:val="003E4425"/>
    <w:rsid w:val="003E4485"/>
    <w:rsid w:val="003E47CC"/>
    <w:rsid w:val="003E4FC8"/>
    <w:rsid w:val="003E545D"/>
    <w:rsid w:val="003E5817"/>
    <w:rsid w:val="003E59FD"/>
    <w:rsid w:val="003E5BD2"/>
    <w:rsid w:val="003E5DCA"/>
    <w:rsid w:val="003E63EE"/>
    <w:rsid w:val="003E6567"/>
    <w:rsid w:val="003E6627"/>
    <w:rsid w:val="003E7943"/>
    <w:rsid w:val="003E7E3D"/>
    <w:rsid w:val="003E7F9E"/>
    <w:rsid w:val="003F00DC"/>
    <w:rsid w:val="003F09AD"/>
    <w:rsid w:val="003F0B94"/>
    <w:rsid w:val="003F1644"/>
    <w:rsid w:val="003F19E2"/>
    <w:rsid w:val="003F1A14"/>
    <w:rsid w:val="003F1D60"/>
    <w:rsid w:val="003F1E8C"/>
    <w:rsid w:val="003F2266"/>
    <w:rsid w:val="003F24D9"/>
    <w:rsid w:val="003F2647"/>
    <w:rsid w:val="003F27A5"/>
    <w:rsid w:val="003F2B30"/>
    <w:rsid w:val="003F2FF3"/>
    <w:rsid w:val="003F32F0"/>
    <w:rsid w:val="003F35B1"/>
    <w:rsid w:val="003F36AF"/>
    <w:rsid w:val="003F3909"/>
    <w:rsid w:val="003F3AC7"/>
    <w:rsid w:val="003F3B87"/>
    <w:rsid w:val="003F3F13"/>
    <w:rsid w:val="003F415D"/>
    <w:rsid w:val="003F41E6"/>
    <w:rsid w:val="003F44B9"/>
    <w:rsid w:val="003F4AB1"/>
    <w:rsid w:val="003F4EC1"/>
    <w:rsid w:val="003F53E1"/>
    <w:rsid w:val="003F6CAC"/>
    <w:rsid w:val="003F7169"/>
    <w:rsid w:val="003F7235"/>
    <w:rsid w:val="003F7969"/>
    <w:rsid w:val="003F7A8D"/>
    <w:rsid w:val="00400717"/>
    <w:rsid w:val="00401241"/>
    <w:rsid w:val="004012D5"/>
    <w:rsid w:val="004014BC"/>
    <w:rsid w:val="00401677"/>
    <w:rsid w:val="004018B9"/>
    <w:rsid w:val="004018E4"/>
    <w:rsid w:val="00401C91"/>
    <w:rsid w:val="0040257C"/>
    <w:rsid w:val="00402718"/>
    <w:rsid w:val="004027FB"/>
    <w:rsid w:val="00402DA9"/>
    <w:rsid w:val="00403770"/>
    <w:rsid w:val="004041BA"/>
    <w:rsid w:val="004042CB"/>
    <w:rsid w:val="0040493F"/>
    <w:rsid w:val="00404B76"/>
    <w:rsid w:val="00404E2D"/>
    <w:rsid w:val="0040525E"/>
    <w:rsid w:val="00405767"/>
    <w:rsid w:val="004059EB"/>
    <w:rsid w:val="00405C38"/>
    <w:rsid w:val="00405DFA"/>
    <w:rsid w:val="004062A6"/>
    <w:rsid w:val="004065BB"/>
    <w:rsid w:val="00406A8F"/>
    <w:rsid w:val="00406ABA"/>
    <w:rsid w:val="00406AF3"/>
    <w:rsid w:val="00406B06"/>
    <w:rsid w:val="00407087"/>
    <w:rsid w:val="00407508"/>
    <w:rsid w:val="004079F0"/>
    <w:rsid w:val="00407D94"/>
    <w:rsid w:val="004107E0"/>
    <w:rsid w:val="00410969"/>
    <w:rsid w:val="00410BDB"/>
    <w:rsid w:val="0041119D"/>
    <w:rsid w:val="004113C6"/>
    <w:rsid w:val="00411991"/>
    <w:rsid w:val="00411D18"/>
    <w:rsid w:val="00411EF2"/>
    <w:rsid w:val="0041268A"/>
    <w:rsid w:val="00412CFE"/>
    <w:rsid w:val="004131B9"/>
    <w:rsid w:val="00413550"/>
    <w:rsid w:val="004136FB"/>
    <w:rsid w:val="004137DD"/>
    <w:rsid w:val="00413AFA"/>
    <w:rsid w:val="004149C0"/>
    <w:rsid w:val="00414DFB"/>
    <w:rsid w:val="00415BB2"/>
    <w:rsid w:val="00415CFA"/>
    <w:rsid w:val="00415E15"/>
    <w:rsid w:val="00416027"/>
    <w:rsid w:val="004160FB"/>
    <w:rsid w:val="00416205"/>
    <w:rsid w:val="00416255"/>
    <w:rsid w:val="004169E1"/>
    <w:rsid w:val="00416FDE"/>
    <w:rsid w:val="004174EC"/>
    <w:rsid w:val="00417644"/>
    <w:rsid w:val="00420217"/>
    <w:rsid w:val="00420258"/>
    <w:rsid w:val="0042029B"/>
    <w:rsid w:val="004204FC"/>
    <w:rsid w:val="00420544"/>
    <w:rsid w:val="00420DB0"/>
    <w:rsid w:val="00421457"/>
    <w:rsid w:val="00421DF0"/>
    <w:rsid w:val="0042267F"/>
    <w:rsid w:val="00422C52"/>
    <w:rsid w:val="00423005"/>
    <w:rsid w:val="0042319D"/>
    <w:rsid w:val="00423273"/>
    <w:rsid w:val="0042345A"/>
    <w:rsid w:val="004236BC"/>
    <w:rsid w:val="0042379C"/>
    <w:rsid w:val="00424172"/>
    <w:rsid w:val="00424217"/>
    <w:rsid w:val="00424558"/>
    <w:rsid w:val="00424DEA"/>
    <w:rsid w:val="0042563B"/>
    <w:rsid w:val="00425679"/>
    <w:rsid w:val="00425F26"/>
    <w:rsid w:val="004261A8"/>
    <w:rsid w:val="004263BE"/>
    <w:rsid w:val="0042694C"/>
    <w:rsid w:val="004274A1"/>
    <w:rsid w:val="00427510"/>
    <w:rsid w:val="004279CC"/>
    <w:rsid w:val="004300A1"/>
    <w:rsid w:val="004301BC"/>
    <w:rsid w:val="00430323"/>
    <w:rsid w:val="00430681"/>
    <w:rsid w:val="00430F5D"/>
    <w:rsid w:val="004310C3"/>
    <w:rsid w:val="004313F7"/>
    <w:rsid w:val="00432824"/>
    <w:rsid w:val="004329EA"/>
    <w:rsid w:val="00432AB4"/>
    <w:rsid w:val="00432EFE"/>
    <w:rsid w:val="00432F81"/>
    <w:rsid w:val="00432F93"/>
    <w:rsid w:val="004331C2"/>
    <w:rsid w:val="0043406B"/>
    <w:rsid w:val="004349B2"/>
    <w:rsid w:val="00434C9D"/>
    <w:rsid w:val="00434D29"/>
    <w:rsid w:val="00434EA2"/>
    <w:rsid w:val="0043514C"/>
    <w:rsid w:val="00435942"/>
    <w:rsid w:val="004359C2"/>
    <w:rsid w:val="00435DF4"/>
    <w:rsid w:val="00436330"/>
    <w:rsid w:val="0043647F"/>
    <w:rsid w:val="00436643"/>
    <w:rsid w:val="00436A4D"/>
    <w:rsid w:val="0043720D"/>
    <w:rsid w:val="00437758"/>
    <w:rsid w:val="00437B59"/>
    <w:rsid w:val="00437F0E"/>
    <w:rsid w:val="00440723"/>
    <w:rsid w:val="00440742"/>
    <w:rsid w:val="00440E34"/>
    <w:rsid w:val="00441B76"/>
    <w:rsid w:val="004421D6"/>
    <w:rsid w:val="004423E0"/>
    <w:rsid w:val="004426E2"/>
    <w:rsid w:val="00442A30"/>
    <w:rsid w:val="00442B12"/>
    <w:rsid w:val="00442D66"/>
    <w:rsid w:val="00443096"/>
    <w:rsid w:val="004430AC"/>
    <w:rsid w:val="00443343"/>
    <w:rsid w:val="0044345B"/>
    <w:rsid w:val="00443B31"/>
    <w:rsid w:val="00443EAD"/>
    <w:rsid w:val="004440D2"/>
    <w:rsid w:val="0044463B"/>
    <w:rsid w:val="0044477C"/>
    <w:rsid w:val="0044497C"/>
    <w:rsid w:val="00444D49"/>
    <w:rsid w:val="00444DF6"/>
    <w:rsid w:val="00445F02"/>
    <w:rsid w:val="00446875"/>
    <w:rsid w:val="00446AA1"/>
    <w:rsid w:val="00446C3E"/>
    <w:rsid w:val="00446C92"/>
    <w:rsid w:val="00447407"/>
    <w:rsid w:val="004475CF"/>
    <w:rsid w:val="00447664"/>
    <w:rsid w:val="0044778E"/>
    <w:rsid w:val="00447D29"/>
    <w:rsid w:val="00447D5C"/>
    <w:rsid w:val="00447FC0"/>
    <w:rsid w:val="004502EA"/>
    <w:rsid w:val="00451003"/>
    <w:rsid w:val="0045134B"/>
    <w:rsid w:val="00451C85"/>
    <w:rsid w:val="00451CC0"/>
    <w:rsid w:val="00451DED"/>
    <w:rsid w:val="00451FF3"/>
    <w:rsid w:val="00452088"/>
    <w:rsid w:val="0045240D"/>
    <w:rsid w:val="00452882"/>
    <w:rsid w:val="0045295B"/>
    <w:rsid w:val="00453337"/>
    <w:rsid w:val="004533DF"/>
    <w:rsid w:val="004534DD"/>
    <w:rsid w:val="004539C0"/>
    <w:rsid w:val="004543AE"/>
    <w:rsid w:val="0045449A"/>
    <w:rsid w:val="00454976"/>
    <w:rsid w:val="00454BEB"/>
    <w:rsid w:val="00454E4B"/>
    <w:rsid w:val="00455015"/>
    <w:rsid w:val="004561EE"/>
    <w:rsid w:val="00456256"/>
    <w:rsid w:val="00456287"/>
    <w:rsid w:val="00456508"/>
    <w:rsid w:val="00456B92"/>
    <w:rsid w:val="00457088"/>
    <w:rsid w:val="00457661"/>
    <w:rsid w:val="0045775B"/>
    <w:rsid w:val="00457F7E"/>
    <w:rsid w:val="00460010"/>
    <w:rsid w:val="004600EE"/>
    <w:rsid w:val="00460604"/>
    <w:rsid w:val="004608FD"/>
    <w:rsid w:val="00460A05"/>
    <w:rsid w:val="00460D09"/>
    <w:rsid w:val="00460FD3"/>
    <w:rsid w:val="00461881"/>
    <w:rsid w:val="00461C75"/>
    <w:rsid w:val="00461E6C"/>
    <w:rsid w:val="004624AF"/>
    <w:rsid w:val="00462741"/>
    <w:rsid w:val="00462991"/>
    <w:rsid w:val="00462EE4"/>
    <w:rsid w:val="004633AC"/>
    <w:rsid w:val="004637A9"/>
    <w:rsid w:val="00463984"/>
    <w:rsid w:val="00463E60"/>
    <w:rsid w:val="004646CE"/>
    <w:rsid w:val="00464B7F"/>
    <w:rsid w:val="00464CB6"/>
    <w:rsid w:val="0046507C"/>
    <w:rsid w:val="00465295"/>
    <w:rsid w:val="00465429"/>
    <w:rsid w:val="0046549F"/>
    <w:rsid w:val="00465545"/>
    <w:rsid w:val="0046582B"/>
    <w:rsid w:val="00465D25"/>
    <w:rsid w:val="00465D6F"/>
    <w:rsid w:val="00465EFA"/>
    <w:rsid w:val="004662FD"/>
    <w:rsid w:val="00466898"/>
    <w:rsid w:val="00466BDB"/>
    <w:rsid w:val="004673F2"/>
    <w:rsid w:val="00467A31"/>
    <w:rsid w:val="00467DEA"/>
    <w:rsid w:val="00467E4B"/>
    <w:rsid w:val="00470704"/>
    <w:rsid w:val="00470831"/>
    <w:rsid w:val="00470A3C"/>
    <w:rsid w:val="00470AA6"/>
    <w:rsid w:val="00470C98"/>
    <w:rsid w:val="0047108F"/>
    <w:rsid w:val="00471092"/>
    <w:rsid w:val="004713C2"/>
    <w:rsid w:val="0047169D"/>
    <w:rsid w:val="004717EB"/>
    <w:rsid w:val="004719D0"/>
    <w:rsid w:val="004719E4"/>
    <w:rsid w:val="00471A55"/>
    <w:rsid w:val="004724AB"/>
    <w:rsid w:val="0047266A"/>
    <w:rsid w:val="004727EE"/>
    <w:rsid w:val="00472CDB"/>
    <w:rsid w:val="00472F6E"/>
    <w:rsid w:val="004731AB"/>
    <w:rsid w:val="00473AD5"/>
    <w:rsid w:val="00473B5D"/>
    <w:rsid w:val="00473CE9"/>
    <w:rsid w:val="00473E30"/>
    <w:rsid w:val="00474020"/>
    <w:rsid w:val="00474139"/>
    <w:rsid w:val="004749B4"/>
    <w:rsid w:val="00474A83"/>
    <w:rsid w:val="00474ACA"/>
    <w:rsid w:val="0047588C"/>
    <w:rsid w:val="00475938"/>
    <w:rsid w:val="00475ED1"/>
    <w:rsid w:val="00475F8D"/>
    <w:rsid w:val="00476027"/>
    <w:rsid w:val="00476531"/>
    <w:rsid w:val="00476750"/>
    <w:rsid w:val="004768CB"/>
    <w:rsid w:val="00476A0E"/>
    <w:rsid w:val="004778FD"/>
    <w:rsid w:val="00477C83"/>
    <w:rsid w:val="00480A5C"/>
    <w:rsid w:val="00480DED"/>
    <w:rsid w:val="004810C2"/>
    <w:rsid w:val="00481576"/>
    <w:rsid w:val="004818FD"/>
    <w:rsid w:val="00482328"/>
    <w:rsid w:val="00482397"/>
    <w:rsid w:val="004825E8"/>
    <w:rsid w:val="0048279E"/>
    <w:rsid w:val="00482D84"/>
    <w:rsid w:val="00482DF7"/>
    <w:rsid w:val="00483996"/>
    <w:rsid w:val="00483A70"/>
    <w:rsid w:val="00484627"/>
    <w:rsid w:val="004847A5"/>
    <w:rsid w:val="00484C63"/>
    <w:rsid w:val="00485012"/>
    <w:rsid w:val="004850D5"/>
    <w:rsid w:val="0048534D"/>
    <w:rsid w:val="004854B4"/>
    <w:rsid w:val="00485A7C"/>
    <w:rsid w:val="0048622C"/>
    <w:rsid w:val="00486590"/>
    <w:rsid w:val="0048664C"/>
    <w:rsid w:val="00486E1A"/>
    <w:rsid w:val="00486E86"/>
    <w:rsid w:val="004872DE"/>
    <w:rsid w:val="00487E22"/>
    <w:rsid w:val="00490579"/>
    <w:rsid w:val="00490B23"/>
    <w:rsid w:val="00491072"/>
    <w:rsid w:val="00491080"/>
    <w:rsid w:val="00491095"/>
    <w:rsid w:val="004911A0"/>
    <w:rsid w:val="004916AE"/>
    <w:rsid w:val="0049191B"/>
    <w:rsid w:val="00491A68"/>
    <w:rsid w:val="00491D69"/>
    <w:rsid w:val="00491F3D"/>
    <w:rsid w:val="004921AC"/>
    <w:rsid w:val="004923D7"/>
    <w:rsid w:val="00492641"/>
    <w:rsid w:val="004927C2"/>
    <w:rsid w:val="00492D9C"/>
    <w:rsid w:val="00492DDC"/>
    <w:rsid w:val="00493098"/>
    <w:rsid w:val="00493131"/>
    <w:rsid w:val="00493379"/>
    <w:rsid w:val="0049344C"/>
    <w:rsid w:val="004936C9"/>
    <w:rsid w:val="00493949"/>
    <w:rsid w:val="0049408E"/>
    <w:rsid w:val="004942A2"/>
    <w:rsid w:val="00494BC5"/>
    <w:rsid w:val="00494ED1"/>
    <w:rsid w:val="00494FFE"/>
    <w:rsid w:val="004953F3"/>
    <w:rsid w:val="00495485"/>
    <w:rsid w:val="00495B18"/>
    <w:rsid w:val="00495BA6"/>
    <w:rsid w:val="00495F44"/>
    <w:rsid w:val="004967C1"/>
    <w:rsid w:val="004969A5"/>
    <w:rsid w:val="00496D7C"/>
    <w:rsid w:val="004971A6"/>
    <w:rsid w:val="00497584"/>
    <w:rsid w:val="00497CF2"/>
    <w:rsid w:val="004A0087"/>
    <w:rsid w:val="004A059D"/>
    <w:rsid w:val="004A0655"/>
    <w:rsid w:val="004A0FB8"/>
    <w:rsid w:val="004A12A8"/>
    <w:rsid w:val="004A18E2"/>
    <w:rsid w:val="004A1A97"/>
    <w:rsid w:val="004A2090"/>
    <w:rsid w:val="004A2DC0"/>
    <w:rsid w:val="004A30A3"/>
    <w:rsid w:val="004A3388"/>
    <w:rsid w:val="004A3602"/>
    <w:rsid w:val="004A3761"/>
    <w:rsid w:val="004A39ED"/>
    <w:rsid w:val="004A3DE7"/>
    <w:rsid w:val="004A413E"/>
    <w:rsid w:val="004A4681"/>
    <w:rsid w:val="004A46B5"/>
    <w:rsid w:val="004A5024"/>
    <w:rsid w:val="004A504B"/>
    <w:rsid w:val="004A523A"/>
    <w:rsid w:val="004A5B3A"/>
    <w:rsid w:val="004A5D36"/>
    <w:rsid w:val="004A6179"/>
    <w:rsid w:val="004A617B"/>
    <w:rsid w:val="004A6181"/>
    <w:rsid w:val="004A65C3"/>
    <w:rsid w:val="004A67AC"/>
    <w:rsid w:val="004A68A2"/>
    <w:rsid w:val="004A69A5"/>
    <w:rsid w:val="004A6E83"/>
    <w:rsid w:val="004A734E"/>
    <w:rsid w:val="004A7628"/>
    <w:rsid w:val="004B0025"/>
    <w:rsid w:val="004B0048"/>
    <w:rsid w:val="004B0348"/>
    <w:rsid w:val="004B08A2"/>
    <w:rsid w:val="004B1211"/>
    <w:rsid w:val="004B1773"/>
    <w:rsid w:val="004B1AB7"/>
    <w:rsid w:val="004B2278"/>
    <w:rsid w:val="004B2417"/>
    <w:rsid w:val="004B25F4"/>
    <w:rsid w:val="004B2776"/>
    <w:rsid w:val="004B2C14"/>
    <w:rsid w:val="004B2CB2"/>
    <w:rsid w:val="004B2E45"/>
    <w:rsid w:val="004B2E97"/>
    <w:rsid w:val="004B3511"/>
    <w:rsid w:val="004B37D9"/>
    <w:rsid w:val="004B3C14"/>
    <w:rsid w:val="004B3D1B"/>
    <w:rsid w:val="004B4170"/>
    <w:rsid w:val="004B4314"/>
    <w:rsid w:val="004B4E13"/>
    <w:rsid w:val="004B52F8"/>
    <w:rsid w:val="004B5732"/>
    <w:rsid w:val="004B5AF0"/>
    <w:rsid w:val="004B6062"/>
    <w:rsid w:val="004B6285"/>
    <w:rsid w:val="004B6457"/>
    <w:rsid w:val="004B6C89"/>
    <w:rsid w:val="004B6D02"/>
    <w:rsid w:val="004B6D43"/>
    <w:rsid w:val="004B6F21"/>
    <w:rsid w:val="004B74AF"/>
    <w:rsid w:val="004B78FD"/>
    <w:rsid w:val="004B7CCD"/>
    <w:rsid w:val="004C037D"/>
    <w:rsid w:val="004C1270"/>
    <w:rsid w:val="004C13D2"/>
    <w:rsid w:val="004C2080"/>
    <w:rsid w:val="004C2252"/>
    <w:rsid w:val="004C2544"/>
    <w:rsid w:val="004C258F"/>
    <w:rsid w:val="004C25C6"/>
    <w:rsid w:val="004C27EC"/>
    <w:rsid w:val="004C3338"/>
    <w:rsid w:val="004C33EC"/>
    <w:rsid w:val="004C36E5"/>
    <w:rsid w:val="004C3BEF"/>
    <w:rsid w:val="004C3C04"/>
    <w:rsid w:val="004C3C1B"/>
    <w:rsid w:val="004C3C30"/>
    <w:rsid w:val="004C3DBC"/>
    <w:rsid w:val="004C40AC"/>
    <w:rsid w:val="004C433E"/>
    <w:rsid w:val="004C4650"/>
    <w:rsid w:val="004C47A9"/>
    <w:rsid w:val="004C4943"/>
    <w:rsid w:val="004C4AEE"/>
    <w:rsid w:val="004C4C49"/>
    <w:rsid w:val="004C4FD9"/>
    <w:rsid w:val="004C53D3"/>
    <w:rsid w:val="004C540D"/>
    <w:rsid w:val="004C5769"/>
    <w:rsid w:val="004C5CDB"/>
    <w:rsid w:val="004C5EF7"/>
    <w:rsid w:val="004C6361"/>
    <w:rsid w:val="004C65B4"/>
    <w:rsid w:val="004C66E0"/>
    <w:rsid w:val="004C6872"/>
    <w:rsid w:val="004C6CCE"/>
    <w:rsid w:val="004C6F96"/>
    <w:rsid w:val="004C720D"/>
    <w:rsid w:val="004C76D7"/>
    <w:rsid w:val="004C77EB"/>
    <w:rsid w:val="004CB7A0"/>
    <w:rsid w:val="004D01D1"/>
    <w:rsid w:val="004D0361"/>
    <w:rsid w:val="004D0445"/>
    <w:rsid w:val="004D0541"/>
    <w:rsid w:val="004D0681"/>
    <w:rsid w:val="004D0721"/>
    <w:rsid w:val="004D09A2"/>
    <w:rsid w:val="004D1562"/>
    <w:rsid w:val="004D16A1"/>
    <w:rsid w:val="004D19A0"/>
    <w:rsid w:val="004D2836"/>
    <w:rsid w:val="004D3604"/>
    <w:rsid w:val="004D3888"/>
    <w:rsid w:val="004D3CE4"/>
    <w:rsid w:val="004D3D5E"/>
    <w:rsid w:val="004D4236"/>
    <w:rsid w:val="004D4494"/>
    <w:rsid w:val="004D4A07"/>
    <w:rsid w:val="004D4B33"/>
    <w:rsid w:val="004D4D38"/>
    <w:rsid w:val="004D4DC9"/>
    <w:rsid w:val="004D5235"/>
    <w:rsid w:val="004D543A"/>
    <w:rsid w:val="004D557D"/>
    <w:rsid w:val="004D56EC"/>
    <w:rsid w:val="004D5834"/>
    <w:rsid w:val="004D597C"/>
    <w:rsid w:val="004D5C21"/>
    <w:rsid w:val="004D617B"/>
    <w:rsid w:val="004D6C40"/>
    <w:rsid w:val="004D72F4"/>
    <w:rsid w:val="004D75E8"/>
    <w:rsid w:val="004D7BF4"/>
    <w:rsid w:val="004D7D5C"/>
    <w:rsid w:val="004D7E3D"/>
    <w:rsid w:val="004E012E"/>
    <w:rsid w:val="004E0B81"/>
    <w:rsid w:val="004E0E35"/>
    <w:rsid w:val="004E1574"/>
    <w:rsid w:val="004E1641"/>
    <w:rsid w:val="004E168D"/>
    <w:rsid w:val="004E1A35"/>
    <w:rsid w:val="004E226D"/>
    <w:rsid w:val="004E23FD"/>
    <w:rsid w:val="004E29C8"/>
    <w:rsid w:val="004E2B7A"/>
    <w:rsid w:val="004E2BBF"/>
    <w:rsid w:val="004E2C2A"/>
    <w:rsid w:val="004E2C2B"/>
    <w:rsid w:val="004E2D8E"/>
    <w:rsid w:val="004E3421"/>
    <w:rsid w:val="004E3BD0"/>
    <w:rsid w:val="004E3BE7"/>
    <w:rsid w:val="004E3FFB"/>
    <w:rsid w:val="004E41AE"/>
    <w:rsid w:val="004E44E5"/>
    <w:rsid w:val="004E53A0"/>
    <w:rsid w:val="004E53B6"/>
    <w:rsid w:val="004E563F"/>
    <w:rsid w:val="004E5848"/>
    <w:rsid w:val="004E584C"/>
    <w:rsid w:val="004E5B2B"/>
    <w:rsid w:val="004E5D01"/>
    <w:rsid w:val="004E657D"/>
    <w:rsid w:val="004E66EF"/>
    <w:rsid w:val="004E673F"/>
    <w:rsid w:val="004E6A9C"/>
    <w:rsid w:val="004E70A5"/>
    <w:rsid w:val="004E7169"/>
    <w:rsid w:val="004E716A"/>
    <w:rsid w:val="004E73A3"/>
    <w:rsid w:val="004E75EC"/>
    <w:rsid w:val="004E7B99"/>
    <w:rsid w:val="004F01F2"/>
    <w:rsid w:val="004F0414"/>
    <w:rsid w:val="004F0466"/>
    <w:rsid w:val="004F0624"/>
    <w:rsid w:val="004F087E"/>
    <w:rsid w:val="004F088D"/>
    <w:rsid w:val="004F0BBD"/>
    <w:rsid w:val="004F0BE8"/>
    <w:rsid w:val="004F1167"/>
    <w:rsid w:val="004F15D7"/>
    <w:rsid w:val="004F32A8"/>
    <w:rsid w:val="004F3838"/>
    <w:rsid w:val="004F3CA3"/>
    <w:rsid w:val="004F4503"/>
    <w:rsid w:val="004F4CF4"/>
    <w:rsid w:val="004F4E06"/>
    <w:rsid w:val="004F5356"/>
    <w:rsid w:val="004F57ED"/>
    <w:rsid w:val="004F5AA0"/>
    <w:rsid w:val="004F5C13"/>
    <w:rsid w:val="004F6304"/>
    <w:rsid w:val="004F66BB"/>
    <w:rsid w:val="004F6917"/>
    <w:rsid w:val="004F6C28"/>
    <w:rsid w:val="004F6DB9"/>
    <w:rsid w:val="004F7313"/>
    <w:rsid w:val="004F7315"/>
    <w:rsid w:val="004F7893"/>
    <w:rsid w:val="004F7AE2"/>
    <w:rsid w:val="004F7C0D"/>
    <w:rsid w:val="004F7DA2"/>
    <w:rsid w:val="004F7E32"/>
    <w:rsid w:val="005000AB"/>
    <w:rsid w:val="0050045D"/>
    <w:rsid w:val="00500567"/>
    <w:rsid w:val="0050088C"/>
    <w:rsid w:val="00501C23"/>
    <w:rsid w:val="00501D62"/>
    <w:rsid w:val="00501F15"/>
    <w:rsid w:val="005026A6"/>
    <w:rsid w:val="0050285B"/>
    <w:rsid w:val="00502AAD"/>
    <w:rsid w:val="00502B47"/>
    <w:rsid w:val="0050306D"/>
    <w:rsid w:val="0050327B"/>
    <w:rsid w:val="00503AB7"/>
    <w:rsid w:val="00504389"/>
    <w:rsid w:val="00504466"/>
    <w:rsid w:val="00504848"/>
    <w:rsid w:val="00504A7C"/>
    <w:rsid w:val="00504A90"/>
    <w:rsid w:val="00504B10"/>
    <w:rsid w:val="00504BBE"/>
    <w:rsid w:val="00504D78"/>
    <w:rsid w:val="0050503A"/>
    <w:rsid w:val="005057AD"/>
    <w:rsid w:val="00505875"/>
    <w:rsid w:val="005060DA"/>
    <w:rsid w:val="0050669B"/>
    <w:rsid w:val="005069AE"/>
    <w:rsid w:val="00506C79"/>
    <w:rsid w:val="00506DC8"/>
    <w:rsid w:val="00506E5B"/>
    <w:rsid w:val="00506F34"/>
    <w:rsid w:val="00507048"/>
    <w:rsid w:val="005108AF"/>
    <w:rsid w:val="005108F8"/>
    <w:rsid w:val="00510A58"/>
    <w:rsid w:val="00510AE6"/>
    <w:rsid w:val="00510DF8"/>
    <w:rsid w:val="00510FB9"/>
    <w:rsid w:val="0051105A"/>
    <w:rsid w:val="00511240"/>
    <w:rsid w:val="005114C2"/>
    <w:rsid w:val="005115FD"/>
    <w:rsid w:val="00511B27"/>
    <w:rsid w:val="00511D26"/>
    <w:rsid w:val="00511E96"/>
    <w:rsid w:val="005121D1"/>
    <w:rsid w:val="00512250"/>
    <w:rsid w:val="005127D6"/>
    <w:rsid w:val="00512A71"/>
    <w:rsid w:val="00512FB4"/>
    <w:rsid w:val="005132AB"/>
    <w:rsid w:val="005135BD"/>
    <w:rsid w:val="00513685"/>
    <w:rsid w:val="0051407B"/>
    <w:rsid w:val="00514130"/>
    <w:rsid w:val="00514231"/>
    <w:rsid w:val="005146DC"/>
    <w:rsid w:val="00514708"/>
    <w:rsid w:val="005149F3"/>
    <w:rsid w:val="00514B93"/>
    <w:rsid w:val="00514D4A"/>
    <w:rsid w:val="00514E15"/>
    <w:rsid w:val="0051564B"/>
    <w:rsid w:val="00515A77"/>
    <w:rsid w:val="00515D35"/>
    <w:rsid w:val="00516082"/>
    <w:rsid w:val="005160A1"/>
    <w:rsid w:val="0051617D"/>
    <w:rsid w:val="00516211"/>
    <w:rsid w:val="0051623B"/>
    <w:rsid w:val="005166EE"/>
    <w:rsid w:val="0051768A"/>
    <w:rsid w:val="005178CB"/>
    <w:rsid w:val="00517A64"/>
    <w:rsid w:val="005200FC"/>
    <w:rsid w:val="00520296"/>
    <w:rsid w:val="005202C1"/>
    <w:rsid w:val="00520A8D"/>
    <w:rsid w:val="00520C6C"/>
    <w:rsid w:val="0052107B"/>
    <w:rsid w:val="00521107"/>
    <w:rsid w:val="00521B3C"/>
    <w:rsid w:val="00522302"/>
    <w:rsid w:val="00522352"/>
    <w:rsid w:val="00522E18"/>
    <w:rsid w:val="00522FE5"/>
    <w:rsid w:val="0052313B"/>
    <w:rsid w:val="005234E7"/>
    <w:rsid w:val="005238C6"/>
    <w:rsid w:val="00523BBA"/>
    <w:rsid w:val="00524185"/>
    <w:rsid w:val="0052436C"/>
    <w:rsid w:val="0052503F"/>
    <w:rsid w:val="00525199"/>
    <w:rsid w:val="00525379"/>
    <w:rsid w:val="00526455"/>
    <w:rsid w:val="00526626"/>
    <w:rsid w:val="0052679B"/>
    <w:rsid w:val="00526E9C"/>
    <w:rsid w:val="005270DC"/>
    <w:rsid w:val="00527208"/>
    <w:rsid w:val="0052752C"/>
    <w:rsid w:val="0052774F"/>
    <w:rsid w:val="005279D3"/>
    <w:rsid w:val="00531040"/>
    <w:rsid w:val="005312B4"/>
    <w:rsid w:val="005313EB"/>
    <w:rsid w:val="00531495"/>
    <w:rsid w:val="005318EC"/>
    <w:rsid w:val="005325C4"/>
    <w:rsid w:val="00532976"/>
    <w:rsid w:val="00532A9F"/>
    <w:rsid w:val="00532CF3"/>
    <w:rsid w:val="00533972"/>
    <w:rsid w:val="00533F87"/>
    <w:rsid w:val="00534674"/>
    <w:rsid w:val="005347BC"/>
    <w:rsid w:val="00534F37"/>
    <w:rsid w:val="00536067"/>
    <w:rsid w:val="005360E9"/>
    <w:rsid w:val="0053628B"/>
    <w:rsid w:val="0053642A"/>
    <w:rsid w:val="00536672"/>
    <w:rsid w:val="00536707"/>
    <w:rsid w:val="005374C6"/>
    <w:rsid w:val="00537555"/>
    <w:rsid w:val="00537729"/>
    <w:rsid w:val="00537D71"/>
    <w:rsid w:val="00537E4A"/>
    <w:rsid w:val="0054012D"/>
    <w:rsid w:val="005411D2"/>
    <w:rsid w:val="0054126C"/>
    <w:rsid w:val="0054129A"/>
    <w:rsid w:val="00541486"/>
    <w:rsid w:val="00541B95"/>
    <w:rsid w:val="00542144"/>
    <w:rsid w:val="00542627"/>
    <w:rsid w:val="00542B76"/>
    <w:rsid w:val="00542C8A"/>
    <w:rsid w:val="00542DE9"/>
    <w:rsid w:val="00542FA9"/>
    <w:rsid w:val="005436B4"/>
    <w:rsid w:val="005437DE"/>
    <w:rsid w:val="00543AEB"/>
    <w:rsid w:val="00543DF0"/>
    <w:rsid w:val="00543E2E"/>
    <w:rsid w:val="005445E8"/>
    <w:rsid w:val="00544D93"/>
    <w:rsid w:val="00544F98"/>
    <w:rsid w:val="00545200"/>
    <w:rsid w:val="005452AB"/>
    <w:rsid w:val="00545538"/>
    <w:rsid w:val="00545701"/>
    <w:rsid w:val="005459EB"/>
    <w:rsid w:val="00545B27"/>
    <w:rsid w:val="00545C69"/>
    <w:rsid w:val="00545D08"/>
    <w:rsid w:val="00545F04"/>
    <w:rsid w:val="005462FD"/>
    <w:rsid w:val="00546A53"/>
    <w:rsid w:val="00546FB2"/>
    <w:rsid w:val="0055004B"/>
    <w:rsid w:val="0055037A"/>
    <w:rsid w:val="0055047D"/>
    <w:rsid w:val="00550A38"/>
    <w:rsid w:val="00550B1D"/>
    <w:rsid w:val="00551180"/>
    <w:rsid w:val="00551474"/>
    <w:rsid w:val="005514EC"/>
    <w:rsid w:val="00551C15"/>
    <w:rsid w:val="00551C21"/>
    <w:rsid w:val="00551F34"/>
    <w:rsid w:val="0055208E"/>
    <w:rsid w:val="005521D8"/>
    <w:rsid w:val="00553283"/>
    <w:rsid w:val="00553705"/>
    <w:rsid w:val="0055391A"/>
    <w:rsid w:val="00553F3E"/>
    <w:rsid w:val="005540E6"/>
    <w:rsid w:val="005543AF"/>
    <w:rsid w:val="00554434"/>
    <w:rsid w:val="005549C0"/>
    <w:rsid w:val="00554E89"/>
    <w:rsid w:val="005550A4"/>
    <w:rsid w:val="005550CA"/>
    <w:rsid w:val="00555240"/>
    <w:rsid w:val="0055531D"/>
    <w:rsid w:val="00555391"/>
    <w:rsid w:val="005553C0"/>
    <w:rsid w:val="005553C9"/>
    <w:rsid w:val="005555F7"/>
    <w:rsid w:val="00555AFF"/>
    <w:rsid w:val="005561F2"/>
    <w:rsid w:val="0055650E"/>
    <w:rsid w:val="00556A21"/>
    <w:rsid w:val="00557881"/>
    <w:rsid w:val="005608EB"/>
    <w:rsid w:val="0056091E"/>
    <w:rsid w:val="00560A45"/>
    <w:rsid w:val="00560A57"/>
    <w:rsid w:val="00560C30"/>
    <w:rsid w:val="00560DEF"/>
    <w:rsid w:val="005612C6"/>
    <w:rsid w:val="00561978"/>
    <w:rsid w:val="005622D0"/>
    <w:rsid w:val="0056279D"/>
    <w:rsid w:val="00562962"/>
    <w:rsid w:val="005632C9"/>
    <w:rsid w:val="005633B7"/>
    <w:rsid w:val="00563860"/>
    <w:rsid w:val="00563A96"/>
    <w:rsid w:val="00563E98"/>
    <w:rsid w:val="00564304"/>
    <w:rsid w:val="0056445D"/>
    <w:rsid w:val="00564505"/>
    <w:rsid w:val="0056454C"/>
    <w:rsid w:val="005649E5"/>
    <w:rsid w:val="00564F9C"/>
    <w:rsid w:val="0056517E"/>
    <w:rsid w:val="0056551A"/>
    <w:rsid w:val="00565900"/>
    <w:rsid w:val="00566560"/>
    <w:rsid w:val="00566648"/>
    <w:rsid w:val="00566654"/>
    <w:rsid w:val="00566680"/>
    <w:rsid w:val="005666AB"/>
    <w:rsid w:val="00567FDD"/>
    <w:rsid w:val="00570331"/>
    <w:rsid w:val="0057033A"/>
    <w:rsid w:val="005705E8"/>
    <w:rsid w:val="0057062B"/>
    <w:rsid w:val="00570962"/>
    <w:rsid w:val="00570A0E"/>
    <w:rsid w:val="0057110D"/>
    <w:rsid w:val="00571136"/>
    <w:rsid w:val="0057117D"/>
    <w:rsid w:val="00571532"/>
    <w:rsid w:val="005715EA"/>
    <w:rsid w:val="00571B96"/>
    <w:rsid w:val="00571FA9"/>
    <w:rsid w:val="00572612"/>
    <w:rsid w:val="0057369E"/>
    <w:rsid w:val="0057447A"/>
    <w:rsid w:val="00574B36"/>
    <w:rsid w:val="00575192"/>
    <w:rsid w:val="00575BA5"/>
    <w:rsid w:val="0057630F"/>
    <w:rsid w:val="005765A7"/>
    <w:rsid w:val="0057696D"/>
    <w:rsid w:val="00576E6B"/>
    <w:rsid w:val="00576EB1"/>
    <w:rsid w:val="0057733F"/>
    <w:rsid w:val="005775EB"/>
    <w:rsid w:val="005776DB"/>
    <w:rsid w:val="00577A97"/>
    <w:rsid w:val="00580103"/>
    <w:rsid w:val="00580255"/>
    <w:rsid w:val="00580541"/>
    <w:rsid w:val="00580D4B"/>
    <w:rsid w:val="00581278"/>
    <w:rsid w:val="00581280"/>
    <w:rsid w:val="0058174B"/>
    <w:rsid w:val="0058185F"/>
    <w:rsid w:val="00582786"/>
    <w:rsid w:val="00582C23"/>
    <w:rsid w:val="00584086"/>
    <w:rsid w:val="0058456A"/>
    <w:rsid w:val="00584601"/>
    <w:rsid w:val="0058471A"/>
    <w:rsid w:val="0058497A"/>
    <w:rsid w:val="00585419"/>
    <w:rsid w:val="00585501"/>
    <w:rsid w:val="00585822"/>
    <w:rsid w:val="005859DF"/>
    <w:rsid w:val="00585C08"/>
    <w:rsid w:val="005860CC"/>
    <w:rsid w:val="00586221"/>
    <w:rsid w:val="005865F7"/>
    <w:rsid w:val="00586834"/>
    <w:rsid w:val="00586EBB"/>
    <w:rsid w:val="00586F97"/>
    <w:rsid w:val="0058791A"/>
    <w:rsid w:val="0058796C"/>
    <w:rsid w:val="005901A7"/>
    <w:rsid w:val="005901C0"/>
    <w:rsid w:val="00590BDA"/>
    <w:rsid w:val="00590CDD"/>
    <w:rsid w:val="00592B26"/>
    <w:rsid w:val="00592DC5"/>
    <w:rsid w:val="00592EB4"/>
    <w:rsid w:val="005933D7"/>
    <w:rsid w:val="005935BF"/>
    <w:rsid w:val="00593BEB"/>
    <w:rsid w:val="0059462B"/>
    <w:rsid w:val="0059466E"/>
    <w:rsid w:val="005946DD"/>
    <w:rsid w:val="00594800"/>
    <w:rsid w:val="00594B6B"/>
    <w:rsid w:val="00594C63"/>
    <w:rsid w:val="0059532E"/>
    <w:rsid w:val="00595413"/>
    <w:rsid w:val="00595783"/>
    <w:rsid w:val="00595A6C"/>
    <w:rsid w:val="00595FAC"/>
    <w:rsid w:val="00596286"/>
    <w:rsid w:val="005964FD"/>
    <w:rsid w:val="00596EAB"/>
    <w:rsid w:val="005972CD"/>
    <w:rsid w:val="0059740D"/>
    <w:rsid w:val="00597CB1"/>
    <w:rsid w:val="00597ED6"/>
    <w:rsid w:val="005A0176"/>
    <w:rsid w:val="005A03F8"/>
    <w:rsid w:val="005A0513"/>
    <w:rsid w:val="005A09FA"/>
    <w:rsid w:val="005A0A11"/>
    <w:rsid w:val="005A0A44"/>
    <w:rsid w:val="005A0BBD"/>
    <w:rsid w:val="005A0D7E"/>
    <w:rsid w:val="005A1010"/>
    <w:rsid w:val="005A11EF"/>
    <w:rsid w:val="005A1317"/>
    <w:rsid w:val="005A1D06"/>
    <w:rsid w:val="005A236B"/>
    <w:rsid w:val="005A2495"/>
    <w:rsid w:val="005A2971"/>
    <w:rsid w:val="005A2B9F"/>
    <w:rsid w:val="005A34B0"/>
    <w:rsid w:val="005A3796"/>
    <w:rsid w:val="005A3E3A"/>
    <w:rsid w:val="005A46B8"/>
    <w:rsid w:val="005A46BD"/>
    <w:rsid w:val="005A479A"/>
    <w:rsid w:val="005A4D84"/>
    <w:rsid w:val="005A4DA5"/>
    <w:rsid w:val="005A4F96"/>
    <w:rsid w:val="005A51A6"/>
    <w:rsid w:val="005A539B"/>
    <w:rsid w:val="005A5418"/>
    <w:rsid w:val="005A58A4"/>
    <w:rsid w:val="005A5A49"/>
    <w:rsid w:val="005A659B"/>
    <w:rsid w:val="005A6959"/>
    <w:rsid w:val="005A71C5"/>
    <w:rsid w:val="005A77CD"/>
    <w:rsid w:val="005A7C9F"/>
    <w:rsid w:val="005A7F19"/>
    <w:rsid w:val="005A7F60"/>
    <w:rsid w:val="005B0284"/>
    <w:rsid w:val="005B02F8"/>
    <w:rsid w:val="005B0488"/>
    <w:rsid w:val="005B0595"/>
    <w:rsid w:val="005B05F5"/>
    <w:rsid w:val="005B07E0"/>
    <w:rsid w:val="005B17F8"/>
    <w:rsid w:val="005B1923"/>
    <w:rsid w:val="005B1ABD"/>
    <w:rsid w:val="005B2338"/>
    <w:rsid w:val="005B2B92"/>
    <w:rsid w:val="005B2D8F"/>
    <w:rsid w:val="005B2FEC"/>
    <w:rsid w:val="005B32F4"/>
    <w:rsid w:val="005B37A7"/>
    <w:rsid w:val="005B3BE9"/>
    <w:rsid w:val="005B3C64"/>
    <w:rsid w:val="005B4313"/>
    <w:rsid w:val="005B51BE"/>
    <w:rsid w:val="005B6583"/>
    <w:rsid w:val="005B668E"/>
    <w:rsid w:val="005B6772"/>
    <w:rsid w:val="005B67AA"/>
    <w:rsid w:val="005B67C3"/>
    <w:rsid w:val="005B71E8"/>
    <w:rsid w:val="005B729F"/>
    <w:rsid w:val="005B74CC"/>
    <w:rsid w:val="005B74FF"/>
    <w:rsid w:val="005B755C"/>
    <w:rsid w:val="005B7AB1"/>
    <w:rsid w:val="005B7F66"/>
    <w:rsid w:val="005C0AA6"/>
    <w:rsid w:val="005C0AE4"/>
    <w:rsid w:val="005C0B7E"/>
    <w:rsid w:val="005C0BD9"/>
    <w:rsid w:val="005C0C4E"/>
    <w:rsid w:val="005C104B"/>
    <w:rsid w:val="005C1194"/>
    <w:rsid w:val="005C15E6"/>
    <w:rsid w:val="005C2027"/>
    <w:rsid w:val="005C20FE"/>
    <w:rsid w:val="005C2F0A"/>
    <w:rsid w:val="005C3507"/>
    <w:rsid w:val="005C3D84"/>
    <w:rsid w:val="005C3F81"/>
    <w:rsid w:val="005C49DC"/>
    <w:rsid w:val="005C4BA6"/>
    <w:rsid w:val="005C50A1"/>
    <w:rsid w:val="005C5284"/>
    <w:rsid w:val="005C53FF"/>
    <w:rsid w:val="005C5BCF"/>
    <w:rsid w:val="005C5E17"/>
    <w:rsid w:val="005C6230"/>
    <w:rsid w:val="005C62F5"/>
    <w:rsid w:val="005C6613"/>
    <w:rsid w:val="005C7CC8"/>
    <w:rsid w:val="005D06E7"/>
    <w:rsid w:val="005D074D"/>
    <w:rsid w:val="005D07F4"/>
    <w:rsid w:val="005D0CD4"/>
    <w:rsid w:val="005D0EE6"/>
    <w:rsid w:val="005D159B"/>
    <w:rsid w:val="005D1637"/>
    <w:rsid w:val="005D1DA7"/>
    <w:rsid w:val="005D1DE1"/>
    <w:rsid w:val="005D2020"/>
    <w:rsid w:val="005D2185"/>
    <w:rsid w:val="005D26E6"/>
    <w:rsid w:val="005D2857"/>
    <w:rsid w:val="005D3178"/>
    <w:rsid w:val="005D32FA"/>
    <w:rsid w:val="005D33A2"/>
    <w:rsid w:val="005D33B1"/>
    <w:rsid w:val="005D36E3"/>
    <w:rsid w:val="005D3881"/>
    <w:rsid w:val="005D38CE"/>
    <w:rsid w:val="005D3F67"/>
    <w:rsid w:val="005D4171"/>
    <w:rsid w:val="005D47D6"/>
    <w:rsid w:val="005D4861"/>
    <w:rsid w:val="005D490A"/>
    <w:rsid w:val="005D498B"/>
    <w:rsid w:val="005D4C05"/>
    <w:rsid w:val="005D4D3D"/>
    <w:rsid w:val="005D4EEB"/>
    <w:rsid w:val="005D5BBB"/>
    <w:rsid w:val="005D5D9F"/>
    <w:rsid w:val="005D6387"/>
    <w:rsid w:val="005D6B7D"/>
    <w:rsid w:val="005D6C3C"/>
    <w:rsid w:val="005D722F"/>
    <w:rsid w:val="005D724E"/>
    <w:rsid w:val="005D7A31"/>
    <w:rsid w:val="005E094B"/>
    <w:rsid w:val="005E1375"/>
    <w:rsid w:val="005E13BF"/>
    <w:rsid w:val="005E18EA"/>
    <w:rsid w:val="005E1AFF"/>
    <w:rsid w:val="005E1B05"/>
    <w:rsid w:val="005E1B76"/>
    <w:rsid w:val="005E2066"/>
    <w:rsid w:val="005E265E"/>
    <w:rsid w:val="005E2809"/>
    <w:rsid w:val="005E2A6E"/>
    <w:rsid w:val="005E2A9F"/>
    <w:rsid w:val="005E2B77"/>
    <w:rsid w:val="005E30C5"/>
    <w:rsid w:val="005E338E"/>
    <w:rsid w:val="005E3F6E"/>
    <w:rsid w:val="005E4378"/>
    <w:rsid w:val="005E4C14"/>
    <w:rsid w:val="005E527C"/>
    <w:rsid w:val="005E57EA"/>
    <w:rsid w:val="005E5C83"/>
    <w:rsid w:val="005E6059"/>
    <w:rsid w:val="005E6243"/>
    <w:rsid w:val="005E6ADA"/>
    <w:rsid w:val="005E6AF1"/>
    <w:rsid w:val="005E6B41"/>
    <w:rsid w:val="005E6ED3"/>
    <w:rsid w:val="005E6ED9"/>
    <w:rsid w:val="005E71F7"/>
    <w:rsid w:val="005E74E3"/>
    <w:rsid w:val="005E75CF"/>
    <w:rsid w:val="005E760D"/>
    <w:rsid w:val="005E7931"/>
    <w:rsid w:val="005F0171"/>
    <w:rsid w:val="005F097E"/>
    <w:rsid w:val="005F0981"/>
    <w:rsid w:val="005F1DD9"/>
    <w:rsid w:val="005F1F4F"/>
    <w:rsid w:val="005F2154"/>
    <w:rsid w:val="005F2B2C"/>
    <w:rsid w:val="005F2EBA"/>
    <w:rsid w:val="005F33D8"/>
    <w:rsid w:val="005F3660"/>
    <w:rsid w:val="005F385E"/>
    <w:rsid w:val="005F3ACA"/>
    <w:rsid w:val="005F401D"/>
    <w:rsid w:val="005F4030"/>
    <w:rsid w:val="005F4109"/>
    <w:rsid w:val="005F4284"/>
    <w:rsid w:val="005F439B"/>
    <w:rsid w:val="005F450A"/>
    <w:rsid w:val="005F4A3A"/>
    <w:rsid w:val="005F4E88"/>
    <w:rsid w:val="005F50E2"/>
    <w:rsid w:val="005F52D6"/>
    <w:rsid w:val="005F59F9"/>
    <w:rsid w:val="005F5EE9"/>
    <w:rsid w:val="005F625B"/>
    <w:rsid w:val="005F636C"/>
    <w:rsid w:val="005F6F19"/>
    <w:rsid w:val="005F729C"/>
    <w:rsid w:val="005F72E7"/>
    <w:rsid w:val="005F76CE"/>
    <w:rsid w:val="005F7B13"/>
    <w:rsid w:val="00600418"/>
    <w:rsid w:val="00600A62"/>
    <w:rsid w:val="0060135E"/>
    <w:rsid w:val="00601762"/>
    <w:rsid w:val="00601857"/>
    <w:rsid w:val="00601958"/>
    <w:rsid w:val="0060232C"/>
    <w:rsid w:val="006028F6"/>
    <w:rsid w:val="00602FB3"/>
    <w:rsid w:val="006031CB"/>
    <w:rsid w:val="0060348C"/>
    <w:rsid w:val="0060397E"/>
    <w:rsid w:val="00604156"/>
    <w:rsid w:val="006042EA"/>
    <w:rsid w:val="00604839"/>
    <w:rsid w:val="006049E4"/>
    <w:rsid w:val="00604A63"/>
    <w:rsid w:val="006050D6"/>
    <w:rsid w:val="00605825"/>
    <w:rsid w:val="006058F6"/>
    <w:rsid w:val="00605A88"/>
    <w:rsid w:val="00605BC9"/>
    <w:rsid w:val="00605F05"/>
    <w:rsid w:val="00606362"/>
    <w:rsid w:val="006065BB"/>
    <w:rsid w:val="00606660"/>
    <w:rsid w:val="00606C23"/>
    <w:rsid w:val="00606DF4"/>
    <w:rsid w:val="00606E79"/>
    <w:rsid w:val="00606ECB"/>
    <w:rsid w:val="006073A6"/>
    <w:rsid w:val="00607914"/>
    <w:rsid w:val="00607A02"/>
    <w:rsid w:val="00607C62"/>
    <w:rsid w:val="00607E5F"/>
    <w:rsid w:val="0060E17D"/>
    <w:rsid w:val="00610191"/>
    <w:rsid w:val="0061107B"/>
    <w:rsid w:val="00611499"/>
    <w:rsid w:val="006115E5"/>
    <w:rsid w:val="00611C2B"/>
    <w:rsid w:val="00611D86"/>
    <w:rsid w:val="00611F54"/>
    <w:rsid w:val="00612033"/>
    <w:rsid w:val="00612287"/>
    <w:rsid w:val="006122B9"/>
    <w:rsid w:val="00612512"/>
    <w:rsid w:val="00612D48"/>
    <w:rsid w:val="006130C6"/>
    <w:rsid w:val="006134EE"/>
    <w:rsid w:val="0061390D"/>
    <w:rsid w:val="00614236"/>
    <w:rsid w:val="006146A1"/>
    <w:rsid w:val="006154F6"/>
    <w:rsid w:val="00615887"/>
    <w:rsid w:val="0061590D"/>
    <w:rsid w:val="00615D00"/>
    <w:rsid w:val="00615D1A"/>
    <w:rsid w:val="00615ED7"/>
    <w:rsid w:val="0061611C"/>
    <w:rsid w:val="0061650F"/>
    <w:rsid w:val="006166A7"/>
    <w:rsid w:val="00616851"/>
    <w:rsid w:val="00616DAF"/>
    <w:rsid w:val="006172FC"/>
    <w:rsid w:val="00617C9B"/>
    <w:rsid w:val="00617EB7"/>
    <w:rsid w:val="00620616"/>
    <w:rsid w:val="006206A3"/>
    <w:rsid w:val="006209A9"/>
    <w:rsid w:val="00620B92"/>
    <w:rsid w:val="006211E0"/>
    <w:rsid w:val="00621280"/>
    <w:rsid w:val="0062135C"/>
    <w:rsid w:val="00621523"/>
    <w:rsid w:val="00621B8F"/>
    <w:rsid w:val="00621CB3"/>
    <w:rsid w:val="0062203F"/>
    <w:rsid w:val="00622352"/>
    <w:rsid w:val="00622541"/>
    <w:rsid w:val="00622545"/>
    <w:rsid w:val="0062284E"/>
    <w:rsid w:val="00622A5C"/>
    <w:rsid w:val="00622F84"/>
    <w:rsid w:val="00623B6D"/>
    <w:rsid w:val="00624073"/>
    <w:rsid w:val="0062435E"/>
    <w:rsid w:val="00624FE6"/>
    <w:rsid w:val="00625577"/>
    <w:rsid w:val="006256B3"/>
    <w:rsid w:val="0062578C"/>
    <w:rsid w:val="00625A21"/>
    <w:rsid w:val="00625AB8"/>
    <w:rsid w:val="00625D1F"/>
    <w:rsid w:val="00625DEA"/>
    <w:rsid w:val="006260DC"/>
    <w:rsid w:val="00626849"/>
    <w:rsid w:val="00626990"/>
    <w:rsid w:val="00626A9C"/>
    <w:rsid w:val="00626E8A"/>
    <w:rsid w:val="0062701B"/>
    <w:rsid w:val="00627494"/>
    <w:rsid w:val="006274EE"/>
    <w:rsid w:val="00627BF4"/>
    <w:rsid w:val="006301B2"/>
    <w:rsid w:val="00630246"/>
    <w:rsid w:val="00630653"/>
    <w:rsid w:val="006309BE"/>
    <w:rsid w:val="00630A0D"/>
    <w:rsid w:val="00630DBC"/>
    <w:rsid w:val="00630DBE"/>
    <w:rsid w:val="00631162"/>
    <w:rsid w:val="006313EF"/>
    <w:rsid w:val="0063150F"/>
    <w:rsid w:val="00631559"/>
    <w:rsid w:val="00631A1C"/>
    <w:rsid w:val="00631A9D"/>
    <w:rsid w:val="00631BDF"/>
    <w:rsid w:val="00631C11"/>
    <w:rsid w:val="00631DB7"/>
    <w:rsid w:val="0063278E"/>
    <w:rsid w:val="0063288D"/>
    <w:rsid w:val="006328DF"/>
    <w:rsid w:val="00632EFB"/>
    <w:rsid w:val="00632FC4"/>
    <w:rsid w:val="00633314"/>
    <w:rsid w:val="00633F15"/>
    <w:rsid w:val="00634FCE"/>
    <w:rsid w:val="0063523B"/>
    <w:rsid w:val="00635327"/>
    <w:rsid w:val="00635605"/>
    <w:rsid w:val="0063576F"/>
    <w:rsid w:val="00635DDF"/>
    <w:rsid w:val="006370B7"/>
    <w:rsid w:val="006371B4"/>
    <w:rsid w:val="006372F0"/>
    <w:rsid w:val="00637467"/>
    <w:rsid w:val="0063754E"/>
    <w:rsid w:val="0063761C"/>
    <w:rsid w:val="00637678"/>
    <w:rsid w:val="00637B9D"/>
    <w:rsid w:val="00637C5B"/>
    <w:rsid w:val="00637C9B"/>
    <w:rsid w:val="006405FC"/>
    <w:rsid w:val="00640609"/>
    <w:rsid w:val="00640B12"/>
    <w:rsid w:val="00640DE0"/>
    <w:rsid w:val="006414A2"/>
    <w:rsid w:val="00641C75"/>
    <w:rsid w:val="00641DA8"/>
    <w:rsid w:val="00641EC3"/>
    <w:rsid w:val="006420F9"/>
    <w:rsid w:val="00642204"/>
    <w:rsid w:val="0064381C"/>
    <w:rsid w:val="006440AB"/>
    <w:rsid w:val="00644486"/>
    <w:rsid w:val="00644594"/>
    <w:rsid w:val="0064459D"/>
    <w:rsid w:val="00644ADD"/>
    <w:rsid w:val="0064523D"/>
    <w:rsid w:val="0064552E"/>
    <w:rsid w:val="00645698"/>
    <w:rsid w:val="00645BA3"/>
    <w:rsid w:val="006467B4"/>
    <w:rsid w:val="00646B62"/>
    <w:rsid w:val="00646EE1"/>
    <w:rsid w:val="006473DD"/>
    <w:rsid w:val="006476E0"/>
    <w:rsid w:val="006477ED"/>
    <w:rsid w:val="00647890"/>
    <w:rsid w:val="00650401"/>
    <w:rsid w:val="00650B0E"/>
    <w:rsid w:val="00651BC3"/>
    <w:rsid w:val="00651BEC"/>
    <w:rsid w:val="00651D85"/>
    <w:rsid w:val="00652702"/>
    <w:rsid w:val="00652719"/>
    <w:rsid w:val="00652CD3"/>
    <w:rsid w:val="006536A8"/>
    <w:rsid w:val="0065515A"/>
    <w:rsid w:val="006552B0"/>
    <w:rsid w:val="006552CE"/>
    <w:rsid w:val="00655EA2"/>
    <w:rsid w:val="006564D6"/>
    <w:rsid w:val="00657011"/>
    <w:rsid w:val="006577BF"/>
    <w:rsid w:val="00657C8D"/>
    <w:rsid w:val="00657DC8"/>
    <w:rsid w:val="00657FA3"/>
    <w:rsid w:val="006600B7"/>
    <w:rsid w:val="00660171"/>
    <w:rsid w:val="006602E0"/>
    <w:rsid w:val="006604A5"/>
    <w:rsid w:val="00660A5F"/>
    <w:rsid w:val="00660AC9"/>
    <w:rsid w:val="00660B12"/>
    <w:rsid w:val="00660F0B"/>
    <w:rsid w:val="00660F36"/>
    <w:rsid w:val="006610DE"/>
    <w:rsid w:val="00661111"/>
    <w:rsid w:val="0066144C"/>
    <w:rsid w:val="00661812"/>
    <w:rsid w:val="00661B35"/>
    <w:rsid w:val="00662308"/>
    <w:rsid w:val="00662784"/>
    <w:rsid w:val="006627D7"/>
    <w:rsid w:val="00662A11"/>
    <w:rsid w:val="00662BDF"/>
    <w:rsid w:val="00662ECA"/>
    <w:rsid w:val="0066336F"/>
    <w:rsid w:val="0066347D"/>
    <w:rsid w:val="00663533"/>
    <w:rsid w:val="00663543"/>
    <w:rsid w:val="006636A8"/>
    <w:rsid w:val="006638E3"/>
    <w:rsid w:val="00663B06"/>
    <w:rsid w:val="00663B62"/>
    <w:rsid w:val="00664134"/>
    <w:rsid w:val="00664A1F"/>
    <w:rsid w:val="00664EA1"/>
    <w:rsid w:val="00665123"/>
    <w:rsid w:val="0066523F"/>
    <w:rsid w:val="00665350"/>
    <w:rsid w:val="006659C2"/>
    <w:rsid w:val="00665EFE"/>
    <w:rsid w:val="006662CD"/>
    <w:rsid w:val="00666587"/>
    <w:rsid w:val="00666647"/>
    <w:rsid w:val="00666653"/>
    <w:rsid w:val="006668E2"/>
    <w:rsid w:val="00666F4C"/>
    <w:rsid w:val="00666FBD"/>
    <w:rsid w:val="0066784B"/>
    <w:rsid w:val="00667BF5"/>
    <w:rsid w:val="00670027"/>
    <w:rsid w:val="00670471"/>
    <w:rsid w:val="006705E8"/>
    <w:rsid w:val="0067096F"/>
    <w:rsid w:val="00670B5D"/>
    <w:rsid w:val="00670BC5"/>
    <w:rsid w:val="00670CD2"/>
    <w:rsid w:val="0067115E"/>
    <w:rsid w:val="006711A2"/>
    <w:rsid w:val="006718D5"/>
    <w:rsid w:val="006720D2"/>
    <w:rsid w:val="006720F7"/>
    <w:rsid w:val="0067250A"/>
    <w:rsid w:val="006726C6"/>
    <w:rsid w:val="00672745"/>
    <w:rsid w:val="00673262"/>
    <w:rsid w:val="006732DA"/>
    <w:rsid w:val="00673F93"/>
    <w:rsid w:val="006740EE"/>
    <w:rsid w:val="0067460D"/>
    <w:rsid w:val="00674839"/>
    <w:rsid w:val="00674852"/>
    <w:rsid w:val="00674875"/>
    <w:rsid w:val="00675892"/>
    <w:rsid w:val="00675B54"/>
    <w:rsid w:val="00675C6E"/>
    <w:rsid w:val="00675CDE"/>
    <w:rsid w:val="00675D58"/>
    <w:rsid w:val="00676212"/>
    <w:rsid w:val="00676D61"/>
    <w:rsid w:val="00676D7C"/>
    <w:rsid w:val="006773F4"/>
    <w:rsid w:val="006779C1"/>
    <w:rsid w:val="00677CE1"/>
    <w:rsid w:val="00677D55"/>
    <w:rsid w:val="006802D5"/>
    <w:rsid w:val="006805E3"/>
    <w:rsid w:val="0068064C"/>
    <w:rsid w:val="006806D3"/>
    <w:rsid w:val="00680BDE"/>
    <w:rsid w:val="00680CB9"/>
    <w:rsid w:val="00681191"/>
    <w:rsid w:val="006811C2"/>
    <w:rsid w:val="0068121B"/>
    <w:rsid w:val="006812E6"/>
    <w:rsid w:val="00681493"/>
    <w:rsid w:val="0068172E"/>
    <w:rsid w:val="006819F5"/>
    <w:rsid w:val="00681E05"/>
    <w:rsid w:val="0068295A"/>
    <w:rsid w:val="00682FAE"/>
    <w:rsid w:val="00683ACB"/>
    <w:rsid w:val="006843D9"/>
    <w:rsid w:val="006844C6"/>
    <w:rsid w:val="00684888"/>
    <w:rsid w:val="00684D43"/>
    <w:rsid w:val="00684E0B"/>
    <w:rsid w:val="006855A6"/>
    <w:rsid w:val="0068567E"/>
    <w:rsid w:val="00685A70"/>
    <w:rsid w:val="00685BBE"/>
    <w:rsid w:val="00685C35"/>
    <w:rsid w:val="006866A3"/>
    <w:rsid w:val="006866E0"/>
    <w:rsid w:val="00686818"/>
    <w:rsid w:val="00686CF2"/>
    <w:rsid w:val="00686EF2"/>
    <w:rsid w:val="00686F32"/>
    <w:rsid w:val="00687135"/>
    <w:rsid w:val="0068765B"/>
    <w:rsid w:val="00687846"/>
    <w:rsid w:val="006879A8"/>
    <w:rsid w:val="00687B64"/>
    <w:rsid w:val="00690703"/>
    <w:rsid w:val="00690D15"/>
    <w:rsid w:val="0069118B"/>
    <w:rsid w:val="0069158C"/>
    <w:rsid w:val="00691701"/>
    <w:rsid w:val="006927A4"/>
    <w:rsid w:val="00692CF8"/>
    <w:rsid w:val="00692E01"/>
    <w:rsid w:val="006930CB"/>
    <w:rsid w:val="00693951"/>
    <w:rsid w:val="00693DB7"/>
    <w:rsid w:val="00693EBF"/>
    <w:rsid w:val="00694142"/>
    <w:rsid w:val="006942C4"/>
    <w:rsid w:val="00694725"/>
    <w:rsid w:val="006948A3"/>
    <w:rsid w:val="00694A35"/>
    <w:rsid w:val="00694A6E"/>
    <w:rsid w:val="00694F46"/>
    <w:rsid w:val="0069548B"/>
    <w:rsid w:val="00695E64"/>
    <w:rsid w:val="00695F68"/>
    <w:rsid w:val="00696110"/>
    <w:rsid w:val="00696126"/>
    <w:rsid w:val="006962C4"/>
    <w:rsid w:val="0069653C"/>
    <w:rsid w:val="0069675E"/>
    <w:rsid w:val="00697378"/>
    <w:rsid w:val="006977C6"/>
    <w:rsid w:val="0069786E"/>
    <w:rsid w:val="00697934"/>
    <w:rsid w:val="00697A05"/>
    <w:rsid w:val="006A0033"/>
    <w:rsid w:val="006A0962"/>
    <w:rsid w:val="006A0B31"/>
    <w:rsid w:val="006A0F4F"/>
    <w:rsid w:val="006A150C"/>
    <w:rsid w:val="006A1585"/>
    <w:rsid w:val="006A1CFA"/>
    <w:rsid w:val="006A1E19"/>
    <w:rsid w:val="006A1F0A"/>
    <w:rsid w:val="006A1FAA"/>
    <w:rsid w:val="006A2266"/>
    <w:rsid w:val="006A2500"/>
    <w:rsid w:val="006A28B9"/>
    <w:rsid w:val="006A2F52"/>
    <w:rsid w:val="006A3059"/>
    <w:rsid w:val="006A38DC"/>
    <w:rsid w:val="006A3CD8"/>
    <w:rsid w:val="006A4028"/>
    <w:rsid w:val="006A4031"/>
    <w:rsid w:val="006A410F"/>
    <w:rsid w:val="006A47C3"/>
    <w:rsid w:val="006A48B7"/>
    <w:rsid w:val="006A4CD9"/>
    <w:rsid w:val="006A52B5"/>
    <w:rsid w:val="006A52E7"/>
    <w:rsid w:val="006A553E"/>
    <w:rsid w:val="006A554C"/>
    <w:rsid w:val="006A5F5E"/>
    <w:rsid w:val="006A6187"/>
    <w:rsid w:val="006A63CA"/>
    <w:rsid w:val="006A666E"/>
    <w:rsid w:val="006A6C74"/>
    <w:rsid w:val="006A6D46"/>
    <w:rsid w:val="006A6ED2"/>
    <w:rsid w:val="006A7550"/>
    <w:rsid w:val="006A7D96"/>
    <w:rsid w:val="006A7DC9"/>
    <w:rsid w:val="006A7E35"/>
    <w:rsid w:val="006A7FF8"/>
    <w:rsid w:val="006B0232"/>
    <w:rsid w:val="006B087D"/>
    <w:rsid w:val="006B094C"/>
    <w:rsid w:val="006B0DB9"/>
    <w:rsid w:val="006B0EC6"/>
    <w:rsid w:val="006B1024"/>
    <w:rsid w:val="006B1133"/>
    <w:rsid w:val="006B11B9"/>
    <w:rsid w:val="006B2335"/>
    <w:rsid w:val="006B251E"/>
    <w:rsid w:val="006B269D"/>
    <w:rsid w:val="006B2913"/>
    <w:rsid w:val="006B2AD5"/>
    <w:rsid w:val="006B2CFF"/>
    <w:rsid w:val="006B2EC9"/>
    <w:rsid w:val="006B32E9"/>
    <w:rsid w:val="006B3A55"/>
    <w:rsid w:val="006B3D9A"/>
    <w:rsid w:val="006B3E36"/>
    <w:rsid w:val="006B3EEF"/>
    <w:rsid w:val="006B3F81"/>
    <w:rsid w:val="006B3FBA"/>
    <w:rsid w:val="006B4281"/>
    <w:rsid w:val="006B4576"/>
    <w:rsid w:val="006B4A10"/>
    <w:rsid w:val="006B4DFF"/>
    <w:rsid w:val="006B560B"/>
    <w:rsid w:val="006B598C"/>
    <w:rsid w:val="006B5AB4"/>
    <w:rsid w:val="006B5E18"/>
    <w:rsid w:val="006B6267"/>
    <w:rsid w:val="006B6957"/>
    <w:rsid w:val="006B6FF3"/>
    <w:rsid w:val="006B759F"/>
    <w:rsid w:val="006B788D"/>
    <w:rsid w:val="006B7B8E"/>
    <w:rsid w:val="006B7FFC"/>
    <w:rsid w:val="006C001B"/>
    <w:rsid w:val="006C00BC"/>
    <w:rsid w:val="006C0739"/>
    <w:rsid w:val="006C09E9"/>
    <w:rsid w:val="006C1479"/>
    <w:rsid w:val="006C1E7A"/>
    <w:rsid w:val="006C2203"/>
    <w:rsid w:val="006C2574"/>
    <w:rsid w:val="006C257D"/>
    <w:rsid w:val="006C2A36"/>
    <w:rsid w:val="006C2A96"/>
    <w:rsid w:val="006C34FA"/>
    <w:rsid w:val="006C3A8C"/>
    <w:rsid w:val="006C4096"/>
    <w:rsid w:val="006C4600"/>
    <w:rsid w:val="006C4D1F"/>
    <w:rsid w:val="006C4DB1"/>
    <w:rsid w:val="006C4E6D"/>
    <w:rsid w:val="006C58EB"/>
    <w:rsid w:val="006C6016"/>
    <w:rsid w:val="006C662B"/>
    <w:rsid w:val="006C678A"/>
    <w:rsid w:val="006C6CB6"/>
    <w:rsid w:val="006C6E0A"/>
    <w:rsid w:val="006C7240"/>
    <w:rsid w:val="006D0120"/>
    <w:rsid w:val="006D086A"/>
    <w:rsid w:val="006D0B5D"/>
    <w:rsid w:val="006D0D91"/>
    <w:rsid w:val="006D109B"/>
    <w:rsid w:val="006D145F"/>
    <w:rsid w:val="006D1843"/>
    <w:rsid w:val="006D1C6A"/>
    <w:rsid w:val="006D1E6D"/>
    <w:rsid w:val="006D215D"/>
    <w:rsid w:val="006D239F"/>
    <w:rsid w:val="006D2904"/>
    <w:rsid w:val="006D2E45"/>
    <w:rsid w:val="006D3B3E"/>
    <w:rsid w:val="006D3E96"/>
    <w:rsid w:val="006D439D"/>
    <w:rsid w:val="006D492B"/>
    <w:rsid w:val="006D4C53"/>
    <w:rsid w:val="006D50E1"/>
    <w:rsid w:val="006D5774"/>
    <w:rsid w:val="006D5898"/>
    <w:rsid w:val="006D5A30"/>
    <w:rsid w:val="006D5D16"/>
    <w:rsid w:val="006D5F6C"/>
    <w:rsid w:val="006D60D7"/>
    <w:rsid w:val="006D6182"/>
    <w:rsid w:val="006D652C"/>
    <w:rsid w:val="006D6AB9"/>
    <w:rsid w:val="006D6C5F"/>
    <w:rsid w:val="006D6E27"/>
    <w:rsid w:val="006D795D"/>
    <w:rsid w:val="006E084F"/>
    <w:rsid w:val="006E1267"/>
    <w:rsid w:val="006E1542"/>
    <w:rsid w:val="006E1600"/>
    <w:rsid w:val="006E1EAA"/>
    <w:rsid w:val="006E222D"/>
    <w:rsid w:val="006E22CE"/>
    <w:rsid w:val="006E283C"/>
    <w:rsid w:val="006E2C5F"/>
    <w:rsid w:val="006E317A"/>
    <w:rsid w:val="006E36DD"/>
    <w:rsid w:val="006E3C9A"/>
    <w:rsid w:val="006E3CFB"/>
    <w:rsid w:val="006E3EDD"/>
    <w:rsid w:val="006E43C0"/>
    <w:rsid w:val="006E4588"/>
    <w:rsid w:val="006E49E6"/>
    <w:rsid w:val="006E4DDE"/>
    <w:rsid w:val="006E55C8"/>
    <w:rsid w:val="006E5ABB"/>
    <w:rsid w:val="006E60A7"/>
    <w:rsid w:val="006E6131"/>
    <w:rsid w:val="006E6682"/>
    <w:rsid w:val="006E6814"/>
    <w:rsid w:val="006E6C66"/>
    <w:rsid w:val="006E6E3F"/>
    <w:rsid w:val="006E6F64"/>
    <w:rsid w:val="006E7ACC"/>
    <w:rsid w:val="006F065E"/>
    <w:rsid w:val="006F0665"/>
    <w:rsid w:val="006F06B8"/>
    <w:rsid w:val="006F0BCA"/>
    <w:rsid w:val="006F1139"/>
    <w:rsid w:val="006F127D"/>
    <w:rsid w:val="006F1912"/>
    <w:rsid w:val="006F1915"/>
    <w:rsid w:val="006F1B1A"/>
    <w:rsid w:val="006F1EF0"/>
    <w:rsid w:val="006F1F31"/>
    <w:rsid w:val="006F21E7"/>
    <w:rsid w:val="006F2391"/>
    <w:rsid w:val="006F33A8"/>
    <w:rsid w:val="006F39C3"/>
    <w:rsid w:val="006F3B2D"/>
    <w:rsid w:val="006F412F"/>
    <w:rsid w:val="006F4156"/>
    <w:rsid w:val="006F422A"/>
    <w:rsid w:val="006F42E8"/>
    <w:rsid w:val="006F4404"/>
    <w:rsid w:val="006F44CE"/>
    <w:rsid w:val="006F44D2"/>
    <w:rsid w:val="006F4B2B"/>
    <w:rsid w:val="006F5390"/>
    <w:rsid w:val="006F5449"/>
    <w:rsid w:val="006F59C5"/>
    <w:rsid w:val="006F5A4F"/>
    <w:rsid w:val="006F5B6C"/>
    <w:rsid w:val="006F5CA8"/>
    <w:rsid w:val="006F6A6F"/>
    <w:rsid w:val="006F71E5"/>
    <w:rsid w:val="006F749F"/>
    <w:rsid w:val="006F7CA6"/>
    <w:rsid w:val="00700315"/>
    <w:rsid w:val="00700736"/>
    <w:rsid w:val="0070173E"/>
    <w:rsid w:val="007019F6"/>
    <w:rsid w:val="00702569"/>
    <w:rsid w:val="007025CE"/>
    <w:rsid w:val="0070271A"/>
    <w:rsid w:val="00702774"/>
    <w:rsid w:val="00702EE2"/>
    <w:rsid w:val="00702FC9"/>
    <w:rsid w:val="00703958"/>
    <w:rsid w:val="00703AA4"/>
    <w:rsid w:val="00703FAF"/>
    <w:rsid w:val="007043FF"/>
    <w:rsid w:val="00704A2B"/>
    <w:rsid w:val="00704AE9"/>
    <w:rsid w:val="00704DF7"/>
    <w:rsid w:val="00704E49"/>
    <w:rsid w:val="00705317"/>
    <w:rsid w:val="00705376"/>
    <w:rsid w:val="00705589"/>
    <w:rsid w:val="00705E1E"/>
    <w:rsid w:val="00705F29"/>
    <w:rsid w:val="00705FAD"/>
    <w:rsid w:val="00706094"/>
    <w:rsid w:val="00706151"/>
    <w:rsid w:val="00706405"/>
    <w:rsid w:val="00706505"/>
    <w:rsid w:val="00706D80"/>
    <w:rsid w:val="007073C9"/>
    <w:rsid w:val="007078DB"/>
    <w:rsid w:val="0070795E"/>
    <w:rsid w:val="00707B93"/>
    <w:rsid w:val="00707C0C"/>
    <w:rsid w:val="00707D69"/>
    <w:rsid w:val="00707E97"/>
    <w:rsid w:val="00710318"/>
    <w:rsid w:val="00710B41"/>
    <w:rsid w:val="00710E1B"/>
    <w:rsid w:val="00711498"/>
    <w:rsid w:val="0071196D"/>
    <w:rsid w:val="00711A41"/>
    <w:rsid w:val="00711D04"/>
    <w:rsid w:val="00711FA1"/>
    <w:rsid w:val="00712056"/>
    <w:rsid w:val="007129E1"/>
    <w:rsid w:val="00712B08"/>
    <w:rsid w:val="00712D13"/>
    <w:rsid w:val="00712D1A"/>
    <w:rsid w:val="007136AD"/>
    <w:rsid w:val="007141D3"/>
    <w:rsid w:val="00714573"/>
    <w:rsid w:val="00714CBB"/>
    <w:rsid w:val="00714E9B"/>
    <w:rsid w:val="007156AA"/>
    <w:rsid w:val="00716451"/>
    <w:rsid w:val="00716A67"/>
    <w:rsid w:val="00716CB2"/>
    <w:rsid w:val="00716F87"/>
    <w:rsid w:val="00716FD2"/>
    <w:rsid w:val="0071730C"/>
    <w:rsid w:val="007176B9"/>
    <w:rsid w:val="007176F5"/>
    <w:rsid w:val="00717720"/>
    <w:rsid w:val="007178F8"/>
    <w:rsid w:val="00717BE9"/>
    <w:rsid w:val="00717BF8"/>
    <w:rsid w:val="00717F30"/>
    <w:rsid w:val="0072065A"/>
    <w:rsid w:val="00720B0D"/>
    <w:rsid w:val="00720EDC"/>
    <w:rsid w:val="007216AC"/>
    <w:rsid w:val="00721A8A"/>
    <w:rsid w:val="00722199"/>
    <w:rsid w:val="0072226C"/>
    <w:rsid w:val="007223F0"/>
    <w:rsid w:val="00722486"/>
    <w:rsid w:val="00722928"/>
    <w:rsid w:val="00722BEA"/>
    <w:rsid w:val="00722CDF"/>
    <w:rsid w:val="00722DF5"/>
    <w:rsid w:val="007237C2"/>
    <w:rsid w:val="00724240"/>
    <w:rsid w:val="00724295"/>
    <w:rsid w:val="00724A3D"/>
    <w:rsid w:val="00724A5F"/>
    <w:rsid w:val="00725068"/>
    <w:rsid w:val="007252B3"/>
    <w:rsid w:val="0072559D"/>
    <w:rsid w:val="00725C5D"/>
    <w:rsid w:val="007267DD"/>
    <w:rsid w:val="00726C31"/>
    <w:rsid w:val="00726DAD"/>
    <w:rsid w:val="00726EE9"/>
    <w:rsid w:val="00730C24"/>
    <w:rsid w:val="00730D8D"/>
    <w:rsid w:val="00731391"/>
    <w:rsid w:val="00731440"/>
    <w:rsid w:val="007314C7"/>
    <w:rsid w:val="007315C5"/>
    <w:rsid w:val="00731634"/>
    <w:rsid w:val="00731A1E"/>
    <w:rsid w:val="007321EC"/>
    <w:rsid w:val="007323B5"/>
    <w:rsid w:val="007324CA"/>
    <w:rsid w:val="00732892"/>
    <w:rsid w:val="00732E01"/>
    <w:rsid w:val="00732F14"/>
    <w:rsid w:val="0073350B"/>
    <w:rsid w:val="00733564"/>
    <w:rsid w:val="007338B4"/>
    <w:rsid w:val="00733C2E"/>
    <w:rsid w:val="007341EF"/>
    <w:rsid w:val="00734B87"/>
    <w:rsid w:val="00735510"/>
    <w:rsid w:val="007359A0"/>
    <w:rsid w:val="00735CCF"/>
    <w:rsid w:val="00736167"/>
    <w:rsid w:val="00736938"/>
    <w:rsid w:val="00736D94"/>
    <w:rsid w:val="007373A1"/>
    <w:rsid w:val="007373F0"/>
    <w:rsid w:val="00737462"/>
    <w:rsid w:val="0073761E"/>
    <w:rsid w:val="00737F20"/>
    <w:rsid w:val="00737F33"/>
    <w:rsid w:val="00740050"/>
    <w:rsid w:val="00740216"/>
    <w:rsid w:val="00740491"/>
    <w:rsid w:val="007408A7"/>
    <w:rsid w:val="00740915"/>
    <w:rsid w:val="007415C9"/>
    <w:rsid w:val="0074162F"/>
    <w:rsid w:val="007417CE"/>
    <w:rsid w:val="007420A1"/>
    <w:rsid w:val="00742C10"/>
    <w:rsid w:val="00742E7A"/>
    <w:rsid w:val="0074368C"/>
    <w:rsid w:val="0074388A"/>
    <w:rsid w:val="00743D7D"/>
    <w:rsid w:val="00744740"/>
    <w:rsid w:val="00744828"/>
    <w:rsid w:val="0074489E"/>
    <w:rsid w:val="00744CD0"/>
    <w:rsid w:val="007459C0"/>
    <w:rsid w:val="00745A05"/>
    <w:rsid w:val="00745AEE"/>
    <w:rsid w:val="007460A1"/>
    <w:rsid w:val="00746BC0"/>
    <w:rsid w:val="00746C52"/>
    <w:rsid w:val="00747609"/>
    <w:rsid w:val="00750740"/>
    <w:rsid w:val="00750DC5"/>
    <w:rsid w:val="007513B5"/>
    <w:rsid w:val="0075151B"/>
    <w:rsid w:val="007517D9"/>
    <w:rsid w:val="007520B1"/>
    <w:rsid w:val="0075272F"/>
    <w:rsid w:val="00752A6B"/>
    <w:rsid w:val="00753001"/>
    <w:rsid w:val="00753AB4"/>
    <w:rsid w:val="00754342"/>
    <w:rsid w:val="0075482B"/>
    <w:rsid w:val="00754DE3"/>
    <w:rsid w:val="00754E2B"/>
    <w:rsid w:val="00755E64"/>
    <w:rsid w:val="0075604F"/>
    <w:rsid w:val="0075660C"/>
    <w:rsid w:val="0075726E"/>
    <w:rsid w:val="0075796E"/>
    <w:rsid w:val="00757E06"/>
    <w:rsid w:val="00757EBB"/>
    <w:rsid w:val="00760787"/>
    <w:rsid w:val="00760BCA"/>
    <w:rsid w:val="007613B1"/>
    <w:rsid w:val="0076156B"/>
    <w:rsid w:val="00761B49"/>
    <w:rsid w:val="00761C80"/>
    <w:rsid w:val="00762050"/>
    <w:rsid w:val="00762611"/>
    <w:rsid w:val="00763149"/>
    <w:rsid w:val="00763151"/>
    <w:rsid w:val="00763674"/>
    <w:rsid w:val="0076390C"/>
    <w:rsid w:val="00763B4C"/>
    <w:rsid w:val="00764437"/>
    <w:rsid w:val="007644B1"/>
    <w:rsid w:val="007647BD"/>
    <w:rsid w:val="007648DE"/>
    <w:rsid w:val="00764DE4"/>
    <w:rsid w:val="00764E30"/>
    <w:rsid w:val="00764EBF"/>
    <w:rsid w:val="00765073"/>
    <w:rsid w:val="00765374"/>
    <w:rsid w:val="007656D3"/>
    <w:rsid w:val="0076572D"/>
    <w:rsid w:val="007658DB"/>
    <w:rsid w:val="00765AB1"/>
    <w:rsid w:val="00765B3B"/>
    <w:rsid w:val="00765C15"/>
    <w:rsid w:val="00765C3B"/>
    <w:rsid w:val="00765E12"/>
    <w:rsid w:val="00766271"/>
    <w:rsid w:val="00766C6D"/>
    <w:rsid w:val="00766EB4"/>
    <w:rsid w:val="007673B9"/>
    <w:rsid w:val="007678AA"/>
    <w:rsid w:val="0077004A"/>
    <w:rsid w:val="00770400"/>
    <w:rsid w:val="00770744"/>
    <w:rsid w:val="00770762"/>
    <w:rsid w:val="00770A4C"/>
    <w:rsid w:val="0077123B"/>
    <w:rsid w:val="007712BC"/>
    <w:rsid w:val="00771AD9"/>
    <w:rsid w:val="00771FDE"/>
    <w:rsid w:val="0077288E"/>
    <w:rsid w:val="00772B8F"/>
    <w:rsid w:val="00772F9F"/>
    <w:rsid w:val="00773387"/>
    <w:rsid w:val="007736BA"/>
    <w:rsid w:val="00773D15"/>
    <w:rsid w:val="00773D28"/>
    <w:rsid w:val="00774160"/>
    <w:rsid w:val="00774257"/>
    <w:rsid w:val="007744D3"/>
    <w:rsid w:val="007746B5"/>
    <w:rsid w:val="007747AE"/>
    <w:rsid w:val="00774870"/>
    <w:rsid w:val="00774AE4"/>
    <w:rsid w:val="00774F59"/>
    <w:rsid w:val="0077519E"/>
    <w:rsid w:val="0077535E"/>
    <w:rsid w:val="00775425"/>
    <w:rsid w:val="0077543F"/>
    <w:rsid w:val="0077567D"/>
    <w:rsid w:val="0077576D"/>
    <w:rsid w:val="00775843"/>
    <w:rsid w:val="00775B07"/>
    <w:rsid w:val="00775E1E"/>
    <w:rsid w:val="00775E42"/>
    <w:rsid w:val="0077606E"/>
    <w:rsid w:val="00776992"/>
    <w:rsid w:val="007769ED"/>
    <w:rsid w:val="00776BEC"/>
    <w:rsid w:val="00776C36"/>
    <w:rsid w:val="00777075"/>
    <w:rsid w:val="00777137"/>
    <w:rsid w:val="007776DD"/>
    <w:rsid w:val="00777B57"/>
    <w:rsid w:val="00780487"/>
    <w:rsid w:val="0078060B"/>
    <w:rsid w:val="0078068F"/>
    <w:rsid w:val="007806EB"/>
    <w:rsid w:val="007809EE"/>
    <w:rsid w:val="007816A9"/>
    <w:rsid w:val="00781717"/>
    <w:rsid w:val="0078182E"/>
    <w:rsid w:val="00781B7C"/>
    <w:rsid w:val="0078237E"/>
    <w:rsid w:val="0078284B"/>
    <w:rsid w:val="00782870"/>
    <w:rsid w:val="00782CA8"/>
    <w:rsid w:val="00782D01"/>
    <w:rsid w:val="00782DEA"/>
    <w:rsid w:val="00782F91"/>
    <w:rsid w:val="00783150"/>
    <w:rsid w:val="00783453"/>
    <w:rsid w:val="007836B8"/>
    <w:rsid w:val="00783715"/>
    <w:rsid w:val="00783D56"/>
    <w:rsid w:val="00783FA1"/>
    <w:rsid w:val="00784093"/>
    <w:rsid w:val="007843B2"/>
    <w:rsid w:val="007844FE"/>
    <w:rsid w:val="0078465F"/>
    <w:rsid w:val="00784BB2"/>
    <w:rsid w:val="00785255"/>
    <w:rsid w:val="00785408"/>
    <w:rsid w:val="00785594"/>
    <w:rsid w:val="00785E5B"/>
    <w:rsid w:val="00786239"/>
    <w:rsid w:val="007866FC"/>
    <w:rsid w:val="0078682F"/>
    <w:rsid w:val="00786C72"/>
    <w:rsid w:val="00787AA5"/>
    <w:rsid w:val="00787FCB"/>
    <w:rsid w:val="007906A9"/>
    <w:rsid w:val="007906FA"/>
    <w:rsid w:val="00790726"/>
    <w:rsid w:val="007917B9"/>
    <w:rsid w:val="00791E78"/>
    <w:rsid w:val="007920D9"/>
    <w:rsid w:val="00792253"/>
    <w:rsid w:val="007922F9"/>
    <w:rsid w:val="00792ED3"/>
    <w:rsid w:val="00792F5B"/>
    <w:rsid w:val="007935B2"/>
    <w:rsid w:val="00793867"/>
    <w:rsid w:val="007938AD"/>
    <w:rsid w:val="00794664"/>
    <w:rsid w:val="00794A90"/>
    <w:rsid w:val="00794CEF"/>
    <w:rsid w:val="00794EA7"/>
    <w:rsid w:val="00795990"/>
    <w:rsid w:val="00795AA8"/>
    <w:rsid w:val="00795AB0"/>
    <w:rsid w:val="00795D20"/>
    <w:rsid w:val="00795ED1"/>
    <w:rsid w:val="00795F04"/>
    <w:rsid w:val="007962D1"/>
    <w:rsid w:val="007969AF"/>
    <w:rsid w:val="00796BD8"/>
    <w:rsid w:val="00796F4A"/>
    <w:rsid w:val="007971F3"/>
    <w:rsid w:val="0079720D"/>
    <w:rsid w:val="0079730C"/>
    <w:rsid w:val="00797632"/>
    <w:rsid w:val="007979EC"/>
    <w:rsid w:val="00797C89"/>
    <w:rsid w:val="007A00B7"/>
    <w:rsid w:val="007A055E"/>
    <w:rsid w:val="007A07D4"/>
    <w:rsid w:val="007A0D0D"/>
    <w:rsid w:val="007A0D94"/>
    <w:rsid w:val="007A0E16"/>
    <w:rsid w:val="007A0ED2"/>
    <w:rsid w:val="007A1050"/>
    <w:rsid w:val="007A11B8"/>
    <w:rsid w:val="007A1AB7"/>
    <w:rsid w:val="007A20BC"/>
    <w:rsid w:val="007A2791"/>
    <w:rsid w:val="007A30F5"/>
    <w:rsid w:val="007A402D"/>
    <w:rsid w:val="007A41B5"/>
    <w:rsid w:val="007A43C3"/>
    <w:rsid w:val="007A47BE"/>
    <w:rsid w:val="007A4A81"/>
    <w:rsid w:val="007A4CBF"/>
    <w:rsid w:val="007A5129"/>
    <w:rsid w:val="007A524F"/>
    <w:rsid w:val="007A587A"/>
    <w:rsid w:val="007A5B10"/>
    <w:rsid w:val="007A5E63"/>
    <w:rsid w:val="007A5F18"/>
    <w:rsid w:val="007A610E"/>
    <w:rsid w:val="007A66AA"/>
    <w:rsid w:val="007A7EAB"/>
    <w:rsid w:val="007A7FB2"/>
    <w:rsid w:val="007B0320"/>
    <w:rsid w:val="007B0341"/>
    <w:rsid w:val="007B043F"/>
    <w:rsid w:val="007B0F7D"/>
    <w:rsid w:val="007B183E"/>
    <w:rsid w:val="007B1CCB"/>
    <w:rsid w:val="007B2060"/>
    <w:rsid w:val="007B22F4"/>
    <w:rsid w:val="007B2496"/>
    <w:rsid w:val="007B2780"/>
    <w:rsid w:val="007B2AA5"/>
    <w:rsid w:val="007B2BAE"/>
    <w:rsid w:val="007B2C42"/>
    <w:rsid w:val="007B2DCA"/>
    <w:rsid w:val="007B32E9"/>
    <w:rsid w:val="007B33C2"/>
    <w:rsid w:val="007B3515"/>
    <w:rsid w:val="007B38CE"/>
    <w:rsid w:val="007B3BDF"/>
    <w:rsid w:val="007B3E1F"/>
    <w:rsid w:val="007B40B9"/>
    <w:rsid w:val="007B45AB"/>
    <w:rsid w:val="007B5264"/>
    <w:rsid w:val="007B5541"/>
    <w:rsid w:val="007B56DB"/>
    <w:rsid w:val="007B5879"/>
    <w:rsid w:val="007B5D6E"/>
    <w:rsid w:val="007B6641"/>
    <w:rsid w:val="007B6952"/>
    <w:rsid w:val="007B6A6A"/>
    <w:rsid w:val="007B6EA2"/>
    <w:rsid w:val="007B77A6"/>
    <w:rsid w:val="007C08F0"/>
    <w:rsid w:val="007C1B67"/>
    <w:rsid w:val="007C1C6A"/>
    <w:rsid w:val="007C1CD4"/>
    <w:rsid w:val="007C2A8B"/>
    <w:rsid w:val="007C2B0C"/>
    <w:rsid w:val="007C2D4B"/>
    <w:rsid w:val="007C2E09"/>
    <w:rsid w:val="007C34CA"/>
    <w:rsid w:val="007C3531"/>
    <w:rsid w:val="007C365A"/>
    <w:rsid w:val="007C399C"/>
    <w:rsid w:val="007C4018"/>
    <w:rsid w:val="007C4B69"/>
    <w:rsid w:val="007C4ED0"/>
    <w:rsid w:val="007C51C0"/>
    <w:rsid w:val="007C52A1"/>
    <w:rsid w:val="007C5646"/>
    <w:rsid w:val="007C570B"/>
    <w:rsid w:val="007C5B32"/>
    <w:rsid w:val="007C5EE0"/>
    <w:rsid w:val="007C5FAD"/>
    <w:rsid w:val="007C6121"/>
    <w:rsid w:val="007C634D"/>
    <w:rsid w:val="007C65F1"/>
    <w:rsid w:val="007C6F80"/>
    <w:rsid w:val="007C710A"/>
    <w:rsid w:val="007D0084"/>
    <w:rsid w:val="007D039F"/>
    <w:rsid w:val="007D0457"/>
    <w:rsid w:val="007D046F"/>
    <w:rsid w:val="007D055E"/>
    <w:rsid w:val="007D07DD"/>
    <w:rsid w:val="007D0DD0"/>
    <w:rsid w:val="007D0F91"/>
    <w:rsid w:val="007D1022"/>
    <w:rsid w:val="007D15F6"/>
    <w:rsid w:val="007D1D91"/>
    <w:rsid w:val="007D25B2"/>
    <w:rsid w:val="007D2644"/>
    <w:rsid w:val="007D2666"/>
    <w:rsid w:val="007D276F"/>
    <w:rsid w:val="007D2E8F"/>
    <w:rsid w:val="007D3493"/>
    <w:rsid w:val="007D389F"/>
    <w:rsid w:val="007D3E95"/>
    <w:rsid w:val="007D580F"/>
    <w:rsid w:val="007D5A65"/>
    <w:rsid w:val="007D6528"/>
    <w:rsid w:val="007D70A9"/>
    <w:rsid w:val="007D7385"/>
    <w:rsid w:val="007D7898"/>
    <w:rsid w:val="007D7C4F"/>
    <w:rsid w:val="007E1872"/>
    <w:rsid w:val="007E1D47"/>
    <w:rsid w:val="007E2824"/>
    <w:rsid w:val="007E2ADF"/>
    <w:rsid w:val="007E2F0A"/>
    <w:rsid w:val="007E3E9F"/>
    <w:rsid w:val="007E41A1"/>
    <w:rsid w:val="007E4468"/>
    <w:rsid w:val="007E47B2"/>
    <w:rsid w:val="007E5083"/>
    <w:rsid w:val="007E5356"/>
    <w:rsid w:val="007E545B"/>
    <w:rsid w:val="007E5472"/>
    <w:rsid w:val="007E5896"/>
    <w:rsid w:val="007E5FDF"/>
    <w:rsid w:val="007E642D"/>
    <w:rsid w:val="007E6CDA"/>
    <w:rsid w:val="007E6F40"/>
    <w:rsid w:val="007E71EA"/>
    <w:rsid w:val="007E769A"/>
    <w:rsid w:val="007F05B6"/>
    <w:rsid w:val="007F0B6C"/>
    <w:rsid w:val="007F0EFC"/>
    <w:rsid w:val="007F0FFE"/>
    <w:rsid w:val="007F155B"/>
    <w:rsid w:val="007F16CF"/>
    <w:rsid w:val="007F1720"/>
    <w:rsid w:val="007F1881"/>
    <w:rsid w:val="007F1D61"/>
    <w:rsid w:val="007F262D"/>
    <w:rsid w:val="007F2E01"/>
    <w:rsid w:val="007F2ECB"/>
    <w:rsid w:val="007F30D0"/>
    <w:rsid w:val="007F3132"/>
    <w:rsid w:val="007F3575"/>
    <w:rsid w:val="007F39C3"/>
    <w:rsid w:val="007F3FCD"/>
    <w:rsid w:val="007F410D"/>
    <w:rsid w:val="007F4256"/>
    <w:rsid w:val="007F45FD"/>
    <w:rsid w:val="007F48BC"/>
    <w:rsid w:val="007F4BF0"/>
    <w:rsid w:val="007F4D72"/>
    <w:rsid w:val="007F50B4"/>
    <w:rsid w:val="007F53C3"/>
    <w:rsid w:val="007F540D"/>
    <w:rsid w:val="007F5B5C"/>
    <w:rsid w:val="007F5EFA"/>
    <w:rsid w:val="007F5F53"/>
    <w:rsid w:val="007F6309"/>
    <w:rsid w:val="007F6616"/>
    <w:rsid w:val="007F729F"/>
    <w:rsid w:val="007F7BC5"/>
    <w:rsid w:val="007F7CE4"/>
    <w:rsid w:val="00800D8D"/>
    <w:rsid w:val="00801038"/>
    <w:rsid w:val="00801514"/>
    <w:rsid w:val="00801607"/>
    <w:rsid w:val="008016A0"/>
    <w:rsid w:val="00801F28"/>
    <w:rsid w:val="00802448"/>
    <w:rsid w:val="008025DF"/>
    <w:rsid w:val="008028A9"/>
    <w:rsid w:val="00802A72"/>
    <w:rsid w:val="00802D61"/>
    <w:rsid w:val="00803041"/>
    <w:rsid w:val="0080342F"/>
    <w:rsid w:val="00803BE3"/>
    <w:rsid w:val="00804214"/>
    <w:rsid w:val="008042AA"/>
    <w:rsid w:val="00804D37"/>
    <w:rsid w:val="00805574"/>
    <w:rsid w:val="0080585F"/>
    <w:rsid w:val="00805E14"/>
    <w:rsid w:val="008063E7"/>
    <w:rsid w:val="008064F3"/>
    <w:rsid w:val="00806781"/>
    <w:rsid w:val="00806925"/>
    <w:rsid w:val="008069CB"/>
    <w:rsid w:val="00806AA6"/>
    <w:rsid w:val="00807031"/>
    <w:rsid w:val="0080731C"/>
    <w:rsid w:val="00807760"/>
    <w:rsid w:val="00807853"/>
    <w:rsid w:val="008078FB"/>
    <w:rsid w:val="00807DBD"/>
    <w:rsid w:val="0081017E"/>
    <w:rsid w:val="0081049D"/>
    <w:rsid w:val="00810669"/>
    <w:rsid w:val="00810781"/>
    <w:rsid w:val="00810AC0"/>
    <w:rsid w:val="00810AC1"/>
    <w:rsid w:val="00810BB6"/>
    <w:rsid w:val="00810FD8"/>
    <w:rsid w:val="0081122E"/>
    <w:rsid w:val="0081137E"/>
    <w:rsid w:val="008115D9"/>
    <w:rsid w:val="008119D4"/>
    <w:rsid w:val="00811D1F"/>
    <w:rsid w:val="00812B92"/>
    <w:rsid w:val="00812C5C"/>
    <w:rsid w:val="00813899"/>
    <w:rsid w:val="00813C13"/>
    <w:rsid w:val="00814070"/>
    <w:rsid w:val="00814C90"/>
    <w:rsid w:val="00814ED4"/>
    <w:rsid w:val="00814FE4"/>
    <w:rsid w:val="00815123"/>
    <w:rsid w:val="008154BC"/>
    <w:rsid w:val="008157D3"/>
    <w:rsid w:val="008157F4"/>
    <w:rsid w:val="00815B34"/>
    <w:rsid w:val="00815C72"/>
    <w:rsid w:val="00816152"/>
    <w:rsid w:val="008168B8"/>
    <w:rsid w:val="00816924"/>
    <w:rsid w:val="00816E19"/>
    <w:rsid w:val="00817396"/>
    <w:rsid w:val="00820335"/>
    <w:rsid w:val="008204DE"/>
    <w:rsid w:val="008204FD"/>
    <w:rsid w:val="00820764"/>
    <w:rsid w:val="00820D93"/>
    <w:rsid w:val="00820FBE"/>
    <w:rsid w:val="00821393"/>
    <w:rsid w:val="008215E5"/>
    <w:rsid w:val="00821ADC"/>
    <w:rsid w:val="008226BE"/>
    <w:rsid w:val="00822C09"/>
    <w:rsid w:val="00823074"/>
    <w:rsid w:val="008236EE"/>
    <w:rsid w:val="00823F6B"/>
    <w:rsid w:val="00824088"/>
    <w:rsid w:val="008244CA"/>
    <w:rsid w:val="008245CF"/>
    <w:rsid w:val="0082460C"/>
    <w:rsid w:val="0082462C"/>
    <w:rsid w:val="008247FF"/>
    <w:rsid w:val="00824A4F"/>
    <w:rsid w:val="00824C93"/>
    <w:rsid w:val="00824E3C"/>
    <w:rsid w:val="00824E72"/>
    <w:rsid w:val="008252BF"/>
    <w:rsid w:val="008256EA"/>
    <w:rsid w:val="008257B9"/>
    <w:rsid w:val="008257CE"/>
    <w:rsid w:val="00825858"/>
    <w:rsid w:val="00825948"/>
    <w:rsid w:val="00825E0D"/>
    <w:rsid w:val="008261F8"/>
    <w:rsid w:val="008263FB"/>
    <w:rsid w:val="0082659E"/>
    <w:rsid w:val="00826FC5"/>
    <w:rsid w:val="00827013"/>
    <w:rsid w:val="00827170"/>
    <w:rsid w:val="0082717C"/>
    <w:rsid w:val="00830161"/>
    <w:rsid w:val="00830990"/>
    <w:rsid w:val="00830DB4"/>
    <w:rsid w:val="008311A8"/>
    <w:rsid w:val="00831557"/>
    <w:rsid w:val="00831FB2"/>
    <w:rsid w:val="008320EB"/>
    <w:rsid w:val="008321E4"/>
    <w:rsid w:val="00832B0B"/>
    <w:rsid w:val="00833067"/>
    <w:rsid w:val="0083347F"/>
    <w:rsid w:val="00833BEF"/>
    <w:rsid w:val="00833FED"/>
    <w:rsid w:val="008347CE"/>
    <w:rsid w:val="00834AC3"/>
    <w:rsid w:val="008358A9"/>
    <w:rsid w:val="00835E67"/>
    <w:rsid w:val="00835FA8"/>
    <w:rsid w:val="00836204"/>
    <w:rsid w:val="00836DDA"/>
    <w:rsid w:val="00837760"/>
    <w:rsid w:val="008378DC"/>
    <w:rsid w:val="008379FB"/>
    <w:rsid w:val="008408E7"/>
    <w:rsid w:val="0084115F"/>
    <w:rsid w:val="008411BF"/>
    <w:rsid w:val="008419CE"/>
    <w:rsid w:val="00841D51"/>
    <w:rsid w:val="00843744"/>
    <w:rsid w:val="008437DA"/>
    <w:rsid w:val="00843827"/>
    <w:rsid w:val="0084470D"/>
    <w:rsid w:val="008447BB"/>
    <w:rsid w:val="008449FB"/>
    <w:rsid w:val="00844C60"/>
    <w:rsid w:val="0084561D"/>
    <w:rsid w:val="00845A6B"/>
    <w:rsid w:val="00845DA7"/>
    <w:rsid w:val="00845F55"/>
    <w:rsid w:val="008466A8"/>
    <w:rsid w:val="008467FF"/>
    <w:rsid w:val="008468BE"/>
    <w:rsid w:val="00846D40"/>
    <w:rsid w:val="00846F7D"/>
    <w:rsid w:val="00847024"/>
    <w:rsid w:val="00847083"/>
    <w:rsid w:val="008473EF"/>
    <w:rsid w:val="00847691"/>
    <w:rsid w:val="00847A0C"/>
    <w:rsid w:val="00847DC1"/>
    <w:rsid w:val="00847EDA"/>
    <w:rsid w:val="008504A2"/>
    <w:rsid w:val="00850688"/>
    <w:rsid w:val="008509BB"/>
    <w:rsid w:val="00850D51"/>
    <w:rsid w:val="0085135B"/>
    <w:rsid w:val="00851663"/>
    <w:rsid w:val="00851A85"/>
    <w:rsid w:val="00851AE3"/>
    <w:rsid w:val="00852551"/>
    <w:rsid w:val="0085264C"/>
    <w:rsid w:val="00852C84"/>
    <w:rsid w:val="00852F0B"/>
    <w:rsid w:val="00853082"/>
    <w:rsid w:val="00853907"/>
    <w:rsid w:val="00853CF6"/>
    <w:rsid w:val="00853E4D"/>
    <w:rsid w:val="00853F7E"/>
    <w:rsid w:val="008544B4"/>
    <w:rsid w:val="00854608"/>
    <w:rsid w:val="00855642"/>
    <w:rsid w:val="008556D4"/>
    <w:rsid w:val="008558A1"/>
    <w:rsid w:val="00855F35"/>
    <w:rsid w:val="0085631B"/>
    <w:rsid w:val="008563F8"/>
    <w:rsid w:val="008566BB"/>
    <w:rsid w:val="00856E6E"/>
    <w:rsid w:val="00857ACC"/>
    <w:rsid w:val="00857EF7"/>
    <w:rsid w:val="00860031"/>
    <w:rsid w:val="008600FE"/>
    <w:rsid w:val="0086017F"/>
    <w:rsid w:val="008602D4"/>
    <w:rsid w:val="008604BA"/>
    <w:rsid w:val="00860756"/>
    <w:rsid w:val="008607B6"/>
    <w:rsid w:val="0086136E"/>
    <w:rsid w:val="008617FC"/>
    <w:rsid w:val="008618E4"/>
    <w:rsid w:val="00861964"/>
    <w:rsid w:val="00861B24"/>
    <w:rsid w:val="00861D95"/>
    <w:rsid w:val="00862846"/>
    <w:rsid w:val="008628DB"/>
    <w:rsid w:val="008628DF"/>
    <w:rsid w:val="00862BF7"/>
    <w:rsid w:val="008630F4"/>
    <w:rsid w:val="00863B85"/>
    <w:rsid w:val="00863D37"/>
    <w:rsid w:val="00864152"/>
    <w:rsid w:val="008644B3"/>
    <w:rsid w:val="0086475C"/>
    <w:rsid w:val="008651C1"/>
    <w:rsid w:val="00865459"/>
    <w:rsid w:val="008655D6"/>
    <w:rsid w:val="008656E8"/>
    <w:rsid w:val="00865B77"/>
    <w:rsid w:val="00865BDE"/>
    <w:rsid w:val="00865FD3"/>
    <w:rsid w:val="008664AF"/>
    <w:rsid w:val="0086655A"/>
    <w:rsid w:val="00866721"/>
    <w:rsid w:val="00866A9D"/>
    <w:rsid w:val="00866D3F"/>
    <w:rsid w:val="00866E2E"/>
    <w:rsid w:val="00867615"/>
    <w:rsid w:val="008676EC"/>
    <w:rsid w:val="008677EC"/>
    <w:rsid w:val="00867AAA"/>
    <w:rsid w:val="00867C20"/>
    <w:rsid w:val="00867D80"/>
    <w:rsid w:val="008714C9"/>
    <w:rsid w:val="00871F07"/>
    <w:rsid w:val="00872276"/>
    <w:rsid w:val="00872BFB"/>
    <w:rsid w:val="00872E72"/>
    <w:rsid w:val="00873040"/>
    <w:rsid w:val="00873ABD"/>
    <w:rsid w:val="00874511"/>
    <w:rsid w:val="008748A1"/>
    <w:rsid w:val="00874AD8"/>
    <w:rsid w:val="00874C94"/>
    <w:rsid w:val="00875226"/>
    <w:rsid w:val="008755B7"/>
    <w:rsid w:val="0087569A"/>
    <w:rsid w:val="00875AE6"/>
    <w:rsid w:val="00876447"/>
    <w:rsid w:val="00876876"/>
    <w:rsid w:val="00876CE8"/>
    <w:rsid w:val="0087703A"/>
    <w:rsid w:val="00877B44"/>
    <w:rsid w:val="0088037E"/>
    <w:rsid w:val="00880790"/>
    <w:rsid w:val="008809AA"/>
    <w:rsid w:val="00880E08"/>
    <w:rsid w:val="00881350"/>
    <w:rsid w:val="008815D8"/>
    <w:rsid w:val="00881649"/>
    <w:rsid w:val="008817A6"/>
    <w:rsid w:val="00881807"/>
    <w:rsid w:val="00881868"/>
    <w:rsid w:val="00881943"/>
    <w:rsid w:val="00882681"/>
    <w:rsid w:val="00882872"/>
    <w:rsid w:val="00882CFE"/>
    <w:rsid w:val="00882DAF"/>
    <w:rsid w:val="008831DE"/>
    <w:rsid w:val="0088322B"/>
    <w:rsid w:val="00883291"/>
    <w:rsid w:val="00883849"/>
    <w:rsid w:val="00884807"/>
    <w:rsid w:val="0088486A"/>
    <w:rsid w:val="00884D25"/>
    <w:rsid w:val="0088566D"/>
    <w:rsid w:val="008856CF"/>
    <w:rsid w:val="008858F1"/>
    <w:rsid w:val="00885FC7"/>
    <w:rsid w:val="00886548"/>
    <w:rsid w:val="0088659C"/>
    <w:rsid w:val="008869ED"/>
    <w:rsid w:val="008873D7"/>
    <w:rsid w:val="00887A4E"/>
    <w:rsid w:val="00887B4C"/>
    <w:rsid w:val="00887D24"/>
    <w:rsid w:val="00887F07"/>
    <w:rsid w:val="008900D2"/>
    <w:rsid w:val="008905D0"/>
    <w:rsid w:val="0089093D"/>
    <w:rsid w:val="00890988"/>
    <w:rsid w:val="008912BC"/>
    <w:rsid w:val="008919ED"/>
    <w:rsid w:val="00891EA2"/>
    <w:rsid w:val="008921CF"/>
    <w:rsid w:val="00892433"/>
    <w:rsid w:val="00892629"/>
    <w:rsid w:val="0089298C"/>
    <w:rsid w:val="00892CD0"/>
    <w:rsid w:val="0089300A"/>
    <w:rsid w:val="008930FB"/>
    <w:rsid w:val="00893247"/>
    <w:rsid w:val="00893697"/>
    <w:rsid w:val="008936B5"/>
    <w:rsid w:val="00893ACB"/>
    <w:rsid w:val="00893EBE"/>
    <w:rsid w:val="0089460A"/>
    <w:rsid w:val="00894698"/>
    <w:rsid w:val="00894D50"/>
    <w:rsid w:val="0089591D"/>
    <w:rsid w:val="008965E2"/>
    <w:rsid w:val="00896840"/>
    <w:rsid w:val="00896D49"/>
    <w:rsid w:val="00896F9F"/>
    <w:rsid w:val="008970EE"/>
    <w:rsid w:val="00897196"/>
    <w:rsid w:val="008973F0"/>
    <w:rsid w:val="008974EF"/>
    <w:rsid w:val="0089794F"/>
    <w:rsid w:val="008979A7"/>
    <w:rsid w:val="008A0277"/>
    <w:rsid w:val="008A0609"/>
    <w:rsid w:val="008A0C2D"/>
    <w:rsid w:val="008A0F93"/>
    <w:rsid w:val="008A122F"/>
    <w:rsid w:val="008A245A"/>
    <w:rsid w:val="008A2C7A"/>
    <w:rsid w:val="008A2E4A"/>
    <w:rsid w:val="008A2F92"/>
    <w:rsid w:val="008A34F9"/>
    <w:rsid w:val="008A368B"/>
    <w:rsid w:val="008A3DFE"/>
    <w:rsid w:val="008A40AE"/>
    <w:rsid w:val="008A4367"/>
    <w:rsid w:val="008A43A6"/>
    <w:rsid w:val="008A48F6"/>
    <w:rsid w:val="008A4A55"/>
    <w:rsid w:val="008A4B21"/>
    <w:rsid w:val="008A4F2F"/>
    <w:rsid w:val="008A5063"/>
    <w:rsid w:val="008A57B1"/>
    <w:rsid w:val="008A590B"/>
    <w:rsid w:val="008A5A0A"/>
    <w:rsid w:val="008A5B61"/>
    <w:rsid w:val="008A5CC7"/>
    <w:rsid w:val="008A5D04"/>
    <w:rsid w:val="008A5E7C"/>
    <w:rsid w:val="008A5E8E"/>
    <w:rsid w:val="008A5F08"/>
    <w:rsid w:val="008A67DF"/>
    <w:rsid w:val="008A6805"/>
    <w:rsid w:val="008A6871"/>
    <w:rsid w:val="008A6BA2"/>
    <w:rsid w:val="008A7C2F"/>
    <w:rsid w:val="008B07EE"/>
    <w:rsid w:val="008B1086"/>
    <w:rsid w:val="008B14F0"/>
    <w:rsid w:val="008B166B"/>
    <w:rsid w:val="008B182F"/>
    <w:rsid w:val="008B1C8D"/>
    <w:rsid w:val="008B1E4E"/>
    <w:rsid w:val="008B1EE9"/>
    <w:rsid w:val="008B1FC2"/>
    <w:rsid w:val="008B228F"/>
    <w:rsid w:val="008B22A7"/>
    <w:rsid w:val="008B2749"/>
    <w:rsid w:val="008B2A02"/>
    <w:rsid w:val="008B2AF2"/>
    <w:rsid w:val="008B349A"/>
    <w:rsid w:val="008B364F"/>
    <w:rsid w:val="008B3AE1"/>
    <w:rsid w:val="008B3BEB"/>
    <w:rsid w:val="008B4E57"/>
    <w:rsid w:val="008B56AA"/>
    <w:rsid w:val="008B59ED"/>
    <w:rsid w:val="008B5BC3"/>
    <w:rsid w:val="008B5FA2"/>
    <w:rsid w:val="008B6087"/>
    <w:rsid w:val="008B64D0"/>
    <w:rsid w:val="008B6545"/>
    <w:rsid w:val="008B7151"/>
    <w:rsid w:val="008B7CA9"/>
    <w:rsid w:val="008C01A4"/>
    <w:rsid w:val="008C03CC"/>
    <w:rsid w:val="008C0B0E"/>
    <w:rsid w:val="008C1C85"/>
    <w:rsid w:val="008C1EB5"/>
    <w:rsid w:val="008C20EE"/>
    <w:rsid w:val="008C2884"/>
    <w:rsid w:val="008C2908"/>
    <w:rsid w:val="008C31F1"/>
    <w:rsid w:val="008C3739"/>
    <w:rsid w:val="008C3900"/>
    <w:rsid w:val="008C4166"/>
    <w:rsid w:val="008C41DF"/>
    <w:rsid w:val="008C44AE"/>
    <w:rsid w:val="008C461F"/>
    <w:rsid w:val="008C4854"/>
    <w:rsid w:val="008C4990"/>
    <w:rsid w:val="008C4F87"/>
    <w:rsid w:val="008C521B"/>
    <w:rsid w:val="008C527F"/>
    <w:rsid w:val="008C550D"/>
    <w:rsid w:val="008C584A"/>
    <w:rsid w:val="008C5902"/>
    <w:rsid w:val="008C59C8"/>
    <w:rsid w:val="008C5CF3"/>
    <w:rsid w:val="008C5F52"/>
    <w:rsid w:val="008C5F83"/>
    <w:rsid w:val="008C6F3C"/>
    <w:rsid w:val="008C7692"/>
    <w:rsid w:val="008C7AB3"/>
    <w:rsid w:val="008D0040"/>
    <w:rsid w:val="008D006F"/>
    <w:rsid w:val="008D042C"/>
    <w:rsid w:val="008D0A27"/>
    <w:rsid w:val="008D1174"/>
    <w:rsid w:val="008D1337"/>
    <w:rsid w:val="008D1633"/>
    <w:rsid w:val="008D17FC"/>
    <w:rsid w:val="008D1A2E"/>
    <w:rsid w:val="008D1B43"/>
    <w:rsid w:val="008D1CB1"/>
    <w:rsid w:val="008D2027"/>
    <w:rsid w:val="008D22A7"/>
    <w:rsid w:val="008D236B"/>
    <w:rsid w:val="008D25E9"/>
    <w:rsid w:val="008D32C6"/>
    <w:rsid w:val="008D36A8"/>
    <w:rsid w:val="008D3719"/>
    <w:rsid w:val="008D3795"/>
    <w:rsid w:val="008D3C6D"/>
    <w:rsid w:val="008D3F93"/>
    <w:rsid w:val="008D435D"/>
    <w:rsid w:val="008D45EE"/>
    <w:rsid w:val="008D460A"/>
    <w:rsid w:val="008D4AC7"/>
    <w:rsid w:val="008D4D2B"/>
    <w:rsid w:val="008D4E8A"/>
    <w:rsid w:val="008D5273"/>
    <w:rsid w:val="008D5BA6"/>
    <w:rsid w:val="008D5D98"/>
    <w:rsid w:val="008D620C"/>
    <w:rsid w:val="008D63F6"/>
    <w:rsid w:val="008D64D2"/>
    <w:rsid w:val="008D665E"/>
    <w:rsid w:val="008D670F"/>
    <w:rsid w:val="008D7586"/>
    <w:rsid w:val="008E05C2"/>
    <w:rsid w:val="008E0CAB"/>
    <w:rsid w:val="008E0F9F"/>
    <w:rsid w:val="008E1026"/>
    <w:rsid w:val="008E1214"/>
    <w:rsid w:val="008E12CC"/>
    <w:rsid w:val="008E246F"/>
    <w:rsid w:val="008E25AB"/>
    <w:rsid w:val="008E2CE2"/>
    <w:rsid w:val="008E36A7"/>
    <w:rsid w:val="008E36F6"/>
    <w:rsid w:val="008E39EF"/>
    <w:rsid w:val="008E3E36"/>
    <w:rsid w:val="008E41B8"/>
    <w:rsid w:val="008E43D7"/>
    <w:rsid w:val="008E43DE"/>
    <w:rsid w:val="008E45A7"/>
    <w:rsid w:val="008E4749"/>
    <w:rsid w:val="008E4DE8"/>
    <w:rsid w:val="008E4EF6"/>
    <w:rsid w:val="008E5656"/>
    <w:rsid w:val="008E6101"/>
    <w:rsid w:val="008E6AE6"/>
    <w:rsid w:val="008E6EA9"/>
    <w:rsid w:val="008E6F63"/>
    <w:rsid w:val="008E702C"/>
    <w:rsid w:val="008E7B8F"/>
    <w:rsid w:val="008F08FC"/>
    <w:rsid w:val="008F0BBE"/>
    <w:rsid w:val="008F0EC1"/>
    <w:rsid w:val="008F1145"/>
    <w:rsid w:val="008F18CF"/>
    <w:rsid w:val="008F1908"/>
    <w:rsid w:val="008F1CE1"/>
    <w:rsid w:val="008F1FDB"/>
    <w:rsid w:val="008F1FDF"/>
    <w:rsid w:val="008F25CF"/>
    <w:rsid w:val="008F264A"/>
    <w:rsid w:val="008F2C8D"/>
    <w:rsid w:val="008F2DAE"/>
    <w:rsid w:val="008F3034"/>
    <w:rsid w:val="008F325D"/>
    <w:rsid w:val="008F3260"/>
    <w:rsid w:val="008F34AC"/>
    <w:rsid w:val="008F3B79"/>
    <w:rsid w:val="008F3D0C"/>
    <w:rsid w:val="008F3E2F"/>
    <w:rsid w:val="008F44BA"/>
    <w:rsid w:val="008F45A9"/>
    <w:rsid w:val="008F4AF8"/>
    <w:rsid w:val="008F50EC"/>
    <w:rsid w:val="008F61AC"/>
    <w:rsid w:val="008F6AA6"/>
    <w:rsid w:val="008F6C0B"/>
    <w:rsid w:val="008F772B"/>
    <w:rsid w:val="008F7C60"/>
    <w:rsid w:val="008F7D70"/>
    <w:rsid w:val="0090010B"/>
    <w:rsid w:val="009003CA"/>
    <w:rsid w:val="00900A69"/>
    <w:rsid w:val="00901134"/>
    <w:rsid w:val="009014BD"/>
    <w:rsid w:val="009015C4"/>
    <w:rsid w:val="0090173D"/>
    <w:rsid w:val="00901AC5"/>
    <w:rsid w:val="00901EF6"/>
    <w:rsid w:val="009022D6"/>
    <w:rsid w:val="009025A5"/>
    <w:rsid w:val="009029D1"/>
    <w:rsid w:val="00902BE8"/>
    <w:rsid w:val="009030C9"/>
    <w:rsid w:val="009041EC"/>
    <w:rsid w:val="0090480F"/>
    <w:rsid w:val="00904A20"/>
    <w:rsid w:val="00904A2F"/>
    <w:rsid w:val="00904B1E"/>
    <w:rsid w:val="00904B23"/>
    <w:rsid w:val="00904E09"/>
    <w:rsid w:val="00905770"/>
    <w:rsid w:val="00905D46"/>
    <w:rsid w:val="00905E17"/>
    <w:rsid w:val="00905EB0"/>
    <w:rsid w:val="009064C2"/>
    <w:rsid w:val="009064D3"/>
    <w:rsid w:val="00906BD0"/>
    <w:rsid w:val="00906E2F"/>
    <w:rsid w:val="00906FAF"/>
    <w:rsid w:val="009071F8"/>
    <w:rsid w:val="00907383"/>
    <w:rsid w:val="00907670"/>
    <w:rsid w:val="00907874"/>
    <w:rsid w:val="00907B3F"/>
    <w:rsid w:val="009100D6"/>
    <w:rsid w:val="00910751"/>
    <w:rsid w:val="009107CF"/>
    <w:rsid w:val="00910C36"/>
    <w:rsid w:val="009112A9"/>
    <w:rsid w:val="00912497"/>
    <w:rsid w:val="00912504"/>
    <w:rsid w:val="00912569"/>
    <w:rsid w:val="00912695"/>
    <w:rsid w:val="00912FCC"/>
    <w:rsid w:val="00913075"/>
    <w:rsid w:val="0091347A"/>
    <w:rsid w:val="009135A8"/>
    <w:rsid w:val="00913BA6"/>
    <w:rsid w:val="00913DC0"/>
    <w:rsid w:val="009141CC"/>
    <w:rsid w:val="00914388"/>
    <w:rsid w:val="00914D61"/>
    <w:rsid w:val="0091501E"/>
    <w:rsid w:val="009150F1"/>
    <w:rsid w:val="009152E7"/>
    <w:rsid w:val="009157F3"/>
    <w:rsid w:val="009158B7"/>
    <w:rsid w:val="00915A4E"/>
    <w:rsid w:val="00916AAD"/>
    <w:rsid w:val="0091712E"/>
    <w:rsid w:val="0091785D"/>
    <w:rsid w:val="00917DBE"/>
    <w:rsid w:val="009202D6"/>
    <w:rsid w:val="009205C9"/>
    <w:rsid w:val="00922133"/>
    <w:rsid w:val="009223D0"/>
    <w:rsid w:val="00922A7A"/>
    <w:rsid w:val="00922E01"/>
    <w:rsid w:val="00922F42"/>
    <w:rsid w:val="00922F90"/>
    <w:rsid w:val="00923413"/>
    <w:rsid w:val="00923E93"/>
    <w:rsid w:val="00924179"/>
    <w:rsid w:val="00924279"/>
    <w:rsid w:val="009249FB"/>
    <w:rsid w:val="00924D19"/>
    <w:rsid w:val="00924D65"/>
    <w:rsid w:val="00924E9C"/>
    <w:rsid w:val="0092522A"/>
    <w:rsid w:val="0092580A"/>
    <w:rsid w:val="00925CD2"/>
    <w:rsid w:val="009261C0"/>
    <w:rsid w:val="00926A2B"/>
    <w:rsid w:val="00926A4B"/>
    <w:rsid w:val="00926BE0"/>
    <w:rsid w:val="009270E4"/>
    <w:rsid w:val="00927226"/>
    <w:rsid w:val="00927C52"/>
    <w:rsid w:val="00927D9E"/>
    <w:rsid w:val="00927EB0"/>
    <w:rsid w:val="00927EB6"/>
    <w:rsid w:val="00930561"/>
    <w:rsid w:val="0093097D"/>
    <w:rsid w:val="009310DC"/>
    <w:rsid w:val="009311ED"/>
    <w:rsid w:val="00931DC8"/>
    <w:rsid w:val="00931F3A"/>
    <w:rsid w:val="00932421"/>
    <w:rsid w:val="00932686"/>
    <w:rsid w:val="00933034"/>
    <w:rsid w:val="009330F7"/>
    <w:rsid w:val="0093328C"/>
    <w:rsid w:val="009337ED"/>
    <w:rsid w:val="00933B8A"/>
    <w:rsid w:val="00933E90"/>
    <w:rsid w:val="00933EBF"/>
    <w:rsid w:val="0093464C"/>
    <w:rsid w:val="0093490B"/>
    <w:rsid w:val="00934D33"/>
    <w:rsid w:val="0093537E"/>
    <w:rsid w:val="00935538"/>
    <w:rsid w:val="0093691B"/>
    <w:rsid w:val="00937125"/>
    <w:rsid w:val="00937159"/>
    <w:rsid w:val="00937252"/>
    <w:rsid w:val="0093774B"/>
    <w:rsid w:val="009377C9"/>
    <w:rsid w:val="00937EF2"/>
    <w:rsid w:val="009400A8"/>
    <w:rsid w:val="009403A3"/>
    <w:rsid w:val="009403D9"/>
    <w:rsid w:val="0094043F"/>
    <w:rsid w:val="009409C1"/>
    <w:rsid w:val="00940B13"/>
    <w:rsid w:val="00940C14"/>
    <w:rsid w:val="00940EFD"/>
    <w:rsid w:val="00941311"/>
    <w:rsid w:val="009414AB"/>
    <w:rsid w:val="00941707"/>
    <w:rsid w:val="00941D37"/>
    <w:rsid w:val="009420FE"/>
    <w:rsid w:val="00942393"/>
    <w:rsid w:val="00942E1F"/>
    <w:rsid w:val="009431E2"/>
    <w:rsid w:val="00943534"/>
    <w:rsid w:val="00943812"/>
    <w:rsid w:val="00943C30"/>
    <w:rsid w:val="00943CEC"/>
    <w:rsid w:val="00943FA4"/>
    <w:rsid w:val="00943FA9"/>
    <w:rsid w:val="00944547"/>
    <w:rsid w:val="00944640"/>
    <w:rsid w:val="0094466D"/>
    <w:rsid w:val="0094466E"/>
    <w:rsid w:val="00944AEB"/>
    <w:rsid w:val="00944B24"/>
    <w:rsid w:val="00944CAE"/>
    <w:rsid w:val="009456BC"/>
    <w:rsid w:val="00945990"/>
    <w:rsid w:val="00945A74"/>
    <w:rsid w:val="00946186"/>
    <w:rsid w:val="009462D0"/>
    <w:rsid w:val="00946B80"/>
    <w:rsid w:val="00946B91"/>
    <w:rsid w:val="00946BDF"/>
    <w:rsid w:val="009470EB"/>
    <w:rsid w:val="0094741C"/>
    <w:rsid w:val="0094772A"/>
    <w:rsid w:val="00947AEB"/>
    <w:rsid w:val="00947CAC"/>
    <w:rsid w:val="00947F34"/>
    <w:rsid w:val="00950556"/>
    <w:rsid w:val="009510D2"/>
    <w:rsid w:val="00951E41"/>
    <w:rsid w:val="00952A0F"/>
    <w:rsid w:val="00952ABF"/>
    <w:rsid w:val="00952EF2"/>
    <w:rsid w:val="00953552"/>
    <w:rsid w:val="009535F3"/>
    <w:rsid w:val="00953974"/>
    <w:rsid w:val="00953C48"/>
    <w:rsid w:val="0095407F"/>
    <w:rsid w:val="009542B7"/>
    <w:rsid w:val="0095517E"/>
    <w:rsid w:val="009555F0"/>
    <w:rsid w:val="0095564E"/>
    <w:rsid w:val="009558CC"/>
    <w:rsid w:val="009565AF"/>
    <w:rsid w:val="00956E62"/>
    <w:rsid w:val="00956FEA"/>
    <w:rsid w:val="009575AC"/>
    <w:rsid w:val="00957662"/>
    <w:rsid w:val="00957B24"/>
    <w:rsid w:val="00957C90"/>
    <w:rsid w:val="00957E2A"/>
    <w:rsid w:val="00957F54"/>
    <w:rsid w:val="0096070B"/>
    <w:rsid w:val="00960EF9"/>
    <w:rsid w:val="00960FFE"/>
    <w:rsid w:val="009619EC"/>
    <w:rsid w:val="00961AA5"/>
    <w:rsid w:val="00961BBC"/>
    <w:rsid w:val="00961D74"/>
    <w:rsid w:val="00961DE4"/>
    <w:rsid w:val="0096212E"/>
    <w:rsid w:val="00962BD7"/>
    <w:rsid w:val="009634F4"/>
    <w:rsid w:val="009635CB"/>
    <w:rsid w:val="00963920"/>
    <w:rsid w:val="00963E4B"/>
    <w:rsid w:val="00965941"/>
    <w:rsid w:val="00965AC9"/>
    <w:rsid w:val="00965AE0"/>
    <w:rsid w:val="00966188"/>
    <w:rsid w:val="0096642F"/>
    <w:rsid w:val="00966C62"/>
    <w:rsid w:val="00966E92"/>
    <w:rsid w:val="00966F95"/>
    <w:rsid w:val="009709AF"/>
    <w:rsid w:val="00971135"/>
    <w:rsid w:val="0097138E"/>
    <w:rsid w:val="00971432"/>
    <w:rsid w:val="00971779"/>
    <w:rsid w:val="009717BF"/>
    <w:rsid w:val="009719D4"/>
    <w:rsid w:val="009719E0"/>
    <w:rsid w:val="00971C76"/>
    <w:rsid w:val="00971D67"/>
    <w:rsid w:val="00972796"/>
    <w:rsid w:val="00972970"/>
    <w:rsid w:val="009729A8"/>
    <w:rsid w:val="00973387"/>
    <w:rsid w:val="009734EF"/>
    <w:rsid w:val="00973D27"/>
    <w:rsid w:val="00973DA6"/>
    <w:rsid w:val="0097462B"/>
    <w:rsid w:val="009746B0"/>
    <w:rsid w:val="00974881"/>
    <w:rsid w:val="009748ED"/>
    <w:rsid w:val="0097554F"/>
    <w:rsid w:val="00975B71"/>
    <w:rsid w:val="00975DBC"/>
    <w:rsid w:val="00975EBC"/>
    <w:rsid w:val="00976155"/>
    <w:rsid w:val="00976233"/>
    <w:rsid w:val="009763D8"/>
    <w:rsid w:val="009765C8"/>
    <w:rsid w:val="009769A2"/>
    <w:rsid w:val="00976B39"/>
    <w:rsid w:val="00976D1D"/>
    <w:rsid w:val="00980109"/>
    <w:rsid w:val="009801BD"/>
    <w:rsid w:val="009803A2"/>
    <w:rsid w:val="0098066D"/>
    <w:rsid w:val="0098090B"/>
    <w:rsid w:val="0098106C"/>
    <w:rsid w:val="009815E2"/>
    <w:rsid w:val="009819C0"/>
    <w:rsid w:val="00981BB1"/>
    <w:rsid w:val="00981CE4"/>
    <w:rsid w:val="00981DDB"/>
    <w:rsid w:val="00982246"/>
    <w:rsid w:val="00982500"/>
    <w:rsid w:val="00982623"/>
    <w:rsid w:val="00982A4F"/>
    <w:rsid w:val="00982B7E"/>
    <w:rsid w:val="00982D7E"/>
    <w:rsid w:val="00982E0B"/>
    <w:rsid w:val="009830B6"/>
    <w:rsid w:val="00983128"/>
    <w:rsid w:val="00983297"/>
    <w:rsid w:val="00983C39"/>
    <w:rsid w:val="0098433D"/>
    <w:rsid w:val="00984DA0"/>
    <w:rsid w:val="009850BF"/>
    <w:rsid w:val="0098588B"/>
    <w:rsid w:val="0098607A"/>
    <w:rsid w:val="00986373"/>
    <w:rsid w:val="009865C0"/>
    <w:rsid w:val="00986C1C"/>
    <w:rsid w:val="0098707E"/>
    <w:rsid w:val="009876E5"/>
    <w:rsid w:val="009879C3"/>
    <w:rsid w:val="00987DE7"/>
    <w:rsid w:val="00987F7A"/>
    <w:rsid w:val="00990124"/>
    <w:rsid w:val="00990507"/>
    <w:rsid w:val="00990D17"/>
    <w:rsid w:val="00990DD2"/>
    <w:rsid w:val="00990EFD"/>
    <w:rsid w:val="00990FED"/>
    <w:rsid w:val="00991047"/>
    <w:rsid w:val="0099118B"/>
    <w:rsid w:val="0099125C"/>
    <w:rsid w:val="009915D4"/>
    <w:rsid w:val="009916C1"/>
    <w:rsid w:val="00991CB3"/>
    <w:rsid w:val="0099265E"/>
    <w:rsid w:val="009927A0"/>
    <w:rsid w:val="00992888"/>
    <w:rsid w:val="00992AEA"/>
    <w:rsid w:val="00993236"/>
    <w:rsid w:val="0099345B"/>
    <w:rsid w:val="00993690"/>
    <w:rsid w:val="009936AC"/>
    <w:rsid w:val="00993BB4"/>
    <w:rsid w:val="00993BD0"/>
    <w:rsid w:val="00993C9E"/>
    <w:rsid w:val="00994946"/>
    <w:rsid w:val="00994A04"/>
    <w:rsid w:val="00994AD5"/>
    <w:rsid w:val="00994EAC"/>
    <w:rsid w:val="00994FB0"/>
    <w:rsid w:val="009952B3"/>
    <w:rsid w:val="009963CA"/>
    <w:rsid w:val="00996AA6"/>
    <w:rsid w:val="00996DB7"/>
    <w:rsid w:val="009970A8"/>
    <w:rsid w:val="009970F3"/>
    <w:rsid w:val="009974E9"/>
    <w:rsid w:val="00997597"/>
    <w:rsid w:val="00997E01"/>
    <w:rsid w:val="00997E7F"/>
    <w:rsid w:val="009A00A5"/>
    <w:rsid w:val="009A0344"/>
    <w:rsid w:val="009A035D"/>
    <w:rsid w:val="009A04AE"/>
    <w:rsid w:val="009A0C5C"/>
    <w:rsid w:val="009A0C93"/>
    <w:rsid w:val="009A0E66"/>
    <w:rsid w:val="009A1142"/>
    <w:rsid w:val="009A14A4"/>
    <w:rsid w:val="009A14D6"/>
    <w:rsid w:val="009A23F1"/>
    <w:rsid w:val="009A2CB0"/>
    <w:rsid w:val="009A2F57"/>
    <w:rsid w:val="009A33C0"/>
    <w:rsid w:val="009A3408"/>
    <w:rsid w:val="009A3E92"/>
    <w:rsid w:val="009A4081"/>
    <w:rsid w:val="009A41B2"/>
    <w:rsid w:val="009A41D3"/>
    <w:rsid w:val="009A4317"/>
    <w:rsid w:val="009A43AA"/>
    <w:rsid w:val="009A462C"/>
    <w:rsid w:val="009A4887"/>
    <w:rsid w:val="009A4ADB"/>
    <w:rsid w:val="009A4BB4"/>
    <w:rsid w:val="009A4C86"/>
    <w:rsid w:val="009A4D41"/>
    <w:rsid w:val="009A4F94"/>
    <w:rsid w:val="009A52F2"/>
    <w:rsid w:val="009A5C4D"/>
    <w:rsid w:val="009A63C7"/>
    <w:rsid w:val="009A652D"/>
    <w:rsid w:val="009A6C1B"/>
    <w:rsid w:val="009A6DCC"/>
    <w:rsid w:val="009A7057"/>
    <w:rsid w:val="009A719C"/>
    <w:rsid w:val="009A7247"/>
    <w:rsid w:val="009A7483"/>
    <w:rsid w:val="009A778A"/>
    <w:rsid w:val="009A77E4"/>
    <w:rsid w:val="009B060E"/>
    <w:rsid w:val="009B071A"/>
    <w:rsid w:val="009B0C41"/>
    <w:rsid w:val="009B10C7"/>
    <w:rsid w:val="009B1838"/>
    <w:rsid w:val="009B24C1"/>
    <w:rsid w:val="009B26EF"/>
    <w:rsid w:val="009B3053"/>
    <w:rsid w:val="009B33CC"/>
    <w:rsid w:val="009B369F"/>
    <w:rsid w:val="009B3736"/>
    <w:rsid w:val="009B3AA0"/>
    <w:rsid w:val="009B3E9F"/>
    <w:rsid w:val="009B442D"/>
    <w:rsid w:val="009B477C"/>
    <w:rsid w:val="009B5053"/>
    <w:rsid w:val="009B517D"/>
    <w:rsid w:val="009B55D3"/>
    <w:rsid w:val="009B581E"/>
    <w:rsid w:val="009B5E4A"/>
    <w:rsid w:val="009B6381"/>
    <w:rsid w:val="009B6395"/>
    <w:rsid w:val="009B689E"/>
    <w:rsid w:val="009B6E68"/>
    <w:rsid w:val="009B7169"/>
    <w:rsid w:val="009B7892"/>
    <w:rsid w:val="009C0071"/>
    <w:rsid w:val="009C06C9"/>
    <w:rsid w:val="009C077C"/>
    <w:rsid w:val="009C07FC"/>
    <w:rsid w:val="009C089A"/>
    <w:rsid w:val="009C0999"/>
    <w:rsid w:val="009C1121"/>
    <w:rsid w:val="009C1204"/>
    <w:rsid w:val="009C1397"/>
    <w:rsid w:val="009C14BB"/>
    <w:rsid w:val="009C162B"/>
    <w:rsid w:val="009C167D"/>
    <w:rsid w:val="009C1742"/>
    <w:rsid w:val="009C177D"/>
    <w:rsid w:val="009C1EBB"/>
    <w:rsid w:val="009C1FAA"/>
    <w:rsid w:val="009C1FCF"/>
    <w:rsid w:val="009C207D"/>
    <w:rsid w:val="009C28D7"/>
    <w:rsid w:val="009C339F"/>
    <w:rsid w:val="009C3B5E"/>
    <w:rsid w:val="009C3BB0"/>
    <w:rsid w:val="009C4732"/>
    <w:rsid w:val="009C4A5D"/>
    <w:rsid w:val="009C500F"/>
    <w:rsid w:val="009C50EB"/>
    <w:rsid w:val="009C528F"/>
    <w:rsid w:val="009C55E7"/>
    <w:rsid w:val="009C56EA"/>
    <w:rsid w:val="009C5821"/>
    <w:rsid w:val="009C5B85"/>
    <w:rsid w:val="009C5D9F"/>
    <w:rsid w:val="009C5F32"/>
    <w:rsid w:val="009C5FBD"/>
    <w:rsid w:val="009C622E"/>
    <w:rsid w:val="009C634A"/>
    <w:rsid w:val="009C63C1"/>
    <w:rsid w:val="009C6BC1"/>
    <w:rsid w:val="009C6BD9"/>
    <w:rsid w:val="009C6D6D"/>
    <w:rsid w:val="009C70C0"/>
    <w:rsid w:val="009C7426"/>
    <w:rsid w:val="009C7A9E"/>
    <w:rsid w:val="009C7CCD"/>
    <w:rsid w:val="009C7D3B"/>
    <w:rsid w:val="009C7D9A"/>
    <w:rsid w:val="009D015E"/>
    <w:rsid w:val="009D01C9"/>
    <w:rsid w:val="009D079E"/>
    <w:rsid w:val="009D09B0"/>
    <w:rsid w:val="009D09DB"/>
    <w:rsid w:val="009D0EFD"/>
    <w:rsid w:val="009D128B"/>
    <w:rsid w:val="009D1ABB"/>
    <w:rsid w:val="009D1C68"/>
    <w:rsid w:val="009D1FD8"/>
    <w:rsid w:val="009D21B7"/>
    <w:rsid w:val="009D37B5"/>
    <w:rsid w:val="009D3E58"/>
    <w:rsid w:val="009D4182"/>
    <w:rsid w:val="009D4F62"/>
    <w:rsid w:val="009D6B96"/>
    <w:rsid w:val="009D6EF1"/>
    <w:rsid w:val="009D6F3F"/>
    <w:rsid w:val="009D75AC"/>
    <w:rsid w:val="009D771C"/>
    <w:rsid w:val="009D7C77"/>
    <w:rsid w:val="009E0970"/>
    <w:rsid w:val="009E1794"/>
    <w:rsid w:val="009E17E6"/>
    <w:rsid w:val="009E18F9"/>
    <w:rsid w:val="009E1C2D"/>
    <w:rsid w:val="009E1FAE"/>
    <w:rsid w:val="009E2033"/>
    <w:rsid w:val="009E20B1"/>
    <w:rsid w:val="009E20B3"/>
    <w:rsid w:val="009E2313"/>
    <w:rsid w:val="009E2F19"/>
    <w:rsid w:val="009E321C"/>
    <w:rsid w:val="009E32FE"/>
    <w:rsid w:val="009E33D6"/>
    <w:rsid w:val="009E351D"/>
    <w:rsid w:val="009E3B05"/>
    <w:rsid w:val="009E4454"/>
    <w:rsid w:val="009E44FA"/>
    <w:rsid w:val="009E4827"/>
    <w:rsid w:val="009E5129"/>
    <w:rsid w:val="009E52F1"/>
    <w:rsid w:val="009E56A4"/>
    <w:rsid w:val="009E65D8"/>
    <w:rsid w:val="009E665F"/>
    <w:rsid w:val="009E6B5A"/>
    <w:rsid w:val="009E6E13"/>
    <w:rsid w:val="009E6E59"/>
    <w:rsid w:val="009E6EF3"/>
    <w:rsid w:val="009E7099"/>
    <w:rsid w:val="009E7191"/>
    <w:rsid w:val="009E72F2"/>
    <w:rsid w:val="009E76A1"/>
    <w:rsid w:val="009E77FE"/>
    <w:rsid w:val="009F05B5"/>
    <w:rsid w:val="009F09A7"/>
    <w:rsid w:val="009F0D51"/>
    <w:rsid w:val="009F0E0D"/>
    <w:rsid w:val="009F0F6C"/>
    <w:rsid w:val="009F10AE"/>
    <w:rsid w:val="009F1714"/>
    <w:rsid w:val="009F17A1"/>
    <w:rsid w:val="009F1828"/>
    <w:rsid w:val="009F18E9"/>
    <w:rsid w:val="009F1931"/>
    <w:rsid w:val="009F2091"/>
    <w:rsid w:val="009F21B0"/>
    <w:rsid w:val="009F2338"/>
    <w:rsid w:val="009F2570"/>
    <w:rsid w:val="009F280C"/>
    <w:rsid w:val="009F29CE"/>
    <w:rsid w:val="009F2BDE"/>
    <w:rsid w:val="009F2D1F"/>
    <w:rsid w:val="009F3892"/>
    <w:rsid w:val="009F3D0F"/>
    <w:rsid w:val="009F3D6D"/>
    <w:rsid w:val="009F3DA9"/>
    <w:rsid w:val="009F438C"/>
    <w:rsid w:val="009F469E"/>
    <w:rsid w:val="009F4961"/>
    <w:rsid w:val="009F4A3E"/>
    <w:rsid w:val="009F51D9"/>
    <w:rsid w:val="009F542D"/>
    <w:rsid w:val="009F56C7"/>
    <w:rsid w:val="009F62EA"/>
    <w:rsid w:val="009F650C"/>
    <w:rsid w:val="009F67C0"/>
    <w:rsid w:val="009F6909"/>
    <w:rsid w:val="009F6B59"/>
    <w:rsid w:val="009F6CD7"/>
    <w:rsid w:val="009F6DBB"/>
    <w:rsid w:val="009F74E4"/>
    <w:rsid w:val="009F7BB4"/>
    <w:rsid w:val="00A00150"/>
    <w:rsid w:val="00A00A0F"/>
    <w:rsid w:val="00A00E5B"/>
    <w:rsid w:val="00A012DD"/>
    <w:rsid w:val="00A01378"/>
    <w:rsid w:val="00A013B3"/>
    <w:rsid w:val="00A016AC"/>
    <w:rsid w:val="00A01D9A"/>
    <w:rsid w:val="00A0218A"/>
    <w:rsid w:val="00A02734"/>
    <w:rsid w:val="00A02855"/>
    <w:rsid w:val="00A02DF2"/>
    <w:rsid w:val="00A0308B"/>
    <w:rsid w:val="00A03335"/>
    <w:rsid w:val="00A039D9"/>
    <w:rsid w:val="00A041D9"/>
    <w:rsid w:val="00A04755"/>
    <w:rsid w:val="00A04BCD"/>
    <w:rsid w:val="00A04F3C"/>
    <w:rsid w:val="00A059F4"/>
    <w:rsid w:val="00A05CA3"/>
    <w:rsid w:val="00A05D56"/>
    <w:rsid w:val="00A0714C"/>
    <w:rsid w:val="00A07D39"/>
    <w:rsid w:val="00A10523"/>
    <w:rsid w:val="00A10736"/>
    <w:rsid w:val="00A10843"/>
    <w:rsid w:val="00A10E4F"/>
    <w:rsid w:val="00A1127A"/>
    <w:rsid w:val="00A112CA"/>
    <w:rsid w:val="00A11909"/>
    <w:rsid w:val="00A11CF5"/>
    <w:rsid w:val="00A125B6"/>
    <w:rsid w:val="00A12995"/>
    <w:rsid w:val="00A13279"/>
    <w:rsid w:val="00A134BA"/>
    <w:rsid w:val="00A13A70"/>
    <w:rsid w:val="00A13CEF"/>
    <w:rsid w:val="00A13D05"/>
    <w:rsid w:val="00A1427D"/>
    <w:rsid w:val="00A14AAE"/>
    <w:rsid w:val="00A14B80"/>
    <w:rsid w:val="00A14C15"/>
    <w:rsid w:val="00A151F0"/>
    <w:rsid w:val="00A158C3"/>
    <w:rsid w:val="00A15B19"/>
    <w:rsid w:val="00A169C5"/>
    <w:rsid w:val="00A16A5E"/>
    <w:rsid w:val="00A16C87"/>
    <w:rsid w:val="00A16EBF"/>
    <w:rsid w:val="00A1797B"/>
    <w:rsid w:val="00A17A79"/>
    <w:rsid w:val="00A17FD4"/>
    <w:rsid w:val="00A20BC8"/>
    <w:rsid w:val="00A20C28"/>
    <w:rsid w:val="00A2167A"/>
    <w:rsid w:val="00A21E6C"/>
    <w:rsid w:val="00A22A15"/>
    <w:rsid w:val="00A22ABC"/>
    <w:rsid w:val="00A2300B"/>
    <w:rsid w:val="00A23197"/>
    <w:rsid w:val="00A235A5"/>
    <w:rsid w:val="00A236BC"/>
    <w:rsid w:val="00A23BDB"/>
    <w:rsid w:val="00A23FCC"/>
    <w:rsid w:val="00A24193"/>
    <w:rsid w:val="00A242EF"/>
    <w:rsid w:val="00A2470C"/>
    <w:rsid w:val="00A24D4F"/>
    <w:rsid w:val="00A25827"/>
    <w:rsid w:val="00A25989"/>
    <w:rsid w:val="00A25B57"/>
    <w:rsid w:val="00A25DE8"/>
    <w:rsid w:val="00A26C06"/>
    <w:rsid w:val="00A26C54"/>
    <w:rsid w:val="00A26CA3"/>
    <w:rsid w:val="00A2736B"/>
    <w:rsid w:val="00A274F2"/>
    <w:rsid w:val="00A277D4"/>
    <w:rsid w:val="00A302E9"/>
    <w:rsid w:val="00A3064A"/>
    <w:rsid w:val="00A3073C"/>
    <w:rsid w:val="00A308B1"/>
    <w:rsid w:val="00A30945"/>
    <w:rsid w:val="00A312C7"/>
    <w:rsid w:val="00A31A2F"/>
    <w:rsid w:val="00A31AE2"/>
    <w:rsid w:val="00A31BBC"/>
    <w:rsid w:val="00A322D3"/>
    <w:rsid w:val="00A3273A"/>
    <w:rsid w:val="00A33AAE"/>
    <w:rsid w:val="00A33E0B"/>
    <w:rsid w:val="00A34096"/>
    <w:rsid w:val="00A34126"/>
    <w:rsid w:val="00A342CC"/>
    <w:rsid w:val="00A345B3"/>
    <w:rsid w:val="00A34790"/>
    <w:rsid w:val="00A34C30"/>
    <w:rsid w:val="00A34C95"/>
    <w:rsid w:val="00A34D02"/>
    <w:rsid w:val="00A34E04"/>
    <w:rsid w:val="00A356A1"/>
    <w:rsid w:val="00A359AA"/>
    <w:rsid w:val="00A369A2"/>
    <w:rsid w:val="00A378E8"/>
    <w:rsid w:val="00A37C11"/>
    <w:rsid w:val="00A37D8D"/>
    <w:rsid w:val="00A37E50"/>
    <w:rsid w:val="00A37F3F"/>
    <w:rsid w:val="00A37FE3"/>
    <w:rsid w:val="00A40362"/>
    <w:rsid w:val="00A40427"/>
    <w:rsid w:val="00A40B34"/>
    <w:rsid w:val="00A40DA9"/>
    <w:rsid w:val="00A40E8D"/>
    <w:rsid w:val="00A41015"/>
    <w:rsid w:val="00A410D1"/>
    <w:rsid w:val="00A421AF"/>
    <w:rsid w:val="00A428CF"/>
    <w:rsid w:val="00A429BD"/>
    <w:rsid w:val="00A437F7"/>
    <w:rsid w:val="00A4417E"/>
    <w:rsid w:val="00A44353"/>
    <w:rsid w:val="00A451A1"/>
    <w:rsid w:val="00A45287"/>
    <w:rsid w:val="00A457AA"/>
    <w:rsid w:val="00A4654B"/>
    <w:rsid w:val="00A465A3"/>
    <w:rsid w:val="00A46628"/>
    <w:rsid w:val="00A46630"/>
    <w:rsid w:val="00A46CA8"/>
    <w:rsid w:val="00A47138"/>
    <w:rsid w:val="00A472DE"/>
    <w:rsid w:val="00A47436"/>
    <w:rsid w:val="00A475AE"/>
    <w:rsid w:val="00A47985"/>
    <w:rsid w:val="00A47AD6"/>
    <w:rsid w:val="00A5037F"/>
    <w:rsid w:val="00A50FDA"/>
    <w:rsid w:val="00A51253"/>
    <w:rsid w:val="00A51306"/>
    <w:rsid w:val="00A51690"/>
    <w:rsid w:val="00A518D9"/>
    <w:rsid w:val="00A51DF0"/>
    <w:rsid w:val="00A5203A"/>
    <w:rsid w:val="00A520B5"/>
    <w:rsid w:val="00A5216F"/>
    <w:rsid w:val="00A52B9E"/>
    <w:rsid w:val="00A52E61"/>
    <w:rsid w:val="00A53755"/>
    <w:rsid w:val="00A54183"/>
    <w:rsid w:val="00A54443"/>
    <w:rsid w:val="00A5507C"/>
    <w:rsid w:val="00A554A7"/>
    <w:rsid w:val="00A555BD"/>
    <w:rsid w:val="00A55BD9"/>
    <w:rsid w:val="00A55DB9"/>
    <w:rsid w:val="00A55F6B"/>
    <w:rsid w:val="00A56AC7"/>
    <w:rsid w:val="00A56B66"/>
    <w:rsid w:val="00A574C2"/>
    <w:rsid w:val="00A575A5"/>
    <w:rsid w:val="00A57850"/>
    <w:rsid w:val="00A57B30"/>
    <w:rsid w:val="00A60087"/>
    <w:rsid w:val="00A604C1"/>
    <w:rsid w:val="00A604E2"/>
    <w:rsid w:val="00A60787"/>
    <w:rsid w:val="00A60965"/>
    <w:rsid w:val="00A60C40"/>
    <w:rsid w:val="00A611BA"/>
    <w:rsid w:val="00A61748"/>
    <w:rsid w:val="00A61C5D"/>
    <w:rsid w:val="00A61E0F"/>
    <w:rsid w:val="00A62013"/>
    <w:rsid w:val="00A62364"/>
    <w:rsid w:val="00A6251F"/>
    <w:rsid w:val="00A6256C"/>
    <w:rsid w:val="00A6267E"/>
    <w:rsid w:val="00A628C3"/>
    <w:rsid w:val="00A62DCC"/>
    <w:rsid w:val="00A62DEC"/>
    <w:rsid w:val="00A62E85"/>
    <w:rsid w:val="00A63741"/>
    <w:rsid w:val="00A638AB"/>
    <w:rsid w:val="00A65399"/>
    <w:rsid w:val="00A6540B"/>
    <w:rsid w:val="00A658B8"/>
    <w:rsid w:val="00A6623E"/>
    <w:rsid w:val="00A66293"/>
    <w:rsid w:val="00A66A79"/>
    <w:rsid w:val="00A66ADB"/>
    <w:rsid w:val="00A66CA4"/>
    <w:rsid w:val="00A66D4B"/>
    <w:rsid w:val="00A66EB4"/>
    <w:rsid w:val="00A66F01"/>
    <w:rsid w:val="00A673BB"/>
    <w:rsid w:val="00A677DB"/>
    <w:rsid w:val="00A67BD3"/>
    <w:rsid w:val="00A67CEE"/>
    <w:rsid w:val="00A703BA"/>
    <w:rsid w:val="00A704C4"/>
    <w:rsid w:val="00A709CB"/>
    <w:rsid w:val="00A71682"/>
    <w:rsid w:val="00A716CE"/>
    <w:rsid w:val="00A724C3"/>
    <w:rsid w:val="00A72A96"/>
    <w:rsid w:val="00A72C92"/>
    <w:rsid w:val="00A733C0"/>
    <w:rsid w:val="00A73EA1"/>
    <w:rsid w:val="00A74084"/>
    <w:rsid w:val="00A74743"/>
    <w:rsid w:val="00A7475E"/>
    <w:rsid w:val="00A74C35"/>
    <w:rsid w:val="00A74F91"/>
    <w:rsid w:val="00A74FAB"/>
    <w:rsid w:val="00A7517E"/>
    <w:rsid w:val="00A75C9D"/>
    <w:rsid w:val="00A7646E"/>
    <w:rsid w:val="00A772ED"/>
    <w:rsid w:val="00A77A45"/>
    <w:rsid w:val="00A8006C"/>
    <w:rsid w:val="00A804AF"/>
    <w:rsid w:val="00A8085B"/>
    <w:rsid w:val="00A808B5"/>
    <w:rsid w:val="00A808E1"/>
    <w:rsid w:val="00A809F6"/>
    <w:rsid w:val="00A80AD9"/>
    <w:rsid w:val="00A815E7"/>
    <w:rsid w:val="00A8175D"/>
    <w:rsid w:val="00A820B8"/>
    <w:rsid w:val="00A82FAE"/>
    <w:rsid w:val="00A832F7"/>
    <w:rsid w:val="00A838FB"/>
    <w:rsid w:val="00A84758"/>
    <w:rsid w:val="00A84971"/>
    <w:rsid w:val="00A849FF"/>
    <w:rsid w:val="00A84DAD"/>
    <w:rsid w:val="00A85664"/>
    <w:rsid w:val="00A859F7"/>
    <w:rsid w:val="00A85CC5"/>
    <w:rsid w:val="00A85DD7"/>
    <w:rsid w:val="00A864DB"/>
    <w:rsid w:val="00A866C6"/>
    <w:rsid w:val="00A86CC2"/>
    <w:rsid w:val="00A86ECD"/>
    <w:rsid w:val="00A8781D"/>
    <w:rsid w:val="00A87A74"/>
    <w:rsid w:val="00A901F2"/>
    <w:rsid w:val="00A9031E"/>
    <w:rsid w:val="00A903E7"/>
    <w:rsid w:val="00A905E7"/>
    <w:rsid w:val="00A9066E"/>
    <w:rsid w:val="00A90794"/>
    <w:rsid w:val="00A90846"/>
    <w:rsid w:val="00A90E72"/>
    <w:rsid w:val="00A91574"/>
    <w:rsid w:val="00A92FAE"/>
    <w:rsid w:val="00A932B6"/>
    <w:rsid w:val="00A935D2"/>
    <w:rsid w:val="00A93D46"/>
    <w:rsid w:val="00A940DA"/>
    <w:rsid w:val="00A942E2"/>
    <w:rsid w:val="00A9434B"/>
    <w:rsid w:val="00A94390"/>
    <w:rsid w:val="00A944CD"/>
    <w:rsid w:val="00A944D5"/>
    <w:rsid w:val="00A9455B"/>
    <w:rsid w:val="00A94C6F"/>
    <w:rsid w:val="00A9550E"/>
    <w:rsid w:val="00A95AD7"/>
    <w:rsid w:val="00A95C61"/>
    <w:rsid w:val="00A95EB7"/>
    <w:rsid w:val="00A95F5F"/>
    <w:rsid w:val="00A96040"/>
    <w:rsid w:val="00A9662A"/>
    <w:rsid w:val="00A96641"/>
    <w:rsid w:val="00A96CBE"/>
    <w:rsid w:val="00A96F18"/>
    <w:rsid w:val="00A972AA"/>
    <w:rsid w:val="00A977DF"/>
    <w:rsid w:val="00A97E1B"/>
    <w:rsid w:val="00AA00AC"/>
    <w:rsid w:val="00AA011B"/>
    <w:rsid w:val="00AA0241"/>
    <w:rsid w:val="00AA0D59"/>
    <w:rsid w:val="00AA1051"/>
    <w:rsid w:val="00AA10D2"/>
    <w:rsid w:val="00AA1518"/>
    <w:rsid w:val="00AA16B8"/>
    <w:rsid w:val="00AA18AD"/>
    <w:rsid w:val="00AA2102"/>
    <w:rsid w:val="00AA2867"/>
    <w:rsid w:val="00AA2AC0"/>
    <w:rsid w:val="00AA2CFA"/>
    <w:rsid w:val="00AA387B"/>
    <w:rsid w:val="00AA38EF"/>
    <w:rsid w:val="00AA3D2E"/>
    <w:rsid w:val="00AA3E35"/>
    <w:rsid w:val="00AA4145"/>
    <w:rsid w:val="00AA4510"/>
    <w:rsid w:val="00AA45A9"/>
    <w:rsid w:val="00AA4665"/>
    <w:rsid w:val="00AA4695"/>
    <w:rsid w:val="00AA48D6"/>
    <w:rsid w:val="00AA53F5"/>
    <w:rsid w:val="00AA571F"/>
    <w:rsid w:val="00AA5A90"/>
    <w:rsid w:val="00AA5F67"/>
    <w:rsid w:val="00AA60F8"/>
    <w:rsid w:val="00AA63DE"/>
    <w:rsid w:val="00AA651F"/>
    <w:rsid w:val="00AA652A"/>
    <w:rsid w:val="00AA6852"/>
    <w:rsid w:val="00AA6BC0"/>
    <w:rsid w:val="00AA6DAD"/>
    <w:rsid w:val="00AA6FB9"/>
    <w:rsid w:val="00AA70D8"/>
    <w:rsid w:val="00AA7D64"/>
    <w:rsid w:val="00AB045F"/>
    <w:rsid w:val="00AB0720"/>
    <w:rsid w:val="00AB1467"/>
    <w:rsid w:val="00AB1A6E"/>
    <w:rsid w:val="00AB239E"/>
    <w:rsid w:val="00AB2B7D"/>
    <w:rsid w:val="00AB2C14"/>
    <w:rsid w:val="00AB2E51"/>
    <w:rsid w:val="00AB303B"/>
    <w:rsid w:val="00AB307A"/>
    <w:rsid w:val="00AB36BB"/>
    <w:rsid w:val="00AB39AA"/>
    <w:rsid w:val="00AB3D4F"/>
    <w:rsid w:val="00AB3FB6"/>
    <w:rsid w:val="00AB41D7"/>
    <w:rsid w:val="00AB480E"/>
    <w:rsid w:val="00AB53B3"/>
    <w:rsid w:val="00AB5627"/>
    <w:rsid w:val="00AB5B1E"/>
    <w:rsid w:val="00AB6053"/>
    <w:rsid w:val="00AB67CA"/>
    <w:rsid w:val="00AB6C3D"/>
    <w:rsid w:val="00AB6F19"/>
    <w:rsid w:val="00AB6FDE"/>
    <w:rsid w:val="00AB74F6"/>
    <w:rsid w:val="00AB7829"/>
    <w:rsid w:val="00AC0568"/>
    <w:rsid w:val="00AC05E0"/>
    <w:rsid w:val="00AC0A92"/>
    <w:rsid w:val="00AC110A"/>
    <w:rsid w:val="00AC13E2"/>
    <w:rsid w:val="00AC199E"/>
    <w:rsid w:val="00AC1D07"/>
    <w:rsid w:val="00AC1E22"/>
    <w:rsid w:val="00AC3C09"/>
    <w:rsid w:val="00AC3CE2"/>
    <w:rsid w:val="00AC41EA"/>
    <w:rsid w:val="00AC4651"/>
    <w:rsid w:val="00AC4702"/>
    <w:rsid w:val="00AC480E"/>
    <w:rsid w:val="00AC510D"/>
    <w:rsid w:val="00AC5A61"/>
    <w:rsid w:val="00AC67B9"/>
    <w:rsid w:val="00AC6824"/>
    <w:rsid w:val="00AC6B2E"/>
    <w:rsid w:val="00AC6D74"/>
    <w:rsid w:val="00AC6EAC"/>
    <w:rsid w:val="00AC72BA"/>
    <w:rsid w:val="00AC7311"/>
    <w:rsid w:val="00AC778E"/>
    <w:rsid w:val="00AC77A9"/>
    <w:rsid w:val="00AC7827"/>
    <w:rsid w:val="00AC790D"/>
    <w:rsid w:val="00AC7F4F"/>
    <w:rsid w:val="00AD06DC"/>
    <w:rsid w:val="00AD0B9D"/>
    <w:rsid w:val="00AD0DBE"/>
    <w:rsid w:val="00AD0E76"/>
    <w:rsid w:val="00AD124A"/>
    <w:rsid w:val="00AD13D0"/>
    <w:rsid w:val="00AD1563"/>
    <w:rsid w:val="00AD159B"/>
    <w:rsid w:val="00AD1E34"/>
    <w:rsid w:val="00AD22E4"/>
    <w:rsid w:val="00AD2494"/>
    <w:rsid w:val="00AD27E8"/>
    <w:rsid w:val="00AD28BB"/>
    <w:rsid w:val="00AD3461"/>
    <w:rsid w:val="00AD37E0"/>
    <w:rsid w:val="00AD3BB0"/>
    <w:rsid w:val="00AD3EDB"/>
    <w:rsid w:val="00AD3F1C"/>
    <w:rsid w:val="00AD3FBF"/>
    <w:rsid w:val="00AD45AF"/>
    <w:rsid w:val="00AD4A7C"/>
    <w:rsid w:val="00AD4B53"/>
    <w:rsid w:val="00AD4C30"/>
    <w:rsid w:val="00AD50B8"/>
    <w:rsid w:val="00AD5650"/>
    <w:rsid w:val="00AD5BFF"/>
    <w:rsid w:val="00AD6005"/>
    <w:rsid w:val="00AD667C"/>
    <w:rsid w:val="00AD6E2D"/>
    <w:rsid w:val="00AD71BD"/>
    <w:rsid w:val="00AD7764"/>
    <w:rsid w:val="00AD797A"/>
    <w:rsid w:val="00AE0DD3"/>
    <w:rsid w:val="00AE1047"/>
    <w:rsid w:val="00AE11DF"/>
    <w:rsid w:val="00AE1578"/>
    <w:rsid w:val="00AE1732"/>
    <w:rsid w:val="00AE1835"/>
    <w:rsid w:val="00AE1D1D"/>
    <w:rsid w:val="00AE24FA"/>
    <w:rsid w:val="00AE2724"/>
    <w:rsid w:val="00AE2837"/>
    <w:rsid w:val="00AE29F1"/>
    <w:rsid w:val="00AE2ABE"/>
    <w:rsid w:val="00AE2C7B"/>
    <w:rsid w:val="00AE3468"/>
    <w:rsid w:val="00AE3934"/>
    <w:rsid w:val="00AE3A86"/>
    <w:rsid w:val="00AE4296"/>
    <w:rsid w:val="00AE4468"/>
    <w:rsid w:val="00AE484D"/>
    <w:rsid w:val="00AE4E73"/>
    <w:rsid w:val="00AE510C"/>
    <w:rsid w:val="00AE5592"/>
    <w:rsid w:val="00AE5C01"/>
    <w:rsid w:val="00AE5C08"/>
    <w:rsid w:val="00AE6146"/>
    <w:rsid w:val="00AE6215"/>
    <w:rsid w:val="00AE62D7"/>
    <w:rsid w:val="00AE64D8"/>
    <w:rsid w:val="00AE67F0"/>
    <w:rsid w:val="00AE6933"/>
    <w:rsid w:val="00AE6D0D"/>
    <w:rsid w:val="00AE6EA9"/>
    <w:rsid w:val="00AE6FDE"/>
    <w:rsid w:val="00AE7789"/>
    <w:rsid w:val="00AE7826"/>
    <w:rsid w:val="00AE7D6D"/>
    <w:rsid w:val="00AF0205"/>
    <w:rsid w:val="00AF0235"/>
    <w:rsid w:val="00AF0A3C"/>
    <w:rsid w:val="00AF1306"/>
    <w:rsid w:val="00AF1951"/>
    <w:rsid w:val="00AF1A68"/>
    <w:rsid w:val="00AF1B60"/>
    <w:rsid w:val="00AF1B91"/>
    <w:rsid w:val="00AF1C3A"/>
    <w:rsid w:val="00AF1CA0"/>
    <w:rsid w:val="00AF1D54"/>
    <w:rsid w:val="00AF1D9A"/>
    <w:rsid w:val="00AF1E62"/>
    <w:rsid w:val="00AF2508"/>
    <w:rsid w:val="00AF28BD"/>
    <w:rsid w:val="00AF2AEA"/>
    <w:rsid w:val="00AF3047"/>
    <w:rsid w:val="00AF3E4B"/>
    <w:rsid w:val="00AF3FA9"/>
    <w:rsid w:val="00AF44B0"/>
    <w:rsid w:val="00AF4D07"/>
    <w:rsid w:val="00AF51A1"/>
    <w:rsid w:val="00AF51D4"/>
    <w:rsid w:val="00AF55BB"/>
    <w:rsid w:val="00AF5DFF"/>
    <w:rsid w:val="00AF669F"/>
    <w:rsid w:val="00AF66F6"/>
    <w:rsid w:val="00AF6705"/>
    <w:rsid w:val="00AF6D62"/>
    <w:rsid w:val="00AF731A"/>
    <w:rsid w:val="00AF74B8"/>
    <w:rsid w:val="00AF7825"/>
    <w:rsid w:val="00AF7931"/>
    <w:rsid w:val="00AF7DED"/>
    <w:rsid w:val="00AF7E46"/>
    <w:rsid w:val="00B00001"/>
    <w:rsid w:val="00B005E9"/>
    <w:rsid w:val="00B00662"/>
    <w:rsid w:val="00B00B2E"/>
    <w:rsid w:val="00B00D98"/>
    <w:rsid w:val="00B0139E"/>
    <w:rsid w:val="00B01517"/>
    <w:rsid w:val="00B01BB2"/>
    <w:rsid w:val="00B01D01"/>
    <w:rsid w:val="00B01F42"/>
    <w:rsid w:val="00B02198"/>
    <w:rsid w:val="00B02CF4"/>
    <w:rsid w:val="00B02EB2"/>
    <w:rsid w:val="00B02F51"/>
    <w:rsid w:val="00B03285"/>
    <w:rsid w:val="00B03DF5"/>
    <w:rsid w:val="00B03F38"/>
    <w:rsid w:val="00B0414D"/>
    <w:rsid w:val="00B04475"/>
    <w:rsid w:val="00B04A27"/>
    <w:rsid w:val="00B05B9B"/>
    <w:rsid w:val="00B05CCF"/>
    <w:rsid w:val="00B05D77"/>
    <w:rsid w:val="00B06910"/>
    <w:rsid w:val="00B06933"/>
    <w:rsid w:val="00B069D8"/>
    <w:rsid w:val="00B06E67"/>
    <w:rsid w:val="00B07086"/>
    <w:rsid w:val="00B076C4"/>
    <w:rsid w:val="00B078C3"/>
    <w:rsid w:val="00B07C43"/>
    <w:rsid w:val="00B07CF9"/>
    <w:rsid w:val="00B07DB0"/>
    <w:rsid w:val="00B07FFC"/>
    <w:rsid w:val="00B105C3"/>
    <w:rsid w:val="00B10874"/>
    <w:rsid w:val="00B10CE1"/>
    <w:rsid w:val="00B10EDC"/>
    <w:rsid w:val="00B10F8D"/>
    <w:rsid w:val="00B1123D"/>
    <w:rsid w:val="00B11A71"/>
    <w:rsid w:val="00B11BCB"/>
    <w:rsid w:val="00B11E79"/>
    <w:rsid w:val="00B12087"/>
    <w:rsid w:val="00B122C7"/>
    <w:rsid w:val="00B1246E"/>
    <w:rsid w:val="00B129C4"/>
    <w:rsid w:val="00B1321F"/>
    <w:rsid w:val="00B1416A"/>
    <w:rsid w:val="00B1438E"/>
    <w:rsid w:val="00B14679"/>
    <w:rsid w:val="00B147FE"/>
    <w:rsid w:val="00B14BBA"/>
    <w:rsid w:val="00B153D5"/>
    <w:rsid w:val="00B156D4"/>
    <w:rsid w:val="00B1659B"/>
    <w:rsid w:val="00B1693A"/>
    <w:rsid w:val="00B169BB"/>
    <w:rsid w:val="00B16B5B"/>
    <w:rsid w:val="00B16EB7"/>
    <w:rsid w:val="00B16F17"/>
    <w:rsid w:val="00B171B2"/>
    <w:rsid w:val="00B1768B"/>
    <w:rsid w:val="00B176A8"/>
    <w:rsid w:val="00B178BC"/>
    <w:rsid w:val="00B17911"/>
    <w:rsid w:val="00B17F42"/>
    <w:rsid w:val="00B206D9"/>
    <w:rsid w:val="00B2070A"/>
    <w:rsid w:val="00B20807"/>
    <w:rsid w:val="00B20B36"/>
    <w:rsid w:val="00B21375"/>
    <w:rsid w:val="00B219BE"/>
    <w:rsid w:val="00B21C4C"/>
    <w:rsid w:val="00B21D7D"/>
    <w:rsid w:val="00B22743"/>
    <w:rsid w:val="00B228C3"/>
    <w:rsid w:val="00B22A72"/>
    <w:rsid w:val="00B22AA4"/>
    <w:rsid w:val="00B22F5B"/>
    <w:rsid w:val="00B238CD"/>
    <w:rsid w:val="00B23F94"/>
    <w:rsid w:val="00B2416E"/>
    <w:rsid w:val="00B24224"/>
    <w:rsid w:val="00B2431F"/>
    <w:rsid w:val="00B24773"/>
    <w:rsid w:val="00B24F6B"/>
    <w:rsid w:val="00B2520F"/>
    <w:rsid w:val="00B2531E"/>
    <w:rsid w:val="00B253FF"/>
    <w:rsid w:val="00B255D1"/>
    <w:rsid w:val="00B25A95"/>
    <w:rsid w:val="00B25AA4"/>
    <w:rsid w:val="00B25AD5"/>
    <w:rsid w:val="00B25AE1"/>
    <w:rsid w:val="00B26090"/>
    <w:rsid w:val="00B26635"/>
    <w:rsid w:val="00B26AC4"/>
    <w:rsid w:val="00B26AE9"/>
    <w:rsid w:val="00B26BB8"/>
    <w:rsid w:val="00B27487"/>
    <w:rsid w:val="00B27665"/>
    <w:rsid w:val="00B27D4A"/>
    <w:rsid w:val="00B30A4F"/>
    <w:rsid w:val="00B31544"/>
    <w:rsid w:val="00B3170C"/>
    <w:rsid w:val="00B318A9"/>
    <w:rsid w:val="00B31C8C"/>
    <w:rsid w:val="00B31E29"/>
    <w:rsid w:val="00B320CF"/>
    <w:rsid w:val="00B3230A"/>
    <w:rsid w:val="00B32365"/>
    <w:rsid w:val="00B3273A"/>
    <w:rsid w:val="00B32A18"/>
    <w:rsid w:val="00B32A78"/>
    <w:rsid w:val="00B331F1"/>
    <w:rsid w:val="00B332D8"/>
    <w:rsid w:val="00B333EF"/>
    <w:rsid w:val="00B336DA"/>
    <w:rsid w:val="00B33F2D"/>
    <w:rsid w:val="00B3407E"/>
    <w:rsid w:val="00B344CD"/>
    <w:rsid w:val="00B345B7"/>
    <w:rsid w:val="00B3460D"/>
    <w:rsid w:val="00B34B19"/>
    <w:rsid w:val="00B35F1A"/>
    <w:rsid w:val="00B36558"/>
    <w:rsid w:val="00B368D1"/>
    <w:rsid w:val="00B36931"/>
    <w:rsid w:val="00B36F0B"/>
    <w:rsid w:val="00B3709A"/>
    <w:rsid w:val="00B3739D"/>
    <w:rsid w:val="00B373B7"/>
    <w:rsid w:val="00B377CE"/>
    <w:rsid w:val="00B37826"/>
    <w:rsid w:val="00B4025A"/>
    <w:rsid w:val="00B40506"/>
    <w:rsid w:val="00B40C31"/>
    <w:rsid w:val="00B40E2A"/>
    <w:rsid w:val="00B4120E"/>
    <w:rsid w:val="00B421FC"/>
    <w:rsid w:val="00B428C6"/>
    <w:rsid w:val="00B42946"/>
    <w:rsid w:val="00B434EA"/>
    <w:rsid w:val="00B4430C"/>
    <w:rsid w:val="00B44636"/>
    <w:rsid w:val="00B446D9"/>
    <w:rsid w:val="00B4487C"/>
    <w:rsid w:val="00B451AF"/>
    <w:rsid w:val="00B451F2"/>
    <w:rsid w:val="00B455CD"/>
    <w:rsid w:val="00B45C29"/>
    <w:rsid w:val="00B45D32"/>
    <w:rsid w:val="00B462ED"/>
    <w:rsid w:val="00B46A4D"/>
    <w:rsid w:val="00B470D9"/>
    <w:rsid w:val="00B4714A"/>
    <w:rsid w:val="00B4751D"/>
    <w:rsid w:val="00B47787"/>
    <w:rsid w:val="00B47F81"/>
    <w:rsid w:val="00B47F8F"/>
    <w:rsid w:val="00B502E6"/>
    <w:rsid w:val="00B50C21"/>
    <w:rsid w:val="00B50C95"/>
    <w:rsid w:val="00B50CCA"/>
    <w:rsid w:val="00B5118A"/>
    <w:rsid w:val="00B513E8"/>
    <w:rsid w:val="00B515A5"/>
    <w:rsid w:val="00B517EF"/>
    <w:rsid w:val="00B518F0"/>
    <w:rsid w:val="00B519A8"/>
    <w:rsid w:val="00B51D34"/>
    <w:rsid w:val="00B52EC6"/>
    <w:rsid w:val="00B530B7"/>
    <w:rsid w:val="00B53214"/>
    <w:rsid w:val="00B53258"/>
    <w:rsid w:val="00B53838"/>
    <w:rsid w:val="00B53B67"/>
    <w:rsid w:val="00B53E79"/>
    <w:rsid w:val="00B53FCC"/>
    <w:rsid w:val="00B54017"/>
    <w:rsid w:val="00B54273"/>
    <w:rsid w:val="00B54420"/>
    <w:rsid w:val="00B55427"/>
    <w:rsid w:val="00B55463"/>
    <w:rsid w:val="00B56151"/>
    <w:rsid w:val="00B5634B"/>
    <w:rsid w:val="00B5641F"/>
    <w:rsid w:val="00B56B8C"/>
    <w:rsid w:val="00B56D24"/>
    <w:rsid w:val="00B572A1"/>
    <w:rsid w:val="00B57431"/>
    <w:rsid w:val="00B576BB"/>
    <w:rsid w:val="00B57E55"/>
    <w:rsid w:val="00B60CF3"/>
    <w:rsid w:val="00B61148"/>
    <w:rsid w:val="00B614DA"/>
    <w:rsid w:val="00B6167D"/>
    <w:rsid w:val="00B6196A"/>
    <w:rsid w:val="00B61BF9"/>
    <w:rsid w:val="00B61FFE"/>
    <w:rsid w:val="00B623C1"/>
    <w:rsid w:val="00B62487"/>
    <w:rsid w:val="00B6313C"/>
    <w:rsid w:val="00B636A2"/>
    <w:rsid w:val="00B6392E"/>
    <w:rsid w:val="00B63930"/>
    <w:rsid w:val="00B63A74"/>
    <w:rsid w:val="00B63EB8"/>
    <w:rsid w:val="00B64791"/>
    <w:rsid w:val="00B64A26"/>
    <w:rsid w:val="00B64AB3"/>
    <w:rsid w:val="00B65091"/>
    <w:rsid w:val="00B65823"/>
    <w:rsid w:val="00B65B31"/>
    <w:rsid w:val="00B665A2"/>
    <w:rsid w:val="00B66BFE"/>
    <w:rsid w:val="00B66C58"/>
    <w:rsid w:val="00B66E1F"/>
    <w:rsid w:val="00B671F2"/>
    <w:rsid w:val="00B6756F"/>
    <w:rsid w:val="00B67592"/>
    <w:rsid w:val="00B677B7"/>
    <w:rsid w:val="00B67AC1"/>
    <w:rsid w:val="00B701A0"/>
    <w:rsid w:val="00B708E4"/>
    <w:rsid w:val="00B709EE"/>
    <w:rsid w:val="00B70A45"/>
    <w:rsid w:val="00B70AA0"/>
    <w:rsid w:val="00B70B13"/>
    <w:rsid w:val="00B70D9A"/>
    <w:rsid w:val="00B7143C"/>
    <w:rsid w:val="00B7275D"/>
    <w:rsid w:val="00B72B4D"/>
    <w:rsid w:val="00B72BAF"/>
    <w:rsid w:val="00B73D0E"/>
    <w:rsid w:val="00B74001"/>
    <w:rsid w:val="00B74344"/>
    <w:rsid w:val="00B745BD"/>
    <w:rsid w:val="00B75192"/>
    <w:rsid w:val="00B75203"/>
    <w:rsid w:val="00B75336"/>
    <w:rsid w:val="00B7593A"/>
    <w:rsid w:val="00B7595F"/>
    <w:rsid w:val="00B75B9C"/>
    <w:rsid w:val="00B75CBA"/>
    <w:rsid w:val="00B766CB"/>
    <w:rsid w:val="00B767BB"/>
    <w:rsid w:val="00B76D3A"/>
    <w:rsid w:val="00B76F22"/>
    <w:rsid w:val="00B77026"/>
    <w:rsid w:val="00B77353"/>
    <w:rsid w:val="00B77B62"/>
    <w:rsid w:val="00B77F5C"/>
    <w:rsid w:val="00B80010"/>
    <w:rsid w:val="00B80383"/>
    <w:rsid w:val="00B805F6"/>
    <w:rsid w:val="00B8097E"/>
    <w:rsid w:val="00B80B28"/>
    <w:rsid w:val="00B80D79"/>
    <w:rsid w:val="00B81334"/>
    <w:rsid w:val="00B81338"/>
    <w:rsid w:val="00B81571"/>
    <w:rsid w:val="00B816D7"/>
    <w:rsid w:val="00B81A08"/>
    <w:rsid w:val="00B81C8A"/>
    <w:rsid w:val="00B81D35"/>
    <w:rsid w:val="00B81D6A"/>
    <w:rsid w:val="00B82014"/>
    <w:rsid w:val="00B82D97"/>
    <w:rsid w:val="00B82DBA"/>
    <w:rsid w:val="00B83466"/>
    <w:rsid w:val="00B8376A"/>
    <w:rsid w:val="00B83772"/>
    <w:rsid w:val="00B841C3"/>
    <w:rsid w:val="00B8476E"/>
    <w:rsid w:val="00B848F5"/>
    <w:rsid w:val="00B8503C"/>
    <w:rsid w:val="00B85547"/>
    <w:rsid w:val="00B8586A"/>
    <w:rsid w:val="00B85CF4"/>
    <w:rsid w:val="00B85FD5"/>
    <w:rsid w:val="00B86038"/>
    <w:rsid w:val="00B866AB"/>
    <w:rsid w:val="00B8683D"/>
    <w:rsid w:val="00B86EF7"/>
    <w:rsid w:val="00B879C9"/>
    <w:rsid w:val="00B87B9B"/>
    <w:rsid w:val="00B87BE1"/>
    <w:rsid w:val="00B90378"/>
    <w:rsid w:val="00B9054A"/>
    <w:rsid w:val="00B90935"/>
    <w:rsid w:val="00B90961"/>
    <w:rsid w:val="00B90CBB"/>
    <w:rsid w:val="00B90E08"/>
    <w:rsid w:val="00B90EEF"/>
    <w:rsid w:val="00B91078"/>
    <w:rsid w:val="00B911F5"/>
    <w:rsid w:val="00B911FC"/>
    <w:rsid w:val="00B9145A"/>
    <w:rsid w:val="00B9166C"/>
    <w:rsid w:val="00B918F7"/>
    <w:rsid w:val="00B91DD7"/>
    <w:rsid w:val="00B92265"/>
    <w:rsid w:val="00B923F5"/>
    <w:rsid w:val="00B92914"/>
    <w:rsid w:val="00B92F03"/>
    <w:rsid w:val="00B92FE0"/>
    <w:rsid w:val="00B932E3"/>
    <w:rsid w:val="00B933E6"/>
    <w:rsid w:val="00B9398D"/>
    <w:rsid w:val="00B93E41"/>
    <w:rsid w:val="00B94024"/>
    <w:rsid w:val="00B940EC"/>
    <w:rsid w:val="00B941BE"/>
    <w:rsid w:val="00B942BC"/>
    <w:rsid w:val="00B942F2"/>
    <w:rsid w:val="00B950D4"/>
    <w:rsid w:val="00B95410"/>
    <w:rsid w:val="00B9543F"/>
    <w:rsid w:val="00B95502"/>
    <w:rsid w:val="00B95681"/>
    <w:rsid w:val="00B95BE4"/>
    <w:rsid w:val="00B96BF8"/>
    <w:rsid w:val="00B973B3"/>
    <w:rsid w:val="00B9745D"/>
    <w:rsid w:val="00B97A27"/>
    <w:rsid w:val="00BA026B"/>
    <w:rsid w:val="00BA09C7"/>
    <w:rsid w:val="00BA0B14"/>
    <w:rsid w:val="00BA1910"/>
    <w:rsid w:val="00BA1B96"/>
    <w:rsid w:val="00BA1C16"/>
    <w:rsid w:val="00BA1D05"/>
    <w:rsid w:val="00BA21A2"/>
    <w:rsid w:val="00BA2511"/>
    <w:rsid w:val="00BA3986"/>
    <w:rsid w:val="00BA3A5D"/>
    <w:rsid w:val="00BA3FB9"/>
    <w:rsid w:val="00BA486C"/>
    <w:rsid w:val="00BA579F"/>
    <w:rsid w:val="00BA61BE"/>
    <w:rsid w:val="00BA655F"/>
    <w:rsid w:val="00BA656A"/>
    <w:rsid w:val="00BA67E0"/>
    <w:rsid w:val="00BA6A63"/>
    <w:rsid w:val="00BA6C2D"/>
    <w:rsid w:val="00BA7BC1"/>
    <w:rsid w:val="00BA7CFD"/>
    <w:rsid w:val="00BA7D5C"/>
    <w:rsid w:val="00BA7ECE"/>
    <w:rsid w:val="00BB01CC"/>
    <w:rsid w:val="00BB03F6"/>
    <w:rsid w:val="00BB04F9"/>
    <w:rsid w:val="00BB080D"/>
    <w:rsid w:val="00BB0AFF"/>
    <w:rsid w:val="00BB0E03"/>
    <w:rsid w:val="00BB133C"/>
    <w:rsid w:val="00BB173D"/>
    <w:rsid w:val="00BB25E4"/>
    <w:rsid w:val="00BB2827"/>
    <w:rsid w:val="00BB2ABA"/>
    <w:rsid w:val="00BB2B6D"/>
    <w:rsid w:val="00BB2C69"/>
    <w:rsid w:val="00BB35E4"/>
    <w:rsid w:val="00BB3838"/>
    <w:rsid w:val="00BB39DB"/>
    <w:rsid w:val="00BB3BCE"/>
    <w:rsid w:val="00BB3C35"/>
    <w:rsid w:val="00BB3E4C"/>
    <w:rsid w:val="00BB52E3"/>
    <w:rsid w:val="00BB5E8F"/>
    <w:rsid w:val="00BB604A"/>
    <w:rsid w:val="00BB61CB"/>
    <w:rsid w:val="00BB63F4"/>
    <w:rsid w:val="00BB6619"/>
    <w:rsid w:val="00BB683C"/>
    <w:rsid w:val="00BB691F"/>
    <w:rsid w:val="00BB6A2A"/>
    <w:rsid w:val="00BB6B81"/>
    <w:rsid w:val="00BB717F"/>
    <w:rsid w:val="00BB7256"/>
    <w:rsid w:val="00BB743B"/>
    <w:rsid w:val="00BB74F8"/>
    <w:rsid w:val="00BB7525"/>
    <w:rsid w:val="00BB76A6"/>
    <w:rsid w:val="00BB7CEB"/>
    <w:rsid w:val="00BC005B"/>
    <w:rsid w:val="00BC021D"/>
    <w:rsid w:val="00BC0647"/>
    <w:rsid w:val="00BC08BE"/>
    <w:rsid w:val="00BC0A99"/>
    <w:rsid w:val="00BC17AE"/>
    <w:rsid w:val="00BC189B"/>
    <w:rsid w:val="00BC19AF"/>
    <w:rsid w:val="00BC1BA4"/>
    <w:rsid w:val="00BC1BBE"/>
    <w:rsid w:val="00BC27E1"/>
    <w:rsid w:val="00BC2A41"/>
    <w:rsid w:val="00BC3045"/>
    <w:rsid w:val="00BC3450"/>
    <w:rsid w:val="00BC3634"/>
    <w:rsid w:val="00BC3BC3"/>
    <w:rsid w:val="00BC3E99"/>
    <w:rsid w:val="00BC429F"/>
    <w:rsid w:val="00BC44F1"/>
    <w:rsid w:val="00BC4EAE"/>
    <w:rsid w:val="00BC541A"/>
    <w:rsid w:val="00BC5969"/>
    <w:rsid w:val="00BC5B48"/>
    <w:rsid w:val="00BC5C24"/>
    <w:rsid w:val="00BC716B"/>
    <w:rsid w:val="00BC7651"/>
    <w:rsid w:val="00BC7FEE"/>
    <w:rsid w:val="00BD033F"/>
    <w:rsid w:val="00BD03ED"/>
    <w:rsid w:val="00BD08E8"/>
    <w:rsid w:val="00BD0A86"/>
    <w:rsid w:val="00BD0CAD"/>
    <w:rsid w:val="00BD0D77"/>
    <w:rsid w:val="00BD1CF2"/>
    <w:rsid w:val="00BD245D"/>
    <w:rsid w:val="00BD249F"/>
    <w:rsid w:val="00BD25A1"/>
    <w:rsid w:val="00BD27BF"/>
    <w:rsid w:val="00BD2DE7"/>
    <w:rsid w:val="00BD34BC"/>
    <w:rsid w:val="00BD3A22"/>
    <w:rsid w:val="00BD40A3"/>
    <w:rsid w:val="00BD46F6"/>
    <w:rsid w:val="00BD53C3"/>
    <w:rsid w:val="00BD54E8"/>
    <w:rsid w:val="00BD57EB"/>
    <w:rsid w:val="00BD5819"/>
    <w:rsid w:val="00BD6576"/>
    <w:rsid w:val="00BD66CC"/>
    <w:rsid w:val="00BD6AC8"/>
    <w:rsid w:val="00BD6C23"/>
    <w:rsid w:val="00BD71B8"/>
    <w:rsid w:val="00BD741A"/>
    <w:rsid w:val="00BD7426"/>
    <w:rsid w:val="00BD7BE6"/>
    <w:rsid w:val="00BD7F31"/>
    <w:rsid w:val="00BE02C6"/>
    <w:rsid w:val="00BE0649"/>
    <w:rsid w:val="00BE09ED"/>
    <w:rsid w:val="00BE0A97"/>
    <w:rsid w:val="00BE0D5D"/>
    <w:rsid w:val="00BE0EF5"/>
    <w:rsid w:val="00BE1968"/>
    <w:rsid w:val="00BE20EC"/>
    <w:rsid w:val="00BE2133"/>
    <w:rsid w:val="00BE2395"/>
    <w:rsid w:val="00BE25AB"/>
    <w:rsid w:val="00BE262A"/>
    <w:rsid w:val="00BE26CE"/>
    <w:rsid w:val="00BE26DB"/>
    <w:rsid w:val="00BE3410"/>
    <w:rsid w:val="00BE347B"/>
    <w:rsid w:val="00BE3A42"/>
    <w:rsid w:val="00BE3B41"/>
    <w:rsid w:val="00BE3E18"/>
    <w:rsid w:val="00BE4189"/>
    <w:rsid w:val="00BE43FC"/>
    <w:rsid w:val="00BE4435"/>
    <w:rsid w:val="00BE4E6A"/>
    <w:rsid w:val="00BE5584"/>
    <w:rsid w:val="00BE5A0E"/>
    <w:rsid w:val="00BE5E2C"/>
    <w:rsid w:val="00BE5F0F"/>
    <w:rsid w:val="00BE6111"/>
    <w:rsid w:val="00BE613E"/>
    <w:rsid w:val="00BE6192"/>
    <w:rsid w:val="00BE6254"/>
    <w:rsid w:val="00BE64B0"/>
    <w:rsid w:val="00BE64C1"/>
    <w:rsid w:val="00BE65B4"/>
    <w:rsid w:val="00BE65B9"/>
    <w:rsid w:val="00BE6772"/>
    <w:rsid w:val="00BE68E5"/>
    <w:rsid w:val="00BE68FF"/>
    <w:rsid w:val="00BE6C99"/>
    <w:rsid w:val="00BE6DD8"/>
    <w:rsid w:val="00BE75EC"/>
    <w:rsid w:val="00BE77E7"/>
    <w:rsid w:val="00BE7CE3"/>
    <w:rsid w:val="00BF07C1"/>
    <w:rsid w:val="00BF09EC"/>
    <w:rsid w:val="00BF0D5A"/>
    <w:rsid w:val="00BF109B"/>
    <w:rsid w:val="00BF12EF"/>
    <w:rsid w:val="00BF1B00"/>
    <w:rsid w:val="00BF1C5F"/>
    <w:rsid w:val="00BF251F"/>
    <w:rsid w:val="00BF2AD4"/>
    <w:rsid w:val="00BF2C3F"/>
    <w:rsid w:val="00BF2EB1"/>
    <w:rsid w:val="00BF345D"/>
    <w:rsid w:val="00BF3653"/>
    <w:rsid w:val="00BF3D7C"/>
    <w:rsid w:val="00BF4267"/>
    <w:rsid w:val="00BF4305"/>
    <w:rsid w:val="00BF49A8"/>
    <w:rsid w:val="00BF4C17"/>
    <w:rsid w:val="00BF531F"/>
    <w:rsid w:val="00BF53FF"/>
    <w:rsid w:val="00BF59A4"/>
    <w:rsid w:val="00BF5C04"/>
    <w:rsid w:val="00BF620D"/>
    <w:rsid w:val="00BF6501"/>
    <w:rsid w:val="00BF74E4"/>
    <w:rsid w:val="00BF7877"/>
    <w:rsid w:val="00BF7AF7"/>
    <w:rsid w:val="00BF7B2E"/>
    <w:rsid w:val="00C001A8"/>
    <w:rsid w:val="00C005BD"/>
    <w:rsid w:val="00C00AB1"/>
    <w:rsid w:val="00C01396"/>
    <w:rsid w:val="00C0140C"/>
    <w:rsid w:val="00C017B6"/>
    <w:rsid w:val="00C0185B"/>
    <w:rsid w:val="00C01D3A"/>
    <w:rsid w:val="00C0243F"/>
    <w:rsid w:val="00C025C3"/>
    <w:rsid w:val="00C0319D"/>
    <w:rsid w:val="00C032D5"/>
    <w:rsid w:val="00C03C5A"/>
    <w:rsid w:val="00C0409B"/>
    <w:rsid w:val="00C04CD7"/>
    <w:rsid w:val="00C04D19"/>
    <w:rsid w:val="00C04D32"/>
    <w:rsid w:val="00C04D8D"/>
    <w:rsid w:val="00C04D96"/>
    <w:rsid w:val="00C04E5A"/>
    <w:rsid w:val="00C04FC6"/>
    <w:rsid w:val="00C0579D"/>
    <w:rsid w:val="00C05828"/>
    <w:rsid w:val="00C05AAD"/>
    <w:rsid w:val="00C05C02"/>
    <w:rsid w:val="00C06223"/>
    <w:rsid w:val="00C0669F"/>
    <w:rsid w:val="00C06A0E"/>
    <w:rsid w:val="00C06EF9"/>
    <w:rsid w:val="00C070AF"/>
    <w:rsid w:val="00C07B56"/>
    <w:rsid w:val="00C07B59"/>
    <w:rsid w:val="00C07D76"/>
    <w:rsid w:val="00C10554"/>
    <w:rsid w:val="00C10AD8"/>
    <w:rsid w:val="00C10C01"/>
    <w:rsid w:val="00C11791"/>
    <w:rsid w:val="00C11894"/>
    <w:rsid w:val="00C12119"/>
    <w:rsid w:val="00C128B0"/>
    <w:rsid w:val="00C12965"/>
    <w:rsid w:val="00C13012"/>
    <w:rsid w:val="00C13076"/>
    <w:rsid w:val="00C131ED"/>
    <w:rsid w:val="00C13CDE"/>
    <w:rsid w:val="00C13EC6"/>
    <w:rsid w:val="00C147A5"/>
    <w:rsid w:val="00C14DAB"/>
    <w:rsid w:val="00C1582B"/>
    <w:rsid w:val="00C158E2"/>
    <w:rsid w:val="00C15918"/>
    <w:rsid w:val="00C16037"/>
    <w:rsid w:val="00C162C2"/>
    <w:rsid w:val="00C1655E"/>
    <w:rsid w:val="00C166A0"/>
    <w:rsid w:val="00C16C6E"/>
    <w:rsid w:val="00C16F01"/>
    <w:rsid w:val="00C170A5"/>
    <w:rsid w:val="00C1734A"/>
    <w:rsid w:val="00C1759A"/>
    <w:rsid w:val="00C177FE"/>
    <w:rsid w:val="00C17A62"/>
    <w:rsid w:val="00C17EDC"/>
    <w:rsid w:val="00C20498"/>
    <w:rsid w:val="00C20A44"/>
    <w:rsid w:val="00C210AA"/>
    <w:rsid w:val="00C210F2"/>
    <w:rsid w:val="00C21217"/>
    <w:rsid w:val="00C21286"/>
    <w:rsid w:val="00C21A44"/>
    <w:rsid w:val="00C21B49"/>
    <w:rsid w:val="00C21DB1"/>
    <w:rsid w:val="00C2256C"/>
    <w:rsid w:val="00C2260C"/>
    <w:rsid w:val="00C22720"/>
    <w:rsid w:val="00C22881"/>
    <w:rsid w:val="00C22B0D"/>
    <w:rsid w:val="00C22B99"/>
    <w:rsid w:val="00C22C32"/>
    <w:rsid w:val="00C23743"/>
    <w:rsid w:val="00C23E2E"/>
    <w:rsid w:val="00C2456D"/>
    <w:rsid w:val="00C24907"/>
    <w:rsid w:val="00C24C09"/>
    <w:rsid w:val="00C25175"/>
    <w:rsid w:val="00C252CD"/>
    <w:rsid w:val="00C2563B"/>
    <w:rsid w:val="00C25D28"/>
    <w:rsid w:val="00C26CB9"/>
    <w:rsid w:val="00C26FF9"/>
    <w:rsid w:val="00C272C0"/>
    <w:rsid w:val="00C27383"/>
    <w:rsid w:val="00C27431"/>
    <w:rsid w:val="00C275DD"/>
    <w:rsid w:val="00C276E4"/>
    <w:rsid w:val="00C27A7F"/>
    <w:rsid w:val="00C303E0"/>
    <w:rsid w:val="00C305FF"/>
    <w:rsid w:val="00C306B7"/>
    <w:rsid w:val="00C30720"/>
    <w:rsid w:val="00C3088A"/>
    <w:rsid w:val="00C30C1C"/>
    <w:rsid w:val="00C3109A"/>
    <w:rsid w:val="00C31530"/>
    <w:rsid w:val="00C31826"/>
    <w:rsid w:val="00C3189E"/>
    <w:rsid w:val="00C31D23"/>
    <w:rsid w:val="00C32008"/>
    <w:rsid w:val="00C32504"/>
    <w:rsid w:val="00C33658"/>
    <w:rsid w:val="00C34BA0"/>
    <w:rsid w:val="00C34EDC"/>
    <w:rsid w:val="00C34FB0"/>
    <w:rsid w:val="00C35076"/>
    <w:rsid w:val="00C353E7"/>
    <w:rsid w:val="00C36F1A"/>
    <w:rsid w:val="00C37B1A"/>
    <w:rsid w:val="00C40121"/>
    <w:rsid w:val="00C4034C"/>
    <w:rsid w:val="00C40C1D"/>
    <w:rsid w:val="00C40EFC"/>
    <w:rsid w:val="00C4136C"/>
    <w:rsid w:val="00C41597"/>
    <w:rsid w:val="00C41A33"/>
    <w:rsid w:val="00C421F0"/>
    <w:rsid w:val="00C4221B"/>
    <w:rsid w:val="00C42495"/>
    <w:rsid w:val="00C42689"/>
    <w:rsid w:val="00C437E0"/>
    <w:rsid w:val="00C4415F"/>
    <w:rsid w:val="00C44595"/>
    <w:rsid w:val="00C44974"/>
    <w:rsid w:val="00C44A34"/>
    <w:rsid w:val="00C44CA8"/>
    <w:rsid w:val="00C44EA5"/>
    <w:rsid w:val="00C44FC5"/>
    <w:rsid w:val="00C4500D"/>
    <w:rsid w:val="00C4620D"/>
    <w:rsid w:val="00C466CB"/>
    <w:rsid w:val="00C469CC"/>
    <w:rsid w:val="00C470C8"/>
    <w:rsid w:val="00C473A1"/>
    <w:rsid w:val="00C476E5"/>
    <w:rsid w:val="00C47E09"/>
    <w:rsid w:val="00C502F4"/>
    <w:rsid w:val="00C506DB"/>
    <w:rsid w:val="00C50784"/>
    <w:rsid w:val="00C50856"/>
    <w:rsid w:val="00C50ADD"/>
    <w:rsid w:val="00C510A2"/>
    <w:rsid w:val="00C51144"/>
    <w:rsid w:val="00C51368"/>
    <w:rsid w:val="00C516DD"/>
    <w:rsid w:val="00C51966"/>
    <w:rsid w:val="00C525C0"/>
    <w:rsid w:val="00C52B5F"/>
    <w:rsid w:val="00C530AE"/>
    <w:rsid w:val="00C5329D"/>
    <w:rsid w:val="00C534AA"/>
    <w:rsid w:val="00C53A40"/>
    <w:rsid w:val="00C53A59"/>
    <w:rsid w:val="00C540E1"/>
    <w:rsid w:val="00C54210"/>
    <w:rsid w:val="00C544C3"/>
    <w:rsid w:val="00C546D6"/>
    <w:rsid w:val="00C5507A"/>
    <w:rsid w:val="00C5516F"/>
    <w:rsid w:val="00C5525B"/>
    <w:rsid w:val="00C553A8"/>
    <w:rsid w:val="00C558D1"/>
    <w:rsid w:val="00C55B2A"/>
    <w:rsid w:val="00C563E2"/>
    <w:rsid w:val="00C56C41"/>
    <w:rsid w:val="00C5762B"/>
    <w:rsid w:val="00C57790"/>
    <w:rsid w:val="00C577B0"/>
    <w:rsid w:val="00C57A9B"/>
    <w:rsid w:val="00C57BC3"/>
    <w:rsid w:val="00C57EEC"/>
    <w:rsid w:val="00C60CDB"/>
    <w:rsid w:val="00C60F5C"/>
    <w:rsid w:val="00C60FF7"/>
    <w:rsid w:val="00C615C6"/>
    <w:rsid w:val="00C619E6"/>
    <w:rsid w:val="00C61DF7"/>
    <w:rsid w:val="00C6221F"/>
    <w:rsid w:val="00C62294"/>
    <w:rsid w:val="00C624B2"/>
    <w:rsid w:val="00C62657"/>
    <w:rsid w:val="00C62E0C"/>
    <w:rsid w:val="00C632AE"/>
    <w:rsid w:val="00C632EF"/>
    <w:rsid w:val="00C63377"/>
    <w:rsid w:val="00C63556"/>
    <w:rsid w:val="00C63C9B"/>
    <w:rsid w:val="00C6424F"/>
    <w:rsid w:val="00C643DD"/>
    <w:rsid w:val="00C64E38"/>
    <w:rsid w:val="00C64FE1"/>
    <w:rsid w:val="00C6506A"/>
    <w:rsid w:val="00C65ACF"/>
    <w:rsid w:val="00C65D76"/>
    <w:rsid w:val="00C65DFC"/>
    <w:rsid w:val="00C65F8A"/>
    <w:rsid w:val="00C65F9B"/>
    <w:rsid w:val="00C66111"/>
    <w:rsid w:val="00C66500"/>
    <w:rsid w:val="00C669EE"/>
    <w:rsid w:val="00C66A65"/>
    <w:rsid w:val="00C67626"/>
    <w:rsid w:val="00C67BA2"/>
    <w:rsid w:val="00C70A9C"/>
    <w:rsid w:val="00C70C97"/>
    <w:rsid w:val="00C71099"/>
    <w:rsid w:val="00C71362"/>
    <w:rsid w:val="00C7189A"/>
    <w:rsid w:val="00C718D4"/>
    <w:rsid w:val="00C72704"/>
    <w:rsid w:val="00C72A13"/>
    <w:rsid w:val="00C72D4F"/>
    <w:rsid w:val="00C73152"/>
    <w:rsid w:val="00C734C1"/>
    <w:rsid w:val="00C73578"/>
    <w:rsid w:val="00C737B8"/>
    <w:rsid w:val="00C7395E"/>
    <w:rsid w:val="00C73EE1"/>
    <w:rsid w:val="00C747FF"/>
    <w:rsid w:val="00C74942"/>
    <w:rsid w:val="00C74AA4"/>
    <w:rsid w:val="00C74B1C"/>
    <w:rsid w:val="00C74B40"/>
    <w:rsid w:val="00C74BB8"/>
    <w:rsid w:val="00C74E60"/>
    <w:rsid w:val="00C74E92"/>
    <w:rsid w:val="00C74F37"/>
    <w:rsid w:val="00C75A6A"/>
    <w:rsid w:val="00C7603A"/>
    <w:rsid w:val="00C7603B"/>
    <w:rsid w:val="00C765ED"/>
    <w:rsid w:val="00C76B49"/>
    <w:rsid w:val="00C76C9B"/>
    <w:rsid w:val="00C7712F"/>
    <w:rsid w:val="00C77B91"/>
    <w:rsid w:val="00C77F66"/>
    <w:rsid w:val="00C80318"/>
    <w:rsid w:val="00C8048C"/>
    <w:rsid w:val="00C80814"/>
    <w:rsid w:val="00C80A3B"/>
    <w:rsid w:val="00C80FC2"/>
    <w:rsid w:val="00C8115F"/>
    <w:rsid w:val="00C81268"/>
    <w:rsid w:val="00C81403"/>
    <w:rsid w:val="00C81480"/>
    <w:rsid w:val="00C81DC1"/>
    <w:rsid w:val="00C82070"/>
    <w:rsid w:val="00C8222F"/>
    <w:rsid w:val="00C82345"/>
    <w:rsid w:val="00C82582"/>
    <w:rsid w:val="00C82BB1"/>
    <w:rsid w:val="00C844A8"/>
    <w:rsid w:val="00C84832"/>
    <w:rsid w:val="00C852D2"/>
    <w:rsid w:val="00C85825"/>
    <w:rsid w:val="00C85FDC"/>
    <w:rsid w:val="00C86358"/>
    <w:rsid w:val="00C8738E"/>
    <w:rsid w:val="00C8776C"/>
    <w:rsid w:val="00C87B12"/>
    <w:rsid w:val="00C87DED"/>
    <w:rsid w:val="00C91447"/>
    <w:rsid w:val="00C9178C"/>
    <w:rsid w:val="00C91C18"/>
    <w:rsid w:val="00C91E25"/>
    <w:rsid w:val="00C9202B"/>
    <w:rsid w:val="00C924FB"/>
    <w:rsid w:val="00C9251C"/>
    <w:rsid w:val="00C92547"/>
    <w:rsid w:val="00C92880"/>
    <w:rsid w:val="00C928BC"/>
    <w:rsid w:val="00C92C70"/>
    <w:rsid w:val="00C92EDF"/>
    <w:rsid w:val="00C92FB1"/>
    <w:rsid w:val="00C930FB"/>
    <w:rsid w:val="00C933DC"/>
    <w:rsid w:val="00C94A57"/>
    <w:rsid w:val="00C94A9F"/>
    <w:rsid w:val="00C95031"/>
    <w:rsid w:val="00C9508A"/>
    <w:rsid w:val="00C9512C"/>
    <w:rsid w:val="00C95151"/>
    <w:rsid w:val="00C95CCC"/>
    <w:rsid w:val="00C95F75"/>
    <w:rsid w:val="00C96244"/>
    <w:rsid w:val="00C963C3"/>
    <w:rsid w:val="00C96EDE"/>
    <w:rsid w:val="00C96F74"/>
    <w:rsid w:val="00C97088"/>
    <w:rsid w:val="00C970BF"/>
    <w:rsid w:val="00C9760D"/>
    <w:rsid w:val="00C97848"/>
    <w:rsid w:val="00C97B7E"/>
    <w:rsid w:val="00C97DE1"/>
    <w:rsid w:val="00CA0082"/>
    <w:rsid w:val="00CA0213"/>
    <w:rsid w:val="00CA060A"/>
    <w:rsid w:val="00CA07FD"/>
    <w:rsid w:val="00CA08F0"/>
    <w:rsid w:val="00CA0B03"/>
    <w:rsid w:val="00CA0B3D"/>
    <w:rsid w:val="00CA0D36"/>
    <w:rsid w:val="00CA13A4"/>
    <w:rsid w:val="00CA1528"/>
    <w:rsid w:val="00CA1590"/>
    <w:rsid w:val="00CA1E79"/>
    <w:rsid w:val="00CA1ED8"/>
    <w:rsid w:val="00CA1F57"/>
    <w:rsid w:val="00CA1FE0"/>
    <w:rsid w:val="00CA26A8"/>
    <w:rsid w:val="00CA2D3C"/>
    <w:rsid w:val="00CA3B3A"/>
    <w:rsid w:val="00CA3BC0"/>
    <w:rsid w:val="00CA418C"/>
    <w:rsid w:val="00CA46CE"/>
    <w:rsid w:val="00CA50D4"/>
    <w:rsid w:val="00CA5383"/>
    <w:rsid w:val="00CA5BCD"/>
    <w:rsid w:val="00CA5CB4"/>
    <w:rsid w:val="00CA5FBB"/>
    <w:rsid w:val="00CA63DD"/>
    <w:rsid w:val="00CA669F"/>
    <w:rsid w:val="00CA6BEB"/>
    <w:rsid w:val="00CA6E50"/>
    <w:rsid w:val="00CA7437"/>
    <w:rsid w:val="00CA7ACB"/>
    <w:rsid w:val="00CB0695"/>
    <w:rsid w:val="00CB071C"/>
    <w:rsid w:val="00CB0AB6"/>
    <w:rsid w:val="00CB0EC8"/>
    <w:rsid w:val="00CB0EEF"/>
    <w:rsid w:val="00CB1044"/>
    <w:rsid w:val="00CB1573"/>
    <w:rsid w:val="00CB183C"/>
    <w:rsid w:val="00CB1959"/>
    <w:rsid w:val="00CB1C35"/>
    <w:rsid w:val="00CB1E33"/>
    <w:rsid w:val="00CB203D"/>
    <w:rsid w:val="00CB244D"/>
    <w:rsid w:val="00CB2ACD"/>
    <w:rsid w:val="00CB31BB"/>
    <w:rsid w:val="00CB32E8"/>
    <w:rsid w:val="00CB387F"/>
    <w:rsid w:val="00CB3A54"/>
    <w:rsid w:val="00CB3BE7"/>
    <w:rsid w:val="00CB4203"/>
    <w:rsid w:val="00CB47EF"/>
    <w:rsid w:val="00CB48D0"/>
    <w:rsid w:val="00CB4DE6"/>
    <w:rsid w:val="00CB5443"/>
    <w:rsid w:val="00CB5AC9"/>
    <w:rsid w:val="00CB6092"/>
    <w:rsid w:val="00CB6475"/>
    <w:rsid w:val="00CB6559"/>
    <w:rsid w:val="00CB65B9"/>
    <w:rsid w:val="00CB6AC6"/>
    <w:rsid w:val="00CB6B7D"/>
    <w:rsid w:val="00CB6D4F"/>
    <w:rsid w:val="00CB7489"/>
    <w:rsid w:val="00CB7D51"/>
    <w:rsid w:val="00CC0100"/>
    <w:rsid w:val="00CC04B0"/>
    <w:rsid w:val="00CC05B0"/>
    <w:rsid w:val="00CC067A"/>
    <w:rsid w:val="00CC0A99"/>
    <w:rsid w:val="00CC0E62"/>
    <w:rsid w:val="00CC0E86"/>
    <w:rsid w:val="00CC0E9E"/>
    <w:rsid w:val="00CC1836"/>
    <w:rsid w:val="00CC1F50"/>
    <w:rsid w:val="00CC2248"/>
    <w:rsid w:val="00CC2464"/>
    <w:rsid w:val="00CC24B8"/>
    <w:rsid w:val="00CC312B"/>
    <w:rsid w:val="00CC31CD"/>
    <w:rsid w:val="00CC35E3"/>
    <w:rsid w:val="00CC3FB5"/>
    <w:rsid w:val="00CC423F"/>
    <w:rsid w:val="00CC4630"/>
    <w:rsid w:val="00CC46C3"/>
    <w:rsid w:val="00CC4865"/>
    <w:rsid w:val="00CC4BBD"/>
    <w:rsid w:val="00CC4D4A"/>
    <w:rsid w:val="00CC504F"/>
    <w:rsid w:val="00CC5184"/>
    <w:rsid w:val="00CC5467"/>
    <w:rsid w:val="00CC554F"/>
    <w:rsid w:val="00CC5B49"/>
    <w:rsid w:val="00CC5CEC"/>
    <w:rsid w:val="00CC6065"/>
    <w:rsid w:val="00CC6658"/>
    <w:rsid w:val="00CC6802"/>
    <w:rsid w:val="00CC686A"/>
    <w:rsid w:val="00CC6915"/>
    <w:rsid w:val="00CC6B3E"/>
    <w:rsid w:val="00CC73C1"/>
    <w:rsid w:val="00CC78DC"/>
    <w:rsid w:val="00CD0641"/>
    <w:rsid w:val="00CD0E81"/>
    <w:rsid w:val="00CD1084"/>
    <w:rsid w:val="00CD10E5"/>
    <w:rsid w:val="00CD132D"/>
    <w:rsid w:val="00CD1AA9"/>
    <w:rsid w:val="00CD204E"/>
    <w:rsid w:val="00CD251A"/>
    <w:rsid w:val="00CD27B4"/>
    <w:rsid w:val="00CD28C2"/>
    <w:rsid w:val="00CD2A6C"/>
    <w:rsid w:val="00CD2A83"/>
    <w:rsid w:val="00CD30A5"/>
    <w:rsid w:val="00CD30DC"/>
    <w:rsid w:val="00CD30E4"/>
    <w:rsid w:val="00CD37A2"/>
    <w:rsid w:val="00CD3A05"/>
    <w:rsid w:val="00CD3BC1"/>
    <w:rsid w:val="00CD4387"/>
    <w:rsid w:val="00CD4FA1"/>
    <w:rsid w:val="00CD5115"/>
    <w:rsid w:val="00CD5256"/>
    <w:rsid w:val="00CD5607"/>
    <w:rsid w:val="00CD5989"/>
    <w:rsid w:val="00CD5A8A"/>
    <w:rsid w:val="00CD5C28"/>
    <w:rsid w:val="00CD6160"/>
    <w:rsid w:val="00CD62EC"/>
    <w:rsid w:val="00CD65D9"/>
    <w:rsid w:val="00CD6675"/>
    <w:rsid w:val="00CD69D6"/>
    <w:rsid w:val="00CD6A8B"/>
    <w:rsid w:val="00CD7189"/>
    <w:rsid w:val="00CD723A"/>
    <w:rsid w:val="00CD7547"/>
    <w:rsid w:val="00CD76B8"/>
    <w:rsid w:val="00CD7904"/>
    <w:rsid w:val="00CD7F9D"/>
    <w:rsid w:val="00CE0345"/>
    <w:rsid w:val="00CE042A"/>
    <w:rsid w:val="00CE08C4"/>
    <w:rsid w:val="00CE0EDD"/>
    <w:rsid w:val="00CE130A"/>
    <w:rsid w:val="00CE13EC"/>
    <w:rsid w:val="00CE1DD1"/>
    <w:rsid w:val="00CE1E4F"/>
    <w:rsid w:val="00CE1E79"/>
    <w:rsid w:val="00CE1F05"/>
    <w:rsid w:val="00CE1F80"/>
    <w:rsid w:val="00CE27CD"/>
    <w:rsid w:val="00CE2B74"/>
    <w:rsid w:val="00CE335E"/>
    <w:rsid w:val="00CE34A6"/>
    <w:rsid w:val="00CE37B3"/>
    <w:rsid w:val="00CE37BB"/>
    <w:rsid w:val="00CE3C71"/>
    <w:rsid w:val="00CE4EB1"/>
    <w:rsid w:val="00CE535F"/>
    <w:rsid w:val="00CE53C4"/>
    <w:rsid w:val="00CE5F10"/>
    <w:rsid w:val="00CE612C"/>
    <w:rsid w:val="00CE6252"/>
    <w:rsid w:val="00CE67D2"/>
    <w:rsid w:val="00CE753C"/>
    <w:rsid w:val="00CE75E5"/>
    <w:rsid w:val="00CE7CF4"/>
    <w:rsid w:val="00CF059E"/>
    <w:rsid w:val="00CF06F4"/>
    <w:rsid w:val="00CF0989"/>
    <w:rsid w:val="00CF128F"/>
    <w:rsid w:val="00CF1477"/>
    <w:rsid w:val="00CF15BC"/>
    <w:rsid w:val="00CF1A22"/>
    <w:rsid w:val="00CF1D9F"/>
    <w:rsid w:val="00CF214C"/>
    <w:rsid w:val="00CF289C"/>
    <w:rsid w:val="00CF2BB8"/>
    <w:rsid w:val="00CF2C45"/>
    <w:rsid w:val="00CF4A67"/>
    <w:rsid w:val="00CF4B0A"/>
    <w:rsid w:val="00CF4C47"/>
    <w:rsid w:val="00CF4D40"/>
    <w:rsid w:val="00CF5040"/>
    <w:rsid w:val="00CF58DB"/>
    <w:rsid w:val="00CF5988"/>
    <w:rsid w:val="00CF5A5B"/>
    <w:rsid w:val="00CF5C17"/>
    <w:rsid w:val="00CF5D24"/>
    <w:rsid w:val="00CF62CC"/>
    <w:rsid w:val="00CF63F3"/>
    <w:rsid w:val="00CF6B4E"/>
    <w:rsid w:val="00CF6C75"/>
    <w:rsid w:val="00CF6D3E"/>
    <w:rsid w:val="00CF76C0"/>
    <w:rsid w:val="00CF7749"/>
    <w:rsid w:val="00CF7ABE"/>
    <w:rsid w:val="00CF7BCC"/>
    <w:rsid w:val="00CF7CD4"/>
    <w:rsid w:val="00D003A7"/>
    <w:rsid w:val="00D00551"/>
    <w:rsid w:val="00D00610"/>
    <w:rsid w:val="00D00925"/>
    <w:rsid w:val="00D00942"/>
    <w:rsid w:val="00D00A5E"/>
    <w:rsid w:val="00D018A9"/>
    <w:rsid w:val="00D019D7"/>
    <w:rsid w:val="00D01AE3"/>
    <w:rsid w:val="00D024E3"/>
    <w:rsid w:val="00D027DF"/>
    <w:rsid w:val="00D0295B"/>
    <w:rsid w:val="00D02D48"/>
    <w:rsid w:val="00D02D5B"/>
    <w:rsid w:val="00D03171"/>
    <w:rsid w:val="00D031B3"/>
    <w:rsid w:val="00D0340F"/>
    <w:rsid w:val="00D0352C"/>
    <w:rsid w:val="00D0353E"/>
    <w:rsid w:val="00D03609"/>
    <w:rsid w:val="00D038A3"/>
    <w:rsid w:val="00D03CFD"/>
    <w:rsid w:val="00D03D9D"/>
    <w:rsid w:val="00D03EE0"/>
    <w:rsid w:val="00D03F3B"/>
    <w:rsid w:val="00D0426B"/>
    <w:rsid w:val="00D044CB"/>
    <w:rsid w:val="00D0479D"/>
    <w:rsid w:val="00D04BF2"/>
    <w:rsid w:val="00D04D71"/>
    <w:rsid w:val="00D04EC5"/>
    <w:rsid w:val="00D051C7"/>
    <w:rsid w:val="00D0534A"/>
    <w:rsid w:val="00D053F2"/>
    <w:rsid w:val="00D05DDF"/>
    <w:rsid w:val="00D06471"/>
    <w:rsid w:val="00D06576"/>
    <w:rsid w:val="00D073F0"/>
    <w:rsid w:val="00D075B6"/>
    <w:rsid w:val="00D0775E"/>
    <w:rsid w:val="00D07BF6"/>
    <w:rsid w:val="00D07C0A"/>
    <w:rsid w:val="00D07CED"/>
    <w:rsid w:val="00D100A3"/>
    <w:rsid w:val="00D1011B"/>
    <w:rsid w:val="00D10841"/>
    <w:rsid w:val="00D10DA2"/>
    <w:rsid w:val="00D10F62"/>
    <w:rsid w:val="00D11628"/>
    <w:rsid w:val="00D1188D"/>
    <w:rsid w:val="00D11DDF"/>
    <w:rsid w:val="00D11E7C"/>
    <w:rsid w:val="00D11EA3"/>
    <w:rsid w:val="00D1242E"/>
    <w:rsid w:val="00D124ED"/>
    <w:rsid w:val="00D12522"/>
    <w:rsid w:val="00D1281A"/>
    <w:rsid w:val="00D129E4"/>
    <w:rsid w:val="00D12AFB"/>
    <w:rsid w:val="00D1359A"/>
    <w:rsid w:val="00D13CC0"/>
    <w:rsid w:val="00D141BF"/>
    <w:rsid w:val="00D14202"/>
    <w:rsid w:val="00D14337"/>
    <w:rsid w:val="00D1447C"/>
    <w:rsid w:val="00D14487"/>
    <w:rsid w:val="00D145A0"/>
    <w:rsid w:val="00D14BA7"/>
    <w:rsid w:val="00D15D33"/>
    <w:rsid w:val="00D15DC7"/>
    <w:rsid w:val="00D15F68"/>
    <w:rsid w:val="00D15FC3"/>
    <w:rsid w:val="00D165F7"/>
    <w:rsid w:val="00D16800"/>
    <w:rsid w:val="00D1687F"/>
    <w:rsid w:val="00D168DE"/>
    <w:rsid w:val="00D16993"/>
    <w:rsid w:val="00D16FAB"/>
    <w:rsid w:val="00D174A6"/>
    <w:rsid w:val="00D17B86"/>
    <w:rsid w:val="00D2001E"/>
    <w:rsid w:val="00D202FF"/>
    <w:rsid w:val="00D20BE3"/>
    <w:rsid w:val="00D20C48"/>
    <w:rsid w:val="00D20DC1"/>
    <w:rsid w:val="00D2103B"/>
    <w:rsid w:val="00D21100"/>
    <w:rsid w:val="00D214BE"/>
    <w:rsid w:val="00D214DF"/>
    <w:rsid w:val="00D21F14"/>
    <w:rsid w:val="00D2228D"/>
    <w:rsid w:val="00D22946"/>
    <w:rsid w:val="00D23326"/>
    <w:rsid w:val="00D2360B"/>
    <w:rsid w:val="00D23A8D"/>
    <w:rsid w:val="00D23ACE"/>
    <w:rsid w:val="00D249D4"/>
    <w:rsid w:val="00D24ABB"/>
    <w:rsid w:val="00D24B4C"/>
    <w:rsid w:val="00D24CE6"/>
    <w:rsid w:val="00D24D05"/>
    <w:rsid w:val="00D24E22"/>
    <w:rsid w:val="00D257EE"/>
    <w:rsid w:val="00D25C01"/>
    <w:rsid w:val="00D26201"/>
    <w:rsid w:val="00D26434"/>
    <w:rsid w:val="00D26E89"/>
    <w:rsid w:val="00D26F9C"/>
    <w:rsid w:val="00D27595"/>
    <w:rsid w:val="00D276A7"/>
    <w:rsid w:val="00D27994"/>
    <w:rsid w:val="00D27995"/>
    <w:rsid w:val="00D27E7C"/>
    <w:rsid w:val="00D30215"/>
    <w:rsid w:val="00D3088A"/>
    <w:rsid w:val="00D30A80"/>
    <w:rsid w:val="00D30F8A"/>
    <w:rsid w:val="00D314A0"/>
    <w:rsid w:val="00D3167E"/>
    <w:rsid w:val="00D31AB4"/>
    <w:rsid w:val="00D31CED"/>
    <w:rsid w:val="00D31F75"/>
    <w:rsid w:val="00D31FB8"/>
    <w:rsid w:val="00D327F0"/>
    <w:rsid w:val="00D32A0D"/>
    <w:rsid w:val="00D32B14"/>
    <w:rsid w:val="00D32F79"/>
    <w:rsid w:val="00D333F8"/>
    <w:rsid w:val="00D33663"/>
    <w:rsid w:val="00D33807"/>
    <w:rsid w:val="00D33810"/>
    <w:rsid w:val="00D33B34"/>
    <w:rsid w:val="00D33BD9"/>
    <w:rsid w:val="00D340F8"/>
    <w:rsid w:val="00D346E8"/>
    <w:rsid w:val="00D34DDE"/>
    <w:rsid w:val="00D34E86"/>
    <w:rsid w:val="00D34F4F"/>
    <w:rsid w:val="00D35024"/>
    <w:rsid w:val="00D350D0"/>
    <w:rsid w:val="00D353A8"/>
    <w:rsid w:val="00D35BDB"/>
    <w:rsid w:val="00D35C57"/>
    <w:rsid w:val="00D35C65"/>
    <w:rsid w:val="00D35F6A"/>
    <w:rsid w:val="00D3602F"/>
    <w:rsid w:val="00D3758F"/>
    <w:rsid w:val="00D376A6"/>
    <w:rsid w:val="00D3795A"/>
    <w:rsid w:val="00D379C0"/>
    <w:rsid w:val="00D400B6"/>
    <w:rsid w:val="00D401EF"/>
    <w:rsid w:val="00D402FB"/>
    <w:rsid w:val="00D403EF"/>
    <w:rsid w:val="00D40955"/>
    <w:rsid w:val="00D40BBB"/>
    <w:rsid w:val="00D40C51"/>
    <w:rsid w:val="00D41437"/>
    <w:rsid w:val="00D41A41"/>
    <w:rsid w:val="00D41D76"/>
    <w:rsid w:val="00D41E6D"/>
    <w:rsid w:val="00D420A0"/>
    <w:rsid w:val="00D42556"/>
    <w:rsid w:val="00D42567"/>
    <w:rsid w:val="00D42B3A"/>
    <w:rsid w:val="00D430BB"/>
    <w:rsid w:val="00D43275"/>
    <w:rsid w:val="00D438DB"/>
    <w:rsid w:val="00D43C3A"/>
    <w:rsid w:val="00D443B7"/>
    <w:rsid w:val="00D44458"/>
    <w:rsid w:val="00D44B3C"/>
    <w:rsid w:val="00D45332"/>
    <w:rsid w:val="00D45847"/>
    <w:rsid w:val="00D45AD5"/>
    <w:rsid w:val="00D464B7"/>
    <w:rsid w:val="00D46A81"/>
    <w:rsid w:val="00D46E49"/>
    <w:rsid w:val="00D47305"/>
    <w:rsid w:val="00D475C2"/>
    <w:rsid w:val="00D47688"/>
    <w:rsid w:val="00D50374"/>
    <w:rsid w:val="00D5078E"/>
    <w:rsid w:val="00D5098B"/>
    <w:rsid w:val="00D509B9"/>
    <w:rsid w:val="00D51120"/>
    <w:rsid w:val="00D512B9"/>
    <w:rsid w:val="00D51CC8"/>
    <w:rsid w:val="00D5270F"/>
    <w:rsid w:val="00D52A4C"/>
    <w:rsid w:val="00D52B93"/>
    <w:rsid w:val="00D52FE7"/>
    <w:rsid w:val="00D53256"/>
    <w:rsid w:val="00D5341B"/>
    <w:rsid w:val="00D534C3"/>
    <w:rsid w:val="00D53BA1"/>
    <w:rsid w:val="00D53FB0"/>
    <w:rsid w:val="00D540AF"/>
    <w:rsid w:val="00D54581"/>
    <w:rsid w:val="00D546AC"/>
    <w:rsid w:val="00D54AAD"/>
    <w:rsid w:val="00D54EA8"/>
    <w:rsid w:val="00D559EE"/>
    <w:rsid w:val="00D55A8D"/>
    <w:rsid w:val="00D55DEA"/>
    <w:rsid w:val="00D55E3C"/>
    <w:rsid w:val="00D5678F"/>
    <w:rsid w:val="00D5685C"/>
    <w:rsid w:val="00D57060"/>
    <w:rsid w:val="00D571F8"/>
    <w:rsid w:val="00D57D06"/>
    <w:rsid w:val="00D57DDF"/>
    <w:rsid w:val="00D57EC5"/>
    <w:rsid w:val="00D6005D"/>
    <w:rsid w:val="00D60204"/>
    <w:rsid w:val="00D604EC"/>
    <w:rsid w:val="00D608BA"/>
    <w:rsid w:val="00D60BFB"/>
    <w:rsid w:val="00D61A3A"/>
    <w:rsid w:val="00D61D31"/>
    <w:rsid w:val="00D61D77"/>
    <w:rsid w:val="00D621FA"/>
    <w:rsid w:val="00D62C26"/>
    <w:rsid w:val="00D638A0"/>
    <w:rsid w:val="00D63E92"/>
    <w:rsid w:val="00D64367"/>
    <w:rsid w:val="00D6470E"/>
    <w:rsid w:val="00D64D8F"/>
    <w:rsid w:val="00D64E7E"/>
    <w:rsid w:val="00D656C1"/>
    <w:rsid w:val="00D657A8"/>
    <w:rsid w:val="00D658F5"/>
    <w:rsid w:val="00D65967"/>
    <w:rsid w:val="00D65CB2"/>
    <w:rsid w:val="00D662AA"/>
    <w:rsid w:val="00D66495"/>
    <w:rsid w:val="00D66971"/>
    <w:rsid w:val="00D669B4"/>
    <w:rsid w:val="00D66B63"/>
    <w:rsid w:val="00D6708E"/>
    <w:rsid w:val="00D6746E"/>
    <w:rsid w:val="00D674DF"/>
    <w:rsid w:val="00D675CE"/>
    <w:rsid w:val="00D67905"/>
    <w:rsid w:val="00D67AB0"/>
    <w:rsid w:val="00D67FB9"/>
    <w:rsid w:val="00D7066E"/>
    <w:rsid w:val="00D706CE"/>
    <w:rsid w:val="00D70CE6"/>
    <w:rsid w:val="00D71190"/>
    <w:rsid w:val="00D7203D"/>
    <w:rsid w:val="00D72190"/>
    <w:rsid w:val="00D7265D"/>
    <w:rsid w:val="00D72975"/>
    <w:rsid w:val="00D72AA1"/>
    <w:rsid w:val="00D73271"/>
    <w:rsid w:val="00D73888"/>
    <w:rsid w:val="00D738DC"/>
    <w:rsid w:val="00D73A93"/>
    <w:rsid w:val="00D73D9B"/>
    <w:rsid w:val="00D73E1C"/>
    <w:rsid w:val="00D740FC"/>
    <w:rsid w:val="00D74376"/>
    <w:rsid w:val="00D743B4"/>
    <w:rsid w:val="00D74767"/>
    <w:rsid w:val="00D74BFA"/>
    <w:rsid w:val="00D7504E"/>
    <w:rsid w:val="00D755AE"/>
    <w:rsid w:val="00D76B72"/>
    <w:rsid w:val="00D76C32"/>
    <w:rsid w:val="00D76EE5"/>
    <w:rsid w:val="00D770BE"/>
    <w:rsid w:val="00D772F6"/>
    <w:rsid w:val="00D77674"/>
    <w:rsid w:val="00D776BC"/>
    <w:rsid w:val="00D77CCF"/>
    <w:rsid w:val="00D77DFF"/>
    <w:rsid w:val="00D77F11"/>
    <w:rsid w:val="00D80537"/>
    <w:rsid w:val="00D80ECE"/>
    <w:rsid w:val="00D80F64"/>
    <w:rsid w:val="00D81051"/>
    <w:rsid w:val="00D81133"/>
    <w:rsid w:val="00D81270"/>
    <w:rsid w:val="00D814B7"/>
    <w:rsid w:val="00D82319"/>
    <w:rsid w:val="00D8342D"/>
    <w:rsid w:val="00D83E6A"/>
    <w:rsid w:val="00D83F89"/>
    <w:rsid w:val="00D8492E"/>
    <w:rsid w:val="00D84B76"/>
    <w:rsid w:val="00D84BEA"/>
    <w:rsid w:val="00D84E41"/>
    <w:rsid w:val="00D85274"/>
    <w:rsid w:val="00D85543"/>
    <w:rsid w:val="00D8573A"/>
    <w:rsid w:val="00D85CAB"/>
    <w:rsid w:val="00D85E2C"/>
    <w:rsid w:val="00D863B5"/>
    <w:rsid w:val="00D86BA2"/>
    <w:rsid w:val="00D86DCF"/>
    <w:rsid w:val="00D86F24"/>
    <w:rsid w:val="00D8721A"/>
    <w:rsid w:val="00D876B3"/>
    <w:rsid w:val="00D87950"/>
    <w:rsid w:val="00D87A7E"/>
    <w:rsid w:val="00D87B4C"/>
    <w:rsid w:val="00D87B8C"/>
    <w:rsid w:val="00D9076C"/>
    <w:rsid w:val="00D90878"/>
    <w:rsid w:val="00D90C89"/>
    <w:rsid w:val="00D90CA8"/>
    <w:rsid w:val="00D91120"/>
    <w:rsid w:val="00D9134E"/>
    <w:rsid w:val="00D91AD2"/>
    <w:rsid w:val="00D91D80"/>
    <w:rsid w:val="00D91E94"/>
    <w:rsid w:val="00D92486"/>
    <w:rsid w:val="00D92A9A"/>
    <w:rsid w:val="00D92B9D"/>
    <w:rsid w:val="00D932DA"/>
    <w:rsid w:val="00D93F77"/>
    <w:rsid w:val="00D94183"/>
    <w:rsid w:val="00D9442E"/>
    <w:rsid w:val="00D947E8"/>
    <w:rsid w:val="00D94CCC"/>
    <w:rsid w:val="00D95093"/>
    <w:rsid w:val="00D955DF"/>
    <w:rsid w:val="00D961ED"/>
    <w:rsid w:val="00D96342"/>
    <w:rsid w:val="00D96366"/>
    <w:rsid w:val="00D96515"/>
    <w:rsid w:val="00D9652E"/>
    <w:rsid w:val="00D965F9"/>
    <w:rsid w:val="00D96A32"/>
    <w:rsid w:val="00D96C8A"/>
    <w:rsid w:val="00D97A98"/>
    <w:rsid w:val="00D97F46"/>
    <w:rsid w:val="00DA0121"/>
    <w:rsid w:val="00DA0445"/>
    <w:rsid w:val="00DA09DA"/>
    <w:rsid w:val="00DA22AE"/>
    <w:rsid w:val="00DA234F"/>
    <w:rsid w:val="00DA2483"/>
    <w:rsid w:val="00DA26BC"/>
    <w:rsid w:val="00DA3663"/>
    <w:rsid w:val="00DA3686"/>
    <w:rsid w:val="00DA3A21"/>
    <w:rsid w:val="00DA41DB"/>
    <w:rsid w:val="00DA43A4"/>
    <w:rsid w:val="00DA4926"/>
    <w:rsid w:val="00DA4ABA"/>
    <w:rsid w:val="00DA4BC0"/>
    <w:rsid w:val="00DA4CFA"/>
    <w:rsid w:val="00DA5537"/>
    <w:rsid w:val="00DA5968"/>
    <w:rsid w:val="00DA5E8D"/>
    <w:rsid w:val="00DA60F5"/>
    <w:rsid w:val="00DA63CA"/>
    <w:rsid w:val="00DA661A"/>
    <w:rsid w:val="00DA6921"/>
    <w:rsid w:val="00DA6941"/>
    <w:rsid w:val="00DA7DD9"/>
    <w:rsid w:val="00DB0153"/>
    <w:rsid w:val="00DB0B31"/>
    <w:rsid w:val="00DB0FFB"/>
    <w:rsid w:val="00DB1144"/>
    <w:rsid w:val="00DB12D7"/>
    <w:rsid w:val="00DB1569"/>
    <w:rsid w:val="00DB1ABC"/>
    <w:rsid w:val="00DB1B0F"/>
    <w:rsid w:val="00DB1B81"/>
    <w:rsid w:val="00DB2C5D"/>
    <w:rsid w:val="00DB2CD2"/>
    <w:rsid w:val="00DB3389"/>
    <w:rsid w:val="00DB34C7"/>
    <w:rsid w:val="00DB3904"/>
    <w:rsid w:val="00DB42C0"/>
    <w:rsid w:val="00DB460B"/>
    <w:rsid w:val="00DB4E27"/>
    <w:rsid w:val="00DB51A3"/>
    <w:rsid w:val="00DB5BC2"/>
    <w:rsid w:val="00DB6586"/>
    <w:rsid w:val="00DB67AA"/>
    <w:rsid w:val="00DB6B0F"/>
    <w:rsid w:val="00DB717C"/>
    <w:rsid w:val="00DB71A0"/>
    <w:rsid w:val="00DB76ED"/>
    <w:rsid w:val="00DB7B42"/>
    <w:rsid w:val="00DC04AD"/>
    <w:rsid w:val="00DC0730"/>
    <w:rsid w:val="00DC0A23"/>
    <w:rsid w:val="00DC0A75"/>
    <w:rsid w:val="00DC1233"/>
    <w:rsid w:val="00DC1296"/>
    <w:rsid w:val="00DC1658"/>
    <w:rsid w:val="00DC1ED5"/>
    <w:rsid w:val="00DC1FF5"/>
    <w:rsid w:val="00DC2003"/>
    <w:rsid w:val="00DC2131"/>
    <w:rsid w:val="00DC2278"/>
    <w:rsid w:val="00DC2691"/>
    <w:rsid w:val="00DC2F1E"/>
    <w:rsid w:val="00DC454F"/>
    <w:rsid w:val="00DC471D"/>
    <w:rsid w:val="00DC4A0A"/>
    <w:rsid w:val="00DC517C"/>
    <w:rsid w:val="00DC59C3"/>
    <w:rsid w:val="00DC5F01"/>
    <w:rsid w:val="00DC63E7"/>
    <w:rsid w:val="00DC651C"/>
    <w:rsid w:val="00DC6564"/>
    <w:rsid w:val="00DC6D5F"/>
    <w:rsid w:val="00DC75C7"/>
    <w:rsid w:val="00DC78BC"/>
    <w:rsid w:val="00DD017A"/>
    <w:rsid w:val="00DD0305"/>
    <w:rsid w:val="00DD0352"/>
    <w:rsid w:val="00DD0999"/>
    <w:rsid w:val="00DD0B29"/>
    <w:rsid w:val="00DD0CDB"/>
    <w:rsid w:val="00DD182D"/>
    <w:rsid w:val="00DD1A51"/>
    <w:rsid w:val="00DD1AF9"/>
    <w:rsid w:val="00DD2526"/>
    <w:rsid w:val="00DD29B5"/>
    <w:rsid w:val="00DD3186"/>
    <w:rsid w:val="00DD31F9"/>
    <w:rsid w:val="00DD322B"/>
    <w:rsid w:val="00DD463C"/>
    <w:rsid w:val="00DD48BC"/>
    <w:rsid w:val="00DD4C95"/>
    <w:rsid w:val="00DD4D36"/>
    <w:rsid w:val="00DD51F5"/>
    <w:rsid w:val="00DD5346"/>
    <w:rsid w:val="00DD547F"/>
    <w:rsid w:val="00DD56DD"/>
    <w:rsid w:val="00DD5765"/>
    <w:rsid w:val="00DD5F8D"/>
    <w:rsid w:val="00DD6A57"/>
    <w:rsid w:val="00DD6B33"/>
    <w:rsid w:val="00DD6B85"/>
    <w:rsid w:val="00DD6C85"/>
    <w:rsid w:val="00DD71C3"/>
    <w:rsid w:val="00DD75BC"/>
    <w:rsid w:val="00DD7603"/>
    <w:rsid w:val="00DD772F"/>
    <w:rsid w:val="00DE0248"/>
    <w:rsid w:val="00DE04DD"/>
    <w:rsid w:val="00DE0596"/>
    <w:rsid w:val="00DE07B9"/>
    <w:rsid w:val="00DE083A"/>
    <w:rsid w:val="00DE0C33"/>
    <w:rsid w:val="00DE0C3D"/>
    <w:rsid w:val="00DE115B"/>
    <w:rsid w:val="00DE1190"/>
    <w:rsid w:val="00DE1969"/>
    <w:rsid w:val="00DE1ABA"/>
    <w:rsid w:val="00DE1DDD"/>
    <w:rsid w:val="00DE207E"/>
    <w:rsid w:val="00DE26D4"/>
    <w:rsid w:val="00DE287C"/>
    <w:rsid w:val="00DE2931"/>
    <w:rsid w:val="00DE297B"/>
    <w:rsid w:val="00DE2EE4"/>
    <w:rsid w:val="00DE2F45"/>
    <w:rsid w:val="00DE3A07"/>
    <w:rsid w:val="00DE3AEE"/>
    <w:rsid w:val="00DE41F0"/>
    <w:rsid w:val="00DE440A"/>
    <w:rsid w:val="00DE473C"/>
    <w:rsid w:val="00DE509D"/>
    <w:rsid w:val="00DE512E"/>
    <w:rsid w:val="00DE5370"/>
    <w:rsid w:val="00DE568A"/>
    <w:rsid w:val="00DE5762"/>
    <w:rsid w:val="00DE57A5"/>
    <w:rsid w:val="00DE6217"/>
    <w:rsid w:val="00DE66A5"/>
    <w:rsid w:val="00DF01CA"/>
    <w:rsid w:val="00DF069F"/>
    <w:rsid w:val="00DF0862"/>
    <w:rsid w:val="00DF09EB"/>
    <w:rsid w:val="00DF0EF1"/>
    <w:rsid w:val="00DF11AC"/>
    <w:rsid w:val="00DF1251"/>
    <w:rsid w:val="00DF12A5"/>
    <w:rsid w:val="00DF12D2"/>
    <w:rsid w:val="00DF1432"/>
    <w:rsid w:val="00DF1706"/>
    <w:rsid w:val="00DF1853"/>
    <w:rsid w:val="00DF20D8"/>
    <w:rsid w:val="00DF2176"/>
    <w:rsid w:val="00DF2321"/>
    <w:rsid w:val="00DF24C6"/>
    <w:rsid w:val="00DF26F0"/>
    <w:rsid w:val="00DF2CB0"/>
    <w:rsid w:val="00DF2E74"/>
    <w:rsid w:val="00DF33B8"/>
    <w:rsid w:val="00DF3764"/>
    <w:rsid w:val="00DF37DB"/>
    <w:rsid w:val="00DF398C"/>
    <w:rsid w:val="00DF3B2B"/>
    <w:rsid w:val="00DF3B60"/>
    <w:rsid w:val="00DF3D7E"/>
    <w:rsid w:val="00DF4303"/>
    <w:rsid w:val="00DF45EA"/>
    <w:rsid w:val="00DF4932"/>
    <w:rsid w:val="00DF5507"/>
    <w:rsid w:val="00DF5B02"/>
    <w:rsid w:val="00DF5BD0"/>
    <w:rsid w:val="00DF686C"/>
    <w:rsid w:val="00DF6937"/>
    <w:rsid w:val="00DF6B7F"/>
    <w:rsid w:val="00DF6C22"/>
    <w:rsid w:val="00DF6C23"/>
    <w:rsid w:val="00DF75C3"/>
    <w:rsid w:val="00DF7BEE"/>
    <w:rsid w:val="00DF7C86"/>
    <w:rsid w:val="00DF7D5C"/>
    <w:rsid w:val="00DF7FB0"/>
    <w:rsid w:val="00E001E5"/>
    <w:rsid w:val="00E00E82"/>
    <w:rsid w:val="00E0167A"/>
    <w:rsid w:val="00E01A3F"/>
    <w:rsid w:val="00E01B32"/>
    <w:rsid w:val="00E01D3E"/>
    <w:rsid w:val="00E026FD"/>
    <w:rsid w:val="00E02AEF"/>
    <w:rsid w:val="00E02E53"/>
    <w:rsid w:val="00E03579"/>
    <w:rsid w:val="00E03877"/>
    <w:rsid w:val="00E03B2F"/>
    <w:rsid w:val="00E03D80"/>
    <w:rsid w:val="00E03EDE"/>
    <w:rsid w:val="00E04309"/>
    <w:rsid w:val="00E043B4"/>
    <w:rsid w:val="00E04CEB"/>
    <w:rsid w:val="00E04D70"/>
    <w:rsid w:val="00E04E86"/>
    <w:rsid w:val="00E0682D"/>
    <w:rsid w:val="00E06DCF"/>
    <w:rsid w:val="00E06EAE"/>
    <w:rsid w:val="00E070A4"/>
    <w:rsid w:val="00E07133"/>
    <w:rsid w:val="00E072FA"/>
    <w:rsid w:val="00E07437"/>
    <w:rsid w:val="00E07A3F"/>
    <w:rsid w:val="00E07C99"/>
    <w:rsid w:val="00E10003"/>
    <w:rsid w:val="00E1018D"/>
    <w:rsid w:val="00E10266"/>
    <w:rsid w:val="00E105A0"/>
    <w:rsid w:val="00E10DB2"/>
    <w:rsid w:val="00E1105E"/>
    <w:rsid w:val="00E1153B"/>
    <w:rsid w:val="00E11B95"/>
    <w:rsid w:val="00E12511"/>
    <w:rsid w:val="00E12707"/>
    <w:rsid w:val="00E12EAA"/>
    <w:rsid w:val="00E12EDD"/>
    <w:rsid w:val="00E133C4"/>
    <w:rsid w:val="00E13442"/>
    <w:rsid w:val="00E1357E"/>
    <w:rsid w:val="00E13D7C"/>
    <w:rsid w:val="00E13F03"/>
    <w:rsid w:val="00E13F65"/>
    <w:rsid w:val="00E141E5"/>
    <w:rsid w:val="00E151FF"/>
    <w:rsid w:val="00E16110"/>
    <w:rsid w:val="00E16388"/>
    <w:rsid w:val="00E166CD"/>
    <w:rsid w:val="00E1687B"/>
    <w:rsid w:val="00E16B55"/>
    <w:rsid w:val="00E171B8"/>
    <w:rsid w:val="00E17707"/>
    <w:rsid w:val="00E2008B"/>
    <w:rsid w:val="00E2010C"/>
    <w:rsid w:val="00E20579"/>
    <w:rsid w:val="00E209F2"/>
    <w:rsid w:val="00E20A2F"/>
    <w:rsid w:val="00E21186"/>
    <w:rsid w:val="00E217A0"/>
    <w:rsid w:val="00E22233"/>
    <w:rsid w:val="00E2246C"/>
    <w:rsid w:val="00E225C2"/>
    <w:rsid w:val="00E22827"/>
    <w:rsid w:val="00E22D4E"/>
    <w:rsid w:val="00E2303B"/>
    <w:rsid w:val="00E2321A"/>
    <w:rsid w:val="00E23A56"/>
    <w:rsid w:val="00E23BA2"/>
    <w:rsid w:val="00E2431B"/>
    <w:rsid w:val="00E2436D"/>
    <w:rsid w:val="00E2446D"/>
    <w:rsid w:val="00E2464C"/>
    <w:rsid w:val="00E24898"/>
    <w:rsid w:val="00E24AEC"/>
    <w:rsid w:val="00E24CE6"/>
    <w:rsid w:val="00E2500E"/>
    <w:rsid w:val="00E25086"/>
    <w:rsid w:val="00E252F0"/>
    <w:rsid w:val="00E26027"/>
    <w:rsid w:val="00E2604A"/>
    <w:rsid w:val="00E261F1"/>
    <w:rsid w:val="00E2693B"/>
    <w:rsid w:val="00E26A81"/>
    <w:rsid w:val="00E26D88"/>
    <w:rsid w:val="00E2740E"/>
    <w:rsid w:val="00E27CFC"/>
    <w:rsid w:val="00E27FA1"/>
    <w:rsid w:val="00E30012"/>
    <w:rsid w:val="00E30CBA"/>
    <w:rsid w:val="00E313C3"/>
    <w:rsid w:val="00E316E6"/>
    <w:rsid w:val="00E3262E"/>
    <w:rsid w:val="00E3265A"/>
    <w:rsid w:val="00E329D4"/>
    <w:rsid w:val="00E32E03"/>
    <w:rsid w:val="00E3306F"/>
    <w:rsid w:val="00E335C5"/>
    <w:rsid w:val="00E33862"/>
    <w:rsid w:val="00E33B0F"/>
    <w:rsid w:val="00E33C7E"/>
    <w:rsid w:val="00E33DF4"/>
    <w:rsid w:val="00E34234"/>
    <w:rsid w:val="00E34423"/>
    <w:rsid w:val="00E3509D"/>
    <w:rsid w:val="00E35313"/>
    <w:rsid w:val="00E35397"/>
    <w:rsid w:val="00E35696"/>
    <w:rsid w:val="00E3621C"/>
    <w:rsid w:val="00E36776"/>
    <w:rsid w:val="00E36985"/>
    <w:rsid w:val="00E371B4"/>
    <w:rsid w:val="00E3772E"/>
    <w:rsid w:val="00E37C9F"/>
    <w:rsid w:val="00E37DC8"/>
    <w:rsid w:val="00E401ED"/>
    <w:rsid w:val="00E408B4"/>
    <w:rsid w:val="00E41C7D"/>
    <w:rsid w:val="00E42792"/>
    <w:rsid w:val="00E42B85"/>
    <w:rsid w:val="00E42CE2"/>
    <w:rsid w:val="00E42E15"/>
    <w:rsid w:val="00E4328E"/>
    <w:rsid w:val="00E43A97"/>
    <w:rsid w:val="00E43C3B"/>
    <w:rsid w:val="00E43F48"/>
    <w:rsid w:val="00E4410C"/>
    <w:rsid w:val="00E441F8"/>
    <w:rsid w:val="00E44BFB"/>
    <w:rsid w:val="00E44E43"/>
    <w:rsid w:val="00E4546C"/>
    <w:rsid w:val="00E45C13"/>
    <w:rsid w:val="00E45E8D"/>
    <w:rsid w:val="00E46525"/>
    <w:rsid w:val="00E465EA"/>
    <w:rsid w:val="00E467E2"/>
    <w:rsid w:val="00E46A60"/>
    <w:rsid w:val="00E46B4A"/>
    <w:rsid w:val="00E46B5F"/>
    <w:rsid w:val="00E46BBA"/>
    <w:rsid w:val="00E46D3D"/>
    <w:rsid w:val="00E46F62"/>
    <w:rsid w:val="00E471A5"/>
    <w:rsid w:val="00E4733D"/>
    <w:rsid w:val="00E47532"/>
    <w:rsid w:val="00E47648"/>
    <w:rsid w:val="00E47A8B"/>
    <w:rsid w:val="00E47EC0"/>
    <w:rsid w:val="00E47F49"/>
    <w:rsid w:val="00E50178"/>
    <w:rsid w:val="00E506C4"/>
    <w:rsid w:val="00E50709"/>
    <w:rsid w:val="00E50DCE"/>
    <w:rsid w:val="00E51111"/>
    <w:rsid w:val="00E512ED"/>
    <w:rsid w:val="00E5139A"/>
    <w:rsid w:val="00E51713"/>
    <w:rsid w:val="00E519F8"/>
    <w:rsid w:val="00E525AC"/>
    <w:rsid w:val="00E527A9"/>
    <w:rsid w:val="00E52B1C"/>
    <w:rsid w:val="00E52F08"/>
    <w:rsid w:val="00E53413"/>
    <w:rsid w:val="00E534C7"/>
    <w:rsid w:val="00E5361F"/>
    <w:rsid w:val="00E53B6B"/>
    <w:rsid w:val="00E53E7A"/>
    <w:rsid w:val="00E542EC"/>
    <w:rsid w:val="00E543AF"/>
    <w:rsid w:val="00E54D5F"/>
    <w:rsid w:val="00E55001"/>
    <w:rsid w:val="00E55854"/>
    <w:rsid w:val="00E55D02"/>
    <w:rsid w:val="00E55E1C"/>
    <w:rsid w:val="00E55F23"/>
    <w:rsid w:val="00E55FEC"/>
    <w:rsid w:val="00E579DD"/>
    <w:rsid w:val="00E60035"/>
    <w:rsid w:val="00E6029A"/>
    <w:rsid w:val="00E60489"/>
    <w:rsid w:val="00E60538"/>
    <w:rsid w:val="00E60942"/>
    <w:rsid w:val="00E60B11"/>
    <w:rsid w:val="00E60C98"/>
    <w:rsid w:val="00E61CD5"/>
    <w:rsid w:val="00E61D16"/>
    <w:rsid w:val="00E61D73"/>
    <w:rsid w:val="00E61EAF"/>
    <w:rsid w:val="00E62280"/>
    <w:rsid w:val="00E62365"/>
    <w:rsid w:val="00E629F3"/>
    <w:rsid w:val="00E62E76"/>
    <w:rsid w:val="00E62F9D"/>
    <w:rsid w:val="00E63398"/>
    <w:rsid w:val="00E6369B"/>
    <w:rsid w:val="00E6388E"/>
    <w:rsid w:val="00E63925"/>
    <w:rsid w:val="00E63B6F"/>
    <w:rsid w:val="00E63DD6"/>
    <w:rsid w:val="00E647C4"/>
    <w:rsid w:val="00E648FC"/>
    <w:rsid w:val="00E64B66"/>
    <w:rsid w:val="00E65BF2"/>
    <w:rsid w:val="00E65E80"/>
    <w:rsid w:val="00E67191"/>
    <w:rsid w:val="00E6729A"/>
    <w:rsid w:val="00E67DC0"/>
    <w:rsid w:val="00E70186"/>
    <w:rsid w:val="00E70228"/>
    <w:rsid w:val="00E708AB"/>
    <w:rsid w:val="00E71873"/>
    <w:rsid w:val="00E71AE1"/>
    <w:rsid w:val="00E71C5F"/>
    <w:rsid w:val="00E724DB"/>
    <w:rsid w:val="00E72749"/>
    <w:rsid w:val="00E72934"/>
    <w:rsid w:val="00E72BFD"/>
    <w:rsid w:val="00E72D66"/>
    <w:rsid w:val="00E73579"/>
    <w:rsid w:val="00E73A48"/>
    <w:rsid w:val="00E73CDA"/>
    <w:rsid w:val="00E73F13"/>
    <w:rsid w:val="00E7442C"/>
    <w:rsid w:val="00E74509"/>
    <w:rsid w:val="00E74F7E"/>
    <w:rsid w:val="00E75577"/>
    <w:rsid w:val="00E75EFF"/>
    <w:rsid w:val="00E7683A"/>
    <w:rsid w:val="00E76A45"/>
    <w:rsid w:val="00E774C6"/>
    <w:rsid w:val="00E779F8"/>
    <w:rsid w:val="00E77DDC"/>
    <w:rsid w:val="00E77E91"/>
    <w:rsid w:val="00E803F8"/>
    <w:rsid w:val="00E80593"/>
    <w:rsid w:val="00E8076E"/>
    <w:rsid w:val="00E807CE"/>
    <w:rsid w:val="00E80B07"/>
    <w:rsid w:val="00E80B96"/>
    <w:rsid w:val="00E80CDD"/>
    <w:rsid w:val="00E81404"/>
    <w:rsid w:val="00E815D3"/>
    <w:rsid w:val="00E81662"/>
    <w:rsid w:val="00E81C57"/>
    <w:rsid w:val="00E81EBA"/>
    <w:rsid w:val="00E81F66"/>
    <w:rsid w:val="00E8211F"/>
    <w:rsid w:val="00E826B5"/>
    <w:rsid w:val="00E82967"/>
    <w:rsid w:val="00E83035"/>
    <w:rsid w:val="00E83210"/>
    <w:rsid w:val="00E83375"/>
    <w:rsid w:val="00E837E7"/>
    <w:rsid w:val="00E839E6"/>
    <w:rsid w:val="00E842B3"/>
    <w:rsid w:val="00E84554"/>
    <w:rsid w:val="00E84908"/>
    <w:rsid w:val="00E84A94"/>
    <w:rsid w:val="00E84E76"/>
    <w:rsid w:val="00E84F87"/>
    <w:rsid w:val="00E84FC7"/>
    <w:rsid w:val="00E856C1"/>
    <w:rsid w:val="00E85790"/>
    <w:rsid w:val="00E8587A"/>
    <w:rsid w:val="00E85959"/>
    <w:rsid w:val="00E85FF6"/>
    <w:rsid w:val="00E863B3"/>
    <w:rsid w:val="00E86896"/>
    <w:rsid w:val="00E86C5B"/>
    <w:rsid w:val="00E8795F"/>
    <w:rsid w:val="00E87DCB"/>
    <w:rsid w:val="00E900EE"/>
    <w:rsid w:val="00E907C9"/>
    <w:rsid w:val="00E90EC9"/>
    <w:rsid w:val="00E90FB8"/>
    <w:rsid w:val="00E914DC"/>
    <w:rsid w:val="00E915A2"/>
    <w:rsid w:val="00E91607"/>
    <w:rsid w:val="00E91768"/>
    <w:rsid w:val="00E91D76"/>
    <w:rsid w:val="00E91DA9"/>
    <w:rsid w:val="00E91DC5"/>
    <w:rsid w:val="00E91E37"/>
    <w:rsid w:val="00E91EE8"/>
    <w:rsid w:val="00E9262D"/>
    <w:rsid w:val="00E92701"/>
    <w:rsid w:val="00E92FC7"/>
    <w:rsid w:val="00E93060"/>
    <w:rsid w:val="00E9308E"/>
    <w:rsid w:val="00E933A9"/>
    <w:rsid w:val="00E938FB"/>
    <w:rsid w:val="00E9393E"/>
    <w:rsid w:val="00E93C1E"/>
    <w:rsid w:val="00E93D5A"/>
    <w:rsid w:val="00E945D5"/>
    <w:rsid w:val="00E94AC6"/>
    <w:rsid w:val="00E94B94"/>
    <w:rsid w:val="00E95956"/>
    <w:rsid w:val="00E95B68"/>
    <w:rsid w:val="00E9688F"/>
    <w:rsid w:val="00E9699A"/>
    <w:rsid w:val="00E97587"/>
    <w:rsid w:val="00E97815"/>
    <w:rsid w:val="00E97853"/>
    <w:rsid w:val="00E97AC1"/>
    <w:rsid w:val="00E97E1D"/>
    <w:rsid w:val="00EA006E"/>
    <w:rsid w:val="00EA0297"/>
    <w:rsid w:val="00EA0503"/>
    <w:rsid w:val="00EA0704"/>
    <w:rsid w:val="00EA07B8"/>
    <w:rsid w:val="00EA0920"/>
    <w:rsid w:val="00EA0AF7"/>
    <w:rsid w:val="00EA0DE6"/>
    <w:rsid w:val="00EA14A9"/>
    <w:rsid w:val="00EA1C9A"/>
    <w:rsid w:val="00EA233A"/>
    <w:rsid w:val="00EA2E7A"/>
    <w:rsid w:val="00EA2EDB"/>
    <w:rsid w:val="00EA2F6B"/>
    <w:rsid w:val="00EA2FA6"/>
    <w:rsid w:val="00EA30EE"/>
    <w:rsid w:val="00EA3147"/>
    <w:rsid w:val="00EA3794"/>
    <w:rsid w:val="00EA3BCF"/>
    <w:rsid w:val="00EA3E59"/>
    <w:rsid w:val="00EA4588"/>
    <w:rsid w:val="00EA4910"/>
    <w:rsid w:val="00EA49C0"/>
    <w:rsid w:val="00EA4B2B"/>
    <w:rsid w:val="00EA4C69"/>
    <w:rsid w:val="00EA4EB9"/>
    <w:rsid w:val="00EA58C4"/>
    <w:rsid w:val="00EA5A03"/>
    <w:rsid w:val="00EA5AED"/>
    <w:rsid w:val="00EA5D17"/>
    <w:rsid w:val="00EA5D78"/>
    <w:rsid w:val="00EA61CC"/>
    <w:rsid w:val="00EA6876"/>
    <w:rsid w:val="00EA6C5E"/>
    <w:rsid w:val="00EA6D88"/>
    <w:rsid w:val="00EA6DA3"/>
    <w:rsid w:val="00EA7071"/>
    <w:rsid w:val="00EA710E"/>
    <w:rsid w:val="00EA712D"/>
    <w:rsid w:val="00EA716D"/>
    <w:rsid w:val="00EA72F5"/>
    <w:rsid w:val="00EA7A52"/>
    <w:rsid w:val="00EA7CAE"/>
    <w:rsid w:val="00EB036C"/>
    <w:rsid w:val="00EB0437"/>
    <w:rsid w:val="00EB0832"/>
    <w:rsid w:val="00EB0979"/>
    <w:rsid w:val="00EB1022"/>
    <w:rsid w:val="00EB10D1"/>
    <w:rsid w:val="00EB142B"/>
    <w:rsid w:val="00EB15E0"/>
    <w:rsid w:val="00EB1A41"/>
    <w:rsid w:val="00EB20CE"/>
    <w:rsid w:val="00EB2306"/>
    <w:rsid w:val="00EB2511"/>
    <w:rsid w:val="00EB27ED"/>
    <w:rsid w:val="00EB2E13"/>
    <w:rsid w:val="00EB39C2"/>
    <w:rsid w:val="00EB39FC"/>
    <w:rsid w:val="00EB4545"/>
    <w:rsid w:val="00EB50FA"/>
    <w:rsid w:val="00EB5185"/>
    <w:rsid w:val="00EB51A1"/>
    <w:rsid w:val="00EB54DF"/>
    <w:rsid w:val="00EB5710"/>
    <w:rsid w:val="00EB5C6A"/>
    <w:rsid w:val="00EB5CD4"/>
    <w:rsid w:val="00EB5E83"/>
    <w:rsid w:val="00EB5F24"/>
    <w:rsid w:val="00EB703A"/>
    <w:rsid w:val="00EB7783"/>
    <w:rsid w:val="00EB7A3F"/>
    <w:rsid w:val="00EC00FF"/>
    <w:rsid w:val="00EC0278"/>
    <w:rsid w:val="00EC07C7"/>
    <w:rsid w:val="00EC0B8E"/>
    <w:rsid w:val="00EC0D4C"/>
    <w:rsid w:val="00EC0EC7"/>
    <w:rsid w:val="00EC0F7D"/>
    <w:rsid w:val="00EC1227"/>
    <w:rsid w:val="00EC157E"/>
    <w:rsid w:val="00EC165E"/>
    <w:rsid w:val="00EC1D0C"/>
    <w:rsid w:val="00EC1D1E"/>
    <w:rsid w:val="00EC323C"/>
    <w:rsid w:val="00EC3FD5"/>
    <w:rsid w:val="00EC41B8"/>
    <w:rsid w:val="00EC41C4"/>
    <w:rsid w:val="00EC4293"/>
    <w:rsid w:val="00EC446A"/>
    <w:rsid w:val="00EC45EA"/>
    <w:rsid w:val="00EC4A28"/>
    <w:rsid w:val="00EC4DDF"/>
    <w:rsid w:val="00EC4F9E"/>
    <w:rsid w:val="00EC5009"/>
    <w:rsid w:val="00EC51CF"/>
    <w:rsid w:val="00EC57D4"/>
    <w:rsid w:val="00EC57F9"/>
    <w:rsid w:val="00EC590D"/>
    <w:rsid w:val="00EC5A94"/>
    <w:rsid w:val="00EC5ACE"/>
    <w:rsid w:val="00EC5E83"/>
    <w:rsid w:val="00EC601E"/>
    <w:rsid w:val="00EC63B6"/>
    <w:rsid w:val="00EC63C0"/>
    <w:rsid w:val="00EC65C1"/>
    <w:rsid w:val="00EC6618"/>
    <w:rsid w:val="00EC6B55"/>
    <w:rsid w:val="00EC71E5"/>
    <w:rsid w:val="00EC773A"/>
    <w:rsid w:val="00EC7A1D"/>
    <w:rsid w:val="00ED04E2"/>
    <w:rsid w:val="00ED08E4"/>
    <w:rsid w:val="00ED09FD"/>
    <w:rsid w:val="00ED11D9"/>
    <w:rsid w:val="00ED166C"/>
    <w:rsid w:val="00ED179E"/>
    <w:rsid w:val="00ED1857"/>
    <w:rsid w:val="00ED18AC"/>
    <w:rsid w:val="00ED1A05"/>
    <w:rsid w:val="00ED24CB"/>
    <w:rsid w:val="00ED2782"/>
    <w:rsid w:val="00ED3190"/>
    <w:rsid w:val="00ED32A4"/>
    <w:rsid w:val="00ED3AA0"/>
    <w:rsid w:val="00ED43AE"/>
    <w:rsid w:val="00ED43C9"/>
    <w:rsid w:val="00ED4504"/>
    <w:rsid w:val="00ED4C07"/>
    <w:rsid w:val="00ED4CB4"/>
    <w:rsid w:val="00ED5197"/>
    <w:rsid w:val="00ED5294"/>
    <w:rsid w:val="00ED604C"/>
    <w:rsid w:val="00ED614A"/>
    <w:rsid w:val="00ED6467"/>
    <w:rsid w:val="00ED6A7F"/>
    <w:rsid w:val="00ED7066"/>
    <w:rsid w:val="00ED70F6"/>
    <w:rsid w:val="00ED73CE"/>
    <w:rsid w:val="00ED774F"/>
    <w:rsid w:val="00ED7A8D"/>
    <w:rsid w:val="00ED7B47"/>
    <w:rsid w:val="00EDB103"/>
    <w:rsid w:val="00EE00D2"/>
    <w:rsid w:val="00EE00D3"/>
    <w:rsid w:val="00EE0329"/>
    <w:rsid w:val="00EE04DE"/>
    <w:rsid w:val="00EE0FD2"/>
    <w:rsid w:val="00EE10BB"/>
    <w:rsid w:val="00EE256F"/>
    <w:rsid w:val="00EE2827"/>
    <w:rsid w:val="00EE2AE3"/>
    <w:rsid w:val="00EE2AEC"/>
    <w:rsid w:val="00EE2D17"/>
    <w:rsid w:val="00EE35F3"/>
    <w:rsid w:val="00EE3648"/>
    <w:rsid w:val="00EE3A9E"/>
    <w:rsid w:val="00EE3B5E"/>
    <w:rsid w:val="00EE3D7B"/>
    <w:rsid w:val="00EE41F1"/>
    <w:rsid w:val="00EE4545"/>
    <w:rsid w:val="00EE46A4"/>
    <w:rsid w:val="00EE4842"/>
    <w:rsid w:val="00EE4961"/>
    <w:rsid w:val="00EE532B"/>
    <w:rsid w:val="00EE55B7"/>
    <w:rsid w:val="00EE566B"/>
    <w:rsid w:val="00EE57D2"/>
    <w:rsid w:val="00EE57E4"/>
    <w:rsid w:val="00EE5ACB"/>
    <w:rsid w:val="00EE6230"/>
    <w:rsid w:val="00EE68BD"/>
    <w:rsid w:val="00EE693D"/>
    <w:rsid w:val="00EE6DDE"/>
    <w:rsid w:val="00EE7AA8"/>
    <w:rsid w:val="00EE7B0B"/>
    <w:rsid w:val="00EE7DAA"/>
    <w:rsid w:val="00EF0271"/>
    <w:rsid w:val="00EF04BA"/>
    <w:rsid w:val="00EF0DB2"/>
    <w:rsid w:val="00EF1992"/>
    <w:rsid w:val="00EF1D5B"/>
    <w:rsid w:val="00EF1EE8"/>
    <w:rsid w:val="00EF246F"/>
    <w:rsid w:val="00EF2AE2"/>
    <w:rsid w:val="00EF2C50"/>
    <w:rsid w:val="00EF3315"/>
    <w:rsid w:val="00EF3323"/>
    <w:rsid w:val="00EF3EF5"/>
    <w:rsid w:val="00EF459B"/>
    <w:rsid w:val="00EF4665"/>
    <w:rsid w:val="00EF500F"/>
    <w:rsid w:val="00EF50FD"/>
    <w:rsid w:val="00EF598C"/>
    <w:rsid w:val="00EF5B7C"/>
    <w:rsid w:val="00EF659C"/>
    <w:rsid w:val="00EF69CF"/>
    <w:rsid w:val="00EF6EF9"/>
    <w:rsid w:val="00EF7342"/>
    <w:rsid w:val="00EF73AC"/>
    <w:rsid w:val="00EF74E5"/>
    <w:rsid w:val="00EF7ABC"/>
    <w:rsid w:val="00EF7CF2"/>
    <w:rsid w:val="00F003D1"/>
    <w:rsid w:val="00F008B4"/>
    <w:rsid w:val="00F008CA"/>
    <w:rsid w:val="00F00A30"/>
    <w:rsid w:val="00F00FFE"/>
    <w:rsid w:val="00F014B9"/>
    <w:rsid w:val="00F01674"/>
    <w:rsid w:val="00F018D4"/>
    <w:rsid w:val="00F018FD"/>
    <w:rsid w:val="00F01F2E"/>
    <w:rsid w:val="00F022D0"/>
    <w:rsid w:val="00F02615"/>
    <w:rsid w:val="00F02762"/>
    <w:rsid w:val="00F02B8C"/>
    <w:rsid w:val="00F02B9A"/>
    <w:rsid w:val="00F02CFD"/>
    <w:rsid w:val="00F03F84"/>
    <w:rsid w:val="00F0415A"/>
    <w:rsid w:val="00F045BC"/>
    <w:rsid w:val="00F04918"/>
    <w:rsid w:val="00F04C3B"/>
    <w:rsid w:val="00F05300"/>
    <w:rsid w:val="00F05BA1"/>
    <w:rsid w:val="00F066E8"/>
    <w:rsid w:val="00F06C1F"/>
    <w:rsid w:val="00F06E18"/>
    <w:rsid w:val="00F072D4"/>
    <w:rsid w:val="00F07505"/>
    <w:rsid w:val="00F07CAD"/>
    <w:rsid w:val="00F07CE5"/>
    <w:rsid w:val="00F100BB"/>
    <w:rsid w:val="00F10190"/>
    <w:rsid w:val="00F10690"/>
    <w:rsid w:val="00F107CF"/>
    <w:rsid w:val="00F10907"/>
    <w:rsid w:val="00F10A28"/>
    <w:rsid w:val="00F114BE"/>
    <w:rsid w:val="00F11B7D"/>
    <w:rsid w:val="00F11F4E"/>
    <w:rsid w:val="00F128DB"/>
    <w:rsid w:val="00F12B79"/>
    <w:rsid w:val="00F12FA5"/>
    <w:rsid w:val="00F1359B"/>
    <w:rsid w:val="00F136AE"/>
    <w:rsid w:val="00F13727"/>
    <w:rsid w:val="00F1377F"/>
    <w:rsid w:val="00F13A16"/>
    <w:rsid w:val="00F13A79"/>
    <w:rsid w:val="00F13CF0"/>
    <w:rsid w:val="00F1421E"/>
    <w:rsid w:val="00F142BF"/>
    <w:rsid w:val="00F14390"/>
    <w:rsid w:val="00F14A0D"/>
    <w:rsid w:val="00F14F49"/>
    <w:rsid w:val="00F155F3"/>
    <w:rsid w:val="00F157C1"/>
    <w:rsid w:val="00F15D1F"/>
    <w:rsid w:val="00F15DA8"/>
    <w:rsid w:val="00F16587"/>
    <w:rsid w:val="00F16600"/>
    <w:rsid w:val="00F169A4"/>
    <w:rsid w:val="00F16A83"/>
    <w:rsid w:val="00F16B7B"/>
    <w:rsid w:val="00F173BA"/>
    <w:rsid w:val="00F17590"/>
    <w:rsid w:val="00F177D6"/>
    <w:rsid w:val="00F17887"/>
    <w:rsid w:val="00F2133A"/>
    <w:rsid w:val="00F214E2"/>
    <w:rsid w:val="00F22763"/>
    <w:rsid w:val="00F227AC"/>
    <w:rsid w:val="00F23498"/>
    <w:rsid w:val="00F23572"/>
    <w:rsid w:val="00F2378A"/>
    <w:rsid w:val="00F23932"/>
    <w:rsid w:val="00F23CB7"/>
    <w:rsid w:val="00F23DAE"/>
    <w:rsid w:val="00F2411E"/>
    <w:rsid w:val="00F24B07"/>
    <w:rsid w:val="00F24D1C"/>
    <w:rsid w:val="00F24D66"/>
    <w:rsid w:val="00F24FF1"/>
    <w:rsid w:val="00F25002"/>
    <w:rsid w:val="00F25445"/>
    <w:rsid w:val="00F26188"/>
    <w:rsid w:val="00F263A5"/>
    <w:rsid w:val="00F2650F"/>
    <w:rsid w:val="00F2658C"/>
    <w:rsid w:val="00F26E7F"/>
    <w:rsid w:val="00F2701B"/>
    <w:rsid w:val="00F3016D"/>
    <w:rsid w:val="00F30B0A"/>
    <w:rsid w:val="00F30C6C"/>
    <w:rsid w:val="00F30EDE"/>
    <w:rsid w:val="00F31598"/>
    <w:rsid w:val="00F31E1C"/>
    <w:rsid w:val="00F31E3F"/>
    <w:rsid w:val="00F32A71"/>
    <w:rsid w:val="00F32DBC"/>
    <w:rsid w:val="00F331E6"/>
    <w:rsid w:val="00F332DA"/>
    <w:rsid w:val="00F33326"/>
    <w:rsid w:val="00F3345D"/>
    <w:rsid w:val="00F33980"/>
    <w:rsid w:val="00F342A4"/>
    <w:rsid w:val="00F342B7"/>
    <w:rsid w:val="00F344A3"/>
    <w:rsid w:val="00F34595"/>
    <w:rsid w:val="00F34CF7"/>
    <w:rsid w:val="00F34E01"/>
    <w:rsid w:val="00F354C8"/>
    <w:rsid w:val="00F35572"/>
    <w:rsid w:val="00F35733"/>
    <w:rsid w:val="00F35BE8"/>
    <w:rsid w:val="00F35DD5"/>
    <w:rsid w:val="00F36796"/>
    <w:rsid w:val="00F368E8"/>
    <w:rsid w:val="00F37010"/>
    <w:rsid w:val="00F37490"/>
    <w:rsid w:val="00F37AC0"/>
    <w:rsid w:val="00F37C2E"/>
    <w:rsid w:val="00F37C9E"/>
    <w:rsid w:val="00F37DA1"/>
    <w:rsid w:val="00F4082C"/>
    <w:rsid w:val="00F40989"/>
    <w:rsid w:val="00F409CE"/>
    <w:rsid w:val="00F40B2A"/>
    <w:rsid w:val="00F40E26"/>
    <w:rsid w:val="00F410D3"/>
    <w:rsid w:val="00F416DE"/>
    <w:rsid w:val="00F420C2"/>
    <w:rsid w:val="00F42429"/>
    <w:rsid w:val="00F42D59"/>
    <w:rsid w:val="00F4397E"/>
    <w:rsid w:val="00F439E2"/>
    <w:rsid w:val="00F445C8"/>
    <w:rsid w:val="00F44E20"/>
    <w:rsid w:val="00F44E34"/>
    <w:rsid w:val="00F44F24"/>
    <w:rsid w:val="00F453E1"/>
    <w:rsid w:val="00F45709"/>
    <w:rsid w:val="00F4628B"/>
    <w:rsid w:val="00F46582"/>
    <w:rsid w:val="00F467B6"/>
    <w:rsid w:val="00F46B80"/>
    <w:rsid w:val="00F46CB3"/>
    <w:rsid w:val="00F46DAE"/>
    <w:rsid w:val="00F46FFB"/>
    <w:rsid w:val="00F4718A"/>
    <w:rsid w:val="00F472AA"/>
    <w:rsid w:val="00F474C0"/>
    <w:rsid w:val="00F47894"/>
    <w:rsid w:val="00F506AB"/>
    <w:rsid w:val="00F507EC"/>
    <w:rsid w:val="00F50C10"/>
    <w:rsid w:val="00F50EDA"/>
    <w:rsid w:val="00F50FF4"/>
    <w:rsid w:val="00F5121D"/>
    <w:rsid w:val="00F5173B"/>
    <w:rsid w:val="00F518F9"/>
    <w:rsid w:val="00F51A55"/>
    <w:rsid w:val="00F51B79"/>
    <w:rsid w:val="00F51ED8"/>
    <w:rsid w:val="00F51FC6"/>
    <w:rsid w:val="00F52751"/>
    <w:rsid w:val="00F52937"/>
    <w:rsid w:val="00F52CE6"/>
    <w:rsid w:val="00F53674"/>
    <w:rsid w:val="00F5396B"/>
    <w:rsid w:val="00F53B51"/>
    <w:rsid w:val="00F53BD8"/>
    <w:rsid w:val="00F54FEF"/>
    <w:rsid w:val="00F55649"/>
    <w:rsid w:val="00F55FC9"/>
    <w:rsid w:val="00F56040"/>
    <w:rsid w:val="00F565A8"/>
    <w:rsid w:val="00F5665E"/>
    <w:rsid w:val="00F56EBB"/>
    <w:rsid w:val="00F5748D"/>
    <w:rsid w:val="00F57538"/>
    <w:rsid w:val="00F5773E"/>
    <w:rsid w:val="00F57882"/>
    <w:rsid w:val="00F5791D"/>
    <w:rsid w:val="00F57FB1"/>
    <w:rsid w:val="00F603EF"/>
    <w:rsid w:val="00F604DB"/>
    <w:rsid w:val="00F60611"/>
    <w:rsid w:val="00F60622"/>
    <w:rsid w:val="00F6064A"/>
    <w:rsid w:val="00F60694"/>
    <w:rsid w:val="00F609D1"/>
    <w:rsid w:val="00F60A2F"/>
    <w:rsid w:val="00F60BE3"/>
    <w:rsid w:val="00F60E0B"/>
    <w:rsid w:val="00F61000"/>
    <w:rsid w:val="00F611ED"/>
    <w:rsid w:val="00F616D5"/>
    <w:rsid w:val="00F618DA"/>
    <w:rsid w:val="00F61A1C"/>
    <w:rsid w:val="00F623E8"/>
    <w:rsid w:val="00F62A12"/>
    <w:rsid w:val="00F62C03"/>
    <w:rsid w:val="00F630C1"/>
    <w:rsid w:val="00F630F7"/>
    <w:rsid w:val="00F631BF"/>
    <w:rsid w:val="00F639D0"/>
    <w:rsid w:val="00F63C2F"/>
    <w:rsid w:val="00F63F96"/>
    <w:rsid w:val="00F63FFD"/>
    <w:rsid w:val="00F6434A"/>
    <w:rsid w:val="00F6477E"/>
    <w:rsid w:val="00F657C7"/>
    <w:rsid w:val="00F65938"/>
    <w:rsid w:val="00F667C3"/>
    <w:rsid w:val="00F667D0"/>
    <w:rsid w:val="00F66A3A"/>
    <w:rsid w:val="00F66CE5"/>
    <w:rsid w:val="00F6711B"/>
    <w:rsid w:val="00F6762A"/>
    <w:rsid w:val="00F70094"/>
    <w:rsid w:val="00F70172"/>
    <w:rsid w:val="00F70ADA"/>
    <w:rsid w:val="00F70B7A"/>
    <w:rsid w:val="00F70CEF"/>
    <w:rsid w:val="00F71A04"/>
    <w:rsid w:val="00F71B20"/>
    <w:rsid w:val="00F71B4B"/>
    <w:rsid w:val="00F71BFC"/>
    <w:rsid w:val="00F72396"/>
    <w:rsid w:val="00F7265A"/>
    <w:rsid w:val="00F727A8"/>
    <w:rsid w:val="00F728A7"/>
    <w:rsid w:val="00F72BE7"/>
    <w:rsid w:val="00F73154"/>
    <w:rsid w:val="00F73486"/>
    <w:rsid w:val="00F73E80"/>
    <w:rsid w:val="00F746DF"/>
    <w:rsid w:val="00F74943"/>
    <w:rsid w:val="00F75C8C"/>
    <w:rsid w:val="00F75EAF"/>
    <w:rsid w:val="00F760C1"/>
    <w:rsid w:val="00F76301"/>
    <w:rsid w:val="00F76648"/>
    <w:rsid w:val="00F7674A"/>
    <w:rsid w:val="00F76CC5"/>
    <w:rsid w:val="00F76D67"/>
    <w:rsid w:val="00F775B1"/>
    <w:rsid w:val="00F77778"/>
    <w:rsid w:val="00F77A86"/>
    <w:rsid w:val="00F804F6"/>
    <w:rsid w:val="00F812A8"/>
    <w:rsid w:val="00F823B3"/>
    <w:rsid w:val="00F823C1"/>
    <w:rsid w:val="00F82672"/>
    <w:rsid w:val="00F83377"/>
    <w:rsid w:val="00F8341F"/>
    <w:rsid w:val="00F83631"/>
    <w:rsid w:val="00F839CE"/>
    <w:rsid w:val="00F83C38"/>
    <w:rsid w:val="00F84D5C"/>
    <w:rsid w:val="00F8564D"/>
    <w:rsid w:val="00F856B2"/>
    <w:rsid w:val="00F85870"/>
    <w:rsid w:val="00F858CD"/>
    <w:rsid w:val="00F85B78"/>
    <w:rsid w:val="00F85C10"/>
    <w:rsid w:val="00F85D17"/>
    <w:rsid w:val="00F864AF"/>
    <w:rsid w:val="00F86518"/>
    <w:rsid w:val="00F86E09"/>
    <w:rsid w:val="00F87566"/>
    <w:rsid w:val="00F876E8"/>
    <w:rsid w:val="00F9050E"/>
    <w:rsid w:val="00F905C6"/>
    <w:rsid w:val="00F909C3"/>
    <w:rsid w:val="00F90E62"/>
    <w:rsid w:val="00F911FC"/>
    <w:rsid w:val="00F916A2"/>
    <w:rsid w:val="00F91BAE"/>
    <w:rsid w:val="00F9260B"/>
    <w:rsid w:val="00F92EA5"/>
    <w:rsid w:val="00F93760"/>
    <w:rsid w:val="00F939B1"/>
    <w:rsid w:val="00F939B2"/>
    <w:rsid w:val="00F93B17"/>
    <w:rsid w:val="00F9410D"/>
    <w:rsid w:val="00F9443A"/>
    <w:rsid w:val="00F9494F"/>
    <w:rsid w:val="00F94DC5"/>
    <w:rsid w:val="00F951BD"/>
    <w:rsid w:val="00F9563A"/>
    <w:rsid w:val="00F95840"/>
    <w:rsid w:val="00F95E79"/>
    <w:rsid w:val="00F96A81"/>
    <w:rsid w:val="00F96BFB"/>
    <w:rsid w:val="00F97296"/>
    <w:rsid w:val="00F974BF"/>
    <w:rsid w:val="00F97D4B"/>
    <w:rsid w:val="00FA0B89"/>
    <w:rsid w:val="00FA0D76"/>
    <w:rsid w:val="00FA0EAF"/>
    <w:rsid w:val="00FA13BB"/>
    <w:rsid w:val="00FA1576"/>
    <w:rsid w:val="00FA15D4"/>
    <w:rsid w:val="00FA1BF4"/>
    <w:rsid w:val="00FA2549"/>
    <w:rsid w:val="00FA2A0E"/>
    <w:rsid w:val="00FA2C43"/>
    <w:rsid w:val="00FA3B46"/>
    <w:rsid w:val="00FA3EC2"/>
    <w:rsid w:val="00FA40CC"/>
    <w:rsid w:val="00FA4237"/>
    <w:rsid w:val="00FA4C53"/>
    <w:rsid w:val="00FA4C7D"/>
    <w:rsid w:val="00FA5185"/>
    <w:rsid w:val="00FA58D6"/>
    <w:rsid w:val="00FA619D"/>
    <w:rsid w:val="00FA61B7"/>
    <w:rsid w:val="00FA65CE"/>
    <w:rsid w:val="00FA68F8"/>
    <w:rsid w:val="00FA6A95"/>
    <w:rsid w:val="00FA7190"/>
    <w:rsid w:val="00FA769E"/>
    <w:rsid w:val="00FA7791"/>
    <w:rsid w:val="00FA7882"/>
    <w:rsid w:val="00FA7D5A"/>
    <w:rsid w:val="00FAFF38"/>
    <w:rsid w:val="00FB0404"/>
    <w:rsid w:val="00FB0798"/>
    <w:rsid w:val="00FB0A91"/>
    <w:rsid w:val="00FB0BDB"/>
    <w:rsid w:val="00FB0FE4"/>
    <w:rsid w:val="00FB11BC"/>
    <w:rsid w:val="00FB1342"/>
    <w:rsid w:val="00FB143E"/>
    <w:rsid w:val="00FB14E6"/>
    <w:rsid w:val="00FB1B89"/>
    <w:rsid w:val="00FB1D43"/>
    <w:rsid w:val="00FB1E0E"/>
    <w:rsid w:val="00FB2696"/>
    <w:rsid w:val="00FB2735"/>
    <w:rsid w:val="00FB2779"/>
    <w:rsid w:val="00FB27F7"/>
    <w:rsid w:val="00FB28C3"/>
    <w:rsid w:val="00FB3151"/>
    <w:rsid w:val="00FB4082"/>
    <w:rsid w:val="00FB443E"/>
    <w:rsid w:val="00FB47FC"/>
    <w:rsid w:val="00FB4B8D"/>
    <w:rsid w:val="00FB508A"/>
    <w:rsid w:val="00FB545A"/>
    <w:rsid w:val="00FB5507"/>
    <w:rsid w:val="00FB5811"/>
    <w:rsid w:val="00FB589C"/>
    <w:rsid w:val="00FB5963"/>
    <w:rsid w:val="00FB5EA3"/>
    <w:rsid w:val="00FB5F06"/>
    <w:rsid w:val="00FB6008"/>
    <w:rsid w:val="00FB666A"/>
    <w:rsid w:val="00FB6E3F"/>
    <w:rsid w:val="00FB6EDE"/>
    <w:rsid w:val="00FB718E"/>
    <w:rsid w:val="00FB77D9"/>
    <w:rsid w:val="00FB7AB1"/>
    <w:rsid w:val="00FB7B56"/>
    <w:rsid w:val="00FB7D44"/>
    <w:rsid w:val="00FB7FE9"/>
    <w:rsid w:val="00FC1428"/>
    <w:rsid w:val="00FC14DD"/>
    <w:rsid w:val="00FC1BCD"/>
    <w:rsid w:val="00FC207F"/>
    <w:rsid w:val="00FC245C"/>
    <w:rsid w:val="00FC256E"/>
    <w:rsid w:val="00FC2C1C"/>
    <w:rsid w:val="00FC2C8A"/>
    <w:rsid w:val="00FC2F28"/>
    <w:rsid w:val="00FC305D"/>
    <w:rsid w:val="00FC3471"/>
    <w:rsid w:val="00FC34FC"/>
    <w:rsid w:val="00FC390F"/>
    <w:rsid w:val="00FC3CCF"/>
    <w:rsid w:val="00FC3DA0"/>
    <w:rsid w:val="00FC3F0D"/>
    <w:rsid w:val="00FC43B1"/>
    <w:rsid w:val="00FC4870"/>
    <w:rsid w:val="00FC4AEE"/>
    <w:rsid w:val="00FC55CB"/>
    <w:rsid w:val="00FC5B72"/>
    <w:rsid w:val="00FC5BF9"/>
    <w:rsid w:val="00FC6262"/>
    <w:rsid w:val="00FC6932"/>
    <w:rsid w:val="00FC6D5D"/>
    <w:rsid w:val="00FC7403"/>
    <w:rsid w:val="00FC7530"/>
    <w:rsid w:val="00FC75DA"/>
    <w:rsid w:val="00FC78D4"/>
    <w:rsid w:val="00FC794A"/>
    <w:rsid w:val="00FD0169"/>
    <w:rsid w:val="00FD01F0"/>
    <w:rsid w:val="00FD0258"/>
    <w:rsid w:val="00FD0703"/>
    <w:rsid w:val="00FD071E"/>
    <w:rsid w:val="00FD0892"/>
    <w:rsid w:val="00FD0D78"/>
    <w:rsid w:val="00FD0DC2"/>
    <w:rsid w:val="00FD0DDB"/>
    <w:rsid w:val="00FD11EB"/>
    <w:rsid w:val="00FD1ECD"/>
    <w:rsid w:val="00FD2A96"/>
    <w:rsid w:val="00FD2C50"/>
    <w:rsid w:val="00FD2D51"/>
    <w:rsid w:val="00FD2FA6"/>
    <w:rsid w:val="00FD3385"/>
    <w:rsid w:val="00FD3889"/>
    <w:rsid w:val="00FD3AED"/>
    <w:rsid w:val="00FD49CD"/>
    <w:rsid w:val="00FD5B02"/>
    <w:rsid w:val="00FD65B3"/>
    <w:rsid w:val="00FD7DCD"/>
    <w:rsid w:val="00FD7E14"/>
    <w:rsid w:val="00FE00DA"/>
    <w:rsid w:val="00FE0172"/>
    <w:rsid w:val="00FE0344"/>
    <w:rsid w:val="00FE183A"/>
    <w:rsid w:val="00FE1CF2"/>
    <w:rsid w:val="00FE1D43"/>
    <w:rsid w:val="00FE214D"/>
    <w:rsid w:val="00FE2270"/>
    <w:rsid w:val="00FE26A1"/>
    <w:rsid w:val="00FE27D3"/>
    <w:rsid w:val="00FE2A89"/>
    <w:rsid w:val="00FE2CF1"/>
    <w:rsid w:val="00FE2FEF"/>
    <w:rsid w:val="00FE301E"/>
    <w:rsid w:val="00FE3425"/>
    <w:rsid w:val="00FE3553"/>
    <w:rsid w:val="00FE3750"/>
    <w:rsid w:val="00FE38AE"/>
    <w:rsid w:val="00FE3CCF"/>
    <w:rsid w:val="00FE483E"/>
    <w:rsid w:val="00FE4BC7"/>
    <w:rsid w:val="00FE4C20"/>
    <w:rsid w:val="00FE4F3E"/>
    <w:rsid w:val="00FE5433"/>
    <w:rsid w:val="00FE54BB"/>
    <w:rsid w:val="00FE5722"/>
    <w:rsid w:val="00FE5727"/>
    <w:rsid w:val="00FE57E7"/>
    <w:rsid w:val="00FE58E2"/>
    <w:rsid w:val="00FE594D"/>
    <w:rsid w:val="00FE5A28"/>
    <w:rsid w:val="00FE5AE9"/>
    <w:rsid w:val="00FE5CF9"/>
    <w:rsid w:val="00FE6068"/>
    <w:rsid w:val="00FE6143"/>
    <w:rsid w:val="00FE62CD"/>
    <w:rsid w:val="00FE709B"/>
    <w:rsid w:val="00FE7A59"/>
    <w:rsid w:val="00FE7C17"/>
    <w:rsid w:val="00FE7FF3"/>
    <w:rsid w:val="00FF0CF3"/>
    <w:rsid w:val="00FF118F"/>
    <w:rsid w:val="00FF1FCA"/>
    <w:rsid w:val="00FF2053"/>
    <w:rsid w:val="00FF206F"/>
    <w:rsid w:val="00FF276C"/>
    <w:rsid w:val="00FF2A0F"/>
    <w:rsid w:val="00FF2A44"/>
    <w:rsid w:val="00FF2A4B"/>
    <w:rsid w:val="00FF2A77"/>
    <w:rsid w:val="00FF3058"/>
    <w:rsid w:val="00FF3901"/>
    <w:rsid w:val="00FF39D4"/>
    <w:rsid w:val="00FF3C56"/>
    <w:rsid w:val="00FF3FEE"/>
    <w:rsid w:val="00FF4298"/>
    <w:rsid w:val="00FF4336"/>
    <w:rsid w:val="00FF4B48"/>
    <w:rsid w:val="00FF55C2"/>
    <w:rsid w:val="00FF5811"/>
    <w:rsid w:val="00FF58F9"/>
    <w:rsid w:val="00FF6016"/>
    <w:rsid w:val="00FF60E0"/>
    <w:rsid w:val="00FF62A0"/>
    <w:rsid w:val="00FF62BD"/>
    <w:rsid w:val="00FF671D"/>
    <w:rsid w:val="00FF6A7D"/>
    <w:rsid w:val="00FF6D52"/>
    <w:rsid w:val="00FF6DB2"/>
    <w:rsid w:val="00FF77C3"/>
    <w:rsid w:val="00FF783F"/>
    <w:rsid w:val="00FF7B63"/>
    <w:rsid w:val="00FF7E3E"/>
    <w:rsid w:val="011E8E31"/>
    <w:rsid w:val="016129D0"/>
    <w:rsid w:val="017F0FB4"/>
    <w:rsid w:val="018982B8"/>
    <w:rsid w:val="018DD1E6"/>
    <w:rsid w:val="0197F9F5"/>
    <w:rsid w:val="01EA95EC"/>
    <w:rsid w:val="02042D02"/>
    <w:rsid w:val="0214D2D8"/>
    <w:rsid w:val="0219BBDC"/>
    <w:rsid w:val="022FC3C9"/>
    <w:rsid w:val="02472EE5"/>
    <w:rsid w:val="024AB193"/>
    <w:rsid w:val="0276AC6C"/>
    <w:rsid w:val="027DCDCD"/>
    <w:rsid w:val="02B2577C"/>
    <w:rsid w:val="02F02B2E"/>
    <w:rsid w:val="030C75D6"/>
    <w:rsid w:val="031A46AC"/>
    <w:rsid w:val="031E8C9D"/>
    <w:rsid w:val="03269187"/>
    <w:rsid w:val="032F3FAD"/>
    <w:rsid w:val="03530FD7"/>
    <w:rsid w:val="035C187B"/>
    <w:rsid w:val="035F13C1"/>
    <w:rsid w:val="03677961"/>
    <w:rsid w:val="038C2925"/>
    <w:rsid w:val="03C0AA06"/>
    <w:rsid w:val="03F929C6"/>
    <w:rsid w:val="045C7913"/>
    <w:rsid w:val="048ECE66"/>
    <w:rsid w:val="04C743A8"/>
    <w:rsid w:val="04DA3986"/>
    <w:rsid w:val="04E36DF7"/>
    <w:rsid w:val="05269904"/>
    <w:rsid w:val="05429EDF"/>
    <w:rsid w:val="05484ED1"/>
    <w:rsid w:val="054BDBB6"/>
    <w:rsid w:val="05857C05"/>
    <w:rsid w:val="058CEB6E"/>
    <w:rsid w:val="05AE4C24"/>
    <w:rsid w:val="05C9A3A1"/>
    <w:rsid w:val="060A6B16"/>
    <w:rsid w:val="064E50AE"/>
    <w:rsid w:val="06618D9B"/>
    <w:rsid w:val="06706ED3"/>
    <w:rsid w:val="0683C4DE"/>
    <w:rsid w:val="0699A3E5"/>
    <w:rsid w:val="06AEBA92"/>
    <w:rsid w:val="06B2E148"/>
    <w:rsid w:val="06DD226D"/>
    <w:rsid w:val="06F47A02"/>
    <w:rsid w:val="0709E6B4"/>
    <w:rsid w:val="070D9B47"/>
    <w:rsid w:val="0748B6F7"/>
    <w:rsid w:val="075CF17C"/>
    <w:rsid w:val="07636EE2"/>
    <w:rsid w:val="07819ED7"/>
    <w:rsid w:val="0784046B"/>
    <w:rsid w:val="078A52EC"/>
    <w:rsid w:val="0791D20F"/>
    <w:rsid w:val="07B02274"/>
    <w:rsid w:val="08063C50"/>
    <w:rsid w:val="0832D1E5"/>
    <w:rsid w:val="084AC6BD"/>
    <w:rsid w:val="0887194B"/>
    <w:rsid w:val="08878FFC"/>
    <w:rsid w:val="0894795C"/>
    <w:rsid w:val="089AD3E5"/>
    <w:rsid w:val="089B4AA2"/>
    <w:rsid w:val="08BCEAC5"/>
    <w:rsid w:val="08CAD3DF"/>
    <w:rsid w:val="08EBA87A"/>
    <w:rsid w:val="09046821"/>
    <w:rsid w:val="0919E9DE"/>
    <w:rsid w:val="0943F763"/>
    <w:rsid w:val="095F9908"/>
    <w:rsid w:val="097FFD23"/>
    <w:rsid w:val="09848CA1"/>
    <w:rsid w:val="0987B589"/>
    <w:rsid w:val="09A4F443"/>
    <w:rsid w:val="09BA577E"/>
    <w:rsid w:val="0A0EA99D"/>
    <w:rsid w:val="0A35279F"/>
    <w:rsid w:val="0A8778DB"/>
    <w:rsid w:val="0A88E08B"/>
    <w:rsid w:val="0A8BE9E0"/>
    <w:rsid w:val="0A916C1B"/>
    <w:rsid w:val="0AA1CA1D"/>
    <w:rsid w:val="0AAAEB2F"/>
    <w:rsid w:val="0B018BD7"/>
    <w:rsid w:val="0B1A4E44"/>
    <w:rsid w:val="0B34C369"/>
    <w:rsid w:val="0B473721"/>
    <w:rsid w:val="0B4EF4AF"/>
    <w:rsid w:val="0B67A373"/>
    <w:rsid w:val="0B6EACD5"/>
    <w:rsid w:val="0B722337"/>
    <w:rsid w:val="0B9CFD07"/>
    <w:rsid w:val="0BA1AE85"/>
    <w:rsid w:val="0BBF6647"/>
    <w:rsid w:val="0BCE87E1"/>
    <w:rsid w:val="0BCF10B7"/>
    <w:rsid w:val="0BF00B6A"/>
    <w:rsid w:val="0C18E06C"/>
    <w:rsid w:val="0C38E1D1"/>
    <w:rsid w:val="0C5259A0"/>
    <w:rsid w:val="0C63E5AD"/>
    <w:rsid w:val="0C6B89FF"/>
    <w:rsid w:val="0C75E16E"/>
    <w:rsid w:val="0C88C7AE"/>
    <w:rsid w:val="0CD6B9ED"/>
    <w:rsid w:val="0CE88B01"/>
    <w:rsid w:val="0CEB9D4F"/>
    <w:rsid w:val="0CEED998"/>
    <w:rsid w:val="0CF0D68D"/>
    <w:rsid w:val="0D191DBF"/>
    <w:rsid w:val="0D198807"/>
    <w:rsid w:val="0D32CF83"/>
    <w:rsid w:val="0D8FDD70"/>
    <w:rsid w:val="0DA3C200"/>
    <w:rsid w:val="0DBBDF5A"/>
    <w:rsid w:val="0DDEB2A5"/>
    <w:rsid w:val="0DF345EF"/>
    <w:rsid w:val="0E040E95"/>
    <w:rsid w:val="0E109382"/>
    <w:rsid w:val="0E1725C2"/>
    <w:rsid w:val="0E1987BF"/>
    <w:rsid w:val="0E2875FB"/>
    <w:rsid w:val="0E591BF8"/>
    <w:rsid w:val="0E6FF692"/>
    <w:rsid w:val="0E76A5D4"/>
    <w:rsid w:val="0E92C270"/>
    <w:rsid w:val="0EB2B836"/>
    <w:rsid w:val="0EF88E99"/>
    <w:rsid w:val="0EFA1A12"/>
    <w:rsid w:val="0F0B53FB"/>
    <w:rsid w:val="0F8CB3B9"/>
    <w:rsid w:val="0FADD363"/>
    <w:rsid w:val="0FB3A929"/>
    <w:rsid w:val="0FCEAE36"/>
    <w:rsid w:val="0FD24B93"/>
    <w:rsid w:val="0FED8903"/>
    <w:rsid w:val="10157AAD"/>
    <w:rsid w:val="105F9B51"/>
    <w:rsid w:val="10618249"/>
    <w:rsid w:val="109E156A"/>
    <w:rsid w:val="10C65E7E"/>
    <w:rsid w:val="10CB90C1"/>
    <w:rsid w:val="110C1240"/>
    <w:rsid w:val="11183299"/>
    <w:rsid w:val="11338AFB"/>
    <w:rsid w:val="1144E806"/>
    <w:rsid w:val="1147AFA1"/>
    <w:rsid w:val="114F8635"/>
    <w:rsid w:val="11922361"/>
    <w:rsid w:val="11A45D11"/>
    <w:rsid w:val="11A9708B"/>
    <w:rsid w:val="11DC36D8"/>
    <w:rsid w:val="11E678C6"/>
    <w:rsid w:val="121A7142"/>
    <w:rsid w:val="12628F83"/>
    <w:rsid w:val="12630A91"/>
    <w:rsid w:val="126E90CF"/>
    <w:rsid w:val="1280AF83"/>
    <w:rsid w:val="128DE103"/>
    <w:rsid w:val="12A9D820"/>
    <w:rsid w:val="12BE8889"/>
    <w:rsid w:val="12C946C8"/>
    <w:rsid w:val="12CA92B8"/>
    <w:rsid w:val="12D29C4D"/>
    <w:rsid w:val="12DE5997"/>
    <w:rsid w:val="12F014AF"/>
    <w:rsid w:val="1322B147"/>
    <w:rsid w:val="133499AD"/>
    <w:rsid w:val="13395629"/>
    <w:rsid w:val="135ADD4C"/>
    <w:rsid w:val="1365CC50"/>
    <w:rsid w:val="13691CF0"/>
    <w:rsid w:val="1375138D"/>
    <w:rsid w:val="137983CF"/>
    <w:rsid w:val="13B1F9C3"/>
    <w:rsid w:val="14219FC1"/>
    <w:rsid w:val="142E5829"/>
    <w:rsid w:val="144628A7"/>
    <w:rsid w:val="1475E4AA"/>
    <w:rsid w:val="14910A01"/>
    <w:rsid w:val="14936F2A"/>
    <w:rsid w:val="149A98AE"/>
    <w:rsid w:val="1515F652"/>
    <w:rsid w:val="152593D1"/>
    <w:rsid w:val="152C7373"/>
    <w:rsid w:val="1535702D"/>
    <w:rsid w:val="153F435B"/>
    <w:rsid w:val="15474EF2"/>
    <w:rsid w:val="154CD708"/>
    <w:rsid w:val="15B4640E"/>
    <w:rsid w:val="15D7688B"/>
    <w:rsid w:val="160D5FE8"/>
    <w:rsid w:val="166C61FE"/>
    <w:rsid w:val="166F4777"/>
    <w:rsid w:val="168611F4"/>
    <w:rsid w:val="169F3499"/>
    <w:rsid w:val="16D568D4"/>
    <w:rsid w:val="16ED458C"/>
    <w:rsid w:val="16F21AC7"/>
    <w:rsid w:val="17244831"/>
    <w:rsid w:val="1736C9B8"/>
    <w:rsid w:val="17386374"/>
    <w:rsid w:val="17ABFCD8"/>
    <w:rsid w:val="17EB2748"/>
    <w:rsid w:val="17EB495E"/>
    <w:rsid w:val="17EB6A89"/>
    <w:rsid w:val="17F917CC"/>
    <w:rsid w:val="180EF72B"/>
    <w:rsid w:val="181D881A"/>
    <w:rsid w:val="18431664"/>
    <w:rsid w:val="184E1F6A"/>
    <w:rsid w:val="18674466"/>
    <w:rsid w:val="1873D83E"/>
    <w:rsid w:val="18788510"/>
    <w:rsid w:val="187EBBBD"/>
    <w:rsid w:val="1885AC29"/>
    <w:rsid w:val="188D566E"/>
    <w:rsid w:val="18B04CC6"/>
    <w:rsid w:val="18C22F32"/>
    <w:rsid w:val="18F5AF1A"/>
    <w:rsid w:val="1914344C"/>
    <w:rsid w:val="1931826B"/>
    <w:rsid w:val="19450B42"/>
    <w:rsid w:val="19498D06"/>
    <w:rsid w:val="1954D061"/>
    <w:rsid w:val="195ED5F2"/>
    <w:rsid w:val="1995EE75"/>
    <w:rsid w:val="199ABBFE"/>
    <w:rsid w:val="19F26416"/>
    <w:rsid w:val="19F58F37"/>
    <w:rsid w:val="1A00412D"/>
    <w:rsid w:val="1A1237FB"/>
    <w:rsid w:val="1A1DD97C"/>
    <w:rsid w:val="1A2CE7DE"/>
    <w:rsid w:val="1A5C226D"/>
    <w:rsid w:val="1A5EEB95"/>
    <w:rsid w:val="1A9660E4"/>
    <w:rsid w:val="1A9C7C2C"/>
    <w:rsid w:val="1A9D495E"/>
    <w:rsid w:val="1AB2B5AC"/>
    <w:rsid w:val="1AB571B8"/>
    <w:rsid w:val="1AC08FA7"/>
    <w:rsid w:val="1B05DE0D"/>
    <w:rsid w:val="1B3A307A"/>
    <w:rsid w:val="1B51B269"/>
    <w:rsid w:val="1B527162"/>
    <w:rsid w:val="1B662AA2"/>
    <w:rsid w:val="1B713E78"/>
    <w:rsid w:val="1B8EDD5E"/>
    <w:rsid w:val="1B9178EA"/>
    <w:rsid w:val="1C062184"/>
    <w:rsid w:val="1C128031"/>
    <w:rsid w:val="1C20D481"/>
    <w:rsid w:val="1C2C91D7"/>
    <w:rsid w:val="1C535A82"/>
    <w:rsid w:val="1C613332"/>
    <w:rsid w:val="1C710D43"/>
    <w:rsid w:val="1C99C4DD"/>
    <w:rsid w:val="1CBC4106"/>
    <w:rsid w:val="1CE23DF5"/>
    <w:rsid w:val="1CE5E9D9"/>
    <w:rsid w:val="1D0EC606"/>
    <w:rsid w:val="1D590D88"/>
    <w:rsid w:val="1D6497B0"/>
    <w:rsid w:val="1D6A3BD5"/>
    <w:rsid w:val="1D7451F7"/>
    <w:rsid w:val="1D8BFBED"/>
    <w:rsid w:val="1D9609E8"/>
    <w:rsid w:val="1DAD3B22"/>
    <w:rsid w:val="1DAE5092"/>
    <w:rsid w:val="1DD68D23"/>
    <w:rsid w:val="1DDE929D"/>
    <w:rsid w:val="1DE84A39"/>
    <w:rsid w:val="1DF605C0"/>
    <w:rsid w:val="1DF9FFD7"/>
    <w:rsid w:val="1E11F02D"/>
    <w:rsid w:val="1E244CEB"/>
    <w:rsid w:val="1E4555CD"/>
    <w:rsid w:val="1E9680AE"/>
    <w:rsid w:val="1E969236"/>
    <w:rsid w:val="1EAD8D22"/>
    <w:rsid w:val="1EBA0872"/>
    <w:rsid w:val="1ED7EBC8"/>
    <w:rsid w:val="1EDDB135"/>
    <w:rsid w:val="1EDE88D2"/>
    <w:rsid w:val="1EE97078"/>
    <w:rsid w:val="1EEC69AA"/>
    <w:rsid w:val="1EEC6DDD"/>
    <w:rsid w:val="1EF31240"/>
    <w:rsid w:val="1F239C35"/>
    <w:rsid w:val="1F305803"/>
    <w:rsid w:val="1F38762E"/>
    <w:rsid w:val="1F4776C6"/>
    <w:rsid w:val="1F710731"/>
    <w:rsid w:val="1F91927A"/>
    <w:rsid w:val="1F94D16A"/>
    <w:rsid w:val="1F9F6393"/>
    <w:rsid w:val="1FA7AFA6"/>
    <w:rsid w:val="1FC4D401"/>
    <w:rsid w:val="1FC51EB0"/>
    <w:rsid w:val="1FE1C6AF"/>
    <w:rsid w:val="200FDF3B"/>
    <w:rsid w:val="202C361A"/>
    <w:rsid w:val="204062CF"/>
    <w:rsid w:val="2071BFCE"/>
    <w:rsid w:val="20777847"/>
    <w:rsid w:val="209AD5CA"/>
    <w:rsid w:val="20A3F747"/>
    <w:rsid w:val="20DFFD07"/>
    <w:rsid w:val="20F4B5CA"/>
    <w:rsid w:val="210F2D22"/>
    <w:rsid w:val="2118C8ED"/>
    <w:rsid w:val="214FF40D"/>
    <w:rsid w:val="217F3498"/>
    <w:rsid w:val="21AADD75"/>
    <w:rsid w:val="21C2F403"/>
    <w:rsid w:val="21CFB507"/>
    <w:rsid w:val="21D181E8"/>
    <w:rsid w:val="21D9D7C1"/>
    <w:rsid w:val="21EE74BE"/>
    <w:rsid w:val="21F4037D"/>
    <w:rsid w:val="21FBAF83"/>
    <w:rsid w:val="22424027"/>
    <w:rsid w:val="2255BD44"/>
    <w:rsid w:val="226FC063"/>
    <w:rsid w:val="2277E752"/>
    <w:rsid w:val="228D340C"/>
    <w:rsid w:val="22F7BE0E"/>
    <w:rsid w:val="230854AA"/>
    <w:rsid w:val="230F6804"/>
    <w:rsid w:val="231E32AF"/>
    <w:rsid w:val="23355577"/>
    <w:rsid w:val="2339E05A"/>
    <w:rsid w:val="233FAD77"/>
    <w:rsid w:val="23487996"/>
    <w:rsid w:val="234B3C5F"/>
    <w:rsid w:val="2356A3EE"/>
    <w:rsid w:val="235C43CA"/>
    <w:rsid w:val="2371150E"/>
    <w:rsid w:val="237E982F"/>
    <w:rsid w:val="23BEF5A2"/>
    <w:rsid w:val="23DEB539"/>
    <w:rsid w:val="23F0E87A"/>
    <w:rsid w:val="23FCC954"/>
    <w:rsid w:val="24073FB9"/>
    <w:rsid w:val="24422F82"/>
    <w:rsid w:val="2442C77C"/>
    <w:rsid w:val="2449E174"/>
    <w:rsid w:val="24717F4A"/>
    <w:rsid w:val="24A4D43A"/>
    <w:rsid w:val="24A5162D"/>
    <w:rsid w:val="24C72532"/>
    <w:rsid w:val="24E38CFF"/>
    <w:rsid w:val="24FEFD53"/>
    <w:rsid w:val="25030491"/>
    <w:rsid w:val="251A5D83"/>
    <w:rsid w:val="251CD783"/>
    <w:rsid w:val="2522A935"/>
    <w:rsid w:val="2547E198"/>
    <w:rsid w:val="258F3FDE"/>
    <w:rsid w:val="259C245A"/>
    <w:rsid w:val="25BDB784"/>
    <w:rsid w:val="25D1F35C"/>
    <w:rsid w:val="25E5101E"/>
    <w:rsid w:val="2619D448"/>
    <w:rsid w:val="2651F52F"/>
    <w:rsid w:val="26593724"/>
    <w:rsid w:val="267AB9A7"/>
    <w:rsid w:val="269FC909"/>
    <w:rsid w:val="26C005E1"/>
    <w:rsid w:val="26C46EB0"/>
    <w:rsid w:val="26D2B768"/>
    <w:rsid w:val="26D81BCA"/>
    <w:rsid w:val="26EDA07F"/>
    <w:rsid w:val="26F5FEEC"/>
    <w:rsid w:val="26F62732"/>
    <w:rsid w:val="26FB3D34"/>
    <w:rsid w:val="26FE37ED"/>
    <w:rsid w:val="2712B31E"/>
    <w:rsid w:val="2739C339"/>
    <w:rsid w:val="273FA847"/>
    <w:rsid w:val="274A80B8"/>
    <w:rsid w:val="275428D0"/>
    <w:rsid w:val="275825BC"/>
    <w:rsid w:val="27807D6B"/>
    <w:rsid w:val="27AB81CD"/>
    <w:rsid w:val="27E23717"/>
    <w:rsid w:val="27E4434C"/>
    <w:rsid w:val="27EB5620"/>
    <w:rsid w:val="2808AA50"/>
    <w:rsid w:val="280997A1"/>
    <w:rsid w:val="28566DF4"/>
    <w:rsid w:val="28571B85"/>
    <w:rsid w:val="28726629"/>
    <w:rsid w:val="287A1A43"/>
    <w:rsid w:val="28BA120A"/>
    <w:rsid w:val="28C87FC2"/>
    <w:rsid w:val="2928FBF3"/>
    <w:rsid w:val="2955669A"/>
    <w:rsid w:val="29801327"/>
    <w:rsid w:val="2983656B"/>
    <w:rsid w:val="2995C202"/>
    <w:rsid w:val="29979089"/>
    <w:rsid w:val="29A84931"/>
    <w:rsid w:val="29AE3B72"/>
    <w:rsid w:val="29E50652"/>
    <w:rsid w:val="29EAC355"/>
    <w:rsid w:val="2A15BB75"/>
    <w:rsid w:val="2A25701C"/>
    <w:rsid w:val="2A6694B0"/>
    <w:rsid w:val="2A74C775"/>
    <w:rsid w:val="2A7FB8C1"/>
    <w:rsid w:val="2AB1A311"/>
    <w:rsid w:val="2AB42746"/>
    <w:rsid w:val="2AB75023"/>
    <w:rsid w:val="2AC17255"/>
    <w:rsid w:val="2AEE08A8"/>
    <w:rsid w:val="2B164B09"/>
    <w:rsid w:val="2B1DEDD4"/>
    <w:rsid w:val="2B2715BD"/>
    <w:rsid w:val="2B597D73"/>
    <w:rsid w:val="2B9B6638"/>
    <w:rsid w:val="2BAEDC6F"/>
    <w:rsid w:val="2BCA5D3B"/>
    <w:rsid w:val="2BE4ACC7"/>
    <w:rsid w:val="2BF6BFBE"/>
    <w:rsid w:val="2C2B25C8"/>
    <w:rsid w:val="2C4654D5"/>
    <w:rsid w:val="2C47DA38"/>
    <w:rsid w:val="2C4EC2AF"/>
    <w:rsid w:val="2C5A2D10"/>
    <w:rsid w:val="2C6498C4"/>
    <w:rsid w:val="2C69F311"/>
    <w:rsid w:val="2C6B89A2"/>
    <w:rsid w:val="2C6CC6E7"/>
    <w:rsid w:val="2C7F623E"/>
    <w:rsid w:val="2CD73A20"/>
    <w:rsid w:val="2CF2FAE9"/>
    <w:rsid w:val="2CF3DBB8"/>
    <w:rsid w:val="2D4BD3B1"/>
    <w:rsid w:val="2D8429AA"/>
    <w:rsid w:val="2D87BC87"/>
    <w:rsid w:val="2D972B20"/>
    <w:rsid w:val="2DC6BF3B"/>
    <w:rsid w:val="2DFBAE60"/>
    <w:rsid w:val="2E7354F9"/>
    <w:rsid w:val="2EAEB98E"/>
    <w:rsid w:val="2ECD6641"/>
    <w:rsid w:val="2EDB8293"/>
    <w:rsid w:val="2EFD11DE"/>
    <w:rsid w:val="2F0D3F61"/>
    <w:rsid w:val="2F32F490"/>
    <w:rsid w:val="2F38C28B"/>
    <w:rsid w:val="2F5D088F"/>
    <w:rsid w:val="2F6337A1"/>
    <w:rsid w:val="2F9E95BE"/>
    <w:rsid w:val="2FA3D2F6"/>
    <w:rsid w:val="2FC81C00"/>
    <w:rsid w:val="2FE13AB1"/>
    <w:rsid w:val="2FF4639D"/>
    <w:rsid w:val="3011F318"/>
    <w:rsid w:val="303391BD"/>
    <w:rsid w:val="304EF606"/>
    <w:rsid w:val="30547E1E"/>
    <w:rsid w:val="3058BDE2"/>
    <w:rsid w:val="30C0ADBD"/>
    <w:rsid w:val="30D75221"/>
    <w:rsid w:val="30DD9E6D"/>
    <w:rsid w:val="30E9E769"/>
    <w:rsid w:val="30FC7C69"/>
    <w:rsid w:val="313592D8"/>
    <w:rsid w:val="31411139"/>
    <w:rsid w:val="314EA4ED"/>
    <w:rsid w:val="318A2DD3"/>
    <w:rsid w:val="31EF7CB8"/>
    <w:rsid w:val="320F2959"/>
    <w:rsid w:val="3228400A"/>
    <w:rsid w:val="326BC59C"/>
    <w:rsid w:val="3271232E"/>
    <w:rsid w:val="32737AFD"/>
    <w:rsid w:val="3297704E"/>
    <w:rsid w:val="32A2647B"/>
    <w:rsid w:val="32A34BBC"/>
    <w:rsid w:val="32BD5491"/>
    <w:rsid w:val="33081F04"/>
    <w:rsid w:val="330EF598"/>
    <w:rsid w:val="3321ECB2"/>
    <w:rsid w:val="33258BCE"/>
    <w:rsid w:val="332EE379"/>
    <w:rsid w:val="3330B741"/>
    <w:rsid w:val="33743894"/>
    <w:rsid w:val="33891B1D"/>
    <w:rsid w:val="33AEF562"/>
    <w:rsid w:val="33B86B2F"/>
    <w:rsid w:val="33D9D23E"/>
    <w:rsid w:val="33E1F767"/>
    <w:rsid w:val="33F5DA60"/>
    <w:rsid w:val="340C9AA3"/>
    <w:rsid w:val="3417F6A6"/>
    <w:rsid w:val="342B4330"/>
    <w:rsid w:val="343AB9C5"/>
    <w:rsid w:val="343F5B99"/>
    <w:rsid w:val="349F10A3"/>
    <w:rsid w:val="34C1E199"/>
    <w:rsid w:val="34C41D33"/>
    <w:rsid w:val="34D569F6"/>
    <w:rsid w:val="34F7DE8F"/>
    <w:rsid w:val="350B429D"/>
    <w:rsid w:val="3534EB3A"/>
    <w:rsid w:val="3544E586"/>
    <w:rsid w:val="355DE471"/>
    <w:rsid w:val="3583C3A7"/>
    <w:rsid w:val="35BAFE4C"/>
    <w:rsid w:val="35C164AF"/>
    <w:rsid w:val="35C39EF3"/>
    <w:rsid w:val="36202230"/>
    <w:rsid w:val="36205666"/>
    <w:rsid w:val="3635EF51"/>
    <w:rsid w:val="36566CC1"/>
    <w:rsid w:val="365AB6C6"/>
    <w:rsid w:val="3667FB10"/>
    <w:rsid w:val="3668B40B"/>
    <w:rsid w:val="3689E8CF"/>
    <w:rsid w:val="369D2C8B"/>
    <w:rsid w:val="36A15B41"/>
    <w:rsid w:val="36AA3450"/>
    <w:rsid w:val="36B5A351"/>
    <w:rsid w:val="36B89714"/>
    <w:rsid w:val="36C63C18"/>
    <w:rsid w:val="36EA3B38"/>
    <w:rsid w:val="3712AF67"/>
    <w:rsid w:val="371B52FA"/>
    <w:rsid w:val="3728F20D"/>
    <w:rsid w:val="3744CD60"/>
    <w:rsid w:val="375C4760"/>
    <w:rsid w:val="37618A33"/>
    <w:rsid w:val="3777C8E8"/>
    <w:rsid w:val="379F8080"/>
    <w:rsid w:val="37C02F2C"/>
    <w:rsid w:val="37E3C8EF"/>
    <w:rsid w:val="37E410C9"/>
    <w:rsid w:val="37ED704F"/>
    <w:rsid w:val="3820BEE3"/>
    <w:rsid w:val="382BC4C8"/>
    <w:rsid w:val="383E414F"/>
    <w:rsid w:val="38BDAB68"/>
    <w:rsid w:val="38DAB0C2"/>
    <w:rsid w:val="38DF7A45"/>
    <w:rsid w:val="3900CE0F"/>
    <w:rsid w:val="3909203C"/>
    <w:rsid w:val="390EB2B8"/>
    <w:rsid w:val="3917C42D"/>
    <w:rsid w:val="391FA68C"/>
    <w:rsid w:val="3947E129"/>
    <w:rsid w:val="394F7F7B"/>
    <w:rsid w:val="39536228"/>
    <w:rsid w:val="396E7EE0"/>
    <w:rsid w:val="3A0BB7BD"/>
    <w:rsid w:val="3A4100F1"/>
    <w:rsid w:val="3A4A56F1"/>
    <w:rsid w:val="3A6C080D"/>
    <w:rsid w:val="3A732D1D"/>
    <w:rsid w:val="3A8014A6"/>
    <w:rsid w:val="3A803569"/>
    <w:rsid w:val="3AEC8442"/>
    <w:rsid w:val="3B1442F1"/>
    <w:rsid w:val="3B32C6B8"/>
    <w:rsid w:val="3BB3FD98"/>
    <w:rsid w:val="3BD5496E"/>
    <w:rsid w:val="3BE85545"/>
    <w:rsid w:val="3BEA5A0B"/>
    <w:rsid w:val="3BEDFCEE"/>
    <w:rsid w:val="3C42F906"/>
    <w:rsid w:val="3C45507C"/>
    <w:rsid w:val="3C619431"/>
    <w:rsid w:val="3C7E64CE"/>
    <w:rsid w:val="3C8417F8"/>
    <w:rsid w:val="3C997396"/>
    <w:rsid w:val="3C9D9437"/>
    <w:rsid w:val="3C9E071D"/>
    <w:rsid w:val="3CB22B51"/>
    <w:rsid w:val="3CBDEA8D"/>
    <w:rsid w:val="3CCAE83C"/>
    <w:rsid w:val="3D01BE75"/>
    <w:rsid w:val="3D49A466"/>
    <w:rsid w:val="3D5DB27D"/>
    <w:rsid w:val="3D6E29F1"/>
    <w:rsid w:val="3D81F7B3"/>
    <w:rsid w:val="3D9395F8"/>
    <w:rsid w:val="3D93BF6A"/>
    <w:rsid w:val="3DAA3249"/>
    <w:rsid w:val="3DB4FDAB"/>
    <w:rsid w:val="3DBA0332"/>
    <w:rsid w:val="3DCF3820"/>
    <w:rsid w:val="3DDD77C3"/>
    <w:rsid w:val="3DE928FF"/>
    <w:rsid w:val="3DFCFFEB"/>
    <w:rsid w:val="3E04A14B"/>
    <w:rsid w:val="3E169787"/>
    <w:rsid w:val="3E16AF8A"/>
    <w:rsid w:val="3E1A861A"/>
    <w:rsid w:val="3E2DB92F"/>
    <w:rsid w:val="3E55A89C"/>
    <w:rsid w:val="3E56C935"/>
    <w:rsid w:val="3E588789"/>
    <w:rsid w:val="3E5FDE04"/>
    <w:rsid w:val="3E66D500"/>
    <w:rsid w:val="3E7D198D"/>
    <w:rsid w:val="3EC51457"/>
    <w:rsid w:val="3EDB1EDE"/>
    <w:rsid w:val="3EF14A20"/>
    <w:rsid w:val="3F457E85"/>
    <w:rsid w:val="3F6F6937"/>
    <w:rsid w:val="3F8148F1"/>
    <w:rsid w:val="3FA071AC"/>
    <w:rsid w:val="3FE30D1C"/>
    <w:rsid w:val="3FFB3099"/>
    <w:rsid w:val="3FFF23A3"/>
    <w:rsid w:val="402EEA22"/>
    <w:rsid w:val="4062F383"/>
    <w:rsid w:val="4077DD7C"/>
    <w:rsid w:val="407D8561"/>
    <w:rsid w:val="409C5D1A"/>
    <w:rsid w:val="40D9C381"/>
    <w:rsid w:val="40FA0EB5"/>
    <w:rsid w:val="40FF39FB"/>
    <w:rsid w:val="41000734"/>
    <w:rsid w:val="410ACA8A"/>
    <w:rsid w:val="41207112"/>
    <w:rsid w:val="413A7EBD"/>
    <w:rsid w:val="413C420D"/>
    <w:rsid w:val="4142C22A"/>
    <w:rsid w:val="418CA373"/>
    <w:rsid w:val="4191AEAD"/>
    <w:rsid w:val="419EA817"/>
    <w:rsid w:val="41A39DDD"/>
    <w:rsid w:val="41B4B5F5"/>
    <w:rsid w:val="41C0CF0D"/>
    <w:rsid w:val="41F73FED"/>
    <w:rsid w:val="41F859D2"/>
    <w:rsid w:val="4214A02A"/>
    <w:rsid w:val="4221A564"/>
    <w:rsid w:val="42324D23"/>
    <w:rsid w:val="4251FC8B"/>
    <w:rsid w:val="42542F2A"/>
    <w:rsid w:val="427FE5F6"/>
    <w:rsid w:val="4280F24B"/>
    <w:rsid w:val="42C7ED0B"/>
    <w:rsid w:val="42E174FB"/>
    <w:rsid w:val="43287E6C"/>
    <w:rsid w:val="433652E4"/>
    <w:rsid w:val="437878A0"/>
    <w:rsid w:val="43AF4079"/>
    <w:rsid w:val="44331020"/>
    <w:rsid w:val="443B91B7"/>
    <w:rsid w:val="44642D82"/>
    <w:rsid w:val="447C20EC"/>
    <w:rsid w:val="4480805A"/>
    <w:rsid w:val="449EAD4E"/>
    <w:rsid w:val="44E734F8"/>
    <w:rsid w:val="44E743F3"/>
    <w:rsid w:val="44F36CC6"/>
    <w:rsid w:val="45115A80"/>
    <w:rsid w:val="4527FD30"/>
    <w:rsid w:val="452C61C6"/>
    <w:rsid w:val="4546D16D"/>
    <w:rsid w:val="4562FA68"/>
    <w:rsid w:val="4568C46E"/>
    <w:rsid w:val="456D684F"/>
    <w:rsid w:val="456F1EC2"/>
    <w:rsid w:val="459A6A93"/>
    <w:rsid w:val="45AD50FD"/>
    <w:rsid w:val="45C5923D"/>
    <w:rsid w:val="45D6B404"/>
    <w:rsid w:val="4613002E"/>
    <w:rsid w:val="463DF639"/>
    <w:rsid w:val="46755CCC"/>
    <w:rsid w:val="468C2A68"/>
    <w:rsid w:val="46D59254"/>
    <w:rsid w:val="46D75E4F"/>
    <w:rsid w:val="46E3E5EE"/>
    <w:rsid w:val="46F0C4E4"/>
    <w:rsid w:val="46FB6721"/>
    <w:rsid w:val="46FC1821"/>
    <w:rsid w:val="46FD34C0"/>
    <w:rsid w:val="47064444"/>
    <w:rsid w:val="47247C27"/>
    <w:rsid w:val="474AA410"/>
    <w:rsid w:val="4765CC73"/>
    <w:rsid w:val="479B2DE6"/>
    <w:rsid w:val="47C3E92F"/>
    <w:rsid w:val="481AB843"/>
    <w:rsid w:val="484CA560"/>
    <w:rsid w:val="4877108B"/>
    <w:rsid w:val="4886A5D6"/>
    <w:rsid w:val="488A1503"/>
    <w:rsid w:val="489CFE30"/>
    <w:rsid w:val="48AAB0FB"/>
    <w:rsid w:val="48AB1DEE"/>
    <w:rsid w:val="48B30383"/>
    <w:rsid w:val="48B34D01"/>
    <w:rsid w:val="48DD9832"/>
    <w:rsid w:val="493A70EC"/>
    <w:rsid w:val="4950862A"/>
    <w:rsid w:val="496CB9A9"/>
    <w:rsid w:val="4995F3C5"/>
    <w:rsid w:val="49B0DCBA"/>
    <w:rsid w:val="49F3121D"/>
    <w:rsid w:val="49F85266"/>
    <w:rsid w:val="4A20224B"/>
    <w:rsid w:val="4A20A33D"/>
    <w:rsid w:val="4A3EEA13"/>
    <w:rsid w:val="4A9509F5"/>
    <w:rsid w:val="4ABA9478"/>
    <w:rsid w:val="4AC48E54"/>
    <w:rsid w:val="4AD657F4"/>
    <w:rsid w:val="4AF14023"/>
    <w:rsid w:val="4AF93B54"/>
    <w:rsid w:val="4B159E7A"/>
    <w:rsid w:val="4B253D2E"/>
    <w:rsid w:val="4B4DDA57"/>
    <w:rsid w:val="4BAE2638"/>
    <w:rsid w:val="4BD6B468"/>
    <w:rsid w:val="4BE34AE7"/>
    <w:rsid w:val="4C00A001"/>
    <w:rsid w:val="4C4808BA"/>
    <w:rsid w:val="4C8B210E"/>
    <w:rsid w:val="4CA1E65C"/>
    <w:rsid w:val="4CBB5C0E"/>
    <w:rsid w:val="4CCF5675"/>
    <w:rsid w:val="4CD5A7CA"/>
    <w:rsid w:val="4CDCD24B"/>
    <w:rsid w:val="4CE50D2F"/>
    <w:rsid w:val="4CF966A9"/>
    <w:rsid w:val="4D0219ED"/>
    <w:rsid w:val="4D04A5C9"/>
    <w:rsid w:val="4D337B80"/>
    <w:rsid w:val="4D52752C"/>
    <w:rsid w:val="4D69E080"/>
    <w:rsid w:val="4D922794"/>
    <w:rsid w:val="4DA61CDA"/>
    <w:rsid w:val="4DE76E9F"/>
    <w:rsid w:val="4E13AAF7"/>
    <w:rsid w:val="4E9727DE"/>
    <w:rsid w:val="4EBB9CA6"/>
    <w:rsid w:val="4ED94A47"/>
    <w:rsid w:val="4F2A5F97"/>
    <w:rsid w:val="4F3848A2"/>
    <w:rsid w:val="4F4123A6"/>
    <w:rsid w:val="4F4342A0"/>
    <w:rsid w:val="4F9B8E30"/>
    <w:rsid w:val="4FA0951F"/>
    <w:rsid w:val="4FB0D652"/>
    <w:rsid w:val="4FC26494"/>
    <w:rsid w:val="4FCA8BB6"/>
    <w:rsid w:val="4FDE3DAD"/>
    <w:rsid w:val="4FE0C87D"/>
    <w:rsid w:val="4FF9E714"/>
    <w:rsid w:val="5008CDC9"/>
    <w:rsid w:val="50416A33"/>
    <w:rsid w:val="505C305D"/>
    <w:rsid w:val="5081B2AE"/>
    <w:rsid w:val="50921F4C"/>
    <w:rsid w:val="5095F074"/>
    <w:rsid w:val="50BD66A1"/>
    <w:rsid w:val="50C3BF95"/>
    <w:rsid w:val="511343BF"/>
    <w:rsid w:val="5123B3FE"/>
    <w:rsid w:val="51318621"/>
    <w:rsid w:val="51624249"/>
    <w:rsid w:val="51A4C82A"/>
    <w:rsid w:val="51DE2716"/>
    <w:rsid w:val="51F2F87D"/>
    <w:rsid w:val="52097BF9"/>
    <w:rsid w:val="524706B3"/>
    <w:rsid w:val="524870B0"/>
    <w:rsid w:val="527FBFB3"/>
    <w:rsid w:val="5287C283"/>
    <w:rsid w:val="52A18BB5"/>
    <w:rsid w:val="52B691EE"/>
    <w:rsid w:val="52D82D90"/>
    <w:rsid w:val="52EF3C22"/>
    <w:rsid w:val="52F610BD"/>
    <w:rsid w:val="52F7E854"/>
    <w:rsid w:val="52FCABA9"/>
    <w:rsid w:val="532439BF"/>
    <w:rsid w:val="532A08BD"/>
    <w:rsid w:val="532B6A7E"/>
    <w:rsid w:val="5336E8BF"/>
    <w:rsid w:val="5352515B"/>
    <w:rsid w:val="5352EEB3"/>
    <w:rsid w:val="53538C60"/>
    <w:rsid w:val="535C81D5"/>
    <w:rsid w:val="5388FC2F"/>
    <w:rsid w:val="53CF9EDD"/>
    <w:rsid w:val="53D05833"/>
    <w:rsid w:val="53D62448"/>
    <w:rsid w:val="53D69925"/>
    <w:rsid w:val="53E612AC"/>
    <w:rsid w:val="540B4DD9"/>
    <w:rsid w:val="54127873"/>
    <w:rsid w:val="541C82B2"/>
    <w:rsid w:val="542615D2"/>
    <w:rsid w:val="54341022"/>
    <w:rsid w:val="544972C1"/>
    <w:rsid w:val="547F4267"/>
    <w:rsid w:val="551A703C"/>
    <w:rsid w:val="555B1675"/>
    <w:rsid w:val="557527BF"/>
    <w:rsid w:val="5578A7AC"/>
    <w:rsid w:val="5586EAF9"/>
    <w:rsid w:val="559D29B8"/>
    <w:rsid w:val="55A1C288"/>
    <w:rsid w:val="55A39BDD"/>
    <w:rsid w:val="55C5D878"/>
    <w:rsid w:val="55D7DDE5"/>
    <w:rsid w:val="55D82AEB"/>
    <w:rsid w:val="55DC7465"/>
    <w:rsid w:val="55F11BB5"/>
    <w:rsid w:val="55F9CB88"/>
    <w:rsid w:val="55FE3C64"/>
    <w:rsid w:val="56139569"/>
    <w:rsid w:val="564EAE21"/>
    <w:rsid w:val="56558DCE"/>
    <w:rsid w:val="565A8F31"/>
    <w:rsid w:val="566365F9"/>
    <w:rsid w:val="5678C816"/>
    <w:rsid w:val="567BB662"/>
    <w:rsid w:val="567CD388"/>
    <w:rsid w:val="56C068A8"/>
    <w:rsid w:val="56EA4BA7"/>
    <w:rsid w:val="57032C23"/>
    <w:rsid w:val="572CBF19"/>
    <w:rsid w:val="57312193"/>
    <w:rsid w:val="5756F287"/>
    <w:rsid w:val="576C2DB7"/>
    <w:rsid w:val="57815D48"/>
    <w:rsid w:val="57A89853"/>
    <w:rsid w:val="57DFE493"/>
    <w:rsid w:val="57F7AAE2"/>
    <w:rsid w:val="5806E4F9"/>
    <w:rsid w:val="58430006"/>
    <w:rsid w:val="584CA4F8"/>
    <w:rsid w:val="586A84E7"/>
    <w:rsid w:val="588AB40F"/>
    <w:rsid w:val="5897A200"/>
    <w:rsid w:val="589C2FD9"/>
    <w:rsid w:val="58CBCC1B"/>
    <w:rsid w:val="58D9808C"/>
    <w:rsid w:val="58F6CC79"/>
    <w:rsid w:val="592EDFAA"/>
    <w:rsid w:val="592FC946"/>
    <w:rsid w:val="5973385F"/>
    <w:rsid w:val="599A9A96"/>
    <w:rsid w:val="59AC114C"/>
    <w:rsid w:val="59B6F49D"/>
    <w:rsid w:val="59D252A1"/>
    <w:rsid w:val="5A2669E5"/>
    <w:rsid w:val="5A3FE917"/>
    <w:rsid w:val="5A5D1465"/>
    <w:rsid w:val="5A7E1EB5"/>
    <w:rsid w:val="5A7E4494"/>
    <w:rsid w:val="5A8B8A94"/>
    <w:rsid w:val="5A9A29A4"/>
    <w:rsid w:val="5AA47673"/>
    <w:rsid w:val="5AA7A1BE"/>
    <w:rsid w:val="5AB3B1C2"/>
    <w:rsid w:val="5AE26EBC"/>
    <w:rsid w:val="5B162347"/>
    <w:rsid w:val="5B24988C"/>
    <w:rsid w:val="5B47DB1F"/>
    <w:rsid w:val="5B48BE61"/>
    <w:rsid w:val="5B705E9E"/>
    <w:rsid w:val="5B8B4256"/>
    <w:rsid w:val="5B9D18C2"/>
    <w:rsid w:val="5BB6411F"/>
    <w:rsid w:val="5BC0586F"/>
    <w:rsid w:val="5BD8A697"/>
    <w:rsid w:val="5C0B5A63"/>
    <w:rsid w:val="5C25FCA3"/>
    <w:rsid w:val="5C29B8F1"/>
    <w:rsid w:val="5C4A1E5E"/>
    <w:rsid w:val="5C5890EB"/>
    <w:rsid w:val="5C93D7B4"/>
    <w:rsid w:val="5CA7AE94"/>
    <w:rsid w:val="5CAEA8C7"/>
    <w:rsid w:val="5CB1F3A8"/>
    <w:rsid w:val="5CBF81AC"/>
    <w:rsid w:val="5CC05F6C"/>
    <w:rsid w:val="5CD19035"/>
    <w:rsid w:val="5CDD6D30"/>
    <w:rsid w:val="5CE54713"/>
    <w:rsid w:val="5D20B2BA"/>
    <w:rsid w:val="5D2D1E34"/>
    <w:rsid w:val="5D34F8EA"/>
    <w:rsid w:val="5D62BF77"/>
    <w:rsid w:val="5D666729"/>
    <w:rsid w:val="5D72D0A3"/>
    <w:rsid w:val="5D75DC93"/>
    <w:rsid w:val="5D83886F"/>
    <w:rsid w:val="5D86DA44"/>
    <w:rsid w:val="5DB5246E"/>
    <w:rsid w:val="5DB62A45"/>
    <w:rsid w:val="5DD5E36D"/>
    <w:rsid w:val="5DDEC765"/>
    <w:rsid w:val="5E0E21F7"/>
    <w:rsid w:val="5E10A0A1"/>
    <w:rsid w:val="5E252C29"/>
    <w:rsid w:val="5E38F957"/>
    <w:rsid w:val="5E3C5FC6"/>
    <w:rsid w:val="5E3D0CFD"/>
    <w:rsid w:val="5E6FD559"/>
    <w:rsid w:val="5E9FED61"/>
    <w:rsid w:val="5EB3F97E"/>
    <w:rsid w:val="5EC24FBD"/>
    <w:rsid w:val="5F0D2F11"/>
    <w:rsid w:val="5F412995"/>
    <w:rsid w:val="5F5157EC"/>
    <w:rsid w:val="5F6351F1"/>
    <w:rsid w:val="5F72D696"/>
    <w:rsid w:val="5FA9763B"/>
    <w:rsid w:val="5FB5B451"/>
    <w:rsid w:val="5FBD4C5B"/>
    <w:rsid w:val="5FBF8122"/>
    <w:rsid w:val="5FC3A6E4"/>
    <w:rsid w:val="5FD659F0"/>
    <w:rsid w:val="5FD8FF91"/>
    <w:rsid w:val="5FE66897"/>
    <w:rsid w:val="5FE67882"/>
    <w:rsid w:val="5FF1A8D2"/>
    <w:rsid w:val="601109D3"/>
    <w:rsid w:val="60235C5A"/>
    <w:rsid w:val="6029A99C"/>
    <w:rsid w:val="60554875"/>
    <w:rsid w:val="605BDA41"/>
    <w:rsid w:val="60968007"/>
    <w:rsid w:val="60987940"/>
    <w:rsid w:val="60BDE8E5"/>
    <w:rsid w:val="60F4517E"/>
    <w:rsid w:val="6107901C"/>
    <w:rsid w:val="6152766C"/>
    <w:rsid w:val="618564CB"/>
    <w:rsid w:val="61A03DBF"/>
    <w:rsid w:val="61B79331"/>
    <w:rsid w:val="61C65009"/>
    <w:rsid w:val="61C7B205"/>
    <w:rsid w:val="61CF5A05"/>
    <w:rsid w:val="620D1E4C"/>
    <w:rsid w:val="62150A43"/>
    <w:rsid w:val="6222892E"/>
    <w:rsid w:val="6279CBB6"/>
    <w:rsid w:val="6281D9E7"/>
    <w:rsid w:val="628D0648"/>
    <w:rsid w:val="62AF6F86"/>
    <w:rsid w:val="62B3F477"/>
    <w:rsid w:val="62D3F670"/>
    <w:rsid w:val="62E116FD"/>
    <w:rsid w:val="633FA809"/>
    <w:rsid w:val="6361D2F2"/>
    <w:rsid w:val="636A52D8"/>
    <w:rsid w:val="6384DAEB"/>
    <w:rsid w:val="63A885FF"/>
    <w:rsid w:val="63BBE5F9"/>
    <w:rsid w:val="63C8338F"/>
    <w:rsid w:val="63F6CD94"/>
    <w:rsid w:val="640FFFF1"/>
    <w:rsid w:val="64118ADF"/>
    <w:rsid w:val="6419C806"/>
    <w:rsid w:val="6445F8B8"/>
    <w:rsid w:val="6469F8DA"/>
    <w:rsid w:val="6470EED1"/>
    <w:rsid w:val="64971807"/>
    <w:rsid w:val="64AA7772"/>
    <w:rsid w:val="64E0BBDD"/>
    <w:rsid w:val="65125A55"/>
    <w:rsid w:val="65133EE0"/>
    <w:rsid w:val="6517416A"/>
    <w:rsid w:val="65327520"/>
    <w:rsid w:val="65610880"/>
    <w:rsid w:val="658BF174"/>
    <w:rsid w:val="65ABD052"/>
    <w:rsid w:val="65BB63D3"/>
    <w:rsid w:val="65C37780"/>
    <w:rsid w:val="65E4C9D1"/>
    <w:rsid w:val="65FDA60B"/>
    <w:rsid w:val="660BCBAA"/>
    <w:rsid w:val="661A67B9"/>
    <w:rsid w:val="6631B2BA"/>
    <w:rsid w:val="663CEEEF"/>
    <w:rsid w:val="666E6855"/>
    <w:rsid w:val="6686ED8A"/>
    <w:rsid w:val="669BD948"/>
    <w:rsid w:val="66C19A40"/>
    <w:rsid w:val="66C2C3D5"/>
    <w:rsid w:val="66C4FD83"/>
    <w:rsid w:val="6728A786"/>
    <w:rsid w:val="67413B70"/>
    <w:rsid w:val="674E0D0A"/>
    <w:rsid w:val="676F48ED"/>
    <w:rsid w:val="6779BF52"/>
    <w:rsid w:val="67DFAE32"/>
    <w:rsid w:val="67EF73F3"/>
    <w:rsid w:val="67F985D7"/>
    <w:rsid w:val="682B5E51"/>
    <w:rsid w:val="68926C7A"/>
    <w:rsid w:val="68A7748C"/>
    <w:rsid w:val="68AA16EA"/>
    <w:rsid w:val="68AB8EA4"/>
    <w:rsid w:val="68BF5DE1"/>
    <w:rsid w:val="68BFA321"/>
    <w:rsid w:val="68E9508B"/>
    <w:rsid w:val="69036815"/>
    <w:rsid w:val="694103E3"/>
    <w:rsid w:val="696A892A"/>
    <w:rsid w:val="696CE3DD"/>
    <w:rsid w:val="697DE64A"/>
    <w:rsid w:val="698CABBB"/>
    <w:rsid w:val="69B9C691"/>
    <w:rsid w:val="69C1F6CA"/>
    <w:rsid w:val="69D37A0A"/>
    <w:rsid w:val="69D84840"/>
    <w:rsid w:val="69FFD57C"/>
    <w:rsid w:val="6A3DF6CE"/>
    <w:rsid w:val="6A6B953A"/>
    <w:rsid w:val="6A7F3B86"/>
    <w:rsid w:val="6A8D2904"/>
    <w:rsid w:val="6AA8A940"/>
    <w:rsid w:val="6AE1EC06"/>
    <w:rsid w:val="6AE7A6A0"/>
    <w:rsid w:val="6AF9D764"/>
    <w:rsid w:val="6B118232"/>
    <w:rsid w:val="6B135BFA"/>
    <w:rsid w:val="6B369B4D"/>
    <w:rsid w:val="6B43B093"/>
    <w:rsid w:val="6B65A969"/>
    <w:rsid w:val="6B9DEFB7"/>
    <w:rsid w:val="6BAAB889"/>
    <w:rsid w:val="6BB2C0F1"/>
    <w:rsid w:val="6BD1CC56"/>
    <w:rsid w:val="6BD3A331"/>
    <w:rsid w:val="6BD7F0D6"/>
    <w:rsid w:val="6C1C80A4"/>
    <w:rsid w:val="6C71399E"/>
    <w:rsid w:val="6C823D36"/>
    <w:rsid w:val="6C8FA822"/>
    <w:rsid w:val="6CBFA5D7"/>
    <w:rsid w:val="6CCD09A3"/>
    <w:rsid w:val="6D09B566"/>
    <w:rsid w:val="6D0ECDE2"/>
    <w:rsid w:val="6D526015"/>
    <w:rsid w:val="6D7B2650"/>
    <w:rsid w:val="6DA1FED7"/>
    <w:rsid w:val="6DE612DB"/>
    <w:rsid w:val="6DEF8FEF"/>
    <w:rsid w:val="6E107C04"/>
    <w:rsid w:val="6E5A7116"/>
    <w:rsid w:val="6E687F5F"/>
    <w:rsid w:val="6E9B455E"/>
    <w:rsid w:val="6EAEA3AE"/>
    <w:rsid w:val="6EE7C1F6"/>
    <w:rsid w:val="6EEE50C9"/>
    <w:rsid w:val="6F17C536"/>
    <w:rsid w:val="6FAAEFBC"/>
    <w:rsid w:val="701A1613"/>
    <w:rsid w:val="70331230"/>
    <w:rsid w:val="703EC263"/>
    <w:rsid w:val="70639DA5"/>
    <w:rsid w:val="707C8B7D"/>
    <w:rsid w:val="707EF2FA"/>
    <w:rsid w:val="70AA4DAA"/>
    <w:rsid w:val="70CB4C49"/>
    <w:rsid w:val="70E7C158"/>
    <w:rsid w:val="710B0727"/>
    <w:rsid w:val="710C0851"/>
    <w:rsid w:val="711266DF"/>
    <w:rsid w:val="7114A40C"/>
    <w:rsid w:val="7122CF9F"/>
    <w:rsid w:val="71445C10"/>
    <w:rsid w:val="71460719"/>
    <w:rsid w:val="716796A1"/>
    <w:rsid w:val="718C182B"/>
    <w:rsid w:val="718D1F7A"/>
    <w:rsid w:val="718DBA25"/>
    <w:rsid w:val="718EBBFE"/>
    <w:rsid w:val="7194DCEF"/>
    <w:rsid w:val="71A5A873"/>
    <w:rsid w:val="71D2CA93"/>
    <w:rsid w:val="71D458A6"/>
    <w:rsid w:val="71D98804"/>
    <w:rsid w:val="71DA8961"/>
    <w:rsid w:val="71DDE8B5"/>
    <w:rsid w:val="72057CF7"/>
    <w:rsid w:val="724B8E3E"/>
    <w:rsid w:val="726FA7BC"/>
    <w:rsid w:val="7298EF14"/>
    <w:rsid w:val="72C004A5"/>
    <w:rsid w:val="72D6FDCD"/>
    <w:rsid w:val="72D837F8"/>
    <w:rsid w:val="72E2CB5D"/>
    <w:rsid w:val="730406AB"/>
    <w:rsid w:val="7345A2E0"/>
    <w:rsid w:val="734F9E14"/>
    <w:rsid w:val="73667133"/>
    <w:rsid w:val="736E9AF4"/>
    <w:rsid w:val="73D24BCF"/>
    <w:rsid w:val="73DFA0C2"/>
    <w:rsid w:val="74047AD5"/>
    <w:rsid w:val="740B5B82"/>
    <w:rsid w:val="743C4E17"/>
    <w:rsid w:val="743F5E18"/>
    <w:rsid w:val="74546847"/>
    <w:rsid w:val="7456FA47"/>
    <w:rsid w:val="745EAC4A"/>
    <w:rsid w:val="7463CB22"/>
    <w:rsid w:val="74916FF6"/>
    <w:rsid w:val="74A4473B"/>
    <w:rsid w:val="74AE52BE"/>
    <w:rsid w:val="74B89652"/>
    <w:rsid w:val="74DFC8F9"/>
    <w:rsid w:val="752D76BC"/>
    <w:rsid w:val="75525297"/>
    <w:rsid w:val="75610F3E"/>
    <w:rsid w:val="7573B989"/>
    <w:rsid w:val="75ADF3B3"/>
    <w:rsid w:val="75D447A2"/>
    <w:rsid w:val="76306AC0"/>
    <w:rsid w:val="765134FA"/>
    <w:rsid w:val="7666DBF7"/>
    <w:rsid w:val="766F95CD"/>
    <w:rsid w:val="76A60D89"/>
    <w:rsid w:val="76AE28EA"/>
    <w:rsid w:val="76C8BEE0"/>
    <w:rsid w:val="76D29164"/>
    <w:rsid w:val="7709761F"/>
    <w:rsid w:val="7721591E"/>
    <w:rsid w:val="77452D74"/>
    <w:rsid w:val="7746BD19"/>
    <w:rsid w:val="77982A95"/>
    <w:rsid w:val="77B39929"/>
    <w:rsid w:val="77C4DBBC"/>
    <w:rsid w:val="77D4920B"/>
    <w:rsid w:val="77F1975C"/>
    <w:rsid w:val="781961F9"/>
    <w:rsid w:val="781B14CA"/>
    <w:rsid w:val="7826B74B"/>
    <w:rsid w:val="782FA755"/>
    <w:rsid w:val="7841DC2A"/>
    <w:rsid w:val="784CFB76"/>
    <w:rsid w:val="785F936D"/>
    <w:rsid w:val="786C7CC7"/>
    <w:rsid w:val="788B345E"/>
    <w:rsid w:val="78DD56B5"/>
    <w:rsid w:val="78F3AE99"/>
    <w:rsid w:val="78FFE75A"/>
    <w:rsid w:val="790BD453"/>
    <w:rsid w:val="790F6D8E"/>
    <w:rsid w:val="79180AFC"/>
    <w:rsid w:val="79485497"/>
    <w:rsid w:val="7957B4E0"/>
    <w:rsid w:val="7960E532"/>
    <w:rsid w:val="79704C14"/>
    <w:rsid w:val="7972B096"/>
    <w:rsid w:val="79B3A822"/>
    <w:rsid w:val="79C0E27B"/>
    <w:rsid w:val="79D42F74"/>
    <w:rsid w:val="79DA0EEB"/>
    <w:rsid w:val="79E8F7D1"/>
    <w:rsid w:val="79F66A4A"/>
    <w:rsid w:val="7A002DCC"/>
    <w:rsid w:val="7A1849E8"/>
    <w:rsid w:val="7A1CE1FE"/>
    <w:rsid w:val="7A1D840E"/>
    <w:rsid w:val="7A3BF24C"/>
    <w:rsid w:val="7A3D5571"/>
    <w:rsid w:val="7A67258C"/>
    <w:rsid w:val="7A6807E0"/>
    <w:rsid w:val="7A6A2BBB"/>
    <w:rsid w:val="7A74F56E"/>
    <w:rsid w:val="7A8169DF"/>
    <w:rsid w:val="7A8C13E8"/>
    <w:rsid w:val="7ABE9777"/>
    <w:rsid w:val="7AC29D9F"/>
    <w:rsid w:val="7AD5D6AF"/>
    <w:rsid w:val="7ADCF0E9"/>
    <w:rsid w:val="7B0E90EA"/>
    <w:rsid w:val="7B16B218"/>
    <w:rsid w:val="7B196458"/>
    <w:rsid w:val="7B2BD1FB"/>
    <w:rsid w:val="7B4111A2"/>
    <w:rsid w:val="7B46DEA0"/>
    <w:rsid w:val="7B6E18EB"/>
    <w:rsid w:val="7B71CFD6"/>
    <w:rsid w:val="7B7AB14E"/>
    <w:rsid w:val="7BB3AB74"/>
    <w:rsid w:val="7C0613CE"/>
    <w:rsid w:val="7C101607"/>
    <w:rsid w:val="7C264DCE"/>
    <w:rsid w:val="7C40FEDA"/>
    <w:rsid w:val="7C515691"/>
    <w:rsid w:val="7C5A0840"/>
    <w:rsid w:val="7C8EEB58"/>
    <w:rsid w:val="7CA2B603"/>
    <w:rsid w:val="7CC73944"/>
    <w:rsid w:val="7CD2CA69"/>
    <w:rsid w:val="7CD8D5BE"/>
    <w:rsid w:val="7CDB4A4F"/>
    <w:rsid w:val="7CDDDA05"/>
    <w:rsid w:val="7CE0C7E7"/>
    <w:rsid w:val="7CEF90F5"/>
    <w:rsid w:val="7CF90E9A"/>
    <w:rsid w:val="7D058F5C"/>
    <w:rsid w:val="7D0E0E76"/>
    <w:rsid w:val="7D1F6044"/>
    <w:rsid w:val="7D27CF17"/>
    <w:rsid w:val="7D98677C"/>
    <w:rsid w:val="7DC1133C"/>
    <w:rsid w:val="7DC85B72"/>
    <w:rsid w:val="7DDA0901"/>
    <w:rsid w:val="7DDA5781"/>
    <w:rsid w:val="7DDE8C49"/>
    <w:rsid w:val="7DE805F0"/>
    <w:rsid w:val="7DEFCB37"/>
    <w:rsid w:val="7DFEC0F9"/>
    <w:rsid w:val="7E129872"/>
    <w:rsid w:val="7E173A57"/>
    <w:rsid w:val="7E39A52A"/>
    <w:rsid w:val="7E526AF0"/>
    <w:rsid w:val="7E76E521"/>
    <w:rsid w:val="7EA602A1"/>
    <w:rsid w:val="7EA9CF16"/>
    <w:rsid w:val="7EAD813D"/>
    <w:rsid w:val="7ECB6DC8"/>
    <w:rsid w:val="7EEE3F1A"/>
    <w:rsid w:val="7F16F2E7"/>
    <w:rsid w:val="7F514535"/>
    <w:rsid w:val="7F708CF5"/>
    <w:rsid w:val="7F722C3B"/>
    <w:rsid w:val="7F855912"/>
    <w:rsid w:val="7F88442F"/>
    <w:rsid w:val="7F98FFB9"/>
    <w:rsid w:val="7FEDA7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4BA8F9"/>
  <w15:chartTrackingRefBased/>
  <w15:docId w15:val="{95E20C0B-2FBA-4168-9B21-BC8BCB2B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001"/>
    <w:pPr>
      <w:jc w:val="both"/>
    </w:pPr>
    <w:rPr>
      <w:rFonts w:ascii="EC Square Sans Pro" w:hAnsi="EC Square Sans Pro"/>
      <w:color w:val="000000"/>
      <w:sz w:val="24"/>
      <w:szCs w:val="24"/>
      <w14:textFill>
        <w14:solidFill>
          <w14:srgbClr w14:val="000000">
            <w14:lumMod w14:val="75000"/>
          </w14:srgbClr>
        </w14:solidFill>
      </w14:textFill>
    </w:rPr>
  </w:style>
  <w:style w:type="paragraph" w:styleId="Heading1">
    <w:name w:val="heading 1"/>
    <w:basedOn w:val="Normal"/>
    <w:next w:val="Normal"/>
    <w:link w:val="Heading1Char"/>
    <w:uiPriority w:val="9"/>
    <w:qFormat/>
    <w:rsid w:val="00241898"/>
    <w:pPr>
      <w:keepNext/>
      <w:keepLines/>
      <w:spacing w:before="240" w:after="240"/>
      <w:outlineLvl w:val="0"/>
    </w:pPr>
    <w:rPr>
      <w:rFonts w:eastAsia="Times New Roman" w:cstheme="majorBidi"/>
      <w:b/>
      <w:caps/>
      <w:color w:val="2E74B5" w:themeColor="accent1" w:themeShade="BF"/>
      <w:sz w:val="36"/>
      <w:szCs w:val="32"/>
    </w:rPr>
  </w:style>
  <w:style w:type="paragraph" w:styleId="Heading2">
    <w:name w:val="heading 2"/>
    <w:basedOn w:val="Normal"/>
    <w:next w:val="Normal"/>
    <w:link w:val="Heading2Char"/>
    <w:uiPriority w:val="9"/>
    <w:unhideWhenUsed/>
    <w:qFormat/>
    <w:rsid w:val="00241898"/>
    <w:pPr>
      <w:keepNext/>
      <w:keepLines/>
      <w:numPr>
        <w:numId w:val="52"/>
      </w:numPr>
      <w:spacing w:before="40" w:after="240"/>
      <w:outlineLvl w:val="1"/>
    </w:pPr>
    <w:rPr>
      <w:rFonts w:eastAsia="Times New Roman" w:cstheme="majorBidi"/>
      <w:b/>
      <w:color w:val="2E74B5" w:themeColor="accent1" w:themeShade="BF"/>
      <w:sz w:val="28"/>
      <w:szCs w:val="28"/>
      <w14:textFill>
        <w14:solidFill>
          <w14:schemeClr w14:val="accent1">
            <w14:lumMod w14:val="75000"/>
            <w14:lumMod w14:val="75000"/>
          </w14:schemeClr>
        </w14:solidFill>
      </w14:textFill>
    </w:rPr>
  </w:style>
  <w:style w:type="paragraph" w:styleId="Heading3">
    <w:name w:val="heading 3"/>
    <w:basedOn w:val="Normal"/>
    <w:next w:val="Normal"/>
    <w:link w:val="Heading3Char"/>
    <w:uiPriority w:val="9"/>
    <w:unhideWhenUsed/>
    <w:qFormat/>
    <w:rsid w:val="00241898"/>
    <w:pPr>
      <w:keepNext/>
      <w:keepLines/>
      <w:spacing w:before="40" w:after="240"/>
      <w:outlineLvl w:val="2"/>
    </w:pPr>
    <w:rPr>
      <w:rFonts w:eastAsiaTheme="majorEastAsia" w:cstheme="majorBidi"/>
      <w:bCs/>
      <w:noProof/>
      <w:color w:val="2E74B5" w:themeColor="accent1" w:themeShade="BF"/>
      <w:sz w:val="28"/>
      <w:lang w:eastAsia="en-IE"/>
    </w:rPr>
  </w:style>
  <w:style w:type="paragraph" w:styleId="Heading4">
    <w:name w:val="heading 4"/>
    <w:basedOn w:val="Normal"/>
    <w:next w:val="Normal"/>
    <w:link w:val="Heading4Char"/>
    <w:uiPriority w:val="9"/>
    <w:unhideWhenUsed/>
    <w:qFormat/>
    <w:rsid w:val="00241898"/>
    <w:pPr>
      <w:keepNext/>
      <w:keepLines/>
      <w:spacing w:before="40" w:after="120"/>
      <w:ind w:firstLine="720"/>
      <w:outlineLvl w:val="3"/>
    </w:pPr>
    <w:rPr>
      <w:rFonts w:asciiTheme="majorHAnsi" w:eastAsiaTheme="majorEastAsia" w:hAnsiTheme="majorHAnsi" w:cstheme="majorBidi"/>
      <w:b/>
      <w:i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001"/>
    <w:rPr>
      <w:rFonts w:ascii="EC Square Sans Pro" w:eastAsia="Times New Roman" w:hAnsi="EC Square Sans Pro" w:cstheme="majorBidi"/>
      <w:b/>
      <w:caps/>
      <w:color w:val="2E74B5" w:themeColor="accent1" w:themeShade="BF"/>
      <w:sz w:val="36"/>
      <w:szCs w:val="32"/>
      <w:lang w:val="pt-PT"/>
    </w:rPr>
  </w:style>
  <w:style w:type="character" w:styleId="Hyperlink">
    <w:name w:val="Hyperlink"/>
    <w:basedOn w:val="DefaultParagraphFont"/>
    <w:uiPriority w:val="99"/>
    <w:unhideWhenUsed/>
    <w:rsid w:val="005D32FA"/>
    <w:rPr>
      <w:color w:val="0563C1" w:themeColor="hyperlink"/>
      <w:u w:val="single"/>
    </w:rPr>
  </w:style>
  <w:style w:type="character" w:customStyle="1" w:styleId="Heading2Char">
    <w:name w:val="Heading 2 Char"/>
    <w:basedOn w:val="DefaultParagraphFont"/>
    <w:link w:val="Heading2"/>
    <w:uiPriority w:val="9"/>
    <w:rsid w:val="00246E45"/>
    <w:rPr>
      <w:rFonts w:ascii="EC Square Sans Pro" w:eastAsia="Times New Roman" w:hAnsi="EC Square Sans Pro" w:cstheme="majorBidi"/>
      <w:b/>
      <w:color w:val="2E74B5" w:themeColor="accent1" w:themeShade="BF"/>
      <w:sz w:val="28"/>
      <w:szCs w:val="28"/>
      <w:lang w:val="pt-PT"/>
    </w:rPr>
  </w:style>
  <w:style w:type="character" w:styleId="FollowedHyperlink">
    <w:name w:val="FollowedHyperlink"/>
    <w:basedOn w:val="DefaultParagraphFont"/>
    <w:uiPriority w:val="99"/>
    <w:semiHidden/>
    <w:unhideWhenUsed/>
    <w:rsid w:val="00FA769E"/>
    <w:rPr>
      <w:color w:val="954F72" w:themeColor="followedHyperlink"/>
      <w:u w:val="single"/>
    </w:rPr>
  </w:style>
  <w:style w:type="character" w:styleId="CommentReference">
    <w:name w:val="annotation reference"/>
    <w:basedOn w:val="DefaultParagraphFont"/>
    <w:uiPriority w:val="99"/>
    <w:semiHidden/>
    <w:unhideWhenUsed/>
    <w:rsid w:val="00943FA9"/>
    <w:rPr>
      <w:sz w:val="16"/>
      <w:szCs w:val="16"/>
    </w:rPr>
  </w:style>
  <w:style w:type="paragraph" w:styleId="CommentText">
    <w:name w:val="annotation text"/>
    <w:basedOn w:val="Normal"/>
    <w:link w:val="CommentTextChar"/>
    <w:uiPriority w:val="99"/>
    <w:unhideWhenUsed/>
    <w:rsid w:val="00943FA9"/>
    <w:pPr>
      <w:spacing w:line="240" w:lineRule="auto"/>
    </w:pPr>
    <w:rPr>
      <w:sz w:val="20"/>
      <w:szCs w:val="20"/>
    </w:rPr>
  </w:style>
  <w:style w:type="character" w:customStyle="1" w:styleId="CommentTextChar">
    <w:name w:val="Comment Text Char"/>
    <w:basedOn w:val="DefaultParagraphFont"/>
    <w:link w:val="CommentText"/>
    <w:uiPriority w:val="99"/>
    <w:rsid w:val="00943FA9"/>
    <w:rPr>
      <w:sz w:val="20"/>
      <w:szCs w:val="20"/>
    </w:rPr>
  </w:style>
  <w:style w:type="paragraph" w:styleId="CommentSubject">
    <w:name w:val="annotation subject"/>
    <w:basedOn w:val="CommentText"/>
    <w:next w:val="CommentText"/>
    <w:link w:val="CommentSubjectChar"/>
    <w:uiPriority w:val="99"/>
    <w:semiHidden/>
    <w:unhideWhenUsed/>
    <w:rsid w:val="00943FA9"/>
    <w:rPr>
      <w:b/>
      <w:bCs/>
    </w:rPr>
  </w:style>
  <w:style w:type="character" w:customStyle="1" w:styleId="CommentSubjectChar">
    <w:name w:val="Comment Subject Char"/>
    <w:basedOn w:val="CommentTextChar"/>
    <w:link w:val="CommentSubject"/>
    <w:uiPriority w:val="99"/>
    <w:semiHidden/>
    <w:rsid w:val="00943FA9"/>
    <w:rPr>
      <w:b/>
      <w:bCs/>
      <w:sz w:val="20"/>
      <w:szCs w:val="20"/>
    </w:rPr>
  </w:style>
  <w:style w:type="paragraph" w:styleId="BalloonText">
    <w:name w:val="Balloon Text"/>
    <w:basedOn w:val="Normal"/>
    <w:link w:val="BalloonTextChar"/>
    <w:uiPriority w:val="99"/>
    <w:semiHidden/>
    <w:unhideWhenUsed/>
    <w:rsid w:val="00943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FA9"/>
    <w:rPr>
      <w:rFonts w:ascii="Segoe UI" w:hAnsi="Segoe UI" w:cs="Segoe UI"/>
      <w:sz w:val="18"/>
      <w:szCs w:val="18"/>
    </w:rPr>
  </w:style>
  <w:style w:type="paragraph" w:styleId="ListParagraph">
    <w:name w:val="List Paragraph"/>
    <w:aliases w:val="Normal bullet 2,Bullet list,1st level - Bullet List Paragraph,Lettre d'introduction,Paragrafo elenco,List Paragraph à moi,Paragraph,Bullet EY,List Paragraph11,Normal bullet 21,List Paragraph111,Bullet list1,Bullet point 1,lp,List1,Bullet"/>
    <w:basedOn w:val="Normal"/>
    <w:link w:val="ListParagraphChar"/>
    <w:uiPriority w:val="34"/>
    <w:qFormat/>
    <w:rsid w:val="00914388"/>
    <w:pPr>
      <w:ind w:left="720"/>
      <w:contextualSpacing/>
    </w:pPr>
  </w:style>
  <w:style w:type="character" w:customStyle="1" w:styleId="Heading3Char">
    <w:name w:val="Heading 3 Char"/>
    <w:basedOn w:val="DefaultParagraphFont"/>
    <w:link w:val="Heading3"/>
    <w:uiPriority w:val="9"/>
    <w:rsid w:val="00A94C6F"/>
    <w:rPr>
      <w:rFonts w:ascii="EC Square Sans Pro" w:eastAsiaTheme="majorEastAsia" w:hAnsi="EC Square Sans Pro" w:cstheme="majorBidi"/>
      <w:bCs/>
      <w:noProof/>
      <w:color w:val="2E74B5" w:themeColor="accent1" w:themeShade="BF"/>
      <w:sz w:val="28"/>
      <w:szCs w:val="24"/>
      <w:lang w:val="pt-PT" w:eastAsia="en-IE"/>
    </w:rPr>
  </w:style>
  <w:style w:type="paragraph" w:styleId="FootnoteText">
    <w:name w:val="footnote text"/>
    <w:basedOn w:val="Normal"/>
    <w:uiPriority w:val="99"/>
    <w:unhideWhenUsed/>
    <w:rsid w:val="00914388"/>
    <w:pPr>
      <w:spacing w:after="0" w:line="240" w:lineRule="auto"/>
    </w:pPr>
    <w:rPr>
      <w:sz w:val="20"/>
      <w:szCs w:val="20"/>
    </w:rPr>
  </w:style>
  <w:style w:type="character" w:customStyle="1" w:styleId="FootnoteTextChar">
    <w:name w:val="Footnote Text Char"/>
    <w:basedOn w:val="DefaultParagraphFont"/>
    <w:uiPriority w:val="99"/>
    <w:rsid w:val="00914388"/>
    <w:rPr>
      <w:sz w:val="20"/>
      <w:szCs w:val="20"/>
    </w:rPr>
  </w:style>
  <w:style w:type="character" w:styleId="FootnoteReference">
    <w:name w:val="footnote reference"/>
    <w:basedOn w:val="DefaultParagraphFont"/>
    <w:uiPriority w:val="99"/>
    <w:semiHidden/>
    <w:unhideWhenUsed/>
    <w:rsid w:val="00914388"/>
    <w:rPr>
      <w:vertAlign w:val="superscript"/>
    </w:rPr>
  </w:style>
  <w:style w:type="paragraph" w:styleId="TOCHeading">
    <w:name w:val="TOC Heading"/>
    <w:basedOn w:val="Heading1"/>
    <w:next w:val="Normal"/>
    <w:uiPriority w:val="39"/>
    <w:unhideWhenUsed/>
    <w:qFormat/>
    <w:rsid w:val="00241898"/>
    <w:pPr>
      <w:outlineLvl w:val="9"/>
    </w:pPr>
    <w:rPr>
      <w:color w:val="2E74B5" w:themeColor="accent1" w:themeShade="BF"/>
    </w:rPr>
  </w:style>
  <w:style w:type="paragraph" w:styleId="TOC1">
    <w:name w:val="toc 1"/>
    <w:basedOn w:val="Normal"/>
    <w:next w:val="Normal"/>
    <w:autoRedefine/>
    <w:uiPriority w:val="39"/>
    <w:unhideWhenUsed/>
    <w:rsid w:val="008F4AF8"/>
    <w:pPr>
      <w:tabs>
        <w:tab w:val="left" w:pos="660"/>
        <w:tab w:val="right" w:leader="dot" w:pos="9204"/>
      </w:tabs>
      <w:spacing w:after="100"/>
    </w:pPr>
  </w:style>
  <w:style w:type="paragraph" w:styleId="Header">
    <w:name w:val="header"/>
    <w:basedOn w:val="Normal"/>
    <w:link w:val="HeaderChar"/>
    <w:uiPriority w:val="99"/>
    <w:unhideWhenUsed/>
    <w:rsid w:val="00555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0CA"/>
  </w:style>
  <w:style w:type="paragraph" w:styleId="Footer">
    <w:name w:val="footer"/>
    <w:basedOn w:val="Normal"/>
    <w:link w:val="FooterChar"/>
    <w:uiPriority w:val="99"/>
    <w:unhideWhenUsed/>
    <w:rsid w:val="00555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0CA"/>
  </w:style>
  <w:style w:type="paragraph" w:styleId="TOC2">
    <w:name w:val="toc 2"/>
    <w:basedOn w:val="Normal"/>
    <w:next w:val="Normal"/>
    <w:autoRedefine/>
    <w:uiPriority w:val="39"/>
    <w:unhideWhenUsed/>
    <w:rsid w:val="005312B4"/>
    <w:pPr>
      <w:tabs>
        <w:tab w:val="left" w:pos="660"/>
        <w:tab w:val="right" w:leader="dot" w:pos="9204"/>
      </w:tabs>
      <w:spacing w:after="100"/>
      <w:ind w:left="220"/>
    </w:pPr>
  </w:style>
  <w:style w:type="paragraph" w:styleId="NoSpacing">
    <w:name w:val="No Spacing"/>
    <w:link w:val="NoSpacingChar"/>
    <w:uiPriority w:val="1"/>
    <w:qFormat/>
    <w:rsid w:val="00994AD5"/>
    <w:pPr>
      <w:spacing w:after="0" w:line="240" w:lineRule="auto"/>
    </w:pPr>
    <w:rPr>
      <w:rFonts w:eastAsiaTheme="minorEastAsia"/>
    </w:rPr>
  </w:style>
  <w:style w:type="character" w:customStyle="1" w:styleId="NoSpacingChar">
    <w:name w:val="No Spacing Char"/>
    <w:basedOn w:val="DefaultParagraphFont"/>
    <w:link w:val="NoSpacing"/>
    <w:uiPriority w:val="1"/>
    <w:rsid w:val="00994AD5"/>
    <w:rPr>
      <w:rFonts w:eastAsiaTheme="minorEastAsia"/>
      <w:lang w:val="pt-PT"/>
    </w:rPr>
  </w:style>
  <w:style w:type="paragraph" w:styleId="Revision">
    <w:name w:val="Revision"/>
    <w:hidden/>
    <w:uiPriority w:val="99"/>
    <w:semiHidden/>
    <w:rsid w:val="008F08FC"/>
    <w:pPr>
      <w:spacing w:after="0" w:line="240" w:lineRule="auto"/>
    </w:pPr>
  </w:style>
  <w:style w:type="character" w:styleId="Strong">
    <w:name w:val="Strong"/>
    <w:basedOn w:val="DefaultParagraphFont"/>
    <w:uiPriority w:val="22"/>
    <w:qFormat/>
    <w:rsid w:val="002D66F3"/>
    <w:rPr>
      <w:b/>
      <w:bCs/>
    </w:rPr>
  </w:style>
  <w:style w:type="paragraph" w:styleId="NormalWeb">
    <w:name w:val="Normal (Web)"/>
    <w:basedOn w:val="Normal"/>
    <w:uiPriority w:val="99"/>
    <w:unhideWhenUsed/>
    <w:rsid w:val="004E70A5"/>
    <w:pPr>
      <w:spacing w:before="100" w:beforeAutospacing="1" w:after="100" w:afterAutospacing="1" w:line="240" w:lineRule="auto"/>
    </w:pPr>
    <w:rPr>
      <w:rFonts w:ascii="Times New Roman" w:eastAsia="Times New Roman" w:hAnsi="Times New Roman" w:cs="Times New Roman"/>
      <w:lang w:eastAsia="en-IE"/>
    </w:rPr>
  </w:style>
  <w:style w:type="table" w:styleId="GridTable2-Accent1">
    <w:name w:val="Grid Table 2 Accent 1"/>
    <w:basedOn w:val="TableNormal"/>
    <w:uiPriority w:val="47"/>
    <w:rsid w:val="006879A8"/>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
    <w:name w:val="Grid Table 4 Accent 1"/>
    <w:basedOn w:val="TableNormal"/>
    <w:uiPriority w:val="49"/>
    <w:rsid w:val="006879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rsid w:val="006879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5">
    <w:name w:val="Grid Table 5 Dark Accent 5"/>
    <w:basedOn w:val="TableNormal"/>
    <w:uiPriority w:val="50"/>
    <w:rsid w:val="006879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4-Accent1">
    <w:name w:val="List Table 4 Accent 1"/>
    <w:basedOn w:val="TableNormal"/>
    <w:uiPriority w:val="49"/>
    <w:rsid w:val="006879A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23640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1">
    <w:name w:val="Grid Table 6 Colorful Accent 1"/>
    <w:basedOn w:val="TableNormal"/>
    <w:uiPriority w:val="51"/>
    <w:rsid w:val="00236407"/>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Accent1">
    <w:name w:val="Grid Table 7 Colorful Accent 1"/>
    <w:basedOn w:val="TableNormal"/>
    <w:uiPriority w:val="52"/>
    <w:rsid w:val="00236407"/>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1">
    <w:name w:val="Grid Table 3 Accent 1"/>
    <w:basedOn w:val="TableNormal"/>
    <w:uiPriority w:val="48"/>
    <w:rsid w:val="00CA1ED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5">
    <w:name w:val="Grid Table 7 Colorful Accent 5"/>
    <w:basedOn w:val="TableNormal"/>
    <w:uiPriority w:val="52"/>
    <w:rsid w:val="00CA1ED8"/>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2-Accent1">
    <w:name w:val="List Table 2 Accent 1"/>
    <w:basedOn w:val="TableNormal"/>
    <w:uiPriority w:val="47"/>
    <w:rsid w:val="00CA1ED8"/>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A4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A4036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A403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A4036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1">
    <w:name w:val="List Table 1 Light Accent 1"/>
    <w:basedOn w:val="TableNormal"/>
    <w:uiPriority w:val="46"/>
    <w:rsid w:val="00071BD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7Colorful-Accent1">
    <w:name w:val="List Table 7 Colorful Accent 1"/>
    <w:basedOn w:val="TableNormal"/>
    <w:uiPriority w:val="52"/>
    <w:rsid w:val="00071BD4"/>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071BD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rsid w:val="00071BD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wtoffscreen">
    <w:name w:val="wtoffscreen"/>
    <w:basedOn w:val="DefaultParagraphFont"/>
    <w:rsid w:val="00BD6576"/>
  </w:style>
  <w:style w:type="character" w:customStyle="1" w:styleId="UnresolvedMention1">
    <w:name w:val="Unresolved Mention1"/>
    <w:basedOn w:val="DefaultParagraphFont"/>
    <w:uiPriority w:val="99"/>
    <w:semiHidden/>
    <w:unhideWhenUsed/>
    <w:rsid w:val="002A5350"/>
    <w:rPr>
      <w:color w:val="605E5C"/>
      <w:shd w:val="clear" w:color="auto" w:fill="E1DFDD"/>
    </w:rPr>
  </w:style>
  <w:style w:type="paragraph" w:styleId="Title">
    <w:name w:val="Title"/>
    <w:basedOn w:val="Normal"/>
    <w:next w:val="Normal"/>
    <w:link w:val="TitleChar"/>
    <w:uiPriority w:val="10"/>
    <w:qFormat/>
    <w:rsid w:val="004C3C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C30"/>
    <w:rPr>
      <w:rFonts w:asciiTheme="majorHAnsi" w:eastAsiaTheme="majorEastAsia" w:hAnsiTheme="majorHAnsi" w:cstheme="majorBidi"/>
      <w:spacing w:val="-10"/>
      <w:kern w:val="28"/>
      <w:sz w:val="56"/>
      <w:szCs w:val="56"/>
    </w:rPr>
  </w:style>
  <w:style w:type="paragraph" w:styleId="TOC3">
    <w:name w:val="toc 3"/>
    <w:basedOn w:val="Normal"/>
    <w:next w:val="Normal"/>
    <w:autoRedefine/>
    <w:uiPriority w:val="39"/>
    <w:unhideWhenUsed/>
    <w:rsid w:val="00EC00FF"/>
    <w:pPr>
      <w:tabs>
        <w:tab w:val="right" w:leader="dot" w:pos="9204"/>
      </w:tabs>
      <w:spacing w:after="100"/>
      <w:ind w:left="440"/>
    </w:pPr>
  </w:style>
  <w:style w:type="character" w:customStyle="1" w:styleId="Heading4Char">
    <w:name w:val="Heading 4 Char"/>
    <w:basedOn w:val="DefaultParagraphFont"/>
    <w:link w:val="Heading4"/>
    <w:uiPriority w:val="9"/>
    <w:rsid w:val="00FF3058"/>
    <w:rPr>
      <w:rFonts w:asciiTheme="majorHAnsi" w:eastAsiaTheme="majorEastAsia" w:hAnsiTheme="majorHAnsi" w:cstheme="majorBidi"/>
      <w:b/>
      <w:iCs/>
      <w:color w:val="2E74B5" w:themeColor="accent1" w:themeShade="BF"/>
      <w:sz w:val="28"/>
      <w:szCs w:val="28"/>
      <w:lang w:val="pt-PT"/>
    </w:rPr>
  </w:style>
  <w:style w:type="paragraph" w:styleId="Caption">
    <w:name w:val="caption"/>
    <w:basedOn w:val="Normal"/>
    <w:next w:val="Normal"/>
    <w:uiPriority w:val="35"/>
    <w:unhideWhenUsed/>
    <w:qFormat/>
    <w:rsid w:val="00241898"/>
    <w:pPr>
      <w:spacing w:before="120" w:after="200" w:line="240" w:lineRule="auto"/>
      <w:jc w:val="center"/>
    </w:pPr>
    <w:rPr>
      <w:b/>
      <w:i/>
      <w:iCs/>
      <w:color w:val="2E74B5" w:themeColor="accent1" w:themeShade="BF"/>
      <w:sz w:val="20"/>
      <w:szCs w:val="18"/>
    </w:rPr>
  </w:style>
  <w:style w:type="character" w:customStyle="1" w:styleId="Mention1">
    <w:name w:val="Mention1"/>
    <w:basedOn w:val="DefaultParagraphFont"/>
    <w:uiPriority w:val="99"/>
    <w:unhideWhenUsed/>
    <w:rPr>
      <w:color w:val="2B579A"/>
      <w:shd w:val="clear" w:color="auto" w:fill="E6E6E6"/>
    </w:rPr>
  </w:style>
  <w:style w:type="paragraph" w:customStyle="1" w:styleId="ListNumberLevel4">
    <w:name w:val="List Number (Level 4)"/>
    <w:basedOn w:val="Normal"/>
    <w:uiPriority w:val="1"/>
    <w:semiHidden/>
    <w:unhideWhenUsed/>
    <w:rsid w:val="004107E0"/>
    <w:pPr>
      <w:tabs>
        <w:tab w:val="num" w:pos="2835"/>
      </w:tabs>
      <w:spacing w:after="0" w:line="240" w:lineRule="auto"/>
      <w:ind w:left="2835" w:hanging="709"/>
      <w:jc w:val="left"/>
    </w:pPr>
    <w:rPr>
      <w:rFonts w:ascii="Times New Roman" w:eastAsia="Times New Roman" w:hAnsi="Times New Roman" w:cs="Times New Roman"/>
      <w:szCs w:val="20"/>
    </w:rPr>
  </w:style>
  <w:style w:type="paragraph" w:customStyle="1" w:styleId="ListNumberLevel3">
    <w:name w:val="List Number (Level 3)"/>
    <w:basedOn w:val="Normal"/>
    <w:uiPriority w:val="1"/>
    <w:semiHidden/>
    <w:unhideWhenUsed/>
    <w:rsid w:val="004107E0"/>
    <w:pPr>
      <w:tabs>
        <w:tab w:val="num" w:pos="2126"/>
      </w:tabs>
      <w:spacing w:after="0" w:line="240" w:lineRule="auto"/>
      <w:ind w:left="2126" w:hanging="709"/>
      <w:jc w:val="left"/>
    </w:pPr>
    <w:rPr>
      <w:rFonts w:ascii="Times New Roman" w:eastAsia="Times New Roman" w:hAnsi="Times New Roman" w:cs="Times New Roman"/>
      <w:szCs w:val="20"/>
    </w:rPr>
  </w:style>
  <w:style w:type="paragraph" w:customStyle="1" w:styleId="ListNumberLevel2">
    <w:name w:val="List Number (Level 2)"/>
    <w:basedOn w:val="Normal"/>
    <w:uiPriority w:val="1"/>
    <w:rsid w:val="004107E0"/>
    <w:pPr>
      <w:tabs>
        <w:tab w:val="num" w:pos="1417"/>
      </w:tabs>
      <w:spacing w:after="0" w:line="240" w:lineRule="auto"/>
      <w:ind w:left="1417" w:hanging="708"/>
      <w:jc w:val="left"/>
    </w:pPr>
    <w:rPr>
      <w:rFonts w:ascii="Times New Roman" w:eastAsia="Times New Roman" w:hAnsi="Times New Roman" w:cs="Times New Roman"/>
      <w:szCs w:val="20"/>
    </w:rPr>
  </w:style>
  <w:style w:type="paragraph" w:styleId="ListNumber">
    <w:name w:val="List Number"/>
    <w:basedOn w:val="Normal"/>
    <w:uiPriority w:val="1"/>
    <w:rsid w:val="004107E0"/>
    <w:pPr>
      <w:tabs>
        <w:tab w:val="num" w:pos="709"/>
      </w:tabs>
      <w:spacing w:after="0" w:line="240" w:lineRule="auto"/>
      <w:ind w:left="709" w:hanging="709"/>
      <w:jc w:val="left"/>
    </w:pPr>
    <w:rPr>
      <w:rFonts w:ascii="Times New Roman" w:eastAsia="Times New Roman" w:hAnsi="Times New Roman" w:cs="Times New Roman"/>
      <w:szCs w:val="20"/>
    </w:rPr>
  </w:style>
  <w:style w:type="paragraph" w:customStyle="1" w:styleId="Typedudocument">
    <w:name w:val="Type du document"/>
    <w:basedOn w:val="Normal"/>
    <w:next w:val="Normal"/>
    <w:link w:val="TypedudocumentChar"/>
    <w:rsid w:val="00CA1528"/>
    <w:pPr>
      <w:spacing w:before="360" w:after="0" w:line="240" w:lineRule="auto"/>
      <w:jc w:val="center"/>
    </w:pPr>
    <w:rPr>
      <w:rFonts w:ascii="Times New Roman" w:hAnsi="Times New Roman" w:cs="Times New Roman"/>
      <w:b/>
      <w:szCs w:val="22"/>
    </w:rPr>
  </w:style>
  <w:style w:type="paragraph" w:customStyle="1" w:styleId="Titreobjet">
    <w:name w:val="Titre objet"/>
    <w:basedOn w:val="Normal"/>
    <w:next w:val="Normal"/>
    <w:rsid w:val="00CA1528"/>
    <w:pPr>
      <w:spacing w:before="360" w:after="360" w:line="240" w:lineRule="auto"/>
      <w:jc w:val="center"/>
    </w:pPr>
    <w:rPr>
      <w:rFonts w:ascii="Times New Roman" w:hAnsi="Times New Roman" w:cs="Times New Roman"/>
      <w:b/>
      <w:szCs w:val="22"/>
    </w:rPr>
  </w:style>
  <w:style w:type="character" w:customStyle="1" w:styleId="TypedudocumentChar">
    <w:name w:val="Type du document Char"/>
    <w:basedOn w:val="DefaultParagraphFont"/>
    <w:link w:val="Typedudocument"/>
    <w:rsid w:val="00CA1528"/>
    <w:rPr>
      <w:rFonts w:ascii="Times New Roman" w:hAnsi="Times New Roman" w:cs="Times New Roman"/>
      <w:b/>
      <w:color w:val="000000"/>
      <w:sz w:val="24"/>
      <w:lang w:val="pt-PT"/>
      <w14:textFill>
        <w14:solidFill>
          <w14:srgbClr w14:val="000000">
            <w14:lumMod w14:val="75000"/>
          </w14:srgbClr>
        </w14:solidFill>
      </w14:textFill>
    </w:rPr>
  </w:style>
  <w:style w:type="character" w:customStyle="1" w:styleId="Marker">
    <w:name w:val="Marker"/>
    <w:basedOn w:val="DefaultParagraphFont"/>
    <w:rsid w:val="00670CD2"/>
    <w:rPr>
      <w:color w:val="0000FF"/>
      <w:shd w:val="clear" w:color="auto" w:fill="auto"/>
    </w:rPr>
  </w:style>
  <w:style w:type="paragraph" w:customStyle="1" w:styleId="Pagedecouverture">
    <w:name w:val="Page de couverture"/>
    <w:basedOn w:val="Normal"/>
    <w:next w:val="Normal"/>
    <w:rsid w:val="00670CD2"/>
    <w:pPr>
      <w:spacing w:after="0" w:line="240" w:lineRule="auto"/>
    </w:pPr>
    <w:rPr>
      <w:rFonts w:ascii="Times New Roman" w:hAnsi="Times New Roman" w:cs="Times New Roman"/>
      <w:szCs w:val="22"/>
    </w:rPr>
  </w:style>
  <w:style w:type="paragraph" w:customStyle="1" w:styleId="FooterCoverPage">
    <w:name w:val="Footer Cover Page"/>
    <w:basedOn w:val="Normal"/>
    <w:link w:val="FooterCoverPageChar"/>
    <w:rsid w:val="00670CD2"/>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sid w:val="00670CD2"/>
    <w:rPr>
      <w:rFonts w:ascii="Times New Roman" w:hAnsi="Times New Roman" w:cs="Times New Roman"/>
      <w:color w:val="000000"/>
      <w:sz w:val="24"/>
      <w:szCs w:val="24"/>
      <w14:textFill>
        <w14:solidFill>
          <w14:srgbClr w14:val="000000">
            <w14:lumMod w14:val="75000"/>
          </w14:srgbClr>
        </w14:solidFill>
      </w14:textFill>
    </w:rPr>
  </w:style>
  <w:style w:type="paragraph" w:customStyle="1" w:styleId="FooterSensitivity">
    <w:name w:val="Footer Sensitivity"/>
    <w:basedOn w:val="Normal"/>
    <w:link w:val="FooterSensitivityChar"/>
    <w:rsid w:val="00670C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70CD2"/>
    <w:rPr>
      <w:rFonts w:ascii="Times New Roman" w:hAnsi="Times New Roman" w:cs="Times New Roman"/>
      <w:b/>
      <w:color w:val="000000"/>
      <w:sz w:val="32"/>
      <w:szCs w:val="24"/>
      <w14:textFill>
        <w14:solidFill>
          <w14:srgbClr w14:val="000000">
            <w14:lumMod w14:val="75000"/>
          </w14:srgbClr>
        </w14:solidFill>
      </w14:textFill>
    </w:rPr>
  </w:style>
  <w:style w:type="paragraph" w:customStyle="1" w:styleId="HeaderCoverPage">
    <w:name w:val="Header Cover Page"/>
    <w:basedOn w:val="Normal"/>
    <w:link w:val="HeaderCoverPageChar"/>
    <w:rsid w:val="00670CD2"/>
    <w:pPr>
      <w:tabs>
        <w:tab w:val="center" w:pos="4535"/>
        <w:tab w:val="right" w:pos="9071"/>
      </w:tabs>
      <w:spacing w:after="120" w:line="240" w:lineRule="auto"/>
    </w:pPr>
    <w:rPr>
      <w:rFonts w:ascii="Times New Roman" w:hAnsi="Times New Roman" w:cs="Times New Roman"/>
    </w:rPr>
  </w:style>
  <w:style w:type="character" w:customStyle="1" w:styleId="HeaderCoverPageChar">
    <w:name w:val="Header Cover Page Char"/>
    <w:basedOn w:val="DefaultParagraphFont"/>
    <w:link w:val="HeaderCoverPage"/>
    <w:rsid w:val="00670CD2"/>
    <w:rPr>
      <w:rFonts w:ascii="Times New Roman" w:hAnsi="Times New Roman" w:cs="Times New Roman"/>
      <w:color w:val="000000"/>
      <w:sz w:val="24"/>
      <w:szCs w:val="24"/>
      <w14:textFill>
        <w14:solidFill>
          <w14:srgbClr w14:val="000000">
            <w14:lumMod w14:val="75000"/>
          </w14:srgbClr>
        </w14:solidFill>
      </w14:textFill>
    </w:rPr>
  </w:style>
  <w:style w:type="paragraph" w:customStyle="1" w:styleId="HeaderSensitivity">
    <w:name w:val="Header Sensitivity"/>
    <w:basedOn w:val="Normal"/>
    <w:link w:val="HeaderSensitivityChar"/>
    <w:rsid w:val="00670C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70CD2"/>
    <w:rPr>
      <w:rFonts w:ascii="Times New Roman" w:hAnsi="Times New Roman" w:cs="Times New Roman"/>
      <w:b/>
      <w:color w:val="000000"/>
      <w:sz w:val="32"/>
      <w:szCs w:val="24"/>
      <w14:textFill>
        <w14:solidFill>
          <w14:srgbClr w14:val="000000">
            <w14:lumMod w14:val="75000"/>
          </w14:srgbClr>
        </w14:solidFill>
      </w14:textFill>
    </w:rPr>
  </w:style>
  <w:style w:type="paragraph" w:customStyle="1" w:styleId="HeaderSensitivityRight">
    <w:name w:val="Header Sensitivity Right"/>
    <w:basedOn w:val="Normal"/>
    <w:link w:val="HeaderSensitivityRightChar"/>
    <w:rsid w:val="00670C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70CD2"/>
    <w:rPr>
      <w:rFonts w:ascii="Times New Roman" w:hAnsi="Times New Roman" w:cs="Times New Roman"/>
      <w:color w:val="000000"/>
      <w:sz w:val="28"/>
      <w:szCs w:val="24"/>
      <w14:textFill>
        <w14:solidFill>
          <w14:srgbClr w14:val="000000">
            <w14:lumMod w14:val="75000"/>
          </w14:srgbClr>
        </w14:solidFill>
      </w14:textFill>
    </w:rPr>
  </w:style>
  <w:style w:type="character" w:customStyle="1" w:styleId="normaltextrun">
    <w:name w:val="normaltextrun"/>
    <w:basedOn w:val="DefaultParagraphFont"/>
    <w:rsid w:val="00711D04"/>
  </w:style>
  <w:style w:type="paragraph" w:customStyle="1" w:styleId="paragraph">
    <w:name w:val="paragraph"/>
    <w:basedOn w:val="Normal"/>
    <w:rsid w:val="00E82967"/>
    <w:pPr>
      <w:spacing w:before="100" w:beforeAutospacing="1" w:after="100" w:afterAutospacing="1" w:line="240" w:lineRule="auto"/>
      <w:jc w:val="left"/>
    </w:pPr>
    <w:rPr>
      <w:rFonts w:ascii="Times New Roman" w:eastAsia="Times New Roman" w:hAnsi="Times New Roman" w:cs="Times New Roman"/>
      <w:lang w:eastAsia="en-IE"/>
    </w:rPr>
  </w:style>
  <w:style w:type="character" w:customStyle="1" w:styleId="ListParagraphChar">
    <w:name w:val="List Paragraph Char"/>
    <w:aliases w:val="Normal bullet 2 Char,Bullet list Char,1st level - Bullet List Paragraph Char,Lettre d'introduction Char,Paragrafo elenco Char,List Paragraph à moi Char,Paragraph Char,Bullet EY Char,List Paragraph11 Char,Normal bullet 21 Char,lp Char"/>
    <w:basedOn w:val="DefaultParagraphFont"/>
    <w:link w:val="ListParagraph"/>
    <w:uiPriority w:val="34"/>
    <w:qFormat/>
    <w:rsid w:val="00E82967"/>
    <w:rPr>
      <w:rFonts w:ascii="EC Square Sans Pro" w:hAnsi="EC Square Sans Pro"/>
      <w:color w:val="000000"/>
      <w:sz w:val="24"/>
      <w:szCs w:val="24"/>
      <w:lang w:val="pt-PT"/>
      <w14:textFill>
        <w14:solidFill>
          <w14:srgbClr w14:val="000000">
            <w14:lumMod w14:val="75000"/>
          </w14:srgbClr>
        </w14:solidFill>
      </w14:textFill>
    </w:rPr>
  </w:style>
  <w:style w:type="character" w:customStyle="1" w:styleId="eop">
    <w:name w:val="eop"/>
    <w:basedOn w:val="DefaultParagraphFont"/>
    <w:rsid w:val="00EC65C1"/>
  </w:style>
  <w:style w:type="character" w:customStyle="1" w:styleId="UnresolvedMention">
    <w:name w:val="Unresolved Mention"/>
    <w:basedOn w:val="DefaultParagraphFont"/>
    <w:uiPriority w:val="99"/>
    <w:semiHidden/>
    <w:unhideWhenUsed/>
    <w:rsid w:val="00A0714C"/>
    <w:rPr>
      <w:color w:val="605E5C"/>
      <w:shd w:val="clear" w:color="auto" w:fill="E1DFDD"/>
    </w:rPr>
  </w:style>
  <w:style w:type="character" w:customStyle="1" w:styleId="cf01">
    <w:name w:val="cf01"/>
    <w:basedOn w:val="DefaultParagraphFont"/>
    <w:rsid w:val="00A96F1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426">
      <w:bodyDiv w:val="1"/>
      <w:marLeft w:val="0"/>
      <w:marRight w:val="0"/>
      <w:marTop w:val="0"/>
      <w:marBottom w:val="0"/>
      <w:divBdr>
        <w:top w:val="none" w:sz="0" w:space="0" w:color="auto"/>
        <w:left w:val="none" w:sz="0" w:space="0" w:color="auto"/>
        <w:bottom w:val="none" w:sz="0" w:space="0" w:color="auto"/>
        <w:right w:val="none" w:sz="0" w:space="0" w:color="auto"/>
      </w:divBdr>
    </w:div>
    <w:div w:id="42798173">
      <w:bodyDiv w:val="1"/>
      <w:marLeft w:val="0"/>
      <w:marRight w:val="0"/>
      <w:marTop w:val="0"/>
      <w:marBottom w:val="0"/>
      <w:divBdr>
        <w:top w:val="none" w:sz="0" w:space="0" w:color="auto"/>
        <w:left w:val="none" w:sz="0" w:space="0" w:color="auto"/>
        <w:bottom w:val="none" w:sz="0" w:space="0" w:color="auto"/>
        <w:right w:val="none" w:sz="0" w:space="0" w:color="auto"/>
      </w:divBdr>
    </w:div>
    <w:div w:id="68507437">
      <w:bodyDiv w:val="1"/>
      <w:marLeft w:val="0"/>
      <w:marRight w:val="0"/>
      <w:marTop w:val="0"/>
      <w:marBottom w:val="0"/>
      <w:divBdr>
        <w:top w:val="none" w:sz="0" w:space="0" w:color="auto"/>
        <w:left w:val="none" w:sz="0" w:space="0" w:color="auto"/>
        <w:bottom w:val="none" w:sz="0" w:space="0" w:color="auto"/>
        <w:right w:val="none" w:sz="0" w:space="0" w:color="auto"/>
      </w:divBdr>
    </w:div>
    <w:div w:id="68550892">
      <w:bodyDiv w:val="1"/>
      <w:marLeft w:val="0"/>
      <w:marRight w:val="0"/>
      <w:marTop w:val="0"/>
      <w:marBottom w:val="0"/>
      <w:divBdr>
        <w:top w:val="none" w:sz="0" w:space="0" w:color="auto"/>
        <w:left w:val="none" w:sz="0" w:space="0" w:color="auto"/>
        <w:bottom w:val="none" w:sz="0" w:space="0" w:color="auto"/>
        <w:right w:val="none" w:sz="0" w:space="0" w:color="auto"/>
      </w:divBdr>
    </w:div>
    <w:div w:id="72431843">
      <w:bodyDiv w:val="1"/>
      <w:marLeft w:val="0"/>
      <w:marRight w:val="0"/>
      <w:marTop w:val="0"/>
      <w:marBottom w:val="0"/>
      <w:divBdr>
        <w:top w:val="none" w:sz="0" w:space="0" w:color="auto"/>
        <w:left w:val="none" w:sz="0" w:space="0" w:color="auto"/>
        <w:bottom w:val="none" w:sz="0" w:space="0" w:color="auto"/>
        <w:right w:val="none" w:sz="0" w:space="0" w:color="auto"/>
      </w:divBdr>
      <w:divsChild>
        <w:div w:id="174197047">
          <w:marLeft w:val="446"/>
          <w:marRight w:val="0"/>
          <w:marTop w:val="0"/>
          <w:marBottom w:val="0"/>
          <w:divBdr>
            <w:top w:val="none" w:sz="0" w:space="0" w:color="auto"/>
            <w:left w:val="none" w:sz="0" w:space="0" w:color="auto"/>
            <w:bottom w:val="none" w:sz="0" w:space="0" w:color="auto"/>
            <w:right w:val="none" w:sz="0" w:space="0" w:color="auto"/>
          </w:divBdr>
        </w:div>
      </w:divsChild>
    </w:div>
    <w:div w:id="75782630">
      <w:bodyDiv w:val="1"/>
      <w:marLeft w:val="0"/>
      <w:marRight w:val="0"/>
      <w:marTop w:val="0"/>
      <w:marBottom w:val="0"/>
      <w:divBdr>
        <w:top w:val="none" w:sz="0" w:space="0" w:color="auto"/>
        <w:left w:val="none" w:sz="0" w:space="0" w:color="auto"/>
        <w:bottom w:val="none" w:sz="0" w:space="0" w:color="auto"/>
        <w:right w:val="none" w:sz="0" w:space="0" w:color="auto"/>
      </w:divBdr>
    </w:div>
    <w:div w:id="93748375">
      <w:bodyDiv w:val="1"/>
      <w:marLeft w:val="0"/>
      <w:marRight w:val="0"/>
      <w:marTop w:val="0"/>
      <w:marBottom w:val="0"/>
      <w:divBdr>
        <w:top w:val="none" w:sz="0" w:space="0" w:color="auto"/>
        <w:left w:val="none" w:sz="0" w:space="0" w:color="auto"/>
        <w:bottom w:val="none" w:sz="0" w:space="0" w:color="auto"/>
        <w:right w:val="none" w:sz="0" w:space="0" w:color="auto"/>
      </w:divBdr>
    </w:div>
    <w:div w:id="120073683">
      <w:bodyDiv w:val="1"/>
      <w:marLeft w:val="0"/>
      <w:marRight w:val="0"/>
      <w:marTop w:val="0"/>
      <w:marBottom w:val="0"/>
      <w:divBdr>
        <w:top w:val="none" w:sz="0" w:space="0" w:color="auto"/>
        <w:left w:val="none" w:sz="0" w:space="0" w:color="auto"/>
        <w:bottom w:val="none" w:sz="0" w:space="0" w:color="auto"/>
        <w:right w:val="none" w:sz="0" w:space="0" w:color="auto"/>
      </w:divBdr>
    </w:div>
    <w:div w:id="142164445">
      <w:bodyDiv w:val="1"/>
      <w:marLeft w:val="0"/>
      <w:marRight w:val="0"/>
      <w:marTop w:val="0"/>
      <w:marBottom w:val="0"/>
      <w:divBdr>
        <w:top w:val="none" w:sz="0" w:space="0" w:color="auto"/>
        <w:left w:val="none" w:sz="0" w:space="0" w:color="auto"/>
        <w:bottom w:val="none" w:sz="0" w:space="0" w:color="auto"/>
        <w:right w:val="none" w:sz="0" w:space="0" w:color="auto"/>
      </w:divBdr>
    </w:div>
    <w:div w:id="204679796">
      <w:bodyDiv w:val="1"/>
      <w:marLeft w:val="0"/>
      <w:marRight w:val="0"/>
      <w:marTop w:val="0"/>
      <w:marBottom w:val="0"/>
      <w:divBdr>
        <w:top w:val="none" w:sz="0" w:space="0" w:color="auto"/>
        <w:left w:val="none" w:sz="0" w:space="0" w:color="auto"/>
        <w:bottom w:val="none" w:sz="0" w:space="0" w:color="auto"/>
        <w:right w:val="none" w:sz="0" w:space="0" w:color="auto"/>
      </w:divBdr>
    </w:div>
    <w:div w:id="208805595">
      <w:bodyDiv w:val="1"/>
      <w:marLeft w:val="0"/>
      <w:marRight w:val="0"/>
      <w:marTop w:val="0"/>
      <w:marBottom w:val="0"/>
      <w:divBdr>
        <w:top w:val="none" w:sz="0" w:space="0" w:color="auto"/>
        <w:left w:val="none" w:sz="0" w:space="0" w:color="auto"/>
        <w:bottom w:val="none" w:sz="0" w:space="0" w:color="auto"/>
        <w:right w:val="none" w:sz="0" w:space="0" w:color="auto"/>
      </w:divBdr>
    </w:div>
    <w:div w:id="262805443">
      <w:bodyDiv w:val="1"/>
      <w:marLeft w:val="0"/>
      <w:marRight w:val="0"/>
      <w:marTop w:val="0"/>
      <w:marBottom w:val="0"/>
      <w:divBdr>
        <w:top w:val="none" w:sz="0" w:space="0" w:color="auto"/>
        <w:left w:val="none" w:sz="0" w:space="0" w:color="auto"/>
        <w:bottom w:val="none" w:sz="0" w:space="0" w:color="auto"/>
        <w:right w:val="none" w:sz="0" w:space="0" w:color="auto"/>
      </w:divBdr>
    </w:div>
    <w:div w:id="304432243">
      <w:bodyDiv w:val="1"/>
      <w:marLeft w:val="0"/>
      <w:marRight w:val="0"/>
      <w:marTop w:val="0"/>
      <w:marBottom w:val="0"/>
      <w:divBdr>
        <w:top w:val="none" w:sz="0" w:space="0" w:color="auto"/>
        <w:left w:val="none" w:sz="0" w:space="0" w:color="auto"/>
        <w:bottom w:val="none" w:sz="0" w:space="0" w:color="auto"/>
        <w:right w:val="none" w:sz="0" w:space="0" w:color="auto"/>
      </w:divBdr>
      <w:divsChild>
        <w:div w:id="188105863">
          <w:marLeft w:val="0"/>
          <w:marRight w:val="0"/>
          <w:marTop w:val="0"/>
          <w:marBottom w:val="0"/>
          <w:divBdr>
            <w:top w:val="none" w:sz="0" w:space="0" w:color="auto"/>
            <w:left w:val="none" w:sz="0" w:space="0" w:color="auto"/>
            <w:bottom w:val="none" w:sz="0" w:space="0" w:color="auto"/>
            <w:right w:val="none" w:sz="0" w:space="0" w:color="auto"/>
          </w:divBdr>
        </w:div>
        <w:div w:id="1072504692">
          <w:marLeft w:val="0"/>
          <w:marRight w:val="0"/>
          <w:marTop w:val="0"/>
          <w:marBottom w:val="0"/>
          <w:divBdr>
            <w:top w:val="none" w:sz="0" w:space="0" w:color="auto"/>
            <w:left w:val="none" w:sz="0" w:space="0" w:color="auto"/>
            <w:bottom w:val="none" w:sz="0" w:space="0" w:color="auto"/>
            <w:right w:val="none" w:sz="0" w:space="0" w:color="auto"/>
          </w:divBdr>
        </w:div>
        <w:div w:id="1162041017">
          <w:marLeft w:val="0"/>
          <w:marRight w:val="0"/>
          <w:marTop w:val="0"/>
          <w:marBottom w:val="0"/>
          <w:divBdr>
            <w:top w:val="none" w:sz="0" w:space="0" w:color="auto"/>
            <w:left w:val="none" w:sz="0" w:space="0" w:color="auto"/>
            <w:bottom w:val="none" w:sz="0" w:space="0" w:color="auto"/>
            <w:right w:val="none" w:sz="0" w:space="0" w:color="auto"/>
          </w:divBdr>
        </w:div>
      </w:divsChild>
    </w:div>
    <w:div w:id="402534913">
      <w:bodyDiv w:val="1"/>
      <w:marLeft w:val="0"/>
      <w:marRight w:val="0"/>
      <w:marTop w:val="0"/>
      <w:marBottom w:val="0"/>
      <w:divBdr>
        <w:top w:val="none" w:sz="0" w:space="0" w:color="auto"/>
        <w:left w:val="none" w:sz="0" w:space="0" w:color="auto"/>
        <w:bottom w:val="none" w:sz="0" w:space="0" w:color="auto"/>
        <w:right w:val="none" w:sz="0" w:space="0" w:color="auto"/>
      </w:divBdr>
    </w:div>
    <w:div w:id="471675371">
      <w:bodyDiv w:val="1"/>
      <w:marLeft w:val="0"/>
      <w:marRight w:val="0"/>
      <w:marTop w:val="0"/>
      <w:marBottom w:val="0"/>
      <w:divBdr>
        <w:top w:val="none" w:sz="0" w:space="0" w:color="auto"/>
        <w:left w:val="none" w:sz="0" w:space="0" w:color="auto"/>
        <w:bottom w:val="none" w:sz="0" w:space="0" w:color="auto"/>
        <w:right w:val="none" w:sz="0" w:space="0" w:color="auto"/>
      </w:divBdr>
    </w:div>
    <w:div w:id="472019178">
      <w:bodyDiv w:val="1"/>
      <w:marLeft w:val="0"/>
      <w:marRight w:val="0"/>
      <w:marTop w:val="0"/>
      <w:marBottom w:val="0"/>
      <w:divBdr>
        <w:top w:val="none" w:sz="0" w:space="0" w:color="auto"/>
        <w:left w:val="none" w:sz="0" w:space="0" w:color="auto"/>
        <w:bottom w:val="none" w:sz="0" w:space="0" w:color="auto"/>
        <w:right w:val="none" w:sz="0" w:space="0" w:color="auto"/>
      </w:divBdr>
    </w:div>
    <w:div w:id="473721739">
      <w:bodyDiv w:val="1"/>
      <w:marLeft w:val="0"/>
      <w:marRight w:val="0"/>
      <w:marTop w:val="0"/>
      <w:marBottom w:val="0"/>
      <w:divBdr>
        <w:top w:val="none" w:sz="0" w:space="0" w:color="auto"/>
        <w:left w:val="none" w:sz="0" w:space="0" w:color="auto"/>
        <w:bottom w:val="none" w:sz="0" w:space="0" w:color="auto"/>
        <w:right w:val="none" w:sz="0" w:space="0" w:color="auto"/>
      </w:divBdr>
      <w:divsChild>
        <w:div w:id="976449594">
          <w:marLeft w:val="0"/>
          <w:marRight w:val="0"/>
          <w:marTop w:val="0"/>
          <w:marBottom w:val="0"/>
          <w:divBdr>
            <w:top w:val="none" w:sz="0" w:space="0" w:color="auto"/>
            <w:left w:val="none" w:sz="0" w:space="0" w:color="auto"/>
            <w:bottom w:val="none" w:sz="0" w:space="0" w:color="auto"/>
            <w:right w:val="none" w:sz="0" w:space="0" w:color="auto"/>
          </w:divBdr>
          <w:divsChild>
            <w:div w:id="1058438196">
              <w:marLeft w:val="0"/>
              <w:marRight w:val="0"/>
              <w:marTop w:val="0"/>
              <w:marBottom w:val="0"/>
              <w:divBdr>
                <w:top w:val="none" w:sz="0" w:space="0" w:color="auto"/>
                <w:left w:val="none" w:sz="0" w:space="0" w:color="auto"/>
                <w:bottom w:val="none" w:sz="0" w:space="0" w:color="auto"/>
                <w:right w:val="none" w:sz="0" w:space="0" w:color="auto"/>
              </w:divBdr>
              <w:divsChild>
                <w:div w:id="633213401">
                  <w:marLeft w:val="0"/>
                  <w:marRight w:val="0"/>
                  <w:marTop w:val="0"/>
                  <w:marBottom w:val="0"/>
                  <w:divBdr>
                    <w:top w:val="none" w:sz="0" w:space="0" w:color="auto"/>
                    <w:left w:val="none" w:sz="0" w:space="0" w:color="auto"/>
                    <w:bottom w:val="none" w:sz="0" w:space="0" w:color="auto"/>
                    <w:right w:val="none" w:sz="0" w:space="0" w:color="auto"/>
                  </w:divBdr>
                </w:div>
                <w:div w:id="1369992141">
                  <w:marLeft w:val="0"/>
                  <w:marRight w:val="0"/>
                  <w:marTop w:val="0"/>
                  <w:marBottom w:val="0"/>
                  <w:divBdr>
                    <w:top w:val="none" w:sz="0" w:space="0" w:color="auto"/>
                    <w:left w:val="none" w:sz="0" w:space="0" w:color="auto"/>
                    <w:bottom w:val="none" w:sz="0" w:space="0" w:color="auto"/>
                    <w:right w:val="none" w:sz="0" w:space="0" w:color="auto"/>
                  </w:divBdr>
                </w:div>
                <w:div w:id="1446656382">
                  <w:marLeft w:val="0"/>
                  <w:marRight w:val="0"/>
                  <w:marTop w:val="0"/>
                  <w:marBottom w:val="0"/>
                  <w:divBdr>
                    <w:top w:val="none" w:sz="0" w:space="0" w:color="auto"/>
                    <w:left w:val="none" w:sz="0" w:space="0" w:color="auto"/>
                    <w:bottom w:val="none" w:sz="0" w:space="0" w:color="auto"/>
                    <w:right w:val="none" w:sz="0" w:space="0" w:color="auto"/>
                  </w:divBdr>
                </w:div>
                <w:div w:id="1485465867">
                  <w:marLeft w:val="0"/>
                  <w:marRight w:val="0"/>
                  <w:marTop w:val="0"/>
                  <w:marBottom w:val="0"/>
                  <w:divBdr>
                    <w:top w:val="none" w:sz="0" w:space="0" w:color="auto"/>
                    <w:left w:val="none" w:sz="0" w:space="0" w:color="auto"/>
                    <w:bottom w:val="none" w:sz="0" w:space="0" w:color="auto"/>
                    <w:right w:val="none" w:sz="0" w:space="0" w:color="auto"/>
                  </w:divBdr>
                </w:div>
                <w:div w:id="1692609107">
                  <w:marLeft w:val="0"/>
                  <w:marRight w:val="0"/>
                  <w:marTop w:val="0"/>
                  <w:marBottom w:val="0"/>
                  <w:divBdr>
                    <w:top w:val="none" w:sz="0" w:space="0" w:color="auto"/>
                    <w:left w:val="none" w:sz="0" w:space="0" w:color="auto"/>
                    <w:bottom w:val="none" w:sz="0" w:space="0" w:color="auto"/>
                    <w:right w:val="none" w:sz="0" w:space="0" w:color="auto"/>
                  </w:divBdr>
                </w:div>
                <w:div w:id="1911236083">
                  <w:marLeft w:val="0"/>
                  <w:marRight w:val="0"/>
                  <w:marTop w:val="0"/>
                  <w:marBottom w:val="0"/>
                  <w:divBdr>
                    <w:top w:val="none" w:sz="0" w:space="0" w:color="auto"/>
                    <w:left w:val="none" w:sz="0" w:space="0" w:color="auto"/>
                    <w:bottom w:val="none" w:sz="0" w:space="0" w:color="auto"/>
                    <w:right w:val="none" w:sz="0" w:space="0" w:color="auto"/>
                  </w:divBdr>
                </w:div>
                <w:div w:id="1932279692">
                  <w:marLeft w:val="0"/>
                  <w:marRight w:val="0"/>
                  <w:marTop w:val="0"/>
                  <w:marBottom w:val="0"/>
                  <w:divBdr>
                    <w:top w:val="none" w:sz="0" w:space="0" w:color="auto"/>
                    <w:left w:val="none" w:sz="0" w:space="0" w:color="auto"/>
                    <w:bottom w:val="none" w:sz="0" w:space="0" w:color="auto"/>
                    <w:right w:val="none" w:sz="0" w:space="0" w:color="auto"/>
                  </w:divBdr>
                </w:div>
              </w:divsChild>
            </w:div>
            <w:div w:id="1795517416">
              <w:marLeft w:val="0"/>
              <w:marRight w:val="0"/>
              <w:marTop w:val="0"/>
              <w:marBottom w:val="0"/>
              <w:divBdr>
                <w:top w:val="none" w:sz="0" w:space="0" w:color="auto"/>
                <w:left w:val="none" w:sz="0" w:space="0" w:color="auto"/>
                <w:bottom w:val="none" w:sz="0" w:space="0" w:color="auto"/>
                <w:right w:val="none" w:sz="0" w:space="0" w:color="auto"/>
              </w:divBdr>
              <w:divsChild>
                <w:div w:id="1147891180">
                  <w:marLeft w:val="0"/>
                  <w:marRight w:val="0"/>
                  <w:marTop w:val="0"/>
                  <w:marBottom w:val="0"/>
                  <w:divBdr>
                    <w:top w:val="none" w:sz="0" w:space="0" w:color="auto"/>
                    <w:left w:val="none" w:sz="0" w:space="0" w:color="auto"/>
                    <w:bottom w:val="none" w:sz="0" w:space="0" w:color="auto"/>
                    <w:right w:val="none" w:sz="0" w:space="0" w:color="auto"/>
                  </w:divBdr>
                </w:div>
                <w:div w:id="1215965129">
                  <w:marLeft w:val="0"/>
                  <w:marRight w:val="0"/>
                  <w:marTop w:val="0"/>
                  <w:marBottom w:val="0"/>
                  <w:divBdr>
                    <w:top w:val="none" w:sz="0" w:space="0" w:color="auto"/>
                    <w:left w:val="none" w:sz="0" w:space="0" w:color="auto"/>
                    <w:bottom w:val="none" w:sz="0" w:space="0" w:color="auto"/>
                    <w:right w:val="none" w:sz="0" w:space="0" w:color="auto"/>
                  </w:divBdr>
                </w:div>
                <w:div w:id="1355381145">
                  <w:marLeft w:val="0"/>
                  <w:marRight w:val="0"/>
                  <w:marTop w:val="0"/>
                  <w:marBottom w:val="0"/>
                  <w:divBdr>
                    <w:top w:val="none" w:sz="0" w:space="0" w:color="auto"/>
                    <w:left w:val="none" w:sz="0" w:space="0" w:color="auto"/>
                    <w:bottom w:val="none" w:sz="0" w:space="0" w:color="auto"/>
                    <w:right w:val="none" w:sz="0" w:space="0" w:color="auto"/>
                  </w:divBdr>
                </w:div>
                <w:div w:id="1393965523">
                  <w:marLeft w:val="0"/>
                  <w:marRight w:val="0"/>
                  <w:marTop w:val="0"/>
                  <w:marBottom w:val="0"/>
                  <w:divBdr>
                    <w:top w:val="none" w:sz="0" w:space="0" w:color="auto"/>
                    <w:left w:val="none" w:sz="0" w:space="0" w:color="auto"/>
                    <w:bottom w:val="none" w:sz="0" w:space="0" w:color="auto"/>
                    <w:right w:val="none" w:sz="0" w:space="0" w:color="auto"/>
                  </w:divBdr>
                </w:div>
                <w:div w:id="18145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370056">
      <w:bodyDiv w:val="1"/>
      <w:marLeft w:val="0"/>
      <w:marRight w:val="0"/>
      <w:marTop w:val="0"/>
      <w:marBottom w:val="0"/>
      <w:divBdr>
        <w:top w:val="none" w:sz="0" w:space="0" w:color="auto"/>
        <w:left w:val="none" w:sz="0" w:space="0" w:color="auto"/>
        <w:bottom w:val="none" w:sz="0" w:space="0" w:color="auto"/>
        <w:right w:val="none" w:sz="0" w:space="0" w:color="auto"/>
      </w:divBdr>
    </w:div>
    <w:div w:id="475732019">
      <w:bodyDiv w:val="1"/>
      <w:marLeft w:val="0"/>
      <w:marRight w:val="0"/>
      <w:marTop w:val="0"/>
      <w:marBottom w:val="0"/>
      <w:divBdr>
        <w:top w:val="none" w:sz="0" w:space="0" w:color="auto"/>
        <w:left w:val="none" w:sz="0" w:space="0" w:color="auto"/>
        <w:bottom w:val="none" w:sz="0" w:space="0" w:color="auto"/>
        <w:right w:val="none" w:sz="0" w:space="0" w:color="auto"/>
      </w:divBdr>
    </w:div>
    <w:div w:id="551161202">
      <w:bodyDiv w:val="1"/>
      <w:marLeft w:val="0"/>
      <w:marRight w:val="0"/>
      <w:marTop w:val="0"/>
      <w:marBottom w:val="0"/>
      <w:divBdr>
        <w:top w:val="none" w:sz="0" w:space="0" w:color="auto"/>
        <w:left w:val="none" w:sz="0" w:space="0" w:color="auto"/>
        <w:bottom w:val="none" w:sz="0" w:space="0" w:color="auto"/>
        <w:right w:val="none" w:sz="0" w:space="0" w:color="auto"/>
      </w:divBdr>
    </w:div>
    <w:div w:id="583689110">
      <w:bodyDiv w:val="1"/>
      <w:marLeft w:val="0"/>
      <w:marRight w:val="0"/>
      <w:marTop w:val="0"/>
      <w:marBottom w:val="0"/>
      <w:divBdr>
        <w:top w:val="none" w:sz="0" w:space="0" w:color="auto"/>
        <w:left w:val="none" w:sz="0" w:space="0" w:color="auto"/>
        <w:bottom w:val="none" w:sz="0" w:space="0" w:color="auto"/>
        <w:right w:val="none" w:sz="0" w:space="0" w:color="auto"/>
      </w:divBdr>
    </w:div>
    <w:div w:id="594364876">
      <w:bodyDiv w:val="1"/>
      <w:marLeft w:val="0"/>
      <w:marRight w:val="0"/>
      <w:marTop w:val="0"/>
      <w:marBottom w:val="0"/>
      <w:divBdr>
        <w:top w:val="none" w:sz="0" w:space="0" w:color="auto"/>
        <w:left w:val="none" w:sz="0" w:space="0" w:color="auto"/>
        <w:bottom w:val="none" w:sz="0" w:space="0" w:color="auto"/>
        <w:right w:val="none" w:sz="0" w:space="0" w:color="auto"/>
      </w:divBdr>
    </w:div>
    <w:div w:id="614825320">
      <w:bodyDiv w:val="1"/>
      <w:marLeft w:val="0"/>
      <w:marRight w:val="0"/>
      <w:marTop w:val="0"/>
      <w:marBottom w:val="0"/>
      <w:divBdr>
        <w:top w:val="none" w:sz="0" w:space="0" w:color="auto"/>
        <w:left w:val="none" w:sz="0" w:space="0" w:color="auto"/>
        <w:bottom w:val="none" w:sz="0" w:space="0" w:color="auto"/>
        <w:right w:val="none" w:sz="0" w:space="0" w:color="auto"/>
      </w:divBdr>
    </w:div>
    <w:div w:id="632950422">
      <w:bodyDiv w:val="1"/>
      <w:marLeft w:val="0"/>
      <w:marRight w:val="0"/>
      <w:marTop w:val="0"/>
      <w:marBottom w:val="0"/>
      <w:divBdr>
        <w:top w:val="none" w:sz="0" w:space="0" w:color="auto"/>
        <w:left w:val="none" w:sz="0" w:space="0" w:color="auto"/>
        <w:bottom w:val="none" w:sz="0" w:space="0" w:color="auto"/>
        <w:right w:val="none" w:sz="0" w:space="0" w:color="auto"/>
      </w:divBdr>
    </w:div>
    <w:div w:id="645742732">
      <w:bodyDiv w:val="1"/>
      <w:marLeft w:val="0"/>
      <w:marRight w:val="0"/>
      <w:marTop w:val="0"/>
      <w:marBottom w:val="0"/>
      <w:divBdr>
        <w:top w:val="none" w:sz="0" w:space="0" w:color="auto"/>
        <w:left w:val="none" w:sz="0" w:space="0" w:color="auto"/>
        <w:bottom w:val="none" w:sz="0" w:space="0" w:color="auto"/>
        <w:right w:val="none" w:sz="0" w:space="0" w:color="auto"/>
      </w:divBdr>
    </w:div>
    <w:div w:id="670837194">
      <w:bodyDiv w:val="1"/>
      <w:marLeft w:val="0"/>
      <w:marRight w:val="0"/>
      <w:marTop w:val="0"/>
      <w:marBottom w:val="0"/>
      <w:divBdr>
        <w:top w:val="none" w:sz="0" w:space="0" w:color="auto"/>
        <w:left w:val="none" w:sz="0" w:space="0" w:color="auto"/>
        <w:bottom w:val="none" w:sz="0" w:space="0" w:color="auto"/>
        <w:right w:val="none" w:sz="0" w:space="0" w:color="auto"/>
      </w:divBdr>
    </w:div>
    <w:div w:id="677318463">
      <w:bodyDiv w:val="1"/>
      <w:marLeft w:val="0"/>
      <w:marRight w:val="0"/>
      <w:marTop w:val="0"/>
      <w:marBottom w:val="0"/>
      <w:divBdr>
        <w:top w:val="none" w:sz="0" w:space="0" w:color="auto"/>
        <w:left w:val="none" w:sz="0" w:space="0" w:color="auto"/>
        <w:bottom w:val="none" w:sz="0" w:space="0" w:color="auto"/>
        <w:right w:val="none" w:sz="0" w:space="0" w:color="auto"/>
      </w:divBdr>
    </w:div>
    <w:div w:id="692727607">
      <w:bodyDiv w:val="1"/>
      <w:marLeft w:val="0"/>
      <w:marRight w:val="0"/>
      <w:marTop w:val="0"/>
      <w:marBottom w:val="0"/>
      <w:divBdr>
        <w:top w:val="none" w:sz="0" w:space="0" w:color="auto"/>
        <w:left w:val="none" w:sz="0" w:space="0" w:color="auto"/>
        <w:bottom w:val="none" w:sz="0" w:space="0" w:color="auto"/>
        <w:right w:val="none" w:sz="0" w:space="0" w:color="auto"/>
      </w:divBdr>
    </w:div>
    <w:div w:id="699354852">
      <w:bodyDiv w:val="1"/>
      <w:marLeft w:val="0"/>
      <w:marRight w:val="0"/>
      <w:marTop w:val="0"/>
      <w:marBottom w:val="0"/>
      <w:divBdr>
        <w:top w:val="none" w:sz="0" w:space="0" w:color="auto"/>
        <w:left w:val="none" w:sz="0" w:space="0" w:color="auto"/>
        <w:bottom w:val="none" w:sz="0" w:space="0" w:color="auto"/>
        <w:right w:val="none" w:sz="0" w:space="0" w:color="auto"/>
      </w:divBdr>
    </w:div>
    <w:div w:id="705300401">
      <w:bodyDiv w:val="1"/>
      <w:marLeft w:val="0"/>
      <w:marRight w:val="0"/>
      <w:marTop w:val="0"/>
      <w:marBottom w:val="0"/>
      <w:divBdr>
        <w:top w:val="none" w:sz="0" w:space="0" w:color="auto"/>
        <w:left w:val="none" w:sz="0" w:space="0" w:color="auto"/>
        <w:bottom w:val="none" w:sz="0" w:space="0" w:color="auto"/>
        <w:right w:val="none" w:sz="0" w:space="0" w:color="auto"/>
      </w:divBdr>
    </w:div>
    <w:div w:id="742484124">
      <w:bodyDiv w:val="1"/>
      <w:marLeft w:val="0"/>
      <w:marRight w:val="0"/>
      <w:marTop w:val="0"/>
      <w:marBottom w:val="0"/>
      <w:divBdr>
        <w:top w:val="none" w:sz="0" w:space="0" w:color="auto"/>
        <w:left w:val="none" w:sz="0" w:space="0" w:color="auto"/>
        <w:bottom w:val="none" w:sz="0" w:space="0" w:color="auto"/>
        <w:right w:val="none" w:sz="0" w:space="0" w:color="auto"/>
      </w:divBdr>
    </w:div>
    <w:div w:id="755982927">
      <w:bodyDiv w:val="1"/>
      <w:marLeft w:val="0"/>
      <w:marRight w:val="0"/>
      <w:marTop w:val="0"/>
      <w:marBottom w:val="0"/>
      <w:divBdr>
        <w:top w:val="none" w:sz="0" w:space="0" w:color="auto"/>
        <w:left w:val="none" w:sz="0" w:space="0" w:color="auto"/>
        <w:bottom w:val="none" w:sz="0" w:space="0" w:color="auto"/>
        <w:right w:val="none" w:sz="0" w:space="0" w:color="auto"/>
      </w:divBdr>
    </w:div>
    <w:div w:id="812916695">
      <w:bodyDiv w:val="1"/>
      <w:marLeft w:val="0"/>
      <w:marRight w:val="0"/>
      <w:marTop w:val="0"/>
      <w:marBottom w:val="0"/>
      <w:divBdr>
        <w:top w:val="none" w:sz="0" w:space="0" w:color="auto"/>
        <w:left w:val="none" w:sz="0" w:space="0" w:color="auto"/>
        <w:bottom w:val="none" w:sz="0" w:space="0" w:color="auto"/>
        <w:right w:val="none" w:sz="0" w:space="0" w:color="auto"/>
      </w:divBdr>
    </w:div>
    <w:div w:id="817654442">
      <w:bodyDiv w:val="1"/>
      <w:marLeft w:val="0"/>
      <w:marRight w:val="0"/>
      <w:marTop w:val="0"/>
      <w:marBottom w:val="0"/>
      <w:divBdr>
        <w:top w:val="none" w:sz="0" w:space="0" w:color="auto"/>
        <w:left w:val="none" w:sz="0" w:space="0" w:color="auto"/>
        <w:bottom w:val="none" w:sz="0" w:space="0" w:color="auto"/>
        <w:right w:val="none" w:sz="0" w:space="0" w:color="auto"/>
      </w:divBdr>
    </w:div>
    <w:div w:id="834733830">
      <w:bodyDiv w:val="1"/>
      <w:marLeft w:val="0"/>
      <w:marRight w:val="0"/>
      <w:marTop w:val="0"/>
      <w:marBottom w:val="0"/>
      <w:divBdr>
        <w:top w:val="none" w:sz="0" w:space="0" w:color="auto"/>
        <w:left w:val="none" w:sz="0" w:space="0" w:color="auto"/>
        <w:bottom w:val="none" w:sz="0" w:space="0" w:color="auto"/>
        <w:right w:val="none" w:sz="0" w:space="0" w:color="auto"/>
      </w:divBdr>
    </w:div>
    <w:div w:id="835267194">
      <w:bodyDiv w:val="1"/>
      <w:marLeft w:val="0"/>
      <w:marRight w:val="0"/>
      <w:marTop w:val="0"/>
      <w:marBottom w:val="0"/>
      <w:divBdr>
        <w:top w:val="none" w:sz="0" w:space="0" w:color="auto"/>
        <w:left w:val="none" w:sz="0" w:space="0" w:color="auto"/>
        <w:bottom w:val="none" w:sz="0" w:space="0" w:color="auto"/>
        <w:right w:val="none" w:sz="0" w:space="0" w:color="auto"/>
      </w:divBdr>
    </w:div>
    <w:div w:id="848063668">
      <w:bodyDiv w:val="1"/>
      <w:marLeft w:val="0"/>
      <w:marRight w:val="0"/>
      <w:marTop w:val="0"/>
      <w:marBottom w:val="0"/>
      <w:divBdr>
        <w:top w:val="none" w:sz="0" w:space="0" w:color="auto"/>
        <w:left w:val="none" w:sz="0" w:space="0" w:color="auto"/>
        <w:bottom w:val="none" w:sz="0" w:space="0" w:color="auto"/>
        <w:right w:val="none" w:sz="0" w:space="0" w:color="auto"/>
      </w:divBdr>
    </w:div>
    <w:div w:id="853962924">
      <w:bodyDiv w:val="1"/>
      <w:marLeft w:val="0"/>
      <w:marRight w:val="0"/>
      <w:marTop w:val="0"/>
      <w:marBottom w:val="0"/>
      <w:divBdr>
        <w:top w:val="none" w:sz="0" w:space="0" w:color="auto"/>
        <w:left w:val="none" w:sz="0" w:space="0" w:color="auto"/>
        <w:bottom w:val="none" w:sz="0" w:space="0" w:color="auto"/>
        <w:right w:val="none" w:sz="0" w:space="0" w:color="auto"/>
      </w:divBdr>
    </w:div>
    <w:div w:id="875048374">
      <w:bodyDiv w:val="1"/>
      <w:marLeft w:val="0"/>
      <w:marRight w:val="0"/>
      <w:marTop w:val="0"/>
      <w:marBottom w:val="0"/>
      <w:divBdr>
        <w:top w:val="none" w:sz="0" w:space="0" w:color="auto"/>
        <w:left w:val="none" w:sz="0" w:space="0" w:color="auto"/>
        <w:bottom w:val="none" w:sz="0" w:space="0" w:color="auto"/>
        <w:right w:val="none" w:sz="0" w:space="0" w:color="auto"/>
      </w:divBdr>
      <w:divsChild>
        <w:div w:id="785272091">
          <w:marLeft w:val="0"/>
          <w:marRight w:val="0"/>
          <w:marTop w:val="0"/>
          <w:marBottom w:val="0"/>
          <w:divBdr>
            <w:top w:val="none" w:sz="0" w:space="0" w:color="auto"/>
            <w:left w:val="none" w:sz="0" w:space="0" w:color="auto"/>
            <w:bottom w:val="none" w:sz="0" w:space="0" w:color="auto"/>
            <w:right w:val="none" w:sz="0" w:space="0" w:color="auto"/>
          </w:divBdr>
        </w:div>
      </w:divsChild>
    </w:div>
    <w:div w:id="883367032">
      <w:bodyDiv w:val="1"/>
      <w:marLeft w:val="0"/>
      <w:marRight w:val="0"/>
      <w:marTop w:val="0"/>
      <w:marBottom w:val="0"/>
      <w:divBdr>
        <w:top w:val="none" w:sz="0" w:space="0" w:color="auto"/>
        <w:left w:val="none" w:sz="0" w:space="0" w:color="auto"/>
        <w:bottom w:val="none" w:sz="0" w:space="0" w:color="auto"/>
        <w:right w:val="none" w:sz="0" w:space="0" w:color="auto"/>
      </w:divBdr>
      <w:divsChild>
        <w:div w:id="336005916">
          <w:marLeft w:val="547"/>
          <w:marRight w:val="0"/>
          <w:marTop w:val="0"/>
          <w:marBottom w:val="0"/>
          <w:divBdr>
            <w:top w:val="none" w:sz="0" w:space="0" w:color="auto"/>
            <w:left w:val="none" w:sz="0" w:space="0" w:color="auto"/>
            <w:bottom w:val="none" w:sz="0" w:space="0" w:color="auto"/>
            <w:right w:val="none" w:sz="0" w:space="0" w:color="auto"/>
          </w:divBdr>
        </w:div>
      </w:divsChild>
    </w:div>
    <w:div w:id="887185795">
      <w:bodyDiv w:val="1"/>
      <w:marLeft w:val="0"/>
      <w:marRight w:val="0"/>
      <w:marTop w:val="0"/>
      <w:marBottom w:val="0"/>
      <w:divBdr>
        <w:top w:val="none" w:sz="0" w:space="0" w:color="auto"/>
        <w:left w:val="none" w:sz="0" w:space="0" w:color="auto"/>
        <w:bottom w:val="none" w:sz="0" w:space="0" w:color="auto"/>
        <w:right w:val="none" w:sz="0" w:space="0" w:color="auto"/>
      </w:divBdr>
    </w:div>
    <w:div w:id="919023266">
      <w:bodyDiv w:val="1"/>
      <w:marLeft w:val="0"/>
      <w:marRight w:val="0"/>
      <w:marTop w:val="0"/>
      <w:marBottom w:val="0"/>
      <w:divBdr>
        <w:top w:val="none" w:sz="0" w:space="0" w:color="auto"/>
        <w:left w:val="none" w:sz="0" w:space="0" w:color="auto"/>
        <w:bottom w:val="none" w:sz="0" w:space="0" w:color="auto"/>
        <w:right w:val="none" w:sz="0" w:space="0" w:color="auto"/>
      </w:divBdr>
    </w:div>
    <w:div w:id="922566852">
      <w:bodyDiv w:val="1"/>
      <w:marLeft w:val="0"/>
      <w:marRight w:val="0"/>
      <w:marTop w:val="0"/>
      <w:marBottom w:val="0"/>
      <w:divBdr>
        <w:top w:val="none" w:sz="0" w:space="0" w:color="auto"/>
        <w:left w:val="none" w:sz="0" w:space="0" w:color="auto"/>
        <w:bottom w:val="none" w:sz="0" w:space="0" w:color="auto"/>
        <w:right w:val="none" w:sz="0" w:space="0" w:color="auto"/>
      </w:divBdr>
    </w:div>
    <w:div w:id="924143335">
      <w:bodyDiv w:val="1"/>
      <w:marLeft w:val="0"/>
      <w:marRight w:val="0"/>
      <w:marTop w:val="0"/>
      <w:marBottom w:val="0"/>
      <w:divBdr>
        <w:top w:val="none" w:sz="0" w:space="0" w:color="auto"/>
        <w:left w:val="none" w:sz="0" w:space="0" w:color="auto"/>
        <w:bottom w:val="none" w:sz="0" w:space="0" w:color="auto"/>
        <w:right w:val="none" w:sz="0" w:space="0" w:color="auto"/>
      </w:divBdr>
    </w:div>
    <w:div w:id="930044296">
      <w:bodyDiv w:val="1"/>
      <w:marLeft w:val="0"/>
      <w:marRight w:val="0"/>
      <w:marTop w:val="0"/>
      <w:marBottom w:val="0"/>
      <w:divBdr>
        <w:top w:val="none" w:sz="0" w:space="0" w:color="auto"/>
        <w:left w:val="none" w:sz="0" w:space="0" w:color="auto"/>
        <w:bottom w:val="none" w:sz="0" w:space="0" w:color="auto"/>
        <w:right w:val="none" w:sz="0" w:space="0" w:color="auto"/>
      </w:divBdr>
      <w:divsChild>
        <w:div w:id="1030031085">
          <w:marLeft w:val="0"/>
          <w:marRight w:val="0"/>
          <w:marTop w:val="0"/>
          <w:marBottom w:val="0"/>
          <w:divBdr>
            <w:top w:val="none" w:sz="0" w:space="0" w:color="auto"/>
            <w:left w:val="none" w:sz="0" w:space="0" w:color="auto"/>
            <w:bottom w:val="none" w:sz="0" w:space="0" w:color="auto"/>
            <w:right w:val="none" w:sz="0" w:space="0" w:color="auto"/>
          </w:divBdr>
        </w:div>
      </w:divsChild>
    </w:div>
    <w:div w:id="944968558">
      <w:bodyDiv w:val="1"/>
      <w:marLeft w:val="0"/>
      <w:marRight w:val="0"/>
      <w:marTop w:val="0"/>
      <w:marBottom w:val="0"/>
      <w:divBdr>
        <w:top w:val="none" w:sz="0" w:space="0" w:color="auto"/>
        <w:left w:val="none" w:sz="0" w:space="0" w:color="auto"/>
        <w:bottom w:val="none" w:sz="0" w:space="0" w:color="auto"/>
        <w:right w:val="none" w:sz="0" w:space="0" w:color="auto"/>
      </w:divBdr>
    </w:div>
    <w:div w:id="1000423899">
      <w:bodyDiv w:val="1"/>
      <w:marLeft w:val="0"/>
      <w:marRight w:val="0"/>
      <w:marTop w:val="0"/>
      <w:marBottom w:val="0"/>
      <w:divBdr>
        <w:top w:val="none" w:sz="0" w:space="0" w:color="auto"/>
        <w:left w:val="none" w:sz="0" w:space="0" w:color="auto"/>
        <w:bottom w:val="none" w:sz="0" w:space="0" w:color="auto"/>
        <w:right w:val="none" w:sz="0" w:space="0" w:color="auto"/>
      </w:divBdr>
    </w:div>
    <w:div w:id="1064331288">
      <w:bodyDiv w:val="1"/>
      <w:marLeft w:val="0"/>
      <w:marRight w:val="0"/>
      <w:marTop w:val="0"/>
      <w:marBottom w:val="0"/>
      <w:divBdr>
        <w:top w:val="none" w:sz="0" w:space="0" w:color="auto"/>
        <w:left w:val="none" w:sz="0" w:space="0" w:color="auto"/>
        <w:bottom w:val="none" w:sz="0" w:space="0" w:color="auto"/>
        <w:right w:val="none" w:sz="0" w:space="0" w:color="auto"/>
      </w:divBdr>
    </w:div>
    <w:div w:id="1071776853">
      <w:bodyDiv w:val="1"/>
      <w:marLeft w:val="0"/>
      <w:marRight w:val="0"/>
      <w:marTop w:val="0"/>
      <w:marBottom w:val="0"/>
      <w:divBdr>
        <w:top w:val="none" w:sz="0" w:space="0" w:color="auto"/>
        <w:left w:val="none" w:sz="0" w:space="0" w:color="auto"/>
        <w:bottom w:val="none" w:sz="0" w:space="0" w:color="auto"/>
        <w:right w:val="none" w:sz="0" w:space="0" w:color="auto"/>
      </w:divBdr>
    </w:div>
    <w:div w:id="1081293037">
      <w:bodyDiv w:val="1"/>
      <w:marLeft w:val="0"/>
      <w:marRight w:val="0"/>
      <w:marTop w:val="0"/>
      <w:marBottom w:val="0"/>
      <w:divBdr>
        <w:top w:val="none" w:sz="0" w:space="0" w:color="auto"/>
        <w:left w:val="none" w:sz="0" w:space="0" w:color="auto"/>
        <w:bottom w:val="none" w:sz="0" w:space="0" w:color="auto"/>
        <w:right w:val="none" w:sz="0" w:space="0" w:color="auto"/>
      </w:divBdr>
    </w:div>
    <w:div w:id="1082335441">
      <w:bodyDiv w:val="1"/>
      <w:marLeft w:val="0"/>
      <w:marRight w:val="0"/>
      <w:marTop w:val="0"/>
      <w:marBottom w:val="0"/>
      <w:divBdr>
        <w:top w:val="none" w:sz="0" w:space="0" w:color="auto"/>
        <w:left w:val="none" w:sz="0" w:space="0" w:color="auto"/>
        <w:bottom w:val="none" w:sz="0" w:space="0" w:color="auto"/>
        <w:right w:val="none" w:sz="0" w:space="0" w:color="auto"/>
      </w:divBdr>
    </w:div>
    <w:div w:id="1093167739">
      <w:bodyDiv w:val="1"/>
      <w:marLeft w:val="0"/>
      <w:marRight w:val="0"/>
      <w:marTop w:val="0"/>
      <w:marBottom w:val="0"/>
      <w:divBdr>
        <w:top w:val="none" w:sz="0" w:space="0" w:color="auto"/>
        <w:left w:val="none" w:sz="0" w:space="0" w:color="auto"/>
        <w:bottom w:val="none" w:sz="0" w:space="0" w:color="auto"/>
        <w:right w:val="none" w:sz="0" w:space="0" w:color="auto"/>
      </w:divBdr>
    </w:div>
    <w:div w:id="1103065673">
      <w:bodyDiv w:val="1"/>
      <w:marLeft w:val="0"/>
      <w:marRight w:val="0"/>
      <w:marTop w:val="0"/>
      <w:marBottom w:val="0"/>
      <w:divBdr>
        <w:top w:val="none" w:sz="0" w:space="0" w:color="auto"/>
        <w:left w:val="none" w:sz="0" w:space="0" w:color="auto"/>
        <w:bottom w:val="none" w:sz="0" w:space="0" w:color="auto"/>
        <w:right w:val="none" w:sz="0" w:space="0" w:color="auto"/>
      </w:divBdr>
    </w:div>
    <w:div w:id="1111127533">
      <w:bodyDiv w:val="1"/>
      <w:marLeft w:val="0"/>
      <w:marRight w:val="0"/>
      <w:marTop w:val="0"/>
      <w:marBottom w:val="0"/>
      <w:divBdr>
        <w:top w:val="none" w:sz="0" w:space="0" w:color="auto"/>
        <w:left w:val="none" w:sz="0" w:space="0" w:color="auto"/>
        <w:bottom w:val="none" w:sz="0" w:space="0" w:color="auto"/>
        <w:right w:val="none" w:sz="0" w:space="0" w:color="auto"/>
      </w:divBdr>
      <w:divsChild>
        <w:div w:id="1241715154">
          <w:marLeft w:val="0"/>
          <w:marRight w:val="0"/>
          <w:marTop w:val="0"/>
          <w:marBottom w:val="0"/>
          <w:divBdr>
            <w:top w:val="none" w:sz="0" w:space="0" w:color="auto"/>
            <w:left w:val="none" w:sz="0" w:space="0" w:color="auto"/>
            <w:bottom w:val="none" w:sz="0" w:space="0" w:color="auto"/>
            <w:right w:val="none" w:sz="0" w:space="0" w:color="auto"/>
          </w:divBdr>
          <w:divsChild>
            <w:div w:id="140587143">
              <w:marLeft w:val="0"/>
              <w:marRight w:val="0"/>
              <w:marTop w:val="0"/>
              <w:marBottom w:val="0"/>
              <w:divBdr>
                <w:top w:val="none" w:sz="0" w:space="0" w:color="auto"/>
                <w:left w:val="none" w:sz="0" w:space="0" w:color="auto"/>
                <w:bottom w:val="none" w:sz="0" w:space="0" w:color="auto"/>
                <w:right w:val="none" w:sz="0" w:space="0" w:color="auto"/>
              </w:divBdr>
            </w:div>
            <w:div w:id="940798993">
              <w:marLeft w:val="0"/>
              <w:marRight w:val="0"/>
              <w:marTop w:val="0"/>
              <w:marBottom w:val="0"/>
              <w:divBdr>
                <w:top w:val="none" w:sz="0" w:space="0" w:color="auto"/>
                <w:left w:val="none" w:sz="0" w:space="0" w:color="auto"/>
                <w:bottom w:val="none" w:sz="0" w:space="0" w:color="auto"/>
                <w:right w:val="none" w:sz="0" w:space="0" w:color="auto"/>
              </w:divBdr>
            </w:div>
            <w:div w:id="1114012767">
              <w:marLeft w:val="0"/>
              <w:marRight w:val="0"/>
              <w:marTop w:val="0"/>
              <w:marBottom w:val="0"/>
              <w:divBdr>
                <w:top w:val="none" w:sz="0" w:space="0" w:color="auto"/>
                <w:left w:val="none" w:sz="0" w:space="0" w:color="auto"/>
                <w:bottom w:val="none" w:sz="0" w:space="0" w:color="auto"/>
                <w:right w:val="none" w:sz="0" w:space="0" w:color="auto"/>
              </w:divBdr>
            </w:div>
            <w:div w:id="13254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5804">
      <w:bodyDiv w:val="1"/>
      <w:marLeft w:val="0"/>
      <w:marRight w:val="0"/>
      <w:marTop w:val="0"/>
      <w:marBottom w:val="0"/>
      <w:divBdr>
        <w:top w:val="none" w:sz="0" w:space="0" w:color="auto"/>
        <w:left w:val="none" w:sz="0" w:space="0" w:color="auto"/>
        <w:bottom w:val="none" w:sz="0" w:space="0" w:color="auto"/>
        <w:right w:val="none" w:sz="0" w:space="0" w:color="auto"/>
      </w:divBdr>
    </w:div>
    <w:div w:id="1173030435">
      <w:bodyDiv w:val="1"/>
      <w:marLeft w:val="0"/>
      <w:marRight w:val="0"/>
      <w:marTop w:val="0"/>
      <w:marBottom w:val="0"/>
      <w:divBdr>
        <w:top w:val="none" w:sz="0" w:space="0" w:color="auto"/>
        <w:left w:val="none" w:sz="0" w:space="0" w:color="auto"/>
        <w:bottom w:val="none" w:sz="0" w:space="0" w:color="auto"/>
        <w:right w:val="none" w:sz="0" w:space="0" w:color="auto"/>
      </w:divBdr>
    </w:div>
    <w:div w:id="1176266226">
      <w:bodyDiv w:val="1"/>
      <w:marLeft w:val="0"/>
      <w:marRight w:val="0"/>
      <w:marTop w:val="0"/>
      <w:marBottom w:val="0"/>
      <w:divBdr>
        <w:top w:val="none" w:sz="0" w:space="0" w:color="auto"/>
        <w:left w:val="none" w:sz="0" w:space="0" w:color="auto"/>
        <w:bottom w:val="none" w:sz="0" w:space="0" w:color="auto"/>
        <w:right w:val="none" w:sz="0" w:space="0" w:color="auto"/>
      </w:divBdr>
    </w:div>
    <w:div w:id="1178424422">
      <w:bodyDiv w:val="1"/>
      <w:marLeft w:val="0"/>
      <w:marRight w:val="0"/>
      <w:marTop w:val="0"/>
      <w:marBottom w:val="0"/>
      <w:divBdr>
        <w:top w:val="none" w:sz="0" w:space="0" w:color="auto"/>
        <w:left w:val="none" w:sz="0" w:space="0" w:color="auto"/>
        <w:bottom w:val="none" w:sz="0" w:space="0" w:color="auto"/>
        <w:right w:val="none" w:sz="0" w:space="0" w:color="auto"/>
      </w:divBdr>
      <w:divsChild>
        <w:div w:id="406847960">
          <w:marLeft w:val="0"/>
          <w:marRight w:val="0"/>
          <w:marTop w:val="0"/>
          <w:marBottom w:val="0"/>
          <w:divBdr>
            <w:top w:val="none" w:sz="0" w:space="0" w:color="auto"/>
            <w:left w:val="none" w:sz="0" w:space="0" w:color="auto"/>
            <w:bottom w:val="none" w:sz="0" w:space="0" w:color="auto"/>
            <w:right w:val="none" w:sz="0" w:space="0" w:color="auto"/>
          </w:divBdr>
        </w:div>
      </w:divsChild>
    </w:div>
    <w:div w:id="1188828915">
      <w:bodyDiv w:val="1"/>
      <w:marLeft w:val="0"/>
      <w:marRight w:val="0"/>
      <w:marTop w:val="0"/>
      <w:marBottom w:val="0"/>
      <w:divBdr>
        <w:top w:val="none" w:sz="0" w:space="0" w:color="auto"/>
        <w:left w:val="none" w:sz="0" w:space="0" w:color="auto"/>
        <w:bottom w:val="none" w:sz="0" w:space="0" w:color="auto"/>
        <w:right w:val="none" w:sz="0" w:space="0" w:color="auto"/>
      </w:divBdr>
    </w:div>
    <w:div w:id="1198278874">
      <w:bodyDiv w:val="1"/>
      <w:marLeft w:val="0"/>
      <w:marRight w:val="0"/>
      <w:marTop w:val="0"/>
      <w:marBottom w:val="0"/>
      <w:divBdr>
        <w:top w:val="none" w:sz="0" w:space="0" w:color="auto"/>
        <w:left w:val="none" w:sz="0" w:space="0" w:color="auto"/>
        <w:bottom w:val="none" w:sz="0" w:space="0" w:color="auto"/>
        <w:right w:val="none" w:sz="0" w:space="0" w:color="auto"/>
      </w:divBdr>
    </w:div>
    <w:div w:id="1211838919">
      <w:bodyDiv w:val="1"/>
      <w:marLeft w:val="0"/>
      <w:marRight w:val="0"/>
      <w:marTop w:val="0"/>
      <w:marBottom w:val="0"/>
      <w:divBdr>
        <w:top w:val="none" w:sz="0" w:space="0" w:color="auto"/>
        <w:left w:val="none" w:sz="0" w:space="0" w:color="auto"/>
        <w:bottom w:val="none" w:sz="0" w:space="0" w:color="auto"/>
        <w:right w:val="none" w:sz="0" w:space="0" w:color="auto"/>
      </w:divBdr>
      <w:divsChild>
        <w:div w:id="1774977940">
          <w:marLeft w:val="0"/>
          <w:marRight w:val="0"/>
          <w:marTop w:val="0"/>
          <w:marBottom w:val="0"/>
          <w:divBdr>
            <w:top w:val="none" w:sz="0" w:space="0" w:color="auto"/>
            <w:left w:val="none" w:sz="0" w:space="0" w:color="auto"/>
            <w:bottom w:val="none" w:sz="0" w:space="0" w:color="auto"/>
            <w:right w:val="none" w:sz="0" w:space="0" w:color="auto"/>
          </w:divBdr>
          <w:divsChild>
            <w:div w:id="201572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3340">
      <w:bodyDiv w:val="1"/>
      <w:marLeft w:val="0"/>
      <w:marRight w:val="0"/>
      <w:marTop w:val="0"/>
      <w:marBottom w:val="0"/>
      <w:divBdr>
        <w:top w:val="none" w:sz="0" w:space="0" w:color="auto"/>
        <w:left w:val="none" w:sz="0" w:space="0" w:color="auto"/>
        <w:bottom w:val="none" w:sz="0" w:space="0" w:color="auto"/>
        <w:right w:val="none" w:sz="0" w:space="0" w:color="auto"/>
      </w:divBdr>
    </w:div>
    <w:div w:id="1330403824">
      <w:bodyDiv w:val="1"/>
      <w:marLeft w:val="0"/>
      <w:marRight w:val="0"/>
      <w:marTop w:val="0"/>
      <w:marBottom w:val="0"/>
      <w:divBdr>
        <w:top w:val="none" w:sz="0" w:space="0" w:color="auto"/>
        <w:left w:val="none" w:sz="0" w:space="0" w:color="auto"/>
        <w:bottom w:val="none" w:sz="0" w:space="0" w:color="auto"/>
        <w:right w:val="none" w:sz="0" w:space="0" w:color="auto"/>
      </w:divBdr>
    </w:div>
    <w:div w:id="1331442274">
      <w:bodyDiv w:val="1"/>
      <w:marLeft w:val="0"/>
      <w:marRight w:val="0"/>
      <w:marTop w:val="0"/>
      <w:marBottom w:val="0"/>
      <w:divBdr>
        <w:top w:val="none" w:sz="0" w:space="0" w:color="auto"/>
        <w:left w:val="none" w:sz="0" w:space="0" w:color="auto"/>
        <w:bottom w:val="none" w:sz="0" w:space="0" w:color="auto"/>
        <w:right w:val="none" w:sz="0" w:space="0" w:color="auto"/>
      </w:divBdr>
    </w:div>
    <w:div w:id="1335956172">
      <w:bodyDiv w:val="1"/>
      <w:marLeft w:val="0"/>
      <w:marRight w:val="0"/>
      <w:marTop w:val="0"/>
      <w:marBottom w:val="0"/>
      <w:divBdr>
        <w:top w:val="none" w:sz="0" w:space="0" w:color="auto"/>
        <w:left w:val="none" w:sz="0" w:space="0" w:color="auto"/>
        <w:bottom w:val="none" w:sz="0" w:space="0" w:color="auto"/>
        <w:right w:val="none" w:sz="0" w:space="0" w:color="auto"/>
      </w:divBdr>
    </w:div>
    <w:div w:id="1374618654">
      <w:bodyDiv w:val="1"/>
      <w:marLeft w:val="0"/>
      <w:marRight w:val="0"/>
      <w:marTop w:val="0"/>
      <w:marBottom w:val="0"/>
      <w:divBdr>
        <w:top w:val="none" w:sz="0" w:space="0" w:color="auto"/>
        <w:left w:val="none" w:sz="0" w:space="0" w:color="auto"/>
        <w:bottom w:val="none" w:sz="0" w:space="0" w:color="auto"/>
        <w:right w:val="none" w:sz="0" w:space="0" w:color="auto"/>
      </w:divBdr>
    </w:div>
    <w:div w:id="1399011243">
      <w:bodyDiv w:val="1"/>
      <w:marLeft w:val="0"/>
      <w:marRight w:val="0"/>
      <w:marTop w:val="0"/>
      <w:marBottom w:val="0"/>
      <w:divBdr>
        <w:top w:val="none" w:sz="0" w:space="0" w:color="auto"/>
        <w:left w:val="none" w:sz="0" w:space="0" w:color="auto"/>
        <w:bottom w:val="none" w:sz="0" w:space="0" w:color="auto"/>
        <w:right w:val="none" w:sz="0" w:space="0" w:color="auto"/>
      </w:divBdr>
    </w:div>
    <w:div w:id="1399208821">
      <w:bodyDiv w:val="1"/>
      <w:marLeft w:val="0"/>
      <w:marRight w:val="0"/>
      <w:marTop w:val="0"/>
      <w:marBottom w:val="0"/>
      <w:divBdr>
        <w:top w:val="none" w:sz="0" w:space="0" w:color="auto"/>
        <w:left w:val="none" w:sz="0" w:space="0" w:color="auto"/>
        <w:bottom w:val="none" w:sz="0" w:space="0" w:color="auto"/>
        <w:right w:val="none" w:sz="0" w:space="0" w:color="auto"/>
      </w:divBdr>
    </w:div>
    <w:div w:id="1400667892">
      <w:bodyDiv w:val="1"/>
      <w:marLeft w:val="0"/>
      <w:marRight w:val="0"/>
      <w:marTop w:val="0"/>
      <w:marBottom w:val="0"/>
      <w:divBdr>
        <w:top w:val="none" w:sz="0" w:space="0" w:color="auto"/>
        <w:left w:val="none" w:sz="0" w:space="0" w:color="auto"/>
        <w:bottom w:val="none" w:sz="0" w:space="0" w:color="auto"/>
        <w:right w:val="none" w:sz="0" w:space="0" w:color="auto"/>
      </w:divBdr>
    </w:div>
    <w:div w:id="1411196133">
      <w:bodyDiv w:val="1"/>
      <w:marLeft w:val="0"/>
      <w:marRight w:val="0"/>
      <w:marTop w:val="0"/>
      <w:marBottom w:val="0"/>
      <w:divBdr>
        <w:top w:val="none" w:sz="0" w:space="0" w:color="auto"/>
        <w:left w:val="none" w:sz="0" w:space="0" w:color="auto"/>
        <w:bottom w:val="none" w:sz="0" w:space="0" w:color="auto"/>
        <w:right w:val="none" w:sz="0" w:space="0" w:color="auto"/>
      </w:divBdr>
    </w:div>
    <w:div w:id="1428886571">
      <w:bodyDiv w:val="1"/>
      <w:marLeft w:val="0"/>
      <w:marRight w:val="0"/>
      <w:marTop w:val="0"/>
      <w:marBottom w:val="0"/>
      <w:divBdr>
        <w:top w:val="none" w:sz="0" w:space="0" w:color="auto"/>
        <w:left w:val="none" w:sz="0" w:space="0" w:color="auto"/>
        <w:bottom w:val="none" w:sz="0" w:space="0" w:color="auto"/>
        <w:right w:val="none" w:sz="0" w:space="0" w:color="auto"/>
      </w:divBdr>
    </w:div>
    <w:div w:id="1441101620">
      <w:bodyDiv w:val="1"/>
      <w:marLeft w:val="0"/>
      <w:marRight w:val="0"/>
      <w:marTop w:val="0"/>
      <w:marBottom w:val="0"/>
      <w:divBdr>
        <w:top w:val="none" w:sz="0" w:space="0" w:color="auto"/>
        <w:left w:val="none" w:sz="0" w:space="0" w:color="auto"/>
        <w:bottom w:val="none" w:sz="0" w:space="0" w:color="auto"/>
        <w:right w:val="none" w:sz="0" w:space="0" w:color="auto"/>
      </w:divBdr>
    </w:div>
    <w:div w:id="1453135454">
      <w:bodyDiv w:val="1"/>
      <w:marLeft w:val="0"/>
      <w:marRight w:val="0"/>
      <w:marTop w:val="0"/>
      <w:marBottom w:val="0"/>
      <w:divBdr>
        <w:top w:val="none" w:sz="0" w:space="0" w:color="auto"/>
        <w:left w:val="none" w:sz="0" w:space="0" w:color="auto"/>
        <w:bottom w:val="none" w:sz="0" w:space="0" w:color="auto"/>
        <w:right w:val="none" w:sz="0" w:space="0" w:color="auto"/>
      </w:divBdr>
    </w:div>
    <w:div w:id="1468818025">
      <w:bodyDiv w:val="1"/>
      <w:marLeft w:val="0"/>
      <w:marRight w:val="0"/>
      <w:marTop w:val="0"/>
      <w:marBottom w:val="0"/>
      <w:divBdr>
        <w:top w:val="none" w:sz="0" w:space="0" w:color="auto"/>
        <w:left w:val="none" w:sz="0" w:space="0" w:color="auto"/>
        <w:bottom w:val="none" w:sz="0" w:space="0" w:color="auto"/>
        <w:right w:val="none" w:sz="0" w:space="0" w:color="auto"/>
      </w:divBdr>
    </w:div>
    <w:div w:id="1502700469">
      <w:bodyDiv w:val="1"/>
      <w:marLeft w:val="0"/>
      <w:marRight w:val="0"/>
      <w:marTop w:val="0"/>
      <w:marBottom w:val="0"/>
      <w:divBdr>
        <w:top w:val="none" w:sz="0" w:space="0" w:color="auto"/>
        <w:left w:val="none" w:sz="0" w:space="0" w:color="auto"/>
        <w:bottom w:val="none" w:sz="0" w:space="0" w:color="auto"/>
        <w:right w:val="none" w:sz="0" w:space="0" w:color="auto"/>
      </w:divBdr>
    </w:div>
    <w:div w:id="1540623183">
      <w:bodyDiv w:val="1"/>
      <w:marLeft w:val="0"/>
      <w:marRight w:val="0"/>
      <w:marTop w:val="0"/>
      <w:marBottom w:val="0"/>
      <w:divBdr>
        <w:top w:val="none" w:sz="0" w:space="0" w:color="auto"/>
        <w:left w:val="none" w:sz="0" w:space="0" w:color="auto"/>
        <w:bottom w:val="none" w:sz="0" w:space="0" w:color="auto"/>
        <w:right w:val="none" w:sz="0" w:space="0" w:color="auto"/>
      </w:divBdr>
    </w:div>
    <w:div w:id="1542669857">
      <w:bodyDiv w:val="1"/>
      <w:marLeft w:val="0"/>
      <w:marRight w:val="0"/>
      <w:marTop w:val="0"/>
      <w:marBottom w:val="0"/>
      <w:divBdr>
        <w:top w:val="none" w:sz="0" w:space="0" w:color="auto"/>
        <w:left w:val="none" w:sz="0" w:space="0" w:color="auto"/>
        <w:bottom w:val="none" w:sz="0" w:space="0" w:color="auto"/>
        <w:right w:val="none" w:sz="0" w:space="0" w:color="auto"/>
      </w:divBdr>
    </w:div>
    <w:div w:id="1545210851">
      <w:bodyDiv w:val="1"/>
      <w:marLeft w:val="0"/>
      <w:marRight w:val="0"/>
      <w:marTop w:val="0"/>
      <w:marBottom w:val="0"/>
      <w:divBdr>
        <w:top w:val="none" w:sz="0" w:space="0" w:color="auto"/>
        <w:left w:val="none" w:sz="0" w:space="0" w:color="auto"/>
        <w:bottom w:val="none" w:sz="0" w:space="0" w:color="auto"/>
        <w:right w:val="none" w:sz="0" w:space="0" w:color="auto"/>
      </w:divBdr>
    </w:div>
    <w:div w:id="1549027800">
      <w:bodyDiv w:val="1"/>
      <w:marLeft w:val="0"/>
      <w:marRight w:val="0"/>
      <w:marTop w:val="0"/>
      <w:marBottom w:val="0"/>
      <w:divBdr>
        <w:top w:val="none" w:sz="0" w:space="0" w:color="auto"/>
        <w:left w:val="none" w:sz="0" w:space="0" w:color="auto"/>
        <w:bottom w:val="none" w:sz="0" w:space="0" w:color="auto"/>
        <w:right w:val="none" w:sz="0" w:space="0" w:color="auto"/>
      </w:divBdr>
    </w:div>
    <w:div w:id="1569538232">
      <w:bodyDiv w:val="1"/>
      <w:marLeft w:val="0"/>
      <w:marRight w:val="0"/>
      <w:marTop w:val="0"/>
      <w:marBottom w:val="0"/>
      <w:divBdr>
        <w:top w:val="none" w:sz="0" w:space="0" w:color="auto"/>
        <w:left w:val="none" w:sz="0" w:space="0" w:color="auto"/>
        <w:bottom w:val="none" w:sz="0" w:space="0" w:color="auto"/>
        <w:right w:val="none" w:sz="0" w:space="0" w:color="auto"/>
      </w:divBdr>
    </w:div>
    <w:div w:id="1581989245">
      <w:bodyDiv w:val="1"/>
      <w:marLeft w:val="0"/>
      <w:marRight w:val="0"/>
      <w:marTop w:val="0"/>
      <w:marBottom w:val="0"/>
      <w:divBdr>
        <w:top w:val="none" w:sz="0" w:space="0" w:color="auto"/>
        <w:left w:val="none" w:sz="0" w:space="0" w:color="auto"/>
        <w:bottom w:val="none" w:sz="0" w:space="0" w:color="auto"/>
        <w:right w:val="none" w:sz="0" w:space="0" w:color="auto"/>
      </w:divBdr>
      <w:divsChild>
        <w:div w:id="769010803">
          <w:marLeft w:val="0"/>
          <w:marRight w:val="0"/>
          <w:marTop w:val="0"/>
          <w:marBottom w:val="0"/>
          <w:divBdr>
            <w:top w:val="none" w:sz="0" w:space="0" w:color="auto"/>
            <w:left w:val="none" w:sz="0" w:space="0" w:color="auto"/>
            <w:bottom w:val="none" w:sz="0" w:space="0" w:color="auto"/>
            <w:right w:val="none" w:sz="0" w:space="0" w:color="auto"/>
          </w:divBdr>
        </w:div>
      </w:divsChild>
    </w:div>
    <w:div w:id="1599830831">
      <w:bodyDiv w:val="1"/>
      <w:marLeft w:val="0"/>
      <w:marRight w:val="0"/>
      <w:marTop w:val="0"/>
      <w:marBottom w:val="0"/>
      <w:divBdr>
        <w:top w:val="none" w:sz="0" w:space="0" w:color="auto"/>
        <w:left w:val="none" w:sz="0" w:space="0" w:color="auto"/>
        <w:bottom w:val="none" w:sz="0" w:space="0" w:color="auto"/>
        <w:right w:val="none" w:sz="0" w:space="0" w:color="auto"/>
      </w:divBdr>
    </w:div>
    <w:div w:id="1599869264">
      <w:bodyDiv w:val="1"/>
      <w:marLeft w:val="0"/>
      <w:marRight w:val="0"/>
      <w:marTop w:val="0"/>
      <w:marBottom w:val="0"/>
      <w:divBdr>
        <w:top w:val="none" w:sz="0" w:space="0" w:color="auto"/>
        <w:left w:val="none" w:sz="0" w:space="0" w:color="auto"/>
        <w:bottom w:val="none" w:sz="0" w:space="0" w:color="auto"/>
        <w:right w:val="none" w:sz="0" w:space="0" w:color="auto"/>
      </w:divBdr>
    </w:div>
    <w:div w:id="1620530249">
      <w:bodyDiv w:val="1"/>
      <w:marLeft w:val="0"/>
      <w:marRight w:val="0"/>
      <w:marTop w:val="0"/>
      <w:marBottom w:val="0"/>
      <w:divBdr>
        <w:top w:val="none" w:sz="0" w:space="0" w:color="auto"/>
        <w:left w:val="none" w:sz="0" w:space="0" w:color="auto"/>
        <w:bottom w:val="none" w:sz="0" w:space="0" w:color="auto"/>
        <w:right w:val="none" w:sz="0" w:space="0" w:color="auto"/>
      </w:divBdr>
    </w:div>
    <w:div w:id="1668940452">
      <w:bodyDiv w:val="1"/>
      <w:marLeft w:val="0"/>
      <w:marRight w:val="0"/>
      <w:marTop w:val="0"/>
      <w:marBottom w:val="0"/>
      <w:divBdr>
        <w:top w:val="none" w:sz="0" w:space="0" w:color="auto"/>
        <w:left w:val="none" w:sz="0" w:space="0" w:color="auto"/>
        <w:bottom w:val="none" w:sz="0" w:space="0" w:color="auto"/>
        <w:right w:val="none" w:sz="0" w:space="0" w:color="auto"/>
      </w:divBdr>
    </w:div>
    <w:div w:id="1682855180">
      <w:bodyDiv w:val="1"/>
      <w:marLeft w:val="0"/>
      <w:marRight w:val="0"/>
      <w:marTop w:val="0"/>
      <w:marBottom w:val="0"/>
      <w:divBdr>
        <w:top w:val="none" w:sz="0" w:space="0" w:color="auto"/>
        <w:left w:val="none" w:sz="0" w:space="0" w:color="auto"/>
        <w:bottom w:val="none" w:sz="0" w:space="0" w:color="auto"/>
        <w:right w:val="none" w:sz="0" w:space="0" w:color="auto"/>
      </w:divBdr>
      <w:divsChild>
        <w:div w:id="685182316">
          <w:marLeft w:val="0"/>
          <w:marRight w:val="0"/>
          <w:marTop w:val="0"/>
          <w:marBottom w:val="0"/>
          <w:divBdr>
            <w:top w:val="none" w:sz="0" w:space="0" w:color="auto"/>
            <w:left w:val="none" w:sz="0" w:space="0" w:color="auto"/>
            <w:bottom w:val="none" w:sz="0" w:space="0" w:color="auto"/>
            <w:right w:val="none" w:sz="0" w:space="0" w:color="auto"/>
          </w:divBdr>
          <w:divsChild>
            <w:div w:id="1011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8073">
      <w:bodyDiv w:val="1"/>
      <w:marLeft w:val="0"/>
      <w:marRight w:val="0"/>
      <w:marTop w:val="0"/>
      <w:marBottom w:val="0"/>
      <w:divBdr>
        <w:top w:val="none" w:sz="0" w:space="0" w:color="auto"/>
        <w:left w:val="none" w:sz="0" w:space="0" w:color="auto"/>
        <w:bottom w:val="none" w:sz="0" w:space="0" w:color="auto"/>
        <w:right w:val="none" w:sz="0" w:space="0" w:color="auto"/>
      </w:divBdr>
      <w:divsChild>
        <w:div w:id="193426539">
          <w:marLeft w:val="0"/>
          <w:marRight w:val="0"/>
          <w:marTop w:val="0"/>
          <w:marBottom w:val="0"/>
          <w:divBdr>
            <w:top w:val="none" w:sz="0" w:space="0" w:color="auto"/>
            <w:left w:val="none" w:sz="0" w:space="0" w:color="auto"/>
            <w:bottom w:val="none" w:sz="0" w:space="0" w:color="auto"/>
            <w:right w:val="none" w:sz="0" w:space="0" w:color="auto"/>
          </w:divBdr>
        </w:div>
      </w:divsChild>
    </w:div>
    <w:div w:id="1711176954">
      <w:bodyDiv w:val="1"/>
      <w:marLeft w:val="0"/>
      <w:marRight w:val="0"/>
      <w:marTop w:val="0"/>
      <w:marBottom w:val="0"/>
      <w:divBdr>
        <w:top w:val="none" w:sz="0" w:space="0" w:color="auto"/>
        <w:left w:val="none" w:sz="0" w:space="0" w:color="auto"/>
        <w:bottom w:val="none" w:sz="0" w:space="0" w:color="auto"/>
        <w:right w:val="none" w:sz="0" w:space="0" w:color="auto"/>
      </w:divBdr>
    </w:div>
    <w:div w:id="1754281169">
      <w:bodyDiv w:val="1"/>
      <w:marLeft w:val="0"/>
      <w:marRight w:val="0"/>
      <w:marTop w:val="0"/>
      <w:marBottom w:val="0"/>
      <w:divBdr>
        <w:top w:val="none" w:sz="0" w:space="0" w:color="auto"/>
        <w:left w:val="none" w:sz="0" w:space="0" w:color="auto"/>
        <w:bottom w:val="none" w:sz="0" w:space="0" w:color="auto"/>
        <w:right w:val="none" w:sz="0" w:space="0" w:color="auto"/>
      </w:divBdr>
    </w:div>
    <w:div w:id="1791895245">
      <w:bodyDiv w:val="1"/>
      <w:marLeft w:val="0"/>
      <w:marRight w:val="0"/>
      <w:marTop w:val="0"/>
      <w:marBottom w:val="0"/>
      <w:divBdr>
        <w:top w:val="none" w:sz="0" w:space="0" w:color="auto"/>
        <w:left w:val="none" w:sz="0" w:space="0" w:color="auto"/>
        <w:bottom w:val="none" w:sz="0" w:space="0" w:color="auto"/>
        <w:right w:val="none" w:sz="0" w:space="0" w:color="auto"/>
      </w:divBdr>
    </w:div>
    <w:div w:id="1825319207">
      <w:bodyDiv w:val="1"/>
      <w:marLeft w:val="0"/>
      <w:marRight w:val="0"/>
      <w:marTop w:val="0"/>
      <w:marBottom w:val="0"/>
      <w:divBdr>
        <w:top w:val="none" w:sz="0" w:space="0" w:color="auto"/>
        <w:left w:val="none" w:sz="0" w:space="0" w:color="auto"/>
        <w:bottom w:val="none" w:sz="0" w:space="0" w:color="auto"/>
        <w:right w:val="none" w:sz="0" w:space="0" w:color="auto"/>
      </w:divBdr>
    </w:div>
    <w:div w:id="1828592261">
      <w:bodyDiv w:val="1"/>
      <w:marLeft w:val="0"/>
      <w:marRight w:val="0"/>
      <w:marTop w:val="0"/>
      <w:marBottom w:val="0"/>
      <w:divBdr>
        <w:top w:val="none" w:sz="0" w:space="0" w:color="auto"/>
        <w:left w:val="none" w:sz="0" w:space="0" w:color="auto"/>
        <w:bottom w:val="none" w:sz="0" w:space="0" w:color="auto"/>
        <w:right w:val="none" w:sz="0" w:space="0" w:color="auto"/>
      </w:divBdr>
    </w:div>
    <w:div w:id="1853300358">
      <w:bodyDiv w:val="1"/>
      <w:marLeft w:val="0"/>
      <w:marRight w:val="0"/>
      <w:marTop w:val="0"/>
      <w:marBottom w:val="0"/>
      <w:divBdr>
        <w:top w:val="none" w:sz="0" w:space="0" w:color="auto"/>
        <w:left w:val="none" w:sz="0" w:space="0" w:color="auto"/>
        <w:bottom w:val="none" w:sz="0" w:space="0" w:color="auto"/>
        <w:right w:val="none" w:sz="0" w:space="0" w:color="auto"/>
      </w:divBdr>
    </w:div>
    <w:div w:id="1863057650">
      <w:bodyDiv w:val="1"/>
      <w:marLeft w:val="0"/>
      <w:marRight w:val="0"/>
      <w:marTop w:val="0"/>
      <w:marBottom w:val="0"/>
      <w:divBdr>
        <w:top w:val="none" w:sz="0" w:space="0" w:color="auto"/>
        <w:left w:val="none" w:sz="0" w:space="0" w:color="auto"/>
        <w:bottom w:val="none" w:sz="0" w:space="0" w:color="auto"/>
        <w:right w:val="none" w:sz="0" w:space="0" w:color="auto"/>
      </w:divBdr>
    </w:div>
    <w:div w:id="1869759715">
      <w:bodyDiv w:val="1"/>
      <w:marLeft w:val="0"/>
      <w:marRight w:val="0"/>
      <w:marTop w:val="0"/>
      <w:marBottom w:val="0"/>
      <w:divBdr>
        <w:top w:val="none" w:sz="0" w:space="0" w:color="auto"/>
        <w:left w:val="none" w:sz="0" w:space="0" w:color="auto"/>
        <w:bottom w:val="none" w:sz="0" w:space="0" w:color="auto"/>
        <w:right w:val="none" w:sz="0" w:space="0" w:color="auto"/>
      </w:divBdr>
    </w:div>
    <w:div w:id="1872573165">
      <w:bodyDiv w:val="1"/>
      <w:marLeft w:val="0"/>
      <w:marRight w:val="0"/>
      <w:marTop w:val="0"/>
      <w:marBottom w:val="0"/>
      <w:divBdr>
        <w:top w:val="none" w:sz="0" w:space="0" w:color="auto"/>
        <w:left w:val="none" w:sz="0" w:space="0" w:color="auto"/>
        <w:bottom w:val="none" w:sz="0" w:space="0" w:color="auto"/>
        <w:right w:val="none" w:sz="0" w:space="0" w:color="auto"/>
      </w:divBdr>
    </w:div>
    <w:div w:id="1940329940">
      <w:bodyDiv w:val="1"/>
      <w:marLeft w:val="0"/>
      <w:marRight w:val="0"/>
      <w:marTop w:val="0"/>
      <w:marBottom w:val="0"/>
      <w:divBdr>
        <w:top w:val="none" w:sz="0" w:space="0" w:color="auto"/>
        <w:left w:val="none" w:sz="0" w:space="0" w:color="auto"/>
        <w:bottom w:val="none" w:sz="0" w:space="0" w:color="auto"/>
        <w:right w:val="none" w:sz="0" w:space="0" w:color="auto"/>
      </w:divBdr>
    </w:div>
    <w:div w:id="1971744993">
      <w:bodyDiv w:val="1"/>
      <w:marLeft w:val="0"/>
      <w:marRight w:val="0"/>
      <w:marTop w:val="0"/>
      <w:marBottom w:val="0"/>
      <w:divBdr>
        <w:top w:val="none" w:sz="0" w:space="0" w:color="auto"/>
        <w:left w:val="none" w:sz="0" w:space="0" w:color="auto"/>
        <w:bottom w:val="none" w:sz="0" w:space="0" w:color="auto"/>
        <w:right w:val="none" w:sz="0" w:space="0" w:color="auto"/>
      </w:divBdr>
    </w:div>
    <w:div w:id="1974946825">
      <w:bodyDiv w:val="1"/>
      <w:marLeft w:val="0"/>
      <w:marRight w:val="0"/>
      <w:marTop w:val="0"/>
      <w:marBottom w:val="0"/>
      <w:divBdr>
        <w:top w:val="none" w:sz="0" w:space="0" w:color="auto"/>
        <w:left w:val="none" w:sz="0" w:space="0" w:color="auto"/>
        <w:bottom w:val="none" w:sz="0" w:space="0" w:color="auto"/>
        <w:right w:val="none" w:sz="0" w:space="0" w:color="auto"/>
      </w:divBdr>
    </w:div>
    <w:div w:id="1986737480">
      <w:bodyDiv w:val="1"/>
      <w:marLeft w:val="0"/>
      <w:marRight w:val="0"/>
      <w:marTop w:val="0"/>
      <w:marBottom w:val="0"/>
      <w:divBdr>
        <w:top w:val="none" w:sz="0" w:space="0" w:color="auto"/>
        <w:left w:val="none" w:sz="0" w:space="0" w:color="auto"/>
        <w:bottom w:val="none" w:sz="0" w:space="0" w:color="auto"/>
        <w:right w:val="none" w:sz="0" w:space="0" w:color="auto"/>
      </w:divBdr>
      <w:divsChild>
        <w:div w:id="1881283282">
          <w:marLeft w:val="547"/>
          <w:marRight w:val="0"/>
          <w:marTop w:val="0"/>
          <w:marBottom w:val="0"/>
          <w:divBdr>
            <w:top w:val="none" w:sz="0" w:space="0" w:color="auto"/>
            <w:left w:val="none" w:sz="0" w:space="0" w:color="auto"/>
            <w:bottom w:val="none" w:sz="0" w:space="0" w:color="auto"/>
            <w:right w:val="none" w:sz="0" w:space="0" w:color="auto"/>
          </w:divBdr>
        </w:div>
      </w:divsChild>
    </w:div>
    <w:div w:id="2011132687">
      <w:bodyDiv w:val="1"/>
      <w:marLeft w:val="0"/>
      <w:marRight w:val="0"/>
      <w:marTop w:val="0"/>
      <w:marBottom w:val="0"/>
      <w:divBdr>
        <w:top w:val="none" w:sz="0" w:space="0" w:color="auto"/>
        <w:left w:val="none" w:sz="0" w:space="0" w:color="auto"/>
        <w:bottom w:val="none" w:sz="0" w:space="0" w:color="auto"/>
        <w:right w:val="none" w:sz="0" w:space="0" w:color="auto"/>
      </w:divBdr>
    </w:div>
    <w:div w:id="2019500154">
      <w:bodyDiv w:val="1"/>
      <w:marLeft w:val="0"/>
      <w:marRight w:val="0"/>
      <w:marTop w:val="0"/>
      <w:marBottom w:val="0"/>
      <w:divBdr>
        <w:top w:val="none" w:sz="0" w:space="0" w:color="auto"/>
        <w:left w:val="none" w:sz="0" w:space="0" w:color="auto"/>
        <w:bottom w:val="none" w:sz="0" w:space="0" w:color="auto"/>
        <w:right w:val="none" w:sz="0" w:space="0" w:color="auto"/>
      </w:divBdr>
    </w:div>
    <w:div w:id="2026514585">
      <w:bodyDiv w:val="1"/>
      <w:marLeft w:val="0"/>
      <w:marRight w:val="0"/>
      <w:marTop w:val="0"/>
      <w:marBottom w:val="0"/>
      <w:divBdr>
        <w:top w:val="none" w:sz="0" w:space="0" w:color="auto"/>
        <w:left w:val="none" w:sz="0" w:space="0" w:color="auto"/>
        <w:bottom w:val="none" w:sz="0" w:space="0" w:color="auto"/>
        <w:right w:val="none" w:sz="0" w:space="0" w:color="auto"/>
      </w:divBdr>
    </w:div>
    <w:div w:id="2049797922">
      <w:bodyDiv w:val="1"/>
      <w:marLeft w:val="0"/>
      <w:marRight w:val="0"/>
      <w:marTop w:val="0"/>
      <w:marBottom w:val="0"/>
      <w:divBdr>
        <w:top w:val="none" w:sz="0" w:space="0" w:color="auto"/>
        <w:left w:val="none" w:sz="0" w:space="0" w:color="auto"/>
        <w:bottom w:val="none" w:sz="0" w:space="0" w:color="auto"/>
        <w:right w:val="none" w:sz="0" w:space="0" w:color="auto"/>
      </w:divBdr>
    </w:div>
    <w:div w:id="2067293015">
      <w:bodyDiv w:val="1"/>
      <w:marLeft w:val="0"/>
      <w:marRight w:val="0"/>
      <w:marTop w:val="0"/>
      <w:marBottom w:val="0"/>
      <w:divBdr>
        <w:top w:val="none" w:sz="0" w:space="0" w:color="auto"/>
        <w:left w:val="none" w:sz="0" w:space="0" w:color="auto"/>
        <w:bottom w:val="none" w:sz="0" w:space="0" w:color="auto"/>
        <w:right w:val="none" w:sz="0" w:space="0" w:color="auto"/>
      </w:divBdr>
    </w:div>
    <w:div w:id="2069456761">
      <w:bodyDiv w:val="1"/>
      <w:marLeft w:val="0"/>
      <w:marRight w:val="0"/>
      <w:marTop w:val="0"/>
      <w:marBottom w:val="0"/>
      <w:divBdr>
        <w:top w:val="none" w:sz="0" w:space="0" w:color="auto"/>
        <w:left w:val="none" w:sz="0" w:space="0" w:color="auto"/>
        <w:bottom w:val="none" w:sz="0" w:space="0" w:color="auto"/>
        <w:right w:val="none" w:sz="0" w:space="0" w:color="auto"/>
      </w:divBdr>
    </w:div>
    <w:div w:id="2115591774">
      <w:bodyDiv w:val="1"/>
      <w:marLeft w:val="0"/>
      <w:marRight w:val="0"/>
      <w:marTop w:val="0"/>
      <w:marBottom w:val="0"/>
      <w:divBdr>
        <w:top w:val="none" w:sz="0" w:space="0" w:color="auto"/>
        <w:left w:val="none" w:sz="0" w:space="0" w:color="auto"/>
        <w:bottom w:val="none" w:sz="0" w:space="0" w:color="auto"/>
        <w:right w:val="none" w:sz="0" w:space="0" w:color="auto"/>
      </w:divBdr>
    </w:div>
    <w:div w:id="2132287148">
      <w:bodyDiv w:val="1"/>
      <w:marLeft w:val="0"/>
      <w:marRight w:val="0"/>
      <w:marTop w:val="0"/>
      <w:marBottom w:val="0"/>
      <w:divBdr>
        <w:top w:val="none" w:sz="0" w:space="0" w:color="auto"/>
        <w:left w:val="none" w:sz="0" w:space="0" w:color="auto"/>
        <w:bottom w:val="none" w:sz="0" w:space="0" w:color="auto"/>
        <w:right w:val="none" w:sz="0" w:space="0" w:color="auto"/>
      </w:divBdr>
    </w:div>
    <w:div w:id="2138255948">
      <w:bodyDiv w:val="1"/>
      <w:marLeft w:val="0"/>
      <w:marRight w:val="0"/>
      <w:marTop w:val="0"/>
      <w:marBottom w:val="0"/>
      <w:divBdr>
        <w:top w:val="none" w:sz="0" w:space="0" w:color="auto"/>
        <w:left w:val="none" w:sz="0" w:space="0" w:color="auto"/>
        <w:bottom w:val="none" w:sz="0" w:space="0" w:color="auto"/>
        <w:right w:val="none" w:sz="0" w:space="0" w:color="auto"/>
      </w:divBdr>
    </w:div>
    <w:div w:id="213918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opa.eu/eurobarometer/surveys/detail/3054" TargetMode="External"/><Relationship Id="rId117" Type="http://schemas.openxmlformats.org/officeDocument/2006/relationships/footer" Target="footer11.xml"/><Relationship Id="rId21" Type="http://schemas.openxmlformats.org/officeDocument/2006/relationships/hyperlink" Target="https://eur-lex.europa.eu/legal-content/pt/TXT/PDF/?uri=CELEX:52024DC0077" TargetMode="External"/><Relationship Id="rId42" Type="http://schemas.openxmlformats.org/officeDocument/2006/relationships/hyperlink" Target="https://reform-support.ec.europa.eu/integration-environmental-dimensions-public-finances_pt" TargetMode="External"/><Relationship Id="rId47" Type="http://schemas.openxmlformats.org/officeDocument/2006/relationships/hyperlink" Target="https://reform-support.ec.europa.eu/migrant-integration-and-talent-attraction_pt" TargetMode="External"/><Relationship Id="rId63" Type="http://schemas.openxmlformats.org/officeDocument/2006/relationships/hyperlink" Target="https://commission.europa.eu/document/download/cbc14b0f-a302-41b9-960d-0065959b77c1_pt?filename=b5_-_digital_finance_academy.pdf" TargetMode="External"/><Relationship Id="rId68" Type="http://schemas.openxmlformats.org/officeDocument/2006/relationships/hyperlink" Target="https://reform-support.ec.europa.eu/index_pt" TargetMode="External"/><Relationship Id="rId84" Type="http://schemas.openxmlformats.org/officeDocument/2006/relationships/hyperlink" Target="https://eur-lex.europa.eu/legal-content/pt/TXT/PDF/?uri=CELEX:52024DC0077" TargetMode="External"/><Relationship Id="rId89" Type="http://schemas.openxmlformats.org/officeDocument/2006/relationships/header" Target="header6.xml"/><Relationship Id="rId112" Type="http://schemas.openxmlformats.org/officeDocument/2006/relationships/image" Target="media/image9.png"/><Relationship Id="rId16" Type="http://schemas.openxmlformats.org/officeDocument/2006/relationships/footer" Target="footer2.xml"/><Relationship Id="rId107" Type="http://schemas.openxmlformats.org/officeDocument/2006/relationships/hyperlink" Target="https://commission.europa.eu/document/download/b2729e3b-ad6d-4d27-9eaf-86497d219fcc_pt?filename=b2-digital_government_services.pdf" TargetMode="External"/><Relationship Id="rId11" Type="http://schemas.openxmlformats.org/officeDocument/2006/relationships/endnotes" Target="endnotes.xml"/><Relationship Id="rId32" Type="http://schemas.openxmlformats.org/officeDocument/2006/relationships/hyperlink" Target="https://reform-support.ec.europa.eu/esg-risk-management-framework-financial-sector_pt" TargetMode="External"/><Relationship Id="rId37" Type="http://schemas.openxmlformats.org/officeDocument/2006/relationships/hyperlink" Target="https://reform-support.ec.europa.eu/pace-public-administration-cooperation-exchange_pt" TargetMode="External"/><Relationship Id="rId53" Type="http://schemas.openxmlformats.org/officeDocument/2006/relationships/hyperlink" Target="https://reform-support.ec.europa.eu/professionalization-public-procurement-personnel_pt" TargetMode="External"/><Relationship Id="rId58" Type="http://schemas.openxmlformats.org/officeDocument/2006/relationships/image" Target="media/image6.png"/><Relationship Id="rId74" Type="http://schemas.openxmlformats.org/officeDocument/2006/relationships/hyperlink" Target="https://reform-support.ec.europa.eu/our-projects/projects-spotlight_pt" TargetMode="External"/><Relationship Id="rId79" Type="http://schemas.openxmlformats.org/officeDocument/2006/relationships/hyperlink" Target="https://commission.europa.eu/strategy-and-policy/priorities-2019-2024/european-green-deal/green-deal-industrial-plan_pt" TargetMode="External"/><Relationship Id="rId102" Type="http://schemas.openxmlformats.org/officeDocument/2006/relationships/hyperlink" Target="https://reform-support.ec.europa.eu/integration-environmental-dimensions-public-finances_pt" TargetMode="External"/><Relationship Id="rId5" Type="http://schemas.openxmlformats.org/officeDocument/2006/relationships/customXml" Target="../customXml/item5.xml"/><Relationship Id="rId61" Type="http://schemas.openxmlformats.org/officeDocument/2006/relationships/image" Target="media/image9.svg"/><Relationship Id="rId82" Type="http://schemas.openxmlformats.org/officeDocument/2006/relationships/hyperlink" Target="https://state-of-the-union.ec.europa.eu/state-union-2023_pt" TargetMode="External"/><Relationship Id="rId90" Type="http://schemas.openxmlformats.org/officeDocument/2006/relationships/footer" Target="footer6.xml"/><Relationship Id="rId95" Type="http://schemas.openxmlformats.org/officeDocument/2006/relationships/header" Target="header9.xml"/><Relationship Id="rId19" Type="http://schemas.openxmlformats.org/officeDocument/2006/relationships/hyperlink" Target="https://reform-support.ec.europa.eu/public-administration-and-governance-coordination/enhancing-european-administrative-space-compact_pt" TargetMode="External"/><Relationship Id="rId14" Type="http://schemas.openxmlformats.org/officeDocument/2006/relationships/header" Target="header2.xml"/><Relationship Id="rId22" Type="http://schemas.openxmlformats.org/officeDocument/2006/relationships/image" Target="media/image2.jpeg"/><Relationship Id="rId27" Type="http://schemas.openxmlformats.org/officeDocument/2006/relationships/hyperlink" Target="https://reform-support.ec.europa.eu/tsi-2022-annual-conference_pt" TargetMode="External"/><Relationship Id="rId30" Type="http://schemas.openxmlformats.org/officeDocument/2006/relationships/hyperlink" Target="https://reform-support.ec.europa.eu/accelerating-permitting-renewable-energy_pt" TargetMode="External"/><Relationship Id="rId35" Type="http://schemas.openxmlformats.org/officeDocument/2006/relationships/hyperlink" Target="https://reform-support.ec.europa.eu/towards-person-centred-integrated-care_pt" TargetMode="External"/><Relationship Id="rId43" Type="http://schemas.openxmlformats.org/officeDocument/2006/relationships/hyperlink" Target="https://reform-support.ec.europa.eu/accelerating-permitting-renewable-energy_pt" TargetMode="External"/><Relationship Id="rId48" Type="http://schemas.openxmlformats.org/officeDocument/2006/relationships/hyperlink" Target="https://reform-support.ec.europa.eu/towards-person-centred-integrated-care_pt" TargetMode="External"/><Relationship Id="rId56" Type="http://schemas.openxmlformats.org/officeDocument/2006/relationships/hyperlink" Target="https://ec.europa.eu/commission/presscorner/detail/pt/ip_23_1625" TargetMode="External"/><Relationship Id="rId64" Type="http://schemas.openxmlformats.org/officeDocument/2006/relationships/hyperlink" Target="https://reform-support.ec.europa.eu/events-0/technical-support-instrument-2023-press-conference_pt" TargetMode="External"/><Relationship Id="rId69" Type="http://schemas.openxmlformats.org/officeDocument/2006/relationships/hyperlink" Target="https://reform-support.ec.europa.eu/what-we-do_pt" TargetMode="External"/><Relationship Id="rId77" Type="http://schemas.openxmlformats.org/officeDocument/2006/relationships/hyperlink" Target="https://eur-lex.europa.eu/eli/reg/2021/240/oj" TargetMode="External"/><Relationship Id="rId100" Type="http://schemas.openxmlformats.org/officeDocument/2006/relationships/hyperlink" Target="https://reform-support.ec.europa.eu/esg-risk-management-framework-financial-sector_pt" TargetMode="External"/><Relationship Id="rId105" Type="http://schemas.openxmlformats.org/officeDocument/2006/relationships/hyperlink" Target="https://commission.europa.eu/document/download/c98f6786-bc6e-4cfb-a222-fb8a55e95833_pt?filename=b3-just_transition.pdf" TargetMode="External"/><Relationship Id="rId113" Type="http://schemas.openxmlformats.org/officeDocument/2006/relationships/image" Target="media/image10.png"/><Relationship Id="rId118" Type="http://schemas.openxmlformats.org/officeDocument/2006/relationships/header" Target="header12.xml"/><Relationship Id="rId8" Type="http://schemas.openxmlformats.org/officeDocument/2006/relationships/settings" Target="settings.xml"/><Relationship Id="rId51" Type="http://schemas.openxmlformats.org/officeDocument/2006/relationships/hyperlink" Target="https://reform-support.ec.europa.eu/enhancing-quality-and-use-tax-information-exchanged-between-member-states_pt" TargetMode="External"/><Relationship Id="rId72" Type="http://schemas.openxmlformats.org/officeDocument/2006/relationships/hyperlink" Target="https://twitter.com/EU_reforms" TargetMode="External"/><Relationship Id="rId80" Type="http://schemas.openxmlformats.org/officeDocument/2006/relationships/hyperlink" Target="https://www.europarl.europa.eu/RegData/docs_autres_institutions/commission_europeenne/com/2023/0168/COM_COM(2023)0168_EN.pdf" TargetMode="External"/><Relationship Id="rId85" Type="http://schemas.openxmlformats.org/officeDocument/2006/relationships/header" Target="header4.xml"/><Relationship Id="rId93" Type="http://schemas.openxmlformats.org/officeDocument/2006/relationships/footer" Target="footer7.xml"/><Relationship Id="rId98" Type="http://schemas.openxmlformats.org/officeDocument/2006/relationships/hyperlink" Target="https://commission.europa.eu/document/download/8855c795-7b04-4b93-849d-32197805e838_pt?filename=b3_tourism.pdf" TargetMode="Externa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www.consilium.europa.eu/en/meetings/compet/2023/12/07/" TargetMode="External"/><Relationship Id="rId33" Type="http://schemas.openxmlformats.org/officeDocument/2006/relationships/hyperlink" Target="https://reform-support.ec.europa.eu/support-industrial-ecosystems_pt" TargetMode="External"/><Relationship Id="rId38" Type="http://schemas.openxmlformats.org/officeDocument/2006/relationships/hyperlink" Target="https://reform-support.ec.europa.eu/enhancing-quality-and-use-tax-information-exchanged-between-member-states_pt" TargetMode="External"/><Relationship Id="rId46" Type="http://schemas.openxmlformats.org/officeDocument/2006/relationships/hyperlink" Target="https://reform-support.ec.europa.eu/support-industrial-ecosystems_pt" TargetMode="External"/><Relationship Id="rId59" Type="http://schemas.openxmlformats.org/officeDocument/2006/relationships/image" Target="media/image7.svg"/><Relationship Id="rId67" Type="http://schemas.openxmlformats.org/officeDocument/2006/relationships/hyperlink" Target="https://reform-support.ec.europa.eu/events-0_pt" TargetMode="External"/><Relationship Id="rId103" Type="http://schemas.openxmlformats.org/officeDocument/2006/relationships/hyperlink" Target="https://commission.europa.eu/document/download/96a18ef4-ae1b-4490-bcbf-8686ca0e9706_pt?filename=b3-recharge_and_refuel.pdf" TargetMode="External"/><Relationship Id="rId108" Type="http://schemas.openxmlformats.org/officeDocument/2006/relationships/hyperlink" Target="https://reform-support.ec.europa.eu/digital-transformation-regional-and-local-public-administrations_pt" TargetMode="External"/><Relationship Id="rId116" Type="http://schemas.openxmlformats.org/officeDocument/2006/relationships/footer" Target="footer10.xml"/><Relationship Id="rId20" Type="http://schemas.openxmlformats.org/officeDocument/2006/relationships/hyperlink" Target="https://eur-lex.europa.eu/legal-content/pt/TXT/PDF/?uri=CELEX:52023DC0162" TargetMode="External"/><Relationship Id="rId41" Type="http://schemas.openxmlformats.org/officeDocument/2006/relationships/hyperlink" Target="https://reform-support.ec.europa.eu/digital-transformation-regional-and-local-public-administrations_pt" TargetMode="External"/><Relationship Id="rId54" Type="http://schemas.openxmlformats.org/officeDocument/2006/relationships/hyperlink" Target="https://reform-support.ec.europa.eu/digital-transformation-regional-and-local-public-administrations_pt" TargetMode="External"/><Relationship Id="rId62" Type="http://schemas.openxmlformats.org/officeDocument/2006/relationships/hyperlink" Target="https://reform-support.ec.europa.eu/what-we-do/green-transition/enhancing-eu-mining-regional-ecosystems-support-green-transition-and-secure-mineral-raw-materials_pt" TargetMode="External"/><Relationship Id="rId70" Type="http://schemas.openxmlformats.org/officeDocument/2006/relationships/hyperlink" Target="https://reform-support.ec.europa.eu/our-projects/country-factsheets_pt" TargetMode="External"/><Relationship Id="rId75" Type="http://schemas.openxmlformats.org/officeDocument/2006/relationships/hyperlink" Target="https://op.europa.eu/webpub/com/general-report-2023/pt/" TargetMode="External"/><Relationship Id="rId83" Type="http://schemas.openxmlformats.org/officeDocument/2006/relationships/hyperlink" Target="https://eur-lex.europa.eu/legal-content/pt/TXT/PDF/?uri=CELEX:52023DC0162" TargetMode="External"/><Relationship Id="rId88" Type="http://schemas.openxmlformats.org/officeDocument/2006/relationships/footer" Target="footer5.xml"/><Relationship Id="rId91" Type="http://schemas.openxmlformats.org/officeDocument/2006/relationships/header" Target="header7.xml"/><Relationship Id="rId96" Type="http://schemas.openxmlformats.org/officeDocument/2006/relationships/footer" Target="footer9.xml"/><Relationship Id="rId111" Type="http://schemas.openxmlformats.org/officeDocument/2006/relationships/hyperlink" Target="https://reform-support.ec.europa.eu/public-administration-and-governance-coordination/enhancing-european-administrative-space-compact_p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hyperlink" Target="https://commission.europa.eu/document/download/cbc14b0f-a302-41b9-960d-0065959b77c1_pt?filename=b5_-_digital_finance_academy.pdf" TargetMode="External"/><Relationship Id="rId36" Type="http://schemas.openxmlformats.org/officeDocument/2006/relationships/hyperlink" Target="https://reform-support.ec.europa.eu/youth-first-supporting-children-and-youth-wellbeing-education-training-social-protection-and-labour_pt" TargetMode="External"/><Relationship Id="rId49" Type="http://schemas.openxmlformats.org/officeDocument/2006/relationships/hyperlink" Target="https://reform-support.ec.europa.eu/youth-first-supporting-children-and-youth-wellbeing-education-training-social-protection-and-labour_pt" TargetMode="External"/><Relationship Id="rId57" Type="http://schemas.openxmlformats.org/officeDocument/2006/relationships/image" Target="media/image5.png"/><Relationship Id="rId106" Type="http://schemas.openxmlformats.org/officeDocument/2006/relationships/hyperlink" Target="https://commission.europa.eu/document/download/b518c6c4-8705-4dbf-a8ec-25747fe2b43e_pt?filename=b3-renovation_wave_.pdf" TargetMode="External"/><Relationship Id="rId114" Type="http://schemas.openxmlformats.org/officeDocument/2006/relationships/header" Target="header10.xml"/><Relationship Id="rId119" Type="http://schemas.openxmlformats.org/officeDocument/2006/relationships/footer" Target="footer12.xml"/><Relationship Id="rId10" Type="http://schemas.openxmlformats.org/officeDocument/2006/relationships/footnotes" Target="footnotes.xml"/><Relationship Id="rId31" Type="http://schemas.openxmlformats.org/officeDocument/2006/relationships/hyperlink" Target="https://reform-support.ec.europa.eu/support-climate-adaptation_pt" TargetMode="External"/><Relationship Id="rId44" Type="http://schemas.openxmlformats.org/officeDocument/2006/relationships/hyperlink" Target="https://reform-support.ec.europa.eu/support-climate-adaptation_pt" TargetMode="External"/><Relationship Id="rId52" Type="http://schemas.openxmlformats.org/officeDocument/2006/relationships/hyperlink" Target="https://reform-support.ec.europa.eu/professionalization-public-procurement-personnel_pt" TargetMode="External"/><Relationship Id="rId60" Type="http://schemas.openxmlformats.org/officeDocument/2006/relationships/image" Target="media/image7.png"/><Relationship Id="rId65" Type="http://schemas.openxmlformats.org/officeDocument/2006/relationships/hyperlink" Target="https://reform-support.ec.europa.eu/events-0/2023-technical-support-instrument-annual-conference_pt" TargetMode="External"/><Relationship Id="rId73" Type="http://schemas.openxmlformats.org/officeDocument/2006/relationships/hyperlink" Target="https://www.youtube.com/%40dgreform" TargetMode="External"/><Relationship Id="rId78" Type="http://schemas.openxmlformats.org/officeDocument/2006/relationships/hyperlink" Target="https://commission.europa.eu/strategy-and-policy/priorities-2019-2024/europe-fit-digital-age/european-industrial-strategy_pt" TargetMode="External"/><Relationship Id="rId81" Type="http://schemas.openxmlformats.org/officeDocument/2006/relationships/hyperlink" Target="https://commission.europa.eu/news/new-tools-reinforce-eus-economic-security-2024-01-24_pt" TargetMode="External"/><Relationship Id="rId86" Type="http://schemas.openxmlformats.org/officeDocument/2006/relationships/header" Target="header5.xml"/><Relationship Id="rId94" Type="http://schemas.openxmlformats.org/officeDocument/2006/relationships/footer" Target="footer8.xml"/><Relationship Id="rId99" Type="http://schemas.openxmlformats.org/officeDocument/2006/relationships/hyperlink" Target="https://reform-support.ec.europa.eu/support-industrial-ecosystems_pt" TargetMode="External"/><Relationship Id="rId101" Type="http://schemas.openxmlformats.org/officeDocument/2006/relationships/hyperlink" Target="https://commission.europa.eu/document/download/cbc14b0f-a302-41b9-960d-0065959b77c1_pt?filename=b5_-_digital_finance_academy.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reform-support.ec.europa.eu/professionalization-public-procurement-personnel_pt" TargetMode="External"/><Relationship Id="rId109" Type="http://schemas.openxmlformats.org/officeDocument/2006/relationships/hyperlink" Target="https://reform-support.ec.europa.eu/youth-first-supporting-children-and-youth-wellbeing-education-training-social-protection-and-labour_pt" TargetMode="External"/><Relationship Id="rId34" Type="http://schemas.openxmlformats.org/officeDocument/2006/relationships/hyperlink" Target="https://reform-support.ec.europa.eu/migrant-integration-and-talent-attraction_pt" TargetMode="External"/><Relationship Id="rId50" Type="http://schemas.openxmlformats.org/officeDocument/2006/relationships/hyperlink" Target="https://reform-support.ec.europa.eu/pace-public-administration-cooperation-exchange_pt" TargetMode="External"/><Relationship Id="rId55" Type="http://schemas.openxmlformats.org/officeDocument/2006/relationships/image" Target="media/image4.png"/><Relationship Id="rId76" Type="http://schemas.openxmlformats.org/officeDocument/2006/relationships/hyperlink" Target="https://commission.europa.eu/publications/ex-post-evaluation-structural-reform-support-programme_pt" TargetMode="External"/><Relationship Id="rId97" Type="http://schemas.openxmlformats.org/officeDocument/2006/relationships/image" Target="media/image8.png"/><Relationship Id="rId104" Type="http://schemas.openxmlformats.org/officeDocument/2006/relationships/hyperlink" Target="https://reform-support.ec.europa.eu/accelerating-permitting-renewable-energy_pt" TargetMode="External"/><Relationship Id="rId120"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reform-support.ec.europa.eu/publications-0_pt?f%5B0%5D=funding_programme_funding_programme%3A1027" TargetMode="External"/><Relationship Id="rId92" Type="http://schemas.openxmlformats.org/officeDocument/2006/relationships/header" Target="header8.xml"/><Relationship Id="rId2" Type="http://schemas.openxmlformats.org/officeDocument/2006/relationships/customXml" Target="../customXml/item2.xml"/><Relationship Id="rId29" Type="http://schemas.openxmlformats.org/officeDocument/2006/relationships/hyperlink" Target="https://reform-support.ec.europa.eu/integration-environmental-dimensions-public-finances_pt" TargetMode="External"/><Relationship Id="rId24" Type="http://schemas.openxmlformats.org/officeDocument/2006/relationships/hyperlink" Target="https://reform-support.ec.europa.eu/public-administration-and-governance-coordination/enhancing-european-administrative-space-compact_pt" TargetMode="External"/><Relationship Id="rId40" Type="http://schemas.openxmlformats.org/officeDocument/2006/relationships/hyperlink" Target="https://reform-support.ec.europa.eu/professionalization-public-procurement-personnel_pt" TargetMode="External"/><Relationship Id="rId45" Type="http://schemas.openxmlformats.org/officeDocument/2006/relationships/hyperlink" Target="https://reform-support.ec.europa.eu/esg-risk-management-framework-financial-sector_pt" TargetMode="External"/><Relationship Id="rId66" Type="http://schemas.openxmlformats.org/officeDocument/2006/relationships/hyperlink" Target="https://reform-support.ec.europa.eu/events-0/2023-technical-support-instrument-annual-conference_pt" TargetMode="External"/><Relationship Id="rId87" Type="http://schemas.openxmlformats.org/officeDocument/2006/relationships/footer" Target="footer4.xml"/><Relationship Id="rId110" Type="http://schemas.openxmlformats.org/officeDocument/2006/relationships/hyperlink" Target="https://reform-support.ec.europa.eu/migrant-integration-and-talent-attraction_pt" TargetMode="External"/><Relationship Id="rId115" Type="http://schemas.openxmlformats.org/officeDocument/2006/relationships/header" Target="header1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reg/2021/241/oj" TargetMode="External"/><Relationship Id="rId1" Type="http://schemas.openxmlformats.org/officeDocument/2006/relationships/hyperlink" Target="https://commission.europa.eu/funding-tenders/find-funding/eu-funding-programmes/technical-support-instrument/technical-support-instrument-tsi_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Report has as purpose to provide the European Parliament and the Council with an annual monitoring on the implementation of the Technical Support Instrument, including information on requests for support submitted by Member States, on analyses of the application of the criteria for assessing the requests for support, on cooperation and support plans, on participation of reform partners, and on special measures adopted.</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0ba0941e-b5c2-4031-bcd1-7e0f9f0f36e7" xsi:nil="true"/>
    <lcf76f155ced4ddcb4097134ff3c332f xmlns="49348720-65ca-4d9d-a954-f64b3d9cc46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5FD0F7B257CC4BACBC6B75308D865C" ma:contentTypeVersion="14" ma:contentTypeDescription="Create a new document." ma:contentTypeScope="" ma:versionID="b5d30ece43120f6b0890267cb43fa09c">
  <xsd:schema xmlns:xsd="http://www.w3.org/2001/XMLSchema" xmlns:xs="http://www.w3.org/2001/XMLSchema" xmlns:p="http://schemas.microsoft.com/office/2006/metadata/properties" xmlns:ns2="8d82ef2e-2665-4d75-ad12-ca052c5613cd" xmlns:ns3="49348720-65ca-4d9d-a954-f64b3d9cc462" xmlns:ns4="0ba0941e-b5c2-4031-bcd1-7e0f9f0f36e7" targetNamespace="http://schemas.microsoft.com/office/2006/metadata/properties" ma:root="true" ma:fieldsID="278428af3c048cd2b4cf807e6dd7cfe1" ns2:_="" ns3:_="" ns4:_="">
    <xsd:import namespace="8d82ef2e-2665-4d75-ad12-ca052c5613cd"/>
    <xsd:import namespace="49348720-65ca-4d9d-a954-f64b3d9cc462"/>
    <xsd:import namespace="0ba0941e-b5c2-4031-bcd1-7e0f9f0f36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348720-65ca-4d9d-a954-f64b3d9cc4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0941e-b5c2-4031-bcd1-7e0f9f0f36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f730ef-0004-4d10-92bb-fbb726e1be6b}" ma:internalName="TaxCatchAll" ma:showField="CatchAllData" ma:web="0ba0941e-b5c2-4031-bcd1-7e0f9f0f3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B5786F-B21B-46F4-BE87-A3F64B160858}">
  <ds:schemaRefs>
    <ds:schemaRef ds:uri="8d82ef2e-2665-4d75-ad12-ca052c5613cd"/>
    <ds:schemaRef ds:uri="http://www.w3.org/XML/1998/namespace"/>
    <ds:schemaRef ds:uri="http://schemas.microsoft.com/office/2006/metadata/propertie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0ba0941e-b5c2-4031-bcd1-7e0f9f0f36e7"/>
    <ds:schemaRef ds:uri="49348720-65ca-4d9d-a954-f64b3d9cc462"/>
    <ds:schemaRef ds:uri="http://purl.org/dc/terms/"/>
  </ds:schemaRefs>
</ds:datastoreItem>
</file>

<file path=customXml/itemProps3.xml><?xml version="1.0" encoding="utf-8"?>
<ds:datastoreItem xmlns:ds="http://schemas.openxmlformats.org/officeDocument/2006/customXml" ds:itemID="{E58D27B1-ED73-4F75-A223-39205B7C7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2ef2e-2665-4d75-ad12-ca052c5613cd"/>
    <ds:schemaRef ds:uri="49348720-65ca-4d9d-a954-f64b3d9cc462"/>
    <ds:schemaRef ds:uri="0ba0941e-b5c2-4031-bcd1-7e0f9f0f3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E589CF-4BC2-4949-A8CA-F9C213406C71}">
  <ds:schemaRefs>
    <ds:schemaRef ds:uri="http://schemas.microsoft.com/sharepoint/v3/contenttype/forms"/>
  </ds:schemaRefs>
</ds:datastoreItem>
</file>

<file path=customXml/itemProps5.xml><?xml version="1.0" encoding="utf-8"?>
<ds:datastoreItem xmlns:ds="http://schemas.openxmlformats.org/officeDocument/2006/customXml" ds:itemID="{80F5A0C8-7647-4284-9885-13E6A402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10934</Words>
  <Characters>62327</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technical support instrument 2021</vt:lpstr>
    </vt:vector>
  </TitlesOfParts>
  <Manager/>
  <Company/>
  <LinksUpToDate>false</LinksUpToDate>
  <CharactersWithSpaces>73115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support instrument 2021</dc:title>
  <dc:subject/>
  <dc:creator/>
  <cp:keywords/>
  <dc:description/>
  <cp:lastModifiedBy/>
  <cp:revision>14</cp:revision>
  <cp:lastPrinted>2023-05-29T03:16:00Z</cp:lastPrinted>
  <dcterms:created xsi:type="dcterms:W3CDTF">2024-10-03T08:08:00Z</dcterms:created>
  <dcterms:modified xsi:type="dcterms:W3CDTF">2024-10-09T08:00:00Z</dcterms:modified>
  <cp:category>Unit A2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2022-07-29T06:57:36Z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1cfadfbb-614e-42a5-9d66-e2a901553179</vt:lpwstr>
  </property>
  <property fmtid="{D5CDD505-2E9C-101B-9397-08002B2CF9AE}" pid="8" name="MSIP_Label_6bd9ddd1-4d20-43f6-abfa-fc3c07406f94_ContentBits">
    <vt:lpwstr>0</vt:lpwstr>
  </property>
  <property fmtid="{D5CDD505-2E9C-101B-9397-08002B2CF9AE}" pid="9" name="ContentTypeId">
    <vt:lpwstr>0x0101003BFB6BA19BD1CF46B4277EABC037A4B6</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9.0, Build 20230317</vt:lpwstr>
  </property>
  <property fmtid="{D5CDD505-2E9C-101B-9397-08002B2CF9AE}" pid="17" name="Created using">
    <vt:lpwstr>LW 9.0, Build 20230317</vt:lpwstr>
  </property>
  <property name="OP_sanitized" fmtid="{D5CDD505-2E9C-101B-9397-08002B2CF9AE}" pid="18">
    <vt:lpwstr>True</vt:lpwstr>
  </property>
</Properties>
</file>