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359DE" w14:textId="297FB1E2" w:rsidR="00304682" w:rsidRPr="002858D6" w:rsidRDefault="007A1735" w:rsidP="007A1735">
      <w:pPr>
        <w:pStyle w:val="Pagedecouverture"/>
        <w:rPr>
          <w:noProof/>
        </w:rPr>
      </w:pPr>
      <w:r>
        <w:rPr>
          <w:noProof/>
        </w:rPr>
        <w:pict w14:anchorId="79B548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20C08F0-C179-439F-95AD-33163C1A5802" style="width:455.25pt;height:396.75pt">
            <v:imagedata r:id="rId11" o:title=""/>
          </v:shape>
        </w:pict>
      </w:r>
    </w:p>
    <w:p w14:paraId="513B9069" w14:textId="77777777" w:rsidR="00304682" w:rsidRPr="002858D6" w:rsidRDefault="00304682" w:rsidP="00304682">
      <w:pPr>
        <w:rPr>
          <w:noProof/>
        </w:rPr>
        <w:sectPr w:rsidR="00304682" w:rsidRPr="002858D6" w:rsidSect="007A1735">
          <w:footerReference w:type="even" r:id="rId12"/>
          <w:footerReference w:type="default" r:id="rId13"/>
          <w:pgSz w:w="11907" w:h="16839"/>
          <w:pgMar w:top="1134" w:right="1417" w:bottom="1134" w:left="1417" w:header="709" w:footer="709" w:gutter="0"/>
          <w:pgNumType w:start="0"/>
          <w:cols w:space="720"/>
          <w:docGrid w:linePitch="360"/>
        </w:sectPr>
      </w:pPr>
    </w:p>
    <w:p w14:paraId="751FE23C" w14:textId="77777777" w:rsidR="00304682" w:rsidRPr="002858D6" w:rsidRDefault="00304682">
      <w:pPr>
        <w:pStyle w:val="Exposdesmotifstitre"/>
        <w:rPr>
          <w:noProof/>
        </w:rPr>
      </w:pPr>
      <w:bookmarkStart w:id="0" w:name="_GoBack"/>
      <w:bookmarkEnd w:id="0"/>
      <w:r w:rsidRPr="002858D6">
        <w:rPr>
          <w:noProof/>
        </w:rPr>
        <w:lastRenderedPageBreak/>
        <w:t>EXPOSIÇÃO DE MOTIVOS</w:t>
      </w:r>
    </w:p>
    <w:p w14:paraId="63370CAF" w14:textId="77777777" w:rsidR="00304682" w:rsidRPr="002858D6" w:rsidRDefault="00304682">
      <w:pPr>
        <w:pStyle w:val="ManualHeading1"/>
        <w:rPr>
          <w:noProof/>
        </w:rPr>
      </w:pPr>
      <w:r w:rsidRPr="002858D6">
        <w:rPr>
          <w:noProof/>
        </w:rPr>
        <w:t>1.</w:t>
      </w:r>
      <w:r w:rsidRPr="002858D6">
        <w:rPr>
          <w:noProof/>
        </w:rPr>
        <w:tab/>
        <w:t>CONTEXTO DA PROPOSTA</w:t>
      </w:r>
    </w:p>
    <w:p w14:paraId="51EE7D33" w14:textId="77777777" w:rsidR="00304682" w:rsidRPr="002858D6" w:rsidRDefault="00304682">
      <w:pPr>
        <w:pStyle w:val="ManualHeading2"/>
        <w:rPr>
          <w:noProof/>
        </w:rPr>
      </w:pPr>
      <w:r w:rsidRPr="002858D6">
        <w:rPr>
          <w:noProof/>
          <w:u w:color="000000"/>
          <w:bdr w:val="nil"/>
        </w:rPr>
        <w:t>•</w:t>
      </w:r>
      <w:r w:rsidRPr="002858D6">
        <w:rPr>
          <w:noProof/>
        </w:rPr>
        <w:tab/>
        <w:t>Razões e objetivos da proposta</w:t>
      </w:r>
    </w:p>
    <w:p w14:paraId="4545EF62" w14:textId="42BB83E7" w:rsidR="005935EA" w:rsidRPr="002858D6" w:rsidRDefault="005935EA" w:rsidP="001135C7">
      <w:pPr>
        <w:spacing w:before="0" w:after="240"/>
        <w:textAlignment w:val="baseline"/>
        <w:rPr>
          <w:noProof/>
        </w:rPr>
      </w:pPr>
      <w:r w:rsidRPr="002858D6">
        <w:rPr>
          <w:noProof/>
        </w:rPr>
        <w:t xml:space="preserve">Os cidadãos da União que se desloquem ou que residam num país terceiro em que o seu próprio Estado-Membro da nacionalidade não se encontra representado por embaixada ou consulado têm direito à proteção das autoridades diplomáticas e consulares de qualquer outro Estado-Membro, nas mesmas condições que os nacionais desse Estado-Membro. Este direito de cidadania da União, estabelecido pelo Tratado de Maastricht, está consagrado no artigo 20.º, n.º 2, alínea c), e no artigo 23.º do Tratado sobre o Funcionamento da União Europeia (TFUE) e no artigo 46.º da Carta dos Direitos Fundamentais da União Europeia («Carta»). </w:t>
      </w:r>
    </w:p>
    <w:p w14:paraId="26FD64FC" w14:textId="6A50B995" w:rsidR="005935EA" w:rsidRPr="002858D6" w:rsidRDefault="00DC3F9F" w:rsidP="001135C7">
      <w:pPr>
        <w:spacing w:before="0" w:after="240"/>
        <w:textAlignment w:val="baseline"/>
        <w:rPr>
          <w:noProof/>
        </w:rPr>
      </w:pPr>
      <w:r w:rsidRPr="002858D6">
        <w:rPr>
          <w:noProof/>
        </w:rPr>
        <w:t>Este direito constitui a dimensão externa da cidadania da UE, um dos benefícios práticos de ser cidadão da União e um exemplo concreto da solidariedade europeia. Protege os cidadãos da União que necessitem de ajuda num país terceiro em que não estão representados pelo seu Estado-Membro da nacionalidade, por exemplo, devido a um acidente ou doença grave, se forem vítimas de um crime ou perderem os documentos de viagem.</w:t>
      </w:r>
    </w:p>
    <w:p w14:paraId="6217DDFA" w14:textId="4B131971" w:rsidR="0071192F" w:rsidRPr="002858D6" w:rsidRDefault="0071192F" w:rsidP="001135C7">
      <w:pPr>
        <w:pBdr>
          <w:top w:val="nil"/>
          <w:left w:val="nil"/>
          <w:bottom w:val="nil"/>
          <w:right w:val="nil"/>
          <w:between w:val="nil"/>
          <w:bar w:val="nil"/>
        </w:pBdr>
        <w:spacing w:before="0" w:after="240"/>
        <w:rPr>
          <w:noProof/>
        </w:rPr>
      </w:pPr>
      <w:r w:rsidRPr="002858D6">
        <w:rPr>
          <w:noProof/>
        </w:rPr>
        <w:t xml:space="preserve">Em 20 de abril de 2015, o Conselho adotou a </w:t>
      </w:r>
      <w:bookmarkStart w:id="1" w:name="_Hlk129257139"/>
      <w:r w:rsidRPr="002858D6">
        <w:rPr>
          <w:noProof/>
        </w:rPr>
        <w:t xml:space="preserve">Diretiva (UE) 2015/637 </w:t>
      </w:r>
      <w:bookmarkEnd w:id="1"/>
      <w:r w:rsidRPr="002858D6">
        <w:rPr>
          <w:noProof/>
        </w:rPr>
        <w:t>relativa a medidas de coordenação e cooperação para facilitar a proteção consular dos cidadãos da União não representados em países terceiros</w:t>
      </w:r>
      <w:r w:rsidRPr="002858D6">
        <w:rPr>
          <w:rStyle w:val="FootnoteReference0"/>
          <w:noProof/>
        </w:rPr>
        <w:footnoteReference w:id="2"/>
      </w:r>
      <w:r w:rsidRPr="002858D6">
        <w:rPr>
          <w:noProof/>
        </w:rPr>
        <w:t>, substituindo o quadro intergovernamental que regia a proteção consular</w:t>
      </w:r>
      <w:r w:rsidRPr="002858D6">
        <w:rPr>
          <w:rStyle w:val="FootnoteReference0"/>
          <w:noProof/>
        </w:rPr>
        <w:footnoteReference w:id="3"/>
      </w:r>
      <w:r w:rsidRPr="002858D6">
        <w:rPr>
          <w:noProof/>
        </w:rPr>
        <w:t>. Os Estados-Membros tinham três anos, até maio de 2018, para transpor a diretiva para a legislação nacional</w:t>
      </w:r>
      <w:r w:rsidRPr="002858D6">
        <w:rPr>
          <w:rStyle w:val="FootnoteReference0"/>
          <w:noProof/>
        </w:rPr>
        <w:footnoteReference w:id="4"/>
      </w:r>
      <w:r w:rsidRPr="002858D6">
        <w:rPr>
          <w:noProof/>
        </w:rPr>
        <w:t xml:space="preserve">. </w:t>
      </w:r>
    </w:p>
    <w:p w14:paraId="48ABB622" w14:textId="77777777" w:rsidR="00563599" w:rsidRPr="002858D6" w:rsidRDefault="006F1271" w:rsidP="001135C7">
      <w:pPr>
        <w:spacing w:before="0" w:after="240"/>
        <w:textAlignment w:val="baseline"/>
        <w:rPr>
          <w:noProof/>
        </w:rPr>
      </w:pPr>
      <w:r w:rsidRPr="002858D6">
        <w:rPr>
          <w:noProof/>
        </w:rPr>
        <w:t>O programa de trabalho da Comissão para 2021</w:t>
      </w:r>
      <w:r w:rsidRPr="002858D6">
        <w:rPr>
          <w:rStyle w:val="FootnoteReference0"/>
          <w:noProof/>
        </w:rPr>
        <w:footnoteReference w:id="5"/>
      </w:r>
      <w:r w:rsidRPr="002858D6">
        <w:rPr>
          <w:noProof/>
        </w:rPr>
        <w:t xml:space="preserve"> anunciou uma revisão das regras da União relativas à proteção consular para melhorar a preparação e a capacidade da UE e dos Estados-Membros para proteger e prestar apoio aos cidadãos da União em momentos de crise. Esta revisão implicaria o reforço do papel de apoio da União, tirando o melhor partido possível da sua rede única de delegações. </w:t>
      </w:r>
    </w:p>
    <w:p w14:paraId="7E7708EB" w14:textId="77777777" w:rsidR="00563599" w:rsidRPr="002858D6" w:rsidRDefault="00563599" w:rsidP="001135C7">
      <w:pPr>
        <w:spacing w:before="0" w:after="240"/>
        <w:textAlignment w:val="baseline"/>
        <w:rPr>
          <w:noProof/>
        </w:rPr>
      </w:pPr>
      <w:r w:rsidRPr="002858D6">
        <w:rPr>
          <w:noProof/>
        </w:rPr>
        <w:t>Além disso, na sua comunicação sobre o seguimento da Conferência sobre o Futuro da Europa, a Comissão comprometeu-se a ponderar novos domínios de intervenção, como: «Tornar a cidadania europeia mais percetível pelos cidadãos, nomeadamente reforçando os direitos que lhe estão associados e disponibilizando informações fiáveis e facilmente acessíveis sobre a mesma»</w:t>
      </w:r>
      <w:r w:rsidRPr="002858D6">
        <w:rPr>
          <w:rStyle w:val="FootnoteReference0"/>
          <w:noProof/>
        </w:rPr>
        <w:footnoteReference w:id="6"/>
      </w:r>
      <w:r w:rsidRPr="002858D6">
        <w:rPr>
          <w:noProof/>
        </w:rPr>
        <w:t xml:space="preserve">. </w:t>
      </w:r>
    </w:p>
    <w:p w14:paraId="379E2605" w14:textId="77777777" w:rsidR="00563599" w:rsidRPr="002858D6" w:rsidRDefault="00563599" w:rsidP="001135C7">
      <w:pPr>
        <w:spacing w:before="0" w:after="240"/>
        <w:textAlignment w:val="baseline"/>
        <w:rPr>
          <w:noProof/>
        </w:rPr>
      </w:pPr>
      <w:r w:rsidRPr="002858D6">
        <w:rPr>
          <w:noProof/>
        </w:rPr>
        <w:lastRenderedPageBreak/>
        <w:t>A Bússola Estratégica para a Segurança e a Defesa – Por uma União Europeia que protege os seus cidadãos, os seus valores e os seus interesses e contribui para a paz e a segurança internacionais, adotada pelo Conselho em março de 2022</w:t>
      </w:r>
      <w:r w:rsidRPr="002858D6">
        <w:rPr>
          <w:rStyle w:val="FootnoteReference0"/>
          <w:noProof/>
        </w:rPr>
        <w:footnoteReference w:id="7"/>
      </w:r>
      <w:r w:rsidRPr="002858D6">
        <w:rPr>
          <w:noProof/>
        </w:rPr>
        <w:t>, anunciou que os «mecanismos de resposta a situações de crise do SEAE [Serviço Europeu para a Ação Externa], o nosso apoio consular e a segurança no terreno serão também revistos e reforçados, por forma a prestar melhor assistência aos Estados-Membros nos seus esforços de proteção e salvamento dos seus cidadãos no estrangeiro, bem como a apoiar as delegações da UE quando precisam de resgatar pessoal»</w:t>
      </w:r>
      <w:r w:rsidRPr="002858D6">
        <w:rPr>
          <w:rStyle w:val="FootnoteReference0"/>
          <w:noProof/>
        </w:rPr>
        <w:footnoteReference w:id="8"/>
      </w:r>
      <w:r w:rsidRPr="002858D6">
        <w:rPr>
          <w:noProof/>
        </w:rPr>
        <w:t xml:space="preserve">. </w:t>
      </w:r>
    </w:p>
    <w:p w14:paraId="49255107" w14:textId="2002A96F" w:rsidR="00323997" w:rsidRPr="002858D6" w:rsidRDefault="00F02514" w:rsidP="001135C7">
      <w:pPr>
        <w:spacing w:before="0" w:after="240"/>
        <w:textAlignment w:val="baseline"/>
        <w:rPr>
          <w:noProof/>
        </w:rPr>
      </w:pPr>
      <w:r w:rsidRPr="002858D6">
        <w:rPr>
          <w:noProof/>
        </w:rPr>
        <w:t>Conforme referido no relatório da Comissão, de 2 de setembro de 2022, sobre a transposição e aplicação da Diretiva (UE) 2015/637 do Conselho</w:t>
      </w:r>
      <w:r w:rsidRPr="002858D6">
        <w:rPr>
          <w:rStyle w:val="FootnoteReference0"/>
          <w:noProof/>
        </w:rPr>
        <w:footnoteReference w:id="9"/>
      </w:r>
      <w:r w:rsidRPr="002858D6">
        <w:rPr>
          <w:noProof/>
        </w:rPr>
        <w:t>, as crises que dão origem a pedidos de proteção consular estão a aumentar em frequência e em escala. A pandemia de COVID-19 (sem precedentes em termos de escala e complexidade), a crise no Afeganistão, a guerra de agressão da Rússia contra a Ucrânia, o conflito no Sudão, os repatriamentos de Israel e Gaza e outras crises semelhantes permitiram identificar lacunas e refletir sobre a forma de reforçar o direito dos cidadãos da União à proteção consular.</w:t>
      </w:r>
    </w:p>
    <w:p w14:paraId="3BCF0D50" w14:textId="17CAB10B" w:rsidR="00334693" w:rsidRPr="002858D6" w:rsidRDefault="00334693" w:rsidP="001135C7">
      <w:pPr>
        <w:spacing w:before="0" w:after="240"/>
        <w:textAlignment w:val="baseline"/>
        <w:rPr>
          <w:noProof/>
        </w:rPr>
      </w:pPr>
      <w:r w:rsidRPr="002858D6">
        <w:rPr>
          <w:noProof/>
        </w:rPr>
        <w:t>Tendo em conta o que precede, a Comissão propõe alterar a Diretiva (UE) 2015/637 com vista a melhorar e reforçar as medidas de coordenação e cooperação necessárias para facilitar a proteção consular dos cidadãos da União.</w:t>
      </w:r>
    </w:p>
    <w:p w14:paraId="37A250C3" w14:textId="7B64A03E" w:rsidR="00A60D18" w:rsidRPr="002858D6" w:rsidRDefault="003B217A" w:rsidP="001135C7">
      <w:pPr>
        <w:spacing w:before="0" w:after="240"/>
        <w:textAlignment w:val="baseline"/>
        <w:rPr>
          <w:noProof/>
        </w:rPr>
      </w:pPr>
      <w:r w:rsidRPr="002858D6">
        <w:rPr>
          <w:noProof/>
        </w:rPr>
        <w:t>A fim de melhorar a segurança jurídica para as autoridades consulares e os cidadãos, a Comissão propõe clarificar quando um cidadão da União deve ser considerado «não representado» e, por conseguinte, ter direito a receber proteção consular das autoridades consulares de outros Estados-Membros. As alterações da Diretiva (UE) 2015/637 deverão assegurar a simplificação da cooperação entre as autoridades consulares, apoiadas pelas delegações da União.</w:t>
      </w:r>
    </w:p>
    <w:p w14:paraId="69010CCC" w14:textId="20617B9D" w:rsidR="00F02FE1" w:rsidRPr="002858D6" w:rsidRDefault="00F50731" w:rsidP="001135C7">
      <w:pPr>
        <w:spacing w:before="0" w:after="240"/>
        <w:textAlignment w:val="baseline"/>
        <w:rPr>
          <w:noProof/>
        </w:rPr>
      </w:pPr>
      <w:r w:rsidRPr="002858D6">
        <w:rPr>
          <w:noProof/>
        </w:rPr>
        <w:t>A fim de utilizar da melhor forma a rede de delegações da União, em especial nos países terceiros onde apenas estão presentes alguns Estados-Membros, a Comissão considera que as suas tarefas devem ser clarificadas e que o seu papel de apoio deve ser reforçado, nomeadamente na preparação e resposta a situações de crise. Nesse domínio, a proposta prevê a elaboração dos chamados planos conjuntos de emergência consular (também conhecidos por «Quadros conjuntos da UE de preparação para crises consulares») para todos os países terceiros, a fim de facilitar a resposta a eventuais crises consulares futuras. Além disso, prevê uma base jurídica para o eventual destacamento das chamadas equipas consulares conjuntas, ou seja, equipas pluridisciplinares voluntárias, compostas por peritos consulares dos Estados-Membros e das instituições da União, a fim de apoiar os serviços consulares locais dos Estados-Membros com pouco pessoal em tempos de crise</w:t>
      </w:r>
      <w:r w:rsidRPr="002858D6">
        <w:rPr>
          <w:rStyle w:val="FootnoteReference0"/>
          <w:noProof/>
        </w:rPr>
        <w:footnoteReference w:id="10"/>
      </w:r>
      <w:r w:rsidRPr="002858D6">
        <w:rPr>
          <w:noProof/>
        </w:rPr>
        <w:t xml:space="preserve">. </w:t>
      </w:r>
    </w:p>
    <w:p w14:paraId="6854E4A5" w14:textId="338874C0" w:rsidR="003279E5" w:rsidRPr="002858D6" w:rsidRDefault="003279E5" w:rsidP="001135C7">
      <w:pPr>
        <w:spacing w:before="0" w:after="240"/>
        <w:textAlignment w:val="baseline"/>
        <w:rPr>
          <w:noProof/>
        </w:rPr>
      </w:pPr>
      <w:r w:rsidRPr="002858D6">
        <w:rPr>
          <w:noProof/>
        </w:rPr>
        <w:lastRenderedPageBreak/>
        <w:t xml:space="preserve">A Comissão propõe igualmente melhorar o fluxo de informação entre os Estados-Membros e as instituições da União e as informações prestadas aos cidadãos da União, a fim de lhes permitir tomar decisões mais informadas sobre as viagens. </w:t>
      </w:r>
    </w:p>
    <w:p w14:paraId="1BD4756B" w14:textId="739DBF99" w:rsidR="00564ED1" w:rsidRPr="002858D6" w:rsidRDefault="00564ED1" w:rsidP="001135C7">
      <w:pPr>
        <w:spacing w:before="0" w:after="240"/>
        <w:textAlignment w:val="baseline"/>
        <w:rPr>
          <w:noProof/>
        </w:rPr>
      </w:pPr>
      <w:r w:rsidRPr="002858D6">
        <w:rPr>
          <w:noProof/>
        </w:rPr>
        <w:t>Por último, propõe simplificar as disposições relativas aos reembolsos financeiros das despesas resultantes da concessão de proteção consular. No futuro, os Estados-Membros deverão ter o direito de solicitar o reembolso diretamente ao cidadão em causa, a fim de evitar procedimentos burocráticos morosos. Além disso, as delegações da União também deverão ter direito a obter reembolsos financeiros se apoiarem a concessão de proteção consular a cidadãos não representados. Estes novos procedimentos financeiros também devem ser aplicados no contexto da Diretiva (UE) 2019/997</w:t>
      </w:r>
      <w:r w:rsidRPr="002858D6">
        <w:rPr>
          <w:rStyle w:val="FootnoteReference0"/>
          <w:noProof/>
        </w:rPr>
        <w:footnoteReference w:id="11"/>
      </w:r>
      <w:r w:rsidRPr="002858D6">
        <w:rPr>
          <w:noProof/>
        </w:rPr>
        <w:t>, que estabelece regras sobre as condições e o procedimento para os cidadãos não representados em países terceiros obterem um título de viagem provisório da UE («TVP da UE») e cria um modelo uniforme para esses documentos.</w:t>
      </w:r>
    </w:p>
    <w:p w14:paraId="40A95DCB" w14:textId="52DFB2EE" w:rsidR="00563599" w:rsidRPr="002858D6" w:rsidRDefault="00563599" w:rsidP="001135C7">
      <w:pPr>
        <w:spacing w:before="0" w:after="240"/>
        <w:textAlignment w:val="baseline"/>
        <w:rPr>
          <w:noProof/>
        </w:rPr>
      </w:pPr>
      <w:r w:rsidRPr="002858D6">
        <w:rPr>
          <w:noProof/>
        </w:rPr>
        <w:t xml:space="preserve">Melhorar a proteção consular dos cidadãos da União no estrangeiro, reforçando a solidariedade e a cooperação da UE neste domínio, garante que os cidadãos da União continuam a beneficiar deste direito fundamental de acordo com os mais elevados padrões, em especial em tempos de crise. </w:t>
      </w:r>
    </w:p>
    <w:p w14:paraId="3C7FF902" w14:textId="77777777" w:rsidR="00304682" w:rsidRPr="002858D6" w:rsidRDefault="00304682">
      <w:pPr>
        <w:pStyle w:val="ManualHeading2"/>
        <w:rPr>
          <w:noProof/>
          <w:u w:color="000000"/>
          <w:bdr w:val="nil"/>
        </w:rPr>
      </w:pPr>
      <w:r w:rsidRPr="002858D6">
        <w:rPr>
          <w:noProof/>
          <w:u w:color="000000"/>
          <w:bdr w:val="nil"/>
        </w:rPr>
        <w:t>•</w:t>
      </w:r>
      <w:r w:rsidRPr="002858D6">
        <w:rPr>
          <w:noProof/>
        </w:rPr>
        <w:tab/>
        <w:t>Coerência com as disposições existentes da mesma política setorial</w:t>
      </w:r>
    </w:p>
    <w:p w14:paraId="1480876A" w14:textId="480FBAAE" w:rsidR="005A3DDC" w:rsidRPr="002858D6" w:rsidRDefault="005A3DDC" w:rsidP="008B2719">
      <w:pPr>
        <w:pBdr>
          <w:top w:val="nil"/>
          <w:left w:val="nil"/>
          <w:bottom w:val="nil"/>
          <w:right w:val="nil"/>
          <w:between w:val="nil"/>
          <w:bar w:val="nil"/>
        </w:pBdr>
        <w:spacing w:before="0" w:after="240"/>
        <w:rPr>
          <w:noProof/>
        </w:rPr>
      </w:pPr>
      <w:r w:rsidRPr="002858D6">
        <w:rPr>
          <w:noProof/>
        </w:rPr>
        <w:t>O artigo 9.º, alínea f), da Diretiva (UE) 2015/637 refere explicitamente a emissão de títulos de viagem provisórios. A presente proposta assegura a harmonização da Diretiva (UE) 2015/637 com as regras específicas aplicáveis aos TVP da UE previstas na Diretiva (UE) 2019/997.</w:t>
      </w:r>
    </w:p>
    <w:p w14:paraId="21D79E23" w14:textId="77777777" w:rsidR="008B2719" w:rsidRPr="002858D6" w:rsidRDefault="00192403" w:rsidP="005E547D">
      <w:pPr>
        <w:spacing w:before="0" w:after="240"/>
        <w:textAlignment w:val="baseline"/>
        <w:rPr>
          <w:noProof/>
        </w:rPr>
      </w:pPr>
      <w:r w:rsidRPr="002858D6">
        <w:rPr>
          <w:noProof/>
        </w:rPr>
        <w:t>Assegura igualmente a coerência com a Decisão 2010/427/UE do Conselho</w:t>
      </w:r>
      <w:r w:rsidRPr="002858D6">
        <w:rPr>
          <w:rStyle w:val="FootnoteReference0"/>
          <w:noProof/>
        </w:rPr>
        <w:footnoteReference w:id="12"/>
      </w:r>
      <w:r w:rsidRPr="002858D6">
        <w:rPr>
          <w:noProof/>
        </w:rPr>
        <w:t xml:space="preserve">, que define o mandato das delegações da União. De acordo com o artigo 5.º, n.º 10, da referida decisão, </w:t>
      </w:r>
      <w:bookmarkStart w:id="2" w:name="_Hlk125643701"/>
      <w:r w:rsidRPr="002858D6">
        <w:rPr>
          <w:noProof/>
        </w:rPr>
        <w:t xml:space="preserve">as delegações da União, em conformidade com o terceiro parágrafo do artigo 35.º do Tratado da União Europeia, </w:t>
      </w:r>
      <w:bookmarkStart w:id="3" w:name="_Hlk125643621"/>
      <w:bookmarkEnd w:id="2"/>
      <w:r w:rsidRPr="002858D6">
        <w:rPr>
          <w:noProof/>
        </w:rPr>
        <w:t xml:space="preserve">apoiam os Estados-Membros, a pedido destes, nas suas relações diplomáticas e no seu papel de prestação de proteção consular aos cidadãos da União nos países terceiros </w:t>
      </w:r>
      <w:bookmarkEnd w:id="3"/>
      <w:r w:rsidRPr="002858D6">
        <w:rPr>
          <w:noProof/>
        </w:rPr>
        <w:t>numa base de neutralidade em termos de recursos</w:t>
      </w:r>
      <w:r w:rsidRPr="002858D6">
        <w:rPr>
          <w:i/>
          <w:noProof/>
        </w:rPr>
        <w:t>.</w:t>
      </w:r>
    </w:p>
    <w:p w14:paraId="67DA7A22" w14:textId="0379A3CF" w:rsidR="005E547D" w:rsidRPr="002858D6" w:rsidRDefault="000E7078" w:rsidP="0032693D">
      <w:pPr>
        <w:spacing w:before="0" w:after="240"/>
        <w:textAlignment w:val="baseline"/>
        <w:rPr>
          <w:noProof/>
        </w:rPr>
      </w:pPr>
      <w:r w:rsidRPr="002858D6">
        <w:rPr>
          <w:noProof/>
        </w:rPr>
        <w:t>A Diretiva (UE) 2015/637 contém referências ao Mecanismo de Proteção Civil da União (MPCU)</w:t>
      </w:r>
      <w:r w:rsidRPr="002858D6">
        <w:rPr>
          <w:rStyle w:val="FootnoteReference0"/>
          <w:noProof/>
        </w:rPr>
        <w:footnoteReference w:id="13"/>
      </w:r>
      <w:r w:rsidRPr="002858D6">
        <w:rPr>
          <w:noProof/>
        </w:rPr>
        <w:t>, que é utilizado para prestar apoio em matéria de proteção civil aos esforços de assistência consular. A proposta assegura o pleno alinhamento entre a Diretiva (UE) 2015/637 e as regras relativas ao MPCU, nomeadamente tendo em conta a experiência adquirida com a pandemia de COVID-19 e a emergência consular de 2021 no Afeganistão.</w:t>
      </w:r>
    </w:p>
    <w:p w14:paraId="438C46E3" w14:textId="77777777" w:rsidR="0050668E" w:rsidRPr="002858D6" w:rsidRDefault="00FA5973" w:rsidP="00824EDB">
      <w:pPr>
        <w:pBdr>
          <w:top w:val="nil"/>
          <w:left w:val="nil"/>
          <w:bottom w:val="nil"/>
          <w:right w:val="nil"/>
          <w:between w:val="nil"/>
          <w:bar w:val="nil"/>
        </w:pBdr>
        <w:spacing w:before="0" w:after="240"/>
        <w:rPr>
          <w:noProof/>
        </w:rPr>
      </w:pPr>
      <w:r w:rsidRPr="002858D6">
        <w:rPr>
          <w:noProof/>
        </w:rPr>
        <w:t xml:space="preserve">Para garantir a aplicação prática do direito à proteção consular, a União continua a negociar a inclusão das chamadas cláusulas de proteção consular nos acordos internacionais, a fim de dispensar a obrigação, prevista no artigo 8.º da Convenção de Viena sobre Relações </w:t>
      </w:r>
      <w:r w:rsidRPr="002858D6">
        <w:rPr>
          <w:noProof/>
        </w:rPr>
        <w:lastRenderedPageBreak/>
        <w:t>Consulares de 1963</w:t>
      </w:r>
      <w:r w:rsidRPr="002858D6">
        <w:rPr>
          <w:rStyle w:val="FootnoteReference0"/>
          <w:noProof/>
        </w:rPr>
        <w:footnoteReference w:id="14"/>
      </w:r>
      <w:r w:rsidRPr="002858D6">
        <w:rPr>
          <w:noProof/>
        </w:rPr>
        <w:t>, de os Estados-Membros representados notificarem o país terceiro onde se encontra um cidadão da União não representado da concessão de proteção consular.</w:t>
      </w:r>
    </w:p>
    <w:p w14:paraId="778858D0" w14:textId="77777777" w:rsidR="00304682" w:rsidRPr="002858D6" w:rsidRDefault="00304682">
      <w:pPr>
        <w:pStyle w:val="ManualHeading2"/>
        <w:rPr>
          <w:noProof/>
        </w:rPr>
      </w:pPr>
      <w:r w:rsidRPr="002858D6">
        <w:rPr>
          <w:noProof/>
          <w:u w:color="000000"/>
          <w:bdr w:val="nil"/>
        </w:rPr>
        <w:t>•</w:t>
      </w:r>
      <w:r w:rsidRPr="002858D6">
        <w:rPr>
          <w:noProof/>
        </w:rPr>
        <w:tab/>
        <w:t>Coerência com outras políticas da União</w:t>
      </w:r>
    </w:p>
    <w:p w14:paraId="44C42869" w14:textId="77777777" w:rsidR="005D20BF" w:rsidRPr="002858D6" w:rsidRDefault="007A5958">
      <w:pPr>
        <w:pBdr>
          <w:top w:val="nil"/>
          <w:left w:val="nil"/>
          <w:bottom w:val="nil"/>
          <w:right w:val="nil"/>
          <w:between w:val="nil"/>
          <w:bar w:val="nil"/>
        </w:pBdr>
        <w:spacing w:before="0" w:after="240"/>
        <w:rPr>
          <w:noProof/>
        </w:rPr>
      </w:pPr>
      <w:r w:rsidRPr="002858D6">
        <w:rPr>
          <w:noProof/>
        </w:rPr>
        <w:t>A presente proposta é coerente com as políticas em matéria de proteção civil e de resposta a situações de crise.</w:t>
      </w:r>
    </w:p>
    <w:p w14:paraId="344F1FEF" w14:textId="77777777" w:rsidR="00304682" w:rsidRPr="002858D6" w:rsidRDefault="00304682">
      <w:pPr>
        <w:pStyle w:val="ManualHeading1"/>
        <w:rPr>
          <w:noProof/>
        </w:rPr>
      </w:pPr>
      <w:r w:rsidRPr="002858D6">
        <w:rPr>
          <w:noProof/>
        </w:rPr>
        <w:t>2.</w:t>
      </w:r>
      <w:r w:rsidRPr="002858D6">
        <w:rPr>
          <w:noProof/>
        </w:rPr>
        <w:tab/>
        <w:t>BASE JURÍDICA, SUBSIDIARIEDADE E PROPORCIONALIDADE</w:t>
      </w:r>
    </w:p>
    <w:p w14:paraId="5A88DADB" w14:textId="77777777" w:rsidR="00304682" w:rsidRPr="002858D6" w:rsidRDefault="00304682">
      <w:pPr>
        <w:pStyle w:val="ManualHeading2"/>
        <w:rPr>
          <w:noProof/>
          <w:u w:color="000000"/>
          <w:bdr w:val="nil"/>
        </w:rPr>
      </w:pPr>
      <w:r w:rsidRPr="002858D6">
        <w:rPr>
          <w:noProof/>
          <w:u w:color="000000"/>
          <w:bdr w:val="nil"/>
        </w:rPr>
        <w:t>•</w:t>
      </w:r>
      <w:r w:rsidRPr="002858D6">
        <w:rPr>
          <w:noProof/>
        </w:rPr>
        <w:tab/>
      </w:r>
      <w:r w:rsidRPr="002858D6">
        <w:rPr>
          <w:noProof/>
          <w:u w:color="000000"/>
          <w:bdr w:val="nil"/>
        </w:rPr>
        <w:t>Base jurídica</w:t>
      </w:r>
    </w:p>
    <w:p w14:paraId="4F40E4E4" w14:textId="6C8DE316" w:rsidR="008C7929" w:rsidRPr="002858D6" w:rsidRDefault="00334693" w:rsidP="0071192F">
      <w:pPr>
        <w:spacing w:before="0" w:after="240"/>
        <w:rPr>
          <w:noProof/>
        </w:rPr>
      </w:pPr>
      <w:r w:rsidRPr="002858D6">
        <w:rPr>
          <w:noProof/>
        </w:rPr>
        <w:t>A diretiva proposta alteraria a Diretiva (UE) 2015/637 Por conseguinte, partilha a base jurídica dessa diretiva, a saber, o artigo 23.º do TFUE. Nos termos do segundo parágrafo desta disposição, o Conselho, deliberando de acordo com um processo legislativo especial e após consulta ao Parlamento Europeu, pode adotar diretivas que estabeleçam as medidas de coordenação e de cooperação necessárias para facilitar a proteção consular dos cidadãos da União não representados. Esta disposição aplica-se a todos os Estados-Membros.</w:t>
      </w:r>
    </w:p>
    <w:p w14:paraId="0799D6CC" w14:textId="77777777" w:rsidR="008C7929" w:rsidRPr="002858D6" w:rsidRDefault="008C7929" w:rsidP="0071192F">
      <w:pPr>
        <w:spacing w:before="0" w:after="240"/>
        <w:rPr>
          <w:noProof/>
        </w:rPr>
      </w:pPr>
      <w:r w:rsidRPr="002858D6">
        <w:rPr>
          <w:noProof/>
        </w:rPr>
        <w:t xml:space="preserve">As alterações da presente proposta visam melhorar as medidas necessárias para facilitar a prestação de proteção consular aos cidadãos não representados prevista na Diretiva (UE) 2015/637. </w:t>
      </w:r>
    </w:p>
    <w:p w14:paraId="33D20D07" w14:textId="77777777" w:rsidR="00304682" w:rsidRPr="002858D6" w:rsidRDefault="00304682">
      <w:pPr>
        <w:pStyle w:val="ManualHeading2"/>
        <w:rPr>
          <w:noProof/>
          <w:u w:color="000000"/>
          <w:bdr w:val="nil"/>
        </w:rPr>
      </w:pPr>
      <w:r w:rsidRPr="002858D6">
        <w:rPr>
          <w:noProof/>
          <w:u w:color="000000"/>
          <w:bdr w:val="nil"/>
        </w:rPr>
        <w:t>•</w:t>
      </w:r>
      <w:r w:rsidRPr="002858D6">
        <w:rPr>
          <w:noProof/>
        </w:rPr>
        <w:tab/>
      </w:r>
      <w:r w:rsidRPr="002858D6">
        <w:rPr>
          <w:noProof/>
          <w:u w:color="000000"/>
          <w:bdr w:val="nil"/>
        </w:rPr>
        <w:t>Subsidiariedade</w:t>
      </w:r>
    </w:p>
    <w:p w14:paraId="1C4A92DF" w14:textId="77777777" w:rsidR="00DF5132" w:rsidRPr="002858D6" w:rsidRDefault="00DF5132">
      <w:pPr>
        <w:pBdr>
          <w:top w:val="nil"/>
          <w:left w:val="nil"/>
          <w:bottom w:val="nil"/>
          <w:right w:val="nil"/>
          <w:between w:val="nil"/>
          <w:bar w:val="nil"/>
        </w:pBdr>
        <w:spacing w:before="0" w:after="240"/>
        <w:rPr>
          <w:noProof/>
        </w:rPr>
      </w:pPr>
      <w:r w:rsidRPr="002858D6">
        <w:rPr>
          <w:noProof/>
        </w:rPr>
        <w:t>Sendo um direito de que os cidadãos da União gozam em relação às autoridades de outros Estados-Membros e não às do Estado-Membro da sua nacionalidade, a proteção consular de cidadãos não representados implica, por natureza, uma dimensão transfronteiriça.</w:t>
      </w:r>
    </w:p>
    <w:p w14:paraId="73F139DE" w14:textId="4EC84DA2" w:rsidR="00021B16" w:rsidRPr="002858D6" w:rsidRDefault="00341CBC">
      <w:pPr>
        <w:pBdr>
          <w:top w:val="nil"/>
          <w:left w:val="nil"/>
          <w:bottom w:val="nil"/>
          <w:right w:val="nil"/>
          <w:between w:val="nil"/>
          <w:bar w:val="nil"/>
        </w:pBdr>
        <w:spacing w:before="0" w:after="240"/>
        <w:rPr>
          <w:noProof/>
        </w:rPr>
      </w:pPr>
      <w:r w:rsidRPr="002858D6">
        <w:rPr>
          <w:noProof/>
        </w:rPr>
        <w:t xml:space="preserve">Os objetivos da presente proposta, nomeadamente o de melhorar o exercício do direito previsto no artigo 20.º, n.º 2, alínea c), do TFUE por parte dos cidadãos não representados, não podem ser eficazmente alcançados pelos Estados-Membros de forma isolada, uma vez que tal exige a alteração de determinadas disposições da Diretiva (UE) 2015/637. É, pois, necessária uma ação a nível da União. </w:t>
      </w:r>
    </w:p>
    <w:p w14:paraId="0845F715" w14:textId="1A4DA740" w:rsidR="00C12F6B" w:rsidRPr="002858D6" w:rsidRDefault="00C12F6B">
      <w:pPr>
        <w:pBdr>
          <w:top w:val="nil"/>
          <w:left w:val="nil"/>
          <w:bottom w:val="nil"/>
          <w:right w:val="nil"/>
          <w:between w:val="nil"/>
          <w:bar w:val="nil"/>
        </w:pBdr>
        <w:spacing w:before="0" w:after="240"/>
        <w:rPr>
          <w:noProof/>
        </w:rPr>
      </w:pPr>
      <w:r w:rsidRPr="002858D6">
        <w:rPr>
          <w:noProof/>
        </w:rPr>
        <w:t>A ausência de ação a nível da União levaria a que as regras da Diretiva (UE) 2015/637 não fossem adaptadas para corrigir as lacunas identificadas na sua aplicação. Além disso, as regras não teriam em conta a experiência adquirida durante as recentes crises consulares. Consequentemente, os cidadãos da União não poderiam beneficiar do seu direito à proteção consular de uma forma que seria possível através de uma ação a nível da União.</w:t>
      </w:r>
    </w:p>
    <w:p w14:paraId="7F2496CC" w14:textId="77777777" w:rsidR="00304682" w:rsidRPr="002858D6" w:rsidRDefault="00304682">
      <w:pPr>
        <w:pStyle w:val="ManualHeading2"/>
        <w:rPr>
          <w:noProof/>
          <w:u w:color="000000"/>
          <w:bdr w:val="nil"/>
        </w:rPr>
      </w:pPr>
      <w:r w:rsidRPr="002858D6">
        <w:rPr>
          <w:noProof/>
          <w:u w:color="000000"/>
          <w:bdr w:val="nil"/>
        </w:rPr>
        <w:t>•</w:t>
      </w:r>
      <w:r w:rsidRPr="002858D6">
        <w:rPr>
          <w:noProof/>
        </w:rPr>
        <w:tab/>
      </w:r>
      <w:r w:rsidRPr="002858D6">
        <w:rPr>
          <w:noProof/>
          <w:u w:color="000000"/>
          <w:bdr w:val="nil"/>
        </w:rPr>
        <w:t>Proporcionalidade</w:t>
      </w:r>
    </w:p>
    <w:p w14:paraId="39BA1CD3" w14:textId="77777777" w:rsidR="0069037E" w:rsidRPr="002858D6" w:rsidRDefault="00160A6F" w:rsidP="0094184C">
      <w:pPr>
        <w:pBdr>
          <w:top w:val="nil"/>
          <w:left w:val="nil"/>
          <w:bottom w:val="nil"/>
          <w:right w:val="nil"/>
          <w:between w:val="nil"/>
          <w:bar w:val="nil"/>
        </w:pBdr>
        <w:spacing w:before="0" w:after="240"/>
        <w:rPr>
          <w:noProof/>
        </w:rPr>
      </w:pPr>
      <w:r w:rsidRPr="002858D6">
        <w:rPr>
          <w:noProof/>
        </w:rPr>
        <w:t>Os objetivos da presente proposta podem ser alcançados através de alterações de determinadas disposições da Diretiva (UE) 2015/637.</w:t>
      </w:r>
    </w:p>
    <w:p w14:paraId="33F0A94A" w14:textId="758ECC7C" w:rsidR="00D37B17" w:rsidRPr="002858D6" w:rsidRDefault="00D028C2" w:rsidP="0094184C">
      <w:pPr>
        <w:pBdr>
          <w:top w:val="nil"/>
          <w:left w:val="nil"/>
          <w:bottom w:val="nil"/>
          <w:right w:val="nil"/>
          <w:between w:val="nil"/>
          <w:bar w:val="nil"/>
        </w:pBdr>
        <w:spacing w:before="0" w:after="240"/>
        <w:rPr>
          <w:noProof/>
        </w:rPr>
      </w:pPr>
      <w:r w:rsidRPr="002858D6">
        <w:rPr>
          <w:noProof/>
        </w:rPr>
        <w:t xml:space="preserve">Ao fazê-lo, a proposta não vai além do necessário para alcançar este objetivo, uma vez que não altera substancialmente as regras e procedimentos em vigor da Diretiva (UE) 2015/637. Em especial, não propõe a introdução de procedimentos adicionais, procurando antes simplificar os procedimentos existentes, a fim de reduzir os encargos administrativos para os Estados-Membros e facilitar a concessão de proteção consular. A título de exemplo, a </w:t>
      </w:r>
      <w:r w:rsidRPr="002858D6">
        <w:rPr>
          <w:noProof/>
        </w:rPr>
        <w:lastRenderedPageBreak/>
        <w:t>proposta permitiria ajudar os Estados-Membros a cobrar as despesas, de forma não discriminatória, diretamente aos cidadãos não representados, em vez de terem de solicitar o reembolso ao Estado-Membro da nacionalidade do cidadão.</w:t>
      </w:r>
    </w:p>
    <w:p w14:paraId="329B3F2B" w14:textId="53949810" w:rsidR="002F7A2C" w:rsidRPr="002858D6" w:rsidRDefault="002F7A2C" w:rsidP="0094184C">
      <w:pPr>
        <w:pBdr>
          <w:top w:val="nil"/>
          <w:left w:val="nil"/>
          <w:bottom w:val="nil"/>
          <w:right w:val="nil"/>
          <w:between w:val="nil"/>
          <w:bar w:val="nil"/>
        </w:pBdr>
        <w:spacing w:before="0" w:after="240"/>
        <w:rPr>
          <w:noProof/>
        </w:rPr>
      </w:pPr>
      <w:r w:rsidRPr="002858D6">
        <w:rPr>
          <w:noProof/>
        </w:rPr>
        <w:t>A avaliação de impacto que acompanha a presente proposta contém explicações adicionais sobre a proporcionalidade das diferentes opções políticas, incluindo as não selecionadas</w:t>
      </w:r>
      <w:r w:rsidRPr="002858D6">
        <w:rPr>
          <w:rStyle w:val="FootnoteReference0"/>
          <w:noProof/>
        </w:rPr>
        <w:footnoteReference w:id="15"/>
      </w:r>
      <w:r w:rsidRPr="002858D6">
        <w:rPr>
          <w:noProof/>
        </w:rPr>
        <w:t>.</w:t>
      </w:r>
    </w:p>
    <w:p w14:paraId="08D332CF" w14:textId="77777777" w:rsidR="00304682" w:rsidRPr="002858D6" w:rsidRDefault="00304682">
      <w:pPr>
        <w:pStyle w:val="ManualHeading2"/>
        <w:rPr>
          <w:noProof/>
          <w:u w:color="000000"/>
          <w:bdr w:val="nil"/>
        </w:rPr>
      </w:pPr>
      <w:r w:rsidRPr="002858D6">
        <w:rPr>
          <w:noProof/>
          <w:u w:color="000000"/>
          <w:bdr w:val="nil"/>
        </w:rPr>
        <w:t>•</w:t>
      </w:r>
      <w:r w:rsidRPr="002858D6">
        <w:rPr>
          <w:noProof/>
        </w:rPr>
        <w:tab/>
      </w:r>
      <w:r w:rsidRPr="002858D6">
        <w:rPr>
          <w:noProof/>
          <w:u w:color="000000"/>
          <w:bdr w:val="nil"/>
        </w:rPr>
        <w:t>Escolha do instrumento</w:t>
      </w:r>
    </w:p>
    <w:p w14:paraId="2950EF0A" w14:textId="65CDFC3F" w:rsidR="008B18EA" w:rsidRPr="002858D6" w:rsidRDefault="008B18EA" w:rsidP="008B18EA">
      <w:pPr>
        <w:rPr>
          <w:noProof/>
        </w:rPr>
      </w:pPr>
      <w:r w:rsidRPr="002858D6">
        <w:rPr>
          <w:noProof/>
        </w:rPr>
        <w:t>Em consonância com o artigo 23.º, segundo parágrafo, do TFUE, o instrumento proposto é uma diretiva.</w:t>
      </w:r>
    </w:p>
    <w:p w14:paraId="20EF232F" w14:textId="77777777" w:rsidR="00304682" w:rsidRPr="002858D6" w:rsidRDefault="00304682">
      <w:pPr>
        <w:pStyle w:val="ManualHeading1"/>
        <w:rPr>
          <w:noProof/>
        </w:rPr>
      </w:pPr>
      <w:r w:rsidRPr="002858D6">
        <w:rPr>
          <w:noProof/>
        </w:rPr>
        <w:t>3.</w:t>
      </w:r>
      <w:r w:rsidRPr="002858D6">
        <w:rPr>
          <w:noProof/>
        </w:rPr>
        <w:tab/>
        <w:t xml:space="preserve">RESULTADOS DAS AVALIAÇÕES </w:t>
      </w:r>
      <w:r w:rsidRPr="002858D6">
        <w:rPr>
          <w:i/>
          <w:noProof/>
        </w:rPr>
        <w:t>EX POST</w:t>
      </w:r>
      <w:r w:rsidRPr="002858D6">
        <w:rPr>
          <w:noProof/>
        </w:rPr>
        <w:t>, DAS CONSULTAS DAS PARTES INTERESSADAS E DAS AVALIAÇÕES DE IMPACTO</w:t>
      </w:r>
    </w:p>
    <w:p w14:paraId="11257FAB" w14:textId="77777777" w:rsidR="00304682" w:rsidRPr="002858D6" w:rsidRDefault="00304682">
      <w:pPr>
        <w:pStyle w:val="ManualHeading2"/>
        <w:rPr>
          <w:noProof/>
          <w:u w:color="000000"/>
          <w:bdr w:val="nil"/>
        </w:rPr>
      </w:pPr>
      <w:r w:rsidRPr="002858D6">
        <w:rPr>
          <w:noProof/>
          <w:u w:color="000000"/>
          <w:bdr w:val="nil"/>
        </w:rPr>
        <w:t>•</w:t>
      </w:r>
      <w:r w:rsidRPr="002858D6">
        <w:rPr>
          <w:noProof/>
        </w:rPr>
        <w:tab/>
      </w:r>
      <w:r w:rsidRPr="002858D6">
        <w:rPr>
          <w:noProof/>
          <w:u w:color="000000"/>
          <w:bdr w:val="nil"/>
        </w:rPr>
        <w:t>Consultas das partes interessadas</w:t>
      </w:r>
    </w:p>
    <w:p w14:paraId="669F826F" w14:textId="4B4B9DF8" w:rsidR="00C178B8" w:rsidRPr="002858D6" w:rsidRDefault="00A60016" w:rsidP="002B16E7">
      <w:pPr>
        <w:pBdr>
          <w:top w:val="nil"/>
          <w:left w:val="nil"/>
          <w:bottom w:val="nil"/>
          <w:right w:val="nil"/>
          <w:between w:val="nil"/>
          <w:bar w:val="nil"/>
        </w:pBdr>
        <w:spacing w:before="0" w:after="240"/>
        <w:rPr>
          <w:noProof/>
        </w:rPr>
      </w:pPr>
      <w:r w:rsidRPr="002858D6">
        <w:rPr>
          <w:noProof/>
        </w:rPr>
        <w:t>A presente proposta tem em conta os debates no Grupo dos Assuntos Consulares do Conselho, em especial as trocas de pontos de vista sobre a facilitação do exercício do direito dos cidadãos da União à proteção consular em países terceiros, que tiveram lugar após a adoção do relatório da Comissão sobre a transposição e aplicação da Diretiva (UE) 2015/637</w:t>
      </w:r>
      <w:r w:rsidRPr="002858D6">
        <w:rPr>
          <w:rStyle w:val="FootnoteReference0"/>
          <w:noProof/>
        </w:rPr>
        <w:footnoteReference w:id="16"/>
      </w:r>
      <w:r w:rsidRPr="002858D6">
        <w:rPr>
          <w:noProof/>
        </w:rPr>
        <w:t xml:space="preserve">. Ao concluir esses debates, a Presidência do Conselho considerou que havia margem para rever a diretiva, em especial com base na experiência adquirida com as crises consulares nos últimos anos. </w:t>
      </w:r>
    </w:p>
    <w:p w14:paraId="105BC8D3" w14:textId="77777777" w:rsidR="00A60016" w:rsidRPr="002858D6" w:rsidRDefault="00960679">
      <w:pPr>
        <w:pBdr>
          <w:top w:val="nil"/>
          <w:left w:val="nil"/>
          <w:bottom w:val="nil"/>
          <w:right w:val="nil"/>
          <w:between w:val="nil"/>
          <w:bar w:val="nil"/>
        </w:pBdr>
        <w:spacing w:before="0" w:after="240"/>
        <w:rPr>
          <w:noProof/>
        </w:rPr>
      </w:pPr>
      <w:r w:rsidRPr="002858D6">
        <w:rPr>
          <w:noProof/>
        </w:rPr>
        <w:t>Foi utilizado um questionário específico entre as autoridades dos Estados-Membros para recolher dados quantitativos sobre a legislação e os procedimentos nacionais dos Estados-Membros, as suas redes e meios consulares, a proteção consular que concedem e os seus canais de viagem e de comunicação. Além disso, também se solicitou às autoridades dos Estados-Membros que fornecessem informações qualitativas sobre a aplicação da Diretiva (UE) 2015/637, sobre possíveis opções políticas e sobre os ensinamentos retirados da resposta consular à pandemia de COVID-19.</w:t>
      </w:r>
    </w:p>
    <w:p w14:paraId="2C33FABB" w14:textId="604A0942" w:rsidR="00960679" w:rsidRPr="002858D6" w:rsidRDefault="00D94376">
      <w:pPr>
        <w:pBdr>
          <w:top w:val="nil"/>
          <w:left w:val="nil"/>
          <w:bottom w:val="nil"/>
          <w:right w:val="nil"/>
          <w:between w:val="nil"/>
          <w:bar w:val="nil"/>
        </w:pBdr>
        <w:spacing w:before="0" w:after="240"/>
        <w:rPr>
          <w:noProof/>
        </w:rPr>
      </w:pPr>
      <w:r w:rsidRPr="002858D6">
        <w:rPr>
          <w:noProof/>
        </w:rPr>
        <w:t xml:space="preserve">Foi ainda utilizado um inquérito em linha com as delegações da União para obter a sua avaliação da situação no âmbito do </w:t>
      </w:r>
      <w:r w:rsidRPr="002858D6">
        <w:rPr>
          <w:i/>
          <w:iCs/>
          <w:noProof/>
        </w:rPr>
        <w:t>status quo</w:t>
      </w:r>
      <w:r w:rsidRPr="002858D6">
        <w:rPr>
          <w:noProof/>
        </w:rPr>
        <w:t xml:space="preserve"> (incluindo em tempos de crise, como na altura do surto de COVID-19), no que respeita a pontos de vista relativos ao funcionamento da Diretiva (UE) 2015/637, bem como às opções políticas disponíveis.</w:t>
      </w:r>
    </w:p>
    <w:p w14:paraId="612694A0" w14:textId="36F93981" w:rsidR="003536E4" w:rsidRPr="002858D6" w:rsidRDefault="009C14D2">
      <w:pPr>
        <w:pBdr>
          <w:top w:val="nil"/>
          <w:left w:val="nil"/>
          <w:bottom w:val="nil"/>
          <w:right w:val="nil"/>
          <w:between w:val="nil"/>
          <w:bar w:val="nil"/>
        </w:pBdr>
        <w:spacing w:before="0" w:after="240"/>
        <w:rPr>
          <w:noProof/>
        </w:rPr>
      </w:pPr>
      <w:r w:rsidRPr="002858D6">
        <w:rPr>
          <w:noProof/>
        </w:rPr>
        <w:t>No decurso de 2021, realizaram-se entrevistas aprofundadas com delegações da União, representações dos Estados-Membros e organizações de turistas/expatriados em cinco países terceiros selecionados</w:t>
      </w:r>
      <w:r w:rsidRPr="002858D6">
        <w:rPr>
          <w:rStyle w:val="FootnoteReference0"/>
          <w:noProof/>
        </w:rPr>
        <w:footnoteReference w:id="17"/>
      </w:r>
      <w:r w:rsidRPr="002858D6">
        <w:rPr>
          <w:noProof/>
        </w:rPr>
        <w:t>, bem como com funcionários de órgãos da União com um papel de apoio no domínio da proteção consular.</w:t>
      </w:r>
    </w:p>
    <w:p w14:paraId="20209CE9" w14:textId="77777777" w:rsidR="004669A8" w:rsidRPr="002858D6" w:rsidRDefault="00A168D7">
      <w:pPr>
        <w:pBdr>
          <w:top w:val="nil"/>
          <w:left w:val="nil"/>
          <w:bottom w:val="nil"/>
          <w:right w:val="nil"/>
          <w:between w:val="nil"/>
          <w:bar w:val="nil"/>
        </w:pBdr>
        <w:spacing w:before="0" w:after="240"/>
        <w:rPr>
          <w:noProof/>
        </w:rPr>
      </w:pPr>
      <w:r w:rsidRPr="002858D6">
        <w:rPr>
          <w:noProof/>
        </w:rPr>
        <w:t>Para mais informações sobre as reações recebidas, consultar a avaliação de impacto que acompanha a presente proposta.</w:t>
      </w:r>
    </w:p>
    <w:p w14:paraId="1E3067DF" w14:textId="77777777" w:rsidR="00304682" w:rsidRPr="002858D6" w:rsidRDefault="00304682">
      <w:pPr>
        <w:pStyle w:val="ManualHeading2"/>
        <w:rPr>
          <w:noProof/>
          <w:u w:color="000000"/>
          <w:bdr w:val="nil"/>
        </w:rPr>
      </w:pPr>
      <w:r w:rsidRPr="002858D6">
        <w:rPr>
          <w:noProof/>
          <w:u w:color="000000"/>
          <w:bdr w:val="nil"/>
        </w:rPr>
        <w:lastRenderedPageBreak/>
        <w:t>•</w:t>
      </w:r>
      <w:r w:rsidRPr="002858D6">
        <w:rPr>
          <w:noProof/>
        </w:rPr>
        <w:tab/>
      </w:r>
      <w:r w:rsidRPr="002858D6">
        <w:rPr>
          <w:noProof/>
          <w:u w:color="000000"/>
          <w:bdr w:val="nil"/>
        </w:rPr>
        <w:t>Recolha e utilização de conhecimentos especializados</w:t>
      </w:r>
    </w:p>
    <w:p w14:paraId="420D8597" w14:textId="07CA4130" w:rsidR="00B5059D" w:rsidRPr="002858D6" w:rsidRDefault="00B5059D" w:rsidP="00B5059D">
      <w:pPr>
        <w:pStyle w:val="CoffeyParagraph"/>
        <w:spacing w:before="120" w:line="240" w:lineRule="auto"/>
        <w:rPr>
          <w:rFonts w:ascii="Times New Roman" w:hAnsi="Times New Roman"/>
          <w:noProof/>
          <w:sz w:val="24"/>
        </w:rPr>
      </w:pPr>
      <w:r w:rsidRPr="002858D6">
        <w:rPr>
          <w:rFonts w:ascii="Times New Roman" w:hAnsi="Times New Roman"/>
          <w:noProof/>
          <w:sz w:val="24"/>
        </w:rPr>
        <w:t>A Comissão elaborou o Eurobarómetro Flash 485 sobre Cidadania e Democracia na UE</w:t>
      </w:r>
      <w:r w:rsidRPr="002858D6">
        <w:rPr>
          <w:rStyle w:val="FootnoteReference0"/>
          <w:rFonts w:ascii="Times New Roman" w:hAnsi="Times New Roman"/>
          <w:noProof/>
          <w:sz w:val="24"/>
        </w:rPr>
        <w:footnoteReference w:id="18"/>
      </w:r>
      <w:r w:rsidRPr="002858D6">
        <w:rPr>
          <w:rFonts w:ascii="Times New Roman" w:hAnsi="Times New Roman"/>
          <w:noProof/>
          <w:sz w:val="24"/>
        </w:rPr>
        <w:t>, que continha um conjunto de questões relacionadas com a cidadania e a democracia na União, e cujo trabalho de campo foi efetuado nos Estados-Membros em fevereiro/março de 2020. Entre outros aspetos, o inquérito analisou o entendimento dos cidadãos da UE dos direitos conferidos pela cidadania da União, nomeadamente a proteção consular. Em 2023 realizou-se um inquérito semelhante</w:t>
      </w:r>
      <w:r w:rsidRPr="002858D6">
        <w:rPr>
          <w:rStyle w:val="FootnoteReference0"/>
          <w:rFonts w:ascii="Times New Roman" w:hAnsi="Times New Roman"/>
          <w:noProof/>
          <w:sz w:val="24"/>
        </w:rPr>
        <w:footnoteReference w:id="19"/>
      </w:r>
      <w:r w:rsidRPr="002858D6">
        <w:rPr>
          <w:rFonts w:ascii="Times New Roman" w:hAnsi="Times New Roman"/>
          <w:noProof/>
          <w:sz w:val="24"/>
        </w:rPr>
        <w:t>.</w:t>
      </w:r>
    </w:p>
    <w:p w14:paraId="1BCAD8CF" w14:textId="2EF80F42" w:rsidR="00B5059D" w:rsidRPr="002858D6" w:rsidRDefault="009902E3" w:rsidP="00B5059D">
      <w:pPr>
        <w:rPr>
          <w:noProof/>
        </w:rPr>
      </w:pPr>
      <w:r w:rsidRPr="002858D6">
        <w:rPr>
          <w:noProof/>
        </w:rPr>
        <w:t>Entre 9 de julho de 2020 e 1 de outubro de 2020, realizou-se uma consulta pública, que continha perguntas sobre a proteção consular, para o Relatório de 2020 sobre a Cidadania da UE</w:t>
      </w:r>
      <w:r w:rsidRPr="002858D6">
        <w:rPr>
          <w:rStyle w:val="FootnoteReference0"/>
          <w:noProof/>
        </w:rPr>
        <w:footnoteReference w:id="20"/>
      </w:r>
      <w:r w:rsidRPr="002858D6">
        <w:rPr>
          <w:noProof/>
        </w:rPr>
        <w:t>. O relatório descreveu o esforço de repatriamento sem precedentes em que os Estados-Membros, com o apoio da Comissão e do SEAE, conseguiram repatriar, entre fevereiro e maio de 2020, mais de meio milhão de cidadãos da União afetados pelas restrições à deslocação decorrentes da COVID-19 por todo o mundo. Estimou que, em 2020, 76 % dos cidadãos da União estavam cientes do direito de solicitar a assistência de outros Estados-Membros, caso o seu não dispusesse de embaixada ou consulado num país terceiro.</w:t>
      </w:r>
    </w:p>
    <w:p w14:paraId="4FEC46B4" w14:textId="77777777" w:rsidR="00A657AC" w:rsidRPr="002858D6" w:rsidRDefault="00F74587" w:rsidP="00B75B61">
      <w:pPr>
        <w:spacing w:before="0" w:after="240"/>
        <w:rPr>
          <w:noProof/>
        </w:rPr>
      </w:pPr>
      <w:r w:rsidRPr="002858D6">
        <w:rPr>
          <w:noProof/>
        </w:rPr>
        <w:t>Além disso, a Comissão utilizou as observações do público recebidas no âmbito do processo de consulta para preparar a análise da avaliação de impacto.</w:t>
      </w:r>
    </w:p>
    <w:p w14:paraId="36614880" w14:textId="7D6E1A7C" w:rsidR="005A0083" w:rsidRPr="002858D6" w:rsidRDefault="00F74587" w:rsidP="005A0083">
      <w:pPr>
        <w:pBdr>
          <w:top w:val="nil"/>
          <w:left w:val="nil"/>
          <w:bottom w:val="nil"/>
          <w:right w:val="nil"/>
          <w:between w:val="nil"/>
          <w:bar w:val="nil"/>
        </w:pBdr>
        <w:spacing w:before="0" w:after="240"/>
        <w:rPr>
          <w:noProof/>
        </w:rPr>
      </w:pPr>
      <w:r w:rsidRPr="002858D6">
        <w:rPr>
          <w:noProof/>
        </w:rPr>
        <w:t>Por último, foram recolhidos e analisados elementos de prova num estudo específico encomendado pela Comissão</w:t>
      </w:r>
      <w:r w:rsidRPr="002858D6">
        <w:rPr>
          <w:rStyle w:val="FootnoteReference0"/>
          <w:noProof/>
        </w:rPr>
        <w:footnoteReference w:id="21"/>
      </w:r>
      <w:r w:rsidRPr="002858D6">
        <w:rPr>
          <w:noProof/>
        </w:rPr>
        <w:t>. Para mais informações, consultar a avaliação de impacto que acompanha a presente proposta.</w:t>
      </w:r>
    </w:p>
    <w:p w14:paraId="4D27198F" w14:textId="77777777" w:rsidR="00304682" w:rsidRPr="002858D6" w:rsidRDefault="00304682">
      <w:pPr>
        <w:pStyle w:val="ManualHeading2"/>
        <w:rPr>
          <w:noProof/>
          <w:u w:color="000000"/>
          <w:bdr w:val="nil"/>
        </w:rPr>
      </w:pPr>
      <w:r w:rsidRPr="002858D6">
        <w:rPr>
          <w:noProof/>
          <w:u w:color="000000"/>
          <w:bdr w:val="nil"/>
        </w:rPr>
        <w:t>•</w:t>
      </w:r>
      <w:r w:rsidRPr="002858D6">
        <w:rPr>
          <w:noProof/>
        </w:rPr>
        <w:tab/>
      </w:r>
      <w:r w:rsidRPr="002858D6">
        <w:rPr>
          <w:noProof/>
          <w:u w:color="000000"/>
          <w:bdr w:val="nil"/>
        </w:rPr>
        <w:t>Avaliação de impacto</w:t>
      </w:r>
    </w:p>
    <w:p w14:paraId="04AF00EA" w14:textId="77777777" w:rsidR="00914EC7" w:rsidRPr="002858D6" w:rsidRDefault="00861C31" w:rsidP="00582229">
      <w:pPr>
        <w:spacing w:before="0" w:after="240"/>
        <w:rPr>
          <w:noProof/>
        </w:rPr>
      </w:pPr>
      <w:r w:rsidRPr="002858D6">
        <w:rPr>
          <w:noProof/>
        </w:rPr>
        <w:t>Conforme referido na avaliação de impacto</w:t>
      </w:r>
      <w:r w:rsidRPr="002858D6">
        <w:rPr>
          <w:rStyle w:val="FootnoteReference0"/>
          <w:noProof/>
        </w:rPr>
        <w:footnoteReference w:id="22"/>
      </w:r>
      <w:r w:rsidRPr="002858D6">
        <w:rPr>
          <w:noProof/>
        </w:rPr>
        <w:t>, o objetivo geral da presente iniciativa consiste em melhorar o exercício do direito dos cidadãos da União o direito a beneficiarem, no território de um país terceiro em que o Estado-Membro de que são nacionais não se encontre representado, da proteção das autoridades diplomáticas e consulares de qualquer Estado-Membro, nas mesmas condições que os nacionais desse Estado-Membro.</w:t>
      </w:r>
    </w:p>
    <w:p w14:paraId="700C7297" w14:textId="03FAFA24" w:rsidR="00861C31" w:rsidRPr="002858D6" w:rsidRDefault="00861C31" w:rsidP="00582229">
      <w:pPr>
        <w:spacing w:before="0" w:after="240"/>
        <w:rPr>
          <w:noProof/>
        </w:rPr>
      </w:pPr>
      <w:r w:rsidRPr="002858D6">
        <w:rPr>
          <w:noProof/>
        </w:rPr>
        <w:t>Este fim seria prosseguido através dos seguintes objetivos específicos: i) reforçar a segurança jurídica para os cidadãos da União no que respeita ao âmbito do direito à proteção consular; ii) assegurar papéis e mecanismos de coordenação e cooperação claros entre os Estados-Membros e as delegações da União, nomeadamente em tempos de crise; iii) melhorar a prestação de informações e a comunicação com os cidadãos da União (não representados); e iv) aumentar a eficiência e a utilização dos procedimentos de reembolso financeiro.</w:t>
      </w:r>
    </w:p>
    <w:p w14:paraId="2894FD6C" w14:textId="77777777" w:rsidR="00861C31" w:rsidRPr="002858D6" w:rsidRDefault="00861C31" w:rsidP="00582229">
      <w:pPr>
        <w:spacing w:before="0" w:after="240"/>
        <w:rPr>
          <w:noProof/>
        </w:rPr>
      </w:pPr>
      <w:r w:rsidRPr="002858D6">
        <w:rPr>
          <w:noProof/>
        </w:rPr>
        <w:t xml:space="preserve">A avaliação de impacto analisou várias opções políticas para cada objetivo específico, com um conjunto de medidas potenciais para resolver os problemas. </w:t>
      </w:r>
    </w:p>
    <w:p w14:paraId="76CAE7BB" w14:textId="1E796F2B" w:rsidR="00861C31" w:rsidRPr="002858D6" w:rsidRDefault="00861C31" w:rsidP="00582229">
      <w:pPr>
        <w:spacing w:before="0" w:after="240"/>
        <w:rPr>
          <w:noProof/>
        </w:rPr>
      </w:pPr>
      <w:r w:rsidRPr="002858D6">
        <w:rPr>
          <w:noProof/>
        </w:rPr>
        <w:t xml:space="preserve">As opções consideradas no âmbito do primeiro objetivo visam assegurar que a definição de «cidadão não representado» é clarificada e melhorada, a fim de evitar que os cidadãos não representados não recebam assistência com base numa interpretação ou avaliação incorretas </w:t>
      </w:r>
      <w:r w:rsidRPr="002858D6">
        <w:rPr>
          <w:noProof/>
        </w:rPr>
        <w:lastRenderedPageBreak/>
        <w:t xml:space="preserve">da situação pelos Estados-Membros ou pelas delegações da União. A opção política 1(a) consiste em medidas não vinculativas, ao passo que a opção política 1(b) consiste em alterações legislativas para clarificar a definição e o âmbito de aplicação pessoal da Diretiva (UE) 2015/637. A opção política 1(c) consiste na introdução de uma nova «presunção da inexistência de representação». </w:t>
      </w:r>
    </w:p>
    <w:p w14:paraId="6128E66B" w14:textId="5D7D0519" w:rsidR="00FE7189" w:rsidRPr="002858D6" w:rsidRDefault="00861C31" w:rsidP="0089641C">
      <w:pPr>
        <w:pStyle w:val="Text2"/>
        <w:spacing w:before="0" w:after="240"/>
        <w:ind w:left="0"/>
        <w:rPr>
          <w:noProof/>
        </w:rPr>
      </w:pPr>
      <w:r w:rsidRPr="002858D6">
        <w:rPr>
          <w:noProof/>
        </w:rPr>
        <w:t>No âmbito do segundo objetivo específico, a avaliação de impacto analisou opções que abordam os problemas relacionados com os principais conceitos e processos através dos quais os Estados-Membros e as delegações da União interagem para efeitos de prestação de assistência consular aos cidadãos não representados. No que respeita às redes de cooperação consular local, a opção política 2(a) consiste em medidas não vinculativas para estruturar melhor as diferentes responsabilidades nessas redes. A opção política 2(b) propõe atribuir o papel de presidente das reuniões de cooperação local às delegações da União. A opção política 2(c) consiste em alterações legislativas que definem a atribuição de tarefas claras, nos planos conjuntos de emergência consular, aos diferentes intervenientes envolvidos, e numa revisão do conceito de «Estado-líder». Propõe também incluir</w:t>
      </w:r>
      <w:r w:rsidRPr="002858D6">
        <w:rPr>
          <w:rStyle w:val="fw-bold"/>
          <w:noProof/>
        </w:rPr>
        <w:t xml:space="preserve"> </w:t>
      </w:r>
      <w:r w:rsidRPr="002858D6">
        <w:rPr>
          <w:noProof/>
        </w:rPr>
        <w:t xml:space="preserve">esses planos e as chamadas equipas consulares conjuntas </w:t>
      </w:r>
      <w:r w:rsidRPr="002858D6">
        <w:rPr>
          <w:rStyle w:val="fw-bold"/>
          <w:noProof/>
        </w:rPr>
        <w:t xml:space="preserve">na </w:t>
      </w:r>
      <w:r w:rsidRPr="002858D6">
        <w:rPr>
          <w:noProof/>
        </w:rPr>
        <w:t>Diretiva (UE) 2015/637. A opção política 2(d) consiste em alterações jurídicas destinadas a clarificar o papel de apoio das delegações da União, nomeadamente alinhando-o com a Decisão do SEAE. A opção política 2(e) consiste em alterações jurídicas que conferem às delegações da União novas competências que lhes permitem conceder proteção consular direta a cidadãos não representados em países terceiros não cobertos a pedido desses cidadãos.</w:t>
      </w:r>
    </w:p>
    <w:p w14:paraId="791C8FE1" w14:textId="2F693643" w:rsidR="00E22AF9" w:rsidRPr="002858D6" w:rsidRDefault="00861C31" w:rsidP="0089641C">
      <w:pPr>
        <w:pStyle w:val="Text2"/>
        <w:spacing w:before="0" w:after="240"/>
        <w:ind w:left="0"/>
        <w:rPr>
          <w:noProof/>
        </w:rPr>
      </w:pPr>
      <w:r w:rsidRPr="002858D6">
        <w:rPr>
          <w:noProof/>
        </w:rPr>
        <w:t>As opções que visam concretizar o terceiro objetivo específico abordam as principais causas dos problemas de comunicação com os cidadãos: i) os problemas com a prestação de informações pelos Estados-Membros e pela União e ii) a falta de informações sobre os cidadãos que viajam ou residem no estrangeiro. Quanto à primeira questão, a opção política 3(a) consiste em alterações jurídicas com novos requisitos em matéria de prestação de informações, ao passo que a opção política 3(b) consiste na criação de um portal da União de recomendações aos viajantes. Em relação à segunda questão, a opção política 3(c) recomenda uma campanha de comunicação à escala da União e a opção política 3(d) exigiria que os Estados-Membros promovessem medidas que permitam aos cidadãos da União informar/registar as suas viagens ou a sua residência no estrangeiro.</w:t>
      </w:r>
    </w:p>
    <w:p w14:paraId="57C891FD" w14:textId="133B0668" w:rsidR="00861C31" w:rsidRPr="002858D6" w:rsidRDefault="00861C31" w:rsidP="0089641C">
      <w:pPr>
        <w:pStyle w:val="Text2"/>
        <w:spacing w:before="0" w:after="240"/>
        <w:ind w:left="0"/>
        <w:rPr>
          <w:noProof/>
        </w:rPr>
      </w:pPr>
      <w:r w:rsidRPr="002858D6">
        <w:rPr>
          <w:noProof/>
        </w:rPr>
        <w:t xml:space="preserve">Por último, as opções no âmbito do quarto objetivo específico visam reduzir a complexidade e a ineficácia dos procedimentos de reembolso financeiro, com vista a aumentar a sua utilização e acelerar os processos em benefício dos cidadãos da União e dos Estados-Membros. A opção política 4(a) consiste em medidas não vinculativas para clarificar o processo e proporcionar formação aos Estados-Membros, ao passo que a opção política 4(b) consiste em alterações jurídicas destinadas a melhorar os procedimentos e a alargá-los às delegações da União, a fim de assegurar o cumprimento do requisito de neutralidade em termos de despesas previsto na Decisão SEAE. </w:t>
      </w:r>
    </w:p>
    <w:p w14:paraId="44957C70" w14:textId="36566776" w:rsidR="008669AC" w:rsidRPr="002858D6" w:rsidRDefault="00B76B0F" w:rsidP="00582229">
      <w:pPr>
        <w:pStyle w:val="Text2"/>
        <w:spacing w:before="0" w:after="240"/>
        <w:ind w:left="0"/>
        <w:rPr>
          <w:noProof/>
        </w:rPr>
      </w:pPr>
      <w:r w:rsidRPr="002858D6">
        <w:rPr>
          <w:noProof/>
        </w:rPr>
        <w:t xml:space="preserve">Com base na análise descrita na avaliação de impacto, a combinação preferida de opções é constituída pelas seguintes opções políticas específicas: 1(b), clarificação da definição e do âmbito de aplicação pessoal da Diretiva (UE) 2015/637; 2(b), atribuição do papel de presidente das reuniões de cooperação local às delegações da União; 2(c), atribuição de tarefas claras, nos planos conjuntos de emergência consular, aos diferentes intervenientes envolvidos, e revisão do conceito de «Estado-líder»; 2(d), clarificação do papel de apoio das delegações da União; 3(a), prestação de informações, 3(d), promoção de medidas que </w:t>
      </w:r>
      <w:r w:rsidRPr="002858D6">
        <w:rPr>
          <w:noProof/>
        </w:rPr>
        <w:lastRenderedPageBreak/>
        <w:t>permitam aos cidadãos da União informar/registar as suas viagens ou a sua residência no estrangeiro; e 4(b), melhoria dos procedimentos financeiros.</w:t>
      </w:r>
    </w:p>
    <w:p w14:paraId="35D3B33F" w14:textId="00F15C21" w:rsidR="00861C31" w:rsidRPr="002858D6" w:rsidRDefault="00861C31" w:rsidP="00582229">
      <w:pPr>
        <w:spacing w:before="0" w:after="240"/>
        <w:rPr>
          <w:noProof/>
        </w:rPr>
      </w:pPr>
      <w:r w:rsidRPr="002858D6">
        <w:rPr>
          <w:noProof/>
        </w:rPr>
        <w:t xml:space="preserve">Os principais benefícios da combinação de opções preferida consistem numa maior salvaguarda e eficácia do direito fundamental dos cidadãos da União à proteção consular nas mesmas condições que os nacionais do Estado-Membro que presta assistência. Tal é alcançado através da clarificação dos procedimentos e do reforço da segurança jurídica para os Estados-Membros e as delegações da União. Outros benefícios incluem a melhoria da comunicação com os cidadãos da União através de um acesso facilitado a informações fiáveis e a um maior registo das suas viagens e da sua residência no estrangeiro. As medidas preferidas também implicam pequenas poupanças e ganhos de eficiência para as administrações nacionais, bem como poupanças de tempo e menos encargos para os cidadãos da União. </w:t>
      </w:r>
    </w:p>
    <w:p w14:paraId="15905A92" w14:textId="77777777" w:rsidR="006836BB" w:rsidRPr="002858D6" w:rsidRDefault="00861C31" w:rsidP="0089641C">
      <w:pPr>
        <w:keepNext/>
        <w:numPr>
          <w:ilvl w:val="1"/>
          <w:numId w:val="0"/>
        </w:numPr>
        <w:tabs>
          <w:tab w:val="num" w:pos="1202"/>
        </w:tabs>
        <w:spacing w:before="0" w:after="240"/>
        <w:outlineLvl w:val="1"/>
        <w:rPr>
          <w:noProof/>
        </w:rPr>
      </w:pPr>
      <w:r w:rsidRPr="002858D6">
        <w:rPr>
          <w:noProof/>
        </w:rPr>
        <w:t>Os custos da opção preferida são muito limitados e são suportados pelos Estados-Membros e pela União, incluindo as delegações da União.</w:t>
      </w:r>
    </w:p>
    <w:p w14:paraId="5DEF4EFB" w14:textId="77777777" w:rsidR="001F2FF3" w:rsidRPr="002858D6" w:rsidRDefault="006836BB" w:rsidP="00582229">
      <w:pPr>
        <w:keepNext/>
        <w:numPr>
          <w:ilvl w:val="1"/>
          <w:numId w:val="0"/>
        </w:numPr>
        <w:tabs>
          <w:tab w:val="num" w:pos="1202"/>
        </w:tabs>
        <w:spacing w:before="0" w:after="240"/>
        <w:outlineLvl w:val="1"/>
        <w:rPr>
          <w:noProof/>
        </w:rPr>
      </w:pPr>
      <w:r w:rsidRPr="002858D6">
        <w:rPr>
          <w:noProof/>
        </w:rPr>
        <w:t>Em 6 de julho de 2023, o Comité de Controlo da Regulamentação emitiu um «parecer positivo com reservas» sobre o projeto de avaliação de impacto reapresentado</w:t>
      </w:r>
      <w:r w:rsidRPr="002858D6">
        <w:rPr>
          <w:rStyle w:val="FootnoteReference0"/>
          <w:noProof/>
        </w:rPr>
        <w:footnoteReference w:id="23"/>
      </w:r>
      <w:r w:rsidRPr="002858D6">
        <w:rPr>
          <w:noProof/>
        </w:rPr>
        <w:t>.</w:t>
      </w:r>
    </w:p>
    <w:p w14:paraId="40B5D903" w14:textId="77777777" w:rsidR="00304682" w:rsidRPr="002858D6" w:rsidRDefault="00304682">
      <w:pPr>
        <w:pStyle w:val="ManualHeading2"/>
        <w:rPr>
          <w:noProof/>
          <w:u w:color="000000"/>
          <w:bdr w:val="nil"/>
        </w:rPr>
      </w:pPr>
      <w:r w:rsidRPr="002858D6">
        <w:rPr>
          <w:noProof/>
          <w:u w:color="000000"/>
          <w:bdr w:val="nil"/>
        </w:rPr>
        <w:t>•</w:t>
      </w:r>
      <w:r w:rsidRPr="002858D6">
        <w:rPr>
          <w:noProof/>
        </w:rPr>
        <w:tab/>
      </w:r>
      <w:r w:rsidRPr="002858D6">
        <w:rPr>
          <w:noProof/>
          <w:u w:color="000000"/>
          <w:bdr w:val="nil"/>
        </w:rPr>
        <w:t>Adequação da regulamentação e simplificação</w:t>
      </w:r>
    </w:p>
    <w:p w14:paraId="1B531C29" w14:textId="77777777" w:rsidR="000256FF" w:rsidRPr="002858D6" w:rsidRDefault="0048288A">
      <w:pPr>
        <w:pBdr>
          <w:top w:val="nil"/>
          <w:left w:val="nil"/>
          <w:bottom w:val="nil"/>
          <w:right w:val="nil"/>
          <w:between w:val="nil"/>
          <w:bar w:val="nil"/>
        </w:pBdr>
        <w:spacing w:before="0" w:after="240"/>
        <w:rPr>
          <w:noProof/>
        </w:rPr>
      </w:pPr>
      <w:r w:rsidRPr="002858D6">
        <w:rPr>
          <w:noProof/>
        </w:rPr>
        <w:t>Na elaboração da presente proposta, não foram identificados impactos específicos nas pequenas e médias empresas. Em consonância com o princípio «digital por defeito», a proposta prevê a prestação de informações num suporte legível por máquina, a fim de facilitar o tratamento automatizado.</w:t>
      </w:r>
    </w:p>
    <w:p w14:paraId="5E6C2317" w14:textId="77777777" w:rsidR="00304682" w:rsidRPr="002858D6" w:rsidRDefault="00304682">
      <w:pPr>
        <w:pStyle w:val="ManualHeading2"/>
        <w:rPr>
          <w:noProof/>
          <w:u w:color="000000"/>
          <w:bdr w:val="nil"/>
        </w:rPr>
      </w:pPr>
      <w:r w:rsidRPr="002858D6">
        <w:rPr>
          <w:noProof/>
          <w:u w:color="000000"/>
          <w:bdr w:val="nil"/>
        </w:rPr>
        <w:t>•</w:t>
      </w:r>
      <w:r w:rsidRPr="002858D6">
        <w:rPr>
          <w:noProof/>
        </w:rPr>
        <w:tab/>
      </w:r>
      <w:r w:rsidRPr="002858D6">
        <w:rPr>
          <w:noProof/>
          <w:u w:color="000000"/>
          <w:bdr w:val="nil"/>
        </w:rPr>
        <w:t>Direitos fundamentais</w:t>
      </w:r>
    </w:p>
    <w:p w14:paraId="758B0D28" w14:textId="77777777" w:rsidR="00376D77" w:rsidRPr="002858D6" w:rsidRDefault="00376D77" w:rsidP="00376D77">
      <w:pPr>
        <w:rPr>
          <w:noProof/>
        </w:rPr>
      </w:pPr>
      <w:r w:rsidRPr="002858D6">
        <w:rPr>
          <w:noProof/>
        </w:rPr>
        <w:t xml:space="preserve">A presente proposta aplica o direito fundamental dos cidadãos da União à proteção diplomática e consular, garantido pelos artigos 20.º, n.º 2, alínea c), e 23.º do TFUE, bem como pelo artigo 46.º da Carta. </w:t>
      </w:r>
    </w:p>
    <w:p w14:paraId="7284B5A2" w14:textId="350D501D" w:rsidR="00CE39A7" w:rsidRPr="002858D6" w:rsidRDefault="004315C3" w:rsidP="00376D77">
      <w:pPr>
        <w:rPr>
          <w:noProof/>
        </w:rPr>
      </w:pPr>
      <w:r w:rsidRPr="002858D6">
        <w:rPr>
          <w:noProof/>
        </w:rPr>
        <w:t>Na medida em que reforça o papel e o funcionamento das delegações da União no apoio à concessão de proteção consular, a presente proposta tem um impacto direto e benéfico na aplicação do artigo 41.º da Carta, que consagra o direito fundamental dos cidadãos da União a que os seus assuntos sejam tratados de forma equitativa, transparente e eficiente pelas instituições e outros órgãos da União.</w:t>
      </w:r>
    </w:p>
    <w:p w14:paraId="6D41E67D" w14:textId="0291C9E3" w:rsidR="00536CAF" w:rsidRPr="002858D6" w:rsidRDefault="00376D77" w:rsidP="00376D77">
      <w:pPr>
        <w:rPr>
          <w:noProof/>
        </w:rPr>
      </w:pPr>
      <w:r w:rsidRPr="002858D6">
        <w:rPr>
          <w:noProof/>
        </w:rPr>
        <w:t>A proposta afeta igualmente o artigo 7.º da Carta, relativo ao respeito pela vida privada e familiar e o artigo 8.º sobre o direito à proteção dos dados pessoais. O tratamento dos dados pessoais dos cidadãos, incluindo a recolha, acesso e utilização destes dados, afeta o direito à privacidade e o direito à proteção dos dados pessoais previstos na Carta. A ingerência nestes direitos fundamentais carece de justificação</w:t>
      </w:r>
      <w:r w:rsidRPr="002858D6">
        <w:rPr>
          <w:rStyle w:val="FootnoteReference0"/>
          <w:noProof/>
        </w:rPr>
        <w:footnoteReference w:id="24"/>
      </w:r>
      <w:r w:rsidRPr="002858D6">
        <w:rPr>
          <w:noProof/>
        </w:rPr>
        <w:t>. No que respeita ao direito à proteção dos dados pessoais, incluindo a segurança dos dados, aplicam-se as regras</w:t>
      </w:r>
      <w:r w:rsidRPr="002858D6">
        <w:rPr>
          <w:rStyle w:val="footnotereference"/>
          <w:noProof/>
        </w:rPr>
        <w:t xml:space="preserve"> </w:t>
      </w:r>
      <w:r w:rsidRPr="002858D6">
        <w:rPr>
          <w:noProof/>
        </w:rPr>
        <w:t>pertinentes da União</w:t>
      </w:r>
      <w:r w:rsidRPr="002858D6">
        <w:rPr>
          <w:rStyle w:val="FootnoteReference0"/>
          <w:noProof/>
        </w:rPr>
        <w:footnoteReference w:id="25"/>
      </w:r>
      <w:r w:rsidRPr="002858D6">
        <w:rPr>
          <w:noProof/>
        </w:rPr>
        <w:t xml:space="preserve">. Não </w:t>
      </w:r>
      <w:r w:rsidRPr="002858D6">
        <w:rPr>
          <w:noProof/>
        </w:rPr>
        <w:lastRenderedPageBreak/>
        <w:t>está prevista qualquer derrogação do regime de proteção de dados da União. As regras, condições e salvaguardas claras devem ser aplicadas pelos Estados-Membros de acordo com as normas de proteção de dados da União.</w:t>
      </w:r>
    </w:p>
    <w:p w14:paraId="1434365C" w14:textId="2DFAB9F2" w:rsidR="00376D77" w:rsidRPr="002858D6" w:rsidRDefault="00AA6E87" w:rsidP="00376D77">
      <w:pPr>
        <w:rPr>
          <w:noProof/>
        </w:rPr>
      </w:pPr>
      <w:r w:rsidRPr="002858D6">
        <w:rPr>
          <w:noProof/>
        </w:rPr>
        <w:t xml:space="preserve">Ao acrescentar uma disposição específica, a proposta garantiria igualmente o direito à ação (artigo 47.º da Carta). </w:t>
      </w:r>
    </w:p>
    <w:p w14:paraId="32161F18" w14:textId="77777777" w:rsidR="00304682" w:rsidRPr="002858D6" w:rsidRDefault="00304682">
      <w:pPr>
        <w:pStyle w:val="ManualHeading1"/>
        <w:rPr>
          <w:noProof/>
        </w:rPr>
      </w:pPr>
      <w:r w:rsidRPr="002858D6">
        <w:rPr>
          <w:noProof/>
        </w:rPr>
        <w:t>4.</w:t>
      </w:r>
      <w:r w:rsidRPr="002858D6">
        <w:rPr>
          <w:noProof/>
        </w:rPr>
        <w:tab/>
        <w:t>INCIDÊNCIA ORÇAMENTAL</w:t>
      </w:r>
    </w:p>
    <w:p w14:paraId="15B3B3FD" w14:textId="7EFF5E78" w:rsidR="00205442" w:rsidRPr="002858D6" w:rsidRDefault="00205442" w:rsidP="00205442">
      <w:pPr>
        <w:pBdr>
          <w:top w:val="nil"/>
          <w:left w:val="nil"/>
          <w:bottom w:val="nil"/>
          <w:right w:val="nil"/>
          <w:between w:val="nil"/>
          <w:bar w:val="nil"/>
        </w:pBdr>
        <w:spacing w:before="0" w:after="240"/>
        <w:rPr>
          <w:noProof/>
        </w:rPr>
      </w:pPr>
      <w:r w:rsidRPr="002858D6">
        <w:rPr>
          <w:noProof/>
        </w:rPr>
        <w:t>A presente proposta tem implicações em termos de custos administrativos para a Comissão e as delegações da União. Os custos limitados recorrentes com pessoal e outras despesas administrativas seriam cobertos pela rubrica orçamental «Despesas administrativas».</w:t>
      </w:r>
    </w:p>
    <w:p w14:paraId="2A0CA357" w14:textId="77777777" w:rsidR="00205442" w:rsidRPr="002858D6" w:rsidRDefault="00205442" w:rsidP="00205442">
      <w:pPr>
        <w:pBdr>
          <w:top w:val="nil"/>
          <w:left w:val="nil"/>
          <w:bottom w:val="nil"/>
          <w:right w:val="nil"/>
          <w:between w:val="nil"/>
          <w:bar w:val="nil"/>
        </w:pBdr>
        <w:spacing w:before="0" w:after="240"/>
        <w:rPr>
          <w:noProof/>
        </w:rPr>
      </w:pPr>
      <w:r w:rsidRPr="002858D6">
        <w:rPr>
          <w:noProof/>
        </w:rPr>
        <w:t>O impacto orçamental e financeiro é explicado em pormenor na ficha financeira legislativa em anexo à presente proposta.</w:t>
      </w:r>
    </w:p>
    <w:p w14:paraId="41E2FD73" w14:textId="77777777" w:rsidR="00304682" w:rsidRPr="002858D6" w:rsidRDefault="00304682">
      <w:pPr>
        <w:pStyle w:val="ManualHeading1"/>
        <w:rPr>
          <w:noProof/>
        </w:rPr>
      </w:pPr>
      <w:r w:rsidRPr="002858D6">
        <w:rPr>
          <w:noProof/>
        </w:rPr>
        <w:t>5.</w:t>
      </w:r>
      <w:r w:rsidRPr="002858D6">
        <w:rPr>
          <w:noProof/>
        </w:rPr>
        <w:tab/>
        <w:t>OUTROS ELEMENTOS</w:t>
      </w:r>
    </w:p>
    <w:p w14:paraId="3C21EB23" w14:textId="77777777" w:rsidR="00304682" w:rsidRPr="002858D6" w:rsidRDefault="00304682">
      <w:pPr>
        <w:pStyle w:val="ManualHeading2"/>
        <w:rPr>
          <w:noProof/>
          <w:u w:color="000000"/>
          <w:bdr w:val="nil"/>
        </w:rPr>
      </w:pPr>
      <w:r w:rsidRPr="002858D6">
        <w:rPr>
          <w:noProof/>
          <w:u w:color="000000"/>
          <w:bdr w:val="nil"/>
        </w:rPr>
        <w:t>•</w:t>
      </w:r>
      <w:r w:rsidRPr="002858D6">
        <w:rPr>
          <w:noProof/>
        </w:rPr>
        <w:tab/>
      </w:r>
      <w:r w:rsidRPr="002858D6">
        <w:rPr>
          <w:noProof/>
          <w:u w:color="000000"/>
          <w:bdr w:val="nil"/>
        </w:rPr>
        <w:t>Planos de execução e acompanhamento, avaliação e prestação de informações</w:t>
      </w:r>
    </w:p>
    <w:p w14:paraId="7C4666B1" w14:textId="1FB01D11" w:rsidR="00430AC1" w:rsidRPr="002858D6" w:rsidRDefault="00E76C68" w:rsidP="00746C99">
      <w:pPr>
        <w:spacing w:before="0" w:after="240"/>
        <w:rPr>
          <w:noProof/>
        </w:rPr>
      </w:pPr>
      <w:r w:rsidRPr="002858D6">
        <w:rPr>
          <w:noProof/>
        </w:rPr>
        <w:t>É importante adotar uma abordagem realista para acompanhar a aplicação da Diretiva (UE) 2015/637 com a redação que lhe for dada e não sobrecarregar as autoridades consulares nacionais. Os Estados-Membros são instados a fornecer à Comissão informações sobre um número limitado de indicadores-chave, numa base anual.</w:t>
      </w:r>
    </w:p>
    <w:p w14:paraId="33DE915B" w14:textId="16F8C728" w:rsidR="00B07080" w:rsidRPr="002858D6" w:rsidRDefault="00B07080" w:rsidP="00746C99">
      <w:pPr>
        <w:spacing w:before="0" w:after="240"/>
        <w:rPr>
          <w:noProof/>
        </w:rPr>
      </w:pPr>
      <w:r w:rsidRPr="002858D6">
        <w:rPr>
          <w:noProof/>
        </w:rPr>
        <w:t xml:space="preserve">Após oito anos, a Comissão procederá a uma avaliação da Diretiva (UE) 2015/637, com a redação que lhe foi dada pela proposta, e publicará um relatório sobre as principais conclusões. </w:t>
      </w:r>
    </w:p>
    <w:p w14:paraId="7C7B300A" w14:textId="77777777" w:rsidR="00304682" w:rsidRPr="002858D6" w:rsidRDefault="00304682">
      <w:pPr>
        <w:pStyle w:val="ManualHeading2"/>
        <w:rPr>
          <w:noProof/>
          <w:u w:color="000000"/>
          <w:bdr w:val="nil"/>
        </w:rPr>
      </w:pPr>
      <w:r w:rsidRPr="002858D6">
        <w:rPr>
          <w:noProof/>
          <w:u w:color="000000"/>
          <w:bdr w:val="nil"/>
        </w:rPr>
        <w:t>•</w:t>
      </w:r>
      <w:r w:rsidRPr="002858D6">
        <w:rPr>
          <w:noProof/>
        </w:rPr>
        <w:tab/>
      </w:r>
      <w:r w:rsidRPr="002858D6">
        <w:rPr>
          <w:noProof/>
          <w:u w:color="000000"/>
          <w:bdr w:val="nil"/>
        </w:rPr>
        <w:t>Documentos explicativos</w:t>
      </w:r>
    </w:p>
    <w:p w14:paraId="1CEEE3A0" w14:textId="25D8247F" w:rsidR="00341FE4" w:rsidRPr="002858D6" w:rsidRDefault="00341FE4" w:rsidP="00746C99">
      <w:pPr>
        <w:spacing w:before="0" w:after="240"/>
        <w:rPr>
          <w:noProof/>
        </w:rPr>
      </w:pPr>
      <w:r w:rsidRPr="002858D6">
        <w:rPr>
          <w:noProof/>
        </w:rPr>
        <w:t>A fim de assegurar a correta aplicação da presente diretiva, serão necessários documento explicativos, por exemplo, sob a forma de quadros de correspondência.</w:t>
      </w:r>
    </w:p>
    <w:p w14:paraId="139F2B7F" w14:textId="77777777" w:rsidR="00304682" w:rsidRPr="002858D6" w:rsidRDefault="00304682">
      <w:pPr>
        <w:pStyle w:val="ManualHeading2"/>
        <w:rPr>
          <w:noProof/>
          <w:u w:color="000000"/>
          <w:bdr w:val="nil"/>
        </w:rPr>
      </w:pPr>
      <w:r w:rsidRPr="002858D6">
        <w:rPr>
          <w:noProof/>
          <w:u w:color="000000"/>
          <w:bdr w:val="nil"/>
        </w:rPr>
        <w:t>•</w:t>
      </w:r>
      <w:r w:rsidRPr="002858D6">
        <w:rPr>
          <w:noProof/>
        </w:rPr>
        <w:tab/>
      </w:r>
      <w:r w:rsidRPr="002858D6">
        <w:rPr>
          <w:noProof/>
          <w:u w:color="000000"/>
          <w:bdr w:val="nil"/>
        </w:rPr>
        <w:t>Explicação pormenorizada das disposições específicas da proposta</w:t>
      </w:r>
    </w:p>
    <w:p w14:paraId="5C546DB8" w14:textId="195B3DB4" w:rsidR="000C01EE" w:rsidRPr="002858D6" w:rsidRDefault="000C01EE">
      <w:pPr>
        <w:pBdr>
          <w:top w:val="nil"/>
          <w:left w:val="nil"/>
          <w:bottom w:val="nil"/>
          <w:right w:val="nil"/>
          <w:between w:val="nil"/>
          <w:bar w:val="nil"/>
        </w:pBdr>
        <w:spacing w:before="0" w:after="240"/>
        <w:rPr>
          <w:noProof/>
        </w:rPr>
      </w:pPr>
      <w:r w:rsidRPr="002858D6">
        <w:rPr>
          <w:b/>
          <w:noProof/>
        </w:rPr>
        <w:t>O artigo 1.º contém as seguintes alterações da Diretiva (UE) 2015/637</w:t>
      </w:r>
      <w:r w:rsidRPr="002858D6">
        <w:rPr>
          <w:noProof/>
        </w:rPr>
        <w:t xml:space="preserve"> (as restantes disposições permaneceriam inalteradas):</w:t>
      </w:r>
    </w:p>
    <w:p w14:paraId="26C0D781" w14:textId="5C5AD9D6" w:rsidR="004C5205" w:rsidRPr="002858D6" w:rsidRDefault="0053308B" w:rsidP="206CD7EA">
      <w:pPr>
        <w:pBdr>
          <w:top w:val="nil"/>
          <w:left w:val="nil"/>
          <w:bottom w:val="nil"/>
          <w:right w:val="nil"/>
          <w:between w:val="nil"/>
          <w:bar w:val="nil"/>
        </w:pBdr>
        <w:spacing w:before="0" w:after="240"/>
        <w:rPr>
          <w:noProof/>
        </w:rPr>
      </w:pPr>
      <w:r w:rsidRPr="002858D6">
        <w:rPr>
          <w:i/>
          <w:noProof/>
        </w:rPr>
        <w:t>Artigo 6.º</w:t>
      </w:r>
      <w:r w:rsidRPr="002858D6">
        <w:rPr>
          <w:noProof/>
        </w:rPr>
        <w:t>: as alterações a este artigo visam clarificar os casos em que um Estado-Membro não deve ser considerado representado num país terceiro devido ao facto de não dispor de embaixada ou consulado que esteja efetivamente em condições de conceder proteção consular. Para o efeito, é aditado um novo número que estabelece os critérios a ter em conta pela embaixada ou consulado a que o cidadão não representado solicita proteção consular para determinar se um Estado-Membro não dispõe de embaixada ou consulado que esteja efetivamente em condições de conceder proteção consular num determinado caso. Esses critérios devem ser aplicados à luz das circunstâncias locais.</w:t>
      </w:r>
    </w:p>
    <w:p w14:paraId="2E0209BB" w14:textId="6C95D17F" w:rsidR="004948C5" w:rsidRPr="002858D6" w:rsidRDefault="00176EE7" w:rsidP="206CD7EA">
      <w:pPr>
        <w:pBdr>
          <w:top w:val="nil"/>
          <w:left w:val="nil"/>
          <w:bottom w:val="nil"/>
          <w:right w:val="nil"/>
          <w:between w:val="nil"/>
          <w:bar w:val="nil"/>
        </w:pBdr>
        <w:spacing w:before="0" w:after="240"/>
        <w:rPr>
          <w:noProof/>
        </w:rPr>
      </w:pPr>
      <w:r w:rsidRPr="002858D6">
        <w:rPr>
          <w:noProof/>
        </w:rPr>
        <w:lastRenderedPageBreak/>
        <w:t>Outro novo número clarifica que a presença de um cônsul honorário do Estado-Membro da nacionalidade do cidadão só pode ser tida em conta se a assistência solicitada pelo cidadão estiver abrangida pelas competências desse cônsul. O objetivo é evitar que seja negada assistência aos cidadãos com referência a um cônsul honorário que não tem competência para lhes prestar essa assistência.</w:t>
      </w:r>
    </w:p>
    <w:p w14:paraId="1AFA7205" w14:textId="3DF2F5ED" w:rsidR="004C5205" w:rsidRPr="002858D6" w:rsidRDefault="00435645" w:rsidP="206CD7EA">
      <w:pPr>
        <w:pBdr>
          <w:top w:val="nil"/>
          <w:left w:val="nil"/>
          <w:bottom w:val="nil"/>
          <w:right w:val="nil"/>
          <w:between w:val="nil"/>
          <w:bar w:val="nil"/>
        </w:pBdr>
        <w:spacing w:before="0" w:after="240"/>
        <w:rPr>
          <w:noProof/>
        </w:rPr>
      </w:pPr>
      <w:r w:rsidRPr="002858D6">
        <w:rPr>
          <w:i/>
          <w:noProof/>
        </w:rPr>
        <w:t>Artigo 7.º</w:t>
      </w:r>
      <w:r w:rsidRPr="002858D6">
        <w:rPr>
          <w:noProof/>
        </w:rPr>
        <w:t>: as disposições relativas à notificação de acordos entre Estados-Membros seriam transferidas para o novo artigo 13.º-B, agrupando-as assim com outros requisitos de notificação. É aditado um novo número, que permitiria aos Estados-Membros representados transferir pedidos de assistência com base na capacidade disponível em situações de crise. O objetivo é assegurar uma utilização eficiente dos recursos disponíveis nessas situações.</w:t>
      </w:r>
    </w:p>
    <w:p w14:paraId="1F3C1544" w14:textId="757C22A5" w:rsidR="00435645" w:rsidRPr="002858D6" w:rsidRDefault="006873F1" w:rsidP="206CD7EA">
      <w:pPr>
        <w:pBdr>
          <w:top w:val="nil"/>
          <w:left w:val="nil"/>
          <w:bottom w:val="nil"/>
          <w:right w:val="nil"/>
          <w:between w:val="nil"/>
          <w:bar w:val="nil"/>
        </w:pBdr>
        <w:spacing w:before="0" w:after="240"/>
        <w:rPr>
          <w:noProof/>
        </w:rPr>
      </w:pPr>
      <w:r w:rsidRPr="002858D6">
        <w:rPr>
          <w:noProof/>
        </w:rPr>
        <w:t>Por último, as alterações visam clarificar que os pedidos devem ser transferidos pelas autoridades consulares contactadas. Não se deve pedir aos cidadãos não representados que solicitem assistência que se dirijam a outro Estado-Membro. Além disso, os cidadãos devem ser informados da transferência dos pedidos.</w:t>
      </w:r>
    </w:p>
    <w:p w14:paraId="5F088C5F" w14:textId="5454A92E" w:rsidR="00224625" w:rsidRPr="002858D6" w:rsidRDefault="00224625" w:rsidP="206CD7EA">
      <w:pPr>
        <w:pBdr>
          <w:top w:val="nil"/>
          <w:left w:val="nil"/>
          <w:bottom w:val="nil"/>
          <w:right w:val="nil"/>
          <w:between w:val="nil"/>
          <w:bar w:val="nil"/>
        </w:pBdr>
        <w:spacing w:before="0" w:after="240"/>
        <w:rPr>
          <w:noProof/>
        </w:rPr>
      </w:pPr>
      <w:r w:rsidRPr="002858D6">
        <w:rPr>
          <w:i/>
          <w:noProof/>
        </w:rPr>
        <w:t>Artigo 9.º</w:t>
      </w:r>
      <w:r w:rsidRPr="002858D6">
        <w:rPr>
          <w:noProof/>
        </w:rPr>
        <w:t>: é aditada ao presente artigo uma referência à «evacuação» para abranger exaustivamente as situações em que cidadãos da União são socorridos e transferidos de zonas afetadas por uma emergência para um local seguro, que não tem de ser necessariamente o território de um Estado-Membro, bem como as situações em que cidadãos da União são repatriados para o território da União. Além disso, a referência à Decisão 96/409/PESC</w:t>
      </w:r>
      <w:r w:rsidRPr="002858D6">
        <w:rPr>
          <w:rStyle w:val="FootnoteReference0"/>
          <w:noProof/>
        </w:rPr>
        <w:footnoteReference w:id="26"/>
      </w:r>
      <w:r w:rsidRPr="002858D6">
        <w:rPr>
          <w:noProof/>
        </w:rPr>
        <w:t xml:space="preserve"> é substituída pela referência à Diretiva (UE) 2019/997, uma vez que esta última revogou a primeira.</w:t>
      </w:r>
    </w:p>
    <w:p w14:paraId="51DDE5AC" w14:textId="3495FAD7" w:rsidR="00ED4E36" w:rsidRPr="002858D6" w:rsidRDefault="00ED4E36" w:rsidP="006C658B">
      <w:pPr>
        <w:pBdr>
          <w:top w:val="nil"/>
          <w:left w:val="nil"/>
          <w:bottom w:val="nil"/>
          <w:right w:val="nil"/>
          <w:between w:val="nil"/>
          <w:bar w:val="nil"/>
        </w:pBdr>
        <w:spacing w:before="0" w:after="240"/>
        <w:rPr>
          <w:noProof/>
        </w:rPr>
      </w:pPr>
      <w:r w:rsidRPr="002858D6">
        <w:rPr>
          <w:i/>
          <w:noProof/>
        </w:rPr>
        <w:t>Artigo 10.º</w:t>
      </w:r>
      <w:r w:rsidRPr="002858D6">
        <w:rPr>
          <w:noProof/>
        </w:rPr>
        <w:t xml:space="preserve">: é aditado um novo número para clarificar que os Estados-Membros podem envolver, nas suas medidas de coordenação e cooperação, pessoal militar e de segurança, cônsules honorários, organizações internacionais ou autoridades diplomáticas e consulares de países terceiros. Além disso, tendo em conta as alterações do artigo 7.º, a designação do Serviço Europeu para a Ação Externa – «SEAE» – é introduzida no n.º 4.   </w:t>
      </w:r>
    </w:p>
    <w:p w14:paraId="65FDFAF7" w14:textId="790837E4" w:rsidR="00812F88" w:rsidRPr="002858D6" w:rsidRDefault="00812F88" w:rsidP="206CD7EA">
      <w:pPr>
        <w:pBdr>
          <w:top w:val="nil"/>
          <w:left w:val="nil"/>
          <w:bottom w:val="nil"/>
          <w:right w:val="nil"/>
          <w:between w:val="nil"/>
          <w:bar w:val="nil"/>
        </w:pBdr>
        <w:spacing w:before="0" w:after="240"/>
        <w:rPr>
          <w:noProof/>
        </w:rPr>
      </w:pPr>
      <w:r w:rsidRPr="002858D6">
        <w:rPr>
          <w:i/>
          <w:noProof/>
        </w:rPr>
        <w:t>Artigo 11.º</w:t>
      </w:r>
      <w:r w:rsidRPr="002858D6">
        <w:rPr>
          <w:noProof/>
        </w:rPr>
        <w:t>: as alterações deste artigo clarificam o papel de apoio das delegações da União, nomeadamente enumerando as tarefas mais pertinentes neste contexto. O novo n.º 2 estabelece que as delegações da União devem apoiar os Estados-Membros na concessão de proteção consular, nos termos do artigo 5.º, n.º 10, da Decisão SEAE, ou seja, a pedido dos Estados-Membros e numa base de neutralidade em termos de recursos, nomeadamente através da execução de tarefas de assistência consular específicas.</w:t>
      </w:r>
    </w:p>
    <w:p w14:paraId="5B91C97E" w14:textId="77777777" w:rsidR="00114815" w:rsidRPr="002858D6" w:rsidRDefault="008F7727">
      <w:pPr>
        <w:pBdr>
          <w:top w:val="nil"/>
          <w:left w:val="nil"/>
          <w:bottom w:val="nil"/>
          <w:right w:val="nil"/>
          <w:between w:val="nil"/>
          <w:bar w:val="nil"/>
        </w:pBdr>
        <w:spacing w:before="0" w:after="240"/>
        <w:rPr>
          <w:noProof/>
        </w:rPr>
      </w:pPr>
      <w:r w:rsidRPr="002858D6">
        <w:rPr>
          <w:i/>
          <w:noProof/>
        </w:rPr>
        <w:t>Artigo 12.º</w:t>
      </w:r>
      <w:r w:rsidRPr="002858D6">
        <w:rPr>
          <w:noProof/>
        </w:rPr>
        <w:t>: as regras em matéria de cooperação consular local seriam clarificadas, nomeadamente enumerando os temas a abordar nas reuniões de cooperação consular local.</w:t>
      </w:r>
    </w:p>
    <w:p w14:paraId="65C4E166" w14:textId="6779DC64" w:rsidR="00873910" w:rsidRPr="002858D6" w:rsidRDefault="009E2754" w:rsidP="46EEE3AE">
      <w:pPr>
        <w:pBdr>
          <w:top w:val="nil"/>
          <w:left w:val="nil"/>
          <w:bottom w:val="nil"/>
          <w:right w:val="nil"/>
          <w:between w:val="nil"/>
          <w:bar w:val="nil"/>
        </w:pBdr>
        <w:spacing w:before="0" w:after="240"/>
        <w:rPr>
          <w:noProof/>
        </w:rPr>
      </w:pPr>
      <w:r w:rsidRPr="002858D6">
        <w:rPr>
          <w:i/>
          <w:noProof/>
        </w:rPr>
        <w:t>Artigo 13.º</w:t>
      </w:r>
      <w:r w:rsidRPr="002858D6">
        <w:rPr>
          <w:noProof/>
        </w:rPr>
        <w:t>: este artigo seria dividido em dois, com o artigo 13.º centrado na preparação para crises e o novo artigo 13.º-A centrado na resposta a situações de crise. Nos termos do artigo 13.º, os planos conjuntos de emergência consular são estabelecidos como instrumento fundamental para a preparação para as crises, juntamente com exercícios consulares anuais para os testar.</w:t>
      </w:r>
    </w:p>
    <w:p w14:paraId="709A4CD4" w14:textId="2A51F74B" w:rsidR="00873910" w:rsidRPr="002858D6" w:rsidRDefault="000B004E" w:rsidP="46EEE3AE">
      <w:pPr>
        <w:pBdr>
          <w:top w:val="nil"/>
          <w:left w:val="nil"/>
          <w:bottom w:val="nil"/>
          <w:right w:val="nil"/>
          <w:between w:val="nil"/>
          <w:bar w:val="nil"/>
        </w:pBdr>
        <w:spacing w:before="0" w:after="240"/>
        <w:rPr>
          <w:noProof/>
        </w:rPr>
      </w:pPr>
      <w:r w:rsidRPr="002858D6">
        <w:rPr>
          <w:noProof/>
        </w:rPr>
        <w:lastRenderedPageBreak/>
        <w:t>Um novo número exigiria que os Estados-Membros oferecessem aos seus cidadãos a possibilidade de se registarem junto das autoridades nacionais competentes ou de as informarem das suas viagens ou da sua residência em países terceiros. O objetivo é melhorar as informações disponíveis sobre o número e a localização estimada dos cidadãos da União presentes num país terceiro para efeitos de preparação e resposta a situações de crise. Além disso, tal facilitaria o contacto com os cidadãos afetados por uma situação de crise.</w:t>
      </w:r>
    </w:p>
    <w:p w14:paraId="02EBD8F8" w14:textId="3057E7F7" w:rsidR="009E2754" w:rsidRPr="002858D6" w:rsidRDefault="00A94306">
      <w:pPr>
        <w:pBdr>
          <w:top w:val="nil"/>
          <w:left w:val="nil"/>
          <w:bottom w:val="nil"/>
          <w:right w:val="nil"/>
          <w:between w:val="nil"/>
          <w:bar w:val="nil"/>
        </w:pBdr>
        <w:spacing w:before="0" w:after="240"/>
        <w:rPr>
          <w:noProof/>
        </w:rPr>
      </w:pPr>
      <w:r w:rsidRPr="002858D6">
        <w:rPr>
          <w:noProof/>
        </w:rPr>
        <w:t xml:space="preserve">Por último, os Estados-Membros teriam de envidar esforços para coordenar as alterações das suas recomendações aos viajantes numa fase precoce, nomeadamente no contexto de situações de crise.   </w:t>
      </w:r>
    </w:p>
    <w:p w14:paraId="2CEF4EAD" w14:textId="77777777" w:rsidR="00D53B87" w:rsidRPr="002858D6" w:rsidRDefault="00BB79A0">
      <w:pPr>
        <w:pBdr>
          <w:top w:val="nil"/>
          <w:left w:val="nil"/>
          <w:bottom w:val="nil"/>
          <w:right w:val="nil"/>
          <w:between w:val="nil"/>
          <w:bar w:val="nil"/>
        </w:pBdr>
        <w:spacing w:before="0" w:after="240"/>
        <w:rPr>
          <w:noProof/>
        </w:rPr>
      </w:pPr>
      <w:r w:rsidRPr="002858D6">
        <w:rPr>
          <w:i/>
          <w:noProof/>
        </w:rPr>
        <w:t>Artigo 13.º-A</w:t>
      </w:r>
      <w:r w:rsidRPr="002858D6">
        <w:rPr>
          <w:noProof/>
        </w:rPr>
        <w:t>: este novo artigo baseia-se no artigo 13.º, n.</w:t>
      </w:r>
      <w:r w:rsidRPr="002858D6">
        <w:rPr>
          <w:noProof/>
          <w:vertAlign w:val="superscript"/>
        </w:rPr>
        <w:t>os</w:t>
      </w:r>
      <w:r w:rsidRPr="002858D6">
        <w:rPr>
          <w:noProof/>
        </w:rPr>
        <w:t> 2 a 4, da Diretiva (UE) 2015/637. As disposições relativas às «equipas de intervenção existentes a nível da União», anteriormente incluídas no artigo 13.º, n.º 2, são alargadas para contemplar o eventual destacamento de equipas consulares conjuntas, cuja participação deve ser voluntária para os Estados-Membros.</w:t>
      </w:r>
    </w:p>
    <w:p w14:paraId="73AA1F9C" w14:textId="77777777" w:rsidR="00C656F0" w:rsidRPr="002858D6" w:rsidRDefault="0057148F" w:rsidP="206CD7EA">
      <w:pPr>
        <w:pBdr>
          <w:top w:val="nil"/>
          <w:left w:val="nil"/>
          <w:bottom w:val="nil"/>
          <w:right w:val="nil"/>
          <w:between w:val="nil"/>
          <w:bar w:val="nil"/>
        </w:pBdr>
        <w:spacing w:before="0" w:after="240"/>
        <w:rPr>
          <w:noProof/>
        </w:rPr>
      </w:pPr>
      <w:r w:rsidRPr="002858D6">
        <w:rPr>
          <w:i/>
          <w:noProof/>
        </w:rPr>
        <w:t>Artigo 13.º-B</w:t>
      </w:r>
      <w:r w:rsidRPr="002858D6">
        <w:rPr>
          <w:noProof/>
        </w:rPr>
        <w:t>: Este novo artigo consolida os diferentes requisitos de notificação já previstos pela Diretiva (UE) 2015/637. Além disso, os Estados-Membros seriam obrigados a fornecer dados estatísticos limitados para melhorar o acompanhamento da diretiva. Se necessário, os dados devem ser fornecidos num formato legível por máquina.</w:t>
      </w:r>
    </w:p>
    <w:p w14:paraId="608B8F91" w14:textId="1677FC65" w:rsidR="00AB7B2A" w:rsidRPr="002858D6" w:rsidRDefault="00386603">
      <w:pPr>
        <w:pBdr>
          <w:top w:val="nil"/>
          <w:left w:val="nil"/>
          <w:bottom w:val="nil"/>
          <w:right w:val="nil"/>
          <w:between w:val="nil"/>
          <w:bar w:val="nil"/>
        </w:pBdr>
        <w:spacing w:before="0" w:after="240"/>
        <w:rPr>
          <w:noProof/>
        </w:rPr>
      </w:pPr>
      <w:r w:rsidRPr="002858D6">
        <w:rPr>
          <w:i/>
          <w:noProof/>
        </w:rPr>
        <w:t>Artigo 13.º-C</w:t>
      </w:r>
      <w:r w:rsidRPr="002858D6">
        <w:rPr>
          <w:noProof/>
        </w:rPr>
        <w:t>: este novo artigo prevê que os Estados-Membros devem tomar medidas para informar os cidadãos do seu direito à proteção consular, tal como previsto no artigo 20.º, n.º 2, alínea c), do TFUE. Para o efeito, enumera exemplos de possíveis medidas que poderiam ser tomadas neste contexto, como a impressão da primeira frase do artigo 23.º do TFUE nos passaportes nacionais, conforme já recomendado na Recomendação C(2007) 5841 da Comissão</w:t>
      </w:r>
      <w:r w:rsidRPr="002858D6">
        <w:rPr>
          <w:rStyle w:val="FootnoteReference0"/>
          <w:noProof/>
        </w:rPr>
        <w:footnoteReference w:id="27"/>
      </w:r>
      <w:r w:rsidRPr="002858D6">
        <w:rPr>
          <w:noProof/>
        </w:rPr>
        <w:t>. Os serviços da Comissão e o SEAE devem contribuir para esses esforços.</w:t>
      </w:r>
    </w:p>
    <w:p w14:paraId="650F9D18" w14:textId="77777777" w:rsidR="00765C71" w:rsidRPr="002858D6" w:rsidRDefault="00FE6538">
      <w:pPr>
        <w:pBdr>
          <w:top w:val="nil"/>
          <w:left w:val="nil"/>
          <w:bottom w:val="nil"/>
          <w:right w:val="nil"/>
          <w:between w:val="nil"/>
          <w:bar w:val="nil"/>
        </w:pBdr>
        <w:spacing w:before="0" w:after="240"/>
        <w:rPr>
          <w:noProof/>
        </w:rPr>
      </w:pPr>
      <w:r w:rsidRPr="002858D6">
        <w:rPr>
          <w:i/>
          <w:noProof/>
        </w:rPr>
        <w:t>Artigo 14.º</w:t>
      </w:r>
      <w:r w:rsidRPr="002858D6">
        <w:rPr>
          <w:noProof/>
        </w:rPr>
        <w:t>: as regras relativas ao reembolso das despesas de proteção consular seriam adaptadas para prever que tais despesas sejam reembolsadas, em primeiro lugar, diretamente pelo cidadão não representado assistido, no momento da apresentação do pedido ou numa fase posterior. O Estado-Membro que presta assistência deve dirigir-se ao Estado-Membro da nacionalidade para obter o reembolso apenas se o mesmo não for efetuado. Por último, é aditado um número específico para estabelecer as regras para o reembolso das despesas suportadas pelas delegações da União que apoiam os Estados-Membros.</w:t>
      </w:r>
    </w:p>
    <w:p w14:paraId="230A7F62" w14:textId="4020A815" w:rsidR="00386603" w:rsidRPr="002858D6" w:rsidRDefault="00765C71">
      <w:pPr>
        <w:pBdr>
          <w:top w:val="nil"/>
          <w:left w:val="nil"/>
          <w:bottom w:val="nil"/>
          <w:right w:val="nil"/>
          <w:between w:val="nil"/>
          <w:bar w:val="nil"/>
        </w:pBdr>
        <w:spacing w:before="0" w:after="240"/>
        <w:rPr>
          <w:noProof/>
        </w:rPr>
      </w:pPr>
      <w:r w:rsidRPr="002858D6">
        <w:rPr>
          <w:i/>
          <w:noProof/>
        </w:rPr>
        <w:t>Artigos 15.°</w:t>
      </w:r>
      <w:r w:rsidRPr="002858D6">
        <w:rPr>
          <w:noProof/>
        </w:rPr>
        <w:t xml:space="preserve">: as alterações deste artigo asseguram o alinhamento com as alterações do artigo 14.º. Além disso, um novo número prevê que os Estados-Membros que prestam assistência a cidadãos representados em situações de crise também podem solicitar o reembolso das despesas, uma vez que pode não ser possível ou viável na prática distingui-los dos cidadãos não representados em situações de crise. O objetivo é reduzir os encargos administrativos que resultariam da necessidade de aplicar dois procedimentos diferentes. O último número é adaptado para assegurar que os reembolsos nos termos da Diretiva (UE) 2015/637 são tidos em conta na determinação de qualquer contribuição do Mecanismo de Proteção Civil da União, em consonância com as disposições financeiras aplicáveis a essas contribuições. </w:t>
      </w:r>
    </w:p>
    <w:p w14:paraId="64C58806" w14:textId="6431262B" w:rsidR="004F6F21" w:rsidRPr="002858D6" w:rsidRDefault="004F6F21">
      <w:pPr>
        <w:pBdr>
          <w:top w:val="nil"/>
          <w:left w:val="nil"/>
          <w:bottom w:val="nil"/>
          <w:right w:val="nil"/>
          <w:between w:val="nil"/>
          <w:bar w:val="nil"/>
        </w:pBdr>
        <w:spacing w:before="0" w:after="240"/>
        <w:rPr>
          <w:noProof/>
        </w:rPr>
      </w:pPr>
      <w:r w:rsidRPr="002858D6">
        <w:rPr>
          <w:i/>
          <w:noProof/>
        </w:rPr>
        <w:lastRenderedPageBreak/>
        <w:t>Artigos 15.°-A</w:t>
      </w:r>
      <w:r w:rsidRPr="002858D6">
        <w:rPr>
          <w:noProof/>
        </w:rPr>
        <w:t>: este novo artigo diz respeito ao procedimento de comité aplicável à adoção de atos de execução, tal como previsto no artigo 13.º-B, n.º 4, e no artigo 14.º, n.º 6.</w:t>
      </w:r>
    </w:p>
    <w:p w14:paraId="09003B94" w14:textId="2D6ABDBA" w:rsidR="00BD7654" w:rsidRPr="002858D6" w:rsidRDefault="00BD7654" w:rsidP="206CD7EA">
      <w:pPr>
        <w:pBdr>
          <w:top w:val="nil"/>
          <w:left w:val="nil"/>
          <w:bottom w:val="nil"/>
          <w:right w:val="nil"/>
          <w:between w:val="nil"/>
          <w:bar w:val="nil"/>
        </w:pBdr>
        <w:spacing w:before="0" w:after="240"/>
        <w:rPr>
          <w:noProof/>
        </w:rPr>
      </w:pPr>
      <w:r w:rsidRPr="002858D6">
        <w:rPr>
          <w:i/>
          <w:noProof/>
        </w:rPr>
        <w:t>Artigo 16.º-A</w:t>
      </w:r>
      <w:r w:rsidRPr="002858D6">
        <w:rPr>
          <w:noProof/>
        </w:rPr>
        <w:t xml:space="preserve">: este novo artigo contém as regras aplicáveis ao tratamento de dados pessoais para efeitos de concessão de proteção consular, incluindo, se necessário devido à natureza do caso consular, categorias especiais de dados pessoais, e a transferência de dados pessoais para países terceiros e organizações internacionais, nomeadamente aquando da organização de voos de evacuação. </w:t>
      </w:r>
    </w:p>
    <w:p w14:paraId="68FA57BB" w14:textId="77777777" w:rsidR="00793364" w:rsidRPr="002858D6" w:rsidRDefault="00793364">
      <w:pPr>
        <w:pBdr>
          <w:top w:val="nil"/>
          <w:left w:val="nil"/>
          <w:bottom w:val="nil"/>
          <w:right w:val="nil"/>
          <w:between w:val="nil"/>
          <w:bar w:val="nil"/>
        </w:pBdr>
        <w:spacing w:before="0" w:after="240"/>
        <w:rPr>
          <w:noProof/>
        </w:rPr>
      </w:pPr>
      <w:r w:rsidRPr="002858D6">
        <w:rPr>
          <w:i/>
          <w:noProof/>
        </w:rPr>
        <w:t>Artigo 16.º-B</w:t>
      </w:r>
      <w:r w:rsidRPr="002858D6">
        <w:rPr>
          <w:noProof/>
        </w:rPr>
        <w:t>: este novo artigo aplica o direito fundamental à ação no contexto da proteção consular.</w:t>
      </w:r>
    </w:p>
    <w:p w14:paraId="67049F43" w14:textId="0D786CE0" w:rsidR="008C3A55" w:rsidRPr="002858D6" w:rsidRDefault="008C3A55">
      <w:pPr>
        <w:pBdr>
          <w:top w:val="nil"/>
          <w:left w:val="nil"/>
          <w:bottom w:val="nil"/>
          <w:right w:val="nil"/>
          <w:between w:val="nil"/>
          <w:bar w:val="nil"/>
        </w:pBdr>
        <w:spacing w:before="0" w:after="240"/>
        <w:rPr>
          <w:noProof/>
        </w:rPr>
      </w:pPr>
      <w:r w:rsidRPr="002858D6">
        <w:rPr>
          <w:i/>
          <w:noProof/>
        </w:rPr>
        <w:t>Artigo 19.º</w:t>
      </w:r>
      <w:r w:rsidRPr="002858D6">
        <w:rPr>
          <w:noProof/>
        </w:rPr>
        <w:t>: é aditado um novo número a este artigo para prever uma avaliação da Diretiva (UE) 2015/637 oito anos após a transposição das alterações.</w:t>
      </w:r>
    </w:p>
    <w:p w14:paraId="375EB09F" w14:textId="77777777" w:rsidR="0053308B" w:rsidRPr="002858D6" w:rsidRDefault="00EA3BC8">
      <w:pPr>
        <w:pBdr>
          <w:top w:val="nil"/>
          <w:left w:val="nil"/>
          <w:bottom w:val="nil"/>
          <w:right w:val="nil"/>
          <w:between w:val="nil"/>
          <w:bar w:val="nil"/>
        </w:pBdr>
        <w:spacing w:before="0" w:after="240"/>
        <w:rPr>
          <w:noProof/>
        </w:rPr>
      </w:pPr>
      <w:r w:rsidRPr="002858D6">
        <w:rPr>
          <w:b/>
          <w:noProof/>
        </w:rPr>
        <w:t>O artigo 2.º contém as seguintes alterações da Diretiva (UE) 2019/997</w:t>
      </w:r>
      <w:r w:rsidRPr="002858D6">
        <w:rPr>
          <w:noProof/>
        </w:rPr>
        <w:t>:</w:t>
      </w:r>
    </w:p>
    <w:p w14:paraId="46AA9116" w14:textId="77777777" w:rsidR="001A07A5" w:rsidRPr="002858D6" w:rsidRDefault="001A07A5">
      <w:pPr>
        <w:pBdr>
          <w:top w:val="nil"/>
          <w:left w:val="nil"/>
          <w:bottom w:val="nil"/>
          <w:right w:val="nil"/>
          <w:between w:val="nil"/>
          <w:bar w:val="nil"/>
        </w:pBdr>
        <w:spacing w:before="0" w:after="240"/>
        <w:rPr>
          <w:noProof/>
        </w:rPr>
      </w:pPr>
      <w:r w:rsidRPr="002858D6">
        <w:rPr>
          <w:i/>
          <w:noProof/>
        </w:rPr>
        <w:t>Artigo 5.º</w:t>
      </w:r>
      <w:r w:rsidRPr="002858D6">
        <w:rPr>
          <w:noProof/>
        </w:rPr>
        <w:t xml:space="preserve">: a referência neste artigo às disposições financeiras da Diretiva (UE) 2015/637 é adaptada, uma vez que a presente proposta adapta a numeração do artigo 14.º da Diretiva (UE) 2015/637. </w:t>
      </w:r>
    </w:p>
    <w:p w14:paraId="701BE90B" w14:textId="77777777" w:rsidR="00304682" w:rsidRPr="002858D6" w:rsidRDefault="00304682">
      <w:pPr>
        <w:spacing w:before="0" w:after="0"/>
        <w:jc w:val="left"/>
        <w:rPr>
          <w:noProof/>
        </w:rPr>
        <w:sectPr w:rsidR="00304682" w:rsidRPr="002858D6" w:rsidSect="007A1735">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2C740772" w14:textId="2097821F" w:rsidR="00750C94" w:rsidRPr="002858D6" w:rsidRDefault="002858D6" w:rsidP="002858D6">
      <w:pPr>
        <w:pStyle w:val="Rfrenceinterinstitutionnelle"/>
        <w:rPr>
          <w:noProof/>
        </w:rPr>
      </w:pPr>
      <w:r>
        <w:rPr>
          <w:noProof/>
        </w:rPr>
        <w:lastRenderedPageBreak/>
        <w:t>2023/0441 (CNS)</w:t>
      </w:r>
    </w:p>
    <w:p w14:paraId="79C84DBE" w14:textId="788E339D" w:rsidR="00304682" w:rsidRPr="002858D6" w:rsidRDefault="002858D6" w:rsidP="002858D6">
      <w:pPr>
        <w:pStyle w:val="Statut"/>
        <w:rPr>
          <w:noProof/>
        </w:rPr>
      </w:pPr>
      <w:r w:rsidRPr="002858D6">
        <w:rPr>
          <w:noProof/>
        </w:rPr>
        <w:t>Proposta de</w:t>
      </w:r>
    </w:p>
    <w:p w14:paraId="145B70E1" w14:textId="14F3FD6D" w:rsidR="00304682" w:rsidRPr="002858D6" w:rsidRDefault="002858D6" w:rsidP="002858D6">
      <w:pPr>
        <w:pStyle w:val="Typedudocument"/>
        <w:rPr>
          <w:noProof/>
        </w:rPr>
      </w:pPr>
      <w:r w:rsidRPr="002858D6">
        <w:rPr>
          <w:noProof/>
        </w:rPr>
        <w:t>DIRETIVA DO CONSELHO</w:t>
      </w:r>
    </w:p>
    <w:p w14:paraId="13062F26" w14:textId="1D18C266" w:rsidR="00304682" w:rsidRPr="002858D6" w:rsidRDefault="002858D6" w:rsidP="002858D6">
      <w:pPr>
        <w:pStyle w:val="Titreobjet"/>
        <w:rPr>
          <w:noProof/>
        </w:rPr>
      </w:pPr>
      <w:r w:rsidRPr="002858D6">
        <w:rPr>
          <w:noProof/>
        </w:rPr>
        <w:t>que altera a Diretiva (UE) 2015/637 relativa a medidas de coordenação e cooperação para facilitar a proteção consular dos cidadãos da União não representados em países terceiros e a Diretiva (UE) 2019/997 que cria um título de viagem provisório da UE</w:t>
      </w:r>
    </w:p>
    <w:p w14:paraId="6F4B7C40" w14:textId="77777777" w:rsidR="00304682" w:rsidRPr="002858D6" w:rsidRDefault="00304682">
      <w:pPr>
        <w:pStyle w:val="Institutionquiagit"/>
        <w:rPr>
          <w:noProof/>
        </w:rPr>
      </w:pPr>
      <w:r w:rsidRPr="002858D6">
        <w:rPr>
          <w:noProof/>
        </w:rPr>
        <w:t>O CONSELHO DA UNIÃO EUROPEIA,</w:t>
      </w:r>
    </w:p>
    <w:p w14:paraId="3DEA8CF9" w14:textId="5FF591C8" w:rsidR="00304682" w:rsidRPr="002858D6" w:rsidRDefault="00304682">
      <w:pPr>
        <w:rPr>
          <w:noProof/>
        </w:rPr>
      </w:pPr>
      <w:r w:rsidRPr="002858D6">
        <w:rPr>
          <w:noProof/>
        </w:rPr>
        <w:t>Tendo em conta o Tratado sobre o Funcionamento da União Europeia, nomeadamente o artigo 23.º, terceiro parágrafo,</w:t>
      </w:r>
    </w:p>
    <w:p w14:paraId="6A2F11AF" w14:textId="77777777" w:rsidR="00304682" w:rsidRPr="002858D6" w:rsidRDefault="00304682">
      <w:pPr>
        <w:rPr>
          <w:noProof/>
        </w:rPr>
      </w:pPr>
      <w:r w:rsidRPr="002858D6">
        <w:rPr>
          <w:noProof/>
        </w:rPr>
        <w:t>Tendo em conta a proposta da Comissão Europeia,</w:t>
      </w:r>
    </w:p>
    <w:p w14:paraId="2AC64FA0" w14:textId="77777777" w:rsidR="00304682" w:rsidRPr="002858D6" w:rsidRDefault="00304682">
      <w:pPr>
        <w:rPr>
          <w:noProof/>
        </w:rPr>
      </w:pPr>
      <w:r w:rsidRPr="002858D6">
        <w:rPr>
          <w:noProof/>
        </w:rPr>
        <w:t>Após transmissão do projeto de ato legislativo aos Parlamentos nacionais,</w:t>
      </w:r>
    </w:p>
    <w:p w14:paraId="14E979EE" w14:textId="77777777" w:rsidR="00304682" w:rsidRPr="002858D6" w:rsidRDefault="00304682">
      <w:pPr>
        <w:rPr>
          <w:noProof/>
        </w:rPr>
      </w:pPr>
      <w:r w:rsidRPr="002858D6">
        <w:rPr>
          <w:noProof/>
        </w:rPr>
        <w:t>Tendo em conta o parecer do Parlamento Europeu</w:t>
      </w:r>
      <w:r w:rsidRPr="002858D6">
        <w:rPr>
          <w:rStyle w:val="FootnoteReference0"/>
          <w:noProof/>
        </w:rPr>
        <w:footnoteReference w:id="28"/>
      </w:r>
      <w:r w:rsidRPr="002858D6">
        <w:rPr>
          <w:noProof/>
        </w:rPr>
        <w:t>,</w:t>
      </w:r>
    </w:p>
    <w:p w14:paraId="5BF759E7" w14:textId="77777777" w:rsidR="00304682" w:rsidRPr="002858D6" w:rsidRDefault="00304682">
      <w:pPr>
        <w:rPr>
          <w:noProof/>
        </w:rPr>
      </w:pPr>
      <w:r w:rsidRPr="002858D6">
        <w:rPr>
          <w:noProof/>
        </w:rPr>
        <w:t>Deliberando de acordo com um processo legislativo especial,</w:t>
      </w:r>
    </w:p>
    <w:p w14:paraId="3B40E6D5" w14:textId="77777777" w:rsidR="00304682" w:rsidRPr="002858D6" w:rsidRDefault="00304682">
      <w:pPr>
        <w:rPr>
          <w:noProof/>
        </w:rPr>
      </w:pPr>
      <w:r w:rsidRPr="002858D6">
        <w:rPr>
          <w:noProof/>
        </w:rPr>
        <w:t>Considerando o seguinte:</w:t>
      </w:r>
    </w:p>
    <w:p w14:paraId="29567D26" w14:textId="79136FB9" w:rsidR="00B317D6" w:rsidRPr="002858D6" w:rsidRDefault="1F5CD073" w:rsidP="008C1DC5">
      <w:pPr>
        <w:pStyle w:val="ManualConsidrant"/>
        <w:rPr>
          <w:noProof/>
        </w:rPr>
      </w:pPr>
      <w:r>
        <w:rPr>
          <w:noProof/>
        </w:rPr>
        <w:t>(1)</w:t>
      </w:r>
      <w:r>
        <w:rPr>
          <w:noProof/>
        </w:rPr>
        <w:tab/>
      </w:r>
      <w:r w:rsidRPr="002858D6">
        <w:rPr>
          <w:noProof/>
        </w:rPr>
        <w:t>A Diretiva (UE) 2015/637 do Conselho</w:t>
      </w:r>
      <w:r w:rsidRPr="002858D6">
        <w:rPr>
          <w:rStyle w:val="FootnoteReference0"/>
          <w:noProof/>
        </w:rPr>
        <w:footnoteReference w:id="29"/>
      </w:r>
      <w:r w:rsidRPr="002858D6">
        <w:rPr>
          <w:rStyle w:val="footnotereference"/>
          <w:noProof/>
        </w:rPr>
        <w:t xml:space="preserve"> </w:t>
      </w:r>
      <w:r w:rsidRPr="002858D6">
        <w:rPr>
          <w:noProof/>
        </w:rPr>
        <w:t>concretiza o direito consagrado no artigo 23.º, primeiro parágrafo, do Tratado sobre o Funcionamento da União Europeia (TFUE) e reiterado no artigo 46.º da Carta dos Direitos Fundamentais da União Europeia («Carta»), estabelecendo as medidas de cooperação e coordenação necessárias para facilitar a proteção consular dos cidadãos da União não representados.</w:t>
      </w:r>
    </w:p>
    <w:p w14:paraId="760BD1F3" w14:textId="3B1CEBE5" w:rsidR="00C23C91" w:rsidRPr="002858D6" w:rsidRDefault="24A675E4" w:rsidP="003408C0">
      <w:pPr>
        <w:pStyle w:val="ManualConsidrant"/>
        <w:rPr>
          <w:noProof/>
        </w:rPr>
      </w:pPr>
      <w:r>
        <w:rPr>
          <w:noProof/>
        </w:rPr>
        <w:t>(2)</w:t>
      </w:r>
      <w:r>
        <w:rPr>
          <w:noProof/>
        </w:rPr>
        <w:tab/>
      </w:r>
      <w:r w:rsidRPr="002858D6">
        <w:rPr>
          <w:noProof/>
        </w:rPr>
        <w:t>As crises que dão origem a pedidos de proteção consular estão a aumentar em frequência e em escala. A pandemia de COVID-19, a crise no Afeganistão, a guerra de agressão da Rússia contra a Ucrânia, o conflito no Sudão, os repatriamentos de Israel e Gaza e</w:t>
      </w:r>
      <w:r w:rsidRPr="002858D6">
        <w:rPr>
          <w:noProof/>
          <w:u w:color="000000"/>
          <w:bdr w:val="nil"/>
        </w:rPr>
        <w:t xml:space="preserve"> outras crises semelhantes</w:t>
      </w:r>
      <w:r w:rsidRPr="002858D6">
        <w:rPr>
          <w:b/>
          <w:noProof/>
          <w:u w:color="000000"/>
          <w:bdr w:val="nil"/>
        </w:rPr>
        <w:t xml:space="preserve"> </w:t>
      </w:r>
      <w:r w:rsidRPr="002858D6">
        <w:rPr>
          <w:noProof/>
        </w:rPr>
        <w:t>proporcionaram um contexto para identificar lacunas e refletir sobre a forma de facilitar o exercício do direito à proteção consular. Aproveitando os ensinamentos obtidos com essas experiências, e a fim de simplificar os procedimentos para os cidadãos e as autoridades consulares, as regras e os procedimentos da Diretiva (UE) 2015/637 devem ser clarificados e racionalizados com vista a melhorar a eficácia da concessão de proteção consular aos cidadãos da União não representados, em especial em situações de crise. Há que utilizar da melhor forma possível os recursos disponíveis a nível dos Estados-Membros e da União, tanto a nível local em países terceiros como a nível de capital.</w:t>
      </w:r>
    </w:p>
    <w:p w14:paraId="2796F020" w14:textId="4CCAB389" w:rsidR="00BC7CCC" w:rsidRPr="002858D6" w:rsidRDefault="748F2BFD" w:rsidP="00816FCA">
      <w:pPr>
        <w:pStyle w:val="ManualConsidrant"/>
        <w:rPr>
          <w:noProof/>
        </w:rPr>
      </w:pPr>
      <w:r>
        <w:rPr>
          <w:noProof/>
        </w:rPr>
        <w:t>(3)</w:t>
      </w:r>
      <w:r>
        <w:rPr>
          <w:noProof/>
        </w:rPr>
        <w:tab/>
      </w:r>
      <w:r w:rsidRPr="002858D6">
        <w:rPr>
          <w:noProof/>
        </w:rPr>
        <w:t xml:space="preserve">A Diretiva (UE) 2015/637 define «cidadão não representado» como todo e qualquer cidadão que tenha a nacionalidade de um Estado-Membro que não se encontre representado num país terceiro. Nos termos dessa diretiva, um Estado-Membro não se </w:t>
      </w:r>
      <w:r w:rsidRPr="002858D6">
        <w:rPr>
          <w:noProof/>
        </w:rPr>
        <w:lastRenderedPageBreak/>
        <w:t>encontra representado num país terceiro se não dispuser de embaixada ou consulado com caráter permanente nesse país ou se não dispuser nesse país de embaixada, consulado ou cônsul honorário que esteja efetivamente em condições de conceder proteção consular num determinado caso. Dada a ausência de critérios mais pormenorizados na Diretiva (UE) 2015/637, as experiências passadas mostraram que pode ser difícil determinar se este último critério está preenchido. Esta situação pode levar a que as autoridades consulares que os cidadãos contactaram considerem incorretamente que que os cidadãos estão representados pelo seu Estado-Membro da nacionalidade e, por conseguinte, a que lhes seja recusada a proteção consular.</w:t>
      </w:r>
    </w:p>
    <w:p w14:paraId="6486BCD0" w14:textId="5DD9677B" w:rsidR="00251A6E" w:rsidRPr="002858D6" w:rsidRDefault="7B87E7C5" w:rsidP="00251A6E">
      <w:pPr>
        <w:pStyle w:val="ManualConsidrant"/>
        <w:rPr>
          <w:noProof/>
        </w:rPr>
      </w:pPr>
      <w:r>
        <w:rPr>
          <w:noProof/>
        </w:rPr>
        <w:t>(4)</w:t>
      </w:r>
      <w:r>
        <w:rPr>
          <w:noProof/>
        </w:rPr>
        <w:tab/>
      </w:r>
      <w:r w:rsidRPr="002858D6">
        <w:rPr>
          <w:noProof/>
        </w:rPr>
        <w:t>A fim de melhorar a segurança jurídica para as autoridades consulares e os cidadãos, é adequado estabelecer critérios mais pormenorizados que ajudem a avaliar se um cidadão da União deve ser considerado não representado e, por conseguinte, elegível para receber proteção consular do Estado-Membro cujas autoridades consulares foram contactadas. Os critérios devem ser suficientemente flexíveis e aplicados à luz das circunstâncias locais, como a facilidade de viajar ou a situação de segurança no país terceiro em causa. Neste contexto, a acessibilidade e a proximidade devem continuar a ser considerações importantes.</w:t>
      </w:r>
    </w:p>
    <w:p w14:paraId="20065274" w14:textId="78C2CD48" w:rsidR="006E0617" w:rsidRPr="002858D6" w:rsidRDefault="0E41B204" w:rsidP="002F34F2">
      <w:pPr>
        <w:pStyle w:val="ManualConsidrant"/>
        <w:rPr>
          <w:noProof/>
        </w:rPr>
      </w:pPr>
      <w:r>
        <w:rPr>
          <w:noProof/>
        </w:rPr>
        <w:t>(5)</w:t>
      </w:r>
      <w:r>
        <w:rPr>
          <w:noProof/>
        </w:rPr>
        <w:tab/>
      </w:r>
      <w:r w:rsidRPr="002858D6">
        <w:rPr>
          <w:noProof/>
        </w:rPr>
        <w:t>Como primeiro critério, as autoridades consulares devem ter em conta a dificuldade para os cidadãos de contactarem ou serem contactados em segurança pela embaixada ou pelo consulado do seu Estado-Membro da nacionalidade num prazo razoável, tendo em conta a natureza e a urgência da assistência solicitada e os meios, nomeadamente os recursos financeiros, à sua disposição. Por exemplo, a necessidade de um título de viagem provisório da UE em resultado da perda de documentos de viagem deve, em princípio, levar a que o cidadão seja considerado não representado se contactar a embaixada ou o consulado do Estado-Membro da sua nacionalidade exigir uma viagem noturna ou aérea, uma vez que não se pode esperar que viaje nessas circunstâncias.</w:t>
      </w:r>
    </w:p>
    <w:p w14:paraId="2D95EC48" w14:textId="77777777" w:rsidR="002A5B15" w:rsidRPr="002858D6" w:rsidRDefault="7C2CC22A" w:rsidP="002F34F2">
      <w:pPr>
        <w:pStyle w:val="ManualConsidrant"/>
        <w:rPr>
          <w:noProof/>
        </w:rPr>
      </w:pPr>
      <w:r>
        <w:rPr>
          <w:noProof/>
        </w:rPr>
        <w:t>(6)</w:t>
      </w:r>
      <w:r>
        <w:rPr>
          <w:noProof/>
        </w:rPr>
        <w:tab/>
      </w:r>
      <w:r w:rsidRPr="002858D6">
        <w:rPr>
          <w:noProof/>
        </w:rPr>
        <w:t>O eventual encerramento da embaixada ou do consulado do Estado-Membro da nacionalidade do cidadão também deve ser tido em conta, nomeadamente em situações de crise. Se a embaixada ou o consulado a que o cidadão não representado solicita proteção consular não conseguir confirmar, em tempo útil, que a embaixada ou o consulado do Estado-Membro da nacionalidade do cidadão está operacional e acessível, o cidadão deve ser considerado não representado.</w:t>
      </w:r>
    </w:p>
    <w:p w14:paraId="6B964C36" w14:textId="77777777" w:rsidR="00E87CA6" w:rsidRPr="002858D6" w:rsidRDefault="41335E97" w:rsidP="002F34F2">
      <w:pPr>
        <w:pStyle w:val="ManualConsidrant"/>
        <w:rPr>
          <w:noProof/>
        </w:rPr>
      </w:pPr>
      <w:r>
        <w:rPr>
          <w:noProof/>
        </w:rPr>
        <w:t>(7)</w:t>
      </w:r>
      <w:r>
        <w:rPr>
          <w:noProof/>
        </w:rPr>
        <w:tab/>
      </w:r>
      <w:r w:rsidRPr="002858D6">
        <w:rPr>
          <w:noProof/>
        </w:rPr>
        <w:t>A noção de falta de representação deve ser interpretada com vista a assegurar a eficácia do direito à proteção consular. Se, ao reencaminhar o cidadão para a embaixada ou o consulado do seu Estado-Membro da nacionalidade, a proteção consular for suscetível de ficar comprometida, em particular se a urgência da questão exigir uma ação imediata por parte da embaixada ou do consulado requerido, o cidadão também deve ser considerado não representado. Este aspeto é particularmente pertinente em situações de crise, em que a falta de assistência atempada pode ter impactos particularmente negativos nos cidadãos.</w:t>
      </w:r>
    </w:p>
    <w:p w14:paraId="7FF6AD72" w14:textId="77777777" w:rsidR="00D37486" w:rsidRPr="002858D6" w:rsidRDefault="0FA7DE84" w:rsidP="002F34F2">
      <w:pPr>
        <w:pStyle w:val="ManualConsidrant"/>
        <w:rPr>
          <w:noProof/>
        </w:rPr>
      </w:pPr>
      <w:r>
        <w:rPr>
          <w:noProof/>
        </w:rPr>
        <w:t>(8)</w:t>
      </w:r>
      <w:r>
        <w:rPr>
          <w:noProof/>
        </w:rPr>
        <w:tab/>
      </w:r>
      <w:r w:rsidRPr="002858D6">
        <w:rPr>
          <w:noProof/>
        </w:rPr>
        <w:t>Dado que os cônsules honorários não oferecem geralmente a mesma gama de serviços que as embaixadas ou os consulados, a presença de um cônsul honorário do Estado-Membro da nacionalidade do cidadão só deve ser tida em conta para determinar se um cidadão não está representado se a assistência solicitada pelo cidadão estiver abrangida pelas competências do cônsul honorário.</w:t>
      </w:r>
    </w:p>
    <w:p w14:paraId="179C5DDF" w14:textId="6D6D374B" w:rsidR="00026F16" w:rsidRPr="002858D6" w:rsidRDefault="57EF75B8" w:rsidP="00026F16">
      <w:pPr>
        <w:pStyle w:val="ManualConsidrant"/>
        <w:rPr>
          <w:noProof/>
        </w:rPr>
      </w:pPr>
      <w:r>
        <w:rPr>
          <w:noProof/>
        </w:rPr>
        <w:t>(9)</w:t>
      </w:r>
      <w:r>
        <w:rPr>
          <w:noProof/>
        </w:rPr>
        <w:tab/>
      </w:r>
      <w:r w:rsidRPr="002858D6">
        <w:rPr>
          <w:noProof/>
        </w:rPr>
        <w:t xml:space="preserve">Os cidadãos não representados têm o direito de solicitar proteção consular à embaixada ou ao consulado de qualquer Estado-Membro. Ao mesmo tempo, a </w:t>
      </w:r>
      <w:r w:rsidRPr="002858D6">
        <w:rPr>
          <w:noProof/>
        </w:rPr>
        <w:lastRenderedPageBreak/>
        <w:t>Diretiva (UE) 2015/637 oferece aos Estados-Membros a possibilidade de celebrarem acordos bilaterais com o objetivo de assegurar a proteção eficaz dos cidadãos não representados. No entanto, esses acordos não constituem uma condição prévia para a concessão de proteção consular aos cidadãos não representados. Importa clarificar que, nos casos em que tenham sido celebrados tais acordos, cabe às autoridades do Estado-Membro contactado, e não ao cidadão em causa, transferir o pedido para a embaixada ou o consulado competente.</w:t>
      </w:r>
    </w:p>
    <w:p w14:paraId="64C9E11E" w14:textId="18AE1AF2" w:rsidR="00B659E3" w:rsidRPr="002858D6" w:rsidRDefault="2B42BB0C" w:rsidP="00B659E3">
      <w:pPr>
        <w:pStyle w:val="ManualConsidrant"/>
        <w:rPr>
          <w:noProof/>
        </w:rPr>
      </w:pPr>
      <w:r>
        <w:rPr>
          <w:noProof/>
        </w:rPr>
        <w:t>(10)</w:t>
      </w:r>
      <w:r>
        <w:rPr>
          <w:noProof/>
        </w:rPr>
        <w:tab/>
      </w:r>
      <w:r w:rsidRPr="002858D6">
        <w:rPr>
          <w:noProof/>
        </w:rPr>
        <w:t>Sempre que uma situação de crise dê origem a um grande número de pedidos de proteção consular, as embaixadas e os consulados dos Estados-Membros representados no país terceiro em causa devem ter a possibilidade de acordar a distribuição dos pedidos com base na capacidade disponível, a fim de a utilizar da melhor forma. Para o efeito, podem ser assistidos por delegações da União.</w:t>
      </w:r>
    </w:p>
    <w:p w14:paraId="2FCE2313" w14:textId="03D0401A" w:rsidR="00B659E3" w:rsidRPr="002858D6" w:rsidRDefault="2B42BB0C" w:rsidP="00B659E3">
      <w:pPr>
        <w:pStyle w:val="ManualConsidrant"/>
        <w:rPr>
          <w:noProof/>
        </w:rPr>
      </w:pPr>
      <w:r>
        <w:rPr>
          <w:noProof/>
        </w:rPr>
        <w:t>(11)</w:t>
      </w:r>
      <w:r>
        <w:rPr>
          <w:noProof/>
        </w:rPr>
        <w:tab/>
      </w:r>
      <w:r w:rsidRPr="002858D6">
        <w:rPr>
          <w:noProof/>
        </w:rPr>
        <w:t>Os pedidos não devem ser transferidos se a proteção consular ficar dessa forma comprometida, em particular se a urgência da questão exigir uma ação imediata por parte da embaixada ou do consulado do Estado-Membro contactado. Tal pode ocorrer, por exemplo, em casos de emergências médicas graves ou de detenções aparentemente arbitrárias. Além disso, os cidadãos não representados devem ser informados de tais transferências.</w:t>
      </w:r>
    </w:p>
    <w:p w14:paraId="1AA8C7CF" w14:textId="6A3884D5" w:rsidR="00E819AC" w:rsidRPr="002858D6" w:rsidRDefault="77911236" w:rsidP="00E819AC">
      <w:pPr>
        <w:pStyle w:val="ManualConsidrant"/>
        <w:rPr>
          <w:noProof/>
        </w:rPr>
      </w:pPr>
      <w:r>
        <w:rPr>
          <w:noProof/>
        </w:rPr>
        <w:t>(12)</w:t>
      </w:r>
      <w:r>
        <w:rPr>
          <w:noProof/>
        </w:rPr>
        <w:tab/>
      </w:r>
      <w:r w:rsidRPr="002858D6">
        <w:rPr>
          <w:noProof/>
        </w:rPr>
        <w:t>O artigo 9.º da Diretiva (UE) 2015/637 enumera, de forma não exaustiva, as situações mais comuns em que os cidadãos não representados podem solicitar assistência consular aos Estados-Membros representados. No entanto, por razões de clareza jurídica importa clarificar que os tipos de assistência abrangem tanto as evacuações, ou seja, o salvamento e a transferência de pessoas de zonas afetadas por uma emergência para um local seguro, que pode ser no mesmo país ou noutro país terceiro, como os repatriamentos, ou seja, a transferência de pessoas para o território dos Estados-Membros.</w:t>
      </w:r>
    </w:p>
    <w:p w14:paraId="58061462" w14:textId="77777777" w:rsidR="00E819AC" w:rsidRPr="002858D6" w:rsidRDefault="785D0C0A" w:rsidP="00E819AC">
      <w:pPr>
        <w:pStyle w:val="ManualConsidrant"/>
        <w:rPr>
          <w:noProof/>
        </w:rPr>
      </w:pPr>
      <w:r>
        <w:rPr>
          <w:noProof/>
        </w:rPr>
        <w:t>(13)</w:t>
      </w:r>
      <w:r>
        <w:rPr>
          <w:noProof/>
        </w:rPr>
        <w:tab/>
      </w:r>
      <w:r w:rsidRPr="002858D6">
        <w:rPr>
          <w:noProof/>
        </w:rPr>
        <w:t>Ao concederem proteção consular a cidadãos não representados, os Estados-Membros devem ter em conta as necessidades específicas dos grupos vulneráveis, como os menores não acompanhados, as grávidas, as pessoas com mobilidade reduzida, as pessoas com deficiência ou as pessoas em risco de discriminação por qualquer motivo, como os referidos no artigo 21.º da Carta.</w:t>
      </w:r>
    </w:p>
    <w:p w14:paraId="7C48D8AD" w14:textId="21DE20EA" w:rsidR="00E819AC" w:rsidRPr="002858D6" w:rsidRDefault="00BA0965" w:rsidP="00E819AC">
      <w:pPr>
        <w:pStyle w:val="ManualConsidrant"/>
        <w:rPr>
          <w:noProof/>
        </w:rPr>
      </w:pPr>
      <w:r>
        <w:rPr>
          <w:noProof/>
        </w:rPr>
        <w:t>(14)</w:t>
      </w:r>
      <w:r>
        <w:rPr>
          <w:noProof/>
        </w:rPr>
        <w:tab/>
      </w:r>
      <w:r w:rsidRPr="002858D6">
        <w:rPr>
          <w:noProof/>
        </w:rPr>
        <w:t xml:space="preserve">É necessário assegurar um acesso ótimo à justiça para os cidadãos da União vítimas de violência em países terceiros, o que exige um contacto e uma cooperação mais estreitos entre as autoridades e as organizações de apoio de países terceiros e as autoridades consulares e as organizações de apoio dos Estados-Membros. </w:t>
      </w:r>
    </w:p>
    <w:p w14:paraId="11AD6654" w14:textId="0C13A71F" w:rsidR="005F45E1" w:rsidRPr="002858D6" w:rsidRDefault="00D84E0A" w:rsidP="00304682">
      <w:pPr>
        <w:pStyle w:val="ManualConsidrant"/>
        <w:rPr>
          <w:noProof/>
        </w:rPr>
      </w:pPr>
      <w:r>
        <w:rPr>
          <w:noProof/>
        </w:rPr>
        <w:t>(15)</w:t>
      </w:r>
      <w:r>
        <w:rPr>
          <w:noProof/>
        </w:rPr>
        <w:tab/>
      </w:r>
      <w:r w:rsidRPr="002858D6">
        <w:rPr>
          <w:noProof/>
        </w:rPr>
        <w:t>Por razões de clareza jurídica, a referência aos títulos de viagem provisórios deve ser atualizada na sequência da adoção da Diretiva (UE) 2019/997 do Conselho</w:t>
      </w:r>
      <w:r w:rsidRPr="002858D6">
        <w:rPr>
          <w:rStyle w:val="FootnoteReference0"/>
          <w:noProof/>
        </w:rPr>
        <w:footnoteReference w:id="30"/>
      </w:r>
      <w:r w:rsidRPr="002858D6">
        <w:rPr>
          <w:noProof/>
        </w:rPr>
        <w:t>.</w:t>
      </w:r>
    </w:p>
    <w:p w14:paraId="32F38539" w14:textId="419E33E5" w:rsidR="00C121A7" w:rsidRPr="002858D6" w:rsidRDefault="00C121A7" w:rsidP="00DC661F">
      <w:pPr>
        <w:pStyle w:val="ManualConsidrant"/>
        <w:rPr>
          <w:noProof/>
        </w:rPr>
      </w:pPr>
      <w:r>
        <w:rPr>
          <w:noProof/>
        </w:rPr>
        <w:t>(16)</w:t>
      </w:r>
      <w:r>
        <w:rPr>
          <w:noProof/>
        </w:rPr>
        <w:tab/>
      </w:r>
      <w:r w:rsidRPr="002858D6">
        <w:rPr>
          <w:noProof/>
        </w:rPr>
        <w:t xml:space="preserve">Sempre que adequado e necessário para conceder proteção consular, os Estados-Membros também devem ter o direito de envolver, nas suas medidas de coordenação e cooperação, o seu pessoal militar e de segurança, cônsules honorários, organizações internacionais ou autoridades diplomáticas e consulares de países terceiros. Tal pode ser particularmente pertinente em situações de crise.  </w:t>
      </w:r>
    </w:p>
    <w:p w14:paraId="235A5696" w14:textId="67C2B150" w:rsidR="00A84727" w:rsidRPr="002858D6" w:rsidRDefault="496A2CC3" w:rsidP="00350DCC">
      <w:pPr>
        <w:pStyle w:val="ManualConsidrant"/>
        <w:rPr>
          <w:noProof/>
        </w:rPr>
      </w:pPr>
      <w:r>
        <w:rPr>
          <w:noProof/>
        </w:rPr>
        <w:lastRenderedPageBreak/>
        <w:t>(17)</w:t>
      </w:r>
      <w:r>
        <w:rPr>
          <w:noProof/>
        </w:rPr>
        <w:tab/>
      </w:r>
      <w:r w:rsidRPr="002858D6">
        <w:rPr>
          <w:noProof/>
        </w:rPr>
        <w:t>Os acontecimentos recentes salientaram o importante contributo das delegações da União, em estreita cooperação com os Estados-Membros, para a aplicação do direito à proteção consular. É o que tem acontecido, em especial, nos países terceiros onde poucos Estados-Membros estão representados, em situações de crise, e no que respeita ao intercâmbio de informações. Neste contexto, é adequado clarificar o papel de apoio das delegações da União na aplicação do direito à proteção consular. Por razões de coerência e continuidade operacional, as delegações da União devem geralmente presidir às reuniões de cooperação consular local e liderar a elaboração e aprovação de planos conjuntos de emergência consular. A fim de assegurar a coordenação e a proteção eficaz dos cidadãos não representados, as delegações da União devem também participar na coordenação da resposta a situações de crise, em estreita cooperação com os Estados-Membros.</w:t>
      </w:r>
    </w:p>
    <w:p w14:paraId="5BB87F73" w14:textId="6FB58396" w:rsidR="00655992" w:rsidRPr="002858D6" w:rsidRDefault="449261C5">
      <w:pPr>
        <w:pStyle w:val="ManualConsidrant"/>
        <w:rPr>
          <w:noProof/>
        </w:rPr>
      </w:pPr>
      <w:r>
        <w:rPr>
          <w:noProof/>
        </w:rPr>
        <w:t>(18)</w:t>
      </w:r>
      <w:r>
        <w:rPr>
          <w:noProof/>
        </w:rPr>
        <w:tab/>
      </w:r>
      <w:r w:rsidRPr="002858D6">
        <w:rPr>
          <w:noProof/>
        </w:rPr>
        <w:t>A Diretiva (UE) 2015/637 estabelece os meios práticos através dos quais as delegações da União podem, nos termos do artigo 35.º do Tratado da União Europeia (TUE), contribuir para a aplicação do direito à proteção consular. Quando apoiam os Estados-Membros na concessão de proteção consular a cidadãos não representados, as delegações da União devem fazê-lo a pedido dos Estados-Membros e numa base de neutralidade em termos de recursos, conforme previsto no artigo 5.º, n.º 10, da Decisão 2010/427/UE do Conselho</w:t>
      </w:r>
      <w:r w:rsidRPr="002858D6">
        <w:rPr>
          <w:rStyle w:val="FootnoteReference0"/>
          <w:noProof/>
        </w:rPr>
        <w:footnoteReference w:id="31"/>
      </w:r>
      <w:r w:rsidRPr="002858D6">
        <w:rPr>
          <w:noProof/>
        </w:rPr>
        <w:t>. Neste contexto, os Estados-Membros devem também poder solicitar às delegações da União que executem tarefas de assistência consular específicas, nomeadamente as referidas no artigo 9.º da Diretiva (UE) 2015/637. Para poderem executar as suas tarefas de apoio, as delegações da União devem receber todas as informações pertinentes da parte do Estado-Membro que presta assistência ou, consoante o caso, do Estado-Membro da nacionalidade.</w:t>
      </w:r>
    </w:p>
    <w:p w14:paraId="099F5BD8" w14:textId="7C846AAD" w:rsidR="00AC57FE" w:rsidRPr="002858D6" w:rsidRDefault="00BF4028" w:rsidP="00E1080B">
      <w:pPr>
        <w:pStyle w:val="ManualConsidrant"/>
        <w:rPr>
          <w:noProof/>
        </w:rPr>
      </w:pPr>
      <w:r>
        <w:rPr>
          <w:noProof/>
        </w:rPr>
        <w:t>(19)</w:t>
      </w:r>
      <w:r>
        <w:rPr>
          <w:noProof/>
        </w:rPr>
        <w:tab/>
      </w:r>
      <w:r w:rsidRPr="002858D6">
        <w:rPr>
          <w:noProof/>
        </w:rPr>
        <w:t xml:space="preserve">A fim de assegurar a preparação para eventuais crises consulares que exijam a prestação de assistência a cidadãos não representados, a cooperação consular local entre os Estados-Membros e as delegações da União em países terceiros deve incluir intercâmbios sobre questões importantes para esses cidadãos, incluindo a sua segurança e proteção, a elaboração de planos conjuntos de emergência consular e a organização de exercícios consulares. Neste contexto, pode ser particularmente pertinente que as autoridades consulares dos Estados-Membros não representados sejam incluídas nessa cooperação consular local aquando da coordenação da preparação e resposta consular a situações de crise. </w:t>
      </w:r>
    </w:p>
    <w:p w14:paraId="2BAFF81B" w14:textId="7F61D108" w:rsidR="55E197F6" w:rsidRPr="002858D6" w:rsidRDefault="55E197F6" w:rsidP="007643DB">
      <w:pPr>
        <w:pStyle w:val="ManualConsidrant"/>
        <w:rPr>
          <w:noProof/>
        </w:rPr>
      </w:pPr>
      <w:r>
        <w:rPr>
          <w:noProof/>
        </w:rPr>
        <w:t>(20)</w:t>
      </w:r>
      <w:r>
        <w:rPr>
          <w:noProof/>
        </w:rPr>
        <w:tab/>
      </w:r>
      <w:r w:rsidRPr="002858D6">
        <w:rPr>
          <w:noProof/>
        </w:rPr>
        <w:t xml:space="preserve">A preparação consular a situações de crise é um requisito essencial para garantir uma resposta consular eficaz a situações de crise. Por conseguinte, os Estados-Membros, apoiados pelo Serviço Europeu para a Ação Externa (SEAE), devem assegurar que são debatidas e aplicadas em todos os países terceiros medidas de preparação consular adequadas para a proteção dos cidadãos não representados.   </w:t>
      </w:r>
    </w:p>
    <w:p w14:paraId="18CDFD47" w14:textId="7609C9AC" w:rsidR="7101BE33" w:rsidRPr="002858D6" w:rsidRDefault="00C80770" w:rsidP="007643DB">
      <w:pPr>
        <w:pStyle w:val="ManualConsidrant"/>
        <w:rPr>
          <w:noProof/>
        </w:rPr>
      </w:pPr>
      <w:r>
        <w:rPr>
          <w:noProof/>
        </w:rPr>
        <w:t>(21)</w:t>
      </w:r>
      <w:r>
        <w:rPr>
          <w:noProof/>
        </w:rPr>
        <w:tab/>
      </w:r>
      <w:r w:rsidRPr="002858D6">
        <w:rPr>
          <w:noProof/>
        </w:rPr>
        <w:t xml:space="preserve">As crises passadas mostraram a pertinência da planificação de emergência e a utilidade dos planos conjuntos de emergência consular, conhecidos como «Quadros conjuntos da UE de preparação para crises consulares», em países terceiros, envolvendo a participação das autoridades diplomáticas e consulares de todos os Estados-Membros, bem como da delegação local da União. Esses planos devem ser adaptados às circunstâncias locais, estabelecer uma clara repartição de responsabilidades entre os </w:t>
      </w:r>
      <w:r w:rsidRPr="002858D6">
        <w:rPr>
          <w:noProof/>
        </w:rPr>
        <w:lastRenderedPageBreak/>
        <w:t xml:space="preserve">Estados-Membros representados e não representados e a delegação da União, e incluir um conjunto de procedimentos e atividades a realizar a nível local em caso de crise, com especial atenção para a proteção consular dos cidadãos não representados. </w:t>
      </w:r>
    </w:p>
    <w:p w14:paraId="317A3BA0" w14:textId="66A39BA9" w:rsidR="008128F8" w:rsidRPr="002858D6" w:rsidRDefault="4CC24EF9" w:rsidP="00C107C4">
      <w:pPr>
        <w:pStyle w:val="ManualConsidrant"/>
        <w:rPr>
          <w:noProof/>
        </w:rPr>
      </w:pPr>
      <w:r>
        <w:rPr>
          <w:noProof/>
        </w:rPr>
        <w:t>(22)</w:t>
      </w:r>
      <w:r>
        <w:rPr>
          <w:noProof/>
        </w:rPr>
        <w:tab/>
      </w:r>
      <w:r w:rsidRPr="002858D6">
        <w:rPr>
          <w:noProof/>
        </w:rPr>
        <w:t>A eficácia das medidas de coordenação existentes estabelecidas na Diretiva (UE) 2015/637 deve ser reforçada, tornando obrigatória a elaboração e a atualização anual dos planos conjuntos de emergência consular para todos os países terceiros, mesmo que o seu nível de pormenor possa variar em função das circunstâncias locais. Para o efeito, devem ser estabelecidos os elementos essenciais desses planos, como uma análise da situação consular no país terceiro em causa, nomeadamente uma avaliação dos riscos dos cenários mais plausíveis que afetam os cidadãos não representados, disposições em matéria de preparação consular para as crises, a comunicação no âmbito da cooperação consular local e com os cidadãos da União, bem como a cooperação com as autoridades locais e os países terceiros pertinentes.</w:t>
      </w:r>
    </w:p>
    <w:p w14:paraId="07B14ED5" w14:textId="22001EB2" w:rsidR="006658C7" w:rsidRPr="002858D6" w:rsidRDefault="65E4D3A0">
      <w:pPr>
        <w:pStyle w:val="ManualConsidrant"/>
        <w:rPr>
          <w:noProof/>
        </w:rPr>
      </w:pPr>
      <w:r>
        <w:rPr>
          <w:noProof/>
        </w:rPr>
        <w:t>(23)</w:t>
      </w:r>
      <w:r>
        <w:rPr>
          <w:noProof/>
        </w:rPr>
        <w:tab/>
      </w:r>
      <w:r w:rsidRPr="002858D6">
        <w:rPr>
          <w:noProof/>
        </w:rPr>
        <w:t>Os planos conjuntos de emergência consular também devem ter em conta, se for caso disso, os papéis e responsabilidades dos Estados-líder, ou seja, os Estados-Membros representados num determinado país terceiro, que têm a seu cargo a coordenação e a direção da assistência aos cidadãos não representados durante situações de crise, a fim de assegurar uma coordenação eficaz da assistência consular. Além disso, devem ser avaliados anualmente no contexto de exercícios consulares, para garantir que continuam a ser pertinentes. Ao mesmo tempo, os planos conjuntos de emergência consular não devem ser entendidos como substituindo os planos nacionais de crise existentes dos Estados-Membros ou afetando a sua responsabilidade de prestar assistência consular aos seus próprios nacionais.</w:t>
      </w:r>
    </w:p>
    <w:p w14:paraId="3D2A6127" w14:textId="52F783B4" w:rsidR="7101BE33" w:rsidRPr="002858D6" w:rsidRDefault="22C9D8FF" w:rsidP="00C107C4">
      <w:pPr>
        <w:pStyle w:val="ManualConsidrant"/>
        <w:rPr>
          <w:noProof/>
        </w:rPr>
      </w:pPr>
      <w:r>
        <w:rPr>
          <w:noProof/>
        </w:rPr>
        <w:t>(24)</w:t>
      </w:r>
      <w:r>
        <w:rPr>
          <w:noProof/>
        </w:rPr>
        <w:tab/>
      </w:r>
      <w:r w:rsidRPr="002858D6">
        <w:rPr>
          <w:noProof/>
        </w:rPr>
        <w:t>O número e a localização estimados dos cidadãos da União presentes num país terceiro são informações cruciais para a elaboração de um plano conjunto de emergência consular, nomeadamente quando se torna necessária uma evacuação ou um repatriamento. Além disso, em caso de crise, os cidadãos da União devem poder receber informações pertinentes do Estado-Membro da sua nacionalidade. Por conseguinte, é importante que os Estados-Membros concedam aos seus cidadãos a possibilidade de se registarem junto das autoridades nacionais competentes ou de as informarem, através de meios e instrumentos adequados, das suas viagens ou da sua residência em países terceiros. Para o efeito, os Estados-Membros devem, em conformidade com o direito da União e nacional em matéria de proteção de dados pessoais, estabelecer as categorias de dados pessoais exigidos e os períodos de conservação desses dados.</w:t>
      </w:r>
    </w:p>
    <w:p w14:paraId="1DDDECB0" w14:textId="38005F0E" w:rsidR="7101BE33" w:rsidRPr="002858D6" w:rsidRDefault="73F7C051" w:rsidP="00C107C4">
      <w:pPr>
        <w:pStyle w:val="ManualConsidrant"/>
        <w:rPr>
          <w:noProof/>
        </w:rPr>
      </w:pPr>
      <w:r>
        <w:rPr>
          <w:noProof/>
        </w:rPr>
        <w:t>(25)</w:t>
      </w:r>
      <w:r>
        <w:rPr>
          <w:noProof/>
        </w:rPr>
        <w:tab/>
      </w:r>
      <w:r w:rsidRPr="002858D6">
        <w:rPr>
          <w:noProof/>
        </w:rPr>
        <w:t xml:space="preserve">As recomendações aos viajantes, ou seja, as informações emitidas pelos Estados-Membros sobre a segurança relativa de viajar para países terceiros específicos, permitem aos viajantes tomar uma decisão informada sobre um determinado destino de viagem, nomeadamente países terceiros onde o seu Estado-Membro da nacionalidade não está representado. Embora a emissão de recomendações aos viajantes seja da responsabilidade dos Estados-Membros, é conveniente que estes se coordenem sobre esse tema, nomeadamente no contexto de situações de crise, com vista a assegurar, na medida do possível, a coerência do nível de aconselhamento prestado. Tal pode incluir chegar a uma posição comum sobre uma estrutura comum dos níveis de risco indicados nas recomendações aos viajantes, utilizando a plataforma segura do SEAE. Sempre que possível, essa coordenação deve ter lugar </w:t>
      </w:r>
      <w:r w:rsidRPr="002858D6">
        <w:rPr>
          <w:noProof/>
          <w:color w:val="000000" w:themeColor="text1"/>
        </w:rPr>
        <w:t>numa fase inicial, quando os Estados-Membros planeiam alterar o nível das suas recomendações aos viajantes</w:t>
      </w:r>
      <w:r w:rsidRPr="002858D6">
        <w:rPr>
          <w:noProof/>
        </w:rPr>
        <w:t>.</w:t>
      </w:r>
    </w:p>
    <w:p w14:paraId="2480DCD6" w14:textId="4C73117A" w:rsidR="00477C13" w:rsidRPr="002858D6" w:rsidRDefault="0D71EE05" w:rsidP="00C107C4">
      <w:pPr>
        <w:pStyle w:val="ManualConsidrant"/>
        <w:rPr>
          <w:noProof/>
        </w:rPr>
      </w:pPr>
      <w:r>
        <w:rPr>
          <w:noProof/>
        </w:rPr>
        <w:lastRenderedPageBreak/>
        <w:t>(26)</w:t>
      </w:r>
      <w:r>
        <w:rPr>
          <w:noProof/>
        </w:rPr>
        <w:tab/>
      </w:r>
      <w:r w:rsidRPr="002858D6">
        <w:rPr>
          <w:noProof/>
        </w:rPr>
        <w:t>Uma coordenação eficiente é vital para garantir uma resposta eficaz a situações de crise. Para assegurar essa coordenação, os Estados-Membros devem ser apoiados pelo Centro de Resposta a Situações de Crise do SEAE e pelo Centro de Coordenação de Resposta de Emergência da Comissão. A resposta coordenada da União a situações de crise é particularmente importante nos casos que exijam evacuações, a fim de assegurar que o apoio disponível é prestado de forma eficiente e que é feita a melhor utilização possível das capacidades de evacuação disponíveis. Por esse motivo, as informações sobre a capacidade de evacuação disponível devem ser partilhadas em tempo útil, nomeadamente em caso de operações de salvamento e evacuação que utilizam meios militares.</w:t>
      </w:r>
    </w:p>
    <w:p w14:paraId="7EA4C05A" w14:textId="77777777" w:rsidR="00503114" w:rsidRPr="002858D6" w:rsidRDefault="65EE0206" w:rsidP="00C107C4">
      <w:pPr>
        <w:pStyle w:val="ManualConsidrant"/>
        <w:rPr>
          <w:noProof/>
        </w:rPr>
      </w:pPr>
      <w:r>
        <w:rPr>
          <w:noProof/>
        </w:rPr>
        <w:t>(27)</w:t>
      </w:r>
      <w:r>
        <w:rPr>
          <w:noProof/>
        </w:rPr>
        <w:tab/>
      </w:r>
      <w:r w:rsidRPr="002858D6">
        <w:rPr>
          <w:noProof/>
        </w:rPr>
        <w:t>A pandemia de COVID-19 pôs em evidência a necessidade de os Estados-Membros trabalharem em conjunto e se apoiarem mutuamente no contexto de equipas pluridisciplinares de intervenção em situações de crise designadas por equipas consulares conjuntas. O destacamento de uma equipa consular conjunta para um país terceiro em situações de crise pode ser fundamental para ajudar a evitar que as autoridades consulares dos Estados-Membros representados fiquem sobrecarregadas com as exigências da situação.</w:t>
      </w:r>
    </w:p>
    <w:p w14:paraId="117428E5" w14:textId="49D22B7F" w:rsidR="00503114" w:rsidRPr="002858D6" w:rsidRDefault="00CC37EE" w:rsidP="00C107C4">
      <w:pPr>
        <w:pStyle w:val="ManualConsidrant"/>
        <w:rPr>
          <w:noProof/>
        </w:rPr>
      </w:pPr>
      <w:r>
        <w:rPr>
          <w:noProof/>
        </w:rPr>
        <w:t>(28)</w:t>
      </w:r>
      <w:r>
        <w:rPr>
          <w:noProof/>
        </w:rPr>
        <w:tab/>
      </w:r>
      <w:r w:rsidRPr="002858D6">
        <w:rPr>
          <w:noProof/>
        </w:rPr>
        <w:t>As equipas consulares conjuntas devem basear-se nos princípios da participação voluntária, da solidariedade com os Estados-Membros representados, da igualdade no que respeita às decisões sobre as estruturas de trabalho internas, da simplicidade relativamente à composição das equipas, da partilha de custos (com cada Estado-Membro, instituição ou órgão da União a suportar os seus próprios custos operacionais), da flexibilidade, da visibilidade da resposta coordenada da União, e da abertura aos países terceiros pertinentes.</w:t>
      </w:r>
    </w:p>
    <w:p w14:paraId="305197C2" w14:textId="6A16006C" w:rsidR="003F1F7B" w:rsidRPr="002858D6" w:rsidRDefault="2B993514" w:rsidP="00C107C4">
      <w:pPr>
        <w:pStyle w:val="ManualConsidrant"/>
        <w:rPr>
          <w:noProof/>
        </w:rPr>
      </w:pPr>
      <w:r>
        <w:rPr>
          <w:noProof/>
        </w:rPr>
        <w:t>(29)</w:t>
      </w:r>
      <w:r>
        <w:rPr>
          <w:noProof/>
        </w:rPr>
        <w:tab/>
      </w:r>
      <w:r w:rsidRPr="002858D6">
        <w:rPr>
          <w:noProof/>
        </w:rPr>
        <w:t xml:space="preserve">A fim de utilizar da melhor forma as capacidades disponíveis em situações de crise, o destacamento de equipas consulares conjuntas deve assegurar sinergias com outras medidas de resposta a situações de crise, nomeadamente tirando partido de voos de repatriamento de saída ou dos voos que transportam ajuda humanitária. </w:t>
      </w:r>
    </w:p>
    <w:p w14:paraId="060075F5" w14:textId="669960DC" w:rsidR="00BD6B02" w:rsidRPr="002858D6" w:rsidRDefault="008B4F85" w:rsidP="00C107C4">
      <w:pPr>
        <w:pStyle w:val="ManualConsidrant"/>
        <w:rPr>
          <w:noProof/>
        </w:rPr>
      </w:pPr>
      <w:r>
        <w:rPr>
          <w:noProof/>
        </w:rPr>
        <w:t>(30)</w:t>
      </w:r>
      <w:r>
        <w:rPr>
          <w:noProof/>
        </w:rPr>
        <w:tab/>
      </w:r>
      <w:r w:rsidRPr="002858D6">
        <w:rPr>
          <w:noProof/>
        </w:rPr>
        <w:t xml:space="preserve">Para apoiar os cidadãos da União que necessitam de assistência, é importante fornecer-lhes informações fiáveis sobre a forma de beneficiarem de assistência consular em países terceiros. Os serviços da Comissão e o SEAE devem contribuir para esse objetivo através da divulgação de informações pertinentes, nomeadamente informações a fornecer pelos Estados-Membros nas suas redes consulares e nos países terceiros em que tenham celebrado acordos de ordem prática relativos à partilha de responsabilidades quanto à concessão de proteção consular a cidadãos não representados. A fim de facilitar o tratamento dessas informações, estas devem ser fornecidas num formato legível por máquina. </w:t>
      </w:r>
    </w:p>
    <w:p w14:paraId="2A5D75EB" w14:textId="54F33202" w:rsidR="002452E5" w:rsidRPr="002858D6" w:rsidRDefault="007E66C8" w:rsidP="00C107C4">
      <w:pPr>
        <w:pStyle w:val="ManualConsidrant"/>
        <w:rPr>
          <w:noProof/>
        </w:rPr>
      </w:pPr>
      <w:r>
        <w:rPr>
          <w:noProof/>
        </w:rPr>
        <w:t>(31)</w:t>
      </w:r>
      <w:r>
        <w:rPr>
          <w:noProof/>
        </w:rPr>
        <w:tab/>
      </w:r>
      <w:r w:rsidRPr="002858D6">
        <w:rPr>
          <w:noProof/>
        </w:rPr>
        <w:t xml:space="preserve">Os Estados-Membros devem tomar medidas adicionais para contribuir mais para aumentar a consciencialização dos cidadãos da União do seu direito à proteção consular, tendo igualmente em conta as necessidades específicas das pessoas com deficiência. Atendendo aos custos limitados que tal implica para os Estados-Membros, uma forma possível de o fazer seria imprimir o texto do artigo 23.º do TFUE nos passaportes emitidos pelos Estados-Membros como forma de aumentar o conhecimento dos cidadãos sobre o direito à proteção por parte das autoridades diplomáticas e consulares, conforme já recomendado na Recomendação C(2007) 5841 </w:t>
      </w:r>
      <w:r w:rsidRPr="002858D6">
        <w:rPr>
          <w:noProof/>
        </w:rPr>
        <w:lastRenderedPageBreak/>
        <w:t>da Comissão</w:t>
      </w:r>
      <w:r w:rsidRPr="002858D6">
        <w:rPr>
          <w:rStyle w:val="FootnoteReference0"/>
          <w:noProof/>
        </w:rPr>
        <w:footnoteReference w:id="32"/>
      </w:r>
      <w:r w:rsidRPr="002858D6">
        <w:rPr>
          <w:noProof/>
        </w:rPr>
        <w:t>. Os Estados-Membros poderão também incluir informações sobre o direito à proteção consular de que beneficiam os cidadãos não representados nas recomendações aos viajantes e nas campanhas relacionadas com a assistência consular. Poderão ainda cooperar com os prestadores de serviços de transporte de passageiros e as plataformas de transporte que oferecem viagens para países terceiros, por exemplo, convidando-os a acrescentar informações pertinentes sobre o direito à proteção consular aos materiais de informação disponibilizados aos clientes.</w:t>
      </w:r>
    </w:p>
    <w:p w14:paraId="26EACBCE" w14:textId="103BE974" w:rsidR="00086700" w:rsidRPr="002858D6" w:rsidRDefault="436A94EE" w:rsidP="00C107C4">
      <w:pPr>
        <w:pStyle w:val="ManualConsidrant"/>
        <w:rPr>
          <w:noProof/>
        </w:rPr>
      </w:pPr>
      <w:r>
        <w:rPr>
          <w:noProof/>
        </w:rPr>
        <w:t>(32)</w:t>
      </w:r>
      <w:r>
        <w:rPr>
          <w:noProof/>
        </w:rPr>
        <w:tab/>
      </w:r>
      <w:r w:rsidRPr="002858D6">
        <w:rPr>
          <w:noProof/>
        </w:rPr>
        <w:t xml:space="preserve">As disposições financeiras da Diretiva (UE) 2015/637 devem ser adaptadas para simplificar os reembolsos e continuar a assegurar a repartição dos encargos financeiros. Em especial, deve ser possível aos cidadãos não representados reembolsar diretamente as despesas do serviço prestado pelo Estado-Membro que presta assistência, nas mesmas condições que os nacionais desse Estado-Membro, a fim de evitar os encargos administrativos resultantes de solicitar reembolsos ao Estado-Membro da sua nacionalidade. Além disso, os Estados-Membros devem também ser autorizados a renunciar à cobrança dessas despesas. Uma vez que, em determinadas situações, os cidadãos não representados podem não poder pagar quando apresentam o pedido de assistência, nomeadamente quando o seu dinheiro e os seus meios de acesso a fundos foram roubados, é necessário prever que as autoridades consulares do Estado-Membro que presta assistência possam exigir que assinem um compromisso de reembolso. Com base nesse compromisso, as autoridades do Estado-Membro que presta assistência podem solicitar o reembolso das despesas uma vez decorridas quatro semanas após a prestação da assistência. </w:t>
      </w:r>
    </w:p>
    <w:p w14:paraId="1899750E" w14:textId="6577D1FE" w:rsidR="00CC3AB9" w:rsidRPr="002858D6" w:rsidRDefault="361D2656" w:rsidP="00C107C4">
      <w:pPr>
        <w:pStyle w:val="ManualConsidrant"/>
        <w:rPr>
          <w:noProof/>
        </w:rPr>
      </w:pPr>
      <w:r>
        <w:rPr>
          <w:noProof/>
        </w:rPr>
        <w:t>(33)</w:t>
      </w:r>
      <w:r>
        <w:rPr>
          <w:noProof/>
        </w:rPr>
        <w:tab/>
      </w:r>
      <w:r w:rsidRPr="002858D6">
        <w:rPr>
          <w:noProof/>
        </w:rPr>
        <w:t>Nos casos em que as despesas não tenham sido reembolsadas diretamente pelo cidadão, ou seja, imediatamente aquando da apresentação do pedido ou posteriormente, quando o Estado-Membro que presta assistência o tenha solicitado com base no compromisso de reembolso, o Estado-Membro que presta assistência deve ter o direito de solicitar o reembolso das despesas devidas ao Estado-Membro da nacionalidade do cidadão não representado. Para evitar que sejam confrontados com pedidos de reembolso após longos períodos, o Estado-Membro que presta assistência e o Estado-Membro da nacionalidade devem ter um prazo razoável para, respetivamente, apresentar o pedido e o fazer o reembolso.</w:t>
      </w:r>
    </w:p>
    <w:p w14:paraId="522C5E0C" w14:textId="4AEBFFC8" w:rsidR="005C1294" w:rsidRPr="002858D6" w:rsidRDefault="00174109" w:rsidP="00174109">
      <w:pPr>
        <w:pStyle w:val="ManualConsidrant"/>
        <w:rPr>
          <w:noProof/>
        </w:rPr>
      </w:pPr>
      <w:r>
        <w:rPr>
          <w:noProof/>
        </w:rPr>
        <w:t>(34)</w:t>
      </w:r>
      <w:r>
        <w:rPr>
          <w:noProof/>
        </w:rPr>
        <w:tab/>
      </w:r>
      <w:r w:rsidRPr="002858D6">
        <w:rPr>
          <w:noProof/>
        </w:rPr>
        <w:t xml:space="preserve">Os Estados-Membros devem reembolsar as delegações da União pelo seu apoio na concessão de proteção consular a cidadãos não representados, a fim de assegurar que esse apoio seja prestado numa base de neutralidade em termos de recursos, tal como exigido pelo artigo 5.º, n.º 10, da Decisão 2010/427/UE. </w:t>
      </w:r>
    </w:p>
    <w:p w14:paraId="0B20C289" w14:textId="4A5CF3AC" w:rsidR="00CA4875" w:rsidRPr="002858D6" w:rsidRDefault="732EF1DC" w:rsidP="00C107C4">
      <w:pPr>
        <w:pStyle w:val="ManualConsidrant"/>
        <w:rPr>
          <w:noProof/>
        </w:rPr>
      </w:pPr>
      <w:r>
        <w:rPr>
          <w:noProof/>
        </w:rPr>
        <w:t>(35)</w:t>
      </w:r>
      <w:r>
        <w:rPr>
          <w:noProof/>
        </w:rPr>
        <w:tab/>
      </w:r>
      <w:r w:rsidRPr="002858D6">
        <w:rPr>
          <w:noProof/>
        </w:rPr>
        <w:t>Os formulários incluídos nos anexos I e II da Diretiva (UE) 2015/637 estão desatualizados, pelo que devem ser suprimidos. Este facto não deverá impedir que os Estados-Membros que preveem atualmente a utilização desses formulários na sua legislação nacional continuem a utilizá-los após a adoção da presente diretiva.</w:t>
      </w:r>
    </w:p>
    <w:p w14:paraId="10E82C06" w14:textId="5F8C74C0" w:rsidR="005350F8" w:rsidRPr="002858D6" w:rsidRDefault="00977848" w:rsidP="00C107C4">
      <w:pPr>
        <w:pStyle w:val="ManualConsidrant"/>
        <w:rPr>
          <w:noProof/>
        </w:rPr>
      </w:pPr>
      <w:r>
        <w:rPr>
          <w:noProof/>
        </w:rPr>
        <w:t>(36)</w:t>
      </w:r>
      <w:r>
        <w:rPr>
          <w:noProof/>
        </w:rPr>
        <w:tab/>
      </w:r>
      <w:r w:rsidRPr="002858D6">
        <w:rPr>
          <w:noProof/>
        </w:rPr>
        <w:t xml:space="preserve">Ao prestar assistência em situações de crise, pode não ser possível ou viável, na prática, distinguir entre cidadãos não representados e representados, e a possibilidade de prestar assistência a pessoas não representadas pode exigir ou implicar a assistência a cidadãos da União que também podem estar representados. Importa clarificar que, nessas situações, as disposições da Diretiva (UE) 2015/637 relativas ao reembolso das </w:t>
      </w:r>
      <w:r w:rsidRPr="002858D6">
        <w:rPr>
          <w:noProof/>
        </w:rPr>
        <w:lastRenderedPageBreak/>
        <w:t>despesas devem aplicar-se igualmente à proteção consular concedida pelo Estado-Membro que presta assistência a cidadãos representados de outro Estado-Membro. Desta forma se pretende evitar a existência de dois procedimentos de reembolso distintos, consoante o cidadão assistido seja considerado representado ou não representado.</w:t>
      </w:r>
    </w:p>
    <w:p w14:paraId="70705A90" w14:textId="2A67CD2E" w:rsidR="00FC7892" w:rsidRPr="002858D6" w:rsidRDefault="00A36485" w:rsidP="00C107C4">
      <w:pPr>
        <w:pStyle w:val="ManualConsidrant"/>
        <w:rPr>
          <w:noProof/>
        </w:rPr>
      </w:pPr>
      <w:r>
        <w:rPr>
          <w:noProof/>
        </w:rPr>
        <w:t>(37)</w:t>
      </w:r>
      <w:r>
        <w:rPr>
          <w:noProof/>
        </w:rPr>
        <w:tab/>
      </w:r>
      <w:r w:rsidRPr="002858D6">
        <w:rPr>
          <w:noProof/>
        </w:rPr>
        <w:t>Sempre que o Mecanismo de Proteção Civil da União for utilizado, em conformidade com o artigo 16.º, n.º 7, da Decisão n.º 1313/2013/UE do Parlamento Europeu e do Conselho</w:t>
      </w:r>
      <w:r w:rsidRPr="002858D6">
        <w:rPr>
          <w:rStyle w:val="FootnoteReference0"/>
          <w:noProof/>
        </w:rPr>
        <w:footnoteReference w:id="33"/>
      </w:r>
      <w:r w:rsidRPr="002858D6">
        <w:rPr>
          <w:noProof/>
        </w:rPr>
        <w:t xml:space="preserve">, para prestar apoio de proteção civil à assistência consular aos cidadãos da União em caso de catástrofes em países terceiros, aplicam-se as disposições financeiras da referida decisão. Em especial, os Estados-Membros que solicitem assistência financeira e que dela beneficiem devem fornecer à Comissão informações sobre as contribuições financeiras obtidas de outras fontes, nomeadamente os Estados-Membros e os cidadãos que receberam assistência, e assegurar que não haja duplo financiamento recebido de outras fontes. </w:t>
      </w:r>
    </w:p>
    <w:p w14:paraId="791719BC" w14:textId="4268ADB1" w:rsidR="00304682" w:rsidRPr="002858D6" w:rsidRDefault="14888A3E" w:rsidP="00C107C4">
      <w:pPr>
        <w:pStyle w:val="ManualConsidrant"/>
        <w:rPr>
          <w:noProof/>
        </w:rPr>
      </w:pPr>
      <w:r>
        <w:rPr>
          <w:noProof/>
        </w:rPr>
        <w:t>(38)</w:t>
      </w:r>
      <w:r>
        <w:rPr>
          <w:noProof/>
        </w:rPr>
        <w:tab/>
      </w:r>
      <w:r w:rsidRPr="002858D6">
        <w:rPr>
          <w:noProof/>
        </w:rPr>
        <w:t>A fim de assegurar condições uniformes para a aplicação da presente diretiva no que respeita ao formato legível por máquina a utilizar pelos Estados-Membros para fornecer informações e aos formulários a utilizar no contexto dos procedimentos financeiros, deverão ser atribuídas competências de execução à Comissão. Essas competências deverão ser</w:t>
      </w:r>
      <w:r w:rsidRPr="002858D6">
        <w:rPr>
          <w:rStyle w:val="italic1"/>
          <w:i w:val="0"/>
          <w:noProof/>
        </w:rPr>
        <w:t xml:space="preserve"> exercidas</w:t>
      </w:r>
      <w:r w:rsidRPr="002858D6">
        <w:rPr>
          <w:noProof/>
        </w:rPr>
        <w:t xml:space="preserve"> nos termos do Regulamento (UE) n.º 182/2011 do Parlamento Europeu e do Conselho</w:t>
      </w:r>
      <w:r w:rsidRPr="002858D6">
        <w:rPr>
          <w:rStyle w:val="FootnoteReference0"/>
          <w:noProof/>
        </w:rPr>
        <w:footnoteReference w:id="34"/>
      </w:r>
      <w:r w:rsidRPr="002858D6">
        <w:rPr>
          <w:noProof/>
        </w:rPr>
        <w:t xml:space="preserve">. </w:t>
      </w:r>
    </w:p>
    <w:p w14:paraId="58C28956" w14:textId="3C0C6071" w:rsidR="007F3DC6" w:rsidRPr="002858D6" w:rsidRDefault="64D39A99" w:rsidP="00C42E66">
      <w:pPr>
        <w:pStyle w:val="ManualConsidrant"/>
        <w:rPr>
          <w:noProof/>
        </w:rPr>
      </w:pPr>
      <w:r>
        <w:rPr>
          <w:noProof/>
        </w:rPr>
        <w:t>(39)</w:t>
      </w:r>
      <w:r>
        <w:rPr>
          <w:noProof/>
        </w:rPr>
        <w:tab/>
      </w:r>
      <w:r w:rsidRPr="002858D6">
        <w:rPr>
          <w:noProof/>
        </w:rPr>
        <w:t>A concessão de proteção consular a cidadãos não representados exige o tratamento de dados pessoais para efeitos de verificação da identidade da pessoa que solicita proteção consular, cooperação e coordenação entre as autoridades do Estado-Membro que presta assistência e do Estado-Membro da nacionalidade, prestação da assistência solicitada, tratamento dos pedidos de reembolso financeiro e intercâmbio das informações de contacto pertinentes. Qualquer tratamento de dados pessoais por parte dos Estados-Membros deve respeitar o disposto no Regulamento (UE) 2016/679 do Parlamento Europeu e do Conselho</w:t>
      </w:r>
      <w:r w:rsidRPr="002858D6">
        <w:rPr>
          <w:rStyle w:val="FootnoteReference0"/>
          <w:noProof/>
        </w:rPr>
        <w:footnoteReference w:id="35"/>
      </w:r>
      <w:r w:rsidRPr="002858D6">
        <w:rPr>
          <w:noProof/>
        </w:rPr>
        <w:t>, nomeadamente os princípios da limitação das finalidades e da minimização dos dados. Da mesma forma, o tratamento de dados pessoais pelas instituições e pelos órgãos da União na aceção do Regulamento (UE) 2018/1725 do Parlamento Europeu e do Conselho</w:t>
      </w:r>
      <w:r w:rsidRPr="002858D6">
        <w:rPr>
          <w:rStyle w:val="FootnoteReference0"/>
          <w:noProof/>
        </w:rPr>
        <w:footnoteReference w:id="36"/>
      </w:r>
      <w:r w:rsidRPr="002858D6">
        <w:rPr>
          <w:noProof/>
        </w:rPr>
        <w:t xml:space="preserve"> deverá cumprir as regras estabelecidas nesse regulamento.</w:t>
      </w:r>
    </w:p>
    <w:p w14:paraId="48C2B5C2" w14:textId="05D553C5" w:rsidR="008A1FFE" w:rsidRPr="002858D6" w:rsidRDefault="008A1FFE" w:rsidP="001A14C2">
      <w:pPr>
        <w:pStyle w:val="ManualConsidrant"/>
        <w:rPr>
          <w:noProof/>
        </w:rPr>
      </w:pPr>
      <w:r>
        <w:rPr>
          <w:noProof/>
        </w:rPr>
        <w:lastRenderedPageBreak/>
        <w:t>(40)</w:t>
      </w:r>
      <w:r>
        <w:rPr>
          <w:noProof/>
        </w:rPr>
        <w:tab/>
      </w:r>
      <w:r w:rsidRPr="002858D6">
        <w:rPr>
          <w:noProof/>
        </w:rPr>
        <w:t>Dado que as tarefas consulares podem variar significativamente, abrangendo situações sensíveis como a detenção, a prisão, ferimentos ou ser vítima de um crime, é necessário garantir que as autoridades competentes dos Estados-Membros e as instituições e os órgãos competentes da União têm acesso a todas as informações necessárias para conceder proteção consular aos cidadãos da União, incluindo dados pessoais, e podem proceder ao seu intercâmbio. Nesse contexto, as autoridades competentes dos Estados-Membros e, caso prestem apoio, as instituições e os órgãos da União devem poder tratar categorias especiais de dados pessoais, sempre que tal seja absolutamente necessário para conceder proteção consular à pessoa em causa. Tal deve abranger os dados relativos à saúde, que podem ter de ser tratados para conceder proteção consular a um cidadão não representado que tenha sido gravemente ferido ou que tenha ficado gravemente doente. As imagens faciais das pessoas têm de ser tratadas, nomeadamente nos casos em que deva ser emitido um título de viagem provisório da UE. A prestação de assistência a um cidadão não representado, incluindo na defesa de ações judiciais, também pode exigir, a título excecional, o tratamento de dados pessoais que revelem a origem racial ou étnica, opiniões políticas, convicções religiosas ou filosóficas, a filiação sindical, ou dados relativos à orientação sexual. Em certos casos, a prestação de assistência consular também pode exigir o tratamento de dados genéticos, por exemplo, ao prestar assistência no contexto de acidentes graves que exijam a identificação única de uma pessoa incapacitada ou no contexto da determinação da paternidade. Por último, os casos consulares relacionados com a detenção ou prisão podem provavelmente exigir que as autoridades competentes tratem dados pessoais relacionados com condenações penais e infrações.</w:t>
      </w:r>
    </w:p>
    <w:p w14:paraId="70C3B2DC" w14:textId="0C054C55" w:rsidR="00EA1EC6" w:rsidRPr="002858D6" w:rsidRDefault="00EA1EC6" w:rsidP="0029161D">
      <w:pPr>
        <w:pStyle w:val="ManualConsidrant"/>
        <w:rPr>
          <w:noProof/>
        </w:rPr>
      </w:pPr>
      <w:r>
        <w:rPr>
          <w:noProof/>
        </w:rPr>
        <w:t>(41)</w:t>
      </w:r>
      <w:r>
        <w:rPr>
          <w:noProof/>
        </w:rPr>
        <w:tab/>
      </w:r>
      <w:r w:rsidRPr="002858D6">
        <w:rPr>
          <w:noProof/>
        </w:rPr>
        <w:t>Ao tratar essas categorias especiais de dados pessoais, as autoridades competentes dos Estados-Membros e as instituições e os órgãos da União devem assegurar medidas adequadas e específicas para salvaguardar os interesses dos titulares dos dados. Tal deve incluir, sempre que possível, a cifragem desses dados pessoais e a atribuição específica de direitos de acesso a pessoal que tenha acesso aos tipos especificados de categorias especiais de dados pessoais.</w:t>
      </w:r>
    </w:p>
    <w:p w14:paraId="1EB18488" w14:textId="673F5589" w:rsidR="009D72FA" w:rsidRPr="002858D6" w:rsidRDefault="1E1481EB" w:rsidP="00C107C4">
      <w:pPr>
        <w:pStyle w:val="ManualConsidrant"/>
        <w:rPr>
          <w:noProof/>
        </w:rPr>
      </w:pPr>
      <w:r>
        <w:rPr>
          <w:noProof/>
        </w:rPr>
        <w:t>(42)</w:t>
      </w:r>
      <w:r>
        <w:rPr>
          <w:noProof/>
        </w:rPr>
        <w:tab/>
      </w:r>
      <w:r w:rsidRPr="002858D6">
        <w:rPr>
          <w:noProof/>
        </w:rPr>
        <w:t>Sempre que a concessão de proteção consular exija a transferência de dados pessoais de cidadãos da União para países terceiros ou organizações internacionais, como as Nações Unidas, que colaboram nas medidas de resposta a situações de crise, essas transferências devem cumprir o disposto no capítulo V do Regulamento (UE) 2016/679 e no capítulo V do Regulamento (UE) 2018/1725.</w:t>
      </w:r>
    </w:p>
    <w:p w14:paraId="1B360A62" w14:textId="33C2E3FE" w:rsidR="00EE53F5" w:rsidRPr="002858D6" w:rsidRDefault="2A51E64B" w:rsidP="00C107C4">
      <w:pPr>
        <w:pStyle w:val="ManualConsidrant"/>
        <w:rPr>
          <w:noProof/>
        </w:rPr>
      </w:pPr>
      <w:r>
        <w:rPr>
          <w:noProof/>
        </w:rPr>
        <w:t>(43)</w:t>
      </w:r>
      <w:r>
        <w:rPr>
          <w:noProof/>
        </w:rPr>
        <w:tab/>
      </w:r>
      <w:r w:rsidRPr="002858D6">
        <w:rPr>
          <w:noProof/>
        </w:rPr>
        <w:t>É necessário especificar melhor as garantias aplicáveis aos dados pessoais tratados, tais como o período máximo de conservação dos dados pessoais recolhidos. Para assegurar a cobrança de quaisquer custos aplicáveis, é necessário um período máximo de conservação de 12 meses para o Estado-Membro ou as instituições e os órgãos da União que prestam assistência e de 24 meses para o Estado-Membro da nacionalidade. O período de conservação mais longo aplicável ao Estado-Membro da nacionalidade é igualmente necessário para evitar eventuais abusos ou outras atividades fraudulentas, nomeadamente por parte de pessoas que solicitam repetidamente proteção consular e tentam dissimular esse comportamento, contactando as autoridades consulares de diferentes Estados-Membros. Por último, sempre que os dados pessoais digam respeito aos dados de contacto de funcionários públicos, como cônsules honorários, devem ser conservados enquanto a pessoa continuar a ser o contacto pertinente. A supressão dos dados pessoais dos requerentes não deverá afetar a capacidade de os Estados-Membros acompanharem a aplicação da presente diretiva.</w:t>
      </w:r>
    </w:p>
    <w:p w14:paraId="56D56796" w14:textId="09A91461" w:rsidR="005A67E7" w:rsidRPr="002858D6" w:rsidRDefault="005A67E7" w:rsidP="00C107C4">
      <w:pPr>
        <w:pStyle w:val="ManualConsidrant"/>
        <w:rPr>
          <w:noProof/>
        </w:rPr>
      </w:pPr>
      <w:r>
        <w:rPr>
          <w:noProof/>
        </w:rPr>
        <w:lastRenderedPageBreak/>
        <w:t>(44)</w:t>
      </w:r>
      <w:r>
        <w:rPr>
          <w:noProof/>
        </w:rPr>
        <w:tab/>
      </w:r>
      <w:r w:rsidRPr="002858D6">
        <w:rPr>
          <w:noProof/>
        </w:rPr>
        <w:t xml:space="preserve">Nos termos do artigo 47.º da Carta, toda a pessoa cujos direitos garantidos pelo direito da União tenham sido violados tem direito a uma ação. A fim de aplicar este direito fundamental no contexto da proteção consular, deve ser aditada à Diretiva (UE) 2015/637 uma disposição relativa às vias de recurso judicial. </w:t>
      </w:r>
    </w:p>
    <w:p w14:paraId="4CCB85D7" w14:textId="56B149F5" w:rsidR="009F79D0" w:rsidRPr="002858D6" w:rsidRDefault="2F1A3BA5" w:rsidP="00C107C4">
      <w:pPr>
        <w:pStyle w:val="ManualConsidrant"/>
        <w:rPr>
          <w:noProof/>
        </w:rPr>
      </w:pPr>
      <w:r>
        <w:rPr>
          <w:noProof/>
        </w:rPr>
        <w:t>(45)</w:t>
      </w:r>
      <w:r>
        <w:rPr>
          <w:noProof/>
        </w:rPr>
        <w:tab/>
      </w:r>
      <w:r w:rsidRPr="002858D6">
        <w:rPr>
          <w:noProof/>
        </w:rPr>
        <w:t>A Diretiva (UE) 2015/637 deve portanto ser alterada em conformidade.</w:t>
      </w:r>
    </w:p>
    <w:p w14:paraId="36DA56A8" w14:textId="367F7181" w:rsidR="00E617A0" w:rsidRPr="002858D6" w:rsidRDefault="53FE58CB" w:rsidP="00C107C4">
      <w:pPr>
        <w:pStyle w:val="ManualConsidrant"/>
        <w:rPr>
          <w:noProof/>
        </w:rPr>
      </w:pPr>
      <w:r>
        <w:rPr>
          <w:noProof/>
        </w:rPr>
        <w:t>(46)</w:t>
      </w:r>
      <w:r>
        <w:rPr>
          <w:noProof/>
        </w:rPr>
        <w:tab/>
      </w:r>
      <w:r w:rsidRPr="002858D6">
        <w:rPr>
          <w:noProof/>
        </w:rPr>
        <w:t>Atendendo a que os objetivos da presente diretiva não podem ser suficientemente alcançados pelos Estados-Membros, mas podem, devido à necessidade de adaptar as regras existentes a nível da União, ser mais bem alcançados ao nível da União, esta pode tomar medidas em conformidade com o princípio da subsidiariedade consagrado no artigo 5.º do TUE. Em conformidade com o princípio da proporcionalidade consagrado no mesmo artigo, a presente diretiva não excede o necessário para alcançar esses objetivos.</w:t>
      </w:r>
    </w:p>
    <w:p w14:paraId="713B44CB" w14:textId="77777777" w:rsidR="00304682" w:rsidRPr="002858D6" w:rsidRDefault="0DEECCB8" w:rsidP="00C107C4">
      <w:pPr>
        <w:pStyle w:val="ManualConsidrant"/>
        <w:rPr>
          <w:noProof/>
        </w:rPr>
      </w:pPr>
      <w:r>
        <w:rPr>
          <w:noProof/>
        </w:rPr>
        <w:t>(47)</w:t>
      </w:r>
      <w:r>
        <w:rPr>
          <w:noProof/>
        </w:rPr>
        <w:tab/>
      </w:r>
      <w:r w:rsidRPr="002858D6">
        <w:rPr>
          <w:noProof/>
        </w:rPr>
        <w:t>De acordo com a Declaração Política Conjunta dos Estados-Membros e da Comissão, de 28 de setembro de 2011, sobre os documentos explicativos</w:t>
      </w:r>
      <w:r w:rsidRPr="002858D6">
        <w:rPr>
          <w:rStyle w:val="FootnoteReference0"/>
          <w:noProof/>
        </w:rPr>
        <w:footnoteReference w:id="37"/>
      </w:r>
      <w:r w:rsidRPr="002858D6">
        <w:rPr>
          <w:noProof/>
        </w:rPr>
        <w:t>, os Estados-Membros assumiram o compromisso de fazer acompanhar a notificação das suas medidas de, nos casos em que tal se justifique, de um ou mais documentos que expliquem a relação entre os componentes de uma diretiva e as partes correspondentes dos instrumentos nacionais de transposição. Em relação à presente diretiva, o legislador considera que a transmissão desses documentos se justifica</w:t>
      </w:r>
    </w:p>
    <w:p w14:paraId="4E50D926" w14:textId="77777777" w:rsidR="008542D1" w:rsidRPr="002858D6" w:rsidRDefault="081E440C" w:rsidP="00C107C4">
      <w:pPr>
        <w:pStyle w:val="ManualConsidrant"/>
        <w:rPr>
          <w:noProof/>
        </w:rPr>
      </w:pPr>
      <w:r>
        <w:rPr>
          <w:noProof/>
        </w:rPr>
        <w:t>(48)</w:t>
      </w:r>
      <w:r>
        <w:rPr>
          <w:noProof/>
        </w:rPr>
        <w:tab/>
      </w:r>
      <w:r w:rsidRPr="002858D6">
        <w:rPr>
          <w:noProof/>
        </w:rPr>
        <w:t>A Autoridade Europeia para a Proteção de Dados foi consultada nos termos do artigo 42.º, n.º 1, do Regulamento (UE) 2018/1725 e emitiu parecer em XXXX</w:t>
      </w:r>
      <w:r w:rsidRPr="002858D6">
        <w:rPr>
          <w:rStyle w:val="FootnoteReference0"/>
          <w:noProof/>
        </w:rPr>
        <w:footnoteReference w:id="38"/>
      </w:r>
      <w:r w:rsidRPr="002858D6">
        <w:rPr>
          <w:noProof/>
        </w:rPr>
        <w:t>,</w:t>
      </w:r>
    </w:p>
    <w:p w14:paraId="0EA75BA0" w14:textId="77777777" w:rsidR="00304682" w:rsidRPr="002858D6" w:rsidRDefault="00304682">
      <w:pPr>
        <w:pStyle w:val="Formuledadoption"/>
        <w:rPr>
          <w:noProof/>
        </w:rPr>
      </w:pPr>
      <w:r w:rsidRPr="002858D6">
        <w:rPr>
          <w:noProof/>
        </w:rPr>
        <w:t>ADOTOU A PRESENTE DIRETIVA:</w:t>
      </w:r>
    </w:p>
    <w:p w14:paraId="4572D447" w14:textId="77777777" w:rsidR="00304682" w:rsidRPr="002858D6" w:rsidRDefault="00304682">
      <w:pPr>
        <w:pStyle w:val="Titrearticle"/>
        <w:rPr>
          <w:noProof/>
        </w:rPr>
      </w:pPr>
      <w:r w:rsidRPr="002858D6">
        <w:rPr>
          <w:noProof/>
        </w:rPr>
        <w:t>Artigo 1.º</w:t>
      </w:r>
    </w:p>
    <w:p w14:paraId="614688C0" w14:textId="77777777" w:rsidR="00304682" w:rsidRPr="002858D6" w:rsidRDefault="002710FB" w:rsidP="002710FB">
      <w:pPr>
        <w:rPr>
          <w:noProof/>
        </w:rPr>
      </w:pPr>
      <w:r w:rsidRPr="002858D6">
        <w:rPr>
          <w:noProof/>
        </w:rPr>
        <w:t>A Diretiva (UE) 2015/637 é alterada do seguinte modo:</w:t>
      </w:r>
    </w:p>
    <w:p w14:paraId="69F9093C" w14:textId="77777777" w:rsidR="002710FB" w:rsidRPr="002858D6" w:rsidRDefault="00C61736" w:rsidP="00E76033">
      <w:pPr>
        <w:pStyle w:val="Point0"/>
        <w:rPr>
          <w:noProof/>
        </w:rPr>
      </w:pPr>
      <w:r>
        <w:rPr>
          <w:noProof/>
        </w:rPr>
        <w:t>(1)</w:t>
      </w:r>
      <w:r>
        <w:rPr>
          <w:noProof/>
        </w:rPr>
        <w:tab/>
      </w:r>
      <w:r w:rsidRPr="002858D6">
        <w:rPr>
          <w:noProof/>
        </w:rPr>
        <w:t>Os artigos 6.º e 7.º passam a ter a seguinte redação:</w:t>
      </w:r>
    </w:p>
    <w:p w14:paraId="11E43AAF" w14:textId="77777777" w:rsidR="00507EBB" w:rsidRPr="002858D6" w:rsidRDefault="00B527B6" w:rsidP="00087922">
      <w:pPr>
        <w:pStyle w:val="Titrearticle"/>
        <w:rPr>
          <w:noProof/>
        </w:rPr>
      </w:pPr>
      <w:r w:rsidRPr="002858D6">
        <w:rPr>
          <w:noProof/>
        </w:rPr>
        <w:t xml:space="preserve">«Artigo 6.º </w:t>
      </w:r>
      <w:r w:rsidRPr="002858D6">
        <w:rPr>
          <w:noProof/>
        </w:rPr>
        <w:cr/>
      </w:r>
      <w:r w:rsidRPr="002858D6">
        <w:rPr>
          <w:noProof/>
        </w:rPr>
        <w:br/>
        <w:t>Falta de representação</w:t>
      </w:r>
    </w:p>
    <w:p w14:paraId="7BAC1706" w14:textId="77777777" w:rsidR="00B527B6" w:rsidRPr="002858D6" w:rsidRDefault="006D4A93" w:rsidP="006D4A93">
      <w:pPr>
        <w:pStyle w:val="Point1"/>
        <w:rPr>
          <w:noProof/>
        </w:rPr>
      </w:pPr>
      <w:r w:rsidRPr="002858D6">
        <w:rPr>
          <w:noProof/>
        </w:rPr>
        <w:t>1.</w:t>
      </w:r>
      <w:r w:rsidRPr="002858D6">
        <w:rPr>
          <w:noProof/>
        </w:rPr>
        <w:tab/>
        <w:t>Para efeitos da presente diretiva, um Estado-Membro não se encontra representado num país terceiro se não dispuser de embaixada ou consulado com caráter permanente nesse país ou se não dispuser nesse país de embaixada ou consulado que esteja efetivamente em condições de conceder proteção consular num determinado caso.</w:t>
      </w:r>
    </w:p>
    <w:p w14:paraId="13FC3E03" w14:textId="77777777" w:rsidR="002F5D25" w:rsidRPr="002858D6" w:rsidRDefault="006D4A93" w:rsidP="006D4A93">
      <w:pPr>
        <w:pStyle w:val="Point1"/>
        <w:rPr>
          <w:noProof/>
        </w:rPr>
      </w:pPr>
      <w:r w:rsidRPr="002858D6">
        <w:rPr>
          <w:noProof/>
        </w:rPr>
        <w:t>2.</w:t>
      </w:r>
      <w:r w:rsidRPr="002858D6">
        <w:rPr>
          <w:noProof/>
        </w:rPr>
        <w:tab/>
        <w:t>Para determinar se um Estado-Membro não dispõe de embaixada ou consulado que esteja efetivamente em condições de conceder proteção consular num determinado caso, a embaixada ou o consulado a que o cidadão não representado solicita proteção consular deve ter em conta os seguintes critérios, à luz das circunstâncias locais:</w:t>
      </w:r>
    </w:p>
    <w:p w14:paraId="4EE3C43E" w14:textId="65CDEA6A" w:rsidR="002F5D25" w:rsidRPr="002858D6" w:rsidRDefault="00911E33" w:rsidP="006D4A93">
      <w:pPr>
        <w:pStyle w:val="Point2"/>
        <w:rPr>
          <w:noProof/>
        </w:rPr>
      </w:pPr>
      <w:r>
        <w:rPr>
          <w:noProof/>
        </w:rPr>
        <w:t>(a)</w:t>
      </w:r>
      <w:r>
        <w:rPr>
          <w:noProof/>
        </w:rPr>
        <w:tab/>
      </w:r>
      <w:r w:rsidRPr="002858D6">
        <w:rPr>
          <w:noProof/>
        </w:rPr>
        <w:t xml:space="preserve">A dificuldade que tenha o cidadão em causa em contactar de maneira segura a embaixada ou o consulado do seu Estado-Membro da </w:t>
      </w:r>
      <w:r w:rsidRPr="002858D6">
        <w:rPr>
          <w:noProof/>
        </w:rPr>
        <w:lastRenderedPageBreak/>
        <w:t>nacionalidade ou de ser contactado de maneira segura por estas entidades, num prazo razoável, tendo em conta a natureza e a urgência da assistência solicitada e os meios à disposição do cidadão;</w:t>
      </w:r>
    </w:p>
    <w:p w14:paraId="12EC5F7C" w14:textId="77777777" w:rsidR="002F5D25" w:rsidRPr="002858D6" w:rsidRDefault="00273CFE" w:rsidP="006D4A93">
      <w:pPr>
        <w:pStyle w:val="Point2"/>
        <w:rPr>
          <w:noProof/>
        </w:rPr>
      </w:pPr>
      <w:r>
        <w:rPr>
          <w:noProof/>
        </w:rPr>
        <w:t>(b)</w:t>
      </w:r>
      <w:r>
        <w:rPr>
          <w:noProof/>
        </w:rPr>
        <w:tab/>
      </w:r>
      <w:r w:rsidRPr="002858D6">
        <w:rPr>
          <w:noProof/>
        </w:rPr>
        <w:t>Eventuais encerramentos da embaixada ou do consulado do Estado-Membro da nacionalidade, nomeadamente quando não for possível confirmar, num prazo razoável, se está operacional e acessível;</w:t>
      </w:r>
    </w:p>
    <w:p w14:paraId="1117CD2D" w14:textId="77777777" w:rsidR="002F5D25" w:rsidRPr="002858D6" w:rsidRDefault="00360205" w:rsidP="006D4A93">
      <w:pPr>
        <w:pStyle w:val="Point2"/>
        <w:rPr>
          <w:noProof/>
        </w:rPr>
      </w:pPr>
      <w:r>
        <w:rPr>
          <w:noProof/>
        </w:rPr>
        <w:t>(c)</w:t>
      </w:r>
      <w:r>
        <w:rPr>
          <w:noProof/>
        </w:rPr>
        <w:tab/>
      </w:r>
      <w:r w:rsidRPr="002858D6">
        <w:rPr>
          <w:noProof/>
        </w:rPr>
        <w:t>Se, ao reencaminhar o cidadão para a embaixada ou o consulado do seu Estado-Membro da nacionalidade, a proteção consular for suscetível de ficar comprometida, em particular se a urgência da questão exigir uma ação imediata por parte da embaixada ou do consulado requerido.</w:t>
      </w:r>
    </w:p>
    <w:p w14:paraId="5926E281" w14:textId="6E9431FF" w:rsidR="00F2526D" w:rsidRPr="002858D6" w:rsidRDefault="00585433" w:rsidP="006D4A93">
      <w:pPr>
        <w:pStyle w:val="Point1"/>
        <w:rPr>
          <w:noProof/>
        </w:rPr>
      </w:pPr>
      <w:r w:rsidRPr="002858D6">
        <w:rPr>
          <w:noProof/>
        </w:rPr>
        <w:t>3.</w:t>
      </w:r>
      <w:r w:rsidRPr="002858D6">
        <w:rPr>
          <w:noProof/>
        </w:rPr>
        <w:tab/>
        <w:t>Para determinar, nos termos do n.º 2, se um Estado-Membro dispõe de embaixada ou consulado que esteja efetivamente em condições de conceder proteção consular num determinado caso, a presença de um cônsul honorário do Estado-Membro da nacionalidade do cidadão só pode ser tida em conta se a assistência solicitada pelo cidadão estiver abrangida pelas competências do cônsul honorário.</w:t>
      </w:r>
    </w:p>
    <w:p w14:paraId="43CC60AE" w14:textId="77777777" w:rsidR="00507EBB" w:rsidRPr="002858D6" w:rsidRDefault="00F2526D" w:rsidP="00087922">
      <w:pPr>
        <w:pStyle w:val="Titrearticle"/>
        <w:rPr>
          <w:noProof/>
        </w:rPr>
      </w:pPr>
      <w:r w:rsidRPr="002858D6">
        <w:rPr>
          <w:noProof/>
        </w:rPr>
        <w:t xml:space="preserve">Artigo 7.º </w:t>
      </w:r>
      <w:r w:rsidRPr="002858D6">
        <w:rPr>
          <w:noProof/>
        </w:rPr>
        <w:cr/>
      </w:r>
      <w:r w:rsidRPr="002858D6">
        <w:rPr>
          <w:noProof/>
        </w:rPr>
        <w:br/>
        <w:t>Acesso à proteção consular e outras disposições</w:t>
      </w:r>
    </w:p>
    <w:p w14:paraId="12A5C9AE" w14:textId="77777777" w:rsidR="00507EBB" w:rsidRPr="002858D6" w:rsidRDefault="00507EBB" w:rsidP="00507EBB">
      <w:pPr>
        <w:pStyle w:val="Point1"/>
        <w:rPr>
          <w:noProof/>
        </w:rPr>
      </w:pPr>
      <w:r w:rsidRPr="002858D6">
        <w:rPr>
          <w:noProof/>
        </w:rPr>
        <w:t>1.</w:t>
      </w:r>
      <w:r w:rsidRPr="002858D6">
        <w:rPr>
          <w:noProof/>
        </w:rPr>
        <w:tab/>
        <w:t>Os cidadãos não representados têm o direito de solicitar proteção consular à embaixada ou ao consulado de qualquer Estado-Membro.</w:t>
      </w:r>
    </w:p>
    <w:p w14:paraId="7D36E336" w14:textId="77777777" w:rsidR="00507EBB" w:rsidRPr="002858D6" w:rsidRDefault="00507EBB" w:rsidP="00507EBB">
      <w:pPr>
        <w:pStyle w:val="Point1"/>
        <w:rPr>
          <w:noProof/>
        </w:rPr>
      </w:pPr>
      <w:r w:rsidRPr="002858D6">
        <w:rPr>
          <w:noProof/>
        </w:rPr>
        <w:t>2.</w:t>
      </w:r>
      <w:r w:rsidRPr="002858D6">
        <w:rPr>
          <w:noProof/>
        </w:rPr>
        <w:tab/>
        <w:t>Sem prejuízo do artigo 2.º, um Estado-Membro pode representar outro Estado-Membro de forma permanente, e as respetivas embaixadas ou consulados podem, sempre que se considere necessário, celebrar acordos de ordem prática relativos à partilha de responsabilidades quanto à concessão de proteção consular a cidadãos não representados.</w:t>
      </w:r>
    </w:p>
    <w:p w14:paraId="3DB78800" w14:textId="4D095E8C" w:rsidR="00F2156E" w:rsidRPr="002858D6" w:rsidRDefault="00793158" w:rsidP="005C65B7">
      <w:pPr>
        <w:pStyle w:val="Text2"/>
        <w:rPr>
          <w:noProof/>
        </w:rPr>
      </w:pPr>
      <w:r w:rsidRPr="002858D6">
        <w:rPr>
          <w:noProof/>
        </w:rPr>
        <w:t>Nesses casos, a embaixada ou o consulado a que o cidadão não representado solicite proteção consular e que não tenha sido designado como competente nos termos do acordo específico em vigor deve transferir o pedido do cidadão para a embaixada ou o consulado relevante, a menos que a proteção consular fique dessa forma comprometida, em particular se a urgência da questão exigir uma ação imediata por parte da embaixada ou do consulado requerido.</w:t>
      </w:r>
    </w:p>
    <w:p w14:paraId="44E94BBB" w14:textId="17FDAC62" w:rsidR="00F2156E" w:rsidRPr="002858D6" w:rsidRDefault="00654682" w:rsidP="00F2156E">
      <w:pPr>
        <w:pStyle w:val="Point1"/>
        <w:rPr>
          <w:noProof/>
        </w:rPr>
      </w:pPr>
      <w:r w:rsidRPr="002858D6">
        <w:rPr>
          <w:noProof/>
        </w:rPr>
        <w:t>3.</w:t>
      </w:r>
      <w:r w:rsidRPr="002858D6">
        <w:rPr>
          <w:noProof/>
        </w:rPr>
        <w:tab/>
        <w:t>Sempre que uma situação de crise dê origem a um grande número de pedidos de proteção consular, as embaixadas e os consulados dos Estados-Membros representados no país terceiro em causa podem, com o apoio da delegação da União, acordar distribuir os pedidos com base na capacidade disponível, a menos que a proteção consular fique dessa forma comprometida, em particular se a urgência da questão exigir uma ação imediata por parte da embaixada ou do consulado requerido. Tal distribuição também pode ser previamente acordada no contexto de um plano conjunto de emergência consular a que se refere o artigo 13.º, podendo derrogar dos acordos de ordem prática que tenham sido celebrados nos termos do n.º 2.</w:t>
      </w:r>
    </w:p>
    <w:p w14:paraId="450B15B5" w14:textId="76590E08" w:rsidR="001A1700" w:rsidRPr="002858D6" w:rsidRDefault="00654682" w:rsidP="001A1700">
      <w:pPr>
        <w:pStyle w:val="Point1"/>
        <w:rPr>
          <w:noProof/>
        </w:rPr>
      </w:pPr>
      <w:r w:rsidRPr="002858D6">
        <w:rPr>
          <w:noProof/>
        </w:rPr>
        <w:t>4.</w:t>
      </w:r>
      <w:r w:rsidRPr="002858D6">
        <w:rPr>
          <w:noProof/>
        </w:rPr>
        <w:tab/>
        <w:t>Os cidadãos não representados que solicitem proteção ao abrigo do n.º 1 devem ser informados de todas as transferências efetuadas nos termos dos n.</w:t>
      </w:r>
      <w:r w:rsidRPr="002858D6">
        <w:rPr>
          <w:noProof/>
          <w:vertAlign w:val="superscript"/>
        </w:rPr>
        <w:t>os</w:t>
      </w:r>
      <w:r w:rsidRPr="002858D6">
        <w:rPr>
          <w:noProof/>
        </w:rPr>
        <w:t> 2 ou 3.»;</w:t>
      </w:r>
    </w:p>
    <w:p w14:paraId="554C9340" w14:textId="77777777" w:rsidR="00F2526D" w:rsidRPr="002858D6" w:rsidRDefault="00BA388E" w:rsidP="00F2526D">
      <w:pPr>
        <w:pStyle w:val="Point0"/>
        <w:rPr>
          <w:noProof/>
        </w:rPr>
      </w:pPr>
      <w:r>
        <w:rPr>
          <w:noProof/>
        </w:rPr>
        <w:lastRenderedPageBreak/>
        <w:t>(2)</w:t>
      </w:r>
      <w:r>
        <w:rPr>
          <w:noProof/>
        </w:rPr>
        <w:tab/>
      </w:r>
      <w:r w:rsidRPr="002858D6">
        <w:rPr>
          <w:noProof/>
        </w:rPr>
        <w:t>No artigo 9.º, as alíneas e) e f) passam a ter a seguinte redação:</w:t>
      </w:r>
    </w:p>
    <w:p w14:paraId="75B9D790" w14:textId="77777777" w:rsidR="00EB02AB" w:rsidRPr="002858D6" w:rsidRDefault="00EB02AB" w:rsidP="00EB02AB">
      <w:pPr>
        <w:pStyle w:val="Text1"/>
        <w:rPr>
          <w:noProof/>
        </w:rPr>
      </w:pPr>
      <w:r w:rsidRPr="002858D6">
        <w:rPr>
          <w:noProof/>
        </w:rPr>
        <w:t>«e) ajuda, evacuação e repatriamento em caso de emergência;</w:t>
      </w:r>
    </w:p>
    <w:p w14:paraId="28943519" w14:textId="77777777" w:rsidR="00A467EC" w:rsidRPr="002858D6" w:rsidRDefault="00FC415E" w:rsidP="00EB02AB">
      <w:pPr>
        <w:pStyle w:val="Text1"/>
        <w:rPr>
          <w:noProof/>
        </w:rPr>
      </w:pPr>
      <w:r w:rsidRPr="002858D6">
        <w:rPr>
          <w:noProof/>
        </w:rPr>
        <w:t>f) Necessidade de um título de viagem provisório da UE estabelecido pela Diretiva (UE) 2019/997*.</w:t>
      </w:r>
    </w:p>
    <w:p w14:paraId="06444ABE" w14:textId="77777777" w:rsidR="00A467EC" w:rsidRPr="002858D6" w:rsidRDefault="00A467EC" w:rsidP="00A467EC">
      <w:pPr>
        <w:pStyle w:val="Text1"/>
        <w:rPr>
          <w:noProof/>
        </w:rPr>
      </w:pPr>
      <w:r w:rsidRPr="002858D6">
        <w:rPr>
          <w:noProof/>
        </w:rPr>
        <w:t>_______________</w:t>
      </w:r>
    </w:p>
    <w:p w14:paraId="758F9CEE" w14:textId="21AE4EEF" w:rsidR="00FC415E" w:rsidRPr="002858D6" w:rsidRDefault="00A467EC" w:rsidP="00A467EC">
      <w:pPr>
        <w:pStyle w:val="Text1"/>
        <w:rPr>
          <w:noProof/>
        </w:rPr>
      </w:pPr>
      <w:r w:rsidRPr="002858D6">
        <w:rPr>
          <w:noProof/>
        </w:rPr>
        <w:t xml:space="preserve">*  Diretiva (UE) 2019/997 do Conselho, de 18 de junho de 2019, que cria um título de viagem provisório da UE e que revoga a Decisão 96/409/PESC (JO L 163 de 20.6.2019, p. 1, ELI: </w:t>
      </w:r>
      <w:hyperlink r:id="rId19" w:history="1">
        <w:r w:rsidRPr="002858D6">
          <w:rPr>
            <w:rStyle w:val="Hyperlink"/>
            <w:noProof/>
          </w:rPr>
          <w:t>http://data.europa.eu/eli/dir/2019/997/oj</w:t>
        </w:r>
      </w:hyperlink>
      <w:r w:rsidRPr="002858D6">
        <w:rPr>
          <w:noProof/>
        </w:rPr>
        <w:t>).’;</w:t>
      </w:r>
    </w:p>
    <w:p w14:paraId="0282CC33" w14:textId="2C2BA4AC" w:rsidR="00DE2D03" w:rsidRPr="002858D6" w:rsidRDefault="007377C0">
      <w:pPr>
        <w:pStyle w:val="Point0"/>
        <w:rPr>
          <w:noProof/>
        </w:rPr>
      </w:pPr>
      <w:r>
        <w:rPr>
          <w:noProof/>
        </w:rPr>
        <w:t>(3)</w:t>
      </w:r>
      <w:r>
        <w:rPr>
          <w:noProof/>
        </w:rPr>
        <w:tab/>
      </w:r>
      <w:r w:rsidRPr="002858D6">
        <w:rPr>
          <w:noProof/>
        </w:rPr>
        <w:t>O artigo 10.º é alterado do seguinte modo:</w:t>
      </w:r>
    </w:p>
    <w:p w14:paraId="12A3DEE8" w14:textId="7F7EA518" w:rsidR="0041753B" w:rsidRPr="002858D6" w:rsidRDefault="00074DB7" w:rsidP="0041753B">
      <w:pPr>
        <w:pStyle w:val="Point1"/>
        <w:rPr>
          <w:noProof/>
        </w:rPr>
      </w:pPr>
      <w:r>
        <w:rPr>
          <w:noProof/>
        </w:rPr>
        <w:t>(a)</w:t>
      </w:r>
      <w:r>
        <w:rPr>
          <w:noProof/>
        </w:rPr>
        <w:tab/>
      </w:r>
      <w:r w:rsidRPr="002858D6">
        <w:rPr>
          <w:noProof/>
        </w:rPr>
        <w:t>O n.º 4 passa a ter a seguinte redação:</w:t>
      </w:r>
    </w:p>
    <w:p w14:paraId="66BC6CA4" w14:textId="5F3A6CA4" w:rsidR="00074DB7" w:rsidRPr="002858D6" w:rsidRDefault="00074DB7" w:rsidP="00587507">
      <w:pPr>
        <w:pStyle w:val="Text2"/>
        <w:rPr>
          <w:noProof/>
        </w:rPr>
      </w:pPr>
      <w:r w:rsidRPr="002858D6">
        <w:rPr>
          <w:noProof/>
        </w:rPr>
        <w:t>«4. Os Estados-Membros notificam o Serviço Europeu para a Ação Externa (SEAE), através do sítio Internet seguro deste último, do pontos ou pontos de contacto competentes nos Ministérios dos Negócios Estrangeiros.»;</w:t>
      </w:r>
    </w:p>
    <w:p w14:paraId="4E20934B" w14:textId="372E9F59" w:rsidR="00674F59" w:rsidRPr="002858D6" w:rsidRDefault="0041753B" w:rsidP="0041753B">
      <w:pPr>
        <w:pStyle w:val="Point1"/>
        <w:rPr>
          <w:noProof/>
        </w:rPr>
      </w:pPr>
      <w:r>
        <w:rPr>
          <w:noProof/>
        </w:rPr>
        <w:t>(b)</w:t>
      </w:r>
      <w:r>
        <w:rPr>
          <w:noProof/>
        </w:rPr>
        <w:tab/>
      </w:r>
      <w:r w:rsidRPr="002858D6">
        <w:rPr>
          <w:noProof/>
        </w:rPr>
        <w:t>É aditado o seguinte n.º 5:</w:t>
      </w:r>
    </w:p>
    <w:p w14:paraId="6EE078CC" w14:textId="7B7F1E37" w:rsidR="00396076" w:rsidRPr="002858D6" w:rsidRDefault="00396076" w:rsidP="00587507">
      <w:pPr>
        <w:pStyle w:val="Text2"/>
        <w:rPr>
          <w:noProof/>
        </w:rPr>
      </w:pPr>
      <w:r w:rsidRPr="002858D6">
        <w:rPr>
          <w:noProof/>
        </w:rPr>
        <w:t>«5. Sempre que adequado e necessário para conceder proteção consular, os Estados-Membros podem também envolver, nas suas medidas de coordenação e cooperação, cônsules honorários e o seu pessoal militar e de segurança, organizações internacionais ou autoridades diplomáticas e consulares de países terceiros.»;</w:t>
      </w:r>
    </w:p>
    <w:p w14:paraId="348713C3" w14:textId="24AFC2DD" w:rsidR="00037296" w:rsidRPr="002858D6" w:rsidRDefault="00037296" w:rsidP="00037296">
      <w:pPr>
        <w:pStyle w:val="Point0"/>
        <w:rPr>
          <w:noProof/>
        </w:rPr>
      </w:pPr>
      <w:r>
        <w:rPr>
          <w:noProof/>
        </w:rPr>
        <w:t>(4)</w:t>
      </w:r>
      <w:r>
        <w:rPr>
          <w:noProof/>
        </w:rPr>
        <w:tab/>
      </w:r>
      <w:r w:rsidRPr="002858D6">
        <w:rPr>
          <w:noProof/>
        </w:rPr>
        <w:t xml:space="preserve">Os artigos 11.º, </w:t>
      </w:r>
      <w:r w:rsidR="000042FC" w:rsidRPr="002858D6">
        <w:rPr>
          <w:noProof/>
        </w:rPr>
        <w:t>12.</w:t>
      </w:r>
      <w:r w:rsidR="000042FC">
        <w:rPr>
          <w:noProof/>
        </w:rPr>
        <w:t>º</w:t>
      </w:r>
      <w:r w:rsidRPr="002858D6">
        <w:rPr>
          <w:noProof/>
        </w:rPr>
        <w:t xml:space="preserve"> e 13.</w:t>
      </w:r>
      <w:r w:rsidR="000042FC">
        <w:rPr>
          <w:noProof/>
        </w:rPr>
        <w:t>º</w:t>
      </w:r>
      <w:r w:rsidRPr="002858D6">
        <w:rPr>
          <w:noProof/>
        </w:rPr>
        <w:t xml:space="preserve"> passam a ter a seguinte redação:</w:t>
      </w:r>
    </w:p>
    <w:p w14:paraId="3D0DEEBD" w14:textId="77777777" w:rsidR="00687E90" w:rsidRPr="002858D6" w:rsidRDefault="00687E90" w:rsidP="00087922">
      <w:pPr>
        <w:pStyle w:val="Titrearticle"/>
        <w:rPr>
          <w:noProof/>
        </w:rPr>
      </w:pPr>
      <w:r w:rsidRPr="002858D6">
        <w:rPr>
          <w:noProof/>
        </w:rPr>
        <w:t xml:space="preserve">«Artigo 11.º </w:t>
      </w:r>
      <w:r w:rsidRPr="002858D6">
        <w:rPr>
          <w:noProof/>
        </w:rPr>
        <w:cr/>
      </w:r>
      <w:r w:rsidRPr="002858D6">
        <w:rPr>
          <w:noProof/>
        </w:rPr>
        <w:br/>
        <w:t>Papel das delegações da União</w:t>
      </w:r>
    </w:p>
    <w:p w14:paraId="5A8CACC3" w14:textId="1091F75F" w:rsidR="00FA14BF" w:rsidRPr="002858D6" w:rsidRDefault="00FA14BF" w:rsidP="00FA14BF">
      <w:pPr>
        <w:pStyle w:val="Point1"/>
        <w:rPr>
          <w:noProof/>
        </w:rPr>
      </w:pPr>
      <w:r w:rsidRPr="002858D6">
        <w:rPr>
          <w:noProof/>
        </w:rPr>
        <w:t xml:space="preserve">1. </w:t>
      </w:r>
      <w:r w:rsidRPr="002858D6">
        <w:rPr>
          <w:noProof/>
        </w:rPr>
        <w:tab/>
        <w:t>As delegações da União cooperam estreitamente e coordenam-se com as embaixadas e os consulados dos Estados-Membros a fim de contribuir para a cooperação consular local, a preparação para as crises e a resposta a situações de crise, nomeadamente:</w:t>
      </w:r>
    </w:p>
    <w:p w14:paraId="61CCA874" w14:textId="77777777" w:rsidR="00FA14BF" w:rsidRPr="002858D6" w:rsidRDefault="00FA14BF" w:rsidP="00FA14BF">
      <w:pPr>
        <w:pStyle w:val="Point2"/>
        <w:rPr>
          <w:noProof/>
        </w:rPr>
      </w:pPr>
      <w:r>
        <w:rPr>
          <w:noProof/>
        </w:rPr>
        <w:t>(a)</w:t>
      </w:r>
      <w:r>
        <w:rPr>
          <w:noProof/>
        </w:rPr>
        <w:tab/>
      </w:r>
      <w:r w:rsidRPr="002858D6">
        <w:rPr>
          <w:noProof/>
        </w:rPr>
        <w:t>Prestando o apoio logístico disponível, incluindo escritórios e estruturas organizativas, como alojamento temporário para o pessoal consular e as equipas consulares conjuntas a que se refere o artigo 13.º-A, n.º 2;</w:t>
      </w:r>
    </w:p>
    <w:p w14:paraId="03674E66" w14:textId="77777777" w:rsidR="00FA14BF" w:rsidRPr="002858D6" w:rsidRDefault="00FA14BF" w:rsidP="00FA14BF">
      <w:pPr>
        <w:pStyle w:val="Point2"/>
        <w:rPr>
          <w:noProof/>
        </w:rPr>
      </w:pPr>
      <w:r>
        <w:rPr>
          <w:noProof/>
        </w:rPr>
        <w:t>(b)</w:t>
      </w:r>
      <w:r>
        <w:rPr>
          <w:noProof/>
        </w:rPr>
        <w:tab/>
      </w:r>
      <w:r w:rsidRPr="002858D6">
        <w:rPr>
          <w:noProof/>
        </w:rPr>
        <w:t>Facilitando o intercâmbio de informações entre as embaixadas e os consulados dos Estados-Membros;</w:t>
      </w:r>
    </w:p>
    <w:p w14:paraId="2D3753E1" w14:textId="77777777" w:rsidR="00FA14BF" w:rsidRPr="002858D6" w:rsidRDefault="00FA14BF" w:rsidP="00FA14BF">
      <w:pPr>
        <w:pStyle w:val="Point2"/>
        <w:rPr>
          <w:noProof/>
        </w:rPr>
      </w:pPr>
      <w:r>
        <w:rPr>
          <w:noProof/>
        </w:rPr>
        <w:t>(c)</w:t>
      </w:r>
      <w:r>
        <w:rPr>
          <w:noProof/>
        </w:rPr>
        <w:tab/>
      </w:r>
      <w:r w:rsidRPr="002858D6">
        <w:rPr>
          <w:noProof/>
        </w:rPr>
        <w:t>Facilitando, se for caso disso, o intercâmbio de informações com as autoridades locais, as autoridades diplomáticas e consulares de países terceiros e as organizações internacionais;</w:t>
      </w:r>
    </w:p>
    <w:p w14:paraId="3E99BAC0" w14:textId="77777777" w:rsidR="00FA14BF" w:rsidRPr="002858D6" w:rsidRDefault="00FA14BF" w:rsidP="00FA14BF">
      <w:pPr>
        <w:pStyle w:val="Point2"/>
        <w:rPr>
          <w:noProof/>
        </w:rPr>
      </w:pPr>
      <w:r>
        <w:rPr>
          <w:noProof/>
        </w:rPr>
        <w:t>(d)</w:t>
      </w:r>
      <w:r>
        <w:rPr>
          <w:noProof/>
        </w:rPr>
        <w:tab/>
      </w:r>
      <w:r w:rsidRPr="002858D6">
        <w:rPr>
          <w:noProof/>
        </w:rPr>
        <w:t>Disponibilizando informações gerais sobre a assistência a que possam ter direito os cidadãos não representados, em particular sobre os acordos de ordem prática celebrados, se for caso disso;</w:t>
      </w:r>
    </w:p>
    <w:p w14:paraId="2A9E33B0" w14:textId="2DC7A781" w:rsidR="00FA14BF" w:rsidRPr="002858D6" w:rsidRDefault="00FA14BF" w:rsidP="00FA14BF">
      <w:pPr>
        <w:pStyle w:val="Point2"/>
        <w:rPr>
          <w:noProof/>
        </w:rPr>
      </w:pPr>
      <w:r>
        <w:rPr>
          <w:noProof/>
        </w:rPr>
        <w:t>(e)</w:t>
      </w:r>
      <w:r>
        <w:rPr>
          <w:noProof/>
        </w:rPr>
        <w:tab/>
      </w:r>
      <w:r w:rsidRPr="002858D6">
        <w:rPr>
          <w:noProof/>
        </w:rPr>
        <w:t>Presidindo às reuniões de cooperação consular local a que se refere o artigo 12.º, n.º 2;</w:t>
      </w:r>
    </w:p>
    <w:p w14:paraId="1231BBE9" w14:textId="77777777" w:rsidR="00FA14BF" w:rsidRPr="002858D6" w:rsidRDefault="004738D9" w:rsidP="00FA14BF">
      <w:pPr>
        <w:pStyle w:val="Point2"/>
        <w:rPr>
          <w:noProof/>
        </w:rPr>
      </w:pPr>
      <w:r>
        <w:rPr>
          <w:noProof/>
        </w:rPr>
        <w:t>(f)</w:t>
      </w:r>
      <w:r>
        <w:rPr>
          <w:noProof/>
        </w:rPr>
        <w:tab/>
      </w:r>
      <w:r w:rsidRPr="002858D6">
        <w:rPr>
          <w:noProof/>
        </w:rPr>
        <w:t>Coordenando a elaboração e a aprovação dos planos conjuntos de emergência consular a que se refere o artigo 13.º;</w:t>
      </w:r>
    </w:p>
    <w:p w14:paraId="19028C60" w14:textId="77777777" w:rsidR="00FA14BF" w:rsidRPr="002858D6" w:rsidRDefault="00F159A3" w:rsidP="00FA14BF">
      <w:pPr>
        <w:pStyle w:val="Point2"/>
        <w:rPr>
          <w:noProof/>
        </w:rPr>
      </w:pPr>
      <w:r>
        <w:rPr>
          <w:noProof/>
        </w:rPr>
        <w:lastRenderedPageBreak/>
        <w:t>(g)</w:t>
      </w:r>
      <w:r>
        <w:rPr>
          <w:noProof/>
        </w:rPr>
        <w:tab/>
      </w:r>
      <w:r w:rsidRPr="002858D6">
        <w:rPr>
          <w:noProof/>
        </w:rPr>
        <w:t xml:space="preserve">Participando em atividades de resposta a situações de crise nos termos do artigo 13.º-A, nomeadamente, sempre que pertinente e adequado, prestando apoio ao Estado-líder. </w:t>
      </w:r>
    </w:p>
    <w:p w14:paraId="11CFF13B" w14:textId="095B3ADB" w:rsidR="001F0985" w:rsidRPr="002858D6" w:rsidRDefault="00FA14BF" w:rsidP="00FA14BF">
      <w:pPr>
        <w:pStyle w:val="Point1"/>
        <w:rPr>
          <w:noProof/>
        </w:rPr>
      </w:pPr>
      <w:r w:rsidRPr="002858D6">
        <w:rPr>
          <w:noProof/>
        </w:rPr>
        <w:t xml:space="preserve">2. </w:t>
      </w:r>
      <w:r w:rsidRPr="002858D6">
        <w:rPr>
          <w:noProof/>
        </w:rPr>
        <w:tab/>
        <w:t>As delegações da União apoiam os Estados-Membros na concessão de proteção consular aos cidadãos não representados, nos termos do artigo 5.º, n.º 10, da Decisão 2010/427/UE. Esse apoio pode incluir, a pedido e em nome dos Estados-Membros, a execução de tarefas de assistência consular específicas. O Estado-Membro que presta assistência e o Estado-Membro da nacionalidade fornecem à delegação da União todas as informações relevantes para o caso em questão.</w:t>
      </w:r>
    </w:p>
    <w:p w14:paraId="71661A4E" w14:textId="57A6D19D" w:rsidR="001D020E" w:rsidRPr="002858D6" w:rsidRDefault="001D020E" w:rsidP="00BA095F">
      <w:pPr>
        <w:pStyle w:val="Titrearticle"/>
        <w:rPr>
          <w:noProof/>
        </w:rPr>
      </w:pPr>
      <w:r w:rsidRPr="002858D6">
        <w:rPr>
          <w:noProof/>
        </w:rPr>
        <w:t xml:space="preserve">Artigo 12.º </w:t>
      </w:r>
      <w:r w:rsidRPr="002858D6">
        <w:rPr>
          <w:noProof/>
        </w:rPr>
        <w:cr/>
      </w:r>
      <w:r w:rsidRPr="002858D6">
        <w:rPr>
          <w:noProof/>
        </w:rPr>
        <w:br/>
        <w:t>Cooperação consular local</w:t>
      </w:r>
    </w:p>
    <w:p w14:paraId="3A545AE1" w14:textId="3DB7596C" w:rsidR="004B3C56" w:rsidRPr="002858D6" w:rsidRDefault="0065353A" w:rsidP="0065353A">
      <w:pPr>
        <w:pStyle w:val="Point1"/>
        <w:rPr>
          <w:noProof/>
        </w:rPr>
      </w:pPr>
      <w:r w:rsidRPr="002858D6">
        <w:rPr>
          <w:noProof/>
        </w:rPr>
        <w:t xml:space="preserve">1.  </w:t>
      </w:r>
      <w:r w:rsidRPr="002858D6">
        <w:rPr>
          <w:noProof/>
        </w:rPr>
        <w:tab/>
        <w:t>As autoridades consulares dos Estados-Membros e a delegação da União participam na cooperação consular local em cada país terceiro.</w:t>
      </w:r>
    </w:p>
    <w:p w14:paraId="6B489477" w14:textId="77777777" w:rsidR="0065353A" w:rsidRPr="002858D6" w:rsidRDefault="0065353A" w:rsidP="0065353A">
      <w:pPr>
        <w:pStyle w:val="Point1"/>
        <w:rPr>
          <w:noProof/>
        </w:rPr>
      </w:pPr>
      <w:r w:rsidRPr="002858D6">
        <w:rPr>
          <w:noProof/>
        </w:rPr>
        <w:t xml:space="preserve">2. </w:t>
      </w:r>
      <w:r w:rsidRPr="002858D6">
        <w:rPr>
          <w:noProof/>
        </w:rPr>
        <w:tab/>
        <w:t xml:space="preserve">As reuniões de cooperação consular local incluem intercâmbios regulares sobre: </w:t>
      </w:r>
    </w:p>
    <w:p w14:paraId="5A748174" w14:textId="521E4B17" w:rsidR="0065353A" w:rsidRPr="002858D6" w:rsidRDefault="0065353A" w:rsidP="00E76033">
      <w:pPr>
        <w:pStyle w:val="Point2"/>
        <w:rPr>
          <w:noProof/>
        </w:rPr>
      </w:pPr>
      <w:r>
        <w:rPr>
          <w:noProof/>
        </w:rPr>
        <w:t>(a)</w:t>
      </w:r>
      <w:r>
        <w:rPr>
          <w:noProof/>
        </w:rPr>
        <w:tab/>
      </w:r>
      <w:r w:rsidRPr="002858D6">
        <w:rPr>
          <w:noProof/>
        </w:rPr>
        <w:t>A segurança e a proteção dos cidadãos da União e outros assuntos para eles relevantes;</w:t>
      </w:r>
    </w:p>
    <w:p w14:paraId="42973275" w14:textId="77777777" w:rsidR="0065353A" w:rsidRPr="002858D6" w:rsidRDefault="0065353A" w:rsidP="0065353A">
      <w:pPr>
        <w:pStyle w:val="Point2"/>
        <w:rPr>
          <w:noProof/>
        </w:rPr>
      </w:pPr>
      <w:r>
        <w:rPr>
          <w:noProof/>
        </w:rPr>
        <w:t>(b)</w:t>
      </w:r>
      <w:r>
        <w:rPr>
          <w:noProof/>
        </w:rPr>
        <w:tab/>
      </w:r>
      <w:r w:rsidRPr="002858D6">
        <w:rPr>
          <w:noProof/>
        </w:rPr>
        <w:t>A elaboração e transmissão de diligências consulares conjuntas às autoridades de países terceiros, se for caso disso;</w:t>
      </w:r>
    </w:p>
    <w:p w14:paraId="3D777AE3" w14:textId="77777777" w:rsidR="0065353A" w:rsidRPr="002858D6" w:rsidRDefault="0065353A" w:rsidP="0065353A">
      <w:pPr>
        <w:pStyle w:val="Point2"/>
        <w:rPr>
          <w:noProof/>
        </w:rPr>
      </w:pPr>
      <w:r>
        <w:rPr>
          <w:noProof/>
        </w:rPr>
        <w:t>(c)</w:t>
      </w:r>
      <w:r>
        <w:rPr>
          <w:noProof/>
        </w:rPr>
        <w:tab/>
      </w:r>
      <w:r w:rsidRPr="002858D6">
        <w:rPr>
          <w:noProof/>
        </w:rPr>
        <w:t>A elaboração, aprovação e revisão dos planos conjuntos de emergência consular a que se refere o artigo 13.º;</w:t>
      </w:r>
    </w:p>
    <w:p w14:paraId="2BB21BC6" w14:textId="77777777" w:rsidR="0065353A" w:rsidRPr="002858D6" w:rsidRDefault="0065353A" w:rsidP="0065353A">
      <w:pPr>
        <w:pStyle w:val="Point2"/>
        <w:rPr>
          <w:noProof/>
        </w:rPr>
      </w:pPr>
      <w:r>
        <w:rPr>
          <w:noProof/>
        </w:rPr>
        <w:t>(d)</w:t>
      </w:r>
      <w:r>
        <w:rPr>
          <w:noProof/>
        </w:rPr>
        <w:tab/>
      </w:r>
      <w:r w:rsidRPr="002858D6">
        <w:rPr>
          <w:noProof/>
        </w:rPr>
        <w:t>A organização de exercícios consulares conjuntos;</w:t>
      </w:r>
    </w:p>
    <w:p w14:paraId="6AE05571" w14:textId="6F338233" w:rsidR="0065353A" w:rsidRPr="002858D6" w:rsidRDefault="0065353A" w:rsidP="0065353A">
      <w:pPr>
        <w:pStyle w:val="Point2"/>
        <w:rPr>
          <w:noProof/>
        </w:rPr>
      </w:pPr>
      <w:r>
        <w:rPr>
          <w:noProof/>
        </w:rPr>
        <w:t>(e)</w:t>
      </w:r>
      <w:r>
        <w:rPr>
          <w:noProof/>
        </w:rPr>
        <w:tab/>
      </w:r>
      <w:r w:rsidRPr="002858D6">
        <w:rPr>
          <w:noProof/>
        </w:rPr>
        <w:t xml:space="preserve">Os acordos de ordem prática a que se refere o artigo 7.º, n.º 2, a fim de assegurar que os cidadãos não representados sejam efetivamente protegidos no país terceiro em causa. </w:t>
      </w:r>
    </w:p>
    <w:p w14:paraId="3B3ABA13" w14:textId="74116273" w:rsidR="00687E90" w:rsidRPr="002858D6" w:rsidRDefault="00630CB2" w:rsidP="00630CB2">
      <w:pPr>
        <w:pStyle w:val="Point1"/>
        <w:rPr>
          <w:noProof/>
        </w:rPr>
      </w:pPr>
      <w:r w:rsidRPr="002858D6">
        <w:rPr>
          <w:noProof/>
        </w:rPr>
        <w:t xml:space="preserve">3. </w:t>
      </w:r>
      <w:r w:rsidRPr="002858D6">
        <w:rPr>
          <w:noProof/>
        </w:rPr>
        <w:tab/>
        <w:t>Salvo acordo em contrário das autoridades consulares dos Estados-Membros, a presidência é assegurada por um representante da delegação da União. Caso não esteja presente uma delegação da União, as reuniões são presididas pelo representante de um Estado-Membro.</w:t>
      </w:r>
    </w:p>
    <w:p w14:paraId="570145A4" w14:textId="77777777" w:rsidR="00630CB2" w:rsidRPr="002858D6" w:rsidRDefault="00630CB2" w:rsidP="00630CB2">
      <w:pPr>
        <w:pStyle w:val="Titrearticle"/>
        <w:rPr>
          <w:noProof/>
        </w:rPr>
      </w:pPr>
      <w:r w:rsidRPr="002858D6">
        <w:rPr>
          <w:noProof/>
        </w:rPr>
        <w:t xml:space="preserve">Artigo 13.º </w:t>
      </w:r>
      <w:r w:rsidRPr="002858D6">
        <w:rPr>
          <w:noProof/>
        </w:rPr>
        <w:cr/>
      </w:r>
      <w:r w:rsidRPr="002858D6">
        <w:rPr>
          <w:noProof/>
        </w:rPr>
        <w:br/>
        <w:t>Preparação para as crises</w:t>
      </w:r>
    </w:p>
    <w:p w14:paraId="66D97D24" w14:textId="16D1F006" w:rsidR="0035070C" w:rsidRPr="002858D6" w:rsidRDefault="0035070C" w:rsidP="0035070C">
      <w:pPr>
        <w:pStyle w:val="Point1"/>
        <w:rPr>
          <w:noProof/>
        </w:rPr>
      </w:pPr>
      <w:r w:rsidRPr="002858D6">
        <w:rPr>
          <w:noProof/>
        </w:rPr>
        <w:t xml:space="preserve">1. </w:t>
      </w:r>
      <w:r w:rsidRPr="002858D6">
        <w:rPr>
          <w:noProof/>
        </w:rPr>
        <w:tab/>
        <w:t>No contexto da cooperação consular local a que se refere o artigo 12.º, os Estados-Membros e o SEAE elaboram e aprovam um plano conjunto de emergência consular para cada país terceiro. O plano conjunto de emergência consular é atualizado anualmente e contém:</w:t>
      </w:r>
    </w:p>
    <w:p w14:paraId="40A2C2BE" w14:textId="0EF1CDEE" w:rsidR="0035070C" w:rsidRPr="002858D6" w:rsidRDefault="0035070C" w:rsidP="00E76033">
      <w:pPr>
        <w:pStyle w:val="Point2"/>
        <w:rPr>
          <w:noProof/>
        </w:rPr>
      </w:pPr>
      <w:r>
        <w:rPr>
          <w:noProof/>
        </w:rPr>
        <w:t>(a)</w:t>
      </w:r>
      <w:r>
        <w:rPr>
          <w:noProof/>
        </w:rPr>
        <w:tab/>
      </w:r>
      <w:r w:rsidRPr="002858D6">
        <w:rPr>
          <w:noProof/>
        </w:rPr>
        <w:t>Uma análise da situação consular no país, incluindo uma panorâmica das embaixadas ou dos consulados dos Estados-Membros, uma estimativa do número e da localização dos cidadãos da União, e uma avaliação dos riscos dos cenários mais plausíveis que afetam os cidadãos da União;</w:t>
      </w:r>
    </w:p>
    <w:p w14:paraId="3F15C5BF" w14:textId="6D75DC54" w:rsidR="0035070C" w:rsidRPr="002858D6" w:rsidRDefault="003C31FF" w:rsidP="0035070C">
      <w:pPr>
        <w:pStyle w:val="Point2"/>
        <w:rPr>
          <w:noProof/>
        </w:rPr>
      </w:pPr>
      <w:r>
        <w:rPr>
          <w:noProof/>
        </w:rPr>
        <w:lastRenderedPageBreak/>
        <w:t>(b)</w:t>
      </w:r>
      <w:r>
        <w:rPr>
          <w:noProof/>
        </w:rPr>
        <w:tab/>
      </w:r>
      <w:r w:rsidRPr="002858D6">
        <w:rPr>
          <w:noProof/>
        </w:rPr>
        <w:t>Dispositivos consulares conjuntos de preparação para crises, incluindo canais de comunicação e contactos no âmbito da cooperação consular local e com as autoridades locais e os países terceiros pertinentes;</w:t>
      </w:r>
    </w:p>
    <w:p w14:paraId="414FF83E" w14:textId="5D927D8C" w:rsidR="0035070C" w:rsidRPr="002858D6" w:rsidRDefault="008A681B" w:rsidP="0035070C">
      <w:pPr>
        <w:pStyle w:val="Point2"/>
        <w:rPr>
          <w:noProof/>
        </w:rPr>
      </w:pPr>
      <w:r>
        <w:rPr>
          <w:noProof/>
        </w:rPr>
        <w:t>(c)</w:t>
      </w:r>
      <w:r>
        <w:rPr>
          <w:noProof/>
        </w:rPr>
        <w:tab/>
      </w:r>
      <w:r w:rsidRPr="002858D6">
        <w:rPr>
          <w:noProof/>
        </w:rPr>
        <w:t xml:space="preserve">Dispositivos consulares conjuntos de resposta a situações de crise, incluindo processos de partilha de informações e de comunicação no âmbito da cooperação consular local e com os cidadãos da União, reuniões de crise, cooperação com as autoridades locais e os países terceiros pertinentes e ações num contexto de crise e pós-crise; </w:t>
      </w:r>
    </w:p>
    <w:p w14:paraId="2881EBC4" w14:textId="57E74796" w:rsidR="008E6F9F" w:rsidRPr="002858D6" w:rsidRDefault="0035070C" w:rsidP="0035070C">
      <w:pPr>
        <w:pStyle w:val="Point2"/>
        <w:rPr>
          <w:noProof/>
        </w:rPr>
      </w:pPr>
      <w:r>
        <w:rPr>
          <w:noProof/>
        </w:rPr>
        <w:t>(d)</w:t>
      </w:r>
      <w:r>
        <w:rPr>
          <w:noProof/>
        </w:rPr>
        <w:tab/>
      </w:r>
      <w:r w:rsidRPr="002858D6">
        <w:rPr>
          <w:noProof/>
        </w:rPr>
        <w:t>Caso um Estado-Membro assuma o papel de Estado-líder num determinado país terceiro, conforme referido no artigo 13.º-A, n.º 3, uma descrição das suas responsabilidades;</w:t>
      </w:r>
    </w:p>
    <w:p w14:paraId="167C20A8" w14:textId="505358C9" w:rsidR="0035070C" w:rsidRPr="002858D6" w:rsidRDefault="008E6F9F" w:rsidP="0035070C">
      <w:pPr>
        <w:pStyle w:val="Point2"/>
        <w:rPr>
          <w:noProof/>
        </w:rPr>
      </w:pPr>
      <w:r>
        <w:rPr>
          <w:noProof/>
        </w:rPr>
        <w:t>(e)</w:t>
      </w:r>
      <w:r>
        <w:rPr>
          <w:noProof/>
        </w:rPr>
        <w:tab/>
      </w:r>
      <w:r w:rsidRPr="002858D6">
        <w:rPr>
          <w:noProof/>
        </w:rPr>
        <w:t>outras informações pertinentes.</w:t>
      </w:r>
    </w:p>
    <w:p w14:paraId="74E3B6DB" w14:textId="2BF02BD5" w:rsidR="006516B3" w:rsidRPr="002858D6" w:rsidRDefault="00767297" w:rsidP="0035070C">
      <w:pPr>
        <w:pStyle w:val="Point1"/>
        <w:rPr>
          <w:noProof/>
        </w:rPr>
      </w:pPr>
      <w:r w:rsidRPr="002858D6">
        <w:rPr>
          <w:noProof/>
        </w:rPr>
        <w:t>2.</w:t>
      </w:r>
      <w:r w:rsidRPr="002858D6">
        <w:rPr>
          <w:noProof/>
        </w:rPr>
        <w:tab/>
        <w:t>Quando presentes, as delegações da União coordenam a elaboração e a aprovação dos planos conjuntos de emergência consular, com base nos contributos das embaixadas ou dos consulados dos Estados-Membros representados no país terceiro em causa e das autoridades consulares dos Estados-Membros não representados. Os planos conjuntos de emergência consular são disponibilizados a todos os Estados-Membros, ao SEAE e aos serviços da Comissão.</w:t>
      </w:r>
    </w:p>
    <w:p w14:paraId="32FD8E12" w14:textId="0454DC1C" w:rsidR="0035070C" w:rsidRPr="002858D6" w:rsidRDefault="008803CF" w:rsidP="006516B3">
      <w:pPr>
        <w:pStyle w:val="Text2"/>
        <w:rPr>
          <w:noProof/>
        </w:rPr>
      </w:pPr>
      <w:r w:rsidRPr="002858D6">
        <w:rPr>
          <w:noProof/>
        </w:rPr>
        <w:t>Nos países terceiros em que não esteja presente uma delegação da União, a coordenação é assegurada pelo presidente da cooperação consular local acordado nos termos do artigo 12.º, n.º 3, com o apoio do SEAE.</w:t>
      </w:r>
    </w:p>
    <w:p w14:paraId="4440157E" w14:textId="77777777" w:rsidR="0035070C" w:rsidRPr="002858D6" w:rsidRDefault="00767297" w:rsidP="0035070C">
      <w:pPr>
        <w:pStyle w:val="Point1"/>
        <w:rPr>
          <w:noProof/>
        </w:rPr>
      </w:pPr>
      <w:r w:rsidRPr="002858D6">
        <w:rPr>
          <w:noProof/>
        </w:rPr>
        <w:t>3.</w:t>
      </w:r>
      <w:r w:rsidRPr="002858D6">
        <w:rPr>
          <w:noProof/>
        </w:rPr>
        <w:tab/>
        <w:t xml:space="preserve">Os Estados-Membros e as delegações da União realizam anualmente exercícios consulares para atualizar e melhorar a preparação e resposta conjunta a crises consulares a nível local. </w:t>
      </w:r>
    </w:p>
    <w:p w14:paraId="69854B27" w14:textId="468CC4FC" w:rsidR="0035070C" w:rsidRPr="002858D6" w:rsidRDefault="04666A6D" w:rsidP="0035070C">
      <w:pPr>
        <w:pStyle w:val="Point1"/>
        <w:rPr>
          <w:noProof/>
        </w:rPr>
      </w:pPr>
      <w:r w:rsidRPr="002858D6">
        <w:rPr>
          <w:noProof/>
        </w:rPr>
        <w:t>4.</w:t>
      </w:r>
      <w:r w:rsidRPr="002858D6">
        <w:rPr>
          <w:noProof/>
        </w:rPr>
        <w:tab/>
        <w:t>Os Estados-Membros, nos termos do direito nacional, concedem aos seus cidadãos a possibilidade de se registarem junto das autoridades nacionais competentes ou de as informarem, através de meios e instrumentos adequados, das suas viagens ou da sua residência em países terceiros.</w:t>
      </w:r>
    </w:p>
    <w:p w14:paraId="39A102D7" w14:textId="723B11DD" w:rsidR="00A93DAF" w:rsidRPr="002858D6" w:rsidRDefault="5D617959" w:rsidP="0035070C">
      <w:pPr>
        <w:pStyle w:val="Point1"/>
        <w:rPr>
          <w:noProof/>
        </w:rPr>
      </w:pPr>
      <w:r w:rsidRPr="002858D6">
        <w:rPr>
          <w:noProof/>
        </w:rPr>
        <w:t>5.</w:t>
      </w:r>
      <w:r w:rsidRPr="002858D6">
        <w:rPr>
          <w:noProof/>
        </w:rPr>
        <w:tab/>
        <w:t>Os Estados-Membros procedem ao intercâmbio de informações sobre as alterações das suas recomendações aos viajantes numa fase precoce, em especial no contexto de situações de crise, e procuram assegurar a coerência no nível das recomendações prestadas.»;</w:t>
      </w:r>
    </w:p>
    <w:p w14:paraId="70F6CC9E" w14:textId="22C17734" w:rsidR="005C1A8B" w:rsidRPr="002858D6" w:rsidRDefault="009252F3" w:rsidP="005C1A8B">
      <w:pPr>
        <w:pStyle w:val="Point0"/>
        <w:rPr>
          <w:noProof/>
        </w:rPr>
      </w:pPr>
      <w:r>
        <w:rPr>
          <w:noProof/>
        </w:rPr>
        <w:t>(5)</w:t>
      </w:r>
      <w:r>
        <w:rPr>
          <w:noProof/>
        </w:rPr>
        <w:tab/>
      </w:r>
      <w:r w:rsidRPr="002858D6">
        <w:rPr>
          <w:noProof/>
        </w:rPr>
        <w:t>No capítulo 2, é aditado o seguinte artigo 13.º-A:</w:t>
      </w:r>
    </w:p>
    <w:p w14:paraId="4714B36C" w14:textId="77777777" w:rsidR="00C548E6" w:rsidRPr="002858D6" w:rsidRDefault="00C548E6" w:rsidP="00C548E6">
      <w:pPr>
        <w:pStyle w:val="Titrearticle"/>
        <w:rPr>
          <w:b/>
          <w:noProof/>
        </w:rPr>
      </w:pPr>
      <w:r w:rsidRPr="002858D6">
        <w:rPr>
          <w:noProof/>
        </w:rPr>
        <w:t xml:space="preserve">«Artigo 13.º-A </w:t>
      </w:r>
      <w:r w:rsidRPr="002858D6">
        <w:rPr>
          <w:noProof/>
        </w:rPr>
        <w:cr/>
      </w:r>
      <w:r w:rsidRPr="002858D6">
        <w:rPr>
          <w:noProof/>
        </w:rPr>
        <w:br/>
        <w:t>Resposta a situações de crise</w:t>
      </w:r>
      <w:r w:rsidRPr="002858D6">
        <w:rPr>
          <w:b/>
          <w:noProof/>
        </w:rPr>
        <w:t xml:space="preserve"> </w:t>
      </w:r>
    </w:p>
    <w:p w14:paraId="003410FA" w14:textId="77777777" w:rsidR="00C548E6" w:rsidRPr="002858D6" w:rsidRDefault="00C548E6" w:rsidP="00C548E6">
      <w:pPr>
        <w:pStyle w:val="Point1"/>
        <w:rPr>
          <w:noProof/>
        </w:rPr>
      </w:pPr>
      <w:r w:rsidRPr="002858D6">
        <w:rPr>
          <w:noProof/>
        </w:rPr>
        <w:t>1.</w:t>
      </w:r>
      <w:r w:rsidRPr="002858D6">
        <w:rPr>
          <w:noProof/>
        </w:rPr>
        <w:tab/>
        <w:t>Em situações de crise, a União e os Estados-Membros cooperam estreitamente para assegurar a proteção eficiente dos cidadãos não representados. Informam-se reciprocamente, se possível, acerca das capacidades de evacuação disponíveis em tempo útil, nomeadamente em caso de operações que utilizem meios militares.</w:t>
      </w:r>
    </w:p>
    <w:p w14:paraId="687BF905" w14:textId="7D1312C9" w:rsidR="00C548E6" w:rsidRPr="002858D6" w:rsidRDefault="00C548E6" w:rsidP="240181A2">
      <w:pPr>
        <w:pStyle w:val="Point1"/>
        <w:rPr>
          <w:noProof/>
        </w:rPr>
      </w:pPr>
      <w:r w:rsidRPr="002858D6">
        <w:rPr>
          <w:noProof/>
        </w:rPr>
        <w:t>2.</w:t>
      </w:r>
      <w:r w:rsidRPr="002858D6">
        <w:rPr>
          <w:noProof/>
        </w:rPr>
        <w:tab/>
        <w:t xml:space="preserve">Se necessário, os Estados-Membros podem receber apoio de equipas consulares conjuntas compostas por peritos dos Estados-Membros, em especial </w:t>
      </w:r>
      <w:r w:rsidRPr="002858D6">
        <w:rPr>
          <w:noProof/>
        </w:rPr>
        <w:lastRenderedPageBreak/>
        <w:t>dos Estados-Membros não representados no país terceiro afetado pela crise, do SEAE e dos serviços da Comissão. As equipas consulares conjuntas devem estar disponíveis para serem rapidamente destacadas para países terceiros afetados por uma crise consular. A participação em equipas consulares conjuntas é voluntária.</w:t>
      </w:r>
    </w:p>
    <w:p w14:paraId="770D297A" w14:textId="76475C66" w:rsidR="00C548E6" w:rsidRPr="002858D6" w:rsidRDefault="00C548E6" w:rsidP="00C548E6">
      <w:pPr>
        <w:pStyle w:val="Point1"/>
        <w:rPr>
          <w:noProof/>
        </w:rPr>
      </w:pPr>
      <w:r w:rsidRPr="002858D6">
        <w:rPr>
          <w:noProof/>
        </w:rPr>
        <w:t>3.</w:t>
      </w:r>
      <w:r w:rsidRPr="002858D6">
        <w:rPr>
          <w:noProof/>
        </w:rPr>
        <w:tab/>
        <w:t xml:space="preserve">Se aplicável, o Estado-líder ou o(s) Estado(s)-Membro(s) que coordena(m) a assistência ficam encarregados de coordenar o apoio eventualmente prestado aos cidadãos não representados, com a ajuda dos outros Estados-Membros em causa, da delegação da União e da administração central do SEAE. Os Estados-Membros transmitem ao Estado-líder ou ao(s) Estado(s)-Membro(s) que coordena(m) a assistência todas as informações relevantes relativas aos respetivos cidadãos não representados presentes na situação de crise. </w:t>
      </w:r>
    </w:p>
    <w:p w14:paraId="4EFD34CA" w14:textId="2BD8255D" w:rsidR="00E01E34" w:rsidRPr="002858D6" w:rsidRDefault="00C548E6" w:rsidP="00C548E6">
      <w:pPr>
        <w:pStyle w:val="Point1"/>
        <w:rPr>
          <w:noProof/>
        </w:rPr>
      </w:pPr>
      <w:r w:rsidRPr="002858D6">
        <w:rPr>
          <w:noProof/>
        </w:rPr>
        <w:t>4.</w:t>
      </w:r>
      <w:r w:rsidRPr="002858D6">
        <w:rPr>
          <w:noProof/>
        </w:rPr>
        <w:tab/>
        <w:t>Ao prestarem assistência, os Estados-Membros podem solicitar, se necessário, o apoio de instrumentos da União, como as estruturas de gestão de crises do SEAE e o seu Centro de Resposta a Situações de Crise e, através do Centro de Coordenação de Resposta de Emergência criado pelo artigo 7.º da Decisão n.º 1313/2013/UE, o Mecanismo de Proteção Civil da União.»;</w:t>
      </w:r>
    </w:p>
    <w:p w14:paraId="62DF12CE" w14:textId="77777777" w:rsidR="00E01E34" w:rsidRPr="002858D6" w:rsidRDefault="00C548E6" w:rsidP="00E01E34">
      <w:pPr>
        <w:pStyle w:val="Point0"/>
        <w:rPr>
          <w:noProof/>
        </w:rPr>
      </w:pPr>
      <w:r>
        <w:rPr>
          <w:noProof/>
        </w:rPr>
        <w:t>(6)</w:t>
      </w:r>
      <w:r>
        <w:rPr>
          <w:noProof/>
        </w:rPr>
        <w:tab/>
      </w:r>
      <w:r w:rsidRPr="002858D6">
        <w:rPr>
          <w:noProof/>
        </w:rPr>
        <w:t xml:space="preserve"> É inserido o seguinte capítulo 2-A:</w:t>
      </w:r>
    </w:p>
    <w:p w14:paraId="3A0C32E3" w14:textId="77777777" w:rsidR="00C548E6" w:rsidRPr="002858D6" w:rsidRDefault="00E01E34" w:rsidP="00E01E34">
      <w:pPr>
        <w:pStyle w:val="ChapterTitle"/>
        <w:rPr>
          <w:noProof/>
        </w:rPr>
      </w:pPr>
      <w:r w:rsidRPr="002858D6">
        <w:rPr>
          <w:noProof/>
        </w:rPr>
        <w:t xml:space="preserve">«Capítulo 2-A </w:t>
      </w:r>
      <w:r w:rsidRPr="002858D6">
        <w:rPr>
          <w:noProof/>
        </w:rPr>
        <w:cr/>
      </w:r>
      <w:r w:rsidRPr="002858D6">
        <w:rPr>
          <w:noProof/>
        </w:rPr>
        <w:br/>
        <w:t>PRESTAÇÃO DE INFORMAÇÕES</w:t>
      </w:r>
    </w:p>
    <w:p w14:paraId="0108FDE5" w14:textId="77777777" w:rsidR="00C548E6" w:rsidRPr="002858D6" w:rsidRDefault="00C548E6" w:rsidP="00E01E34">
      <w:pPr>
        <w:pStyle w:val="Titrearticle"/>
        <w:rPr>
          <w:noProof/>
        </w:rPr>
      </w:pPr>
      <w:r w:rsidRPr="002858D6">
        <w:rPr>
          <w:noProof/>
        </w:rPr>
        <w:t xml:space="preserve">Artigo 13.º-B </w:t>
      </w:r>
      <w:r w:rsidRPr="002858D6">
        <w:rPr>
          <w:noProof/>
        </w:rPr>
        <w:cr/>
      </w:r>
      <w:r w:rsidRPr="002858D6">
        <w:rPr>
          <w:noProof/>
        </w:rPr>
        <w:br/>
        <w:t>Prestação e divulgação de informações</w:t>
      </w:r>
    </w:p>
    <w:p w14:paraId="5100DBFC" w14:textId="4638F704" w:rsidR="00C548E6" w:rsidRPr="002858D6" w:rsidRDefault="00D22659" w:rsidP="00D22659">
      <w:pPr>
        <w:pStyle w:val="Point1"/>
        <w:rPr>
          <w:noProof/>
        </w:rPr>
      </w:pPr>
      <w:r w:rsidRPr="002858D6">
        <w:rPr>
          <w:noProof/>
        </w:rPr>
        <w:t>1.</w:t>
      </w:r>
      <w:r w:rsidRPr="002858D6">
        <w:rPr>
          <w:noProof/>
        </w:rPr>
        <w:tab/>
        <w:t>Pelo menos uma vez por ano, os Estados-Membros fornecem à Comissão e ao alto representante da União para os Negócios Estrangeiros e a Política de Segurança as seguintes informações:</w:t>
      </w:r>
    </w:p>
    <w:p w14:paraId="29042951" w14:textId="22DA6686" w:rsidR="00C548E6" w:rsidRPr="002858D6" w:rsidRDefault="00C548E6" w:rsidP="00D22659">
      <w:pPr>
        <w:pStyle w:val="Point2"/>
        <w:rPr>
          <w:noProof/>
        </w:rPr>
      </w:pPr>
      <w:r>
        <w:rPr>
          <w:noProof/>
        </w:rPr>
        <w:t>(a)</w:t>
      </w:r>
      <w:r>
        <w:rPr>
          <w:noProof/>
        </w:rPr>
        <w:tab/>
      </w:r>
      <w:r w:rsidRPr="002858D6">
        <w:rPr>
          <w:noProof/>
        </w:rPr>
        <w:t>Listas atualizadas de contactos para as suas redes consulares;</w:t>
      </w:r>
    </w:p>
    <w:p w14:paraId="1FB1D468" w14:textId="2F9BF853" w:rsidR="00C548E6" w:rsidRPr="002858D6" w:rsidRDefault="00C548E6" w:rsidP="00D22659">
      <w:pPr>
        <w:pStyle w:val="Point2"/>
        <w:rPr>
          <w:noProof/>
        </w:rPr>
      </w:pPr>
      <w:r>
        <w:rPr>
          <w:noProof/>
        </w:rPr>
        <w:t>(b)</w:t>
      </w:r>
      <w:r>
        <w:rPr>
          <w:noProof/>
        </w:rPr>
        <w:tab/>
      </w:r>
      <w:r w:rsidRPr="002858D6">
        <w:rPr>
          <w:noProof/>
        </w:rPr>
        <w:t>Listas de países terceiros em que são representados por outro Estado-Membro ou em que representam outro Estado-Membro a título permanente, nos termos do artigo 7.º, n.º 2;</w:t>
      </w:r>
    </w:p>
    <w:p w14:paraId="042E544E" w14:textId="77777777" w:rsidR="00C548E6" w:rsidRPr="002858D6" w:rsidRDefault="00C548E6" w:rsidP="00D22659">
      <w:pPr>
        <w:pStyle w:val="Point2"/>
        <w:rPr>
          <w:noProof/>
        </w:rPr>
      </w:pPr>
      <w:r>
        <w:rPr>
          <w:noProof/>
        </w:rPr>
        <w:t>(c)</w:t>
      </w:r>
      <w:r>
        <w:rPr>
          <w:noProof/>
        </w:rPr>
        <w:tab/>
      </w:r>
      <w:r w:rsidRPr="002858D6">
        <w:rPr>
          <w:noProof/>
        </w:rPr>
        <w:t>Acordos de ordem prática celebrados nos termos do artigo 7.º, n.º 2;</w:t>
      </w:r>
    </w:p>
    <w:p w14:paraId="0064E27F" w14:textId="77777777" w:rsidR="00C548E6" w:rsidRPr="002858D6" w:rsidRDefault="00C548E6" w:rsidP="00D22659">
      <w:pPr>
        <w:pStyle w:val="Point2"/>
        <w:rPr>
          <w:noProof/>
        </w:rPr>
      </w:pPr>
      <w:r>
        <w:rPr>
          <w:noProof/>
        </w:rPr>
        <w:t>(d)</w:t>
      </w:r>
      <w:r>
        <w:rPr>
          <w:noProof/>
        </w:rPr>
        <w:tab/>
      </w:r>
      <w:r w:rsidRPr="002858D6">
        <w:rPr>
          <w:noProof/>
        </w:rPr>
        <w:t>O número de cidadãos não representados que beneficiaram de proteção consular a que se refere o artigo 2.º durante o ano anterior, discriminado por nacionalidade e país terceiro;</w:t>
      </w:r>
    </w:p>
    <w:p w14:paraId="3951D16B" w14:textId="77777777" w:rsidR="00C548E6" w:rsidRPr="002858D6" w:rsidRDefault="00C548E6" w:rsidP="00D22659">
      <w:pPr>
        <w:pStyle w:val="Point2"/>
        <w:rPr>
          <w:noProof/>
        </w:rPr>
      </w:pPr>
      <w:r>
        <w:rPr>
          <w:noProof/>
        </w:rPr>
        <w:t>(e)</w:t>
      </w:r>
      <w:r>
        <w:rPr>
          <w:noProof/>
        </w:rPr>
        <w:tab/>
      </w:r>
      <w:r w:rsidRPr="002858D6">
        <w:rPr>
          <w:noProof/>
        </w:rPr>
        <w:t>O número de pedidos de reembolso apresentados e recebidos nos termos dos artigos 14.º e 15.º durante o ano anterior.</w:t>
      </w:r>
    </w:p>
    <w:p w14:paraId="5157EACF" w14:textId="7FF328A2" w:rsidR="00231D8C" w:rsidRPr="002858D6" w:rsidRDefault="00231D8C" w:rsidP="00BF6873">
      <w:pPr>
        <w:pStyle w:val="Text2"/>
        <w:rPr>
          <w:noProof/>
        </w:rPr>
      </w:pPr>
      <w:r w:rsidRPr="002858D6">
        <w:rPr>
          <w:noProof/>
        </w:rPr>
        <w:t>Sempre que um Estado-Membro decida, nos termos do artigo 2.º, n.º 2, aplicar a presente diretiva à proteção consular concedida pelos cônsules honorários, a lista referida na alínea a) deve incluir os cônsules honorários, bem como informações sobre o seu grau de competência para conceder proteção num determinado caso, em especial se estão habilitados a emitir títulos de viagem provisórios da UE.</w:t>
      </w:r>
    </w:p>
    <w:p w14:paraId="12DBC0F4" w14:textId="1937DD9E" w:rsidR="00C548E6" w:rsidRPr="002858D6" w:rsidRDefault="00D22659" w:rsidP="00D22659">
      <w:pPr>
        <w:pStyle w:val="Point1"/>
        <w:rPr>
          <w:noProof/>
        </w:rPr>
      </w:pPr>
      <w:r w:rsidRPr="002858D6">
        <w:rPr>
          <w:noProof/>
        </w:rPr>
        <w:lastRenderedPageBreak/>
        <w:t>2.</w:t>
      </w:r>
      <w:r w:rsidRPr="002858D6">
        <w:rPr>
          <w:noProof/>
        </w:rPr>
        <w:tab/>
        <w:t xml:space="preserve">Os Estados-Membros, os serviços da Comissão e o SEAE disponibilizam ao público as informações a que se refere o n.º 1, alíneas a), b) e c), </w:t>
      </w:r>
      <w:bookmarkStart w:id="4" w:name="_Hlk144126924"/>
      <w:r w:rsidRPr="002858D6">
        <w:rPr>
          <w:noProof/>
        </w:rPr>
        <w:t>de uma forma que garanta a coerência das informações fornecidas</w:t>
      </w:r>
      <w:bookmarkEnd w:id="4"/>
      <w:r w:rsidRPr="002858D6">
        <w:rPr>
          <w:noProof/>
        </w:rPr>
        <w:t xml:space="preserve">. </w:t>
      </w:r>
    </w:p>
    <w:p w14:paraId="138612A8" w14:textId="77777777" w:rsidR="00C548E6" w:rsidRPr="002858D6" w:rsidRDefault="00D22659" w:rsidP="00D22659">
      <w:pPr>
        <w:pStyle w:val="Point1"/>
        <w:rPr>
          <w:noProof/>
        </w:rPr>
      </w:pPr>
      <w:r w:rsidRPr="002858D6">
        <w:rPr>
          <w:noProof/>
        </w:rPr>
        <w:t>3.</w:t>
      </w:r>
      <w:r w:rsidRPr="002858D6">
        <w:rPr>
          <w:noProof/>
        </w:rPr>
        <w:tab/>
        <w:t>Sempre que solicitado pela Comissão, os Estados-Membros fornecem as informações a que se refere o n.º 1 num formato legível por máquina.</w:t>
      </w:r>
    </w:p>
    <w:p w14:paraId="19866B7C" w14:textId="77777777" w:rsidR="00C548E6" w:rsidRPr="002858D6" w:rsidRDefault="00D22659" w:rsidP="00D22659">
      <w:pPr>
        <w:pStyle w:val="Point1"/>
        <w:rPr>
          <w:noProof/>
        </w:rPr>
      </w:pPr>
      <w:r w:rsidRPr="002858D6">
        <w:rPr>
          <w:noProof/>
        </w:rPr>
        <w:t>4.</w:t>
      </w:r>
      <w:r w:rsidRPr="002858D6">
        <w:rPr>
          <w:noProof/>
        </w:rPr>
        <w:tab/>
        <w:t>A Comissão pode adotar atos de execução que estabeleçam o formato específico legível por máquina em que devem ser fornecidas as informações a que se refere o n.º 1. Os referidos atos de execução são adotados pelo procedimento de exame a que se refere o artigo 15.º-A, n.º 2.</w:t>
      </w:r>
    </w:p>
    <w:p w14:paraId="54D62D37" w14:textId="77777777" w:rsidR="00C548E6" w:rsidRPr="002858D6" w:rsidRDefault="00C548E6" w:rsidP="00D22659">
      <w:pPr>
        <w:pStyle w:val="Titrearticle"/>
        <w:rPr>
          <w:noProof/>
        </w:rPr>
      </w:pPr>
      <w:r w:rsidRPr="002858D6">
        <w:rPr>
          <w:noProof/>
        </w:rPr>
        <w:t xml:space="preserve">Artigo 13.º-C </w:t>
      </w:r>
      <w:r w:rsidRPr="002858D6">
        <w:rPr>
          <w:noProof/>
        </w:rPr>
        <w:cr/>
      </w:r>
      <w:r w:rsidRPr="002858D6">
        <w:rPr>
          <w:noProof/>
        </w:rPr>
        <w:br/>
        <w:t>Prestação de informações aos cidadãos da União</w:t>
      </w:r>
    </w:p>
    <w:p w14:paraId="37918786" w14:textId="0D1F8765" w:rsidR="00C548E6" w:rsidRPr="002858D6" w:rsidRDefault="00CD055E" w:rsidP="00CD055E">
      <w:pPr>
        <w:pStyle w:val="Point1"/>
        <w:rPr>
          <w:noProof/>
        </w:rPr>
      </w:pPr>
      <w:r w:rsidRPr="002858D6">
        <w:rPr>
          <w:noProof/>
        </w:rPr>
        <w:t>1.</w:t>
      </w:r>
      <w:r w:rsidRPr="002858D6">
        <w:rPr>
          <w:noProof/>
        </w:rPr>
        <w:tab/>
        <w:t>Os Estados-Membros tomam medidas para informar os seus cidadãos do direito que lhes assiste nos termos do artigo 20.º, n.º 2, alínea c), do TFUE. Tal pode incluir, nomeadamente, as seguintes medidas:</w:t>
      </w:r>
    </w:p>
    <w:p w14:paraId="6508F2C6" w14:textId="200B5F0A" w:rsidR="00C548E6" w:rsidRPr="002858D6" w:rsidRDefault="00C548E6" w:rsidP="00E76033">
      <w:pPr>
        <w:pStyle w:val="Point2"/>
        <w:rPr>
          <w:noProof/>
        </w:rPr>
      </w:pPr>
      <w:r>
        <w:rPr>
          <w:noProof/>
        </w:rPr>
        <w:t>(a)</w:t>
      </w:r>
      <w:r>
        <w:rPr>
          <w:noProof/>
        </w:rPr>
        <w:tab/>
      </w:r>
      <w:r w:rsidRPr="002858D6">
        <w:rPr>
          <w:noProof/>
        </w:rPr>
        <w:t>Impressão da primeira frase do artigo 23.º do TFUE nos passaportes nacionais;</w:t>
      </w:r>
    </w:p>
    <w:p w14:paraId="235680A1" w14:textId="77777777" w:rsidR="00C548E6" w:rsidRPr="002858D6" w:rsidRDefault="00C548E6" w:rsidP="00CD055E">
      <w:pPr>
        <w:pStyle w:val="Point2"/>
        <w:rPr>
          <w:noProof/>
        </w:rPr>
      </w:pPr>
      <w:r>
        <w:rPr>
          <w:noProof/>
        </w:rPr>
        <w:t>(b)</w:t>
      </w:r>
      <w:r>
        <w:rPr>
          <w:noProof/>
        </w:rPr>
        <w:tab/>
      </w:r>
      <w:r w:rsidRPr="002858D6">
        <w:rPr>
          <w:noProof/>
        </w:rPr>
        <w:t>Inclusão de informações sobre o direito à proteção consular nas recomendações aos viajantes e nas campanhas relacionadas com a proteção consular;</w:t>
      </w:r>
    </w:p>
    <w:p w14:paraId="48916D24" w14:textId="77777777" w:rsidR="00C548E6" w:rsidRPr="002858D6" w:rsidRDefault="00C548E6" w:rsidP="00CD055E">
      <w:pPr>
        <w:pStyle w:val="Point2"/>
        <w:rPr>
          <w:noProof/>
        </w:rPr>
      </w:pPr>
      <w:r>
        <w:rPr>
          <w:noProof/>
        </w:rPr>
        <w:t>(c)</w:t>
      </w:r>
      <w:r>
        <w:rPr>
          <w:noProof/>
        </w:rPr>
        <w:tab/>
      </w:r>
      <w:r w:rsidRPr="002858D6">
        <w:rPr>
          <w:noProof/>
        </w:rPr>
        <w:t>Cooperação em campanhas de informação com prestadores de serviços de transporte de passageiros e plataformas de transporte que oferecem viagens para países terceiros.</w:t>
      </w:r>
    </w:p>
    <w:p w14:paraId="0E14D0F4" w14:textId="630CA40B" w:rsidR="005E145D" w:rsidRPr="002858D6" w:rsidRDefault="00CD055E" w:rsidP="00CD055E">
      <w:pPr>
        <w:pStyle w:val="Point1"/>
        <w:rPr>
          <w:noProof/>
        </w:rPr>
      </w:pPr>
      <w:r w:rsidRPr="002858D6">
        <w:rPr>
          <w:noProof/>
        </w:rPr>
        <w:t>2.</w:t>
      </w:r>
      <w:r w:rsidRPr="002858D6">
        <w:rPr>
          <w:noProof/>
        </w:rPr>
        <w:tab/>
        <w:t>Os serviços da Comissão e o SEAE contribuem para informar os cidadãos da União sobre o seu direito à proteção consular.»;</w:t>
      </w:r>
    </w:p>
    <w:p w14:paraId="4FA0D012" w14:textId="77777777" w:rsidR="001474F2" w:rsidRPr="002858D6" w:rsidRDefault="001474F2" w:rsidP="001474F2">
      <w:pPr>
        <w:pStyle w:val="Point0"/>
        <w:rPr>
          <w:noProof/>
        </w:rPr>
      </w:pPr>
      <w:r>
        <w:rPr>
          <w:noProof/>
        </w:rPr>
        <w:t>(7)</w:t>
      </w:r>
      <w:r>
        <w:rPr>
          <w:noProof/>
        </w:rPr>
        <w:tab/>
      </w:r>
      <w:r w:rsidRPr="002858D6">
        <w:rPr>
          <w:noProof/>
        </w:rPr>
        <w:t>Os artigos 14.º e 15.º passam a ter a seguinte redação:</w:t>
      </w:r>
    </w:p>
    <w:p w14:paraId="675B1B8D" w14:textId="77777777" w:rsidR="00792772" w:rsidRPr="002858D6" w:rsidRDefault="00792772" w:rsidP="00792772">
      <w:pPr>
        <w:pStyle w:val="Titrearticle"/>
        <w:rPr>
          <w:noProof/>
        </w:rPr>
      </w:pPr>
      <w:r w:rsidRPr="002858D6">
        <w:rPr>
          <w:noProof/>
        </w:rPr>
        <w:t xml:space="preserve">«Artigo 14.º </w:t>
      </w:r>
      <w:r w:rsidRPr="002858D6">
        <w:rPr>
          <w:noProof/>
        </w:rPr>
        <w:cr/>
      </w:r>
      <w:r w:rsidRPr="002858D6">
        <w:rPr>
          <w:noProof/>
        </w:rPr>
        <w:br/>
        <w:t xml:space="preserve">Regras gerais </w:t>
      </w:r>
    </w:p>
    <w:p w14:paraId="14A9E53D" w14:textId="7A4B0151" w:rsidR="00792772" w:rsidRPr="002858D6" w:rsidRDefault="00C62C91" w:rsidP="00CA59B5">
      <w:pPr>
        <w:pStyle w:val="Point1"/>
        <w:rPr>
          <w:noProof/>
        </w:rPr>
      </w:pPr>
      <w:r w:rsidRPr="002858D6">
        <w:rPr>
          <w:noProof/>
        </w:rPr>
        <w:t>1.</w:t>
      </w:r>
      <w:r w:rsidRPr="002858D6">
        <w:rPr>
          <w:noProof/>
        </w:rPr>
        <w:tab/>
        <w:t>Quaisquer despesas cobradas por um Estado-Membro que presta assistência para a concessão de proteção consular a cidadãos não representados devem ser iguais às que cobraria aos seus próprios nacionais.</w:t>
      </w:r>
    </w:p>
    <w:p w14:paraId="54CC1F43" w14:textId="0F835D22" w:rsidR="00792772" w:rsidRPr="002858D6" w:rsidRDefault="00E3323F" w:rsidP="00C62C91">
      <w:pPr>
        <w:pStyle w:val="Point1"/>
        <w:rPr>
          <w:noProof/>
        </w:rPr>
      </w:pPr>
      <w:r w:rsidRPr="002858D6">
        <w:rPr>
          <w:noProof/>
        </w:rPr>
        <w:t>2.</w:t>
      </w:r>
      <w:r w:rsidRPr="002858D6">
        <w:rPr>
          <w:noProof/>
        </w:rPr>
        <w:tab/>
        <w:t xml:space="preserve">Se um cidadão não representado não puder pagar as despesas a que se refere o n.º 1 ao Estado-Membro que presta assistência quando apresenta um pedido de assistência, o Estado-Membro que presta assistência pode exigir ao cidadão não representado que assine um compromisso de reembolso. Nesta base, o Estado-Membro que presta assistência pode solicitar ao cidadão não representado em causa que pague essas despesas uma vez decorridas quatro semanas após a prestação da assistência. </w:t>
      </w:r>
    </w:p>
    <w:p w14:paraId="35D83FD5" w14:textId="77777777" w:rsidR="00792772" w:rsidRPr="002858D6" w:rsidRDefault="00792772" w:rsidP="008A62E4">
      <w:pPr>
        <w:pStyle w:val="Text2"/>
        <w:rPr>
          <w:noProof/>
        </w:rPr>
      </w:pPr>
      <w:r w:rsidRPr="002858D6">
        <w:rPr>
          <w:noProof/>
        </w:rPr>
        <w:t>O facto de não poder pagar as despesas a que se refere o n.º 1 aquando da apresentação de um pedido de assistência não afeta o direito do cidadão não representado a receber proteção consular.</w:t>
      </w:r>
    </w:p>
    <w:p w14:paraId="441596D6" w14:textId="32391C3B" w:rsidR="00792772" w:rsidRPr="002858D6" w:rsidRDefault="00E3323F" w:rsidP="00C62C91">
      <w:pPr>
        <w:pStyle w:val="Point1"/>
        <w:rPr>
          <w:noProof/>
        </w:rPr>
      </w:pPr>
      <w:r w:rsidRPr="002858D6">
        <w:rPr>
          <w:noProof/>
        </w:rPr>
        <w:lastRenderedPageBreak/>
        <w:t>3.</w:t>
      </w:r>
      <w:r w:rsidRPr="002858D6">
        <w:rPr>
          <w:noProof/>
        </w:rPr>
        <w:tab/>
        <w:t>Se um cidadão não representado ao qual tenha sido concedida proteção consular não tiver pago as despesas a que se refere o n.º 1 aquando da apresentação de um pedido de assistência nem quando tal lhe tenha sido solicitado pelo Estado-Membro que presta assistência nos termos do n.º 2, o Estado-Membro que presta assistência pode, no prazo de 12 meses a contar da data da assinatura do compromisso de reembolso a que se refere o n.º 2, solicitar o pagamento das despesas ao Estado-Membro da nacionalidade do cidadão não representado.</w:t>
      </w:r>
    </w:p>
    <w:p w14:paraId="0B485C06" w14:textId="45D39A7C" w:rsidR="00792772" w:rsidRPr="002858D6" w:rsidRDefault="00792772" w:rsidP="008A62E4">
      <w:pPr>
        <w:pStyle w:val="Text2"/>
        <w:rPr>
          <w:noProof/>
        </w:rPr>
      </w:pPr>
      <w:r w:rsidRPr="002858D6">
        <w:rPr>
          <w:noProof/>
        </w:rPr>
        <w:t xml:space="preserve">O Estado-Membro da nacionalidade do cidadão não representado deve reembolsar essas despesas num prazo razoável não superior a 12 meses a contar da data do pedido. O Estado-Membro da nacionalidade do cidadão não representado pode solicitar a este último o reembolso desses custos. </w:t>
      </w:r>
    </w:p>
    <w:p w14:paraId="71FF0235" w14:textId="53FCCBD0" w:rsidR="00792772" w:rsidRPr="002858D6" w:rsidRDefault="00E3323F" w:rsidP="00C62C91">
      <w:pPr>
        <w:pStyle w:val="Point1"/>
        <w:rPr>
          <w:noProof/>
        </w:rPr>
      </w:pPr>
      <w:r w:rsidRPr="002858D6">
        <w:rPr>
          <w:noProof/>
        </w:rPr>
        <w:t>4.</w:t>
      </w:r>
      <w:r w:rsidRPr="002858D6">
        <w:rPr>
          <w:noProof/>
        </w:rPr>
        <w:tab/>
        <w:t>Quando a proteção consular concedida a um cidadão não representado acarretar para as autoridades diplomáticas ou consulares despesas anormalmente elevadas mas essenciais e justificadas relacionadas com viagens, alojamento e tradução, o Estado-Membro que presta assistência pode, no prazo de 12 meses a contar da prestação da assistência, solicitar o reembolso dessas despesas diretamente ao Estado-Membro da nacionalidade do cidadão não representado, que as deve reembolsar num prazo razoável, não superior a 12 meses.</w:t>
      </w:r>
    </w:p>
    <w:p w14:paraId="5F0495A7" w14:textId="558DD68D" w:rsidR="00792772" w:rsidRPr="002858D6" w:rsidRDefault="00E3323F" w:rsidP="00C62C91">
      <w:pPr>
        <w:pStyle w:val="Point1"/>
        <w:rPr>
          <w:noProof/>
        </w:rPr>
      </w:pPr>
      <w:r w:rsidRPr="002858D6">
        <w:rPr>
          <w:noProof/>
        </w:rPr>
        <w:t>5.</w:t>
      </w:r>
      <w:r w:rsidRPr="002858D6">
        <w:rPr>
          <w:noProof/>
        </w:rPr>
        <w:tab/>
        <w:t>Os Estados-Membros devem reembolsar as delegações da União pelo seu apoio na concessão de proteção consular aos cidadãos não representados. Nesse caso, o reembolso das despesas pelo Estado-Membro da nacionalidade do cidadão deve assegurar que o apoio prestado pelas delegações da União é prestado numa base de neutralidade em termos de recursos.</w:t>
      </w:r>
    </w:p>
    <w:p w14:paraId="4DEDFECF" w14:textId="52A15D8B" w:rsidR="00792772" w:rsidRPr="002858D6" w:rsidRDefault="00E3323F" w:rsidP="00C62C91">
      <w:pPr>
        <w:pStyle w:val="Point1"/>
        <w:rPr>
          <w:noProof/>
        </w:rPr>
      </w:pPr>
      <w:r w:rsidRPr="002858D6">
        <w:rPr>
          <w:noProof/>
        </w:rPr>
        <w:t>6.</w:t>
      </w:r>
      <w:r w:rsidRPr="002858D6">
        <w:rPr>
          <w:noProof/>
        </w:rPr>
        <w:tab/>
        <w:t>A Comissão pode adotar atos de execução que estabeleçam formulários-tipo a utilizar para o compromisso de reembolso a que se refere o n.º 2 e para o reembolso das despesas pelo Estado-Membro da nacionalidade a que se refere o n.º 3. Os referidos atos de execução são adotados pelo procedimento de exame a que se refere o artigo 15.º-A, n.º 2.</w:t>
      </w:r>
    </w:p>
    <w:p w14:paraId="3E552E8E" w14:textId="77777777" w:rsidR="00792772" w:rsidRPr="002858D6" w:rsidRDefault="00792772" w:rsidP="004F5FD1">
      <w:pPr>
        <w:pStyle w:val="Titrearticle"/>
        <w:rPr>
          <w:noProof/>
        </w:rPr>
      </w:pPr>
      <w:r w:rsidRPr="002858D6">
        <w:rPr>
          <w:noProof/>
        </w:rPr>
        <w:t xml:space="preserve">Artigo 15.º </w:t>
      </w:r>
      <w:r w:rsidRPr="002858D6">
        <w:rPr>
          <w:noProof/>
        </w:rPr>
        <w:cr/>
      </w:r>
      <w:r w:rsidRPr="002858D6">
        <w:rPr>
          <w:noProof/>
        </w:rPr>
        <w:br/>
        <w:t xml:space="preserve">Procedimento simplificado em situações de crise </w:t>
      </w:r>
    </w:p>
    <w:p w14:paraId="64E7D1E1" w14:textId="138E84C0" w:rsidR="00792772" w:rsidRPr="002858D6" w:rsidRDefault="004F5FD1" w:rsidP="004F5FD1">
      <w:pPr>
        <w:pStyle w:val="Point1"/>
        <w:rPr>
          <w:noProof/>
        </w:rPr>
      </w:pPr>
      <w:r w:rsidRPr="002858D6">
        <w:rPr>
          <w:noProof/>
        </w:rPr>
        <w:t>1.</w:t>
      </w:r>
      <w:r w:rsidRPr="002858D6">
        <w:rPr>
          <w:noProof/>
        </w:rPr>
        <w:tab/>
        <w:t xml:space="preserve">Em situações de crise, e a menos que as despesas do apoio prestado já tenham sido reembolsadas diretamente pelo cidadão não representado, o Estado-Membro que presta assistência pode pedir o reembolso das despesas ao Estado-Membro da nacionalidade do cidadão não representado, mesmo que o cidadão não representado não tenha assinado o compromisso de reembolso nos termos do artigo 14.º, n.º 2. Tal não impede que o Estado-Membro da nacionalidade do cidadão não representado procure obter o reembolso junto do cidadão não representado com base nas regras nacionais. </w:t>
      </w:r>
    </w:p>
    <w:p w14:paraId="2C6B8BD7" w14:textId="1EC054A8" w:rsidR="00D40F93" w:rsidRPr="002858D6" w:rsidRDefault="004F5FD1" w:rsidP="004F5FD1">
      <w:pPr>
        <w:pStyle w:val="Point1"/>
        <w:rPr>
          <w:noProof/>
        </w:rPr>
      </w:pPr>
      <w:r w:rsidRPr="002858D6">
        <w:rPr>
          <w:noProof/>
        </w:rPr>
        <w:t>2.</w:t>
      </w:r>
      <w:r w:rsidRPr="002858D6">
        <w:rPr>
          <w:noProof/>
        </w:rPr>
        <w:tab/>
        <w:t>O Estado-Membro que presta assistência pode solicitar ao Estado-Membro da nacionalidade do cidadão não representado que reembolse essas despesas referidas no n.º 1 numa base proporcional, mediante a divisão do valor total das despesas efetivamente incorridas pelo número de cidadãos que receberam assistência.</w:t>
      </w:r>
    </w:p>
    <w:p w14:paraId="34E08E8C" w14:textId="5D8778C3" w:rsidR="00792772" w:rsidRPr="002858D6" w:rsidRDefault="004F5FD1" w:rsidP="004F5FD1">
      <w:pPr>
        <w:pStyle w:val="Point1"/>
        <w:rPr>
          <w:noProof/>
        </w:rPr>
      </w:pPr>
      <w:r w:rsidRPr="002858D6">
        <w:rPr>
          <w:noProof/>
        </w:rPr>
        <w:lastRenderedPageBreak/>
        <w:t>3.</w:t>
      </w:r>
      <w:r w:rsidRPr="002858D6">
        <w:rPr>
          <w:noProof/>
        </w:rPr>
        <w:tab/>
        <w:t>Sempre que, nas situações de crise a que se refere o n.º 1, não seja possível ou exequível na prática distinguir entre cidadãos representados e não representados, e a possibilidade de prestar assistência a cidadãos não representados exija ou implique assistência a cidadãos que também possam estar representados, o procedimento previsto nos n.</w:t>
      </w:r>
      <w:r w:rsidRPr="002858D6">
        <w:rPr>
          <w:noProof/>
          <w:vertAlign w:val="superscript"/>
        </w:rPr>
        <w:t>os</w:t>
      </w:r>
      <w:r w:rsidRPr="002858D6">
        <w:rPr>
          <w:noProof/>
        </w:rPr>
        <w:t> 1 e 2 também se aplica à proteção consular concedida pelo Estado-Membro que presta assistência a cidadãos representados de outro Estado-Membro em situações de crise.</w:t>
      </w:r>
    </w:p>
    <w:p w14:paraId="12B1E912" w14:textId="13939BD3" w:rsidR="00FD7DD7" w:rsidRPr="002858D6" w:rsidRDefault="00393534" w:rsidP="000074C4">
      <w:pPr>
        <w:pStyle w:val="Point1"/>
        <w:rPr>
          <w:noProof/>
        </w:rPr>
      </w:pPr>
      <w:r w:rsidRPr="002858D6">
        <w:rPr>
          <w:noProof/>
        </w:rPr>
        <w:t>4.</w:t>
      </w:r>
      <w:r w:rsidRPr="002858D6">
        <w:rPr>
          <w:noProof/>
        </w:rPr>
        <w:tab/>
        <w:t>Os n.</w:t>
      </w:r>
      <w:r w:rsidRPr="002858D6">
        <w:rPr>
          <w:noProof/>
          <w:vertAlign w:val="superscript"/>
        </w:rPr>
        <w:t>os</w:t>
      </w:r>
      <w:r w:rsidRPr="002858D6">
        <w:rPr>
          <w:noProof/>
        </w:rPr>
        <w:t> 1, 2 e 3 aplicam-se igualmente às situações em que uma delegação da União tenha apoiado um Estado-Membro na concessão de proteção consular. Nesse caso, o reembolso das despesas pelo Estado-Membro da nacionalidade do cidadão deve assegurar que o apoio prestado pelas delegações da União é prestado numa base de neutralidade em termos de recursos.</w:t>
      </w:r>
    </w:p>
    <w:p w14:paraId="3AE9C862" w14:textId="470EA6ED" w:rsidR="005C1A8B" w:rsidRPr="002858D6" w:rsidRDefault="00FD7DD7" w:rsidP="000074C4">
      <w:pPr>
        <w:pStyle w:val="Point1"/>
        <w:rPr>
          <w:noProof/>
        </w:rPr>
      </w:pPr>
      <w:r w:rsidRPr="002858D6">
        <w:rPr>
          <w:noProof/>
        </w:rPr>
        <w:t xml:space="preserve">5. </w:t>
      </w:r>
      <w:r w:rsidRPr="002858D6">
        <w:rPr>
          <w:noProof/>
        </w:rPr>
        <w:tab/>
        <w:t>Os reembolsos solicitados nos termos dos n.</w:t>
      </w:r>
      <w:r w:rsidRPr="002858D6">
        <w:rPr>
          <w:noProof/>
          <w:vertAlign w:val="superscript"/>
        </w:rPr>
        <w:t>os</w:t>
      </w:r>
      <w:r w:rsidRPr="002858D6">
        <w:rPr>
          <w:noProof/>
        </w:rPr>
        <w:t> 1, 2 e 3 são tidos em conta na determinação de qualquer contribuição do Mecanismo de Proteção Civil da União, em conformidade com a Decisão n.º 1313/2013/UE, para a prestação de apoio de proteção civil no âmbito da assistência consular aos cidadãos da União em caso de catástrofe em países terceiros.»;</w:t>
      </w:r>
    </w:p>
    <w:p w14:paraId="35B919D7" w14:textId="2B99B2CC" w:rsidR="008F0084" w:rsidRPr="002858D6" w:rsidRDefault="003540A9" w:rsidP="008F0084">
      <w:pPr>
        <w:pStyle w:val="Point0"/>
        <w:rPr>
          <w:noProof/>
        </w:rPr>
      </w:pPr>
      <w:r>
        <w:rPr>
          <w:noProof/>
        </w:rPr>
        <w:t>(8)</w:t>
      </w:r>
      <w:r>
        <w:rPr>
          <w:noProof/>
        </w:rPr>
        <w:tab/>
      </w:r>
      <w:r w:rsidRPr="002858D6">
        <w:rPr>
          <w:noProof/>
        </w:rPr>
        <w:t>No capítulo 4, é aditado o seguinte artigo 15.º-A:</w:t>
      </w:r>
    </w:p>
    <w:p w14:paraId="19211677" w14:textId="77777777" w:rsidR="00916CF8" w:rsidRPr="002858D6" w:rsidRDefault="00DE04BA" w:rsidP="00916CF8">
      <w:pPr>
        <w:pStyle w:val="Titrearticle"/>
        <w:rPr>
          <w:noProof/>
        </w:rPr>
      </w:pPr>
      <w:r w:rsidRPr="002858D6">
        <w:rPr>
          <w:noProof/>
        </w:rPr>
        <w:t xml:space="preserve">«Artigo 15.°-A </w:t>
      </w:r>
      <w:r w:rsidRPr="002858D6">
        <w:rPr>
          <w:noProof/>
        </w:rPr>
        <w:cr/>
      </w:r>
      <w:r w:rsidRPr="002858D6">
        <w:rPr>
          <w:noProof/>
        </w:rPr>
        <w:br/>
        <w:t>Procedimento de comité</w:t>
      </w:r>
    </w:p>
    <w:p w14:paraId="2567800A" w14:textId="7CDE4C24" w:rsidR="00916CF8" w:rsidRPr="002858D6" w:rsidRDefault="00D94AE0" w:rsidP="00D94AE0">
      <w:pPr>
        <w:pStyle w:val="Point1"/>
        <w:rPr>
          <w:noProof/>
        </w:rPr>
      </w:pPr>
      <w:r w:rsidRPr="002858D6">
        <w:rPr>
          <w:noProof/>
        </w:rPr>
        <w:t>1.</w:t>
      </w:r>
      <w:r w:rsidRPr="002858D6">
        <w:rPr>
          <w:noProof/>
        </w:rPr>
        <w:tab/>
        <w:t>A Comissão é assistida por um comité. Este comité é um comité na aceção do Regulamento (UE) n.º 182/2011 do Parlamento Europeu e do Conselho*.</w:t>
      </w:r>
    </w:p>
    <w:p w14:paraId="1D877001" w14:textId="77777777" w:rsidR="009E4929" w:rsidRPr="002858D6" w:rsidRDefault="00D94AE0" w:rsidP="00916CF8">
      <w:pPr>
        <w:pStyle w:val="Point1"/>
        <w:rPr>
          <w:noProof/>
        </w:rPr>
      </w:pPr>
      <w:r w:rsidRPr="002858D6">
        <w:rPr>
          <w:noProof/>
        </w:rPr>
        <w:t>2.</w:t>
      </w:r>
      <w:r w:rsidRPr="002858D6">
        <w:rPr>
          <w:noProof/>
        </w:rPr>
        <w:tab/>
        <w:t>Caso se remeta para o presente número, aplica-se o artigo 5.º do Regulamento (UE) n.º 182/2011.</w:t>
      </w:r>
    </w:p>
    <w:p w14:paraId="5099F89D" w14:textId="77777777" w:rsidR="009E4929" w:rsidRPr="002858D6" w:rsidRDefault="009E4929" w:rsidP="00670006">
      <w:pPr>
        <w:pStyle w:val="Text1"/>
        <w:rPr>
          <w:noProof/>
        </w:rPr>
      </w:pPr>
      <w:r w:rsidRPr="002858D6">
        <w:rPr>
          <w:noProof/>
        </w:rPr>
        <w:t>____________</w:t>
      </w:r>
    </w:p>
    <w:p w14:paraId="0EA7CAF0" w14:textId="7B879819" w:rsidR="00916CF8" w:rsidRPr="002858D6" w:rsidRDefault="009E4929" w:rsidP="00670006">
      <w:pPr>
        <w:pStyle w:val="Text1"/>
        <w:rPr>
          <w:noProof/>
        </w:rPr>
      </w:pPr>
      <w:r w:rsidRPr="002858D6">
        <w:rPr>
          <w:noProof/>
        </w:rPr>
        <w:t>*  Regulamento (UE) n.º 182/2011 do Parlamento Europeu e do Conselho, de 16 de fevereiro de 2011, que estabelece as regras e os princípios gerais relativos aos mecanismos de controlo pelos Estados-Membros do exercício das competências de execução pela Comissão (JO L 55 de 28.2.2011, p. 13, ELI:</w:t>
      </w:r>
      <w:hyperlink r:id="rId20" w:history="1">
        <w:r w:rsidRPr="002858D6">
          <w:rPr>
            <w:rStyle w:val="Hyperlink"/>
            <w:noProof/>
          </w:rPr>
          <w:t>http://data.europa.eu/eli/reg/2011/182/oj</w:t>
        </w:r>
      </w:hyperlink>
      <w:r w:rsidRPr="002858D6">
        <w:rPr>
          <w:noProof/>
        </w:rPr>
        <w:t>).»;</w:t>
      </w:r>
    </w:p>
    <w:p w14:paraId="562121B8" w14:textId="77777777" w:rsidR="00DE04BA" w:rsidRPr="002858D6" w:rsidRDefault="00DE04BA" w:rsidP="00DE04BA">
      <w:pPr>
        <w:pStyle w:val="Point0"/>
        <w:rPr>
          <w:noProof/>
        </w:rPr>
      </w:pPr>
      <w:r>
        <w:rPr>
          <w:noProof/>
        </w:rPr>
        <w:t>(9)</w:t>
      </w:r>
      <w:r>
        <w:rPr>
          <w:noProof/>
        </w:rPr>
        <w:tab/>
      </w:r>
      <w:r w:rsidRPr="002858D6">
        <w:rPr>
          <w:noProof/>
        </w:rPr>
        <w:t>São inseridos os seguintes artigos 16.º-A e 16.º-B:</w:t>
      </w:r>
    </w:p>
    <w:p w14:paraId="50176317" w14:textId="1B291425" w:rsidR="00DE04BA" w:rsidRPr="002858D6" w:rsidRDefault="00DE04BA" w:rsidP="00DE04BA">
      <w:pPr>
        <w:pStyle w:val="Titrearticle"/>
        <w:rPr>
          <w:noProof/>
        </w:rPr>
      </w:pPr>
      <w:r w:rsidRPr="002858D6">
        <w:rPr>
          <w:noProof/>
        </w:rPr>
        <w:t xml:space="preserve">«Artigo 16.º-A </w:t>
      </w:r>
      <w:r w:rsidRPr="002858D6">
        <w:rPr>
          <w:noProof/>
        </w:rPr>
        <w:cr/>
      </w:r>
      <w:r w:rsidRPr="002858D6">
        <w:rPr>
          <w:noProof/>
        </w:rPr>
        <w:br/>
        <w:t>Proteção de dados pessoais</w:t>
      </w:r>
    </w:p>
    <w:p w14:paraId="2C413BA1" w14:textId="28ACE333" w:rsidR="00541E1E" w:rsidRPr="002858D6" w:rsidRDefault="00551837" w:rsidP="00541E1E">
      <w:pPr>
        <w:pStyle w:val="Point1"/>
        <w:rPr>
          <w:noProof/>
        </w:rPr>
      </w:pPr>
      <w:r w:rsidRPr="002858D6">
        <w:rPr>
          <w:noProof/>
        </w:rPr>
        <w:t>1.</w:t>
      </w:r>
      <w:r w:rsidRPr="002858D6">
        <w:rPr>
          <w:noProof/>
        </w:rPr>
        <w:tab/>
        <w:t>Para efeitos da presente diretiva, as autoridades competentes dos Estados-Membros devem tratar os dados pessoais apenas para:</w:t>
      </w:r>
    </w:p>
    <w:p w14:paraId="5D9953E5" w14:textId="16420BE4" w:rsidR="00541E1E" w:rsidRPr="002858D6" w:rsidRDefault="00541E1E" w:rsidP="00551837">
      <w:pPr>
        <w:pStyle w:val="Point2"/>
        <w:rPr>
          <w:noProof/>
        </w:rPr>
      </w:pPr>
      <w:r>
        <w:rPr>
          <w:noProof/>
        </w:rPr>
        <w:t>(a)</w:t>
      </w:r>
      <w:r>
        <w:rPr>
          <w:noProof/>
        </w:rPr>
        <w:tab/>
      </w:r>
      <w:r w:rsidRPr="002858D6">
        <w:rPr>
          <w:noProof/>
        </w:rPr>
        <w:t>Transmitir o pedido de uma pessoa que solicita proteção consular nos termos do artigo 3.º ou do artigo 7.º;</w:t>
      </w:r>
    </w:p>
    <w:p w14:paraId="5E34722C" w14:textId="77777777" w:rsidR="00541E1E" w:rsidRPr="002858D6" w:rsidRDefault="00541E1E" w:rsidP="00551837">
      <w:pPr>
        <w:pStyle w:val="Point2"/>
        <w:rPr>
          <w:noProof/>
        </w:rPr>
      </w:pPr>
      <w:r>
        <w:rPr>
          <w:noProof/>
        </w:rPr>
        <w:t>(b)</w:t>
      </w:r>
      <w:r>
        <w:rPr>
          <w:noProof/>
        </w:rPr>
        <w:tab/>
      </w:r>
      <w:r w:rsidRPr="002858D6">
        <w:rPr>
          <w:noProof/>
        </w:rPr>
        <w:t>Verificar a identidade de uma pessoa que solicita proteção consular, em conformidade com o procedimento previsto no artigo 8.º;</w:t>
      </w:r>
    </w:p>
    <w:p w14:paraId="1D0CF71A" w14:textId="77777777" w:rsidR="00541E1E" w:rsidRPr="002858D6" w:rsidRDefault="00541E1E" w:rsidP="00551837">
      <w:pPr>
        <w:pStyle w:val="Point2"/>
        <w:rPr>
          <w:noProof/>
        </w:rPr>
      </w:pPr>
      <w:r>
        <w:rPr>
          <w:noProof/>
        </w:rPr>
        <w:t>(c)</w:t>
      </w:r>
      <w:r>
        <w:rPr>
          <w:noProof/>
        </w:rPr>
        <w:tab/>
      </w:r>
      <w:r w:rsidRPr="002858D6">
        <w:rPr>
          <w:noProof/>
        </w:rPr>
        <w:t>Conceder proteção consular a essa pessoa, nomeadamente prestando os tipos de assistência a que se refere o artigo 9.º;</w:t>
      </w:r>
    </w:p>
    <w:p w14:paraId="15705041" w14:textId="0843EA20" w:rsidR="00541E1E" w:rsidRPr="002858D6" w:rsidRDefault="00541E1E" w:rsidP="00551837">
      <w:pPr>
        <w:pStyle w:val="Point2"/>
        <w:rPr>
          <w:noProof/>
        </w:rPr>
      </w:pPr>
      <w:r>
        <w:rPr>
          <w:noProof/>
        </w:rPr>
        <w:lastRenderedPageBreak/>
        <w:t>(d)</w:t>
      </w:r>
      <w:r>
        <w:rPr>
          <w:noProof/>
        </w:rPr>
        <w:tab/>
      </w:r>
      <w:r w:rsidRPr="002858D6">
        <w:rPr>
          <w:noProof/>
        </w:rPr>
        <w:t>Cooperar, coordenar e prestar apoio nos termos do artigo 10.º, do artigo 11.º, do artigo 13.º, n.º 1, e do artigo 13.º-A;</w:t>
      </w:r>
    </w:p>
    <w:p w14:paraId="38EB6338" w14:textId="30BB6E24" w:rsidR="005113A2" w:rsidRPr="002858D6" w:rsidRDefault="005113A2" w:rsidP="005113A2">
      <w:pPr>
        <w:pStyle w:val="Point2"/>
        <w:rPr>
          <w:noProof/>
        </w:rPr>
      </w:pPr>
      <w:r>
        <w:rPr>
          <w:noProof/>
        </w:rPr>
        <w:t>(e)</w:t>
      </w:r>
      <w:r>
        <w:rPr>
          <w:noProof/>
        </w:rPr>
        <w:tab/>
      </w:r>
      <w:r w:rsidRPr="002858D6">
        <w:rPr>
          <w:noProof/>
        </w:rPr>
        <w:t>Fornecer as informações de contacto a que se refere o artigo 10.º, n.º 4, e o artigo 13.º-B, n.º 1;</w:t>
      </w:r>
    </w:p>
    <w:p w14:paraId="10C37CBF" w14:textId="00D99CF5" w:rsidR="00541E1E" w:rsidRPr="002858D6" w:rsidRDefault="00541E1E" w:rsidP="00551837">
      <w:pPr>
        <w:pStyle w:val="Point2"/>
        <w:rPr>
          <w:noProof/>
        </w:rPr>
      </w:pPr>
      <w:r>
        <w:rPr>
          <w:noProof/>
        </w:rPr>
        <w:t>(f)</w:t>
      </w:r>
      <w:r>
        <w:rPr>
          <w:noProof/>
        </w:rPr>
        <w:tab/>
      </w:r>
      <w:r w:rsidRPr="002858D6">
        <w:rPr>
          <w:noProof/>
        </w:rPr>
        <w:t>Tratar os pedidos de reembolso financeiro relativos à proteção consular concedida em conformidade com os artigos 14.º e 15.º.</w:t>
      </w:r>
    </w:p>
    <w:p w14:paraId="1B77C243" w14:textId="5F3EBD60" w:rsidR="00C31A2D" w:rsidRPr="002858D6" w:rsidRDefault="00D817C2" w:rsidP="00DF0999">
      <w:pPr>
        <w:pStyle w:val="Point1"/>
        <w:rPr>
          <w:noProof/>
        </w:rPr>
      </w:pPr>
      <w:r w:rsidRPr="002858D6">
        <w:rPr>
          <w:noProof/>
        </w:rPr>
        <w:t>2.</w:t>
      </w:r>
      <w:r w:rsidRPr="002858D6">
        <w:rPr>
          <w:noProof/>
        </w:rPr>
        <w:tab/>
        <w:t>O tratamento de dados pessoais pelas instituições e pelos órgãos da União, na aceção do Regulamento (UE) 2018/1725 do Parlamento Europeu e do Conselho*, para efeitos da presente diretiva, só deve ser efetuado quando necessário para executar as tarefas a que se refere o artigo 10.º, n.º 1, o artigo 11.º, o artigo 13.º e o artigo 13.º-A, para o tratamento das informações recebidas nos termos do artigo 10.º, n.º 4, e do artigo 13.º-B, n.º 1, ou para o tratamento dos pedidos de reembolso financeiro nos termos do artigo 14.º, n.º 5, e do artigo 15.º, n.º 4.</w:t>
      </w:r>
    </w:p>
    <w:p w14:paraId="1CD7E547" w14:textId="7E24A2C1" w:rsidR="00541E1E" w:rsidRPr="002858D6" w:rsidRDefault="00F65417" w:rsidP="00541E1E">
      <w:pPr>
        <w:pStyle w:val="Point1"/>
        <w:rPr>
          <w:noProof/>
        </w:rPr>
      </w:pPr>
      <w:r w:rsidRPr="002858D6">
        <w:rPr>
          <w:noProof/>
        </w:rPr>
        <w:t>3.</w:t>
      </w:r>
      <w:r w:rsidRPr="002858D6">
        <w:rPr>
          <w:noProof/>
        </w:rPr>
        <w:tab/>
        <w:t>Ao tratar dados pessoais nos termos dos n.</w:t>
      </w:r>
      <w:r w:rsidRPr="002858D6">
        <w:rPr>
          <w:noProof/>
          <w:vertAlign w:val="superscript"/>
        </w:rPr>
        <w:t>os</w:t>
      </w:r>
      <w:r w:rsidRPr="002858D6">
        <w:rPr>
          <w:noProof/>
        </w:rPr>
        <w:t> 1 e 2, as autoridades competentes dos Estados-Membros e as instituições e os órgãos da União são considerados, no âmbito das respetivas atividades previstas na presente diretiva, o responsável pelo tratamento a que se refere, respetivamente, o artigo 4.º, n.º 7, do Regulamento (UE) 2016/679 do Parlamento Europeu e do Conselho** e o artigo 3.º, n.º 8, do Regulamento (UE) 2018/1725.</w:t>
      </w:r>
    </w:p>
    <w:p w14:paraId="21838D4B" w14:textId="752BC65A" w:rsidR="00541E1E" w:rsidRPr="002858D6" w:rsidRDefault="009B6F32" w:rsidP="00541E1E">
      <w:pPr>
        <w:pStyle w:val="Point1"/>
        <w:rPr>
          <w:noProof/>
        </w:rPr>
      </w:pPr>
      <w:r w:rsidRPr="002858D6">
        <w:rPr>
          <w:noProof/>
        </w:rPr>
        <w:t>4.</w:t>
      </w:r>
      <w:r w:rsidRPr="002858D6">
        <w:rPr>
          <w:noProof/>
        </w:rPr>
        <w:tab/>
        <w:t>Os dados pessoais tratados nos termos dos n.</w:t>
      </w:r>
      <w:r w:rsidRPr="002858D6">
        <w:rPr>
          <w:noProof/>
          <w:vertAlign w:val="superscript"/>
        </w:rPr>
        <w:t>os</w:t>
      </w:r>
      <w:r w:rsidRPr="002858D6">
        <w:rPr>
          <w:noProof/>
        </w:rPr>
        <w:t> 1 e 2 devem limitar-se ao estritamente necessário para executar as tarefas aí referidas, como a identidade da pessoa que necessita de proteção consular e as circunstâncias do caso consular.</w:t>
      </w:r>
    </w:p>
    <w:p w14:paraId="4ED02813" w14:textId="636E039C" w:rsidR="00541E1E" w:rsidRPr="002858D6" w:rsidRDefault="009B6F32" w:rsidP="005D7104">
      <w:pPr>
        <w:pStyle w:val="Point1"/>
        <w:rPr>
          <w:noProof/>
        </w:rPr>
      </w:pPr>
      <w:bookmarkStart w:id="5" w:name="_Hlk144301404"/>
      <w:r w:rsidRPr="002858D6">
        <w:rPr>
          <w:noProof/>
        </w:rPr>
        <w:t>5.</w:t>
      </w:r>
      <w:r w:rsidRPr="002858D6">
        <w:rPr>
          <w:noProof/>
        </w:rPr>
        <w:tab/>
      </w:r>
      <w:bookmarkEnd w:id="5"/>
      <w:r w:rsidRPr="002858D6">
        <w:rPr>
          <w:noProof/>
        </w:rPr>
        <w:t>As autoridades competentes dos Estados-Membros e as instituições e os órgãos da União podem tratar dados pessoais que revelem a origem racial ou étnica, as opiniões políticas, as convicções religiosas ou filosóficas ou a filiação sindical, dados genéticos, dados biométricos destinados a identificar uma pessoa singular de forma inequívoca, dados relativos à saúde, dados relativos à vida sexual ou à orientação sexual ou dados pessoais relacionados com condenações penais e com infrações de uma pessoa que necessite de proteção consular, sempre que tal seja estritamente necessário para poder executar as tarefas a que se refere o artigo 9.º, o artigo 10.º, o artigo 11.º e o artigo 13.º-A em relação a essa pessoa.</w:t>
      </w:r>
    </w:p>
    <w:p w14:paraId="229E32BA" w14:textId="344CC02E" w:rsidR="00541E1E" w:rsidRPr="002858D6" w:rsidRDefault="0051528D" w:rsidP="00541E1E">
      <w:pPr>
        <w:pStyle w:val="Point1"/>
        <w:rPr>
          <w:noProof/>
        </w:rPr>
      </w:pPr>
      <w:r w:rsidRPr="002858D6">
        <w:rPr>
          <w:noProof/>
        </w:rPr>
        <w:t>6.</w:t>
      </w:r>
      <w:r w:rsidRPr="002858D6">
        <w:rPr>
          <w:noProof/>
        </w:rPr>
        <w:tab/>
        <w:t>Ao tratar os dados pessoais a que se refere o n.º 5, as autoridades competentes dos Estados-Membros e as instituições e os órgãos da União devem assegurar medidas adequadas e específicas para salvaguardar os interesses dos titulares dos dados. Além disso, devem adotar políticas internas e tomar as medidas técnicas e organizativas necessárias para impedir o acesso e a transmissão não autorizados desses dados pessoais.</w:t>
      </w:r>
    </w:p>
    <w:p w14:paraId="2A0CCA89" w14:textId="7ECCEB9B" w:rsidR="00541E1E" w:rsidRPr="002858D6" w:rsidRDefault="0051528D" w:rsidP="00541E1E">
      <w:pPr>
        <w:pStyle w:val="Point1"/>
        <w:rPr>
          <w:noProof/>
        </w:rPr>
      </w:pPr>
      <w:r w:rsidRPr="002858D6">
        <w:rPr>
          <w:noProof/>
        </w:rPr>
        <w:t>7.</w:t>
      </w:r>
      <w:r w:rsidRPr="002858D6">
        <w:rPr>
          <w:noProof/>
        </w:rPr>
        <w:tab/>
        <w:t>Para efeitos da presente diretiva, as autoridades competentes dos Estados-Membros só devem transferir dados pessoais para um país terceiro ou uma organização internacional para executar as tarefas a que se refere o artigo 9.º, o artigo 10.º e o artigo 13.º-A em conformidade com o capítulo V do Regulamento (UE) 2016/679.</w:t>
      </w:r>
    </w:p>
    <w:p w14:paraId="47C2AFC1" w14:textId="5C043176" w:rsidR="00541E1E" w:rsidRPr="002858D6" w:rsidRDefault="00923384" w:rsidP="009B6F32">
      <w:pPr>
        <w:pStyle w:val="Text2"/>
        <w:rPr>
          <w:noProof/>
        </w:rPr>
      </w:pPr>
      <w:r w:rsidRPr="002858D6">
        <w:rPr>
          <w:noProof/>
        </w:rPr>
        <w:t xml:space="preserve">Para efeitos da presente diretiva, as instituições e os órgãos da União só devem transferir dados pessoais para um país terceiro ou uma organização </w:t>
      </w:r>
      <w:r w:rsidRPr="002858D6">
        <w:rPr>
          <w:noProof/>
        </w:rPr>
        <w:lastRenderedPageBreak/>
        <w:t>internacional para executar as tarefas a que se refere o artigo 10.º, n.º 1, o artigo 11.º e o artigo 13.º-A e em conformidade com o capítulo V do Regulamento (UE) 2018/1725.</w:t>
      </w:r>
    </w:p>
    <w:p w14:paraId="5D84C669" w14:textId="655ACA04" w:rsidR="00911EEC" w:rsidRPr="002858D6" w:rsidRDefault="00203193" w:rsidP="00541E1E">
      <w:pPr>
        <w:pStyle w:val="Point1"/>
        <w:rPr>
          <w:noProof/>
        </w:rPr>
      </w:pPr>
      <w:r w:rsidRPr="002858D6">
        <w:rPr>
          <w:noProof/>
        </w:rPr>
        <w:t>8.</w:t>
      </w:r>
      <w:r w:rsidRPr="002858D6">
        <w:rPr>
          <w:noProof/>
        </w:rPr>
        <w:tab/>
        <w:t>O Estado-Membro que presta assistência, o Estado-Membro da nacionalidade e, se for caso disso, as instituições e os órgãos da União devem conservar os dados pessoais de uma pessoa assistida apenas durante o tempo necessário para executar as tarefas a que se referem os n.</w:t>
      </w:r>
      <w:r w:rsidRPr="002858D6">
        <w:rPr>
          <w:noProof/>
          <w:vertAlign w:val="superscript"/>
        </w:rPr>
        <w:t>os</w:t>
      </w:r>
      <w:r w:rsidRPr="002858D6">
        <w:rPr>
          <w:noProof/>
        </w:rPr>
        <w:t> 1 e 2. Esses dados pessoais não podem, em caso algum, ser conservados por um prazo superior a 12 meses pelo Estado-Membro que presta assistência e pelas instituições e pelos órgãos da União, ou superior a 24 meses pelo Estado-Membro da nacionalidade, a contar da data da sua recolha. Os dados de contacto trocados nos termos do artigo 10.º, n.º 4, e do artigo 13.º-B, n.º 1, só devem ser conservados enquanto as pessoas exercerem a função pertinente.</w:t>
      </w:r>
    </w:p>
    <w:p w14:paraId="12DD4B9E" w14:textId="42DE68BB" w:rsidR="00541E1E" w:rsidRPr="002858D6" w:rsidRDefault="00541E1E" w:rsidP="0017010D">
      <w:pPr>
        <w:pStyle w:val="Text2"/>
        <w:rPr>
          <w:noProof/>
        </w:rPr>
      </w:pPr>
      <w:r w:rsidRPr="002858D6">
        <w:rPr>
          <w:noProof/>
        </w:rPr>
        <w:t>Os dados pessoais devem ser apagados o mais rapidamente possível após a conclusão das tarefas a que se referem os n.</w:t>
      </w:r>
      <w:r w:rsidRPr="002858D6">
        <w:rPr>
          <w:noProof/>
          <w:vertAlign w:val="superscript"/>
        </w:rPr>
        <w:t>os</w:t>
      </w:r>
      <w:r w:rsidRPr="002858D6">
        <w:rPr>
          <w:noProof/>
        </w:rPr>
        <w:t> 1 ou 2 e, o mais tardar, no termo dos períodos de conservação referidos no primeiro parágrafo.</w:t>
      </w:r>
    </w:p>
    <w:p w14:paraId="4EAAB155" w14:textId="77777777" w:rsidR="00462162" w:rsidRPr="002858D6" w:rsidDel="00BE6840" w:rsidRDefault="00462162" w:rsidP="00462162">
      <w:pPr>
        <w:pStyle w:val="Titrearticle"/>
        <w:rPr>
          <w:noProof/>
        </w:rPr>
      </w:pPr>
      <w:r w:rsidRPr="002858D6">
        <w:rPr>
          <w:noProof/>
        </w:rPr>
        <w:t xml:space="preserve">Artigo 16.º-B </w:t>
      </w:r>
      <w:r w:rsidRPr="002858D6">
        <w:rPr>
          <w:noProof/>
        </w:rPr>
        <w:cr/>
      </w:r>
      <w:r w:rsidRPr="002858D6">
        <w:rPr>
          <w:noProof/>
        </w:rPr>
        <w:br/>
        <w:t>Vias de recurso</w:t>
      </w:r>
    </w:p>
    <w:p w14:paraId="78D27074" w14:textId="77777777" w:rsidR="0053693A" w:rsidRPr="002858D6" w:rsidRDefault="00462162" w:rsidP="00462162">
      <w:pPr>
        <w:pStyle w:val="Text1"/>
        <w:rPr>
          <w:noProof/>
        </w:rPr>
      </w:pPr>
      <w:r w:rsidRPr="002858D6">
        <w:rPr>
          <w:noProof/>
        </w:rPr>
        <w:t>Os Estados-Membros devem garantir que os cidadãos não representados dispõem de vias de recurso efetivas nos termos da legislação nacional em caso de violação dos direitos que lhes são conferidos pela presente diretiva.</w:t>
      </w:r>
    </w:p>
    <w:p w14:paraId="708E5B27" w14:textId="77777777" w:rsidR="0053693A" w:rsidRPr="002858D6" w:rsidRDefault="0053693A" w:rsidP="0053693A">
      <w:pPr>
        <w:pStyle w:val="Text1"/>
        <w:rPr>
          <w:noProof/>
        </w:rPr>
      </w:pPr>
      <w:r w:rsidRPr="002858D6">
        <w:rPr>
          <w:noProof/>
        </w:rPr>
        <w:t>______________</w:t>
      </w:r>
    </w:p>
    <w:p w14:paraId="6F24EC7E" w14:textId="73BFC1C3" w:rsidR="00366745" w:rsidRPr="002858D6" w:rsidRDefault="0053693A" w:rsidP="0053693A">
      <w:pPr>
        <w:pStyle w:val="Text1"/>
        <w:rPr>
          <w:noProof/>
        </w:rPr>
      </w:pPr>
      <w:r w:rsidRPr="002858D6">
        <w:rPr>
          <w:noProof/>
        </w:rPr>
        <w:t xml:space="preserve">*  Regulamento (UE) 2018/1725 do Parlamento Europeu e do Conselho, de 23 de outubro de 2018, relativo à proteção das pessoas singulares no que diz respeito ao tratamento de dados pessoais pelas instituições e pelos órgãos e organismos da União e à livre circulação desses dados, e que revoga o Regulamento (CE) n.º 45/2001 e a Decisão 1247/2002/CE (JO L 295 de 21.11.2018, p. 39, ELI: </w:t>
      </w:r>
      <w:hyperlink r:id="rId21" w:history="1">
        <w:r w:rsidRPr="002858D6">
          <w:rPr>
            <w:rStyle w:val="Hyperlink"/>
            <w:noProof/>
          </w:rPr>
          <w:t>http://data.europa.eu/eli/reg/2018/1725/oj</w:t>
        </w:r>
      </w:hyperlink>
      <w:r w:rsidRPr="002858D6">
        <w:rPr>
          <w:noProof/>
        </w:rPr>
        <w:t>).</w:t>
      </w:r>
    </w:p>
    <w:p w14:paraId="0561E7EB" w14:textId="20BF0659" w:rsidR="00630CB2" w:rsidRPr="002858D6" w:rsidRDefault="00366745" w:rsidP="00366745">
      <w:pPr>
        <w:pStyle w:val="Text1"/>
        <w:rPr>
          <w:noProof/>
        </w:rPr>
      </w:pPr>
      <w:r w:rsidRPr="002858D6">
        <w:rPr>
          <w:noProof/>
        </w:rPr>
        <w:t xml:space="preserve">** Regulamento (UE) 2016/679 do Parlamento Europeu e do Conselho, de 27 de abril de 2016, relativo à proteção das pessoas singulares no que diz respeito ao tratamento de dados pessoais e à livre circulação desses dados e que revoga a Diretiva 95/46/CE (Regulamento Geral sobre a Proteção de Dados) (JO L 119 de 4.5.2016, p. 1, ELI: </w:t>
      </w:r>
      <w:hyperlink r:id="rId22" w:history="1">
        <w:r w:rsidRPr="002858D6">
          <w:rPr>
            <w:rStyle w:val="Hyperlink"/>
            <w:noProof/>
          </w:rPr>
          <w:t>http://data.europa.eu/eli/reg/2016/679/oj</w:t>
        </w:r>
      </w:hyperlink>
      <w:r w:rsidRPr="002858D6">
        <w:rPr>
          <w:noProof/>
        </w:rPr>
        <w:t>).»;</w:t>
      </w:r>
    </w:p>
    <w:p w14:paraId="7835C80E" w14:textId="4094F574" w:rsidR="0054499F" w:rsidRPr="002858D6" w:rsidRDefault="0054499F" w:rsidP="00741619">
      <w:pPr>
        <w:pStyle w:val="Point0"/>
        <w:rPr>
          <w:noProof/>
        </w:rPr>
      </w:pPr>
      <w:r>
        <w:rPr>
          <w:noProof/>
        </w:rPr>
        <w:t>(10)</w:t>
      </w:r>
      <w:r>
        <w:rPr>
          <w:noProof/>
        </w:rPr>
        <w:tab/>
      </w:r>
      <w:r w:rsidRPr="002858D6">
        <w:rPr>
          <w:noProof/>
        </w:rPr>
        <w:t>Ao artigo 19.º, é aditado o seguinte n.º 3:</w:t>
      </w:r>
    </w:p>
    <w:p w14:paraId="7457F98C" w14:textId="0140DBEF" w:rsidR="00DA064C" w:rsidRPr="002858D6" w:rsidRDefault="00EF13D4" w:rsidP="00844C75">
      <w:pPr>
        <w:pStyle w:val="Text1"/>
        <w:rPr>
          <w:noProof/>
        </w:rPr>
      </w:pPr>
      <w:r w:rsidRPr="002858D6">
        <w:rPr>
          <w:noProof/>
        </w:rPr>
        <w:t xml:space="preserve">«3. Não antes de </w:t>
      </w:r>
      <w:r w:rsidRPr="002858D6">
        <w:rPr>
          <w:i/>
          <w:noProof/>
        </w:rPr>
        <w:t>[decorridos oito anos após a data de transposição da diretiva de alteração</w:t>
      </w:r>
      <w:r w:rsidRPr="002858D6">
        <w:rPr>
          <w:noProof/>
        </w:rPr>
        <w:t>], a Comissão deve realizar uma avaliação da presente diretiva e apresentar um relatório sobre as principais conclusões ao Parlamento Europeu e ao Conselho.</w:t>
      </w:r>
    </w:p>
    <w:p w14:paraId="6E0D5C94" w14:textId="4F386721" w:rsidR="00A03F28" w:rsidRPr="002858D6" w:rsidRDefault="00622C2A" w:rsidP="00844C75">
      <w:pPr>
        <w:pStyle w:val="Text1"/>
        <w:rPr>
          <w:noProof/>
        </w:rPr>
      </w:pPr>
      <w:r w:rsidRPr="002858D6">
        <w:rPr>
          <w:noProof/>
        </w:rPr>
        <w:t>Os Estados-Membros transmitem à Comissão todas as informações necessárias para a elaboração desse relatório.»;</w:t>
      </w:r>
    </w:p>
    <w:p w14:paraId="11A58930" w14:textId="77777777" w:rsidR="00E405C8" w:rsidRPr="002858D6" w:rsidRDefault="00E405C8" w:rsidP="00E405C8">
      <w:pPr>
        <w:pStyle w:val="Point0"/>
        <w:rPr>
          <w:noProof/>
        </w:rPr>
      </w:pPr>
      <w:r>
        <w:rPr>
          <w:noProof/>
        </w:rPr>
        <w:t>(11)</w:t>
      </w:r>
      <w:r>
        <w:rPr>
          <w:noProof/>
        </w:rPr>
        <w:tab/>
      </w:r>
      <w:r w:rsidRPr="002858D6">
        <w:rPr>
          <w:noProof/>
        </w:rPr>
        <w:t>São suprimidos os anexos I e II.</w:t>
      </w:r>
    </w:p>
    <w:p w14:paraId="168CADD0" w14:textId="77777777" w:rsidR="00B92903" w:rsidRPr="002858D6" w:rsidRDefault="00B92903" w:rsidP="00B92903">
      <w:pPr>
        <w:pStyle w:val="Titrearticle"/>
        <w:rPr>
          <w:noProof/>
        </w:rPr>
      </w:pPr>
      <w:r w:rsidRPr="002858D6">
        <w:rPr>
          <w:noProof/>
        </w:rPr>
        <w:t>Artigo 2.º</w:t>
      </w:r>
    </w:p>
    <w:p w14:paraId="219B39EB" w14:textId="45722772" w:rsidR="00522545" w:rsidRPr="002858D6" w:rsidRDefault="00350AC6" w:rsidP="00587507">
      <w:pPr>
        <w:rPr>
          <w:noProof/>
        </w:rPr>
      </w:pPr>
      <w:r w:rsidRPr="002858D6">
        <w:rPr>
          <w:noProof/>
        </w:rPr>
        <w:t>O artigo 5.º, n.º 3, da Diretiva (UE) 2019/997, passa a ter a seguinte redação:</w:t>
      </w:r>
    </w:p>
    <w:p w14:paraId="5B09A7B7" w14:textId="4CA283DF" w:rsidR="009311BE" w:rsidRPr="002858D6" w:rsidRDefault="00925A12" w:rsidP="009311BE">
      <w:pPr>
        <w:pStyle w:val="Text1"/>
        <w:rPr>
          <w:noProof/>
        </w:rPr>
      </w:pPr>
      <w:r w:rsidRPr="002858D6">
        <w:rPr>
          <w:noProof/>
        </w:rPr>
        <w:lastRenderedPageBreak/>
        <w:t>«3. Se os requerentes não puderem pagar ao Estado-Membro que presta assistência as taxas aplicáveis quando apresentarem o seu pedido, aplicam-se o artigo 14.º, n.</w:t>
      </w:r>
      <w:r w:rsidRPr="002858D6">
        <w:rPr>
          <w:noProof/>
          <w:vertAlign w:val="superscript"/>
        </w:rPr>
        <w:t>os</w:t>
      </w:r>
      <w:r w:rsidRPr="002858D6">
        <w:rPr>
          <w:noProof/>
        </w:rPr>
        <w:t> 2 e 3, e o artigo 15.º da Diretiva (UE) 2015/637.».</w:t>
      </w:r>
    </w:p>
    <w:p w14:paraId="1C73EBED" w14:textId="77777777" w:rsidR="00304682" w:rsidRPr="002858D6" w:rsidRDefault="00304682" w:rsidP="002710FB">
      <w:pPr>
        <w:pStyle w:val="Titrearticle"/>
        <w:rPr>
          <w:noProof/>
        </w:rPr>
      </w:pPr>
      <w:r w:rsidRPr="002858D6">
        <w:rPr>
          <w:noProof/>
        </w:rPr>
        <w:t>Artigo 3.º</w:t>
      </w:r>
    </w:p>
    <w:p w14:paraId="262EB1C6" w14:textId="77777777" w:rsidR="00304682" w:rsidRPr="002858D6" w:rsidRDefault="00304682" w:rsidP="00E76033">
      <w:pPr>
        <w:pStyle w:val="ManualNumPar1"/>
        <w:rPr>
          <w:noProof/>
        </w:rPr>
      </w:pPr>
      <w:r>
        <w:rPr>
          <w:noProof/>
        </w:rPr>
        <w:t>1.</w:t>
      </w:r>
      <w:r>
        <w:rPr>
          <w:noProof/>
        </w:rPr>
        <w:tab/>
      </w:r>
      <w:r w:rsidRPr="002858D6">
        <w:rPr>
          <w:noProof/>
        </w:rPr>
        <w:t xml:space="preserve">Os Estados-Membros devem pôr em vigor, até </w:t>
      </w:r>
      <w:r w:rsidRPr="002858D6">
        <w:rPr>
          <w:i/>
          <w:noProof/>
        </w:rPr>
        <w:t>[dois anos após entrada em vigor]</w:t>
      </w:r>
      <w:r w:rsidRPr="002858D6">
        <w:rPr>
          <w:noProof/>
        </w:rPr>
        <w:t xml:space="preserve"> as disposições legislativas, regulamentares e administrativas necessárias para dar cumprimento à presente diretiva. Os Estados-Membros devem comunicar imediatamente à Comissão o texto dessas disposições.</w:t>
      </w:r>
    </w:p>
    <w:p w14:paraId="6866C820" w14:textId="77777777" w:rsidR="00304682" w:rsidRPr="002858D6" w:rsidRDefault="00304682">
      <w:pPr>
        <w:pStyle w:val="Text1"/>
        <w:rPr>
          <w:noProof/>
        </w:rPr>
      </w:pPr>
      <w:r w:rsidRPr="002858D6">
        <w:rPr>
          <w:noProof/>
        </w:rPr>
        <w:t>Quando os Estados-Membros adotarem essas disposições, estas incluem uma referência à presente diretiva ou são acompanhadas dessa referência aquando da sua publicação oficial. As modalidades dessa referência são estabelecidas pelos Estados-Membros.</w:t>
      </w:r>
    </w:p>
    <w:p w14:paraId="4A18739A" w14:textId="77777777" w:rsidR="00304682" w:rsidRPr="002858D6" w:rsidRDefault="00304682" w:rsidP="00A23F00">
      <w:pPr>
        <w:pStyle w:val="ManualNumPar1"/>
        <w:rPr>
          <w:noProof/>
        </w:rPr>
      </w:pPr>
      <w:r>
        <w:rPr>
          <w:noProof/>
        </w:rPr>
        <w:t>2.</w:t>
      </w:r>
      <w:r>
        <w:rPr>
          <w:noProof/>
        </w:rPr>
        <w:tab/>
      </w:r>
      <w:r w:rsidRPr="002858D6">
        <w:rPr>
          <w:noProof/>
        </w:rPr>
        <w:t>Os Estados-Membros comunicam à Comissão o texto das principais disposições de direito interno que adotarem no domínio abrangido pela presente diretiva.</w:t>
      </w:r>
    </w:p>
    <w:p w14:paraId="2717BE14" w14:textId="77777777" w:rsidR="00304682" w:rsidRPr="002858D6" w:rsidRDefault="00304682" w:rsidP="002710FB">
      <w:pPr>
        <w:pStyle w:val="Titrearticle"/>
        <w:rPr>
          <w:noProof/>
        </w:rPr>
      </w:pPr>
      <w:r w:rsidRPr="002858D6">
        <w:rPr>
          <w:noProof/>
        </w:rPr>
        <w:t>Artigo 4.º</w:t>
      </w:r>
    </w:p>
    <w:p w14:paraId="54E3C4A7" w14:textId="77777777" w:rsidR="00304682" w:rsidRPr="002858D6" w:rsidRDefault="00304682">
      <w:pPr>
        <w:rPr>
          <w:noProof/>
        </w:rPr>
      </w:pPr>
      <w:r w:rsidRPr="002858D6">
        <w:rPr>
          <w:noProof/>
        </w:rPr>
        <w:t xml:space="preserve">A presente diretiva entra em vigor no vigésimo dia seguinte ao da sua publicação no </w:t>
      </w:r>
      <w:r w:rsidRPr="002858D6">
        <w:rPr>
          <w:i/>
          <w:noProof/>
        </w:rPr>
        <w:t>Jornal Oficial da União Europeia</w:t>
      </w:r>
      <w:r w:rsidRPr="002858D6">
        <w:rPr>
          <w:noProof/>
        </w:rPr>
        <w:t>.</w:t>
      </w:r>
    </w:p>
    <w:p w14:paraId="40FC2E22" w14:textId="77777777" w:rsidR="00304682" w:rsidRPr="002858D6" w:rsidRDefault="00304682" w:rsidP="0086310A">
      <w:pPr>
        <w:pStyle w:val="Titrearticle"/>
        <w:rPr>
          <w:noProof/>
        </w:rPr>
      </w:pPr>
      <w:r w:rsidRPr="002858D6">
        <w:rPr>
          <w:noProof/>
        </w:rPr>
        <w:t>Artigo 5.º</w:t>
      </w:r>
    </w:p>
    <w:p w14:paraId="2582A4AC" w14:textId="77777777" w:rsidR="00304682" w:rsidRPr="002858D6" w:rsidRDefault="00304682">
      <w:pPr>
        <w:rPr>
          <w:noProof/>
        </w:rPr>
      </w:pPr>
      <w:r w:rsidRPr="002858D6">
        <w:rPr>
          <w:noProof/>
        </w:rPr>
        <w:t>Os destinatários da presente diretiva são os Estados-Membros.</w:t>
      </w:r>
    </w:p>
    <w:p w14:paraId="1FF4178E" w14:textId="61D9809E" w:rsidR="00304682" w:rsidRPr="002858D6" w:rsidRDefault="002858D6" w:rsidP="0086310A">
      <w:pPr>
        <w:pStyle w:val="Fait"/>
        <w:rPr>
          <w:noProof/>
        </w:rPr>
      </w:pPr>
      <w:r>
        <w:rPr>
          <w:noProof/>
        </w:rPr>
        <w:t>Feito em Bruxelas, em</w:t>
      </w:r>
    </w:p>
    <w:p w14:paraId="7238577C" w14:textId="77777777" w:rsidR="00304682" w:rsidRPr="002858D6" w:rsidRDefault="00304682" w:rsidP="0086310A">
      <w:pPr>
        <w:pStyle w:val="Institutionquisigne"/>
        <w:rPr>
          <w:noProof/>
        </w:rPr>
      </w:pPr>
      <w:r w:rsidRPr="002858D6">
        <w:rPr>
          <w:noProof/>
        </w:rPr>
        <w:tab/>
        <w:t>Pelo Conselho</w:t>
      </w:r>
    </w:p>
    <w:p w14:paraId="76811306" w14:textId="77777777" w:rsidR="004515FC" w:rsidRPr="002858D6" w:rsidRDefault="00304682" w:rsidP="00304682">
      <w:pPr>
        <w:pStyle w:val="Personnequisigne"/>
        <w:rPr>
          <w:noProof/>
        </w:rPr>
      </w:pPr>
      <w:r w:rsidRPr="002858D6">
        <w:rPr>
          <w:noProof/>
        </w:rPr>
        <w:tab/>
        <w:t>O Presidente</w:t>
      </w:r>
    </w:p>
    <w:p w14:paraId="50C3CB6F" w14:textId="77777777" w:rsidR="004515FC" w:rsidRPr="002858D6" w:rsidRDefault="004515FC">
      <w:pPr>
        <w:spacing w:before="0" w:after="200" w:line="276" w:lineRule="auto"/>
        <w:jc w:val="left"/>
        <w:rPr>
          <w:i/>
          <w:noProof/>
        </w:rPr>
      </w:pPr>
      <w:r w:rsidRPr="002858D6">
        <w:rPr>
          <w:noProof/>
        </w:rPr>
        <w:br w:type="page"/>
      </w:r>
    </w:p>
    <w:p w14:paraId="02603DB7" w14:textId="77777777" w:rsidR="004515FC" w:rsidRPr="002858D6" w:rsidRDefault="004515FC" w:rsidP="004515FC">
      <w:pPr>
        <w:pStyle w:val="Fichefinanciretitre"/>
        <w:keepNext/>
        <w:rPr>
          <w:noProof/>
        </w:rPr>
      </w:pPr>
      <w:bookmarkStart w:id="6" w:name="_TocB7751C055C4744A28A002AAF436526DF"/>
      <w:r w:rsidRPr="002858D6">
        <w:rPr>
          <w:noProof/>
        </w:rPr>
        <w:lastRenderedPageBreak/>
        <w:t>FICHA FINANCEIRA LEGISLATIVA</w:t>
      </w:r>
      <w:bookmarkEnd w:id="6"/>
    </w:p>
    <w:p w14:paraId="412C4788" w14:textId="77777777" w:rsidR="004515FC" w:rsidRPr="002858D6" w:rsidRDefault="004515FC" w:rsidP="004515FC">
      <w:pPr>
        <w:pStyle w:val="ManualHeading1"/>
        <w:rPr>
          <w:noProof/>
        </w:rPr>
      </w:pPr>
      <w:r w:rsidRPr="002858D6">
        <w:rPr>
          <w:noProof/>
        </w:rPr>
        <w:t>1.</w:t>
      </w:r>
      <w:r w:rsidRPr="002858D6">
        <w:rPr>
          <w:noProof/>
        </w:rPr>
        <w:tab/>
        <w:t>CONTEXTO DA PROPOSTA / INICIATIVA</w:t>
      </w:r>
    </w:p>
    <w:p w14:paraId="5AC11322" w14:textId="77777777" w:rsidR="004515FC" w:rsidRPr="002858D6" w:rsidRDefault="004515FC" w:rsidP="004515FC">
      <w:pPr>
        <w:pStyle w:val="ManualHeading2"/>
        <w:rPr>
          <w:noProof/>
        </w:rPr>
      </w:pPr>
      <w:r w:rsidRPr="002858D6">
        <w:rPr>
          <w:noProof/>
        </w:rPr>
        <w:t>1.1.</w:t>
      </w:r>
      <w:r w:rsidRPr="002858D6">
        <w:rPr>
          <w:noProof/>
        </w:rPr>
        <w:tab/>
        <w:t>Denominação da proposta / iniciativa</w:t>
      </w:r>
    </w:p>
    <w:p w14:paraId="3C07F151" w14:textId="77777777" w:rsidR="004515FC" w:rsidRPr="002858D6" w:rsidRDefault="004515FC" w:rsidP="004515FC">
      <w:pPr>
        <w:pStyle w:val="ManualHeading2"/>
        <w:rPr>
          <w:noProof/>
        </w:rPr>
      </w:pPr>
      <w:r w:rsidRPr="002858D6">
        <w:rPr>
          <w:noProof/>
        </w:rPr>
        <w:t>1.2.</w:t>
      </w:r>
      <w:r w:rsidRPr="002858D6">
        <w:rPr>
          <w:noProof/>
        </w:rPr>
        <w:tab/>
        <w:t>Domínio(s) de intervenção em causa</w:t>
      </w:r>
    </w:p>
    <w:p w14:paraId="17C194D5" w14:textId="77777777" w:rsidR="004515FC" w:rsidRPr="002858D6" w:rsidRDefault="004515FC" w:rsidP="004515FC">
      <w:pPr>
        <w:pStyle w:val="ManualHeading2"/>
        <w:rPr>
          <w:noProof/>
        </w:rPr>
      </w:pPr>
      <w:r w:rsidRPr="002858D6">
        <w:rPr>
          <w:noProof/>
        </w:rPr>
        <w:t>1.3.</w:t>
      </w:r>
      <w:r w:rsidRPr="002858D6">
        <w:rPr>
          <w:noProof/>
        </w:rPr>
        <w:tab/>
        <w:t>A proposta / iniciativa refere-se:</w:t>
      </w:r>
    </w:p>
    <w:p w14:paraId="78777223" w14:textId="77777777" w:rsidR="004515FC" w:rsidRPr="002858D6" w:rsidRDefault="004515FC" w:rsidP="004515FC">
      <w:pPr>
        <w:pStyle w:val="ManualHeading2"/>
        <w:rPr>
          <w:noProof/>
        </w:rPr>
      </w:pPr>
      <w:r w:rsidRPr="002858D6">
        <w:rPr>
          <w:noProof/>
        </w:rPr>
        <w:t>1.4.</w:t>
      </w:r>
      <w:r w:rsidRPr="002858D6">
        <w:rPr>
          <w:noProof/>
        </w:rPr>
        <w:tab/>
        <w:t>Objetivo(s)</w:t>
      </w:r>
    </w:p>
    <w:p w14:paraId="1962A2DA" w14:textId="77777777" w:rsidR="004515FC" w:rsidRPr="002858D6" w:rsidRDefault="004515FC" w:rsidP="004515FC">
      <w:pPr>
        <w:pStyle w:val="ManualHeading3"/>
        <w:rPr>
          <w:noProof/>
        </w:rPr>
      </w:pPr>
      <w:r w:rsidRPr="002858D6">
        <w:rPr>
          <w:noProof/>
        </w:rPr>
        <w:t>1.4.1.</w:t>
      </w:r>
      <w:r w:rsidRPr="002858D6">
        <w:rPr>
          <w:noProof/>
        </w:rPr>
        <w:tab/>
        <w:t>Objetivo(s) geral(is)</w:t>
      </w:r>
    </w:p>
    <w:p w14:paraId="780E3BAA" w14:textId="77777777" w:rsidR="004515FC" w:rsidRPr="002858D6" w:rsidRDefault="004515FC" w:rsidP="004515FC">
      <w:pPr>
        <w:pStyle w:val="ManualHeading3"/>
        <w:rPr>
          <w:noProof/>
        </w:rPr>
      </w:pPr>
      <w:r w:rsidRPr="002858D6">
        <w:rPr>
          <w:noProof/>
        </w:rPr>
        <w:t>1.4.2.</w:t>
      </w:r>
      <w:r w:rsidRPr="002858D6">
        <w:rPr>
          <w:noProof/>
        </w:rPr>
        <w:tab/>
        <w:t>Objetivo(s) específico(s)</w:t>
      </w:r>
    </w:p>
    <w:p w14:paraId="5513EAFB" w14:textId="77777777" w:rsidR="004515FC" w:rsidRPr="002858D6" w:rsidRDefault="004515FC" w:rsidP="004515FC">
      <w:pPr>
        <w:pStyle w:val="ManualHeading3"/>
        <w:rPr>
          <w:noProof/>
        </w:rPr>
      </w:pPr>
      <w:r w:rsidRPr="002858D6">
        <w:rPr>
          <w:noProof/>
        </w:rPr>
        <w:t>1.4.3.</w:t>
      </w:r>
      <w:r w:rsidRPr="002858D6">
        <w:rPr>
          <w:noProof/>
        </w:rPr>
        <w:tab/>
        <w:t>Resultados e impacto esperados</w:t>
      </w:r>
    </w:p>
    <w:p w14:paraId="782A93B2" w14:textId="77777777" w:rsidR="004515FC" w:rsidRPr="002858D6" w:rsidRDefault="004515FC" w:rsidP="004515FC">
      <w:pPr>
        <w:pStyle w:val="ManualHeading3"/>
        <w:rPr>
          <w:noProof/>
        </w:rPr>
      </w:pPr>
      <w:r w:rsidRPr="002858D6">
        <w:rPr>
          <w:noProof/>
        </w:rPr>
        <w:t>1.4.4.</w:t>
      </w:r>
      <w:r w:rsidRPr="002858D6">
        <w:rPr>
          <w:noProof/>
        </w:rPr>
        <w:tab/>
        <w:t>Indicadores de desempenho</w:t>
      </w:r>
    </w:p>
    <w:p w14:paraId="1470FED1" w14:textId="77777777" w:rsidR="004515FC" w:rsidRPr="002858D6" w:rsidRDefault="004515FC" w:rsidP="004515FC">
      <w:pPr>
        <w:pStyle w:val="ManualHeading2"/>
        <w:rPr>
          <w:noProof/>
        </w:rPr>
      </w:pPr>
      <w:r w:rsidRPr="002858D6">
        <w:rPr>
          <w:noProof/>
        </w:rPr>
        <w:t>1.5.</w:t>
      </w:r>
      <w:r w:rsidRPr="002858D6">
        <w:rPr>
          <w:noProof/>
        </w:rPr>
        <w:tab/>
        <w:t>Justificação da proposta / iniciativa</w:t>
      </w:r>
    </w:p>
    <w:p w14:paraId="4DEC41CF" w14:textId="77777777" w:rsidR="004515FC" w:rsidRPr="002858D6" w:rsidRDefault="004515FC" w:rsidP="004515FC">
      <w:pPr>
        <w:pStyle w:val="ManualHeading3"/>
        <w:rPr>
          <w:noProof/>
        </w:rPr>
      </w:pPr>
      <w:r w:rsidRPr="002858D6">
        <w:rPr>
          <w:noProof/>
        </w:rPr>
        <w:t>1.5.1.</w:t>
      </w:r>
      <w:r w:rsidRPr="002858D6">
        <w:rPr>
          <w:noProof/>
        </w:rPr>
        <w:tab/>
        <w:t>Necessidade(s) a satisfazer a curto ou a longo prazo, incluindo um calendário pormenorizado para a aplicação da iniciativa</w:t>
      </w:r>
    </w:p>
    <w:p w14:paraId="7BA590A4" w14:textId="77777777" w:rsidR="004515FC" w:rsidRPr="002858D6" w:rsidRDefault="004515FC" w:rsidP="004515FC">
      <w:pPr>
        <w:pStyle w:val="ManualHeading3"/>
        <w:rPr>
          <w:noProof/>
        </w:rPr>
      </w:pPr>
      <w:r w:rsidRPr="002858D6">
        <w:rPr>
          <w:noProof/>
        </w:rPr>
        <w:t>1.5.2.</w:t>
      </w:r>
      <w:r w:rsidRPr="002858D6">
        <w:rPr>
          <w:noProof/>
        </w:rPr>
        <w:tab/>
        <w:t>Valor acrescentado da intervenção da União (que pode resultar de diferentes fatores, por exemplo, ganhos decorrentes da coordenação, segurança jurídica, maior eficácia ou complementaridades). Para efeitos do presente ponto, entende-se por «valor acrescentado da intervenção da União», o valor resultante da intervenção da União que se acrescenta ao valor que teria sido criado pela ação isolada dos Estados-Membros.</w:t>
      </w:r>
    </w:p>
    <w:p w14:paraId="19AAD9BE" w14:textId="77777777" w:rsidR="004515FC" w:rsidRPr="002858D6" w:rsidRDefault="004515FC" w:rsidP="004515FC">
      <w:pPr>
        <w:pStyle w:val="ManualHeading3"/>
        <w:rPr>
          <w:noProof/>
        </w:rPr>
      </w:pPr>
      <w:r w:rsidRPr="002858D6">
        <w:rPr>
          <w:noProof/>
        </w:rPr>
        <w:t>1.5.3.</w:t>
      </w:r>
      <w:r w:rsidRPr="002858D6">
        <w:rPr>
          <w:noProof/>
        </w:rPr>
        <w:tab/>
        <w:t>Ensinamentos retirados de experiências anteriores semelhantes</w:t>
      </w:r>
    </w:p>
    <w:p w14:paraId="4A7012BB" w14:textId="77777777" w:rsidR="004515FC" w:rsidRPr="002858D6" w:rsidRDefault="004515FC" w:rsidP="004515FC">
      <w:pPr>
        <w:pStyle w:val="ManualHeading3"/>
        <w:rPr>
          <w:noProof/>
        </w:rPr>
      </w:pPr>
      <w:r w:rsidRPr="002858D6">
        <w:rPr>
          <w:noProof/>
        </w:rPr>
        <w:t>1.5.4.</w:t>
      </w:r>
      <w:r w:rsidRPr="002858D6">
        <w:rPr>
          <w:noProof/>
        </w:rPr>
        <w:tab/>
        <w:t>Compatibilidade com o quadro financeiro plurianual e eventuais sinergias com outros instrumentos adequados</w:t>
      </w:r>
    </w:p>
    <w:p w14:paraId="488B7F6D" w14:textId="77777777" w:rsidR="004515FC" w:rsidRPr="002858D6" w:rsidRDefault="004515FC" w:rsidP="004515FC">
      <w:pPr>
        <w:pStyle w:val="ManualHeading3"/>
        <w:rPr>
          <w:noProof/>
        </w:rPr>
      </w:pPr>
      <w:r w:rsidRPr="002858D6">
        <w:rPr>
          <w:noProof/>
        </w:rPr>
        <w:t>1.5.5.</w:t>
      </w:r>
      <w:r w:rsidRPr="002858D6">
        <w:rPr>
          <w:noProof/>
        </w:rPr>
        <w:tab/>
        <w:t>Avaliação das diferentes opções de financiamento disponíveis, incluindo possibilidades de reafetação</w:t>
      </w:r>
    </w:p>
    <w:p w14:paraId="2AA45D3A" w14:textId="77777777" w:rsidR="004515FC" w:rsidRPr="002858D6" w:rsidRDefault="004515FC" w:rsidP="004515FC">
      <w:pPr>
        <w:pStyle w:val="ManualHeading2"/>
        <w:rPr>
          <w:noProof/>
        </w:rPr>
      </w:pPr>
      <w:r w:rsidRPr="002858D6">
        <w:rPr>
          <w:noProof/>
        </w:rPr>
        <w:t>1.6.</w:t>
      </w:r>
      <w:r w:rsidRPr="002858D6">
        <w:rPr>
          <w:noProof/>
        </w:rPr>
        <w:tab/>
        <w:t>Duração e impacto financeiro da proposta / iniciativa</w:t>
      </w:r>
    </w:p>
    <w:p w14:paraId="7E9951BC" w14:textId="77777777" w:rsidR="004515FC" w:rsidRPr="002858D6" w:rsidRDefault="004515FC" w:rsidP="004515FC">
      <w:pPr>
        <w:pStyle w:val="ManualHeading2"/>
        <w:rPr>
          <w:noProof/>
        </w:rPr>
      </w:pPr>
      <w:r w:rsidRPr="002858D6">
        <w:rPr>
          <w:noProof/>
        </w:rPr>
        <w:t>1.7.</w:t>
      </w:r>
      <w:r w:rsidRPr="002858D6">
        <w:rPr>
          <w:noProof/>
        </w:rPr>
        <w:tab/>
        <w:t>Método(s) de execução orçamental previsto(s)</w:t>
      </w:r>
    </w:p>
    <w:p w14:paraId="5AE18711" w14:textId="77777777" w:rsidR="004515FC" w:rsidRPr="002858D6" w:rsidRDefault="004515FC" w:rsidP="004515FC">
      <w:pPr>
        <w:pStyle w:val="ManualHeading1"/>
        <w:rPr>
          <w:noProof/>
        </w:rPr>
      </w:pPr>
      <w:r w:rsidRPr="002858D6">
        <w:rPr>
          <w:noProof/>
        </w:rPr>
        <w:t>2.</w:t>
      </w:r>
      <w:r w:rsidRPr="002858D6">
        <w:rPr>
          <w:noProof/>
        </w:rPr>
        <w:tab/>
        <w:t>MEDIDAS DE GESTÃO</w:t>
      </w:r>
    </w:p>
    <w:p w14:paraId="19077510" w14:textId="77777777" w:rsidR="004515FC" w:rsidRPr="002858D6" w:rsidRDefault="004515FC" w:rsidP="004515FC">
      <w:pPr>
        <w:pStyle w:val="ManualHeading2"/>
        <w:rPr>
          <w:noProof/>
        </w:rPr>
      </w:pPr>
      <w:r w:rsidRPr="002858D6">
        <w:rPr>
          <w:noProof/>
        </w:rPr>
        <w:t>2.1.</w:t>
      </w:r>
      <w:r w:rsidRPr="002858D6">
        <w:rPr>
          <w:noProof/>
        </w:rPr>
        <w:tab/>
        <w:t>Disposições em matéria de acompanhamento e prestação de informações</w:t>
      </w:r>
    </w:p>
    <w:p w14:paraId="4E22B124" w14:textId="77777777" w:rsidR="004515FC" w:rsidRPr="002858D6" w:rsidRDefault="004515FC" w:rsidP="004515FC">
      <w:pPr>
        <w:pStyle w:val="ManualHeading2"/>
        <w:rPr>
          <w:noProof/>
        </w:rPr>
      </w:pPr>
      <w:r w:rsidRPr="002858D6">
        <w:rPr>
          <w:noProof/>
        </w:rPr>
        <w:t>2.2.</w:t>
      </w:r>
      <w:r w:rsidRPr="002858D6">
        <w:rPr>
          <w:noProof/>
        </w:rPr>
        <w:tab/>
        <w:t>Sistema(s) de gestão e de controlo</w:t>
      </w:r>
    </w:p>
    <w:p w14:paraId="23F2931D" w14:textId="77777777" w:rsidR="004515FC" w:rsidRPr="002858D6" w:rsidRDefault="004515FC" w:rsidP="004515FC">
      <w:pPr>
        <w:pStyle w:val="ManualHeading3"/>
        <w:rPr>
          <w:noProof/>
        </w:rPr>
      </w:pPr>
      <w:r w:rsidRPr="002858D6">
        <w:rPr>
          <w:noProof/>
        </w:rPr>
        <w:t>2.2.1.</w:t>
      </w:r>
      <w:r w:rsidRPr="002858D6">
        <w:rPr>
          <w:noProof/>
        </w:rPr>
        <w:tab/>
        <w:t>Justificação da(s) modalidade(s) de gestão, do(s) mecanismo(s) de execução do financiamento, das modalidades de pagamento e da estratégia de controlo propostos</w:t>
      </w:r>
    </w:p>
    <w:p w14:paraId="2C027BA1" w14:textId="77777777" w:rsidR="004515FC" w:rsidRPr="002858D6" w:rsidRDefault="004515FC" w:rsidP="004515FC">
      <w:pPr>
        <w:pStyle w:val="ManualHeading3"/>
        <w:rPr>
          <w:noProof/>
        </w:rPr>
      </w:pPr>
      <w:r w:rsidRPr="002858D6">
        <w:rPr>
          <w:noProof/>
        </w:rPr>
        <w:t>2.2.2.</w:t>
      </w:r>
      <w:r w:rsidRPr="002858D6">
        <w:rPr>
          <w:noProof/>
        </w:rPr>
        <w:tab/>
        <w:t>Informações sobre os riscos identificados e o(s) sistema(s) de controlo interno criado(s) para os atenuar</w:t>
      </w:r>
    </w:p>
    <w:p w14:paraId="764D9CE3" w14:textId="77777777" w:rsidR="004515FC" w:rsidRPr="002858D6" w:rsidRDefault="004515FC" w:rsidP="004515FC">
      <w:pPr>
        <w:pStyle w:val="ManualHeading3"/>
        <w:rPr>
          <w:noProof/>
        </w:rPr>
      </w:pPr>
      <w:r w:rsidRPr="002858D6">
        <w:rPr>
          <w:noProof/>
        </w:rPr>
        <w:t>2.2.3.</w:t>
      </w:r>
      <w:r w:rsidRPr="002858D6">
        <w:rPr>
          <w:noProof/>
        </w:rPr>
        <w:tab/>
        <w:t>Estimativa e justificação da relação custo-eficácia dos controlos (rácio «custos de controlo ÷ valor dos fundos geridos controlados») e avaliação dos níveis previstos de risco de erro (no pagamento e no encerramento)</w:t>
      </w:r>
    </w:p>
    <w:p w14:paraId="1A88A2A8" w14:textId="77777777" w:rsidR="004515FC" w:rsidRPr="002858D6" w:rsidRDefault="004515FC" w:rsidP="004515FC">
      <w:pPr>
        <w:pStyle w:val="ManualHeading2"/>
        <w:rPr>
          <w:noProof/>
        </w:rPr>
      </w:pPr>
      <w:r w:rsidRPr="002858D6">
        <w:rPr>
          <w:noProof/>
        </w:rPr>
        <w:t>2.3.</w:t>
      </w:r>
      <w:r w:rsidRPr="002858D6">
        <w:rPr>
          <w:noProof/>
        </w:rPr>
        <w:tab/>
        <w:t>Medidas de prevenção de fraudes e irregularidades</w:t>
      </w:r>
    </w:p>
    <w:p w14:paraId="06D4D9FB" w14:textId="77777777" w:rsidR="004515FC" w:rsidRPr="002858D6" w:rsidRDefault="004515FC" w:rsidP="004515FC">
      <w:pPr>
        <w:pStyle w:val="ManualHeading1"/>
        <w:rPr>
          <w:noProof/>
        </w:rPr>
      </w:pPr>
      <w:r w:rsidRPr="002858D6">
        <w:rPr>
          <w:noProof/>
        </w:rPr>
        <w:t>3.</w:t>
      </w:r>
      <w:r w:rsidRPr="002858D6">
        <w:rPr>
          <w:noProof/>
        </w:rPr>
        <w:tab/>
        <w:t>IMPACTO FINANCEIRO ESTIMADO DA PROPOSTA / INICIATIVA</w:t>
      </w:r>
    </w:p>
    <w:p w14:paraId="2EBB2895" w14:textId="77777777" w:rsidR="004515FC" w:rsidRPr="002858D6" w:rsidRDefault="004515FC" w:rsidP="004515FC">
      <w:pPr>
        <w:pStyle w:val="ManualHeading2"/>
        <w:rPr>
          <w:noProof/>
        </w:rPr>
      </w:pPr>
      <w:r w:rsidRPr="002858D6">
        <w:rPr>
          <w:noProof/>
        </w:rPr>
        <w:t>3.1.</w:t>
      </w:r>
      <w:r w:rsidRPr="002858D6">
        <w:rPr>
          <w:noProof/>
        </w:rPr>
        <w:tab/>
        <w:t>Rubrica(s) do quadro financeiro plurianual e rubrica(s) orçamental(ais) de despesas envolvida(s)</w:t>
      </w:r>
    </w:p>
    <w:p w14:paraId="5D10B105" w14:textId="77777777" w:rsidR="004515FC" w:rsidRPr="002858D6" w:rsidRDefault="004515FC" w:rsidP="004515FC">
      <w:pPr>
        <w:pStyle w:val="ManualHeading2"/>
        <w:rPr>
          <w:noProof/>
        </w:rPr>
      </w:pPr>
      <w:r w:rsidRPr="002858D6">
        <w:rPr>
          <w:noProof/>
        </w:rPr>
        <w:t>3.2.</w:t>
      </w:r>
      <w:r w:rsidRPr="002858D6">
        <w:rPr>
          <w:noProof/>
        </w:rPr>
        <w:tab/>
        <w:t>Impacto financeiro estimado nas dotações</w:t>
      </w:r>
    </w:p>
    <w:p w14:paraId="6464054D" w14:textId="77777777" w:rsidR="004515FC" w:rsidRPr="002858D6" w:rsidRDefault="004515FC" w:rsidP="004515FC">
      <w:pPr>
        <w:pStyle w:val="ManualHeading3"/>
        <w:rPr>
          <w:noProof/>
        </w:rPr>
      </w:pPr>
      <w:r w:rsidRPr="002858D6">
        <w:rPr>
          <w:noProof/>
        </w:rPr>
        <w:t>3.2.1.</w:t>
      </w:r>
      <w:r w:rsidRPr="002858D6">
        <w:rPr>
          <w:noProof/>
        </w:rPr>
        <w:tab/>
        <w:t>Síntese do impacto estimado nas dotações operacionais</w:t>
      </w:r>
    </w:p>
    <w:p w14:paraId="6C2C37CE" w14:textId="77777777" w:rsidR="004515FC" w:rsidRPr="002858D6" w:rsidRDefault="004515FC" w:rsidP="004515FC">
      <w:pPr>
        <w:pStyle w:val="ManualHeading3"/>
        <w:rPr>
          <w:noProof/>
        </w:rPr>
      </w:pPr>
      <w:r w:rsidRPr="002858D6">
        <w:rPr>
          <w:noProof/>
        </w:rPr>
        <w:t>3.2.2.</w:t>
      </w:r>
      <w:r w:rsidRPr="002858D6">
        <w:rPr>
          <w:noProof/>
        </w:rPr>
        <w:tab/>
        <w:t>Estimativa das realizações financiadas com dotações operacionais</w:t>
      </w:r>
    </w:p>
    <w:p w14:paraId="7765DC0F" w14:textId="77777777" w:rsidR="004515FC" w:rsidRPr="002858D6" w:rsidRDefault="004515FC" w:rsidP="004515FC">
      <w:pPr>
        <w:pStyle w:val="ManualHeading3"/>
        <w:rPr>
          <w:noProof/>
        </w:rPr>
      </w:pPr>
      <w:r w:rsidRPr="002858D6">
        <w:rPr>
          <w:noProof/>
        </w:rPr>
        <w:t>3.2.3.</w:t>
      </w:r>
      <w:r w:rsidRPr="002858D6">
        <w:rPr>
          <w:noProof/>
        </w:rPr>
        <w:tab/>
        <w:t>Síntese do impacto estimado nas dotações administrativas</w:t>
      </w:r>
    </w:p>
    <w:p w14:paraId="19B81FF7" w14:textId="77777777" w:rsidR="004515FC" w:rsidRPr="002858D6" w:rsidRDefault="004515FC" w:rsidP="004515FC">
      <w:pPr>
        <w:pStyle w:val="ManualHeading3"/>
        <w:rPr>
          <w:noProof/>
        </w:rPr>
      </w:pPr>
      <w:r w:rsidRPr="002858D6">
        <w:rPr>
          <w:noProof/>
        </w:rPr>
        <w:t>3.2.3.1.</w:t>
      </w:r>
      <w:r w:rsidRPr="002858D6">
        <w:rPr>
          <w:noProof/>
        </w:rPr>
        <w:tab/>
        <w:t>Necessidades estimadas de recursos humanos</w:t>
      </w:r>
    </w:p>
    <w:p w14:paraId="47AF0B97" w14:textId="77777777" w:rsidR="004515FC" w:rsidRPr="002858D6" w:rsidRDefault="004515FC" w:rsidP="004515FC">
      <w:pPr>
        <w:pStyle w:val="ManualHeading3"/>
        <w:rPr>
          <w:noProof/>
        </w:rPr>
      </w:pPr>
      <w:r w:rsidRPr="002858D6">
        <w:rPr>
          <w:noProof/>
        </w:rPr>
        <w:t>3.2.4.</w:t>
      </w:r>
      <w:r w:rsidRPr="002858D6">
        <w:rPr>
          <w:noProof/>
        </w:rPr>
        <w:tab/>
        <w:t>Compatibilidade com o atual quadro financeiro plurianual</w:t>
      </w:r>
    </w:p>
    <w:p w14:paraId="215C76ED" w14:textId="77777777" w:rsidR="004515FC" w:rsidRPr="002858D6" w:rsidRDefault="004515FC" w:rsidP="004515FC">
      <w:pPr>
        <w:pStyle w:val="ManualHeading3"/>
        <w:rPr>
          <w:noProof/>
        </w:rPr>
      </w:pPr>
      <w:r w:rsidRPr="002858D6">
        <w:rPr>
          <w:noProof/>
        </w:rPr>
        <w:t>3.2.5.</w:t>
      </w:r>
      <w:r w:rsidRPr="002858D6">
        <w:rPr>
          <w:noProof/>
        </w:rPr>
        <w:tab/>
        <w:t>Participação de terceiros no financiamento</w:t>
      </w:r>
    </w:p>
    <w:p w14:paraId="734B181E" w14:textId="77777777" w:rsidR="004515FC" w:rsidRPr="002858D6" w:rsidRDefault="004515FC" w:rsidP="004515FC">
      <w:pPr>
        <w:pStyle w:val="ManualHeading2"/>
        <w:rPr>
          <w:noProof/>
        </w:rPr>
      </w:pPr>
      <w:r w:rsidRPr="002858D6">
        <w:rPr>
          <w:noProof/>
        </w:rPr>
        <w:t>3.3.</w:t>
      </w:r>
      <w:r w:rsidRPr="002858D6">
        <w:rPr>
          <w:noProof/>
        </w:rPr>
        <w:tab/>
        <w:t>Impacto estimado nas receitas</w:t>
      </w:r>
    </w:p>
    <w:p w14:paraId="22E935AE" w14:textId="77777777" w:rsidR="004515FC" w:rsidRPr="002858D6" w:rsidRDefault="004515FC" w:rsidP="004515FC">
      <w:pPr>
        <w:rPr>
          <w:noProof/>
        </w:rPr>
        <w:sectPr w:rsidR="004515FC" w:rsidRPr="002858D6" w:rsidSect="007A1735">
          <w:footnotePr>
            <w:numRestart w:val="eachSect"/>
          </w:footnotePr>
          <w:pgSz w:w="11907" w:h="16840" w:code="9"/>
          <w:pgMar w:top="1134" w:right="1418" w:bottom="1134" w:left="1418" w:header="709" w:footer="709" w:gutter="0"/>
          <w:pgNumType w:start="1"/>
          <w:cols w:space="720"/>
          <w:docGrid w:linePitch="360"/>
        </w:sectPr>
      </w:pPr>
    </w:p>
    <w:p w14:paraId="67BD1492" w14:textId="77777777" w:rsidR="004515FC" w:rsidRPr="002858D6" w:rsidRDefault="004515FC" w:rsidP="004515FC">
      <w:pPr>
        <w:pStyle w:val="ManualHeading1"/>
        <w:rPr>
          <w:noProof/>
        </w:rPr>
      </w:pPr>
      <w:bookmarkStart w:id="7" w:name="_Toc514938007"/>
      <w:bookmarkStart w:id="8" w:name="_Toc520485025"/>
      <w:r w:rsidRPr="002858D6">
        <w:rPr>
          <w:noProof/>
        </w:rPr>
        <w:t>1.</w:t>
      </w:r>
      <w:r w:rsidRPr="002858D6">
        <w:rPr>
          <w:noProof/>
        </w:rPr>
        <w:tab/>
        <w:t>CONTEXTO DA PROPOSTA / INICIATIVA</w:t>
      </w:r>
      <w:bookmarkEnd w:id="7"/>
      <w:bookmarkEnd w:id="8"/>
      <w:r w:rsidRPr="002858D6">
        <w:rPr>
          <w:noProof/>
        </w:rPr>
        <w:t xml:space="preserve"> </w:t>
      </w:r>
    </w:p>
    <w:p w14:paraId="5BCB265D" w14:textId="77777777" w:rsidR="004515FC" w:rsidRPr="002858D6" w:rsidRDefault="004515FC" w:rsidP="004515FC">
      <w:pPr>
        <w:pStyle w:val="ManualHeading2"/>
        <w:rPr>
          <w:noProof/>
        </w:rPr>
      </w:pPr>
      <w:bookmarkStart w:id="9" w:name="_Toc514938008"/>
      <w:bookmarkStart w:id="10" w:name="_Toc520485026"/>
      <w:r w:rsidRPr="002858D6">
        <w:rPr>
          <w:noProof/>
        </w:rPr>
        <w:t>1.1.</w:t>
      </w:r>
      <w:r w:rsidRPr="002858D6">
        <w:rPr>
          <w:noProof/>
        </w:rPr>
        <w:tab/>
        <w:t>Denominação da proposta / iniciativa</w:t>
      </w:r>
      <w:bookmarkEnd w:id="9"/>
      <w:bookmarkEnd w:id="10"/>
    </w:p>
    <w:p w14:paraId="1B8BAB42" w14:textId="11A9E119"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2858D6">
        <w:rPr>
          <w:noProof/>
        </w:rPr>
        <w:t>Proposta de diretiva do Conselho que altera a Diretiva (UE) 2015/637 relativa a medidas de coordenação e cooperação para facilitar a proteção consular dos cidadãos da União não representados em países terceiros e a Diretiva (UE) 2019/997 que cria um título de viagem provisório da UE</w:t>
      </w:r>
    </w:p>
    <w:p w14:paraId="5835C4EA" w14:textId="77777777" w:rsidR="004515FC" w:rsidRPr="002858D6" w:rsidRDefault="004515FC" w:rsidP="004515FC">
      <w:pPr>
        <w:pStyle w:val="ManualHeading2"/>
        <w:rPr>
          <w:i/>
          <w:noProof/>
        </w:rPr>
      </w:pPr>
      <w:bookmarkStart w:id="11" w:name="_Toc514938011"/>
      <w:bookmarkStart w:id="12" w:name="_Toc520485027"/>
      <w:r w:rsidRPr="002858D6">
        <w:rPr>
          <w:noProof/>
        </w:rPr>
        <w:t>1.2.</w:t>
      </w:r>
      <w:r w:rsidRPr="002858D6">
        <w:rPr>
          <w:noProof/>
        </w:rPr>
        <w:tab/>
        <w:t>Domínio(s) de intervenção em causa</w:t>
      </w:r>
      <w:bookmarkEnd w:id="11"/>
      <w:bookmarkEnd w:id="12"/>
      <w:r w:rsidRPr="002858D6">
        <w:rPr>
          <w:i/>
          <w:noProof/>
        </w:rPr>
        <w:t xml:space="preserve"> </w:t>
      </w:r>
    </w:p>
    <w:p w14:paraId="21D018DB"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2858D6">
        <w:rPr>
          <w:noProof/>
        </w:rPr>
        <w:t>Proteção consular</w:t>
      </w:r>
    </w:p>
    <w:p w14:paraId="475646DA" w14:textId="77777777" w:rsidR="004515FC" w:rsidRPr="002858D6" w:rsidRDefault="004515FC" w:rsidP="004515FC">
      <w:pPr>
        <w:pStyle w:val="ManualHeading2"/>
        <w:rPr>
          <w:noProof/>
        </w:rPr>
      </w:pPr>
      <w:bookmarkStart w:id="13" w:name="_Toc514938014"/>
      <w:bookmarkStart w:id="14" w:name="_Toc520485028"/>
      <w:r w:rsidRPr="002858D6">
        <w:rPr>
          <w:noProof/>
        </w:rPr>
        <w:t>1.3.</w:t>
      </w:r>
      <w:r w:rsidRPr="002858D6">
        <w:rPr>
          <w:noProof/>
        </w:rPr>
        <w:tab/>
        <w:t>A proposta / iniciativa refere-se:</w:t>
      </w:r>
      <w:bookmarkEnd w:id="13"/>
      <w:bookmarkEnd w:id="14"/>
      <w:r w:rsidRPr="002858D6">
        <w:rPr>
          <w:noProof/>
        </w:rPr>
        <w:t xml:space="preserve"> </w:t>
      </w:r>
    </w:p>
    <w:p w14:paraId="53E8E300" w14:textId="77777777" w:rsidR="004515FC" w:rsidRPr="002858D6" w:rsidRDefault="004515FC" w:rsidP="004515FC">
      <w:pPr>
        <w:pStyle w:val="Text1"/>
        <w:rPr>
          <w:b/>
          <w:noProof/>
          <w:sz w:val="22"/>
        </w:rPr>
      </w:pPr>
      <w:r w:rsidRPr="002858D6">
        <w:rPr>
          <w:rFonts w:ascii="Wingdings" w:hAnsi="Wingdings"/>
          <w:noProof/>
          <w:sz w:val="22"/>
        </w:rPr>
        <w:t></w:t>
      </w:r>
      <w:r w:rsidRPr="002858D6">
        <w:rPr>
          <w:b/>
          <w:i/>
          <w:noProof/>
          <w:sz w:val="22"/>
        </w:rPr>
        <w:t xml:space="preserve"> </w:t>
      </w:r>
      <w:r w:rsidRPr="002858D6">
        <w:rPr>
          <w:b/>
          <w:noProof/>
        </w:rPr>
        <w:t>a uma nova ação</w:t>
      </w:r>
      <w:r w:rsidRPr="002858D6">
        <w:rPr>
          <w:b/>
          <w:noProof/>
          <w:sz w:val="22"/>
        </w:rPr>
        <w:t xml:space="preserve"> </w:t>
      </w:r>
    </w:p>
    <w:p w14:paraId="28594D9E" w14:textId="77777777" w:rsidR="004515FC" w:rsidRPr="002858D6" w:rsidRDefault="004515FC" w:rsidP="004515FC">
      <w:pPr>
        <w:pStyle w:val="Text1"/>
        <w:rPr>
          <w:noProof/>
          <w:sz w:val="22"/>
        </w:rPr>
      </w:pPr>
      <w:r w:rsidRPr="002858D6">
        <w:rPr>
          <w:rFonts w:ascii="Wingdings" w:hAnsi="Wingdings"/>
          <w:noProof/>
          <w:sz w:val="22"/>
        </w:rPr>
        <w:t></w:t>
      </w:r>
      <w:r w:rsidRPr="002858D6">
        <w:rPr>
          <w:i/>
          <w:noProof/>
          <w:sz w:val="22"/>
        </w:rPr>
        <w:t xml:space="preserve"> </w:t>
      </w:r>
      <w:r w:rsidRPr="002858D6">
        <w:rPr>
          <w:b/>
          <w:noProof/>
        </w:rPr>
        <w:t>a uma nova ação na sequência de um projeto-piloto / ação preparatória</w:t>
      </w:r>
      <w:r w:rsidRPr="002858D6">
        <w:rPr>
          <w:rStyle w:val="FootnoteReference0"/>
          <w:b/>
          <w:noProof/>
        </w:rPr>
        <w:footnoteReference w:id="39"/>
      </w:r>
      <w:r w:rsidRPr="002858D6">
        <w:rPr>
          <w:noProof/>
          <w:sz w:val="22"/>
        </w:rPr>
        <w:t xml:space="preserve"> </w:t>
      </w:r>
    </w:p>
    <w:p w14:paraId="05037F58" w14:textId="77777777" w:rsidR="004515FC" w:rsidRPr="002858D6" w:rsidRDefault="004515FC" w:rsidP="004515FC">
      <w:pPr>
        <w:pStyle w:val="Text1"/>
        <w:rPr>
          <w:noProof/>
          <w:sz w:val="22"/>
        </w:rPr>
      </w:pPr>
      <w:r w:rsidRPr="002858D6">
        <w:rPr>
          <w:rFonts w:ascii="Wingdings" w:hAnsi="Wingdings"/>
          <w:noProof/>
          <w:sz w:val="22"/>
        </w:rPr>
        <w:t></w:t>
      </w:r>
      <w:r w:rsidRPr="002858D6">
        <w:rPr>
          <w:i/>
          <w:noProof/>
          <w:sz w:val="22"/>
        </w:rPr>
        <w:t xml:space="preserve"> </w:t>
      </w:r>
      <w:r w:rsidRPr="002858D6">
        <w:rPr>
          <w:b/>
          <w:noProof/>
        </w:rPr>
        <w:t>à prorrogação de uma ação existente</w:t>
      </w:r>
      <w:r w:rsidRPr="002858D6">
        <w:rPr>
          <w:noProof/>
          <w:sz w:val="22"/>
        </w:rPr>
        <w:t xml:space="preserve"> </w:t>
      </w:r>
    </w:p>
    <w:p w14:paraId="7238F762" w14:textId="77777777" w:rsidR="004515FC" w:rsidRPr="002858D6" w:rsidRDefault="004515FC" w:rsidP="004515FC">
      <w:pPr>
        <w:pStyle w:val="Text1"/>
        <w:rPr>
          <w:noProof/>
        </w:rPr>
      </w:pPr>
      <w:r w:rsidRPr="002858D6">
        <w:rPr>
          <w:rFonts w:ascii="Wingdings" w:hAnsi="Wingdings"/>
          <w:noProof/>
          <w:sz w:val="22"/>
        </w:rPr>
        <w:t></w:t>
      </w:r>
      <w:r w:rsidRPr="002858D6">
        <w:rPr>
          <w:i/>
          <w:noProof/>
          <w:sz w:val="22"/>
        </w:rPr>
        <w:t xml:space="preserve"> </w:t>
      </w:r>
      <w:r w:rsidRPr="002858D6">
        <w:rPr>
          <w:b/>
          <w:noProof/>
        </w:rPr>
        <w:t>à fusão ou reorientação de uma ou mais ações para outra / uma nova ação</w:t>
      </w:r>
      <w:r w:rsidRPr="002858D6">
        <w:rPr>
          <w:noProof/>
        </w:rPr>
        <w:t xml:space="preserve"> </w:t>
      </w:r>
    </w:p>
    <w:p w14:paraId="0E774F15" w14:textId="77777777" w:rsidR="004515FC" w:rsidRPr="002858D6" w:rsidRDefault="004515FC" w:rsidP="004515FC">
      <w:pPr>
        <w:pStyle w:val="ManualHeading2"/>
        <w:rPr>
          <w:noProof/>
        </w:rPr>
      </w:pPr>
      <w:bookmarkStart w:id="15" w:name="_Toc514938015"/>
      <w:bookmarkStart w:id="16" w:name="_Toc520485029"/>
      <w:r w:rsidRPr="002858D6">
        <w:rPr>
          <w:noProof/>
        </w:rPr>
        <w:t>1.4.</w:t>
      </w:r>
      <w:r w:rsidRPr="002858D6">
        <w:rPr>
          <w:noProof/>
        </w:rPr>
        <w:tab/>
        <w:t>Objetivo(s)</w:t>
      </w:r>
      <w:bookmarkEnd w:id="15"/>
      <w:bookmarkEnd w:id="16"/>
    </w:p>
    <w:p w14:paraId="1221A270" w14:textId="77777777" w:rsidR="004515FC" w:rsidRPr="002858D6" w:rsidRDefault="004515FC" w:rsidP="004515FC">
      <w:pPr>
        <w:pStyle w:val="ManualHeading3"/>
        <w:rPr>
          <w:noProof/>
        </w:rPr>
      </w:pPr>
      <w:bookmarkStart w:id="17" w:name="_Toc514938016"/>
      <w:bookmarkStart w:id="18" w:name="_Toc520485030"/>
      <w:r w:rsidRPr="002858D6">
        <w:rPr>
          <w:noProof/>
        </w:rPr>
        <w:t>1.4.1.</w:t>
      </w:r>
      <w:r w:rsidRPr="002858D6">
        <w:rPr>
          <w:noProof/>
        </w:rPr>
        <w:tab/>
        <w:t>Objetivo geral</w:t>
      </w:r>
      <w:bookmarkEnd w:id="17"/>
      <w:bookmarkEnd w:id="18"/>
    </w:p>
    <w:p w14:paraId="2F6152F1"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O objetivo geral global da iniciativa consiste em melhorar o exercício do direito à proteção consular.</w:t>
      </w:r>
    </w:p>
    <w:p w14:paraId="43B7C07E" w14:textId="77777777" w:rsidR="004515FC" w:rsidRPr="002858D6" w:rsidRDefault="004515FC" w:rsidP="004515FC">
      <w:pPr>
        <w:pStyle w:val="ManualHeading3"/>
        <w:rPr>
          <w:noProof/>
        </w:rPr>
      </w:pPr>
      <w:bookmarkStart w:id="19" w:name="_Toc514938018"/>
      <w:bookmarkStart w:id="20" w:name="_Toc520485031"/>
      <w:r w:rsidRPr="002858D6">
        <w:rPr>
          <w:noProof/>
        </w:rPr>
        <w:t>1.4.2.</w:t>
      </w:r>
      <w:r w:rsidRPr="002858D6">
        <w:rPr>
          <w:noProof/>
        </w:rPr>
        <w:tab/>
        <w:t>Objetivo(s) específico(s)</w:t>
      </w:r>
      <w:bookmarkEnd w:id="19"/>
      <w:bookmarkEnd w:id="20"/>
    </w:p>
    <w:p w14:paraId="7B606C8C"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2858D6">
        <w:rPr>
          <w:noProof/>
          <w:u w:val="single"/>
        </w:rPr>
        <w:t>Objetivo específico n.º 1</w:t>
      </w:r>
    </w:p>
    <w:p w14:paraId="3D3141B4"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Reforçar a segurança jurídica para os cidadãos da União no que respeita ao âmbito do direito à proteção consular.</w:t>
      </w:r>
    </w:p>
    <w:p w14:paraId="25B26032"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2858D6">
        <w:rPr>
          <w:noProof/>
          <w:u w:val="single"/>
        </w:rPr>
        <w:t>Objetivo específico n.º 2</w:t>
      </w:r>
    </w:p>
    <w:p w14:paraId="472134C8"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Assegurar papéis e mecanismos de coordenação e cooperação claros entre os Estados-Membros e as delegações da União, nomeadamente em tempos de crise.</w:t>
      </w:r>
    </w:p>
    <w:p w14:paraId="5FF2B598"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2858D6">
        <w:rPr>
          <w:noProof/>
          <w:u w:val="single"/>
        </w:rPr>
        <w:t>Objetivo específico n.º 3</w:t>
      </w:r>
    </w:p>
    <w:p w14:paraId="7D2D795B" w14:textId="0C691163"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Melhorar a prestação de informações e a comunicação com os cidadãos da União não representados.</w:t>
      </w:r>
    </w:p>
    <w:p w14:paraId="5495A2E6"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2858D6">
        <w:rPr>
          <w:noProof/>
          <w:u w:val="single"/>
        </w:rPr>
        <w:t>Objetivo específico n.º 4</w:t>
      </w:r>
    </w:p>
    <w:p w14:paraId="0B9741BA"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Aumentar a eficiência e a utilização dos procedimentos de reembolso financeiro.</w:t>
      </w:r>
    </w:p>
    <w:p w14:paraId="44C12CD3" w14:textId="77777777" w:rsidR="004515FC" w:rsidRPr="002858D6" w:rsidRDefault="004515FC" w:rsidP="004515FC">
      <w:pPr>
        <w:pStyle w:val="ManualHeading3"/>
        <w:ind w:left="0" w:firstLine="0"/>
        <w:rPr>
          <w:noProof/>
        </w:rPr>
      </w:pPr>
      <w:bookmarkStart w:id="21" w:name="_Toc514938019"/>
      <w:bookmarkStart w:id="22" w:name="_Toc520485032"/>
      <w:r w:rsidRPr="002858D6">
        <w:rPr>
          <w:noProof/>
        </w:rPr>
        <w:t>1.4.3.</w:t>
      </w:r>
      <w:r w:rsidRPr="002858D6">
        <w:rPr>
          <w:noProof/>
        </w:rPr>
        <w:tab/>
        <w:t>Resultados e impacto esperados</w:t>
      </w:r>
      <w:bookmarkEnd w:id="21"/>
      <w:bookmarkEnd w:id="22"/>
    </w:p>
    <w:p w14:paraId="41E17398" w14:textId="77777777" w:rsidR="004515FC" w:rsidRPr="002858D6" w:rsidRDefault="004515FC" w:rsidP="004515FC">
      <w:pPr>
        <w:pStyle w:val="Text1"/>
        <w:rPr>
          <w:i/>
          <w:noProof/>
          <w:sz w:val="20"/>
        </w:rPr>
      </w:pPr>
      <w:r w:rsidRPr="002858D6">
        <w:rPr>
          <w:i/>
          <w:noProof/>
          <w:sz w:val="20"/>
        </w:rPr>
        <w:t>Especificar os efeitos que a proposta / iniciativa poderá ter nos beneficiários / grupos visados.</w:t>
      </w:r>
    </w:p>
    <w:p w14:paraId="011C5900" w14:textId="35CCC50D" w:rsidR="003B30E4"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 xml:space="preserve">Espera-se que os impactos da presente proposta adaptem o quadro de proteção consular aos desafios atuais e futuros e, por conseguinte, sejam positivos em comparação com o </w:t>
      </w:r>
      <w:r w:rsidRPr="002858D6">
        <w:rPr>
          <w:i/>
          <w:iCs/>
          <w:noProof/>
        </w:rPr>
        <w:t>status quo</w:t>
      </w:r>
      <w:r w:rsidRPr="002858D6">
        <w:rPr>
          <w:noProof/>
        </w:rPr>
        <w:t>. A clarificação da definição de «cidadão não representado» aumentará a segurança jurídica, levando a uma assistência consular mais eficaz aos cidadãos da União.</w:t>
      </w:r>
      <w:r w:rsidRPr="002858D6">
        <w:rPr>
          <w:noProof/>
          <w:color w:val="0000FF"/>
        </w:rPr>
        <w:t xml:space="preserve"> </w:t>
      </w:r>
      <w:r w:rsidRPr="002858D6">
        <w:rPr>
          <w:noProof/>
        </w:rPr>
        <w:t>Espera-se que o reforço do papel de apoio das delegações da União e uma repartição mais clara das tarefas entre os Estados-Membros e as delegações da União nas reuniões de cooperação local resultem num aumento da segurança jurídica e da eficácia das regras da diretiva aplicáveis a situações de crise e que não sejam de crise. Uma coordenação mais eficiente e harmoniosa teria por efeito uma melhor assistência aos cidadãos da União, especialmente em situações de crise, utilizando da melhor forma todos os recursos da União afetados a essa tarefa. Além disso, do reforço da cooperação entre as redes consulares dos Estados-Membros e a União resultará uma comunicação mais eficaz e coerente com os cidadãos da União sobre questões consulares. Um maior número de registos de cidadãos no estrangeiro permitirá que os Estados-Membros lhes prestem uma melhor assistência.</w:t>
      </w:r>
    </w:p>
    <w:p w14:paraId="378F131E" w14:textId="0BB06582"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Por último, a simplificação e a redução dos atuais encargos administrativos, tanto para o Estado-Membro que presta assistência como para o da nacionalidade, aumentarão a utilidade dos procedimentos de reembolso financeiro. De notar ainda que o alargamento do mecanismo de reembolso às delegações da União colmatará uma lacuna que impede o seu apoio prático aos Estados-Membros na prestação de assistência aos cidadãos da União.</w:t>
      </w:r>
    </w:p>
    <w:p w14:paraId="06DD2FA2"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A avaliação de impacto que acompanha a proposta contém uma panorâmica mais abrangente das implicações da iniciativa.</w:t>
      </w:r>
    </w:p>
    <w:p w14:paraId="6E790E99" w14:textId="77777777" w:rsidR="004515FC" w:rsidRPr="002858D6" w:rsidRDefault="004515FC" w:rsidP="004515FC">
      <w:pPr>
        <w:pStyle w:val="ManualHeading3"/>
        <w:rPr>
          <w:noProof/>
        </w:rPr>
      </w:pPr>
      <w:bookmarkStart w:id="23" w:name="_Toc514938023"/>
      <w:bookmarkStart w:id="24" w:name="_Toc520485033"/>
      <w:r w:rsidRPr="002858D6">
        <w:rPr>
          <w:noProof/>
        </w:rPr>
        <w:t>1.4.4.</w:t>
      </w:r>
      <w:r w:rsidRPr="002858D6">
        <w:rPr>
          <w:noProof/>
        </w:rPr>
        <w:tab/>
        <w:t>Indicadores de desempenho</w:t>
      </w:r>
      <w:bookmarkEnd w:id="23"/>
      <w:bookmarkEnd w:id="24"/>
    </w:p>
    <w:p w14:paraId="3531FEFD" w14:textId="77777777" w:rsidR="004515FC" w:rsidRPr="002858D6" w:rsidRDefault="004515FC" w:rsidP="004515FC">
      <w:pPr>
        <w:pStyle w:val="Text1"/>
        <w:rPr>
          <w:i/>
          <w:noProof/>
          <w:sz w:val="20"/>
        </w:rPr>
      </w:pPr>
      <w:r w:rsidRPr="002858D6">
        <w:rPr>
          <w:i/>
          <w:noProof/>
          <w:sz w:val="20"/>
        </w:rPr>
        <w:t>Especificar os indicadores que permitem acompanhar os progressos e os resultados.</w:t>
      </w:r>
    </w:p>
    <w:p w14:paraId="5A10100B"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2858D6">
        <w:rPr>
          <w:noProof/>
          <w:u w:val="single"/>
        </w:rPr>
        <w:t>Objetivo específico n.º 1</w:t>
      </w:r>
    </w:p>
    <w:p w14:paraId="3544518F" w14:textId="77777777" w:rsidR="004515FC" w:rsidRPr="002858D6" w:rsidRDefault="004515FC" w:rsidP="00E76033">
      <w:pPr>
        <w:pStyle w:val="Tiret1"/>
        <w:numPr>
          <w:ilvl w:val="0"/>
          <w:numId w:val="21"/>
        </w:numPr>
        <w:rPr>
          <w:noProof/>
        </w:rPr>
      </w:pPr>
      <w:r w:rsidRPr="002858D6">
        <w:rPr>
          <w:noProof/>
        </w:rPr>
        <w:t>Número de cidadãos da União não representados assistidos.</w:t>
      </w:r>
    </w:p>
    <w:p w14:paraId="18F9B371" w14:textId="77777777" w:rsidR="004515FC" w:rsidRPr="002858D6" w:rsidRDefault="004515FC" w:rsidP="00DC1C05">
      <w:pPr>
        <w:pStyle w:val="Tiret1"/>
        <w:rPr>
          <w:noProof/>
        </w:rPr>
      </w:pPr>
      <w:r w:rsidRPr="002858D6">
        <w:rPr>
          <w:noProof/>
        </w:rPr>
        <w:t>Número de queixas recebidas e processos judiciais instaurados por cidadãos da União não representados relativos a violações do seu direito à proteção consular.</w:t>
      </w:r>
    </w:p>
    <w:p w14:paraId="3E65BD62"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2858D6">
        <w:rPr>
          <w:noProof/>
          <w:u w:val="single"/>
        </w:rPr>
        <w:t>Objetivo específico n.º 2</w:t>
      </w:r>
    </w:p>
    <w:p w14:paraId="601F2F71" w14:textId="77777777" w:rsidR="004515FC" w:rsidRPr="002858D6" w:rsidRDefault="004515FC" w:rsidP="00DC1C05">
      <w:pPr>
        <w:pStyle w:val="Tiret1"/>
        <w:rPr>
          <w:noProof/>
        </w:rPr>
      </w:pPr>
      <w:r w:rsidRPr="002858D6">
        <w:rPr>
          <w:noProof/>
        </w:rPr>
        <w:t>Número de exercícios de coordenação consular local organizados.</w:t>
      </w:r>
    </w:p>
    <w:p w14:paraId="276BEFE6" w14:textId="77777777" w:rsidR="004515FC" w:rsidRPr="002858D6" w:rsidRDefault="004515FC" w:rsidP="00DC1C05">
      <w:pPr>
        <w:pStyle w:val="Tiret1"/>
        <w:rPr>
          <w:noProof/>
        </w:rPr>
      </w:pPr>
      <w:r w:rsidRPr="002858D6">
        <w:rPr>
          <w:noProof/>
        </w:rPr>
        <w:t>Número e tipo de pedidos de apoio das autoridades dos Estados-Membros às delegações da União.</w:t>
      </w:r>
    </w:p>
    <w:p w14:paraId="72DF08F8"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2858D6">
        <w:rPr>
          <w:noProof/>
          <w:u w:val="single"/>
        </w:rPr>
        <w:t>Objetivo específico n.º 3</w:t>
      </w:r>
    </w:p>
    <w:p w14:paraId="7167F7B2" w14:textId="77777777" w:rsidR="004515FC" w:rsidRPr="002858D6" w:rsidRDefault="004515FC" w:rsidP="00DC1C05">
      <w:pPr>
        <w:pStyle w:val="Tiret1"/>
        <w:rPr>
          <w:noProof/>
        </w:rPr>
      </w:pPr>
      <w:r w:rsidRPr="002858D6">
        <w:rPr>
          <w:noProof/>
        </w:rPr>
        <w:t>Nível de sensibilização dos cidadãos da União para o seu direito à proteção consular.</w:t>
      </w:r>
    </w:p>
    <w:p w14:paraId="3C964D31" w14:textId="1500C4E9" w:rsidR="004515FC" w:rsidRPr="002858D6" w:rsidRDefault="004515FC" w:rsidP="00DC1C05">
      <w:pPr>
        <w:pStyle w:val="Tiret1"/>
        <w:rPr>
          <w:noProof/>
        </w:rPr>
      </w:pPr>
      <w:r w:rsidRPr="002858D6">
        <w:rPr>
          <w:noProof/>
        </w:rPr>
        <w:t>Número de cidadãos que registam a sua residência ou viagens no estrangeiro.</w:t>
      </w:r>
    </w:p>
    <w:p w14:paraId="6D1C2F6F" w14:textId="77777777" w:rsidR="004515FC" w:rsidRPr="002858D6" w:rsidRDefault="004515FC" w:rsidP="00DC1C05">
      <w:pPr>
        <w:pStyle w:val="Tiret1"/>
        <w:rPr>
          <w:noProof/>
        </w:rPr>
      </w:pPr>
      <w:r w:rsidRPr="002858D6">
        <w:rPr>
          <w:noProof/>
        </w:rPr>
        <w:t>Número de campanhas de sensibilização e outras medidas com objetivos semelhantes organizadas a nível nacional.</w:t>
      </w:r>
    </w:p>
    <w:p w14:paraId="6D549EF8"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2858D6">
        <w:rPr>
          <w:noProof/>
          <w:u w:val="single"/>
        </w:rPr>
        <w:t>Objetivo específico n.º 4</w:t>
      </w:r>
    </w:p>
    <w:p w14:paraId="626394CA" w14:textId="77777777" w:rsidR="004515FC" w:rsidRPr="002858D6" w:rsidRDefault="004515FC" w:rsidP="00DC1C05">
      <w:pPr>
        <w:pStyle w:val="Tiret1"/>
        <w:rPr>
          <w:noProof/>
        </w:rPr>
      </w:pPr>
      <w:r w:rsidRPr="002858D6">
        <w:rPr>
          <w:noProof/>
        </w:rPr>
        <w:t>Número de pedidos de reembolso apresentados e recebidos.</w:t>
      </w:r>
    </w:p>
    <w:p w14:paraId="214FFD99" w14:textId="77777777" w:rsidR="004515FC" w:rsidRPr="002858D6" w:rsidRDefault="004515FC" w:rsidP="00DC1C05">
      <w:pPr>
        <w:pStyle w:val="Tiret1"/>
        <w:rPr>
          <w:noProof/>
        </w:rPr>
      </w:pPr>
      <w:r w:rsidRPr="002858D6">
        <w:rPr>
          <w:noProof/>
        </w:rPr>
        <w:t>Tempo médio entre a apresentação do pedido e o pagamento.</w:t>
      </w:r>
    </w:p>
    <w:p w14:paraId="14C0A5DC" w14:textId="77777777" w:rsidR="004515FC" w:rsidRPr="002858D6" w:rsidRDefault="004515FC" w:rsidP="00DC1C05">
      <w:pPr>
        <w:pStyle w:val="Tiret1"/>
        <w:rPr>
          <w:noProof/>
        </w:rPr>
      </w:pPr>
      <w:r w:rsidRPr="002858D6">
        <w:rPr>
          <w:noProof/>
        </w:rPr>
        <w:t>Número de casos em que o reembolso não está concluído.</w:t>
      </w:r>
    </w:p>
    <w:p w14:paraId="3DA7A324" w14:textId="77777777" w:rsidR="004515FC" w:rsidRPr="002858D6" w:rsidRDefault="004515FC" w:rsidP="004515FC">
      <w:pPr>
        <w:pStyle w:val="ManualHeading2"/>
        <w:rPr>
          <w:noProof/>
        </w:rPr>
      </w:pPr>
      <w:bookmarkStart w:id="25" w:name="_Toc514938025"/>
      <w:bookmarkStart w:id="26" w:name="_Toc520485034"/>
      <w:r w:rsidRPr="002858D6">
        <w:rPr>
          <w:noProof/>
        </w:rPr>
        <w:t>1.5.</w:t>
      </w:r>
      <w:r w:rsidRPr="002858D6">
        <w:rPr>
          <w:noProof/>
        </w:rPr>
        <w:tab/>
        <w:t>Justificação da proposta / iniciativa</w:t>
      </w:r>
      <w:bookmarkEnd w:id="25"/>
      <w:bookmarkEnd w:id="26"/>
      <w:r w:rsidRPr="002858D6">
        <w:rPr>
          <w:noProof/>
        </w:rPr>
        <w:t xml:space="preserve"> </w:t>
      </w:r>
    </w:p>
    <w:p w14:paraId="632A7B16" w14:textId="77777777" w:rsidR="004515FC" w:rsidRPr="002858D6" w:rsidRDefault="004515FC" w:rsidP="004515FC">
      <w:pPr>
        <w:pStyle w:val="ManualHeading3"/>
        <w:rPr>
          <w:noProof/>
        </w:rPr>
      </w:pPr>
      <w:bookmarkStart w:id="27" w:name="_Toc514938026"/>
      <w:bookmarkStart w:id="28" w:name="_Toc520485035"/>
      <w:r w:rsidRPr="002858D6">
        <w:rPr>
          <w:noProof/>
        </w:rPr>
        <w:t>1.5.1.</w:t>
      </w:r>
      <w:r w:rsidRPr="002858D6">
        <w:rPr>
          <w:noProof/>
        </w:rPr>
        <w:tab/>
        <w:t>Necessidade(s) a satisfazer a curto ou a longo prazo, incluindo um calendário pormenorizado para a aplicação da iniciativa</w:t>
      </w:r>
      <w:bookmarkEnd w:id="27"/>
      <w:bookmarkEnd w:id="28"/>
    </w:p>
    <w:p w14:paraId="6FC0E11E"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Segue-se um calendário provisório de execução a título ilustrativo:</w:t>
      </w:r>
    </w:p>
    <w:p w14:paraId="55892BD7"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2024: entrada em vigor da diretiva.</w:t>
      </w:r>
    </w:p>
    <w:p w14:paraId="0A63BF56"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2026: Transposição e aplicação pelos Estados-Membros.</w:t>
      </w:r>
    </w:p>
    <w:p w14:paraId="2FAFECC2" w14:textId="77777777" w:rsidR="004515FC" w:rsidRPr="002858D6" w:rsidRDefault="004515FC" w:rsidP="004515FC">
      <w:pPr>
        <w:pStyle w:val="ManualHeading3"/>
        <w:rPr>
          <w:noProof/>
        </w:rPr>
      </w:pPr>
      <w:bookmarkStart w:id="29" w:name="_Toc514938029"/>
      <w:bookmarkStart w:id="30" w:name="_Toc520485036"/>
      <w:r w:rsidRPr="002858D6">
        <w:rPr>
          <w:noProof/>
        </w:rPr>
        <w:t>1.5.2.</w:t>
      </w:r>
      <w:r w:rsidRPr="002858D6">
        <w:rPr>
          <w:noProof/>
        </w:rPr>
        <w:tab/>
        <w:t>Valor acrescentado da intervenção da União (que pode resultar de diferentes fatores, por exemplo, ganhos decorrentes da coordenação, segurança jurídica, maior eficácia ou complementaridades). Para efeitos do presente ponto, entende-se por «valor acrescentado da intervenção da União», o valor resultante da intervenção da União que se acrescenta ao valor que teria sido criado pela ação isolada dos Estados-Membros.</w:t>
      </w:r>
      <w:bookmarkEnd w:id="29"/>
      <w:bookmarkEnd w:id="30"/>
    </w:p>
    <w:p w14:paraId="0B1A8FE4" w14:textId="598ECE86"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Conforme já referido na avaliação de impacto que acompanha a proposta da Comissão da que viria a ser a Diretiva (UE) 2015/637</w:t>
      </w:r>
      <w:r w:rsidRPr="002858D6">
        <w:rPr>
          <w:rStyle w:val="FootnoteReference0"/>
          <w:noProof/>
        </w:rPr>
        <w:footnoteReference w:id="40"/>
      </w:r>
      <w:r w:rsidRPr="002858D6">
        <w:rPr>
          <w:noProof/>
        </w:rPr>
        <w:t xml:space="preserve">, prever normas, salvaguardas e procedimentos claros de cooperação e coordenação comuns a toda a UE no que respeita aos cidadãos não representados é mais facilmente alcançado a nível da União. As justificações da subsidiariedade apresentadas nessa avaliação de impacto continuam a ser válidas. O direito à proteção consular continua a ser uma questão transfronteiriça e parte integrante da cidadania da UE, exigindo cooperação e coordenação a nível da União. </w:t>
      </w:r>
    </w:p>
    <w:p w14:paraId="150EE743"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 xml:space="preserve">Desde o termo do seu prazo de transposição, em 2018, a Comissão acompanhou de perto a aplicação da Diretiva (UE) 2015/637 e concluiu que são necessárias novas medidas a nível da União. Sem uma ação atempada e eficaz da UE, os problemas e as causas descritos na avaliação de impacto que acompanha a presente proposta continuariam a impedir o exercício efetivo do direito à proteção consular. </w:t>
      </w:r>
    </w:p>
    <w:p w14:paraId="77CAA91D"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Sem uma ação a nível da União, a eficácia dos direitos dos cidadãos da UE relacionados com a proteção consular continuaria a ser posta em risco e o valor acrescentado das delegações da União neste contexto continuaria por explorar.</w:t>
      </w:r>
    </w:p>
    <w:p w14:paraId="34C6AB15" w14:textId="01FBFEFF"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Em especial, a promoção da cooperação para apoiar os cidadãos da UE que necessitam de assistência no estrangeiro só pode ser alcançada através de uma intervenção coordenada da União. A União, e em especial o SEAE e a Comissão (Direção-Geral da Proteção Civil e das Operações de Ajuda Humanitária Europeias, DG ECHO), estão bem posicionados para assumir esse papel de coordenação, de uma forma e numa medida que não é possível através de ações isoladas dos Estados-Membros.</w:t>
      </w:r>
    </w:p>
    <w:p w14:paraId="449E0DAF" w14:textId="77777777" w:rsidR="004515FC" w:rsidRPr="002858D6" w:rsidRDefault="004515FC" w:rsidP="004515FC">
      <w:pPr>
        <w:pStyle w:val="ManualHeading3"/>
        <w:rPr>
          <w:noProof/>
        </w:rPr>
      </w:pPr>
      <w:bookmarkStart w:id="31" w:name="_Toc514938030"/>
      <w:bookmarkStart w:id="32" w:name="_Toc520485037"/>
      <w:r w:rsidRPr="002858D6">
        <w:rPr>
          <w:noProof/>
        </w:rPr>
        <w:t>1.5.3.</w:t>
      </w:r>
      <w:r w:rsidRPr="002858D6">
        <w:rPr>
          <w:noProof/>
        </w:rPr>
        <w:tab/>
        <w:t>Ensinamentos retirados de experiências anteriores semelhantes</w:t>
      </w:r>
      <w:bookmarkEnd w:id="31"/>
      <w:bookmarkEnd w:id="32"/>
    </w:p>
    <w:p w14:paraId="7E7FD03B" w14:textId="3B723668"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 xml:space="preserve">Em 2 de setembro de 2022, a Comissão publicou um relatório sobre a transposição e aplicação da Diretiva (UE) 2015/637. </w:t>
      </w:r>
    </w:p>
    <w:p w14:paraId="08646996"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O relatório revelou que a Diretiva (UE) 2015/637 tem sido, em grande medida, eficaz na consecução do seu objetivo de facilitar aos cidadãos da UE o exercício dos seus direitos relacionados com a proteção consular em países terceiros onde o Estado-Membro da nacionalidade não está representado.</w:t>
      </w:r>
    </w:p>
    <w:p w14:paraId="0F33669A" w14:textId="2BEE1C20"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No entanto, o relatório salientou que as crises que dão origem a pedidos de proteção consular estavam a aumentar em número e em escala. A pandemia de COVID-19 (sem precedentes em termos de escala e complexidade), a crise no Afeganistão, a guerra de agressão da Rússia contra a Ucrânia, o conflito no Sudão, os repatriamentos de Israel e Gaza e outras crises semelhantes proporcionaram um contexto para identificar lacunas e refletir sobre a forma de reforçar o direito dos cidadãos da União à proteção consular.</w:t>
      </w:r>
    </w:p>
    <w:p w14:paraId="41F3E3E2"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O relatório observou que havia margem para clarificar e racionalizar as medidas a fim de facilitar ainda mais a concessão de proteção consular aos cidadãos da não representados, nomeadamente reforçando a segurança jurídica no que diz respeito aos beneficiários e assegurando essa proteção independentemente do local onde se encontrem no mundo. Além disso, poder-se-ia ponderar a possibilidade de melhorar a prestação de informações e a coordenação da comunicação. Seria também necessária uma maior utilização de mecanismos de previsão para a nossa preparação para as crises, especialmente tendo em conta o custo humano associado à incapacidade de assegurar uma proteção consular adequada. De notar ainda que o papel formal das delegações da União e a sua coordenação e cooperação com os Estados-Membros poderiam refletir melhor a realidade do seu trabalho no terreno, proporcionando, assim, maior segurança jurídica.</w:t>
      </w:r>
    </w:p>
    <w:p w14:paraId="447A28F2" w14:textId="77777777" w:rsidR="004515FC" w:rsidRPr="002858D6" w:rsidRDefault="004515FC" w:rsidP="004515FC">
      <w:pPr>
        <w:pStyle w:val="ManualHeading3"/>
        <w:rPr>
          <w:noProof/>
        </w:rPr>
      </w:pPr>
      <w:bookmarkStart w:id="33" w:name="_Toc514938033"/>
      <w:bookmarkStart w:id="34" w:name="_Toc520485038"/>
      <w:r w:rsidRPr="002858D6">
        <w:rPr>
          <w:noProof/>
        </w:rPr>
        <w:t>1.5.4.</w:t>
      </w:r>
      <w:r w:rsidRPr="002858D6">
        <w:rPr>
          <w:noProof/>
        </w:rPr>
        <w:tab/>
        <w:t>Compatibilidade com o quadro financeiro plurianual e eventuais sinergias com outros instrumentos adequados</w:t>
      </w:r>
      <w:bookmarkEnd w:id="33"/>
      <w:bookmarkEnd w:id="34"/>
    </w:p>
    <w:p w14:paraId="1D81AF92" w14:textId="75BF9276"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A presente proposta está em consonância com o Mecanismo de Proteção Civil da União (MPCU) criado pela Decisão 1313/2013/UE.</w:t>
      </w:r>
    </w:p>
    <w:p w14:paraId="13393DD9" w14:textId="77777777" w:rsidR="004515FC" w:rsidRPr="002858D6" w:rsidRDefault="004515FC" w:rsidP="004515FC">
      <w:pPr>
        <w:pStyle w:val="ManualHeading3"/>
        <w:rPr>
          <w:noProof/>
        </w:rPr>
      </w:pPr>
      <w:bookmarkStart w:id="35" w:name="_Toc514938036"/>
      <w:bookmarkStart w:id="36" w:name="_Toc520485039"/>
      <w:r w:rsidRPr="002858D6">
        <w:rPr>
          <w:noProof/>
        </w:rPr>
        <w:t>1.5.5.</w:t>
      </w:r>
      <w:r w:rsidRPr="002858D6">
        <w:rPr>
          <w:noProof/>
        </w:rPr>
        <w:tab/>
        <w:t>Avaliação das diferentes opções de financiamento disponíveis, incluindo possibilidades de reafetação</w:t>
      </w:r>
      <w:bookmarkEnd w:id="35"/>
      <w:bookmarkEnd w:id="36"/>
    </w:p>
    <w:p w14:paraId="16065E17"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Os custos necessários serão financiados pelos meios orçamentais existentes.</w:t>
      </w:r>
    </w:p>
    <w:p w14:paraId="0D544AEF" w14:textId="77777777" w:rsidR="004515FC" w:rsidRPr="002858D6" w:rsidRDefault="004515FC" w:rsidP="004515FC">
      <w:pPr>
        <w:pStyle w:val="Text1"/>
        <w:rPr>
          <w:noProof/>
        </w:rPr>
      </w:pPr>
    </w:p>
    <w:p w14:paraId="75CB7D9A" w14:textId="77777777" w:rsidR="004515FC" w:rsidRPr="002858D6" w:rsidRDefault="004515FC" w:rsidP="004515FC">
      <w:pPr>
        <w:pStyle w:val="ManualHeading2"/>
        <w:rPr>
          <w:noProof/>
        </w:rPr>
      </w:pPr>
      <w:r w:rsidRPr="002858D6">
        <w:rPr>
          <w:noProof/>
        </w:rPr>
        <w:br w:type="page"/>
      </w:r>
      <w:bookmarkStart w:id="37" w:name="_Toc514938039"/>
      <w:bookmarkStart w:id="38" w:name="_Toc520485040"/>
      <w:r w:rsidRPr="002858D6">
        <w:rPr>
          <w:noProof/>
        </w:rPr>
        <w:t>1.6.</w:t>
      </w:r>
      <w:r w:rsidRPr="002858D6">
        <w:rPr>
          <w:noProof/>
        </w:rPr>
        <w:tab/>
        <w:t>Duração e impacto financeiro da proposta / iniciativa</w:t>
      </w:r>
      <w:bookmarkEnd w:id="37"/>
      <w:bookmarkEnd w:id="38"/>
    </w:p>
    <w:p w14:paraId="1A9E616D" w14:textId="77777777" w:rsidR="004515FC" w:rsidRPr="002858D6" w:rsidRDefault="004515FC" w:rsidP="004515FC">
      <w:pPr>
        <w:pStyle w:val="Text1"/>
        <w:rPr>
          <w:noProof/>
        </w:rPr>
      </w:pPr>
      <w:r w:rsidRPr="002858D6">
        <w:rPr>
          <w:rFonts w:ascii="Wingdings" w:hAnsi="Wingdings"/>
          <w:noProof/>
        </w:rPr>
        <w:t></w:t>
      </w:r>
      <w:r w:rsidRPr="002858D6">
        <w:rPr>
          <w:b/>
          <w:i/>
          <w:noProof/>
        </w:rPr>
        <w:t xml:space="preserve"> </w:t>
      </w:r>
      <w:r w:rsidRPr="002858D6">
        <w:rPr>
          <w:b/>
          <w:noProof/>
        </w:rPr>
        <w:t xml:space="preserve">duração limitada </w:t>
      </w:r>
    </w:p>
    <w:p w14:paraId="490C5C67" w14:textId="77777777" w:rsidR="004515FC" w:rsidRPr="002858D6" w:rsidRDefault="004515FC" w:rsidP="004515FC">
      <w:pPr>
        <w:pStyle w:val="ListDash2"/>
        <w:rPr>
          <w:noProof/>
        </w:rPr>
      </w:pPr>
      <w:r w:rsidRPr="002858D6">
        <w:rPr>
          <w:rFonts w:ascii="Wingdings" w:hAnsi="Wingdings"/>
          <w:noProof/>
        </w:rPr>
        <w:t></w:t>
      </w:r>
      <w:r w:rsidRPr="002858D6">
        <w:rPr>
          <w:noProof/>
        </w:rPr>
        <w:tab/>
        <w:t xml:space="preserve">em vigor entre DD/MM/AAAA e DD/MM/AAAA, </w:t>
      </w:r>
    </w:p>
    <w:p w14:paraId="7A41B208" w14:textId="77777777" w:rsidR="004515FC" w:rsidRPr="002858D6" w:rsidRDefault="004515FC" w:rsidP="004515FC">
      <w:pPr>
        <w:pStyle w:val="ListDash2"/>
        <w:rPr>
          <w:noProof/>
        </w:rPr>
      </w:pPr>
      <w:r w:rsidRPr="002858D6">
        <w:rPr>
          <w:rFonts w:ascii="Wingdings" w:hAnsi="Wingdings"/>
          <w:noProof/>
        </w:rPr>
        <w:t></w:t>
      </w:r>
      <w:r w:rsidRPr="002858D6">
        <w:rPr>
          <w:noProof/>
        </w:rPr>
        <w:tab/>
        <w:t xml:space="preserve">Impacto financeiro no período compreendido entre AAAA e AAAA para as dotações de autorização e entre AAAA a AAAA para as dotações de pagamento. </w:t>
      </w:r>
    </w:p>
    <w:p w14:paraId="4557DC36" w14:textId="77777777" w:rsidR="004515FC" w:rsidRPr="002858D6" w:rsidRDefault="004515FC" w:rsidP="004515FC">
      <w:pPr>
        <w:pStyle w:val="Text1"/>
        <w:rPr>
          <w:noProof/>
        </w:rPr>
      </w:pPr>
      <w:r w:rsidRPr="002858D6">
        <w:rPr>
          <w:rFonts w:ascii="Wingdings" w:hAnsi="Wingdings"/>
          <w:noProof/>
        </w:rPr>
        <w:t></w:t>
      </w:r>
      <w:r w:rsidRPr="002858D6">
        <w:rPr>
          <w:b/>
          <w:i/>
          <w:noProof/>
        </w:rPr>
        <w:t xml:space="preserve"> </w:t>
      </w:r>
      <w:r w:rsidRPr="002858D6">
        <w:rPr>
          <w:b/>
          <w:noProof/>
        </w:rPr>
        <w:t>duração limitada</w:t>
      </w:r>
    </w:p>
    <w:p w14:paraId="56A7CE78" w14:textId="77777777" w:rsidR="004515FC" w:rsidRPr="002858D6" w:rsidRDefault="004515FC" w:rsidP="004515FC">
      <w:pPr>
        <w:pStyle w:val="ListDash1"/>
        <w:rPr>
          <w:noProof/>
        </w:rPr>
      </w:pPr>
      <w:r w:rsidRPr="002858D6">
        <w:rPr>
          <w:noProof/>
        </w:rPr>
        <w:t>Aplicação com um período de arranque progressivo entre 2024 e 2026,</w:t>
      </w:r>
    </w:p>
    <w:p w14:paraId="7EA8BD0A" w14:textId="77777777" w:rsidR="004515FC" w:rsidRPr="002858D6" w:rsidRDefault="004515FC" w:rsidP="004515FC">
      <w:pPr>
        <w:pStyle w:val="ListDash1"/>
        <w:rPr>
          <w:noProof/>
        </w:rPr>
      </w:pPr>
      <w:r w:rsidRPr="002858D6">
        <w:rPr>
          <w:noProof/>
        </w:rPr>
        <w:t>seguido de um período de aplicação a um ritmo de cruzeiro.</w:t>
      </w:r>
    </w:p>
    <w:p w14:paraId="2A69149B" w14:textId="51629D7F" w:rsidR="004515FC" w:rsidRPr="002858D6" w:rsidRDefault="004515FC" w:rsidP="004515FC">
      <w:pPr>
        <w:pStyle w:val="ManualHeading2"/>
        <w:rPr>
          <w:noProof/>
        </w:rPr>
      </w:pPr>
      <w:bookmarkStart w:id="39" w:name="_Toc514938040"/>
      <w:bookmarkStart w:id="40" w:name="_Toc520485041"/>
      <w:r w:rsidRPr="002858D6">
        <w:rPr>
          <w:noProof/>
        </w:rPr>
        <w:t>1.7.</w:t>
      </w:r>
      <w:r w:rsidRPr="002858D6">
        <w:rPr>
          <w:noProof/>
        </w:rPr>
        <w:tab/>
        <w:t>Método(s) de execução orçamental previsto(s)</w:t>
      </w:r>
      <w:bookmarkEnd w:id="39"/>
      <w:bookmarkEnd w:id="40"/>
      <w:r w:rsidRPr="002858D6">
        <w:rPr>
          <w:rStyle w:val="FootnoteReference0"/>
          <w:noProof/>
        </w:rPr>
        <w:t xml:space="preserve"> </w:t>
      </w:r>
    </w:p>
    <w:p w14:paraId="1C484E69" w14:textId="77777777" w:rsidR="004515FC" w:rsidRPr="002858D6" w:rsidRDefault="004515FC" w:rsidP="004515FC">
      <w:pPr>
        <w:pStyle w:val="Text1"/>
        <w:rPr>
          <w:noProof/>
        </w:rPr>
      </w:pPr>
      <w:r w:rsidRPr="002858D6">
        <w:rPr>
          <w:rFonts w:ascii="Wingdings" w:hAnsi="Wingdings"/>
          <w:noProof/>
        </w:rPr>
        <w:t></w:t>
      </w:r>
      <w:r w:rsidRPr="002858D6">
        <w:rPr>
          <w:i/>
          <w:noProof/>
        </w:rPr>
        <w:t xml:space="preserve"> </w:t>
      </w:r>
      <w:r w:rsidRPr="002858D6">
        <w:rPr>
          <w:b/>
          <w:noProof/>
        </w:rPr>
        <w:t>Gestão direta</w:t>
      </w:r>
      <w:r w:rsidRPr="002858D6">
        <w:rPr>
          <w:noProof/>
        </w:rPr>
        <w:t xml:space="preserve"> pela Comissão</w:t>
      </w:r>
    </w:p>
    <w:p w14:paraId="1CF4CC4B" w14:textId="77777777" w:rsidR="004515FC" w:rsidRPr="002858D6" w:rsidRDefault="004515FC" w:rsidP="004515FC">
      <w:pPr>
        <w:pStyle w:val="ListDash2"/>
        <w:rPr>
          <w:rFonts w:cs="EUAlbertina"/>
          <w:noProof/>
        </w:rPr>
      </w:pPr>
      <w:r w:rsidRPr="002858D6">
        <w:rPr>
          <w:rFonts w:ascii="Wingdings" w:hAnsi="Wingdings"/>
          <w:noProof/>
        </w:rPr>
        <w:t></w:t>
      </w:r>
      <w:r w:rsidRPr="002858D6">
        <w:rPr>
          <w:noProof/>
        </w:rPr>
        <w:t xml:space="preserve"> pelos seus serviços, incluindo o pessoal nas delegações da União; </w:t>
      </w:r>
    </w:p>
    <w:p w14:paraId="764E0AEC" w14:textId="77777777" w:rsidR="004515FC" w:rsidRPr="002858D6" w:rsidRDefault="004515FC" w:rsidP="004515FC">
      <w:pPr>
        <w:pStyle w:val="ListDash2"/>
        <w:rPr>
          <w:noProof/>
        </w:rPr>
      </w:pPr>
      <w:r w:rsidRPr="002858D6">
        <w:rPr>
          <w:rFonts w:ascii="Wingdings" w:hAnsi="Wingdings"/>
          <w:noProof/>
        </w:rPr>
        <w:t></w:t>
      </w:r>
      <w:r w:rsidRPr="002858D6">
        <w:rPr>
          <w:noProof/>
        </w:rPr>
        <w:tab/>
        <w:t xml:space="preserve">pelas agências de execução. </w:t>
      </w:r>
    </w:p>
    <w:p w14:paraId="2B05E9FC" w14:textId="77777777" w:rsidR="004515FC" w:rsidRPr="002858D6" w:rsidRDefault="004515FC" w:rsidP="004515FC">
      <w:pPr>
        <w:pStyle w:val="Text1"/>
        <w:rPr>
          <w:noProof/>
        </w:rPr>
      </w:pPr>
      <w:r w:rsidRPr="002858D6">
        <w:rPr>
          <w:rFonts w:ascii="Wingdings" w:hAnsi="Wingdings"/>
          <w:noProof/>
        </w:rPr>
        <w:t></w:t>
      </w:r>
      <w:r w:rsidRPr="002858D6">
        <w:rPr>
          <w:b/>
          <w:i/>
          <w:noProof/>
        </w:rPr>
        <w:t xml:space="preserve"> </w:t>
      </w:r>
      <w:r w:rsidRPr="002858D6">
        <w:rPr>
          <w:b/>
          <w:noProof/>
        </w:rPr>
        <w:t>Gestão partilhada</w:t>
      </w:r>
      <w:r w:rsidRPr="002858D6">
        <w:rPr>
          <w:noProof/>
        </w:rPr>
        <w:t xml:space="preserve"> com os Estados-Membros </w:t>
      </w:r>
    </w:p>
    <w:p w14:paraId="1CEE31E7" w14:textId="77777777" w:rsidR="004515FC" w:rsidRPr="002858D6" w:rsidRDefault="004515FC" w:rsidP="004515FC">
      <w:pPr>
        <w:pStyle w:val="Text1"/>
        <w:rPr>
          <w:noProof/>
        </w:rPr>
      </w:pPr>
      <w:r w:rsidRPr="002858D6">
        <w:rPr>
          <w:rFonts w:ascii="Wingdings" w:hAnsi="Wingdings"/>
          <w:noProof/>
        </w:rPr>
        <w:t></w:t>
      </w:r>
      <w:r w:rsidRPr="002858D6">
        <w:rPr>
          <w:i/>
          <w:noProof/>
        </w:rPr>
        <w:t xml:space="preserve"> </w:t>
      </w:r>
      <w:r w:rsidRPr="002858D6">
        <w:rPr>
          <w:b/>
          <w:noProof/>
        </w:rPr>
        <w:t>Gestão indireta</w:t>
      </w:r>
      <w:r w:rsidRPr="002858D6">
        <w:rPr>
          <w:noProof/>
        </w:rPr>
        <w:t xml:space="preserve"> por delegação de tarefas de execução orçamental:</w:t>
      </w:r>
    </w:p>
    <w:p w14:paraId="78FD3E16" w14:textId="77777777" w:rsidR="004515FC" w:rsidRPr="002858D6" w:rsidRDefault="004515FC" w:rsidP="004515FC">
      <w:pPr>
        <w:pStyle w:val="ListDash2"/>
        <w:rPr>
          <w:noProof/>
        </w:rPr>
      </w:pPr>
      <w:r w:rsidRPr="002858D6">
        <w:rPr>
          <w:rFonts w:ascii="Wingdings" w:hAnsi="Wingdings"/>
          <w:noProof/>
        </w:rPr>
        <w:t></w:t>
      </w:r>
      <w:r w:rsidRPr="002858D6">
        <w:rPr>
          <w:noProof/>
        </w:rPr>
        <w:t xml:space="preserve"> em países terceiros ou nos organismos por estes designados;</w:t>
      </w:r>
    </w:p>
    <w:p w14:paraId="2643C3A9" w14:textId="77777777" w:rsidR="004515FC" w:rsidRPr="002858D6" w:rsidRDefault="004515FC" w:rsidP="004515FC">
      <w:pPr>
        <w:pStyle w:val="ListDash2"/>
        <w:rPr>
          <w:noProof/>
        </w:rPr>
      </w:pPr>
      <w:r w:rsidRPr="002858D6">
        <w:rPr>
          <w:rFonts w:ascii="Wingdings" w:hAnsi="Wingdings"/>
          <w:noProof/>
        </w:rPr>
        <w:t></w:t>
      </w:r>
      <w:r w:rsidRPr="002858D6">
        <w:rPr>
          <w:noProof/>
        </w:rPr>
        <w:t xml:space="preserve"> em organizações internacionais e respetivas agências (a especificar);</w:t>
      </w:r>
    </w:p>
    <w:p w14:paraId="10B5F301" w14:textId="77777777" w:rsidR="004515FC" w:rsidRPr="002858D6" w:rsidRDefault="004515FC" w:rsidP="004515FC">
      <w:pPr>
        <w:pStyle w:val="ListDash2"/>
        <w:rPr>
          <w:noProof/>
        </w:rPr>
      </w:pPr>
      <w:r w:rsidRPr="002858D6">
        <w:rPr>
          <w:rFonts w:ascii="Wingdings" w:hAnsi="Wingdings"/>
          <w:noProof/>
        </w:rPr>
        <w:t></w:t>
      </w:r>
      <w:r w:rsidRPr="002858D6">
        <w:rPr>
          <w:noProof/>
        </w:rPr>
        <w:t xml:space="preserve"> no BEI e no Fundo Europeu de Investimento;</w:t>
      </w:r>
    </w:p>
    <w:p w14:paraId="2F382137" w14:textId="77777777" w:rsidR="004515FC" w:rsidRPr="002858D6" w:rsidRDefault="004515FC" w:rsidP="004515FC">
      <w:pPr>
        <w:pStyle w:val="ListDash2"/>
        <w:rPr>
          <w:noProof/>
        </w:rPr>
      </w:pPr>
      <w:r w:rsidRPr="002858D6">
        <w:rPr>
          <w:rFonts w:ascii="Wingdings" w:hAnsi="Wingdings"/>
          <w:noProof/>
        </w:rPr>
        <w:t></w:t>
      </w:r>
      <w:r w:rsidRPr="002858D6">
        <w:rPr>
          <w:noProof/>
        </w:rPr>
        <w:t xml:space="preserve"> nos organismos referidos nos artigos 70.º e 71.º do Regulamento Financeiro;</w:t>
      </w:r>
    </w:p>
    <w:p w14:paraId="175F0922" w14:textId="77777777" w:rsidR="004515FC" w:rsidRPr="002858D6" w:rsidRDefault="004515FC" w:rsidP="004515FC">
      <w:pPr>
        <w:pStyle w:val="ListDash2"/>
        <w:rPr>
          <w:noProof/>
        </w:rPr>
      </w:pPr>
      <w:r w:rsidRPr="002858D6">
        <w:rPr>
          <w:rFonts w:ascii="Wingdings" w:hAnsi="Wingdings"/>
          <w:noProof/>
        </w:rPr>
        <w:t></w:t>
      </w:r>
      <w:r w:rsidRPr="002858D6">
        <w:rPr>
          <w:noProof/>
        </w:rPr>
        <w:t xml:space="preserve"> em organismos de direito público;</w:t>
      </w:r>
    </w:p>
    <w:p w14:paraId="33EE2223" w14:textId="77777777" w:rsidR="004515FC" w:rsidRPr="002858D6" w:rsidRDefault="004515FC" w:rsidP="004515FC">
      <w:pPr>
        <w:pStyle w:val="ListDash2"/>
        <w:rPr>
          <w:noProof/>
        </w:rPr>
      </w:pPr>
      <w:r w:rsidRPr="002858D6">
        <w:rPr>
          <w:rFonts w:ascii="Wingdings" w:hAnsi="Wingdings"/>
          <w:noProof/>
        </w:rPr>
        <w:t></w:t>
      </w:r>
      <w:r w:rsidRPr="002858D6">
        <w:rPr>
          <w:noProof/>
        </w:rPr>
        <w:t xml:space="preserve"> em organismos regidos pelo direito privado com uma missão de serviço público desde que prestem garantias financeiras adequadas;</w:t>
      </w:r>
    </w:p>
    <w:p w14:paraId="51A068D0" w14:textId="77777777" w:rsidR="004515FC" w:rsidRPr="002858D6" w:rsidRDefault="004515FC" w:rsidP="004515FC">
      <w:pPr>
        <w:pStyle w:val="ListDash2"/>
        <w:rPr>
          <w:noProof/>
        </w:rPr>
      </w:pPr>
      <w:r w:rsidRPr="002858D6">
        <w:rPr>
          <w:rFonts w:ascii="Wingdings" w:hAnsi="Wingdings"/>
          <w:noProof/>
        </w:rPr>
        <w:t></w:t>
      </w:r>
      <w:r w:rsidRPr="002858D6">
        <w:rPr>
          <w:noProof/>
        </w:rPr>
        <w:t xml:space="preserve"> em organismos regidos pelo direito privado de um Estado-Membro com a responsabilidade pela execução de uma parceria público-privada e que prestem garantias financeiras adequadas;</w:t>
      </w:r>
    </w:p>
    <w:p w14:paraId="11E1D413" w14:textId="77777777" w:rsidR="004515FC" w:rsidRPr="002858D6" w:rsidRDefault="004515FC" w:rsidP="004515FC">
      <w:pPr>
        <w:pStyle w:val="ListDash2"/>
        <w:rPr>
          <w:noProof/>
        </w:rPr>
      </w:pPr>
      <w:r w:rsidRPr="002858D6">
        <w:rPr>
          <w:rFonts w:ascii="Wingdings" w:hAnsi="Wingdings"/>
          <w:noProof/>
        </w:rPr>
        <w:t></w:t>
      </w:r>
      <w:r w:rsidRPr="002858D6">
        <w:rPr>
          <w:noProof/>
        </w:rPr>
        <w:t xml:space="preserve"> organismos e pessoas encarregadas da execução de ações específicas no quadro da PESC por força do título V do Tratado da União Europeia, identificadas no ato de base pertinente.</w:t>
      </w:r>
    </w:p>
    <w:p w14:paraId="1F918E95" w14:textId="77777777" w:rsidR="004515FC" w:rsidRPr="002858D6" w:rsidRDefault="004515FC" w:rsidP="004515FC">
      <w:pPr>
        <w:pStyle w:val="ListDash2"/>
        <w:rPr>
          <w:i/>
          <w:noProof/>
          <w:sz w:val="18"/>
          <w:u w:val="single"/>
        </w:rPr>
      </w:pPr>
      <w:r w:rsidRPr="002858D6">
        <w:rPr>
          <w:i/>
          <w:noProof/>
          <w:sz w:val="18"/>
        </w:rPr>
        <w:t>Se assinalar mais de uma modalidade de gestão, queira especificar na secção «Observações».</w:t>
      </w:r>
    </w:p>
    <w:p w14:paraId="2E17AE04" w14:textId="77777777" w:rsidR="004515FC" w:rsidRPr="002858D6" w:rsidRDefault="004515FC" w:rsidP="004515FC">
      <w:pPr>
        <w:rPr>
          <w:noProof/>
        </w:rPr>
      </w:pPr>
      <w:r w:rsidRPr="002858D6">
        <w:rPr>
          <w:noProof/>
        </w:rPr>
        <w:t xml:space="preserve">Observações </w:t>
      </w:r>
    </w:p>
    <w:p w14:paraId="5D7B98A8" w14:textId="77777777" w:rsidR="004515FC" w:rsidRPr="002858D6" w:rsidRDefault="004515FC" w:rsidP="004515FC">
      <w:pPr>
        <w:pBdr>
          <w:top w:val="single" w:sz="4" w:space="1" w:color="auto"/>
          <w:left w:val="single" w:sz="4" w:space="4" w:color="auto"/>
          <w:bottom w:val="single" w:sz="4" w:space="1" w:color="auto"/>
          <w:right w:val="single" w:sz="4" w:space="4" w:color="auto"/>
        </w:pBdr>
        <w:rPr>
          <w:noProof/>
        </w:rPr>
        <w:sectPr w:rsidR="004515FC" w:rsidRPr="002858D6" w:rsidSect="007A1735">
          <w:pgSz w:w="11907" w:h="16840" w:code="9"/>
          <w:pgMar w:top="1134" w:right="1418" w:bottom="1134" w:left="1418" w:header="709" w:footer="709" w:gutter="0"/>
          <w:cols w:space="708"/>
          <w:docGrid w:linePitch="360"/>
        </w:sectPr>
      </w:pPr>
      <w:r w:rsidRPr="002858D6">
        <w:rPr>
          <w:noProof/>
        </w:rPr>
        <w:t xml:space="preserve"> </w:t>
      </w:r>
    </w:p>
    <w:p w14:paraId="699C50A0" w14:textId="77777777" w:rsidR="004515FC" w:rsidRPr="002858D6" w:rsidRDefault="004515FC" w:rsidP="004515FC">
      <w:pPr>
        <w:pStyle w:val="ManualHeading1"/>
        <w:rPr>
          <w:noProof/>
        </w:rPr>
      </w:pPr>
      <w:bookmarkStart w:id="41" w:name="_Toc514938041"/>
      <w:bookmarkStart w:id="42" w:name="_Toc520485042"/>
      <w:r w:rsidRPr="002858D6">
        <w:rPr>
          <w:noProof/>
        </w:rPr>
        <w:t>2.</w:t>
      </w:r>
      <w:r w:rsidRPr="002858D6">
        <w:rPr>
          <w:noProof/>
        </w:rPr>
        <w:tab/>
        <w:t>MEDIDAS DE GESTÃO</w:t>
      </w:r>
      <w:bookmarkEnd w:id="41"/>
      <w:bookmarkEnd w:id="42"/>
      <w:r w:rsidRPr="002858D6">
        <w:rPr>
          <w:noProof/>
        </w:rPr>
        <w:t xml:space="preserve"> </w:t>
      </w:r>
    </w:p>
    <w:p w14:paraId="2CCE0409" w14:textId="77777777" w:rsidR="004515FC" w:rsidRPr="002858D6" w:rsidRDefault="004515FC" w:rsidP="004515FC">
      <w:pPr>
        <w:pStyle w:val="ManualHeading2"/>
        <w:rPr>
          <w:noProof/>
        </w:rPr>
      </w:pPr>
      <w:bookmarkStart w:id="43" w:name="_Toc514938042"/>
      <w:bookmarkStart w:id="44" w:name="_Toc520485043"/>
      <w:r w:rsidRPr="002858D6">
        <w:rPr>
          <w:noProof/>
        </w:rPr>
        <w:t>2.1.</w:t>
      </w:r>
      <w:r w:rsidRPr="002858D6">
        <w:rPr>
          <w:noProof/>
        </w:rPr>
        <w:tab/>
        <w:t>Disposições em matéria de acompanhamento e prestação de informações</w:t>
      </w:r>
      <w:bookmarkEnd w:id="43"/>
      <w:bookmarkEnd w:id="44"/>
      <w:r w:rsidRPr="002858D6">
        <w:rPr>
          <w:noProof/>
        </w:rPr>
        <w:t xml:space="preserve"> </w:t>
      </w:r>
    </w:p>
    <w:p w14:paraId="767D950C" w14:textId="77777777" w:rsidR="004515FC" w:rsidRPr="002858D6" w:rsidRDefault="004515FC" w:rsidP="004515FC">
      <w:pPr>
        <w:pStyle w:val="Text1"/>
        <w:rPr>
          <w:i/>
          <w:noProof/>
          <w:sz w:val="20"/>
        </w:rPr>
      </w:pPr>
      <w:r w:rsidRPr="002858D6">
        <w:rPr>
          <w:i/>
          <w:noProof/>
          <w:sz w:val="20"/>
        </w:rPr>
        <w:t>Especificar a periodicidade e as condições.</w:t>
      </w:r>
    </w:p>
    <w:p w14:paraId="4ACBEE03" w14:textId="68CDDF83"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A diretiva deve ser avaliada oito anos após o termo do seu prazo de transposição. A Comissão comunica as suas conclusões ao Parlamento Europeu e ao Conselho.</w:t>
      </w:r>
    </w:p>
    <w:p w14:paraId="0C76BE49" w14:textId="77777777" w:rsidR="004515FC" w:rsidRPr="002858D6" w:rsidRDefault="004515FC" w:rsidP="004515FC">
      <w:pPr>
        <w:pStyle w:val="ManualHeading2"/>
        <w:rPr>
          <w:noProof/>
        </w:rPr>
      </w:pPr>
      <w:bookmarkStart w:id="45" w:name="_Toc514938045"/>
      <w:bookmarkStart w:id="46" w:name="_Toc520485044"/>
      <w:r w:rsidRPr="002858D6">
        <w:rPr>
          <w:noProof/>
        </w:rPr>
        <w:t>2.2.</w:t>
      </w:r>
      <w:r w:rsidRPr="002858D6">
        <w:rPr>
          <w:noProof/>
        </w:rPr>
        <w:tab/>
        <w:t>Sistema(s) de gestão e de controlo</w:t>
      </w:r>
      <w:bookmarkEnd w:id="45"/>
      <w:bookmarkEnd w:id="46"/>
      <w:r w:rsidRPr="002858D6">
        <w:rPr>
          <w:noProof/>
        </w:rPr>
        <w:t xml:space="preserve"> </w:t>
      </w:r>
    </w:p>
    <w:p w14:paraId="426EBE27" w14:textId="77777777" w:rsidR="004515FC" w:rsidRPr="002858D6" w:rsidRDefault="004515FC" w:rsidP="004515FC">
      <w:pPr>
        <w:pStyle w:val="ManualHeading3"/>
        <w:rPr>
          <w:noProof/>
        </w:rPr>
      </w:pPr>
      <w:bookmarkStart w:id="47" w:name="_Toc514938046"/>
      <w:bookmarkStart w:id="48" w:name="_Toc520485045"/>
      <w:r w:rsidRPr="002858D6">
        <w:rPr>
          <w:noProof/>
        </w:rPr>
        <w:t>2.2.1.</w:t>
      </w:r>
      <w:r w:rsidRPr="002858D6">
        <w:rPr>
          <w:noProof/>
        </w:rPr>
        <w:tab/>
        <w:t>Justificação da(s) modalidade(s) de gestão, do(s) mecanismo(s) de execução do financiamento, das modalidades de pagamento e da estratégia de controlo propostos</w:t>
      </w:r>
      <w:bookmarkEnd w:id="47"/>
      <w:bookmarkEnd w:id="48"/>
    </w:p>
    <w:p w14:paraId="2D81AA85"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A presente proposta não altera a modalidade de gestão, os mecanismos de execução do financiamento, as modalidades de pagamento nem a estratégia de controlo já em vigor e utilizados pela Comissão.</w:t>
      </w:r>
    </w:p>
    <w:p w14:paraId="62778DAD" w14:textId="77777777" w:rsidR="004515FC" w:rsidRPr="002858D6" w:rsidRDefault="004515FC" w:rsidP="004515FC">
      <w:pPr>
        <w:pStyle w:val="ManualHeading3"/>
        <w:rPr>
          <w:noProof/>
        </w:rPr>
      </w:pPr>
      <w:bookmarkStart w:id="49" w:name="_Toc514938047"/>
      <w:bookmarkStart w:id="50" w:name="_Toc520485046"/>
      <w:r w:rsidRPr="002858D6">
        <w:rPr>
          <w:noProof/>
        </w:rPr>
        <w:t>2.2.2.</w:t>
      </w:r>
      <w:r w:rsidRPr="002858D6">
        <w:rPr>
          <w:noProof/>
        </w:rPr>
        <w:tab/>
        <w:t>Informações sobre os riscos identificados e o(s) sistema(s) de controlo interno criado(s) para os atenuar</w:t>
      </w:r>
      <w:bookmarkEnd w:id="49"/>
      <w:bookmarkEnd w:id="50"/>
    </w:p>
    <w:p w14:paraId="1F830C21"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2858D6">
        <w:rPr>
          <w:noProof/>
        </w:rPr>
        <w:t>A ficha financeira legislativa diz respeito às despesas de pessoal, aplicando-se riscos normalizados e sistemas de controlo a este tipo de despesas.</w:t>
      </w:r>
    </w:p>
    <w:p w14:paraId="0174FF25" w14:textId="77777777" w:rsidR="004515FC" w:rsidRPr="002858D6" w:rsidRDefault="004515FC" w:rsidP="004515FC">
      <w:pPr>
        <w:pStyle w:val="ManualHeading3"/>
        <w:rPr>
          <w:noProof/>
        </w:rPr>
      </w:pPr>
      <w:bookmarkStart w:id="51" w:name="_Toc514938048"/>
      <w:bookmarkStart w:id="52" w:name="_Toc520485047"/>
      <w:r w:rsidRPr="002858D6">
        <w:rPr>
          <w:noProof/>
        </w:rPr>
        <w:t>2.2.3.</w:t>
      </w:r>
      <w:r w:rsidRPr="002858D6">
        <w:rPr>
          <w:noProof/>
        </w:rPr>
        <w:tab/>
        <w:t>Estimativa e justificação da relação custo-eficácia dos controlos (rácio «custos de controlo ÷ valor dos fundos geridos controlados») e avaliação dos níveis previstos de risco de erro (no pagamento e no encerramento)</w:t>
      </w:r>
      <w:bookmarkEnd w:id="51"/>
      <w:bookmarkEnd w:id="52"/>
      <w:r w:rsidRPr="002858D6">
        <w:rPr>
          <w:noProof/>
        </w:rPr>
        <w:t xml:space="preserve"> </w:t>
      </w:r>
    </w:p>
    <w:p w14:paraId="006CE7EA"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r w:rsidRPr="002858D6">
        <w:rPr>
          <w:noProof/>
        </w:rPr>
        <w:t>A presente iniciativa não afeta a relação custo-eficácia dos controlos existentes da Comissão.</w:t>
      </w:r>
    </w:p>
    <w:p w14:paraId="6D09BBB2" w14:textId="77777777" w:rsidR="004515FC" w:rsidRPr="002858D6" w:rsidRDefault="004515FC" w:rsidP="004515FC">
      <w:pPr>
        <w:pStyle w:val="ManualHeading2"/>
        <w:rPr>
          <w:noProof/>
        </w:rPr>
      </w:pPr>
      <w:bookmarkStart w:id="53" w:name="_Toc514938049"/>
      <w:bookmarkStart w:id="54" w:name="_Toc520485048"/>
      <w:r w:rsidRPr="002858D6">
        <w:rPr>
          <w:noProof/>
        </w:rPr>
        <w:t>2.3.</w:t>
      </w:r>
      <w:r w:rsidRPr="002858D6">
        <w:rPr>
          <w:noProof/>
        </w:rPr>
        <w:tab/>
        <w:t>Medidas de prevenção de fraudes e irregularidades</w:t>
      </w:r>
      <w:bookmarkEnd w:id="53"/>
      <w:bookmarkEnd w:id="54"/>
      <w:r w:rsidRPr="002858D6">
        <w:rPr>
          <w:noProof/>
        </w:rPr>
        <w:t xml:space="preserve"> </w:t>
      </w:r>
    </w:p>
    <w:p w14:paraId="29729024" w14:textId="77777777" w:rsidR="004515FC" w:rsidRPr="002858D6" w:rsidRDefault="004515FC" w:rsidP="004515FC">
      <w:pPr>
        <w:pStyle w:val="Text1"/>
        <w:rPr>
          <w:i/>
          <w:noProof/>
          <w:sz w:val="20"/>
        </w:rPr>
      </w:pPr>
      <w:r w:rsidRPr="002858D6">
        <w:rPr>
          <w:i/>
          <w:noProof/>
          <w:sz w:val="20"/>
        </w:rPr>
        <w:t>Especificar as medidas de prevenção e de proteção existentes ou previstas, por exemplo, a título da estratégia antifraude.</w:t>
      </w:r>
    </w:p>
    <w:p w14:paraId="2B107299" w14:textId="1ADF7209"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2858D6">
        <w:rPr>
          <w:noProof/>
        </w:rPr>
        <w:t>A ficha financeira legislativa diz respeito às despesas de pessoal</w:t>
      </w:r>
      <w:r w:rsidR="000042FC">
        <w:rPr>
          <w:noProof/>
        </w:rPr>
        <w:t>.</w:t>
      </w:r>
      <w:r w:rsidRPr="002858D6">
        <w:rPr>
          <w:noProof/>
        </w:rPr>
        <w:t xml:space="preserve"> Aplicam-se regras normalizadas a este tipo de despesas.</w:t>
      </w:r>
    </w:p>
    <w:p w14:paraId="31090FEE" w14:textId="77777777" w:rsidR="004515FC" w:rsidRPr="002858D6" w:rsidRDefault="004515FC" w:rsidP="004515FC">
      <w:pPr>
        <w:rPr>
          <w:noProof/>
        </w:rPr>
        <w:sectPr w:rsidR="004515FC" w:rsidRPr="002858D6" w:rsidSect="007A1735">
          <w:pgSz w:w="11907" w:h="16840" w:code="9"/>
          <w:pgMar w:top="1134" w:right="1418" w:bottom="1134" w:left="1418" w:header="709" w:footer="709" w:gutter="0"/>
          <w:cols w:space="708"/>
          <w:docGrid w:linePitch="360"/>
        </w:sectPr>
      </w:pPr>
    </w:p>
    <w:p w14:paraId="43B4E7B7" w14:textId="77777777" w:rsidR="004515FC" w:rsidRPr="002858D6" w:rsidRDefault="004515FC" w:rsidP="004515FC">
      <w:pPr>
        <w:pStyle w:val="ManualHeading1"/>
        <w:rPr>
          <w:noProof/>
        </w:rPr>
      </w:pPr>
      <w:bookmarkStart w:id="55" w:name="_Toc514938050"/>
      <w:bookmarkStart w:id="56" w:name="_Toc520485049"/>
      <w:r w:rsidRPr="002858D6">
        <w:rPr>
          <w:noProof/>
        </w:rPr>
        <w:t>3.</w:t>
      </w:r>
      <w:r w:rsidRPr="002858D6">
        <w:rPr>
          <w:noProof/>
        </w:rPr>
        <w:tab/>
        <w:t>IMPACTO FINANCEIRO ESTIMADO DA PROPOSTA / INICIATIVA</w:t>
      </w:r>
      <w:bookmarkEnd w:id="55"/>
      <w:bookmarkEnd w:id="56"/>
      <w:r w:rsidRPr="002858D6">
        <w:rPr>
          <w:noProof/>
        </w:rPr>
        <w:t xml:space="preserve"> </w:t>
      </w:r>
    </w:p>
    <w:p w14:paraId="0E2A318C" w14:textId="77777777" w:rsidR="004515FC" w:rsidRPr="002858D6" w:rsidRDefault="004515FC" w:rsidP="004515FC">
      <w:pPr>
        <w:pStyle w:val="ManualHeading2"/>
        <w:rPr>
          <w:noProof/>
        </w:rPr>
      </w:pPr>
      <w:bookmarkStart w:id="57" w:name="_Toc514938051"/>
      <w:bookmarkStart w:id="58" w:name="_Toc520485050"/>
      <w:r w:rsidRPr="002858D6">
        <w:rPr>
          <w:noProof/>
        </w:rPr>
        <w:t>3.1.</w:t>
      </w:r>
      <w:r w:rsidRPr="002858D6">
        <w:rPr>
          <w:noProof/>
        </w:rPr>
        <w:tab/>
        <w:t>Rubrica(s) do quadro financeiro plurianual e rubrica(s) orçamental(ais) de despesas envolvida(s)</w:t>
      </w:r>
      <w:bookmarkEnd w:id="57"/>
      <w:bookmarkEnd w:id="58"/>
      <w:r w:rsidRPr="002858D6">
        <w:rPr>
          <w:noProof/>
        </w:rPr>
        <w:t xml:space="preserve"> </w:t>
      </w:r>
    </w:p>
    <w:p w14:paraId="03BB8814" w14:textId="77777777" w:rsidR="004515FC" w:rsidRPr="002858D6" w:rsidRDefault="004515FC" w:rsidP="004515FC">
      <w:pPr>
        <w:pStyle w:val="ListBullet1"/>
        <w:rPr>
          <w:noProof/>
        </w:rPr>
      </w:pPr>
      <w:r w:rsidRPr="002858D6">
        <w:rPr>
          <w:noProof/>
        </w:rPr>
        <w:t xml:space="preserve">Atuais rubricas orçamentais </w:t>
      </w:r>
    </w:p>
    <w:p w14:paraId="4C600DEE" w14:textId="77777777" w:rsidR="004515FC" w:rsidRPr="002858D6" w:rsidRDefault="004515FC" w:rsidP="004515FC">
      <w:pPr>
        <w:pStyle w:val="Text1"/>
        <w:rPr>
          <w:i/>
          <w:noProof/>
        </w:rPr>
      </w:pPr>
      <w:r w:rsidRPr="002858D6">
        <w:rPr>
          <w:i/>
          <w:noProof/>
          <w:u w:val="single"/>
        </w:rPr>
        <w:t>Segundo a ordem</w:t>
      </w:r>
      <w:r w:rsidRPr="002858D6">
        <w:rPr>
          <w:i/>
          <w:noProof/>
        </w:rPr>
        <w:t xml:space="preserve"> das rubricas do quadro financeiro plurianual e das respetivas rubricas orçamentais.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910369" w:rsidRPr="002858D6" w14:paraId="34CD8DE7" w14:textId="77777777">
        <w:tc>
          <w:tcPr>
            <w:tcW w:w="1080" w:type="dxa"/>
            <w:vMerge w:val="restart"/>
            <w:vAlign w:val="center"/>
          </w:tcPr>
          <w:p w14:paraId="1C0332D0" w14:textId="77777777" w:rsidR="004515FC" w:rsidRPr="002858D6" w:rsidRDefault="004515FC" w:rsidP="0029161D">
            <w:pPr>
              <w:spacing w:before="60" w:after="60"/>
              <w:jc w:val="center"/>
              <w:rPr>
                <w:noProof/>
              </w:rPr>
            </w:pPr>
            <w:r w:rsidRPr="002858D6">
              <w:rPr>
                <w:noProof/>
                <w:sz w:val="18"/>
              </w:rPr>
              <w:t>Rubrica do quadro financeiro plurianual</w:t>
            </w:r>
          </w:p>
        </w:tc>
        <w:tc>
          <w:tcPr>
            <w:tcW w:w="3960" w:type="dxa"/>
            <w:vAlign w:val="center"/>
          </w:tcPr>
          <w:p w14:paraId="41C116C0" w14:textId="77777777" w:rsidR="004515FC" w:rsidRPr="002858D6" w:rsidRDefault="004515FC" w:rsidP="0029161D">
            <w:pPr>
              <w:spacing w:before="60" w:after="60"/>
              <w:jc w:val="center"/>
              <w:rPr>
                <w:noProof/>
              </w:rPr>
            </w:pPr>
            <w:r w:rsidRPr="002858D6">
              <w:rPr>
                <w:noProof/>
                <w:sz w:val="20"/>
              </w:rPr>
              <w:t>Rubrica orçamental</w:t>
            </w:r>
          </w:p>
        </w:tc>
        <w:tc>
          <w:tcPr>
            <w:tcW w:w="1080" w:type="dxa"/>
            <w:vAlign w:val="center"/>
          </w:tcPr>
          <w:p w14:paraId="27929EA4" w14:textId="77777777" w:rsidR="004515FC" w:rsidRPr="002858D6" w:rsidRDefault="004515FC" w:rsidP="0029161D">
            <w:pPr>
              <w:spacing w:before="60" w:after="60"/>
              <w:jc w:val="center"/>
              <w:rPr>
                <w:noProof/>
              </w:rPr>
            </w:pPr>
            <w:r w:rsidRPr="002858D6">
              <w:rPr>
                <w:noProof/>
                <w:sz w:val="18"/>
              </w:rPr>
              <w:t>Tipo de</w:t>
            </w:r>
            <w:r w:rsidRPr="002858D6">
              <w:rPr>
                <w:noProof/>
              </w:rPr>
              <w:cr/>
            </w:r>
            <w:r w:rsidRPr="002858D6">
              <w:rPr>
                <w:noProof/>
              </w:rPr>
              <w:br/>
            </w:r>
            <w:r w:rsidRPr="002858D6">
              <w:rPr>
                <w:noProof/>
                <w:sz w:val="18"/>
              </w:rPr>
              <w:t>despesa</w:t>
            </w:r>
          </w:p>
        </w:tc>
        <w:tc>
          <w:tcPr>
            <w:tcW w:w="4440" w:type="dxa"/>
            <w:gridSpan w:val="4"/>
            <w:vAlign w:val="center"/>
          </w:tcPr>
          <w:p w14:paraId="3EDCB9B8" w14:textId="77777777" w:rsidR="004515FC" w:rsidRPr="002858D6" w:rsidRDefault="004515FC" w:rsidP="0029161D">
            <w:pPr>
              <w:spacing w:before="60" w:after="60"/>
              <w:jc w:val="center"/>
              <w:rPr>
                <w:noProof/>
              </w:rPr>
            </w:pPr>
            <w:r w:rsidRPr="002858D6">
              <w:rPr>
                <w:noProof/>
                <w:sz w:val="20"/>
              </w:rPr>
              <w:t xml:space="preserve">Participação </w:t>
            </w:r>
          </w:p>
        </w:tc>
      </w:tr>
      <w:tr w:rsidR="00910369" w:rsidRPr="002858D6" w14:paraId="6AD600CD" w14:textId="77777777">
        <w:tc>
          <w:tcPr>
            <w:tcW w:w="1080" w:type="dxa"/>
            <w:vMerge/>
            <w:vAlign w:val="center"/>
          </w:tcPr>
          <w:p w14:paraId="4CC9AA63" w14:textId="77777777" w:rsidR="004515FC" w:rsidRPr="002858D6" w:rsidRDefault="004515FC" w:rsidP="0029161D">
            <w:pPr>
              <w:jc w:val="center"/>
              <w:rPr>
                <w:noProof/>
              </w:rPr>
            </w:pPr>
          </w:p>
        </w:tc>
        <w:tc>
          <w:tcPr>
            <w:tcW w:w="3960" w:type="dxa"/>
            <w:vAlign w:val="center"/>
          </w:tcPr>
          <w:p w14:paraId="6F9A7F23" w14:textId="77777777" w:rsidR="004515FC" w:rsidRPr="002858D6" w:rsidRDefault="004515FC" w:rsidP="0029161D">
            <w:pPr>
              <w:rPr>
                <w:noProof/>
              </w:rPr>
            </w:pPr>
            <w:r w:rsidRPr="002858D6">
              <w:rPr>
                <w:noProof/>
                <w:sz w:val="20"/>
              </w:rPr>
              <w:t xml:space="preserve">Número </w:t>
            </w:r>
            <w:r w:rsidRPr="002858D6">
              <w:rPr>
                <w:noProof/>
              </w:rPr>
              <w:t xml:space="preserve"> </w:t>
            </w:r>
            <w:r w:rsidRPr="002858D6">
              <w:rPr>
                <w:noProof/>
              </w:rPr>
              <w:cr/>
            </w:r>
            <w:r w:rsidRPr="002858D6">
              <w:rPr>
                <w:noProof/>
              </w:rPr>
              <w:br/>
            </w:r>
          </w:p>
        </w:tc>
        <w:tc>
          <w:tcPr>
            <w:tcW w:w="1080" w:type="dxa"/>
            <w:vAlign w:val="center"/>
          </w:tcPr>
          <w:p w14:paraId="150C667E" w14:textId="77777777" w:rsidR="004515FC" w:rsidRPr="002858D6" w:rsidRDefault="004515FC" w:rsidP="0029161D">
            <w:pPr>
              <w:jc w:val="center"/>
              <w:rPr>
                <w:noProof/>
              </w:rPr>
            </w:pPr>
            <w:r w:rsidRPr="002858D6">
              <w:rPr>
                <w:noProof/>
                <w:sz w:val="18"/>
              </w:rPr>
              <w:t>DD / DND</w:t>
            </w:r>
            <w:r w:rsidRPr="002858D6">
              <w:rPr>
                <w:rStyle w:val="FootnoteReference0"/>
                <w:noProof/>
                <w:sz w:val="18"/>
              </w:rPr>
              <w:footnoteReference w:id="41"/>
            </w:r>
          </w:p>
        </w:tc>
        <w:tc>
          <w:tcPr>
            <w:tcW w:w="956" w:type="dxa"/>
            <w:vAlign w:val="center"/>
          </w:tcPr>
          <w:p w14:paraId="17C49E28" w14:textId="77777777" w:rsidR="004515FC" w:rsidRPr="002858D6" w:rsidRDefault="004515FC" w:rsidP="0029161D">
            <w:pPr>
              <w:jc w:val="center"/>
              <w:rPr>
                <w:b/>
                <w:noProof/>
                <w:sz w:val="18"/>
              </w:rPr>
            </w:pPr>
            <w:r w:rsidRPr="002858D6">
              <w:rPr>
                <w:noProof/>
                <w:sz w:val="18"/>
              </w:rPr>
              <w:t>dos países da EFTA</w:t>
            </w:r>
            <w:r w:rsidRPr="002858D6">
              <w:rPr>
                <w:rStyle w:val="FootnoteReference0"/>
                <w:noProof/>
                <w:sz w:val="18"/>
              </w:rPr>
              <w:footnoteReference w:id="42"/>
            </w:r>
          </w:p>
        </w:tc>
        <w:tc>
          <w:tcPr>
            <w:tcW w:w="1080" w:type="dxa"/>
            <w:vAlign w:val="center"/>
          </w:tcPr>
          <w:p w14:paraId="6CF428B7" w14:textId="77777777" w:rsidR="004515FC" w:rsidRPr="002858D6" w:rsidRDefault="004515FC" w:rsidP="0029161D">
            <w:pPr>
              <w:jc w:val="center"/>
              <w:rPr>
                <w:noProof/>
                <w:sz w:val="18"/>
              </w:rPr>
            </w:pPr>
            <w:r w:rsidRPr="002858D6">
              <w:rPr>
                <w:noProof/>
                <w:sz w:val="18"/>
              </w:rPr>
              <w:t>de países candidatos e países candidatos potenciais</w:t>
            </w:r>
            <w:r w:rsidRPr="002858D6">
              <w:rPr>
                <w:rStyle w:val="FootnoteReference0"/>
                <w:noProof/>
                <w:sz w:val="18"/>
              </w:rPr>
              <w:footnoteReference w:id="43"/>
            </w:r>
          </w:p>
        </w:tc>
        <w:tc>
          <w:tcPr>
            <w:tcW w:w="956" w:type="dxa"/>
            <w:vAlign w:val="center"/>
          </w:tcPr>
          <w:p w14:paraId="6DCAD98E" w14:textId="77777777" w:rsidR="004515FC" w:rsidRPr="002858D6" w:rsidRDefault="004515FC" w:rsidP="0029161D">
            <w:pPr>
              <w:jc w:val="center"/>
              <w:rPr>
                <w:noProof/>
                <w:sz w:val="18"/>
              </w:rPr>
            </w:pPr>
            <w:r w:rsidRPr="002858D6">
              <w:rPr>
                <w:noProof/>
                <w:sz w:val="18"/>
              </w:rPr>
              <w:t>de outros países terceiros</w:t>
            </w:r>
          </w:p>
        </w:tc>
        <w:tc>
          <w:tcPr>
            <w:tcW w:w="1448" w:type="dxa"/>
            <w:vAlign w:val="center"/>
          </w:tcPr>
          <w:p w14:paraId="1A091E24" w14:textId="77777777" w:rsidR="004515FC" w:rsidRPr="002858D6" w:rsidRDefault="004515FC" w:rsidP="0029161D">
            <w:pPr>
              <w:jc w:val="center"/>
              <w:rPr>
                <w:noProof/>
              </w:rPr>
            </w:pPr>
            <w:r w:rsidRPr="002858D6">
              <w:rPr>
                <w:noProof/>
                <w:sz w:val="18"/>
              </w:rPr>
              <w:t>outras receitas afetadas</w:t>
            </w:r>
          </w:p>
        </w:tc>
      </w:tr>
      <w:tr w:rsidR="00DB3050" w:rsidRPr="002858D6" w14:paraId="1ABCBDA5" w14:textId="77777777">
        <w:tc>
          <w:tcPr>
            <w:tcW w:w="1080" w:type="dxa"/>
            <w:vAlign w:val="center"/>
          </w:tcPr>
          <w:p w14:paraId="2EE99B61" w14:textId="77777777" w:rsidR="004515FC" w:rsidRPr="002858D6" w:rsidRDefault="004515FC" w:rsidP="0029161D">
            <w:pPr>
              <w:jc w:val="center"/>
              <w:rPr>
                <w:noProof/>
                <w:color w:val="0000FF"/>
              </w:rPr>
            </w:pPr>
          </w:p>
        </w:tc>
        <w:tc>
          <w:tcPr>
            <w:tcW w:w="3960" w:type="dxa"/>
            <w:vAlign w:val="center"/>
          </w:tcPr>
          <w:p w14:paraId="52FAA916" w14:textId="77777777" w:rsidR="004515FC" w:rsidRPr="002858D6" w:rsidRDefault="004515FC" w:rsidP="0029161D">
            <w:pPr>
              <w:spacing w:before="60"/>
              <w:rPr>
                <w:noProof/>
              </w:rPr>
            </w:pPr>
            <w:r w:rsidRPr="002858D6">
              <w:rPr>
                <w:noProof/>
                <w:sz w:val="22"/>
              </w:rPr>
              <w:t>[XX.YY.YY.YY]</w:t>
            </w:r>
          </w:p>
          <w:p w14:paraId="75358A74" w14:textId="77777777" w:rsidR="004515FC" w:rsidRPr="002858D6" w:rsidRDefault="004515FC" w:rsidP="0029161D">
            <w:pPr>
              <w:spacing w:after="60"/>
              <w:rPr>
                <w:noProof/>
              </w:rPr>
            </w:pPr>
          </w:p>
        </w:tc>
        <w:tc>
          <w:tcPr>
            <w:tcW w:w="1080" w:type="dxa"/>
            <w:vAlign w:val="center"/>
          </w:tcPr>
          <w:p w14:paraId="220D7FB3" w14:textId="77777777" w:rsidR="004515FC" w:rsidRPr="002858D6" w:rsidRDefault="004515FC" w:rsidP="0029161D">
            <w:pPr>
              <w:jc w:val="center"/>
              <w:rPr>
                <w:noProof/>
                <w:color w:val="0000FF"/>
              </w:rPr>
            </w:pPr>
            <w:r w:rsidRPr="002858D6">
              <w:rPr>
                <w:noProof/>
                <w:sz w:val="22"/>
              </w:rPr>
              <w:t>DD / DND</w:t>
            </w:r>
          </w:p>
        </w:tc>
        <w:tc>
          <w:tcPr>
            <w:tcW w:w="956" w:type="dxa"/>
            <w:vAlign w:val="center"/>
          </w:tcPr>
          <w:p w14:paraId="7AE8BDBB" w14:textId="77777777" w:rsidR="004515FC" w:rsidRPr="002858D6" w:rsidRDefault="004515FC" w:rsidP="0029161D">
            <w:pPr>
              <w:jc w:val="center"/>
              <w:rPr>
                <w:noProof/>
                <w:sz w:val="20"/>
              </w:rPr>
            </w:pPr>
            <w:r w:rsidRPr="002858D6">
              <w:rPr>
                <w:noProof/>
                <w:sz w:val="20"/>
              </w:rPr>
              <w:t>SIM/NÃO</w:t>
            </w:r>
          </w:p>
        </w:tc>
        <w:tc>
          <w:tcPr>
            <w:tcW w:w="1080" w:type="dxa"/>
            <w:vAlign w:val="center"/>
          </w:tcPr>
          <w:p w14:paraId="4DC3A89E" w14:textId="77777777" w:rsidR="004515FC" w:rsidRPr="002858D6" w:rsidRDefault="004515FC" w:rsidP="0029161D">
            <w:pPr>
              <w:jc w:val="center"/>
              <w:rPr>
                <w:noProof/>
                <w:sz w:val="20"/>
              </w:rPr>
            </w:pPr>
            <w:r w:rsidRPr="002858D6">
              <w:rPr>
                <w:noProof/>
                <w:sz w:val="20"/>
              </w:rPr>
              <w:t>SIM/NÃO</w:t>
            </w:r>
          </w:p>
        </w:tc>
        <w:tc>
          <w:tcPr>
            <w:tcW w:w="956" w:type="dxa"/>
            <w:vAlign w:val="center"/>
          </w:tcPr>
          <w:p w14:paraId="66288EA3" w14:textId="77777777" w:rsidR="004515FC" w:rsidRPr="002858D6" w:rsidRDefault="004515FC" w:rsidP="0029161D">
            <w:pPr>
              <w:jc w:val="center"/>
              <w:rPr>
                <w:noProof/>
                <w:sz w:val="20"/>
              </w:rPr>
            </w:pPr>
            <w:r w:rsidRPr="002858D6">
              <w:rPr>
                <w:noProof/>
                <w:sz w:val="20"/>
              </w:rPr>
              <w:t>SIM/NÃO</w:t>
            </w:r>
          </w:p>
        </w:tc>
        <w:tc>
          <w:tcPr>
            <w:tcW w:w="1448" w:type="dxa"/>
            <w:vAlign w:val="center"/>
          </w:tcPr>
          <w:p w14:paraId="3CF4E9DE" w14:textId="77777777" w:rsidR="004515FC" w:rsidRPr="002858D6" w:rsidRDefault="004515FC" w:rsidP="0029161D">
            <w:pPr>
              <w:jc w:val="center"/>
              <w:rPr>
                <w:noProof/>
                <w:sz w:val="20"/>
              </w:rPr>
            </w:pPr>
            <w:r w:rsidRPr="002858D6">
              <w:rPr>
                <w:noProof/>
                <w:sz w:val="20"/>
              </w:rPr>
              <w:t>SIM/NÃO</w:t>
            </w:r>
          </w:p>
        </w:tc>
      </w:tr>
    </w:tbl>
    <w:p w14:paraId="55C42E2B" w14:textId="77777777" w:rsidR="004515FC" w:rsidRPr="002858D6" w:rsidRDefault="004515FC" w:rsidP="004515FC">
      <w:pPr>
        <w:pStyle w:val="ListBullet1"/>
        <w:rPr>
          <w:noProof/>
        </w:rPr>
      </w:pPr>
      <w:r w:rsidRPr="002858D6">
        <w:rPr>
          <w:noProof/>
        </w:rPr>
        <w:t xml:space="preserve">Novas rubricas orçamentais, cuja criação é solicitada </w:t>
      </w:r>
    </w:p>
    <w:p w14:paraId="622C0F8B" w14:textId="77777777" w:rsidR="004515FC" w:rsidRPr="002858D6" w:rsidRDefault="004515FC" w:rsidP="004515FC">
      <w:pPr>
        <w:pStyle w:val="Text1"/>
        <w:rPr>
          <w:i/>
          <w:noProof/>
          <w:sz w:val="20"/>
        </w:rPr>
      </w:pPr>
      <w:r w:rsidRPr="002858D6">
        <w:rPr>
          <w:i/>
          <w:noProof/>
          <w:u w:val="single"/>
        </w:rPr>
        <w:t>Segundo a ordem</w:t>
      </w:r>
      <w:r w:rsidRPr="002858D6">
        <w:rPr>
          <w:i/>
          <w:noProof/>
        </w:rPr>
        <w:t xml:space="preserve"> das rubricas do quadro financeiro plurianual e das respetivas rubricas orçamentais.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910369" w:rsidRPr="002858D6" w14:paraId="307919A9" w14:textId="77777777">
        <w:tc>
          <w:tcPr>
            <w:tcW w:w="1080" w:type="dxa"/>
            <w:vMerge w:val="restart"/>
            <w:vAlign w:val="center"/>
          </w:tcPr>
          <w:p w14:paraId="4F5D453A" w14:textId="77777777" w:rsidR="004515FC" w:rsidRPr="002858D6" w:rsidRDefault="004515FC" w:rsidP="0029161D">
            <w:pPr>
              <w:spacing w:before="60" w:after="60"/>
              <w:jc w:val="center"/>
              <w:rPr>
                <w:noProof/>
                <w:sz w:val="18"/>
              </w:rPr>
            </w:pPr>
            <w:r w:rsidRPr="002858D6">
              <w:rPr>
                <w:noProof/>
                <w:sz w:val="18"/>
              </w:rPr>
              <w:t>Rubrica do quadro financeiro plurianual</w:t>
            </w:r>
          </w:p>
        </w:tc>
        <w:tc>
          <w:tcPr>
            <w:tcW w:w="3960" w:type="dxa"/>
            <w:vAlign w:val="center"/>
          </w:tcPr>
          <w:p w14:paraId="483593F7" w14:textId="77777777" w:rsidR="004515FC" w:rsidRPr="002858D6" w:rsidRDefault="004515FC" w:rsidP="0029161D">
            <w:pPr>
              <w:spacing w:before="60" w:after="60"/>
              <w:jc w:val="center"/>
              <w:rPr>
                <w:noProof/>
              </w:rPr>
            </w:pPr>
            <w:r w:rsidRPr="002858D6">
              <w:rPr>
                <w:noProof/>
                <w:sz w:val="20"/>
              </w:rPr>
              <w:t>Rubrica orçamental</w:t>
            </w:r>
          </w:p>
        </w:tc>
        <w:tc>
          <w:tcPr>
            <w:tcW w:w="1080" w:type="dxa"/>
            <w:vAlign w:val="center"/>
          </w:tcPr>
          <w:p w14:paraId="4A7A5906" w14:textId="77777777" w:rsidR="004515FC" w:rsidRPr="002858D6" w:rsidRDefault="004515FC" w:rsidP="0029161D">
            <w:pPr>
              <w:spacing w:before="60" w:after="60"/>
              <w:jc w:val="center"/>
              <w:rPr>
                <w:noProof/>
              </w:rPr>
            </w:pPr>
            <w:r w:rsidRPr="002858D6">
              <w:rPr>
                <w:noProof/>
                <w:sz w:val="18"/>
              </w:rPr>
              <w:t>Tipo de</w:t>
            </w:r>
            <w:r w:rsidRPr="002858D6">
              <w:rPr>
                <w:noProof/>
              </w:rPr>
              <w:t xml:space="preserve"> </w:t>
            </w:r>
            <w:r w:rsidRPr="002858D6">
              <w:rPr>
                <w:noProof/>
              </w:rPr>
              <w:cr/>
            </w:r>
            <w:r w:rsidRPr="002858D6">
              <w:rPr>
                <w:noProof/>
              </w:rPr>
              <w:br/>
            </w:r>
            <w:r w:rsidRPr="002858D6">
              <w:rPr>
                <w:noProof/>
                <w:sz w:val="18"/>
              </w:rPr>
              <w:t>despesa</w:t>
            </w:r>
          </w:p>
        </w:tc>
        <w:tc>
          <w:tcPr>
            <w:tcW w:w="4440" w:type="dxa"/>
            <w:gridSpan w:val="4"/>
            <w:vAlign w:val="center"/>
          </w:tcPr>
          <w:p w14:paraId="52B62367" w14:textId="77777777" w:rsidR="004515FC" w:rsidRPr="002858D6" w:rsidRDefault="004515FC" w:rsidP="0029161D">
            <w:pPr>
              <w:spacing w:before="60" w:after="60"/>
              <w:jc w:val="center"/>
              <w:rPr>
                <w:noProof/>
              </w:rPr>
            </w:pPr>
            <w:r w:rsidRPr="002858D6">
              <w:rPr>
                <w:noProof/>
                <w:sz w:val="20"/>
              </w:rPr>
              <w:t xml:space="preserve">Participação </w:t>
            </w:r>
          </w:p>
        </w:tc>
      </w:tr>
      <w:tr w:rsidR="00910369" w:rsidRPr="002858D6" w14:paraId="645D0419" w14:textId="77777777">
        <w:tc>
          <w:tcPr>
            <w:tcW w:w="1080" w:type="dxa"/>
            <w:vMerge/>
            <w:vAlign w:val="center"/>
          </w:tcPr>
          <w:p w14:paraId="30DA29CF" w14:textId="77777777" w:rsidR="004515FC" w:rsidRPr="002858D6" w:rsidRDefault="004515FC" w:rsidP="0029161D">
            <w:pPr>
              <w:jc w:val="center"/>
              <w:rPr>
                <w:noProof/>
              </w:rPr>
            </w:pPr>
          </w:p>
        </w:tc>
        <w:tc>
          <w:tcPr>
            <w:tcW w:w="3960" w:type="dxa"/>
            <w:vAlign w:val="center"/>
          </w:tcPr>
          <w:p w14:paraId="3C82B3A1" w14:textId="77777777" w:rsidR="004515FC" w:rsidRPr="002858D6" w:rsidRDefault="004515FC" w:rsidP="0029161D">
            <w:pPr>
              <w:rPr>
                <w:noProof/>
              </w:rPr>
            </w:pPr>
            <w:r w:rsidRPr="002858D6">
              <w:rPr>
                <w:noProof/>
                <w:sz w:val="20"/>
              </w:rPr>
              <w:t xml:space="preserve">Número </w:t>
            </w:r>
            <w:r w:rsidRPr="002858D6">
              <w:rPr>
                <w:noProof/>
              </w:rPr>
              <w:t xml:space="preserve"> </w:t>
            </w:r>
            <w:r w:rsidRPr="002858D6">
              <w:rPr>
                <w:noProof/>
              </w:rPr>
              <w:cr/>
            </w:r>
            <w:r w:rsidRPr="002858D6">
              <w:rPr>
                <w:noProof/>
              </w:rPr>
              <w:br/>
            </w:r>
          </w:p>
        </w:tc>
        <w:tc>
          <w:tcPr>
            <w:tcW w:w="1080" w:type="dxa"/>
            <w:vAlign w:val="center"/>
          </w:tcPr>
          <w:p w14:paraId="7D3201A0" w14:textId="77777777" w:rsidR="004515FC" w:rsidRPr="002858D6" w:rsidRDefault="004515FC" w:rsidP="0029161D">
            <w:pPr>
              <w:jc w:val="center"/>
              <w:rPr>
                <w:noProof/>
              </w:rPr>
            </w:pPr>
            <w:r w:rsidRPr="002858D6">
              <w:rPr>
                <w:noProof/>
                <w:sz w:val="18"/>
              </w:rPr>
              <w:t>DD / DND</w:t>
            </w:r>
          </w:p>
        </w:tc>
        <w:tc>
          <w:tcPr>
            <w:tcW w:w="956" w:type="dxa"/>
            <w:vAlign w:val="center"/>
          </w:tcPr>
          <w:p w14:paraId="027544AD" w14:textId="77777777" w:rsidR="004515FC" w:rsidRPr="002858D6" w:rsidRDefault="004515FC" w:rsidP="0029161D">
            <w:pPr>
              <w:jc w:val="center"/>
              <w:rPr>
                <w:noProof/>
                <w:sz w:val="18"/>
              </w:rPr>
            </w:pPr>
            <w:r w:rsidRPr="002858D6">
              <w:rPr>
                <w:noProof/>
                <w:sz w:val="18"/>
              </w:rPr>
              <w:t>dos países da EFTA</w:t>
            </w:r>
          </w:p>
        </w:tc>
        <w:tc>
          <w:tcPr>
            <w:tcW w:w="1080" w:type="dxa"/>
            <w:vAlign w:val="center"/>
          </w:tcPr>
          <w:p w14:paraId="67D8438A" w14:textId="77777777" w:rsidR="004515FC" w:rsidRPr="002858D6" w:rsidRDefault="004515FC" w:rsidP="0029161D">
            <w:pPr>
              <w:jc w:val="center"/>
              <w:rPr>
                <w:noProof/>
                <w:sz w:val="18"/>
              </w:rPr>
            </w:pPr>
            <w:r w:rsidRPr="002858D6">
              <w:rPr>
                <w:noProof/>
                <w:sz w:val="18"/>
              </w:rPr>
              <w:t>de países candidatos e países candidatos potenciais</w:t>
            </w:r>
          </w:p>
        </w:tc>
        <w:tc>
          <w:tcPr>
            <w:tcW w:w="956" w:type="dxa"/>
            <w:vAlign w:val="center"/>
          </w:tcPr>
          <w:p w14:paraId="6EA3E2CB" w14:textId="75A6DBAF" w:rsidR="004515FC" w:rsidRPr="002858D6" w:rsidRDefault="004515FC" w:rsidP="0029161D">
            <w:pPr>
              <w:jc w:val="center"/>
              <w:rPr>
                <w:noProof/>
                <w:sz w:val="18"/>
              </w:rPr>
            </w:pPr>
            <w:r w:rsidRPr="002858D6">
              <w:rPr>
                <w:noProof/>
                <w:sz w:val="18"/>
              </w:rPr>
              <w:t>de outros países terceiros</w:t>
            </w:r>
          </w:p>
        </w:tc>
        <w:tc>
          <w:tcPr>
            <w:tcW w:w="1448" w:type="dxa"/>
            <w:vAlign w:val="center"/>
          </w:tcPr>
          <w:p w14:paraId="2040788A" w14:textId="77777777" w:rsidR="004515FC" w:rsidRPr="002858D6" w:rsidRDefault="004515FC" w:rsidP="0029161D">
            <w:pPr>
              <w:jc w:val="center"/>
              <w:rPr>
                <w:noProof/>
              </w:rPr>
            </w:pPr>
            <w:r w:rsidRPr="002858D6">
              <w:rPr>
                <w:noProof/>
                <w:sz w:val="18"/>
              </w:rPr>
              <w:t xml:space="preserve">outras receitas afetadas </w:t>
            </w:r>
          </w:p>
        </w:tc>
      </w:tr>
      <w:tr w:rsidR="00DB3050" w:rsidRPr="002858D6" w14:paraId="2AA0A868" w14:textId="77777777">
        <w:tc>
          <w:tcPr>
            <w:tcW w:w="1080" w:type="dxa"/>
            <w:vAlign w:val="center"/>
          </w:tcPr>
          <w:p w14:paraId="5F73153D" w14:textId="77777777" w:rsidR="004515FC" w:rsidRPr="002858D6" w:rsidRDefault="004515FC" w:rsidP="0029161D">
            <w:pPr>
              <w:jc w:val="center"/>
              <w:rPr>
                <w:noProof/>
                <w:color w:val="0000FF"/>
              </w:rPr>
            </w:pPr>
          </w:p>
        </w:tc>
        <w:tc>
          <w:tcPr>
            <w:tcW w:w="3960" w:type="dxa"/>
            <w:vAlign w:val="center"/>
          </w:tcPr>
          <w:p w14:paraId="5D029D0D" w14:textId="77777777" w:rsidR="004515FC" w:rsidRPr="002858D6" w:rsidRDefault="004515FC" w:rsidP="0029161D">
            <w:pPr>
              <w:spacing w:before="60"/>
              <w:rPr>
                <w:noProof/>
              </w:rPr>
            </w:pPr>
            <w:r w:rsidRPr="002858D6">
              <w:rPr>
                <w:noProof/>
                <w:sz w:val="22"/>
              </w:rPr>
              <w:t>[XX.YY.YY.YY]</w:t>
            </w:r>
          </w:p>
          <w:p w14:paraId="484FD809" w14:textId="77777777" w:rsidR="004515FC" w:rsidRPr="002858D6" w:rsidRDefault="004515FC" w:rsidP="0029161D">
            <w:pPr>
              <w:spacing w:after="60"/>
              <w:rPr>
                <w:noProof/>
                <w:color w:val="0000FF"/>
              </w:rPr>
            </w:pPr>
          </w:p>
        </w:tc>
        <w:tc>
          <w:tcPr>
            <w:tcW w:w="1080" w:type="dxa"/>
            <w:vAlign w:val="center"/>
          </w:tcPr>
          <w:p w14:paraId="3A1FA2B8" w14:textId="77777777" w:rsidR="004515FC" w:rsidRPr="002858D6" w:rsidRDefault="004515FC" w:rsidP="0029161D">
            <w:pPr>
              <w:jc w:val="center"/>
              <w:rPr>
                <w:noProof/>
                <w:color w:val="0000FF"/>
              </w:rPr>
            </w:pPr>
          </w:p>
        </w:tc>
        <w:tc>
          <w:tcPr>
            <w:tcW w:w="956" w:type="dxa"/>
            <w:vAlign w:val="center"/>
          </w:tcPr>
          <w:p w14:paraId="6AB23153" w14:textId="77777777" w:rsidR="004515FC" w:rsidRPr="002858D6" w:rsidRDefault="004515FC" w:rsidP="0029161D">
            <w:pPr>
              <w:jc w:val="center"/>
              <w:rPr>
                <w:noProof/>
                <w:sz w:val="20"/>
              </w:rPr>
            </w:pPr>
            <w:r w:rsidRPr="002858D6">
              <w:rPr>
                <w:noProof/>
                <w:sz w:val="20"/>
              </w:rPr>
              <w:t>SIM/NÃO</w:t>
            </w:r>
          </w:p>
        </w:tc>
        <w:tc>
          <w:tcPr>
            <w:tcW w:w="1080" w:type="dxa"/>
            <w:vAlign w:val="center"/>
          </w:tcPr>
          <w:p w14:paraId="511B3E1A" w14:textId="77777777" w:rsidR="004515FC" w:rsidRPr="002858D6" w:rsidRDefault="004515FC" w:rsidP="0029161D">
            <w:pPr>
              <w:jc w:val="center"/>
              <w:rPr>
                <w:noProof/>
                <w:color w:val="0000FF"/>
                <w:sz w:val="20"/>
              </w:rPr>
            </w:pPr>
            <w:r w:rsidRPr="002858D6">
              <w:rPr>
                <w:noProof/>
                <w:sz w:val="20"/>
              </w:rPr>
              <w:t>SIM/NÃO</w:t>
            </w:r>
          </w:p>
        </w:tc>
        <w:tc>
          <w:tcPr>
            <w:tcW w:w="956" w:type="dxa"/>
            <w:vAlign w:val="center"/>
          </w:tcPr>
          <w:p w14:paraId="1D2A5C71" w14:textId="77777777" w:rsidR="004515FC" w:rsidRPr="002858D6" w:rsidRDefault="004515FC" w:rsidP="0029161D">
            <w:pPr>
              <w:jc w:val="center"/>
              <w:rPr>
                <w:noProof/>
                <w:color w:val="0000FF"/>
                <w:sz w:val="20"/>
              </w:rPr>
            </w:pPr>
            <w:r w:rsidRPr="002858D6">
              <w:rPr>
                <w:noProof/>
                <w:sz w:val="20"/>
              </w:rPr>
              <w:t>SIM/NÃO</w:t>
            </w:r>
          </w:p>
        </w:tc>
        <w:tc>
          <w:tcPr>
            <w:tcW w:w="1448" w:type="dxa"/>
            <w:vAlign w:val="center"/>
          </w:tcPr>
          <w:p w14:paraId="7D290B3A" w14:textId="77777777" w:rsidR="004515FC" w:rsidRPr="002858D6" w:rsidRDefault="004515FC" w:rsidP="0029161D">
            <w:pPr>
              <w:jc w:val="center"/>
              <w:rPr>
                <w:noProof/>
                <w:sz w:val="20"/>
              </w:rPr>
            </w:pPr>
            <w:r w:rsidRPr="002858D6">
              <w:rPr>
                <w:noProof/>
                <w:sz w:val="20"/>
              </w:rPr>
              <w:t>SIM/NÃO</w:t>
            </w:r>
          </w:p>
        </w:tc>
      </w:tr>
    </w:tbl>
    <w:p w14:paraId="70696CD4" w14:textId="77777777" w:rsidR="004515FC" w:rsidRPr="002858D6" w:rsidRDefault="004515FC" w:rsidP="004515FC">
      <w:pPr>
        <w:rPr>
          <w:noProof/>
        </w:rPr>
        <w:sectPr w:rsidR="004515FC" w:rsidRPr="002858D6" w:rsidSect="007A1735">
          <w:pgSz w:w="11907" w:h="16840" w:code="1"/>
          <w:pgMar w:top="1134" w:right="1418" w:bottom="1134" w:left="1418" w:header="709" w:footer="709" w:gutter="0"/>
          <w:cols w:space="708"/>
          <w:docGrid w:linePitch="360"/>
        </w:sectPr>
      </w:pPr>
    </w:p>
    <w:p w14:paraId="1780F30F" w14:textId="77777777" w:rsidR="004515FC" w:rsidRPr="002858D6" w:rsidRDefault="004515FC" w:rsidP="004515FC">
      <w:pPr>
        <w:pStyle w:val="ManualHeading2"/>
        <w:rPr>
          <w:noProof/>
        </w:rPr>
      </w:pPr>
      <w:bookmarkStart w:id="59" w:name="_Toc514938052"/>
      <w:bookmarkStart w:id="60" w:name="_Toc520485051"/>
      <w:r w:rsidRPr="002858D6">
        <w:rPr>
          <w:noProof/>
        </w:rPr>
        <w:t>3.2.</w:t>
      </w:r>
      <w:r w:rsidRPr="002858D6">
        <w:rPr>
          <w:noProof/>
        </w:rPr>
        <w:tab/>
        <w:t>Impacto financeiro estimado nas dotações</w:t>
      </w:r>
      <w:bookmarkEnd w:id="59"/>
      <w:bookmarkEnd w:id="60"/>
      <w:r w:rsidRPr="002858D6">
        <w:rPr>
          <w:noProof/>
        </w:rPr>
        <w:t xml:space="preserve"> </w:t>
      </w:r>
    </w:p>
    <w:p w14:paraId="48F94B9C" w14:textId="77777777" w:rsidR="004515FC" w:rsidRPr="002858D6" w:rsidRDefault="004515FC" w:rsidP="004515FC">
      <w:pPr>
        <w:pStyle w:val="ManualHeading3"/>
        <w:rPr>
          <w:noProof/>
        </w:rPr>
      </w:pPr>
      <w:bookmarkStart w:id="61" w:name="_Toc514938053"/>
      <w:bookmarkStart w:id="62" w:name="_Toc520485052"/>
      <w:r w:rsidRPr="002858D6">
        <w:rPr>
          <w:noProof/>
        </w:rPr>
        <w:t>3.2.1.</w:t>
      </w:r>
      <w:r w:rsidRPr="002858D6">
        <w:rPr>
          <w:noProof/>
        </w:rPr>
        <w:tab/>
        <w:t>Síntese do impacto estimado nas dotações operacionais</w:t>
      </w:r>
      <w:bookmarkEnd w:id="61"/>
      <w:bookmarkEnd w:id="62"/>
      <w:r w:rsidRPr="002858D6">
        <w:rPr>
          <w:noProof/>
        </w:rPr>
        <w:t xml:space="preserve"> </w:t>
      </w:r>
    </w:p>
    <w:p w14:paraId="1ED66C40" w14:textId="77777777" w:rsidR="004515FC" w:rsidRPr="002858D6" w:rsidRDefault="004515FC" w:rsidP="004515FC">
      <w:pPr>
        <w:pStyle w:val="ListDash1"/>
        <w:rPr>
          <w:noProof/>
        </w:rPr>
      </w:pPr>
      <w:r w:rsidRPr="002858D6">
        <w:rPr>
          <w:rFonts w:ascii="Wingdings" w:hAnsi="Wingdings"/>
          <w:noProof/>
        </w:rPr>
        <w:t></w:t>
      </w:r>
      <w:r w:rsidRPr="002858D6">
        <w:rPr>
          <w:noProof/>
        </w:rPr>
        <w:tab/>
        <w:t xml:space="preserve">A proposta / iniciativa não acarreta a utilização de dotações operacionais. </w:t>
      </w:r>
    </w:p>
    <w:p w14:paraId="23039F28" w14:textId="77777777" w:rsidR="004515FC" w:rsidRPr="002858D6" w:rsidRDefault="004515FC" w:rsidP="004515FC">
      <w:pPr>
        <w:pStyle w:val="ListDash1"/>
        <w:rPr>
          <w:noProof/>
        </w:rPr>
      </w:pPr>
      <w:r w:rsidRPr="002858D6">
        <w:rPr>
          <w:rFonts w:ascii="Wingdings" w:hAnsi="Wingdings"/>
          <w:noProof/>
        </w:rPr>
        <w:t></w:t>
      </w:r>
      <w:r w:rsidRPr="002858D6">
        <w:rPr>
          <w:noProof/>
        </w:rPr>
        <w:tab/>
        <w:t>A proposta / iniciativa acarreta a utilização de dotações operacionais, tal como explicitado seguidamente:</w:t>
      </w:r>
    </w:p>
    <w:p w14:paraId="5CFD7515" w14:textId="77777777" w:rsidR="004515FC" w:rsidRPr="002858D6" w:rsidRDefault="004515FC" w:rsidP="004515FC">
      <w:pPr>
        <w:jc w:val="right"/>
        <w:rPr>
          <w:noProof/>
          <w:sz w:val="18"/>
        </w:rPr>
      </w:pPr>
      <w:r w:rsidRPr="002858D6">
        <w:rPr>
          <w:noProof/>
          <w:sz w:val="18"/>
        </w:rPr>
        <w:t>Em milhões de EUR (três casas decimais)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515FC" w:rsidRPr="002858D6" w14:paraId="5D3591B3" w14:textId="77777777" w:rsidTr="0029161D">
        <w:trPr>
          <w:jc w:val="center"/>
        </w:trPr>
        <w:tc>
          <w:tcPr>
            <w:tcW w:w="4744" w:type="dxa"/>
            <w:shd w:val="thinDiagStripe" w:color="C0C0C0" w:fill="auto"/>
            <w:vAlign w:val="center"/>
          </w:tcPr>
          <w:p w14:paraId="02817F46" w14:textId="77777777" w:rsidR="004515FC" w:rsidRPr="002858D6" w:rsidRDefault="004515FC" w:rsidP="0029161D">
            <w:pPr>
              <w:spacing w:before="60" w:after="60"/>
              <w:jc w:val="center"/>
              <w:rPr>
                <w:b/>
                <w:noProof/>
              </w:rPr>
            </w:pPr>
            <w:r w:rsidRPr="002858D6">
              <w:rPr>
                <w:b/>
                <w:noProof/>
                <w:sz w:val="22"/>
              </w:rPr>
              <w:t>Rubrica do quadro financeiro</w:t>
            </w:r>
            <w:r w:rsidRPr="002858D6">
              <w:rPr>
                <w:noProof/>
              </w:rPr>
              <w:cr/>
            </w:r>
            <w:r w:rsidRPr="002858D6">
              <w:rPr>
                <w:noProof/>
              </w:rPr>
              <w:br/>
            </w:r>
            <w:r w:rsidRPr="002858D6">
              <w:rPr>
                <w:b/>
                <w:noProof/>
                <w:sz w:val="22"/>
              </w:rPr>
              <w:t xml:space="preserve">plurianual </w:t>
            </w:r>
          </w:p>
        </w:tc>
        <w:tc>
          <w:tcPr>
            <w:tcW w:w="1080" w:type="dxa"/>
            <w:vAlign w:val="center"/>
          </w:tcPr>
          <w:p w14:paraId="3CFC4F56" w14:textId="77777777" w:rsidR="004515FC" w:rsidRPr="002858D6" w:rsidRDefault="004515FC" w:rsidP="0029161D">
            <w:pPr>
              <w:spacing w:before="60" w:after="60"/>
              <w:jc w:val="center"/>
              <w:rPr>
                <w:noProof/>
              </w:rPr>
            </w:pPr>
            <w:r w:rsidRPr="002858D6">
              <w:rPr>
                <w:noProof/>
                <w:sz w:val="22"/>
              </w:rPr>
              <w:t>Número</w:t>
            </w:r>
          </w:p>
        </w:tc>
        <w:tc>
          <w:tcPr>
            <w:tcW w:w="7817" w:type="dxa"/>
            <w:vAlign w:val="center"/>
          </w:tcPr>
          <w:p w14:paraId="367C64D8" w14:textId="77777777" w:rsidR="004515FC" w:rsidRPr="002858D6" w:rsidRDefault="004515FC" w:rsidP="0029161D">
            <w:pPr>
              <w:spacing w:before="60" w:after="60"/>
              <w:rPr>
                <w:noProof/>
              </w:rPr>
            </w:pPr>
          </w:p>
        </w:tc>
      </w:tr>
    </w:tbl>
    <w:p w14:paraId="6B237B0F" w14:textId="77777777" w:rsidR="004515FC" w:rsidRPr="002858D6" w:rsidRDefault="004515FC" w:rsidP="004515FC">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910369" w:rsidRPr="002858D6" w14:paraId="5878CC69" w14:textId="77777777">
        <w:tc>
          <w:tcPr>
            <w:tcW w:w="3960" w:type="dxa"/>
            <w:vAlign w:val="center"/>
          </w:tcPr>
          <w:p w14:paraId="4B34D207" w14:textId="77777777" w:rsidR="004515FC" w:rsidRPr="002858D6" w:rsidRDefault="004515FC" w:rsidP="0029161D">
            <w:pPr>
              <w:jc w:val="center"/>
              <w:rPr>
                <w:noProof/>
              </w:rPr>
            </w:pPr>
            <w:r w:rsidRPr="002858D6">
              <w:rPr>
                <w:noProof/>
                <w:sz w:val="22"/>
              </w:rPr>
              <w:t>DG: &lt;…….&gt;</w:t>
            </w:r>
          </w:p>
        </w:tc>
        <w:tc>
          <w:tcPr>
            <w:tcW w:w="1560" w:type="dxa"/>
            <w:gridSpan w:val="2"/>
          </w:tcPr>
          <w:p w14:paraId="446A3FD1" w14:textId="77777777" w:rsidR="004515FC" w:rsidRPr="002858D6" w:rsidRDefault="004515FC" w:rsidP="0029161D">
            <w:pPr>
              <w:rPr>
                <w:noProof/>
                <w:sz w:val="20"/>
              </w:rPr>
            </w:pPr>
          </w:p>
        </w:tc>
        <w:tc>
          <w:tcPr>
            <w:tcW w:w="534" w:type="dxa"/>
          </w:tcPr>
          <w:p w14:paraId="3B1F16A2" w14:textId="77777777" w:rsidR="004515FC" w:rsidRPr="002858D6" w:rsidRDefault="004515FC" w:rsidP="0029161D">
            <w:pPr>
              <w:jc w:val="center"/>
              <w:rPr>
                <w:noProof/>
                <w:sz w:val="20"/>
              </w:rPr>
            </w:pPr>
          </w:p>
        </w:tc>
        <w:tc>
          <w:tcPr>
            <w:tcW w:w="868" w:type="dxa"/>
            <w:vAlign w:val="center"/>
          </w:tcPr>
          <w:p w14:paraId="32B4194C" w14:textId="77777777" w:rsidR="004515FC" w:rsidRPr="002858D6" w:rsidRDefault="004515FC" w:rsidP="0029161D">
            <w:pPr>
              <w:jc w:val="center"/>
              <w:rPr>
                <w:noProof/>
                <w:sz w:val="20"/>
              </w:rPr>
            </w:pPr>
            <w:r w:rsidRPr="002858D6">
              <w:rPr>
                <w:noProof/>
                <w:sz w:val="20"/>
              </w:rPr>
              <w:t>Ano</w:t>
            </w:r>
            <w:r w:rsidRPr="002858D6">
              <w:rPr>
                <w:noProof/>
              </w:rPr>
              <w:t xml:space="preserve"> </w:t>
            </w:r>
            <w:r w:rsidRPr="002858D6">
              <w:rPr>
                <w:noProof/>
              </w:rPr>
              <w:cr/>
            </w:r>
            <w:r w:rsidRPr="002858D6">
              <w:rPr>
                <w:noProof/>
              </w:rPr>
              <w:br/>
            </w:r>
            <w:r w:rsidRPr="002858D6">
              <w:rPr>
                <w:b/>
                <w:noProof/>
                <w:sz w:val="20"/>
              </w:rPr>
              <w:t>N</w:t>
            </w:r>
            <w:r w:rsidRPr="002858D6">
              <w:rPr>
                <w:rStyle w:val="FootnoteReference0"/>
                <w:b/>
                <w:noProof/>
                <w:sz w:val="20"/>
              </w:rPr>
              <w:footnoteReference w:id="44"/>
            </w:r>
          </w:p>
        </w:tc>
        <w:tc>
          <w:tcPr>
            <w:tcW w:w="868" w:type="dxa"/>
            <w:vAlign w:val="center"/>
          </w:tcPr>
          <w:p w14:paraId="423B4749" w14:textId="77777777" w:rsidR="004515FC" w:rsidRPr="002858D6" w:rsidRDefault="004515FC" w:rsidP="0029161D">
            <w:pPr>
              <w:jc w:val="center"/>
              <w:rPr>
                <w:noProof/>
                <w:sz w:val="20"/>
              </w:rPr>
            </w:pPr>
            <w:r w:rsidRPr="002858D6">
              <w:rPr>
                <w:noProof/>
                <w:sz w:val="20"/>
              </w:rPr>
              <w:t>Ano</w:t>
            </w:r>
            <w:r w:rsidRPr="002858D6">
              <w:rPr>
                <w:noProof/>
              </w:rPr>
              <w:t xml:space="preserve"> </w:t>
            </w:r>
            <w:r w:rsidRPr="002858D6">
              <w:rPr>
                <w:noProof/>
              </w:rPr>
              <w:cr/>
            </w:r>
            <w:r w:rsidRPr="002858D6">
              <w:rPr>
                <w:noProof/>
              </w:rPr>
              <w:br/>
            </w:r>
            <w:r w:rsidRPr="002858D6">
              <w:rPr>
                <w:b/>
                <w:noProof/>
                <w:sz w:val="20"/>
              </w:rPr>
              <w:t>N+1</w:t>
            </w:r>
          </w:p>
        </w:tc>
        <w:tc>
          <w:tcPr>
            <w:tcW w:w="868" w:type="dxa"/>
            <w:vAlign w:val="center"/>
          </w:tcPr>
          <w:p w14:paraId="772A8AB7" w14:textId="77777777" w:rsidR="004515FC" w:rsidRPr="002858D6" w:rsidRDefault="004515FC" w:rsidP="0029161D">
            <w:pPr>
              <w:jc w:val="center"/>
              <w:rPr>
                <w:noProof/>
                <w:sz w:val="20"/>
              </w:rPr>
            </w:pPr>
            <w:r w:rsidRPr="002858D6">
              <w:rPr>
                <w:noProof/>
                <w:sz w:val="20"/>
              </w:rPr>
              <w:t>Ano</w:t>
            </w:r>
            <w:r w:rsidRPr="002858D6">
              <w:rPr>
                <w:noProof/>
              </w:rPr>
              <w:t xml:space="preserve"> </w:t>
            </w:r>
            <w:r w:rsidRPr="002858D6">
              <w:rPr>
                <w:noProof/>
              </w:rPr>
              <w:cr/>
            </w:r>
            <w:r w:rsidRPr="002858D6">
              <w:rPr>
                <w:noProof/>
              </w:rPr>
              <w:br/>
            </w:r>
            <w:r w:rsidRPr="002858D6">
              <w:rPr>
                <w:b/>
                <w:noProof/>
                <w:sz w:val="20"/>
              </w:rPr>
              <w:t>N+2</w:t>
            </w:r>
          </w:p>
        </w:tc>
        <w:tc>
          <w:tcPr>
            <w:tcW w:w="868" w:type="dxa"/>
            <w:vAlign w:val="center"/>
          </w:tcPr>
          <w:p w14:paraId="36188E75" w14:textId="77777777" w:rsidR="004515FC" w:rsidRPr="002858D6" w:rsidRDefault="004515FC" w:rsidP="0029161D">
            <w:pPr>
              <w:jc w:val="center"/>
              <w:rPr>
                <w:noProof/>
                <w:sz w:val="20"/>
              </w:rPr>
            </w:pPr>
            <w:r w:rsidRPr="002858D6">
              <w:rPr>
                <w:noProof/>
                <w:sz w:val="20"/>
              </w:rPr>
              <w:t>Ano</w:t>
            </w:r>
            <w:r w:rsidRPr="002858D6">
              <w:rPr>
                <w:noProof/>
              </w:rPr>
              <w:t xml:space="preserve"> </w:t>
            </w:r>
            <w:r w:rsidRPr="002858D6">
              <w:rPr>
                <w:noProof/>
              </w:rPr>
              <w:cr/>
            </w:r>
            <w:r w:rsidRPr="002858D6">
              <w:rPr>
                <w:noProof/>
              </w:rPr>
              <w:br/>
            </w:r>
            <w:r w:rsidRPr="002858D6">
              <w:rPr>
                <w:b/>
                <w:noProof/>
                <w:sz w:val="20"/>
              </w:rPr>
              <w:t>N+3</w:t>
            </w:r>
          </w:p>
        </w:tc>
        <w:tc>
          <w:tcPr>
            <w:tcW w:w="2604" w:type="dxa"/>
            <w:gridSpan w:val="3"/>
            <w:vAlign w:val="center"/>
          </w:tcPr>
          <w:p w14:paraId="671E01A2" w14:textId="77777777" w:rsidR="004515FC" w:rsidRPr="002858D6" w:rsidRDefault="004515FC" w:rsidP="0029161D">
            <w:pPr>
              <w:jc w:val="center"/>
              <w:rPr>
                <w:b/>
                <w:noProof/>
                <w:sz w:val="18"/>
              </w:rPr>
            </w:pPr>
            <w:r w:rsidRPr="002858D6">
              <w:rPr>
                <w:noProof/>
                <w:sz w:val="18"/>
              </w:rPr>
              <w:t>Inserir os anos necessários para refletir a duração do impacto (ver ponto 1.6)</w:t>
            </w:r>
          </w:p>
        </w:tc>
        <w:tc>
          <w:tcPr>
            <w:tcW w:w="1777" w:type="dxa"/>
            <w:vAlign w:val="center"/>
          </w:tcPr>
          <w:p w14:paraId="0531899C" w14:textId="77777777" w:rsidR="004515FC" w:rsidRPr="002858D6" w:rsidRDefault="004515FC" w:rsidP="0029161D">
            <w:pPr>
              <w:jc w:val="center"/>
              <w:rPr>
                <w:b/>
                <w:noProof/>
                <w:sz w:val="20"/>
              </w:rPr>
            </w:pPr>
            <w:r w:rsidRPr="002858D6">
              <w:rPr>
                <w:b/>
                <w:noProof/>
                <w:sz w:val="20"/>
              </w:rPr>
              <w:t>TOTAL</w:t>
            </w:r>
          </w:p>
        </w:tc>
      </w:tr>
      <w:tr w:rsidR="00DB3050" w:rsidRPr="002858D6" w14:paraId="6CCA5260" w14:textId="77777777">
        <w:trPr>
          <w:trHeight w:val="213"/>
        </w:trPr>
        <w:tc>
          <w:tcPr>
            <w:tcW w:w="6054" w:type="dxa"/>
            <w:gridSpan w:val="4"/>
            <w:vAlign w:val="center"/>
          </w:tcPr>
          <w:p w14:paraId="2D46AE77" w14:textId="77777777" w:rsidR="004515FC" w:rsidRPr="002858D6" w:rsidRDefault="004515FC" w:rsidP="0029161D">
            <w:pPr>
              <w:spacing w:before="20" w:after="20"/>
              <w:rPr>
                <w:noProof/>
                <w:sz w:val="21"/>
              </w:rPr>
            </w:pPr>
            <w:r w:rsidRPr="002858D6">
              <w:rPr>
                <w:rFonts w:ascii="Wingdings" w:hAnsi="Wingdings"/>
                <w:noProof/>
                <w:sz w:val="21"/>
              </w:rPr>
              <w:t>□</w:t>
            </w:r>
            <w:r w:rsidRPr="002858D6">
              <w:rPr>
                <w:noProof/>
                <w:sz w:val="21"/>
              </w:rPr>
              <w:t xml:space="preserve"> Dotações operacionais </w:t>
            </w:r>
          </w:p>
        </w:tc>
        <w:tc>
          <w:tcPr>
            <w:tcW w:w="868" w:type="dxa"/>
            <w:vAlign w:val="center"/>
          </w:tcPr>
          <w:p w14:paraId="0B9FC84D" w14:textId="77777777" w:rsidR="004515FC" w:rsidRPr="002858D6" w:rsidRDefault="004515FC" w:rsidP="0029161D">
            <w:pPr>
              <w:rPr>
                <w:noProof/>
                <w:sz w:val="20"/>
              </w:rPr>
            </w:pPr>
          </w:p>
        </w:tc>
        <w:tc>
          <w:tcPr>
            <w:tcW w:w="868" w:type="dxa"/>
            <w:vAlign w:val="center"/>
          </w:tcPr>
          <w:p w14:paraId="0BD3E6E0" w14:textId="77777777" w:rsidR="004515FC" w:rsidRPr="002858D6" w:rsidRDefault="004515FC" w:rsidP="0029161D">
            <w:pPr>
              <w:rPr>
                <w:noProof/>
                <w:sz w:val="20"/>
              </w:rPr>
            </w:pPr>
          </w:p>
        </w:tc>
        <w:tc>
          <w:tcPr>
            <w:tcW w:w="868" w:type="dxa"/>
            <w:vAlign w:val="center"/>
          </w:tcPr>
          <w:p w14:paraId="5B4CDBFE" w14:textId="77777777" w:rsidR="004515FC" w:rsidRPr="002858D6" w:rsidRDefault="004515FC" w:rsidP="0029161D">
            <w:pPr>
              <w:rPr>
                <w:noProof/>
                <w:sz w:val="20"/>
              </w:rPr>
            </w:pPr>
          </w:p>
        </w:tc>
        <w:tc>
          <w:tcPr>
            <w:tcW w:w="868" w:type="dxa"/>
            <w:vAlign w:val="center"/>
          </w:tcPr>
          <w:p w14:paraId="2EA07717" w14:textId="77777777" w:rsidR="004515FC" w:rsidRPr="002858D6" w:rsidRDefault="004515FC" w:rsidP="0029161D">
            <w:pPr>
              <w:rPr>
                <w:noProof/>
                <w:sz w:val="20"/>
              </w:rPr>
            </w:pPr>
          </w:p>
        </w:tc>
        <w:tc>
          <w:tcPr>
            <w:tcW w:w="868" w:type="dxa"/>
            <w:vAlign w:val="center"/>
          </w:tcPr>
          <w:p w14:paraId="5D0582B3" w14:textId="77777777" w:rsidR="004515FC" w:rsidRPr="002858D6" w:rsidRDefault="004515FC" w:rsidP="0029161D">
            <w:pPr>
              <w:rPr>
                <w:noProof/>
                <w:sz w:val="20"/>
              </w:rPr>
            </w:pPr>
          </w:p>
        </w:tc>
        <w:tc>
          <w:tcPr>
            <w:tcW w:w="868" w:type="dxa"/>
            <w:vAlign w:val="center"/>
          </w:tcPr>
          <w:p w14:paraId="3773E299" w14:textId="77777777" w:rsidR="004515FC" w:rsidRPr="002858D6" w:rsidRDefault="004515FC" w:rsidP="0029161D">
            <w:pPr>
              <w:rPr>
                <w:noProof/>
                <w:sz w:val="20"/>
              </w:rPr>
            </w:pPr>
          </w:p>
        </w:tc>
        <w:tc>
          <w:tcPr>
            <w:tcW w:w="868" w:type="dxa"/>
            <w:vAlign w:val="center"/>
          </w:tcPr>
          <w:p w14:paraId="73C8CBB0" w14:textId="77777777" w:rsidR="004515FC" w:rsidRPr="002858D6" w:rsidRDefault="004515FC" w:rsidP="0029161D">
            <w:pPr>
              <w:rPr>
                <w:b/>
                <w:noProof/>
                <w:sz w:val="20"/>
              </w:rPr>
            </w:pPr>
          </w:p>
        </w:tc>
        <w:tc>
          <w:tcPr>
            <w:tcW w:w="1777" w:type="dxa"/>
            <w:vAlign w:val="center"/>
          </w:tcPr>
          <w:p w14:paraId="793B2368" w14:textId="77777777" w:rsidR="004515FC" w:rsidRPr="002858D6" w:rsidRDefault="004515FC" w:rsidP="0029161D">
            <w:pPr>
              <w:rPr>
                <w:b/>
                <w:noProof/>
                <w:sz w:val="20"/>
              </w:rPr>
            </w:pPr>
          </w:p>
        </w:tc>
      </w:tr>
      <w:tr w:rsidR="00910369" w:rsidRPr="002858D6" w14:paraId="2858D85D" w14:textId="77777777">
        <w:trPr>
          <w:trHeight w:val="277"/>
        </w:trPr>
        <w:tc>
          <w:tcPr>
            <w:tcW w:w="3960" w:type="dxa"/>
            <w:vMerge w:val="restart"/>
            <w:vAlign w:val="center"/>
          </w:tcPr>
          <w:p w14:paraId="28C727FC" w14:textId="77777777" w:rsidR="004515FC" w:rsidRPr="002858D6" w:rsidRDefault="004515FC" w:rsidP="0029161D">
            <w:pPr>
              <w:rPr>
                <w:noProof/>
              </w:rPr>
            </w:pPr>
            <w:r w:rsidRPr="002858D6">
              <w:rPr>
                <w:noProof/>
                <w:sz w:val="20"/>
              </w:rPr>
              <w:t>Rubrica orçamental</w:t>
            </w:r>
            <w:r w:rsidRPr="002858D6">
              <w:rPr>
                <w:rStyle w:val="FootnoteReference0"/>
                <w:noProof/>
                <w:sz w:val="20"/>
              </w:rPr>
              <w:footnoteReference w:id="45"/>
            </w:r>
          </w:p>
        </w:tc>
        <w:tc>
          <w:tcPr>
            <w:tcW w:w="1440" w:type="dxa"/>
            <w:vAlign w:val="center"/>
          </w:tcPr>
          <w:p w14:paraId="7B55B2CE" w14:textId="77777777" w:rsidR="004515FC" w:rsidRPr="002858D6" w:rsidRDefault="004515FC" w:rsidP="0029161D">
            <w:pPr>
              <w:spacing w:before="20" w:after="20"/>
              <w:rPr>
                <w:noProof/>
                <w:sz w:val="18"/>
              </w:rPr>
            </w:pPr>
            <w:r w:rsidRPr="002858D6">
              <w:rPr>
                <w:noProof/>
                <w:sz w:val="18"/>
              </w:rPr>
              <w:t>Autorizações</w:t>
            </w:r>
          </w:p>
        </w:tc>
        <w:tc>
          <w:tcPr>
            <w:tcW w:w="654" w:type="dxa"/>
            <w:gridSpan w:val="2"/>
            <w:vAlign w:val="center"/>
          </w:tcPr>
          <w:p w14:paraId="21B974E2" w14:textId="77777777" w:rsidR="004515FC" w:rsidRPr="002858D6" w:rsidRDefault="004515FC" w:rsidP="0029161D">
            <w:pPr>
              <w:spacing w:before="20" w:after="20"/>
              <w:jc w:val="center"/>
              <w:rPr>
                <w:noProof/>
                <w:sz w:val="14"/>
              </w:rPr>
            </w:pPr>
            <w:r w:rsidRPr="002858D6">
              <w:rPr>
                <w:noProof/>
                <w:sz w:val="14"/>
              </w:rPr>
              <w:t>(1a)</w:t>
            </w:r>
          </w:p>
        </w:tc>
        <w:tc>
          <w:tcPr>
            <w:tcW w:w="868" w:type="dxa"/>
            <w:vAlign w:val="center"/>
          </w:tcPr>
          <w:p w14:paraId="62C5D93E" w14:textId="77777777" w:rsidR="004515FC" w:rsidRPr="002858D6" w:rsidRDefault="004515FC" w:rsidP="0029161D">
            <w:pPr>
              <w:spacing w:before="20" w:after="20"/>
              <w:jc w:val="right"/>
              <w:rPr>
                <w:noProof/>
                <w:sz w:val="20"/>
              </w:rPr>
            </w:pPr>
          </w:p>
        </w:tc>
        <w:tc>
          <w:tcPr>
            <w:tcW w:w="868" w:type="dxa"/>
            <w:vAlign w:val="center"/>
          </w:tcPr>
          <w:p w14:paraId="5B2C02E1" w14:textId="77777777" w:rsidR="004515FC" w:rsidRPr="002858D6" w:rsidRDefault="004515FC" w:rsidP="0029161D">
            <w:pPr>
              <w:spacing w:before="20" w:after="20"/>
              <w:jc w:val="right"/>
              <w:rPr>
                <w:noProof/>
                <w:sz w:val="20"/>
              </w:rPr>
            </w:pPr>
          </w:p>
        </w:tc>
        <w:tc>
          <w:tcPr>
            <w:tcW w:w="868" w:type="dxa"/>
            <w:vAlign w:val="center"/>
          </w:tcPr>
          <w:p w14:paraId="42774608" w14:textId="77777777" w:rsidR="004515FC" w:rsidRPr="002858D6" w:rsidRDefault="004515FC" w:rsidP="0029161D">
            <w:pPr>
              <w:spacing w:before="20" w:after="20"/>
              <w:jc w:val="right"/>
              <w:rPr>
                <w:noProof/>
                <w:sz w:val="20"/>
              </w:rPr>
            </w:pPr>
          </w:p>
        </w:tc>
        <w:tc>
          <w:tcPr>
            <w:tcW w:w="868" w:type="dxa"/>
            <w:vAlign w:val="center"/>
          </w:tcPr>
          <w:p w14:paraId="74C68801" w14:textId="77777777" w:rsidR="004515FC" w:rsidRPr="002858D6" w:rsidRDefault="004515FC" w:rsidP="0029161D">
            <w:pPr>
              <w:spacing w:before="20" w:after="20"/>
              <w:jc w:val="right"/>
              <w:rPr>
                <w:noProof/>
                <w:sz w:val="20"/>
              </w:rPr>
            </w:pPr>
          </w:p>
        </w:tc>
        <w:tc>
          <w:tcPr>
            <w:tcW w:w="868" w:type="dxa"/>
            <w:vAlign w:val="center"/>
          </w:tcPr>
          <w:p w14:paraId="7F5C8C2A" w14:textId="77777777" w:rsidR="004515FC" w:rsidRPr="002858D6" w:rsidRDefault="004515FC" w:rsidP="0029161D">
            <w:pPr>
              <w:spacing w:before="20" w:after="20"/>
              <w:jc w:val="right"/>
              <w:rPr>
                <w:noProof/>
                <w:sz w:val="20"/>
              </w:rPr>
            </w:pPr>
          </w:p>
        </w:tc>
        <w:tc>
          <w:tcPr>
            <w:tcW w:w="868" w:type="dxa"/>
            <w:vAlign w:val="center"/>
          </w:tcPr>
          <w:p w14:paraId="1C7A2690" w14:textId="77777777" w:rsidR="004515FC" w:rsidRPr="002858D6" w:rsidRDefault="004515FC" w:rsidP="0029161D">
            <w:pPr>
              <w:spacing w:before="20" w:after="20"/>
              <w:jc w:val="right"/>
              <w:rPr>
                <w:noProof/>
                <w:sz w:val="20"/>
              </w:rPr>
            </w:pPr>
          </w:p>
        </w:tc>
        <w:tc>
          <w:tcPr>
            <w:tcW w:w="868" w:type="dxa"/>
            <w:vAlign w:val="center"/>
          </w:tcPr>
          <w:p w14:paraId="15262D2B" w14:textId="77777777" w:rsidR="004515FC" w:rsidRPr="002858D6" w:rsidRDefault="004515FC" w:rsidP="0029161D">
            <w:pPr>
              <w:spacing w:before="20" w:after="20"/>
              <w:jc w:val="right"/>
              <w:rPr>
                <w:b/>
                <w:noProof/>
                <w:sz w:val="20"/>
              </w:rPr>
            </w:pPr>
          </w:p>
        </w:tc>
        <w:tc>
          <w:tcPr>
            <w:tcW w:w="1777" w:type="dxa"/>
            <w:vAlign w:val="center"/>
          </w:tcPr>
          <w:p w14:paraId="749F8FB4" w14:textId="77777777" w:rsidR="004515FC" w:rsidRPr="002858D6" w:rsidRDefault="004515FC" w:rsidP="0029161D">
            <w:pPr>
              <w:spacing w:before="20" w:after="20"/>
              <w:jc w:val="right"/>
              <w:rPr>
                <w:b/>
                <w:noProof/>
                <w:sz w:val="20"/>
              </w:rPr>
            </w:pPr>
          </w:p>
        </w:tc>
      </w:tr>
      <w:tr w:rsidR="00910369" w:rsidRPr="002858D6" w14:paraId="36720442" w14:textId="77777777">
        <w:tc>
          <w:tcPr>
            <w:tcW w:w="3960" w:type="dxa"/>
            <w:vMerge/>
          </w:tcPr>
          <w:p w14:paraId="737137E1" w14:textId="77777777" w:rsidR="004515FC" w:rsidRPr="002858D6" w:rsidRDefault="004515FC" w:rsidP="0029161D">
            <w:pPr>
              <w:jc w:val="center"/>
              <w:rPr>
                <w:noProof/>
                <w:sz w:val="20"/>
              </w:rPr>
            </w:pPr>
          </w:p>
        </w:tc>
        <w:tc>
          <w:tcPr>
            <w:tcW w:w="1440" w:type="dxa"/>
            <w:vAlign w:val="center"/>
          </w:tcPr>
          <w:p w14:paraId="5979B99C" w14:textId="77777777" w:rsidR="004515FC" w:rsidRPr="002858D6" w:rsidRDefault="004515FC" w:rsidP="0029161D">
            <w:pPr>
              <w:spacing w:before="20" w:after="20"/>
              <w:rPr>
                <w:noProof/>
                <w:sz w:val="18"/>
              </w:rPr>
            </w:pPr>
            <w:r w:rsidRPr="002858D6">
              <w:rPr>
                <w:noProof/>
                <w:sz w:val="18"/>
              </w:rPr>
              <w:t>Pagamentos</w:t>
            </w:r>
          </w:p>
        </w:tc>
        <w:tc>
          <w:tcPr>
            <w:tcW w:w="654" w:type="dxa"/>
            <w:gridSpan w:val="2"/>
            <w:vAlign w:val="center"/>
          </w:tcPr>
          <w:p w14:paraId="2DD26DB7" w14:textId="77777777" w:rsidR="004515FC" w:rsidRPr="002858D6" w:rsidRDefault="004515FC" w:rsidP="0029161D">
            <w:pPr>
              <w:spacing w:before="20" w:after="20"/>
              <w:jc w:val="center"/>
              <w:rPr>
                <w:noProof/>
                <w:sz w:val="14"/>
              </w:rPr>
            </w:pPr>
            <w:r w:rsidRPr="002858D6">
              <w:rPr>
                <w:noProof/>
                <w:sz w:val="14"/>
              </w:rPr>
              <w:t>(2a)</w:t>
            </w:r>
          </w:p>
        </w:tc>
        <w:tc>
          <w:tcPr>
            <w:tcW w:w="868" w:type="dxa"/>
            <w:vAlign w:val="center"/>
          </w:tcPr>
          <w:p w14:paraId="7CC7C95D" w14:textId="77777777" w:rsidR="004515FC" w:rsidRPr="002858D6" w:rsidRDefault="004515FC" w:rsidP="0029161D">
            <w:pPr>
              <w:spacing w:before="20" w:after="20"/>
              <w:jc w:val="right"/>
              <w:rPr>
                <w:noProof/>
                <w:sz w:val="20"/>
              </w:rPr>
            </w:pPr>
          </w:p>
        </w:tc>
        <w:tc>
          <w:tcPr>
            <w:tcW w:w="868" w:type="dxa"/>
            <w:vAlign w:val="center"/>
          </w:tcPr>
          <w:p w14:paraId="1784E45B" w14:textId="77777777" w:rsidR="004515FC" w:rsidRPr="002858D6" w:rsidRDefault="004515FC" w:rsidP="0029161D">
            <w:pPr>
              <w:spacing w:before="20" w:after="20"/>
              <w:jc w:val="right"/>
              <w:rPr>
                <w:noProof/>
                <w:sz w:val="20"/>
              </w:rPr>
            </w:pPr>
          </w:p>
        </w:tc>
        <w:tc>
          <w:tcPr>
            <w:tcW w:w="868" w:type="dxa"/>
            <w:vAlign w:val="center"/>
          </w:tcPr>
          <w:p w14:paraId="60393C5E" w14:textId="77777777" w:rsidR="004515FC" w:rsidRPr="002858D6" w:rsidRDefault="004515FC" w:rsidP="0029161D">
            <w:pPr>
              <w:spacing w:before="20" w:after="20"/>
              <w:jc w:val="right"/>
              <w:rPr>
                <w:noProof/>
                <w:sz w:val="20"/>
              </w:rPr>
            </w:pPr>
          </w:p>
        </w:tc>
        <w:tc>
          <w:tcPr>
            <w:tcW w:w="868" w:type="dxa"/>
            <w:vAlign w:val="center"/>
          </w:tcPr>
          <w:p w14:paraId="0ECDBCAA" w14:textId="77777777" w:rsidR="004515FC" w:rsidRPr="002858D6" w:rsidRDefault="004515FC" w:rsidP="0029161D">
            <w:pPr>
              <w:spacing w:before="20" w:after="20"/>
              <w:jc w:val="right"/>
              <w:rPr>
                <w:noProof/>
                <w:sz w:val="20"/>
              </w:rPr>
            </w:pPr>
          </w:p>
        </w:tc>
        <w:tc>
          <w:tcPr>
            <w:tcW w:w="868" w:type="dxa"/>
            <w:vAlign w:val="center"/>
          </w:tcPr>
          <w:p w14:paraId="05CB896C" w14:textId="77777777" w:rsidR="004515FC" w:rsidRPr="002858D6" w:rsidRDefault="004515FC" w:rsidP="0029161D">
            <w:pPr>
              <w:spacing w:before="20" w:after="20"/>
              <w:jc w:val="right"/>
              <w:rPr>
                <w:noProof/>
                <w:sz w:val="20"/>
              </w:rPr>
            </w:pPr>
          </w:p>
        </w:tc>
        <w:tc>
          <w:tcPr>
            <w:tcW w:w="868" w:type="dxa"/>
            <w:vAlign w:val="center"/>
          </w:tcPr>
          <w:p w14:paraId="6C63A888" w14:textId="77777777" w:rsidR="004515FC" w:rsidRPr="002858D6" w:rsidRDefault="004515FC" w:rsidP="0029161D">
            <w:pPr>
              <w:spacing w:before="20" w:after="20"/>
              <w:jc w:val="right"/>
              <w:rPr>
                <w:noProof/>
                <w:sz w:val="20"/>
              </w:rPr>
            </w:pPr>
          </w:p>
        </w:tc>
        <w:tc>
          <w:tcPr>
            <w:tcW w:w="868" w:type="dxa"/>
            <w:vAlign w:val="center"/>
          </w:tcPr>
          <w:p w14:paraId="4645615E" w14:textId="77777777" w:rsidR="004515FC" w:rsidRPr="002858D6" w:rsidRDefault="004515FC" w:rsidP="0029161D">
            <w:pPr>
              <w:spacing w:before="20" w:after="20"/>
              <w:jc w:val="right"/>
              <w:rPr>
                <w:b/>
                <w:noProof/>
                <w:sz w:val="20"/>
              </w:rPr>
            </w:pPr>
          </w:p>
        </w:tc>
        <w:tc>
          <w:tcPr>
            <w:tcW w:w="1777" w:type="dxa"/>
            <w:vAlign w:val="center"/>
          </w:tcPr>
          <w:p w14:paraId="6EB525A4" w14:textId="77777777" w:rsidR="004515FC" w:rsidRPr="002858D6" w:rsidRDefault="004515FC" w:rsidP="0029161D">
            <w:pPr>
              <w:spacing w:before="20" w:after="20"/>
              <w:jc w:val="right"/>
              <w:rPr>
                <w:b/>
                <w:noProof/>
                <w:sz w:val="20"/>
              </w:rPr>
            </w:pPr>
          </w:p>
        </w:tc>
      </w:tr>
      <w:tr w:rsidR="00910369" w:rsidRPr="002858D6" w14:paraId="0228EF28" w14:textId="77777777">
        <w:tc>
          <w:tcPr>
            <w:tcW w:w="3960" w:type="dxa"/>
            <w:vMerge w:val="restart"/>
            <w:vAlign w:val="center"/>
          </w:tcPr>
          <w:p w14:paraId="4F1A1F3C" w14:textId="77777777" w:rsidR="004515FC" w:rsidRPr="002858D6" w:rsidRDefault="004515FC" w:rsidP="0029161D">
            <w:pPr>
              <w:rPr>
                <w:noProof/>
              </w:rPr>
            </w:pPr>
            <w:r w:rsidRPr="002858D6">
              <w:rPr>
                <w:noProof/>
                <w:sz w:val="20"/>
              </w:rPr>
              <w:t>Rubrica orçamental</w:t>
            </w:r>
          </w:p>
        </w:tc>
        <w:tc>
          <w:tcPr>
            <w:tcW w:w="1440" w:type="dxa"/>
            <w:vAlign w:val="center"/>
          </w:tcPr>
          <w:p w14:paraId="382D10AC" w14:textId="77777777" w:rsidR="004515FC" w:rsidRPr="002858D6" w:rsidRDefault="004515FC" w:rsidP="0029161D">
            <w:pPr>
              <w:spacing w:before="20" w:after="20"/>
              <w:rPr>
                <w:noProof/>
                <w:sz w:val="18"/>
              </w:rPr>
            </w:pPr>
            <w:r w:rsidRPr="002858D6">
              <w:rPr>
                <w:noProof/>
                <w:sz w:val="18"/>
              </w:rPr>
              <w:t>Autorizações</w:t>
            </w:r>
          </w:p>
        </w:tc>
        <w:tc>
          <w:tcPr>
            <w:tcW w:w="654" w:type="dxa"/>
            <w:gridSpan w:val="2"/>
            <w:vAlign w:val="center"/>
          </w:tcPr>
          <w:p w14:paraId="33E56217" w14:textId="77777777" w:rsidR="004515FC" w:rsidRPr="002858D6" w:rsidRDefault="004515FC" w:rsidP="0029161D">
            <w:pPr>
              <w:spacing w:before="20" w:after="20"/>
              <w:jc w:val="center"/>
              <w:rPr>
                <w:noProof/>
                <w:sz w:val="14"/>
              </w:rPr>
            </w:pPr>
            <w:r w:rsidRPr="002858D6">
              <w:rPr>
                <w:noProof/>
                <w:sz w:val="14"/>
              </w:rPr>
              <w:t>(1b)</w:t>
            </w:r>
          </w:p>
        </w:tc>
        <w:tc>
          <w:tcPr>
            <w:tcW w:w="868" w:type="dxa"/>
            <w:vAlign w:val="center"/>
          </w:tcPr>
          <w:p w14:paraId="01F0CA66" w14:textId="77777777" w:rsidR="004515FC" w:rsidRPr="002858D6" w:rsidRDefault="004515FC" w:rsidP="0029161D">
            <w:pPr>
              <w:spacing w:before="20" w:after="20"/>
              <w:jc w:val="right"/>
              <w:rPr>
                <w:noProof/>
                <w:sz w:val="20"/>
              </w:rPr>
            </w:pPr>
          </w:p>
        </w:tc>
        <w:tc>
          <w:tcPr>
            <w:tcW w:w="868" w:type="dxa"/>
            <w:vAlign w:val="center"/>
          </w:tcPr>
          <w:p w14:paraId="0D916DD2" w14:textId="77777777" w:rsidR="004515FC" w:rsidRPr="002858D6" w:rsidRDefault="004515FC" w:rsidP="0029161D">
            <w:pPr>
              <w:spacing w:before="20" w:after="20"/>
              <w:jc w:val="right"/>
              <w:rPr>
                <w:noProof/>
                <w:sz w:val="20"/>
              </w:rPr>
            </w:pPr>
          </w:p>
        </w:tc>
        <w:tc>
          <w:tcPr>
            <w:tcW w:w="868" w:type="dxa"/>
            <w:vAlign w:val="center"/>
          </w:tcPr>
          <w:p w14:paraId="1F2EBEB3" w14:textId="77777777" w:rsidR="004515FC" w:rsidRPr="002858D6" w:rsidRDefault="004515FC" w:rsidP="0029161D">
            <w:pPr>
              <w:spacing w:before="20" w:after="20"/>
              <w:jc w:val="right"/>
              <w:rPr>
                <w:noProof/>
                <w:sz w:val="20"/>
              </w:rPr>
            </w:pPr>
          </w:p>
        </w:tc>
        <w:tc>
          <w:tcPr>
            <w:tcW w:w="868" w:type="dxa"/>
            <w:vAlign w:val="center"/>
          </w:tcPr>
          <w:p w14:paraId="5F56A65A" w14:textId="77777777" w:rsidR="004515FC" w:rsidRPr="002858D6" w:rsidRDefault="004515FC" w:rsidP="0029161D">
            <w:pPr>
              <w:spacing w:before="20" w:after="20"/>
              <w:jc w:val="right"/>
              <w:rPr>
                <w:noProof/>
                <w:sz w:val="20"/>
              </w:rPr>
            </w:pPr>
          </w:p>
        </w:tc>
        <w:tc>
          <w:tcPr>
            <w:tcW w:w="868" w:type="dxa"/>
            <w:vAlign w:val="center"/>
          </w:tcPr>
          <w:p w14:paraId="1A38B5EC" w14:textId="77777777" w:rsidR="004515FC" w:rsidRPr="002858D6" w:rsidRDefault="004515FC" w:rsidP="0029161D">
            <w:pPr>
              <w:spacing w:before="20" w:after="20"/>
              <w:jc w:val="right"/>
              <w:rPr>
                <w:noProof/>
                <w:sz w:val="20"/>
              </w:rPr>
            </w:pPr>
          </w:p>
        </w:tc>
        <w:tc>
          <w:tcPr>
            <w:tcW w:w="868" w:type="dxa"/>
            <w:vAlign w:val="center"/>
          </w:tcPr>
          <w:p w14:paraId="0CA7CF71" w14:textId="77777777" w:rsidR="004515FC" w:rsidRPr="002858D6" w:rsidRDefault="004515FC" w:rsidP="0029161D">
            <w:pPr>
              <w:spacing w:before="20" w:after="20"/>
              <w:jc w:val="right"/>
              <w:rPr>
                <w:noProof/>
                <w:sz w:val="20"/>
              </w:rPr>
            </w:pPr>
          </w:p>
        </w:tc>
        <w:tc>
          <w:tcPr>
            <w:tcW w:w="868" w:type="dxa"/>
            <w:vAlign w:val="center"/>
          </w:tcPr>
          <w:p w14:paraId="1CCDD814" w14:textId="77777777" w:rsidR="004515FC" w:rsidRPr="002858D6" w:rsidRDefault="004515FC" w:rsidP="0029161D">
            <w:pPr>
              <w:spacing w:before="20" w:after="20"/>
              <w:jc w:val="right"/>
              <w:rPr>
                <w:b/>
                <w:noProof/>
                <w:sz w:val="20"/>
              </w:rPr>
            </w:pPr>
          </w:p>
        </w:tc>
        <w:tc>
          <w:tcPr>
            <w:tcW w:w="1777" w:type="dxa"/>
            <w:vAlign w:val="center"/>
          </w:tcPr>
          <w:p w14:paraId="1FE72952" w14:textId="77777777" w:rsidR="004515FC" w:rsidRPr="002858D6" w:rsidRDefault="004515FC" w:rsidP="0029161D">
            <w:pPr>
              <w:spacing w:before="20" w:after="20"/>
              <w:jc w:val="right"/>
              <w:rPr>
                <w:b/>
                <w:noProof/>
                <w:sz w:val="20"/>
              </w:rPr>
            </w:pPr>
          </w:p>
        </w:tc>
      </w:tr>
      <w:tr w:rsidR="00910369" w:rsidRPr="002858D6" w14:paraId="55E6B226" w14:textId="77777777">
        <w:tc>
          <w:tcPr>
            <w:tcW w:w="3960" w:type="dxa"/>
            <w:vMerge/>
          </w:tcPr>
          <w:p w14:paraId="776B8621" w14:textId="77777777" w:rsidR="004515FC" w:rsidRPr="002858D6" w:rsidRDefault="004515FC" w:rsidP="0029161D">
            <w:pPr>
              <w:jc w:val="center"/>
              <w:rPr>
                <w:noProof/>
                <w:sz w:val="20"/>
              </w:rPr>
            </w:pPr>
          </w:p>
        </w:tc>
        <w:tc>
          <w:tcPr>
            <w:tcW w:w="1440" w:type="dxa"/>
            <w:vAlign w:val="center"/>
          </w:tcPr>
          <w:p w14:paraId="73058D75" w14:textId="77777777" w:rsidR="004515FC" w:rsidRPr="002858D6" w:rsidRDefault="004515FC" w:rsidP="0029161D">
            <w:pPr>
              <w:spacing w:before="20" w:after="20"/>
              <w:rPr>
                <w:noProof/>
                <w:sz w:val="18"/>
              </w:rPr>
            </w:pPr>
            <w:r w:rsidRPr="002858D6">
              <w:rPr>
                <w:noProof/>
                <w:sz w:val="18"/>
              </w:rPr>
              <w:t>Pagamentos</w:t>
            </w:r>
          </w:p>
        </w:tc>
        <w:tc>
          <w:tcPr>
            <w:tcW w:w="654" w:type="dxa"/>
            <w:gridSpan w:val="2"/>
            <w:vAlign w:val="center"/>
          </w:tcPr>
          <w:p w14:paraId="3710C0CF" w14:textId="77777777" w:rsidR="004515FC" w:rsidRPr="002858D6" w:rsidRDefault="004515FC" w:rsidP="0029161D">
            <w:pPr>
              <w:spacing w:before="20" w:after="20"/>
              <w:jc w:val="center"/>
              <w:rPr>
                <w:noProof/>
                <w:sz w:val="14"/>
              </w:rPr>
            </w:pPr>
            <w:r w:rsidRPr="002858D6">
              <w:rPr>
                <w:noProof/>
                <w:sz w:val="14"/>
              </w:rPr>
              <w:t>(2b)</w:t>
            </w:r>
          </w:p>
        </w:tc>
        <w:tc>
          <w:tcPr>
            <w:tcW w:w="868" w:type="dxa"/>
            <w:vAlign w:val="center"/>
          </w:tcPr>
          <w:p w14:paraId="18C1900E" w14:textId="77777777" w:rsidR="004515FC" w:rsidRPr="002858D6" w:rsidRDefault="004515FC" w:rsidP="0029161D">
            <w:pPr>
              <w:spacing w:before="20" w:after="20"/>
              <w:jc w:val="right"/>
              <w:rPr>
                <w:noProof/>
                <w:sz w:val="20"/>
              </w:rPr>
            </w:pPr>
          </w:p>
        </w:tc>
        <w:tc>
          <w:tcPr>
            <w:tcW w:w="868" w:type="dxa"/>
            <w:vAlign w:val="center"/>
          </w:tcPr>
          <w:p w14:paraId="54C02E2B" w14:textId="77777777" w:rsidR="004515FC" w:rsidRPr="002858D6" w:rsidRDefault="004515FC" w:rsidP="0029161D">
            <w:pPr>
              <w:spacing w:before="20" w:after="20"/>
              <w:jc w:val="right"/>
              <w:rPr>
                <w:noProof/>
                <w:sz w:val="20"/>
              </w:rPr>
            </w:pPr>
          </w:p>
        </w:tc>
        <w:tc>
          <w:tcPr>
            <w:tcW w:w="868" w:type="dxa"/>
            <w:vAlign w:val="center"/>
          </w:tcPr>
          <w:p w14:paraId="6BB81397" w14:textId="77777777" w:rsidR="004515FC" w:rsidRPr="002858D6" w:rsidRDefault="004515FC" w:rsidP="0029161D">
            <w:pPr>
              <w:spacing w:before="20" w:after="20"/>
              <w:jc w:val="right"/>
              <w:rPr>
                <w:noProof/>
                <w:sz w:val="20"/>
              </w:rPr>
            </w:pPr>
          </w:p>
        </w:tc>
        <w:tc>
          <w:tcPr>
            <w:tcW w:w="868" w:type="dxa"/>
            <w:vAlign w:val="center"/>
          </w:tcPr>
          <w:p w14:paraId="0FD47E3F" w14:textId="77777777" w:rsidR="004515FC" w:rsidRPr="002858D6" w:rsidRDefault="004515FC" w:rsidP="0029161D">
            <w:pPr>
              <w:spacing w:before="20" w:after="20"/>
              <w:jc w:val="right"/>
              <w:rPr>
                <w:noProof/>
                <w:sz w:val="20"/>
              </w:rPr>
            </w:pPr>
          </w:p>
        </w:tc>
        <w:tc>
          <w:tcPr>
            <w:tcW w:w="868" w:type="dxa"/>
            <w:vAlign w:val="center"/>
          </w:tcPr>
          <w:p w14:paraId="65FBEA10" w14:textId="77777777" w:rsidR="004515FC" w:rsidRPr="002858D6" w:rsidRDefault="004515FC" w:rsidP="0029161D">
            <w:pPr>
              <w:spacing w:before="20" w:after="20"/>
              <w:jc w:val="right"/>
              <w:rPr>
                <w:noProof/>
                <w:sz w:val="20"/>
              </w:rPr>
            </w:pPr>
          </w:p>
        </w:tc>
        <w:tc>
          <w:tcPr>
            <w:tcW w:w="868" w:type="dxa"/>
            <w:vAlign w:val="center"/>
          </w:tcPr>
          <w:p w14:paraId="0C4F43FA" w14:textId="77777777" w:rsidR="004515FC" w:rsidRPr="002858D6" w:rsidRDefault="004515FC" w:rsidP="0029161D">
            <w:pPr>
              <w:spacing w:before="20" w:after="20"/>
              <w:jc w:val="right"/>
              <w:rPr>
                <w:noProof/>
                <w:sz w:val="20"/>
              </w:rPr>
            </w:pPr>
          </w:p>
        </w:tc>
        <w:tc>
          <w:tcPr>
            <w:tcW w:w="868" w:type="dxa"/>
            <w:vAlign w:val="center"/>
          </w:tcPr>
          <w:p w14:paraId="57EF9154" w14:textId="77777777" w:rsidR="004515FC" w:rsidRPr="002858D6" w:rsidRDefault="004515FC" w:rsidP="0029161D">
            <w:pPr>
              <w:spacing w:before="20" w:after="20"/>
              <w:jc w:val="right"/>
              <w:rPr>
                <w:b/>
                <w:noProof/>
                <w:sz w:val="20"/>
              </w:rPr>
            </w:pPr>
          </w:p>
        </w:tc>
        <w:tc>
          <w:tcPr>
            <w:tcW w:w="1777" w:type="dxa"/>
            <w:vAlign w:val="center"/>
          </w:tcPr>
          <w:p w14:paraId="1CA7369C" w14:textId="77777777" w:rsidR="004515FC" w:rsidRPr="002858D6" w:rsidRDefault="004515FC" w:rsidP="0029161D">
            <w:pPr>
              <w:spacing w:before="20" w:after="20"/>
              <w:jc w:val="right"/>
              <w:rPr>
                <w:b/>
                <w:noProof/>
                <w:sz w:val="20"/>
              </w:rPr>
            </w:pPr>
          </w:p>
        </w:tc>
      </w:tr>
      <w:tr w:rsidR="00DB3050" w:rsidRPr="002858D6" w14:paraId="3121990B" w14:textId="77777777">
        <w:trPr>
          <w:trHeight w:val="231"/>
        </w:trPr>
        <w:tc>
          <w:tcPr>
            <w:tcW w:w="6054" w:type="dxa"/>
            <w:gridSpan w:val="4"/>
            <w:vAlign w:val="center"/>
          </w:tcPr>
          <w:p w14:paraId="0E4D2D7B" w14:textId="77777777" w:rsidR="004515FC" w:rsidRPr="002858D6" w:rsidRDefault="004515FC" w:rsidP="0029161D">
            <w:pPr>
              <w:spacing w:before="20" w:after="20"/>
              <w:rPr>
                <w:noProof/>
              </w:rPr>
            </w:pPr>
            <w:r w:rsidRPr="002858D6">
              <w:rPr>
                <w:noProof/>
                <w:sz w:val="21"/>
              </w:rPr>
              <w:t>Dotações de natureza administrativa financiadas a partir da dotação de programas específicos</w:t>
            </w:r>
            <w:r w:rsidRPr="002858D6">
              <w:rPr>
                <w:rStyle w:val="FootnoteReference0"/>
                <w:noProof/>
                <w:sz w:val="21"/>
              </w:rPr>
              <w:footnoteReference w:id="46"/>
            </w:r>
            <w:r w:rsidRPr="002858D6">
              <w:rPr>
                <w:noProof/>
                <w:sz w:val="21"/>
              </w:rPr>
              <w:t xml:space="preserve"> </w:t>
            </w:r>
          </w:p>
          <w:p w14:paraId="41D67AB6" w14:textId="77777777" w:rsidR="004515FC" w:rsidRPr="002858D6" w:rsidRDefault="004515FC" w:rsidP="0029161D">
            <w:pPr>
              <w:spacing w:before="0" w:after="0"/>
              <w:rPr>
                <w:noProof/>
              </w:rPr>
            </w:pPr>
          </w:p>
        </w:tc>
        <w:tc>
          <w:tcPr>
            <w:tcW w:w="868" w:type="dxa"/>
            <w:vAlign w:val="center"/>
          </w:tcPr>
          <w:p w14:paraId="5C2E6657" w14:textId="77777777" w:rsidR="004515FC" w:rsidRPr="002858D6" w:rsidRDefault="004515FC" w:rsidP="0029161D">
            <w:pPr>
              <w:rPr>
                <w:b/>
                <w:noProof/>
                <w:sz w:val="20"/>
              </w:rPr>
            </w:pPr>
          </w:p>
        </w:tc>
        <w:tc>
          <w:tcPr>
            <w:tcW w:w="868" w:type="dxa"/>
            <w:vAlign w:val="center"/>
          </w:tcPr>
          <w:p w14:paraId="7B1909B8" w14:textId="77777777" w:rsidR="004515FC" w:rsidRPr="002858D6" w:rsidRDefault="004515FC" w:rsidP="0029161D">
            <w:pPr>
              <w:rPr>
                <w:b/>
                <w:noProof/>
                <w:sz w:val="20"/>
              </w:rPr>
            </w:pPr>
          </w:p>
        </w:tc>
        <w:tc>
          <w:tcPr>
            <w:tcW w:w="868" w:type="dxa"/>
            <w:vAlign w:val="center"/>
          </w:tcPr>
          <w:p w14:paraId="0A96CA30" w14:textId="77777777" w:rsidR="004515FC" w:rsidRPr="002858D6" w:rsidRDefault="004515FC" w:rsidP="0029161D">
            <w:pPr>
              <w:rPr>
                <w:b/>
                <w:noProof/>
                <w:sz w:val="20"/>
              </w:rPr>
            </w:pPr>
          </w:p>
        </w:tc>
        <w:tc>
          <w:tcPr>
            <w:tcW w:w="868" w:type="dxa"/>
            <w:vAlign w:val="center"/>
          </w:tcPr>
          <w:p w14:paraId="55D74E1B" w14:textId="77777777" w:rsidR="004515FC" w:rsidRPr="002858D6" w:rsidRDefault="004515FC" w:rsidP="0029161D">
            <w:pPr>
              <w:rPr>
                <w:b/>
                <w:noProof/>
                <w:sz w:val="20"/>
              </w:rPr>
            </w:pPr>
          </w:p>
        </w:tc>
        <w:tc>
          <w:tcPr>
            <w:tcW w:w="868" w:type="dxa"/>
            <w:vAlign w:val="center"/>
          </w:tcPr>
          <w:p w14:paraId="3FDC4444" w14:textId="77777777" w:rsidR="004515FC" w:rsidRPr="002858D6" w:rsidRDefault="004515FC" w:rsidP="0029161D">
            <w:pPr>
              <w:rPr>
                <w:b/>
                <w:noProof/>
                <w:sz w:val="20"/>
              </w:rPr>
            </w:pPr>
          </w:p>
        </w:tc>
        <w:tc>
          <w:tcPr>
            <w:tcW w:w="868" w:type="dxa"/>
            <w:vAlign w:val="center"/>
          </w:tcPr>
          <w:p w14:paraId="0033B21C" w14:textId="77777777" w:rsidR="004515FC" w:rsidRPr="002858D6" w:rsidRDefault="004515FC" w:rsidP="0029161D">
            <w:pPr>
              <w:rPr>
                <w:b/>
                <w:noProof/>
                <w:sz w:val="20"/>
              </w:rPr>
            </w:pPr>
          </w:p>
        </w:tc>
        <w:tc>
          <w:tcPr>
            <w:tcW w:w="868" w:type="dxa"/>
            <w:vAlign w:val="center"/>
          </w:tcPr>
          <w:p w14:paraId="5A4481A2" w14:textId="77777777" w:rsidR="004515FC" w:rsidRPr="002858D6" w:rsidRDefault="004515FC" w:rsidP="0029161D">
            <w:pPr>
              <w:rPr>
                <w:b/>
                <w:noProof/>
                <w:sz w:val="20"/>
              </w:rPr>
            </w:pPr>
          </w:p>
        </w:tc>
        <w:tc>
          <w:tcPr>
            <w:tcW w:w="1777" w:type="dxa"/>
            <w:vAlign w:val="center"/>
          </w:tcPr>
          <w:p w14:paraId="112E1D2A" w14:textId="77777777" w:rsidR="004515FC" w:rsidRPr="002858D6" w:rsidRDefault="004515FC" w:rsidP="0029161D">
            <w:pPr>
              <w:rPr>
                <w:b/>
                <w:noProof/>
                <w:sz w:val="20"/>
              </w:rPr>
            </w:pPr>
          </w:p>
        </w:tc>
      </w:tr>
      <w:tr w:rsidR="00DB3050" w:rsidRPr="002858D6" w14:paraId="5D9FED2E" w14:textId="77777777">
        <w:trPr>
          <w:trHeight w:val="319"/>
        </w:trPr>
        <w:tc>
          <w:tcPr>
            <w:tcW w:w="3960" w:type="dxa"/>
            <w:vAlign w:val="center"/>
          </w:tcPr>
          <w:p w14:paraId="70F90B17" w14:textId="77777777" w:rsidR="004515FC" w:rsidRPr="002858D6" w:rsidRDefault="004515FC" w:rsidP="0029161D">
            <w:pPr>
              <w:spacing w:before="60" w:after="60"/>
              <w:rPr>
                <w:noProof/>
              </w:rPr>
            </w:pPr>
            <w:r w:rsidRPr="002858D6">
              <w:rPr>
                <w:noProof/>
                <w:sz w:val="20"/>
              </w:rPr>
              <w:t>Rubrica orçamental</w:t>
            </w:r>
          </w:p>
        </w:tc>
        <w:tc>
          <w:tcPr>
            <w:tcW w:w="1440" w:type="dxa"/>
            <w:vAlign w:val="center"/>
          </w:tcPr>
          <w:p w14:paraId="1D2B783B" w14:textId="77777777" w:rsidR="004515FC" w:rsidRPr="002858D6" w:rsidRDefault="004515FC" w:rsidP="0029161D">
            <w:pPr>
              <w:spacing w:before="40" w:after="40"/>
              <w:jc w:val="right"/>
              <w:rPr>
                <w:noProof/>
                <w:sz w:val="18"/>
              </w:rPr>
            </w:pPr>
          </w:p>
        </w:tc>
        <w:tc>
          <w:tcPr>
            <w:tcW w:w="654" w:type="dxa"/>
            <w:gridSpan w:val="2"/>
            <w:vAlign w:val="center"/>
          </w:tcPr>
          <w:p w14:paraId="27B0211D" w14:textId="77777777" w:rsidR="004515FC" w:rsidRPr="002858D6" w:rsidRDefault="004515FC" w:rsidP="0029161D">
            <w:pPr>
              <w:spacing w:before="40" w:after="40"/>
              <w:jc w:val="center"/>
              <w:rPr>
                <w:noProof/>
                <w:sz w:val="14"/>
              </w:rPr>
            </w:pPr>
            <w:r w:rsidRPr="002858D6">
              <w:rPr>
                <w:noProof/>
                <w:sz w:val="14"/>
              </w:rPr>
              <w:t>(3)</w:t>
            </w:r>
          </w:p>
        </w:tc>
        <w:tc>
          <w:tcPr>
            <w:tcW w:w="868" w:type="dxa"/>
            <w:vAlign w:val="center"/>
          </w:tcPr>
          <w:p w14:paraId="2AF3196C" w14:textId="77777777" w:rsidR="004515FC" w:rsidRPr="002858D6" w:rsidRDefault="004515FC" w:rsidP="0029161D">
            <w:pPr>
              <w:spacing w:before="40" w:after="40"/>
              <w:jc w:val="right"/>
              <w:rPr>
                <w:b/>
                <w:noProof/>
                <w:sz w:val="20"/>
              </w:rPr>
            </w:pPr>
          </w:p>
        </w:tc>
        <w:tc>
          <w:tcPr>
            <w:tcW w:w="868" w:type="dxa"/>
            <w:vAlign w:val="center"/>
          </w:tcPr>
          <w:p w14:paraId="4B230D70" w14:textId="77777777" w:rsidR="004515FC" w:rsidRPr="002858D6" w:rsidRDefault="004515FC" w:rsidP="0029161D">
            <w:pPr>
              <w:spacing w:before="40" w:after="40"/>
              <w:jc w:val="right"/>
              <w:rPr>
                <w:b/>
                <w:noProof/>
                <w:sz w:val="20"/>
              </w:rPr>
            </w:pPr>
          </w:p>
        </w:tc>
        <w:tc>
          <w:tcPr>
            <w:tcW w:w="868" w:type="dxa"/>
            <w:vAlign w:val="center"/>
          </w:tcPr>
          <w:p w14:paraId="1AC76D4A" w14:textId="77777777" w:rsidR="004515FC" w:rsidRPr="002858D6" w:rsidRDefault="004515FC" w:rsidP="0029161D">
            <w:pPr>
              <w:spacing w:before="40" w:after="40"/>
              <w:jc w:val="right"/>
              <w:rPr>
                <w:b/>
                <w:noProof/>
                <w:sz w:val="20"/>
              </w:rPr>
            </w:pPr>
          </w:p>
        </w:tc>
        <w:tc>
          <w:tcPr>
            <w:tcW w:w="868" w:type="dxa"/>
            <w:vAlign w:val="center"/>
          </w:tcPr>
          <w:p w14:paraId="6FB85D10" w14:textId="77777777" w:rsidR="004515FC" w:rsidRPr="002858D6" w:rsidRDefault="004515FC" w:rsidP="0029161D">
            <w:pPr>
              <w:spacing w:before="40" w:after="40"/>
              <w:jc w:val="right"/>
              <w:rPr>
                <w:b/>
                <w:noProof/>
                <w:sz w:val="20"/>
              </w:rPr>
            </w:pPr>
          </w:p>
        </w:tc>
        <w:tc>
          <w:tcPr>
            <w:tcW w:w="868" w:type="dxa"/>
            <w:vAlign w:val="center"/>
          </w:tcPr>
          <w:p w14:paraId="0ED71CF6" w14:textId="77777777" w:rsidR="004515FC" w:rsidRPr="002858D6" w:rsidRDefault="004515FC" w:rsidP="0029161D">
            <w:pPr>
              <w:spacing w:before="40" w:after="40"/>
              <w:jc w:val="right"/>
              <w:rPr>
                <w:b/>
                <w:noProof/>
                <w:sz w:val="20"/>
              </w:rPr>
            </w:pPr>
          </w:p>
        </w:tc>
        <w:tc>
          <w:tcPr>
            <w:tcW w:w="868" w:type="dxa"/>
            <w:vAlign w:val="center"/>
          </w:tcPr>
          <w:p w14:paraId="6D7EBD71" w14:textId="77777777" w:rsidR="004515FC" w:rsidRPr="002858D6" w:rsidRDefault="004515FC" w:rsidP="0029161D">
            <w:pPr>
              <w:spacing w:before="40" w:after="40"/>
              <w:jc w:val="right"/>
              <w:rPr>
                <w:b/>
                <w:noProof/>
                <w:sz w:val="20"/>
              </w:rPr>
            </w:pPr>
          </w:p>
        </w:tc>
        <w:tc>
          <w:tcPr>
            <w:tcW w:w="868" w:type="dxa"/>
            <w:vAlign w:val="center"/>
          </w:tcPr>
          <w:p w14:paraId="32367B1B" w14:textId="77777777" w:rsidR="004515FC" w:rsidRPr="002858D6" w:rsidRDefault="004515FC" w:rsidP="0029161D">
            <w:pPr>
              <w:spacing w:before="40" w:after="40"/>
              <w:jc w:val="right"/>
              <w:rPr>
                <w:b/>
                <w:noProof/>
                <w:sz w:val="20"/>
              </w:rPr>
            </w:pPr>
          </w:p>
        </w:tc>
        <w:tc>
          <w:tcPr>
            <w:tcW w:w="1777" w:type="dxa"/>
            <w:vAlign w:val="center"/>
          </w:tcPr>
          <w:p w14:paraId="6F1D99BD" w14:textId="77777777" w:rsidR="004515FC" w:rsidRPr="002858D6" w:rsidRDefault="004515FC" w:rsidP="0029161D">
            <w:pPr>
              <w:spacing w:before="40" w:after="40"/>
              <w:jc w:val="right"/>
              <w:rPr>
                <w:b/>
                <w:noProof/>
                <w:sz w:val="20"/>
              </w:rPr>
            </w:pPr>
          </w:p>
        </w:tc>
      </w:tr>
      <w:tr w:rsidR="00910369" w:rsidRPr="002858D6" w14:paraId="68EB59C0" w14:textId="77777777">
        <w:tc>
          <w:tcPr>
            <w:tcW w:w="3960" w:type="dxa"/>
            <w:vMerge w:val="restart"/>
            <w:vAlign w:val="center"/>
          </w:tcPr>
          <w:p w14:paraId="5B5AF1EC" w14:textId="77777777" w:rsidR="004515FC" w:rsidRPr="002858D6" w:rsidRDefault="004515FC" w:rsidP="0029161D">
            <w:pPr>
              <w:jc w:val="center"/>
              <w:rPr>
                <w:b/>
                <w:noProof/>
              </w:rPr>
            </w:pPr>
            <w:r w:rsidRPr="002858D6">
              <w:rPr>
                <w:b/>
                <w:noProof/>
                <w:sz w:val="22"/>
              </w:rPr>
              <w:t>TOTAL das dotações</w:t>
            </w:r>
            <w:r w:rsidRPr="002858D6">
              <w:rPr>
                <w:noProof/>
              </w:rPr>
              <w:t xml:space="preserve"> </w:t>
            </w:r>
            <w:r w:rsidRPr="002858D6">
              <w:rPr>
                <w:noProof/>
              </w:rPr>
              <w:cr/>
            </w:r>
            <w:r w:rsidRPr="002858D6">
              <w:rPr>
                <w:noProof/>
              </w:rPr>
              <w:br/>
            </w:r>
            <w:r w:rsidRPr="002858D6">
              <w:rPr>
                <w:b/>
                <w:noProof/>
                <w:sz w:val="22"/>
              </w:rPr>
              <w:t xml:space="preserve">para a DG </w:t>
            </w:r>
            <w:r w:rsidRPr="002858D6">
              <w:rPr>
                <w:noProof/>
                <w:sz w:val="22"/>
              </w:rPr>
              <w:t>&lt;…….&gt;</w:t>
            </w:r>
          </w:p>
        </w:tc>
        <w:tc>
          <w:tcPr>
            <w:tcW w:w="1440" w:type="dxa"/>
            <w:vAlign w:val="center"/>
          </w:tcPr>
          <w:p w14:paraId="4AFFE05F" w14:textId="77777777" w:rsidR="004515FC" w:rsidRPr="002858D6" w:rsidRDefault="004515FC" w:rsidP="0029161D">
            <w:pPr>
              <w:rPr>
                <w:noProof/>
                <w:sz w:val="18"/>
              </w:rPr>
            </w:pPr>
            <w:r w:rsidRPr="002858D6">
              <w:rPr>
                <w:noProof/>
                <w:sz w:val="18"/>
              </w:rPr>
              <w:t>Autorizações</w:t>
            </w:r>
          </w:p>
        </w:tc>
        <w:tc>
          <w:tcPr>
            <w:tcW w:w="654" w:type="dxa"/>
            <w:gridSpan w:val="2"/>
            <w:vAlign w:val="center"/>
          </w:tcPr>
          <w:p w14:paraId="554F7D18" w14:textId="77777777" w:rsidR="004515FC" w:rsidRPr="002858D6" w:rsidRDefault="004515FC" w:rsidP="0029161D">
            <w:pPr>
              <w:jc w:val="center"/>
              <w:rPr>
                <w:noProof/>
                <w:sz w:val="14"/>
              </w:rPr>
            </w:pPr>
            <w:r w:rsidRPr="002858D6">
              <w:rPr>
                <w:noProof/>
                <w:sz w:val="14"/>
              </w:rPr>
              <w:t>=1a+1b +3</w:t>
            </w:r>
          </w:p>
        </w:tc>
        <w:tc>
          <w:tcPr>
            <w:tcW w:w="868" w:type="dxa"/>
            <w:vAlign w:val="center"/>
          </w:tcPr>
          <w:p w14:paraId="657EE0BA" w14:textId="77777777" w:rsidR="004515FC" w:rsidRPr="002858D6" w:rsidRDefault="004515FC" w:rsidP="0029161D">
            <w:pPr>
              <w:spacing w:before="20" w:after="20"/>
              <w:jc w:val="right"/>
              <w:rPr>
                <w:noProof/>
                <w:sz w:val="20"/>
              </w:rPr>
            </w:pPr>
          </w:p>
        </w:tc>
        <w:tc>
          <w:tcPr>
            <w:tcW w:w="868" w:type="dxa"/>
            <w:vAlign w:val="center"/>
          </w:tcPr>
          <w:p w14:paraId="4F8025B2" w14:textId="77777777" w:rsidR="004515FC" w:rsidRPr="002858D6" w:rsidRDefault="004515FC" w:rsidP="0029161D">
            <w:pPr>
              <w:spacing w:before="20" w:after="20"/>
              <w:jc w:val="right"/>
              <w:rPr>
                <w:noProof/>
                <w:sz w:val="20"/>
              </w:rPr>
            </w:pPr>
          </w:p>
        </w:tc>
        <w:tc>
          <w:tcPr>
            <w:tcW w:w="868" w:type="dxa"/>
            <w:vAlign w:val="center"/>
          </w:tcPr>
          <w:p w14:paraId="02330D9C" w14:textId="77777777" w:rsidR="004515FC" w:rsidRPr="002858D6" w:rsidRDefault="004515FC" w:rsidP="0029161D">
            <w:pPr>
              <w:spacing w:before="20" w:after="20"/>
              <w:jc w:val="right"/>
              <w:rPr>
                <w:noProof/>
                <w:sz w:val="20"/>
              </w:rPr>
            </w:pPr>
          </w:p>
        </w:tc>
        <w:tc>
          <w:tcPr>
            <w:tcW w:w="868" w:type="dxa"/>
            <w:vAlign w:val="center"/>
          </w:tcPr>
          <w:p w14:paraId="7B9DDB61" w14:textId="77777777" w:rsidR="004515FC" w:rsidRPr="002858D6" w:rsidRDefault="004515FC" w:rsidP="0029161D">
            <w:pPr>
              <w:spacing w:before="20" w:after="20"/>
              <w:jc w:val="right"/>
              <w:rPr>
                <w:noProof/>
                <w:sz w:val="20"/>
              </w:rPr>
            </w:pPr>
          </w:p>
        </w:tc>
        <w:tc>
          <w:tcPr>
            <w:tcW w:w="868" w:type="dxa"/>
            <w:vAlign w:val="center"/>
          </w:tcPr>
          <w:p w14:paraId="71F623E7" w14:textId="77777777" w:rsidR="004515FC" w:rsidRPr="002858D6" w:rsidRDefault="004515FC" w:rsidP="0029161D">
            <w:pPr>
              <w:spacing w:before="20" w:after="20"/>
              <w:jc w:val="right"/>
              <w:rPr>
                <w:noProof/>
                <w:sz w:val="20"/>
              </w:rPr>
            </w:pPr>
          </w:p>
        </w:tc>
        <w:tc>
          <w:tcPr>
            <w:tcW w:w="868" w:type="dxa"/>
            <w:vAlign w:val="center"/>
          </w:tcPr>
          <w:p w14:paraId="0ACC5C04" w14:textId="77777777" w:rsidR="004515FC" w:rsidRPr="002858D6" w:rsidRDefault="004515FC" w:rsidP="0029161D">
            <w:pPr>
              <w:spacing w:before="20" w:after="20"/>
              <w:jc w:val="right"/>
              <w:rPr>
                <w:noProof/>
                <w:sz w:val="20"/>
              </w:rPr>
            </w:pPr>
          </w:p>
        </w:tc>
        <w:tc>
          <w:tcPr>
            <w:tcW w:w="868" w:type="dxa"/>
            <w:vAlign w:val="center"/>
          </w:tcPr>
          <w:p w14:paraId="5CF2CC1C" w14:textId="77777777" w:rsidR="004515FC" w:rsidRPr="002858D6" w:rsidRDefault="004515FC" w:rsidP="0029161D">
            <w:pPr>
              <w:spacing w:before="20" w:after="20"/>
              <w:jc w:val="right"/>
              <w:rPr>
                <w:b/>
                <w:noProof/>
                <w:sz w:val="20"/>
              </w:rPr>
            </w:pPr>
          </w:p>
        </w:tc>
        <w:tc>
          <w:tcPr>
            <w:tcW w:w="1777" w:type="dxa"/>
            <w:vAlign w:val="center"/>
          </w:tcPr>
          <w:p w14:paraId="698D3306" w14:textId="77777777" w:rsidR="004515FC" w:rsidRPr="002858D6" w:rsidRDefault="004515FC" w:rsidP="0029161D">
            <w:pPr>
              <w:spacing w:before="20" w:after="20"/>
              <w:jc w:val="right"/>
              <w:rPr>
                <w:b/>
                <w:noProof/>
                <w:sz w:val="20"/>
              </w:rPr>
            </w:pPr>
          </w:p>
        </w:tc>
      </w:tr>
      <w:tr w:rsidR="00910369" w:rsidRPr="002858D6" w14:paraId="458B0BBB" w14:textId="77777777">
        <w:tc>
          <w:tcPr>
            <w:tcW w:w="3960" w:type="dxa"/>
            <w:vMerge/>
          </w:tcPr>
          <w:p w14:paraId="27DEFC29" w14:textId="77777777" w:rsidR="004515FC" w:rsidRPr="002858D6" w:rsidRDefault="004515FC" w:rsidP="0029161D">
            <w:pPr>
              <w:rPr>
                <w:noProof/>
                <w:sz w:val="20"/>
              </w:rPr>
            </w:pPr>
          </w:p>
        </w:tc>
        <w:tc>
          <w:tcPr>
            <w:tcW w:w="1440" w:type="dxa"/>
            <w:vAlign w:val="center"/>
          </w:tcPr>
          <w:p w14:paraId="307C6977" w14:textId="77777777" w:rsidR="004515FC" w:rsidRPr="002858D6" w:rsidRDefault="004515FC" w:rsidP="0029161D">
            <w:pPr>
              <w:rPr>
                <w:noProof/>
                <w:sz w:val="18"/>
              </w:rPr>
            </w:pPr>
            <w:r w:rsidRPr="002858D6">
              <w:rPr>
                <w:noProof/>
                <w:sz w:val="18"/>
              </w:rPr>
              <w:t>Pagamentos</w:t>
            </w:r>
          </w:p>
        </w:tc>
        <w:tc>
          <w:tcPr>
            <w:tcW w:w="654" w:type="dxa"/>
            <w:gridSpan w:val="2"/>
            <w:vAlign w:val="center"/>
          </w:tcPr>
          <w:p w14:paraId="2FE6D964" w14:textId="77777777" w:rsidR="004515FC" w:rsidRPr="002858D6" w:rsidRDefault="004515FC" w:rsidP="0029161D">
            <w:pPr>
              <w:jc w:val="center"/>
              <w:rPr>
                <w:noProof/>
                <w:sz w:val="14"/>
              </w:rPr>
            </w:pPr>
            <w:r w:rsidRPr="002858D6">
              <w:rPr>
                <w:noProof/>
                <w:sz w:val="14"/>
              </w:rPr>
              <w:t>= 2 a+2b</w:t>
            </w:r>
          </w:p>
          <w:p w14:paraId="462E9F07" w14:textId="77777777" w:rsidR="004515FC" w:rsidRPr="002858D6" w:rsidRDefault="004515FC" w:rsidP="0029161D">
            <w:pPr>
              <w:jc w:val="center"/>
              <w:rPr>
                <w:noProof/>
                <w:sz w:val="14"/>
              </w:rPr>
            </w:pPr>
            <w:r w:rsidRPr="002858D6">
              <w:rPr>
                <w:noProof/>
                <w:sz w:val="14"/>
              </w:rPr>
              <w:t>+3</w:t>
            </w:r>
          </w:p>
        </w:tc>
        <w:tc>
          <w:tcPr>
            <w:tcW w:w="868" w:type="dxa"/>
            <w:vAlign w:val="center"/>
          </w:tcPr>
          <w:p w14:paraId="0597B73F" w14:textId="77777777" w:rsidR="004515FC" w:rsidRPr="002858D6" w:rsidRDefault="004515FC" w:rsidP="0029161D">
            <w:pPr>
              <w:spacing w:before="20" w:after="20"/>
              <w:jc w:val="right"/>
              <w:rPr>
                <w:noProof/>
                <w:sz w:val="20"/>
              </w:rPr>
            </w:pPr>
          </w:p>
        </w:tc>
        <w:tc>
          <w:tcPr>
            <w:tcW w:w="868" w:type="dxa"/>
            <w:vAlign w:val="center"/>
          </w:tcPr>
          <w:p w14:paraId="285DAE5A" w14:textId="77777777" w:rsidR="004515FC" w:rsidRPr="002858D6" w:rsidRDefault="004515FC" w:rsidP="0029161D">
            <w:pPr>
              <w:spacing w:before="20" w:after="20"/>
              <w:jc w:val="right"/>
              <w:rPr>
                <w:noProof/>
                <w:sz w:val="20"/>
              </w:rPr>
            </w:pPr>
          </w:p>
        </w:tc>
        <w:tc>
          <w:tcPr>
            <w:tcW w:w="868" w:type="dxa"/>
            <w:vAlign w:val="center"/>
          </w:tcPr>
          <w:p w14:paraId="2CF66A98" w14:textId="77777777" w:rsidR="004515FC" w:rsidRPr="002858D6" w:rsidRDefault="004515FC" w:rsidP="0029161D">
            <w:pPr>
              <w:spacing w:before="20" w:after="20"/>
              <w:jc w:val="right"/>
              <w:rPr>
                <w:noProof/>
                <w:sz w:val="20"/>
              </w:rPr>
            </w:pPr>
          </w:p>
        </w:tc>
        <w:tc>
          <w:tcPr>
            <w:tcW w:w="868" w:type="dxa"/>
            <w:vAlign w:val="center"/>
          </w:tcPr>
          <w:p w14:paraId="04641008" w14:textId="77777777" w:rsidR="004515FC" w:rsidRPr="002858D6" w:rsidRDefault="004515FC" w:rsidP="0029161D">
            <w:pPr>
              <w:spacing w:before="20" w:after="20"/>
              <w:jc w:val="right"/>
              <w:rPr>
                <w:noProof/>
                <w:sz w:val="20"/>
              </w:rPr>
            </w:pPr>
          </w:p>
        </w:tc>
        <w:tc>
          <w:tcPr>
            <w:tcW w:w="868" w:type="dxa"/>
            <w:vAlign w:val="center"/>
          </w:tcPr>
          <w:p w14:paraId="0DC7A8F9" w14:textId="77777777" w:rsidR="004515FC" w:rsidRPr="002858D6" w:rsidRDefault="004515FC" w:rsidP="0029161D">
            <w:pPr>
              <w:spacing w:before="20" w:after="20"/>
              <w:jc w:val="right"/>
              <w:rPr>
                <w:noProof/>
                <w:sz w:val="20"/>
              </w:rPr>
            </w:pPr>
          </w:p>
        </w:tc>
        <w:tc>
          <w:tcPr>
            <w:tcW w:w="868" w:type="dxa"/>
            <w:vAlign w:val="center"/>
          </w:tcPr>
          <w:p w14:paraId="3FAA166C" w14:textId="77777777" w:rsidR="004515FC" w:rsidRPr="002858D6" w:rsidRDefault="004515FC" w:rsidP="0029161D">
            <w:pPr>
              <w:spacing w:before="20" w:after="20"/>
              <w:jc w:val="right"/>
              <w:rPr>
                <w:noProof/>
                <w:sz w:val="20"/>
              </w:rPr>
            </w:pPr>
          </w:p>
        </w:tc>
        <w:tc>
          <w:tcPr>
            <w:tcW w:w="868" w:type="dxa"/>
            <w:vAlign w:val="center"/>
          </w:tcPr>
          <w:p w14:paraId="7B2B0F63" w14:textId="77777777" w:rsidR="004515FC" w:rsidRPr="002858D6" w:rsidRDefault="004515FC" w:rsidP="0029161D">
            <w:pPr>
              <w:spacing w:before="20" w:after="20"/>
              <w:jc w:val="right"/>
              <w:rPr>
                <w:b/>
                <w:noProof/>
                <w:sz w:val="20"/>
              </w:rPr>
            </w:pPr>
          </w:p>
        </w:tc>
        <w:tc>
          <w:tcPr>
            <w:tcW w:w="1777" w:type="dxa"/>
            <w:vAlign w:val="center"/>
          </w:tcPr>
          <w:p w14:paraId="3DFA4738" w14:textId="77777777" w:rsidR="004515FC" w:rsidRPr="002858D6" w:rsidRDefault="004515FC" w:rsidP="0029161D">
            <w:pPr>
              <w:spacing w:before="20" w:after="20"/>
              <w:jc w:val="right"/>
              <w:rPr>
                <w:b/>
                <w:noProof/>
                <w:sz w:val="20"/>
              </w:rPr>
            </w:pPr>
          </w:p>
        </w:tc>
      </w:tr>
    </w:tbl>
    <w:p w14:paraId="024DDD5A" w14:textId="77777777" w:rsidR="004515FC" w:rsidRPr="002858D6" w:rsidRDefault="004515FC" w:rsidP="004515FC">
      <w:pPr>
        <w:rPr>
          <w:noProof/>
        </w:rPr>
      </w:pPr>
      <w:r w:rsidRPr="002858D6">
        <w:rPr>
          <w:noProof/>
        </w:rPr>
        <w:t xml:space="preserve"> </w:t>
      </w:r>
      <w:r w:rsidRPr="002858D6">
        <w:rPr>
          <w:noProof/>
        </w:rPr>
        <w:cr/>
      </w:r>
      <w:r w:rsidRPr="002858D6">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910369" w:rsidRPr="002858D6" w14:paraId="66063813" w14:textId="77777777">
        <w:trPr>
          <w:trHeight w:val="277"/>
        </w:trPr>
        <w:tc>
          <w:tcPr>
            <w:tcW w:w="3960" w:type="dxa"/>
            <w:vMerge w:val="restart"/>
            <w:vAlign w:val="center"/>
          </w:tcPr>
          <w:p w14:paraId="00318610" w14:textId="77777777" w:rsidR="004515FC" w:rsidRPr="002858D6" w:rsidRDefault="004515FC" w:rsidP="0029161D">
            <w:pPr>
              <w:spacing w:before="20" w:after="20"/>
              <w:rPr>
                <w:noProof/>
              </w:rPr>
            </w:pPr>
            <w:r w:rsidRPr="002858D6">
              <w:rPr>
                <w:noProof/>
              </w:rPr>
              <w:br w:type="page"/>
            </w:r>
            <w:r w:rsidRPr="002858D6">
              <w:rPr>
                <w:rFonts w:ascii="Wingdings" w:hAnsi="Wingdings"/>
                <w:noProof/>
                <w:sz w:val="21"/>
              </w:rPr>
              <w:t>□</w:t>
            </w:r>
            <w:r w:rsidRPr="002858D6">
              <w:rPr>
                <w:noProof/>
                <w:sz w:val="21"/>
              </w:rPr>
              <w:t xml:space="preserve">TOTAL das dotações operacionais </w:t>
            </w:r>
          </w:p>
        </w:tc>
        <w:tc>
          <w:tcPr>
            <w:tcW w:w="1440" w:type="dxa"/>
            <w:vAlign w:val="center"/>
          </w:tcPr>
          <w:p w14:paraId="06F0C86B" w14:textId="77777777" w:rsidR="004515FC" w:rsidRPr="002858D6" w:rsidRDefault="004515FC" w:rsidP="0029161D">
            <w:pPr>
              <w:spacing w:beforeLines="20" w:before="48" w:afterLines="20" w:after="48"/>
              <w:rPr>
                <w:noProof/>
                <w:sz w:val="18"/>
              </w:rPr>
            </w:pPr>
            <w:r w:rsidRPr="002858D6">
              <w:rPr>
                <w:noProof/>
                <w:sz w:val="18"/>
              </w:rPr>
              <w:t>Autorizações</w:t>
            </w:r>
          </w:p>
        </w:tc>
        <w:tc>
          <w:tcPr>
            <w:tcW w:w="654" w:type="dxa"/>
            <w:vAlign w:val="center"/>
          </w:tcPr>
          <w:p w14:paraId="5E45689C" w14:textId="77777777" w:rsidR="004515FC" w:rsidRPr="002858D6" w:rsidRDefault="004515FC" w:rsidP="0029161D">
            <w:pPr>
              <w:spacing w:beforeLines="20" w:before="48" w:afterLines="20" w:after="48"/>
              <w:jc w:val="center"/>
              <w:rPr>
                <w:noProof/>
                <w:sz w:val="14"/>
              </w:rPr>
            </w:pPr>
            <w:r w:rsidRPr="002858D6">
              <w:rPr>
                <w:noProof/>
                <w:sz w:val="14"/>
              </w:rPr>
              <w:t>(4)</w:t>
            </w:r>
          </w:p>
        </w:tc>
        <w:tc>
          <w:tcPr>
            <w:tcW w:w="868" w:type="dxa"/>
            <w:vAlign w:val="center"/>
          </w:tcPr>
          <w:p w14:paraId="27CB1E05" w14:textId="77777777" w:rsidR="004515FC" w:rsidRPr="002858D6" w:rsidRDefault="004515FC" w:rsidP="0029161D">
            <w:pPr>
              <w:spacing w:before="20" w:after="20"/>
              <w:jc w:val="right"/>
              <w:rPr>
                <w:noProof/>
                <w:sz w:val="20"/>
              </w:rPr>
            </w:pPr>
          </w:p>
        </w:tc>
        <w:tc>
          <w:tcPr>
            <w:tcW w:w="868" w:type="dxa"/>
            <w:vAlign w:val="center"/>
          </w:tcPr>
          <w:p w14:paraId="364B79D0" w14:textId="77777777" w:rsidR="004515FC" w:rsidRPr="002858D6" w:rsidRDefault="004515FC" w:rsidP="0029161D">
            <w:pPr>
              <w:spacing w:before="20" w:after="20"/>
              <w:jc w:val="right"/>
              <w:rPr>
                <w:noProof/>
                <w:sz w:val="20"/>
              </w:rPr>
            </w:pPr>
          </w:p>
        </w:tc>
        <w:tc>
          <w:tcPr>
            <w:tcW w:w="868" w:type="dxa"/>
            <w:vAlign w:val="center"/>
          </w:tcPr>
          <w:p w14:paraId="088CEBCB" w14:textId="77777777" w:rsidR="004515FC" w:rsidRPr="002858D6" w:rsidRDefault="004515FC" w:rsidP="0029161D">
            <w:pPr>
              <w:spacing w:before="20" w:after="20"/>
              <w:jc w:val="right"/>
              <w:rPr>
                <w:noProof/>
                <w:sz w:val="20"/>
              </w:rPr>
            </w:pPr>
          </w:p>
        </w:tc>
        <w:tc>
          <w:tcPr>
            <w:tcW w:w="868" w:type="dxa"/>
            <w:vAlign w:val="center"/>
          </w:tcPr>
          <w:p w14:paraId="213E8C50" w14:textId="77777777" w:rsidR="004515FC" w:rsidRPr="002858D6" w:rsidRDefault="004515FC" w:rsidP="0029161D">
            <w:pPr>
              <w:spacing w:before="20" w:after="20"/>
              <w:jc w:val="right"/>
              <w:rPr>
                <w:noProof/>
                <w:sz w:val="20"/>
              </w:rPr>
            </w:pPr>
          </w:p>
        </w:tc>
        <w:tc>
          <w:tcPr>
            <w:tcW w:w="868" w:type="dxa"/>
            <w:vAlign w:val="center"/>
          </w:tcPr>
          <w:p w14:paraId="77998A10" w14:textId="77777777" w:rsidR="004515FC" w:rsidRPr="002858D6" w:rsidRDefault="004515FC" w:rsidP="0029161D">
            <w:pPr>
              <w:spacing w:before="20" w:after="20"/>
              <w:jc w:val="right"/>
              <w:rPr>
                <w:noProof/>
                <w:sz w:val="20"/>
              </w:rPr>
            </w:pPr>
          </w:p>
        </w:tc>
        <w:tc>
          <w:tcPr>
            <w:tcW w:w="868" w:type="dxa"/>
            <w:vAlign w:val="center"/>
          </w:tcPr>
          <w:p w14:paraId="58528012" w14:textId="77777777" w:rsidR="004515FC" w:rsidRPr="002858D6" w:rsidRDefault="004515FC" w:rsidP="0029161D">
            <w:pPr>
              <w:spacing w:before="20" w:after="20"/>
              <w:jc w:val="right"/>
              <w:rPr>
                <w:noProof/>
                <w:sz w:val="20"/>
              </w:rPr>
            </w:pPr>
          </w:p>
        </w:tc>
        <w:tc>
          <w:tcPr>
            <w:tcW w:w="868" w:type="dxa"/>
            <w:vAlign w:val="center"/>
          </w:tcPr>
          <w:p w14:paraId="700820E8" w14:textId="77777777" w:rsidR="004515FC" w:rsidRPr="002858D6" w:rsidRDefault="004515FC" w:rsidP="0029161D">
            <w:pPr>
              <w:spacing w:before="20" w:after="20"/>
              <w:jc w:val="right"/>
              <w:rPr>
                <w:b/>
                <w:noProof/>
                <w:sz w:val="20"/>
              </w:rPr>
            </w:pPr>
          </w:p>
        </w:tc>
        <w:tc>
          <w:tcPr>
            <w:tcW w:w="1777" w:type="dxa"/>
            <w:vAlign w:val="center"/>
          </w:tcPr>
          <w:p w14:paraId="02E3537B" w14:textId="77777777" w:rsidR="004515FC" w:rsidRPr="002858D6" w:rsidRDefault="004515FC" w:rsidP="0029161D">
            <w:pPr>
              <w:spacing w:before="20" w:after="20"/>
              <w:jc w:val="right"/>
              <w:rPr>
                <w:b/>
                <w:noProof/>
                <w:sz w:val="20"/>
              </w:rPr>
            </w:pPr>
          </w:p>
        </w:tc>
      </w:tr>
      <w:tr w:rsidR="00910369" w:rsidRPr="002858D6" w14:paraId="4805C34C" w14:textId="77777777">
        <w:tc>
          <w:tcPr>
            <w:tcW w:w="3960" w:type="dxa"/>
            <w:vMerge/>
          </w:tcPr>
          <w:p w14:paraId="17A2190F" w14:textId="77777777" w:rsidR="004515FC" w:rsidRPr="002858D6" w:rsidRDefault="004515FC" w:rsidP="0029161D">
            <w:pPr>
              <w:jc w:val="center"/>
              <w:rPr>
                <w:noProof/>
                <w:sz w:val="20"/>
              </w:rPr>
            </w:pPr>
          </w:p>
        </w:tc>
        <w:tc>
          <w:tcPr>
            <w:tcW w:w="1440" w:type="dxa"/>
            <w:vAlign w:val="center"/>
          </w:tcPr>
          <w:p w14:paraId="40A80AFF" w14:textId="77777777" w:rsidR="004515FC" w:rsidRPr="002858D6" w:rsidRDefault="004515FC" w:rsidP="0029161D">
            <w:pPr>
              <w:spacing w:beforeLines="20" w:before="48" w:afterLines="20" w:after="48"/>
              <w:rPr>
                <w:noProof/>
                <w:sz w:val="18"/>
              </w:rPr>
            </w:pPr>
            <w:r w:rsidRPr="002858D6">
              <w:rPr>
                <w:noProof/>
                <w:sz w:val="18"/>
              </w:rPr>
              <w:t>Pagamentos</w:t>
            </w:r>
          </w:p>
        </w:tc>
        <w:tc>
          <w:tcPr>
            <w:tcW w:w="654" w:type="dxa"/>
            <w:vAlign w:val="center"/>
          </w:tcPr>
          <w:p w14:paraId="09BABB79" w14:textId="77777777" w:rsidR="004515FC" w:rsidRPr="002858D6" w:rsidRDefault="004515FC" w:rsidP="0029161D">
            <w:pPr>
              <w:spacing w:beforeLines="20" w:before="48" w:afterLines="20" w:after="48"/>
              <w:jc w:val="center"/>
              <w:rPr>
                <w:noProof/>
                <w:sz w:val="14"/>
              </w:rPr>
            </w:pPr>
            <w:r w:rsidRPr="002858D6">
              <w:rPr>
                <w:noProof/>
                <w:sz w:val="14"/>
              </w:rPr>
              <w:t>(5)</w:t>
            </w:r>
          </w:p>
        </w:tc>
        <w:tc>
          <w:tcPr>
            <w:tcW w:w="868" w:type="dxa"/>
            <w:vAlign w:val="center"/>
          </w:tcPr>
          <w:p w14:paraId="5BB6B479" w14:textId="77777777" w:rsidR="004515FC" w:rsidRPr="002858D6" w:rsidRDefault="004515FC" w:rsidP="0029161D">
            <w:pPr>
              <w:spacing w:before="20" w:after="20"/>
              <w:jc w:val="right"/>
              <w:rPr>
                <w:noProof/>
                <w:sz w:val="20"/>
              </w:rPr>
            </w:pPr>
          </w:p>
        </w:tc>
        <w:tc>
          <w:tcPr>
            <w:tcW w:w="868" w:type="dxa"/>
            <w:vAlign w:val="center"/>
          </w:tcPr>
          <w:p w14:paraId="0B36638C" w14:textId="77777777" w:rsidR="004515FC" w:rsidRPr="002858D6" w:rsidRDefault="004515FC" w:rsidP="0029161D">
            <w:pPr>
              <w:spacing w:before="20" w:after="20"/>
              <w:jc w:val="right"/>
              <w:rPr>
                <w:noProof/>
                <w:sz w:val="20"/>
              </w:rPr>
            </w:pPr>
          </w:p>
        </w:tc>
        <w:tc>
          <w:tcPr>
            <w:tcW w:w="868" w:type="dxa"/>
            <w:vAlign w:val="center"/>
          </w:tcPr>
          <w:p w14:paraId="4095A051" w14:textId="77777777" w:rsidR="004515FC" w:rsidRPr="002858D6" w:rsidRDefault="004515FC" w:rsidP="0029161D">
            <w:pPr>
              <w:spacing w:before="20" w:after="20"/>
              <w:jc w:val="right"/>
              <w:rPr>
                <w:noProof/>
                <w:sz w:val="20"/>
              </w:rPr>
            </w:pPr>
          </w:p>
        </w:tc>
        <w:tc>
          <w:tcPr>
            <w:tcW w:w="868" w:type="dxa"/>
            <w:vAlign w:val="center"/>
          </w:tcPr>
          <w:p w14:paraId="47340E94" w14:textId="77777777" w:rsidR="004515FC" w:rsidRPr="002858D6" w:rsidRDefault="004515FC" w:rsidP="0029161D">
            <w:pPr>
              <w:spacing w:before="20" w:after="20"/>
              <w:jc w:val="right"/>
              <w:rPr>
                <w:noProof/>
                <w:sz w:val="20"/>
              </w:rPr>
            </w:pPr>
          </w:p>
        </w:tc>
        <w:tc>
          <w:tcPr>
            <w:tcW w:w="868" w:type="dxa"/>
            <w:vAlign w:val="center"/>
          </w:tcPr>
          <w:p w14:paraId="332024B9" w14:textId="77777777" w:rsidR="004515FC" w:rsidRPr="002858D6" w:rsidRDefault="004515FC" w:rsidP="0029161D">
            <w:pPr>
              <w:spacing w:before="20" w:after="20"/>
              <w:jc w:val="right"/>
              <w:rPr>
                <w:noProof/>
                <w:sz w:val="20"/>
              </w:rPr>
            </w:pPr>
          </w:p>
        </w:tc>
        <w:tc>
          <w:tcPr>
            <w:tcW w:w="868" w:type="dxa"/>
            <w:vAlign w:val="center"/>
          </w:tcPr>
          <w:p w14:paraId="732DA8B1" w14:textId="77777777" w:rsidR="004515FC" w:rsidRPr="002858D6" w:rsidRDefault="004515FC" w:rsidP="0029161D">
            <w:pPr>
              <w:spacing w:before="20" w:after="20"/>
              <w:jc w:val="right"/>
              <w:rPr>
                <w:noProof/>
                <w:sz w:val="20"/>
              </w:rPr>
            </w:pPr>
          </w:p>
        </w:tc>
        <w:tc>
          <w:tcPr>
            <w:tcW w:w="868" w:type="dxa"/>
            <w:vAlign w:val="center"/>
          </w:tcPr>
          <w:p w14:paraId="39AD8630" w14:textId="77777777" w:rsidR="004515FC" w:rsidRPr="002858D6" w:rsidRDefault="004515FC" w:rsidP="0029161D">
            <w:pPr>
              <w:spacing w:before="20" w:after="20"/>
              <w:jc w:val="right"/>
              <w:rPr>
                <w:b/>
                <w:noProof/>
                <w:sz w:val="20"/>
              </w:rPr>
            </w:pPr>
          </w:p>
        </w:tc>
        <w:tc>
          <w:tcPr>
            <w:tcW w:w="1777" w:type="dxa"/>
            <w:vAlign w:val="center"/>
          </w:tcPr>
          <w:p w14:paraId="5101AAE4" w14:textId="77777777" w:rsidR="004515FC" w:rsidRPr="002858D6" w:rsidRDefault="004515FC" w:rsidP="0029161D">
            <w:pPr>
              <w:spacing w:before="20" w:after="20"/>
              <w:jc w:val="right"/>
              <w:rPr>
                <w:b/>
                <w:noProof/>
                <w:sz w:val="20"/>
              </w:rPr>
            </w:pPr>
          </w:p>
        </w:tc>
      </w:tr>
      <w:tr w:rsidR="00DB3050" w:rsidRPr="002858D6" w14:paraId="448C183D" w14:textId="77777777">
        <w:trPr>
          <w:trHeight w:val="533"/>
        </w:trPr>
        <w:tc>
          <w:tcPr>
            <w:tcW w:w="5400" w:type="dxa"/>
            <w:gridSpan w:val="2"/>
            <w:vAlign w:val="center"/>
          </w:tcPr>
          <w:p w14:paraId="2022059D" w14:textId="77777777" w:rsidR="004515FC" w:rsidRPr="002858D6" w:rsidRDefault="004515FC" w:rsidP="0029161D">
            <w:pPr>
              <w:spacing w:beforeLines="20" w:before="48" w:afterLines="20" w:after="48"/>
              <w:rPr>
                <w:noProof/>
              </w:rPr>
            </w:pPr>
            <w:r w:rsidRPr="002858D6">
              <w:rPr>
                <w:rFonts w:ascii="Wingdings" w:hAnsi="Wingdings"/>
                <w:noProof/>
                <w:sz w:val="21"/>
              </w:rPr>
              <w:t>□</w:t>
            </w:r>
            <w:r w:rsidRPr="002858D6">
              <w:rPr>
                <w:noProof/>
                <w:sz w:val="21"/>
              </w:rPr>
              <w:t xml:space="preserve">TOTAL das dotações de natureza administrativa financiadas a partir da dotação de programas específicos </w:t>
            </w:r>
          </w:p>
        </w:tc>
        <w:tc>
          <w:tcPr>
            <w:tcW w:w="654" w:type="dxa"/>
            <w:vAlign w:val="center"/>
          </w:tcPr>
          <w:p w14:paraId="543E2B0E" w14:textId="77777777" w:rsidR="004515FC" w:rsidRPr="002858D6" w:rsidRDefault="004515FC" w:rsidP="0029161D">
            <w:pPr>
              <w:spacing w:beforeLines="20" w:before="48" w:afterLines="20" w:after="48"/>
              <w:jc w:val="center"/>
              <w:rPr>
                <w:noProof/>
                <w:sz w:val="14"/>
              </w:rPr>
            </w:pPr>
            <w:r w:rsidRPr="002858D6">
              <w:rPr>
                <w:noProof/>
                <w:sz w:val="14"/>
              </w:rPr>
              <w:t>(6)</w:t>
            </w:r>
          </w:p>
        </w:tc>
        <w:tc>
          <w:tcPr>
            <w:tcW w:w="868" w:type="dxa"/>
            <w:vAlign w:val="center"/>
          </w:tcPr>
          <w:p w14:paraId="70069BD0" w14:textId="77777777" w:rsidR="004515FC" w:rsidRPr="002858D6" w:rsidRDefault="004515FC" w:rsidP="0029161D">
            <w:pPr>
              <w:spacing w:before="20" w:after="20"/>
              <w:jc w:val="right"/>
              <w:rPr>
                <w:b/>
                <w:noProof/>
                <w:sz w:val="20"/>
              </w:rPr>
            </w:pPr>
          </w:p>
        </w:tc>
        <w:tc>
          <w:tcPr>
            <w:tcW w:w="868" w:type="dxa"/>
            <w:vAlign w:val="center"/>
          </w:tcPr>
          <w:p w14:paraId="489471B3" w14:textId="77777777" w:rsidR="004515FC" w:rsidRPr="002858D6" w:rsidRDefault="004515FC" w:rsidP="0029161D">
            <w:pPr>
              <w:spacing w:before="20" w:after="20"/>
              <w:jc w:val="right"/>
              <w:rPr>
                <w:b/>
                <w:noProof/>
                <w:sz w:val="20"/>
              </w:rPr>
            </w:pPr>
          </w:p>
        </w:tc>
        <w:tc>
          <w:tcPr>
            <w:tcW w:w="868" w:type="dxa"/>
            <w:vAlign w:val="center"/>
          </w:tcPr>
          <w:p w14:paraId="01DAB2AD" w14:textId="77777777" w:rsidR="004515FC" w:rsidRPr="002858D6" w:rsidRDefault="004515FC" w:rsidP="0029161D">
            <w:pPr>
              <w:spacing w:before="20" w:after="20"/>
              <w:jc w:val="right"/>
              <w:rPr>
                <w:b/>
                <w:noProof/>
                <w:sz w:val="20"/>
              </w:rPr>
            </w:pPr>
          </w:p>
        </w:tc>
        <w:tc>
          <w:tcPr>
            <w:tcW w:w="868" w:type="dxa"/>
            <w:vAlign w:val="center"/>
          </w:tcPr>
          <w:p w14:paraId="3E0557BC" w14:textId="77777777" w:rsidR="004515FC" w:rsidRPr="002858D6" w:rsidRDefault="004515FC" w:rsidP="0029161D">
            <w:pPr>
              <w:spacing w:before="20" w:after="20"/>
              <w:jc w:val="right"/>
              <w:rPr>
                <w:b/>
                <w:noProof/>
                <w:sz w:val="20"/>
              </w:rPr>
            </w:pPr>
          </w:p>
        </w:tc>
        <w:tc>
          <w:tcPr>
            <w:tcW w:w="868" w:type="dxa"/>
            <w:vAlign w:val="center"/>
          </w:tcPr>
          <w:p w14:paraId="6E03ACAD" w14:textId="77777777" w:rsidR="004515FC" w:rsidRPr="002858D6" w:rsidRDefault="004515FC" w:rsidP="0029161D">
            <w:pPr>
              <w:spacing w:before="20" w:after="20"/>
              <w:jc w:val="right"/>
              <w:rPr>
                <w:b/>
                <w:noProof/>
                <w:sz w:val="20"/>
              </w:rPr>
            </w:pPr>
          </w:p>
        </w:tc>
        <w:tc>
          <w:tcPr>
            <w:tcW w:w="868" w:type="dxa"/>
            <w:vAlign w:val="center"/>
          </w:tcPr>
          <w:p w14:paraId="1E04507A" w14:textId="77777777" w:rsidR="004515FC" w:rsidRPr="002858D6" w:rsidRDefault="004515FC" w:rsidP="0029161D">
            <w:pPr>
              <w:spacing w:before="20" w:after="20"/>
              <w:jc w:val="right"/>
              <w:rPr>
                <w:b/>
                <w:noProof/>
                <w:sz w:val="20"/>
              </w:rPr>
            </w:pPr>
          </w:p>
        </w:tc>
        <w:tc>
          <w:tcPr>
            <w:tcW w:w="868" w:type="dxa"/>
            <w:vAlign w:val="center"/>
          </w:tcPr>
          <w:p w14:paraId="269013E4" w14:textId="77777777" w:rsidR="004515FC" w:rsidRPr="002858D6" w:rsidRDefault="004515FC" w:rsidP="0029161D">
            <w:pPr>
              <w:spacing w:before="20" w:after="20"/>
              <w:jc w:val="right"/>
              <w:rPr>
                <w:b/>
                <w:noProof/>
                <w:sz w:val="20"/>
              </w:rPr>
            </w:pPr>
          </w:p>
        </w:tc>
        <w:tc>
          <w:tcPr>
            <w:tcW w:w="1777" w:type="dxa"/>
            <w:vAlign w:val="center"/>
          </w:tcPr>
          <w:p w14:paraId="0057D4D1" w14:textId="77777777" w:rsidR="004515FC" w:rsidRPr="002858D6" w:rsidRDefault="004515FC" w:rsidP="0029161D">
            <w:pPr>
              <w:spacing w:before="20" w:after="20"/>
              <w:jc w:val="right"/>
              <w:rPr>
                <w:b/>
                <w:noProof/>
                <w:sz w:val="20"/>
              </w:rPr>
            </w:pPr>
          </w:p>
        </w:tc>
      </w:tr>
      <w:tr w:rsidR="00291B69" w:rsidRPr="002858D6" w14:paraId="3540CB3D" w14:textId="77777777">
        <w:tc>
          <w:tcPr>
            <w:tcW w:w="3960" w:type="dxa"/>
            <w:vMerge w:val="restart"/>
            <w:shd w:val="thinDiagStripe" w:color="C0C0C0" w:fill="auto"/>
            <w:vAlign w:val="center"/>
          </w:tcPr>
          <w:p w14:paraId="4D8AAC7C" w14:textId="77777777" w:rsidR="004515FC" w:rsidRPr="002858D6" w:rsidRDefault="004515FC" w:rsidP="0029161D">
            <w:pPr>
              <w:jc w:val="center"/>
              <w:rPr>
                <w:b/>
                <w:noProof/>
              </w:rPr>
            </w:pPr>
            <w:r w:rsidRPr="002858D6">
              <w:rPr>
                <w:b/>
                <w:noProof/>
                <w:sz w:val="22"/>
              </w:rPr>
              <w:t>TOTAL das dotações</w:t>
            </w:r>
            <w:r w:rsidRPr="002858D6">
              <w:rPr>
                <w:noProof/>
              </w:rPr>
              <w:cr/>
            </w:r>
            <w:r w:rsidRPr="002858D6">
              <w:rPr>
                <w:noProof/>
              </w:rPr>
              <w:br/>
            </w:r>
            <w:r w:rsidRPr="002858D6">
              <w:rPr>
                <w:b/>
                <w:noProof/>
                <w:sz w:val="22"/>
              </w:rPr>
              <w:t>no âmbito da RUBRICA &lt;….&gt;</w:t>
            </w:r>
            <w:r w:rsidRPr="002858D6">
              <w:rPr>
                <w:noProof/>
              </w:rPr>
              <w:cr/>
            </w:r>
            <w:r w:rsidRPr="002858D6">
              <w:rPr>
                <w:noProof/>
              </w:rPr>
              <w:br/>
            </w:r>
            <w:r w:rsidRPr="002858D6">
              <w:rPr>
                <w:noProof/>
                <w:sz w:val="22"/>
              </w:rPr>
              <w:t>do quadro financeiro plurianual</w:t>
            </w:r>
          </w:p>
        </w:tc>
        <w:tc>
          <w:tcPr>
            <w:tcW w:w="1440" w:type="dxa"/>
            <w:vAlign w:val="center"/>
          </w:tcPr>
          <w:p w14:paraId="5C07EE7B" w14:textId="77777777" w:rsidR="004515FC" w:rsidRPr="002858D6" w:rsidRDefault="004515FC" w:rsidP="0029161D">
            <w:pPr>
              <w:rPr>
                <w:noProof/>
                <w:sz w:val="18"/>
              </w:rPr>
            </w:pPr>
            <w:r w:rsidRPr="002858D6">
              <w:rPr>
                <w:noProof/>
                <w:sz w:val="18"/>
              </w:rPr>
              <w:t>Autorizações</w:t>
            </w:r>
          </w:p>
        </w:tc>
        <w:tc>
          <w:tcPr>
            <w:tcW w:w="654" w:type="dxa"/>
            <w:vAlign w:val="center"/>
          </w:tcPr>
          <w:p w14:paraId="3754D1EE" w14:textId="77777777" w:rsidR="004515FC" w:rsidRPr="002858D6" w:rsidRDefault="004515FC" w:rsidP="0029161D">
            <w:pPr>
              <w:jc w:val="center"/>
              <w:rPr>
                <w:noProof/>
                <w:sz w:val="14"/>
              </w:rPr>
            </w:pPr>
            <w:r w:rsidRPr="002858D6">
              <w:rPr>
                <w:noProof/>
                <w:sz w:val="14"/>
              </w:rPr>
              <w:t>=4+ 6</w:t>
            </w:r>
          </w:p>
        </w:tc>
        <w:tc>
          <w:tcPr>
            <w:tcW w:w="868" w:type="dxa"/>
            <w:vAlign w:val="center"/>
          </w:tcPr>
          <w:p w14:paraId="4C066ADB" w14:textId="77777777" w:rsidR="004515FC" w:rsidRPr="002858D6" w:rsidRDefault="004515FC" w:rsidP="0029161D">
            <w:pPr>
              <w:spacing w:before="20" w:after="20"/>
              <w:jc w:val="right"/>
              <w:rPr>
                <w:noProof/>
                <w:sz w:val="20"/>
              </w:rPr>
            </w:pPr>
          </w:p>
        </w:tc>
        <w:tc>
          <w:tcPr>
            <w:tcW w:w="868" w:type="dxa"/>
            <w:vAlign w:val="center"/>
          </w:tcPr>
          <w:p w14:paraId="2D3E33C5" w14:textId="77777777" w:rsidR="004515FC" w:rsidRPr="002858D6" w:rsidRDefault="004515FC" w:rsidP="0029161D">
            <w:pPr>
              <w:spacing w:before="20" w:after="20"/>
              <w:jc w:val="right"/>
              <w:rPr>
                <w:noProof/>
                <w:sz w:val="20"/>
              </w:rPr>
            </w:pPr>
          </w:p>
        </w:tc>
        <w:tc>
          <w:tcPr>
            <w:tcW w:w="868" w:type="dxa"/>
            <w:vAlign w:val="center"/>
          </w:tcPr>
          <w:p w14:paraId="4654C8BC" w14:textId="77777777" w:rsidR="004515FC" w:rsidRPr="002858D6" w:rsidRDefault="004515FC" w:rsidP="0029161D">
            <w:pPr>
              <w:spacing w:before="20" w:after="20"/>
              <w:jc w:val="right"/>
              <w:rPr>
                <w:noProof/>
                <w:sz w:val="20"/>
              </w:rPr>
            </w:pPr>
          </w:p>
        </w:tc>
        <w:tc>
          <w:tcPr>
            <w:tcW w:w="868" w:type="dxa"/>
            <w:vAlign w:val="center"/>
          </w:tcPr>
          <w:p w14:paraId="3DA5A8AB" w14:textId="77777777" w:rsidR="004515FC" w:rsidRPr="002858D6" w:rsidRDefault="004515FC" w:rsidP="0029161D">
            <w:pPr>
              <w:spacing w:before="20" w:after="20"/>
              <w:jc w:val="right"/>
              <w:rPr>
                <w:noProof/>
                <w:sz w:val="20"/>
              </w:rPr>
            </w:pPr>
          </w:p>
        </w:tc>
        <w:tc>
          <w:tcPr>
            <w:tcW w:w="868" w:type="dxa"/>
            <w:vAlign w:val="center"/>
          </w:tcPr>
          <w:p w14:paraId="17446FD5" w14:textId="77777777" w:rsidR="004515FC" w:rsidRPr="002858D6" w:rsidRDefault="004515FC" w:rsidP="0029161D">
            <w:pPr>
              <w:spacing w:before="20" w:after="20"/>
              <w:jc w:val="right"/>
              <w:rPr>
                <w:noProof/>
                <w:sz w:val="20"/>
              </w:rPr>
            </w:pPr>
          </w:p>
        </w:tc>
        <w:tc>
          <w:tcPr>
            <w:tcW w:w="868" w:type="dxa"/>
            <w:vAlign w:val="center"/>
          </w:tcPr>
          <w:p w14:paraId="3782EB56" w14:textId="77777777" w:rsidR="004515FC" w:rsidRPr="002858D6" w:rsidRDefault="004515FC" w:rsidP="0029161D">
            <w:pPr>
              <w:spacing w:before="20" w:after="20"/>
              <w:jc w:val="right"/>
              <w:rPr>
                <w:noProof/>
                <w:sz w:val="20"/>
              </w:rPr>
            </w:pPr>
          </w:p>
        </w:tc>
        <w:tc>
          <w:tcPr>
            <w:tcW w:w="868" w:type="dxa"/>
            <w:vAlign w:val="center"/>
          </w:tcPr>
          <w:p w14:paraId="348B1B7C" w14:textId="77777777" w:rsidR="004515FC" w:rsidRPr="002858D6" w:rsidRDefault="004515FC" w:rsidP="0029161D">
            <w:pPr>
              <w:spacing w:before="20" w:after="20"/>
              <w:jc w:val="right"/>
              <w:rPr>
                <w:b/>
                <w:noProof/>
                <w:sz w:val="20"/>
              </w:rPr>
            </w:pPr>
          </w:p>
        </w:tc>
        <w:tc>
          <w:tcPr>
            <w:tcW w:w="1777" w:type="dxa"/>
            <w:vAlign w:val="center"/>
          </w:tcPr>
          <w:p w14:paraId="57AA2456" w14:textId="77777777" w:rsidR="004515FC" w:rsidRPr="002858D6" w:rsidRDefault="004515FC" w:rsidP="0029161D">
            <w:pPr>
              <w:spacing w:before="20" w:after="20"/>
              <w:jc w:val="right"/>
              <w:rPr>
                <w:b/>
                <w:noProof/>
                <w:sz w:val="20"/>
              </w:rPr>
            </w:pPr>
          </w:p>
        </w:tc>
      </w:tr>
      <w:tr w:rsidR="00291B69" w:rsidRPr="002858D6" w14:paraId="02EC73A3" w14:textId="77777777">
        <w:tc>
          <w:tcPr>
            <w:tcW w:w="3960" w:type="dxa"/>
            <w:vMerge/>
            <w:shd w:val="thinDiagStripe" w:color="C0C0C0" w:fill="auto"/>
          </w:tcPr>
          <w:p w14:paraId="11C1AE64" w14:textId="77777777" w:rsidR="004515FC" w:rsidRPr="002858D6" w:rsidRDefault="004515FC" w:rsidP="0029161D">
            <w:pPr>
              <w:rPr>
                <w:noProof/>
                <w:sz w:val="20"/>
              </w:rPr>
            </w:pPr>
          </w:p>
        </w:tc>
        <w:tc>
          <w:tcPr>
            <w:tcW w:w="1440" w:type="dxa"/>
            <w:vAlign w:val="center"/>
          </w:tcPr>
          <w:p w14:paraId="4E4BF3E4" w14:textId="77777777" w:rsidR="004515FC" w:rsidRPr="002858D6" w:rsidRDefault="004515FC" w:rsidP="0029161D">
            <w:pPr>
              <w:rPr>
                <w:noProof/>
                <w:sz w:val="18"/>
              </w:rPr>
            </w:pPr>
            <w:r w:rsidRPr="002858D6">
              <w:rPr>
                <w:noProof/>
                <w:sz w:val="18"/>
              </w:rPr>
              <w:t>Pagamentos</w:t>
            </w:r>
          </w:p>
        </w:tc>
        <w:tc>
          <w:tcPr>
            <w:tcW w:w="654" w:type="dxa"/>
            <w:vAlign w:val="center"/>
          </w:tcPr>
          <w:p w14:paraId="52D84932" w14:textId="77777777" w:rsidR="004515FC" w:rsidRPr="002858D6" w:rsidRDefault="004515FC" w:rsidP="0029161D">
            <w:pPr>
              <w:jc w:val="center"/>
              <w:rPr>
                <w:noProof/>
                <w:sz w:val="14"/>
              </w:rPr>
            </w:pPr>
            <w:r w:rsidRPr="002858D6">
              <w:rPr>
                <w:noProof/>
                <w:sz w:val="14"/>
              </w:rPr>
              <w:t>=5+ 6</w:t>
            </w:r>
          </w:p>
        </w:tc>
        <w:tc>
          <w:tcPr>
            <w:tcW w:w="868" w:type="dxa"/>
            <w:vAlign w:val="center"/>
          </w:tcPr>
          <w:p w14:paraId="4E7CD50F" w14:textId="77777777" w:rsidR="004515FC" w:rsidRPr="002858D6" w:rsidRDefault="004515FC" w:rsidP="0029161D">
            <w:pPr>
              <w:spacing w:before="20" w:after="20"/>
              <w:jc w:val="right"/>
              <w:rPr>
                <w:noProof/>
                <w:sz w:val="20"/>
              </w:rPr>
            </w:pPr>
          </w:p>
        </w:tc>
        <w:tc>
          <w:tcPr>
            <w:tcW w:w="868" w:type="dxa"/>
            <w:vAlign w:val="center"/>
          </w:tcPr>
          <w:p w14:paraId="26068EBF" w14:textId="77777777" w:rsidR="004515FC" w:rsidRPr="002858D6" w:rsidRDefault="004515FC" w:rsidP="0029161D">
            <w:pPr>
              <w:spacing w:before="20" w:after="20"/>
              <w:jc w:val="right"/>
              <w:rPr>
                <w:noProof/>
                <w:sz w:val="20"/>
              </w:rPr>
            </w:pPr>
          </w:p>
        </w:tc>
        <w:tc>
          <w:tcPr>
            <w:tcW w:w="868" w:type="dxa"/>
            <w:vAlign w:val="center"/>
          </w:tcPr>
          <w:p w14:paraId="649EF73F" w14:textId="77777777" w:rsidR="004515FC" w:rsidRPr="002858D6" w:rsidRDefault="004515FC" w:rsidP="0029161D">
            <w:pPr>
              <w:spacing w:before="20" w:after="20"/>
              <w:jc w:val="right"/>
              <w:rPr>
                <w:noProof/>
                <w:sz w:val="20"/>
              </w:rPr>
            </w:pPr>
          </w:p>
        </w:tc>
        <w:tc>
          <w:tcPr>
            <w:tcW w:w="868" w:type="dxa"/>
            <w:vAlign w:val="center"/>
          </w:tcPr>
          <w:p w14:paraId="41801F20" w14:textId="77777777" w:rsidR="004515FC" w:rsidRPr="002858D6" w:rsidRDefault="004515FC" w:rsidP="0029161D">
            <w:pPr>
              <w:spacing w:before="20" w:after="20"/>
              <w:jc w:val="right"/>
              <w:rPr>
                <w:noProof/>
                <w:sz w:val="20"/>
              </w:rPr>
            </w:pPr>
          </w:p>
        </w:tc>
        <w:tc>
          <w:tcPr>
            <w:tcW w:w="868" w:type="dxa"/>
            <w:vAlign w:val="center"/>
          </w:tcPr>
          <w:p w14:paraId="6B36F666" w14:textId="77777777" w:rsidR="004515FC" w:rsidRPr="002858D6" w:rsidRDefault="004515FC" w:rsidP="0029161D">
            <w:pPr>
              <w:spacing w:before="20" w:after="20"/>
              <w:jc w:val="right"/>
              <w:rPr>
                <w:noProof/>
                <w:sz w:val="20"/>
              </w:rPr>
            </w:pPr>
          </w:p>
        </w:tc>
        <w:tc>
          <w:tcPr>
            <w:tcW w:w="868" w:type="dxa"/>
            <w:vAlign w:val="center"/>
          </w:tcPr>
          <w:p w14:paraId="369796D9" w14:textId="77777777" w:rsidR="004515FC" w:rsidRPr="002858D6" w:rsidRDefault="004515FC" w:rsidP="0029161D">
            <w:pPr>
              <w:spacing w:before="20" w:after="20"/>
              <w:jc w:val="right"/>
              <w:rPr>
                <w:noProof/>
                <w:sz w:val="20"/>
              </w:rPr>
            </w:pPr>
          </w:p>
        </w:tc>
        <w:tc>
          <w:tcPr>
            <w:tcW w:w="868" w:type="dxa"/>
            <w:vAlign w:val="center"/>
          </w:tcPr>
          <w:p w14:paraId="7082DCF8" w14:textId="77777777" w:rsidR="004515FC" w:rsidRPr="002858D6" w:rsidRDefault="004515FC" w:rsidP="0029161D">
            <w:pPr>
              <w:spacing w:before="20" w:after="20"/>
              <w:jc w:val="right"/>
              <w:rPr>
                <w:b/>
                <w:noProof/>
                <w:sz w:val="20"/>
              </w:rPr>
            </w:pPr>
          </w:p>
        </w:tc>
        <w:tc>
          <w:tcPr>
            <w:tcW w:w="1777" w:type="dxa"/>
            <w:vAlign w:val="center"/>
          </w:tcPr>
          <w:p w14:paraId="676403A3" w14:textId="77777777" w:rsidR="004515FC" w:rsidRPr="002858D6" w:rsidRDefault="004515FC" w:rsidP="0029161D">
            <w:pPr>
              <w:spacing w:before="20" w:after="20"/>
              <w:jc w:val="right"/>
              <w:rPr>
                <w:b/>
                <w:noProof/>
                <w:sz w:val="20"/>
              </w:rPr>
            </w:pPr>
          </w:p>
        </w:tc>
      </w:tr>
    </w:tbl>
    <w:p w14:paraId="441CEB83" w14:textId="77777777" w:rsidR="004515FC" w:rsidRPr="002858D6" w:rsidRDefault="004515FC" w:rsidP="004515FC">
      <w:pPr>
        <w:spacing w:after="40"/>
        <w:rPr>
          <w:b/>
          <w:noProof/>
          <w:sz w:val="22"/>
          <w:u w:val="single"/>
        </w:rPr>
      </w:pPr>
      <w:r w:rsidRPr="002858D6">
        <w:rPr>
          <w:b/>
          <w:noProof/>
          <w:sz w:val="22"/>
          <w:u w:val="single"/>
        </w:rPr>
        <w:t>Se o impacto da proposta / iniciativa incidir sobre mais de uma rubrica operacional, repetir a secção acima:</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3C6DC3" w:rsidRPr="002858D6" w14:paraId="70C93CE2" w14:textId="77777777">
        <w:trPr>
          <w:trHeight w:val="277"/>
        </w:trPr>
        <w:tc>
          <w:tcPr>
            <w:tcW w:w="3960" w:type="dxa"/>
            <w:vMerge w:val="restart"/>
            <w:tcBorders>
              <w:top w:val="single" w:sz="4" w:space="0" w:color="auto"/>
              <w:left w:val="single" w:sz="4" w:space="0" w:color="auto"/>
              <w:bottom w:val="single" w:sz="4" w:space="0" w:color="FF0000"/>
            </w:tcBorders>
            <w:vAlign w:val="center"/>
          </w:tcPr>
          <w:p w14:paraId="2483DC62" w14:textId="77777777" w:rsidR="004515FC" w:rsidRPr="002858D6" w:rsidRDefault="004515FC" w:rsidP="0029161D">
            <w:pPr>
              <w:spacing w:before="20" w:after="20"/>
              <w:rPr>
                <w:noProof/>
              </w:rPr>
            </w:pPr>
            <w:r w:rsidRPr="002858D6">
              <w:rPr>
                <w:rFonts w:ascii="Wingdings" w:hAnsi="Wingdings"/>
                <w:noProof/>
                <w:sz w:val="21"/>
              </w:rPr>
              <w:t>□</w:t>
            </w:r>
            <w:r w:rsidRPr="002858D6">
              <w:rPr>
                <w:noProof/>
                <w:sz w:val="21"/>
              </w:rPr>
              <w:t>TOTAL das dotações operacionais (todas as rubricas operacionais)</w:t>
            </w:r>
          </w:p>
        </w:tc>
        <w:tc>
          <w:tcPr>
            <w:tcW w:w="1440" w:type="dxa"/>
            <w:tcBorders>
              <w:top w:val="single" w:sz="4" w:space="0" w:color="auto"/>
            </w:tcBorders>
            <w:vAlign w:val="center"/>
          </w:tcPr>
          <w:p w14:paraId="71AA5345" w14:textId="77777777" w:rsidR="004515FC" w:rsidRPr="002858D6" w:rsidRDefault="004515FC" w:rsidP="0029161D">
            <w:pPr>
              <w:spacing w:beforeLines="20" w:before="48" w:afterLines="20" w:after="48"/>
              <w:rPr>
                <w:noProof/>
                <w:sz w:val="18"/>
              </w:rPr>
            </w:pPr>
            <w:r w:rsidRPr="002858D6">
              <w:rPr>
                <w:noProof/>
                <w:sz w:val="18"/>
              </w:rPr>
              <w:t>Autorizações</w:t>
            </w:r>
          </w:p>
        </w:tc>
        <w:tc>
          <w:tcPr>
            <w:tcW w:w="654" w:type="dxa"/>
            <w:tcBorders>
              <w:top w:val="single" w:sz="4" w:space="0" w:color="auto"/>
            </w:tcBorders>
            <w:vAlign w:val="center"/>
          </w:tcPr>
          <w:p w14:paraId="2E497CB2" w14:textId="77777777" w:rsidR="004515FC" w:rsidRPr="002858D6" w:rsidRDefault="004515FC" w:rsidP="0029161D">
            <w:pPr>
              <w:spacing w:beforeLines="20" w:before="48" w:afterLines="20" w:after="48"/>
              <w:jc w:val="center"/>
              <w:rPr>
                <w:noProof/>
                <w:sz w:val="14"/>
              </w:rPr>
            </w:pPr>
            <w:r w:rsidRPr="002858D6">
              <w:rPr>
                <w:noProof/>
                <w:sz w:val="14"/>
              </w:rPr>
              <w:t>(4)</w:t>
            </w:r>
          </w:p>
        </w:tc>
        <w:tc>
          <w:tcPr>
            <w:tcW w:w="868" w:type="dxa"/>
            <w:tcBorders>
              <w:top w:val="single" w:sz="4" w:space="0" w:color="auto"/>
            </w:tcBorders>
            <w:vAlign w:val="center"/>
          </w:tcPr>
          <w:p w14:paraId="5441919A" w14:textId="77777777" w:rsidR="004515FC" w:rsidRPr="002858D6" w:rsidRDefault="004515FC" w:rsidP="0029161D">
            <w:pPr>
              <w:spacing w:before="20" w:after="20"/>
              <w:jc w:val="right"/>
              <w:rPr>
                <w:noProof/>
                <w:sz w:val="20"/>
              </w:rPr>
            </w:pPr>
          </w:p>
        </w:tc>
        <w:tc>
          <w:tcPr>
            <w:tcW w:w="868" w:type="dxa"/>
            <w:tcBorders>
              <w:top w:val="single" w:sz="4" w:space="0" w:color="auto"/>
            </w:tcBorders>
            <w:vAlign w:val="center"/>
          </w:tcPr>
          <w:p w14:paraId="727BB216" w14:textId="77777777" w:rsidR="004515FC" w:rsidRPr="002858D6" w:rsidRDefault="004515FC" w:rsidP="0029161D">
            <w:pPr>
              <w:spacing w:before="20" w:after="20"/>
              <w:jc w:val="right"/>
              <w:rPr>
                <w:noProof/>
                <w:sz w:val="20"/>
              </w:rPr>
            </w:pPr>
          </w:p>
        </w:tc>
        <w:tc>
          <w:tcPr>
            <w:tcW w:w="868" w:type="dxa"/>
            <w:tcBorders>
              <w:top w:val="single" w:sz="4" w:space="0" w:color="auto"/>
            </w:tcBorders>
            <w:vAlign w:val="center"/>
          </w:tcPr>
          <w:p w14:paraId="0E6BDA79" w14:textId="77777777" w:rsidR="004515FC" w:rsidRPr="002858D6" w:rsidRDefault="004515FC" w:rsidP="0029161D">
            <w:pPr>
              <w:spacing w:before="20" w:after="20"/>
              <w:jc w:val="right"/>
              <w:rPr>
                <w:noProof/>
                <w:sz w:val="20"/>
              </w:rPr>
            </w:pPr>
          </w:p>
        </w:tc>
        <w:tc>
          <w:tcPr>
            <w:tcW w:w="868" w:type="dxa"/>
            <w:tcBorders>
              <w:top w:val="single" w:sz="4" w:space="0" w:color="auto"/>
            </w:tcBorders>
            <w:vAlign w:val="center"/>
          </w:tcPr>
          <w:p w14:paraId="5AA91DC3" w14:textId="77777777" w:rsidR="004515FC" w:rsidRPr="002858D6" w:rsidRDefault="004515FC" w:rsidP="0029161D">
            <w:pPr>
              <w:spacing w:before="20" w:after="20"/>
              <w:jc w:val="right"/>
              <w:rPr>
                <w:noProof/>
                <w:sz w:val="20"/>
              </w:rPr>
            </w:pPr>
          </w:p>
        </w:tc>
        <w:tc>
          <w:tcPr>
            <w:tcW w:w="868" w:type="dxa"/>
            <w:tcBorders>
              <w:top w:val="single" w:sz="4" w:space="0" w:color="auto"/>
            </w:tcBorders>
            <w:vAlign w:val="center"/>
          </w:tcPr>
          <w:p w14:paraId="24E79875" w14:textId="77777777" w:rsidR="004515FC" w:rsidRPr="002858D6" w:rsidRDefault="004515FC" w:rsidP="0029161D">
            <w:pPr>
              <w:spacing w:before="20" w:after="20"/>
              <w:jc w:val="right"/>
              <w:rPr>
                <w:noProof/>
                <w:sz w:val="20"/>
              </w:rPr>
            </w:pPr>
          </w:p>
        </w:tc>
        <w:tc>
          <w:tcPr>
            <w:tcW w:w="868" w:type="dxa"/>
            <w:tcBorders>
              <w:top w:val="single" w:sz="4" w:space="0" w:color="auto"/>
            </w:tcBorders>
            <w:vAlign w:val="center"/>
          </w:tcPr>
          <w:p w14:paraId="63D09971" w14:textId="77777777" w:rsidR="004515FC" w:rsidRPr="002858D6" w:rsidRDefault="004515FC" w:rsidP="0029161D">
            <w:pPr>
              <w:spacing w:before="20" w:after="20"/>
              <w:jc w:val="right"/>
              <w:rPr>
                <w:noProof/>
                <w:sz w:val="20"/>
              </w:rPr>
            </w:pPr>
          </w:p>
        </w:tc>
        <w:tc>
          <w:tcPr>
            <w:tcW w:w="868" w:type="dxa"/>
            <w:tcBorders>
              <w:top w:val="single" w:sz="4" w:space="0" w:color="auto"/>
            </w:tcBorders>
            <w:vAlign w:val="center"/>
          </w:tcPr>
          <w:p w14:paraId="549B7531" w14:textId="77777777" w:rsidR="004515FC" w:rsidRPr="002858D6" w:rsidRDefault="004515FC" w:rsidP="0029161D">
            <w:pPr>
              <w:spacing w:before="20" w:after="20"/>
              <w:jc w:val="right"/>
              <w:rPr>
                <w:b/>
                <w:noProof/>
                <w:sz w:val="20"/>
              </w:rPr>
            </w:pPr>
          </w:p>
        </w:tc>
        <w:tc>
          <w:tcPr>
            <w:tcW w:w="1777" w:type="dxa"/>
            <w:tcBorders>
              <w:top w:val="single" w:sz="4" w:space="0" w:color="auto"/>
              <w:right w:val="single" w:sz="4" w:space="0" w:color="auto"/>
            </w:tcBorders>
            <w:vAlign w:val="center"/>
          </w:tcPr>
          <w:p w14:paraId="6AEBBD47" w14:textId="77777777" w:rsidR="004515FC" w:rsidRPr="002858D6" w:rsidRDefault="004515FC" w:rsidP="0029161D">
            <w:pPr>
              <w:spacing w:before="20" w:after="20"/>
              <w:jc w:val="right"/>
              <w:rPr>
                <w:b/>
                <w:noProof/>
                <w:sz w:val="20"/>
              </w:rPr>
            </w:pPr>
          </w:p>
        </w:tc>
      </w:tr>
      <w:tr w:rsidR="003C6DC3" w:rsidRPr="002858D6" w14:paraId="445CA6CE" w14:textId="77777777">
        <w:tc>
          <w:tcPr>
            <w:tcW w:w="3960" w:type="dxa"/>
            <w:vMerge/>
            <w:tcBorders>
              <w:top w:val="single" w:sz="4" w:space="0" w:color="FF0000"/>
              <w:left w:val="single" w:sz="4" w:space="0" w:color="auto"/>
              <w:bottom w:val="single" w:sz="4" w:space="0" w:color="FF0000"/>
            </w:tcBorders>
          </w:tcPr>
          <w:p w14:paraId="7331A01C" w14:textId="77777777" w:rsidR="004515FC" w:rsidRPr="002858D6" w:rsidRDefault="004515FC" w:rsidP="0029161D">
            <w:pPr>
              <w:jc w:val="center"/>
              <w:rPr>
                <w:noProof/>
                <w:sz w:val="20"/>
              </w:rPr>
            </w:pPr>
          </w:p>
        </w:tc>
        <w:tc>
          <w:tcPr>
            <w:tcW w:w="1440" w:type="dxa"/>
            <w:vAlign w:val="center"/>
          </w:tcPr>
          <w:p w14:paraId="51D855AC" w14:textId="77777777" w:rsidR="004515FC" w:rsidRPr="002858D6" w:rsidRDefault="004515FC" w:rsidP="0029161D">
            <w:pPr>
              <w:spacing w:beforeLines="20" w:before="48" w:afterLines="20" w:after="48"/>
              <w:rPr>
                <w:noProof/>
                <w:sz w:val="18"/>
              </w:rPr>
            </w:pPr>
            <w:r w:rsidRPr="002858D6">
              <w:rPr>
                <w:noProof/>
                <w:sz w:val="18"/>
              </w:rPr>
              <w:t>Pagamentos</w:t>
            </w:r>
          </w:p>
        </w:tc>
        <w:tc>
          <w:tcPr>
            <w:tcW w:w="654" w:type="dxa"/>
            <w:vAlign w:val="center"/>
          </w:tcPr>
          <w:p w14:paraId="735B78EE" w14:textId="77777777" w:rsidR="004515FC" w:rsidRPr="002858D6" w:rsidRDefault="004515FC" w:rsidP="0029161D">
            <w:pPr>
              <w:spacing w:beforeLines="20" w:before="48" w:afterLines="20" w:after="48"/>
              <w:jc w:val="center"/>
              <w:rPr>
                <w:noProof/>
                <w:sz w:val="14"/>
              </w:rPr>
            </w:pPr>
            <w:r w:rsidRPr="002858D6">
              <w:rPr>
                <w:noProof/>
                <w:sz w:val="14"/>
              </w:rPr>
              <w:t>(5)</w:t>
            </w:r>
          </w:p>
        </w:tc>
        <w:tc>
          <w:tcPr>
            <w:tcW w:w="868" w:type="dxa"/>
            <w:vAlign w:val="center"/>
          </w:tcPr>
          <w:p w14:paraId="173B2D50" w14:textId="77777777" w:rsidR="004515FC" w:rsidRPr="002858D6" w:rsidRDefault="004515FC" w:rsidP="0029161D">
            <w:pPr>
              <w:spacing w:before="20" w:after="20"/>
              <w:jc w:val="right"/>
              <w:rPr>
                <w:noProof/>
                <w:sz w:val="20"/>
              </w:rPr>
            </w:pPr>
          </w:p>
        </w:tc>
        <w:tc>
          <w:tcPr>
            <w:tcW w:w="868" w:type="dxa"/>
            <w:vAlign w:val="center"/>
          </w:tcPr>
          <w:p w14:paraId="54460A70" w14:textId="77777777" w:rsidR="004515FC" w:rsidRPr="002858D6" w:rsidRDefault="004515FC" w:rsidP="0029161D">
            <w:pPr>
              <w:spacing w:before="20" w:after="20"/>
              <w:jc w:val="right"/>
              <w:rPr>
                <w:noProof/>
                <w:sz w:val="20"/>
              </w:rPr>
            </w:pPr>
          </w:p>
        </w:tc>
        <w:tc>
          <w:tcPr>
            <w:tcW w:w="868" w:type="dxa"/>
            <w:vAlign w:val="center"/>
          </w:tcPr>
          <w:p w14:paraId="1E0B4341" w14:textId="77777777" w:rsidR="004515FC" w:rsidRPr="002858D6" w:rsidRDefault="004515FC" w:rsidP="0029161D">
            <w:pPr>
              <w:spacing w:before="20" w:after="20"/>
              <w:jc w:val="right"/>
              <w:rPr>
                <w:noProof/>
                <w:sz w:val="20"/>
              </w:rPr>
            </w:pPr>
          </w:p>
        </w:tc>
        <w:tc>
          <w:tcPr>
            <w:tcW w:w="868" w:type="dxa"/>
            <w:vAlign w:val="center"/>
          </w:tcPr>
          <w:p w14:paraId="311FE2EA" w14:textId="77777777" w:rsidR="004515FC" w:rsidRPr="002858D6" w:rsidRDefault="004515FC" w:rsidP="0029161D">
            <w:pPr>
              <w:spacing w:before="20" w:after="20"/>
              <w:jc w:val="right"/>
              <w:rPr>
                <w:noProof/>
                <w:sz w:val="20"/>
              </w:rPr>
            </w:pPr>
          </w:p>
        </w:tc>
        <w:tc>
          <w:tcPr>
            <w:tcW w:w="868" w:type="dxa"/>
            <w:vAlign w:val="center"/>
          </w:tcPr>
          <w:p w14:paraId="2F50FDBB" w14:textId="77777777" w:rsidR="004515FC" w:rsidRPr="002858D6" w:rsidRDefault="004515FC" w:rsidP="0029161D">
            <w:pPr>
              <w:spacing w:before="20" w:after="20"/>
              <w:jc w:val="right"/>
              <w:rPr>
                <w:noProof/>
                <w:sz w:val="20"/>
              </w:rPr>
            </w:pPr>
          </w:p>
        </w:tc>
        <w:tc>
          <w:tcPr>
            <w:tcW w:w="868" w:type="dxa"/>
            <w:vAlign w:val="center"/>
          </w:tcPr>
          <w:p w14:paraId="5122B6CA" w14:textId="77777777" w:rsidR="004515FC" w:rsidRPr="002858D6" w:rsidRDefault="004515FC" w:rsidP="0029161D">
            <w:pPr>
              <w:spacing w:before="20" w:after="20"/>
              <w:jc w:val="right"/>
              <w:rPr>
                <w:noProof/>
                <w:sz w:val="20"/>
              </w:rPr>
            </w:pPr>
          </w:p>
        </w:tc>
        <w:tc>
          <w:tcPr>
            <w:tcW w:w="868" w:type="dxa"/>
            <w:vAlign w:val="center"/>
          </w:tcPr>
          <w:p w14:paraId="3BCB44A4" w14:textId="77777777" w:rsidR="004515FC" w:rsidRPr="002858D6" w:rsidRDefault="004515FC" w:rsidP="0029161D">
            <w:pPr>
              <w:spacing w:before="20" w:after="20"/>
              <w:jc w:val="right"/>
              <w:rPr>
                <w:b/>
                <w:noProof/>
                <w:sz w:val="20"/>
              </w:rPr>
            </w:pPr>
          </w:p>
        </w:tc>
        <w:tc>
          <w:tcPr>
            <w:tcW w:w="1777" w:type="dxa"/>
            <w:tcBorders>
              <w:right w:val="single" w:sz="4" w:space="0" w:color="auto"/>
            </w:tcBorders>
            <w:vAlign w:val="center"/>
          </w:tcPr>
          <w:p w14:paraId="00151894" w14:textId="77777777" w:rsidR="004515FC" w:rsidRPr="002858D6" w:rsidRDefault="004515FC" w:rsidP="0029161D">
            <w:pPr>
              <w:spacing w:before="20" w:after="20"/>
              <w:jc w:val="right"/>
              <w:rPr>
                <w:b/>
                <w:noProof/>
                <w:sz w:val="20"/>
              </w:rPr>
            </w:pPr>
          </w:p>
        </w:tc>
      </w:tr>
      <w:tr w:rsidR="00DB3050" w:rsidRPr="002858D6" w14:paraId="19D575E8" w14:textId="77777777">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3177F9CA" w14:textId="77777777" w:rsidR="004515FC" w:rsidRPr="002858D6" w:rsidRDefault="004515FC" w:rsidP="0029161D">
            <w:pPr>
              <w:spacing w:beforeLines="20" w:before="48" w:afterLines="20" w:after="48"/>
              <w:rPr>
                <w:noProof/>
              </w:rPr>
            </w:pPr>
            <w:r w:rsidRPr="002858D6">
              <w:rPr>
                <w:noProof/>
                <w:sz w:val="21"/>
              </w:rPr>
              <w:t xml:space="preserve"> TOTAL das dotações de natureza administrativa financiadas a partir da dotação de programas específicos (todas as rubricas operacionais)</w:t>
            </w:r>
          </w:p>
        </w:tc>
        <w:tc>
          <w:tcPr>
            <w:tcW w:w="654" w:type="dxa"/>
            <w:vAlign w:val="center"/>
          </w:tcPr>
          <w:p w14:paraId="62B69066" w14:textId="77777777" w:rsidR="004515FC" w:rsidRPr="002858D6" w:rsidRDefault="004515FC" w:rsidP="0029161D">
            <w:pPr>
              <w:rPr>
                <w:noProof/>
              </w:rPr>
            </w:pPr>
          </w:p>
          <w:p w14:paraId="10CE86FA" w14:textId="77777777" w:rsidR="004515FC" w:rsidRPr="002858D6" w:rsidRDefault="004515FC" w:rsidP="0029161D">
            <w:pPr>
              <w:spacing w:beforeLines="20" w:before="48" w:afterLines="20" w:after="48"/>
              <w:jc w:val="center"/>
              <w:rPr>
                <w:noProof/>
                <w:sz w:val="14"/>
              </w:rPr>
            </w:pPr>
            <w:r w:rsidRPr="002858D6">
              <w:rPr>
                <w:noProof/>
                <w:sz w:val="14"/>
              </w:rPr>
              <w:t>(6)</w:t>
            </w:r>
          </w:p>
        </w:tc>
        <w:tc>
          <w:tcPr>
            <w:tcW w:w="868" w:type="dxa"/>
            <w:vAlign w:val="center"/>
          </w:tcPr>
          <w:p w14:paraId="5E1CEA34" w14:textId="77777777" w:rsidR="004515FC" w:rsidRPr="002858D6" w:rsidRDefault="004515FC" w:rsidP="0029161D">
            <w:pPr>
              <w:spacing w:before="20" w:after="20"/>
              <w:jc w:val="right"/>
              <w:rPr>
                <w:b/>
                <w:noProof/>
                <w:sz w:val="20"/>
              </w:rPr>
            </w:pPr>
          </w:p>
        </w:tc>
        <w:tc>
          <w:tcPr>
            <w:tcW w:w="868" w:type="dxa"/>
            <w:vAlign w:val="center"/>
          </w:tcPr>
          <w:p w14:paraId="1651AE60" w14:textId="77777777" w:rsidR="004515FC" w:rsidRPr="002858D6" w:rsidRDefault="004515FC" w:rsidP="0029161D">
            <w:pPr>
              <w:spacing w:before="20" w:after="20"/>
              <w:jc w:val="right"/>
              <w:rPr>
                <w:b/>
                <w:noProof/>
                <w:sz w:val="20"/>
              </w:rPr>
            </w:pPr>
          </w:p>
        </w:tc>
        <w:tc>
          <w:tcPr>
            <w:tcW w:w="868" w:type="dxa"/>
            <w:vAlign w:val="center"/>
          </w:tcPr>
          <w:p w14:paraId="569B586A" w14:textId="77777777" w:rsidR="004515FC" w:rsidRPr="002858D6" w:rsidRDefault="004515FC" w:rsidP="0029161D">
            <w:pPr>
              <w:spacing w:before="20" w:after="20"/>
              <w:jc w:val="right"/>
              <w:rPr>
                <w:b/>
                <w:noProof/>
                <w:sz w:val="20"/>
              </w:rPr>
            </w:pPr>
          </w:p>
        </w:tc>
        <w:tc>
          <w:tcPr>
            <w:tcW w:w="868" w:type="dxa"/>
            <w:vAlign w:val="center"/>
          </w:tcPr>
          <w:p w14:paraId="209BB58C" w14:textId="77777777" w:rsidR="004515FC" w:rsidRPr="002858D6" w:rsidRDefault="004515FC" w:rsidP="0029161D">
            <w:pPr>
              <w:spacing w:before="20" w:after="20"/>
              <w:jc w:val="right"/>
              <w:rPr>
                <w:b/>
                <w:noProof/>
                <w:sz w:val="20"/>
              </w:rPr>
            </w:pPr>
          </w:p>
        </w:tc>
        <w:tc>
          <w:tcPr>
            <w:tcW w:w="868" w:type="dxa"/>
            <w:vAlign w:val="center"/>
          </w:tcPr>
          <w:p w14:paraId="109089F0" w14:textId="77777777" w:rsidR="004515FC" w:rsidRPr="002858D6" w:rsidRDefault="004515FC" w:rsidP="0029161D">
            <w:pPr>
              <w:spacing w:before="20" w:after="20"/>
              <w:jc w:val="right"/>
              <w:rPr>
                <w:b/>
                <w:noProof/>
                <w:sz w:val="20"/>
              </w:rPr>
            </w:pPr>
          </w:p>
        </w:tc>
        <w:tc>
          <w:tcPr>
            <w:tcW w:w="868" w:type="dxa"/>
            <w:vAlign w:val="center"/>
          </w:tcPr>
          <w:p w14:paraId="14087A02" w14:textId="77777777" w:rsidR="004515FC" w:rsidRPr="002858D6" w:rsidRDefault="004515FC" w:rsidP="0029161D">
            <w:pPr>
              <w:spacing w:before="20" w:after="20"/>
              <w:jc w:val="right"/>
              <w:rPr>
                <w:b/>
                <w:noProof/>
                <w:sz w:val="20"/>
              </w:rPr>
            </w:pPr>
          </w:p>
        </w:tc>
        <w:tc>
          <w:tcPr>
            <w:tcW w:w="868" w:type="dxa"/>
            <w:vAlign w:val="center"/>
          </w:tcPr>
          <w:p w14:paraId="243D4C96" w14:textId="77777777" w:rsidR="004515FC" w:rsidRPr="002858D6" w:rsidRDefault="004515FC" w:rsidP="0029161D">
            <w:pPr>
              <w:spacing w:before="20" w:after="20"/>
              <w:jc w:val="right"/>
              <w:rPr>
                <w:b/>
                <w:noProof/>
                <w:sz w:val="20"/>
              </w:rPr>
            </w:pPr>
          </w:p>
        </w:tc>
        <w:tc>
          <w:tcPr>
            <w:tcW w:w="1777" w:type="dxa"/>
            <w:vAlign w:val="center"/>
          </w:tcPr>
          <w:p w14:paraId="5EAFD043" w14:textId="77777777" w:rsidR="004515FC" w:rsidRPr="002858D6" w:rsidRDefault="004515FC" w:rsidP="0029161D">
            <w:pPr>
              <w:spacing w:before="20" w:after="20"/>
              <w:jc w:val="right"/>
              <w:rPr>
                <w:b/>
                <w:noProof/>
                <w:sz w:val="20"/>
              </w:rPr>
            </w:pPr>
          </w:p>
        </w:tc>
      </w:tr>
      <w:tr w:rsidR="00291B69" w:rsidRPr="002858D6" w14:paraId="78973F91" w14:textId="77777777">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2D18F769" w14:textId="77777777" w:rsidR="004515FC" w:rsidRPr="002858D6" w:rsidRDefault="004515FC" w:rsidP="0029161D">
            <w:pPr>
              <w:jc w:val="center"/>
              <w:rPr>
                <w:b/>
                <w:noProof/>
              </w:rPr>
            </w:pPr>
            <w:r w:rsidRPr="002858D6">
              <w:rPr>
                <w:b/>
                <w:noProof/>
                <w:sz w:val="22"/>
              </w:rPr>
              <w:t>TOTAL das dotações</w:t>
            </w:r>
            <w:r w:rsidRPr="002858D6">
              <w:rPr>
                <w:noProof/>
              </w:rPr>
              <w:cr/>
            </w:r>
            <w:r w:rsidRPr="002858D6">
              <w:rPr>
                <w:noProof/>
              </w:rPr>
              <w:br/>
            </w:r>
            <w:r w:rsidRPr="002858D6">
              <w:rPr>
                <w:b/>
                <w:noProof/>
                <w:sz w:val="22"/>
              </w:rPr>
              <w:t>no âmbito das RUBRICAS 1 a 6</w:t>
            </w:r>
            <w:r w:rsidRPr="002858D6">
              <w:rPr>
                <w:noProof/>
              </w:rPr>
              <w:t xml:space="preserve"> </w:t>
            </w:r>
            <w:r w:rsidRPr="002858D6">
              <w:rPr>
                <w:noProof/>
              </w:rPr>
              <w:cr/>
            </w:r>
            <w:r w:rsidRPr="002858D6">
              <w:rPr>
                <w:noProof/>
              </w:rPr>
              <w:br/>
            </w:r>
            <w:r w:rsidRPr="002858D6">
              <w:rPr>
                <w:noProof/>
                <w:sz w:val="22"/>
              </w:rPr>
              <w:t>do quadro financeiro plurianual</w:t>
            </w:r>
            <w:r w:rsidRPr="002858D6">
              <w:rPr>
                <w:noProof/>
              </w:rPr>
              <w:t xml:space="preserve"> </w:t>
            </w:r>
            <w:r w:rsidRPr="002858D6">
              <w:rPr>
                <w:noProof/>
              </w:rPr>
              <w:cr/>
            </w:r>
            <w:r w:rsidRPr="002858D6">
              <w:rPr>
                <w:noProof/>
              </w:rPr>
              <w:br/>
            </w:r>
            <w:r w:rsidRPr="002858D6">
              <w:rPr>
                <w:noProof/>
                <w:sz w:val="20"/>
              </w:rPr>
              <w:t>(quantia de referência)</w:t>
            </w:r>
          </w:p>
        </w:tc>
        <w:tc>
          <w:tcPr>
            <w:tcW w:w="1440" w:type="dxa"/>
            <w:vAlign w:val="center"/>
          </w:tcPr>
          <w:p w14:paraId="31D83E7A" w14:textId="77777777" w:rsidR="004515FC" w:rsidRPr="002858D6" w:rsidRDefault="004515FC" w:rsidP="0029161D">
            <w:pPr>
              <w:rPr>
                <w:noProof/>
                <w:sz w:val="18"/>
              </w:rPr>
            </w:pPr>
            <w:r w:rsidRPr="002858D6">
              <w:rPr>
                <w:noProof/>
                <w:sz w:val="18"/>
              </w:rPr>
              <w:t>Autorizações</w:t>
            </w:r>
          </w:p>
        </w:tc>
        <w:tc>
          <w:tcPr>
            <w:tcW w:w="654" w:type="dxa"/>
            <w:vAlign w:val="center"/>
          </w:tcPr>
          <w:p w14:paraId="4FE1A529" w14:textId="77777777" w:rsidR="004515FC" w:rsidRPr="002858D6" w:rsidRDefault="004515FC" w:rsidP="0029161D">
            <w:pPr>
              <w:jc w:val="center"/>
              <w:rPr>
                <w:noProof/>
                <w:sz w:val="14"/>
              </w:rPr>
            </w:pPr>
            <w:r w:rsidRPr="002858D6">
              <w:rPr>
                <w:noProof/>
                <w:sz w:val="14"/>
              </w:rPr>
              <w:t>=4+ 6</w:t>
            </w:r>
          </w:p>
        </w:tc>
        <w:tc>
          <w:tcPr>
            <w:tcW w:w="868" w:type="dxa"/>
            <w:vAlign w:val="center"/>
          </w:tcPr>
          <w:p w14:paraId="1E8A03BE" w14:textId="77777777" w:rsidR="004515FC" w:rsidRPr="002858D6" w:rsidRDefault="004515FC" w:rsidP="0029161D">
            <w:pPr>
              <w:spacing w:before="20" w:after="20"/>
              <w:jc w:val="right"/>
              <w:rPr>
                <w:noProof/>
                <w:sz w:val="20"/>
              </w:rPr>
            </w:pPr>
          </w:p>
        </w:tc>
        <w:tc>
          <w:tcPr>
            <w:tcW w:w="868" w:type="dxa"/>
            <w:vAlign w:val="center"/>
          </w:tcPr>
          <w:p w14:paraId="2FBE4E71" w14:textId="77777777" w:rsidR="004515FC" w:rsidRPr="002858D6" w:rsidRDefault="004515FC" w:rsidP="0029161D">
            <w:pPr>
              <w:spacing w:before="20" w:after="20"/>
              <w:jc w:val="right"/>
              <w:rPr>
                <w:noProof/>
                <w:sz w:val="20"/>
              </w:rPr>
            </w:pPr>
          </w:p>
        </w:tc>
        <w:tc>
          <w:tcPr>
            <w:tcW w:w="868" w:type="dxa"/>
            <w:vAlign w:val="center"/>
          </w:tcPr>
          <w:p w14:paraId="32D4044B" w14:textId="77777777" w:rsidR="004515FC" w:rsidRPr="002858D6" w:rsidRDefault="004515FC" w:rsidP="0029161D">
            <w:pPr>
              <w:spacing w:before="20" w:after="20"/>
              <w:jc w:val="right"/>
              <w:rPr>
                <w:noProof/>
                <w:sz w:val="20"/>
              </w:rPr>
            </w:pPr>
          </w:p>
        </w:tc>
        <w:tc>
          <w:tcPr>
            <w:tcW w:w="868" w:type="dxa"/>
            <w:vAlign w:val="center"/>
          </w:tcPr>
          <w:p w14:paraId="0AB5706A" w14:textId="77777777" w:rsidR="004515FC" w:rsidRPr="002858D6" w:rsidRDefault="004515FC" w:rsidP="0029161D">
            <w:pPr>
              <w:spacing w:before="20" w:after="20"/>
              <w:jc w:val="right"/>
              <w:rPr>
                <w:noProof/>
                <w:sz w:val="20"/>
              </w:rPr>
            </w:pPr>
          </w:p>
        </w:tc>
        <w:tc>
          <w:tcPr>
            <w:tcW w:w="868" w:type="dxa"/>
            <w:vAlign w:val="center"/>
          </w:tcPr>
          <w:p w14:paraId="6DA64AB4" w14:textId="77777777" w:rsidR="004515FC" w:rsidRPr="002858D6" w:rsidRDefault="004515FC" w:rsidP="0029161D">
            <w:pPr>
              <w:spacing w:before="20" w:after="20"/>
              <w:jc w:val="right"/>
              <w:rPr>
                <w:noProof/>
                <w:sz w:val="20"/>
              </w:rPr>
            </w:pPr>
          </w:p>
        </w:tc>
        <w:tc>
          <w:tcPr>
            <w:tcW w:w="868" w:type="dxa"/>
            <w:vAlign w:val="center"/>
          </w:tcPr>
          <w:p w14:paraId="1F8CBE13" w14:textId="77777777" w:rsidR="004515FC" w:rsidRPr="002858D6" w:rsidRDefault="004515FC" w:rsidP="0029161D">
            <w:pPr>
              <w:spacing w:before="20" w:after="20"/>
              <w:jc w:val="right"/>
              <w:rPr>
                <w:noProof/>
                <w:sz w:val="20"/>
              </w:rPr>
            </w:pPr>
          </w:p>
        </w:tc>
        <w:tc>
          <w:tcPr>
            <w:tcW w:w="868" w:type="dxa"/>
            <w:vAlign w:val="center"/>
          </w:tcPr>
          <w:p w14:paraId="75649AEB" w14:textId="77777777" w:rsidR="004515FC" w:rsidRPr="002858D6" w:rsidRDefault="004515FC" w:rsidP="0029161D">
            <w:pPr>
              <w:spacing w:before="20" w:after="20"/>
              <w:jc w:val="right"/>
              <w:rPr>
                <w:b/>
                <w:noProof/>
                <w:sz w:val="20"/>
              </w:rPr>
            </w:pPr>
          </w:p>
        </w:tc>
        <w:tc>
          <w:tcPr>
            <w:tcW w:w="1777" w:type="dxa"/>
            <w:tcBorders>
              <w:right w:val="single" w:sz="4" w:space="0" w:color="auto"/>
            </w:tcBorders>
            <w:vAlign w:val="center"/>
          </w:tcPr>
          <w:p w14:paraId="2F98162B" w14:textId="77777777" w:rsidR="004515FC" w:rsidRPr="002858D6" w:rsidRDefault="004515FC" w:rsidP="0029161D">
            <w:pPr>
              <w:spacing w:before="20" w:after="20"/>
              <w:jc w:val="right"/>
              <w:rPr>
                <w:b/>
                <w:noProof/>
                <w:sz w:val="20"/>
              </w:rPr>
            </w:pPr>
          </w:p>
        </w:tc>
      </w:tr>
      <w:tr w:rsidR="00291B69" w:rsidRPr="002858D6" w14:paraId="0B3C05E9" w14:textId="77777777">
        <w:tc>
          <w:tcPr>
            <w:tcW w:w="3960" w:type="dxa"/>
            <w:vMerge/>
            <w:tcBorders>
              <w:top w:val="single" w:sz="4" w:space="0" w:color="FF0000"/>
              <w:left w:val="single" w:sz="4" w:space="0" w:color="auto"/>
              <w:bottom w:val="single" w:sz="4" w:space="0" w:color="auto"/>
            </w:tcBorders>
            <w:shd w:val="thinDiagStripe" w:color="C0C0C0" w:fill="auto"/>
          </w:tcPr>
          <w:p w14:paraId="5D6E969C" w14:textId="77777777" w:rsidR="004515FC" w:rsidRPr="002858D6" w:rsidRDefault="004515FC" w:rsidP="0029161D">
            <w:pPr>
              <w:rPr>
                <w:noProof/>
                <w:sz w:val="20"/>
              </w:rPr>
            </w:pPr>
          </w:p>
        </w:tc>
        <w:tc>
          <w:tcPr>
            <w:tcW w:w="1440" w:type="dxa"/>
            <w:tcBorders>
              <w:bottom w:val="single" w:sz="4" w:space="0" w:color="auto"/>
            </w:tcBorders>
            <w:vAlign w:val="center"/>
          </w:tcPr>
          <w:p w14:paraId="7694BF1A" w14:textId="77777777" w:rsidR="004515FC" w:rsidRPr="002858D6" w:rsidRDefault="004515FC" w:rsidP="0029161D">
            <w:pPr>
              <w:rPr>
                <w:noProof/>
                <w:sz w:val="18"/>
              </w:rPr>
            </w:pPr>
            <w:r w:rsidRPr="002858D6">
              <w:rPr>
                <w:noProof/>
                <w:sz w:val="18"/>
              </w:rPr>
              <w:t>Pagamentos</w:t>
            </w:r>
          </w:p>
        </w:tc>
        <w:tc>
          <w:tcPr>
            <w:tcW w:w="654" w:type="dxa"/>
            <w:tcBorders>
              <w:bottom w:val="single" w:sz="4" w:space="0" w:color="auto"/>
            </w:tcBorders>
            <w:vAlign w:val="center"/>
          </w:tcPr>
          <w:p w14:paraId="43743FE2" w14:textId="77777777" w:rsidR="004515FC" w:rsidRPr="002858D6" w:rsidRDefault="004515FC" w:rsidP="0029161D">
            <w:pPr>
              <w:jc w:val="center"/>
              <w:rPr>
                <w:noProof/>
                <w:sz w:val="14"/>
              </w:rPr>
            </w:pPr>
            <w:r w:rsidRPr="002858D6">
              <w:rPr>
                <w:noProof/>
                <w:sz w:val="14"/>
              </w:rPr>
              <w:t>=5+ 6</w:t>
            </w:r>
          </w:p>
        </w:tc>
        <w:tc>
          <w:tcPr>
            <w:tcW w:w="868" w:type="dxa"/>
            <w:tcBorders>
              <w:bottom w:val="single" w:sz="4" w:space="0" w:color="auto"/>
            </w:tcBorders>
            <w:vAlign w:val="center"/>
          </w:tcPr>
          <w:p w14:paraId="5DC38942" w14:textId="77777777" w:rsidR="004515FC" w:rsidRPr="002858D6" w:rsidRDefault="004515FC" w:rsidP="0029161D">
            <w:pPr>
              <w:spacing w:before="20" w:after="20"/>
              <w:jc w:val="right"/>
              <w:rPr>
                <w:noProof/>
                <w:sz w:val="20"/>
              </w:rPr>
            </w:pPr>
          </w:p>
        </w:tc>
        <w:tc>
          <w:tcPr>
            <w:tcW w:w="868" w:type="dxa"/>
            <w:tcBorders>
              <w:bottom w:val="single" w:sz="4" w:space="0" w:color="auto"/>
            </w:tcBorders>
            <w:vAlign w:val="center"/>
          </w:tcPr>
          <w:p w14:paraId="31757FBF" w14:textId="77777777" w:rsidR="004515FC" w:rsidRPr="002858D6" w:rsidRDefault="004515FC" w:rsidP="0029161D">
            <w:pPr>
              <w:spacing w:before="20" w:after="20"/>
              <w:jc w:val="right"/>
              <w:rPr>
                <w:noProof/>
                <w:sz w:val="20"/>
              </w:rPr>
            </w:pPr>
          </w:p>
        </w:tc>
        <w:tc>
          <w:tcPr>
            <w:tcW w:w="868" w:type="dxa"/>
            <w:tcBorders>
              <w:bottom w:val="single" w:sz="4" w:space="0" w:color="auto"/>
            </w:tcBorders>
            <w:vAlign w:val="center"/>
          </w:tcPr>
          <w:p w14:paraId="03B282E7" w14:textId="77777777" w:rsidR="004515FC" w:rsidRPr="002858D6" w:rsidRDefault="004515FC" w:rsidP="0029161D">
            <w:pPr>
              <w:spacing w:before="20" w:after="20"/>
              <w:jc w:val="right"/>
              <w:rPr>
                <w:noProof/>
                <w:sz w:val="20"/>
              </w:rPr>
            </w:pPr>
          </w:p>
        </w:tc>
        <w:tc>
          <w:tcPr>
            <w:tcW w:w="868" w:type="dxa"/>
            <w:tcBorders>
              <w:bottom w:val="single" w:sz="4" w:space="0" w:color="auto"/>
            </w:tcBorders>
            <w:vAlign w:val="center"/>
          </w:tcPr>
          <w:p w14:paraId="72549A74" w14:textId="77777777" w:rsidR="004515FC" w:rsidRPr="002858D6" w:rsidRDefault="004515FC" w:rsidP="0029161D">
            <w:pPr>
              <w:spacing w:before="20" w:after="20"/>
              <w:jc w:val="right"/>
              <w:rPr>
                <w:noProof/>
                <w:sz w:val="20"/>
              </w:rPr>
            </w:pPr>
          </w:p>
        </w:tc>
        <w:tc>
          <w:tcPr>
            <w:tcW w:w="868" w:type="dxa"/>
            <w:tcBorders>
              <w:bottom w:val="single" w:sz="4" w:space="0" w:color="auto"/>
            </w:tcBorders>
            <w:vAlign w:val="center"/>
          </w:tcPr>
          <w:p w14:paraId="32B6395F" w14:textId="77777777" w:rsidR="004515FC" w:rsidRPr="002858D6" w:rsidRDefault="004515FC" w:rsidP="0029161D">
            <w:pPr>
              <w:spacing w:before="20" w:after="20"/>
              <w:jc w:val="right"/>
              <w:rPr>
                <w:noProof/>
                <w:sz w:val="20"/>
              </w:rPr>
            </w:pPr>
          </w:p>
        </w:tc>
        <w:tc>
          <w:tcPr>
            <w:tcW w:w="868" w:type="dxa"/>
            <w:tcBorders>
              <w:bottom w:val="single" w:sz="4" w:space="0" w:color="auto"/>
            </w:tcBorders>
            <w:vAlign w:val="center"/>
          </w:tcPr>
          <w:p w14:paraId="13C3B447" w14:textId="77777777" w:rsidR="004515FC" w:rsidRPr="002858D6" w:rsidRDefault="004515FC" w:rsidP="0029161D">
            <w:pPr>
              <w:spacing w:before="20" w:after="20"/>
              <w:jc w:val="right"/>
              <w:rPr>
                <w:noProof/>
                <w:sz w:val="20"/>
              </w:rPr>
            </w:pPr>
          </w:p>
        </w:tc>
        <w:tc>
          <w:tcPr>
            <w:tcW w:w="868" w:type="dxa"/>
            <w:tcBorders>
              <w:bottom w:val="single" w:sz="4" w:space="0" w:color="auto"/>
            </w:tcBorders>
            <w:vAlign w:val="center"/>
          </w:tcPr>
          <w:p w14:paraId="55E7B533" w14:textId="77777777" w:rsidR="004515FC" w:rsidRPr="002858D6" w:rsidRDefault="004515FC" w:rsidP="0029161D">
            <w:pPr>
              <w:spacing w:before="20" w:after="20"/>
              <w:jc w:val="right"/>
              <w:rPr>
                <w:b/>
                <w:noProof/>
                <w:sz w:val="20"/>
              </w:rPr>
            </w:pPr>
          </w:p>
        </w:tc>
        <w:tc>
          <w:tcPr>
            <w:tcW w:w="1777" w:type="dxa"/>
            <w:tcBorders>
              <w:bottom w:val="single" w:sz="4" w:space="0" w:color="auto"/>
              <w:right w:val="single" w:sz="4" w:space="0" w:color="auto"/>
            </w:tcBorders>
            <w:vAlign w:val="center"/>
          </w:tcPr>
          <w:p w14:paraId="351F4237" w14:textId="77777777" w:rsidR="004515FC" w:rsidRPr="002858D6" w:rsidRDefault="004515FC" w:rsidP="0029161D">
            <w:pPr>
              <w:spacing w:before="20" w:after="20"/>
              <w:jc w:val="right"/>
              <w:rPr>
                <w:b/>
                <w:noProof/>
                <w:sz w:val="20"/>
              </w:rPr>
            </w:pPr>
          </w:p>
        </w:tc>
      </w:tr>
    </w:tbl>
    <w:p w14:paraId="18BB6B87" w14:textId="77777777" w:rsidR="004515FC" w:rsidRPr="002858D6" w:rsidRDefault="004515FC" w:rsidP="004515FC">
      <w:pPr>
        <w:rPr>
          <w:noProof/>
        </w:rPr>
      </w:pPr>
    </w:p>
    <w:p w14:paraId="6918D024" w14:textId="77777777" w:rsidR="004515FC" w:rsidRPr="002858D6" w:rsidRDefault="004515FC" w:rsidP="004515FC">
      <w:pPr>
        <w:spacing w:before="0" w:after="0"/>
        <w:jc w:val="left"/>
        <w:rPr>
          <w:noProof/>
        </w:rPr>
      </w:pPr>
      <w:r w:rsidRPr="002858D6">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515FC" w:rsidRPr="002858D6" w14:paraId="3B620D32" w14:textId="77777777" w:rsidTr="0029161D">
        <w:trPr>
          <w:jc w:val="center"/>
        </w:trPr>
        <w:tc>
          <w:tcPr>
            <w:tcW w:w="4744" w:type="dxa"/>
            <w:shd w:val="thinDiagStripe" w:color="C0C0C0" w:fill="auto"/>
            <w:vAlign w:val="center"/>
          </w:tcPr>
          <w:p w14:paraId="77F5D475" w14:textId="77777777" w:rsidR="004515FC" w:rsidRPr="002858D6" w:rsidRDefault="004515FC" w:rsidP="0029161D">
            <w:pPr>
              <w:spacing w:before="60" w:after="60"/>
              <w:jc w:val="center"/>
              <w:rPr>
                <w:b/>
                <w:noProof/>
              </w:rPr>
            </w:pPr>
            <w:r w:rsidRPr="002858D6">
              <w:rPr>
                <w:noProof/>
              </w:rPr>
              <w:br w:type="page"/>
            </w:r>
            <w:r w:rsidRPr="002858D6">
              <w:rPr>
                <w:b/>
                <w:noProof/>
                <w:sz w:val="22"/>
              </w:rPr>
              <w:t>Rubrica do quadro financeiro</w:t>
            </w:r>
            <w:r w:rsidRPr="002858D6">
              <w:rPr>
                <w:noProof/>
              </w:rPr>
              <w:cr/>
            </w:r>
            <w:r w:rsidRPr="002858D6">
              <w:rPr>
                <w:noProof/>
              </w:rPr>
              <w:br/>
            </w:r>
            <w:r w:rsidRPr="002858D6">
              <w:rPr>
                <w:b/>
                <w:noProof/>
                <w:sz w:val="22"/>
              </w:rPr>
              <w:t xml:space="preserve">plurianual </w:t>
            </w:r>
          </w:p>
        </w:tc>
        <w:tc>
          <w:tcPr>
            <w:tcW w:w="1080" w:type="dxa"/>
            <w:shd w:val="thinDiagStripe" w:color="C0C0C0" w:fill="auto"/>
            <w:vAlign w:val="center"/>
          </w:tcPr>
          <w:p w14:paraId="2CE49579" w14:textId="77777777" w:rsidR="004515FC" w:rsidRPr="002858D6" w:rsidRDefault="004515FC" w:rsidP="0029161D">
            <w:pPr>
              <w:spacing w:before="60" w:after="60"/>
              <w:jc w:val="center"/>
              <w:rPr>
                <w:noProof/>
              </w:rPr>
            </w:pPr>
            <w:r w:rsidRPr="002858D6">
              <w:rPr>
                <w:b/>
                <w:noProof/>
                <w:sz w:val="22"/>
              </w:rPr>
              <w:t>7</w:t>
            </w:r>
          </w:p>
        </w:tc>
        <w:tc>
          <w:tcPr>
            <w:tcW w:w="7817" w:type="dxa"/>
            <w:vAlign w:val="center"/>
          </w:tcPr>
          <w:p w14:paraId="58471E4B" w14:textId="77777777" w:rsidR="004515FC" w:rsidRPr="002858D6" w:rsidRDefault="004515FC" w:rsidP="0029161D">
            <w:pPr>
              <w:spacing w:before="60" w:after="60"/>
              <w:rPr>
                <w:noProof/>
              </w:rPr>
            </w:pPr>
            <w:r w:rsidRPr="002858D6">
              <w:rPr>
                <w:noProof/>
                <w:sz w:val="22"/>
              </w:rPr>
              <w:t>«Despesas administrativas»</w:t>
            </w:r>
          </w:p>
        </w:tc>
      </w:tr>
    </w:tbl>
    <w:p w14:paraId="3BA10ADC" w14:textId="77777777" w:rsidR="004515FC" w:rsidRPr="002858D6" w:rsidRDefault="004515FC" w:rsidP="004515FC">
      <w:pPr>
        <w:jc w:val="right"/>
        <w:rPr>
          <w:noProof/>
          <w:sz w:val="20"/>
        </w:rPr>
      </w:pPr>
      <w:r w:rsidRPr="002858D6">
        <w:rPr>
          <w:noProof/>
          <w:sz w:val="20"/>
        </w:rPr>
        <w:t>Em milhões de EUR (três casas decimais)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1777"/>
      </w:tblGrid>
      <w:tr w:rsidR="00291B69" w:rsidRPr="002858D6" w14:paraId="17791E47" w14:textId="77777777">
        <w:tc>
          <w:tcPr>
            <w:tcW w:w="3960" w:type="dxa"/>
            <w:tcBorders>
              <w:top w:val="nil"/>
              <w:left w:val="nil"/>
              <w:right w:val="nil"/>
            </w:tcBorders>
            <w:vAlign w:val="center"/>
          </w:tcPr>
          <w:p w14:paraId="2C2A6FA4" w14:textId="77777777" w:rsidR="004515FC" w:rsidRPr="002858D6" w:rsidRDefault="004515FC" w:rsidP="0029161D">
            <w:pPr>
              <w:jc w:val="center"/>
              <w:rPr>
                <w:noProof/>
              </w:rPr>
            </w:pPr>
          </w:p>
        </w:tc>
        <w:tc>
          <w:tcPr>
            <w:tcW w:w="1560" w:type="dxa"/>
            <w:tcBorders>
              <w:top w:val="nil"/>
              <w:left w:val="nil"/>
              <w:right w:val="nil"/>
            </w:tcBorders>
          </w:tcPr>
          <w:p w14:paraId="7309B89F" w14:textId="77777777" w:rsidR="004515FC" w:rsidRPr="002858D6" w:rsidRDefault="004515FC" w:rsidP="0029161D">
            <w:pPr>
              <w:rPr>
                <w:noProof/>
                <w:sz w:val="20"/>
              </w:rPr>
            </w:pPr>
          </w:p>
        </w:tc>
        <w:tc>
          <w:tcPr>
            <w:tcW w:w="534" w:type="dxa"/>
            <w:tcBorders>
              <w:top w:val="nil"/>
              <w:left w:val="nil"/>
            </w:tcBorders>
          </w:tcPr>
          <w:p w14:paraId="56FCA7FE" w14:textId="77777777" w:rsidR="004515FC" w:rsidRPr="002858D6" w:rsidRDefault="004515FC" w:rsidP="0029161D">
            <w:pPr>
              <w:jc w:val="center"/>
              <w:rPr>
                <w:noProof/>
                <w:sz w:val="20"/>
              </w:rPr>
            </w:pPr>
          </w:p>
        </w:tc>
        <w:tc>
          <w:tcPr>
            <w:tcW w:w="868" w:type="dxa"/>
            <w:vAlign w:val="center"/>
          </w:tcPr>
          <w:p w14:paraId="35C59B68" w14:textId="77777777" w:rsidR="004515FC" w:rsidRPr="002858D6" w:rsidRDefault="004515FC" w:rsidP="0029161D">
            <w:pPr>
              <w:jc w:val="center"/>
              <w:rPr>
                <w:noProof/>
                <w:sz w:val="20"/>
              </w:rPr>
            </w:pPr>
            <w:r w:rsidRPr="002858D6">
              <w:rPr>
                <w:noProof/>
                <w:sz w:val="20"/>
              </w:rPr>
              <w:t>Ano</w:t>
            </w:r>
            <w:r w:rsidRPr="002858D6">
              <w:rPr>
                <w:noProof/>
              </w:rPr>
              <w:t xml:space="preserve"> </w:t>
            </w:r>
            <w:r w:rsidRPr="002858D6">
              <w:rPr>
                <w:noProof/>
              </w:rPr>
              <w:cr/>
            </w:r>
            <w:r w:rsidRPr="002858D6">
              <w:rPr>
                <w:noProof/>
              </w:rPr>
              <w:br/>
            </w:r>
            <w:r w:rsidRPr="002858D6">
              <w:rPr>
                <w:b/>
                <w:noProof/>
                <w:sz w:val="20"/>
              </w:rPr>
              <w:t>2026</w:t>
            </w:r>
          </w:p>
        </w:tc>
        <w:tc>
          <w:tcPr>
            <w:tcW w:w="868" w:type="dxa"/>
            <w:vAlign w:val="center"/>
          </w:tcPr>
          <w:p w14:paraId="78E7C057" w14:textId="77777777" w:rsidR="004515FC" w:rsidRPr="002858D6" w:rsidRDefault="004515FC" w:rsidP="0029161D">
            <w:pPr>
              <w:jc w:val="center"/>
              <w:rPr>
                <w:noProof/>
                <w:sz w:val="20"/>
              </w:rPr>
            </w:pPr>
            <w:r w:rsidRPr="002858D6">
              <w:rPr>
                <w:noProof/>
                <w:sz w:val="20"/>
              </w:rPr>
              <w:t>Ano</w:t>
            </w:r>
            <w:r w:rsidRPr="002858D6">
              <w:rPr>
                <w:noProof/>
              </w:rPr>
              <w:t xml:space="preserve"> </w:t>
            </w:r>
            <w:r w:rsidRPr="002858D6">
              <w:rPr>
                <w:noProof/>
              </w:rPr>
              <w:cr/>
            </w:r>
            <w:r w:rsidRPr="002858D6">
              <w:rPr>
                <w:noProof/>
              </w:rPr>
              <w:br/>
            </w:r>
            <w:r w:rsidRPr="002858D6">
              <w:rPr>
                <w:b/>
                <w:noProof/>
                <w:sz w:val="20"/>
              </w:rPr>
              <w:t>2027</w:t>
            </w:r>
          </w:p>
        </w:tc>
        <w:tc>
          <w:tcPr>
            <w:tcW w:w="1777" w:type="dxa"/>
            <w:vAlign w:val="center"/>
          </w:tcPr>
          <w:p w14:paraId="6DCAC875" w14:textId="77777777" w:rsidR="004515FC" w:rsidRPr="002858D6" w:rsidRDefault="004515FC" w:rsidP="0029161D">
            <w:pPr>
              <w:jc w:val="center"/>
              <w:rPr>
                <w:b/>
                <w:noProof/>
                <w:sz w:val="20"/>
              </w:rPr>
            </w:pPr>
            <w:r w:rsidRPr="002858D6">
              <w:rPr>
                <w:b/>
                <w:noProof/>
                <w:sz w:val="20"/>
              </w:rPr>
              <w:t>Total (no âmbito do atual QFP</w:t>
            </w:r>
            <w:r w:rsidRPr="002858D6">
              <w:rPr>
                <w:rStyle w:val="FootnoteReference0"/>
                <w:b/>
                <w:noProof/>
                <w:sz w:val="20"/>
              </w:rPr>
              <w:footnoteReference w:id="47"/>
            </w:r>
            <w:r w:rsidRPr="002858D6">
              <w:rPr>
                <w:b/>
                <w:noProof/>
                <w:sz w:val="20"/>
              </w:rPr>
              <w:t>)</w:t>
            </w:r>
          </w:p>
        </w:tc>
      </w:tr>
      <w:tr w:rsidR="00910369" w:rsidRPr="002858D6" w14:paraId="25558AC2" w14:textId="77777777">
        <w:trPr>
          <w:gridAfter w:val="5"/>
          <w:wAfter w:w="5607" w:type="dxa"/>
        </w:trPr>
        <w:tc>
          <w:tcPr>
            <w:tcW w:w="3960" w:type="dxa"/>
            <w:vAlign w:val="center"/>
          </w:tcPr>
          <w:p w14:paraId="1C8B4151" w14:textId="77777777" w:rsidR="004515FC" w:rsidRPr="002858D6" w:rsidRDefault="004515FC" w:rsidP="0029161D">
            <w:pPr>
              <w:spacing w:before="60" w:after="60"/>
              <w:jc w:val="center"/>
              <w:rPr>
                <w:noProof/>
              </w:rPr>
            </w:pPr>
            <w:r w:rsidRPr="002858D6">
              <w:rPr>
                <w:noProof/>
                <w:sz w:val="22"/>
              </w:rPr>
              <w:t>DG: JUST</w:t>
            </w:r>
          </w:p>
        </w:tc>
      </w:tr>
      <w:tr w:rsidR="00DB3050" w:rsidRPr="002858D6" w14:paraId="5E6D9C53" w14:textId="77777777">
        <w:trPr>
          <w:trHeight w:val="313"/>
        </w:trPr>
        <w:tc>
          <w:tcPr>
            <w:tcW w:w="6054" w:type="dxa"/>
            <w:gridSpan w:val="3"/>
            <w:vAlign w:val="center"/>
          </w:tcPr>
          <w:p w14:paraId="5DB8EF25" w14:textId="77777777" w:rsidR="004515FC" w:rsidRPr="002858D6" w:rsidRDefault="004515FC" w:rsidP="0029161D">
            <w:pPr>
              <w:spacing w:before="20" w:after="20"/>
              <w:rPr>
                <w:noProof/>
              </w:rPr>
            </w:pPr>
            <w:r w:rsidRPr="002858D6">
              <w:rPr>
                <w:rFonts w:ascii="Wingdings" w:hAnsi="Wingdings"/>
                <w:noProof/>
                <w:sz w:val="22"/>
              </w:rPr>
              <w:t>□</w:t>
            </w:r>
            <w:r w:rsidRPr="002858D6">
              <w:rPr>
                <w:noProof/>
                <w:sz w:val="22"/>
              </w:rPr>
              <w:t xml:space="preserve"> Recursos humanos </w:t>
            </w:r>
          </w:p>
        </w:tc>
        <w:tc>
          <w:tcPr>
            <w:tcW w:w="868" w:type="dxa"/>
            <w:vAlign w:val="center"/>
          </w:tcPr>
          <w:p w14:paraId="1ABB40E6" w14:textId="77777777" w:rsidR="004515FC" w:rsidRPr="002858D6" w:rsidRDefault="004515FC" w:rsidP="0029161D">
            <w:pPr>
              <w:spacing w:before="20" w:after="20"/>
              <w:jc w:val="right"/>
              <w:rPr>
                <w:noProof/>
                <w:sz w:val="20"/>
              </w:rPr>
            </w:pPr>
            <w:r w:rsidRPr="002858D6">
              <w:rPr>
                <w:noProof/>
                <w:sz w:val="20"/>
              </w:rPr>
              <w:t>0,043</w:t>
            </w:r>
          </w:p>
        </w:tc>
        <w:tc>
          <w:tcPr>
            <w:tcW w:w="868" w:type="dxa"/>
            <w:vAlign w:val="center"/>
          </w:tcPr>
          <w:p w14:paraId="1CB584F5" w14:textId="77777777" w:rsidR="004515FC" w:rsidRPr="002858D6" w:rsidRDefault="004515FC" w:rsidP="0029161D">
            <w:pPr>
              <w:spacing w:before="20" w:after="20"/>
              <w:jc w:val="right"/>
              <w:rPr>
                <w:noProof/>
                <w:sz w:val="20"/>
              </w:rPr>
            </w:pPr>
            <w:r w:rsidRPr="002858D6">
              <w:rPr>
                <w:noProof/>
                <w:sz w:val="20"/>
              </w:rPr>
              <w:t>0,014</w:t>
            </w:r>
          </w:p>
        </w:tc>
        <w:tc>
          <w:tcPr>
            <w:tcW w:w="1777" w:type="dxa"/>
            <w:vAlign w:val="center"/>
          </w:tcPr>
          <w:p w14:paraId="7ABA76D4" w14:textId="77777777" w:rsidR="004515FC" w:rsidRPr="002858D6" w:rsidRDefault="004515FC" w:rsidP="0029161D">
            <w:pPr>
              <w:spacing w:before="20" w:after="20"/>
              <w:jc w:val="right"/>
              <w:rPr>
                <w:b/>
                <w:noProof/>
                <w:sz w:val="20"/>
              </w:rPr>
            </w:pPr>
            <w:r w:rsidRPr="002858D6">
              <w:rPr>
                <w:b/>
                <w:noProof/>
                <w:sz w:val="20"/>
              </w:rPr>
              <w:t>0,057</w:t>
            </w:r>
          </w:p>
        </w:tc>
      </w:tr>
      <w:tr w:rsidR="00DB3050" w:rsidRPr="002858D6" w14:paraId="76A9FBD2" w14:textId="77777777">
        <w:trPr>
          <w:trHeight w:val="351"/>
        </w:trPr>
        <w:tc>
          <w:tcPr>
            <w:tcW w:w="6054" w:type="dxa"/>
            <w:gridSpan w:val="3"/>
            <w:vAlign w:val="center"/>
          </w:tcPr>
          <w:p w14:paraId="2E12F8FD" w14:textId="77777777" w:rsidR="004515FC" w:rsidRPr="002858D6" w:rsidRDefault="004515FC" w:rsidP="0029161D">
            <w:pPr>
              <w:spacing w:before="20" w:after="20"/>
              <w:rPr>
                <w:noProof/>
              </w:rPr>
            </w:pPr>
            <w:r w:rsidRPr="002858D6">
              <w:rPr>
                <w:rFonts w:ascii="Wingdings" w:hAnsi="Wingdings"/>
                <w:noProof/>
                <w:sz w:val="22"/>
              </w:rPr>
              <w:t>□</w:t>
            </w:r>
            <w:r w:rsidRPr="002858D6">
              <w:rPr>
                <w:noProof/>
                <w:sz w:val="22"/>
              </w:rPr>
              <w:t xml:space="preserve"> Outras despesas de natureza administrativa </w:t>
            </w:r>
          </w:p>
        </w:tc>
        <w:tc>
          <w:tcPr>
            <w:tcW w:w="868" w:type="dxa"/>
            <w:vAlign w:val="center"/>
          </w:tcPr>
          <w:p w14:paraId="28E6DDC6" w14:textId="77777777" w:rsidR="004515FC" w:rsidRPr="002858D6" w:rsidRDefault="004515FC" w:rsidP="0029161D">
            <w:pPr>
              <w:spacing w:before="20" w:after="20"/>
              <w:jc w:val="right"/>
              <w:rPr>
                <w:b/>
                <w:noProof/>
                <w:sz w:val="20"/>
              </w:rPr>
            </w:pPr>
          </w:p>
        </w:tc>
        <w:tc>
          <w:tcPr>
            <w:tcW w:w="868" w:type="dxa"/>
            <w:vAlign w:val="center"/>
          </w:tcPr>
          <w:p w14:paraId="3BD6C2EE" w14:textId="77777777" w:rsidR="004515FC" w:rsidRPr="002858D6" w:rsidRDefault="004515FC" w:rsidP="0029161D">
            <w:pPr>
              <w:spacing w:before="20" w:after="20"/>
              <w:jc w:val="right"/>
              <w:rPr>
                <w:b/>
                <w:noProof/>
                <w:sz w:val="20"/>
              </w:rPr>
            </w:pPr>
          </w:p>
        </w:tc>
        <w:tc>
          <w:tcPr>
            <w:tcW w:w="1777" w:type="dxa"/>
            <w:vAlign w:val="center"/>
          </w:tcPr>
          <w:p w14:paraId="390101AC" w14:textId="77777777" w:rsidR="004515FC" w:rsidRPr="002858D6" w:rsidRDefault="004515FC" w:rsidP="0029161D">
            <w:pPr>
              <w:spacing w:before="20" w:after="20"/>
              <w:jc w:val="right"/>
              <w:rPr>
                <w:b/>
                <w:noProof/>
                <w:sz w:val="20"/>
              </w:rPr>
            </w:pPr>
          </w:p>
        </w:tc>
      </w:tr>
      <w:tr w:rsidR="00DB3050" w:rsidRPr="002858D6" w14:paraId="134E3135" w14:textId="77777777">
        <w:tc>
          <w:tcPr>
            <w:tcW w:w="3960" w:type="dxa"/>
            <w:vAlign w:val="center"/>
          </w:tcPr>
          <w:p w14:paraId="722EAD68" w14:textId="77777777" w:rsidR="004515FC" w:rsidRPr="002858D6" w:rsidRDefault="004515FC" w:rsidP="0029161D">
            <w:pPr>
              <w:jc w:val="center"/>
              <w:rPr>
                <w:b/>
                <w:noProof/>
              </w:rPr>
            </w:pPr>
            <w:r w:rsidRPr="002858D6">
              <w:rPr>
                <w:b/>
                <w:noProof/>
                <w:sz w:val="22"/>
              </w:rPr>
              <w:t>TOTAL DA DG JUST</w:t>
            </w:r>
          </w:p>
        </w:tc>
        <w:tc>
          <w:tcPr>
            <w:tcW w:w="2094" w:type="dxa"/>
            <w:gridSpan w:val="2"/>
            <w:vAlign w:val="center"/>
          </w:tcPr>
          <w:p w14:paraId="03BF7462" w14:textId="77777777" w:rsidR="004515FC" w:rsidRPr="002858D6" w:rsidRDefault="004515FC" w:rsidP="0029161D">
            <w:pPr>
              <w:rPr>
                <w:noProof/>
                <w:sz w:val="14"/>
              </w:rPr>
            </w:pPr>
            <w:r w:rsidRPr="002858D6">
              <w:rPr>
                <w:noProof/>
                <w:sz w:val="18"/>
              </w:rPr>
              <w:t xml:space="preserve">Dotações </w:t>
            </w:r>
          </w:p>
        </w:tc>
        <w:tc>
          <w:tcPr>
            <w:tcW w:w="868" w:type="dxa"/>
            <w:vAlign w:val="center"/>
          </w:tcPr>
          <w:p w14:paraId="62E081FB" w14:textId="77777777" w:rsidR="004515FC" w:rsidRPr="002858D6" w:rsidRDefault="004515FC" w:rsidP="0029161D">
            <w:pPr>
              <w:spacing w:before="60" w:after="60"/>
              <w:jc w:val="right"/>
              <w:rPr>
                <w:noProof/>
                <w:sz w:val="20"/>
              </w:rPr>
            </w:pPr>
            <w:r w:rsidRPr="002858D6">
              <w:rPr>
                <w:noProof/>
                <w:sz w:val="20"/>
              </w:rPr>
              <w:t>0,043</w:t>
            </w:r>
          </w:p>
        </w:tc>
        <w:tc>
          <w:tcPr>
            <w:tcW w:w="868" w:type="dxa"/>
            <w:vAlign w:val="center"/>
          </w:tcPr>
          <w:p w14:paraId="59E764BB" w14:textId="77777777" w:rsidR="004515FC" w:rsidRPr="002858D6" w:rsidRDefault="004515FC" w:rsidP="0029161D">
            <w:pPr>
              <w:spacing w:before="20" w:after="20"/>
              <w:jc w:val="right"/>
              <w:rPr>
                <w:noProof/>
                <w:sz w:val="20"/>
              </w:rPr>
            </w:pPr>
            <w:r w:rsidRPr="002858D6">
              <w:rPr>
                <w:noProof/>
                <w:sz w:val="20"/>
              </w:rPr>
              <w:t>0,014</w:t>
            </w:r>
          </w:p>
        </w:tc>
        <w:tc>
          <w:tcPr>
            <w:tcW w:w="1777" w:type="dxa"/>
            <w:vAlign w:val="center"/>
          </w:tcPr>
          <w:p w14:paraId="1D103F04" w14:textId="77777777" w:rsidR="004515FC" w:rsidRPr="002858D6" w:rsidRDefault="004515FC" w:rsidP="0029161D">
            <w:pPr>
              <w:spacing w:before="20" w:after="20"/>
              <w:jc w:val="right"/>
              <w:rPr>
                <w:b/>
                <w:noProof/>
                <w:sz w:val="20"/>
              </w:rPr>
            </w:pPr>
            <w:r w:rsidRPr="002858D6">
              <w:rPr>
                <w:b/>
                <w:noProof/>
                <w:sz w:val="20"/>
              </w:rPr>
              <w:t>0,057</w:t>
            </w:r>
          </w:p>
        </w:tc>
      </w:tr>
      <w:tr w:rsidR="00910369" w:rsidRPr="002858D6" w14:paraId="72D9ECE1" w14:textId="77777777">
        <w:trPr>
          <w:gridAfter w:val="5"/>
          <w:wAfter w:w="5607" w:type="dxa"/>
        </w:trPr>
        <w:tc>
          <w:tcPr>
            <w:tcW w:w="3960" w:type="dxa"/>
            <w:vAlign w:val="center"/>
          </w:tcPr>
          <w:p w14:paraId="39C26CEF" w14:textId="77777777" w:rsidR="004515FC" w:rsidRPr="002858D6" w:rsidRDefault="004515FC" w:rsidP="0029161D">
            <w:pPr>
              <w:spacing w:before="60" w:after="60"/>
              <w:jc w:val="center"/>
              <w:rPr>
                <w:noProof/>
              </w:rPr>
            </w:pPr>
            <w:r w:rsidRPr="002858D6">
              <w:rPr>
                <w:noProof/>
                <w:sz w:val="22"/>
              </w:rPr>
              <w:t>DG: SEAE</w:t>
            </w:r>
          </w:p>
        </w:tc>
      </w:tr>
      <w:tr w:rsidR="00DB3050" w:rsidRPr="002858D6" w14:paraId="247B59E7" w14:textId="77777777">
        <w:trPr>
          <w:trHeight w:val="313"/>
        </w:trPr>
        <w:tc>
          <w:tcPr>
            <w:tcW w:w="6054" w:type="dxa"/>
            <w:gridSpan w:val="3"/>
            <w:vAlign w:val="center"/>
          </w:tcPr>
          <w:p w14:paraId="2D616EB2" w14:textId="77777777" w:rsidR="004515FC" w:rsidRPr="002858D6" w:rsidRDefault="004515FC" w:rsidP="0029161D">
            <w:pPr>
              <w:spacing w:before="20" w:after="20"/>
              <w:rPr>
                <w:noProof/>
              </w:rPr>
            </w:pPr>
            <w:r w:rsidRPr="002858D6">
              <w:rPr>
                <w:rFonts w:ascii="Wingdings" w:hAnsi="Wingdings"/>
                <w:noProof/>
                <w:sz w:val="22"/>
              </w:rPr>
              <w:t>□</w:t>
            </w:r>
            <w:r w:rsidRPr="002858D6">
              <w:rPr>
                <w:noProof/>
                <w:sz w:val="22"/>
              </w:rPr>
              <w:t xml:space="preserve"> Recursos humanos </w:t>
            </w:r>
          </w:p>
        </w:tc>
        <w:tc>
          <w:tcPr>
            <w:tcW w:w="868" w:type="dxa"/>
            <w:vAlign w:val="center"/>
          </w:tcPr>
          <w:p w14:paraId="0DE07F5B" w14:textId="77777777" w:rsidR="004515FC" w:rsidRPr="002858D6" w:rsidRDefault="004515FC" w:rsidP="0029161D">
            <w:pPr>
              <w:spacing w:before="20" w:after="20"/>
              <w:jc w:val="right"/>
              <w:rPr>
                <w:noProof/>
                <w:sz w:val="20"/>
              </w:rPr>
            </w:pPr>
          </w:p>
        </w:tc>
        <w:tc>
          <w:tcPr>
            <w:tcW w:w="868" w:type="dxa"/>
            <w:vAlign w:val="center"/>
          </w:tcPr>
          <w:p w14:paraId="78826D9E" w14:textId="77777777" w:rsidR="004515FC" w:rsidRPr="002858D6" w:rsidRDefault="004515FC" w:rsidP="0029161D">
            <w:pPr>
              <w:spacing w:before="20" w:after="20"/>
              <w:jc w:val="right"/>
              <w:rPr>
                <w:noProof/>
                <w:sz w:val="20"/>
              </w:rPr>
            </w:pPr>
          </w:p>
        </w:tc>
        <w:tc>
          <w:tcPr>
            <w:tcW w:w="1777" w:type="dxa"/>
            <w:vAlign w:val="center"/>
          </w:tcPr>
          <w:p w14:paraId="3EB44301" w14:textId="77777777" w:rsidR="004515FC" w:rsidRPr="002858D6" w:rsidRDefault="004515FC" w:rsidP="0029161D">
            <w:pPr>
              <w:spacing w:before="20" w:after="20"/>
              <w:jc w:val="right"/>
              <w:rPr>
                <w:b/>
                <w:noProof/>
                <w:sz w:val="20"/>
              </w:rPr>
            </w:pPr>
          </w:p>
        </w:tc>
      </w:tr>
      <w:tr w:rsidR="00DB3050" w:rsidRPr="002858D6" w14:paraId="5F4F48C7" w14:textId="77777777" w:rsidTr="00A17546">
        <w:trPr>
          <w:trHeight w:val="351"/>
        </w:trPr>
        <w:tc>
          <w:tcPr>
            <w:tcW w:w="6054" w:type="dxa"/>
            <w:gridSpan w:val="3"/>
            <w:vAlign w:val="center"/>
          </w:tcPr>
          <w:p w14:paraId="2B34B2E9" w14:textId="77777777" w:rsidR="0058038B" w:rsidRPr="002858D6" w:rsidRDefault="0058038B" w:rsidP="0058038B">
            <w:pPr>
              <w:spacing w:before="20" w:after="20"/>
              <w:rPr>
                <w:noProof/>
              </w:rPr>
            </w:pPr>
            <w:r w:rsidRPr="002858D6">
              <w:rPr>
                <w:rFonts w:ascii="Wingdings" w:hAnsi="Wingdings"/>
                <w:noProof/>
                <w:sz w:val="22"/>
              </w:rPr>
              <w:t>□</w:t>
            </w:r>
            <w:r w:rsidRPr="002858D6">
              <w:rPr>
                <w:noProof/>
                <w:sz w:val="22"/>
              </w:rPr>
              <w:t xml:space="preserve"> Outras despesas de natureza administrativa </w:t>
            </w:r>
          </w:p>
        </w:tc>
        <w:tc>
          <w:tcPr>
            <w:tcW w:w="868" w:type="dxa"/>
          </w:tcPr>
          <w:p w14:paraId="1FC04CC5" w14:textId="7ED82B3A" w:rsidR="0058038B" w:rsidRPr="002858D6" w:rsidRDefault="0058038B" w:rsidP="00A17546">
            <w:pPr>
              <w:spacing w:before="60" w:after="60"/>
              <w:jc w:val="right"/>
              <w:rPr>
                <w:noProof/>
                <w:sz w:val="20"/>
              </w:rPr>
            </w:pPr>
            <w:r w:rsidRPr="002858D6">
              <w:rPr>
                <w:noProof/>
                <w:sz w:val="20"/>
              </w:rPr>
              <w:t>0,038</w:t>
            </w:r>
          </w:p>
        </w:tc>
        <w:tc>
          <w:tcPr>
            <w:tcW w:w="868" w:type="dxa"/>
          </w:tcPr>
          <w:p w14:paraId="2F4DD6EB" w14:textId="45FF5E36" w:rsidR="0058038B" w:rsidRPr="002858D6" w:rsidRDefault="0058038B" w:rsidP="00A17546">
            <w:pPr>
              <w:spacing w:before="60" w:after="60"/>
              <w:jc w:val="right"/>
              <w:rPr>
                <w:noProof/>
                <w:sz w:val="20"/>
              </w:rPr>
            </w:pPr>
            <w:r w:rsidRPr="002858D6">
              <w:rPr>
                <w:noProof/>
                <w:sz w:val="20"/>
              </w:rPr>
              <w:t xml:space="preserve"> 0,038</w:t>
            </w:r>
          </w:p>
        </w:tc>
        <w:tc>
          <w:tcPr>
            <w:tcW w:w="1777" w:type="dxa"/>
          </w:tcPr>
          <w:p w14:paraId="583AB56F" w14:textId="70CE12A8" w:rsidR="0058038B" w:rsidRPr="002858D6" w:rsidRDefault="0058038B" w:rsidP="00A17546">
            <w:pPr>
              <w:spacing w:before="60" w:after="60"/>
              <w:jc w:val="right"/>
              <w:rPr>
                <w:b/>
                <w:noProof/>
                <w:sz w:val="20"/>
              </w:rPr>
            </w:pPr>
            <w:r w:rsidRPr="002858D6">
              <w:rPr>
                <w:b/>
                <w:noProof/>
                <w:sz w:val="20"/>
              </w:rPr>
              <w:t>0,076</w:t>
            </w:r>
          </w:p>
        </w:tc>
      </w:tr>
      <w:tr w:rsidR="00DB3050" w:rsidRPr="002858D6" w14:paraId="20AA391B" w14:textId="77777777" w:rsidTr="00A17546">
        <w:tc>
          <w:tcPr>
            <w:tcW w:w="3960" w:type="dxa"/>
            <w:vAlign w:val="center"/>
          </w:tcPr>
          <w:p w14:paraId="7FA7D1E1" w14:textId="77777777" w:rsidR="0058038B" w:rsidRPr="002858D6" w:rsidRDefault="0058038B" w:rsidP="0058038B">
            <w:pPr>
              <w:jc w:val="center"/>
              <w:rPr>
                <w:b/>
                <w:noProof/>
              </w:rPr>
            </w:pPr>
          </w:p>
        </w:tc>
        <w:tc>
          <w:tcPr>
            <w:tcW w:w="2094" w:type="dxa"/>
            <w:gridSpan w:val="2"/>
            <w:vAlign w:val="center"/>
          </w:tcPr>
          <w:p w14:paraId="642BB1E7" w14:textId="77777777" w:rsidR="0058038B" w:rsidRPr="002858D6" w:rsidRDefault="0058038B" w:rsidP="0058038B">
            <w:pPr>
              <w:rPr>
                <w:noProof/>
                <w:sz w:val="14"/>
              </w:rPr>
            </w:pPr>
            <w:r w:rsidRPr="002858D6">
              <w:rPr>
                <w:noProof/>
                <w:sz w:val="18"/>
              </w:rPr>
              <w:t xml:space="preserve">Dotações </w:t>
            </w:r>
          </w:p>
        </w:tc>
        <w:tc>
          <w:tcPr>
            <w:tcW w:w="868" w:type="dxa"/>
            <w:vAlign w:val="center"/>
          </w:tcPr>
          <w:p w14:paraId="7B54CCD9" w14:textId="2CAEBD74" w:rsidR="0058038B" w:rsidRPr="002858D6" w:rsidRDefault="0058038B" w:rsidP="0058038B">
            <w:pPr>
              <w:spacing w:before="60" w:after="60"/>
              <w:jc w:val="right"/>
              <w:rPr>
                <w:noProof/>
                <w:sz w:val="20"/>
                <w:highlight w:val="yellow"/>
              </w:rPr>
            </w:pPr>
            <w:r w:rsidRPr="002858D6">
              <w:rPr>
                <w:noProof/>
                <w:sz w:val="20"/>
              </w:rPr>
              <w:t>0,038</w:t>
            </w:r>
          </w:p>
        </w:tc>
        <w:tc>
          <w:tcPr>
            <w:tcW w:w="868" w:type="dxa"/>
            <w:vAlign w:val="center"/>
          </w:tcPr>
          <w:p w14:paraId="7F438A2D" w14:textId="46A6DFE2" w:rsidR="0058038B" w:rsidRPr="002858D6" w:rsidRDefault="0058038B" w:rsidP="0058038B">
            <w:pPr>
              <w:spacing w:before="20" w:after="20"/>
              <w:jc w:val="right"/>
              <w:rPr>
                <w:noProof/>
                <w:sz w:val="20"/>
                <w:highlight w:val="yellow"/>
              </w:rPr>
            </w:pPr>
            <w:r w:rsidRPr="002858D6">
              <w:rPr>
                <w:noProof/>
                <w:sz w:val="20"/>
              </w:rPr>
              <w:t xml:space="preserve"> 0,038</w:t>
            </w:r>
          </w:p>
        </w:tc>
        <w:tc>
          <w:tcPr>
            <w:tcW w:w="1777" w:type="dxa"/>
            <w:vAlign w:val="center"/>
          </w:tcPr>
          <w:p w14:paraId="5D18EF89" w14:textId="0AE7CBA7" w:rsidR="0058038B" w:rsidRPr="002858D6" w:rsidRDefault="0058038B" w:rsidP="0058038B">
            <w:pPr>
              <w:spacing w:before="20" w:after="20"/>
              <w:jc w:val="right"/>
              <w:rPr>
                <w:noProof/>
                <w:sz w:val="20"/>
                <w:highlight w:val="yellow"/>
              </w:rPr>
            </w:pPr>
            <w:r w:rsidRPr="002858D6">
              <w:rPr>
                <w:b/>
                <w:noProof/>
                <w:sz w:val="20"/>
              </w:rPr>
              <w:t>0,076</w:t>
            </w:r>
          </w:p>
        </w:tc>
      </w:tr>
      <w:tr w:rsidR="00291B69" w:rsidRPr="002858D6" w14:paraId="2519F4C0" w14:textId="77777777" w:rsidTr="00A17546">
        <w:tc>
          <w:tcPr>
            <w:tcW w:w="3960" w:type="dxa"/>
            <w:shd w:val="thinDiagStripe" w:color="C0C0C0" w:fill="auto"/>
            <w:vAlign w:val="center"/>
          </w:tcPr>
          <w:p w14:paraId="3D5D8E96" w14:textId="77777777" w:rsidR="00723B75" w:rsidRPr="002858D6" w:rsidRDefault="00723B75" w:rsidP="00723B75">
            <w:pPr>
              <w:jc w:val="center"/>
              <w:rPr>
                <w:b/>
                <w:noProof/>
              </w:rPr>
            </w:pPr>
            <w:r w:rsidRPr="002858D6">
              <w:rPr>
                <w:b/>
                <w:noProof/>
                <w:sz w:val="22"/>
              </w:rPr>
              <w:t>TOTAL das dotações</w:t>
            </w:r>
            <w:r w:rsidRPr="002858D6">
              <w:rPr>
                <w:noProof/>
              </w:rPr>
              <w:t xml:space="preserve"> </w:t>
            </w:r>
            <w:r w:rsidRPr="002858D6">
              <w:rPr>
                <w:noProof/>
              </w:rPr>
              <w:cr/>
            </w:r>
            <w:r w:rsidRPr="002858D6">
              <w:rPr>
                <w:noProof/>
              </w:rPr>
              <w:br/>
            </w:r>
            <w:r w:rsidRPr="002858D6">
              <w:rPr>
                <w:b/>
                <w:noProof/>
                <w:sz w:val="22"/>
              </w:rPr>
              <w:t>no âmbito da RUBRICA 7</w:t>
            </w:r>
            <w:r w:rsidRPr="002858D6">
              <w:rPr>
                <w:noProof/>
              </w:rPr>
              <w:t xml:space="preserve"> </w:t>
            </w:r>
            <w:r w:rsidRPr="002858D6">
              <w:rPr>
                <w:noProof/>
              </w:rPr>
              <w:cr/>
            </w:r>
            <w:r w:rsidRPr="002858D6">
              <w:rPr>
                <w:noProof/>
              </w:rPr>
              <w:br/>
            </w:r>
            <w:r w:rsidRPr="002858D6">
              <w:rPr>
                <w:noProof/>
                <w:sz w:val="22"/>
              </w:rPr>
              <w:t>do quadro financeiro plurianual</w:t>
            </w:r>
            <w:r w:rsidRPr="002858D6">
              <w:rPr>
                <w:b/>
                <w:noProof/>
                <w:sz w:val="22"/>
              </w:rPr>
              <w:t xml:space="preserve"> </w:t>
            </w:r>
          </w:p>
        </w:tc>
        <w:tc>
          <w:tcPr>
            <w:tcW w:w="2094" w:type="dxa"/>
            <w:gridSpan w:val="2"/>
            <w:vAlign w:val="center"/>
          </w:tcPr>
          <w:p w14:paraId="4933D8CC" w14:textId="77777777" w:rsidR="00723B75" w:rsidRPr="002858D6" w:rsidRDefault="00723B75" w:rsidP="00723B75">
            <w:pPr>
              <w:spacing w:before="40" w:after="40"/>
              <w:rPr>
                <w:noProof/>
              </w:rPr>
            </w:pPr>
            <w:r w:rsidRPr="002858D6">
              <w:rPr>
                <w:noProof/>
                <w:sz w:val="18"/>
              </w:rPr>
              <w:t>(Total das autorizações = total dos pagamentos)</w:t>
            </w:r>
          </w:p>
        </w:tc>
        <w:tc>
          <w:tcPr>
            <w:tcW w:w="868" w:type="dxa"/>
            <w:vAlign w:val="center"/>
          </w:tcPr>
          <w:p w14:paraId="6510EED0" w14:textId="797C8461" w:rsidR="00723B75" w:rsidRPr="002858D6" w:rsidRDefault="00723B75" w:rsidP="00A17546">
            <w:pPr>
              <w:spacing w:before="60" w:after="60"/>
              <w:jc w:val="right"/>
              <w:rPr>
                <w:b/>
                <w:noProof/>
                <w:sz w:val="20"/>
              </w:rPr>
            </w:pPr>
            <w:r w:rsidRPr="002858D6">
              <w:rPr>
                <w:b/>
                <w:noProof/>
                <w:sz w:val="20"/>
              </w:rPr>
              <w:t>0,081</w:t>
            </w:r>
          </w:p>
        </w:tc>
        <w:tc>
          <w:tcPr>
            <w:tcW w:w="868" w:type="dxa"/>
            <w:vAlign w:val="center"/>
          </w:tcPr>
          <w:p w14:paraId="55A68032" w14:textId="38EF7EB7" w:rsidR="00723B75" w:rsidRPr="002858D6" w:rsidRDefault="00723B75" w:rsidP="00A17546">
            <w:pPr>
              <w:spacing w:before="60" w:after="60"/>
              <w:jc w:val="right"/>
              <w:rPr>
                <w:b/>
                <w:noProof/>
                <w:sz w:val="20"/>
              </w:rPr>
            </w:pPr>
            <w:r w:rsidRPr="002858D6">
              <w:rPr>
                <w:b/>
                <w:noProof/>
                <w:sz w:val="20"/>
              </w:rPr>
              <w:t>0,052</w:t>
            </w:r>
          </w:p>
        </w:tc>
        <w:tc>
          <w:tcPr>
            <w:tcW w:w="1777" w:type="dxa"/>
            <w:vAlign w:val="center"/>
          </w:tcPr>
          <w:p w14:paraId="6F90E7CF" w14:textId="56DD0786" w:rsidR="00723B75" w:rsidRPr="002858D6" w:rsidRDefault="00723B75" w:rsidP="00A17546">
            <w:pPr>
              <w:spacing w:before="60" w:after="60"/>
              <w:jc w:val="right"/>
              <w:rPr>
                <w:b/>
                <w:noProof/>
                <w:sz w:val="20"/>
              </w:rPr>
            </w:pPr>
            <w:r w:rsidRPr="002858D6">
              <w:rPr>
                <w:b/>
                <w:noProof/>
                <w:sz w:val="20"/>
              </w:rPr>
              <w:t xml:space="preserve"> 0,133</w:t>
            </w:r>
          </w:p>
        </w:tc>
      </w:tr>
    </w:tbl>
    <w:p w14:paraId="6FCF29A9" w14:textId="77777777" w:rsidR="004515FC" w:rsidRPr="002858D6" w:rsidRDefault="004515FC" w:rsidP="004515FC">
      <w:pPr>
        <w:jc w:val="right"/>
        <w:rPr>
          <w:noProof/>
          <w:sz w:val="20"/>
        </w:rPr>
      </w:pPr>
      <w:r w:rsidRPr="002858D6">
        <w:rPr>
          <w:noProof/>
          <w:sz w:val="20"/>
        </w:rPr>
        <w:t>Em milhões de EUR (três casas decimais)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1777"/>
      </w:tblGrid>
      <w:tr w:rsidR="00291B69" w:rsidRPr="002858D6" w14:paraId="0D09C20D" w14:textId="77777777">
        <w:tc>
          <w:tcPr>
            <w:tcW w:w="3960" w:type="dxa"/>
            <w:tcBorders>
              <w:top w:val="nil"/>
              <w:left w:val="nil"/>
              <w:right w:val="nil"/>
            </w:tcBorders>
            <w:vAlign w:val="center"/>
          </w:tcPr>
          <w:p w14:paraId="797E3645" w14:textId="77777777" w:rsidR="004515FC" w:rsidRPr="002858D6" w:rsidRDefault="004515FC" w:rsidP="0029161D">
            <w:pPr>
              <w:jc w:val="center"/>
              <w:rPr>
                <w:noProof/>
              </w:rPr>
            </w:pPr>
          </w:p>
        </w:tc>
        <w:tc>
          <w:tcPr>
            <w:tcW w:w="1560" w:type="dxa"/>
            <w:tcBorders>
              <w:top w:val="nil"/>
              <w:left w:val="nil"/>
              <w:right w:val="nil"/>
            </w:tcBorders>
          </w:tcPr>
          <w:p w14:paraId="79F4FB43" w14:textId="77777777" w:rsidR="004515FC" w:rsidRPr="002858D6" w:rsidRDefault="004515FC" w:rsidP="0029161D">
            <w:pPr>
              <w:rPr>
                <w:noProof/>
                <w:sz w:val="20"/>
              </w:rPr>
            </w:pPr>
          </w:p>
        </w:tc>
        <w:tc>
          <w:tcPr>
            <w:tcW w:w="534" w:type="dxa"/>
            <w:tcBorders>
              <w:top w:val="nil"/>
              <w:left w:val="nil"/>
            </w:tcBorders>
          </w:tcPr>
          <w:p w14:paraId="46581F78" w14:textId="77777777" w:rsidR="004515FC" w:rsidRPr="002858D6" w:rsidRDefault="004515FC" w:rsidP="0029161D">
            <w:pPr>
              <w:jc w:val="center"/>
              <w:rPr>
                <w:noProof/>
                <w:sz w:val="20"/>
              </w:rPr>
            </w:pPr>
          </w:p>
        </w:tc>
        <w:tc>
          <w:tcPr>
            <w:tcW w:w="868" w:type="dxa"/>
            <w:vAlign w:val="center"/>
          </w:tcPr>
          <w:p w14:paraId="3DBC0840" w14:textId="77777777" w:rsidR="004515FC" w:rsidRPr="002858D6" w:rsidRDefault="004515FC" w:rsidP="0029161D">
            <w:pPr>
              <w:jc w:val="center"/>
              <w:rPr>
                <w:b/>
                <w:noProof/>
                <w:sz w:val="20"/>
              </w:rPr>
            </w:pPr>
            <w:r w:rsidRPr="002858D6">
              <w:rPr>
                <w:b/>
                <w:noProof/>
                <w:sz w:val="20"/>
              </w:rPr>
              <w:t>2026</w:t>
            </w:r>
          </w:p>
        </w:tc>
        <w:tc>
          <w:tcPr>
            <w:tcW w:w="868" w:type="dxa"/>
            <w:vAlign w:val="center"/>
          </w:tcPr>
          <w:p w14:paraId="719547EE" w14:textId="77777777" w:rsidR="004515FC" w:rsidRPr="002858D6" w:rsidRDefault="004515FC" w:rsidP="0029161D">
            <w:pPr>
              <w:jc w:val="center"/>
              <w:rPr>
                <w:b/>
                <w:noProof/>
                <w:sz w:val="20"/>
              </w:rPr>
            </w:pPr>
            <w:r w:rsidRPr="002858D6">
              <w:rPr>
                <w:b/>
                <w:noProof/>
                <w:sz w:val="20"/>
              </w:rPr>
              <w:t>2027</w:t>
            </w:r>
          </w:p>
        </w:tc>
        <w:tc>
          <w:tcPr>
            <w:tcW w:w="1777" w:type="dxa"/>
            <w:vAlign w:val="center"/>
          </w:tcPr>
          <w:p w14:paraId="06F556A6" w14:textId="77777777" w:rsidR="004515FC" w:rsidRPr="002858D6" w:rsidRDefault="004515FC" w:rsidP="0029161D">
            <w:pPr>
              <w:jc w:val="center"/>
              <w:rPr>
                <w:b/>
                <w:noProof/>
                <w:sz w:val="20"/>
              </w:rPr>
            </w:pPr>
            <w:r w:rsidRPr="002858D6">
              <w:rPr>
                <w:b/>
                <w:noProof/>
                <w:sz w:val="20"/>
              </w:rPr>
              <w:t>TOTAL</w:t>
            </w:r>
          </w:p>
        </w:tc>
      </w:tr>
      <w:tr w:rsidR="00291B69" w:rsidRPr="002858D6" w14:paraId="521D6457" w14:textId="77777777">
        <w:tc>
          <w:tcPr>
            <w:tcW w:w="3960" w:type="dxa"/>
            <w:vMerge w:val="restart"/>
            <w:shd w:val="clear" w:color="auto" w:fill="C0C0C0"/>
            <w:vAlign w:val="center"/>
          </w:tcPr>
          <w:p w14:paraId="4A66127C" w14:textId="77777777" w:rsidR="00A17546" w:rsidRPr="002858D6" w:rsidRDefault="00A17546" w:rsidP="00A17546">
            <w:pPr>
              <w:jc w:val="center"/>
              <w:rPr>
                <w:b/>
                <w:noProof/>
              </w:rPr>
            </w:pPr>
            <w:r w:rsidRPr="002858D6">
              <w:rPr>
                <w:b/>
                <w:noProof/>
                <w:sz w:val="22"/>
              </w:rPr>
              <w:t>TOTAL das dotações</w:t>
            </w:r>
            <w:r w:rsidRPr="002858D6">
              <w:rPr>
                <w:noProof/>
              </w:rPr>
              <w:cr/>
            </w:r>
            <w:r w:rsidRPr="002858D6">
              <w:rPr>
                <w:noProof/>
              </w:rPr>
              <w:br/>
            </w:r>
            <w:r w:rsidRPr="002858D6">
              <w:rPr>
                <w:b/>
                <w:noProof/>
                <w:sz w:val="22"/>
              </w:rPr>
              <w:t>no âmbito das RUBRICAS 1 a 7</w:t>
            </w:r>
            <w:r w:rsidRPr="002858D6">
              <w:rPr>
                <w:noProof/>
              </w:rPr>
              <w:t xml:space="preserve"> </w:t>
            </w:r>
            <w:r w:rsidRPr="002858D6">
              <w:rPr>
                <w:noProof/>
              </w:rPr>
              <w:cr/>
            </w:r>
            <w:r w:rsidRPr="002858D6">
              <w:rPr>
                <w:noProof/>
              </w:rPr>
              <w:br/>
            </w:r>
            <w:r w:rsidRPr="002858D6">
              <w:rPr>
                <w:noProof/>
                <w:sz w:val="22"/>
              </w:rPr>
              <w:t>do quadro financeiro plurianual</w:t>
            </w:r>
            <w:r w:rsidRPr="002858D6">
              <w:rPr>
                <w:b/>
                <w:noProof/>
                <w:sz w:val="22"/>
              </w:rPr>
              <w:t xml:space="preserve"> </w:t>
            </w:r>
          </w:p>
        </w:tc>
        <w:tc>
          <w:tcPr>
            <w:tcW w:w="2094" w:type="dxa"/>
            <w:gridSpan w:val="2"/>
            <w:vAlign w:val="center"/>
          </w:tcPr>
          <w:p w14:paraId="48E00DDE" w14:textId="77777777" w:rsidR="00A17546" w:rsidRPr="002858D6" w:rsidRDefault="00A17546" w:rsidP="00A17546">
            <w:pPr>
              <w:rPr>
                <w:noProof/>
                <w:sz w:val="14"/>
              </w:rPr>
            </w:pPr>
            <w:r w:rsidRPr="002858D6">
              <w:rPr>
                <w:noProof/>
                <w:sz w:val="18"/>
              </w:rPr>
              <w:t>Autorizações</w:t>
            </w:r>
          </w:p>
        </w:tc>
        <w:tc>
          <w:tcPr>
            <w:tcW w:w="868" w:type="dxa"/>
            <w:vAlign w:val="center"/>
          </w:tcPr>
          <w:p w14:paraId="5680C9ED" w14:textId="78767FBC" w:rsidR="00A17546" w:rsidRPr="002858D6" w:rsidRDefault="00A17546" w:rsidP="00A17546">
            <w:pPr>
              <w:spacing w:before="60" w:after="60"/>
              <w:jc w:val="right"/>
              <w:rPr>
                <w:noProof/>
                <w:sz w:val="20"/>
              </w:rPr>
            </w:pPr>
            <w:r w:rsidRPr="002858D6">
              <w:rPr>
                <w:b/>
                <w:noProof/>
                <w:sz w:val="20"/>
              </w:rPr>
              <w:t>0,081</w:t>
            </w:r>
          </w:p>
        </w:tc>
        <w:tc>
          <w:tcPr>
            <w:tcW w:w="868" w:type="dxa"/>
            <w:vAlign w:val="center"/>
          </w:tcPr>
          <w:p w14:paraId="25CF5F7E" w14:textId="750F4A40" w:rsidR="00A17546" w:rsidRPr="002858D6" w:rsidRDefault="00A17546" w:rsidP="00A17546">
            <w:pPr>
              <w:spacing w:before="60" w:after="60"/>
              <w:jc w:val="right"/>
              <w:rPr>
                <w:noProof/>
                <w:sz w:val="20"/>
              </w:rPr>
            </w:pPr>
            <w:r w:rsidRPr="002858D6">
              <w:rPr>
                <w:b/>
                <w:noProof/>
                <w:sz w:val="20"/>
              </w:rPr>
              <w:t>0,052</w:t>
            </w:r>
          </w:p>
        </w:tc>
        <w:tc>
          <w:tcPr>
            <w:tcW w:w="1777" w:type="dxa"/>
            <w:vAlign w:val="center"/>
          </w:tcPr>
          <w:p w14:paraId="1F8F28D0" w14:textId="66A07C4C" w:rsidR="00A17546" w:rsidRPr="002858D6" w:rsidRDefault="00A17546" w:rsidP="00A17546">
            <w:pPr>
              <w:spacing w:before="60" w:after="60"/>
              <w:jc w:val="right"/>
              <w:rPr>
                <w:b/>
                <w:noProof/>
                <w:sz w:val="20"/>
              </w:rPr>
            </w:pPr>
            <w:r w:rsidRPr="002858D6">
              <w:rPr>
                <w:b/>
                <w:noProof/>
                <w:sz w:val="20"/>
              </w:rPr>
              <w:t xml:space="preserve"> 0,133</w:t>
            </w:r>
          </w:p>
        </w:tc>
      </w:tr>
      <w:tr w:rsidR="00291B69" w:rsidRPr="002858D6" w14:paraId="45B132A9" w14:textId="77777777">
        <w:tc>
          <w:tcPr>
            <w:tcW w:w="3960" w:type="dxa"/>
            <w:vMerge/>
            <w:shd w:val="clear" w:color="auto" w:fill="C0C0C0"/>
          </w:tcPr>
          <w:p w14:paraId="4C9F40F6" w14:textId="77777777" w:rsidR="00A17546" w:rsidRPr="002858D6" w:rsidRDefault="00A17546" w:rsidP="00A17546">
            <w:pPr>
              <w:rPr>
                <w:noProof/>
                <w:sz w:val="20"/>
              </w:rPr>
            </w:pPr>
          </w:p>
        </w:tc>
        <w:tc>
          <w:tcPr>
            <w:tcW w:w="2094" w:type="dxa"/>
            <w:gridSpan w:val="2"/>
            <w:vAlign w:val="center"/>
          </w:tcPr>
          <w:p w14:paraId="148BF1AA" w14:textId="77777777" w:rsidR="00A17546" w:rsidRPr="002858D6" w:rsidRDefault="00A17546" w:rsidP="00A17546">
            <w:pPr>
              <w:rPr>
                <w:noProof/>
                <w:sz w:val="14"/>
              </w:rPr>
            </w:pPr>
            <w:r w:rsidRPr="002858D6">
              <w:rPr>
                <w:noProof/>
                <w:sz w:val="18"/>
              </w:rPr>
              <w:t>Pagamentos</w:t>
            </w:r>
          </w:p>
        </w:tc>
        <w:tc>
          <w:tcPr>
            <w:tcW w:w="868" w:type="dxa"/>
            <w:vAlign w:val="center"/>
          </w:tcPr>
          <w:p w14:paraId="57C2C77F" w14:textId="35CD63F9" w:rsidR="00A17546" w:rsidRPr="002858D6" w:rsidRDefault="00A17546" w:rsidP="00A17546">
            <w:pPr>
              <w:spacing w:before="60" w:after="60"/>
              <w:jc w:val="right"/>
              <w:rPr>
                <w:noProof/>
                <w:sz w:val="20"/>
              </w:rPr>
            </w:pPr>
            <w:r w:rsidRPr="002858D6">
              <w:rPr>
                <w:b/>
                <w:noProof/>
                <w:sz w:val="20"/>
              </w:rPr>
              <w:t>0,081</w:t>
            </w:r>
          </w:p>
        </w:tc>
        <w:tc>
          <w:tcPr>
            <w:tcW w:w="868" w:type="dxa"/>
            <w:vAlign w:val="center"/>
          </w:tcPr>
          <w:p w14:paraId="666C2A93" w14:textId="238124AB" w:rsidR="00A17546" w:rsidRPr="002858D6" w:rsidRDefault="00A17546" w:rsidP="00A17546">
            <w:pPr>
              <w:spacing w:before="60" w:after="60"/>
              <w:jc w:val="right"/>
              <w:rPr>
                <w:noProof/>
                <w:sz w:val="20"/>
              </w:rPr>
            </w:pPr>
            <w:r w:rsidRPr="002858D6">
              <w:rPr>
                <w:b/>
                <w:noProof/>
                <w:sz w:val="20"/>
              </w:rPr>
              <w:t>0,052</w:t>
            </w:r>
          </w:p>
        </w:tc>
        <w:tc>
          <w:tcPr>
            <w:tcW w:w="1777" w:type="dxa"/>
            <w:vAlign w:val="center"/>
          </w:tcPr>
          <w:p w14:paraId="5EAA48A1" w14:textId="2C688C77" w:rsidR="00A17546" w:rsidRPr="002858D6" w:rsidRDefault="00A17546" w:rsidP="00A17546">
            <w:pPr>
              <w:spacing w:before="60" w:after="60"/>
              <w:jc w:val="right"/>
              <w:rPr>
                <w:b/>
                <w:noProof/>
                <w:sz w:val="20"/>
              </w:rPr>
            </w:pPr>
            <w:r w:rsidRPr="002858D6">
              <w:rPr>
                <w:b/>
                <w:noProof/>
                <w:sz w:val="20"/>
              </w:rPr>
              <w:t xml:space="preserve"> 0,133</w:t>
            </w:r>
          </w:p>
        </w:tc>
      </w:tr>
    </w:tbl>
    <w:p w14:paraId="39F165FF" w14:textId="77777777" w:rsidR="004515FC" w:rsidRPr="002858D6" w:rsidRDefault="004515FC" w:rsidP="004F12CE">
      <w:pPr>
        <w:spacing w:before="0" w:after="200" w:line="276" w:lineRule="auto"/>
        <w:jc w:val="left"/>
        <w:rPr>
          <w:noProof/>
        </w:rPr>
      </w:pPr>
      <w:bookmarkStart w:id="63" w:name="_Toc514938054"/>
      <w:bookmarkStart w:id="64" w:name="_Toc520485053"/>
      <w:r w:rsidRPr="002858D6">
        <w:rPr>
          <w:noProof/>
        </w:rPr>
        <w:t>3.2.2.</w:t>
      </w:r>
      <w:r w:rsidRPr="002858D6">
        <w:rPr>
          <w:noProof/>
        </w:rPr>
        <w:tab/>
        <w:t>Estimativa das realizações financiadas com dotações operacionais</w:t>
      </w:r>
      <w:bookmarkEnd w:id="63"/>
      <w:bookmarkEnd w:id="64"/>
      <w:r w:rsidRPr="002858D6">
        <w:rPr>
          <w:noProof/>
        </w:rPr>
        <w:t xml:space="preserve"> </w:t>
      </w:r>
    </w:p>
    <w:p w14:paraId="7CE2B0FD" w14:textId="77777777" w:rsidR="004515FC" w:rsidRPr="002858D6" w:rsidRDefault="004515FC" w:rsidP="004515FC">
      <w:pPr>
        <w:jc w:val="right"/>
        <w:rPr>
          <w:noProof/>
          <w:sz w:val="20"/>
        </w:rPr>
      </w:pPr>
      <w:r w:rsidRPr="002858D6">
        <w:rPr>
          <w:noProof/>
          <w:sz w:val="20"/>
        </w:rPr>
        <w:t>Dotações de autorização em milhões de EUR (três casas decimais)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4515FC" w:rsidRPr="002858D6" w14:paraId="558DDD51" w14:textId="77777777" w:rsidTr="0029161D">
        <w:trPr>
          <w:jc w:val="center"/>
        </w:trPr>
        <w:tc>
          <w:tcPr>
            <w:tcW w:w="1423" w:type="dxa"/>
            <w:vMerge w:val="restart"/>
            <w:vAlign w:val="center"/>
          </w:tcPr>
          <w:p w14:paraId="1FACD372" w14:textId="77777777" w:rsidR="004515FC" w:rsidRPr="002858D6" w:rsidRDefault="004515FC" w:rsidP="0029161D">
            <w:pPr>
              <w:ind w:right="-29"/>
              <w:jc w:val="center"/>
              <w:rPr>
                <w:b/>
                <w:noProof/>
                <w:sz w:val="18"/>
              </w:rPr>
            </w:pPr>
            <w:r w:rsidRPr="002858D6">
              <w:rPr>
                <w:b/>
                <w:noProof/>
                <w:sz w:val="18"/>
              </w:rPr>
              <w:t xml:space="preserve">Indicar os objetivos e as realizações </w:t>
            </w:r>
          </w:p>
          <w:p w14:paraId="443887DE" w14:textId="77777777" w:rsidR="004515FC" w:rsidRPr="002858D6" w:rsidRDefault="004515FC" w:rsidP="0029161D">
            <w:pPr>
              <w:ind w:right="-29"/>
              <w:jc w:val="center"/>
              <w:rPr>
                <w:b/>
                <w:noProof/>
                <w:sz w:val="18"/>
              </w:rPr>
            </w:pPr>
          </w:p>
          <w:p w14:paraId="47C1261E" w14:textId="77777777" w:rsidR="004515FC" w:rsidRPr="002858D6" w:rsidRDefault="004515FC" w:rsidP="0029161D">
            <w:pPr>
              <w:ind w:right="-29"/>
              <w:jc w:val="center"/>
              <w:rPr>
                <w:noProof/>
                <w:sz w:val="18"/>
              </w:rPr>
            </w:pPr>
            <w:r w:rsidRPr="002858D6">
              <w:rPr>
                <w:rFonts w:ascii="Wingdings" w:hAnsi="Wingdings"/>
                <w:noProof/>
                <w:sz w:val="18"/>
              </w:rPr>
              <w:t></w:t>
            </w:r>
          </w:p>
        </w:tc>
        <w:tc>
          <w:tcPr>
            <w:tcW w:w="720" w:type="dxa"/>
            <w:vAlign w:val="center"/>
          </w:tcPr>
          <w:p w14:paraId="57E017E7" w14:textId="77777777" w:rsidR="004515FC" w:rsidRPr="002858D6" w:rsidRDefault="004515FC" w:rsidP="0029161D">
            <w:pPr>
              <w:ind w:right="-29"/>
              <w:jc w:val="center"/>
              <w:rPr>
                <w:noProof/>
                <w:sz w:val="18"/>
              </w:rPr>
            </w:pPr>
          </w:p>
        </w:tc>
        <w:tc>
          <w:tcPr>
            <w:tcW w:w="701" w:type="dxa"/>
            <w:vAlign w:val="center"/>
          </w:tcPr>
          <w:p w14:paraId="4B01CBF0" w14:textId="77777777" w:rsidR="004515FC" w:rsidRPr="002858D6" w:rsidRDefault="004515FC" w:rsidP="0029161D">
            <w:pPr>
              <w:ind w:right="-29"/>
              <w:jc w:val="center"/>
              <w:rPr>
                <w:noProof/>
                <w:sz w:val="18"/>
              </w:rPr>
            </w:pPr>
          </w:p>
        </w:tc>
        <w:tc>
          <w:tcPr>
            <w:tcW w:w="1224" w:type="dxa"/>
            <w:gridSpan w:val="2"/>
            <w:tcBorders>
              <w:left w:val="nil"/>
            </w:tcBorders>
            <w:vAlign w:val="center"/>
          </w:tcPr>
          <w:p w14:paraId="1EF999EB" w14:textId="77777777" w:rsidR="004515FC" w:rsidRPr="002858D6" w:rsidRDefault="004515FC" w:rsidP="0029161D">
            <w:pPr>
              <w:ind w:right="-29"/>
              <w:jc w:val="center"/>
              <w:rPr>
                <w:noProof/>
                <w:sz w:val="18"/>
              </w:rPr>
            </w:pPr>
            <w:r w:rsidRPr="002858D6">
              <w:rPr>
                <w:noProof/>
                <w:sz w:val="18"/>
              </w:rPr>
              <w:t>Ano</w:t>
            </w:r>
            <w:r w:rsidRPr="002858D6">
              <w:rPr>
                <w:noProof/>
              </w:rPr>
              <w:t xml:space="preserve"> </w:t>
            </w:r>
            <w:r w:rsidRPr="002858D6">
              <w:rPr>
                <w:noProof/>
              </w:rPr>
              <w:cr/>
            </w:r>
            <w:r w:rsidRPr="002858D6">
              <w:rPr>
                <w:noProof/>
              </w:rPr>
              <w:br/>
            </w:r>
            <w:r w:rsidRPr="002858D6">
              <w:rPr>
                <w:b/>
                <w:noProof/>
                <w:sz w:val="18"/>
              </w:rPr>
              <w:t>N</w:t>
            </w:r>
          </w:p>
        </w:tc>
        <w:tc>
          <w:tcPr>
            <w:tcW w:w="1260" w:type="dxa"/>
            <w:gridSpan w:val="2"/>
            <w:vAlign w:val="center"/>
          </w:tcPr>
          <w:p w14:paraId="68929D24" w14:textId="77777777" w:rsidR="004515FC" w:rsidRPr="002858D6" w:rsidRDefault="004515FC" w:rsidP="0029161D">
            <w:pPr>
              <w:ind w:right="-29"/>
              <w:jc w:val="center"/>
              <w:rPr>
                <w:noProof/>
                <w:sz w:val="18"/>
              </w:rPr>
            </w:pPr>
            <w:r w:rsidRPr="002858D6">
              <w:rPr>
                <w:noProof/>
                <w:sz w:val="18"/>
              </w:rPr>
              <w:t>Ano</w:t>
            </w:r>
            <w:r w:rsidRPr="002858D6">
              <w:rPr>
                <w:noProof/>
              </w:rPr>
              <w:t xml:space="preserve"> </w:t>
            </w:r>
            <w:r w:rsidRPr="002858D6">
              <w:rPr>
                <w:noProof/>
              </w:rPr>
              <w:cr/>
            </w:r>
            <w:r w:rsidRPr="002858D6">
              <w:rPr>
                <w:noProof/>
              </w:rPr>
              <w:br/>
            </w:r>
            <w:r w:rsidRPr="002858D6">
              <w:rPr>
                <w:b/>
                <w:noProof/>
                <w:sz w:val="18"/>
              </w:rPr>
              <w:t>N+1</w:t>
            </w:r>
          </w:p>
        </w:tc>
        <w:tc>
          <w:tcPr>
            <w:tcW w:w="1440" w:type="dxa"/>
            <w:gridSpan w:val="2"/>
            <w:vAlign w:val="center"/>
          </w:tcPr>
          <w:p w14:paraId="5BA366F0" w14:textId="77777777" w:rsidR="004515FC" w:rsidRPr="002858D6" w:rsidRDefault="004515FC" w:rsidP="0029161D">
            <w:pPr>
              <w:ind w:right="-29"/>
              <w:jc w:val="center"/>
              <w:rPr>
                <w:noProof/>
                <w:sz w:val="18"/>
              </w:rPr>
            </w:pPr>
            <w:r w:rsidRPr="002858D6">
              <w:rPr>
                <w:noProof/>
                <w:sz w:val="18"/>
              </w:rPr>
              <w:t>Ano</w:t>
            </w:r>
            <w:r w:rsidRPr="002858D6">
              <w:rPr>
                <w:noProof/>
              </w:rPr>
              <w:t xml:space="preserve"> </w:t>
            </w:r>
            <w:r w:rsidRPr="002858D6">
              <w:rPr>
                <w:noProof/>
              </w:rPr>
              <w:cr/>
            </w:r>
            <w:r w:rsidRPr="002858D6">
              <w:rPr>
                <w:noProof/>
              </w:rPr>
              <w:br/>
            </w:r>
            <w:r w:rsidRPr="002858D6">
              <w:rPr>
                <w:b/>
                <w:noProof/>
                <w:sz w:val="18"/>
              </w:rPr>
              <w:t>N+2</w:t>
            </w:r>
          </w:p>
        </w:tc>
        <w:tc>
          <w:tcPr>
            <w:tcW w:w="1620" w:type="dxa"/>
            <w:gridSpan w:val="3"/>
            <w:vAlign w:val="center"/>
          </w:tcPr>
          <w:p w14:paraId="26B0DE81" w14:textId="77777777" w:rsidR="004515FC" w:rsidRPr="002858D6" w:rsidRDefault="004515FC" w:rsidP="0029161D">
            <w:pPr>
              <w:ind w:right="-29"/>
              <w:jc w:val="center"/>
              <w:rPr>
                <w:noProof/>
                <w:sz w:val="18"/>
              </w:rPr>
            </w:pPr>
            <w:r w:rsidRPr="002858D6">
              <w:rPr>
                <w:noProof/>
                <w:sz w:val="18"/>
              </w:rPr>
              <w:t>Ano</w:t>
            </w:r>
            <w:r w:rsidRPr="002858D6">
              <w:rPr>
                <w:noProof/>
              </w:rPr>
              <w:t xml:space="preserve"> </w:t>
            </w:r>
            <w:r w:rsidRPr="002858D6">
              <w:rPr>
                <w:noProof/>
              </w:rPr>
              <w:cr/>
            </w:r>
            <w:r w:rsidRPr="002858D6">
              <w:rPr>
                <w:noProof/>
              </w:rPr>
              <w:br/>
            </w:r>
            <w:r w:rsidRPr="002858D6">
              <w:rPr>
                <w:b/>
                <w:noProof/>
                <w:sz w:val="18"/>
              </w:rPr>
              <w:t>N+3</w:t>
            </w:r>
          </w:p>
        </w:tc>
        <w:tc>
          <w:tcPr>
            <w:tcW w:w="3600" w:type="dxa"/>
            <w:gridSpan w:val="6"/>
            <w:vAlign w:val="center"/>
          </w:tcPr>
          <w:p w14:paraId="6A54C21E" w14:textId="77777777" w:rsidR="004515FC" w:rsidRPr="002858D6" w:rsidRDefault="004515FC" w:rsidP="0029161D">
            <w:pPr>
              <w:jc w:val="center"/>
              <w:rPr>
                <w:noProof/>
                <w:sz w:val="18"/>
              </w:rPr>
            </w:pPr>
            <w:r w:rsidRPr="002858D6">
              <w:rPr>
                <w:noProof/>
                <w:sz w:val="18"/>
              </w:rPr>
              <w:t>Inserir os anos necessários para refletir a duração do impacto (ver ponto 1.6)</w:t>
            </w:r>
          </w:p>
        </w:tc>
        <w:tc>
          <w:tcPr>
            <w:tcW w:w="1620" w:type="dxa"/>
            <w:gridSpan w:val="2"/>
            <w:tcBorders>
              <w:left w:val="nil"/>
              <w:bottom w:val="nil"/>
            </w:tcBorders>
            <w:vAlign w:val="center"/>
          </w:tcPr>
          <w:p w14:paraId="50A7EF22" w14:textId="77777777" w:rsidR="004515FC" w:rsidRPr="002858D6" w:rsidRDefault="004515FC" w:rsidP="0029161D">
            <w:pPr>
              <w:ind w:right="-29"/>
              <w:jc w:val="center"/>
              <w:rPr>
                <w:noProof/>
                <w:sz w:val="18"/>
              </w:rPr>
            </w:pPr>
            <w:r w:rsidRPr="002858D6">
              <w:rPr>
                <w:b/>
                <w:noProof/>
                <w:sz w:val="18"/>
              </w:rPr>
              <w:t>TOTAL</w:t>
            </w:r>
          </w:p>
        </w:tc>
      </w:tr>
      <w:tr w:rsidR="004515FC" w:rsidRPr="002858D6" w14:paraId="3D603ED9" w14:textId="77777777" w:rsidTr="0029161D">
        <w:trPr>
          <w:jc w:val="center"/>
        </w:trPr>
        <w:tc>
          <w:tcPr>
            <w:tcW w:w="1423" w:type="dxa"/>
            <w:vMerge/>
            <w:vAlign w:val="center"/>
          </w:tcPr>
          <w:p w14:paraId="3E7050D5" w14:textId="77777777" w:rsidR="004515FC" w:rsidRPr="002858D6" w:rsidRDefault="004515FC" w:rsidP="0029161D">
            <w:pPr>
              <w:ind w:right="-29"/>
              <w:jc w:val="center"/>
              <w:rPr>
                <w:noProof/>
                <w:sz w:val="18"/>
              </w:rPr>
            </w:pPr>
          </w:p>
        </w:tc>
        <w:tc>
          <w:tcPr>
            <w:tcW w:w="12185" w:type="dxa"/>
            <w:gridSpan w:val="19"/>
            <w:vAlign w:val="center"/>
          </w:tcPr>
          <w:p w14:paraId="75D9BE23" w14:textId="77777777" w:rsidR="004515FC" w:rsidRPr="002858D6" w:rsidRDefault="004515FC" w:rsidP="0029161D">
            <w:pPr>
              <w:spacing w:before="60" w:after="60"/>
              <w:ind w:right="-29"/>
              <w:jc w:val="center"/>
              <w:rPr>
                <w:noProof/>
                <w:sz w:val="18"/>
              </w:rPr>
            </w:pPr>
            <w:r w:rsidRPr="002858D6">
              <w:rPr>
                <w:b/>
                <w:noProof/>
                <w:sz w:val="18"/>
              </w:rPr>
              <w:t>REALIZAÇÕES</w:t>
            </w:r>
          </w:p>
        </w:tc>
      </w:tr>
      <w:tr w:rsidR="004515FC" w:rsidRPr="002858D6" w14:paraId="2BDAB273" w14:textId="77777777" w:rsidTr="0029161D">
        <w:trPr>
          <w:cantSplit/>
          <w:trHeight w:val="1134"/>
          <w:jc w:val="center"/>
        </w:trPr>
        <w:tc>
          <w:tcPr>
            <w:tcW w:w="1423" w:type="dxa"/>
            <w:vMerge/>
            <w:vAlign w:val="center"/>
          </w:tcPr>
          <w:p w14:paraId="3057E7AB" w14:textId="77777777" w:rsidR="004515FC" w:rsidRPr="002858D6" w:rsidRDefault="004515FC" w:rsidP="0029161D">
            <w:pPr>
              <w:rPr>
                <w:noProof/>
                <w:sz w:val="18"/>
              </w:rPr>
            </w:pPr>
          </w:p>
        </w:tc>
        <w:tc>
          <w:tcPr>
            <w:tcW w:w="720" w:type="dxa"/>
            <w:vAlign w:val="center"/>
          </w:tcPr>
          <w:p w14:paraId="375F66FC" w14:textId="77777777" w:rsidR="004515FC" w:rsidRPr="002858D6" w:rsidRDefault="004515FC" w:rsidP="0029161D">
            <w:pPr>
              <w:jc w:val="center"/>
              <w:rPr>
                <w:noProof/>
                <w:sz w:val="18"/>
              </w:rPr>
            </w:pPr>
            <w:r w:rsidRPr="002858D6">
              <w:rPr>
                <w:noProof/>
                <w:sz w:val="18"/>
              </w:rPr>
              <w:t>Tipo</w:t>
            </w:r>
            <w:r w:rsidRPr="002858D6">
              <w:rPr>
                <w:rStyle w:val="FootnoteReference0"/>
                <w:noProof/>
                <w:sz w:val="18"/>
              </w:rPr>
              <w:footnoteReference w:id="48"/>
            </w:r>
          </w:p>
          <w:p w14:paraId="61FE9F8C" w14:textId="77777777" w:rsidR="004515FC" w:rsidRPr="002858D6" w:rsidRDefault="004515FC" w:rsidP="0029161D">
            <w:pPr>
              <w:spacing w:before="0" w:after="0"/>
              <w:jc w:val="center"/>
              <w:rPr>
                <w:noProof/>
                <w:sz w:val="18"/>
              </w:rPr>
            </w:pPr>
          </w:p>
        </w:tc>
        <w:tc>
          <w:tcPr>
            <w:tcW w:w="701" w:type="dxa"/>
            <w:vAlign w:val="center"/>
          </w:tcPr>
          <w:p w14:paraId="003B9B13" w14:textId="77777777" w:rsidR="004515FC" w:rsidRPr="002858D6" w:rsidRDefault="004515FC" w:rsidP="0029161D">
            <w:pPr>
              <w:jc w:val="center"/>
              <w:rPr>
                <w:noProof/>
                <w:sz w:val="18"/>
              </w:rPr>
            </w:pPr>
            <w:r w:rsidRPr="002858D6">
              <w:rPr>
                <w:noProof/>
                <w:sz w:val="18"/>
              </w:rPr>
              <w:t>Custo médio</w:t>
            </w:r>
          </w:p>
        </w:tc>
        <w:tc>
          <w:tcPr>
            <w:tcW w:w="504" w:type="dxa"/>
            <w:tcBorders>
              <w:left w:val="nil"/>
              <w:right w:val="dashSmallGap" w:sz="4" w:space="0" w:color="auto"/>
            </w:tcBorders>
            <w:shd w:val="pct10" w:color="auto" w:fill="auto"/>
            <w:textDirection w:val="btLr"/>
            <w:vAlign w:val="center"/>
          </w:tcPr>
          <w:p w14:paraId="09B8D9E2" w14:textId="77777777" w:rsidR="004515FC" w:rsidRPr="002858D6" w:rsidRDefault="004515FC" w:rsidP="0029161D">
            <w:pPr>
              <w:ind w:left="113" w:right="113"/>
              <w:jc w:val="center"/>
              <w:rPr>
                <w:noProof/>
                <w:sz w:val="18"/>
              </w:rPr>
            </w:pPr>
            <w:r w:rsidRPr="002858D6">
              <w:rPr>
                <w:noProof/>
                <w:sz w:val="18"/>
              </w:rPr>
              <w:t>N.º</w:t>
            </w:r>
          </w:p>
        </w:tc>
        <w:tc>
          <w:tcPr>
            <w:tcW w:w="720" w:type="dxa"/>
            <w:tcBorders>
              <w:left w:val="dashSmallGap" w:sz="4" w:space="0" w:color="auto"/>
            </w:tcBorders>
            <w:shd w:val="pct10" w:color="auto" w:fill="auto"/>
            <w:vAlign w:val="center"/>
          </w:tcPr>
          <w:p w14:paraId="138B6C80" w14:textId="77777777" w:rsidR="004515FC" w:rsidRPr="002858D6" w:rsidRDefault="004515FC" w:rsidP="0029161D">
            <w:pPr>
              <w:jc w:val="center"/>
              <w:rPr>
                <w:noProof/>
                <w:sz w:val="18"/>
              </w:rPr>
            </w:pPr>
            <w:r w:rsidRPr="002858D6">
              <w:rPr>
                <w:noProof/>
                <w:sz w:val="18"/>
              </w:rPr>
              <w:t>Custo</w:t>
            </w:r>
          </w:p>
        </w:tc>
        <w:tc>
          <w:tcPr>
            <w:tcW w:w="540" w:type="dxa"/>
            <w:tcBorders>
              <w:right w:val="dashSmallGap" w:sz="4" w:space="0" w:color="auto"/>
            </w:tcBorders>
            <w:shd w:val="pct10" w:color="auto" w:fill="auto"/>
            <w:textDirection w:val="btLr"/>
            <w:vAlign w:val="center"/>
          </w:tcPr>
          <w:p w14:paraId="66CE3198" w14:textId="77777777" w:rsidR="004515FC" w:rsidRPr="002858D6" w:rsidRDefault="004515FC" w:rsidP="0029161D">
            <w:pPr>
              <w:ind w:left="113" w:right="113"/>
              <w:jc w:val="center"/>
              <w:rPr>
                <w:noProof/>
                <w:sz w:val="18"/>
              </w:rPr>
            </w:pPr>
            <w:r w:rsidRPr="002858D6">
              <w:rPr>
                <w:noProof/>
                <w:sz w:val="18"/>
              </w:rPr>
              <w:t>N.º</w:t>
            </w:r>
          </w:p>
        </w:tc>
        <w:tc>
          <w:tcPr>
            <w:tcW w:w="720" w:type="dxa"/>
            <w:tcBorders>
              <w:left w:val="dashSmallGap" w:sz="4" w:space="0" w:color="auto"/>
            </w:tcBorders>
            <w:shd w:val="pct10" w:color="auto" w:fill="auto"/>
            <w:vAlign w:val="center"/>
          </w:tcPr>
          <w:p w14:paraId="0F5193A3" w14:textId="77777777" w:rsidR="004515FC" w:rsidRPr="002858D6" w:rsidRDefault="004515FC" w:rsidP="0029161D">
            <w:pPr>
              <w:jc w:val="center"/>
              <w:rPr>
                <w:noProof/>
                <w:sz w:val="18"/>
              </w:rPr>
            </w:pPr>
            <w:r w:rsidRPr="002858D6">
              <w:rPr>
                <w:noProof/>
                <w:sz w:val="18"/>
              </w:rPr>
              <w:t>Custo</w:t>
            </w:r>
          </w:p>
        </w:tc>
        <w:tc>
          <w:tcPr>
            <w:tcW w:w="720" w:type="dxa"/>
            <w:tcBorders>
              <w:right w:val="dashSmallGap" w:sz="4" w:space="0" w:color="auto"/>
            </w:tcBorders>
            <w:shd w:val="pct10" w:color="auto" w:fill="auto"/>
            <w:textDirection w:val="btLr"/>
            <w:vAlign w:val="center"/>
          </w:tcPr>
          <w:p w14:paraId="4799964D" w14:textId="77777777" w:rsidR="004515FC" w:rsidRPr="002858D6" w:rsidRDefault="004515FC" w:rsidP="0029161D">
            <w:pPr>
              <w:ind w:left="113" w:right="113"/>
              <w:jc w:val="center"/>
              <w:rPr>
                <w:noProof/>
                <w:sz w:val="18"/>
              </w:rPr>
            </w:pPr>
            <w:r w:rsidRPr="002858D6">
              <w:rPr>
                <w:noProof/>
                <w:sz w:val="18"/>
              </w:rPr>
              <w:t>N.º</w:t>
            </w:r>
          </w:p>
        </w:tc>
        <w:tc>
          <w:tcPr>
            <w:tcW w:w="720" w:type="dxa"/>
            <w:tcBorders>
              <w:left w:val="dashSmallGap" w:sz="4" w:space="0" w:color="auto"/>
            </w:tcBorders>
            <w:shd w:val="pct10" w:color="auto" w:fill="auto"/>
            <w:vAlign w:val="center"/>
          </w:tcPr>
          <w:p w14:paraId="6A27E9C0" w14:textId="77777777" w:rsidR="004515FC" w:rsidRPr="002858D6" w:rsidRDefault="004515FC" w:rsidP="0029161D">
            <w:pPr>
              <w:jc w:val="center"/>
              <w:rPr>
                <w:noProof/>
                <w:sz w:val="18"/>
              </w:rPr>
            </w:pPr>
            <w:r w:rsidRPr="002858D6">
              <w:rPr>
                <w:noProof/>
                <w:sz w:val="18"/>
              </w:rPr>
              <w:t>Custo</w:t>
            </w:r>
          </w:p>
        </w:tc>
        <w:tc>
          <w:tcPr>
            <w:tcW w:w="900" w:type="dxa"/>
            <w:tcBorders>
              <w:right w:val="dashSmallGap" w:sz="4" w:space="0" w:color="auto"/>
            </w:tcBorders>
            <w:shd w:val="pct10" w:color="auto" w:fill="auto"/>
            <w:textDirection w:val="btLr"/>
            <w:vAlign w:val="center"/>
          </w:tcPr>
          <w:p w14:paraId="183F6C87" w14:textId="77777777" w:rsidR="004515FC" w:rsidRPr="002858D6" w:rsidRDefault="004515FC" w:rsidP="0029161D">
            <w:pPr>
              <w:ind w:left="113" w:right="113"/>
              <w:jc w:val="center"/>
              <w:rPr>
                <w:noProof/>
                <w:sz w:val="18"/>
              </w:rPr>
            </w:pPr>
            <w:r w:rsidRPr="002858D6">
              <w:rPr>
                <w:noProof/>
                <w:sz w:val="18"/>
              </w:rPr>
              <w:t>N.º</w:t>
            </w:r>
          </w:p>
        </w:tc>
        <w:tc>
          <w:tcPr>
            <w:tcW w:w="720" w:type="dxa"/>
            <w:gridSpan w:val="2"/>
            <w:tcBorders>
              <w:left w:val="dashSmallGap" w:sz="4" w:space="0" w:color="auto"/>
            </w:tcBorders>
            <w:shd w:val="pct10" w:color="auto" w:fill="auto"/>
            <w:vAlign w:val="center"/>
          </w:tcPr>
          <w:p w14:paraId="54334199" w14:textId="77777777" w:rsidR="004515FC" w:rsidRPr="002858D6" w:rsidRDefault="004515FC" w:rsidP="0029161D">
            <w:pPr>
              <w:jc w:val="center"/>
              <w:rPr>
                <w:noProof/>
                <w:sz w:val="18"/>
              </w:rPr>
            </w:pPr>
            <w:r w:rsidRPr="002858D6">
              <w:rPr>
                <w:noProof/>
                <w:sz w:val="18"/>
              </w:rPr>
              <w:t>Custo</w:t>
            </w:r>
          </w:p>
        </w:tc>
        <w:tc>
          <w:tcPr>
            <w:tcW w:w="540" w:type="dxa"/>
            <w:tcBorders>
              <w:right w:val="dashSmallGap" w:sz="4" w:space="0" w:color="auto"/>
            </w:tcBorders>
            <w:shd w:val="pct10" w:color="auto" w:fill="auto"/>
            <w:textDirection w:val="btLr"/>
            <w:vAlign w:val="center"/>
          </w:tcPr>
          <w:p w14:paraId="4D685A28" w14:textId="77777777" w:rsidR="004515FC" w:rsidRPr="002858D6" w:rsidRDefault="004515FC" w:rsidP="0029161D">
            <w:pPr>
              <w:ind w:left="113" w:right="113"/>
              <w:jc w:val="center"/>
              <w:rPr>
                <w:noProof/>
                <w:sz w:val="18"/>
              </w:rPr>
            </w:pPr>
            <w:r w:rsidRPr="002858D6">
              <w:rPr>
                <w:noProof/>
                <w:sz w:val="18"/>
              </w:rPr>
              <w:t>N.º</w:t>
            </w:r>
          </w:p>
        </w:tc>
        <w:tc>
          <w:tcPr>
            <w:tcW w:w="648" w:type="dxa"/>
            <w:tcBorders>
              <w:left w:val="dashSmallGap" w:sz="4" w:space="0" w:color="auto"/>
            </w:tcBorders>
            <w:shd w:val="pct10" w:color="auto" w:fill="auto"/>
            <w:vAlign w:val="center"/>
          </w:tcPr>
          <w:p w14:paraId="375786A0" w14:textId="77777777" w:rsidR="004515FC" w:rsidRPr="002858D6" w:rsidRDefault="004515FC" w:rsidP="0029161D">
            <w:pPr>
              <w:jc w:val="center"/>
              <w:rPr>
                <w:noProof/>
                <w:sz w:val="18"/>
              </w:rPr>
            </w:pPr>
            <w:r w:rsidRPr="002858D6">
              <w:rPr>
                <w:noProof/>
                <w:sz w:val="18"/>
              </w:rPr>
              <w:t>Custo</w:t>
            </w:r>
          </w:p>
        </w:tc>
        <w:tc>
          <w:tcPr>
            <w:tcW w:w="432" w:type="dxa"/>
            <w:tcBorders>
              <w:right w:val="dashSmallGap" w:sz="4" w:space="0" w:color="auto"/>
            </w:tcBorders>
            <w:shd w:val="pct10" w:color="auto" w:fill="auto"/>
            <w:textDirection w:val="btLr"/>
            <w:vAlign w:val="center"/>
          </w:tcPr>
          <w:p w14:paraId="33D476A7" w14:textId="77777777" w:rsidR="004515FC" w:rsidRPr="002858D6" w:rsidRDefault="004515FC" w:rsidP="0029161D">
            <w:pPr>
              <w:ind w:left="113" w:right="113"/>
              <w:jc w:val="center"/>
              <w:rPr>
                <w:noProof/>
                <w:sz w:val="18"/>
              </w:rPr>
            </w:pPr>
            <w:r w:rsidRPr="002858D6">
              <w:rPr>
                <w:noProof/>
                <w:sz w:val="18"/>
              </w:rPr>
              <w:t>N.º</w:t>
            </w:r>
          </w:p>
        </w:tc>
        <w:tc>
          <w:tcPr>
            <w:tcW w:w="720" w:type="dxa"/>
            <w:tcBorders>
              <w:left w:val="dashSmallGap" w:sz="4" w:space="0" w:color="auto"/>
            </w:tcBorders>
            <w:shd w:val="pct10" w:color="auto" w:fill="auto"/>
            <w:vAlign w:val="center"/>
          </w:tcPr>
          <w:p w14:paraId="78D8A5ED" w14:textId="77777777" w:rsidR="004515FC" w:rsidRPr="002858D6" w:rsidRDefault="004515FC" w:rsidP="0029161D">
            <w:pPr>
              <w:jc w:val="center"/>
              <w:rPr>
                <w:noProof/>
                <w:sz w:val="18"/>
              </w:rPr>
            </w:pPr>
            <w:r w:rsidRPr="002858D6">
              <w:rPr>
                <w:noProof/>
                <w:sz w:val="18"/>
              </w:rPr>
              <w:t>Custo</w:t>
            </w:r>
          </w:p>
        </w:tc>
        <w:tc>
          <w:tcPr>
            <w:tcW w:w="540" w:type="dxa"/>
            <w:tcBorders>
              <w:right w:val="dashSmallGap" w:sz="4" w:space="0" w:color="auto"/>
            </w:tcBorders>
            <w:shd w:val="pct10" w:color="auto" w:fill="auto"/>
            <w:textDirection w:val="btLr"/>
            <w:vAlign w:val="center"/>
          </w:tcPr>
          <w:p w14:paraId="2A627D52" w14:textId="77777777" w:rsidR="004515FC" w:rsidRPr="002858D6" w:rsidRDefault="004515FC" w:rsidP="0029161D">
            <w:pPr>
              <w:ind w:left="113" w:right="113"/>
              <w:jc w:val="center"/>
              <w:rPr>
                <w:noProof/>
                <w:sz w:val="18"/>
              </w:rPr>
            </w:pPr>
            <w:r w:rsidRPr="002858D6">
              <w:rPr>
                <w:noProof/>
                <w:sz w:val="18"/>
              </w:rPr>
              <w:t>N.º</w:t>
            </w:r>
          </w:p>
        </w:tc>
        <w:tc>
          <w:tcPr>
            <w:tcW w:w="720" w:type="dxa"/>
            <w:tcBorders>
              <w:left w:val="dashSmallGap" w:sz="4" w:space="0" w:color="auto"/>
            </w:tcBorders>
            <w:shd w:val="pct10" w:color="auto" w:fill="auto"/>
            <w:vAlign w:val="center"/>
          </w:tcPr>
          <w:p w14:paraId="1F6E6EF5" w14:textId="77777777" w:rsidR="004515FC" w:rsidRPr="002858D6" w:rsidRDefault="004515FC" w:rsidP="0029161D">
            <w:pPr>
              <w:jc w:val="center"/>
              <w:rPr>
                <w:noProof/>
                <w:sz w:val="18"/>
              </w:rPr>
            </w:pPr>
            <w:r w:rsidRPr="002858D6">
              <w:rPr>
                <w:noProof/>
                <w:sz w:val="18"/>
              </w:rPr>
              <w:t>Custo</w:t>
            </w:r>
          </w:p>
        </w:tc>
        <w:tc>
          <w:tcPr>
            <w:tcW w:w="720" w:type="dxa"/>
            <w:tcBorders>
              <w:right w:val="dashSmallGap" w:sz="4" w:space="0" w:color="auto"/>
            </w:tcBorders>
            <w:shd w:val="pct10" w:color="auto" w:fill="auto"/>
            <w:vAlign w:val="center"/>
          </w:tcPr>
          <w:p w14:paraId="6AA3815F" w14:textId="77777777" w:rsidR="004515FC" w:rsidRPr="002858D6" w:rsidRDefault="004515FC" w:rsidP="0029161D">
            <w:pPr>
              <w:jc w:val="center"/>
              <w:rPr>
                <w:noProof/>
                <w:sz w:val="18"/>
              </w:rPr>
            </w:pPr>
            <w:r w:rsidRPr="002858D6">
              <w:rPr>
                <w:noProof/>
                <w:sz w:val="18"/>
              </w:rPr>
              <w:t>N.º total</w:t>
            </w:r>
          </w:p>
        </w:tc>
        <w:tc>
          <w:tcPr>
            <w:tcW w:w="900" w:type="dxa"/>
            <w:tcBorders>
              <w:left w:val="dashSmallGap" w:sz="4" w:space="0" w:color="auto"/>
            </w:tcBorders>
            <w:shd w:val="pct10" w:color="auto" w:fill="auto"/>
            <w:vAlign w:val="center"/>
          </w:tcPr>
          <w:p w14:paraId="1DA70795" w14:textId="77777777" w:rsidR="004515FC" w:rsidRPr="002858D6" w:rsidRDefault="004515FC" w:rsidP="0029161D">
            <w:pPr>
              <w:jc w:val="center"/>
              <w:rPr>
                <w:noProof/>
                <w:sz w:val="18"/>
              </w:rPr>
            </w:pPr>
            <w:r w:rsidRPr="002858D6">
              <w:rPr>
                <w:noProof/>
                <w:sz w:val="18"/>
              </w:rPr>
              <w:t>Custo total</w:t>
            </w:r>
          </w:p>
        </w:tc>
      </w:tr>
      <w:tr w:rsidR="004515FC" w:rsidRPr="002858D6" w14:paraId="5EE1FCDB" w14:textId="77777777" w:rsidTr="0029161D">
        <w:trPr>
          <w:jc w:val="center"/>
        </w:trPr>
        <w:tc>
          <w:tcPr>
            <w:tcW w:w="2844" w:type="dxa"/>
            <w:gridSpan w:val="3"/>
            <w:vAlign w:val="center"/>
          </w:tcPr>
          <w:p w14:paraId="7FFCBF03" w14:textId="77777777" w:rsidR="004515FC" w:rsidRPr="002858D6" w:rsidRDefault="004515FC" w:rsidP="0029161D">
            <w:pPr>
              <w:spacing w:before="60" w:after="60"/>
              <w:ind w:right="-29"/>
              <w:jc w:val="center"/>
              <w:rPr>
                <w:noProof/>
                <w:sz w:val="18"/>
              </w:rPr>
            </w:pPr>
            <w:r w:rsidRPr="002858D6">
              <w:rPr>
                <w:noProof/>
                <w:sz w:val="18"/>
              </w:rPr>
              <w:t>OBJETIVO ESPECÍFICO N.º 1</w:t>
            </w:r>
            <w:r w:rsidRPr="002858D6">
              <w:rPr>
                <w:rStyle w:val="FootnoteReference0"/>
                <w:noProof/>
                <w:sz w:val="18"/>
              </w:rPr>
              <w:footnoteReference w:id="49"/>
            </w:r>
            <w:r w:rsidRPr="002858D6">
              <w:rPr>
                <w:noProof/>
                <w:sz w:val="18"/>
              </w:rPr>
              <w:t>...</w:t>
            </w:r>
          </w:p>
        </w:tc>
        <w:tc>
          <w:tcPr>
            <w:tcW w:w="504" w:type="dxa"/>
            <w:tcBorders>
              <w:top w:val="nil"/>
              <w:left w:val="nil"/>
              <w:bottom w:val="nil"/>
              <w:right w:val="nil"/>
            </w:tcBorders>
          </w:tcPr>
          <w:p w14:paraId="1E38E31B" w14:textId="77777777" w:rsidR="004515FC" w:rsidRPr="002858D6" w:rsidRDefault="004515FC" w:rsidP="0029161D">
            <w:pPr>
              <w:spacing w:before="60" w:after="60"/>
              <w:ind w:right="-29"/>
              <w:jc w:val="center"/>
              <w:rPr>
                <w:noProof/>
                <w:sz w:val="18"/>
              </w:rPr>
            </w:pPr>
          </w:p>
        </w:tc>
        <w:tc>
          <w:tcPr>
            <w:tcW w:w="720" w:type="dxa"/>
            <w:tcBorders>
              <w:top w:val="nil"/>
              <w:left w:val="nil"/>
              <w:bottom w:val="nil"/>
              <w:right w:val="nil"/>
            </w:tcBorders>
          </w:tcPr>
          <w:p w14:paraId="076D56F5" w14:textId="77777777" w:rsidR="004515FC" w:rsidRPr="002858D6" w:rsidRDefault="004515FC" w:rsidP="0029161D">
            <w:pPr>
              <w:spacing w:before="60" w:after="60"/>
              <w:ind w:right="-29"/>
              <w:jc w:val="center"/>
              <w:rPr>
                <w:noProof/>
                <w:sz w:val="18"/>
              </w:rPr>
            </w:pPr>
          </w:p>
        </w:tc>
        <w:tc>
          <w:tcPr>
            <w:tcW w:w="540" w:type="dxa"/>
            <w:tcBorders>
              <w:top w:val="nil"/>
              <w:left w:val="nil"/>
              <w:bottom w:val="nil"/>
              <w:right w:val="nil"/>
            </w:tcBorders>
          </w:tcPr>
          <w:p w14:paraId="08ADA7CF" w14:textId="77777777" w:rsidR="004515FC" w:rsidRPr="002858D6" w:rsidRDefault="004515FC" w:rsidP="0029161D">
            <w:pPr>
              <w:spacing w:before="60" w:after="60"/>
              <w:ind w:right="-29"/>
              <w:jc w:val="center"/>
              <w:rPr>
                <w:noProof/>
                <w:sz w:val="18"/>
              </w:rPr>
            </w:pPr>
          </w:p>
        </w:tc>
        <w:tc>
          <w:tcPr>
            <w:tcW w:w="720" w:type="dxa"/>
            <w:tcBorders>
              <w:top w:val="nil"/>
              <w:left w:val="nil"/>
              <w:bottom w:val="nil"/>
              <w:right w:val="nil"/>
            </w:tcBorders>
          </w:tcPr>
          <w:p w14:paraId="090B6986" w14:textId="77777777" w:rsidR="004515FC" w:rsidRPr="002858D6" w:rsidRDefault="004515FC" w:rsidP="0029161D">
            <w:pPr>
              <w:spacing w:before="60" w:after="60"/>
              <w:ind w:right="-29"/>
              <w:jc w:val="center"/>
              <w:rPr>
                <w:noProof/>
                <w:sz w:val="18"/>
              </w:rPr>
            </w:pPr>
          </w:p>
        </w:tc>
        <w:tc>
          <w:tcPr>
            <w:tcW w:w="720" w:type="dxa"/>
            <w:tcBorders>
              <w:top w:val="nil"/>
              <w:left w:val="nil"/>
              <w:bottom w:val="nil"/>
              <w:right w:val="nil"/>
            </w:tcBorders>
          </w:tcPr>
          <w:p w14:paraId="15DBEB6F" w14:textId="77777777" w:rsidR="004515FC" w:rsidRPr="002858D6" w:rsidRDefault="004515FC" w:rsidP="0029161D">
            <w:pPr>
              <w:spacing w:before="60" w:after="60"/>
              <w:ind w:right="-29"/>
              <w:jc w:val="center"/>
              <w:rPr>
                <w:noProof/>
                <w:sz w:val="18"/>
              </w:rPr>
            </w:pPr>
          </w:p>
        </w:tc>
        <w:tc>
          <w:tcPr>
            <w:tcW w:w="720" w:type="dxa"/>
            <w:tcBorders>
              <w:top w:val="nil"/>
              <w:left w:val="nil"/>
              <w:bottom w:val="nil"/>
              <w:right w:val="nil"/>
            </w:tcBorders>
          </w:tcPr>
          <w:p w14:paraId="30E3CC2E" w14:textId="77777777" w:rsidR="004515FC" w:rsidRPr="002858D6" w:rsidRDefault="004515FC" w:rsidP="0029161D">
            <w:pPr>
              <w:spacing w:before="60" w:after="60"/>
              <w:ind w:right="-29"/>
              <w:jc w:val="center"/>
              <w:rPr>
                <w:noProof/>
                <w:sz w:val="18"/>
              </w:rPr>
            </w:pPr>
          </w:p>
        </w:tc>
        <w:tc>
          <w:tcPr>
            <w:tcW w:w="900" w:type="dxa"/>
            <w:tcBorders>
              <w:top w:val="nil"/>
              <w:left w:val="nil"/>
              <w:bottom w:val="nil"/>
              <w:right w:val="nil"/>
            </w:tcBorders>
          </w:tcPr>
          <w:p w14:paraId="2E1CC5CC" w14:textId="77777777" w:rsidR="004515FC" w:rsidRPr="002858D6" w:rsidRDefault="004515FC" w:rsidP="0029161D">
            <w:pPr>
              <w:spacing w:before="60" w:after="60"/>
              <w:ind w:right="-29"/>
              <w:jc w:val="center"/>
              <w:rPr>
                <w:noProof/>
                <w:sz w:val="18"/>
              </w:rPr>
            </w:pPr>
          </w:p>
        </w:tc>
        <w:tc>
          <w:tcPr>
            <w:tcW w:w="720" w:type="dxa"/>
            <w:gridSpan w:val="2"/>
            <w:tcBorders>
              <w:top w:val="nil"/>
              <w:left w:val="nil"/>
              <w:bottom w:val="nil"/>
              <w:right w:val="nil"/>
            </w:tcBorders>
          </w:tcPr>
          <w:p w14:paraId="20DCE8B8" w14:textId="77777777" w:rsidR="004515FC" w:rsidRPr="002858D6" w:rsidRDefault="004515FC" w:rsidP="0029161D">
            <w:pPr>
              <w:spacing w:before="60" w:after="60"/>
              <w:ind w:right="-29"/>
              <w:jc w:val="center"/>
              <w:rPr>
                <w:noProof/>
                <w:sz w:val="18"/>
              </w:rPr>
            </w:pPr>
          </w:p>
        </w:tc>
        <w:tc>
          <w:tcPr>
            <w:tcW w:w="540" w:type="dxa"/>
            <w:tcBorders>
              <w:top w:val="nil"/>
              <w:left w:val="nil"/>
              <w:bottom w:val="nil"/>
              <w:right w:val="nil"/>
            </w:tcBorders>
          </w:tcPr>
          <w:p w14:paraId="55D8AADE" w14:textId="77777777" w:rsidR="004515FC" w:rsidRPr="002858D6" w:rsidRDefault="004515FC" w:rsidP="0029161D">
            <w:pPr>
              <w:spacing w:before="60" w:after="60"/>
              <w:ind w:right="-29"/>
              <w:jc w:val="center"/>
              <w:rPr>
                <w:noProof/>
                <w:sz w:val="18"/>
              </w:rPr>
            </w:pPr>
          </w:p>
        </w:tc>
        <w:tc>
          <w:tcPr>
            <w:tcW w:w="648" w:type="dxa"/>
            <w:tcBorders>
              <w:top w:val="nil"/>
              <w:left w:val="nil"/>
              <w:bottom w:val="nil"/>
              <w:right w:val="nil"/>
            </w:tcBorders>
          </w:tcPr>
          <w:p w14:paraId="741FE02F" w14:textId="77777777" w:rsidR="004515FC" w:rsidRPr="002858D6" w:rsidRDefault="004515FC" w:rsidP="0029161D">
            <w:pPr>
              <w:spacing w:before="60" w:after="60"/>
              <w:ind w:right="-29"/>
              <w:jc w:val="center"/>
              <w:rPr>
                <w:noProof/>
                <w:sz w:val="18"/>
              </w:rPr>
            </w:pPr>
          </w:p>
        </w:tc>
        <w:tc>
          <w:tcPr>
            <w:tcW w:w="432" w:type="dxa"/>
            <w:tcBorders>
              <w:top w:val="nil"/>
              <w:left w:val="nil"/>
              <w:bottom w:val="nil"/>
              <w:right w:val="nil"/>
            </w:tcBorders>
          </w:tcPr>
          <w:p w14:paraId="05E86D9A" w14:textId="77777777" w:rsidR="004515FC" w:rsidRPr="002858D6" w:rsidRDefault="004515FC" w:rsidP="0029161D">
            <w:pPr>
              <w:spacing w:before="60" w:after="60"/>
              <w:ind w:right="-29"/>
              <w:jc w:val="center"/>
              <w:rPr>
                <w:noProof/>
                <w:sz w:val="18"/>
              </w:rPr>
            </w:pPr>
          </w:p>
        </w:tc>
        <w:tc>
          <w:tcPr>
            <w:tcW w:w="720" w:type="dxa"/>
            <w:tcBorders>
              <w:top w:val="nil"/>
              <w:left w:val="nil"/>
              <w:bottom w:val="nil"/>
              <w:right w:val="nil"/>
            </w:tcBorders>
          </w:tcPr>
          <w:p w14:paraId="40C1709B" w14:textId="77777777" w:rsidR="004515FC" w:rsidRPr="002858D6" w:rsidRDefault="004515FC" w:rsidP="0029161D">
            <w:pPr>
              <w:spacing w:before="60" w:after="60"/>
              <w:ind w:right="-29"/>
              <w:jc w:val="center"/>
              <w:rPr>
                <w:noProof/>
                <w:sz w:val="18"/>
              </w:rPr>
            </w:pPr>
          </w:p>
        </w:tc>
        <w:tc>
          <w:tcPr>
            <w:tcW w:w="540" w:type="dxa"/>
            <w:tcBorders>
              <w:top w:val="nil"/>
              <w:left w:val="nil"/>
              <w:bottom w:val="nil"/>
              <w:right w:val="nil"/>
            </w:tcBorders>
          </w:tcPr>
          <w:p w14:paraId="5809C4F8" w14:textId="77777777" w:rsidR="004515FC" w:rsidRPr="002858D6" w:rsidRDefault="004515FC" w:rsidP="0029161D">
            <w:pPr>
              <w:spacing w:before="60" w:after="60"/>
              <w:ind w:right="-29"/>
              <w:jc w:val="center"/>
              <w:rPr>
                <w:noProof/>
                <w:sz w:val="18"/>
              </w:rPr>
            </w:pPr>
          </w:p>
        </w:tc>
        <w:tc>
          <w:tcPr>
            <w:tcW w:w="720" w:type="dxa"/>
            <w:tcBorders>
              <w:top w:val="nil"/>
              <w:left w:val="nil"/>
              <w:bottom w:val="nil"/>
              <w:right w:val="nil"/>
            </w:tcBorders>
          </w:tcPr>
          <w:p w14:paraId="09D6560F" w14:textId="77777777" w:rsidR="004515FC" w:rsidRPr="002858D6" w:rsidRDefault="004515FC" w:rsidP="0029161D">
            <w:pPr>
              <w:spacing w:before="60" w:after="60"/>
              <w:ind w:right="-29"/>
              <w:jc w:val="center"/>
              <w:rPr>
                <w:noProof/>
                <w:sz w:val="18"/>
              </w:rPr>
            </w:pPr>
          </w:p>
        </w:tc>
        <w:tc>
          <w:tcPr>
            <w:tcW w:w="720" w:type="dxa"/>
            <w:tcBorders>
              <w:top w:val="nil"/>
              <w:left w:val="nil"/>
              <w:bottom w:val="nil"/>
              <w:right w:val="nil"/>
            </w:tcBorders>
          </w:tcPr>
          <w:p w14:paraId="7EB02981" w14:textId="77777777" w:rsidR="004515FC" w:rsidRPr="002858D6" w:rsidRDefault="004515FC" w:rsidP="0029161D">
            <w:pPr>
              <w:spacing w:before="60" w:after="60"/>
              <w:ind w:right="-29"/>
              <w:jc w:val="center"/>
              <w:rPr>
                <w:noProof/>
                <w:sz w:val="18"/>
              </w:rPr>
            </w:pPr>
          </w:p>
        </w:tc>
        <w:tc>
          <w:tcPr>
            <w:tcW w:w="900" w:type="dxa"/>
            <w:tcBorders>
              <w:top w:val="nil"/>
              <w:left w:val="nil"/>
              <w:bottom w:val="nil"/>
              <w:right w:val="nil"/>
            </w:tcBorders>
          </w:tcPr>
          <w:p w14:paraId="47353293" w14:textId="77777777" w:rsidR="004515FC" w:rsidRPr="002858D6" w:rsidRDefault="004515FC" w:rsidP="0029161D">
            <w:pPr>
              <w:spacing w:before="60" w:after="60"/>
              <w:ind w:right="-29"/>
              <w:jc w:val="center"/>
              <w:rPr>
                <w:noProof/>
                <w:sz w:val="18"/>
              </w:rPr>
            </w:pPr>
          </w:p>
        </w:tc>
      </w:tr>
      <w:tr w:rsidR="004515FC" w:rsidRPr="002858D6" w14:paraId="0056DEC4" w14:textId="77777777" w:rsidTr="0029161D">
        <w:trPr>
          <w:trHeight w:hRule="exact" w:val="369"/>
          <w:jc w:val="center"/>
        </w:trPr>
        <w:tc>
          <w:tcPr>
            <w:tcW w:w="1423" w:type="dxa"/>
          </w:tcPr>
          <w:p w14:paraId="1EAE3407" w14:textId="77777777" w:rsidR="004515FC" w:rsidRPr="002858D6" w:rsidRDefault="004515FC" w:rsidP="0029161D">
            <w:pPr>
              <w:ind w:right="-29"/>
              <w:jc w:val="center"/>
              <w:rPr>
                <w:noProof/>
                <w:sz w:val="18"/>
              </w:rPr>
            </w:pPr>
            <w:r w:rsidRPr="002858D6">
              <w:rPr>
                <w:noProof/>
                <w:sz w:val="18"/>
              </w:rPr>
              <w:t>- Realização</w:t>
            </w:r>
          </w:p>
        </w:tc>
        <w:tc>
          <w:tcPr>
            <w:tcW w:w="720" w:type="dxa"/>
          </w:tcPr>
          <w:p w14:paraId="1C0EBB8C" w14:textId="77777777" w:rsidR="004515FC" w:rsidRPr="002858D6" w:rsidRDefault="004515FC" w:rsidP="0029161D">
            <w:pPr>
              <w:ind w:right="-29"/>
              <w:jc w:val="center"/>
              <w:rPr>
                <w:noProof/>
                <w:sz w:val="18"/>
              </w:rPr>
            </w:pPr>
          </w:p>
        </w:tc>
        <w:tc>
          <w:tcPr>
            <w:tcW w:w="701" w:type="dxa"/>
          </w:tcPr>
          <w:p w14:paraId="7C3DBCE0" w14:textId="77777777" w:rsidR="004515FC" w:rsidRPr="002858D6" w:rsidRDefault="004515FC" w:rsidP="0029161D">
            <w:pPr>
              <w:ind w:right="-29"/>
              <w:jc w:val="center"/>
              <w:rPr>
                <w:noProof/>
                <w:sz w:val="18"/>
              </w:rPr>
            </w:pPr>
          </w:p>
        </w:tc>
        <w:tc>
          <w:tcPr>
            <w:tcW w:w="504" w:type="dxa"/>
            <w:tcBorders>
              <w:right w:val="dashSmallGap" w:sz="4" w:space="0" w:color="auto"/>
            </w:tcBorders>
          </w:tcPr>
          <w:p w14:paraId="6783E777" w14:textId="77777777" w:rsidR="004515FC" w:rsidRPr="002858D6" w:rsidRDefault="004515FC" w:rsidP="0029161D">
            <w:pPr>
              <w:ind w:right="-29"/>
              <w:jc w:val="center"/>
              <w:rPr>
                <w:noProof/>
                <w:sz w:val="18"/>
              </w:rPr>
            </w:pPr>
          </w:p>
        </w:tc>
        <w:tc>
          <w:tcPr>
            <w:tcW w:w="720" w:type="dxa"/>
            <w:tcBorders>
              <w:left w:val="dashSmallGap" w:sz="4" w:space="0" w:color="auto"/>
            </w:tcBorders>
          </w:tcPr>
          <w:p w14:paraId="4A53B771" w14:textId="77777777" w:rsidR="004515FC" w:rsidRPr="002858D6" w:rsidRDefault="004515FC" w:rsidP="0029161D">
            <w:pPr>
              <w:ind w:right="-29"/>
              <w:jc w:val="center"/>
              <w:rPr>
                <w:noProof/>
                <w:sz w:val="18"/>
              </w:rPr>
            </w:pPr>
          </w:p>
        </w:tc>
        <w:tc>
          <w:tcPr>
            <w:tcW w:w="540" w:type="dxa"/>
            <w:tcBorders>
              <w:right w:val="dashSmallGap" w:sz="4" w:space="0" w:color="auto"/>
            </w:tcBorders>
          </w:tcPr>
          <w:p w14:paraId="08B14385" w14:textId="77777777" w:rsidR="004515FC" w:rsidRPr="002858D6" w:rsidRDefault="004515FC" w:rsidP="0029161D">
            <w:pPr>
              <w:ind w:right="-29"/>
              <w:jc w:val="center"/>
              <w:rPr>
                <w:noProof/>
                <w:sz w:val="18"/>
              </w:rPr>
            </w:pPr>
          </w:p>
        </w:tc>
        <w:tc>
          <w:tcPr>
            <w:tcW w:w="720" w:type="dxa"/>
            <w:tcBorders>
              <w:left w:val="dashSmallGap" w:sz="4" w:space="0" w:color="auto"/>
            </w:tcBorders>
          </w:tcPr>
          <w:p w14:paraId="1377F426" w14:textId="77777777" w:rsidR="004515FC" w:rsidRPr="002858D6" w:rsidRDefault="004515FC" w:rsidP="0029161D">
            <w:pPr>
              <w:ind w:right="-29"/>
              <w:jc w:val="center"/>
              <w:rPr>
                <w:noProof/>
                <w:sz w:val="18"/>
              </w:rPr>
            </w:pPr>
          </w:p>
        </w:tc>
        <w:tc>
          <w:tcPr>
            <w:tcW w:w="720" w:type="dxa"/>
            <w:tcBorders>
              <w:right w:val="dashSmallGap" w:sz="4" w:space="0" w:color="auto"/>
            </w:tcBorders>
          </w:tcPr>
          <w:p w14:paraId="7BDE1D6F" w14:textId="77777777" w:rsidR="004515FC" w:rsidRPr="002858D6" w:rsidRDefault="004515FC" w:rsidP="0029161D">
            <w:pPr>
              <w:ind w:right="-29"/>
              <w:jc w:val="center"/>
              <w:rPr>
                <w:noProof/>
                <w:sz w:val="18"/>
              </w:rPr>
            </w:pPr>
          </w:p>
        </w:tc>
        <w:tc>
          <w:tcPr>
            <w:tcW w:w="720" w:type="dxa"/>
            <w:tcBorders>
              <w:left w:val="dashSmallGap" w:sz="4" w:space="0" w:color="auto"/>
            </w:tcBorders>
          </w:tcPr>
          <w:p w14:paraId="131C1E0B" w14:textId="77777777" w:rsidR="004515FC" w:rsidRPr="002858D6" w:rsidRDefault="004515FC" w:rsidP="0029161D">
            <w:pPr>
              <w:ind w:right="-29"/>
              <w:jc w:val="center"/>
              <w:rPr>
                <w:noProof/>
                <w:sz w:val="18"/>
              </w:rPr>
            </w:pPr>
          </w:p>
        </w:tc>
        <w:tc>
          <w:tcPr>
            <w:tcW w:w="900" w:type="dxa"/>
            <w:tcBorders>
              <w:right w:val="dashSmallGap" w:sz="4" w:space="0" w:color="auto"/>
            </w:tcBorders>
          </w:tcPr>
          <w:p w14:paraId="38B94312" w14:textId="77777777" w:rsidR="004515FC" w:rsidRPr="002858D6" w:rsidRDefault="004515FC" w:rsidP="0029161D">
            <w:pPr>
              <w:ind w:right="-29"/>
              <w:jc w:val="center"/>
              <w:rPr>
                <w:noProof/>
                <w:sz w:val="18"/>
              </w:rPr>
            </w:pPr>
          </w:p>
        </w:tc>
        <w:tc>
          <w:tcPr>
            <w:tcW w:w="720" w:type="dxa"/>
            <w:gridSpan w:val="2"/>
            <w:tcBorders>
              <w:left w:val="dashSmallGap" w:sz="4" w:space="0" w:color="auto"/>
            </w:tcBorders>
          </w:tcPr>
          <w:p w14:paraId="364ED06C" w14:textId="77777777" w:rsidR="004515FC" w:rsidRPr="002858D6" w:rsidRDefault="004515FC" w:rsidP="0029161D">
            <w:pPr>
              <w:ind w:right="-29"/>
              <w:jc w:val="center"/>
              <w:rPr>
                <w:noProof/>
                <w:sz w:val="18"/>
              </w:rPr>
            </w:pPr>
          </w:p>
        </w:tc>
        <w:tc>
          <w:tcPr>
            <w:tcW w:w="540" w:type="dxa"/>
            <w:tcBorders>
              <w:right w:val="dashSmallGap" w:sz="4" w:space="0" w:color="auto"/>
            </w:tcBorders>
          </w:tcPr>
          <w:p w14:paraId="089E92A2" w14:textId="77777777" w:rsidR="004515FC" w:rsidRPr="002858D6" w:rsidRDefault="004515FC" w:rsidP="0029161D">
            <w:pPr>
              <w:ind w:right="-29"/>
              <w:jc w:val="center"/>
              <w:rPr>
                <w:noProof/>
                <w:sz w:val="18"/>
              </w:rPr>
            </w:pPr>
          </w:p>
        </w:tc>
        <w:tc>
          <w:tcPr>
            <w:tcW w:w="648" w:type="dxa"/>
            <w:tcBorders>
              <w:left w:val="dashSmallGap" w:sz="4" w:space="0" w:color="auto"/>
            </w:tcBorders>
          </w:tcPr>
          <w:p w14:paraId="466C0AB2" w14:textId="77777777" w:rsidR="004515FC" w:rsidRPr="002858D6" w:rsidRDefault="004515FC" w:rsidP="0029161D">
            <w:pPr>
              <w:ind w:right="-29"/>
              <w:jc w:val="center"/>
              <w:rPr>
                <w:noProof/>
                <w:sz w:val="18"/>
              </w:rPr>
            </w:pPr>
          </w:p>
        </w:tc>
        <w:tc>
          <w:tcPr>
            <w:tcW w:w="432" w:type="dxa"/>
            <w:tcBorders>
              <w:right w:val="dashSmallGap" w:sz="4" w:space="0" w:color="auto"/>
            </w:tcBorders>
          </w:tcPr>
          <w:p w14:paraId="39E33132" w14:textId="77777777" w:rsidR="004515FC" w:rsidRPr="002858D6" w:rsidRDefault="004515FC" w:rsidP="0029161D">
            <w:pPr>
              <w:ind w:right="-29"/>
              <w:jc w:val="center"/>
              <w:rPr>
                <w:noProof/>
                <w:sz w:val="18"/>
              </w:rPr>
            </w:pPr>
          </w:p>
        </w:tc>
        <w:tc>
          <w:tcPr>
            <w:tcW w:w="720" w:type="dxa"/>
            <w:tcBorders>
              <w:left w:val="dashSmallGap" w:sz="4" w:space="0" w:color="auto"/>
            </w:tcBorders>
          </w:tcPr>
          <w:p w14:paraId="5BE31F88" w14:textId="77777777" w:rsidR="004515FC" w:rsidRPr="002858D6" w:rsidRDefault="004515FC" w:rsidP="0029161D">
            <w:pPr>
              <w:ind w:right="-29"/>
              <w:jc w:val="center"/>
              <w:rPr>
                <w:noProof/>
                <w:sz w:val="18"/>
              </w:rPr>
            </w:pPr>
          </w:p>
        </w:tc>
        <w:tc>
          <w:tcPr>
            <w:tcW w:w="540" w:type="dxa"/>
            <w:tcBorders>
              <w:right w:val="dashSmallGap" w:sz="4" w:space="0" w:color="auto"/>
            </w:tcBorders>
          </w:tcPr>
          <w:p w14:paraId="333D927A" w14:textId="77777777" w:rsidR="004515FC" w:rsidRPr="002858D6" w:rsidRDefault="004515FC" w:rsidP="0029161D">
            <w:pPr>
              <w:ind w:right="-29"/>
              <w:jc w:val="center"/>
              <w:rPr>
                <w:noProof/>
                <w:sz w:val="18"/>
              </w:rPr>
            </w:pPr>
          </w:p>
        </w:tc>
        <w:tc>
          <w:tcPr>
            <w:tcW w:w="720" w:type="dxa"/>
            <w:tcBorders>
              <w:left w:val="dashSmallGap" w:sz="4" w:space="0" w:color="auto"/>
            </w:tcBorders>
          </w:tcPr>
          <w:p w14:paraId="5C2925A4" w14:textId="77777777" w:rsidR="004515FC" w:rsidRPr="002858D6" w:rsidRDefault="004515FC" w:rsidP="0029161D">
            <w:pPr>
              <w:ind w:right="-29"/>
              <w:jc w:val="center"/>
              <w:rPr>
                <w:noProof/>
                <w:sz w:val="18"/>
              </w:rPr>
            </w:pPr>
          </w:p>
        </w:tc>
        <w:tc>
          <w:tcPr>
            <w:tcW w:w="720" w:type="dxa"/>
          </w:tcPr>
          <w:p w14:paraId="3195DDD2" w14:textId="77777777" w:rsidR="004515FC" w:rsidRPr="002858D6" w:rsidRDefault="004515FC" w:rsidP="0029161D">
            <w:pPr>
              <w:ind w:right="-29"/>
              <w:jc w:val="center"/>
              <w:rPr>
                <w:noProof/>
                <w:sz w:val="18"/>
              </w:rPr>
            </w:pPr>
          </w:p>
        </w:tc>
        <w:tc>
          <w:tcPr>
            <w:tcW w:w="900" w:type="dxa"/>
          </w:tcPr>
          <w:p w14:paraId="5D6B8193" w14:textId="77777777" w:rsidR="004515FC" w:rsidRPr="002858D6" w:rsidRDefault="004515FC" w:rsidP="0029161D">
            <w:pPr>
              <w:ind w:right="-29"/>
              <w:jc w:val="center"/>
              <w:rPr>
                <w:noProof/>
                <w:sz w:val="18"/>
              </w:rPr>
            </w:pPr>
          </w:p>
        </w:tc>
      </w:tr>
      <w:tr w:rsidR="004515FC" w:rsidRPr="002858D6" w14:paraId="64A53CDE" w14:textId="77777777" w:rsidTr="0029161D">
        <w:trPr>
          <w:trHeight w:hRule="exact" w:val="369"/>
          <w:jc w:val="center"/>
        </w:trPr>
        <w:tc>
          <w:tcPr>
            <w:tcW w:w="1423" w:type="dxa"/>
          </w:tcPr>
          <w:p w14:paraId="1FACAA12" w14:textId="77777777" w:rsidR="004515FC" w:rsidRPr="002858D6" w:rsidRDefault="004515FC" w:rsidP="0029161D">
            <w:pPr>
              <w:ind w:right="-29"/>
              <w:jc w:val="center"/>
              <w:rPr>
                <w:noProof/>
                <w:sz w:val="18"/>
              </w:rPr>
            </w:pPr>
            <w:r w:rsidRPr="002858D6">
              <w:rPr>
                <w:noProof/>
                <w:sz w:val="18"/>
              </w:rPr>
              <w:t>- Realização</w:t>
            </w:r>
          </w:p>
        </w:tc>
        <w:tc>
          <w:tcPr>
            <w:tcW w:w="720" w:type="dxa"/>
          </w:tcPr>
          <w:p w14:paraId="3E05361A" w14:textId="77777777" w:rsidR="004515FC" w:rsidRPr="002858D6" w:rsidRDefault="004515FC" w:rsidP="0029161D">
            <w:pPr>
              <w:ind w:right="-29"/>
              <w:jc w:val="center"/>
              <w:rPr>
                <w:noProof/>
                <w:sz w:val="18"/>
              </w:rPr>
            </w:pPr>
          </w:p>
        </w:tc>
        <w:tc>
          <w:tcPr>
            <w:tcW w:w="701" w:type="dxa"/>
          </w:tcPr>
          <w:p w14:paraId="68F96932" w14:textId="77777777" w:rsidR="004515FC" w:rsidRPr="002858D6" w:rsidRDefault="004515FC" w:rsidP="0029161D">
            <w:pPr>
              <w:ind w:right="-29"/>
              <w:jc w:val="center"/>
              <w:rPr>
                <w:noProof/>
                <w:sz w:val="18"/>
              </w:rPr>
            </w:pPr>
          </w:p>
        </w:tc>
        <w:tc>
          <w:tcPr>
            <w:tcW w:w="504" w:type="dxa"/>
            <w:tcBorders>
              <w:right w:val="dashSmallGap" w:sz="4" w:space="0" w:color="auto"/>
            </w:tcBorders>
          </w:tcPr>
          <w:p w14:paraId="434596A1" w14:textId="77777777" w:rsidR="004515FC" w:rsidRPr="002858D6" w:rsidRDefault="004515FC" w:rsidP="0029161D">
            <w:pPr>
              <w:ind w:right="-29"/>
              <w:jc w:val="center"/>
              <w:rPr>
                <w:noProof/>
                <w:sz w:val="18"/>
              </w:rPr>
            </w:pPr>
          </w:p>
        </w:tc>
        <w:tc>
          <w:tcPr>
            <w:tcW w:w="720" w:type="dxa"/>
            <w:tcBorders>
              <w:left w:val="dashSmallGap" w:sz="4" w:space="0" w:color="auto"/>
            </w:tcBorders>
          </w:tcPr>
          <w:p w14:paraId="5FB074CE" w14:textId="77777777" w:rsidR="004515FC" w:rsidRPr="002858D6" w:rsidRDefault="004515FC" w:rsidP="0029161D">
            <w:pPr>
              <w:ind w:right="-29"/>
              <w:jc w:val="center"/>
              <w:rPr>
                <w:noProof/>
                <w:sz w:val="18"/>
              </w:rPr>
            </w:pPr>
          </w:p>
        </w:tc>
        <w:tc>
          <w:tcPr>
            <w:tcW w:w="540" w:type="dxa"/>
            <w:tcBorders>
              <w:right w:val="dashSmallGap" w:sz="4" w:space="0" w:color="auto"/>
            </w:tcBorders>
          </w:tcPr>
          <w:p w14:paraId="0F7DE645" w14:textId="77777777" w:rsidR="004515FC" w:rsidRPr="002858D6" w:rsidRDefault="004515FC" w:rsidP="0029161D">
            <w:pPr>
              <w:ind w:right="-29"/>
              <w:jc w:val="center"/>
              <w:rPr>
                <w:noProof/>
                <w:sz w:val="18"/>
              </w:rPr>
            </w:pPr>
          </w:p>
        </w:tc>
        <w:tc>
          <w:tcPr>
            <w:tcW w:w="720" w:type="dxa"/>
            <w:tcBorders>
              <w:left w:val="dashSmallGap" w:sz="4" w:space="0" w:color="auto"/>
            </w:tcBorders>
          </w:tcPr>
          <w:p w14:paraId="6BF799F7" w14:textId="77777777" w:rsidR="004515FC" w:rsidRPr="002858D6" w:rsidRDefault="004515FC" w:rsidP="0029161D">
            <w:pPr>
              <w:ind w:right="-29"/>
              <w:jc w:val="center"/>
              <w:rPr>
                <w:noProof/>
                <w:sz w:val="18"/>
              </w:rPr>
            </w:pPr>
          </w:p>
        </w:tc>
        <w:tc>
          <w:tcPr>
            <w:tcW w:w="720" w:type="dxa"/>
            <w:tcBorders>
              <w:right w:val="dashSmallGap" w:sz="4" w:space="0" w:color="auto"/>
            </w:tcBorders>
          </w:tcPr>
          <w:p w14:paraId="14DA7BB7" w14:textId="77777777" w:rsidR="004515FC" w:rsidRPr="002858D6" w:rsidRDefault="004515FC" w:rsidP="0029161D">
            <w:pPr>
              <w:ind w:right="-29"/>
              <w:jc w:val="center"/>
              <w:rPr>
                <w:noProof/>
                <w:sz w:val="18"/>
              </w:rPr>
            </w:pPr>
          </w:p>
        </w:tc>
        <w:tc>
          <w:tcPr>
            <w:tcW w:w="720" w:type="dxa"/>
            <w:tcBorders>
              <w:left w:val="dashSmallGap" w:sz="4" w:space="0" w:color="auto"/>
            </w:tcBorders>
          </w:tcPr>
          <w:p w14:paraId="1CC8CD03" w14:textId="77777777" w:rsidR="004515FC" w:rsidRPr="002858D6" w:rsidRDefault="004515FC" w:rsidP="0029161D">
            <w:pPr>
              <w:ind w:right="-29"/>
              <w:jc w:val="center"/>
              <w:rPr>
                <w:noProof/>
                <w:sz w:val="18"/>
              </w:rPr>
            </w:pPr>
          </w:p>
        </w:tc>
        <w:tc>
          <w:tcPr>
            <w:tcW w:w="900" w:type="dxa"/>
            <w:tcBorders>
              <w:right w:val="dashSmallGap" w:sz="4" w:space="0" w:color="auto"/>
            </w:tcBorders>
          </w:tcPr>
          <w:p w14:paraId="5E6DA209" w14:textId="77777777" w:rsidR="004515FC" w:rsidRPr="002858D6" w:rsidRDefault="004515FC" w:rsidP="0029161D">
            <w:pPr>
              <w:ind w:right="-29"/>
              <w:jc w:val="center"/>
              <w:rPr>
                <w:noProof/>
                <w:sz w:val="18"/>
              </w:rPr>
            </w:pPr>
          </w:p>
        </w:tc>
        <w:tc>
          <w:tcPr>
            <w:tcW w:w="720" w:type="dxa"/>
            <w:gridSpan w:val="2"/>
            <w:tcBorders>
              <w:left w:val="dashSmallGap" w:sz="4" w:space="0" w:color="auto"/>
            </w:tcBorders>
          </w:tcPr>
          <w:p w14:paraId="2EEE2B15" w14:textId="77777777" w:rsidR="004515FC" w:rsidRPr="002858D6" w:rsidRDefault="004515FC" w:rsidP="0029161D">
            <w:pPr>
              <w:ind w:right="-29"/>
              <w:jc w:val="center"/>
              <w:rPr>
                <w:noProof/>
                <w:sz w:val="18"/>
              </w:rPr>
            </w:pPr>
          </w:p>
        </w:tc>
        <w:tc>
          <w:tcPr>
            <w:tcW w:w="540" w:type="dxa"/>
            <w:tcBorders>
              <w:right w:val="dashSmallGap" w:sz="4" w:space="0" w:color="auto"/>
            </w:tcBorders>
          </w:tcPr>
          <w:p w14:paraId="01F7891E" w14:textId="77777777" w:rsidR="004515FC" w:rsidRPr="002858D6" w:rsidRDefault="004515FC" w:rsidP="0029161D">
            <w:pPr>
              <w:ind w:right="-29"/>
              <w:jc w:val="center"/>
              <w:rPr>
                <w:noProof/>
                <w:sz w:val="18"/>
              </w:rPr>
            </w:pPr>
          </w:p>
        </w:tc>
        <w:tc>
          <w:tcPr>
            <w:tcW w:w="648" w:type="dxa"/>
            <w:tcBorders>
              <w:left w:val="dashSmallGap" w:sz="4" w:space="0" w:color="auto"/>
            </w:tcBorders>
          </w:tcPr>
          <w:p w14:paraId="1053F820" w14:textId="77777777" w:rsidR="004515FC" w:rsidRPr="002858D6" w:rsidRDefault="004515FC" w:rsidP="0029161D">
            <w:pPr>
              <w:ind w:right="-29"/>
              <w:jc w:val="center"/>
              <w:rPr>
                <w:noProof/>
                <w:sz w:val="18"/>
              </w:rPr>
            </w:pPr>
          </w:p>
        </w:tc>
        <w:tc>
          <w:tcPr>
            <w:tcW w:w="432" w:type="dxa"/>
            <w:tcBorders>
              <w:right w:val="dashSmallGap" w:sz="4" w:space="0" w:color="auto"/>
            </w:tcBorders>
          </w:tcPr>
          <w:p w14:paraId="0062AE43" w14:textId="77777777" w:rsidR="004515FC" w:rsidRPr="002858D6" w:rsidRDefault="004515FC" w:rsidP="0029161D">
            <w:pPr>
              <w:ind w:right="-29"/>
              <w:jc w:val="center"/>
              <w:rPr>
                <w:noProof/>
                <w:sz w:val="18"/>
              </w:rPr>
            </w:pPr>
          </w:p>
        </w:tc>
        <w:tc>
          <w:tcPr>
            <w:tcW w:w="720" w:type="dxa"/>
            <w:tcBorders>
              <w:left w:val="dashSmallGap" w:sz="4" w:space="0" w:color="auto"/>
            </w:tcBorders>
          </w:tcPr>
          <w:p w14:paraId="64C3E128" w14:textId="77777777" w:rsidR="004515FC" w:rsidRPr="002858D6" w:rsidRDefault="004515FC" w:rsidP="0029161D">
            <w:pPr>
              <w:ind w:right="-29"/>
              <w:jc w:val="center"/>
              <w:rPr>
                <w:noProof/>
                <w:sz w:val="18"/>
              </w:rPr>
            </w:pPr>
          </w:p>
        </w:tc>
        <w:tc>
          <w:tcPr>
            <w:tcW w:w="540" w:type="dxa"/>
            <w:tcBorders>
              <w:right w:val="dashSmallGap" w:sz="4" w:space="0" w:color="auto"/>
            </w:tcBorders>
          </w:tcPr>
          <w:p w14:paraId="49A1AACD" w14:textId="77777777" w:rsidR="004515FC" w:rsidRPr="002858D6" w:rsidRDefault="004515FC" w:rsidP="0029161D">
            <w:pPr>
              <w:ind w:right="-29"/>
              <w:jc w:val="center"/>
              <w:rPr>
                <w:noProof/>
                <w:sz w:val="18"/>
              </w:rPr>
            </w:pPr>
          </w:p>
        </w:tc>
        <w:tc>
          <w:tcPr>
            <w:tcW w:w="720" w:type="dxa"/>
            <w:tcBorders>
              <w:left w:val="dashSmallGap" w:sz="4" w:space="0" w:color="auto"/>
            </w:tcBorders>
          </w:tcPr>
          <w:p w14:paraId="5A225895" w14:textId="77777777" w:rsidR="004515FC" w:rsidRPr="002858D6" w:rsidRDefault="004515FC" w:rsidP="0029161D">
            <w:pPr>
              <w:ind w:right="-29"/>
              <w:jc w:val="center"/>
              <w:rPr>
                <w:noProof/>
                <w:sz w:val="18"/>
              </w:rPr>
            </w:pPr>
          </w:p>
        </w:tc>
        <w:tc>
          <w:tcPr>
            <w:tcW w:w="720" w:type="dxa"/>
          </w:tcPr>
          <w:p w14:paraId="72AD2B5C" w14:textId="77777777" w:rsidR="004515FC" w:rsidRPr="002858D6" w:rsidRDefault="004515FC" w:rsidP="0029161D">
            <w:pPr>
              <w:ind w:right="-29"/>
              <w:jc w:val="center"/>
              <w:rPr>
                <w:noProof/>
                <w:sz w:val="18"/>
              </w:rPr>
            </w:pPr>
          </w:p>
        </w:tc>
        <w:tc>
          <w:tcPr>
            <w:tcW w:w="900" w:type="dxa"/>
          </w:tcPr>
          <w:p w14:paraId="78656373" w14:textId="77777777" w:rsidR="004515FC" w:rsidRPr="002858D6" w:rsidRDefault="004515FC" w:rsidP="0029161D">
            <w:pPr>
              <w:ind w:right="-29"/>
              <w:jc w:val="center"/>
              <w:rPr>
                <w:noProof/>
                <w:sz w:val="18"/>
              </w:rPr>
            </w:pPr>
          </w:p>
        </w:tc>
      </w:tr>
      <w:tr w:rsidR="004515FC" w:rsidRPr="002858D6" w14:paraId="6A816306" w14:textId="77777777" w:rsidTr="0029161D">
        <w:trPr>
          <w:trHeight w:hRule="exact" w:val="369"/>
          <w:jc w:val="center"/>
        </w:trPr>
        <w:tc>
          <w:tcPr>
            <w:tcW w:w="1423" w:type="dxa"/>
          </w:tcPr>
          <w:p w14:paraId="321D07DC" w14:textId="77777777" w:rsidR="004515FC" w:rsidRPr="002858D6" w:rsidRDefault="004515FC" w:rsidP="0029161D">
            <w:pPr>
              <w:ind w:right="-29"/>
              <w:jc w:val="center"/>
              <w:rPr>
                <w:noProof/>
                <w:sz w:val="18"/>
              </w:rPr>
            </w:pPr>
            <w:r w:rsidRPr="002858D6">
              <w:rPr>
                <w:noProof/>
                <w:sz w:val="18"/>
              </w:rPr>
              <w:t>- Realização</w:t>
            </w:r>
          </w:p>
        </w:tc>
        <w:tc>
          <w:tcPr>
            <w:tcW w:w="720" w:type="dxa"/>
          </w:tcPr>
          <w:p w14:paraId="1EC35C63" w14:textId="77777777" w:rsidR="004515FC" w:rsidRPr="002858D6" w:rsidRDefault="004515FC" w:rsidP="0029161D">
            <w:pPr>
              <w:ind w:right="-29"/>
              <w:jc w:val="center"/>
              <w:rPr>
                <w:noProof/>
                <w:sz w:val="18"/>
              </w:rPr>
            </w:pPr>
          </w:p>
        </w:tc>
        <w:tc>
          <w:tcPr>
            <w:tcW w:w="701" w:type="dxa"/>
          </w:tcPr>
          <w:p w14:paraId="47BC1728" w14:textId="77777777" w:rsidR="004515FC" w:rsidRPr="002858D6" w:rsidRDefault="004515FC" w:rsidP="0029161D">
            <w:pPr>
              <w:ind w:right="-29"/>
              <w:jc w:val="center"/>
              <w:rPr>
                <w:noProof/>
                <w:sz w:val="18"/>
              </w:rPr>
            </w:pPr>
          </w:p>
        </w:tc>
        <w:tc>
          <w:tcPr>
            <w:tcW w:w="504" w:type="dxa"/>
          </w:tcPr>
          <w:p w14:paraId="15D14787" w14:textId="77777777" w:rsidR="004515FC" w:rsidRPr="002858D6" w:rsidRDefault="004515FC" w:rsidP="0029161D">
            <w:pPr>
              <w:ind w:right="-29"/>
              <w:jc w:val="center"/>
              <w:rPr>
                <w:noProof/>
                <w:sz w:val="18"/>
              </w:rPr>
            </w:pPr>
          </w:p>
        </w:tc>
        <w:tc>
          <w:tcPr>
            <w:tcW w:w="720" w:type="dxa"/>
          </w:tcPr>
          <w:p w14:paraId="18B1D266" w14:textId="77777777" w:rsidR="004515FC" w:rsidRPr="002858D6" w:rsidRDefault="004515FC" w:rsidP="0029161D">
            <w:pPr>
              <w:ind w:right="-29"/>
              <w:jc w:val="center"/>
              <w:rPr>
                <w:noProof/>
                <w:sz w:val="18"/>
              </w:rPr>
            </w:pPr>
          </w:p>
        </w:tc>
        <w:tc>
          <w:tcPr>
            <w:tcW w:w="540" w:type="dxa"/>
          </w:tcPr>
          <w:p w14:paraId="78E14A0D" w14:textId="77777777" w:rsidR="004515FC" w:rsidRPr="002858D6" w:rsidRDefault="004515FC" w:rsidP="0029161D">
            <w:pPr>
              <w:ind w:right="-29"/>
              <w:jc w:val="center"/>
              <w:rPr>
                <w:noProof/>
                <w:sz w:val="18"/>
              </w:rPr>
            </w:pPr>
          </w:p>
        </w:tc>
        <w:tc>
          <w:tcPr>
            <w:tcW w:w="720" w:type="dxa"/>
          </w:tcPr>
          <w:p w14:paraId="75E2BAFF" w14:textId="77777777" w:rsidR="004515FC" w:rsidRPr="002858D6" w:rsidRDefault="004515FC" w:rsidP="0029161D">
            <w:pPr>
              <w:ind w:right="-29"/>
              <w:jc w:val="center"/>
              <w:rPr>
                <w:noProof/>
                <w:sz w:val="18"/>
              </w:rPr>
            </w:pPr>
          </w:p>
        </w:tc>
        <w:tc>
          <w:tcPr>
            <w:tcW w:w="720" w:type="dxa"/>
          </w:tcPr>
          <w:p w14:paraId="162CC698" w14:textId="77777777" w:rsidR="004515FC" w:rsidRPr="002858D6" w:rsidRDefault="004515FC" w:rsidP="0029161D">
            <w:pPr>
              <w:ind w:right="-29"/>
              <w:jc w:val="center"/>
              <w:rPr>
                <w:noProof/>
                <w:sz w:val="18"/>
              </w:rPr>
            </w:pPr>
          </w:p>
        </w:tc>
        <w:tc>
          <w:tcPr>
            <w:tcW w:w="720" w:type="dxa"/>
          </w:tcPr>
          <w:p w14:paraId="4ECB75BB" w14:textId="77777777" w:rsidR="004515FC" w:rsidRPr="002858D6" w:rsidRDefault="004515FC" w:rsidP="0029161D">
            <w:pPr>
              <w:ind w:right="-29"/>
              <w:jc w:val="center"/>
              <w:rPr>
                <w:noProof/>
                <w:sz w:val="18"/>
              </w:rPr>
            </w:pPr>
          </w:p>
        </w:tc>
        <w:tc>
          <w:tcPr>
            <w:tcW w:w="900" w:type="dxa"/>
          </w:tcPr>
          <w:p w14:paraId="6E706FD5" w14:textId="77777777" w:rsidR="004515FC" w:rsidRPr="002858D6" w:rsidRDefault="004515FC" w:rsidP="0029161D">
            <w:pPr>
              <w:ind w:right="-29"/>
              <w:jc w:val="center"/>
              <w:rPr>
                <w:noProof/>
                <w:sz w:val="18"/>
              </w:rPr>
            </w:pPr>
          </w:p>
        </w:tc>
        <w:tc>
          <w:tcPr>
            <w:tcW w:w="720" w:type="dxa"/>
            <w:gridSpan w:val="2"/>
          </w:tcPr>
          <w:p w14:paraId="6A7F239B" w14:textId="77777777" w:rsidR="004515FC" w:rsidRPr="002858D6" w:rsidRDefault="004515FC" w:rsidP="0029161D">
            <w:pPr>
              <w:ind w:right="-29"/>
              <w:jc w:val="center"/>
              <w:rPr>
                <w:noProof/>
                <w:sz w:val="18"/>
              </w:rPr>
            </w:pPr>
          </w:p>
        </w:tc>
        <w:tc>
          <w:tcPr>
            <w:tcW w:w="540" w:type="dxa"/>
          </w:tcPr>
          <w:p w14:paraId="2A85DA6F" w14:textId="77777777" w:rsidR="004515FC" w:rsidRPr="002858D6" w:rsidRDefault="004515FC" w:rsidP="0029161D">
            <w:pPr>
              <w:ind w:right="-29"/>
              <w:jc w:val="center"/>
              <w:rPr>
                <w:noProof/>
                <w:sz w:val="18"/>
              </w:rPr>
            </w:pPr>
          </w:p>
        </w:tc>
        <w:tc>
          <w:tcPr>
            <w:tcW w:w="648" w:type="dxa"/>
          </w:tcPr>
          <w:p w14:paraId="6C19A817" w14:textId="77777777" w:rsidR="004515FC" w:rsidRPr="002858D6" w:rsidRDefault="004515FC" w:rsidP="0029161D">
            <w:pPr>
              <w:ind w:right="-29"/>
              <w:jc w:val="center"/>
              <w:rPr>
                <w:noProof/>
                <w:sz w:val="18"/>
              </w:rPr>
            </w:pPr>
          </w:p>
        </w:tc>
        <w:tc>
          <w:tcPr>
            <w:tcW w:w="432" w:type="dxa"/>
          </w:tcPr>
          <w:p w14:paraId="2F527D68" w14:textId="77777777" w:rsidR="004515FC" w:rsidRPr="002858D6" w:rsidRDefault="004515FC" w:rsidP="0029161D">
            <w:pPr>
              <w:ind w:right="-29"/>
              <w:jc w:val="center"/>
              <w:rPr>
                <w:noProof/>
                <w:sz w:val="18"/>
              </w:rPr>
            </w:pPr>
          </w:p>
        </w:tc>
        <w:tc>
          <w:tcPr>
            <w:tcW w:w="720" w:type="dxa"/>
          </w:tcPr>
          <w:p w14:paraId="0AA1CCC9" w14:textId="77777777" w:rsidR="004515FC" w:rsidRPr="002858D6" w:rsidRDefault="004515FC" w:rsidP="0029161D">
            <w:pPr>
              <w:ind w:right="-29"/>
              <w:jc w:val="center"/>
              <w:rPr>
                <w:noProof/>
                <w:sz w:val="18"/>
              </w:rPr>
            </w:pPr>
          </w:p>
        </w:tc>
        <w:tc>
          <w:tcPr>
            <w:tcW w:w="540" w:type="dxa"/>
          </w:tcPr>
          <w:p w14:paraId="7C39F1DD" w14:textId="77777777" w:rsidR="004515FC" w:rsidRPr="002858D6" w:rsidRDefault="004515FC" w:rsidP="0029161D">
            <w:pPr>
              <w:ind w:right="-29"/>
              <w:jc w:val="center"/>
              <w:rPr>
                <w:noProof/>
                <w:sz w:val="18"/>
              </w:rPr>
            </w:pPr>
          </w:p>
        </w:tc>
        <w:tc>
          <w:tcPr>
            <w:tcW w:w="720" w:type="dxa"/>
          </w:tcPr>
          <w:p w14:paraId="5600A9FD" w14:textId="77777777" w:rsidR="004515FC" w:rsidRPr="002858D6" w:rsidRDefault="004515FC" w:rsidP="0029161D">
            <w:pPr>
              <w:ind w:right="-29"/>
              <w:jc w:val="center"/>
              <w:rPr>
                <w:noProof/>
                <w:sz w:val="18"/>
              </w:rPr>
            </w:pPr>
          </w:p>
        </w:tc>
        <w:tc>
          <w:tcPr>
            <w:tcW w:w="720" w:type="dxa"/>
          </w:tcPr>
          <w:p w14:paraId="72862EBE" w14:textId="77777777" w:rsidR="004515FC" w:rsidRPr="002858D6" w:rsidRDefault="004515FC" w:rsidP="0029161D">
            <w:pPr>
              <w:ind w:right="-29"/>
              <w:jc w:val="center"/>
              <w:rPr>
                <w:noProof/>
                <w:sz w:val="18"/>
              </w:rPr>
            </w:pPr>
          </w:p>
        </w:tc>
        <w:tc>
          <w:tcPr>
            <w:tcW w:w="900" w:type="dxa"/>
          </w:tcPr>
          <w:p w14:paraId="20BC1514" w14:textId="77777777" w:rsidR="004515FC" w:rsidRPr="002858D6" w:rsidRDefault="004515FC" w:rsidP="0029161D">
            <w:pPr>
              <w:ind w:right="-29"/>
              <w:jc w:val="center"/>
              <w:rPr>
                <w:noProof/>
                <w:sz w:val="18"/>
              </w:rPr>
            </w:pPr>
          </w:p>
        </w:tc>
      </w:tr>
      <w:tr w:rsidR="004515FC" w:rsidRPr="002858D6" w14:paraId="189F2FF2" w14:textId="77777777" w:rsidTr="0029161D">
        <w:trPr>
          <w:trHeight w:val="77"/>
          <w:jc w:val="center"/>
        </w:trPr>
        <w:tc>
          <w:tcPr>
            <w:tcW w:w="2844" w:type="dxa"/>
            <w:gridSpan w:val="3"/>
            <w:tcBorders>
              <w:bottom w:val="single" w:sz="12" w:space="0" w:color="auto"/>
            </w:tcBorders>
            <w:vAlign w:val="center"/>
          </w:tcPr>
          <w:p w14:paraId="00C0D751" w14:textId="77777777" w:rsidR="004515FC" w:rsidRPr="002858D6" w:rsidRDefault="004515FC" w:rsidP="0029161D">
            <w:pPr>
              <w:ind w:right="-29"/>
              <w:jc w:val="center"/>
              <w:rPr>
                <w:noProof/>
                <w:sz w:val="18"/>
              </w:rPr>
            </w:pPr>
            <w:r w:rsidRPr="002858D6">
              <w:rPr>
                <w:noProof/>
                <w:sz w:val="18"/>
              </w:rPr>
              <w:t>Subtotal do objetivo específico n.º 1</w:t>
            </w:r>
          </w:p>
        </w:tc>
        <w:tc>
          <w:tcPr>
            <w:tcW w:w="504" w:type="dxa"/>
            <w:tcBorders>
              <w:bottom w:val="single" w:sz="12" w:space="0" w:color="auto"/>
            </w:tcBorders>
          </w:tcPr>
          <w:p w14:paraId="0110F4C1" w14:textId="77777777" w:rsidR="004515FC" w:rsidRPr="002858D6" w:rsidRDefault="004515FC" w:rsidP="0029161D">
            <w:pPr>
              <w:ind w:right="-29"/>
              <w:jc w:val="center"/>
              <w:rPr>
                <w:noProof/>
                <w:sz w:val="18"/>
              </w:rPr>
            </w:pPr>
          </w:p>
        </w:tc>
        <w:tc>
          <w:tcPr>
            <w:tcW w:w="720" w:type="dxa"/>
            <w:tcBorders>
              <w:bottom w:val="single" w:sz="12" w:space="0" w:color="auto"/>
            </w:tcBorders>
          </w:tcPr>
          <w:p w14:paraId="028A37AE" w14:textId="77777777" w:rsidR="004515FC" w:rsidRPr="002858D6" w:rsidRDefault="004515FC" w:rsidP="0029161D">
            <w:pPr>
              <w:ind w:right="-29"/>
              <w:jc w:val="center"/>
              <w:rPr>
                <w:noProof/>
                <w:sz w:val="18"/>
              </w:rPr>
            </w:pPr>
          </w:p>
        </w:tc>
        <w:tc>
          <w:tcPr>
            <w:tcW w:w="540" w:type="dxa"/>
            <w:tcBorders>
              <w:bottom w:val="single" w:sz="12" w:space="0" w:color="auto"/>
            </w:tcBorders>
          </w:tcPr>
          <w:p w14:paraId="0B86C998" w14:textId="77777777" w:rsidR="004515FC" w:rsidRPr="002858D6" w:rsidRDefault="004515FC" w:rsidP="0029161D">
            <w:pPr>
              <w:ind w:right="-29"/>
              <w:jc w:val="center"/>
              <w:rPr>
                <w:noProof/>
                <w:sz w:val="18"/>
              </w:rPr>
            </w:pPr>
          </w:p>
        </w:tc>
        <w:tc>
          <w:tcPr>
            <w:tcW w:w="720" w:type="dxa"/>
            <w:tcBorders>
              <w:bottom w:val="single" w:sz="12" w:space="0" w:color="auto"/>
            </w:tcBorders>
          </w:tcPr>
          <w:p w14:paraId="4CF079F9" w14:textId="77777777" w:rsidR="004515FC" w:rsidRPr="002858D6" w:rsidRDefault="004515FC" w:rsidP="0029161D">
            <w:pPr>
              <w:ind w:right="-29"/>
              <w:jc w:val="center"/>
              <w:rPr>
                <w:noProof/>
                <w:sz w:val="18"/>
              </w:rPr>
            </w:pPr>
          </w:p>
        </w:tc>
        <w:tc>
          <w:tcPr>
            <w:tcW w:w="720" w:type="dxa"/>
            <w:tcBorders>
              <w:bottom w:val="single" w:sz="12" w:space="0" w:color="auto"/>
            </w:tcBorders>
          </w:tcPr>
          <w:p w14:paraId="40841737" w14:textId="77777777" w:rsidR="004515FC" w:rsidRPr="002858D6" w:rsidRDefault="004515FC" w:rsidP="0029161D">
            <w:pPr>
              <w:ind w:right="-29"/>
              <w:jc w:val="center"/>
              <w:rPr>
                <w:noProof/>
                <w:sz w:val="18"/>
              </w:rPr>
            </w:pPr>
          </w:p>
        </w:tc>
        <w:tc>
          <w:tcPr>
            <w:tcW w:w="720" w:type="dxa"/>
            <w:tcBorders>
              <w:bottom w:val="single" w:sz="12" w:space="0" w:color="auto"/>
            </w:tcBorders>
          </w:tcPr>
          <w:p w14:paraId="267B6243" w14:textId="77777777" w:rsidR="004515FC" w:rsidRPr="002858D6" w:rsidRDefault="004515FC" w:rsidP="0029161D">
            <w:pPr>
              <w:ind w:right="-29"/>
              <w:jc w:val="center"/>
              <w:rPr>
                <w:noProof/>
                <w:sz w:val="18"/>
              </w:rPr>
            </w:pPr>
          </w:p>
        </w:tc>
        <w:tc>
          <w:tcPr>
            <w:tcW w:w="900" w:type="dxa"/>
            <w:tcBorders>
              <w:bottom w:val="single" w:sz="12" w:space="0" w:color="auto"/>
            </w:tcBorders>
          </w:tcPr>
          <w:p w14:paraId="6675708A" w14:textId="77777777" w:rsidR="004515FC" w:rsidRPr="002858D6" w:rsidRDefault="004515FC" w:rsidP="0029161D">
            <w:pPr>
              <w:ind w:right="-29"/>
              <w:jc w:val="center"/>
              <w:rPr>
                <w:noProof/>
                <w:sz w:val="18"/>
              </w:rPr>
            </w:pPr>
          </w:p>
        </w:tc>
        <w:tc>
          <w:tcPr>
            <w:tcW w:w="720" w:type="dxa"/>
            <w:gridSpan w:val="2"/>
            <w:tcBorders>
              <w:bottom w:val="single" w:sz="12" w:space="0" w:color="auto"/>
            </w:tcBorders>
          </w:tcPr>
          <w:p w14:paraId="426B53EC" w14:textId="77777777" w:rsidR="004515FC" w:rsidRPr="002858D6" w:rsidRDefault="004515FC" w:rsidP="0029161D">
            <w:pPr>
              <w:ind w:right="-29"/>
              <w:jc w:val="center"/>
              <w:rPr>
                <w:noProof/>
                <w:sz w:val="18"/>
              </w:rPr>
            </w:pPr>
          </w:p>
        </w:tc>
        <w:tc>
          <w:tcPr>
            <w:tcW w:w="540" w:type="dxa"/>
            <w:tcBorders>
              <w:bottom w:val="single" w:sz="12" w:space="0" w:color="auto"/>
            </w:tcBorders>
          </w:tcPr>
          <w:p w14:paraId="2A7F4CE4" w14:textId="77777777" w:rsidR="004515FC" w:rsidRPr="002858D6" w:rsidRDefault="004515FC" w:rsidP="0029161D">
            <w:pPr>
              <w:ind w:right="-29"/>
              <w:jc w:val="center"/>
              <w:rPr>
                <w:noProof/>
                <w:sz w:val="18"/>
              </w:rPr>
            </w:pPr>
          </w:p>
        </w:tc>
        <w:tc>
          <w:tcPr>
            <w:tcW w:w="648" w:type="dxa"/>
            <w:tcBorders>
              <w:bottom w:val="single" w:sz="12" w:space="0" w:color="auto"/>
            </w:tcBorders>
          </w:tcPr>
          <w:p w14:paraId="70B59D98" w14:textId="77777777" w:rsidR="004515FC" w:rsidRPr="002858D6" w:rsidRDefault="004515FC" w:rsidP="0029161D">
            <w:pPr>
              <w:ind w:right="-29"/>
              <w:jc w:val="center"/>
              <w:rPr>
                <w:noProof/>
                <w:sz w:val="18"/>
              </w:rPr>
            </w:pPr>
          </w:p>
        </w:tc>
        <w:tc>
          <w:tcPr>
            <w:tcW w:w="432" w:type="dxa"/>
            <w:tcBorders>
              <w:bottom w:val="single" w:sz="12" w:space="0" w:color="auto"/>
            </w:tcBorders>
          </w:tcPr>
          <w:p w14:paraId="026BB719" w14:textId="77777777" w:rsidR="004515FC" w:rsidRPr="002858D6" w:rsidRDefault="004515FC" w:rsidP="0029161D">
            <w:pPr>
              <w:ind w:right="-29"/>
              <w:jc w:val="center"/>
              <w:rPr>
                <w:noProof/>
                <w:sz w:val="18"/>
              </w:rPr>
            </w:pPr>
          </w:p>
        </w:tc>
        <w:tc>
          <w:tcPr>
            <w:tcW w:w="720" w:type="dxa"/>
            <w:tcBorders>
              <w:bottom w:val="single" w:sz="12" w:space="0" w:color="auto"/>
            </w:tcBorders>
          </w:tcPr>
          <w:p w14:paraId="795BFCB1" w14:textId="77777777" w:rsidR="004515FC" w:rsidRPr="002858D6" w:rsidRDefault="004515FC" w:rsidP="0029161D">
            <w:pPr>
              <w:ind w:right="-29"/>
              <w:jc w:val="center"/>
              <w:rPr>
                <w:noProof/>
                <w:sz w:val="18"/>
              </w:rPr>
            </w:pPr>
          </w:p>
        </w:tc>
        <w:tc>
          <w:tcPr>
            <w:tcW w:w="540" w:type="dxa"/>
            <w:tcBorders>
              <w:bottom w:val="single" w:sz="12" w:space="0" w:color="auto"/>
            </w:tcBorders>
          </w:tcPr>
          <w:p w14:paraId="58F9FE80" w14:textId="77777777" w:rsidR="004515FC" w:rsidRPr="002858D6" w:rsidRDefault="004515FC" w:rsidP="0029161D">
            <w:pPr>
              <w:ind w:right="-29"/>
              <w:jc w:val="center"/>
              <w:rPr>
                <w:noProof/>
                <w:sz w:val="18"/>
              </w:rPr>
            </w:pPr>
          </w:p>
        </w:tc>
        <w:tc>
          <w:tcPr>
            <w:tcW w:w="720" w:type="dxa"/>
            <w:tcBorders>
              <w:bottom w:val="single" w:sz="12" w:space="0" w:color="auto"/>
            </w:tcBorders>
          </w:tcPr>
          <w:p w14:paraId="09A54A26" w14:textId="77777777" w:rsidR="004515FC" w:rsidRPr="002858D6" w:rsidRDefault="004515FC" w:rsidP="0029161D">
            <w:pPr>
              <w:ind w:right="-29"/>
              <w:jc w:val="center"/>
              <w:rPr>
                <w:noProof/>
                <w:sz w:val="18"/>
              </w:rPr>
            </w:pPr>
          </w:p>
        </w:tc>
        <w:tc>
          <w:tcPr>
            <w:tcW w:w="720" w:type="dxa"/>
            <w:tcBorders>
              <w:bottom w:val="single" w:sz="12" w:space="0" w:color="auto"/>
            </w:tcBorders>
          </w:tcPr>
          <w:p w14:paraId="251A3886" w14:textId="77777777" w:rsidR="004515FC" w:rsidRPr="002858D6" w:rsidRDefault="004515FC" w:rsidP="0029161D">
            <w:pPr>
              <w:ind w:right="-29"/>
              <w:jc w:val="center"/>
              <w:rPr>
                <w:noProof/>
                <w:sz w:val="18"/>
              </w:rPr>
            </w:pPr>
          </w:p>
        </w:tc>
        <w:tc>
          <w:tcPr>
            <w:tcW w:w="900" w:type="dxa"/>
            <w:tcBorders>
              <w:bottom w:val="single" w:sz="12" w:space="0" w:color="auto"/>
            </w:tcBorders>
          </w:tcPr>
          <w:p w14:paraId="79F7204D" w14:textId="77777777" w:rsidR="004515FC" w:rsidRPr="002858D6" w:rsidRDefault="004515FC" w:rsidP="0029161D">
            <w:pPr>
              <w:ind w:right="-29"/>
              <w:jc w:val="center"/>
              <w:rPr>
                <w:noProof/>
                <w:sz w:val="18"/>
              </w:rPr>
            </w:pPr>
          </w:p>
        </w:tc>
      </w:tr>
      <w:tr w:rsidR="004515FC" w:rsidRPr="002858D6" w14:paraId="344EDAB2" w14:textId="77777777" w:rsidTr="0029161D">
        <w:trPr>
          <w:jc w:val="center"/>
        </w:trPr>
        <w:tc>
          <w:tcPr>
            <w:tcW w:w="2844" w:type="dxa"/>
            <w:gridSpan w:val="3"/>
            <w:vAlign w:val="center"/>
          </w:tcPr>
          <w:p w14:paraId="2DFF2810" w14:textId="77777777" w:rsidR="004515FC" w:rsidRPr="002858D6" w:rsidRDefault="004515FC" w:rsidP="0029161D">
            <w:pPr>
              <w:spacing w:before="60" w:after="60"/>
              <w:ind w:right="-29"/>
              <w:jc w:val="center"/>
              <w:rPr>
                <w:noProof/>
                <w:sz w:val="18"/>
              </w:rPr>
            </w:pPr>
            <w:r w:rsidRPr="002858D6">
              <w:rPr>
                <w:noProof/>
                <w:sz w:val="18"/>
              </w:rPr>
              <w:t>OBJETIVO ESPECÍFICO N.º 2 …</w:t>
            </w:r>
          </w:p>
        </w:tc>
        <w:tc>
          <w:tcPr>
            <w:tcW w:w="504" w:type="dxa"/>
            <w:tcBorders>
              <w:top w:val="nil"/>
              <w:left w:val="nil"/>
              <w:bottom w:val="nil"/>
              <w:right w:val="nil"/>
            </w:tcBorders>
          </w:tcPr>
          <w:p w14:paraId="30B0BCCA" w14:textId="77777777" w:rsidR="004515FC" w:rsidRPr="002858D6" w:rsidRDefault="004515FC" w:rsidP="0029161D">
            <w:pPr>
              <w:spacing w:before="60" w:after="60"/>
              <w:ind w:right="-29"/>
              <w:jc w:val="center"/>
              <w:rPr>
                <w:noProof/>
                <w:sz w:val="18"/>
              </w:rPr>
            </w:pPr>
          </w:p>
        </w:tc>
        <w:tc>
          <w:tcPr>
            <w:tcW w:w="720" w:type="dxa"/>
            <w:tcBorders>
              <w:top w:val="nil"/>
              <w:left w:val="nil"/>
              <w:bottom w:val="nil"/>
              <w:right w:val="nil"/>
            </w:tcBorders>
          </w:tcPr>
          <w:p w14:paraId="07475619" w14:textId="77777777" w:rsidR="004515FC" w:rsidRPr="002858D6" w:rsidRDefault="004515FC" w:rsidP="0029161D">
            <w:pPr>
              <w:spacing w:before="60" w:after="60"/>
              <w:ind w:right="-29"/>
              <w:jc w:val="center"/>
              <w:rPr>
                <w:noProof/>
                <w:sz w:val="18"/>
              </w:rPr>
            </w:pPr>
          </w:p>
        </w:tc>
        <w:tc>
          <w:tcPr>
            <w:tcW w:w="540" w:type="dxa"/>
            <w:tcBorders>
              <w:top w:val="nil"/>
              <w:left w:val="nil"/>
              <w:bottom w:val="nil"/>
              <w:right w:val="nil"/>
            </w:tcBorders>
          </w:tcPr>
          <w:p w14:paraId="56BE9FD9" w14:textId="77777777" w:rsidR="004515FC" w:rsidRPr="002858D6" w:rsidRDefault="004515FC" w:rsidP="0029161D">
            <w:pPr>
              <w:spacing w:before="60" w:after="60"/>
              <w:ind w:right="-29"/>
              <w:jc w:val="center"/>
              <w:rPr>
                <w:noProof/>
                <w:sz w:val="18"/>
              </w:rPr>
            </w:pPr>
          </w:p>
        </w:tc>
        <w:tc>
          <w:tcPr>
            <w:tcW w:w="720" w:type="dxa"/>
            <w:tcBorders>
              <w:top w:val="nil"/>
              <w:left w:val="nil"/>
              <w:bottom w:val="nil"/>
              <w:right w:val="nil"/>
            </w:tcBorders>
          </w:tcPr>
          <w:p w14:paraId="6A072C75" w14:textId="77777777" w:rsidR="004515FC" w:rsidRPr="002858D6" w:rsidRDefault="004515FC" w:rsidP="0029161D">
            <w:pPr>
              <w:spacing w:before="60" w:after="60"/>
              <w:ind w:right="-29"/>
              <w:jc w:val="center"/>
              <w:rPr>
                <w:noProof/>
                <w:sz w:val="18"/>
              </w:rPr>
            </w:pPr>
          </w:p>
        </w:tc>
        <w:tc>
          <w:tcPr>
            <w:tcW w:w="720" w:type="dxa"/>
            <w:tcBorders>
              <w:top w:val="nil"/>
              <w:left w:val="nil"/>
              <w:bottom w:val="nil"/>
              <w:right w:val="nil"/>
            </w:tcBorders>
          </w:tcPr>
          <w:p w14:paraId="30418289" w14:textId="77777777" w:rsidR="004515FC" w:rsidRPr="002858D6" w:rsidRDefault="004515FC" w:rsidP="0029161D">
            <w:pPr>
              <w:spacing w:before="60" w:after="60"/>
              <w:ind w:right="-29"/>
              <w:jc w:val="center"/>
              <w:rPr>
                <w:noProof/>
                <w:sz w:val="18"/>
              </w:rPr>
            </w:pPr>
          </w:p>
        </w:tc>
        <w:tc>
          <w:tcPr>
            <w:tcW w:w="720" w:type="dxa"/>
            <w:tcBorders>
              <w:top w:val="nil"/>
              <w:left w:val="nil"/>
              <w:bottom w:val="nil"/>
              <w:right w:val="nil"/>
            </w:tcBorders>
          </w:tcPr>
          <w:p w14:paraId="5C39892D" w14:textId="77777777" w:rsidR="004515FC" w:rsidRPr="002858D6" w:rsidRDefault="004515FC" w:rsidP="0029161D">
            <w:pPr>
              <w:spacing w:before="60" w:after="60"/>
              <w:ind w:right="-29"/>
              <w:jc w:val="center"/>
              <w:rPr>
                <w:noProof/>
                <w:sz w:val="18"/>
              </w:rPr>
            </w:pPr>
          </w:p>
        </w:tc>
        <w:tc>
          <w:tcPr>
            <w:tcW w:w="900" w:type="dxa"/>
            <w:tcBorders>
              <w:top w:val="nil"/>
              <w:left w:val="nil"/>
              <w:bottom w:val="nil"/>
              <w:right w:val="nil"/>
            </w:tcBorders>
          </w:tcPr>
          <w:p w14:paraId="26506129" w14:textId="77777777" w:rsidR="004515FC" w:rsidRPr="002858D6" w:rsidRDefault="004515FC" w:rsidP="0029161D">
            <w:pPr>
              <w:spacing w:before="60" w:after="60"/>
              <w:ind w:right="-29"/>
              <w:jc w:val="center"/>
              <w:rPr>
                <w:noProof/>
                <w:sz w:val="18"/>
              </w:rPr>
            </w:pPr>
          </w:p>
        </w:tc>
        <w:tc>
          <w:tcPr>
            <w:tcW w:w="720" w:type="dxa"/>
            <w:gridSpan w:val="2"/>
            <w:tcBorders>
              <w:top w:val="nil"/>
              <w:left w:val="nil"/>
              <w:bottom w:val="nil"/>
              <w:right w:val="nil"/>
            </w:tcBorders>
          </w:tcPr>
          <w:p w14:paraId="74AC2541" w14:textId="77777777" w:rsidR="004515FC" w:rsidRPr="002858D6" w:rsidRDefault="004515FC" w:rsidP="0029161D">
            <w:pPr>
              <w:spacing w:before="60" w:after="60"/>
              <w:ind w:right="-29"/>
              <w:jc w:val="center"/>
              <w:rPr>
                <w:noProof/>
                <w:sz w:val="18"/>
              </w:rPr>
            </w:pPr>
          </w:p>
        </w:tc>
        <w:tc>
          <w:tcPr>
            <w:tcW w:w="540" w:type="dxa"/>
            <w:tcBorders>
              <w:top w:val="nil"/>
              <w:left w:val="nil"/>
              <w:bottom w:val="nil"/>
              <w:right w:val="nil"/>
            </w:tcBorders>
          </w:tcPr>
          <w:p w14:paraId="0B1E13C5" w14:textId="77777777" w:rsidR="004515FC" w:rsidRPr="002858D6" w:rsidRDefault="004515FC" w:rsidP="0029161D">
            <w:pPr>
              <w:spacing w:before="60" w:after="60"/>
              <w:ind w:right="-29"/>
              <w:jc w:val="center"/>
              <w:rPr>
                <w:noProof/>
                <w:sz w:val="18"/>
              </w:rPr>
            </w:pPr>
          </w:p>
        </w:tc>
        <w:tc>
          <w:tcPr>
            <w:tcW w:w="648" w:type="dxa"/>
            <w:tcBorders>
              <w:top w:val="nil"/>
              <w:left w:val="nil"/>
              <w:bottom w:val="nil"/>
              <w:right w:val="nil"/>
            </w:tcBorders>
          </w:tcPr>
          <w:p w14:paraId="1BE92870" w14:textId="77777777" w:rsidR="004515FC" w:rsidRPr="002858D6" w:rsidRDefault="004515FC" w:rsidP="0029161D">
            <w:pPr>
              <w:spacing w:before="60" w:after="60"/>
              <w:ind w:right="-29"/>
              <w:jc w:val="center"/>
              <w:rPr>
                <w:noProof/>
                <w:sz w:val="18"/>
              </w:rPr>
            </w:pPr>
          </w:p>
        </w:tc>
        <w:tc>
          <w:tcPr>
            <w:tcW w:w="432" w:type="dxa"/>
            <w:tcBorders>
              <w:top w:val="nil"/>
              <w:left w:val="nil"/>
              <w:bottom w:val="nil"/>
              <w:right w:val="nil"/>
            </w:tcBorders>
          </w:tcPr>
          <w:p w14:paraId="5AC1092F" w14:textId="77777777" w:rsidR="004515FC" w:rsidRPr="002858D6" w:rsidRDefault="004515FC" w:rsidP="0029161D">
            <w:pPr>
              <w:spacing w:before="60" w:after="60"/>
              <w:ind w:right="-29"/>
              <w:jc w:val="center"/>
              <w:rPr>
                <w:noProof/>
                <w:sz w:val="18"/>
              </w:rPr>
            </w:pPr>
          </w:p>
        </w:tc>
        <w:tc>
          <w:tcPr>
            <w:tcW w:w="720" w:type="dxa"/>
            <w:tcBorders>
              <w:top w:val="nil"/>
              <w:left w:val="nil"/>
              <w:bottom w:val="nil"/>
              <w:right w:val="nil"/>
            </w:tcBorders>
          </w:tcPr>
          <w:p w14:paraId="3A8A2844" w14:textId="77777777" w:rsidR="004515FC" w:rsidRPr="002858D6" w:rsidRDefault="004515FC" w:rsidP="0029161D">
            <w:pPr>
              <w:spacing w:before="60" w:after="60"/>
              <w:ind w:right="-29"/>
              <w:jc w:val="center"/>
              <w:rPr>
                <w:noProof/>
                <w:sz w:val="18"/>
              </w:rPr>
            </w:pPr>
          </w:p>
        </w:tc>
        <w:tc>
          <w:tcPr>
            <w:tcW w:w="540" w:type="dxa"/>
            <w:tcBorders>
              <w:top w:val="nil"/>
              <w:left w:val="nil"/>
              <w:bottom w:val="nil"/>
              <w:right w:val="nil"/>
            </w:tcBorders>
          </w:tcPr>
          <w:p w14:paraId="61378A86" w14:textId="77777777" w:rsidR="004515FC" w:rsidRPr="002858D6" w:rsidRDefault="004515FC" w:rsidP="0029161D">
            <w:pPr>
              <w:spacing w:before="60" w:after="60"/>
              <w:ind w:right="-29"/>
              <w:jc w:val="center"/>
              <w:rPr>
                <w:noProof/>
                <w:sz w:val="18"/>
              </w:rPr>
            </w:pPr>
          </w:p>
        </w:tc>
        <w:tc>
          <w:tcPr>
            <w:tcW w:w="720" w:type="dxa"/>
            <w:tcBorders>
              <w:top w:val="nil"/>
              <w:left w:val="nil"/>
              <w:bottom w:val="nil"/>
              <w:right w:val="nil"/>
            </w:tcBorders>
          </w:tcPr>
          <w:p w14:paraId="2ACA1E02" w14:textId="77777777" w:rsidR="004515FC" w:rsidRPr="002858D6" w:rsidRDefault="004515FC" w:rsidP="0029161D">
            <w:pPr>
              <w:spacing w:before="60" w:after="60"/>
              <w:ind w:right="-29"/>
              <w:jc w:val="center"/>
              <w:rPr>
                <w:noProof/>
                <w:sz w:val="18"/>
              </w:rPr>
            </w:pPr>
          </w:p>
        </w:tc>
        <w:tc>
          <w:tcPr>
            <w:tcW w:w="720" w:type="dxa"/>
            <w:tcBorders>
              <w:top w:val="nil"/>
              <w:left w:val="nil"/>
              <w:bottom w:val="nil"/>
              <w:right w:val="nil"/>
            </w:tcBorders>
          </w:tcPr>
          <w:p w14:paraId="26EDF8B6" w14:textId="77777777" w:rsidR="004515FC" w:rsidRPr="002858D6" w:rsidRDefault="004515FC" w:rsidP="0029161D">
            <w:pPr>
              <w:spacing w:before="60" w:after="60"/>
              <w:ind w:right="-29"/>
              <w:jc w:val="center"/>
              <w:rPr>
                <w:noProof/>
                <w:sz w:val="18"/>
              </w:rPr>
            </w:pPr>
          </w:p>
        </w:tc>
        <w:tc>
          <w:tcPr>
            <w:tcW w:w="900" w:type="dxa"/>
            <w:tcBorders>
              <w:top w:val="nil"/>
              <w:left w:val="nil"/>
              <w:bottom w:val="nil"/>
              <w:right w:val="nil"/>
            </w:tcBorders>
          </w:tcPr>
          <w:p w14:paraId="126B2A9F" w14:textId="77777777" w:rsidR="004515FC" w:rsidRPr="002858D6" w:rsidRDefault="004515FC" w:rsidP="0029161D">
            <w:pPr>
              <w:spacing w:before="60" w:after="60"/>
              <w:ind w:right="-29"/>
              <w:jc w:val="center"/>
              <w:rPr>
                <w:noProof/>
                <w:sz w:val="18"/>
              </w:rPr>
            </w:pPr>
          </w:p>
        </w:tc>
      </w:tr>
      <w:tr w:rsidR="004515FC" w:rsidRPr="002858D6" w14:paraId="18003959" w14:textId="77777777" w:rsidTr="0029161D">
        <w:trPr>
          <w:trHeight w:hRule="exact" w:val="369"/>
          <w:jc w:val="center"/>
        </w:trPr>
        <w:tc>
          <w:tcPr>
            <w:tcW w:w="1423" w:type="dxa"/>
          </w:tcPr>
          <w:p w14:paraId="5028BCB3" w14:textId="77777777" w:rsidR="004515FC" w:rsidRPr="002858D6" w:rsidRDefault="004515FC" w:rsidP="0029161D">
            <w:pPr>
              <w:ind w:right="-29"/>
              <w:jc w:val="center"/>
              <w:rPr>
                <w:noProof/>
                <w:sz w:val="18"/>
              </w:rPr>
            </w:pPr>
            <w:r w:rsidRPr="002858D6">
              <w:rPr>
                <w:noProof/>
                <w:sz w:val="18"/>
              </w:rPr>
              <w:t>- Realização</w:t>
            </w:r>
          </w:p>
        </w:tc>
        <w:tc>
          <w:tcPr>
            <w:tcW w:w="720" w:type="dxa"/>
          </w:tcPr>
          <w:p w14:paraId="45DBF74B" w14:textId="77777777" w:rsidR="004515FC" w:rsidRPr="002858D6" w:rsidRDefault="004515FC" w:rsidP="0029161D">
            <w:pPr>
              <w:ind w:right="-29"/>
              <w:jc w:val="center"/>
              <w:rPr>
                <w:noProof/>
                <w:sz w:val="18"/>
              </w:rPr>
            </w:pPr>
          </w:p>
        </w:tc>
        <w:tc>
          <w:tcPr>
            <w:tcW w:w="701" w:type="dxa"/>
          </w:tcPr>
          <w:p w14:paraId="22AAD10A" w14:textId="77777777" w:rsidR="004515FC" w:rsidRPr="002858D6" w:rsidRDefault="004515FC" w:rsidP="0029161D">
            <w:pPr>
              <w:ind w:right="-29"/>
              <w:jc w:val="center"/>
              <w:rPr>
                <w:noProof/>
                <w:sz w:val="18"/>
              </w:rPr>
            </w:pPr>
          </w:p>
        </w:tc>
        <w:tc>
          <w:tcPr>
            <w:tcW w:w="504" w:type="dxa"/>
          </w:tcPr>
          <w:p w14:paraId="0E22297A" w14:textId="77777777" w:rsidR="004515FC" w:rsidRPr="002858D6" w:rsidRDefault="004515FC" w:rsidP="0029161D">
            <w:pPr>
              <w:ind w:right="-29"/>
              <w:jc w:val="center"/>
              <w:rPr>
                <w:noProof/>
                <w:sz w:val="18"/>
              </w:rPr>
            </w:pPr>
          </w:p>
        </w:tc>
        <w:tc>
          <w:tcPr>
            <w:tcW w:w="720" w:type="dxa"/>
          </w:tcPr>
          <w:p w14:paraId="4F9DF3AD" w14:textId="77777777" w:rsidR="004515FC" w:rsidRPr="002858D6" w:rsidRDefault="004515FC" w:rsidP="0029161D">
            <w:pPr>
              <w:ind w:right="-29"/>
              <w:jc w:val="center"/>
              <w:rPr>
                <w:noProof/>
                <w:sz w:val="18"/>
              </w:rPr>
            </w:pPr>
          </w:p>
        </w:tc>
        <w:tc>
          <w:tcPr>
            <w:tcW w:w="540" w:type="dxa"/>
          </w:tcPr>
          <w:p w14:paraId="799A2330" w14:textId="77777777" w:rsidR="004515FC" w:rsidRPr="002858D6" w:rsidRDefault="004515FC" w:rsidP="0029161D">
            <w:pPr>
              <w:ind w:right="-29"/>
              <w:jc w:val="center"/>
              <w:rPr>
                <w:noProof/>
                <w:sz w:val="18"/>
              </w:rPr>
            </w:pPr>
          </w:p>
        </w:tc>
        <w:tc>
          <w:tcPr>
            <w:tcW w:w="720" w:type="dxa"/>
          </w:tcPr>
          <w:p w14:paraId="2944E57F" w14:textId="77777777" w:rsidR="004515FC" w:rsidRPr="002858D6" w:rsidRDefault="004515FC" w:rsidP="0029161D">
            <w:pPr>
              <w:ind w:right="-29"/>
              <w:jc w:val="center"/>
              <w:rPr>
                <w:noProof/>
                <w:sz w:val="18"/>
              </w:rPr>
            </w:pPr>
          </w:p>
        </w:tc>
        <w:tc>
          <w:tcPr>
            <w:tcW w:w="720" w:type="dxa"/>
          </w:tcPr>
          <w:p w14:paraId="5324F2C1" w14:textId="77777777" w:rsidR="004515FC" w:rsidRPr="002858D6" w:rsidRDefault="004515FC" w:rsidP="0029161D">
            <w:pPr>
              <w:ind w:right="-29"/>
              <w:jc w:val="center"/>
              <w:rPr>
                <w:noProof/>
                <w:sz w:val="18"/>
              </w:rPr>
            </w:pPr>
          </w:p>
        </w:tc>
        <w:tc>
          <w:tcPr>
            <w:tcW w:w="720" w:type="dxa"/>
          </w:tcPr>
          <w:p w14:paraId="4B81CA1A" w14:textId="77777777" w:rsidR="004515FC" w:rsidRPr="002858D6" w:rsidRDefault="004515FC" w:rsidP="0029161D">
            <w:pPr>
              <w:ind w:right="-29"/>
              <w:jc w:val="center"/>
              <w:rPr>
                <w:noProof/>
                <w:sz w:val="18"/>
              </w:rPr>
            </w:pPr>
          </w:p>
        </w:tc>
        <w:tc>
          <w:tcPr>
            <w:tcW w:w="900" w:type="dxa"/>
          </w:tcPr>
          <w:p w14:paraId="4D33282D" w14:textId="77777777" w:rsidR="004515FC" w:rsidRPr="002858D6" w:rsidRDefault="004515FC" w:rsidP="0029161D">
            <w:pPr>
              <w:ind w:right="-29"/>
              <w:jc w:val="center"/>
              <w:rPr>
                <w:noProof/>
                <w:sz w:val="18"/>
              </w:rPr>
            </w:pPr>
          </w:p>
        </w:tc>
        <w:tc>
          <w:tcPr>
            <w:tcW w:w="720" w:type="dxa"/>
            <w:gridSpan w:val="2"/>
          </w:tcPr>
          <w:p w14:paraId="3E99334B" w14:textId="77777777" w:rsidR="004515FC" w:rsidRPr="002858D6" w:rsidRDefault="004515FC" w:rsidP="0029161D">
            <w:pPr>
              <w:ind w:right="-29"/>
              <w:jc w:val="center"/>
              <w:rPr>
                <w:noProof/>
                <w:sz w:val="18"/>
              </w:rPr>
            </w:pPr>
          </w:p>
        </w:tc>
        <w:tc>
          <w:tcPr>
            <w:tcW w:w="540" w:type="dxa"/>
          </w:tcPr>
          <w:p w14:paraId="1651A222" w14:textId="77777777" w:rsidR="004515FC" w:rsidRPr="002858D6" w:rsidRDefault="004515FC" w:rsidP="0029161D">
            <w:pPr>
              <w:ind w:right="-29"/>
              <w:jc w:val="center"/>
              <w:rPr>
                <w:noProof/>
                <w:sz w:val="18"/>
              </w:rPr>
            </w:pPr>
          </w:p>
        </w:tc>
        <w:tc>
          <w:tcPr>
            <w:tcW w:w="648" w:type="dxa"/>
          </w:tcPr>
          <w:p w14:paraId="54C5BCAE" w14:textId="77777777" w:rsidR="004515FC" w:rsidRPr="002858D6" w:rsidRDefault="004515FC" w:rsidP="0029161D">
            <w:pPr>
              <w:ind w:right="-29"/>
              <w:jc w:val="center"/>
              <w:rPr>
                <w:noProof/>
                <w:sz w:val="18"/>
              </w:rPr>
            </w:pPr>
          </w:p>
        </w:tc>
        <w:tc>
          <w:tcPr>
            <w:tcW w:w="432" w:type="dxa"/>
          </w:tcPr>
          <w:p w14:paraId="40E4403E" w14:textId="77777777" w:rsidR="004515FC" w:rsidRPr="002858D6" w:rsidRDefault="004515FC" w:rsidP="0029161D">
            <w:pPr>
              <w:ind w:right="-29"/>
              <w:jc w:val="center"/>
              <w:rPr>
                <w:noProof/>
                <w:sz w:val="18"/>
              </w:rPr>
            </w:pPr>
          </w:p>
        </w:tc>
        <w:tc>
          <w:tcPr>
            <w:tcW w:w="720" w:type="dxa"/>
          </w:tcPr>
          <w:p w14:paraId="0F816CFC" w14:textId="77777777" w:rsidR="004515FC" w:rsidRPr="002858D6" w:rsidRDefault="004515FC" w:rsidP="0029161D">
            <w:pPr>
              <w:ind w:right="-29"/>
              <w:jc w:val="center"/>
              <w:rPr>
                <w:noProof/>
                <w:sz w:val="18"/>
              </w:rPr>
            </w:pPr>
          </w:p>
        </w:tc>
        <w:tc>
          <w:tcPr>
            <w:tcW w:w="540" w:type="dxa"/>
          </w:tcPr>
          <w:p w14:paraId="733EA695" w14:textId="77777777" w:rsidR="004515FC" w:rsidRPr="002858D6" w:rsidRDefault="004515FC" w:rsidP="0029161D">
            <w:pPr>
              <w:ind w:right="-29"/>
              <w:jc w:val="center"/>
              <w:rPr>
                <w:noProof/>
                <w:sz w:val="18"/>
              </w:rPr>
            </w:pPr>
          </w:p>
        </w:tc>
        <w:tc>
          <w:tcPr>
            <w:tcW w:w="720" w:type="dxa"/>
          </w:tcPr>
          <w:p w14:paraId="45899452" w14:textId="77777777" w:rsidR="004515FC" w:rsidRPr="002858D6" w:rsidRDefault="004515FC" w:rsidP="0029161D">
            <w:pPr>
              <w:ind w:right="-29"/>
              <w:jc w:val="center"/>
              <w:rPr>
                <w:noProof/>
                <w:sz w:val="18"/>
              </w:rPr>
            </w:pPr>
          </w:p>
        </w:tc>
        <w:tc>
          <w:tcPr>
            <w:tcW w:w="720" w:type="dxa"/>
          </w:tcPr>
          <w:p w14:paraId="4A0BE0BC" w14:textId="77777777" w:rsidR="004515FC" w:rsidRPr="002858D6" w:rsidRDefault="004515FC" w:rsidP="0029161D">
            <w:pPr>
              <w:ind w:right="-29"/>
              <w:jc w:val="center"/>
              <w:rPr>
                <w:noProof/>
                <w:sz w:val="18"/>
              </w:rPr>
            </w:pPr>
          </w:p>
        </w:tc>
        <w:tc>
          <w:tcPr>
            <w:tcW w:w="900" w:type="dxa"/>
          </w:tcPr>
          <w:p w14:paraId="44B9690F" w14:textId="77777777" w:rsidR="004515FC" w:rsidRPr="002858D6" w:rsidRDefault="004515FC" w:rsidP="0029161D">
            <w:pPr>
              <w:ind w:right="-29"/>
              <w:jc w:val="center"/>
              <w:rPr>
                <w:noProof/>
                <w:sz w:val="18"/>
              </w:rPr>
            </w:pPr>
          </w:p>
        </w:tc>
      </w:tr>
      <w:tr w:rsidR="004515FC" w:rsidRPr="002858D6" w14:paraId="15DA7894" w14:textId="77777777" w:rsidTr="0029161D">
        <w:trPr>
          <w:jc w:val="center"/>
        </w:trPr>
        <w:tc>
          <w:tcPr>
            <w:tcW w:w="2844" w:type="dxa"/>
            <w:gridSpan w:val="3"/>
            <w:tcBorders>
              <w:bottom w:val="single" w:sz="12" w:space="0" w:color="auto"/>
            </w:tcBorders>
            <w:vAlign w:val="center"/>
          </w:tcPr>
          <w:p w14:paraId="5BA4B717" w14:textId="77777777" w:rsidR="004515FC" w:rsidRPr="002858D6" w:rsidRDefault="004515FC" w:rsidP="0029161D">
            <w:pPr>
              <w:jc w:val="center"/>
              <w:rPr>
                <w:noProof/>
                <w:sz w:val="18"/>
              </w:rPr>
            </w:pPr>
            <w:r w:rsidRPr="002858D6">
              <w:rPr>
                <w:noProof/>
                <w:sz w:val="18"/>
              </w:rPr>
              <w:t>Subtotal do objetivo específico n.º 2</w:t>
            </w:r>
          </w:p>
        </w:tc>
        <w:tc>
          <w:tcPr>
            <w:tcW w:w="504" w:type="dxa"/>
            <w:tcBorders>
              <w:bottom w:val="single" w:sz="12" w:space="0" w:color="auto"/>
            </w:tcBorders>
          </w:tcPr>
          <w:p w14:paraId="5910CA31" w14:textId="77777777" w:rsidR="004515FC" w:rsidRPr="002858D6" w:rsidRDefault="004515FC" w:rsidP="0029161D">
            <w:pPr>
              <w:ind w:right="-29"/>
              <w:jc w:val="center"/>
              <w:rPr>
                <w:noProof/>
                <w:sz w:val="18"/>
              </w:rPr>
            </w:pPr>
          </w:p>
        </w:tc>
        <w:tc>
          <w:tcPr>
            <w:tcW w:w="720" w:type="dxa"/>
            <w:tcBorders>
              <w:bottom w:val="single" w:sz="12" w:space="0" w:color="auto"/>
            </w:tcBorders>
          </w:tcPr>
          <w:p w14:paraId="742995A9" w14:textId="77777777" w:rsidR="004515FC" w:rsidRPr="002858D6" w:rsidRDefault="004515FC" w:rsidP="0029161D">
            <w:pPr>
              <w:ind w:right="-29"/>
              <w:jc w:val="center"/>
              <w:rPr>
                <w:noProof/>
                <w:sz w:val="18"/>
              </w:rPr>
            </w:pPr>
          </w:p>
        </w:tc>
        <w:tc>
          <w:tcPr>
            <w:tcW w:w="540" w:type="dxa"/>
            <w:tcBorders>
              <w:bottom w:val="single" w:sz="12" w:space="0" w:color="auto"/>
            </w:tcBorders>
          </w:tcPr>
          <w:p w14:paraId="7A5F68C1" w14:textId="77777777" w:rsidR="004515FC" w:rsidRPr="002858D6" w:rsidRDefault="004515FC" w:rsidP="0029161D">
            <w:pPr>
              <w:ind w:right="-29"/>
              <w:jc w:val="center"/>
              <w:rPr>
                <w:noProof/>
                <w:sz w:val="18"/>
              </w:rPr>
            </w:pPr>
          </w:p>
        </w:tc>
        <w:tc>
          <w:tcPr>
            <w:tcW w:w="720" w:type="dxa"/>
            <w:tcBorders>
              <w:bottom w:val="single" w:sz="12" w:space="0" w:color="auto"/>
            </w:tcBorders>
          </w:tcPr>
          <w:p w14:paraId="3942B7C3" w14:textId="77777777" w:rsidR="004515FC" w:rsidRPr="002858D6" w:rsidRDefault="004515FC" w:rsidP="0029161D">
            <w:pPr>
              <w:ind w:right="-29"/>
              <w:jc w:val="center"/>
              <w:rPr>
                <w:noProof/>
                <w:sz w:val="18"/>
              </w:rPr>
            </w:pPr>
          </w:p>
        </w:tc>
        <w:tc>
          <w:tcPr>
            <w:tcW w:w="720" w:type="dxa"/>
            <w:tcBorders>
              <w:bottom w:val="single" w:sz="12" w:space="0" w:color="auto"/>
            </w:tcBorders>
          </w:tcPr>
          <w:p w14:paraId="4F909339" w14:textId="77777777" w:rsidR="004515FC" w:rsidRPr="002858D6" w:rsidRDefault="004515FC" w:rsidP="0029161D">
            <w:pPr>
              <w:ind w:right="-29"/>
              <w:jc w:val="center"/>
              <w:rPr>
                <w:noProof/>
                <w:sz w:val="18"/>
              </w:rPr>
            </w:pPr>
          </w:p>
        </w:tc>
        <w:tc>
          <w:tcPr>
            <w:tcW w:w="720" w:type="dxa"/>
            <w:tcBorders>
              <w:bottom w:val="single" w:sz="12" w:space="0" w:color="auto"/>
            </w:tcBorders>
          </w:tcPr>
          <w:p w14:paraId="786CD44F" w14:textId="77777777" w:rsidR="004515FC" w:rsidRPr="002858D6" w:rsidRDefault="004515FC" w:rsidP="0029161D">
            <w:pPr>
              <w:ind w:right="-29"/>
              <w:jc w:val="center"/>
              <w:rPr>
                <w:noProof/>
                <w:sz w:val="18"/>
              </w:rPr>
            </w:pPr>
          </w:p>
        </w:tc>
        <w:tc>
          <w:tcPr>
            <w:tcW w:w="951" w:type="dxa"/>
            <w:gridSpan w:val="2"/>
            <w:tcBorders>
              <w:bottom w:val="single" w:sz="12" w:space="0" w:color="auto"/>
            </w:tcBorders>
          </w:tcPr>
          <w:p w14:paraId="0219DC67" w14:textId="77777777" w:rsidR="004515FC" w:rsidRPr="002858D6" w:rsidRDefault="004515FC" w:rsidP="0029161D">
            <w:pPr>
              <w:ind w:right="-29"/>
              <w:jc w:val="center"/>
              <w:rPr>
                <w:noProof/>
                <w:sz w:val="18"/>
              </w:rPr>
            </w:pPr>
          </w:p>
        </w:tc>
        <w:tc>
          <w:tcPr>
            <w:tcW w:w="669" w:type="dxa"/>
            <w:tcBorders>
              <w:bottom w:val="single" w:sz="12" w:space="0" w:color="auto"/>
            </w:tcBorders>
          </w:tcPr>
          <w:p w14:paraId="35291F14" w14:textId="77777777" w:rsidR="004515FC" w:rsidRPr="002858D6" w:rsidRDefault="004515FC" w:rsidP="0029161D">
            <w:pPr>
              <w:ind w:right="-29"/>
              <w:jc w:val="center"/>
              <w:rPr>
                <w:noProof/>
                <w:sz w:val="18"/>
              </w:rPr>
            </w:pPr>
          </w:p>
        </w:tc>
        <w:tc>
          <w:tcPr>
            <w:tcW w:w="540" w:type="dxa"/>
            <w:tcBorders>
              <w:bottom w:val="single" w:sz="12" w:space="0" w:color="auto"/>
            </w:tcBorders>
          </w:tcPr>
          <w:p w14:paraId="059A1CEF" w14:textId="77777777" w:rsidR="004515FC" w:rsidRPr="002858D6" w:rsidRDefault="004515FC" w:rsidP="0029161D">
            <w:pPr>
              <w:ind w:right="-29"/>
              <w:jc w:val="center"/>
              <w:rPr>
                <w:noProof/>
                <w:sz w:val="18"/>
              </w:rPr>
            </w:pPr>
          </w:p>
        </w:tc>
        <w:tc>
          <w:tcPr>
            <w:tcW w:w="648" w:type="dxa"/>
            <w:tcBorders>
              <w:bottom w:val="single" w:sz="12" w:space="0" w:color="auto"/>
            </w:tcBorders>
          </w:tcPr>
          <w:p w14:paraId="0454BF11" w14:textId="77777777" w:rsidR="004515FC" w:rsidRPr="002858D6" w:rsidRDefault="004515FC" w:rsidP="0029161D">
            <w:pPr>
              <w:ind w:right="-29"/>
              <w:jc w:val="center"/>
              <w:rPr>
                <w:noProof/>
                <w:sz w:val="18"/>
              </w:rPr>
            </w:pPr>
          </w:p>
        </w:tc>
        <w:tc>
          <w:tcPr>
            <w:tcW w:w="432" w:type="dxa"/>
            <w:tcBorders>
              <w:bottom w:val="single" w:sz="12" w:space="0" w:color="auto"/>
            </w:tcBorders>
          </w:tcPr>
          <w:p w14:paraId="4232922B" w14:textId="77777777" w:rsidR="004515FC" w:rsidRPr="002858D6" w:rsidRDefault="004515FC" w:rsidP="0029161D">
            <w:pPr>
              <w:ind w:right="-29"/>
              <w:jc w:val="center"/>
              <w:rPr>
                <w:noProof/>
                <w:sz w:val="18"/>
              </w:rPr>
            </w:pPr>
          </w:p>
        </w:tc>
        <w:tc>
          <w:tcPr>
            <w:tcW w:w="720" w:type="dxa"/>
            <w:tcBorders>
              <w:bottom w:val="single" w:sz="12" w:space="0" w:color="auto"/>
            </w:tcBorders>
          </w:tcPr>
          <w:p w14:paraId="291E4ECB" w14:textId="77777777" w:rsidR="004515FC" w:rsidRPr="002858D6" w:rsidRDefault="004515FC" w:rsidP="0029161D">
            <w:pPr>
              <w:ind w:right="-29"/>
              <w:jc w:val="center"/>
              <w:rPr>
                <w:noProof/>
                <w:sz w:val="18"/>
              </w:rPr>
            </w:pPr>
          </w:p>
        </w:tc>
        <w:tc>
          <w:tcPr>
            <w:tcW w:w="540" w:type="dxa"/>
            <w:tcBorders>
              <w:bottom w:val="single" w:sz="12" w:space="0" w:color="auto"/>
            </w:tcBorders>
          </w:tcPr>
          <w:p w14:paraId="0AC18D0D" w14:textId="77777777" w:rsidR="004515FC" w:rsidRPr="002858D6" w:rsidRDefault="004515FC" w:rsidP="0029161D">
            <w:pPr>
              <w:ind w:right="-29"/>
              <w:jc w:val="center"/>
              <w:rPr>
                <w:noProof/>
                <w:sz w:val="18"/>
              </w:rPr>
            </w:pPr>
          </w:p>
        </w:tc>
        <w:tc>
          <w:tcPr>
            <w:tcW w:w="720" w:type="dxa"/>
            <w:tcBorders>
              <w:bottom w:val="single" w:sz="12" w:space="0" w:color="auto"/>
            </w:tcBorders>
          </w:tcPr>
          <w:p w14:paraId="3E4CF441" w14:textId="77777777" w:rsidR="004515FC" w:rsidRPr="002858D6" w:rsidRDefault="004515FC" w:rsidP="0029161D">
            <w:pPr>
              <w:ind w:right="-29"/>
              <w:jc w:val="center"/>
              <w:rPr>
                <w:noProof/>
                <w:sz w:val="18"/>
              </w:rPr>
            </w:pPr>
          </w:p>
        </w:tc>
        <w:tc>
          <w:tcPr>
            <w:tcW w:w="720" w:type="dxa"/>
            <w:tcBorders>
              <w:bottom w:val="single" w:sz="12" w:space="0" w:color="auto"/>
            </w:tcBorders>
          </w:tcPr>
          <w:p w14:paraId="294334DC" w14:textId="77777777" w:rsidR="004515FC" w:rsidRPr="002858D6" w:rsidRDefault="004515FC" w:rsidP="0029161D">
            <w:pPr>
              <w:ind w:right="-29"/>
              <w:jc w:val="center"/>
              <w:rPr>
                <w:noProof/>
                <w:sz w:val="18"/>
              </w:rPr>
            </w:pPr>
          </w:p>
        </w:tc>
        <w:tc>
          <w:tcPr>
            <w:tcW w:w="900" w:type="dxa"/>
            <w:tcBorders>
              <w:bottom w:val="single" w:sz="12" w:space="0" w:color="auto"/>
            </w:tcBorders>
          </w:tcPr>
          <w:p w14:paraId="124FAE32" w14:textId="77777777" w:rsidR="004515FC" w:rsidRPr="002858D6" w:rsidRDefault="004515FC" w:rsidP="0029161D">
            <w:pPr>
              <w:ind w:right="-29"/>
              <w:jc w:val="center"/>
              <w:rPr>
                <w:noProof/>
                <w:sz w:val="18"/>
              </w:rPr>
            </w:pPr>
          </w:p>
        </w:tc>
      </w:tr>
      <w:tr w:rsidR="004515FC" w:rsidRPr="002858D6" w14:paraId="22045630" w14:textId="77777777" w:rsidTr="0029161D">
        <w:trPr>
          <w:jc w:val="center"/>
        </w:trPr>
        <w:tc>
          <w:tcPr>
            <w:tcW w:w="2844" w:type="dxa"/>
            <w:gridSpan w:val="3"/>
            <w:tcBorders>
              <w:top w:val="single" w:sz="12" w:space="0" w:color="auto"/>
              <w:left w:val="single" w:sz="12" w:space="0" w:color="auto"/>
              <w:bottom w:val="single" w:sz="12" w:space="0" w:color="auto"/>
            </w:tcBorders>
            <w:vAlign w:val="center"/>
          </w:tcPr>
          <w:p w14:paraId="79507305" w14:textId="77777777" w:rsidR="004515FC" w:rsidRPr="002858D6" w:rsidRDefault="004515FC" w:rsidP="0029161D">
            <w:pPr>
              <w:ind w:right="-29"/>
              <w:jc w:val="center"/>
              <w:rPr>
                <w:noProof/>
                <w:sz w:val="18"/>
              </w:rPr>
            </w:pPr>
            <w:r w:rsidRPr="002858D6">
              <w:rPr>
                <w:b/>
                <w:noProof/>
                <w:sz w:val="18"/>
              </w:rPr>
              <w:t>TOTAIS</w:t>
            </w:r>
          </w:p>
        </w:tc>
        <w:tc>
          <w:tcPr>
            <w:tcW w:w="504" w:type="dxa"/>
            <w:tcBorders>
              <w:top w:val="single" w:sz="12" w:space="0" w:color="auto"/>
              <w:bottom w:val="single" w:sz="12" w:space="0" w:color="auto"/>
            </w:tcBorders>
          </w:tcPr>
          <w:p w14:paraId="1E597BEF" w14:textId="77777777" w:rsidR="004515FC" w:rsidRPr="002858D6"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69F42FB3" w14:textId="77777777" w:rsidR="004515FC" w:rsidRPr="002858D6" w:rsidRDefault="004515FC" w:rsidP="0029161D">
            <w:pPr>
              <w:spacing w:before="180" w:after="180"/>
              <w:ind w:right="-29"/>
              <w:jc w:val="center"/>
              <w:rPr>
                <w:noProof/>
                <w:sz w:val="18"/>
              </w:rPr>
            </w:pPr>
          </w:p>
        </w:tc>
        <w:tc>
          <w:tcPr>
            <w:tcW w:w="540" w:type="dxa"/>
            <w:tcBorders>
              <w:top w:val="single" w:sz="12" w:space="0" w:color="auto"/>
              <w:bottom w:val="single" w:sz="12" w:space="0" w:color="auto"/>
            </w:tcBorders>
          </w:tcPr>
          <w:p w14:paraId="57D6E8DA" w14:textId="77777777" w:rsidR="004515FC" w:rsidRPr="002858D6"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6AAFD294" w14:textId="77777777" w:rsidR="004515FC" w:rsidRPr="002858D6"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762E5A5E" w14:textId="77777777" w:rsidR="004515FC" w:rsidRPr="002858D6"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6B4DC9D9" w14:textId="77777777" w:rsidR="004515FC" w:rsidRPr="002858D6" w:rsidRDefault="004515FC" w:rsidP="0029161D">
            <w:pPr>
              <w:spacing w:before="180" w:after="180"/>
              <w:ind w:right="-29"/>
              <w:jc w:val="center"/>
              <w:rPr>
                <w:noProof/>
                <w:sz w:val="18"/>
              </w:rPr>
            </w:pPr>
          </w:p>
        </w:tc>
        <w:tc>
          <w:tcPr>
            <w:tcW w:w="900" w:type="dxa"/>
            <w:tcBorders>
              <w:top w:val="single" w:sz="12" w:space="0" w:color="auto"/>
              <w:bottom w:val="single" w:sz="12" w:space="0" w:color="auto"/>
            </w:tcBorders>
          </w:tcPr>
          <w:p w14:paraId="224573DC" w14:textId="77777777" w:rsidR="004515FC" w:rsidRPr="002858D6" w:rsidRDefault="004515FC" w:rsidP="0029161D">
            <w:pPr>
              <w:spacing w:before="180" w:after="180"/>
              <w:ind w:right="-29"/>
              <w:jc w:val="center"/>
              <w:rPr>
                <w:noProof/>
                <w:sz w:val="18"/>
              </w:rPr>
            </w:pPr>
          </w:p>
        </w:tc>
        <w:tc>
          <w:tcPr>
            <w:tcW w:w="720" w:type="dxa"/>
            <w:gridSpan w:val="2"/>
            <w:tcBorders>
              <w:top w:val="single" w:sz="12" w:space="0" w:color="auto"/>
              <w:bottom w:val="single" w:sz="12" w:space="0" w:color="auto"/>
            </w:tcBorders>
          </w:tcPr>
          <w:p w14:paraId="5D7A734C" w14:textId="77777777" w:rsidR="004515FC" w:rsidRPr="002858D6" w:rsidRDefault="004515FC" w:rsidP="0029161D">
            <w:pPr>
              <w:spacing w:before="180" w:after="180"/>
              <w:ind w:right="-29"/>
              <w:jc w:val="center"/>
              <w:rPr>
                <w:noProof/>
                <w:sz w:val="18"/>
              </w:rPr>
            </w:pPr>
          </w:p>
        </w:tc>
        <w:tc>
          <w:tcPr>
            <w:tcW w:w="540" w:type="dxa"/>
            <w:tcBorders>
              <w:top w:val="single" w:sz="12" w:space="0" w:color="auto"/>
              <w:bottom w:val="single" w:sz="12" w:space="0" w:color="auto"/>
            </w:tcBorders>
          </w:tcPr>
          <w:p w14:paraId="3DA6032D" w14:textId="77777777" w:rsidR="004515FC" w:rsidRPr="002858D6" w:rsidRDefault="004515FC" w:rsidP="0029161D">
            <w:pPr>
              <w:spacing w:before="180" w:after="180"/>
              <w:ind w:right="-29"/>
              <w:jc w:val="center"/>
              <w:rPr>
                <w:noProof/>
                <w:sz w:val="18"/>
              </w:rPr>
            </w:pPr>
          </w:p>
        </w:tc>
        <w:tc>
          <w:tcPr>
            <w:tcW w:w="648" w:type="dxa"/>
            <w:tcBorders>
              <w:top w:val="single" w:sz="12" w:space="0" w:color="auto"/>
              <w:bottom w:val="single" w:sz="12" w:space="0" w:color="auto"/>
            </w:tcBorders>
          </w:tcPr>
          <w:p w14:paraId="24D4A3A6" w14:textId="77777777" w:rsidR="004515FC" w:rsidRPr="002858D6" w:rsidRDefault="004515FC" w:rsidP="0029161D">
            <w:pPr>
              <w:spacing w:before="180" w:after="180"/>
              <w:ind w:right="-29"/>
              <w:jc w:val="center"/>
              <w:rPr>
                <w:noProof/>
                <w:sz w:val="18"/>
              </w:rPr>
            </w:pPr>
          </w:p>
        </w:tc>
        <w:tc>
          <w:tcPr>
            <w:tcW w:w="432" w:type="dxa"/>
            <w:tcBorders>
              <w:top w:val="single" w:sz="12" w:space="0" w:color="auto"/>
              <w:bottom w:val="single" w:sz="12" w:space="0" w:color="auto"/>
            </w:tcBorders>
          </w:tcPr>
          <w:p w14:paraId="0C96EA07" w14:textId="77777777" w:rsidR="004515FC" w:rsidRPr="002858D6"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149CD667" w14:textId="77777777" w:rsidR="004515FC" w:rsidRPr="002858D6" w:rsidRDefault="004515FC" w:rsidP="0029161D">
            <w:pPr>
              <w:spacing w:before="180" w:after="180"/>
              <w:ind w:right="-29"/>
              <w:jc w:val="center"/>
              <w:rPr>
                <w:noProof/>
                <w:sz w:val="18"/>
              </w:rPr>
            </w:pPr>
          </w:p>
        </w:tc>
        <w:tc>
          <w:tcPr>
            <w:tcW w:w="540" w:type="dxa"/>
            <w:tcBorders>
              <w:top w:val="single" w:sz="12" w:space="0" w:color="auto"/>
              <w:bottom w:val="single" w:sz="12" w:space="0" w:color="auto"/>
            </w:tcBorders>
          </w:tcPr>
          <w:p w14:paraId="5FD9E84F" w14:textId="77777777" w:rsidR="004515FC" w:rsidRPr="002858D6"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45B2160F" w14:textId="77777777" w:rsidR="004515FC" w:rsidRPr="002858D6"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5C0524D9" w14:textId="77777777" w:rsidR="004515FC" w:rsidRPr="002858D6" w:rsidRDefault="004515FC" w:rsidP="0029161D">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14:paraId="4C638C25" w14:textId="77777777" w:rsidR="004515FC" w:rsidRPr="002858D6" w:rsidRDefault="004515FC" w:rsidP="0029161D">
            <w:pPr>
              <w:spacing w:before="180" w:after="180"/>
              <w:ind w:right="-29"/>
              <w:jc w:val="center"/>
              <w:rPr>
                <w:noProof/>
                <w:sz w:val="18"/>
              </w:rPr>
            </w:pPr>
          </w:p>
        </w:tc>
      </w:tr>
    </w:tbl>
    <w:p w14:paraId="1B6B34C0" w14:textId="77777777" w:rsidR="004515FC" w:rsidRPr="002858D6" w:rsidRDefault="004515FC" w:rsidP="004515FC">
      <w:pPr>
        <w:rPr>
          <w:noProof/>
        </w:rPr>
        <w:sectPr w:rsidR="004515FC" w:rsidRPr="002858D6" w:rsidSect="007A1735">
          <w:headerReference w:type="default" r:id="rId23"/>
          <w:footerReference w:type="default" r:id="rId24"/>
          <w:pgSz w:w="16840" w:h="11907" w:orient="landscape" w:code="9"/>
          <w:pgMar w:top="1134" w:right="1418" w:bottom="567" w:left="1418" w:header="709" w:footer="709" w:gutter="0"/>
          <w:cols w:space="708"/>
          <w:docGrid w:linePitch="360"/>
        </w:sectPr>
      </w:pPr>
    </w:p>
    <w:p w14:paraId="7AD35DE6" w14:textId="77777777" w:rsidR="004515FC" w:rsidRPr="002858D6" w:rsidRDefault="004515FC" w:rsidP="004515FC">
      <w:pPr>
        <w:pStyle w:val="ManualHeading3"/>
        <w:rPr>
          <w:noProof/>
        </w:rPr>
      </w:pPr>
      <w:bookmarkStart w:id="65" w:name="_Toc514938055"/>
      <w:bookmarkStart w:id="66" w:name="_Toc520485054"/>
      <w:r w:rsidRPr="002858D6">
        <w:rPr>
          <w:noProof/>
        </w:rPr>
        <w:t>3.2.3.</w:t>
      </w:r>
      <w:r w:rsidRPr="002858D6">
        <w:rPr>
          <w:noProof/>
        </w:rPr>
        <w:tab/>
        <w:t>Síntese do impacto estimado nas dotações administrativas</w:t>
      </w:r>
      <w:bookmarkEnd w:id="65"/>
      <w:bookmarkEnd w:id="66"/>
      <w:r w:rsidRPr="002858D6">
        <w:rPr>
          <w:noProof/>
        </w:rPr>
        <w:t xml:space="preserve"> </w:t>
      </w:r>
    </w:p>
    <w:p w14:paraId="19C62A95" w14:textId="77777777" w:rsidR="004515FC" w:rsidRPr="002858D6" w:rsidRDefault="004515FC" w:rsidP="004515FC">
      <w:pPr>
        <w:pStyle w:val="ListDash1"/>
        <w:rPr>
          <w:noProof/>
        </w:rPr>
      </w:pPr>
      <w:r w:rsidRPr="002858D6">
        <w:rPr>
          <w:rFonts w:ascii="Wingdings" w:hAnsi="Wingdings"/>
          <w:noProof/>
        </w:rPr>
        <w:t></w:t>
      </w:r>
      <w:r w:rsidRPr="002858D6">
        <w:rPr>
          <w:noProof/>
        </w:rPr>
        <w:tab/>
        <w:t xml:space="preserve">A proposta / iniciativa não acarreta a utilização de dotações de natureza administrativa </w:t>
      </w:r>
    </w:p>
    <w:p w14:paraId="625C4A81" w14:textId="77777777" w:rsidR="004515FC" w:rsidRPr="002858D6" w:rsidRDefault="004515FC" w:rsidP="004515FC">
      <w:pPr>
        <w:pStyle w:val="ListDash1"/>
        <w:rPr>
          <w:noProof/>
        </w:rPr>
      </w:pPr>
      <w:r w:rsidRPr="002858D6">
        <w:rPr>
          <w:rFonts w:ascii="Wingdings" w:hAnsi="Wingdings"/>
          <w:noProof/>
        </w:rPr>
        <w:t></w:t>
      </w:r>
      <w:r w:rsidRPr="002858D6">
        <w:rPr>
          <w:noProof/>
        </w:rPr>
        <w:tab/>
        <w:t>A proposta / iniciativa acarreta a utilização de dotações de natureza administrativa, tal como explicitado seguidamente:</w:t>
      </w:r>
    </w:p>
    <w:p w14:paraId="09A30F6F" w14:textId="77777777" w:rsidR="004515FC" w:rsidRPr="002858D6" w:rsidRDefault="004515FC" w:rsidP="004515FC">
      <w:pPr>
        <w:jc w:val="right"/>
        <w:rPr>
          <w:noProof/>
          <w:sz w:val="20"/>
        </w:rPr>
      </w:pPr>
      <w:r w:rsidRPr="002858D6">
        <w:rPr>
          <w:noProof/>
          <w:sz w:val="20"/>
        </w:rPr>
        <w:t>Em milhões de EUR (três casas decimais)</w:t>
      </w:r>
    </w:p>
    <w:tbl>
      <w:tblPr>
        <w:tblW w:w="52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tblGrid>
      <w:tr w:rsidR="004515FC" w:rsidRPr="002858D6" w14:paraId="49270A1B" w14:textId="77777777" w:rsidTr="0029161D">
        <w:trPr>
          <w:trHeight w:val="585"/>
          <w:jc w:val="center"/>
        </w:trPr>
        <w:tc>
          <w:tcPr>
            <w:tcW w:w="1980" w:type="dxa"/>
          </w:tcPr>
          <w:p w14:paraId="4F93BD43" w14:textId="77777777" w:rsidR="004515FC" w:rsidRPr="002858D6" w:rsidRDefault="004515FC" w:rsidP="0029161D">
            <w:pPr>
              <w:spacing w:before="60" w:after="60" w:line="200" w:lineRule="exact"/>
              <w:rPr>
                <w:noProof/>
                <w:sz w:val="16"/>
              </w:rPr>
            </w:pPr>
          </w:p>
        </w:tc>
        <w:tc>
          <w:tcPr>
            <w:tcW w:w="1080" w:type="dxa"/>
            <w:vAlign w:val="center"/>
          </w:tcPr>
          <w:p w14:paraId="71D0860F" w14:textId="77777777" w:rsidR="004515FC" w:rsidRPr="002858D6" w:rsidRDefault="004515FC" w:rsidP="0029161D">
            <w:pPr>
              <w:spacing w:before="60" w:after="60" w:line="200" w:lineRule="exact"/>
              <w:jc w:val="center"/>
              <w:rPr>
                <w:b/>
                <w:noProof/>
                <w:sz w:val="16"/>
              </w:rPr>
            </w:pPr>
            <w:r w:rsidRPr="002858D6">
              <w:rPr>
                <w:b/>
                <w:noProof/>
                <w:sz w:val="16"/>
              </w:rPr>
              <w:t>2026</w:t>
            </w:r>
          </w:p>
        </w:tc>
        <w:tc>
          <w:tcPr>
            <w:tcW w:w="1080" w:type="dxa"/>
            <w:vAlign w:val="center"/>
          </w:tcPr>
          <w:p w14:paraId="67B3DBAB" w14:textId="77777777" w:rsidR="004515FC" w:rsidRPr="002858D6" w:rsidRDefault="004515FC" w:rsidP="0029161D">
            <w:pPr>
              <w:spacing w:before="60" w:after="60" w:line="200" w:lineRule="exact"/>
              <w:jc w:val="center"/>
              <w:rPr>
                <w:b/>
                <w:noProof/>
                <w:sz w:val="16"/>
              </w:rPr>
            </w:pPr>
            <w:r w:rsidRPr="002858D6">
              <w:rPr>
                <w:b/>
                <w:noProof/>
                <w:sz w:val="16"/>
              </w:rPr>
              <w:t>2027</w:t>
            </w:r>
          </w:p>
        </w:tc>
        <w:tc>
          <w:tcPr>
            <w:tcW w:w="1080" w:type="dxa"/>
            <w:vAlign w:val="center"/>
          </w:tcPr>
          <w:p w14:paraId="79FF1073" w14:textId="77777777" w:rsidR="004515FC" w:rsidRPr="002858D6" w:rsidRDefault="004515FC" w:rsidP="0029161D">
            <w:pPr>
              <w:spacing w:before="60" w:after="60" w:line="200" w:lineRule="exact"/>
              <w:jc w:val="center"/>
              <w:rPr>
                <w:b/>
                <w:noProof/>
                <w:sz w:val="16"/>
              </w:rPr>
            </w:pPr>
            <w:r w:rsidRPr="002858D6">
              <w:rPr>
                <w:b/>
                <w:noProof/>
                <w:sz w:val="16"/>
              </w:rPr>
              <w:t>TOTAL</w:t>
            </w:r>
          </w:p>
        </w:tc>
      </w:tr>
    </w:tbl>
    <w:p w14:paraId="79BB913C" w14:textId="77777777" w:rsidR="004515FC" w:rsidRPr="002858D6" w:rsidRDefault="004515FC" w:rsidP="004515FC">
      <w:pPr>
        <w:spacing w:line="200" w:lineRule="exact"/>
        <w:rPr>
          <w:noProof/>
          <w:sz w:val="16"/>
        </w:rPr>
      </w:pPr>
    </w:p>
    <w:tbl>
      <w:tblPr>
        <w:tblW w:w="52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tblGrid>
      <w:tr w:rsidR="004515FC" w:rsidRPr="002858D6" w14:paraId="5A2A45EE" w14:textId="77777777" w:rsidTr="0029161D">
        <w:trPr>
          <w:trHeight w:val="585"/>
          <w:jc w:val="center"/>
        </w:trPr>
        <w:tc>
          <w:tcPr>
            <w:tcW w:w="1980" w:type="dxa"/>
            <w:shd w:val="clear" w:color="auto" w:fill="CCCCCC"/>
            <w:vAlign w:val="center"/>
          </w:tcPr>
          <w:p w14:paraId="2BBFAC6D" w14:textId="77777777" w:rsidR="004515FC" w:rsidRPr="002858D6" w:rsidRDefault="004515FC" w:rsidP="0029161D">
            <w:pPr>
              <w:spacing w:before="60" w:after="60" w:line="200" w:lineRule="exact"/>
              <w:jc w:val="center"/>
              <w:rPr>
                <w:b/>
                <w:noProof/>
                <w:sz w:val="16"/>
              </w:rPr>
            </w:pPr>
            <w:r w:rsidRPr="002858D6">
              <w:rPr>
                <w:b/>
                <w:noProof/>
                <w:sz w:val="16"/>
              </w:rPr>
              <w:t>RUBRICA 7</w:t>
            </w:r>
            <w:r w:rsidRPr="002858D6">
              <w:rPr>
                <w:noProof/>
              </w:rPr>
              <w:t xml:space="preserve"> </w:t>
            </w:r>
            <w:r w:rsidRPr="002858D6">
              <w:rPr>
                <w:noProof/>
              </w:rPr>
              <w:cr/>
            </w:r>
            <w:r w:rsidRPr="002858D6">
              <w:rPr>
                <w:noProof/>
              </w:rPr>
              <w:br/>
            </w:r>
            <w:r w:rsidRPr="002858D6">
              <w:rPr>
                <w:b/>
                <w:noProof/>
                <w:sz w:val="16"/>
              </w:rPr>
              <w:t>do quadro financeiro plurianual</w:t>
            </w:r>
          </w:p>
        </w:tc>
        <w:tc>
          <w:tcPr>
            <w:tcW w:w="1080" w:type="dxa"/>
            <w:vAlign w:val="center"/>
          </w:tcPr>
          <w:p w14:paraId="73468E5D" w14:textId="77777777" w:rsidR="004515FC" w:rsidRPr="002858D6" w:rsidRDefault="004515FC" w:rsidP="0029161D">
            <w:pPr>
              <w:spacing w:before="60" w:after="60" w:line="200" w:lineRule="exact"/>
              <w:jc w:val="right"/>
              <w:rPr>
                <w:noProof/>
                <w:sz w:val="16"/>
              </w:rPr>
            </w:pPr>
          </w:p>
        </w:tc>
        <w:tc>
          <w:tcPr>
            <w:tcW w:w="1080" w:type="dxa"/>
            <w:vAlign w:val="center"/>
          </w:tcPr>
          <w:p w14:paraId="74D06B89" w14:textId="77777777" w:rsidR="004515FC" w:rsidRPr="002858D6" w:rsidRDefault="004515FC" w:rsidP="0029161D">
            <w:pPr>
              <w:spacing w:before="60" w:after="60" w:line="200" w:lineRule="exact"/>
              <w:jc w:val="right"/>
              <w:rPr>
                <w:noProof/>
                <w:sz w:val="16"/>
              </w:rPr>
            </w:pPr>
          </w:p>
        </w:tc>
        <w:tc>
          <w:tcPr>
            <w:tcW w:w="1080" w:type="dxa"/>
            <w:vAlign w:val="center"/>
          </w:tcPr>
          <w:p w14:paraId="7ABA5A61" w14:textId="77777777" w:rsidR="004515FC" w:rsidRPr="002858D6" w:rsidRDefault="004515FC" w:rsidP="0029161D">
            <w:pPr>
              <w:spacing w:before="60" w:after="60" w:line="200" w:lineRule="exact"/>
              <w:jc w:val="right"/>
              <w:rPr>
                <w:b/>
                <w:noProof/>
                <w:sz w:val="16"/>
              </w:rPr>
            </w:pPr>
          </w:p>
        </w:tc>
      </w:tr>
      <w:tr w:rsidR="004515FC" w:rsidRPr="002858D6" w14:paraId="107766E4" w14:textId="77777777" w:rsidTr="0029161D">
        <w:trPr>
          <w:trHeight w:val="585"/>
          <w:jc w:val="center"/>
        </w:trPr>
        <w:tc>
          <w:tcPr>
            <w:tcW w:w="1980" w:type="dxa"/>
            <w:vAlign w:val="center"/>
          </w:tcPr>
          <w:p w14:paraId="22C99DB2" w14:textId="77777777" w:rsidR="004515FC" w:rsidRPr="002858D6" w:rsidRDefault="004515FC" w:rsidP="0029161D">
            <w:pPr>
              <w:spacing w:before="60" w:after="60" w:line="200" w:lineRule="exact"/>
              <w:ind w:left="72"/>
              <w:jc w:val="left"/>
              <w:rPr>
                <w:noProof/>
                <w:sz w:val="16"/>
              </w:rPr>
            </w:pPr>
            <w:r w:rsidRPr="002858D6">
              <w:rPr>
                <w:noProof/>
                <w:sz w:val="16"/>
              </w:rPr>
              <w:t xml:space="preserve">Recursos humanos </w:t>
            </w:r>
          </w:p>
        </w:tc>
        <w:tc>
          <w:tcPr>
            <w:tcW w:w="1080" w:type="dxa"/>
            <w:vAlign w:val="center"/>
          </w:tcPr>
          <w:p w14:paraId="2BB36E29" w14:textId="77777777" w:rsidR="004515FC" w:rsidRPr="002858D6" w:rsidRDefault="004515FC" w:rsidP="0029161D">
            <w:pPr>
              <w:spacing w:before="60" w:after="60" w:line="200" w:lineRule="exact"/>
              <w:jc w:val="right"/>
              <w:rPr>
                <w:noProof/>
                <w:sz w:val="16"/>
              </w:rPr>
            </w:pPr>
            <w:r w:rsidRPr="002858D6">
              <w:rPr>
                <w:noProof/>
                <w:sz w:val="16"/>
              </w:rPr>
              <w:t>0,043</w:t>
            </w:r>
          </w:p>
        </w:tc>
        <w:tc>
          <w:tcPr>
            <w:tcW w:w="1080" w:type="dxa"/>
            <w:vAlign w:val="center"/>
          </w:tcPr>
          <w:p w14:paraId="1D95F316" w14:textId="77777777" w:rsidR="004515FC" w:rsidRPr="002858D6" w:rsidRDefault="004515FC" w:rsidP="0029161D">
            <w:pPr>
              <w:spacing w:before="60" w:after="60" w:line="200" w:lineRule="exact"/>
              <w:jc w:val="right"/>
              <w:rPr>
                <w:noProof/>
                <w:sz w:val="16"/>
              </w:rPr>
            </w:pPr>
            <w:r w:rsidRPr="002858D6">
              <w:rPr>
                <w:noProof/>
                <w:sz w:val="16"/>
              </w:rPr>
              <w:t>0,014</w:t>
            </w:r>
          </w:p>
        </w:tc>
        <w:tc>
          <w:tcPr>
            <w:tcW w:w="1080" w:type="dxa"/>
            <w:vAlign w:val="center"/>
          </w:tcPr>
          <w:p w14:paraId="1C9B64D1" w14:textId="77777777" w:rsidR="004515FC" w:rsidRPr="002858D6" w:rsidRDefault="004515FC" w:rsidP="0029161D">
            <w:pPr>
              <w:spacing w:before="60" w:after="60" w:line="200" w:lineRule="exact"/>
              <w:jc w:val="right"/>
              <w:rPr>
                <w:b/>
                <w:noProof/>
                <w:sz w:val="16"/>
              </w:rPr>
            </w:pPr>
            <w:r w:rsidRPr="002858D6">
              <w:rPr>
                <w:b/>
                <w:noProof/>
                <w:sz w:val="16"/>
              </w:rPr>
              <w:t>0,057</w:t>
            </w:r>
          </w:p>
        </w:tc>
      </w:tr>
      <w:tr w:rsidR="006E52EF" w:rsidRPr="002858D6" w14:paraId="146A6886" w14:textId="77777777" w:rsidTr="00AE0D25">
        <w:trPr>
          <w:trHeight w:val="585"/>
          <w:jc w:val="center"/>
        </w:trPr>
        <w:tc>
          <w:tcPr>
            <w:tcW w:w="1980" w:type="dxa"/>
            <w:vAlign w:val="center"/>
          </w:tcPr>
          <w:p w14:paraId="4FB2FECF" w14:textId="77777777" w:rsidR="006E52EF" w:rsidRPr="002858D6" w:rsidRDefault="006E52EF" w:rsidP="006E52EF">
            <w:pPr>
              <w:spacing w:before="60" w:after="60" w:line="200" w:lineRule="exact"/>
              <w:ind w:left="72"/>
              <w:jc w:val="left"/>
              <w:rPr>
                <w:noProof/>
                <w:sz w:val="16"/>
              </w:rPr>
            </w:pPr>
            <w:r w:rsidRPr="002858D6">
              <w:rPr>
                <w:noProof/>
                <w:sz w:val="16"/>
              </w:rPr>
              <w:t xml:space="preserve">Outras despesas de natureza administrativa </w:t>
            </w:r>
          </w:p>
        </w:tc>
        <w:tc>
          <w:tcPr>
            <w:tcW w:w="1080" w:type="dxa"/>
            <w:vAlign w:val="center"/>
          </w:tcPr>
          <w:p w14:paraId="20E63E11" w14:textId="41E16AA0" w:rsidR="006E52EF" w:rsidRPr="002858D6" w:rsidRDefault="006E52EF" w:rsidP="006E52EF">
            <w:pPr>
              <w:spacing w:before="60" w:after="60" w:line="200" w:lineRule="exact"/>
              <w:jc w:val="right"/>
              <w:rPr>
                <w:noProof/>
                <w:sz w:val="16"/>
              </w:rPr>
            </w:pPr>
            <w:r w:rsidRPr="002858D6">
              <w:rPr>
                <w:noProof/>
                <w:sz w:val="16"/>
              </w:rPr>
              <w:t>0,038</w:t>
            </w:r>
          </w:p>
        </w:tc>
        <w:tc>
          <w:tcPr>
            <w:tcW w:w="1080" w:type="dxa"/>
            <w:vAlign w:val="center"/>
          </w:tcPr>
          <w:p w14:paraId="3BE7D71C" w14:textId="7FC45B35" w:rsidR="006E52EF" w:rsidRPr="002858D6" w:rsidRDefault="006E52EF" w:rsidP="006E52EF">
            <w:pPr>
              <w:spacing w:before="60" w:after="60" w:line="200" w:lineRule="exact"/>
              <w:jc w:val="right"/>
              <w:rPr>
                <w:noProof/>
                <w:sz w:val="16"/>
              </w:rPr>
            </w:pPr>
            <w:r w:rsidRPr="002858D6">
              <w:rPr>
                <w:noProof/>
                <w:sz w:val="16"/>
              </w:rPr>
              <w:t xml:space="preserve"> 0,038</w:t>
            </w:r>
          </w:p>
        </w:tc>
        <w:tc>
          <w:tcPr>
            <w:tcW w:w="1080" w:type="dxa"/>
            <w:vAlign w:val="center"/>
          </w:tcPr>
          <w:p w14:paraId="48342B35" w14:textId="2AEBED5A" w:rsidR="006E52EF" w:rsidRPr="002858D6" w:rsidRDefault="006E52EF" w:rsidP="006E52EF">
            <w:pPr>
              <w:spacing w:before="60" w:after="60" w:line="200" w:lineRule="exact"/>
              <w:jc w:val="right"/>
              <w:rPr>
                <w:b/>
                <w:noProof/>
                <w:sz w:val="16"/>
              </w:rPr>
            </w:pPr>
            <w:r w:rsidRPr="002858D6">
              <w:rPr>
                <w:b/>
                <w:noProof/>
                <w:sz w:val="16"/>
              </w:rPr>
              <w:t>0,076</w:t>
            </w:r>
          </w:p>
        </w:tc>
      </w:tr>
      <w:tr w:rsidR="00AE0D25" w:rsidRPr="002858D6" w14:paraId="2DB66731" w14:textId="77777777" w:rsidTr="00AE0D25">
        <w:trPr>
          <w:trHeight w:val="585"/>
          <w:jc w:val="center"/>
        </w:trPr>
        <w:tc>
          <w:tcPr>
            <w:tcW w:w="1980" w:type="dxa"/>
            <w:shd w:val="clear" w:color="auto" w:fill="CCCCCC"/>
            <w:vAlign w:val="center"/>
          </w:tcPr>
          <w:p w14:paraId="51388F1B" w14:textId="77777777" w:rsidR="00AE0D25" w:rsidRPr="002858D6" w:rsidRDefault="00AE0D25" w:rsidP="00AE0D25">
            <w:pPr>
              <w:spacing w:before="60" w:after="60" w:line="200" w:lineRule="exact"/>
              <w:jc w:val="center"/>
              <w:rPr>
                <w:b/>
                <w:noProof/>
                <w:sz w:val="16"/>
              </w:rPr>
            </w:pPr>
            <w:r w:rsidRPr="002858D6">
              <w:rPr>
                <w:b/>
                <w:noProof/>
                <w:sz w:val="16"/>
              </w:rPr>
              <w:t>Subtotal da RUBRICA 7</w:t>
            </w:r>
            <w:r w:rsidRPr="002858D6">
              <w:rPr>
                <w:noProof/>
              </w:rPr>
              <w:t xml:space="preserve"> </w:t>
            </w:r>
            <w:r w:rsidRPr="002858D6">
              <w:rPr>
                <w:noProof/>
              </w:rPr>
              <w:cr/>
            </w:r>
            <w:r w:rsidRPr="002858D6">
              <w:rPr>
                <w:noProof/>
              </w:rPr>
              <w:br/>
            </w:r>
            <w:r w:rsidRPr="002858D6">
              <w:rPr>
                <w:b/>
                <w:noProof/>
                <w:sz w:val="16"/>
              </w:rPr>
              <w:t xml:space="preserve">do quadro financeiro plurianual </w:t>
            </w:r>
          </w:p>
        </w:tc>
        <w:tc>
          <w:tcPr>
            <w:tcW w:w="1080" w:type="dxa"/>
            <w:vAlign w:val="center"/>
          </w:tcPr>
          <w:p w14:paraId="01D6E205" w14:textId="37FD5B28" w:rsidR="00AE0D25" w:rsidRPr="002858D6" w:rsidRDefault="00AE0D25" w:rsidP="00AE0D25">
            <w:pPr>
              <w:spacing w:before="60" w:after="60" w:line="200" w:lineRule="exact"/>
              <w:jc w:val="right"/>
              <w:rPr>
                <w:b/>
                <w:noProof/>
                <w:sz w:val="16"/>
              </w:rPr>
            </w:pPr>
            <w:r w:rsidRPr="002858D6">
              <w:rPr>
                <w:b/>
                <w:noProof/>
                <w:sz w:val="16"/>
              </w:rPr>
              <w:t>0,081</w:t>
            </w:r>
          </w:p>
        </w:tc>
        <w:tc>
          <w:tcPr>
            <w:tcW w:w="1080" w:type="dxa"/>
            <w:vAlign w:val="center"/>
          </w:tcPr>
          <w:p w14:paraId="2BA979D0" w14:textId="0D9ECF9F" w:rsidR="00AE0D25" w:rsidRPr="002858D6" w:rsidRDefault="00AE0D25" w:rsidP="00AE0D25">
            <w:pPr>
              <w:spacing w:before="60" w:after="60" w:line="200" w:lineRule="exact"/>
              <w:jc w:val="right"/>
              <w:rPr>
                <w:b/>
                <w:noProof/>
                <w:sz w:val="16"/>
              </w:rPr>
            </w:pPr>
            <w:r w:rsidRPr="002858D6">
              <w:rPr>
                <w:b/>
                <w:noProof/>
                <w:sz w:val="16"/>
              </w:rPr>
              <w:t>0,052</w:t>
            </w:r>
          </w:p>
        </w:tc>
        <w:tc>
          <w:tcPr>
            <w:tcW w:w="1080" w:type="dxa"/>
            <w:vAlign w:val="center"/>
          </w:tcPr>
          <w:p w14:paraId="1FB2E98C" w14:textId="208FC22F" w:rsidR="00AE0D25" w:rsidRPr="002858D6" w:rsidRDefault="00AE0D25" w:rsidP="00AE0D25">
            <w:pPr>
              <w:spacing w:before="60" w:after="60" w:line="200" w:lineRule="exact"/>
              <w:jc w:val="right"/>
              <w:rPr>
                <w:b/>
                <w:noProof/>
                <w:sz w:val="16"/>
              </w:rPr>
            </w:pPr>
            <w:r w:rsidRPr="002858D6">
              <w:rPr>
                <w:b/>
                <w:noProof/>
                <w:sz w:val="16"/>
              </w:rPr>
              <w:t xml:space="preserve"> 0,133</w:t>
            </w:r>
          </w:p>
        </w:tc>
      </w:tr>
    </w:tbl>
    <w:p w14:paraId="49A199A4" w14:textId="77777777" w:rsidR="004515FC" w:rsidRPr="002858D6" w:rsidRDefault="004515FC" w:rsidP="004515FC">
      <w:pPr>
        <w:spacing w:line="200" w:lineRule="exact"/>
        <w:rPr>
          <w:noProof/>
          <w:sz w:val="16"/>
        </w:rPr>
      </w:pPr>
    </w:p>
    <w:tbl>
      <w:tblPr>
        <w:tblW w:w="52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tblGrid>
      <w:tr w:rsidR="004515FC" w:rsidRPr="002858D6" w14:paraId="01D68E17" w14:textId="77777777" w:rsidTr="0029161D">
        <w:trPr>
          <w:trHeight w:val="585"/>
          <w:jc w:val="center"/>
        </w:trPr>
        <w:tc>
          <w:tcPr>
            <w:tcW w:w="1980" w:type="dxa"/>
            <w:shd w:val="clear" w:color="auto" w:fill="CCCCCC"/>
            <w:vAlign w:val="center"/>
          </w:tcPr>
          <w:p w14:paraId="5790166C" w14:textId="77777777" w:rsidR="004515FC" w:rsidRPr="002858D6" w:rsidRDefault="004515FC" w:rsidP="0029161D">
            <w:pPr>
              <w:spacing w:before="60" w:after="60" w:line="200" w:lineRule="exact"/>
              <w:jc w:val="center"/>
              <w:rPr>
                <w:noProof/>
                <w:sz w:val="16"/>
              </w:rPr>
            </w:pPr>
            <w:r w:rsidRPr="002858D6">
              <w:rPr>
                <w:b/>
                <w:noProof/>
                <w:sz w:val="16"/>
              </w:rPr>
              <w:t>com exclusão da RUBRICA 7</w:t>
            </w:r>
            <w:r w:rsidRPr="002858D6">
              <w:rPr>
                <w:rStyle w:val="FootnoteReference0"/>
                <w:b/>
                <w:noProof/>
                <w:sz w:val="16"/>
              </w:rPr>
              <w:footnoteReference w:id="50"/>
            </w:r>
            <w:r w:rsidRPr="002858D6">
              <w:rPr>
                <w:noProof/>
              </w:rPr>
              <w:t xml:space="preserve"> </w:t>
            </w:r>
            <w:r w:rsidRPr="002858D6">
              <w:rPr>
                <w:noProof/>
              </w:rPr>
              <w:cr/>
            </w:r>
            <w:r w:rsidRPr="002858D6">
              <w:rPr>
                <w:noProof/>
              </w:rPr>
              <w:br/>
            </w:r>
            <w:r w:rsidRPr="002858D6">
              <w:rPr>
                <w:b/>
                <w:noProof/>
                <w:sz w:val="16"/>
              </w:rPr>
              <w:t xml:space="preserve">do quadro financeiro plurianual </w:t>
            </w:r>
          </w:p>
          <w:p w14:paraId="4DB91203" w14:textId="77777777" w:rsidR="004515FC" w:rsidRPr="002858D6" w:rsidRDefault="004515FC" w:rsidP="0029161D">
            <w:pPr>
              <w:spacing w:before="0" w:after="0" w:line="200" w:lineRule="exact"/>
              <w:jc w:val="center"/>
              <w:rPr>
                <w:b/>
                <w:noProof/>
                <w:sz w:val="16"/>
              </w:rPr>
            </w:pPr>
          </w:p>
        </w:tc>
        <w:tc>
          <w:tcPr>
            <w:tcW w:w="1080" w:type="dxa"/>
            <w:vAlign w:val="center"/>
          </w:tcPr>
          <w:p w14:paraId="4FF4E2B1" w14:textId="77777777" w:rsidR="004515FC" w:rsidRPr="002858D6" w:rsidRDefault="004515FC" w:rsidP="0029161D">
            <w:pPr>
              <w:spacing w:before="60" w:after="60" w:line="200" w:lineRule="exact"/>
              <w:jc w:val="right"/>
              <w:rPr>
                <w:noProof/>
                <w:sz w:val="16"/>
              </w:rPr>
            </w:pPr>
          </w:p>
        </w:tc>
        <w:tc>
          <w:tcPr>
            <w:tcW w:w="1080" w:type="dxa"/>
            <w:vAlign w:val="center"/>
          </w:tcPr>
          <w:p w14:paraId="00A985D5" w14:textId="77777777" w:rsidR="004515FC" w:rsidRPr="002858D6" w:rsidRDefault="004515FC" w:rsidP="0029161D">
            <w:pPr>
              <w:spacing w:before="60" w:after="60" w:line="200" w:lineRule="exact"/>
              <w:jc w:val="right"/>
              <w:rPr>
                <w:noProof/>
                <w:sz w:val="16"/>
              </w:rPr>
            </w:pPr>
          </w:p>
        </w:tc>
        <w:tc>
          <w:tcPr>
            <w:tcW w:w="1080" w:type="dxa"/>
            <w:vAlign w:val="center"/>
          </w:tcPr>
          <w:p w14:paraId="027FF494" w14:textId="77777777" w:rsidR="004515FC" w:rsidRPr="002858D6" w:rsidRDefault="004515FC" w:rsidP="0029161D">
            <w:pPr>
              <w:spacing w:before="60" w:after="60" w:line="200" w:lineRule="exact"/>
              <w:jc w:val="right"/>
              <w:rPr>
                <w:b/>
                <w:noProof/>
                <w:sz w:val="16"/>
              </w:rPr>
            </w:pPr>
          </w:p>
        </w:tc>
      </w:tr>
      <w:tr w:rsidR="004515FC" w:rsidRPr="002858D6" w14:paraId="0FA3600C" w14:textId="77777777" w:rsidTr="0029161D">
        <w:trPr>
          <w:trHeight w:val="585"/>
          <w:jc w:val="center"/>
        </w:trPr>
        <w:tc>
          <w:tcPr>
            <w:tcW w:w="1980" w:type="dxa"/>
            <w:vAlign w:val="center"/>
          </w:tcPr>
          <w:p w14:paraId="1F15A970" w14:textId="77777777" w:rsidR="004515FC" w:rsidRPr="002858D6" w:rsidRDefault="004515FC" w:rsidP="0029161D">
            <w:pPr>
              <w:spacing w:before="60" w:after="60" w:line="200" w:lineRule="exact"/>
              <w:ind w:left="72"/>
              <w:jc w:val="left"/>
              <w:rPr>
                <w:noProof/>
                <w:sz w:val="16"/>
              </w:rPr>
            </w:pPr>
            <w:r w:rsidRPr="002858D6">
              <w:rPr>
                <w:noProof/>
                <w:sz w:val="16"/>
              </w:rPr>
              <w:t xml:space="preserve">Recursos humanos </w:t>
            </w:r>
          </w:p>
        </w:tc>
        <w:tc>
          <w:tcPr>
            <w:tcW w:w="1080" w:type="dxa"/>
            <w:vAlign w:val="center"/>
          </w:tcPr>
          <w:p w14:paraId="1D11E4CF" w14:textId="77777777" w:rsidR="004515FC" w:rsidRPr="002858D6" w:rsidRDefault="004515FC" w:rsidP="0029161D">
            <w:pPr>
              <w:spacing w:before="60" w:after="60" w:line="200" w:lineRule="exact"/>
              <w:jc w:val="right"/>
              <w:rPr>
                <w:noProof/>
                <w:sz w:val="16"/>
              </w:rPr>
            </w:pPr>
          </w:p>
        </w:tc>
        <w:tc>
          <w:tcPr>
            <w:tcW w:w="1080" w:type="dxa"/>
            <w:vAlign w:val="center"/>
          </w:tcPr>
          <w:p w14:paraId="52839FA2" w14:textId="77777777" w:rsidR="004515FC" w:rsidRPr="002858D6" w:rsidRDefault="004515FC" w:rsidP="0029161D">
            <w:pPr>
              <w:spacing w:before="60" w:after="60" w:line="200" w:lineRule="exact"/>
              <w:jc w:val="right"/>
              <w:rPr>
                <w:noProof/>
                <w:sz w:val="16"/>
              </w:rPr>
            </w:pPr>
          </w:p>
        </w:tc>
        <w:tc>
          <w:tcPr>
            <w:tcW w:w="1080" w:type="dxa"/>
            <w:vAlign w:val="center"/>
          </w:tcPr>
          <w:p w14:paraId="1E8FD9CD" w14:textId="77777777" w:rsidR="004515FC" w:rsidRPr="002858D6" w:rsidRDefault="004515FC" w:rsidP="0029161D">
            <w:pPr>
              <w:spacing w:before="60" w:after="60" w:line="200" w:lineRule="exact"/>
              <w:jc w:val="right"/>
              <w:rPr>
                <w:b/>
                <w:noProof/>
                <w:sz w:val="16"/>
              </w:rPr>
            </w:pPr>
          </w:p>
        </w:tc>
      </w:tr>
      <w:tr w:rsidR="004515FC" w:rsidRPr="002858D6" w14:paraId="7122004A" w14:textId="77777777" w:rsidTr="0029161D">
        <w:trPr>
          <w:trHeight w:val="585"/>
          <w:jc w:val="center"/>
        </w:trPr>
        <w:tc>
          <w:tcPr>
            <w:tcW w:w="1980" w:type="dxa"/>
            <w:vAlign w:val="center"/>
          </w:tcPr>
          <w:p w14:paraId="09A86648" w14:textId="77777777" w:rsidR="004515FC" w:rsidRPr="002858D6" w:rsidRDefault="004515FC" w:rsidP="0029161D">
            <w:pPr>
              <w:spacing w:before="60" w:after="60" w:line="200" w:lineRule="exact"/>
              <w:ind w:left="72"/>
              <w:jc w:val="left"/>
              <w:rPr>
                <w:noProof/>
                <w:sz w:val="16"/>
              </w:rPr>
            </w:pPr>
            <w:r w:rsidRPr="002858D6">
              <w:rPr>
                <w:noProof/>
                <w:sz w:val="16"/>
              </w:rPr>
              <w:t>Outras despesas</w:t>
            </w:r>
            <w:r w:rsidRPr="002858D6">
              <w:rPr>
                <w:noProof/>
              </w:rPr>
              <w:cr/>
            </w:r>
            <w:r w:rsidRPr="002858D6">
              <w:rPr>
                <w:noProof/>
              </w:rPr>
              <w:br/>
            </w:r>
            <w:r w:rsidRPr="002858D6">
              <w:rPr>
                <w:noProof/>
                <w:sz w:val="16"/>
              </w:rPr>
              <w:t>de natureza administrativa</w:t>
            </w:r>
          </w:p>
        </w:tc>
        <w:tc>
          <w:tcPr>
            <w:tcW w:w="1080" w:type="dxa"/>
            <w:vAlign w:val="center"/>
          </w:tcPr>
          <w:p w14:paraId="1C689B4B" w14:textId="77777777" w:rsidR="004515FC" w:rsidRPr="002858D6" w:rsidRDefault="004515FC" w:rsidP="0029161D">
            <w:pPr>
              <w:spacing w:before="60" w:after="60" w:line="200" w:lineRule="exact"/>
              <w:jc w:val="right"/>
              <w:rPr>
                <w:noProof/>
                <w:sz w:val="16"/>
              </w:rPr>
            </w:pPr>
          </w:p>
        </w:tc>
        <w:tc>
          <w:tcPr>
            <w:tcW w:w="1080" w:type="dxa"/>
            <w:vAlign w:val="center"/>
          </w:tcPr>
          <w:p w14:paraId="741A5C7E" w14:textId="77777777" w:rsidR="004515FC" w:rsidRPr="002858D6" w:rsidRDefault="004515FC" w:rsidP="0029161D">
            <w:pPr>
              <w:spacing w:before="60" w:after="60" w:line="200" w:lineRule="exact"/>
              <w:jc w:val="right"/>
              <w:rPr>
                <w:noProof/>
                <w:sz w:val="16"/>
              </w:rPr>
            </w:pPr>
          </w:p>
        </w:tc>
        <w:tc>
          <w:tcPr>
            <w:tcW w:w="1080" w:type="dxa"/>
            <w:vAlign w:val="center"/>
          </w:tcPr>
          <w:p w14:paraId="325B3C38" w14:textId="77777777" w:rsidR="004515FC" w:rsidRPr="002858D6" w:rsidRDefault="004515FC" w:rsidP="0029161D">
            <w:pPr>
              <w:spacing w:before="60" w:after="60" w:line="200" w:lineRule="exact"/>
              <w:jc w:val="right"/>
              <w:rPr>
                <w:b/>
                <w:noProof/>
                <w:sz w:val="16"/>
              </w:rPr>
            </w:pPr>
          </w:p>
        </w:tc>
      </w:tr>
      <w:tr w:rsidR="004515FC" w:rsidRPr="002858D6" w14:paraId="262FC704" w14:textId="77777777" w:rsidTr="0029161D">
        <w:trPr>
          <w:trHeight w:val="585"/>
          <w:jc w:val="center"/>
        </w:trPr>
        <w:tc>
          <w:tcPr>
            <w:tcW w:w="1980" w:type="dxa"/>
            <w:shd w:val="clear" w:color="auto" w:fill="CCCCCC"/>
            <w:vAlign w:val="center"/>
          </w:tcPr>
          <w:p w14:paraId="40720FD1" w14:textId="77777777" w:rsidR="004515FC" w:rsidRPr="002858D6" w:rsidRDefault="004515FC" w:rsidP="0029161D">
            <w:pPr>
              <w:spacing w:before="60" w:after="60" w:line="200" w:lineRule="exact"/>
              <w:jc w:val="center"/>
              <w:rPr>
                <w:b/>
                <w:noProof/>
                <w:sz w:val="16"/>
              </w:rPr>
            </w:pPr>
            <w:r w:rsidRPr="002858D6">
              <w:rPr>
                <w:b/>
                <w:noProof/>
                <w:sz w:val="16"/>
              </w:rPr>
              <w:t>Subtotal</w:t>
            </w:r>
            <w:r w:rsidRPr="002858D6">
              <w:rPr>
                <w:noProof/>
              </w:rPr>
              <w:cr/>
            </w:r>
            <w:r w:rsidRPr="002858D6">
              <w:rPr>
                <w:noProof/>
              </w:rPr>
              <w:br/>
            </w:r>
            <w:r w:rsidRPr="002858D6">
              <w:rPr>
                <w:b/>
                <w:noProof/>
                <w:sz w:val="16"/>
              </w:rPr>
              <w:t>com exclusão da RUBRICA 7</w:t>
            </w:r>
            <w:r w:rsidRPr="002858D6">
              <w:rPr>
                <w:noProof/>
              </w:rPr>
              <w:t xml:space="preserve"> </w:t>
            </w:r>
            <w:r w:rsidRPr="002858D6">
              <w:rPr>
                <w:noProof/>
              </w:rPr>
              <w:cr/>
            </w:r>
            <w:r w:rsidRPr="002858D6">
              <w:rPr>
                <w:noProof/>
              </w:rPr>
              <w:br/>
            </w:r>
            <w:r w:rsidRPr="002858D6">
              <w:rPr>
                <w:b/>
                <w:noProof/>
                <w:sz w:val="16"/>
              </w:rPr>
              <w:t xml:space="preserve">do quadro financeiro plurianual </w:t>
            </w:r>
          </w:p>
        </w:tc>
        <w:tc>
          <w:tcPr>
            <w:tcW w:w="1080" w:type="dxa"/>
            <w:vAlign w:val="center"/>
          </w:tcPr>
          <w:p w14:paraId="72D5A55B" w14:textId="77777777" w:rsidR="004515FC" w:rsidRPr="002858D6" w:rsidRDefault="004515FC" w:rsidP="0029161D">
            <w:pPr>
              <w:spacing w:before="60" w:after="60" w:line="200" w:lineRule="exact"/>
              <w:jc w:val="right"/>
              <w:rPr>
                <w:noProof/>
                <w:sz w:val="16"/>
              </w:rPr>
            </w:pPr>
          </w:p>
        </w:tc>
        <w:tc>
          <w:tcPr>
            <w:tcW w:w="1080" w:type="dxa"/>
            <w:vAlign w:val="center"/>
          </w:tcPr>
          <w:p w14:paraId="09358B7F" w14:textId="77777777" w:rsidR="004515FC" w:rsidRPr="002858D6" w:rsidRDefault="004515FC" w:rsidP="0029161D">
            <w:pPr>
              <w:spacing w:before="60" w:after="60" w:line="200" w:lineRule="exact"/>
              <w:jc w:val="right"/>
              <w:rPr>
                <w:noProof/>
                <w:sz w:val="16"/>
              </w:rPr>
            </w:pPr>
          </w:p>
        </w:tc>
        <w:tc>
          <w:tcPr>
            <w:tcW w:w="1080" w:type="dxa"/>
            <w:vAlign w:val="center"/>
          </w:tcPr>
          <w:p w14:paraId="66354F4A" w14:textId="77777777" w:rsidR="004515FC" w:rsidRPr="002858D6" w:rsidRDefault="004515FC" w:rsidP="0029161D">
            <w:pPr>
              <w:spacing w:before="60" w:after="60" w:line="200" w:lineRule="exact"/>
              <w:jc w:val="right"/>
              <w:rPr>
                <w:b/>
                <w:noProof/>
                <w:sz w:val="16"/>
              </w:rPr>
            </w:pPr>
          </w:p>
        </w:tc>
      </w:tr>
    </w:tbl>
    <w:p w14:paraId="11F2A4F8" w14:textId="77777777" w:rsidR="004515FC" w:rsidRPr="002858D6" w:rsidRDefault="004515FC" w:rsidP="004515FC">
      <w:pPr>
        <w:spacing w:line="200" w:lineRule="exact"/>
        <w:rPr>
          <w:noProof/>
          <w:sz w:val="16"/>
        </w:rPr>
      </w:pPr>
    </w:p>
    <w:tbl>
      <w:tblPr>
        <w:tblW w:w="5220" w:type="dxa"/>
        <w:jc w:val="center"/>
        <w:tblLayout w:type="fixed"/>
        <w:tblLook w:val="01E0" w:firstRow="1" w:lastRow="1" w:firstColumn="1" w:lastColumn="1" w:noHBand="0" w:noVBand="0"/>
      </w:tblPr>
      <w:tblGrid>
        <w:gridCol w:w="1980"/>
        <w:gridCol w:w="1080"/>
        <w:gridCol w:w="1080"/>
        <w:gridCol w:w="1080"/>
      </w:tblGrid>
      <w:tr w:rsidR="00AE0D25" w:rsidRPr="002858D6" w14:paraId="09D09DCE" w14:textId="77777777" w:rsidTr="0029161D">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24AF80A2" w14:textId="77777777" w:rsidR="00AE0D25" w:rsidRPr="002858D6" w:rsidRDefault="00AE0D25" w:rsidP="00AE0D25">
            <w:pPr>
              <w:spacing w:before="60" w:after="60" w:line="200" w:lineRule="exact"/>
              <w:jc w:val="center"/>
              <w:rPr>
                <w:noProof/>
                <w:sz w:val="16"/>
              </w:rPr>
            </w:pPr>
            <w:r w:rsidRPr="002858D6">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7BE685B7" w14:textId="46193A20" w:rsidR="00AE0D25" w:rsidRPr="002858D6" w:rsidRDefault="00AE0D25" w:rsidP="00AE0D25">
            <w:pPr>
              <w:spacing w:before="60" w:after="60" w:line="200" w:lineRule="exact"/>
              <w:jc w:val="right"/>
              <w:rPr>
                <w:b/>
                <w:noProof/>
                <w:sz w:val="16"/>
                <w:highlight w:val="yellow"/>
              </w:rPr>
            </w:pPr>
            <w:r w:rsidRPr="002858D6">
              <w:rPr>
                <w:b/>
                <w:noProof/>
                <w:sz w:val="16"/>
              </w:rPr>
              <w:t>0,081</w:t>
            </w:r>
          </w:p>
        </w:tc>
        <w:tc>
          <w:tcPr>
            <w:tcW w:w="1080" w:type="dxa"/>
            <w:tcBorders>
              <w:top w:val="single" w:sz="12" w:space="0" w:color="auto"/>
              <w:left w:val="single" w:sz="2" w:space="0" w:color="auto"/>
              <w:bottom w:val="single" w:sz="12" w:space="0" w:color="auto"/>
              <w:right w:val="single" w:sz="2" w:space="0" w:color="auto"/>
            </w:tcBorders>
            <w:vAlign w:val="center"/>
          </w:tcPr>
          <w:p w14:paraId="55A4A687" w14:textId="50D7A82E" w:rsidR="00AE0D25" w:rsidRPr="002858D6" w:rsidRDefault="00AE0D25" w:rsidP="00AE0D25">
            <w:pPr>
              <w:spacing w:before="60" w:after="60" w:line="200" w:lineRule="exact"/>
              <w:jc w:val="right"/>
              <w:rPr>
                <w:b/>
                <w:noProof/>
                <w:sz w:val="16"/>
                <w:highlight w:val="yellow"/>
              </w:rPr>
            </w:pPr>
            <w:r w:rsidRPr="002858D6">
              <w:rPr>
                <w:b/>
                <w:noProof/>
                <w:sz w:val="16"/>
              </w:rPr>
              <w:t>0,052</w:t>
            </w:r>
          </w:p>
        </w:tc>
        <w:tc>
          <w:tcPr>
            <w:tcW w:w="1080" w:type="dxa"/>
            <w:tcBorders>
              <w:top w:val="single" w:sz="12" w:space="0" w:color="auto"/>
              <w:left w:val="single" w:sz="2" w:space="0" w:color="auto"/>
              <w:bottom w:val="single" w:sz="12" w:space="0" w:color="auto"/>
              <w:right w:val="single" w:sz="12" w:space="0" w:color="auto"/>
            </w:tcBorders>
            <w:vAlign w:val="center"/>
          </w:tcPr>
          <w:p w14:paraId="28957C5C" w14:textId="7C5BBC48" w:rsidR="00AE0D25" w:rsidRPr="002858D6" w:rsidRDefault="00AE0D25" w:rsidP="00AE0D25">
            <w:pPr>
              <w:spacing w:before="60" w:after="60" w:line="200" w:lineRule="exact"/>
              <w:jc w:val="right"/>
              <w:rPr>
                <w:b/>
                <w:noProof/>
                <w:sz w:val="16"/>
                <w:highlight w:val="yellow"/>
              </w:rPr>
            </w:pPr>
            <w:r w:rsidRPr="002858D6">
              <w:rPr>
                <w:b/>
                <w:noProof/>
                <w:sz w:val="16"/>
              </w:rPr>
              <w:t xml:space="preserve"> 0,133</w:t>
            </w:r>
          </w:p>
        </w:tc>
      </w:tr>
    </w:tbl>
    <w:p w14:paraId="2342AD26" w14:textId="77777777" w:rsidR="004515FC" w:rsidRPr="002858D6" w:rsidRDefault="004515FC" w:rsidP="004515FC">
      <w:pPr>
        <w:rPr>
          <w:noProof/>
          <w:sz w:val="18"/>
        </w:rPr>
      </w:pPr>
      <w:r w:rsidRPr="002858D6">
        <w:rPr>
          <w:noProof/>
          <w:sz w:val="18"/>
        </w:rPr>
        <w:t>As dotações relativas aos recursos humanos e outras despesas administrativas necessárias serão cobertas pelas dotações da DG já afetadas à gestão da ação e / ou reafetadas na DG e, se necessário, pelas eventuais dotações adicionais que sejam atribuídas à DG gestora no âmbito do processo de afetação anual e atendendo às disponibilidades orçamentais.</w:t>
      </w:r>
    </w:p>
    <w:p w14:paraId="4FF93EF4" w14:textId="77777777" w:rsidR="004515FC" w:rsidRPr="002858D6" w:rsidRDefault="004515FC" w:rsidP="004515FC">
      <w:pPr>
        <w:rPr>
          <w:noProof/>
          <w:sz w:val="18"/>
        </w:rPr>
        <w:sectPr w:rsidR="004515FC" w:rsidRPr="002858D6" w:rsidSect="007A1735">
          <w:headerReference w:type="default" r:id="rId25"/>
          <w:footerReference w:type="default" r:id="rId26"/>
          <w:pgSz w:w="11907" w:h="16840"/>
          <w:pgMar w:top="1134" w:right="1418" w:bottom="1134" w:left="1418" w:header="709" w:footer="709" w:gutter="0"/>
          <w:cols w:space="708"/>
          <w:docGrid w:linePitch="360"/>
        </w:sectPr>
      </w:pPr>
    </w:p>
    <w:p w14:paraId="27F100AA" w14:textId="77777777" w:rsidR="004515FC" w:rsidRPr="002858D6" w:rsidRDefault="004515FC" w:rsidP="004515FC">
      <w:pPr>
        <w:pStyle w:val="ManualHeading4"/>
        <w:rPr>
          <w:noProof/>
        </w:rPr>
      </w:pPr>
      <w:bookmarkStart w:id="67" w:name="_Toc82C9CE6E4E1F470F8F09B4938A67F539"/>
      <w:r w:rsidRPr="002858D6">
        <w:rPr>
          <w:noProof/>
        </w:rPr>
        <w:t>3.2.3.1.</w:t>
      </w:r>
      <w:r w:rsidRPr="002858D6">
        <w:rPr>
          <w:noProof/>
        </w:rPr>
        <w:tab/>
        <w:t xml:space="preserve">Necessidades estimadas de recursos humanos </w:t>
      </w:r>
      <w:bookmarkEnd w:id="67"/>
    </w:p>
    <w:p w14:paraId="63B3546B" w14:textId="77777777" w:rsidR="004515FC" w:rsidRPr="002858D6" w:rsidRDefault="004515FC" w:rsidP="004515FC">
      <w:pPr>
        <w:pStyle w:val="ListDash1"/>
        <w:rPr>
          <w:noProof/>
        </w:rPr>
      </w:pPr>
      <w:r w:rsidRPr="002858D6">
        <w:rPr>
          <w:rFonts w:ascii="Wingdings" w:hAnsi="Wingdings"/>
          <w:noProof/>
        </w:rPr>
        <w:t></w:t>
      </w:r>
      <w:r w:rsidRPr="002858D6">
        <w:rPr>
          <w:noProof/>
        </w:rPr>
        <w:tab/>
        <w:t xml:space="preserve">A proposta / iniciativa não acarreta a utilização de recursos humanos. </w:t>
      </w:r>
    </w:p>
    <w:p w14:paraId="71BA84D4" w14:textId="77777777" w:rsidR="004515FC" w:rsidRPr="002858D6" w:rsidRDefault="004515FC" w:rsidP="004515FC">
      <w:pPr>
        <w:pStyle w:val="ListDash1"/>
        <w:rPr>
          <w:noProof/>
        </w:rPr>
      </w:pPr>
      <w:r w:rsidRPr="002858D6">
        <w:rPr>
          <w:rFonts w:ascii="Wingdings" w:hAnsi="Wingdings"/>
          <w:noProof/>
        </w:rPr>
        <w:t></w:t>
      </w:r>
      <w:r w:rsidRPr="002858D6">
        <w:rPr>
          <w:noProof/>
        </w:rPr>
        <w:tab/>
        <w:t>A proposta / iniciativa acarreta a utilização de recursos humanos, tal como explicitado seguidamente:</w:t>
      </w:r>
    </w:p>
    <w:p w14:paraId="1B86B1CD" w14:textId="4D09A6F6" w:rsidR="004515FC" w:rsidRPr="002858D6" w:rsidRDefault="004515FC" w:rsidP="004515FC">
      <w:pPr>
        <w:spacing w:after="60"/>
        <w:jc w:val="right"/>
        <w:rPr>
          <w:i/>
          <w:noProof/>
          <w:sz w:val="20"/>
        </w:rPr>
      </w:pPr>
      <w:r w:rsidRPr="002858D6">
        <w:rPr>
          <w:i/>
          <w:noProof/>
          <w:sz w:val="20"/>
        </w:rPr>
        <w:t>As estimativas devem ser expressas em termos de equivalente a tempo completo*</w:t>
      </w:r>
    </w:p>
    <w:tbl>
      <w:tblPr>
        <w:tblW w:w="62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76"/>
        <w:gridCol w:w="2378"/>
        <w:gridCol w:w="731"/>
        <w:gridCol w:w="731"/>
      </w:tblGrid>
      <w:tr w:rsidR="004515FC" w:rsidRPr="002858D6" w14:paraId="40A3C3E3" w14:textId="77777777" w:rsidTr="0029161D">
        <w:trPr>
          <w:trHeight w:val="289"/>
          <w:jc w:val="center"/>
        </w:trPr>
        <w:tc>
          <w:tcPr>
            <w:tcW w:w="4754" w:type="dxa"/>
            <w:gridSpan w:val="2"/>
            <w:shd w:val="clear" w:color="auto" w:fill="auto"/>
          </w:tcPr>
          <w:p w14:paraId="195FD7D2" w14:textId="77777777" w:rsidR="004515FC" w:rsidRPr="002858D6" w:rsidRDefault="004515FC" w:rsidP="0029161D">
            <w:pPr>
              <w:pStyle w:val="Text1"/>
              <w:spacing w:before="40" w:after="40"/>
              <w:ind w:left="0"/>
              <w:jc w:val="center"/>
              <w:rPr>
                <w:i/>
                <w:noProof/>
                <w:sz w:val="16"/>
              </w:rPr>
            </w:pPr>
          </w:p>
        </w:tc>
        <w:tc>
          <w:tcPr>
            <w:tcW w:w="731" w:type="dxa"/>
            <w:shd w:val="clear" w:color="auto" w:fill="auto"/>
            <w:vAlign w:val="center"/>
          </w:tcPr>
          <w:p w14:paraId="0CE75EAC" w14:textId="77777777" w:rsidR="004515FC" w:rsidRPr="002858D6" w:rsidRDefault="004515FC" w:rsidP="0029161D">
            <w:pPr>
              <w:spacing w:before="20" w:after="20"/>
              <w:jc w:val="center"/>
              <w:rPr>
                <w:b/>
                <w:noProof/>
                <w:sz w:val="16"/>
              </w:rPr>
            </w:pPr>
            <w:r w:rsidRPr="002858D6">
              <w:rPr>
                <w:b/>
                <w:noProof/>
                <w:sz w:val="16"/>
              </w:rPr>
              <w:t>2026</w:t>
            </w:r>
          </w:p>
        </w:tc>
        <w:tc>
          <w:tcPr>
            <w:tcW w:w="731" w:type="dxa"/>
            <w:shd w:val="clear" w:color="auto" w:fill="auto"/>
            <w:vAlign w:val="center"/>
          </w:tcPr>
          <w:p w14:paraId="2327959F" w14:textId="77777777" w:rsidR="004515FC" w:rsidRPr="002858D6" w:rsidRDefault="004515FC" w:rsidP="0029161D">
            <w:pPr>
              <w:spacing w:before="20" w:after="20"/>
              <w:jc w:val="center"/>
              <w:rPr>
                <w:b/>
                <w:noProof/>
                <w:sz w:val="16"/>
              </w:rPr>
            </w:pPr>
            <w:r w:rsidRPr="002858D6">
              <w:rPr>
                <w:b/>
                <w:noProof/>
                <w:sz w:val="16"/>
              </w:rPr>
              <w:t>2027</w:t>
            </w:r>
          </w:p>
        </w:tc>
      </w:tr>
      <w:tr w:rsidR="004515FC" w:rsidRPr="002858D6" w14:paraId="2A97A2A9" w14:textId="77777777" w:rsidTr="0029161D">
        <w:trPr>
          <w:trHeight w:val="289"/>
          <w:jc w:val="center"/>
        </w:trPr>
        <w:tc>
          <w:tcPr>
            <w:tcW w:w="4754" w:type="dxa"/>
            <w:gridSpan w:val="2"/>
            <w:shd w:val="clear" w:color="auto" w:fill="auto"/>
            <w:vAlign w:val="center"/>
          </w:tcPr>
          <w:p w14:paraId="659EAE1C" w14:textId="77777777" w:rsidR="004515FC" w:rsidRPr="002858D6" w:rsidRDefault="004515FC" w:rsidP="0029161D">
            <w:pPr>
              <w:pStyle w:val="Text1"/>
              <w:spacing w:beforeLines="20" w:before="48" w:afterLines="20" w:after="48"/>
              <w:ind w:left="134"/>
              <w:jc w:val="left"/>
              <w:rPr>
                <w:b/>
                <w:noProof/>
                <w:sz w:val="16"/>
              </w:rPr>
            </w:pPr>
            <w:r w:rsidRPr="002858D6">
              <w:rPr>
                <w:noProof/>
                <w:sz w:val="16"/>
              </w:rPr>
              <w:t>20 01 02 01</w:t>
            </w:r>
            <w:r w:rsidRPr="002858D6">
              <w:rPr>
                <w:rFonts w:ascii="Arial Narrow" w:hAnsi="Arial Narrow"/>
                <w:noProof/>
                <w:sz w:val="20"/>
              </w:rPr>
              <w:t xml:space="preserve"> </w:t>
            </w:r>
            <w:r w:rsidRPr="002858D6">
              <w:rPr>
                <w:noProof/>
                <w:sz w:val="16"/>
              </w:rPr>
              <w:t>(na sede e nos gabinetes de representação da Comissão)</w:t>
            </w:r>
          </w:p>
        </w:tc>
        <w:tc>
          <w:tcPr>
            <w:tcW w:w="731" w:type="dxa"/>
            <w:shd w:val="clear" w:color="auto" w:fill="auto"/>
            <w:vAlign w:val="center"/>
          </w:tcPr>
          <w:p w14:paraId="138A4F6D" w14:textId="77777777" w:rsidR="004515FC" w:rsidRPr="002858D6" w:rsidRDefault="004515FC" w:rsidP="0029161D">
            <w:pPr>
              <w:spacing w:beforeLines="20" w:before="48" w:afterLines="20" w:after="48"/>
              <w:jc w:val="center"/>
              <w:rPr>
                <w:noProof/>
                <w:sz w:val="16"/>
              </w:rPr>
            </w:pPr>
            <w:r w:rsidRPr="002858D6">
              <w:rPr>
                <w:noProof/>
                <w:sz w:val="16"/>
              </w:rPr>
              <w:t>0,25</w:t>
            </w:r>
          </w:p>
        </w:tc>
        <w:tc>
          <w:tcPr>
            <w:tcW w:w="731" w:type="dxa"/>
            <w:shd w:val="clear" w:color="auto" w:fill="auto"/>
            <w:vAlign w:val="center"/>
          </w:tcPr>
          <w:p w14:paraId="3C15C79D" w14:textId="77777777" w:rsidR="004515FC" w:rsidRPr="002858D6" w:rsidRDefault="004515FC" w:rsidP="0029161D">
            <w:pPr>
              <w:spacing w:beforeLines="20" w:before="48" w:afterLines="20" w:after="48"/>
              <w:jc w:val="center"/>
              <w:rPr>
                <w:noProof/>
                <w:sz w:val="16"/>
              </w:rPr>
            </w:pPr>
            <w:r w:rsidRPr="002858D6">
              <w:rPr>
                <w:noProof/>
                <w:sz w:val="16"/>
              </w:rPr>
              <w:t>0,083</w:t>
            </w:r>
          </w:p>
        </w:tc>
      </w:tr>
      <w:tr w:rsidR="004515FC" w:rsidRPr="002858D6" w14:paraId="29074630" w14:textId="77777777" w:rsidTr="0029161D">
        <w:trPr>
          <w:trHeight w:val="289"/>
          <w:jc w:val="center"/>
        </w:trPr>
        <w:tc>
          <w:tcPr>
            <w:tcW w:w="4754" w:type="dxa"/>
            <w:gridSpan w:val="2"/>
            <w:shd w:val="clear" w:color="auto" w:fill="auto"/>
            <w:vAlign w:val="center"/>
          </w:tcPr>
          <w:p w14:paraId="1647F1F5" w14:textId="77777777" w:rsidR="004515FC" w:rsidRPr="002858D6" w:rsidRDefault="004515FC" w:rsidP="0029161D">
            <w:pPr>
              <w:pStyle w:val="Text1"/>
              <w:spacing w:beforeLines="20" w:before="48" w:afterLines="20" w:after="48"/>
              <w:ind w:left="134"/>
              <w:jc w:val="left"/>
              <w:rPr>
                <w:noProof/>
                <w:sz w:val="16"/>
              </w:rPr>
            </w:pPr>
            <w:r w:rsidRPr="002858D6">
              <w:rPr>
                <w:noProof/>
                <w:sz w:val="16"/>
              </w:rPr>
              <w:t>20 01 02 03 (delegações)</w:t>
            </w:r>
          </w:p>
        </w:tc>
        <w:tc>
          <w:tcPr>
            <w:tcW w:w="731" w:type="dxa"/>
            <w:shd w:val="clear" w:color="auto" w:fill="auto"/>
            <w:vAlign w:val="center"/>
          </w:tcPr>
          <w:p w14:paraId="6119FF32" w14:textId="77777777" w:rsidR="004515FC" w:rsidRPr="002858D6" w:rsidRDefault="004515FC" w:rsidP="0029161D">
            <w:pPr>
              <w:spacing w:beforeLines="20" w:before="48" w:afterLines="20" w:after="48"/>
              <w:jc w:val="center"/>
              <w:rPr>
                <w:noProof/>
                <w:sz w:val="16"/>
              </w:rPr>
            </w:pPr>
          </w:p>
        </w:tc>
        <w:tc>
          <w:tcPr>
            <w:tcW w:w="731" w:type="dxa"/>
            <w:shd w:val="clear" w:color="auto" w:fill="auto"/>
            <w:vAlign w:val="center"/>
          </w:tcPr>
          <w:p w14:paraId="3D600E09" w14:textId="77777777" w:rsidR="004515FC" w:rsidRPr="002858D6" w:rsidRDefault="004515FC" w:rsidP="0029161D">
            <w:pPr>
              <w:spacing w:beforeLines="20" w:before="48" w:afterLines="20" w:after="48"/>
              <w:jc w:val="center"/>
              <w:rPr>
                <w:noProof/>
                <w:sz w:val="16"/>
              </w:rPr>
            </w:pPr>
          </w:p>
        </w:tc>
      </w:tr>
      <w:tr w:rsidR="004515FC" w:rsidRPr="002858D6" w14:paraId="5CB0732A" w14:textId="77777777" w:rsidTr="0029161D">
        <w:trPr>
          <w:trHeight w:val="289"/>
          <w:jc w:val="center"/>
        </w:trPr>
        <w:tc>
          <w:tcPr>
            <w:tcW w:w="4754" w:type="dxa"/>
            <w:gridSpan w:val="2"/>
            <w:shd w:val="clear" w:color="auto" w:fill="auto"/>
            <w:vAlign w:val="center"/>
          </w:tcPr>
          <w:p w14:paraId="171C6DE4" w14:textId="1D46BF1D" w:rsidR="004515FC" w:rsidRPr="002858D6" w:rsidRDefault="004515FC" w:rsidP="0029161D">
            <w:pPr>
              <w:pStyle w:val="Text1"/>
              <w:spacing w:beforeLines="20" w:before="48" w:afterLines="20" w:after="48"/>
              <w:ind w:left="134"/>
              <w:jc w:val="left"/>
              <w:rPr>
                <w:noProof/>
                <w:sz w:val="16"/>
              </w:rPr>
            </w:pPr>
            <w:r w:rsidRPr="002858D6">
              <w:rPr>
                <w:noProof/>
                <w:sz w:val="16"/>
              </w:rPr>
              <w:t>01 01 01 01(investigação indireta)</w:t>
            </w:r>
          </w:p>
        </w:tc>
        <w:tc>
          <w:tcPr>
            <w:tcW w:w="731" w:type="dxa"/>
            <w:shd w:val="clear" w:color="auto" w:fill="auto"/>
            <w:vAlign w:val="center"/>
          </w:tcPr>
          <w:p w14:paraId="38B07E20" w14:textId="77777777" w:rsidR="004515FC" w:rsidRPr="002858D6" w:rsidRDefault="004515FC" w:rsidP="0029161D">
            <w:pPr>
              <w:spacing w:beforeLines="20" w:before="48" w:afterLines="20" w:after="48"/>
              <w:jc w:val="center"/>
              <w:rPr>
                <w:noProof/>
                <w:sz w:val="16"/>
              </w:rPr>
            </w:pPr>
          </w:p>
        </w:tc>
        <w:tc>
          <w:tcPr>
            <w:tcW w:w="731" w:type="dxa"/>
            <w:shd w:val="clear" w:color="auto" w:fill="auto"/>
            <w:vAlign w:val="center"/>
          </w:tcPr>
          <w:p w14:paraId="65E3513D" w14:textId="77777777" w:rsidR="004515FC" w:rsidRPr="002858D6" w:rsidRDefault="004515FC" w:rsidP="0029161D">
            <w:pPr>
              <w:spacing w:beforeLines="20" w:before="48" w:afterLines="20" w:after="48"/>
              <w:jc w:val="center"/>
              <w:rPr>
                <w:noProof/>
                <w:sz w:val="16"/>
              </w:rPr>
            </w:pPr>
          </w:p>
        </w:tc>
      </w:tr>
      <w:tr w:rsidR="004515FC" w:rsidRPr="002858D6" w14:paraId="79EA1CA8" w14:textId="77777777" w:rsidTr="0029161D">
        <w:trPr>
          <w:trHeight w:val="289"/>
          <w:jc w:val="center"/>
        </w:trPr>
        <w:tc>
          <w:tcPr>
            <w:tcW w:w="4754" w:type="dxa"/>
            <w:gridSpan w:val="2"/>
            <w:shd w:val="clear" w:color="auto" w:fill="auto"/>
            <w:vAlign w:val="center"/>
          </w:tcPr>
          <w:p w14:paraId="783F0292" w14:textId="77777777" w:rsidR="004515FC" w:rsidRPr="002858D6" w:rsidRDefault="004515FC" w:rsidP="0029161D">
            <w:pPr>
              <w:pStyle w:val="Text1"/>
              <w:spacing w:beforeLines="20" w:before="48" w:afterLines="20" w:after="48"/>
              <w:ind w:left="134"/>
              <w:jc w:val="left"/>
              <w:rPr>
                <w:noProof/>
                <w:sz w:val="16"/>
              </w:rPr>
            </w:pPr>
            <w:r w:rsidRPr="002858D6">
              <w:rPr>
                <w:noProof/>
                <w:sz w:val="16"/>
              </w:rPr>
              <w:t xml:space="preserve"> 01 01 01 11 (investigação direta)</w:t>
            </w:r>
          </w:p>
        </w:tc>
        <w:tc>
          <w:tcPr>
            <w:tcW w:w="731" w:type="dxa"/>
            <w:shd w:val="clear" w:color="auto" w:fill="auto"/>
            <w:vAlign w:val="center"/>
          </w:tcPr>
          <w:p w14:paraId="2452A5F5" w14:textId="77777777" w:rsidR="004515FC" w:rsidRPr="002858D6" w:rsidRDefault="004515FC" w:rsidP="0029161D">
            <w:pPr>
              <w:spacing w:beforeLines="20" w:before="48" w:afterLines="20" w:after="48"/>
              <w:jc w:val="center"/>
              <w:rPr>
                <w:noProof/>
                <w:sz w:val="16"/>
              </w:rPr>
            </w:pPr>
          </w:p>
        </w:tc>
        <w:tc>
          <w:tcPr>
            <w:tcW w:w="731" w:type="dxa"/>
            <w:shd w:val="clear" w:color="auto" w:fill="auto"/>
            <w:vAlign w:val="center"/>
          </w:tcPr>
          <w:p w14:paraId="11B578DB" w14:textId="77777777" w:rsidR="004515FC" w:rsidRPr="002858D6" w:rsidRDefault="004515FC" w:rsidP="0029161D">
            <w:pPr>
              <w:spacing w:beforeLines="20" w:before="48" w:afterLines="20" w:after="48"/>
              <w:jc w:val="center"/>
              <w:rPr>
                <w:noProof/>
                <w:sz w:val="16"/>
              </w:rPr>
            </w:pPr>
          </w:p>
        </w:tc>
      </w:tr>
      <w:tr w:rsidR="004515FC" w:rsidRPr="002858D6" w14:paraId="24E6D718" w14:textId="77777777" w:rsidTr="0029161D">
        <w:trPr>
          <w:trHeight w:val="289"/>
          <w:jc w:val="center"/>
        </w:trPr>
        <w:tc>
          <w:tcPr>
            <w:tcW w:w="4754" w:type="dxa"/>
            <w:gridSpan w:val="2"/>
            <w:shd w:val="clear" w:color="auto" w:fill="auto"/>
            <w:vAlign w:val="center"/>
          </w:tcPr>
          <w:p w14:paraId="255A5497" w14:textId="77777777" w:rsidR="004515FC" w:rsidRPr="002858D6" w:rsidRDefault="004515FC" w:rsidP="0029161D">
            <w:pPr>
              <w:pStyle w:val="Text1"/>
              <w:spacing w:beforeLines="20" w:before="48" w:afterLines="20" w:after="48"/>
              <w:ind w:left="134"/>
              <w:jc w:val="left"/>
              <w:rPr>
                <w:noProof/>
                <w:sz w:val="16"/>
              </w:rPr>
            </w:pPr>
            <w:r w:rsidRPr="002858D6">
              <w:rPr>
                <w:noProof/>
                <w:sz w:val="16"/>
              </w:rPr>
              <w:t>Outra rubrica orçamental (especificar)</w:t>
            </w:r>
          </w:p>
        </w:tc>
        <w:tc>
          <w:tcPr>
            <w:tcW w:w="731" w:type="dxa"/>
            <w:shd w:val="clear" w:color="auto" w:fill="auto"/>
            <w:vAlign w:val="center"/>
          </w:tcPr>
          <w:p w14:paraId="156BEC91" w14:textId="77777777" w:rsidR="004515FC" w:rsidRPr="002858D6" w:rsidRDefault="004515FC" w:rsidP="0029161D">
            <w:pPr>
              <w:spacing w:beforeLines="20" w:before="48" w:afterLines="20" w:after="48"/>
              <w:jc w:val="center"/>
              <w:rPr>
                <w:noProof/>
                <w:sz w:val="16"/>
              </w:rPr>
            </w:pPr>
          </w:p>
        </w:tc>
        <w:tc>
          <w:tcPr>
            <w:tcW w:w="731" w:type="dxa"/>
            <w:shd w:val="clear" w:color="auto" w:fill="auto"/>
            <w:vAlign w:val="center"/>
          </w:tcPr>
          <w:p w14:paraId="685F23A1" w14:textId="77777777" w:rsidR="004515FC" w:rsidRPr="002858D6" w:rsidRDefault="004515FC" w:rsidP="0029161D">
            <w:pPr>
              <w:spacing w:beforeLines="20" w:before="48" w:afterLines="20" w:after="48"/>
              <w:jc w:val="center"/>
              <w:rPr>
                <w:noProof/>
                <w:sz w:val="16"/>
              </w:rPr>
            </w:pPr>
          </w:p>
        </w:tc>
      </w:tr>
      <w:tr w:rsidR="004515FC" w:rsidRPr="002858D6" w14:paraId="532BE240" w14:textId="77777777" w:rsidTr="0029161D">
        <w:trPr>
          <w:trHeight w:val="289"/>
          <w:jc w:val="center"/>
        </w:trPr>
        <w:tc>
          <w:tcPr>
            <w:tcW w:w="4754" w:type="dxa"/>
            <w:gridSpan w:val="2"/>
            <w:shd w:val="clear" w:color="auto" w:fill="auto"/>
            <w:vAlign w:val="center"/>
          </w:tcPr>
          <w:p w14:paraId="46D67402" w14:textId="77777777" w:rsidR="004515FC" w:rsidRPr="002858D6" w:rsidRDefault="004515FC" w:rsidP="0029161D">
            <w:pPr>
              <w:pStyle w:val="Text1"/>
              <w:spacing w:beforeLines="20" w:before="48" w:afterLines="20" w:after="48"/>
              <w:ind w:left="136"/>
              <w:jc w:val="left"/>
              <w:rPr>
                <w:b/>
                <w:noProof/>
                <w:sz w:val="16"/>
              </w:rPr>
            </w:pPr>
            <w:r w:rsidRPr="002858D6">
              <w:rPr>
                <w:noProof/>
                <w:sz w:val="16"/>
              </w:rPr>
              <w:t>20 02 01</w:t>
            </w:r>
            <w:r w:rsidRPr="002858D6">
              <w:rPr>
                <w:rFonts w:ascii="Arial Narrow" w:hAnsi="Arial Narrow"/>
                <w:noProof/>
                <w:sz w:val="20"/>
              </w:rPr>
              <w:t xml:space="preserve"> </w:t>
            </w:r>
            <w:r w:rsidRPr="002858D6">
              <w:rPr>
                <w:noProof/>
                <w:sz w:val="16"/>
              </w:rPr>
              <w:t>(AC, PND e TT da «dotação global»)</w:t>
            </w:r>
          </w:p>
        </w:tc>
        <w:tc>
          <w:tcPr>
            <w:tcW w:w="731" w:type="dxa"/>
            <w:shd w:val="clear" w:color="auto" w:fill="auto"/>
            <w:vAlign w:val="center"/>
          </w:tcPr>
          <w:p w14:paraId="2C2D44B9" w14:textId="77777777" w:rsidR="004515FC" w:rsidRPr="002858D6" w:rsidRDefault="004515FC" w:rsidP="0029161D">
            <w:pPr>
              <w:spacing w:beforeLines="20" w:before="48" w:afterLines="20" w:after="48"/>
              <w:jc w:val="center"/>
              <w:rPr>
                <w:noProof/>
                <w:sz w:val="16"/>
              </w:rPr>
            </w:pPr>
          </w:p>
        </w:tc>
        <w:tc>
          <w:tcPr>
            <w:tcW w:w="731" w:type="dxa"/>
            <w:shd w:val="clear" w:color="auto" w:fill="auto"/>
            <w:vAlign w:val="center"/>
          </w:tcPr>
          <w:p w14:paraId="5FB2386F" w14:textId="77777777" w:rsidR="004515FC" w:rsidRPr="002858D6" w:rsidRDefault="004515FC" w:rsidP="0029161D">
            <w:pPr>
              <w:spacing w:beforeLines="20" w:before="48" w:afterLines="20" w:after="48"/>
              <w:jc w:val="center"/>
              <w:rPr>
                <w:noProof/>
                <w:sz w:val="16"/>
              </w:rPr>
            </w:pPr>
          </w:p>
        </w:tc>
      </w:tr>
      <w:tr w:rsidR="004515FC" w:rsidRPr="002858D6" w14:paraId="11D7945C" w14:textId="77777777" w:rsidTr="0029161D">
        <w:trPr>
          <w:trHeight w:val="289"/>
          <w:jc w:val="center"/>
        </w:trPr>
        <w:tc>
          <w:tcPr>
            <w:tcW w:w="4754" w:type="dxa"/>
            <w:gridSpan w:val="2"/>
            <w:shd w:val="clear" w:color="auto" w:fill="auto"/>
            <w:vAlign w:val="center"/>
          </w:tcPr>
          <w:p w14:paraId="5593889E" w14:textId="77777777" w:rsidR="004515FC" w:rsidRPr="002858D6" w:rsidRDefault="004515FC" w:rsidP="0029161D">
            <w:pPr>
              <w:pStyle w:val="Text1"/>
              <w:spacing w:beforeLines="20" w:before="48" w:afterLines="20" w:after="48"/>
              <w:ind w:left="136"/>
              <w:jc w:val="left"/>
              <w:rPr>
                <w:noProof/>
                <w:sz w:val="16"/>
              </w:rPr>
            </w:pPr>
            <w:r w:rsidRPr="002858D6">
              <w:rPr>
                <w:noProof/>
                <w:sz w:val="16"/>
              </w:rPr>
              <w:t>20 02 03 (AC, AL, PND, TT e JPD nas delegações)</w:t>
            </w:r>
          </w:p>
        </w:tc>
        <w:tc>
          <w:tcPr>
            <w:tcW w:w="731" w:type="dxa"/>
            <w:shd w:val="clear" w:color="auto" w:fill="auto"/>
            <w:vAlign w:val="center"/>
          </w:tcPr>
          <w:p w14:paraId="17ECE74C" w14:textId="77777777" w:rsidR="004515FC" w:rsidRPr="002858D6" w:rsidRDefault="004515FC" w:rsidP="0029161D">
            <w:pPr>
              <w:spacing w:beforeLines="20" w:before="48" w:afterLines="20" w:after="48"/>
              <w:jc w:val="center"/>
              <w:rPr>
                <w:noProof/>
                <w:sz w:val="16"/>
              </w:rPr>
            </w:pPr>
          </w:p>
        </w:tc>
        <w:tc>
          <w:tcPr>
            <w:tcW w:w="731" w:type="dxa"/>
            <w:shd w:val="clear" w:color="auto" w:fill="auto"/>
            <w:vAlign w:val="center"/>
          </w:tcPr>
          <w:p w14:paraId="7672168A" w14:textId="77777777" w:rsidR="004515FC" w:rsidRPr="002858D6" w:rsidRDefault="004515FC" w:rsidP="0029161D">
            <w:pPr>
              <w:spacing w:beforeLines="20" w:before="48" w:afterLines="20" w:after="48"/>
              <w:jc w:val="center"/>
              <w:rPr>
                <w:noProof/>
                <w:sz w:val="16"/>
              </w:rPr>
            </w:pPr>
          </w:p>
        </w:tc>
      </w:tr>
      <w:tr w:rsidR="004515FC" w:rsidRPr="002858D6" w14:paraId="7A98C36C" w14:textId="77777777" w:rsidTr="0029161D">
        <w:trPr>
          <w:trHeight w:val="289"/>
          <w:jc w:val="center"/>
        </w:trPr>
        <w:tc>
          <w:tcPr>
            <w:tcW w:w="2376" w:type="dxa"/>
            <w:vMerge w:val="restart"/>
            <w:shd w:val="clear" w:color="auto" w:fill="auto"/>
            <w:vAlign w:val="center"/>
          </w:tcPr>
          <w:p w14:paraId="16635A60" w14:textId="77777777" w:rsidR="004515FC" w:rsidRPr="002858D6" w:rsidRDefault="004515FC" w:rsidP="0029161D">
            <w:pPr>
              <w:pStyle w:val="Text1"/>
              <w:spacing w:beforeLines="20" w:before="48" w:afterLines="20" w:after="48"/>
              <w:ind w:left="136"/>
              <w:jc w:val="left"/>
              <w:rPr>
                <w:b/>
                <w:noProof/>
                <w:sz w:val="16"/>
              </w:rPr>
            </w:pPr>
            <w:r w:rsidRPr="002858D6">
              <w:rPr>
                <w:b/>
                <w:noProof/>
                <w:sz w:val="16"/>
              </w:rPr>
              <w:t>XX</w:t>
            </w:r>
            <w:r w:rsidRPr="002858D6">
              <w:rPr>
                <w:noProof/>
                <w:sz w:val="16"/>
              </w:rPr>
              <w:t xml:space="preserve"> 01  xx </w:t>
            </w:r>
            <w:r w:rsidRPr="002858D6">
              <w:rPr>
                <w:b/>
                <w:noProof/>
                <w:sz w:val="16"/>
              </w:rPr>
              <w:t xml:space="preserve">yy zz </w:t>
            </w:r>
            <w:r w:rsidRPr="002858D6">
              <w:rPr>
                <w:b/>
                <w:i/>
                <w:noProof/>
                <w:sz w:val="16"/>
              </w:rPr>
              <w:t xml:space="preserve"> </w:t>
            </w:r>
            <w:r w:rsidRPr="002858D6">
              <w:rPr>
                <w:rStyle w:val="FootnoteReference0"/>
                <w:b/>
                <w:i/>
                <w:noProof/>
                <w:sz w:val="16"/>
              </w:rPr>
              <w:footnoteReference w:id="51"/>
            </w:r>
          </w:p>
          <w:p w14:paraId="7C8EDD41" w14:textId="77777777" w:rsidR="004515FC" w:rsidRPr="002858D6" w:rsidRDefault="004515FC" w:rsidP="0029161D">
            <w:pPr>
              <w:pStyle w:val="Text1"/>
              <w:spacing w:beforeLines="20" w:before="48" w:afterLines="20" w:after="48"/>
              <w:ind w:left="136"/>
              <w:jc w:val="left"/>
              <w:rPr>
                <w:b/>
                <w:noProof/>
                <w:sz w:val="16"/>
              </w:rPr>
            </w:pPr>
          </w:p>
        </w:tc>
        <w:tc>
          <w:tcPr>
            <w:tcW w:w="2378" w:type="dxa"/>
            <w:shd w:val="clear" w:color="auto" w:fill="auto"/>
            <w:vAlign w:val="center"/>
          </w:tcPr>
          <w:p w14:paraId="0FCAF24A" w14:textId="77777777" w:rsidR="004515FC" w:rsidRPr="002858D6" w:rsidRDefault="004515FC" w:rsidP="0029161D">
            <w:pPr>
              <w:pStyle w:val="Text1"/>
              <w:spacing w:beforeLines="20" w:before="48" w:afterLines="20" w:after="48"/>
              <w:ind w:left="136"/>
              <w:jc w:val="left"/>
              <w:rPr>
                <w:b/>
                <w:noProof/>
                <w:sz w:val="16"/>
              </w:rPr>
            </w:pPr>
            <w:r w:rsidRPr="002858D6">
              <w:rPr>
                <w:noProof/>
                <w:sz w:val="16"/>
              </w:rPr>
              <w:t>- na sede</w:t>
            </w:r>
          </w:p>
          <w:p w14:paraId="77BDB51B" w14:textId="77777777" w:rsidR="004515FC" w:rsidRPr="002858D6" w:rsidRDefault="004515FC" w:rsidP="0029161D">
            <w:pPr>
              <w:pStyle w:val="Text1"/>
              <w:spacing w:beforeLines="20" w:before="48" w:afterLines="20" w:after="48"/>
              <w:ind w:left="136"/>
              <w:jc w:val="left"/>
              <w:rPr>
                <w:b/>
                <w:noProof/>
                <w:sz w:val="16"/>
              </w:rPr>
            </w:pPr>
          </w:p>
        </w:tc>
        <w:tc>
          <w:tcPr>
            <w:tcW w:w="731" w:type="dxa"/>
            <w:shd w:val="clear" w:color="auto" w:fill="auto"/>
            <w:vAlign w:val="center"/>
          </w:tcPr>
          <w:p w14:paraId="43D9BDCD" w14:textId="77777777" w:rsidR="004515FC" w:rsidRPr="002858D6" w:rsidRDefault="004515FC" w:rsidP="0029161D">
            <w:pPr>
              <w:pStyle w:val="Text1"/>
              <w:spacing w:beforeLines="20" w:before="48" w:afterLines="20" w:after="48"/>
              <w:ind w:left="0"/>
              <w:rPr>
                <w:noProof/>
                <w:sz w:val="16"/>
              </w:rPr>
            </w:pPr>
          </w:p>
        </w:tc>
        <w:tc>
          <w:tcPr>
            <w:tcW w:w="731" w:type="dxa"/>
            <w:shd w:val="clear" w:color="auto" w:fill="auto"/>
            <w:vAlign w:val="center"/>
          </w:tcPr>
          <w:p w14:paraId="13533805" w14:textId="77777777" w:rsidR="004515FC" w:rsidRPr="002858D6" w:rsidRDefault="004515FC" w:rsidP="0029161D">
            <w:pPr>
              <w:spacing w:beforeLines="20" w:before="48" w:afterLines="20" w:after="48"/>
              <w:jc w:val="center"/>
              <w:rPr>
                <w:noProof/>
                <w:sz w:val="16"/>
              </w:rPr>
            </w:pPr>
          </w:p>
        </w:tc>
      </w:tr>
      <w:tr w:rsidR="004515FC" w:rsidRPr="002858D6" w14:paraId="1B701C78" w14:textId="77777777" w:rsidTr="0029161D">
        <w:trPr>
          <w:trHeight w:val="289"/>
          <w:jc w:val="center"/>
        </w:trPr>
        <w:tc>
          <w:tcPr>
            <w:tcW w:w="2376" w:type="dxa"/>
            <w:vMerge/>
            <w:shd w:val="clear" w:color="auto" w:fill="auto"/>
            <w:vAlign w:val="center"/>
          </w:tcPr>
          <w:p w14:paraId="518DFB7F" w14:textId="77777777" w:rsidR="004515FC" w:rsidRPr="002858D6" w:rsidRDefault="004515FC" w:rsidP="0029161D">
            <w:pPr>
              <w:pStyle w:val="Text1"/>
              <w:spacing w:beforeLines="20" w:before="48" w:afterLines="20" w:after="48"/>
              <w:ind w:left="136"/>
              <w:jc w:val="left"/>
              <w:rPr>
                <w:b/>
                <w:noProof/>
                <w:sz w:val="16"/>
              </w:rPr>
            </w:pPr>
          </w:p>
        </w:tc>
        <w:tc>
          <w:tcPr>
            <w:tcW w:w="2378" w:type="dxa"/>
            <w:shd w:val="clear" w:color="auto" w:fill="auto"/>
            <w:vAlign w:val="center"/>
          </w:tcPr>
          <w:p w14:paraId="4EF61B51" w14:textId="77777777" w:rsidR="004515FC" w:rsidRPr="002858D6" w:rsidRDefault="004515FC" w:rsidP="0029161D">
            <w:pPr>
              <w:pStyle w:val="Text1"/>
              <w:spacing w:beforeLines="20" w:before="48" w:afterLines="20" w:after="48"/>
              <w:ind w:left="136"/>
              <w:jc w:val="left"/>
              <w:rPr>
                <w:b/>
                <w:noProof/>
                <w:sz w:val="16"/>
              </w:rPr>
            </w:pPr>
            <w:r w:rsidRPr="002858D6">
              <w:rPr>
                <w:noProof/>
                <w:sz w:val="16"/>
              </w:rPr>
              <w:t xml:space="preserve">- nas delegações </w:t>
            </w:r>
          </w:p>
        </w:tc>
        <w:tc>
          <w:tcPr>
            <w:tcW w:w="731" w:type="dxa"/>
            <w:shd w:val="clear" w:color="auto" w:fill="auto"/>
            <w:vAlign w:val="center"/>
          </w:tcPr>
          <w:p w14:paraId="5282C6A5" w14:textId="77777777" w:rsidR="004515FC" w:rsidRPr="002858D6" w:rsidRDefault="004515FC" w:rsidP="0029161D">
            <w:pPr>
              <w:pStyle w:val="Text1"/>
              <w:spacing w:beforeLines="20" w:before="48" w:afterLines="20" w:after="48"/>
              <w:ind w:left="0"/>
              <w:rPr>
                <w:noProof/>
                <w:sz w:val="16"/>
              </w:rPr>
            </w:pPr>
          </w:p>
        </w:tc>
        <w:tc>
          <w:tcPr>
            <w:tcW w:w="731" w:type="dxa"/>
            <w:shd w:val="clear" w:color="auto" w:fill="auto"/>
            <w:vAlign w:val="center"/>
          </w:tcPr>
          <w:p w14:paraId="7E0B8812" w14:textId="77777777" w:rsidR="004515FC" w:rsidRPr="002858D6" w:rsidRDefault="004515FC" w:rsidP="0029161D">
            <w:pPr>
              <w:spacing w:beforeLines="20" w:before="48" w:afterLines="20" w:after="48"/>
              <w:jc w:val="center"/>
              <w:rPr>
                <w:noProof/>
                <w:sz w:val="16"/>
              </w:rPr>
            </w:pPr>
          </w:p>
        </w:tc>
      </w:tr>
      <w:tr w:rsidR="004515FC" w:rsidRPr="002858D6" w14:paraId="47688FB5" w14:textId="77777777" w:rsidTr="0029161D">
        <w:trPr>
          <w:trHeight w:val="289"/>
          <w:jc w:val="center"/>
        </w:trPr>
        <w:tc>
          <w:tcPr>
            <w:tcW w:w="4754" w:type="dxa"/>
            <w:gridSpan w:val="2"/>
            <w:shd w:val="clear" w:color="auto" w:fill="auto"/>
            <w:vAlign w:val="center"/>
          </w:tcPr>
          <w:p w14:paraId="3700D9DF" w14:textId="77777777" w:rsidR="004515FC" w:rsidRPr="002858D6" w:rsidRDefault="004515FC" w:rsidP="0029161D">
            <w:pPr>
              <w:pStyle w:val="Text1"/>
              <w:spacing w:beforeLines="20" w:before="48" w:afterLines="20" w:after="48"/>
              <w:ind w:left="136"/>
              <w:jc w:val="left"/>
              <w:rPr>
                <w:noProof/>
                <w:sz w:val="16"/>
              </w:rPr>
            </w:pPr>
            <w:r w:rsidRPr="002858D6">
              <w:rPr>
                <w:noProof/>
                <w:sz w:val="16"/>
              </w:rPr>
              <w:t>01 01 01 02</w:t>
            </w:r>
            <w:r w:rsidRPr="002858D6">
              <w:rPr>
                <w:rFonts w:ascii="Arial Narrow" w:hAnsi="Arial Narrow"/>
                <w:noProof/>
                <w:sz w:val="20"/>
              </w:rPr>
              <w:t xml:space="preserve"> </w:t>
            </w:r>
            <w:r w:rsidRPr="002858D6">
              <w:rPr>
                <w:noProof/>
                <w:sz w:val="16"/>
              </w:rPr>
              <w:t>(AC, PND e TT - investigação indireta)</w:t>
            </w:r>
          </w:p>
        </w:tc>
        <w:tc>
          <w:tcPr>
            <w:tcW w:w="731" w:type="dxa"/>
            <w:shd w:val="clear" w:color="auto" w:fill="auto"/>
            <w:vAlign w:val="center"/>
          </w:tcPr>
          <w:p w14:paraId="36B31548" w14:textId="77777777" w:rsidR="004515FC" w:rsidRPr="002858D6" w:rsidRDefault="004515FC" w:rsidP="0029161D">
            <w:pPr>
              <w:spacing w:beforeLines="20" w:before="48" w:afterLines="20" w:after="48"/>
              <w:jc w:val="center"/>
              <w:rPr>
                <w:noProof/>
                <w:sz w:val="16"/>
              </w:rPr>
            </w:pPr>
          </w:p>
        </w:tc>
        <w:tc>
          <w:tcPr>
            <w:tcW w:w="731" w:type="dxa"/>
            <w:shd w:val="clear" w:color="auto" w:fill="auto"/>
            <w:vAlign w:val="center"/>
          </w:tcPr>
          <w:p w14:paraId="0F4439C2" w14:textId="77777777" w:rsidR="004515FC" w:rsidRPr="002858D6" w:rsidRDefault="004515FC" w:rsidP="0029161D">
            <w:pPr>
              <w:spacing w:beforeLines="20" w:before="48" w:afterLines="20" w:after="48"/>
              <w:jc w:val="center"/>
              <w:rPr>
                <w:noProof/>
                <w:sz w:val="16"/>
              </w:rPr>
            </w:pPr>
          </w:p>
        </w:tc>
      </w:tr>
      <w:tr w:rsidR="004515FC" w:rsidRPr="002858D6" w14:paraId="5AA1E51D" w14:textId="77777777" w:rsidTr="0029161D">
        <w:trPr>
          <w:trHeight w:val="289"/>
          <w:jc w:val="center"/>
        </w:trPr>
        <w:tc>
          <w:tcPr>
            <w:tcW w:w="4754" w:type="dxa"/>
            <w:gridSpan w:val="2"/>
            <w:shd w:val="clear" w:color="auto" w:fill="auto"/>
            <w:vAlign w:val="center"/>
          </w:tcPr>
          <w:p w14:paraId="115DF07E" w14:textId="77777777" w:rsidR="004515FC" w:rsidRPr="002858D6" w:rsidRDefault="004515FC" w:rsidP="0029161D">
            <w:pPr>
              <w:pStyle w:val="Text1"/>
              <w:spacing w:beforeLines="20" w:before="48" w:afterLines="20" w:after="48"/>
              <w:ind w:left="136"/>
              <w:jc w:val="left"/>
              <w:rPr>
                <w:noProof/>
                <w:color w:val="FF0000"/>
                <w:sz w:val="16"/>
              </w:rPr>
            </w:pPr>
            <w:r w:rsidRPr="002858D6">
              <w:rPr>
                <w:noProof/>
                <w:sz w:val="16"/>
              </w:rPr>
              <w:t xml:space="preserve"> 01 01 01 12 (AC, PND e TT - investigação direta)</w:t>
            </w:r>
          </w:p>
        </w:tc>
        <w:tc>
          <w:tcPr>
            <w:tcW w:w="731" w:type="dxa"/>
            <w:shd w:val="clear" w:color="auto" w:fill="auto"/>
            <w:vAlign w:val="center"/>
          </w:tcPr>
          <w:p w14:paraId="5BDFCE2A" w14:textId="77777777" w:rsidR="004515FC" w:rsidRPr="002858D6" w:rsidRDefault="004515FC" w:rsidP="0029161D">
            <w:pPr>
              <w:spacing w:beforeLines="20" w:before="48" w:afterLines="20" w:after="48"/>
              <w:jc w:val="center"/>
              <w:rPr>
                <w:noProof/>
                <w:sz w:val="16"/>
              </w:rPr>
            </w:pPr>
          </w:p>
        </w:tc>
        <w:tc>
          <w:tcPr>
            <w:tcW w:w="731" w:type="dxa"/>
            <w:shd w:val="clear" w:color="auto" w:fill="auto"/>
            <w:vAlign w:val="center"/>
          </w:tcPr>
          <w:p w14:paraId="33F50A88" w14:textId="77777777" w:rsidR="004515FC" w:rsidRPr="002858D6" w:rsidRDefault="004515FC" w:rsidP="0029161D">
            <w:pPr>
              <w:spacing w:beforeLines="20" w:before="48" w:afterLines="20" w:after="48"/>
              <w:jc w:val="center"/>
              <w:rPr>
                <w:noProof/>
                <w:sz w:val="16"/>
              </w:rPr>
            </w:pPr>
          </w:p>
        </w:tc>
      </w:tr>
      <w:tr w:rsidR="004515FC" w:rsidRPr="002858D6" w14:paraId="25D69DE1" w14:textId="77777777" w:rsidTr="0029161D">
        <w:trPr>
          <w:trHeight w:val="289"/>
          <w:jc w:val="center"/>
        </w:trPr>
        <w:tc>
          <w:tcPr>
            <w:tcW w:w="4754" w:type="dxa"/>
            <w:gridSpan w:val="2"/>
            <w:shd w:val="clear" w:color="auto" w:fill="auto"/>
            <w:vAlign w:val="center"/>
          </w:tcPr>
          <w:p w14:paraId="0FDF5DFC" w14:textId="77777777" w:rsidR="004515FC" w:rsidRPr="002858D6" w:rsidRDefault="004515FC" w:rsidP="0029161D">
            <w:pPr>
              <w:pStyle w:val="Text1"/>
              <w:spacing w:beforeLines="20" w:before="48" w:afterLines="20" w:after="48"/>
              <w:ind w:left="136"/>
              <w:jc w:val="left"/>
              <w:rPr>
                <w:noProof/>
                <w:sz w:val="16"/>
              </w:rPr>
            </w:pPr>
            <w:r w:rsidRPr="002858D6">
              <w:rPr>
                <w:noProof/>
                <w:sz w:val="16"/>
              </w:rPr>
              <w:t>Outra rubrica orçamental (especificar)</w:t>
            </w:r>
          </w:p>
        </w:tc>
        <w:tc>
          <w:tcPr>
            <w:tcW w:w="731" w:type="dxa"/>
            <w:shd w:val="clear" w:color="auto" w:fill="auto"/>
            <w:vAlign w:val="center"/>
          </w:tcPr>
          <w:p w14:paraId="072534DD" w14:textId="77777777" w:rsidR="004515FC" w:rsidRPr="002858D6" w:rsidRDefault="004515FC" w:rsidP="0029161D">
            <w:pPr>
              <w:spacing w:beforeLines="20" w:before="48" w:afterLines="20" w:after="48"/>
              <w:jc w:val="center"/>
              <w:rPr>
                <w:noProof/>
                <w:sz w:val="16"/>
              </w:rPr>
            </w:pPr>
          </w:p>
        </w:tc>
        <w:tc>
          <w:tcPr>
            <w:tcW w:w="731" w:type="dxa"/>
            <w:shd w:val="clear" w:color="auto" w:fill="auto"/>
            <w:vAlign w:val="center"/>
          </w:tcPr>
          <w:p w14:paraId="3969AB1F" w14:textId="77777777" w:rsidR="004515FC" w:rsidRPr="002858D6" w:rsidRDefault="004515FC" w:rsidP="0029161D">
            <w:pPr>
              <w:spacing w:beforeLines="20" w:before="48" w:afterLines="20" w:after="48"/>
              <w:jc w:val="center"/>
              <w:rPr>
                <w:noProof/>
                <w:sz w:val="16"/>
              </w:rPr>
            </w:pPr>
          </w:p>
        </w:tc>
      </w:tr>
      <w:tr w:rsidR="004515FC" w:rsidRPr="002858D6" w14:paraId="0A8551D2" w14:textId="77777777" w:rsidTr="0029161D">
        <w:trPr>
          <w:trHeight w:val="289"/>
          <w:jc w:val="center"/>
        </w:trPr>
        <w:tc>
          <w:tcPr>
            <w:tcW w:w="4754" w:type="dxa"/>
            <w:gridSpan w:val="2"/>
            <w:tcBorders>
              <w:top w:val="double" w:sz="4" w:space="0" w:color="auto"/>
            </w:tcBorders>
            <w:shd w:val="clear" w:color="auto" w:fill="auto"/>
            <w:vAlign w:val="center"/>
          </w:tcPr>
          <w:p w14:paraId="35737D82" w14:textId="77777777" w:rsidR="004515FC" w:rsidRPr="002858D6" w:rsidRDefault="004515FC" w:rsidP="0029161D">
            <w:pPr>
              <w:pStyle w:val="Text1"/>
              <w:spacing w:beforeLines="20" w:before="48" w:afterLines="20" w:after="48"/>
              <w:ind w:left="136"/>
              <w:jc w:val="left"/>
              <w:rPr>
                <w:noProof/>
                <w:sz w:val="16"/>
              </w:rPr>
            </w:pPr>
            <w:r w:rsidRPr="002858D6">
              <w:rPr>
                <w:b/>
                <w:noProof/>
                <w:sz w:val="16"/>
              </w:rPr>
              <w:t>TOTAL</w:t>
            </w:r>
          </w:p>
        </w:tc>
        <w:tc>
          <w:tcPr>
            <w:tcW w:w="731" w:type="dxa"/>
            <w:tcBorders>
              <w:top w:val="double" w:sz="4" w:space="0" w:color="auto"/>
            </w:tcBorders>
            <w:shd w:val="clear" w:color="auto" w:fill="auto"/>
            <w:vAlign w:val="center"/>
          </w:tcPr>
          <w:p w14:paraId="2AA2A39E" w14:textId="77777777" w:rsidR="004515FC" w:rsidRPr="002858D6" w:rsidRDefault="004515FC" w:rsidP="0029161D">
            <w:pPr>
              <w:spacing w:beforeLines="20" w:before="48" w:afterLines="20" w:after="48"/>
              <w:jc w:val="center"/>
              <w:rPr>
                <w:b/>
                <w:noProof/>
                <w:sz w:val="16"/>
              </w:rPr>
            </w:pPr>
            <w:r w:rsidRPr="002858D6">
              <w:rPr>
                <w:b/>
                <w:noProof/>
                <w:sz w:val="16"/>
              </w:rPr>
              <w:t>0,25</w:t>
            </w:r>
          </w:p>
        </w:tc>
        <w:tc>
          <w:tcPr>
            <w:tcW w:w="731" w:type="dxa"/>
            <w:tcBorders>
              <w:top w:val="double" w:sz="4" w:space="0" w:color="auto"/>
            </w:tcBorders>
            <w:shd w:val="clear" w:color="auto" w:fill="auto"/>
            <w:vAlign w:val="center"/>
          </w:tcPr>
          <w:p w14:paraId="3C6BB180" w14:textId="77777777" w:rsidR="004515FC" w:rsidRPr="002858D6" w:rsidRDefault="004515FC" w:rsidP="0029161D">
            <w:pPr>
              <w:spacing w:beforeLines="20" w:before="48" w:afterLines="20" w:after="48"/>
              <w:jc w:val="center"/>
              <w:rPr>
                <w:b/>
                <w:noProof/>
                <w:sz w:val="16"/>
              </w:rPr>
            </w:pPr>
            <w:r w:rsidRPr="002858D6">
              <w:rPr>
                <w:b/>
                <w:noProof/>
                <w:sz w:val="16"/>
              </w:rPr>
              <w:t>0,083</w:t>
            </w:r>
          </w:p>
        </w:tc>
      </w:tr>
    </w:tbl>
    <w:p w14:paraId="2E79943E" w14:textId="46FB9E9E" w:rsidR="00270263" w:rsidRPr="002858D6" w:rsidRDefault="00270263" w:rsidP="004515FC">
      <w:pPr>
        <w:pStyle w:val="Text1"/>
        <w:spacing w:before="60" w:after="60"/>
        <w:ind w:left="851"/>
        <w:rPr>
          <w:noProof/>
          <w:sz w:val="18"/>
        </w:rPr>
      </w:pPr>
      <w:r w:rsidRPr="002858D6">
        <w:rPr>
          <w:noProof/>
          <w:sz w:val="18"/>
        </w:rPr>
        <w:t>* A rubrica 7 das despesas administrativas relativas ao pessoal diz respeito a um ETC durante três meses no primeiro ano de execução e, posteriormente, um mês por ano na DG JUST. Por conseguinte, a estimativa dos recursos humanos necessários corresponde a unidades equivalentes a tempo completo inferiores a 1.</w:t>
      </w:r>
    </w:p>
    <w:p w14:paraId="37A0A25B" w14:textId="3349BA37" w:rsidR="004515FC" w:rsidRPr="002858D6" w:rsidRDefault="004515FC" w:rsidP="004515FC">
      <w:pPr>
        <w:pStyle w:val="Text1"/>
        <w:spacing w:before="60" w:after="60"/>
        <w:ind w:left="851"/>
        <w:rPr>
          <w:noProof/>
          <w:sz w:val="18"/>
        </w:rPr>
      </w:pPr>
      <w:r w:rsidRPr="002858D6">
        <w:rPr>
          <w:b/>
          <w:noProof/>
          <w:sz w:val="18"/>
        </w:rPr>
        <w:t>Proteção consular</w:t>
      </w:r>
      <w:r w:rsidRPr="002858D6">
        <w:rPr>
          <w:noProof/>
          <w:sz w:val="18"/>
        </w:rPr>
        <w:t xml:space="preserve"> corresponde ao domínio de intervenção ou título em causa.</w:t>
      </w:r>
    </w:p>
    <w:p w14:paraId="28815853" w14:textId="77777777" w:rsidR="004515FC" w:rsidRPr="002858D6" w:rsidRDefault="004515FC" w:rsidP="004515FC">
      <w:pPr>
        <w:pStyle w:val="Text1"/>
        <w:rPr>
          <w:noProof/>
          <w:sz w:val="18"/>
        </w:rPr>
      </w:pPr>
      <w:r w:rsidRPr="002858D6">
        <w:rPr>
          <w:noProof/>
          <w:sz w:val="18"/>
        </w:rPr>
        <w:t>As necessidades de recursos humanos serão cobertas pelos efetivos da DG já afetados à gestão da ação e / ou reafetados internamente a nível da DG, completados, caso necessário, por eventuais dotações adicionais que sejam atribuídas à DG gestora no âmbito do processo de afetação anual e atendendo às disponibilidades orçamentais.</w:t>
      </w:r>
    </w:p>
    <w:p w14:paraId="052624C6" w14:textId="77777777" w:rsidR="004515FC" w:rsidRPr="002858D6" w:rsidRDefault="004515FC" w:rsidP="004515FC">
      <w:pPr>
        <w:rPr>
          <w:noProof/>
          <w:sz w:val="20"/>
        </w:rPr>
      </w:pPr>
      <w:r w:rsidRPr="002858D6">
        <w:rPr>
          <w:noProof/>
          <w:sz w:val="20"/>
        </w:rPr>
        <w:t>Descrição das tarefas a executar: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3C6DC3" w:rsidRPr="002858D6" w14:paraId="1992C67C" w14:textId="77777777">
        <w:tc>
          <w:tcPr>
            <w:tcW w:w="3240" w:type="dxa"/>
          </w:tcPr>
          <w:p w14:paraId="235D7162" w14:textId="77777777" w:rsidR="004515FC" w:rsidRPr="002858D6" w:rsidRDefault="004515FC" w:rsidP="0029161D">
            <w:pPr>
              <w:rPr>
                <w:noProof/>
                <w:sz w:val="20"/>
              </w:rPr>
            </w:pPr>
            <w:r w:rsidRPr="002858D6">
              <w:rPr>
                <w:noProof/>
                <w:sz w:val="20"/>
              </w:rPr>
              <w:t>Funcionários e agentes temporários</w:t>
            </w:r>
          </w:p>
        </w:tc>
        <w:tc>
          <w:tcPr>
            <w:tcW w:w="7200" w:type="dxa"/>
          </w:tcPr>
          <w:p w14:paraId="52D391F2" w14:textId="77777777" w:rsidR="004515FC" w:rsidRPr="002858D6" w:rsidRDefault="004515FC" w:rsidP="0029161D">
            <w:pPr>
              <w:rPr>
                <w:noProof/>
                <w:sz w:val="20"/>
              </w:rPr>
            </w:pPr>
            <w:r w:rsidRPr="002858D6">
              <w:rPr>
                <w:noProof/>
                <w:sz w:val="20"/>
              </w:rPr>
              <w:t>Recolher e divulgar as informações recebidas dos Estados-Membros no sítio Web da Comissão.</w:t>
            </w:r>
          </w:p>
        </w:tc>
      </w:tr>
      <w:tr w:rsidR="003C6DC3" w:rsidRPr="002858D6" w14:paraId="71871DCF" w14:textId="77777777">
        <w:tc>
          <w:tcPr>
            <w:tcW w:w="3240" w:type="dxa"/>
          </w:tcPr>
          <w:p w14:paraId="2ED54728" w14:textId="77777777" w:rsidR="004515FC" w:rsidRPr="002858D6" w:rsidRDefault="004515FC" w:rsidP="0029161D">
            <w:pPr>
              <w:spacing w:before="60" w:after="60"/>
              <w:rPr>
                <w:noProof/>
                <w:sz w:val="20"/>
              </w:rPr>
            </w:pPr>
            <w:r w:rsidRPr="002858D6">
              <w:rPr>
                <w:noProof/>
                <w:sz w:val="20"/>
              </w:rPr>
              <w:t>Pessoal externo</w:t>
            </w:r>
          </w:p>
        </w:tc>
        <w:tc>
          <w:tcPr>
            <w:tcW w:w="7200" w:type="dxa"/>
          </w:tcPr>
          <w:p w14:paraId="4717A7A4" w14:textId="77777777" w:rsidR="004515FC" w:rsidRPr="002858D6" w:rsidRDefault="004515FC" w:rsidP="0029161D">
            <w:pPr>
              <w:rPr>
                <w:noProof/>
                <w:sz w:val="20"/>
              </w:rPr>
            </w:pPr>
          </w:p>
        </w:tc>
      </w:tr>
    </w:tbl>
    <w:p w14:paraId="678F893B" w14:textId="77777777" w:rsidR="004515FC" w:rsidRPr="002858D6" w:rsidRDefault="004515FC" w:rsidP="004515FC">
      <w:pPr>
        <w:rPr>
          <w:noProof/>
        </w:rPr>
        <w:sectPr w:rsidR="004515FC" w:rsidRPr="002858D6" w:rsidSect="007A1735">
          <w:pgSz w:w="11907" w:h="16840"/>
          <w:pgMar w:top="1134" w:right="1418" w:bottom="1134" w:left="1418" w:header="709" w:footer="709" w:gutter="0"/>
          <w:cols w:space="708"/>
          <w:docGrid w:linePitch="360"/>
        </w:sectPr>
      </w:pPr>
    </w:p>
    <w:p w14:paraId="0890802B" w14:textId="77777777" w:rsidR="004515FC" w:rsidRPr="002858D6" w:rsidRDefault="004515FC" w:rsidP="004515FC">
      <w:pPr>
        <w:pStyle w:val="ManualHeading3"/>
        <w:rPr>
          <w:noProof/>
        </w:rPr>
      </w:pPr>
      <w:bookmarkStart w:id="68" w:name="_Toc514938056"/>
      <w:bookmarkStart w:id="69" w:name="_Toc520485055"/>
      <w:r w:rsidRPr="002858D6">
        <w:rPr>
          <w:noProof/>
        </w:rPr>
        <w:t>3.2.4.</w:t>
      </w:r>
      <w:r w:rsidRPr="002858D6">
        <w:rPr>
          <w:noProof/>
        </w:rPr>
        <w:tab/>
        <w:t>Compatibilidade com o atual quadro financeiro plurianual</w:t>
      </w:r>
      <w:bookmarkEnd w:id="68"/>
      <w:bookmarkEnd w:id="69"/>
      <w:r w:rsidRPr="002858D6">
        <w:rPr>
          <w:noProof/>
        </w:rPr>
        <w:t xml:space="preserve"> </w:t>
      </w:r>
    </w:p>
    <w:p w14:paraId="2A919C08" w14:textId="77777777" w:rsidR="004515FC" w:rsidRPr="002858D6" w:rsidRDefault="004515FC" w:rsidP="004515FC">
      <w:pPr>
        <w:pStyle w:val="Text1"/>
        <w:rPr>
          <w:noProof/>
        </w:rPr>
      </w:pPr>
      <w:r w:rsidRPr="002858D6">
        <w:rPr>
          <w:noProof/>
        </w:rPr>
        <w:t>A proposta / iniciativa:</w:t>
      </w:r>
    </w:p>
    <w:p w14:paraId="2F1BB167" w14:textId="77777777" w:rsidR="004515FC" w:rsidRPr="002858D6" w:rsidRDefault="004515FC" w:rsidP="004515FC">
      <w:pPr>
        <w:pStyle w:val="ListDash1"/>
        <w:rPr>
          <w:noProof/>
        </w:rPr>
      </w:pPr>
      <w:r w:rsidRPr="002858D6">
        <w:rPr>
          <w:rFonts w:ascii="Wingdings" w:hAnsi="Wingdings"/>
          <w:noProof/>
        </w:rPr>
        <w:t></w:t>
      </w:r>
      <w:r w:rsidRPr="002858D6">
        <w:rPr>
          <w:noProof/>
        </w:rPr>
        <w:tab/>
        <w:t>pode ser integralmente financiada por meio da reafetação de fundos no quadro da rubrica pertinente do quadro financeiro plurianual (QFP).</w:t>
      </w:r>
    </w:p>
    <w:p w14:paraId="547195BB" w14:textId="77777777" w:rsidR="004515FC" w:rsidRPr="002858D6" w:rsidRDefault="004515FC" w:rsidP="004515FC">
      <w:pPr>
        <w:pStyle w:val="ListDash1"/>
        <w:rPr>
          <w:noProof/>
        </w:rPr>
      </w:pPr>
      <w:r w:rsidRPr="002858D6">
        <w:rPr>
          <w:rFonts w:ascii="Wingdings" w:hAnsi="Wingdings"/>
          <w:noProof/>
        </w:rPr>
        <w:t></w:t>
      </w:r>
      <w:r w:rsidRPr="002858D6">
        <w:rPr>
          <w:noProof/>
        </w:rPr>
        <w:tab/>
        <w:t>requer o recurso à margem não afetada na rubrica em causa do QFP e / ou o recurso a instrumentos especiais tais como definidos no Regulamento QFP.</w:t>
      </w:r>
    </w:p>
    <w:p w14:paraId="248A148E" w14:textId="77777777" w:rsidR="004515FC" w:rsidRPr="002858D6" w:rsidRDefault="004515FC" w:rsidP="004515FC">
      <w:pPr>
        <w:pStyle w:val="ListDash1"/>
        <w:rPr>
          <w:noProof/>
        </w:rPr>
      </w:pPr>
      <w:r w:rsidRPr="002858D6">
        <w:rPr>
          <w:rFonts w:ascii="Wingdings" w:hAnsi="Wingdings"/>
          <w:noProof/>
        </w:rPr>
        <w:t></w:t>
      </w:r>
      <w:r w:rsidRPr="002858D6">
        <w:rPr>
          <w:noProof/>
        </w:rPr>
        <w:tab/>
        <w:t>requer uma revisão do QFP.</w:t>
      </w:r>
    </w:p>
    <w:p w14:paraId="60435B75" w14:textId="77777777" w:rsidR="004515FC" w:rsidRPr="002858D6" w:rsidRDefault="004515FC" w:rsidP="004515FC">
      <w:pPr>
        <w:pStyle w:val="ManualHeading3"/>
        <w:rPr>
          <w:noProof/>
        </w:rPr>
      </w:pPr>
      <w:bookmarkStart w:id="70" w:name="_Toc514938058"/>
      <w:bookmarkStart w:id="71" w:name="_Toc520485056"/>
      <w:r w:rsidRPr="002858D6">
        <w:rPr>
          <w:noProof/>
        </w:rPr>
        <w:t>3.2.5.</w:t>
      </w:r>
      <w:r w:rsidRPr="002858D6">
        <w:rPr>
          <w:noProof/>
        </w:rPr>
        <w:tab/>
        <w:t>Participação de terceiros no financiamento</w:t>
      </w:r>
      <w:bookmarkEnd w:id="70"/>
      <w:bookmarkEnd w:id="71"/>
      <w:r w:rsidRPr="002858D6">
        <w:rPr>
          <w:noProof/>
        </w:rPr>
        <w:t xml:space="preserve"> </w:t>
      </w:r>
    </w:p>
    <w:p w14:paraId="13188979" w14:textId="77777777" w:rsidR="004515FC" w:rsidRPr="002858D6" w:rsidRDefault="004515FC" w:rsidP="004515FC">
      <w:pPr>
        <w:pStyle w:val="Text1"/>
        <w:rPr>
          <w:noProof/>
        </w:rPr>
      </w:pPr>
      <w:r w:rsidRPr="002858D6">
        <w:rPr>
          <w:noProof/>
        </w:rPr>
        <w:t>A proposta / iniciativa:</w:t>
      </w:r>
    </w:p>
    <w:p w14:paraId="2F5EA500" w14:textId="77777777" w:rsidR="004515FC" w:rsidRPr="002858D6" w:rsidRDefault="004515FC" w:rsidP="004515FC">
      <w:pPr>
        <w:pStyle w:val="ListDash1"/>
        <w:rPr>
          <w:noProof/>
        </w:rPr>
      </w:pPr>
      <w:r w:rsidRPr="002858D6">
        <w:rPr>
          <w:rFonts w:ascii="Wingdings" w:hAnsi="Wingdings"/>
          <w:noProof/>
        </w:rPr>
        <w:t></w:t>
      </w:r>
      <w:r w:rsidRPr="002858D6">
        <w:rPr>
          <w:noProof/>
        </w:rPr>
        <w:tab/>
        <w:t>não prevê o cofinanciamento por terceiros</w:t>
      </w:r>
    </w:p>
    <w:p w14:paraId="5CECB3C2" w14:textId="77777777" w:rsidR="004515FC" w:rsidRPr="002858D6" w:rsidRDefault="004515FC" w:rsidP="004515FC">
      <w:pPr>
        <w:pStyle w:val="ListDash1"/>
        <w:rPr>
          <w:noProof/>
        </w:rPr>
      </w:pPr>
      <w:r w:rsidRPr="002858D6">
        <w:rPr>
          <w:rFonts w:ascii="Wingdings" w:hAnsi="Wingdings"/>
          <w:noProof/>
        </w:rPr>
        <w:t></w:t>
      </w:r>
      <w:r w:rsidRPr="002858D6">
        <w:rPr>
          <w:noProof/>
        </w:rPr>
        <w:tab/>
        <w:t>prevê o seguinte cofinanciamento por terceiros, a seguir estimado:</w:t>
      </w:r>
    </w:p>
    <w:p w14:paraId="7FB9139B" w14:textId="77777777" w:rsidR="004515FC" w:rsidRPr="002858D6" w:rsidRDefault="004515FC" w:rsidP="004515FC">
      <w:pPr>
        <w:jc w:val="right"/>
        <w:rPr>
          <w:noProof/>
          <w:sz w:val="20"/>
        </w:rPr>
      </w:pPr>
      <w:r w:rsidRPr="002858D6">
        <w:rPr>
          <w:noProof/>
          <w:sz w:val="20"/>
        </w:rPr>
        <w:t>Dotações em milhões de EUR (três casas decimais)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910369" w:rsidRPr="002858D6" w14:paraId="0353DFAA" w14:textId="77777777">
        <w:trPr>
          <w:cantSplit/>
        </w:trPr>
        <w:tc>
          <w:tcPr>
            <w:tcW w:w="2340" w:type="dxa"/>
          </w:tcPr>
          <w:p w14:paraId="7A32245B" w14:textId="77777777" w:rsidR="004515FC" w:rsidRPr="002858D6" w:rsidRDefault="004515FC" w:rsidP="0029161D">
            <w:pPr>
              <w:spacing w:before="60" w:after="60"/>
              <w:rPr>
                <w:noProof/>
                <w:sz w:val="20"/>
              </w:rPr>
            </w:pPr>
          </w:p>
        </w:tc>
        <w:tc>
          <w:tcPr>
            <w:tcW w:w="964" w:type="dxa"/>
            <w:vAlign w:val="center"/>
          </w:tcPr>
          <w:p w14:paraId="70A9AB6B" w14:textId="77777777" w:rsidR="004515FC" w:rsidRPr="002858D6" w:rsidRDefault="004515FC" w:rsidP="0029161D">
            <w:pPr>
              <w:jc w:val="center"/>
              <w:rPr>
                <w:noProof/>
                <w:sz w:val="20"/>
              </w:rPr>
            </w:pPr>
            <w:r w:rsidRPr="002858D6">
              <w:rPr>
                <w:noProof/>
                <w:sz w:val="20"/>
              </w:rPr>
              <w:t>Ano</w:t>
            </w:r>
            <w:r w:rsidRPr="002858D6">
              <w:rPr>
                <w:noProof/>
              </w:rPr>
              <w:t xml:space="preserve"> </w:t>
            </w:r>
            <w:r w:rsidRPr="002858D6">
              <w:rPr>
                <w:noProof/>
              </w:rPr>
              <w:cr/>
            </w:r>
            <w:r w:rsidRPr="002858D6">
              <w:rPr>
                <w:noProof/>
              </w:rPr>
              <w:br/>
            </w:r>
            <w:r w:rsidRPr="002858D6">
              <w:rPr>
                <w:b/>
                <w:noProof/>
                <w:sz w:val="20"/>
              </w:rPr>
              <w:t>N</w:t>
            </w:r>
            <w:r w:rsidRPr="002858D6">
              <w:rPr>
                <w:rStyle w:val="FootnoteReference0"/>
                <w:b/>
                <w:noProof/>
                <w:sz w:val="20"/>
              </w:rPr>
              <w:footnoteReference w:id="52"/>
            </w:r>
          </w:p>
        </w:tc>
        <w:tc>
          <w:tcPr>
            <w:tcW w:w="964" w:type="dxa"/>
            <w:vAlign w:val="center"/>
          </w:tcPr>
          <w:p w14:paraId="38222B85" w14:textId="77777777" w:rsidR="004515FC" w:rsidRPr="002858D6" w:rsidRDefault="004515FC" w:rsidP="0029161D">
            <w:pPr>
              <w:jc w:val="center"/>
              <w:rPr>
                <w:noProof/>
                <w:sz w:val="20"/>
              </w:rPr>
            </w:pPr>
            <w:r w:rsidRPr="002858D6">
              <w:rPr>
                <w:noProof/>
                <w:sz w:val="20"/>
              </w:rPr>
              <w:t>Ano</w:t>
            </w:r>
            <w:r w:rsidRPr="002858D6">
              <w:rPr>
                <w:noProof/>
              </w:rPr>
              <w:t xml:space="preserve"> </w:t>
            </w:r>
            <w:r w:rsidRPr="002858D6">
              <w:rPr>
                <w:noProof/>
              </w:rPr>
              <w:cr/>
            </w:r>
            <w:r w:rsidRPr="002858D6">
              <w:rPr>
                <w:noProof/>
              </w:rPr>
              <w:br/>
            </w:r>
            <w:r w:rsidRPr="002858D6">
              <w:rPr>
                <w:b/>
                <w:noProof/>
                <w:sz w:val="20"/>
              </w:rPr>
              <w:t>N+1</w:t>
            </w:r>
          </w:p>
        </w:tc>
        <w:tc>
          <w:tcPr>
            <w:tcW w:w="964" w:type="dxa"/>
            <w:vAlign w:val="center"/>
          </w:tcPr>
          <w:p w14:paraId="11EC6CB4" w14:textId="77777777" w:rsidR="004515FC" w:rsidRPr="002858D6" w:rsidRDefault="004515FC" w:rsidP="0029161D">
            <w:pPr>
              <w:jc w:val="center"/>
              <w:rPr>
                <w:noProof/>
                <w:sz w:val="20"/>
              </w:rPr>
            </w:pPr>
            <w:r w:rsidRPr="002858D6">
              <w:rPr>
                <w:noProof/>
                <w:sz w:val="20"/>
              </w:rPr>
              <w:t>Ano</w:t>
            </w:r>
            <w:r w:rsidRPr="002858D6">
              <w:rPr>
                <w:noProof/>
              </w:rPr>
              <w:t xml:space="preserve"> </w:t>
            </w:r>
            <w:r w:rsidRPr="002858D6">
              <w:rPr>
                <w:noProof/>
              </w:rPr>
              <w:cr/>
            </w:r>
            <w:r w:rsidRPr="002858D6">
              <w:rPr>
                <w:noProof/>
              </w:rPr>
              <w:br/>
            </w:r>
            <w:r w:rsidRPr="002858D6">
              <w:rPr>
                <w:b/>
                <w:noProof/>
                <w:sz w:val="20"/>
              </w:rPr>
              <w:t>N+2</w:t>
            </w:r>
          </w:p>
        </w:tc>
        <w:tc>
          <w:tcPr>
            <w:tcW w:w="964" w:type="dxa"/>
            <w:vAlign w:val="center"/>
          </w:tcPr>
          <w:p w14:paraId="3612F1A2" w14:textId="77777777" w:rsidR="004515FC" w:rsidRPr="002858D6" w:rsidRDefault="004515FC" w:rsidP="0029161D">
            <w:pPr>
              <w:jc w:val="center"/>
              <w:rPr>
                <w:noProof/>
                <w:sz w:val="20"/>
              </w:rPr>
            </w:pPr>
            <w:r w:rsidRPr="002858D6">
              <w:rPr>
                <w:noProof/>
                <w:sz w:val="20"/>
              </w:rPr>
              <w:t>Ano</w:t>
            </w:r>
            <w:r w:rsidRPr="002858D6">
              <w:rPr>
                <w:noProof/>
              </w:rPr>
              <w:t xml:space="preserve"> </w:t>
            </w:r>
            <w:r w:rsidRPr="002858D6">
              <w:rPr>
                <w:noProof/>
              </w:rPr>
              <w:cr/>
            </w:r>
            <w:r w:rsidRPr="002858D6">
              <w:rPr>
                <w:noProof/>
              </w:rPr>
              <w:br/>
            </w:r>
            <w:r w:rsidRPr="002858D6">
              <w:rPr>
                <w:b/>
                <w:noProof/>
                <w:sz w:val="20"/>
              </w:rPr>
              <w:t>N+3</w:t>
            </w:r>
          </w:p>
        </w:tc>
        <w:tc>
          <w:tcPr>
            <w:tcW w:w="2892" w:type="dxa"/>
            <w:gridSpan w:val="3"/>
            <w:vAlign w:val="center"/>
          </w:tcPr>
          <w:p w14:paraId="0FCCAF31" w14:textId="77777777" w:rsidR="004515FC" w:rsidRPr="002858D6" w:rsidRDefault="004515FC" w:rsidP="0029161D">
            <w:pPr>
              <w:jc w:val="center"/>
              <w:rPr>
                <w:b/>
                <w:noProof/>
                <w:sz w:val="20"/>
              </w:rPr>
            </w:pPr>
            <w:r w:rsidRPr="002858D6">
              <w:rPr>
                <w:noProof/>
                <w:sz w:val="20"/>
              </w:rPr>
              <w:t>Inserir os anos necessários para refletir a duração do impacto (ver ponto 1.6)</w:t>
            </w:r>
          </w:p>
        </w:tc>
        <w:tc>
          <w:tcPr>
            <w:tcW w:w="1158" w:type="dxa"/>
            <w:vAlign w:val="center"/>
          </w:tcPr>
          <w:p w14:paraId="3A69AE63" w14:textId="77777777" w:rsidR="004515FC" w:rsidRPr="002858D6" w:rsidRDefault="004515FC" w:rsidP="0029161D">
            <w:pPr>
              <w:spacing w:before="60" w:after="60"/>
              <w:jc w:val="center"/>
              <w:rPr>
                <w:noProof/>
                <w:sz w:val="20"/>
              </w:rPr>
            </w:pPr>
            <w:r w:rsidRPr="002858D6">
              <w:rPr>
                <w:noProof/>
                <w:sz w:val="20"/>
              </w:rPr>
              <w:t>Total</w:t>
            </w:r>
          </w:p>
        </w:tc>
      </w:tr>
      <w:tr w:rsidR="00910369" w:rsidRPr="002858D6" w14:paraId="0D79CA97" w14:textId="77777777">
        <w:trPr>
          <w:cantSplit/>
        </w:trPr>
        <w:tc>
          <w:tcPr>
            <w:tcW w:w="2340" w:type="dxa"/>
          </w:tcPr>
          <w:p w14:paraId="43B82C1D" w14:textId="77777777" w:rsidR="004515FC" w:rsidRPr="002858D6" w:rsidRDefault="004515FC" w:rsidP="0029161D">
            <w:pPr>
              <w:rPr>
                <w:noProof/>
              </w:rPr>
            </w:pPr>
            <w:r w:rsidRPr="002858D6">
              <w:rPr>
                <w:noProof/>
                <w:sz w:val="20"/>
              </w:rPr>
              <w:t>Especificar o organismo de cofinanciamento</w:t>
            </w:r>
            <w:r w:rsidRPr="002858D6">
              <w:rPr>
                <w:i/>
                <w:noProof/>
                <w:sz w:val="20"/>
              </w:rPr>
              <w:t xml:space="preserve"> </w:t>
            </w:r>
          </w:p>
        </w:tc>
        <w:tc>
          <w:tcPr>
            <w:tcW w:w="964" w:type="dxa"/>
            <w:vAlign w:val="center"/>
          </w:tcPr>
          <w:p w14:paraId="0B812696" w14:textId="77777777" w:rsidR="004515FC" w:rsidRPr="002858D6" w:rsidRDefault="004515FC" w:rsidP="0029161D">
            <w:pPr>
              <w:spacing w:before="60" w:after="60"/>
              <w:jc w:val="center"/>
              <w:rPr>
                <w:noProof/>
                <w:sz w:val="20"/>
              </w:rPr>
            </w:pPr>
          </w:p>
        </w:tc>
        <w:tc>
          <w:tcPr>
            <w:tcW w:w="964" w:type="dxa"/>
            <w:vAlign w:val="center"/>
          </w:tcPr>
          <w:p w14:paraId="74B20EFF" w14:textId="77777777" w:rsidR="004515FC" w:rsidRPr="002858D6" w:rsidRDefault="004515FC" w:rsidP="0029161D">
            <w:pPr>
              <w:spacing w:before="60" w:after="60"/>
              <w:jc w:val="center"/>
              <w:rPr>
                <w:noProof/>
                <w:sz w:val="20"/>
              </w:rPr>
            </w:pPr>
          </w:p>
        </w:tc>
        <w:tc>
          <w:tcPr>
            <w:tcW w:w="964" w:type="dxa"/>
            <w:vAlign w:val="center"/>
          </w:tcPr>
          <w:p w14:paraId="6DF649EA" w14:textId="77777777" w:rsidR="004515FC" w:rsidRPr="002858D6" w:rsidRDefault="004515FC" w:rsidP="0029161D">
            <w:pPr>
              <w:spacing w:before="60" w:after="60"/>
              <w:jc w:val="center"/>
              <w:rPr>
                <w:noProof/>
                <w:sz w:val="20"/>
              </w:rPr>
            </w:pPr>
          </w:p>
        </w:tc>
        <w:tc>
          <w:tcPr>
            <w:tcW w:w="964" w:type="dxa"/>
            <w:vAlign w:val="center"/>
          </w:tcPr>
          <w:p w14:paraId="1C7E8AD3" w14:textId="77777777" w:rsidR="004515FC" w:rsidRPr="002858D6" w:rsidRDefault="004515FC" w:rsidP="0029161D">
            <w:pPr>
              <w:spacing w:before="60" w:after="60"/>
              <w:jc w:val="center"/>
              <w:rPr>
                <w:noProof/>
                <w:sz w:val="20"/>
              </w:rPr>
            </w:pPr>
          </w:p>
        </w:tc>
        <w:tc>
          <w:tcPr>
            <w:tcW w:w="964" w:type="dxa"/>
            <w:vAlign w:val="center"/>
          </w:tcPr>
          <w:p w14:paraId="3DA07B06" w14:textId="77777777" w:rsidR="004515FC" w:rsidRPr="002858D6" w:rsidRDefault="004515FC" w:rsidP="0029161D">
            <w:pPr>
              <w:spacing w:before="60" w:after="60"/>
              <w:jc w:val="center"/>
              <w:rPr>
                <w:noProof/>
                <w:sz w:val="20"/>
              </w:rPr>
            </w:pPr>
          </w:p>
        </w:tc>
        <w:tc>
          <w:tcPr>
            <w:tcW w:w="964" w:type="dxa"/>
            <w:vAlign w:val="center"/>
          </w:tcPr>
          <w:p w14:paraId="509C5BC3" w14:textId="77777777" w:rsidR="004515FC" w:rsidRPr="002858D6" w:rsidRDefault="004515FC" w:rsidP="0029161D">
            <w:pPr>
              <w:spacing w:before="60" w:after="60"/>
              <w:jc w:val="center"/>
              <w:rPr>
                <w:noProof/>
                <w:sz w:val="20"/>
              </w:rPr>
            </w:pPr>
          </w:p>
        </w:tc>
        <w:tc>
          <w:tcPr>
            <w:tcW w:w="964" w:type="dxa"/>
            <w:vAlign w:val="center"/>
          </w:tcPr>
          <w:p w14:paraId="197925BA" w14:textId="77777777" w:rsidR="004515FC" w:rsidRPr="002858D6" w:rsidRDefault="004515FC" w:rsidP="0029161D">
            <w:pPr>
              <w:spacing w:before="60" w:after="60"/>
              <w:jc w:val="center"/>
              <w:rPr>
                <w:noProof/>
                <w:sz w:val="20"/>
              </w:rPr>
            </w:pPr>
          </w:p>
        </w:tc>
        <w:tc>
          <w:tcPr>
            <w:tcW w:w="1158" w:type="dxa"/>
            <w:vAlign w:val="center"/>
          </w:tcPr>
          <w:p w14:paraId="57A91AE6" w14:textId="77777777" w:rsidR="004515FC" w:rsidRPr="002858D6" w:rsidRDefault="004515FC" w:rsidP="0029161D">
            <w:pPr>
              <w:spacing w:before="60" w:after="60"/>
              <w:jc w:val="center"/>
              <w:rPr>
                <w:noProof/>
                <w:sz w:val="20"/>
              </w:rPr>
            </w:pPr>
          </w:p>
        </w:tc>
      </w:tr>
      <w:tr w:rsidR="00910369" w:rsidRPr="002858D6" w14:paraId="6246AF00" w14:textId="77777777">
        <w:trPr>
          <w:cantSplit/>
        </w:trPr>
        <w:tc>
          <w:tcPr>
            <w:tcW w:w="2340" w:type="dxa"/>
          </w:tcPr>
          <w:p w14:paraId="145DBEF3" w14:textId="77777777" w:rsidR="004515FC" w:rsidRPr="002858D6" w:rsidRDefault="004515FC" w:rsidP="0029161D">
            <w:pPr>
              <w:spacing w:before="60" w:after="60"/>
              <w:jc w:val="left"/>
              <w:rPr>
                <w:noProof/>
                <w:sz w:val="20"/>
              </w:rPr>
            </w:pPr>
            <w:r w:rsidRPr="002858D6">
              <w:rPr>
                <w:noProof/>
                <w:sz w:val="20"/>
              </w:rPr>
              <w:t xml:space="preserve">TOTAL das dotações cofinanciadas </w:t>
            </w:r>
          </w:p>
        </w:tc>
        <w:tc>
          <w:tcPr>
            <w:tcW w:w="964" w:type="dxa"/>
            <w:vAlign w:val="center"/>
          </w:tcPr>
          <w:p w14:paraId="6B733DAD" w14:textId="77777777" w:rsidR="004515FC" w:rsidRPr="002858D6" w:rsidRDefault="004515FC" w:rsidP="0029161D">
            <w:pPr>
              <w:spacing w:before="60" w:after="60"/>
              <w:jc w:val="center"/>
              <w:rPr>
                <w:noProof/>
                <w:sz w:val="20"/>
              </w:rPr>
            </w:pPr>
          </w:p>
        </w:tc>
        <w:tc>
          <w:tcPr>
            <w:tcW w:w="964" w:type="dxa"/>
            <w:vAlign w:val="center"/>
          </w:tcPr>
          <w:p w14:paraId="3F12080A" w14:textId="77777777" w:rsidR="004515FC" w:rsidRPr="002858D6" w:rsidRDefault="004515FC" w:rsidP="0029161D">
            <w:pPr>
              <w:spacing w:before="60" w:after="60"/>
              <w:jc w:val="center"/>
              <w:rPr>
                <w:noProof/>
                <w:sz w:val="20"/>
              </w:rPr>
            </w:pPr>
          </w:p>
        </w:tc>
        <w:tc>
          <w:tcPr>
            <w:tcW w:w="964" w:type="dxa"/>
            <w:vAlign w:val="center"/>
          </w:tcPr>
          <w:p w14:paraId="31CB3A94" w14:textId="77777777" w:rsidR="004515FC" w:rsidRPr="002858D6" w:rsidRDefault="004515FC" w:rsidP="0029161D">
            <w:pPr>
              <w:spacing w:before="60" w:after="60"/>
              <w:jc w:val="center"/>
              <w:rPr>
                <w:noProof/>
                <w:sz w:val="20"/>
              </w:rPr>
            </w:pPr>
          </w:p>
        </w:tc>
        <w:tc>
          <w:tcPr>
            <w:tcW w:w="964" w:type="dxa"/>
            <w:vAlign w:val="center"/>
          </w:tcPr>
          <w:p w14:paraId="5C931C87" w14:textId="77777777" w:rsidR="004515FC" w:rsidRPr="002858D6" w:rsidRDefault="004515FC" w:rsidP="0029161D">
            <w:pPr>
              <w:spacing w:before="60" w:after="60"/>
              <w:jc w:val="center"/>
              <w:rPr>
                <w:noProof/>
                <w:sz w:val="20"/>
              </w:rPr>
            </w:pPr>
          </w:p>
        </w:tc>
        <w:tc>
          <w:tcPr>
            <w:tcW w:w="964" w:type="dxa"/>
            <w:vAlign w:val="center"/>
          </w:tcPr>
          <w:p w14:paraId="12BA3BF1" w14:textId="77777777" w:rsidR="004515FC" w:rsidRPr="002858D6" w:rsidRDefault="004515FC" w:rsidP="0029161D">
            <w:pPr>
              <w:spacing w:before="60" w:after="60"/>
              <w:jc w:val="center"/>
              <w:rPr>
                <w:noProof/>
                <w:sz w:val="20"/>
              </w:rPr>
            </w:pPr>
          </w:p>
        </w:tc>
        <w:tc>
          <w:tcPr>
            <w:tcW w:w="964" w:type="dxa"/>
            <w:vAlign w:val="center"/>
          </w:tcPr>
          <w:p w14:paraId="0D9A3850" w14:textId="77777777" w:rsidR="004515FC" w:rsidRPr="002858D6" w:rsidRDefault="004515FC" w:rsidP="0029161D">
            <w:pPr>
              <w:spacing w:before="60" w:after="60"/>
              <w:jc w:val="center"/>
              <w:rPr>
                <w:noProof/>
                <w:sz w:val="20"/>
              </w:rPr>
            </w:pPr>
          </w:p>
        </w:tc>
        <w:tc>
          <w:tcPr>
            <w:tcW w:w="964" w:type="dxa"/>
            <w:vAlign w:val="center"/>
          </w:tcPr>
          <w:p w14:paraId="706F0B88" w14:textId="77777777" w:rsidR="004515FC" w:rsidRPr="002858D6" w:rsidRDefault="004515FC" w:rsidP="0029161D">
            <w:pPr>
              <w:spacing w:before="60" w:after="60"/>
              <w:jc w:val="center"/>
              <w:rPr>
                <w:noProof/>
                <w:sz w:val="20"/>
              </w:rPr>
            </w:pPr>
          </w:p>
        </w:tc>
        <w:tc>
          <w:tcPr>
            <w:tcW w:w="1158" w:type="dxa"/>
            <w:vAlign w:val="center"/>
          </w:tcPr>
          <w:p w14:paraId="6F1A62A1" w14:textId="77777777" w:rsidR="004515FC" w:rsidRPr="002858D6" w:rsidRDefault="004515FC" w:rsidP="0029161D">
            <w:pPr>
              <w:spacing w:before="60" w:after="60"/>
              <w:jc w:val="center"/>
              <w:rPr>
                <w:noProof/>
                <w:sz w:val="20"/>
              </w:rPr>
            </w:pPr>
          </w:p>
        </w:tc>
      </w:tr>
    </w:tbl>
    <w:p w14:paraId="4CB47E39" w14:textId="77777777" w:rsidR="004515FC" w:rsidRPr="002858D6" w:rsidRDefault="004515FC" w:rsidP="004515FC">
      <w:pPr>
        <w:rPr>
          <w:noProof/>
        </w:rPr>
      </w:pPr>
      <w:r w:rsidRPr="002858D6">
        <w:rPr>
          <w:noProof/>
        </w:rPr>
        <w:t xml:space="preserve"> </w:t>
      </w:r>
      <w:r w:rsidRPr="002858D6">
        <w:rPr>
          <w:noProof/>
        </w:rPr>
        <w:cr/>
      </w:r>
      <w:r w:rsidRPr="002858D6">
        <w:rPr>
          <w:noProof/>
        </w:rPr>
        <w:br/>
      </w:r>
    </w:p>
    <w:p w14:paraId="435B27C6" w14:textId="77777777" w:rsidR="004515FC" w:rsidRPr="002858D6" w:rsidRDefault="004515FC" w:rsidP="004515FC">
      <w:pPr>
        <w:pStyle w:val="ManualHeading2"/>
        <w:rPr>
          <w:noProof/>
        </w:rPr>
      </w:pPr>
      <w:r w:rsidRPr="002858D6">
        <w:rPr>
          <w:noProof/>
        </w:rPr>
        <w:br w:type="page"/>
      </w:r>
      <w:bookmarkStart w:id="72" w:name="_Toc514938059"/>
      <w:bookmarkStart w:id="73" w:name="_Toc520485057"/>
      <w:r w:rsidRPr="002858D6">
        <w:rPr>
          <w:noProof/>
        </w:rPr>
        <w:t>3.3.</w:t>
      </w:r>
      <w:r w:rsidRPr="002858D6">
        <w:rPr>
          <w:noProof/>
        </w:rPr>
        <w:tab/>
        <w:t>Impacto estimado nas receitas</w:t>
      </w:r>
      <w:bookmarkEnd w:id="72"/>
      <w:bookmarkEnd w:id="73"/>
      <w:r w:rsidRPr="002858D6">
        <w:rPr>
          <w:noProof/>
        </w:rPr>
        <w:t xml:space="preserve"> </w:t>
      </w:r>
    </w:p>
    <w:p w14:paraId="1B11B352" w14:textId="77777777" w:rsidR="004515FC" w:rsidRPr="002858D6" w:rsidRDefault="004515FC" w:rsidP="004515FC">
      <w:pPr>
        <w:pStyle w:val="ListDash1"/>
        <w:rPr>
          <w:noProof/>
        </w:rPr>
      </w:pPr>
      <w:r w:rsidRPr="002858D6">
        <w:rPr>
          <w:rFonts w:ascii="Wingdings" w:hAnsi="Wingdings"/>
          <w:noProof/>
        </w:rPr>
        <w:t></w:t>
      </w:r>
      <w:r w:rsidRPr="002858D6">
        <w:rPr>
          <w:noProof/>
        </w:rPr>
        <w:tab/>
        <w:t>A proposta / iniciativa não tem impacto financeiro nas receitas</w:t>
      </w:r>
    </w:p>
    <w:p w14:paraId="111902D8" w14:textId="77777777" w:rsidR="004515FC" w:rsidRPr="002858D6" w:rsidRDefault="004515FC" w:rsidP="004515FC">
      <w:pPr>
        <w:pStyle w:val="ListDash1"/>
        <w:rPr>
          <w:noProof/>
        </w:rPr>
      </w:pPr>
      <w:r w:rsidRPr="002858D6">
        <w:rPr>
          <w:rFonts w:ascii="Wingdings" w:hAnsi="Wingdings"/>
          <w:noProof/>
        </w:rPr>
        <w:t></w:t>
      </w:r>
      <w:r w:rsidRPr="002858D6">
        <w:rPr>
          <w:noProof/>
        </w:rPr>
        <w:tab/>
        <w:t>A proposta / iniciativa tem o impacto financeiro a seguir descrito:</w:t>
      </w:r>
    </w:p>
    <w:p w14:paraId="078ED8D6" w14:textId="77777777" w:rsidR="004515FC" w:rsidRPr="002858D6" w:rsidRDefault="004515FC" w:rsidP="004515FC">
      <w:pPr>
        <w:pStyle w:val="ListNumberLevel3"/>
        <w:rPr>
          <w:noProof/>
        </w:rPr>
      </w:pPr>
      <w:r w:rsidRPr="002858D6">
        <w:rPr>
          <w:rFonts w:ascii="Wingdings" w:hAnsi="Wingdings"/>
          <w:noProof/>
        </w:rPr>
        <w:t></w:t>
      </w:r>
      <w:r w:rsidRPr="002858D6">
        <w:rPr>
          <w:noProof/>
        </w:rPr>
        <w:tab/>
        <w:t xml:space="preserve">nos recursos próprios </w:t>
      </w:r>
    </w:p>
    <w:p w14:paraId="0E213E58" w14:textId="77777777" w:rsidR="004515FC" w:rsidRPr="002858D6" w:rsidRDefault="004515FC" w:rsidP="004515FC">
      <w:pPr>
        <w:pStyle w:val="ListNumberLevel3"/>
        <w:rPr>
          <w:noProof/>
        </w:rPr>
      </w:pPr>
      <w:r w:rsidRPr="002858D6">
        <w:rPr>
          <w:rFonts w:ascii="Wingdings" w:hAnsi="Wingdings"/>
          <w:noProof/>
        </w:rPr>
        <w:t></w:t>
      </w:r>
      <w:r w:rsidRPr="002858D6">
        <w:rPr>
          <w:noProof/>
        </w:rPr>
        <w:tab/>
        <w:t>noutras receitas</w:t>
      </w:r>
    </w:p>
    <w:p w14:paraId="2C617D14" w14:textId="77777777" w:rsidR="004515FC" w:rsidRPr="002858D6" w:rsidRDefault="004515FC" w:rsidP="004515FC">
      <w:pPr>
        <w:pStyle w:val="ListNumberLevel3"/>
        <w:rPr>
          <w:noProof/>
        </w:rPr>
      </w:pPr>
      <w:r w:rsidRPr="002858D6">
        <w:rPr>
          <w:noProof/>
        </w:rPr>
        <w:t xml:space="preserve">indicar, se as receitas forem afetadas a rubricas de despesas </w:t>
      </w:r>
      <w:r w:rsidRPr="002858D6">
        <w:rPr>
          <w:rFonts w:ascii="Wingdings" w:hAnsi="Wingdings"/>
          <w:noProof/>
        </w:rPr>
        <w:t></w:t>
      </w:r>
      <w:r w:rsidRPr="002858D6">
        <w:rPr>
          <w:noProof/>
        </w:rPr>
        <w:tab/>
      </w:r>
    </w:p>
    <w:p w14:paraId="33082A34" w14:textId="77777777" w:rsidR="004515FC" w:rsidRPr="002858D6" w:rsidRDefault="004515FC" w:rsidP="004515FC">
      <w:pPr>
        <w:ind w:left="4320"/>
        <w:rPr>
          <w:i/>
          <w:noProof/>
          <w:sz w:val="20"/>
        </w:rPr>
      </w:pPr>
      <w:r w:rsidRPr="002858D6">
        <w:rPr>
          <w:noProof/>
        </w:rPr>
        <w:t xml:space="preserve">     Em milhões de EUR (três casas decimais)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910369" w:rsidRPr="002858D6" w14:paraId="331EC51B" w14:textId="77777777">
        <w:trPr>
          <w:trHeight w:val="388"/>
        </w:trPr>
        <w:tc>
          <w:tcPr>
            <w:tcW w:w="2144" w:type="dxa"/>
            <w:vMerge w:val="restart"/>
            <w:vAlign w:val="center"/>
          </w:tcPr>
          <w:p w14:paraId="5B47E0BC" w14:textId="77777777" w:rsidR="004515FC" w:rsidRPr="002858D6" w:rsidRDefault="004515FC" w:rsidP="0029161D">
            <w:pPr>
              <w:spacing w:before="40" w:after="40"/>
              <w:rPr>
                <w:noProof/>
                <w:sz w:val="18"/>
              </w:rPr>
            </w:pPr>
            <w:r w:rsidRPr="002858D6">
              <w:rPr>
                <w:noProof/>
                <w:sz w:val="18"/>
              </w:rPr>
              <w:t>Rubrica orçamental das receitas:</w:t>
            </w:r>
          </w:p>
        </w:tc>
        <w:tc>
          <w:tcPr>
            <w:tcW w:w="1325" w:type="dxa"/>
            <w:vMerge w:val="restart"/>
            <w:vAlign w:val="center"/>
          </w:tcPr>
          <w:p w14:paraId="6F856FF3" w14:textId="77777777" w:rsidR="004515FC" w:rsidRPr="002858D6" w:rsidRDefault="004515FC" w:rsidP="0029161D">
            <w:pPr>
              <w:jc w:val="center"/>
              <w:rPr>
                <w:noProof/>
                <w:sz w:val="18"/>
              </w:rPr>
            </w:pPr>
            <w:r w:rsidRPr="002858D6">
              <w:rPr>
                <w:noProof/>
                <w:sz w:val="18"/>
              </w:rPr>
              <w:t>Dotações disponíveis para o atual exercício</w:t>
            </w:r>
          </w:p>
        </w:tc>
        <w:tc>
          <w:tcPr>
            <w:tcW w:w="7151" w:type="dxa"/>
            <w:gridSpan w:val="7"/>
            <w:vAlign w:val="center"/>
          </w:tcPr>
          <w:p w14:paraId="6D24AD71" w14:textId="77777777" w:rsidR="004515FC" w:rsidRPr="002858D6" w:rsidRDefault="004515FC" w:rsidP="0029161D">
            <w:pPr>
              <w:jc w:val="center"/>
              <w:rPr>
                <w:noProof/>
                <w:sz w:val="18"/>
              </w:rPr>
            </w:pPr>
            <w:r w:rsidRPr="002858D6">
              <w:rPr>
                <w:noProof/>
                <w:sz w:val="18"/>
              </w:rPr>
              <w:t>Impacto da proposta / iniciativa</w:t>
            </w:r>
            <w:r w:rsidRPr="002858D6">
              <w:rPr>
                <w:rStyle w:val="FootnoteReference0"/>
                <w:noProof/>
                <w:sz w:val="18"/>
              </w:rPr>
              <w:footnoteReference w:id="53"/>
            </w:r>
          </w:p>
        </w:tc>
      </w:tr>
      <w:tr w:rsidR="00910369" w:rsidRPr="002858D6" w14:paraId="450EF09C" w14:textId="77777777">
        <w:trPr>
          <w:trHeight w:val="388"/>
        </w:trPr>
        <w:tc>
          <w:tcPr>
            <w:tcW w:w="2144" w:type="dxa"/>
            <w:vMerge/>
          </w:tcPr>
          <w:p w14:paraId="3E7C7CCB" w14:textId="77777777" w:rsidR="004515FC" w:rsidRPr="002858D6" w:rsidRDefault="004515FC" w:rsidP="0029161D">
            <w:pPr>
              <w:spacing w:before="40" w:after="40"/>
              <w:rPr>
                <w:noProof/>
                <w:sz w:val="18"/>
              </w:rPr>
            </w:pPr>
          </w:p>
        </w:tc>
        <w:tc>
          <w:tcPr>
            <w:tcW w:w="1325" w:type="dxa"/>
            <w:vMerge/>
          </w:tcPr>
          <w:p w14:paraId="48CC455F" w14:textId="77777777" w:rsidR="004515FC" w:rsidRPr="002858D6" w:rsidRDefault="004515FC" w:rsidP="0029161D">
            <w:pPr>
              <w:spacing w:beforeLines="40" w:before="96" w:afterLines="40" w:after="96"/>
              <w:rPr>
                <w:i/>
                <w:noProof/>
                <w:sz w:val="18"/>
              </w:rPr>
            </w:pPr>
          </w:p>
        </w:tc>
        <w:tc>
          <w:tcPr>
            <w:tcW w:w="1031" w:type="dxa"/>
            <w:vAlign w:val="center"/>
          </w:tcPr>
          <w:p w14:paraId="5F8E2E3E" w14:textId="77777777" w:rsidR="004515FC" w:rsidRPr="002858D6" w:rsidRDefault="004515FC" w:rsidP="0029161D">
            <w:pPr>
              <w:jc w:val="center"/>
              <w:rPr>
                <w:noProof/>
                <w:sz w:val="18"/>
              </w:rPr>
            </w:pPr>
            <w:r w:rsidRPr="002858D6">
              <w:rPr>
                <w:noProof/>
                <w:sz w:val="18"/>
              </w:rPr>
              <w:t>Ano</w:t>
            </w:r>
            <w:r w:rsidRPr="002858D6">
              <w:rPr>
                <w:noProof/>
              </w:rPr>
              <w:t xml:space="preserve"> </w:t>
            </w:r>
            <w:r w:rsidRPr="002858D6">
              <w:rPr>
                <w:noProof/>
              </w:rPr>
              <w:cr/>
            </w:r>
            <w:r w:rsidRPr="002858D6">
              <w:rPr>
                <w:noProof/>
              </w:rPr>
              <w:br/>
            </w:r>
            <w:r w:rsidRPr="002858D6">
              <w:rPr>
                <w:b/>
                <w:noProof/>
                <w:sz w:val="18"/>
              </w:rPr>
              <w:t>N</w:t>
            </w:r>
          </w:p>
        </w:tc>
        <w:tc>
          <w:tcPr>
            <w:tcW w:w="900" w:type="dxa"/>
            <w:vAlign w:val="center"/>
          </w:tcPr>
          <w:p w14:paraId="6C90ED77" w14:textId="77777777" w:rsidR="004515FC" w:rsidRPr="002858D6" w:rsidRDefault="004515FC" w:rsidP="0029161D">
            <w:pPr>
              <w:jc w:val="center"/>
              <w:rPr>
                <w:noProof/>
                <w:sz w:val="18"/>
              </w:rPr>
            </w:pPr>
            <w:r w:rsidRPr="002858D6">
              <w:rPr>
                <w:noProof/>
                <w:sz w:val="18"/>
              </w:rPr>
              <w:t>Ano</w:t>
            </w:r>
            <w:r w:rsidRPr="002858D6">
              <w:rPr>
                <w:noProof/>
              </w:rPr>
              <w:t xml:space="preserve"> </w:t>
            </w:r>
            <w:r w:rsidRPr="002858D6">
              <w:rPr>
                <w:noProof/>
              </w:rPr>
              <w:cr/>
            </w:r>
            <w:r w:rsidRPr="002858D6">
              <w:rPr>
                <w:noProof/>
              </w:rPr>
              <w:br/>
            </w:r>
            <w:r w:rsidRPr="002858D6">
              <w:rPr>
                <w:b/>
                <w:noProof/>
                <w:sz w:val="18"/>
              </w:rPr>
              <w:t>N+1</w:t>
            </w:r>
          </w:p>
        </w:tc>
        <w:tc>
          <w:tcPr>
            <w:tcW w:w="900" w:type="dxa"/>
            <w:vAlign w:val="center"/>
          </w:tcPr>
          <w:p w14:paraId="0EF2F27B" w14:textId="77777777" w:rsidR="004515FC" w:rsidRPr="002858D6" w:rsidRDefault="004515FC" w:rsidP="0029161D">
            <w:pPr>
              <w:jc w:val="center"/>
              <w:rPr>
                <w:noProof/>
                <w:sz w:val="18"/>
              </w:rPr>
            </w:pPr>
            <w:r w:rsidRPr="002858D6">
              <w:rPr>
                <w:noProof/>
                <w:sz w:val="18"/>
              </w:rPr>
              <w:t>Ano</w:t>
            </w:r>
            <w:r w:rsidRPr="002858D6">
              <w:rPr>
                <w:noProof/>
              </w:rPr>
              <w:t xml:space="preserve"> </w:t>
            </w:r>
            <w:r w:rsidRPr="002858D6">
              <w:rPr>
                <w:noProof/>
              </w:rPr>
              <w:cr/>
            </w:r>
            <w:r w:rsidRPr="002858D6">
              <w:rPr>
                <w:noProof/>
              </w:rPr>
              <w:br/>
            </w:r>
            <w:r w:rsidRPr="002858D6">
              <w:rPr>
                <w:b/>
                <w:noProof/>
                <w:sz w:val="18"/>
              </w:rPr>
              <w:t>N+2</w:t>
            </w:r>
          </w:p>
        </w:tc>
        <w:tc>
          <w:tcPr>
            <w:tcW w:w="1080" w:type="dxa"/>
            <w:vAlign w:val="center"/>
          </w:tcPr>
          <w:p w14:paraId="194D2317" w14:textId="77777777" w:rsidR="004515FC" w:rsidRPr="002858D6" w:rsidRDefault="004515FC" w:rsidP="0029161D">
            <w:pPr>
              <w:jc w:val="center"/>
              <w:rPr>
                <w:noProof/>
                <w:sz w:val="18"/>
              </w:rPr>
            </w:pPr>
            <w:r w:rsidRPr="002858D6">
              <w:rPr>
                <w:noProof/>
                <w:sz w:val="18"/>
              </w:rPr>
              <w:t>Ano</w:t>
            </w:r>
            <w:r w:rsidRPr="002858D6">
              <w:rPr>
                <w:noProof/>
              </w:rPr>
              <w:t xml:space="preserve"> </w:t>
            </w:r>
            <w:r w:rsidRPr="002858D6">
              <w:rPr>
                <w:noProof/>
              </w:rPr>
              <w:cr/>
            </w:r>
            <w:r w:rsidRPr="002858D6">
              <w:rPr>
                <w:noProof/>
              </w:rPr>
              <w:br/>
            </w:r>
            <w:r w:rsidRPr="002858D6">
              <w:rPr>
                <w:b/>
                <w:noProof/>
                <w:sz w:val="18"/>
              </w:rPr>
              <w:t>N+3</w:t>
            </w:r>
          </w:p>
        </w:tc>
        <w:tc>
          <w:tcPr>
            <w:tcW w:w="3240" w:type="dxa"/>
            <w:gridSpan w:val="3"/>
            <w:vAlign w:val="center"/>
          </w:tcPr>
          <w:p w14:paraId="3F47EAFE" w14:textId="77777777" w:rsidR="004515FC" w:rsidRPr="002858D6" w:rsidRDefault="004515FC" w:rsidP="0029161D">
            <w:pPr>
              <w:jc w:val="center"/>
              <w:rPr>
                <w:b/>
                <w:noProof/>
                <w:sz w:val="18"/>
              </w:rPr>
            </w:pPr>
            <w:r w:rsidRPr="002858D6">
              <w:rPr>
                <w:noProof/>
                <w:sz w:val="18"/>
              </w:rPr>
              <w:t>Inserir os anos necessários para refletir a duração do impacto (ver ponto 1.6)</w:t>
            </w:r>
          </w:p>
        </w:tc>
      </w:tr>
      <w:tr w:rsidR="00DB3050" w:rsidRPr="002858D6" w14:paraId="76228619" w14:textId="77777777">
        <w:trPr>
          <w:trHeight w:val="388"/>
        </w:trPr>
        <w:tc>
          <w:tcPr>
            <w:tcW w:w="2144" w:type="dxa"/>
            <w:vAlign w:val="center"/>
          </w:tcPr>
          <w:p w14:paraId="69315E72" w14:textId="77777777" w:rsidR="004515FC" w:rsidRPr="002858D6" w:rsidRDefault="004515FC" w:rsidP="0029161D">
            <w:pPr>
              <w:spacing w:before="40" w:after="40"/>
              <w:rPr>
                <w:noProof/>
                <w:sz w:val="18"/>
              </w:rPr>
            </w:pPr>
            <w:r w:rsidRPr="002858D6">
              <w:rPr>
                <w:noProof/>
                <w:sz w:val="18"/>
              </w:rPr>
              <w:t>Artigo ………….</w:t>
            </w:r>
          </w:p>
        </w:tc>
        <w:tc>
          <w:tcPr>
            <w:tcW w:w="1325" w:type="dxa"/>
          </w:tcPr>
          <w:p w14:paraId="26012A16" w14:textId="77777777" w:rsidR="004515FC" w:rsidRPr="002858D6" w:rsidRDefault="004515FC" w:rsidP="0029161D">
            <w:pPr>
              <w:spacing w:beforeLines="40" w:before="96" w:afterLines="40" w:after="96"/>
              <w:jc w:val="center"/>
              <w:rPr>
                <w:i/>
                <w:noProof/>
                <w:sz w:val="18"/>
              </w:rPr>
            </w:pPr>
          </w:p>
        </w:tc>
        <w:tc>
          <w:tcPr>
            <w:tcW w:w="1031" w:type="dxa"/>
          </w:tcPr>
          <w:p w14:paraId="15B84C56" w14:textId="77777777" w:rsidR="004515FC" w:rsidRPr="002858D6" w:rsidRDefault="004515FC" w:rsidP="0029161D">
            <w:pPr>
              <w:spacing w:beforeLines="40" w:before="96" w:afterLines="40" w:after="96"/>
              <w:jc w:val="center"/>
              <w:rPr>
                <w:noProof/>
                <w:sz w:val="18"/>
              </w:rPr>
            </w:pPr>
          </w:p>
        </w:tc>
        <w:tc>
          <w:tcPr>
            <w:tcW w:w="900" w:type="dxa"/>
          </w:tcPr>
          <w:p w14:paraId="5A553783" w14:textId="77777777" w:rsidR="004515FC" w:rsidRPr="002858D6" w:rsidRDefault="004515FC" w:rsidP="0029161D">
            <w:pPr>
              <w:spacing w:beforeLines="40" w:before="96" w:afterLines="40" w:after="96"/>
              <w:jc w:val="center"/>
              <w:rPr>
                <w:noProof/>
                <w:sz w:val="18"/>
              </w:rPr>
            </w:pPr>
          </w:p>
        </w:tc>
        <w:tc>
          <w:tcPr>
            <w:tcW w:w="900" w:type="dxa"/>
          </w:tcPr>
          <w:p w14:paraId="123F863E" w14:textId="77777777" w:rsidR="004515FC" w:rsidRPr="002858D6" w:rsidRDefault="004515FC" w:rsidP="0029161D">
            <w:pPr>
              <w:spacing w:beforeLines="40" w:before="96" w:afterLines="40" w:after="96"/>
              <w:jc w:val="center"/>
              <w:rPr>
                <w:noProof/>
                <w:sz w:val="18"/>
              </w:rPr>
            </w:pPr>
          </w:p>
        </w:tc>
        <w:tc>
          <w:tcPr>
            <w:tcW w:w="1080" w:type="dxa"/>
          </w:tcPr>
          <w:p w14:paraId="2A0DB059" w14:textId="77777777" w:rsidR="004515FC" w:rsidRPr="002858D6" w:rsidRDefault="004515FC" w:rsidP="0029161D">
            <w:pPr>
              <w:spacing w:beforeLines="40" w:before="96" w:afterLines="40" w:after="96"/>
              <w:jc w:val="center"/>
              <w:rPr>
                <w:noProof/>
                <w:sz w:val="18"/>
              </w:rPr>
            </w:pPr>
          </w:p>
        </w:tc>
        <w:tc>
          <w:tcPr>
            <w:tcW w:w="1080" w:type="dxa"/>
          </w:tcPr>
          <w:p w14:paraId="6A33062B" w14:textId="77777777" w:rsidR="004515FC" w:rsidRPr="002858D6" w:rsidRDefault="004515FC" w:rsidP="0029161D">
            <w:pPr>
              <w:spacing w:beforeLines="40" w:before="96" w:afterLines="40" w:after="96"/>
              <w:jc w:val="center"/>
              <w:rPr>
                <w:noProof/>
                <w:sz w:val="18"/>
              </w:rPr>
            </w:pPr>
          </w:p>
        </w:tc>
        <w:tc>
          <w:tcPr>
            <w:tcW w:w="1080" w:type="dxa"/>
          </w:tcPr>
          <w:p w14:paraId="42809688" w14:textId="77777777" w:rsidR="004515FC" w:rsidRPr="002858D6" w:rsidRDefault="004515FC" w:rsidP="0029161D">
            <w:pPr>
              <w:spacing w:beforeLines="40" w:before="96" w:afterLines="40" w:after="96"/>
              <w:jc w:val="center"/>
              <w:rPr>
                <w:noProof/>
                <w:sz w:val="18"/>
              </w:rPr>
            </w:pPr>
          </w:p>
        </w:tc>
        <w:tc>
          <w:tcPr>
            <w:tcW w:w="1080" w:type="dxa"/>
          </w:tcPr>
          <w:p w14:paraId="5A1BC35C" w14:textId="77777777" w:rsidR="004515FC" w:rsidRPr="002858D6" w:rsidRDefault="004515FC" w:rsidP="0029161D">
            <w:pPr>
              <w:spacing w:beforeLines="40" w:before="96" w:afterLines="40" w:after="96"/>
              <w:jc w:val="center"/>
              <w:rPr>
                <w:noProof/>
                <w:sz w:val="18"/>
              </w:rPr>
            </w:pPr>
          </w:p>
        </w:tc>
      </w:tr>
    </w:tbl>
    <w:p w14:paraId="257F5995" w14:textId="77777777" w:rsidR="004515FC" w:rsidRPr="002858D6" w:rsidRDefault="004515FC" w:rsidP="004515FC">
      <w:pPr>
        <w:pStyle w:val="Text1"/>
        <w:rPr>
          <w:noProof/>
          <w:sz w:val="20"/>
        </w:rPr>
      </w:pPr>
      <w:r w:rsidRPr="002858D6">
        <w:rPr>
          <w:noProof/>
          <w:sz w:val="20"/>
        </w:rPr>
        <w:t>Relativamente às receitas que serão «afetadas», especificar a(s) rubrica(s) orçamental(is) de despesas envolvida(s).</w:t>
      </w:r>
    </w:p>
    <w:p w14:paraId="219C5D35"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p>
    <w:p w14:paraId="06B076F3" w14:textId="77777777" w:rsidR="004515FC" w:rsidRPr="002858D6" w:rsidRDefault="004515FC" w:rsidP="004515FC">
      <w:pPr>
        <w:pStyle w:val="Text1"/>
        <w:rPr>
          <w:noProof/>
          <w:sz w:val="20"/>
        </w:rPr>
      </w:pPr>
      <w:r w:rsidRPr="002858D6">
        <w:rPr>
          <w:noProof/>
          <w:sz w:val="20"/>
        </w:rPr>
        <w:t>Outras observações (p. ex., método / fórmula de cálculo do impacto nas receitas ou quaisquer outras informações).</w:t>
      </w:r>
    </w:p>
    <w:p w14:paraId="3AD000B3" w14:textId="77777777" w:rsidR="004515FC" w:rsidRPr="002858D6" w:rsidRDefault="004515FC" w:rsidP="004515FC">
      <w:pPr>
        <w:pStyle w:val="Text1"/>
        <w:pBdr>
          <w:top w:val="single" w:sz="4" w:space="1" w:color="auto"/>
          <w:left w:val="single" w:sz="4" w:space="4" w:color="auto"/>
          <w:bottom w:val="single" w:sz="4" w:space="1" w:color="auto"/>
          <w:right w:val="single" w:sz="4" w:space="4" w:color="auto"/>
        </w:pBdr>
        <w:rPr>
          <w:noProof/>
        </w:rPr>
      </w:pPr>
    </w:p>
    <w:p w14:paraId="58B7A440" w14:textId="77777777" w:rsidR="00304682" w:rsidRPr="002858D6" w:rsidRDefault="00304682" w:rsidP="00504069">
      <w:pPr>
        <w:rPr>
          <w:noProof/>
        </w:rPr>
      </w:pPr>
    </w:p>
    <w:sectPr w:rsidR="00304682" w:rsidRPr="002858D6" w:rsidSect="007A1735">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19CE3" w14:textId="77777777" w:rsidR="009E703A" w:rsidRDefault="009E703A" w:rsidP="00304682">
      <w:pPr>
        <w:spacing w:before="0" w:after="0"/>
      </w:pPr>
      <w:r>
        <w:separator/>
      </w:r>
    </w:p>
  </w:endnote>
  <w:endnote w:type="continuationSeparator" w:id="0">
    <w:p w14:paraId="7B17184B" w14:textId="77777777" w:rsidR="009E703A" w:rsidRDefault="009E703A" w:rsidP="00304682">
      <w:pPr>
        <w:spacing w:before="0" w:after="0"/>
      </w:pPr>
      <w:r>
        <w:continuationSeparator/>
      </w:r>
    </w:p>
  </w:endnote>
  <w:endnote w:type="continuationNotice" w:id="1">
    <w:p w14:paraId="2718DFD6" w14:textId="77777777" w:rsidR="009E703A" w:rsidRDefault="009E70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EUAlbertina">
    <w:altName w:val="Yu Gothic"/>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BB29F" w14:textId="4DF37F69" w:rsidR="007A1735" w:rsidRPr="007A1735" w:rsidRDefault="007A1735" w:rsidP="007A1735">
    <w:pPr>
      <w:pStyle w:val="Footer"/>
      <w:rPr>
        <w:rFonts w:ascii="Arial" w:hAnsi="Arial" w:cs="Arial"/>
        <w:b/>
        <w:sz w:val="48"/>
      </w:rPr>
    </w:pPr>
    <w:r w:rsidRPr="007A1735">
      <w:rPr>
        <w:rFonts w:ascii="Arial" w:hAnsi="Arial" w:cs="Arial"/>
        <w:b/>
        <w:sz w:val="48"/>
      </w:rPr>
      <w:t>PT</w:t>
    </w:r>
    <w:r w:rsidRPr="007A1735">
      <w:rPr>
        <w:rFonts w:ascii="Arial" w:hAnsi="Arial" w:cs="Arial"/>
        <w:b/>
        <w:sz w:val="48"/>
      </w:rPr>
      <w:tab/>
    </w:r>
    <w:r w:rsidRPr="007A1735">
      <w:rPr>
        <w:rFonts w:ascii="Arial" w:hAnsi="Arial" w:cs="Arial"/>
        <w:b/>
        <w:sz w:val="48"/>
      </w:rPr>
      <w:tab/>
    </w:r>
    <w:r w:rsidRPr="007A1735">
      <w:tab/>
    </w:r>
    <w:r w:rsidRPr="007A1735">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9C2F2" w14:textId="08F7029F" w:rsidR="007A1735" w:rsidRPr="007A1735" w:rsidRDefault="007A1735" w:rsidP="007A1735">
    <w:pPr>
      <w:pStyle w:val="Footer"/>
      <w:rPr>
        <w:rFonts w:ascii="Arial" w:hAnsi="Arial" w:cs="Arial"/>
        <w:b/>
        <w:sz w:val="48"/>
      </w:rPr>
    </w:pPr>
    <w:r w:rsidRPr="007A1735">
      <w:rPr>
        <w:rFonts w:ascii="Arial" w:hAnsi="Arial" w:cs="Arial"/>
        <w:b/>
        <w:sz w:val="48"/>
      </w:rPr>
      <w:t>PT</w:t>
    </w:r>
    <w:r w:rsidRPr="007A1735">
      <w:rPr>
        <w:rFonts w:ascii="Arial" w:hAnsi="Arial" w:cs="Arial"/>
        <w:b/>
        <w:sz w:val="48"/>
      </w:rPr>
      <w:tab/>
    </w:r>
    <w:r w:rsidRPr="007A1735">
      <w:rPr>
        <w:rFonts w:ascii="Arial" w:hAnsi="Arial" w:cs="Arial"/>
        <w:b/>
        <w:sz w:val="48"/>
      </w:rPr>
      <w:tab/>
    </w:r>
    <w:r w:rsidRPr="007A1735">
      <w:tab/>
    </w:r>
    <w:r w:rsidRPr="007A1735">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F33B0" w14:textId="77777777" w:rsidR="007A1735" w:rsidRDefault="007A17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1F17F" w14:textId="7EE60626" w:rsidR="007A1735" w:rsidRPr="007A1735" w:rsidRDefault="007A1735" w:rsidP="007A1735">
    <w:pPr>
      <w:pStyle w:val="Footer"/>
      <w:rPr>
        <w:rFonts w:ascii="Arial" w:hAnsi="Arial" w:cs="Arial"/>
        <w:b/>
        <w:sz w:val="48"/>
      </w:rPr>
    </w:pPr>
    <w:r w:rsidRPr="007A1735">
      <w:rPr>
        <w:rFonts w:ascii="Arial" w:hAnsi="Arial" w:cs="Arial"/>
        <w:b/>
        <w:sz w:val="48"/>
      </w:rPr>
      <w:t>PT</w:t>
    </w:r>
    <w:r w:rsidRPr="007A1735">
      <w:rPr>
        <w:rFonts w:ascii="Arial" w:hAnsi="Arial" w:cs="Arial"/>
        <w:b/>
        <w:sz w:val="48"/>
      </w:rPr>
      <w:tab/>
    </w:r>
    <w:r>
      <w:fldChar w:fldCharType="begin"/>
    </w:r>
    <w:r>
      <w:instrText xml:space="preserve"> PAGE  \* MERGEFORMAT </w:instrText>
    </w:r>
    <w:r>
      <w:fldChar w:fldCharType="separate"/>
    </w:r>
    <w:r w:rsidR="0086310A">
      <w:rPr>
        <w:noProof/>
      </w:rPr>
      <w:t>21</w:t>
    </w:r>
    <w:r>
      <w:fldChar w:fldCharType="end"/>
    </w:r>
    <w:r>
      <w:tab/>
    </w:r>
    <w:r w:rsidRPr="007A1735">
      <w:tab/>
    </w:r>
    <w:r w:rsidRPr="007A1735">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88F87" w14:textId="77777777" w:rsidR="007A1735" w:rsidRDefault="007A1735" w:rsidP="007A17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C7715" w14:textId="11CD0B32" w:rsidR="007A1735" w:rsidRPr="007A1735" w:rsidRDefault="007A1735" w:rsidP="007A1735">
    <w:pPr>
      <w:pStyle w:val="FooterLandscape"/>
      <w:rPr>
        <w:rFonts w:ascii="Arial" w:hAnsi="Arial" w:cs="Arial"/>
        <w:b/>
        <w:sz w:val="48"/>
      </w:rPr>
    </w:pPr>
    <w:r w:rsidRPr="007A1735">
      <w:rPr>
        <w:rFonts w:ascii="Arial" w:hAnsi="Arial" w:cs="Arial"/>
        <w:b/>
        <w:sz w:val="48"/>
      </w:rPr>
      <w:t>PT</w:t>
    </w:r>
    <w:r w:rsidRPr="007A1735">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A1735">
      <w:tab/>
    </w:r>
    <w:r w:rsidRPr="007A1735">
      <w:rPr>
        <w:rFonts w:ascii="Arial" w:hAnsi="Arial" w:cs="Arial"/>
        <w:b/>
        <w:sz w:val="48"/>
      </w:rPr>
      <w:t>PT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A6776" w14:textId="603A5F27" w:rsidR="007A1735" w:rsidRPr="007A1735" w:rsidRDefault="007A1735" w:rsidP="007A1735">
    <w:pPr>
      <w:pStyle w:val="Footer"/>
      <w:rPr>
        <w:rFonts w:ascii="Arial" w:hAnsi="Arial" w:cs="Arial"/>
        <w:b/>
        <w:sz w:val="48"/>
      </w:rPr>
    </w:pPr>
    <w:r w:rsidRPr="007A1735">
      <w:rPr>
        <w:rFonts w:ascii="Arial" w:hAnsi="Arial" w:cs="Arial"/>
        <w:b/>
        <w:sz w:val="48"/>
      </w:rPr>
      <w:t>PT</w:t>
    </w:r>
    <w:r w:rsidRPr="007A1735">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A1735">
      <w:tab/>
    </w:r>
    <w:r w:rsidRPr="007A1735">
      <w:rPr>
        <w:rFonts w:ascii="Arial" w:hAnsi="Arial" w:cs="Arial"/>
        <w:b/>
        <w:sz w:val="48"/>
      </w:rPr>
      <w:t>PT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14FC1" w14:textId="77777777" w:rsidR="009E703A" w:rsidRDefault="009E703A" w:rsidP="00304682">
      <w:pPr>
        <w:spacing w:before="0" w:after="0"/>
      </w:pPr>
      <w:r>
        <w:separator/>
      </w:r>
    </w:p>
  </w:footnote>
  <w:footnote w:type="continuationSeparator" w:id="0">
    <w:p w14:paraId="6FC8369E" w14:textId="77777777" w:rsidR="009E703A" w:rsidRDefault="009E703A" w:rsidP="00304682">
      <w:pPr>
        <w:spacing w:before="0" w:after="0"/>
      </w:pPr>
      <w:r>
        <w:continuationSeparator/>
      </w:r>
    </w:p>
  </w:footnote>
  <w:footnote w:type="continuationNotice" w:id="1">
    <w:p w14:paraId="4685CCA8" w14:textId="77777777" w:rsidR="009E703A" w:rsidRDefault="009E703A">
      <w:pPr>
        <w:spacing w:before="0" w:after="0"/>
      </w:pPr>
    </w:p>
  </w:footnote>
  <w:footnote w:id="2">
    <w:p w14:paraId="41D3C8F1" w14:textId="5CD7E8C6" w:rsidR="0071192F" w:rsidRPr="00832AF8" w:rsidRDefault="0071192F" w:rsidP="0071192F">
      <w:pPr>
        <w:pStyle w:val="FootnoteText"/>
      </w:pPr>
      <w:r>
        <w:rPr>
          <w:rStyle w:val="FootnoteReference0"/>
        </w:rPr>
        <w:footnoteRef/>
      </w:r>
      <w:r>
        <w:tab/>
        <w:t xml:space="preserve">Diretiva (UE) 2015/637 do Conselho, de 20 de abril de 2015, relativa a medidas de coordenação e cooperação para facilitar a proteção consular dos cidadãos da União não representados em países terceiros e que revoga a Decisão 95/553/CE (JO L 106 de 24.4.2015, p. 1, ELI: </w:t>
      </w:r>
      <w:hyperlink r:id="rId1" w:tooltip="Permite o acesso ao presente documento através do respetivo URI do ELI." w:history="1">
        <w:r>
          <w:rPr>
            <w:rStyle w:val="Hyperlink"/>
          </w:rPr>
          <w:t>http://data.europa.eu/eli/dir/2015/637/oj</w:t>
        </w:r>
      </w:hyperlink>
      <w:r>
        <w:t>).</w:t>
      </w:r>
    </w:p>
  </w:footnote>
  <w:footnote w:id="3">
    <w:p w14:paraId="74D0A070" w14:textId="69625D92" w:rsidR="00BA6AED" w:rsidRPr="005652A6" w:rsidRDefault="00BA6AED" w:rsidP="005652A6">
      <w:pPr>
        <w:pStyle w:val="FootnoteText"/>
      </w:pPr>
      <w:r>
        <w:rPr>
          <w:rStyle w:val="FootnoteReference0"/>
        </w:rPr>
        <w:footnoteRef/>
      </w:r>
      <w:r>
        <w:tab/>
        <w:t xml:space="preserve">Decisão 95/553/CE dos Representantes dos Governos dos Estados-Membros, reunidos no Conselho, de 19 de dezembro de 1995, relativa à proteção dos cidadãos da União Europeia pelas representações diplomáticas e consulares (JO L 314 de 28.12.1995, p. 73, ELI: </w:t>
      </w:r>
      <w:hyperlink r:id="rId2" w:tooltip="Permite o acesso ao presente documento através do respetivo URI do ELI." w:history="1">
        <w:r>
          <w:rPr>
            <w:rStyle w:val="Hyperlink"/>
          </w:rPr>
          <w:t>http://data.europa.eu/eli/dec/1995/553/oj</w:t>
        </w:r>
      </w:hyperlink>
      <w:r>
        <w:t>).</w:t>
      </w:r>
    </w:p>
  </w:footnote>
  <w:footnote w:id="4">
    <w:p w14:paraId="02A7CF32" w14:textId="36B70113" w:rsidR="0071192F" w:rsidRPr="00832AF8" w:rsidRDefault="0071192F" w:rsidP="0071192F">
      <w:pPr>
        <w:pStyle w:val="FootnoteText"/>
      </w:pPr>
      <w:r>
        <w:rPr>
          <w:rStyle w:val="FootnoteReference0"/>
        </w:rPr>
        <w:footnoteRef/>
      </w:r>
      <w:r>
        <w:tab/>
        <w:t>Artigo 17.º, n.º 1, da Diretiva.</w:t>
      </w:r>
    </w:p>
  </w:footnote>
  <w:footnote w:id="5">
    <w:p w14:paraId="7AC450DB" w14:textId="2741AD16" w:rsidR="00563599" w:rsidRPr="00832AF8" w:rsidRDefault="00563599" w:rsidP="00563599">
      <w:pPr>
        <w:pStyle w:val="FootnoteText"/>
      </w:pPr>
      <w:r>
        <w:rPr>
          <w:rStyle w:val="FootnoteReference0"/>
        </w:rPr>
        <w:footnoteRef/>
      </w:r>
      <w:r>
        <w:tab/>
      </w:r>
      <w:hyperlink r:id="rId3" w:history="1">
        <w:r>
          <w:rPr>
            <w:rStyle w:val="Hyperlink"/>
          </w:rPr>
          <w:t>COM(2020) 690 final</w:t>
        </w:r>
      </w:hyperlink>
      <w:r>
        <w:t>.</w:t>
      </w:r>
    </w:p>
  </w:footnote>
  <w:footnote w:id="6">
    <w:p w14:paraId="585EDB65" w14:textId="5C9E9FEC" w:rsidR="00D72BBB" w:rsidRPr="00832AF8" w:rsidRDefault="00D72BBB" w:rsidP="00D72BBB">
      <w:pPr>
        <w:pStyle w:val="FootnoteText"/>
      </w:pPr>
      <w:r>
        <w:rPr>
          <w:rStyle w:val="FootnoteReference0"/>
        </w:rPr>
        <w:footnoteRef/>
      </w:r>
      <w:r>
        <w:tab/>
        <w:t>Relatório da Comissão ao Parlamento Europeu, ao Conselho, ao Comité Económico e Social Europeu e ao Comité das Regiões intitulado Conferência sobre o Futuro da Europa — Traduzir a visão estratégica em ações concretas (</w:t>
      </w:r>
      <w:hyperlink r:id="rId4" w:history="1">
        <w:r>
          <w:rPr>
            <w:rStyle w:val="Hyperlink"/>
          </w:rPr>
          <w:t>COM (2022) 404 final e anexo</w:t>
        </w:r>
      </w:hyperlink>
      <w:r>
        <w:t>).</w:t>
      </w:r>
    </w:p>
  </w:footnote>
  <w:footnote w:id="7">
    <w:p w14:paraId="4A138995" w14:textId="51CC4E64" w:rsidR="00563599" w:rsidRPr="00832AF8" w:rsidRDefault="00563599" w:rsidP="00563599">
      <w:pPr>
        <w:pStyle w:val="FootnoteText"/>
      </w:pPr>
      <w:r>
        <w:rPr>
          <w:rStyle w:val="FootnoteReference0"/>
        </w:rPr>
        <w:footnoteRef/>
      </w:r>
      <w:r>
        <w:tab/>
      </w:r>
      <w:hyperlink r:id="rId5" w:history="1">
        <w:r>
          <w:rPr>
            <w:rStyle w:val="Hyperlink"/>
          </w:rPr>
          <w:t>ST 7371/22</w:t>
        </w:r>
      </w:hyperlink>
      <w:r>
        <w:t>.</w:t>
      </w:r>
    </w:p>
  </w:footnote>
  <w:footnote w:id="8">
    <w:p w14:paraId="6A91F570" w14:textId="21E30D52" w:rsidR="00ED5E1B" w:rsidRPr="00832AF8" w:rsidRDefault="00ED5E1B" w:rsidP="00ED5E1B">
      <w:pPr>
        <w:pStyle w:val="FootnoteText"/>
      </w:pPr>
      <w:r>
        <w:rPr>
          <w:rStyle w:val="FootnoteReference0"/>
        </w:rPr>
        <w:footnoteRef/>
      </w:r>
      <w:r>
        <w:tab/>
        <w:t xml:space="preserve">Em resposta, em julho de 2022, foi criado o Centro de Resposta a Situações de Crise (CRC) do SEAE enquanto capacidade permanente de resposta a situações de crise do SEAE, estabelecendo uma ligação entre as células de crise das instituições, dos Estados-Membros e dos parceiros da União. </w:t>
      </w:r>
    </w:p>
  </w:footnote>
  <w:footnote w:id="9">
    <w:p w14:paraId="7C81C17F" w14:textId="7DAE1D2F" w:rsidR="003E4460" w:rsidRPr="003E4460" w:rsidRDefault="003E4460">
      <w:pPr>
        <w:pStyle w:val="FootnoteText"/>
      </w:pPr>
      <w:r>
        <w:rPr>
          <w:rStyle w:val="FootnoteReference0"/>
        </w:rPr>
        <w:footnoteRef/>
      </w:r>
      <w:r>
        <w:tab/>
        <w:t>Relatório da Comissão ao Parlamento Europeu e ao Conselho sobre a transposição e aplicação da Diretiva (UE) 2015/637 do Conselho, de 20 de abril de 2015, relativa a medidas de coordenação e cooperação para facilitar a proteção consular dos cidadãos da União não representados em países terceiros e que revoga a Decisão 95/553/CE [</w:t>
      </w:r>
      <w:hyperlink r:id="rId6" w:history="1">
        <w:r>
          <w:rPr>
            <w:rStyle w:val="Hyperlink"/>
          </w:rPr>
          <w:t>COM(2022) 437 final</w:t>
        </w:r>
      </w:hyperlink>
      <w:r>
        <w:t>].</w:t>
      </w:r>
    </w:p>
  </w:footnote>
  <w:footnote w:id="10">
    <w:p w14:paraId="11B24A15" w14:textId="0E15DE2C" w:rsidR="00906339" w:rsidRPr="00587507" w:rsidRDefault="00906339">
      <w:pPr>
        <w:pStyle w:val="FootnoteText"/>
      </w:pPr>
      <w:r>
        <w:rPr>
          <w:rStyle w:val="FootnoteReference0"/>
        </w:rPr>
        <w:footnoteRef/>
      </w:r>
      <w:r>
        <w:tab/>
        <w:t xml:space="preserve">Ver também o documento </w:t>
      </w:r>
      <w:r>
        <w:rPr>
          <w:i/>
          <w:iCs/>
        </w:rPr>
        <w:t>Joint Presidency and the EEAS paper on Joint Consular Teams</w:t>
      </w:r>
      <w:r>
        <w:t xml:space="preserve"> (não traduzido para português) (</w:t>
      </w:r>
      <w:hyperlink r:id="rId7" w:history="1">
        <w:r>
          <w:rPr>
            <w:rStyle w:val="Hyperlink"/>
          </w:rPr>
          <w:t>ST 13619/20</w:t>
        </w:r>
      </w:hyperlink>
      <w:r>
        <w:t>).</w:t>
      </w:r>
    </w:p>
  </w:footnote>
  <w:footnote w:id="11">
    <w:p w14:paraId="753CB355" w14:textId="77777777" w:rsidR="00B32D20" w:rsidRPr="00D523E9" w:rsidRDefault="00B32D20" w:rsidP="00B32D20">
      <w:pPr>
        <w:pStyle w:val="FootnoteText"/>
      </w:pPr>
      <w:r>
        <w:rPr>
          <w:rStyle w:val="FootnoteReference0"/>
        </w:rPr>
        <w:footnoteRef/>
      </w:r>
      <w:r>
        <w:tab/>
        <w:t xml:space="preserve">Diretiva (UE) 2019/997 do Conselho, de 18 de junho de 2019, que cria um título de viagem provisório da UE e que revoga a Decisão 96/409/PESC (JO L 163 de 20.6.2019, p. 1, ELI: </w:t>
      </w:r>
      <w:hyperlink r:id="rId8" w:tooltip="Permite o acesso ao presente documento através do respetivo URI do ELI." w:history="1">
        <w:r>
          <w:rPr>
            <w:rStyle w:val="Hyperlink"/>
          </w:rPr>
          <w:t>http://data.europa.eu/eli/dir/2019/997/oj</w:t>
        </w:r>
      </w:hyperlink>
      <w:r>
        <w:t>).</w:t>
      </w:r>
    </w:p>
  </w:footnote>
  <w:footnote w:id="12">
    <w:p w14:paraId="40171149" w14:textId="0756E258" w:rsidR="00464A03" w:rsidRPr="00464A03" w:rsidRDefault="00464A03" w:rsidP="00464A03">
      <w:pPr>
        <w:pStyle w:val="FootnoteText"/>
      </w:pPr>
      <w:r>
        <w:rPr>
          <w:rStyle w:val="FootnoteReference0"/>
        </w:rPr>
        <w:footnoteRef/>
      </w:r>
      <w:r>
        <w:tab/>
        <w:t xml:space="preserve">Decisão 2010/427/UE do Conselho, de 26 de julho de 2010, que estabelece a organização e o funcionamento do Serviço Europeu para a Ação Externa (JO L 201 de 3.8.2010, p. 30, ELI: </w:t>
      </w:r>
      <w:hyperlink r:id="rId9" w:tooltip="Permite o acesso ao presente documento através do respetivo URI do ELI." w:history="1">
        <w:r>
          <w:rPr>
            <w:rStyle w:val="Hyperlink"/>
          </w:rPr>
          <w:t>http://data.europa.eu/eli/dec/2010/427/oj</w:t>
        </w:r>
      </w:hyperlink>
      <w:r>
        <w:t>).</w:t>
      </w:r>
    </w:p>
  </w:footnote>
  <w:footnote w:id="13">
    <w:p w14:paraId="4FFEF616" w14:textId="7CE60F99" w:rsidR="005E547D" w:rsidRPr="002D50E6" w:rsidRDefault="005E547D" w:rsidP="002D50E6">
      <w:pPr>
        <w:pStyle w:val="FootnoteText"/>
      </w:pPr>
      <w:r>
        <w:rPr>
          <w:rStyle w:val="FootnoteReference0"/>
        </w:rPr>
        <w:footnoteRef/>
      </w:r>
      <w:r>
        <w:tab/>
        <w:t xml:space="preserve">Decisão n.º 1313/2013/UE do Parlamento Europeu e do Conselho, de 17 de dezembro de 2013, relativa a um Mecanismo de Proteção Civil da União Europeia (JO L 347 de 20.12.2013, p. 924, ELI: </w:t>
      </w:r>
      <w:hyperlink r:id="rId10" w:tooltip="Permite o acesso ao presente documento através do respetivo URI do ELI." w:history="1">
        <w:r>
          <w:rPr>
            <w:rStyle w:val="Hyperlink"/>
          </w:rPr>
          <w:t>http://data.europa.eu/eli/dec/2013/1313/oj</w:t>
        </w:r>
      </w:hyperlink>
      <w:r>
        <w:t>).</w:t>
      </w:r>
    </w:p>
  </w:footnote>
  <w:footnote w:id="14">
    <w:p w14:paraId="0333784C" w14:textId="77777777" w:rsidR="0089770B" w:rsidRPr="002D50E6" w:rsidRDefault="0089770B" w:rsidP="0089770B">
      <w:pPr>
        <w:pStyle w:val="FootnoteText"/>
      </w:pPr>
      <w:r>
        <w:rPr>
          <w:rStyle w:val="FootnoteReference0"/>
        </w:rPr>
        <w:footnoteRef/>
      </w:r>
      <w:r>
        <w:tab/>
        <w:t xml:space="preserve">Disponível em: </w:t>
      </w:r>
      <w:hyperlink r:id="rId11" w:history="1">
        <w:r>
          <w:rPr>
            <w:rStyle w:val="Hyperlink"/>
          </w:rPr>
          <w:t>https://legal.un.org/ilc/texts/instruments/english/conventions/9_2_1963.pdf</w:t>
        </w:r>
      </w:hyperlink>
      <w:r>
        <w:t xml:space="preserve"> </w:t>
      </w:r>
    </w:p>
  </w:footnote>
  <w:footnote w:id="15">
    <w:p w14:paraId="069A763B" w14:textId="21717D6A" w:rsidR="0040525C" w:rsidRPr="00816FCA" w:rsidRDefault="0040525C" w:rsidP="0040525C">
      <w:pPr>
        <w:pStyle w:val="FootnoteText"/>
      </w:pPr>
      <w:r>
        <w:rPr>
          <w:rStyle w:val="FootnoteReference0"/>
        </w:rPr>
        <w:footnoteRef/>
      </w:r>
      <w:r>
        <w:tab/>
        <w:t>SWD(2023) 941 final.</w:t>
      </w:r>
    </w:p>
  </w:footnote>
  <w:footnote w:id="16">
    <w:p w14:paraId="689AA7F7" w14:textId="6A2FD46D" w:rsidR="00A835CB" w:rsidRPr="00976793" w:rsidRDefault="00A835CB">
      <w:pPr>
        <w:pStyle w:val="FootnoteText"/>
      </w:pPr>
      <w:r>
        <w:rPr>
          <w:rStyle w:val="FootnoteReference0"/>
        </w:rPr>
        <w:footnoteRef/>
      </w:r>
      <w:r>
        <w:tab/>
      </w:r>
      <w:hyperlink r:id="rId12" w:history="1">
        <w:r>
          <w:rPr>
            <w:rStyle w:val="Hyperlink"/>
          </w:rPr>
          <w:t>ST 15876/22</w:t>
        </w:r>
      </w:hyperlink>
      <w:r>
        <w:t>.</w:t>
      </w:r>
    </w:p>
  </w:footnote>
  <w:footnote w:id="17">
    <w:p w14:paraId="694ED5A7" w14:textId="7862042F" w:rsidR="009C14D2" w:rsidRPr="001F5285" w:rsidRDefault="009C14D2">
      <w:pPr>
        <w:pStyle w:val="FootnoteText"/>
      </w:pPr>
      <w:r>
        <w:rPr>
          <w:rStyle w:val="FootnoteReference0"/>
        </w:rPr>
        <w:footnoteRef/>
      </w:r>
      <w:r>
        <w:tab/>
        <w:t>Costa Rica, Etiópia, Fiji, Montenegro e Rússia.</w:t>
      </w:r>
    </w:p>
  </w:footnote>
  <w:footnote w:id="18">
    <w:p w14:paraId="102A9CF5" w14:textId="0690E916" w:rsidR="000E75BA" w:rsidRPr="00832AF8" w:rsidRDefault="000E75BA" w:rsidP="000E75BA">
      <w:pPr>
        <w:pStyle w:val="FootnoteText"/>
      </w:pPr>
      <w:r>
        <w:rPr>
          <w:rStyle w:val="FootnoteReference0"/>
        </w:rPr>
        <w:footnoteRef/>
      </w:r>
      <w:r>
        <w:tab/>
      </w:r>
      <w:hyperlink r:id="rId13" w:history="1">
        <w:r>
          <w:rPr>
            <w:rStyle w:val="Hyperlink"/>
          </w:rPr>
          <w:t>Eurobarómetro Flash 485</w:t>
        </w:r>
      </w:hyperlink>
      <w:r>
        <w:t>: cidadania da UE e democracia; fevereiro/março de 2020</w:t>
      </w:r>
      <w:r>
        <w:rPr>
          <w:rStyle w:val="Hyperlink"/>
        </w:rPr>
        <w:t xml:space="preserve">. </w:t>
      </w:r>
    </w:p>
  </w:footnote>
  <w:footnote w:id="19">
    <w:p w14:paraId="7533837C" w14:textId="39B3A371" w:rsidR="00453B8A" w:rsidRPr="00870896" w:rsidRDefault="00453B8A">
      <w:pPr>
        <w:pStyle w:val="FootnoteText"/>
      </w:pPr>
      <w:r>
        <w:rPr>
          <w:rStyle w:val="FootnoteReference0"/>
        </w:rPr>
        <w:footnoteRef/>
      </w:r>
      <w:r>
        <w:tab/>
      </w:r>
      <w:hyperlink r:id="rId14" w:history="1">
        <w:r>
          <w:rPr>
            <w:rStyle w:val="Hyperlink"/>
          </w:rPr>
          <w:t>Eurobarómetro Flash 528</w:t>
        </w:r>
      </w:hyperlink>
      <w:r>
        <w:t>: cidadania e democracia, abril/maio de 2023.</w:t>
      </w:r>
    </w:p>
  </w:footnote>
  <w:footnote w:id="20">
    <w:p w14:paraId="4DD40E89" w14:textId="6E1F48AB" w:rsidR="003B5B49" w:rsidRPr="009902E3" w:rsidRDefault="003B5B49" w:rsidP="00E73439">
      <w:pPr>
        <w:pStyle w:val="FootnoteText"/>
      </w:pPr>
      <w:r>
        <w:rPr>
          <w:rStyle w:val="FootnoteReference0"/>
        </w:rPr>
        <w:footnoteRef/>
      </w:r>
      <w:r>
        <w:tab/>
        <w:t>Relatório da Comissão ao Parlamento Europeu, ao Conselho, ao Comité Económico e Social Europeu e ao Comité das Regiões, Relatório de 2020 sobre a Cidadania da UE - Capacitar os cidadãos e proteger os seus direitos em momentos exigentes (</w:t>
      </w:r>
      <w:hyperlink r:id="rId15" w:history="1">
        <w:r>
          <w:rPr>
            <w:rStyle w:val="Hyperlink"/>
          </w:rPr>
          <w:t>COM(2020) 730 final</w:t>
        </w:r>
      </w:hyperlink>
      <w:r>
        <w:t>).</w:t>
      </w:r>
    </w:p>
  </w:footnote>
  <w:footnote w:id="21">
    <w:p w14:paraId="5B3E8C10" w14:textId="614D36CE" w:rsidR="00B75B61" w:rsidRPr="00816FCA" w:rsidRDefault="00B75B61">
      <w:pPr>
        <w:pStyle w:val="FootnoteText"/>
      </w:pPr>
      <w:r>
        <w:rPr>
          <w:rStyle w:val="FootnoteReference0"/>
        </w:rPr>
        <w:footnoteRef/>
      </w:r>
      <w:r>
        <w:tab/>
      </w:r>
      <w:hyperlink r:id="rId16" w:history="1">
        <w:r>
          <w:rPr>
            <w:rStyle w:val="Hyperlink"/>
          </w:rPr>
          <w:t>Estudo de apoio à avaliação de impacto</w:t>
        </w:r>
      </w:hyperlink>
      <w:r>
        <w:t xml:space="preserve">, incluindo os seus </w:t>
      </w:r>
      <w:hyperlink r:id="rId17" w:history="1">
        <w:r>
          <w:rPr>
            <w:rStyle w:val="Hyperlink"/>
          </w:rPr>
          <w:t>anexos</w:t>
        </w:r>
      </w:hyperlink>
      <w:r>
        <w:t>.</w:t>
      </w:r>
    </w:p>
  </w:footnote>
  <w:footnote w:id="22">
    <w:p w14:paraId="09902A0B" w14:textId="0BE6A4D0" w:rsidR="00EC5960" w:rsidRPr="00816FCA" w:rsidRDefault="00EC5960" w:rsidP="00EC5960">
      <w:pPr>
        <w:pStyle w:val="FootnoteText"/>
      </w:pPr>
      <w:r>
        <w:rPr>
          <w:rStyle w:val="FootnoteReference0"/>
        </w:rPr>
        <w:footnoteRef/>
      </w:r>
      <w:r>
        <w:tab/>
        <w:t>SWD(2023) 941 final.</w:t>
      </w:r>
    </w:p>
  </w:footnote>
  <w:footnote w:id="23">
    <w:p w14:paraId="7AA98E82" w14:textId="1B4765EB" w:rsidR="0024624A" w:rsidRPr="00816FCA" w:rsidRDefault="0024624A" w:rsidP="0024624A">
      <w:pPr>
        <w:pStyle w:val="FootnoteText"/>
      </w:pPr>
      <w:r>
        <w:rPr>
          <w:rStyle w:val="FootnoteReference0"/>
        </w:rPr>
        <w:footnoteRef/>
      </w:r>
      <w:r>
        <w:tab/>
        <w:t>SEC(2023) 930.</w:t>
      </w:r>
    </w:p>
  </w:footnote>
  <w:footnote w:id="24">
    <w:p w14:paraId="55CCF900" w14:textId="77777777" w:rsidR="008360A0" w:rsidRPr="008360A0" w:rsidRDefault="008360A0" w:rsidP="001831D5">
      <w:pPr>
        <w:pStyle w:val="FootnoteText"/>
      </w:pPr>
      <w:r>
        <w:rPr>
          <w:rStyle w:val="FootnoteReference0"/>
        </w:rPr>
        <w:footnoteRef/>
      </w:r>
      <w:r>
        <w:tab/>
        <w:t xml:space="preserve">Ver, por exemplo, o Acórdão do Tribunal de Justiça de 17 de outubro de 2013, Schwarz, C-291/12, ECLI:EU:C:2013:670; </w:t>
      </w:r>
    </w:p>
  </w:footnote>
  <w:footnote w:id="25">
    <w:p w14:paraId="337964DE" w14:textId="1DE25057" w:rsidR="009618EB" w:rsidRPr="009618EB" w:rsidRDefault="009618EB">
      <w:pPr>
        <w:pStyle w:val="FootnoteText"/>
      </w:pPr>
      <w:r>
        <w:rPr>
          <w:rStyle w:val="FootnoteReference0"/>
        </w:rPr>
        <w:footnoteRef/>
      </w:r>
      <w:r>
        <w:tab/>
        <w:t xml:space="preserve">Regulamento (UE) 2016/679 do Parlamento Europeu e do Conselho, de 27 de abril de 2016, relativo à proteção das pessoas singulares no que diz respeito ao tratamento de dados pessoais e à livre circulação desses dados e que revoga a Diretiva 95/46/CE (Regulamento Geral sobre a Proteção de Dados) (JO L 119 de 4.5.2016, p. 1, ELI: </w:t>
      </w:r>
      <w:hyperlink r:id="rId18" w:tooltip="Permite o acesso ao presente documento através do respetivo URI do ELI." w:history="1">
        <w:r>
          <w:rPr>
            <w:rStyle w:val="Hyperlink"/>
          </w:rPr>
          <w:t>http://data.europa.eu/eli/reg/2016/679/oj</w:t>
        </w:r>
      </w:hyperlink>
      <w:r>
        <w:t xml:space="preserve">) e Regulamento (UE) 2018/1725 do Parlamento Europeu e do Conselho, de 23 de outubro de 2018, relativo à proteção das pessoas singulares no que diz respeito ao tratamento de dados pessoais pelas instituições e pelos órgãos e organismos da União e à livre circulação desses dados, e que revoga o Regulamento (CE) n.º 45/2001 e a Decisão n.º 1247/2002/CE (JO L 295 de 21.11.2018, p. 39, ELI: </w:t>
      </w:r>
      <w:hyperlink r:id="rId19" w:tooltip="Permite o acesso ao presente documento através do respetivo URI do ELI." w:history="1">
        <w:r>
          <w:rPr>
            <w:rStyle w:val="Hyperlink"/>
          </w:rPr>
          <w:t>http://data.europa.eu/eli/reg/2018/1725/oj</w:t>
        </w:r>
      </w:hyperlink>
      <w:r>
        <w:t>).</w:t>
      </w:r>
    </w:p>
  </w:footnote>
  <w:footnote w:id="26">
    <w:p w14:paraId="531F79C1" w14:textId="160BE9A0" w:rsidR="00901DFA" w:rsidRPr="0010566E" w:rsidRDefault="00901DFA" w:rsidP="00901DFA">
      <w:pPr>
        <w:pStyle w:val="FootnoteText"/>
      </w:pPr>
      <w:r>
        <w:rPr>
          <w:rStyle w:val="FootnoteReference0"/>
        </w:rPr>
        <w:footnoteRef/>
      </w:r>
      <w:r>
        <w:tab/>
        <w:t xml:space="preserve">Decisão 96/409/PESC dos Representantes dos Governos dos Estados-Membros reunidos no Conselho, de 25 de junho de 1996, relativa à criação de um título de viagem provisório (JO L 168 de 6.7.1996, p. 4, ELI: </w:t>
      </w:r>
      <w:hyperlink r:id="rId20" w:tooltip="Permite o acesso ao presente documento através do respetivo URI do ELI." w:history="1">
        <w:r>
          <w:rPr>
            <w:rStyle w:val="Hyperlink"/>
          </w:rPr>
          <w:t>http://data.europa.eu/eli/dec/1996/409/oj</w:t>
        </w:r>
      </w:hyperlink>
      <w:r>
        <w:t>).</w:t>
      </w:r>
    </w:p>
  </w:footnote>
  <w:footnote w:id="27">
    <w:p w14:paraId="798ECA89" w14:textId="4E6F952A" w:rsidR="004A076F" w:rsidRPr="0048515B" w:rsidRDefault="004A076F" w:rsidP="004A076F">
      <w:pPr>
        <w:pStyle w:val="FootnoteText"/>
      </w:pPr>
      <w:r>
        <w:rPr>
          <w:rStyle w:val="FootnoteReference0"/>
        </w:rPr>
        <w:footnoteRef/>
      </w:r>
      <w:r>
        <w:tab/>
        <w:t xml:space="preserve">Recomendação C(2007) 5841 da Comissão, de 5 de dezembro de 2007, relativa à impressão do texto do artigo 20.º do Tratado CE nos passaportes (JO L 118 de 6.5.2008, p. 30, ELI: </w:t>
      </w:r>
      <w:hyperlink r:id="rId21" w:tooltip="Permite o acesso ao presente documento através do respetivo URI do ELI." w:history="1">
        <w:r>
          <w:rPr>
            <w:rStyle w:val="Hyperlink"/>
          </w:rPr>
          <w:t>http://data.europa.eu/eli/reco/2008/355/oj</w:t>
        </w:r>
      </w:hyperlink>
      <w:r>
        <w:t>).</w:t>
      </w:r>
    </w:p>
  </w:footnote>
  <w:footnote w:id="28">
    <w:p w14:paraId="75FCD969" w14:textId="77777777" w:rsidR="00304682" w:rsidRPr="00C33759" w:rsidRDefault="00304682">
      <w:pPr>
        <w:pStyle w:val="FootnoteText"/>
      </w:pPr>
      <w:r>
        <w:rPr>
          <w:rStyle w:val="FootnoteReference0"/>
        </w:rPr>
        <w:footnoteRef/>
      </w:r>
      <w:r>
        <w:tab/>
        <w:t>JO C […] de […], p. […].</w:t>
      </w:r>
    </w:p>
  </w:footnote>
  <w:footnote w:id="29">
    <w:p w14:paraId="002D83DD" w14:textId="1AAA101E" w:rsidR="00B317D6" w:rsidRPr="00B633B2" w:rsidRDefault="00B317D6">
      <w:pPr>
        <w:pStyle w:val="FootnoteText"/>
      </w:pPr>
      <w:r>
        <w:rPr>
          <w:rStyle w:val="FootnoteReference0"/>
        </w:rPr>
        <w:footnoteRef/>
      </w:r>
      <w:r>
        <w:tab/>
        <w:t xml:space="preserve">Diretiva (UE) 2015/637 do Conselho, de 20 de abril de 2015, relativa a medidas de coordenação e cooperação para facilitar a proteção consular dos cidadãos da União não representados em países terceiros e que revoga a Decisão 95/553/CE (JO L 106 de 24.4.2015, p. 1, ELI: </w:t>
      </w:r>
      <w:hyperlink r:id="rId22" w:tooltip="Permite o acesso ao presente documento através do respetivo URI do ELI." w:history="1">
        <w:r>
          <w:rPr>
            <w:rStyle w:val="Hyperlink"/>
          </w:rPr>
          <w:t>http://data.europa.eu/eli/dir/2015/637/oj</w:t>
        </w:r>
      </w:hyperlink>
      <w:r>
        <w:t>).</w:t>
      </w:r>
    </w:p>
  </w:footnote>
  <w:footnote w:id="30">
    <w:p w14:paraId="42D1CC4E" w14:textId="4161E47E" w:rsidR="000A6E9C" w:rsidRPr="00D523E9" w:rsidRDefault="000A6E9C" w:rsidP="00D523E9">
      <w:pPr>
        <w:pStyle w:val="FootnoteText"/>
      </w:pPr>
      <w:r>
        <w:rPr>
          <w:rStyle w:val="FootnoteReference0"/>
        </w:rPr>
        <w:footnoteRef/>
      </w:r>
      <w:r>
        <w:tab/>
        <w:t xml:space="preserve">Diretiva (UE) 2019/997 do Conselho, de 18 de junho de 2019, que cria um título de viagem provisório da UE e que revoga a Decisão 96/409/PESC (JO L 163 de 20.6.2019, p. 1, ELI: </w:t>
      </w:r>
      <w:hyperlink r:id="rId23" w:tooltip="Permite o acesso ao presente documento através do respetivo URI do ELI." w:history="1">
        <w:r>
          <w:rPr>
            <w:rStyle w:val="Hyperlink"/>
          </w:rPr>
          <w:t>http://data.europa.eu/eli/dir/2019/997/oj</w:t>
        </w:r>
      </w:hyperlink>
      <w:r>
        <w:t>).</w:t>
      </w:r>
    </w:p>
  </w:footnote>
  <w:footnote w:id="31">
    <w:p w14:paraId="0597AE1F" w14:textId="40E908A1" w:rsidR="00C41CE1" w:rsidRPr="00464A03" w:rsidRDefault="00C41CE1" w:rsidP="00C41CE1">
      <w:pPr>
        <w:pStyle w:val="FootnoteText"/>
      </w:pPr>
      <w:r>
        <w:rPr>
          <w:rStyle w:val="FootnoteReference0"/>
        </w:rPr>
        <w:footnoteRef/>
      </w:r>
      <w:r>
        <w:tab/>
        <w:t xml:space="preserve">Decisão 2010/427/UE do Conselho, de 26 de julho de 2010, que estabelece a organização e o funcionamento do Serviço Europeu para a Ação Externa (JO L 201 de 3.8.2010, p. 30, ELI: </w:t>
      </w:r>
      <w:hyperlink r:id="rId24" w:tooltip="Permite o acesso ao presente documento através do respetivo URI do ELI." w:history="1">
        <w:r>
          <w:rPr>
            <w:rStyle w:val="Hyperlink"/>
          </w:rPr>
          <w:t>http://data.europa.eu/eli/dec/2010/427/oj</w:t>
        </w:r>
      </w:hyperlink>
      <w:r>
        <w:t>).</w:t>
      </w:r>
    </w:p>
  </w:footnote>
  <w:footnote w:id="32">
    <w:p w14:paraId="68C6CDBD" w14:textId="5BFABAA2" w:rsidR="005C1E93" w:rsidRPr="0048515B" w:rsidRDefault="005C1E93" w:rsidP="005C1E93">
      <w:pPr>
        <w:pStyle w:val="FootnoteText"/>
      </w:pPr>
      <w:r>
        <w:rPr>
          <w:rStyle w:val="FootnoteReference0"/>
        </w:rPr>
        <w:footnoteRef/>
      </w:r>
      <w:r>
        <w:tab/>
        <w:t xml:space="preserve">Recomendação C(2007) 5841 da Comissão, de 5 de dezembro de 2007, relativa à impressão do texto do artigo 20.º do Tratado CE nos passaportes (JO L 118 de 6.5.2008, p. 30, ELI: </w:t>
      </w:r>
      <w:hyperlink r:id="rId25" w:tooltip="Permite o acesso ao presente documento através do respetivo URI do ELI." w:history="1">
        <w:r>
          <w:rPr>
            <w:rStyle w:val="Hyperlink"/>
          </w:rPr>
          <w:t>http://data.europa.eu/eli/reco/2008/355/oj</w:t>
        </w:r>
      </w:hyperlink>
      <w:r>
        <w:t>).</w:t>
      </w:r>
    </w:p>
  </w:footnote>
  <w:footnote w:id="33">
    <w:p w14:paraId="651DDB3F" w14:textId="79912DE1" w:rsidR="00F60C46" w:rsidRPr="002D50E6" w:rsidRDefault="00F60C46" w:rsidP="00F60C46">
      <w:pPr>
        <w:pStyle w:val="FootnoteText"/>
      </w:pPr>
      <w:r>
        <w:rPr>
          <w:rStyle w:val="FootnoteReference0"/>
        </w:rPr>
        <w:footnoteRef/>
      </w:r>
      <w:r>
        <w:tab/>
        <w:t xml:space="preserve">Decisão n.º 1313/2013/UE do Parlamento Europeu e do Conselho, de 17 de dezembro de 2013, relativa a um Mecanismo de Proteção Civil da União Europeia (JO L 347 de 20.12.2013, p. 924, ELI: </w:t>
      </w:r>
      <w:hyperlink r:id="rId26" w:tooltip="Permite o acesso ao presente documento através do respetivo URI do ELI." w:history="1">
        <w:r>
          <w:rPr>
            <w:rStyle w:val="Hyperlink"/>
          </w:rPr>
          <w:t>http://data.europa.eu/eli/dec/2013/1313/oj</w:t>
        </w:r>
      </w:hyperlink>
      <w:r>
        <w:t>).</w:t>
      </w:r>
    </w:p>
  </w:footnote>
  <w:footnote w:id="34">
    <w:p w14:paraId="5CA6D7F9" w14:textId="7CB358EE" w:rsidR="0029484E" w:rsidRPr="004A3B7D" w:rsidRDefault="0029484E">
      <w:pPr>
        <w:pStyle w:val="FootnoteText"/>
      </w:pPr>
      <w:r>
        <w:rPr>
          <w:rStyle w:val="FootnoteReference0"/>
        </w:rPr>
        <w:footnoteRef/>
      </w:r>
      <w:r>
        <w:tab/>
        <w:t xml:space="preserve">Regulamento (UE) n.º 182/2011 do Parlamento Europeu e do Conselho, de 16 de fevereiro de 2011, que estabelece as regras e os princípios gerais relativos aos mecanismos de controlo pelos Estados-Membros do exercício das competências de execução pela Comissão (JO L 55 de 28.2.2011, p. 13, ELI: </w:t>
      </w:r>
      <w:hyperlink r:id="rId27" w:tooltip="Permite o acesso ao presente documento através do respetivo URI do ELI." w:history="1">
        <w:r>
          <w:rPr>
            <w:rStyle w:val="Hyperlink"/>
          </w:rPr>
          <w:t>http://data.europa.eu/eli/reg/2011/182/oj</w:t>
        </w:r>
      </w:hyperlink>
      <w:r>
        <w:t>).</w:t>
      </w:r>
    </w:p>
  </w:footnote>
  <w:footnote w:id="35">
    <w:p w14:paraId="22511554" w14:textId="77777777" w:rsidR="004D661D" w:rsidRPr="00013E77" w:rsidRDefault="004D661D" w:rsidP="004D661D">
      <w:pPr>
        <w:pStyle w:val="FootnoteText"/>
      </w:pPr>
      <w:r>
        <w:rPr>
          <w:rStyle w:val="FootnoteReference0"/>
        </w:rPr>
        <w:footnoteRef/>
      </w:r>
      <w:r>
        <w:tab/>
        <w:t xml:space="preserve">Regulamento (UE) 2016/679 do Parlamento Europeu e do Conselho, de 27 de abril de 2016, relativo à proteção das pessoas singulares no que diz respeito ao tratamento de dados pessoais e à livre circulação desses dados e que revoga a Diretiva 95/46/CE (Regulamento Geral sobre a Proteção de Dados) (JO L 119 de 4.5.2016, p. 1, ELI: </w:t>
      </w:r>
      <w:hyperlink r:id="rId28" w:history="1">
        <w:r>
          <w:rPr>
            <w:rStyle w:val="Hyperlink"/>
          </w:rPr>
          <w:t>http://data.europa.eu/eli/reg/2016/679/oj</w:t>
        </w:r>
      </w:hyperlink>
      <w:r>
        <w:t>).</w:t>
      </w:r>
    </w:p>
  </w:footnote>
  <w:footnote w:id="36">
    <w:p w14:paraId="62339214" w14:textId="77777777" w:rsidR="007F3DC6" w:rsidRPr="00F210EF" w:rsidRDefault="007F3DC6" w:rsidP="007F3DC6">
      <w:pPr>
        <w:pStyle w:val="FootnoteText"/>
      </w:pPr>
      <w:r>
        <w:rPr>
          <w:rStyle w:val="FootnoteReference0"/>
        </w:rPr>
        <w:footnoteRef/>
      </w:r>
      <w:r>
        <w:tab/>
        <w:t xml:space="preserve">Regulamento (UE) 2018/1725 do Parlamento Europeu e do Conselho, de 23 de outubro de 2018, relativo à proteção das pessoas singulares no que diz respeito ao tratamento de dados pessoais pelas instituições e pelos órgãos e organismos da União e à livre circulação desses dados, e que revoga o Regulamento (CE) n.º 45/2001 e a Decisão n.º 1247/2002/CE (JO L 295 de 21.11.2018, p. 39, ELI: </w:t>
      </w:r>
      <w:hyperlink r:id="rId29" w:history="1">
        <w:r>
          <w:rPr>
            <w:rStyle w:val="Hyperlink"/>
          </w:rPr>
          <w:t>http://data.europa.eu/eli/reg/2018/1725/oj</w:t>
        </w:r>
      </w:hyperlink>
      <w:r>
        <w:t>).</w:t>
      </w:r>
    </w:p>
  </w:footnote>
  <w:footnote w:id="37">
    <w:p w14:paraId="169F6304" w14:textId="77777777" w:rsidR="00304682" w:rsidRDefault="00304682">
      <w:pPr>
        <w:pStyle w:val="FootnoteText"/>
      </w:pPr>
      <w:r>
        <w:rPr>
          <w:rStyle w:val="FootnoteReference0"/>
        </w:rPr>
        <w:footnoteRef/>
      </w:r>
      <w:r>
        <w:tab/>
        <w:t>JO C 369 de 17.12.2011, p. 14.</w:t>
      </w:r>
    </w:p>
  </w:footnote>
  <w:footnote w:id="38">
    <w:p w14:paraId="7BA64BF1" w14:textId="3EEB3710" w:rsidR="00E911F5" w:rsidRPr="0058268D" w:rsidRDefault="00E911F5" w:rsidP="00E911F5">
      <w:pPr>
        <w:pStyle w:val="FootnoteText"/>
        <w:ind w:left="709" w:hanging="709"/>
      </w:pPr>
      <w:r>
        <w:rPr>
          <w:rStyle w:val="FootnoteReference0"/>
        </w:rPr>
        <w:footnoteRef/>
      </w:r>
      <w:r>
        <w:tab/>
        <w:t>JO C […] de […], p. […].</w:t>
      </w:r>
    </w:p>
  </w:footnote>
  <w:footnote w:id="39">
    <w:p w14:paraId="35BC654C" w14:textId="77777777" w:rsidR="004515FC" w:rsidRDefault="004515FC" w:rsidP="004515FC">
      <w:pPr>
        <w:pStyle w:val="FootnoteText"/>
      </w:pPr>
      <w:r>
        <w:rPr>
          <w:rStyle w:val="FootnoteReference0"/>
        </w:rPr>
        <w:footnoteRef/>
      </w:r>
      <w:r>
        <w:tab/>
        <w:t>Conforme referido no artigo 58.º, n.º 2, alínea a) ou b), do Regulamento Financeiro.</w:t>
      </w:r>
    </w:p>
  </w:footnote>
  <w:footnote w:id="40">
    <w:p w14:paraId="1786DB1F" w14:textId="68411434" w:rsidR="004515FC" w:rsidRPr="004515FC" w:rsidRDefault="004515FC" w:rsidP="004515FC">
      <w:pPr>
        <w:pStyle w:val="FootnoteText"/>
      </w:pPr>
      <w:r>
        <w:rPr>
          <w:rStyle w:val="FootnoteReference0"/>
        </w:rPr>
        <w:footnoteRef/>
      </w:r>
      <w:r>
        <w:tab/>
      </w:r>
      <w:hyperlink r:id="rId30" w:history="1">
        <w:r>
          <w:rPr>
            <w:rStyle w:val="Hyperlink"/>
          </w:rPr>
          <w:t>SEC(2011) 1556 final</w:t>
        </w:r>
      </w:hyperlink>
      <w:r>
        <w:t>.</w:t>
      </w:r>
    </w:p>
  </w:footnote>
  <w:footnote w:id="41">
    <w:p w14:paraId="4FF9E788" w14:textId="77777777" w:rsidR="004515FC" w:rsidRDefault="004515FC" w:rsidP="004515FC">
      <w:pPr>
        <w:pStyle w:val="FootnoteText"/>
      </w:pPr>
      <w:r>
        <w:rPr>
          <w:rStyle w:val="FootnoteReference0"/>
        </w:rPr>
        <w:footnoteRef/>
      </w:r>
      <w:r>
        <w:tab/>
        <w:t>DD = dotações diferenciadas / DND = dotações não diferenciadas.</w:t>
      </w:r>
    </w:p>
  </w:footnote>
  <w:footnote w:id="42">
    <w:p w14:paraId="41343289" w14:textId="77777777" w:rsidR="004515FC" w:rsidRDefault="004515FC" w:rsidP="004515FC">
      <w:pPr>
        <w:pStyle w:val="FootnoteText"/>
      </w:pPr>
      <w:r>
        <w:rPr>
          <w:rStyle w:val="FootnoteReference0"/>
        </w:rPr>
        <w:footnoteRef/>
      </w:r>
      <w:r>
        <w:tab/>
        <w:t xml:space="preserve">EFTA: Associação Europeia de Comércio Livre. </w:t>
      </w:r>
    </w:p>
  </w:footnote>
  <w:footnote w:id="43">
    <w:p w14:paraId="0A837B5A" w14:textId="77777777" w:rsidR="004515FC" w:rsidRDefault="004515FC" w:rsidP="004515FC">
      <w:pPr>
        <w:pStyle w:val="FootnoteText"/>
      </w:pPr>
      <w:r>
        <w:rPr>
          <w:rStyle w:val="FootnoteReference0"/>
        </w:rPr>
        <w:footnoteRef/>
      </w:r>
      <w:r>
        <w:tab/>
        <w:t>Países candidatos e, se aplicável, países candidatos potenciais dos Balcãs Ocidentais.</w:t>
      </w:r>
    </w:p>
  </w:footnote>
  <w:footnote w:id="44">
    <w:p w14:paraId="711FED68" w14:textId="77777777" w:rsidR="004515FC" w:rsidRPr="001A68DA" w:rsidRDefault="004515FC" w:rsidP="004515FC">
      <w:pPr>
        <w:pStyle w:val="FootnoteText"/>
        <w:rPr>
          <w:sz w:val="18"/>
        </w:rPr>
      </w:pPr>
      <w:r>
        <w:rPr>
          <w:rStyle w:val="FootnoteReference0"/>
        </w:rPr>
        <w:footnoteRef/>
      </w:r>
      <w:r>
        <w:tab/>
      </w:r>
      <w:r>
        <w:rPr>
          <w:sz w:val="18"/>
        </w:rPr>
        <w:t>O ano N é o do início da aplicação da proposta / iniciativa. Substituir «N» pelo primeiro ano de aplicação previsto (por exemplo: 2021). Proceder do mesmo modo relativamente aos anos seguintes.</w:t>
      </w:r>
    </w:p>
  </w:footnote>
  <w:footnote w:id="45">
    <w:p w14:paraId="70E39415" w14:textId="77777777" w:rsidR="004515FC" w:rsidRPr="001A68DA" w:rsidRDefault="004515FC" w:rsidP="004515FC">
      <w:pPr>
        <w:pStyle w:val="FootnoteText"/>
        <w:rPr>
          <w:sz w:val="18"/>
        </w:rPr>
      </w:pPr>
      <w:r>
        <w:rPr>
          <w:rStyle w:val="FootnoteReference0"/>
        </w:rPr>
        <w:footnoteRef/>
      </w:r>
      <w:r>
        <w:tab/>
      </w:r>
      <w:r>
        <w:rPr>
          <w:sz w:val="18"/>
        </w:rPr>
        <w:t>De acordo com a nomenclatura orçamental oficial.</w:t>
      </w:r>
    </w:p>
  </w:footnote>
  <w:footnote w:id="46">
    <w:p w14:paraId="65B4D9A5" w14:textId="77777777" w:rsidR="004515FC" w:rsidRDefault="004515FC" w:rsidP="004515FC">
      <w:pPr>
        <w:pStyle w:val="FootnoteText"/>
      </w:pPr>
      <w:r>
        <w:rPr>
          <w:rStyle w:val="FootnoteReference0"/>
        </w:rPr>
        <w:footnoteRef/>
      </w:r>
      <w:r>
        <w:tab/>
      </w:r>
      <w:r>
        <w:rPr>
          <w:sz w:val="18"/>
        </w:rPr>
        <w:t>Assistência técnica e/ou administrativa e despesas de apoio à execução de programas e/ou ações da UE (antigas rubricas «BA»), bem como investigação direta e indireta.</w:t>
      </w:r>
    </w:p>
  </w:footnote>
  <w:footnote w:id="47">
    <w:p w14:paraId="660E7E0F" w14:textId="77777777" w:rsidR="004515FC" w:rsidRPr="0058268D" w:rsidRDefault="004515FC" w:rsidP="004515FC">
      <w:pPr>
        <w:pStyle w:val="FootnoteText"/>
        <w:rPr>
          <w:sz w:val="18"/>
        </w:rPr>
      </w:pPr>
      <w:r>
        <w:rPr>
          <w:rStyle w:val="FootnoteReference0"/>
        </w:rPr>
        <w:footnoteRef/>
      </w:r>
      <w:r>
        <w:tab/>
      </w:r>
      <w:r>
        <w:rPr>
          <w:sz w:val="18"/>
        </w:rPr>
        <w:t>As futuras implicações financeiras desta iniciativa para os anos posteriores a 2027 não prejudicam o QFP após 2027.</w:t>
      </w:r>
    </w:p>
  </w:footnote>
  <w:footnote w:id="48">
    <w:p w14:paraId="5506ED99" w14:textId="77777777" w:rsidR="004515FC" w:rsidRDefault="004515FC" w:rsidP="004515FC">
      <w:pPr>
        <w:pStyle w:val="FootnoteText"/>
      </w:pPr>
      <w:r>
        <w:rPr>
          <w:rStyle w:val="FootnoteReference0"/>
        </w:rPr>
        <w:footnoteRef/>
      </w:r>
      <w:r>
        <w:tab/>
        <w:t>As realizações dizem respeito aos produtos fornecidos e serviços prestados (exemplo: número de intercâmbios de estudantes financiados, número de quilómetros de estradas construídas, etc.).</w:t>
      </w:r>
    </w:p>
  </w:footnote>
  <w:footnote w:id="49">
    <w:p w14:paraId="05D5F2DB" w14:textId="77777777" w:rsidR="004515FC" w:rsidRDefault="004515FC" w:rsidP="004515FC">
      <w:pPr>
        <w:pStyle w:val="FootnoteText"/>
      </w:pPr>
      <w:r>
        <w:rPr>
          <w:rStyle w:val="FootnoteReference0"/>
        </w:rPr>
        <w:footnoteRef/>
      </w:r>
      <w:r>
        <w:tab/>
        <w:t xml:space="preserve">Tal como descrito no ponto 1.4.2. «Objetivo(s) específico(s)…» </w:t>
      </w:r>
    </w:p>
  </w:footnote>
  <w:footnote w:id="50">
    <w:p w14:paraId="7BD28117" w14:textId="77777777" w:rsidR="004515FC" w:rsidRDefault="004515FC" w:rsidP="004515FC">
      <w:pPr>
        <w:pStyle w:val="FootnoteText"/>
      </w:pPr>
      <w:r>
        <w:rPr>
          <w:rStyle w:val="FootnoteReference0"/>
        </w:rPr>
        <w:footnoteRef/>
      </w:r>
      <w:r>
        <w:tab/>
      </w:r>
      <w:r>
        <w:rPr>
          <w:sz w:val="18"/>
        </w:rPr>
        <w:t>Assistência técnica e/ou administrativa e despesas de apoio à execução de programas e/ou ações da UE (antigas rubricas «BA»), bem como investigação direta e indireta.</w:t>
      </w:r>
    </w:p>
  </w:footnote>
  <w:footnote w:id="51">
    <w:p w14:paraId="55AF3EC6" w14:textId="77777777" w:rsidR="004515FC" w:rsidRDefault="004515FC" w:rsidP="004515FC">
      <w:pPr>
        <w:pStyle w:val="FootnoteText"/>
      </w:pPr>
      <w:r>
        <w:rPr>
          <w:rStyle w:val="FootnoteReference0"/>
        </w:rPr>
        <w:footnoteRef/>
      </w:r>
      <w:r>
        <w:tab/>
        <w:t>Sublimite para o pessoal externo coberto pelas dotações operacionais (antigas rubricas «BA»).</w:t>
      </w:r>
    </w:p>
  </w:footnote>
  <w:footnote w:id="52">
    <w:p w14:paraId="3F080FAA" w14:textId="77777777" w:rsidR="004515FC" w:rsidRDefault="004515FC" w:rsidP="004515FC">
      <w:pPr>
        <w:pStyle w:val="FootnoteText"/>
      </w:pPr>
      <w:r>
        <w:rPr>
          <w:rStyle w:val="FootnoteReference0"/>
        </w:rPr>
        <w:footnoteRef/>
      </w:r>
      <w:r>
        <w:tab/>
        <w:t>O ano N é o do início da aplicação da proposta / iniciativa. Substituir «N» pelo primeiro ano de aplicação previsto (por exemplo: 2021). Proceder do mesmo modo relativamente aos anos seguintes.</w:t>
      </w:r>
    </w:p>
  </w:footnote>
  <w:footnote w:id="53">
    <w:p w14:paraId="334DCF84" w14:textId="77777777" w:rsidR="004515FC" w:rsidRDefault="004515FC" w:rsidP="004515FC">
      <w:pPr>
        <w:pStyle w:val="FootnoteText"/>
      </w:pPr>
      <w:r>
        <w:rPr>
          <w:rStyle w:val="FootnoteReference0"/>
        </w:rPr>
        <w:footnoteRef/>
      </w:r>
      <w:r>
        <w:tab/>
        <w:t>No que diz respeito aos recursos próprios tradicionais (direitos aduaneiros e quotizações sobre o açúcar), as quantias indicadas devem ser apresentadas em termos líquidos, isto é, quantias brutas após dedução de 20 % a título de despesas de cobrança.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FD65E" w14:textId="77777777" w:rsidR="007A1735" w:rsidRDefault="007A1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DEE6" w14:textId="77777777" w:rsidR="007A1735" w:rsidRDefault="007A1735" w:rsidP="007A17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6CF32" w14:textId="77777777" w:rsidR="007A1735" w:rsidRPr="007A1735" w:rsidRDefault="007A1735" w:rsidP="007A1735">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384DB" w14:textId="77777777" w:rsidR="007A1735" w:rsidRPr="007A1735" w:rsidRDefault="007A1735" w:rsidP="007A1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554E52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1822AD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E3E772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AC39E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2"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4"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20"/>
  </w:num>
  <w:num w:numId="11">
    <w:abstractNumId w:val="19"/>
  </w:num>
  <w:num w:numId="12">
    <w:abstractNumId w:val="28"/>
  </w:num>
  <w:num w:numId="13">
    <w:abstractNumId w:val="5"/>
  </w:num>
  <w:num w:numId="14">
    <w:abstractNumId w:val="13"/>
  </w:num>
  <w:num w:numId="15">
    <w:abstractNumId w:val="6"/>
  </w:num>
  <w:num w:numId="16">
    <w:abstractNumId w:val="14"/>
  </w:num>
  <w:num w:numId="17">
    <w:abstractNumId w:val="12"/>
  </w:num>
  <w:num w:numId="18">
    <w:abstractNumId w:val="2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num>
  <w:num w:numId="22">
    <w:abstractNumId w:val="29"/>
    <w:lvlOverride w:ilvl="0">
      <w:startOverride w:val="1"/>
    </w:lvlOverride>
  </w:num>
  <w:num w:numId="23">
    <w:abstractNumId w:val="25"/>
  </w:num>
  <w:num w:numId="24">
    <w:abstractNumId w:val="15"/>
  </w:num>
  <w:num w:numId="25">
    <w:abstractNumId w:val="27"/>
  </w:num>
  <w:num w:numId="26">
    <w:abstractNumId w:val="10"/>
  </w:num>
  <w:num w:numId="27">
    <w:abstractNumId w:val="16"/>
  </w:num>
  <w:num w:numId="28">
    <w:abstractNumId w:val="17"/>
  </w:num>
  <w:num w:numId="29">
    <w:abstractNumId w:val="8"/>
  </w:num>
  <w:num w:numId="30">
    <w:abstractNumId w:val="26"/>
  </w:num>
  <w:num w:numId="31">
    <w:abstractNumId w:val="7"/>
  </w:num>
  <w:num w:numId="32">
    <w:abstractNumId w:val="18"/>
  </w:num>
  <w:num w:numId="33">
    <w:abstractNumId w:val="23"/>
  </w:num>
  <w:num w:numId="34">
    <w:abstractNumId w:val="24"/>
  </w:num>
  <w:num w:numId="35">
    <w:abstractNumId w:val="9"/>
  </w:num>
  <w:num w:numId="36">
    <w:abstractNumId w:val="22"/>
  </w:num>
  <w:num w:numId="37">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4-01-17 23:15:3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20C08F0-C179-439F-95AD-33163C1A5802"/>
    <w:docVar w:name="LW_COVERPAGE_TYPE" w:val="1"/>
    <w:docVar w:name="LW_CROSSREFERENCE" w:val="{SEC(2023) 930 final} - {SWD(2023) 940 final} - {SWD(2023) 941 final} - {SWD(2023) 942 final}"/>
    <w:docVar w:name="LW_DocType" w:val="COM"/>
    <w:docVar w:name="LW_EMISSION" w:val="6.12.2023"/>
    <w:docVar w:name="LW_EMISSION_ISODATE" w:val="2023-12-06"/>
    <w:docVar w:name="LW_EMISSION_LOCATION" w:val="BRX"/>
    <w:docVar w:name="LW_EMISSION_PREFIX" w:val="Bruxelas, "/>
    <w:docVar w:name="LW_EMISSION_SUFFIX" w:val=" "/>
    <w:docVar w:name="LW_ID_DOCMODEL" w:val="SJ-017"/>
    <w:docVar w:name="LW_ID_DOCSIGNATURE" w:val="SJ-017"/>
    <w:docVar w:name="LW_ID_DOCSTRUCTURE" w:val="COM/PL/ORG"/>
    <w:docVar w:name="LW_ID_DOCTYPE" w:val="SJ-017"/>
    <w:docVar w:name="LW_ID_STATUT" w:val="SJ-017"/>
    <w:docVar w:name="LW_INSERT_EXP.MOTIFS.NEW" w:val="1"/>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NS"/>
    <w:docVar w:name="LW_REF.II.NEW.CP_NUMBER" w:val="0441"/>
    <w:docVar w:name="LW_REF.II.NEW.CP_YEAR" w:val="2023"/>
    <w:docVar w:name="LW_REF.INST.NEW" w:val="COM"/>
    <w:docVar w:name="LW_REF.INST.NEW_ADOPTED" w:val="final"/>
    <w:docVar w:name="LW_REF.INST.NEW_TEXT" w:val="(2023) 93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que altera a Diretiva (UE) 2015/637 relativa a medidas de coordenação e cooperação para facilitar a proteção consular dos cidadãos da União não representados em países terceiros e a Diretiva (UE) 2019/997 que cria um título de viagem provisório da UE"/>
    <w:docVar w:name="LW_TYPE.DOC.CP" w:val="DIRETIVA DO CONSELHO"/>
    <w:docVar w:name="LwApiVersions" w:val="LW4CoDe 1.24.4.0; LW 9.0, Build 20240109"/>
  </w:docVars>
  <w:rsids>
    <w:rsidRoot w:val="00304682"/>
    <w:rsid w:val="00000343"/>
    <w:rsid w:val="00000899"/>
    <w:rsid w:val="00001F82"/>
    <w:rsid w:val="00002227"/>
    <w:rsid w:val="0000318D"/>
    <w:rsid w:val="000032F9"/>
    <w:rsid w:val="000042FC"/>
    <w:rsid w:val="0000431A"/>
    <w:rsid w:val="00006515"/>
    <w:rsid w:val="00006E2C"/>
    <w:rsid w:val="00007417"/>
    <w:rsid w:val="000074C4"/>
    <w:rsid w:val="00007503"/>
    <w:rsid w:val="000101AA"/>
    <w:rsid w:val="0001141D"/>
    <w:rsid w:val="00011F86"/>
    <w:rsid w:val="00013072"/>
    <w:rsid w:val="00013E77"/>
    <w:rsid w:val="00014C91"/>
    <w:rsid w:val="00014DB3"/>
    <w:rsid w:val="00015392"/>
    <w:rsid w:val="00015400"/>
    <w:rsid w:val="00016113"/>
    <w:rsid w:val="000162F0"/>
    <w:rsid w:val="00017137"/>
    <w:rsid w:val="0002093B"/>
    <w:rsid w:val="00020D4E"/>
    <w:rsid w:val="00021B16"/>
    <w:rsid w:val="00022AF9"/>
    <w:rsid w:val="000238AA"/>
    <w:rsid w:val="000248B4"/>
    <w:rsid w:val="000256FF"/>
    <w:rsid w:val="00025FC2"/>
    <w:rsid w:val="000266CF"/>
    <w:rsid w:val="00026C2D"/>
    <w:rsid w:val="00026F16"/>
    <w:rsid w:val="00027847"/>
    <w:rsid w:val="000325A5"/>
    <w:rsid w:val="00032B67"/>
    <w:rsid w:val="00032D86"/>
    <w:rsid w:val="00033669"/>
    <w:rsid w:val="000336DE"/>
    <w:rsid w:val="000343B1"/>
    <w:rsid w:val="0003493F"/>
    <w:rsid w:val="00034B75"/>
    <w:rsid w:val="00035988"/>
    <w:rsid w:val="00036051"/>
    <w:rsid w:val="000368EE"/>
    <w:rsid w:val="00036D49"/>
    <w:rsid w:val="00037034"/>
    <w:rsid w:val="00037296"/>
    <w:rsid w:val="000375B0"/>
    <w:rsid w:val="000375B7"/>
    <w:rsid w:val="00037834"/>
    <w:rsid w:val="00041A62"/>
    <w:rsid w:val="00041E78"/>
    <w:rsid w:val="0004204B"/>
    <w:rsid w:val="000423B1"/>
    <w:rsid w:val="0004382B"/>
    <w:rsid w:val="00044A4F"/>
    <w:rsid w:val="0004541E"/>
    <w:rsid w:val="00045A99"/>
    <w:rsid w:val="00045BBF"/>
    <w:rsid w:val="00045D72"/>
    <w:rsid w:val="00046B1A"/>
    <w:rsid w:val="00047193"/>
    <w:rsid w:val="00047576"/>
    <w:rsid w:val="0005066C"/>
    <w:rsid w:val="000543E8"/>
    <w:rsid w:val="000555EC"/>
    <w:rsid w:val="0005597F"/>
    <w:rsid w:val="00055E73"/>
    <w:rsid w:val="00056AA9"/>
    <w:rsid w:val="00056ED6"/>
    <w:rsid w:val="000575A6"/>
    <w:rsid w:val="00057CCC"/>
    <w:rsid w:val="000611DE"/>
    <w:rsid w:val="00061C04"/>
    <w:rsid w:val="000621C0"/>
    <w:rsid w:val="00062F10"/>
    <w:rsid w:val="0006305E"/>
    <w:rsid w:val="0006318D"/>
    <w:rsid w:val="00063428"/>
    <w:rsid w:val="000639AE"/>
    <w:rsid w:val="000642BB"/>
    <w:rsid w:val="0006518F"/>
    <w:rsid w:val="0006587B"/>
    <w:rsid w:val="00065D97"/>
    <w:rsid w:val="00067396"/>
    <w:rsid w:val="00067511"/>
    <w:rsid w:val="00067A15"/>
    <w:rsid w:val="0007003E"/>
    <w:rsid w:val="0007020B"/>
    <w:rsid w:val="00070790"/>
    <w:rsid w:val="00070A9E"/>
    <w:rsid w:val="00070B50"/>
    <w:rsid w:val="000712E7"/>
    <w:rsid w:val="00073C89"/>
    <w:rsid w:val="0007401F"/>
    <w:rsid w:val="00074DB7"/>
    <w:rsid w:val="00075268"/>
    <w:rsid w:val="00076695"/>
    <w:rsid w:val="00076998"/>
    <w:rsid w:val="00077250"/>
    <w:rsid w:val="0007780B"/>
    <w:rsid w:val="00080128"/>
    <w:rsid w:val="00080762"/>
    <w:rsid w:val="00082881"/>
    <w:rsid w:val="00083A53"/>
    <w:rsid w:val="000846AD"/>
    <w:rsid w:val="00086412"/>
    <w:rsid w:val="00086700"/>
    <w:rsid w:val="00087922"/>
    <w:rsid w:val="000906DB"/>
    <w:rsid w:val="00090C54"/>
    <w:rsid w:val="00093059"/>
    <w:rsid w:val="0009439B"/>
    <w:rsid w:val="000949C1"/>
    <w:rsid w:val="00096159"/>
    <w:rsid w:val="000964EE"/>
    <w:rsid w:val="000A0D91"/>
    <w:rsid w:val="000A2187"/>
    <w:rsid w:val="000A33C1"/>
    <w:rsid w:val="000A455A"/>
    <w:rsid w:val="000A49B5"/>
    <w:rsid w:val="000A5990"/>
    <w:rsid w:val="000A5E41"/>
    <w:rsid w:val="000A6714"/>
    <w:rsid w:val="000A6939"/>
    <w:rsid w:val="000A6E9C"/>
    <w:rsid w:val="000A77EE"/>
    <w:rsid w:val="000B004E"/>
    <w:rsid w:val="000B0A90"/>
    <w:rsid w:val="000B1778"/>
    <w:rsid w:val="000B1F37"/>
    <w:rsid w:val="000B2B48"/>
    <w:rsid w:val="000B414D"/>
    <w:rsid w:val="000B4335"/>
    <w:rsid w:val="000B4DAC"/>
    <w:rsid w:val="000B510C"/>
    <w:rsid w:val="000B5608"/>
    <w:rsid w:val="000B5B9C"/>
    <w:rsid w:val="000B654D"/>
    <w:rsid w:val="000B704A"/>
    <w:rsid w:val="000B7065"/>
    <w:rsid w:val="000B741C"/>
    <w:rsid w:val="000B7460"/>
    <w:rsid w:val="000B7D8C"/>
    <w:rsid w:val="000C01EE"/>
    <w:rsid w:val="000C0306"/>
    <w:rsid w:val="000C078F"/>
    <w:rsid w:val="000C1436"/>
    <w:rsid w:val="000C3AAD"/>
    <w:rsid w:val="000C47B4"/>
    <w:rsid w:val="000C4F13"/>
    <w:rsid w:val="000C4F48"/>
    <w:rsid w:val="000C550E"/>
    <w:rsid w:val="000C74A0"/>
    <w:rsid w:val="000C7BAC"/>
    <w:rsid w:val="000C7E6F"/>
    <w:rsid w:val="000D1E36"/>
    <w:rsid w:val="000D2094"/>
    <w:rsid w:val="000D2657"/>
    <w:rsid w:val="000D2956"/>
    <w:rsid w:val="000D3809"/>
    <w:rsid w:val="000D3AEA"/>
    <w:rsid w:val="000D5131"/>
    <w:rsid w:val="000D6D61"/>
    <w:rsid w:val="000D75DE"/>
    <w:rsid w:val="000D7655"/>
    <w:rsid w:val="000D76C3"/>
    <w:rsid w:val="000D7C7D"/>
    <w:rsid w:val="000E2D9B"/>
    <w:rsid w:val="000E36DC"/>
    <w:rsid w:val="000E3BB1"/>
    <w:rsid w:val="000E4BD9"/>
    <w:rsid w:val="000E7078"/>
    <w:rsid w:val="000E75BA"/>
    <w:rsid w:val="000E760E"/>
    <w:rsid w:val="000E7665"/>
    <w:rsid w:val="000F20B7"/>
    <w:rsid w:val="000F380A"/>
    <w:rsid w:val="000F3EAD"/>
    <w:rsid w:val="000F443F"/>
    <w:rsid w:val="000F7D0D"/>
    <w:rsid w:val="0010024E"/>
    <w:rsid w:val="001012F9"/>
    <w:rsid w:val="00101399"/>
    <w:rsid w:val="0010158C"/>
    <w:rsid w:val="00102322"/>
    <w:rsid w:val="00102B23"/>
    <w:rsid w:val="00102C5F"/>
    <w:rsid w:val="00104EA1"/>
    <w:rsid w:val="0010566E"/>
    <w:rsid w:val="001056AF"/>
    <w:rsid w:val="00105C7A"/>
    <w:rsid w:val="001065F5"/>
    <w:rsid w:val="001068AC"/>
    <w:rsid w:val="00106FCC"/>
    <w:rsid w:val="00107544"/>
    <w:rsid w:val="00107ACA"/>
    <w:rsid w:val="00108063"/>
    <w:rsid w:val="001111E7"/>
    <w:rsid w:val="0011129E"/>
    <w:rsid w:val="001116D0"/>
    <w:rsid w:val="001131EC"/>
    <w:rsid w:val="001135C7"/>
    <w:rsid w:val="00114815"/>
    <w:rsid w:val="00114A90"/>
    <w:rsid w:val="00114D44"/>
    <w:rsid w:val="0011541A"/>
    <w:rsid w:val="001173E6"/>
    <w:rsid w:val="00120632"/>
    <w:rsid w:val="00120DF3"/>
    <w:rsid w:val="00121044"/>
    <w:rsid w:val="00121244"/>
    <w:rsid w:val="00122010"/>
    <w:rsid w:val="00122454"/>
    <w:rsid w:val="00122A28"/>
    <w:rsid w:val="001238EF"/>
    <w:rsid w:val="00124A27"/>
    <w:rsid w:val="00125625"/>
    <w:rsid w:val="0012564F"/>
    <w:rsid w:val="00127D10"/>
    <w:rsid w:val="001324B5"/>
    <w:rsid w:val="00134147"/>
    <w:rsid w:val="001347B5"/>
    <w:rsid w:val="00134D92"/>
    <w:rsid w:val="0013690D"/>
    <w:rsid w:val="00136CF0"/>
    <w:rsid w:val="00137907"/>
    <w:rsid w:val="00137BE8"/>
    <w:rsid w:val="00140448"/>
    <w:rsid w:val="00141EC8"/>
    <w:rsid w:val="00142EA6"/>
    <w:rsid w:val="00143818"/>
    <w:rsid w:val="00143D70"/>
    <w:rsid w:val="00144701"/>
    <w:rsid w:val="001465C4"/>
    <w:rsid w:val="001474F2"/>
    <w:rsid w:val="001476A6"/>
    <w:rsid w:val="0014799F"/>
    <w:rsid w:val="00147B8C"/>
    <w:rsid w:val="001508F4"/>
    <w:rsid w:val="001509F4"/>
    <w:rsid w:val="00150B33"/>
    <w:rsid w:val="00150F29"/>
    <w:rsid w:val="0015154B"/>
    <w:rsid w:val="00151B44"/>
    <w:rsid w:val="0015259E"/>
    <w:rsid w:val="00153985"/>
    <w:rsid w:val="00153C5C"/>
    <w:rsid w:val="001544B0"/>
    <w:rsid w:val="00155058"/>
    <w:rsid w:val="00155527"/>
    <w:rsid w:val="00155823"/>
    <w:rsid w:val="00160A6F"/>
    <w:rsid w:val="0016197D"/>
    <w:rsid w:val="00161C52"/>
    <w:rsid w:val="00162A93"/>
    <w:rsid w:val="001632EC"/>
    <w:rsid w:val="001635A3"/>
    <w:rsid w:val="00164513"/>
    <w:rsid w:val="001645B6"/>
    <w:rsid w:val="00164904"/>
    <w:rsid w:val="00165069"/>
    <w:rsid w:val="00165E8A"/>
    <w:rsid w:val="001660B2"/>
    <w:rsid w:val="00167524"/>
    <w:rsid w:val="00167BD0"/>
    <w:rsid w:val="00167F34"/>
    <w:rsid w:val="0017010D"/>
    <w:rsid w:val="00170357"/>
    <w:rsid w:val="00170A52"/>
    <w:rsid w:val="0017188F"/>
    <w:rsid w:val="00174109"/>
    <w:rsid w:val="00174542"/>
    <w:rsid w:val="00175E9C"/>
    <w:rsid w:val="00176EE7"/>
    <w:rsid w:val="0018060C"/>
    <w:rsid w:val="001806D9"/>
    <w:rsid w:val="0018084E"/>
    <w:rsid w:val="001809F0"/>
    <w:rsid w:val="00180EEF"/>
    <w:rsid w:val="00181FA9"/>
    <w:rsid w:val="001826B5"/>
    <w:rsid w:val="00182830"/>
    <w:rsid w:val="001831D5"/>
    <w:rsid w:val="001831F6"/>
    <w:rsid w:val="00184B24"/>
    <w:rsid w:val="00185188"/>
    <w:rsid w:val="00185925"/>
    <w:rsid w:val="00185EAA"/>
    <w:rsid w:val="001863A8"/>
    <w:rsid w:val="0018717A"/>
    <w:rsid w:val="001923C2"/>
    <w:rsid w:val="00192403"/>
    <w:rsid w:val="001944CB"/>
    <w:rsid w:val="0019500F"/>
    <w:rsid w:val="001950C1"/>
    <w:rsid w:val="001958FE"/>
    <w:rsid w:val="00197613"/>
    <w:rsid w:val="00197657"/>
    <w:rsid w:val="001979B8"/>
    <w:rsid w:val="00197FBE"/>
    <w:rsid w:val="001A0392"/>
    <w:rsid w:val="001A07A5"/>
    <w:rsid w:val="001A12C5"/>
    <w:rsid w:val="001A1499"/>
    <w:rsid w:val="001A14C2"/>
    <w:rsid w:val="001A1700"/>
    <w:rsid w:val="001A1AB4"/>
    <w:rsid w:val="001A240B"/>
    <w:rsid w:val="001A3420"/>
    <w:rsid w:val="001A3579"/>
    <w:rsid w:val="001A3B6D"/>
    <w:rsid w:val="001A5D9D"/>
    <w:rsid w:val="001A6449"/>
    <w:rsid w:val="001B04D1"/>
    <w:rsid w:val="001B11D6"/>
    <w:rsid w:val="001B25B6"/>
    <w:rsid w:val="001B3455"/>
    <w:rsid w:val="001B606A"/>
    <w:rsid w:val="001B6198"/>
    <w:rsid w:val="001B627D"/>
    <w:rsid w:val="001B6B2C"/>
    <w:rsid w:val="001B7F4B"/>
    <w:rsid w:val="001B7F8F"/>
    <w:rsid w:val="001C016B"/>
    <w:rsid w:val="001C02CB"/>
    <w:rsid w:val="001C04F2"/>
    <w:rsid w:val="001C38BF"/>
    <w:rsid w:val="001C4EC6"/>
    <w:rsid w:val="001C5FE1"/>
    <w:rsid w:val="001C6337"/>
    <w:rsid w:val="001C7246"/>
    <w:rsid w:val="001C7B8B"/>
    <w:rsid w:val="001D020E"/>
    <w:rsid w:val="001D049E"/>
    <w:rsid w:val="001D1B5D"/>
    <w:rsid w:val="001D1F5C"/>
    <w:rsid w:val="001D2176"/>
    <w:rsid w:val="001D570D"/>
    <w:rsid w:val="001D614D"/>
    <w:rsid w:val="001D622C"/>
    <w:rsid w:val="001D7EF3"/>
    <w:rsid w:val="001E017C"/>
    <w:rsid w:val="001E0744"/>
    <w:rsid w:val="001E0CE5"/>
    <w:rsid w:val="001E293A"/>
    <w:rsid w:val="001E346C"/>
    <w:rsid w:val="001E44F6"/>
    <w:rsid w:val="001E4E4F"/>
    <w:rsid w:val="001E62D4"/>
    <w:rsid w:val="001F0985"/>
    <w:rsid w:val="001F1904"/>
    <w:rsid w:val="001F25CB"/>
    <w:rsid w:val="001F2FF3"/>
    <w:rsid w:val="001F3188"/>
    <w:rsid w:val="001F3B0D"/>
    <w:rsid w:val="001F42B4"/>
    <w:rsid w:val="001F5285"/>
    <w:rsid w:val="001F585E"/>
    <w:rsid w:val="001F6B8A"/>
    <w:rsid w:val="001F6E33"/>
    <w:rsid w:val="001F738A"/>
    <w:rsid w:val="0020001A"/>
    <w:rsid w:val="002012A1"/>
    <w:rsid w:val="0020148E"/>
    <w:rsid w:val="002016EA"/>
    <w:rsid w:val="00203193"/>
    <w:rsid w:val="0020417F"/>
    <w:rsid w:val="002050AA"/>
    <w:rsid w:val="00205442"/>
    <w:rsid w:val="002064C1"/>
    <w:rsid w:val="00206FAF"/>
    <w:rsid w:val="0021013E"/>
    <w:rsid w:val="00210398"/>
    <w:rsid w:val="002109E6"/>
    <w:rsid w:val="002112E0"/>
    <w:rsid w:val="00211484"/>
    <w:rsid w:val="00211A23"/>
    <w:rsid w:val="00211A63"/>
    <w:rsid w:val="00211A7C"/>
    <w:rsid w:val="0021211C"/>
    <w:rsid w:val="002136B3"/>
    <w:rsid w:val="00214394"/>
    <w:rsid w:val="00214722"/>
    <w:rsid w:val="00214E0F"/>
    <w:rsid w:val="00215C58"/>
    <w:rsid w:val="00216FA7"/>
    <w:rsid w:val="00217FFA"/>
    <w:rsid w:val="00221292"/>
    <w:rsid w:val="002218F4"/>
    <w:rsid w:val="0022293B"/>
    <w:rsid w:val="00223B2A"/>
    <w:rsid w:val="00224195"/>
    <w:rsid w:val="00224625"/>
    <w:rsid w:val="00225147"/>
    <w:rsid w:val="00225215"/>
    <w:rsid w:val="002274B2"/>
    <w:rsid w:val="002312CF"/>
    <w:rsid w:val="00231D8C"/>
    <w:rsid w:val="002323BC"/>
    <w:rsid w:val="00232B91"/>
    <w:rsid w:val="00233684"/>
    <w:rsid w:val="00233DC7"/>
    <w:rsid w:val="002349E1"/>
    <w:rsid w:val="00234C36"/>
    <w:rsid w:val="0023533D"/>
    <w:rsid w:val="0023543B"/>
    <w:rsid w:val="00235D3F"/>
    <w:rsid w:val="002373EE"/>
    <w:rsid w:val="00237B85"/>
    <w:rsid w:val="002400B2"/>
    <w:rsid w:val="0024148F"/>
    <w:rsid w:val="002416C2"/>
    <w:rsid w:val="002419E8"/>
    <w:rsid w:val="002425E3"/>
    <w:rsid w:val="002425FC"/>
    <w:rsid w:val="00243905"/>
    <w:rsid w:val="00244BCC"/>
    <w:rsid w:val="002452E5"/>
    <w:rsid w:val="00245384"/>
    <w:rsid w:val="00245D1F"/>
    <w:rsid w:val="002460C2"/>
    <w:rsid w:val="0024624A"/>
    <w:rsid w:val="0024654A"/>
    <w:rsid w:val="00247055"/>
    <w:rsid w:val="00247779"/>
    <w:rsid w:val="00247B79"/>
    <w:rsid w:val="00247C72"/>
    <w:rsid w:val="0025120F"/>
    <w:rsid w:val="0025155E"/>
    <w:rsid w:val="00251A6E"/>
    <w:rsid w:val="00252E1E"/>
    <w:rsid w:val="002531B1"/>
    <w:rsid w:val="00253AD8"/>
    <w:rsid w:val="002541EC"/>
    <w:rsid w:val="0025438E"/>
    <w:rsid w:val="00254923"/>
    <w:rsid w:val="0025600F"/>
    <w:rsid w:val="002564BB"/>
    <w:rsid w:val="00256641"/>
    <w:rsid w:val="00256903"/>
    <w:rsid w:val="00260643"/>
    <w:rsid w:val="002616A5"/>
    <w:rsid w:val="00261E45"/>
    <w:rsid w:val="00261EFC"/>
    <w:rsid w:val="00262674"/>
    <w:rsid w:val="0026292D"/>
    <w:rsid w:val="00263064"/>
    <w:rsid w:val="0026346F"/>
    <w:rsid w:val="00263C08"/>
    <w:rsid w:val="0026528B"/>
    <w:rsid w:val="002653B6"/>
    <w:rsid w:val="00265B64"/>
    <w:rsid w:val="00267566"/>
    <w:rsid w:val="0026781A"/>
    <w:rsid w:val="00270263"/>
    <w:rsid w:val="002707EC"/>
    <w:rsid w:val="002708D3"/>
    <w:rsid w:val="002710FB"/>
    <w:rsid w:val="00271FE7"/>
    <w:rsid w:val="0027336E"/>
    <w:rsid w:val="002735D2"/>
    <w:rsid w:val="00273CFE"/>
    <w:rsid w:val="002752F0"/>
    <w:rsid w:val="00275DE6"/>
    <w:rsid w:val="00275E72"/>
    <w:rsid w:val="00276800"/>
    <w:rsid w:val="00276CDB"/>
    <w:rsid w:val="0027739B"/>
    <w:rsid w:val="00280DFE"/>
    <w:rsid w:val="002815FF"/>
    <w:rsid w:val="00281FDD"/>
    <w:rsid w:val="00282B53"/>
    <w:rsid w:val="0028520A"/>
    <w:rsid w:val="002858D6"/>
    <w:rsid w:val="00285BEE"/>
    <w:rsid w:val="00285E9B"/>
    <w:rsid w:val="00285F5E"/>
    <w:rsid w:val="002872FB"/>
    <w:rsid w:val="0028789A"/>
    <w:rsid w:val="002902B0"/>
    <w:rsid w:val="0029075F"/>
    <w:rsid w:val="00290DC1"/>
    <w:rsid w:val="00290DC8"/>
    <w:rsid w:val="00291112"/>
    <w:rsid w:val="0029161D"/>
    <w:rsid w:val="00291B69"/>
    <w:rsid w:val="002922E2"/>
    <w:rsid w:val="00292381"/>
    <w:rsid w:val="002923CD"/>
    <w:rsid w:val="00292B29"/>
    <w:rsid w:val="002930B0"/>
    <w:rsid w:val="00293159"/>
    <w:rsid w:val="00293F17"/>
    <w:rsid w:val="0029484E"/>
    <w:rsid w:val="00294ECB"/>
    <w:rsid w:val="0029533F"/>
    <w:rsid w:val="0029546D"/>
    <w:rsid w:val="002958E9"/>
    <w:rsid w:val="00297114"/>
    <w:rsid w:val="002976A8"/>
    <w:rsid w:val="00297FBB"/>
    <w:rsid w:val="002A00FA"/>
    <w:rsid w:val="002A0366"/>
    <w:rsid w:val="002A0D1E"/>
    <w:rsid w:val="002A1A3B"/>
    <w:rsid w:val="002A1DE9"/>
    <w:rsid w:val="002A1F6D"/>
    <w:rsid w:val="002A2B2C"/>
    <w:rsid w:val="002A30C7"/>
    <w:rsid w:val="002A33A3"/>
    <w:rsid w:val="002A520A"/>
    <w:rsid w:val="002A526D"/>
    <w:rsid w:val="002A529A"/>
    <w:rsid w:val="002A596A"/>
    <w:rsid w:val="002A5B15"/>
    <w:rsid w:val="002B0217"/>
    <w:rsid w:val="002B16E7"/>
    <w:rsid w:val="002B1B6B"/>
    <w:rsid w:val="002B2440"/>
    <w:rsid w:val="002B30AF"/>
    <w:rsid w:val="002B5404"/>
    <w:rsid w:val="002B6357"/>
    <w:rsid w:val="002B6CCE"/>
    <w:rsid w:val="002B73CA"/>
    <w:rsid w:val="002C04A0"/>
    <w:rsid w:val="002C064E"/>
    <w:rsid w:val="002C0DE8"/>
    <w:rsid w:val="002C51B6"/>
    <w:rsid w:val="002C6CBC"/>
    <w:rsid w:val="002C7138"/>
    <w:rsid w:val="002C72BE"/>
    <w:rsid w:val="002D09EF"/>
    <w:rsid w:val="002D12E7"/>
    <w:rsid w:val="002D1A62"/>
    <w:rsid w:val="002D1C75"/>
    <w:rsid w:val="002D1F4B"/>
    <w:rsid w:val="002D2D2B"/>
    <w:rsid w:val="002D3760"/>
    <w:rsid w:val="002D4450"/>
    <w:rsid w:val="002D50E6"/>
    <w:rsid w:val="002D59DF"/>
    <w:rsid w:val="002D5ABF"/>
    <w:rsid w:val="002D610D"/>
    <w:rsid w:val="002D6706"/>
    <w:rsid w:val="002D6E92"/>
    <w:rsid w:val="002D703F"/>
    <w:rsid w:val="002E0A92"/>
    <w:rsid w:val="002E1B1E"/>
    <w:rsid w:val="002E22DE"/>
    <w:rsid w:val="002E3826"/>
    <w:rsid w:val="002E66B3"/>
    <w:rsid w:val="002E76E8"/>
    <w:rsid w:val="002F01E9"/>
    <w:rsid w:val="002F0B57"/>
    <w:rsid w:val="002F0BC9"/>
    <w:rsid w:val="002F1D63"/>
    <w:rsid w:val="002F265A"/>
    <w:rsid w:val="002F3171"/>
    <w:rsid w:val="002F34F2"/>
    <w:rsid w:val="002F3EA9"/>
    <w:rsid w:val="002F4773"/>
    <w:rsid w:val="002F5643"/>
    <w:rsid w:val="002F5D25"/>
    <w:rsid w:val="002F6E87"/>
    <w:rsid w:val="002F757C"/>
    <w:rsid w:val="002F7A2C"/>
    <w:rsid w:val="003008B6"/>
    <w:rsid w:val="00300AA9"/>
    <w:rsid w:val="00301F7D"/>
    <w:rsid w:val="00302CC9"/>
    <w:rsid w:val="003035FF"/>
    <w:rsid w:val="00303A5E"/>
    <w:rsid w:val="00303AF9"/>
    <w:rsid w:val="00304103"/>
    <w:rsid w:val="00304682"/>
    <w:rsid w:val="00304AE2"/>
    <w:rsid w:val="00304E94"/>
    <w:rsid w:val="00305AE9"/>
    <w:rsid w:val="00305DB3"/>
    <w:rsid w:val="00305F9C"/>
    <w:rsid w:val="003064AA"/>
    <w:rsid w:val="00307288"/>
    <w:rsid w:val="0030744B"/>
    <w:rsid w:val="00307463"/>
    <w:rsid w:val="003074AB"/>
    <w:rsid w:val="0031032C"/>
    <w:rsid w:val="00310523"/>
    <w:rsid w:val="00310F64"/>
    <w:rsid w:val="00312922"/>
    <w:rsid w:val="0031331A"/>
    <w:rsid w:val="003133D2"/>
    <w:rsid w:val="003136D4"/>
    <w:rsid w:val="0031494E"/>
    <w:rsid w:val="0031650A"/>
    <w:rsid w:val="003170C8"/>
    <w:rsid w:val="00320A43"/>
    <w:rsid w:val="00320F9F"/>
    <w:rsid w:val="00320FFB"/>
    <w:rsid w:val="00321158"/>
    <w:rsid w:val="00321C4D"/>
    <w:rsid w:val="00321F25"/>
    <w:rsid w:val="00322159"/>
    <w:rsid w:val="00322E7F"/>
    <w:rsid w:val="00323997"/>
    <w:rsid w:val="00323F73"/>
    <w:rsid w:val="00324741"/>
    <w:rsid w:val="00324C84"/>
    <w:rsid w:val="00324CCD"/>
    <w:rsid w:val="0032532D"/>
    <w:rsid w:val="0032541F"/>
    <w:rsid w:val="0032626B"/>
    <w:rsid w:val="0032693D"/>
    <w:rsid w:val="00326B79"/>
    <w:rsid w:val="00326DAD"/>
    <w:rsid w:val="00326EAE"/>
    <w:rsid w:val="00326F47"/>
    <w:rsid w:val="003270FB"/>
    <w:rsid w:val="0032784F"/>
    <w:rsid w:val="003279D4"/>
    <w:rsid w:val="003279E5"/>
    <w:rsid w:val="00331A96"/>
    <w:rsid w:val="00331F4C"/>
    <w:rsid w:val="00332346"/>
    <w:rsid w:val="00332809"/>
    <w:rsid w:val="0033344A"/>
    <w:rsid w:val="00333941"/>
    <w:rsid w:val="00333DCA"/>
    <w:rsid w:val="00334693"/>
    <w:rsid w:val="0033493C"/>
    <w:rsid w:val="00335134"/>
    <w:rsid w:val="00336215"/>
    <w:rsid w:val="0033656F"/>
    <w:rsid w:val="003371BF"/>
    <w:rsid w:val="003374F0"/>
    <w:rsid w:val="0033766D"/>
    <w:rsid w:val="003379B1"/>
    <w:rsid w:val="003379DC"/>
    <w:rsid w:val="003408C0"/>
    <w:rsid w:val="00340CD7"/>
    <w:rsid w:val="00340DFF"/>
    <w:rsid w:val="00340E58"/>
    <w:rsid w:val="00341426"/>
    <w:rsid w:val="003417EE"/>
    <w:rsid w:val="00341822"/>
    <w:rsid w:val="00341CBC"/>
    <w:rsid w:val="00341FE4"/>
    <w:rsid w:val="003423E7"/>
    <w:rsid w:val="00342708"/>
    <w:rsid w:val="00342C6C"/>
    <w:rsid w:val="0034372F"/>
    <w:rsid w:val="00343A0C"/>
    <w:rsid w:val="00343FFE"/>
    <w:rsid w:val="0034549D"/>
    <w:rsid w:val="00345919"/>
    <w:rsid w:val="00345AAE"/>
    <w:rsid w:val="00345AC4"/>
    <w:rsid w:val="0034727D"/>
    <w:rsid w:val="00347BDE"/>
    <w:rsid w:val="0035070C"/>
    <w:rsid w:val="00350AC6"/>
    <w:rsid w:val="00350C0A"/>
    <w:rsid w:val="00350DCC"/>
    <w:rsid w:val="0035313B"/>
    <w:rsid w:val="003536E4"/>
    <w:rsid w:val="003540A9"/>
    <w:rsid w:val="003543A8"/>
    <w:rsid w:val="00354FEC"/>
    <w:rsid w:val="00356157"/>
    <w:rsid w:val="003561A6"/>
    <w:rsid w:val="0035666C"/>
    <w:rsid w:val="00356831"/>
    <w:rsid w:val="00357A6E"/>
    <w:rsid w:val="00357FA8"/>
    <w:rsid w:val="00360205"/>
    <w:rsid w:val="00360B70"/>
    <w:rsid w:val="003625BA"/>
    <w:rsid w:val="0036366C"/>
    <w:rsid w:val="00363A8F"/>
    <w:rsid w:val="00364057"/>
    <w:rsid w:val="003640AB"/>
    <w:rsid w:val="0036412B"/>
    <w:rsid w:val="003643D5"/>
    <w:rsid w:val="00365391"/>
    <w:rsid w:val="003653B5"/>
    <w:rsid w:val="003654EB"/>
    <w:rsid w:val="003655DB"/>
    <w:rsid w:val="00365B48"/>
    <w:rsid w:val="00366745"/>
    <w:rsid w:val="00366ACB"/>
    <w:rsid w:val="00367F77"/>
    <w:rsid w:val="003714EE"/>
    <w:rsid w:val="00372B01"/>
    <w:rsid w:val="00373FA0"/>
    <w:rsid w:val="00373FC3"/>
    <w:rsid w:val="00374B40"/>
    <w:rsid w:val="00374D8E"/>
    <w:rsid w:val="003754DC"/>
    <w:rsid w:val="00375D75"/>
    <w:rsid w:val="00375ED8"/>
    <w:rsid w:val="00376CA0"/>
    <w:rsid w:val="00376D77"/>
    <w:rsid w:val="003772F1"/>
    <w:rsid w:val="003774F6"/>
    <w:rsid w:val="00377FCF"/>
    <w:rsid w:val="00380337"/>
    <w:rsid w:val="003805DE"/>
    <w:rsid w:val="003810E5"/>
    <w:rsid w:val="00381986"/>
    <w:rsid w:val="00381E33"/>
    <w:rsid w:val="003831B1"/>
    <w:rsid w:val="0038328D"/>
    <w:rsid w:val="00383756"/>
    <w:rsid w:val="00384763"/>
    <w:rsid w:val="00386603"/>
    <w:rsid w:val="0038661C"/>
    <w:rsid w:val="003868AF"/>
    <w:rsid w:val="00386B62"/>
    <w:rsid w:val="00386C2A"/>
    <w:rsid w:val="00387651"/>
    <w:rsid w:val="00387769"/>
    <w:rsid w:val="00387BCD"/>
    <w:rsid w:val="00387C9B"/>
    <w:rsid w:val="0039063A"/>
    <w:rsid w:val="00391FD2"/>
    <w:rsid w:val="003922D0"/>
    <w:rsid w:val="003926B6"/>
    <w:rsid w:val="00392A25"/>
    <w:rsid w:val="00392DCB"/>
    <w:rsid w:val="003933D2"/>
    <w:rsid w:val="00393534"/>
    <w:rsid w:val="00393F3B"/>
    <w:rsid w:val="003956FA"/>
    <w:rsid w:val="00395ADB"/>
    <w:rsid w:val="00396076"/>
    <w:rsid w:val="0039660A"/>
    <w:rsid w:val="0039708B"/>
    <w:rsid w:val="003A0C05"/>
    <w:rsid w:val="003A1A87"/>
    <w:rsid w:val="003A1AA8"/>
    <w:rsid w:val="003A1E78"/>
    <w:rsid w:val="003A4B5B"/>
    <w:rsid w:val="003A5040"/>
    <w:rsid w:val="003A509B"/>
    <w:rsid w:val="003A65BE"/>
    <w:rsid w:val="003A70ED"/>
    <w:rsid w:val="003A7F52"/>
    <w:rsid w:val="003B0095"/>
    <w:rsid w:val="003B0D4F"/>
    <w:rsid w:val="003B217A"/>
    <w:rsid w:val="003B30E4"/>
    <w:rsid w:val="003B409E"/>
    <w:rsid w:val="003B5B49"/>
    <w:rsid w:val="003B623E"/>
    <w:rsid w:val="003B65D9"/>
    <w:rsid w:val="003B754E"/>
    <w:rsid w:val="003B7A17"/>
    <w:rsid w:val="003C0AE3"/>
    <w:rsid w:val="003C1095"/>
    <w:rsid w:val="003C230D"/>
    <w:rsid w:val="003C2343"/>
    <w:rsid w:val="003C2687"/>
    <w:rsid w:val="003C31FF"/>
    <w:rsid w:val="003C3B0D"/>
    <w:rsid w:val="003C6ABC"/>
    <w:rsid w:val="003C6DC3"/>
    <w:rsid w:val="003C7225"/>
    <w:rsid w:val="003D28C5"/>
    <w:rsid w:val="003D2D2C"/>
    <w:rsid w:val="003D330C"/>
    <w:rsid w:val="003D4174"/>
    <w:rsid w:val="003D520B"/>
    <w:rsid w:val="003D5933"/>
    <w:rsid w:val="003D616D"/>
    <w:rsid w:val="003D722F"/>
    <w:rsid w:val="003D7A3F"/>
    <w:rsid w:val="003D7EA9"/>
    <w:rsid w:val="003E0B90"/>
    <w:rsid w:val="003E22E6"/>
    <w:rsid w:val="003E4460"/>
    <w:rsid w:val="003E4B89"/>
    <w:rsid w:val="003E4C64"/>
    <w:rsid w:val="003E52C2"/>
    <w:rsid w:val="003E550C"/>
    <w:rsid w:val="003E6E1C"/>
    <w:rsid w:val="003E6E65"/>
    <w:rsid w:val="003F16EF"/>
    <w:rsid w:val="003F1F7B"/>
    <w:rsid w:val="003F28EC"/>
    <w:rsid w:val="003F2F6F"/>
    <w:rsid w:val="003F357E"/>
    <w:rsid w:val="003F3651"/>
    <w:rsid w:val="003F3CF4"/>
    <w:rsid w:val="003F3E8C"/>
    <w:rsid w:val="003F5006"/>
    <w:rsid w:val="003F6183"/>
    <w:rsid w:val="003F6BEA"/>
    <w:rsid w:val="003F7E06"/>
    <w:rsid w:val="00400081"/>
    <w:rsid w:val="0040029C"/>
    <w:rsid w:val="004004BF"/>
    <w:rsid w:val="00400D48"/>
    <w:rsid w:val="00400FAE"/>
    <w:rsid w:val="004027E6"/>
    <w:rsid w:val="00403222"/>
    <w:rsid w:val="00404B56"/>
    <w:rsid w:val="00404E37"/>
    <w:rsid w:val="0040525C"/>
    <w:rsid w:val="00407063"/>
    <w:rsid w:val="00407B9A"/>
    <w:rsid w:val="00410930"/>
    <w:rsid w:val="00410FA8"/>
    <w:rsid w:val="00411899"/>
    <w:rsid w:val="004122A7"/>
    <w:rsid w:val="004125C2"/>
    <w:rsid w:val="00412FD7"/>
    <w:rsid w:val="0041387B"/>
    <w:rsid w:val="00413B9C"/>
    <w:rsid w:val="00413C6F"/>
    <w:rsid w:val="00413D07"/>
    <w:rsid w:val="004145FD"/>
    <w:rsid w:val="0041533A"/>
    <w:rsid w:val="00415465"/>
    <w:rsid w:val="0041656D"/>
    <w:rsid w:val="0041753B"/>
    <w:rsid w:val="00420746"/>
    <w:rsid w:val="0042163E"/>
    <w:rsid w:val="00422CDF"/>
    <w:rsid w:val="00423CEA"/>
    <w:rsid w:val="00424715"/>
    <w:rsid w:val="00424B54"/>
    <w:rsid w:val="00424E12"/>
    <w:rsid w:val="0042648E"/>
    <w:rsid w:val="00426679"/>
    <w:rsid w:val="004268BD"/>
    <w:rsid w:val="00426CE4"/>
    <w:rsid w:val="004300DD"/>
    <w:rsid w:val="004307DE"/>
    <w:rsid w:val="00430AC1"/>
    <w:rsid w:val="00430E5D"/>
    <w:rsid w:val="004315C3"/>
    <w:rsid w:val="00431AFA"/>
    <w:rsid w:val="00433485"/>
    <w:rsid w:val="00435375"/>
    <w:rsid w:val="00435645"/>
    <w:rsid w:val="00435A0C"/>
    <w:rsid w:val="00437AFE"/>
    <w:rsid w:val="0044106B"/>
    <w:rsid w:val="004412E4"/>
    <w:rsid w:val="00442B0A"/>
    <w:rsid w:val="004431FC"/>
    <w:rsid w:val="00443C25"/>
    <w:rsid w:val="0044400F"/>
    <w:rsid w:val="00444B3D"/>
    <w:rsid w:val="00445C6E"/>
    <w:rsid w:val="00445E06"/>
    <w:rsid w:val="0044783B"/>
    <w:rsid w:val="004503D1"/>
    <w:rsid w:val="004515FC"/>
    <w:rsid w:val="00451A73"/>
    <w:rsid w:val="00452C63"/>
    <w:rsid w:val="00452CD9"/>
    <w:rsid w:val="00453309"/>
    <w:rsid w:val="00453B8A"/>
    <w:rsid w:val="00454074"/>
    <w:rsid w:val="00455FD7"/>
    <w:rsid w:val="00456511"/>
    <w:rsid w:val="004571D1"/>
    <w:rsid w:val="00457275"/>
    <w:rsid w:val="0045740F"/>
    <w:rsid w:val="00461F85"/>
    <w:rsid w:val="00462162"/>
    <w:rsid w:val="00462628"/>
    <w:rsid w:val="00462E45"/>
    <w:rsid w:val="004630CA"/>
    <w:rsid w:val="00464A03"/>
    <w:rsid w:val="004652A5"/>
    <w:rsid w:val="004663BD"/>
    <w:rsid w:val="004669A8"/>
    <w:rsid w:val="004673A4"/>
    <w:rsid w:val="004673B0"/>
    <w:rsid w:val="004675D1"/>
    <w:rsid w:val="00471990"/>
    <w:rsid w:val="00472401"/>
    <w:rsid w:val="00472416"/>
    <w:rsid w:val="0047348B"/>
    <w:rsid w:val="004738D9"/>
    <w:rsid w:val="00473DB7"/>
    <w:rsid w:val="004745D8"/>
    <w:rsid w:val="0047564D"/>
    <w:rsid w:val="004758AB"/>
    <w:rsid w:val="00477C13"/>
    <w:rsid w:val="00480771"/>
    <w:rsid w:val="00480BA4"/>
    <w:rsid w:val="004827CE"/>
    <w:rsid w:val="0048288A"/>
    <w:rsid w:val="00482991"/>
    <w:rsid w:val="00482DD5"/>
    <w:rsid w:val="0048361A"/>
    <w:rsid w:val="00483C81"/>
    <w:rsid w:val="004846E0"/>
    <w:rsid w:val="00484C8C"/>
    <w:rsid w:val="0048515B"/>
    <w:rsid w:val="0048551F"/>
    <w:rsid w:val="00485F3F"/>
    <w:rsid w:val="004867C2"/>
    <w:rsid w:val="004878F6"/>
    <w:rsid w:val="004907D9"/>
    <w:rsid w:val="00491215"/>
    <w:rsid w:val="00491694"/>
    <w:rsid w:val="0049213B"/>
    <w:rsid w:val="004925ED"/>
    <w:rsid w:val="004930BD"/>
    <w:rsid w:val="004936D2"/>
    <w:rsid w:val="004948C5"/>
    <w:rsid w:val="00494B3B"/>
    <w:rsid w:val="00496FF6"/>
    <w:rsid w:val="00497515"/>
    <w:rsid w:val="00497D6C"/>
    <w:rsid w:val="004A044D"/>
    <w:rsid w:val="004A0564"/>
    <w:rsid w:val="004A076F"/>
    <w:rsid w:val="004A1186"/>
    <w:rsid w:val="004A171D"/>
    <w:rsid w:val="004A187D"/>
    <w:rsid w:val="004A3034"/>
    <w:rsid w:val="004A31E4"/>
    <w:rsid w:val="004A3B7D"/>
    <w:rsid w:val="004A3CE0"/>
    <w:rsid w:val="004A4725"/>
    <w:rsid w:val="004A5C8F"/>
    <w:rsid w:val="004A5DFA"/>
    <w:rsid w:val="004A6865"/>
    <w:rsid w:val="004A6E2A"/>
    <w:rsid w:val="004B0D38"/>
    <w:rsid w:val="004B1135"/>
    <w:rsid w:val="004B3C56"/>
    <w:rsid w:val="004B53D4"/>
    <w:rsid w:val="004B68D6"/>
    <w:rsid w:val="004B7D4F"/>
    <w:rsid w:val="004C04BA"/>
    <w:rsid w:val="004C3CF1"/>
    <w:rsid w:val="004C40E5"/>
    <w:rsid w:val="004C5205"/>
    <w:rsid w:val="004C607E"/>
    <w:rsid w:val="004C77E5"/>
    <w:rsid w:val="004D09F0"/>
    <w:rsid w:val="004D14E4"/>
    <w:rsid w:val="004D1501"/>
    <w:rsid w:val="004D1635"/>
    <w:rsid w:val="004D1C16"/>
    <w:rsid w:val="004D2478"/>
    <w:rsid w:val="004D2679"/>
    <w:rsid w:val="004D28EC"/>
    <w:rsid w:val="004D2B73"/>
    <w:rsid w:val="004D42FB"/>
    <w:rsid w:val="004D4BB1"/>
    <w:rsid w:val="004D5786"/>
    <w:rsid w:val="004D5F2B"/>
    <w:rsid w:val="004D5FDE"/>
    <w:rsid w:val="004D61DE"/>
    <w:rsid w:val="004D6253"/>
    <w:rsid w:val="004D64E3"/>
    <w:rsid w:val="004D661D"/>
    <w:rsid w:val="004D6D1A"/>
    <w:rsid w:val="004D7799"/>
    <w:rsid w:val="004E01E7"/>
    <w:rsid w:val="004E0962"/>
    <w:rsid w:val="004E2259"/>
    <w:rsid w:val="004E376A"/>
    <w:rsid w:val="004E4E91"/>
    <w:rsid w:val="004E619F"/>
    <w:rsid w:val="004E6574"/>
    <w:rsid w:val="004F12CE"/>
    <w:rsid w:val="004F2911"/>
    <w:rsid w:val="004F5BE9"/>
    <w:rsid w:val="004F5FD1"/>
    <w:rsid w:val="004F63C6"/>
    <w:rsid w:val="004F69B3"/>
    <w:rsid w:val="004F6F21"/>
    <w:rsid w:val="004F7D76"/>
    <w:rsid w:val="004F7E5F"/>
    <w:rsid w:val="00503114"/>
    <w:rsid w:val="00503C94"/>
    <w:rsid w:val="00504069"/>
    <w:rsid w:val="0050455E"/>
    <w:rsid w:val="00505CD0"/>
    <w:rsid w:val="00506633"/>
    <w:rsid w:val="0050668E"/>
    <w:rsid w:val="00507228"/>
    <w:rsid w:val="00507B5B"/>
    <w:rsid w:val="00507C7D"/>
    <w:rsid w:val="00507CBC"/>
    <w:rsid w:val="00507EBB"/>
    <w:rsid w:val="0051080D"/>
    <w:rsid w:val="005109FC"/>
    <w:rsid w:val="00510EB6"/>
    <w:rsid w:val="005113A2"/>
    <w:rsid w:val="00511793"/>
    <w:rsid w:val="00511FAF"/>
    <w:rsid w:val="005123A5"/>
    <w:rsid w:val="00514473"/>
    <w:rsid w:val="0051451F"/>
    <w:rsid w:val="00514F92"/>
    <w:rsid w:val="0051528D"/>
    <w:rsid w:val="00515F3C"/>
    <w:rsid w:val="0051634C"/>
    <w:rsid w:val="00516C13"/>
    <w:rsid w:val="00516D86"/>
    <w:rsid w:val="00516F2B"/>
    <w:rsid w:val="00517F8F"/>
    <w:rsid w:val="00520719"/>
    <w:rsid w:val="00521664"/>
    <w:rsid w:val="00521A34"/>
    <w:rsid w:val="00522545"/>
    <w:rsid w:val="00523C42"/>
    <w:rsid w:val="00524414"/>
    <w:rsid w:val="005248B9"/>
    <w:rsid w:val="005248E1"/>
    <w:rsid w:val="00525F68"/>
    <w:rsid w:val="00526FD9"/>
    <w:rsid w:val="005273D5"/>
    <w:rsid w:val="00527B66"/>
    <w:rsid w:val="0053194E"/>
    <w:rsid w:val="00531994"/>
    <w:rsid w:val="00531BEE"/>
    <w:rsid w:val="0053236F"/>
    <w:rsid w:val="005325B2"/>
    <w:rsid w:val="00532C98"/>
    <w:rsid w:val="0053308B"/>
    <w:rsid w:val="005344CB"/>
    <w:rsid w:val="00534E44"/>
    <w:rsid w:val="005350F8"/>
    <w:rsid w:val="00535402"/>
    <w:rsid w:val="0053683D"/>
    <w:rsid w:val="0053693A"/>
    <w:rsid w:val="00536973"/>
    <w:rsid w:val="00536CAF"/>
    <w:rsid w:val="00541E1E"/>
    <w:rsid w:val="005429F2"/>
    <w:rsid w:val="0054320B"/>
    <w:rsid w:val="00543522"/>
    <w:rsid w:val="00543860"/>
    <w:rsid w:val="00543919"/>
    <w:rsid w:val="005443D3"/>
    <w:rsid w:val="0054499F"/>
    <w:rsid w:val="0054534C"/>
    <w:rsid w:val="005459DC"/>
    <w:rsid w:val="00545EB8"/>
    <w:rsid w:val="00546918"/>
    <w:rsid w:val="00547FE7"/>
    <w:rsid w:val="00551837"/>
    <w:rsid w:val="00552039"/>
    <w:rsid w:val="00552384"/>
    <w:rsid w:val="005525C3"/>
    <w:rsid w:val="00552CF5"/>
    <w:rsid w:val="005538E5"/>
    <w:rsid w:val="00553A3F"/>
    <w:rsid w:val="00553CB3"/>
    <w:rsid w:val="00553F30"/>
    <w:rsid w:val="005544C7"/>
    <w:rsid w:val="00555136"/>
    <w:rsid w:val="0055636D"/>
    <w:rsid w:val="00560A4D"/>
    <w:rsid w:val="00561331"/>
    <w:rsid w:val="0056195C"/>
    <w:rsid w:val="00562010"/>
    <w:rsid w:val="00562123"/>
    <w:rsid w:val="0056216D"/>
    <w:rsid w:val="00562B86"/>
    <w:rsid w:val="00563599"/>
    <w:rsid w:val="005638A4"/>
    <w:rsid w:val="0056398B"/>
    <w:rsid w:val="00564E51"/>
    <w:rsid w:val="00564ED1"/>
    <w:rsid w:val="005650D8"/>
    <w:rsid w:val="005652A6"/>
    <w:rsid w:val="00567E6B"/>
    <w:rsid w:val="00570377"/>
    <w:rsid w:val="0057148F"/>
    <w:rsid w:val="005724D2"/>
    <w:rsid w:val="005733F2"/>
    <w:rsid w:val="0057472D"/>
    <w:rsid w:val="005752AD"/>
    <w:rsid w:val="00575735"/>
    <w:rsid w:val="0058038B"/>
    <w:rsid w:val="00580403"/>
    <w:rsid w:val="00580952"/>
    <w:rsid w:val="00580CF4"/>
    <w:rsid w:val="00581ED0"/>
    <w:rsid w:val="00581F65"/>
    <w:rsid w:val="00582229"/>
    <w:rsid w:val="00582E0A"/>
    <w:rsid w:val="00585433"/>
    <w:rsid w:val="005861F9"/>
    <w:rsid w:val="00586469"/>
    <w:rsid w:val="00587507"/>
    <w:rsid w:val="0058762B"/>
    <w:rsid w:val="00590964"/>
    <w:rsid w:val="00591681"/>
    <w:rsid w:val="00592816"/>
    <w:rsid w:val="00592E92"/>
    <w:rsid w:val="00592FE8"/>
    <w:rsid w:val="005935EA"/>
    <w:rsid w:val="005954F7"/>
    <w:rsid w:val="00595C6B"/>
    <w:rsid w:val="00596366"/>
    <w:rsid w:val="0059659E"/>
    <w:rsid w:val="00596632"/>
    <w:rsid w:val="00596D0F"/>
    <w:rsid w:val="005970A3"/>
    <w:rsid w:val="0059744F"/>
    <w:rsid w:val="005A0083"/>
    <w:rsid w:val="005A06C0"/>
    <w:rsid w:val="005A0BDE"/>
    <w:rsid w:val="005A1033"/>
    <w:rsid w:val="005A1648"/>
    <w:rsid w:val="005A16D4"/>
    <w:rsid w:val="005A16E3"/>
    <w:rsid w:val="005A19B2"/>
    <w:rsid w:val="005A20C0"/>
    <w:rsid w:val="005A3482"/>
    <w:rsid w:val="005A3567"/>
    <w:rsid w:val="005A3DDC"/>
    <w:rsid w:val="005A46EE"/>
    <w:rsid w:val="005A5352"/>
    <w:rsid w:val="005A5860"/>
    <w:rsid w:val="005A5894"/>
    <w:rsid w:val="005A67E7"/>
    <w:rsid w:val="005A7C94"/>
    <w:rsid w:val="005B05EF"/>
    <w:rsid w:val="005B0A6D"/>
    <w:rsid w:val="005B0C4F"/>
    <w:rsid w:val="005B1EB6"/>
    <w:rsid w:val="005B2C6C"/>
    <w:rsid w:val="005B43DA"/>
    <w:rsid w:val="005B51C9"/>
    <w:rsid w:val="005B726C"/>
    <w:rsid w:val="005B73E4"/>
    <w:rsid w:val="005C0F38"/>
    <w:rsid w:val="005C10AE"/>
    <w:rsid w:val="005C1101"/>
    <w:rsid w:val="005C1294"/>
    <w:rsid w:val="005C1A33"/>
    <w:rsid w:val="005C1A8B"/>
    <w:rsid w:val="005C1D6A"/>
    <w:rsid w:val="005C1E93"/>
    <w:rsid w:val="005C1ED8"/>
    <w:rsid w:val="005C2354"/>
    <w:rsid w:val="005C2B33"/>
    <w:rsid w:val="005C3C0E"/>
    <w:rsid w:val="005C4756"/>
    <w:rsid w:val="005C62DE"/>
    <w:rsid w:val="005C62E2"/>
    <w:rsid w:val="005C65B7"/>
    <w:rsid w:val="005C6FF0"/>
    <w:rsid w:val="005C73F4"/>
    <w:rsid w:val="005D0C54"/>
    <w:rsid w:val="005D1EF6"/>
    <w:rsid w:val="005D20BF"/>
    <w:rsid w:val="005D218A"/>
    <w:rsid w:val="005D2718"/>
    <w:rsid w:val="005D41C1"/>
    <w:rsid w:val="005D4367"/>
    <w:rsid w:val="005D4FE8"/>
    <w:rsid w:val="005D7104"/>
    <w:rsid w:val="005D76E1"/>
    <w:rsid w:val="005E145D"/>
    <w:rsid w:val="005E2C8B"/>
    <w:rsid w:val="005E34F2"/>
    <w:rsid w:val="005E3896"/>
    <w:rsid w:val="005E3DF6"/>
    <w:rsid w:val="005E442B"/>
    <w:rsid w:val="005E450D"/>
    <w:rsid w:val="005E4F88"/>
    <w:rsid w:val="005E547D"/>
    <w:rsid w:val="005E5E86"/>
    <w:rsid w:val="005E64BA"/>
    <w:rsid w:val="005E6DF3"/>
    <w:rsid w:val="005F03B3"/>
    <w:rsid w:val="005F1C8D"/>
    <w:rsid w:val="005F1E86"/>
    <w:rsid w:val="005F2036"/>
    <w:rsid w:val="005F3646"/>
    <w:rsid w:val="005F429A"/>
    <w:rsid w:val="005F45E1"/>
    <w:rsid w:val="005F497E"/>
    <w:rsid w:val="005F49D6"/>
    <w:rsid w:val="005F4D67"/>
    <w:rsid w:val="005F50F7"/>
    <w:rsid w:val="005F5197"/>
    <w:rsid w:val="005F55F2"/>
    <w:rsid w:val="005F5884"/>
    <w:rsid w:val="005F633D"/>
    <w:rsid w:val="005F69F0"/>
    <w:rsid w:val="00602699"/>
    <w:rsid w:val="00603024"/>
    <w:rsid w:val="006033F2"/>
    <w:rsid w:val="00603B0A"/>
    <w:rsid w:val="00604AD9"/>
    <w:rsid w:val="006054B5"/>
    <w:rsid w:val="00605652"/>
    <w:rsid w:val="00605D5A"/>
    <w:rsid w:val="0060600D"/>
    <w:rsid w:val="00606257"/>
    <w:rsid w:val="006063EB"/>
    <w:rsid w:val="00607570"/>
    <w:rsid w:val="006077CC"/>
    <w:rsid w:val="0061011D"/>
    <w:rsid w:val="0061192C"/>
    <w:rsid w:val="00612A6E"/>
    <w:rsid w:val="00613B6C"/>
    <w:rsid w:val="00615278"/>
    <w:rsid w:val="00616339"/>
    <w:rsid w:val="00616387"/>
    <w:rsid w:val="00616BBD"/>
    <w:rsid w:val="00617A3A"/>
    <w:rsid w:val="00621404"/>
    <w:rsid w:val="00621786"/>
    <w:rsid w:val="0062219C"/>
    <w:rsid w:val="006223EB"/>
    <w:rsid w:val="00622471"/>
    <w:rsid w:val="00622C2A"/>
    <w:rsid w:val="006239CC"/>
    <w:rsid w:val="00626453"/>
    <w:rsid w:val="0062766E"/>
    <w:rsid w:val="00628027"/>
    <w:rsid w:val="00630093"/>
    <w:rsid w:val="006300B7"/>
    <w:rsid w:val="00630333"/>
    <w:rsid w:val="006304ED"/>
    <w:rsid w:val="0063091C"/>
    <w:rsid w:val="00630CB2"/>
    <w:rsid w:val="00632AF8"/>
    <w:rsid w:val="00632EC5"/>
    <w:rsid w:val="00633140"/>
    <w:rsid w:val="006359F0"/>
    <w:rsid w:val="00636A7D"/>
    <w:rsid w:val="00637CD8"/>
    <w:rsid w:val="006400D6"/>
    <w:rsid w:val="00640580"/>
    <w:rsid w:val="00641B89"/>
    <w:rsid w:val="00641E5D"/>
    <w:rsid w:val="00642123"/>
    <w:rsid w:val="00642BC0"/>
    <w:rsid w:val="00643C74"/>
    <w:rsid w:val="0064439D"/>
    <w:rsid w:val="00644980"/>
    <w:rsid w:val="00646298"/>
    <w:rsid w:val="00646A69"/>
    <w:rsid w:val="00647EE2"/>
    <w:rsid w:val="006504F8"/>
    <w:rsid w:val="00651226"/>
    <w:rsid w:val="006516B3"/>
    <w:rsid w:val="0065261F"/>
    <w:rsid w:val="0065287B"/>
    <w:rsid w:val="0065353A"/>
    <w:rsid w:val="00653960"/>
    <w:rsid w:val="00654682"/>
    <w:rsid w:val="00654B68"/>
    <w:rsid w:val="006554BB"/>
    <w:rsid w:val="00655992"/>
    <w:rsid w:val="00656351"/>
    <w:rsid w:val="00656994"/>
    <w:rsid w:val="00657391"/>
    <w:rsid w:val="00657767"/>
    <w:rsid w:val="00657D6F"/>
    <w:rsid w:val="0066064A"/>
    <w:rsid w:val="00660877"/>
    <w:rsid w:val="0066382F"/>
    <w:rsid w:val="0066469D"/>
    <w:rsid w:val="0066505A"/>
    <w:rsid w:val="006658C7"/>
    <w:rsid w:val="00666663"/>
    <w:rsid w:val="00670006"/>
    <w:rsid w:val="00670045"/>
    <w:rsid w:val="00670249"/>
    <w:rsid w:val="00670F75"/>
    <w:rsid w:val="0067194B"/>
    <w:rsid w:val="00671A0D"/>
    <w:rsid w:val="00673ED1"/>
    <w:rsid w:val="00674372"/>
    <w:rsid w:val="00674DE3"/>
    <w:rsid w:val="00674F59"/>
    <w:rsid w:val="00675D85"/>
    <w:rsid w:val="00675F2F"/>
    <w:rsid w:val="00677E10"/>
    <w:rsid w:val="006803E3"/>
    <w:rsid w:val="006836BB"/>
    <w:rsid w:val="00683BEF"/>
    <w:rsid w:val="00684556"/>
    <w:rsid w:val="00685D82"/>
    <w:rsid w:val="00686E95"/>
    <w:rsid w:val="006873F1"/>
    <w:rsid w:val="00687539"/>
    <w:rsid w:val="00687E90"/>
    <w:rsid w:val="0069037E"/>
    <w:rsid w:val="00691054"/>
    <w:rsid w:val="00691FFE"/>
    <w:rsid w:val="00692712"/>
    <w:rsid w:val="00692AB7"/>
    <w:rsid w:val="0069300D"/>
    <w:rsid w:val="006932A0"/>
    <w:rsid w:val="006941CB"/>
    <w:rsid w:val="00694250"/>
    <w:rsid w:val="006948E5"/>
    <w:rsid w:val="0069506A"/>
    <w:rsid w:val="006953BA"/>
    <w:rsid w:val="00697BEF"/>
    <w:rsid w:val="00697D20"/>
    <w:rsid w:val="006A0164"/>
    <w:rsid w:val="006A34C1"/>
    <w:rsid w:val="006A41BA"/>
    <w:rsid w:val="006A475B"/>
    <w:rsid w:val="006A69B5"/>
    <w:rsid w:val="006A756C"/>
    <w:rsid w:val="006A7649"/>
    <w:rsid w:val="006A7EB6"/>
    <w:rsid w:val="006B0688"/>
    <w:rsid w:val="006B096D"/>
    <w:rsid w:val="006B15F3"/>
    <w:rsid w:val="006B1697"/>
    <w:rsid w:val="006B17FA"/>
    <w:rsid w:val="006B2803"/>
    <w:rsid w:val="006B342F"/>
    <w:rsid w:val="006B3D8E"/>
    <w:rsid w:val="006B401B"/>
    <w:rsid w:val="006B4418"/>
    <w:rsid w:val="006B5232"/>
    <w:rsid w:val="006B5301"/>
    <w:rsid w:val="006B58AE"/>
    <w:rsid w:val="006B61FF"/>
    <w:rsid w:val="006B715A"/>
    <w:rsid w:val="006B7B10"/>
    <w:rsid w:val="006B7EB3"/>
    <w:rsid w:val="006C0CCA"/>
    <w:rsid w:val="006C3F20"/>
    <w:rsid w:val="006C4249"/>
    <w:rsid w:val="006C52B1"/>
    <w:rsid w:val="006C5CBC"/>
    <w:rsid w:val="006C658B"/>
    <w:rsid w:val="006C6B94"/>
    <w:rsid w:val="006C6F12"/>
    <w:rsid w:val="006D30A5"/>
    <w:rsid w:val="006D3CBB"/>
    <w:rsid w:val="006D44CA"/>
    <w:rsid w:val="006D4A93"/>
    <w:rsid w:val="006D5B8D"/>
    <w:rsid w:val="006D5BAB"/>
    <w:rsid w:val="006D626D"/>
    <w:rsid w:val="006D6E04"/>
    <w:rsid w:val="006D751E"/>
    <w:rsid w:val="006D7982"/>
    <w:rsid w:val="006D7BD0"/>
    <w:rsid w:val="006D7C2C"/>
    <w:rsid w:val="006E0617"/>
    <w:rsid w:val="006E3207"/>
    <w:rsid w:val="006E36EC"/>
    <w:rsid w:val="006E3741"/>
    <w:rsid w:val="006E3D59"/>
    <w:rsid w:val="006E3FBE"/>
    <w:rsid w:val="006E41FD"/>
    <w:rsid w:val="006E4863"/>
    <w:rsid w:val="006E52EF"/>
    <w:rsid w:val="006E6328"/>
    <w:rsid w:val="006E6961"/>
    <w:rsid w:val="006E6D15"/>
    <w:rsid w:val="006E70F6"/>
    <w:rsid w:val="006E72C6"/>
    <w:rsid w:val="006E783C"/>
    <w:rsid w:val="006F0044"/>
    <w:rsid w:val="006F06BA"/>
    <w:rsid w:val="006F09B9"/>
    <w:rsid w:val="006F1271"/>
    <w:rsid w:val="006F13FA"/>
    <w:rsid w:val="006F1E07"/>
    <w:rsid w:val="006F20E3"/>
    <w:rsid w:val="006F3061"/>
    <w:rsid w:val="006F32B9"/>
    <w:rsid w:val="006F45FD"/>
    <w:rsid w:val="006F4A7A"/>
    <w:rsid w:val="006F5AF4"/>
    <w:rsid w:val="006F5E9E"/>
    <w:rsid w:val="006F644C"/>
    <w:rsid w:val="006F6699"/>
    <w:rsid w:val="006F6D88"/>
    <w:rsid w:val="006F70F9"/>
    <w:rsid w:val="007000C8"/>
    <w:rsid w:val="00701E1A"/>
    <w:rsid w:val="0070310A"/>
    <w:rsid w:val="00704424"/>
    <w:rsid w:val="0070701A"/>
    <w:rsid w:val="007076B0"/>
    <w:rsid w:val="00707B1F"/>
    <w:rsid w:val="00707E6F"/>
    <w:rsid w:val="00710692"/>
    <w:rsid w:val="0071192F"/>
    <w:rsid w:val="007128D1"/>
    <w:rsid w:val="00712CC5"/>
    <w:rsid w:val="00713827"/>
    <w:rsid w:val="007148D8"/>
    <w:rsid w:val="007152EA"/>
    <w:rsid w:val="00715557"/>
    <w:rsid w:val="007158D3"/>
    <w:rsid w:val="00715E86"/>
    <w:rsid w:val="007160D6"/>
    <w:rsid w:val="00716DEC"/>
    <w:rsid w:val="00720B2B"/>
    <w:rsid w:val="007211E5"/>
    <w:rsid w:val="007223C6"/>
    <w:rsid w:val="00723B75"/>
    <w:rsid w:val="0072433C"/>
    <w:rsid w:val="00724F97"/>
    <w:rsid w:val="007268D5"/>
    <w:rsid w:val="0072725A"/>
    <w:rsid w:val="007274AD"/>
    <w:rsid w:val="0073166A"/>
    <w:rsid w:val="0073299D"/>
    <w:rsid w:val="00733AD4"/>
    <w:rsid w:val="00734A3B"/>
    <w:rsid w:val="00734B1B"/>
    <w:rsid w:val="00736AEC"/>
    <w:rsid w:val="00736BC4"/>
    <w:rsid w:val="0073774B"/>
    <w:rsid w:val="007377C0"/>
    <w:rsid w:val="00737EF3"/>
    <w:rsid w:val="00740C00"/>
    <w:rsid w:val="00741177"/>
    <w:rsid w:val="00741619"/>
    <w:rsid w:val="0074274D"/>
    <w:rsid w:val="00742C5B"/>
    <w:rsid w:val="007434BC"/>
    <w:rsid w:val="0074357B"/>
    <w:rsid w:val="00743957"/>
    <w:rsid w:val="007439BC"/>
    <w:rsid w:val="00745144"/>
    <w:rsid w:val="007452A6"/>
    <w:rsid w:val="00745E0E"/>
    <w:rsid w:val="007467F8"/>
    <w:rsid w:val="007469FD"/>
    <w:rsid w:val="00746C99"/>
    <w:rsid w:val="00747003"/>
    <w:rsid w:val="00747295"/>
    <w:rsid w:val="00747DB1"/>
    <w:rsid w:val="00747ED4"/>
    <w:rsid w:val="00750C94"/>
    <w:rsid w:val="007515BC"/>
    <w:rsid w:val="00751982"/>
    <w:rsid w:val="007524F7"/>
    <w:rsid w:val="007559D5"/>
    <w:rsid w:val="00755BB8"/>
    <w:rsid w:val="00756BC1"/>
    <w:rsid w:val="00756C28"/>
    <w:rsid w:val="00757546"/>
    <w:rsid w:val="00757C35"/>
    <w:rsid w:val="0076094B"/>
    <w:rsid w:val="00760B81"/>
    <w:rsid w:val="00760BC0"/>
    <w:rsid w:val="00761B68"/>
    <w:rsid w:val="00764255"/>
    <w:rsid w:val="007642C7"/>
    <w:rsid w:val="007643DB"/>
    <w:rsid w:val="00764729"/>
    <w:rsid w:val="00765C71"/>
    <w:rsid w:val="00766BE7"/>
    <w:rsid w:val="00767297"/>
    <w:rsid w:val="0076792A"/>
    <w:rsid w:val="00770FF5"/>
    <w:rsid w:val="00771715"/>
    <w:rsid w:val="00771813"/>
    <w:rsid w:val="00771C3D"/>
    <w:rsid w:val="00773331"/>
    <w:rsid w:val="007735F6"/>
    <w:rsid w:val="00773B0D"/>
    <w:rsid w:val="00775059"/>
    <w:rsid w:val="00775321"/>
    <w:rsid w:val="00775BFE"/>
    <w:rsid w:val="00775CEE"/>
    <w:rsid w:val="007778F9"/>
    <w:rsid w:val="007807D3"/>
    <w:rsid w:val="00780B47"/>
    <w:rsid w:val="00782675"/>
    <w:rsid w:val="00782F6E"/>
    <w:rsid w:val="00784550"/>
    <w:rsid w:val="00784ACF"/>
    <w:rsid w:val="00784E25"/>
    <w:rsid w:val="00787022"/>
    <w:rsid w:val="0078777D"/>
    <w:rsid w:val="00790E5A"/>
    <w:rsid w:val="00791E3B"/>
    <w:rsid w:val="007923C1"/>
    <w:rsid w:val="00792615"/>
    <w:rsid w:val="0079263E"/>
    <w:rsid w:val="00792772"/>
    <w:rsid w:val="00793158"/>
    <w:rsid w:val="007932EF"/>
    <w:rsid w:val="00793364"/>
    <w:rsid w:val="00793629"/>
    <w:rsid w:val="007939E4"/>
    <w:rsid w:val="00794BEC"/>
    <w:rsid w:val="00795166"/>
    <w:rsid w:val="00795FB5"/>
    <w:rsid w:val="007962B6"/>
    <w:rsid w:val="0079673B"/>
    <w:rsid w:val="00796C2A"/>
    <w:rsid w:val="00796FED"/>
    <w:rsid w:val="0079736A"/>
    <w:rsid w:val="007A054B"/>
    <w:rsid w:val="007A0575"/>
    <w:rsid w:val="007A07E8"/>
    <w:rsid w:val="007A1735"/>
    <w:rsid w:val="007A19E0"/>
    <w:rsid w:val="007A2BB5"/>
    <w:rsid w:val="007A319C"/>
    <w:rsid w:val="007A48BD"/>
    <w:rsid w:val="007A5958"/>
    <w:rsid w:val="007A6792"/>
    <w:rsid w:val="007A6D0E"/>
    <w:rsid w:val="007A6D67"/>
    <w:rsid w:val="007A75DA"/>
    <w:rsid w:val="007B0105"/>
    <w:rsid w:val="007B0E1F"/>
    <w:rsid w:val="007B13B0"/>
    <w:rsid w:val="007B2139"/>
    <w:rsid w:val="007B2272"/>
    <w:rsid w:val="007B27C2"/>
    <w:rsid w:val="007B2936"/>
    <w:rsid w:val="007B35ED"/>
    <w:rsid w:val="007B3D0C"/>
    <w:rsid w:val="007B415B"/>
    <w:rsid w:val="007B4895"/>
    <w:rsid w:val="007B4978"/>
    <w:rsid w:val="007B4D12"/>
    <w:rsid w:val="007B530D"/>
    <w:rsid w:val="007B5847"/>
    <w:rsid w:val="007C082F"/>
    <w:rsid w:val="007C182A"/>
    <w:rsid w:val="007C1BEE"/>
    <w:rsid w:val="007C276C"/>
    <w:rsid w:val="007C2CCA"/>
    <w:rsid w:val="007C304A"/>
    <w:rsid w:val="007C3420"/>
    <w:rsid w:val="007C3536"/>
    <w:rsid w:val="007C35C6"/>
    <w:rsid w:val="007C5C87"/>
    <w:rsid w:val="007C604C"/>
    <w:rsid w:val="007D15C7"/>
    <w:rsid w:val="007D2A2E"/>
    <w:rsid w:val="007D4086"/>
    <w:rsid w:val="007D4B82"/>
    <w:rsid w:val="007D5555"/>
    <w:rsid w:val="007D5897"/>
    <w:rsid w:val="007D5CE3"/>
    <w:rsid w:val="007D60A3"/>
    <w:rsid w:val="007D7924"/>
    <w:rsid w:val="007D7CBA"/>
    <w:rsid w:val="007E05B0"/>
    <w:rsid w:val="007E352B"/>
    <w:rsid w:val="007E3576"/>
    <w:rsid w:val="007E3AB1"/>
    <w:rsid w:val="007E3B27"/>
    <w:rsid w:val="007E5393"/>
    <w:rsid w:val="007E56D8"/>
    <w:rsid w:val="007E5A41"/>
    <w:rsid w:val="007E5ACA"/>
    <w:rsid w:val="007E5C3D"/>
    <w:rsid w:val="007E66C8"/>
    <w:rsid w:val="007E67CA"/>
    <w:rsid w:val="007E739C"/>
    <w:rsid w:val="007F0216"/>
    <w:rsid w:val="007F037E"/>
    <w:rsid w:val="007F076E"/>
    <w:rsid w:val="007F0D22"/>
    <w:rsid w:val="007F0DA7"/>
    <w:rsid w:val="007F1EDC"/>
    <w:rsid w:val="007F2716"/>
    <w:rsid w:val="007F3DC6"/>
    <w:rsid w:val="007F4B15"/>
    <w:rsid w:val="007F4EE8"/>
    <w:rsid w:val="007F59B1"/>
    <w:rsid w:val="007F5A25"/>
    <w:rsid w:val="007F66F3"/>
    <w:rsid w:val="007F70CA"/>
    <w:rsid w:val="007F75A6"/>
    <w:rsid w:val="0080200A"/>
    <w:rsid w:val="008021D6"/>
    <w:rsid w:val="0080237E"/>
    <w:rsid w:val="00802520"/>
    <w:rsid w:val="00803107"/>
    <w:rsid w:val="0080326F"/>
    <w:rsid w:val="00803C9B"/>
    <w:rsid w:val="0080452B"/>
    <w:rsid w:val="008046C2"/>
    <w:rsid w:val="00806D47"/>
    <w:rsid w:val="00807A70"/>
    <w:rsid w:val="008102FF"/>
    <w:rsid w:val="00810812"/>
    <w:rsid w:val="0081235A"/>
    <w:rsid w:val="00812626"/>
    <w:rsid w:val="008128F8"/>
    <w:rsid w:val="00812DB9"/>
    <w:rsid w:val="00812F88"/>
    <w:rsid w:val="00814382"/>
    <w:rsid w:val="0081465C"/>
    <w:rsid w:val="00816FCA"/>
    <w:rsid w:val="0081742F"/>
    <w:rsid w:val="008217AE"/>
    <w:rsid w:val="00821A55"/>
    <w:rsid w:val="008220AF"/>
    <w:rsid w:val="008223AB"/>
    <w:rsid w:val="008229F4"/>
    <w:rsid w:val="00822ACE"/>
    <w:rsid w:val="0082350F"/>
    <w:rsid w:val="00823D3B"/>
    <w:rsid w:val="0082473D"/>
    <w:rsid w:val="00824EDB"/>
    <w:rsid w:val="008265B1"/>
    <w:rsid w:val="00826C99"/>
    <w:rsid w:val="008273F5"/>
    <w:rsid w:val="008301E9"/>
    <w:rsid w:val="00830DE1"/>
    <w:rsid w:val="008329C9"/>
    <w:rsid w:val="00832F1F"/>
    <w:rsid w:val="00833275"/>
    <w:rsid w:val="0083365F"/>
    <w:rsid w:val="008336DF"/>
    <w:rsid w:val="00833DC0"/>
    <w:rsid w:val="00833E38"/>
    <w:rsid w:val="00835087"/>
    <w:rsid w:val="00835345"/>
    <w:rsid w:val="008356E6"/>
    <w:rsid w:val="00835C24"/>
    <w:rsid w:val="008360A0"/>
    <w:rsid w:val="00837518"/>
    <w:rsid w:val="008377B5"/>
    <w:rsid w:val="00837D76"/>
    <w:rsid w:val="00840BC0"/>
    <w:rsid w:val="00840E1D"/>
    <w:rsid w:val="00841648"/>
    <w:rsid w:val="00844BB6"/>
    <w:rsid w:val="00844C75"/>
    <w:rsid w:val="0084533B"/>
    <w:rsid w:val="00845DA9"/>
    <w:rsid w:val="008508A7"/>
    <w:rsid w:val="00851A68"/>
    <w:rsid w:val="00851F6C"/>
    <w:rsid w:val="008542D1"/>
    <w:rsid w:val="008551BE"/>
    <w:rsid w:val="0085541D"/>
    <w:rsid w:val="00855716"/>
    <w:rsid w:val="0085673F"/>
    <w:rsid w:val="00856953"/>
    <w:rsid w:val="00856B30"/>
    <w:rsid w:val="008570E2"/>
    <w:rsid w:val="0086014B"/>
    <w:rsid w:val="00860443"/>
    <w:rsid w:val="008607A6"/>
    <w:rsid w:val="00860A0E"/>
    <w:rsid w:val="00860C5A"/>
    <w:rsid w:val="00861A62"/>
    <w:rsid w:val="00861AC6"/>
    <w:rsid w:val="00861C31"/>
    <w:rsid w:val="00862F4F"/>
    <w:rsid w:val="0086310A"/>
    <w:rsid w:val="00863441"/>
    <w:rsid w:val="00863EF3"/>
    <w:rsid w:val="008646A1"/>
    <w:rsid w:val="008656A6"/>
    <w:rsid w:val="0086587F"/>
    <w:rsid w:val="00866376"/>
    <w:rsid w:val="008669AC"/>
    <w:rsid w:val="00866D72"/>
    <w:rsid w:val="00866F56"/>
    <w:rsid w:val="0086791B"/>
    <w:rsid w:val="00867FFD"/>
    <w:rsid w:val="00870896"/>
    <w:rsid w:val="00872C69"/>
    <w:rsid w:val="00873910"/>
    <w:rsid w:val="00873AA1"/>
    <w:rsid w:val="00874D22"/>
    <w:rsid w:val="008755D1"/>
    <w:rsid w:val="00875C73"/>
    <w:rsid w:val="008771C4"/>
    <w:rsid w:val="00880115"/>
    <w:rsid w:val="008803CF"/>
    <w:rsid w:val="00880AE5"/>
    <w:rsid w:val="00883806"/>
    <w:rsid w:val="00883B3D"/>
    <w:rsid w:val="0088509F"/>
    <w:rsid w:val="00885331"/>
    <w:rsid w:val="008861B8"/>
    <w:rsid w:val="00886314"/>
    <w:rsid w:val="00887487"/>
    <w:rsid w:val="00887CA2"/>
    <w:rsid w:val="00890C1A"/>
    <w:rsid w:val="00890C5D"/>
    <w:rsid w:val="00890FB7"/>
    <w:rsid w:val="00890FD3"/>
    <w:rsid w:val="00891364"/>
    <w:rsid w:val="008913F4"/>
    <w:rsid w:val="00892F01"/>
    <w:rsid w:val="008944FA"/>
    <w:rsid w:val="00894BF6"/>
    <w:rsid w:val="0089641C"/>
    <w:rsid w:val="0089748F"/>
    <w:rsid w:val="0089770B"/>
    <w:rsid w:val="008A0641"/>
    <w:rsid w:val="008A09A6"/>
    <w:rsid w:val="008A1FFE"/>
    <w:rsid w:val="008A2914"/>
    <w:rsid w:val="008A40DD"/>
    <w:rsid w:val="008A62E4"/>
    <w:rsid w:val="008A681B"/>
    <w:rsid w:val="008A68E7"/>
    <w:rsid w:val="008A6AE6"/>
    <w:rsid w:val="008A7BCD"/>
    <w:rsid w:val="008B09D3"/>
    <w:rsid w:val="008B1228"/>
    <w:rsid w:val="008B18EA"/>
    <w:rsid w:val="008B212D"/>
    <w:rsid w:val="008B2719"/>
    <w:rsid w:val="008B31A0"/>
    <w:rsid w:val="008B333E"/>
    <w:rsid w:val="008B336A"/>
    <w:rsid w:val="008B37F1"/>
    <w:rsid w:val="008B39FF"/>
    <w:rsid w:val="008B4F85"/>
    <w:rsid w:val="008B586D"/>
    <w:rsid w:val="008B5C92"/>
    <w:rsid w:val="008B6801"/>
    <w:rsid w:val="008B7E12"/>
    <w:rsid w:val="008B7EBF"/>
    <w:rsid w:val="008C0411"/>
    <w:rsid w:val="008C086D"/>
    <w:rsid w:val="008C0D3C"/>
    <w:rsid w:val="008C1DC5"/>
    <w:rsid w:val="008C3A55"/>
    <w:rsid w:val="008C3DAD"/>
    <w:rsid w:val="008C410E"/>
    <w:rsid w:val="008C4469"/>
    <w:rsid w:val="008C44A6"/>
    <w:rsid w:val="008C574C"/>
    <w:rsid w:val="008C6525"/>
    <w:rsid w:val="008C654F"/>
    <w:rsid w:val="008C657C"/>
    <w:rsid w:val="008C69EE"/>
    <w:rsid w:val="008C7614"/>
    <w:rsid w:val="008C7929"/>
    <w:rsid w:val="008C7EB1"/>
    <w:rsid w:val="008D07EC"/>
    <w:rsid w:val="008D2677"/>
    <w:rsid w:val="008D4BB4"/>
    <w:rsid w:val="008D73E6"/>
    <w:rsid w:val="008D7A69"/>
    <w:rsid w:val="008E11A1"/>
    <w:rsid w:val="008E2D2D"/>
    <w:rsid w:val="008E3C8A"/>
    <w:rsid w:val="008E406C"/>
    <w:rsid w:val="008E4D8E"/>
    <w:rsid w:val="008E5EC9"/>
    <w:rsid w:val="008E60CF"/>
    <w:rsid w:val="008E6AFB"/>
    <w:rsid w:val="008E6F9F"/>
    <w:rsid w:val="008E7219"/>
    <w:rsid w:val="008F0084"/>
    <w:rsid w:val="008F0C11"/>
    <w:rsid w:val="008F170F"/>
    <w:rsid w:val="008F1EA6"/>
    <w:rsid w:val="008F2877"/>
    <w:rsid w:val="008F4426"/>
    <w:rsid w:val="008F448C"/>
    <w:rsid w:val="008F48F4"/>
    <w:rsid w:val="008F490B"/>
    <w:rsid w:val="008F5002"/>
    <w:rsid w:val="008F5A87"/>
    <w:rsid w:val="008F7592"/>
    <w:rsid w:val="008F7727"/>
    <w:rsid w:val="008F7E21"/>
    <w:rsid w:val="009000A8"/>
    <w:rsid w:val="0090058E"/>
    <w:rsid w:val="00900A64"/>
    <w:rsid w:val="00900AC4"/>
    <w:rsid w:val="0090107D"/>
    <w:rsid w:val="009011C7"/>
    <w:rsid w:val="00901CF4"/>
    <w:rsid w:val="00901DFA"/>
    <w:rsid w:val="009025BE"/>
    <w:rsid w:val="00902C84"/>
    <w:rsid w:val="00902F45"/>
    <w:rsid w:val="009032AB"/>
    <w:rsid w:val="00903380"/>
    <w:rsid w:val="00903DD9"/>
    <w:rsid w:val="00903FC3"/>
    <w:rsid w:val="00904860"/>
    <w:rsid w:val="00904DE2"/>
    <w:rsid w:val="00906339"/>
    <w:rsid w:val="009068CF"/>
    <w:rsid w:val="00910369"/>
    <w:rsid w:val="009105E4"/>
    <w:rsid w:val="00910B46"/>
    <w:rsid w:val="009115F1"/>
    <w:rsid w:val="00911E33"/>
    <w:rsid w:val="00911EEC"/>
    <w:rsid w:val="0091259B"/>
    <w:rsid w:val="0091460F"/>
    <w:rsid w:val="00914EC7"/>
    <w:rsid w:val="00915E47"/>
    <w:rsid w:val="00915E7E"/>
    <w:rsid w:val="00916823"/>
    <w:rsid w:val="00916CF8"/>
    <w:rsid w:val="009176B3"/>
    <w:rsid w:val="00920825"/>
    <w:rsid w:val="009225E1"/>
    <w:rsid w:val="00922677"/>
    <w:rsid w:val="00922C3E"/>
    <w:rsid w:val="00923384"/>
    <w:rsid w:val="0092419C"/>
    <w:rsid w:val="009241B6"/>
    <w:rsid w:val="009244E6"/>
    <w:rsid w:val="00924FF9"/>
    <w:rsid w:val="009252F3"/>
    <w:rsid w:val="00925A12"/>
    <w:rsid w:val="00926A8D"/>
    <w:rsid w:val="00926C93"/>
    <w:rsid w:val="00930817"/>
    <w:rsid w:val="009311BE"/>
    <w:rsid w:val="00932079"/>
    <w:rsid w:val="009334B6"/>
    <w:rsid w:val="00936459"/>
    <w:rsid w:val="00936E94"/>
    <w:rsid w:val="00937F96"/>
    <w:rsid w:val="0094015A"/>
    <w:rsid w:val="00940217"/>
    <w:rsid w:val="009406BD"/>
    <w:rsid w:val="00940AB9"/>
    <w:rsid w:val="00941838"/>
    <w:rsid w:val="0094184C"/>
    <w:rsid w:val="00941D7A"/>
    <w:rsid w:val="0094222A"/>
    <w:rsid w:val="00942EE4"/>
    <w:rsid w:val="00943CE5"/>
    <w:rsid w:val="00944415"/>
    <w:rsid w:val="00944F19"/>
    <w:rsid w:val="00945467"/>
    <w:rsid w:val="0094595D"/>
    <w:rsid w:val="00946A53"/>
    <w:rsid w:val="00946A8C"/>
    <w:rsid w:val="00946F16"/>
    <w:rsid w:val="00947E04"/>
    <w:rsid w:val="0095060E"/>
    <w:rsid w:val="00950682"/>
    <w:rsid w:val="00950E02"/>
    <w:rsid w:val="0095141C"/>
    <w:rsid w:val="00952EBE"/>
    <w:rsid w:val="00952FDA"/>
    <w:rsid w:val="00954602"/>
    <w:rsid w:val="00955CEA"/>
    <w:rsid w:val="0095679F"/>
    <w:rsid w:val="00956E85"/>
    <w:rsid w:val="00957C36"/>
    <w:rsid w:val="00960679"/>
    <w:rsid w:val="00960EFD"/>
    <w:rsid w:val="009618EB"/>
    <w:rsid w:val="00962739"/>
    <w:rsid w:val="00962ADB"/>
    <w:rsid w:val="00962F64"/>
    <w:rsid w:val="00965491"/>
    <w:rsid w:val="0096651B"/>
    <w:rsid w:val="009668F8"/>
    <w:rsid w:val="00967B6F"/>
    <w:rsid w:val="00970A13"/>
    <w:rsid w:val="00970FE1"/>
    <w:rsid w:val="00972584"/>
    <w:rsid w:val="00972600"/>
    <w:rsid w:val="00972F32"/>
    <w:rsid w:val="00973742"/>
    <w:rsid w:val="00974DD0"/>
    <w:rsid w:val="00975590"/>
    <w:rsid w:val="00975E2C"/>
    <w:rsid w:val="00975E81"/>
    <w:rsid w:val="009765F5"/>
    <w:rsid w:val="00976793"/>
    <w:rsid w:val="00977278"/>
    <w:rsid w:val="00977848"/>
    <w:rsid w:val="0098082C"/>
    <w:rsid w:val="00980BAC"/>
    <w:rsid w:val="0098243B"/>
    <w:rsid w:val="009825DD"/>
    <w:rsid w:val="009841FD"/>
    <w:rsid w:val="009842A5"/>
    <w:rsid w:val="00984F7C"/>
    <w:rsid w:val="00984FBE"/>
    <w:rsid w:val="00985629"/>
    <w:rsid w:val="0098648E"/>
    <w:rsid w:val="00986CE6"/>
    <w:rsid w:val="00986D60"/>
    <w:rsid w:val="00986DB3"/>
    <w:rsid w:val="009879F8"/>
    <w:rsid w:val="009902E3"/>
    <w:rsid w:val="009909AD"/>
    <w:rsid w:val="00990E75"/>
    <w:rsid w:val="00991C69"/>
    <w:rsid w:val="00991DC3"/>
    <w:rsid w:val="00992B51"/>
    <w:rsid w:val="00992EA6"/>
    <w:rsid w:val="009941D3"/>
    <w:rsid w:val="0099650B"/>
    <w:rsid w:val="009A0113"/>
    <w:rsid w:val="009A035C"/>
    <w:rsid w:val="009A05DD"/>
    <w:rsid w:val="009A0787"/>
    <w:rsid w:val="009A1871"/>
    <w:rsid w:val="009A2657"/>
    <w:rsid w:val="009A27EB"/>
    <w:rsid w:val="009A3071"/>
    <w:rsid w:val="009A34C5"/>
    <w:rsid w:val="009A41AC"/>
    <w:rsid w:val="009A5861"/>
    <w:rsid w:val="009A714C"/>
    <w:rsid w:val="009A7182"/>
    <w:rsid w:val="009A78BC"/>
    <w:rsid w:val="009B025B"/>
    <w:rsid w:val="009B08C2"/>
    <w:rsid w:val="009B1735"/>
    <w:rsid w:val="009B39E5"/>
    <w:rsid w:val="009B3B3F"/>
    <w:rsid w:val="009B4093"/>
    <w:rsid w:val="009B469D"/>
    <w:rsid w:val="009B6F32"/>
    <w:rsid w:val="009B7B8D"/>
    <w:rsid w:val="009B7E9E"/>
    <w:rsid w:val="009B7FB6"/>
    <w:rsid w:val="009C14D2"/>
    <w:rsid w:val="009C1535"/>
    <w:rsid w:val="009C1780"/>
    <w:rsid w:val="009C1B7C"/>
    <w:rsid w:val="009C1C90"/>
    <w:rsid w:val="009C1E6E"/>
    <w:rsid w:val="009C1E9E"/>
    <w:rsid w:val="009C211D"/>
    <w:rsid w:val="009C2761"/>
    <w:rsid w:val="009C2AF7"/>
    <w:rsid w:val="009C3182"/>
    <w:rsid w:val="009C4939"/>
    <w:rsid w:val="009C4B24"/>
    <w:rsid w:val="009C7C9A"/>
    <w:rsid w:val="009D0BF2"/>
    <w:rsid w:val="009D298E"/>
    <w:rsid w:val="009D322D"/>
    <w:rsid w:val="009D332D"/>
    <w:rsid w:val="009D5D7E"/>
    <w:rsid w:val="009D637D"/>
    <w:rsid w:val="009D6957"/>
    <w:rsid w:val="009D6A55"/>
    <w:rsid w:val="009D72FA"/>
    <w:rsid w:val="009D7821"/>
    <w:rsid w:val="009E01FB"/>
    <w:rsid w:val="009E0310"/>
    <w:rsid w:val="009E2475"/>
    <w:rsid w:val="009E2754"/>
    <w:rsid w:val="009E2DC1"/>
    <w:rsid w:val="009E3449"/>
    <w:rsid w:val="009E4929"/>
    <w:rsid w:val="009E4990"/>
    <w:rsid w:val="009E5031"/>
    <w:rsid w:val="009E593E"/>
    <w:rsid w:val="009E66EE"/>
    <w:rsid w:val="009E67BA"/>
    <w:rsid w:val="009E703A"/>
    <w:rsid w:val="009E74F0"/>
    <w:rsid w:val="009F0D35"/>
    <w:rsid w:val="009F4303"/>
    <w:rsid w:val="009F4327"/>
    <w:rsid w:val="009F4470"/>
    <w:rsid w:val="009F580D"/>
    <w:rsid w:val="009F7743"/>
    <w:rsid w:val="009F79D0"/>
    <w:rsid w:val="009F7E4D"/>
    <w:rsid w:val="00A000FF"/>
    <w:rsid w:val="00A008DB"/>
    <w:rsid w:val="00A00C63"/>
    <w:rsid w:val="00A012CE"/>
    <w:rsid w:val="00A01E46"/>
    <w:rsid w:val="00A03AC6"/>
    <w:rsid w:val="00A03F28"/>
    <w:rsid w:val="00A0404D"/>
    <w:rsid w:val="00A0450A"/>
    <w:rsid w:val="00A04B98"/>
    <w:rsid w:val="00A04BCE"/>
    <w:rsid w:val="00A04D4F"/>
    <w:rsid w:val="00A060F9"/>
    <w:rsid w:val="00A0671B"/>
    <w:rsid w:val="00A067C3"/>
    <w:rsid w:val="00A07084"/>
    <w:rsid w:val="00A07846"/>
    <w:rsid w:val="00A07E8B"/>
    <w:rsid w:val="00A104DC"/>
    <w:rsid w:val="00A104F7"/>
    <w:rsid w:val="00A112AA"/>
    <w:rsid w:val="00A118D9"/>
    <w:rsid w:val="00A133CD"/>
    <w:rsid w:val="00A14086"/>
    <w:rsid w:val="00A14BEF"/>
    <w:rsid w:val="00A15B95"/>
    <w:rsid w:val="00A168D7"/>
    <w:rsid w:val="00A17546"/>
    <w:rsid w:val="00A20426"/>
    <w:rsid w:val="00A20EA9"/>
    <w:rsid w:val="00A2144E"/>
    <w:rsid w:val="00A227ED"/>
    <w:rsid w:val="00A22F8D"/>
    <w:rsid w:val="00A2331A"/>
    <w:rsid w:val="00A23F00"/>
    <w:rsid w:val="00A2436C"/>
    <w:rsid w:val="00A25594"/>
    <w:rsid w:val="00A261DB"/>
    <w:rsid w:val="00A26AB9"/>
    <w:rsid w:val="00A26C4C"/>
    <w:rsid w:val="00A303A9"/>
    <w:rsid w:val="00A30F03"/>
    <w:rsid w:val="00A313AF"/>
    <w:rsid w:val="00A31556"/>
    <w:rsid w:val="00A32288"/>
    <w:rsid w:val="00A34F49"/>
    <w:rsid w:val="00A36485"/>
    <w:rsid w:val="00A36784"/>
    <w:rsid w:val="00A3751F"/>
    <w:rsid w:val="00A3788E"/>
    <w:rsid w:val="00A3795F"/>
    <w:rsid w:val="00A409DD"/>
    <w:rsid w:val="00A41F20"/>
    <w:rsid w:val="00A42E94"/>
    <w:rsid w:val="00A43641"/>
    <w:rsid w:val="00A43781"/>
    <w:rsid w:val="00A4384C"/>
    <w:rsid w:val="00A459C1"/>
    <w:rsid w:val="00A4664C"/>
    <w:rsid w:val="00A467EC"/>
    <w:rsid w:val="00A47A1B"/>
    <w:rsid w:val="00A5008F"/>
    <w:rsid w:val="00A5124E"/>
    <w:rsid w:val="00A51B44"/>
    <w:rsid w:val="00A52F64"/>
    <w:rsid w:val="00A53BBA"/>
    <w:rsid w:val="00A540C6"/>
    <w:rsid w:val="00A547D0"/>
    <w:rsid w:val="00A5489F"/>
    <w:rsid w:val="00A54AE4"/>
    <w:rsid w:val="00A55049"/>
    <w:rsid w:val="00A56E99"/>
    <w:rsid w:val="00A57DE4"/>
    <w:rsid w:val="00A60016"/>
    <w:rsid w:val="00A60D18"/>
    <w:rsid w:val="00A60E9A"/>
    <w:rsid w:val="00A6192D"/>
    <w:rsid w:val="00A61E0D"/>
    <w:rsid w:val="00A63782"/>
    <w:rsid w:val="00A6484A"/>
    <w:rsid w:val="00A6552F"/>
    <w:rsid w:val="00A657AC"/>
    <w:rsid w:val="00A659FF"/>
    <w:rsid w:val="00A669D1"/>
    <w:rsid w:val="00A67D75"/>
    <w:rsid w:val="00A71BF1"/>
    <w:rsid w:val="00A73EAE"/>
    <w:rsid w:val="00A74848"/>
    <w:rsid w:val="00A75165"/>
    <w:rsid w:val="00A75957"/>
    <w:rsid w:val="00A76B97"/>
    <w:rsid w:val="00A76FDF"/>
    <w:rsid w:val="00A7760C"/>
    <w:rsid w:val="00A835CB"/>
    <w:rsid w:val="00A84727"/>
    <w:rsid w:val="00A84A8A"/>
    <w:rsid w:val="00A866D6"/>
    <w:rsid w:val="00A8783E"/>
    <w:rsid w:val="00A87E0E"/>
    <w:rsid w:val="00A90338"/>
    <w:rsid w:val="00A91FBD"/>
    <w:rsid w:val="00A92B76"/>
    <w:rsid w:val="00A92BDA"/>
    <w:rsid w:val="00A93BE4"/>
    <w:rsid w:val="00A93DAF"/>
    <w:rsid w:val="00A94229"/>
    <w:rsid w:val="00A94306"/>
    <w:rsid w:val="00A9599D"/>
    <w:rsid w:val="00A96315"/>
    <w:rsid w:val="00A968ED"/>
    <w:rsid w:val="00A96CCC"/>
    <w:rsid w:val="00A9765D"/>
    <w:rsid w:val="00A97BF0"/>
    <w:rsid w:val="00AA0F3E"/>
    <w:rsid w:val="00AA1187"/>
    <w:rsid w:val="00AA1754"/>
    <w:rsid w:val="00AA1E84"/>
    <w:rsid w:val="00AA25F6"/>
    <w:rsid w:val="00AA3BDC"/>
    <w:rsid w:val="00AA3ECA"/>
    <w:rsid w:val="00AA42F7"/>
    <w:rsid w:val="00AA5517"/>
    <w:rsid w:val="00AA57EE"/>
    <w:rsid w:val="00AA5F3D"/>
    <w:rsid w:val="00AA6B0A"/>
    <w:rsid w:val="00AA6E87"/>
    <w:rsid w:val="00AA731E"/>
    <w:rsid w:val="00AA7F2B"/>
    <w:rsid w:val="00AA84D7"/>
    <w:rsid w:val="00AB0374"/>
    <w:rsid w:val="00AB09B4"/>
    <w:rsid w:val="00AB0B98"/>
    <w:rsid w:val="00AB0BFA"/>
    <w:rsid w:val="00AB14E5"/>
    <w:rsid w:val="00AB1FD0"/>
    <w:rsid w:val="00AB2B03"/>
    <w:rsid w:val="00AB4ACE"/>
    <w:rsid w:val="00AB4D77"/>
    <w:rsid w:val="00AB59AF"/>
    <w:rsid w:val="00AB5F3F"/>
    <w:rsid w:val="00AB64F6"/>
    <w:rsid w:val="00AB7607"/>
    <w:rsid w:val="00AB7B2A"/>
    <w:rsid w:val="00AC09EF"/>
    <w:rsid w:val="00AC1846"/>
    <w:rsid w:val="00AC1B3B"/>
    <w:rsid w:val="00AC24FF"/>
    <w:rsid w:val="00AC2A23"/>
    <w:rsid w:val="00AC327C"/>
    <w:rsid w:val="00AC34F8"/>
    <w:rsid w:val="00AC38C1"/>
    <w:rsid w:val="00AC3EDD"/>
    <w:rsid w:val="00AC3F56"/>
    <w:rsid w:val="00AC409A"/>
    <w:rsid w:val="00AC44A7"/>
    <w:rsid w:val="00AC57FE"/>
    <w:rsid w:val="00AC5831"/>
    <w:rsid w:val="00AC64EF"/>
    <w:rsid w:val="00AC65E7"/>
    <w:rsid w:val="00AC78D4"/>
    <w:rsid w:val="00AC7D3C"/>
    <w:rsid w:val="00AD02CF"/>
    <w:rsid w:val="00AD0F44"/>
    <w:rsid w:val="00AD0FEF"/>
    <w:rsid w:val="00AD1B76"/>
    <w:rsid w:val="00AD1BF5"/>
    <w:rsid w:val="00AD1F91"/>
    <w:rsid w:val="00AD28CF"/>
    <w:rsid w:val="00AD2C97"/>
    <w:rsid w:val="00AD3B48"/>
    <w:rsid w:val="00AD4083"/>
    <w:rsid w:val="00AD6DAC"/>
    <w:rsid w:val="00AD7EE6"/>
    <w:rsid w:val="00AE026A"/>
    <w:rsid w:val="00AE0D25"/>
    <w:rsid w:val="00AE1DB4"/>
    <w:rsid w:val="00AE298E"/>
    <w:rsid w:val="00AE3136"/>
    <w:rsid w:val="00AE383E"/>
    <w:rsid w:val="00AE43F3"/>
    <w:rsid w:val="00AE4BE2"/>
    <w:rsid w:val="00AE748F"/>
    <w:rsid w:val="00AF04F4"/>
    <w:rsid w:val="00AF09E4"/>
    <w:rsid w:val="00AF0C7B"/>
    <w:rsid w:val="00AF2C81"/>
    <w:rsid w:val="00AF51AC"/>
    <w:rsid w:val="00AF51C5"/>
    <w:rsid w:val="00AF52AD"/>
    <w:rsid w:val="00AF57DD"/>
    <w:rsid w:val="00AF5C5F"/>
    <w:rsid w:val="00AF6E63"/>
    <w:rsid w:val="00AF6FE6"/>
    <w:rsid w:val="00AF7129"/>
    <w:rsid w:val="00B000E6"/>
    <w:rsid w:val="00B003EF"/>
    <w:rsid w:val="00B028F1"/>
    <w:rsid w:val="00B0348B"/>
    <w:rsid w:val="00B03BCD"/>
    <w:rsid w:val="00B03E1F"/>
    <w:rsid w:val="00B04A33"/>
    <w:rsid w:val="00B05513"/>
    <w:rsid w:val="00B05765"/>
    <w:rsid w:val="00B06C05"/>
    <w:rsid w:val="00B06E79"/>
    <w:rsid w:val="00B07080"/>
    <w:rsid w:val="00B07C13"/>
    <w:rsid w:val="00B07F2F"/>
    <w:rsid w:val="00B11AEE"/>
    <w:rsid w:val="00B11FB3"/>
    <w:rsid w:val="00B13557"/>
    <w:rsid w:val="00B150A6"/>
    <w:rsid w:val="00B15650"/>
    <w:rsid w:val="00B156C9"/>
    <w:rsid w:val="00B15F8C"/>
    <w:rsid w:val="00B168D8"/>
    <w:rsid w:val="00B177DD"/>
    <w:rsid w:val="00B17C52"/>
    <w:rsid w:val="00B17C8A"/>
    <w:rsid w:val="00B19B29"/>
    <w:rsid w:val="00B20990"/>
    <w:rsid w:val="00B20CE9"/>
    <w:rsid w:val="00B20FB8"/>
    <w:rsid w:val="00B21250"/>
    <w:rsid w:val="00B226E4"/>
    <w:rsid w:val="00B22E3E"/>
    <w:rsid w:val="00B2478C"/>
    <w:rsid w:val="00B24983"/>
    <w:rsid w:val="00B25940"/>
    <w:rsid w:val="00B25A6D"/>
    <w:rsid w:val="00B26B56"/>
    <w:rsid w:val="00B27BC4"/>
    <w:rsid w:val="00B27CCE"/>
    <w:rsid w:val="00B27D07"/>
    <w:rsid w:val="00B305B9"/>
    <w:rsid w:val="00B30ACB"/>
    <w:rsid w:val="00B30DAB"/>
    <w:rsid w:val="00B317D6"/>
    <w:rsid w:val="00B3249E"/>
    <w:rsid w:val="00B32D00"/>
    <w:rsid w:val="00B32D20"/>
    <w:rsid w:val="00B34AEF"/>
    <w:rsid w:val="00B3629E"/>
    <w:rsid w:val="00B3753D"/>
    <w:rsid w:val="00B375E4"/>
    <w:rsid w:val="00B37EF9"/>
    <w:rsid w:val="00B41507"/>
    <w:rsid w:val="00B417EE"/>
    <w:rsid w:val="00B42DF8"/>
    <w:rsid w:val="00B43A19"/>
    <w:rsid w:val="00B44AAE"/>
    <w:rsid w:val="00B45570"/>
    <w:rsid w:val="00B45F79"/>
    <w:rsid w:val="00B46FC1"/>
    <w:rsid w:val="00B5020E"/>
    <w:rsid w:val="00B5059D"/>
    <w:rsid w:val="00B5239D"/>
    <w:rsid w:val="00B527B6"/>
    <w:rsid w:val="00B52828"/>
    <w:rsid w:val="00B52A86"/>
    <w:rsid w:val="00B53D5A"/>
    <w:rsid w:val="00B56C85"/>
    <w:rsid w:val="00B60FD7"/>
    <w:rsid w:val="00B612F6"/>
    <w:rsid w:val="00B632E1"/>
    <w:rsid w:val="00B633B2"/>
    <w:rsid w:val="00B64B11"/>
    <w:rsid w:val="00B64CE1"/>
    <w:rsid w:val="00B64DF5"/>
    <w:rsid w:val="00B659E3"/>
    <w:rsid w:val="00B65B13"/>
    <w:rsid w:val="00B65D5E"/>
    <w:rsid w:val="00B65F97"/>
    <w:rsid w:val="00B66078"/>
    <w:rsid w:val="00B70E5D"/>
    <w:rsid w:val="00B715F0"/>
    <w:rsid w:val="00B72087"/>
    <w:rsid w:val="00B72399"/>
    <w:rsid w:val="00B72898"/>
    <w:rsid w:val="00B73539"/>
    <w:rsid w:val="00B73B21"/>
    <w:rsid w:val="00B740F8"/>
    <w:rsid w:val="00B75B61"/>
    <w:rsid w:val="00B76B0F"/>
    <w:rsid w:val="00B77262"/>
    <w:rsid w:val="00B77FC0"/>
    <w:rsid w:val="00B801E8"/>
    <w:rsid w:val="00B80F6B"/>
    <w:rsid w:val="00B81BB9"/>
    <w:rsid w:val="00B83943"/>
    <w:rsid w:val="00B848B5"/>
    <w:rsid w:val="00B85487"/>
    <w:rsid w:val="00B857CC"/>
    <w:rsid w:val="00B86082"/>
    <w:rsid w:val="00B8608E"/>
    <w:rsid w:val="00B861C4"/>
    <w:rsid w:val="00B869AC"/>
    <w:rsid w:val="00B86B07"/>
    <w:rsid w:val="00B91A60"/>
    <w:rsid w:val="00B91B2E"/>
    <w:rsid w:val="00B92826"/>
    <w:rsid w:val="00B92903"/>
    <w:rsid w:val="00B93578"/>
    <w:rsid w:val="00B93945"/>
    <w:rsid w:val="00B93BCD"/>
    <w:rsid w:val="00B951AD"/>
    <w:rsid w:val="00B953C9"/>
    <w:rsid w:val="00B96CFA"/>
    <w:rsid w:val="00B96E2E"/>
    <w:rsid w:val="00BA095F"/>
    <w:rsid w:val="00BA0965"/>
    <w:rsid w:val="00BA0BD0"/>
    <w:rsid w:val="00BA0D97"/>
    <w:rsid w:val="00BA0EA8"/>
    <w:rsid w:val="00BA1A60"/>
    <w:rsid w:val="00BA256F"/>
    <w:rsid w:val="00BA2E54"/>
    <w:rsid w:val="00BA388E"/>
    <w:rsid w:val="00BA3A9F"/>
    <w:rsid w:val="00BA3D24"/>
    <w:rsid w:val="00BA57C7"/>
    <w:rsid w:val="00BA5D8D"/>
    <w:rsid w:val="00BA6425"/>
    <w:rsid w:val="00BA6AED"/>
    <w:rsid w:val="00BA6FF7"/>
    <w:rsid w:val="00BB0905"/>
    <w:rsid w:val="00BB1E1F"/>
    <w:rsid w:val="00BB228C"/>
    <w:rsid w:val="00BB3E50"/>
    <w:rsid w:val="00BB3EC3"/>
    <w:rsid w:val="00BB3F29"/>
    <w:rsid w:val="00BB4D7B"/>
    <w:rsid w:val="00BB4D83"/>
    <w:rsid w:val="00BB57F0"/>
    <w:rsid w:val="00BB6259"/>
    <w:rsid w:val="00BB77E8"/>
    <w:rsid w:val="00BB79A0"/>
    <w:rsid w:val="00BB7E60"/>
    <w:rsid w:val="00BC0CAE"/>
    <w:rsid w:val="00BC11A1"/>
    <w:rsid w:val="00BC29C8"/>
    <w:rsid w:val="00BC361F"/>
    <w:rsid w:val="00BC4874"/>
    <w:rsid w:val="00BC584B"/>
    <w:rsid w:val="00BC638B"/>
    <w:rsid w:val="00BC69B8"/>
    <w:rsid w:val="00BC6A0F"/>
    <w:rsid w:val="00BC7CCC"/>
    <w:rsid w:val="00BD134A"/>
    <w:rsid w:val="00BD15B5"/>
    <w:rsid w:val="00BD16B5"/>
    <w:rsid w:val="00BD2506"/>
    <w:rsid w:val="00BD3253"/>
    <w:rsid w:val="00BD6B02"/>
    <w:rsid w:val="00BD737D"/>
    <w:rsid w:val="00BD757E"/>
    <w:rsid w:val="00BD762D"/>
    <w:rsid w:val="00BD7654"/>
    <w:rsid w:val="00BD7AD1"/>
    <w:rsid w:val="00BD7C5D"/>
    <w:rsid w:val="00BE1075"/>
    <w:rsid w:val="00BE2A62"/>
    <w:rsid w:val="00BE3B25"/>
    <w:rsid w:val="00BE7D37"/>
    <w:rsid w:val="00BE7FF6"/>
    <w:rsid w:val="00BF03E9"/>
    <w:rsid w:val="00BF052F"/>
    <w:rsid w:val="00BF082E"/>
    <w:rsid w:val="00BF1318"/>
    <w:rsid w:val="00BF17D0"/>
    <w:rsid w:val="00BF228D"/>
    <w:rsid w:val="00BF2F4A"/>
    <w:rsid w:val="00BF3647"/>
    <w:rsid w:val="00BF3E93"/>
    <w:rsid w:val="00BF4028"/>
    <w:rsid w:val="00BF4580"/>
    <w:rsid w:val="00BF52FF"/>
    <w:rsid w:val="00BF5558"/>
    <w:rsid w:val="00BF55F9"/>
    <w:rsid w:val="00BF6654"/>
    <w:rsid w:val="00BF6851"/>
    <w:rsid w:val="00BF6873"/>
    <w:rsid w:val="00C006C0"/>
    <w:rsid w:val="00C01243"/>
    <w:rsid w:val="00C012D5"/>
    <w:rsid w:val="00C01395"/>
    <w:rsid w:val="00C026B0"/>
    <w:rsid w:val="00C02F1F"/>
    <w:rsid w:val="00C03051"/>
    <w:rsid w:val="00C0335B"/>
    <w:rsid w:val="00C03545"/>
    <w:rsid w:val="00C04B5D"/>
    <w:rsid w:val="00C056A6"/>
    <w:rsid w:val="00C06124"/>
    <w:rsid w:val="00C06AA9"/>
    <w:rsid w:val="00C06D41"/>
    <w:rsid w:val="00C072CE"/>
    <w:rsid w:val="00C07935"/>
    <w:rsid w:val="00C07B28"/>
    <w:rsid w:val="00C107C4"/>
    <w:rsid w:val="00C10DD8"/>
    <w:rsid w:val="00C11F1B"/>
    <w:rsid w:val="00C121A7"/>
    <w:rsid w:val="00C12301"/>
    <w:rsid w:val="00C12739"/>
    <w:rsid w:val="00C12A66"/>
    <w:rsid w:val="00C12F6B"/>
    <w:rsid w:val="00C15152"/>
    <w:rsid w:val="00C1552D"/>
    <w:rsid w:val="00C16D69"/>
    <w:rsid w:val="00C178B8"/>
    <w:rsid w:val="00C20737"/>
    <w:rsid w:val="00C226D3"/>
    <w:rsid w:val="00C23C91"/>
    <w:rsid w:val="00C23CB2"/>
    <w:rsid w:val="00C26497"/>
    <w:rsid w:val="00C27DEE"/>
    <w:rsid w:val="00C3020B"/>
    <w:rsid w:val="00C3081F"/>
    <w:rsid w:val="00C309CB"/>
    <w:rsid w:val="00C30DE5"/>
    <w:rsid w:val="00C30FB2"/>
    <w:rsid w:val="00C3170B"/>
    <w:rsid w:val="00C31A2D"/>
    <w:rsid w:val="00C33383"/>
    <w:rsid w:val="00C3347B"/>
    <w:rsid w:val="00C34148"/>
    <w:rsid w:val="00C3432D"/>
    <w:rsid w:val="00C35BE2"/>
    <w:rsid w:val="00C3676C"/>
    <w:rsid w:val="00C367F4"/>
    <w:rsid w:val="00C36D7A"/>
    <w:rsid w:val="00C4058B"/>
    <w:rsid w:val="00C41405"/>
    <w:rsid w:val="00C41715"/>
    <w:rsid w:val="00C41CC8"/>
    <w:rsid w:val="00C41CE1"/>
    <w:rsid w:val="00C42FFA"/>
    <w:rsid w:val="00C43202"/>
    <w:rsid w:val="00C43ABA"/>
    <w:rsid w:val="00C45B3C"/>
    <w:rsid w:val="00C463C9"/>
    <w:rsid w:val="00C46914"/>
    <w:rsid w:val="00C50687"/>
    <w:rsid w:val="00C5142B"/>
    <w:rsid w:val="00C514CC"/>
    <w:rsid w:val="00C52A06"/>
    <w:rsid w:val="00C53276"/>
    <w:rsid w:val="00C5340B"/>
    <w:rsid w:val="00C548E6"/>
    <w:rsid w:val="00C5568D"/>
    <w:rsid w:val="00C57DDA"/>
    <w:rsid w:val="00C60DC3"/>
    <w:rsid w:val="00C61736"/>
    <w:rsid w:val="00C62267"/>
    <w:rsid w:val="00C62C91"/>
    <w:rsid w:val="00C62E55"/>
    <w:rsid w:val="00C630E9"/>
    <w:rsid w:val="00C63DEF"/>
    <w:rsid w:val="00C64249"/>
    <w:rsid w:val="00C656F0"/>
    <w:rsid w:val="00C65A38"/>
    <w:rsid w:val="00C65A76"/>
    <w:rsid w:val="00C66A00"/>
    <w:rsid w:val="00C674BA"/>
    <w:rsid w:val="00C70541"/>
    <w:rsid w:val="00C73B38"/>
    <w:rsid w:val="00C753BB"/>
    <w:rsid w:val="00C76856"/>
    <w:rsid w:val="00C7723C"/>
    <w:rsid w:val="00C775C7"/>
    <w:rsid w:val="00C80770"/>
    <w:rsid w:val="00C842FC"/>
    <w:rsid w:val="00C849ED"/>
    <w:rsid w:val="00C854EA"/>
    <w:rsid w:val="00C85A32"/>
    <w:rsid w:val="00C8648D"/>
    <w:rsid w:val="00C8740D"/>
    <w:rsid w:val="00C87576"/>
    <w:rsid w:val="00C87923"/>
    <w:rsid w:val="00C9465B"/>
    <w:rsid w:val="00C950D2"/>
    <w:rsid w:val="00C9791D"/>
    <w:rsid w:val="00C97DC3"/>
    <w:rsid w:val="00C97FC6"/>
    <w:rsid w:val="00CA0798"/>
    <w:rsid w:val="00CA0902"/>
    <w:rsid w:val="00CA09D3"/>
    <w:rsid w:val="00CA0A86"/>
    <w:rsid w:val="00CA0E26"/>
    <w:rsid w:val="00CA2B38"/>
    <w:rsid w:val="00CA2D05"/>
    <w:rsid w:val="00CA35F9"/>
    <w:rsid w:val="00CA3DA5"/>
    <w:rsid w:val="00CA419A"/>
    <w:rsid w:val="00CA4562"/>
    <w:rsid w:val="00CA4875"/>
    <w:rsid w:val="00CA58C0"/>
    <w:rsid w:val="00CA59B5"/>
    <w:rsid w:val="00CA6034"/>
    <w:rsid w:val="00CA7A13"/>
    <w:rsid w:val="00CA7F7A"/>
    <w:rsid w:val="00CB0E6E"/>
    <w:rsid w:val="00CB10B4"/>
    <w:rsid w:val="00CB179A"/>
    <w:rsid w:val="00CB2AE6"/>
    <w:rsid w:val="00CB2C6C"/>
    <w:rsid w:val="00CB6AE0"/>
    <w:rsid w:val="00CB6CD1"/>
    <w:rsid w:val="00CB7169"/>
    <w:rsid w:val="00CC01FD"/>
    <w:rsid w:val="00CC0374"/>
    <w:rsid w:val="00CC0922"/>
    <w:rsid w:val="00CC0DCD"/>
    <w:rsid w:val="00CC16A4"/>
    <w:rsid w:val="00CC1A6F"/>
    <w:rsid w:val="00CC244C"/>
    <w:rsid w:val="00CC2FD2"/>
    <w:rsid w:val="00CC37EE"/>
    <w:rsid w:val="00CC3AB9"/>
    <w:rsid w:val="00CC3ACE"/>
    <w:rsid w:val="00CC3E43"/>
    <w:rsid w:val="00CC4B1B"/>
    <w:rsid w:val="00CC4F9D"/>
    <w:rsid w:val="00CC5F50"/>
    <w:rsid w:val="00CC685C"/>
    <w:rsid w:val="00CC7219"/>
    <w:rsid w:val="00CC7239"/>
    <w:rsid w:val="00CC7DD2"/>
    <w:rsid w:val="00CD055E"/>
    <w:rsid w:val="00CD0F0B"/>
    <w:rsid w:val="00CD22B2"/>
    <w:rsid w:val="00CD252B"/>
    <w:rsid w:val="00CD28B3"/>
    <w:rsid w:val="00CD2E53"/>
    <w:rsid w:val="00CD354C"/>
    <w:rsid w:val="00CD37B8"/>
    <w:rsid w:val="00CD3CB5"/>
    <w:rsid w:val="00CD4E3D"/>
    <w:rsid w:val="00CD565D"/>
    <w:rsid w:val="00CD60BC"/>
    <w:rsid w:val="00CD6145"/>
    <w:rsid w:val="00CD72A3"/>
    <w:rsid w:val="00CE0E2B"/>
    <w:rsid w:val="00CE0F0F"/>
    <w:rsid w:val="00CE141D"/>
    <w:rsid w:val="00CE19EF"/>
    <w:rsid w:val="00CE2207"/>
    <w:rsid w:val="00CE28E5"/>
    <w:rsid w:val="00CE3050"/>
    <w:rsid w:val="00CE348F"/>
    <w:rsid w:val="00CE37B2"/>
    <w:rsid w:val="00CE39A7"/>
    <w:rsid w:val="00CE3B21"/>
    <w:rsid w:val="00CE4B53"/>
    <w:rsid w:val="00CE6120"/>
    <w:rsid w:val="00CE6150"/>
    <w:rsid w:val="00CE6485"/>
    <w:rsid w:val="00CE7067"/>
    <w:rsid w:val="00CE72FD"/>
    <w:rsid w:val="00CE7F53"/>
    <w:rsid w:val="00CF04B4"/>
    <w:rsid w:val="00CF0C3E"/>
    <w:rsid w:val="00CF281F"/>
    <w:rsid w:val="00CF396F"/>
    <w:rsid w:val="00CF3E90"/>
    <w:rsid w:val="00CF4725"/>
    <w:rsid w:val="00CF697A"/>
    <w:rsid w:val="00CF760A"/>
    <w:rsid w:val="00D005C9"/>
    <w:rsid w:val="00D00ED2"/>
    <w:rsid w:val="00D01D55"/>
    <w:rsid w:val="00D01D9B"/>
    <w:rsid w:val="00D02397"/>
    <w:rsid w:val="00D028C2"/>
    <w:rsid w:val="00D032F3"/>
    <w:rsid w:val="00D04505"/>
    <w:rsid w:val="00D06510"/>
    <w:rsid w:val="00D0698B"/>
    <w:rsid w:val="00D073F8"/>
    <w:rsid w:val="00D07AA3"/>
    <w:rsid w:val="00D1099F"/>
    <w:rsid w:val="00D10D88"/>
    <w:rsid w:val="00D10E14"/>
    <w:rsid w:val="00D12DD3"/>
    <w:rsid w:val="00D132CD"/>
    <w:rsid w:val="00D14530"/>
    <w:rsid w:val="00D20381"/>
    <w:rsid w:val="00D20666"/>
    <w:rsid w:val="00D20822"/>
    <w:rsid w:val="00D20C33"/>
    <w:rsid w:val="00D213E0"/>
    <w:rsid w:val="00D21707"/>
    <w:rsid w:val="00D21D03"/>
    <w:rsid w:val="00D22659"/>
    <w:rsid w:val="00D2373D"/>
    <w:rsid w:val="00D23F06"/>
    <w:rsid w:val="00D24E16"/>
    <w:rsid w:val="00D25455"/>
    <w:rsid w:val="00D26458"/>
    <w:rsid w:val="00D2748F"/>
    <w:rsid w:val="00D27948"/>
    <w:rsid w:val="00D31563"/>
    <w:rsid w:val="00D31AED"/>
    <w:rsid w:val="00D32395"/>
    <w:rsid w:val="00D328AD"/>
    <w:rsid w:val="00D329AE"/>
    <w:rsid w:val="00D329CD"/>
    <w:rsid w:val="00D344F2"/>
    <w:rsid w:val="00D35151"/>
    <w:rsid w:val="00D352D1"/>
    <w:rsid w:val="00D36AAB"/>
    <w:rsid w:val="00D36B55"/>
    <w:rsid w:val="00D37486"/>
    <w:rsid w:val="00D37B17"/>
    <w:rsid w:val="00D37D46"/>
    <w:rsid w:val="00D37EE7"/>
    <w:rsid w:val="00D40342"/>
    <w:rsid w:val="00D40420"/>
    <w:rsid w:val="00D40F93"/>
    <w:rsid w:val="00D43238"/>
    <w:rsid w:val="00D44243"/>
    <w:rsid w:val="00D44385"/>
    <w:rsid w:val="00D444EE"/>
    <w:rsid w:val="00D44ABF"/>
    <w:rsid w:val="00D44C57"/>
    <w:rsid w:val="00D456EC"/>
    <w:rsid w:val="00D45731"/>
    <w:rsid w:val="00D45F6B"/>
    <w:rsid w:val="00D522FF"/>
    <w:rsid w:val="00D523E9"/>
    <w:rsid w:val="00D53B87"/>
    <w:rsid w:val="00D5477B"/>
    <w:rsid w:val="00D5560C"/>
    <w:rsid w:val="00D577E0"/>
    <w:rsid w:val="00D61C98"/>
    <w:rsid w:val="00D64249"/>
    <w:rsid w:val="00D65035"/>
    <w:rsid w:val="00D66E4C"/>
    <w:rsid w:val="00D71529"/>
    <w:rsid w:val="00D72BBB"/>
    <w:rsid w:val="00D746BD"/>
    <w:rsid w:val="00D75774"/>
    <w:rsid w:val="00D75AE9"/>
    <w:rsid w:val="00D76035"/>
    <w:rsid w:val="00D76CE9"/>
    <w:rsid w:val="00D8051A"/>
    <w:rsid w:val="00D80808"/>
    <w:rsid w:val="00D81267"/>
    <w:rsid w:val="00D81757"/>
    <w:rsid w:val="00D817C2"/>
    <w:rsid w:val="00D822B4"/>
    <w:rsid w:val="00D83046"/>
    <w:rsid w:val="00D84357"/>
    <w:rsid w:val="00D8457C"/>
    <w:rsid w:val="00D846AD"/>
    <w:rsid w:val="00D84B0B"/>
    <w:rsid w:val="00D84C61"/>
    <w:rsid w:val="00D84E0A"/>
    <w:rsid w:val="00D84EC1"/>
    <w:rsid w:val="00D85CF4"/>
    <w:rsid w:val="00D85D3E"/>
    <w:rsid w:val="00D85D4B"/>
    <w:rsid w:val="00D85D51"/>
    <w:rsid w:val="00D870D5"/>
    <w:rsid w:val="00D90EB2"/>
    <w:rsid w:val="00D910CD"/>
    <w:rsid w:val="00D926CF"/>
    <w:rsid w:val="00D94376"/>
    <w:rsid w:val="00D94AE0"/>
    <w:rsid w:val="00D94C20"/>
    <w:rsid w:val="00D95011"/>
    <w:rsid w:val="00D95E5A"/>
    <w:rsid w:val="00D974E2"/>
    <w:rsid w:val="00DA0483"/>
    <w:rsid w:val="00DA064C"/>
    <w:rsid w:val="00DA088C"/>
    <w:rsid w:val="00DA2037"/>
    <w:rsid w:val="00DA3E19"/>
    <w:rsid w:val="00DA4A1D"/>
    <w:rsid w:val="00DA5878"/>
    <w:rsid w:val="00DA73FB"/>
    <w:rsid w:val="00DA7773"/>
    <w:rsid w:val="00DA7D3D"/>
    <w:rsid w:val="00DB16D3"/>
    <w:rsid w:val="00DB17F4"/>
    <w:rsid w:val="00DB2F9F"/>
    <w:rsid w:val="00DB3050"/>
    <w:rsid w:val="00DB3555"/>
    <w:rsid w:val="00DB4853"/>
    <w:rsid w:val="00DB4DB5"/>
    <w:rsid w:val="00DB4F22"/>
    <w:rsid w:val="00DB6EAC"/>
    <w:rsid w:val="00DB703F"/>
    <w:rsid w:val="00DC0CC7"/>
    <w:rsid w:val="00DC0E23"/>
    <w:rsid w:val="00DC1C05"/>
    <w:rsid w:val="00DC2866"/>
    <w:rsid w:val="00DC2B80"/>
    <w:rsid w:val="00DC3F9F"/>
    <w:rsid w:val="00DC408D"/>
    <w:rsid w:val="00DC425A"/>
    <w:rsid w:val="00DC55C4"/>
    <w:rsid w:val="00DC661F"/>
    <w:rsid w:val="00DC70FF"/>
    <w:rsid w:val="00DC74D6"/>
    <w:rsid w:val="00DD0D01"/>
    <w:rsid w:val="00DD144E"/>
    <w:rsid w:val="00DD2A3E"/>
    <w:rsid w:val="00DD2E84"/>
    <w:rsid w:val="00DD30A6"/>
    <w:rsid w:val="00DD31C3"/>
    <w:rsid w:val="00DD3371"/>
    <w:rsid w:val="00DD3D5B"/>
    <w:rsid w:val="00DD3DC1"/>
    <w:rsid w:val="00DD4027"/>
    <w:rsid w:val="00DD5EB6"/>
    <w:rsid w:val="00DD7B18"/>
    <w:rsid w:val="00DD7E68"/>
    <w:rsid w:val="00DE04BA"/>
    <w:rsid w:val="00DE0BBC"/>
    <w:rsid w:val="00DE2D03"/>
    <w:rsid w:val="00DE2F98"/>
    <w:rsid w:val="00DE32AA"/>
    <w:rsid w:val="00DE4EFA"/>
    <w:rsid w:val="00DE6BFE"/>
    <w:rsid w:val="00DE6E4C"/>
    <w:rsid w:val="00DE73F8"/>
    <w:rsid w:val="00DE7D37"/>
    <w:rsid w:val="00DF0325"/>
    <w:rsid w:val="00DF085E"/>
    <w:rsid w:val="00DF0999"/>
    <w:rsid w:val="00DF1891"/>
    <w:rsid w:val="00DF3366"/>
    <w:rsid w:val="00DF3B50"/>
    <w:rsid w:val="00DF3C2E"/>
    <w:rsid w:val="00DF4174"/>
    <w:rsid w:val="00DF4AEC"/>
    <w:rsid w:val="00DF5132"/>
    <w:rsid w:val="00DF5205"/>
    <w:rsid w:val="00DF6CB2"/>
    <w:rsid w:val="00DF7669"/>
    <w:rsid w:val="00E00465"/>
    <w:rsid w:val="00E008FD"/>
    <w:rsid w:val="00E00BA6"/>
    <w:rsid w:val="00E01E34"/>
    <w:rsid w:val="00E02E55"/>
    <w:rsid w:val="00E034BF"/>
    <w:rsid w:val="00E03769"/>
    <w:rsid w:val="00E046CC"/>
    <w:rsid w:val="00E04E85"/>
    <w:rsid w:val="00E0530D"/>
    <w:rsid w:val="00E05897"/>
    <w:rsid w:val="00E05D71"/>
    <w:rsid w:val="00E06150"/>
    <w:rsid w:val="00E0713B"/>
    <w:rsid w:val="00E117AA"/>
    <w:rsid w:val="00E122DE"/>
    <w:rsid w:val="00E137A0"/>
    <w:rsid w:val="00E14777"/>
    <w:rsid w:val="00E14798"/>
    <w:rsid w:val="00E153A2"/>
    <w:rsid w:val="00E15804"/>
    <w:rsid w:val="00E1703B"/>
    <w:rsid w:val="00E17253"/>
    <w:rsid w:val="00E17AED"/>
    <w:rsid w:val="00E213D9"/>
    <w:rsid w:val="00E21DC9"/>
    <w:rsid w:val="00E22878"/>
    <w:rsid w:val="00E22A4A"/>
    <w:rsid w:val="00E22AED"/>
    <w:rsid w:val="00E22AF9"/>
    <w:rsid w:val="00E24DBB"/>
    <w:rsid w:val="00E25870"/>
    <w:rsid w:val="00E26645"/>
    <w:rsid w:val="00E2727F"/>
    <w:rsid w:val="00E27410"/>
    <w:rsid w:val="00E3071F"/>
    <w:rsid w:val="00E30E13"/>
    <w:rsid w:val="00E31548"/>
    <w:rsid w:val="00E3323F"/>
    <w:rsid w:val="00E335B8"/>
    <w:rsid w:val="00E33784"/>
    <w:rsid w:val="00E34DCF"/>
    <w:rsid w:val="00E34E4C"/>
    <w:rsid w:val="00E36A95"/>
    <w:rsid w:val="00E36CF7"/>
    <w:rsid w:val="00E37D0C"/>
    <w:rsid w:val="00E37F1F"/>
    <w:rsid w:val="00E405C8"/>
    <w:rsid w:val="00E40C5A"/>
    <w:rsid w:val="00E41BAC"/>
    <w:rsid w:val="00E43097"/>
    <w:rsid w:val="00E437C2"/>
    <w:rsid w:val="00E44B0E"/>
    <w:rsid w:val="00E44F05"/>
    <w:rsid w:val="00E450AA"/>
    <w:rsid w:val="00E46190"/>
    <w:rsid w:val="00E47D5A"/>
    <w:rsid w:val="00E503C5"/>
    <w:rsid w:val="00E510C3"/>
    <w:rsid w:val="00E51A5D"/>
    <w:rsid w:val="00E54779"/>
    <w:rsid w:val="00E57C37"/>
    <w:rsid w:val="00E602EB"/>
    <w:rsid w:val="00E6092B"/>
    <w:rsid w:val="00E61618"/>
    <w:rsid w:val="00E617A0"/>
    <w:rsid w:val="00E618EB"/>
    <w:rsid w:val="00E620AA"/>
    <w:rsid w:val="00E62256"/>
    <w:rsid w:val="00E622A4"/>
    <w:rsid w:val="00E63F68"/>
    <w:rsid w:val="00E648B7"/>
    <w:rsid w:val="00E67D3B"/>
    <w:rsid w:val="00E70422"/>
    <w:rsid w:val="00E71797"/>
    <w:rsid w:val="00E717C9"/>
    <w:rsid w:val="00E71901"/>
    <w:rsid w:val="00E733DE"/>
    <w:rsid w:val="00E73439"/>
    <w:rsid w:val="00E73C58"/>
    <w:rsid w:val="00E73CBB"/>
    <w:rsid w:val="00E7591E"/>
    <w:rsid w:val="00E75B8F"/>
    <w:rsid w:val="00E76033"/>
    <w:rsid w:val="00E76C68"/>
    <w:rsid w:val="00E770AE"/>
    <w:rsid w:val="00E77DAC"/>
    <w:rsid w:val="00E808E9"/>
    <w:rsid w:val="00E80BC2"/>
    <w:rsid w:val="00E819AC"/>
    <w:rsid w:val="00E81F68"/>
    <w:rsid w:val="00E828AD"/>
    <w:rsid w:val="00E8393A"/>
    <w:rsid w:val="00E83F8A"/>
    <w:rsid w:val="00E84D42"/>
    <w:rsid w:val="00E87CA6"/>
    <w:rsid w:val="00E900D8"/>
    <w:rsid w:val="00E90250"/>
    <w:rsid w:val="00E911F5"/>
    <w:rsid w:val="00E91700"/>
    <w:rsid w:val="00E91C4E"/>
    <w:rsid w:val="00E91F1C"/>
    <w:rsid w:val="00E927B3"/>
    <w:rsid w:val="00E92E62"/>
    <w:rsid w:val="00E93182"/>
    <w:rsid w:val="00E948F8"/>
    <w:rsid w:val="00E94AEF"/>
    <w:rsid w:val="00E95C22"/>
    <w:rsid w:val="00EA063E"/>
    <w:rsid w:val="00EA0AB3"/>
    <w:rsid w:val="00EA1EC6"/>
    <w:rsid w:val="00EA2566"/>
    <w:rsid w:val="00EA3BC8"/>
    <w:rsid w:val="00EA7C0C"/>
    <w:rsid w:val="00EB00F2"/>
    <w:rsid w:val="00EB02AB"/>
    <w:rsid w:val="00EB04F9"/>
    <w:rsid w:val="00EB20D7"/>
    <w:rsid w:val="00EB2938"/>
    <w:rsid w:val="00EB381D"/>
    <w:rsid w:val="00EB3CA8"/>
    <w:rsid w:val="00EB3D4B"/>
    <w:rsid w:val="00EB4BB0"/>
    <w:rsid w:val="00EB4E1A"/>
    <w:rsid w:val="00EB5496"/>
    <w:rsid w:val="00EB59D7"/>
    <w:rsid w:val="00EB5A68"/>
    <w:rsid w:val="00EB5AB5"/>
    <w:rsid w:val="00EB613B"/>
    <w:rsid w:val="00EB64C5"/>
    <w:rsid w:val="00EB727B"/>
    <w:rsid w:val="00EB769D"/>
    <w:rsid w:val="00EC19E0"/>
    <w:rsid w:val="00EC1CA1"/>
    <w:rsid w:val="00EC48EA"/>
    <w:rsid w:val="00EC4D3D"/>
    <w:rsid w:val="00EC5960"/>
    <w:rsid w:val="00EC6276"/>
    <w:rsid w:val="00EC6965"/>
    <w:rsid w:val="00EC6B89"/>
    <w:rsid w:val="00EC6D78"/>
    <w:rsid w:val="00EC752E"/>
    <w:rsid w:val="00EC7E68"/>
    <w:rsid w:val="00ED0C05"/>
    <w:rsid w:val="00ED1CB0"/>
    <w:rsid w:val="00ED33E8"/>
    <w:rsid w:val="00ED4E36"/>
    <w:rsid w:val="00ED51AD"/>
    <w:rsid w:val="00ED5443"/>
    <w:rsid w:val="00ED5E1B"/>
    <w:rsid w:val="00ED7E16"/>
    <w:rsid w:val="00EE120F"/>
    <w:rsid w:val="00EE142E"/>
    <w:rsid w:val="00EE1A69"/>
    <w:rsid w:val="00EE2752"/>
    <w:rsid w:val="00EE295D"/>
    <w:rsid w:val="00EE2B3F"/>
    <w:rsid w:val="00EE2C42"/>
    <w:rsid w:val="00EE36F3"/>
    <w:rsid w:val="00EE47FF"/>
    <w:rsid w:val="00EE48E7"/>
    <w:rsid w:val="00EE53F5"/>
    <w:rsid w:val="00EE6A16"/>
    <w:rsid w:val="00EE6ACC"/>
    <w:rsid w:val="00EE7667"/>
    <w:rsid w:val="00EF0859"/>
    <w:rsid w:val="00EF11CC"/>
    <w:rsid w:val="00EF13D4"/>
    <w:rsid w:val="00EF1971"/>
    <w:rsid w:val="00EF1E69"/>
    <w:rsid w:val="00EF2064"/>
    <w:rsid w:val="00EF2D52"/>
    <w:rsid w:val="00EF313B"/>
    <w:rsid w:val="00EF5464"/>
    <w:rsid w:val="00EF54AF"/>
    <w:rsid w:val="00EF6276"/>
    <w:rsid w:val="00EF7853"/>
    <w:rsid w:val="00F00DA4"/>
    <w:rsid w:val="00F0168E"/>
    <w:rsid w:val="00F01874"/>
    <w:rsid w:val="00F02514"/>
    <w:rsid w:val="00F02A8B"/>
    <w:rsid w:val="00F02C59"/>
    <w:rsid w:val="00F02FE1"/>
    <w:rsid w:val="00F03B72"/>
    <w:rsid w:val="00F041C7"/>
    <w:rsid w:val="00F04298"/>
    <w:rsid w:val="00F04577"/>
    <w:rsid w:val="00F04E75"/>
    <w:rsid w:val="00F10215"/>
    <w:rsid w:val="00F1028C"/>
    <w:rsid w:val="00F10715"/>
    <w:rsid w:val="00F10A62"/>
    <w:rsid w:val="00F115AA"/>
    <w:rsid w:val="00F11894"/>
    <w:rsid w:val="00F126C5"/>
    <w:rsid w:val="00F13A9E"/>
    <w:rsid w:val="00F14367"/>
    <w:rsid w:val="00F157B7"/>
    <w:rsid w:val="00F159A3"/>
    <w:rsid w:val="00F15F20"/>
    <w:rsid w:val="00F16619"/>
    <w:rsid w:val="00F16B93"/>
    <w:rsid w:val="00F16CF0"/>
    <w:rsid w:val="00F17069"/>
    <w:rsid w:val="00F203CD"/>
    <w:rsid w:val="00F20C18"/>
    <w:rsid w:val="00F210EF"/>
    <w:rsid w:val="00F21461"/>
    <w:rsid w:val="00F2156E"/>
    <w:rsid w:val="00F22206"/>
    <w:rsid w:val="00F2245C"/>
    <w:rsid w:val="00F229F0"/>
    <w:rsid w:val="00F24249"/>
    <w:rsid w:val="00F2526D"/>
    <w:rsid w:val="00F2529F"/>
    <w:rsid w:val="00F26193"/>
    <w:rsid w:val="00F265B9"/>
    <w:rsid w:val="00F27AFF"/>
    <w:rsid w:val="00F30220"/>
    <w:rsid w:val="00F30BC8"/>
    <w:rsid w:val="00F31025"/>
    <w:rsid w:val="00F31301"/>
    <w:rsid w:val="00F315AB"/>
    <w:rsid w:val="00F332CD"/>
    <w:rsid w:val="00F34953"/>
    <w:rsid w:val="00F34A25"/>
    <w:rsid w:val="00F35AA4"/>
    <w:rsid w:val="00F35DC7"/>
    <w:rsid w:val="00F36719"/>
    <w:rsid w:val="00F37733"/>
    <w:rsid w:val="00F41116"/>
    <w:rsid w:val="00F4197F"/>
    <w:rsid w:val="00F42E2D"/>
    <w:rsid w:val="00F436DA"/>
    <w:rsid w:val="00F452DE"/>
    <w:rsid w:val="00F45C90"/>
    <w:rsid w:val="00F46FDA"/>
    <w:rsid w:val="00F4700F"/>
    <w:rsid w:val="00F50731"/>
    <w:rsid w:val="00F50B46"/>
    <w:rsid w:val="00F51C6D"/>
    <w:rsid w:val="00F5258F"/>
    <w:rsid w:val="00F534D1"/>
    <w:rsid w:val="00F535DD"/>
    <w:rsid w:val="00F537C3"/>
    <w:rsid w:val="00F53BA8"/>
    <w:rsid w:val="00F540DF"/>
    <w:rsid w:val="00F542E4"/>
    <w:rsid w:val="00F55BDE"/>
    <w:rsid w:val="00F56AE7"/>
    <w:rsid w:val="00F57976"/>
    <w:rsid w:val="00F605FC"/>
    <w:rsid w:val="00F60C46"/>
    <w:rsid w:val="00F60C61"/>
    <w:rsid w:val="00F61144"/>
    <w:rsid w:val="00F6120B"/>
    <w:rsid w:val="00F61618"/>
    <w:rsid w:val="00F61CEE"/>
    <w:rsid w:val="00F61ED2"/>
    <w:rsid w:val="00F627DD"/>
    <w:rsid w:val="00F6320B"/>
    <w:rsid w:val="00F635D3"/>
    <w:rsid w:val="00F65417"/>
    <w:rsid w:val="00F6737E"/>
    <w:rsid w:val="00F67503"/>
    <w:rsid w:val="00F67576"/>
    <w:rsid w:val="00F70A79"/>
    <w:rsid w:val="00F731F1"/>
    <w:rsid w:val="00F73FBB"/>
    <w:rsid w:val="00F74244"/>
    <w:rsid w:val="00F74587"/>
    <w:rsid w:val="00F746B4"/>
    <w:rsid w:val="00F74C43"/>
    <w:rsid w:val="00F74F34"/>
    <w:rsid w:val="00F81034"/>
    <w:rsid w:val="00F81F63"/>
    <w:rsid w:val="00F82675"/>
    <w:rsid w:val="00F83051"/>
    <w:rsid w:val="00F83128"/>
    <w:rsid w:val="00F839BC"/>
    <w:rsid w:val="00F84763"/>
    <w:rsid w:val="00F84C7C"/>
    <w:rsid w:val="00F85012"/>
    <w:rsid w:val="00F8506A"/>
    <w:rsid w:val="00F851BB"/>
    <w:rsid w:val="00F86019"/>
    <w:rsid w:val="00F86820"/>
    <w:rsid w:val="00F86B36"/>
    <w:rsid w:val="00F8701C"/>
    <w:rsid w:val="00F8725D"/>
    <w:rsid w:val="00F8732F"/>
    <w:rsid w:val="00F8769F"/>
    <w:rsid w:val="00F8794C"/>
    <w:rsid w:val="00F90E06"/>
    <w:rsid w:val="00F91678"/>
    <w:rsid w:val="00F9198B"/>
    <w:rsid w:val="00F91ACA"/>
    <w:rsid w:val="00F929A2"/>
    <w:rsid w:val="00F92C0E"/>
    <w:rsid w:val="00F92F04"/>
    <w:rsid w:val="00F938C6"/>
    <w:rsid w:val="00F93A33"/>
    <w:rsid w:val="00F9409C"/>
    <w:rsid w:val="00F94BD8"/>
    <w:rsid w:val="00F97281"/>
    <w:rsid w:val="00FA0E44"/>
    <w:rsid w:val="00FA14BF"/>
    <w:rsid w:val="00FA1B4E"/>
    <w:rsid w:val="00FA3926"/>
    <w:rsid w:val="00FA3FB8"/>
    <w:rsid w:val="00FA4894"/>
    <w:rsid w:val="00FA5322"/>
    <w:rsid w:val="00FA5973"/>
    <w:rsid w:val="00FA598F"/>
    <w:rsid w:val="00FA6671"/>
    <w:rsid w:val="00FA767E"/>
    <w:rsid w:val="00FA76CF"/>
    <w:rsid w:val="00FA7A31"/>
    <w:rsid w:val="00FB1238"/>
    <w:rsid w:val="00FB1872"/>
    <w:rsid w:val="00FB3D8E"/>
    <w:rsid w:val="00FB47C2"/>
    <w:rsid w:val="00FB4B8C"/>
    <w:rsid w:val="00FB51C9"/>
    <w:rsid w:val="00FB5C7F"/>
    <w:rsid w:val="00FB632B"/>
    <w:rsid w:val="00FB6D2F"/>
    <w:rsid w:val="00FB6ED1"/>
    <w:rsid w:val="00FB7BD5"/>
    <w:rsid w:val="00FB7E5E"/>
    <w:rsid w:val="00FBDBAF"/>
    <w:rsid w:val="00FC057E"/>
    <w:rsid w:val="00FC1EEE"/>
    <w:rsid w:val="00FC324A"/>
    <w:rsid w:val="00FC36F7"/>
    <w:rsid w:val="00FC38F8"/>
    <w:rsid w:val="00FC3D96"/>
    <w:rsid w:val="00FC4032"/>
    <w:rsid w:val="00FC415E"/>
    <w:rsid w:val="00FC41D1"/>
    <w:rsid w:val="00FC52F7"/>
    <w:rsid w:val="00FC5500"/>
    <w:rsid w:val="00FC5F56"/>
    <w:rsid w:val="00FC63D8"/>
    <w:rsid w:val="00FC676A"/>
    <w:rsid w:val="00FC75EA"/>
    <w:rsid w:val="00FC7892"/>
    <w:rsid w:val="00FD0D63"/>
    <w:rsid w:val="00FD1F81"/>
    <w:rsid w:val="00FD2E4A"/>
    <w:rsid w:val="00FD33CD"/>
    <w:rsid w:val="00FD35E2"/>
    <w:rsid w:val="00FD3734"/>
    <w:rsid w:val="00FD379D"/>
    <w:rsid w:val="00FD4833"/>
    <w:rsid w:val="00FD4D80"/>
    <w:rsid w:val="00FD670F"/>
    <w:rsid w:val="00FD7167"/>
    <w:rsid w:val="00FD7CB5"/>
    <w:rsid w:val="00FD7DD7"/>
    <w:rsid w:val="00FE06E1"/>
    <w:rsid w:val="00FE08CE"/>
    <w:rsid w:val="00FE1CCA"/>
    <w:rsid w:val="00FE2095"/>
    <w:rsid w:val="00FE21CC"/>
    <w:rsid w:val="00FE32D4"/>
    <w:rsid w:val="00FE413F"/>
    <w:rsid w:val="00FE5153"/>
    <w:rsid w:val="00FE6538"/>
    <w:rsid w:val="00FE6914"/>
    <w:rsid w:val="00FE6DD0"/>
    <w:rsid w:val="00FE7189"/>
    <w:rsid w:val="00FE72D9"/>
    <w:rsid w:val="00FE7C37"/>
    <w:rsid w:val="00FF03A9"/>
    <w:rsid w:val="00FF040F"/>
    <w:rsid w:val="00FF134C"/>
    <w:rsid w:val="00FF1841"/>
    <w:rsid w:val="00FF2F34"/>
    <w:rsid w:val="00FF437D"/>
    <w:rsid w:val="00FF596D"/>
    <w:rsid w:val="0114C5C8"/>
    <w:rsid w:val="013CAD54"/>
    <w:rsid w:val="0146A30D"/>
    <w:rsid w:val="014E4CBE"/>
    <w:rsid w:val="017B61BD"/>
    <w:rsid w:val="019318C2"/>
    <w:rsid w:val="01C69B32"/>
    <w:rsid w:val="01DA7152"/>
    <w:rsid w:val="01DFE9BE"/>
    <w:rsid w:val="01FA1FE9"/>
    <w:rsid w:val="01FE0CC7"/>
    <w:rsid w:val="02445142"/>
    <w:rsid w:val="02658D25"/>
    <w:rsid w:val="02B63FC8"/>
    <w:rsid w:val="02C47361"/>
    <w:rsid w:val="02D18F61"/>
    <w:rsid w:val="02E45AA8"/>
    <w:rsid w:val="02F8E2EF"/>
    <w:rsid w:val="0302A777"/>
    <w:rsid w:val="03366A4E"/>
    <w:rsid w:val="034FE3C3"/>
    <w:rsid w:val="03510733"/>
    <w:rsid w:val="036AD4DD"/>
    <w:rsid w:val="0384D46C"/>
    <w:rsid w:val="03A0BE1D"/>
    <w:rsid w:val="03E1ABDF"/>
    <w:rsid w:val="04136E7B"/>
    <w:rsid w:val="0424E59D"/>
    <w:rsid w:val="04531559"/>
    <w:rsid w:val="04558962"/>
    <w:rsid w:val="04666A6D"/>
    <w:rsid w:val="04C9543D"/>
    <w:rsid w:val="050CB53F"/>
    <w:rsid w:val="0517EC22"/>
    <w:rsid w:val="0551468C"/>
    <w:rsid w:val="056D5206"/>
    <w:rsid w:val="05718584"/>
    <w:rsid w:val="0573A917"/>
    <w:rsid w:val="05844610"/>
    <w:rsid w:val="06084715"/>
    <w:rsid w:val="060D1E73"/>
    <w:rsid w:val="06287B28"/>
    <w:rsid w:val="062FC952"/>
    <w:rsid w:val="06797CE6"/>
    <w:rsid w:val="06BBAC17"/>
    <w:rsid w:val="06D7A398"/>
    <w:rsid w:val="06F306AA"/>
    <w:rsid w:val="06F6A7C7"/>
    <w:rsid w:val="0708352A"/>
    <w:rsid w:val="0746B02B"/>
    <w:rsid w:val="0775F0B7"/>
    <w:rsid w:val="07884F79"/>
    <w:rsid w:val="0790AB8B"/>
    <w:rsid w:val="07F9CF6C"/>
    <w:rsid w:val="081E440C"/>
    <w:rsid w:val="0820401A"/>
    <w:rsid w:val="08C45179"/>
    <w:rsid w:val="09316094"/>
    <w:rsid w:val="09C412C4"/>
    <w:rsid w:val="09E34D90"/>
    <w:rsid w:val="0A164FBF"/>
    <w:rsid w:val="0A1A9B89"/>
    <w:rsid w:val="0A5753FB"/>
    <w:rsid w:val="0AD9DDE7"/>
    <w:rsid w:val="0B0EC170"/>
    <w:rsid w:val="0B2C736B"/>
    <w:rsid w:val="0B4847A1"/>
    <w:rsid w:val="0B7A36CB"/>
    <w:rsid w:val="0BA4999B"/>
    <w:rsid w:val="0BB4E33C"/>
    <w:rsid w:val="0BD22889"/>
    <w:rsid w:val="0BDF2678"/>
    <w:rsid w:val="0C5C869E"/>
    <w:rsid w:val="0C7C5FF7"/>
    <w:rsid w:val="0C8C4FB5"/>
    <w:rsid w:val="0CB67503"/>
    <w:rsid w:val="0D137E78"/>
    <w:rsid w:val="0D281DC3"/>
    <w:rsid w:val="0D71EE05"/>
    <w:rsid w:val="0DADC699"/>
    <w:rsid w:val="0DC6AE53"/>
    <w:rsid w:val="0DEECCB8"/>
    <w:rsid w:val="0DEFABC4"/>
    <w:rsid w:val="0DF62466"/>
    <w:rsid w:val="0E1BFF5F"/>
    <w:rsid w:val="0E3776AD"/>
    <w:rsid w:val="0E41B204"/>
    <w:rsid w:val="0E7D5B27"/>
    <w:rsid w:val="0E925855"/>
    <w:rsid w:val="0E941A14"/>
    <w:rsid w:val="0EA2F559"/>
    <w:rsid w:val="0ED4E60A"/>
    <w:rsid w:val="0F1A0936"/>
    <w:rsid w:val="0F3ADEA7"/>
    <w:rsid w:val="0F3E365E"/>
    <w:rsid w:val="0F7E0201"/>
    <w:rsid w:val="0F9206DD"/>
    <w:rsid w:val="0F972713"/>
    <w:rsid w:val="0F9AD85C"/>
    <w:rsid w:val="0F9F8F26"/>
    <w:rsid w:val="0FA7DE84"/>
    <w:rsid w:val="0FA81347"/>
    <w:rsid w:val="0FCA377B"/>
    <w:rsid w:val="103E8BF7"/>
    <w:rsid w:val="1043BDA0"/>
    <w:rsid w:val="104E6ACC"/>
    <w:rsid w:val="104F14E3"/>
    <w:rsid w:val="1060B27E"/>
    <w:rsid w:val="1064D0A2"/>
    <w:rsid w:val="10732E10"/>
    <w:rsid w:val="10CB5A56"/>
    <w:rsid w:val="111E6574"/>
    <w:rsid w:val="115D0B7B"/>
    <w:rsid w:val="115EC04F"/>
    <w:rsid w:val="11B7224B"/>
    <w:rsid w:val="11D239C7"/>
    <w:rsid w:val="1202676B"/>
    <w:rsid w:val="122E35FD"/>
    <w:rsid w:val="12341B3C"/>
    <w:rsid w:val="123C5427"/>
    <w:rsid w:val="1244561A"/>
    <w:rsid w:val="1261DA6F"/>
    <w:rsid w:val="1274BF34"/>
    <w:rsid w:val="128B4D08"/>
    <w:rsid w:val="12A5640B"/>
    <w:rsid w:val="13710582"/>
    <w:rsid w:val="138DF400"/>
    <w:rsid w:val="13A81782"/>
    <w:rsid w:val="1416DDA6"/>
    <w:rsid w:val="141FB909"/>
    <w:rsid w:val="1428E042"/>
    <w:rsid w:val="14888A3E"/>
    <w:rsid w:val="14C57764"/>
    <w:rsid w:val="14DBB70B"/>
    <w:rsid w:val="14E26321"/>
    <w:rsid w:val="15015ACC"/>
    <w:rsid w:val="1506BEAD"/>
    <w:rsid w:val="1507FA7D"/>
    <w:rsid w:val="150EE0D4"/>
    <w:rsid w:val="15242000"/>
    <w:rsid w:val="158BD82E"/>
    <w:rsid w:val="15B02599"/>
    <w:rsid w:val="15D3BE10"/>
    <w:rsid w:val="15D95A37"/>
    <w:rsid w:val="15D9D034"/>
    <w:rsid w:val="163A0CBA"/>
    <w:rsid w:val="165A6300"/>
    <w:rsid w:val="1697A168"/>
    <w:rsid w:val="16C8DA02"/>
    <w:rsid w:val="16DD6787"/>
    <w:rsid w:val="1720C902"/>
    <w:rsid w:val="172E3FFB"/>
    <w:rsid w:val="172FAF5F"/>
    <w:rsid w:val="17423407"/>
    <w:rsid w:val="1753608F"/>
    <w:rsid w:val="176A98C6"/>
    <w:rsid w:val="1796FE5D"/>
    <w:rsid w:val="17B50C73"/>
    <w:rsid w:val="17D1A4D9"/>
    <w:rsid w:val="17FCB64D"/>
    <w:rsid w:val="181F0DA3"/>
    <w:rsid w:val="187D6B97"/>
    <w:rsid w:val="188AADE4"/>
    <w:rsid w:val="19190D63"/>
    <w:rsid w:val="1939BE92"/>
    <w:rsid w:val="197E6112"/>
    <w:rsid w:val="19B04ECE"/>
    <w:rsid w:val="19ED9C03"/>
    <w:rsid w:val="19FD9E30"/>
    <w:rsid w:val="19FDD6DB"/>
    <w:rsid w:val="1A067393"/>
    <w:rsid w:val="1A6A9E39"/>
    <w:rsid w:val="1AB2DDE2"/>
    <w:rsid w:val="1AC9779B"/>
    <w:rsid w:val="1AD1AE10"/>
    <w:rsid w:val="1AD44C64"/>
    <w:rsid w:val="1AD643C5"/>
    <w:rsid w:val="1AEAA71C"/>
    <w:rsid w:val="1B06D61E"/>
    <w:rsid w:val="1B06FDBF"/>
    <w:rsid w:val="1B0EEA4A"/>
    <w:rsid w:val="1B9B6FD6"/>
    <w:rsid w:val="1C4FB9D1"/>
    <w:rsid w:val="1C5772A5"/>
    <w:rsid w:val="1C610A28"/>
    <w:rsid w:val="1C6F44D9"/>
    <w:rsid w:val="1C89631E"/>
    <w:rsid w:val="1CFDC543"/>
    <w:rsid w:val="1D0100E3"/>
    <w:rsid w:val="1D26D62D"/>
    <w:rsid w:val="1D5EC04C"/>
    <w:rsid w:val="1D932C20"/>
    <w:rsid w:val="1DA34929"/>
    <w:rsid w:val="1DC1ABE0"/>
    <w:rsid w:val="1E1481EB"/>
    <w:rsid w:val="1E7B7230"/>
    <w:rsid w:val="1E8FE2B1"/>
    <w:rsid w:val="1E9CB570"/>
    <w:rsid w:val="1EC3BCF7"/>
    <w:rsid w:val="1F5CD073"/>
    <w:rsid w:val="1F5D7C2B"/>
    <w:rsid w:val="1F6AC836"/>
    <w:rsid w:val="1FCBA75E"/>
    <w:rsid w:val="1FDC4711"/>
    <w:rsid w:val="1FE4DB9F"/>
    <w:rsid w:val="20365CA9"/>
    <w:rsid w:val="2062FAFF"/>
    <w:rsid w:val="2064B5C0"/>
    <w:rsid w:val="206CD7EA"/>
    <w:rsid w:val="20702C90"/>
    <w:rsid w:val="20A9B747"/>
    <w:rsid w:val="20CA3E45"/>
    <w:rsid w:val="20D1C803"/>
    <w:rsid w:val="20F0C72C"/>
    <w:rsid w:val="20FB962C"/>
    <w:rsid w:val="210904AB"/>
    <w:rsid w:val="214A67D8"/>
    <w:rsid w:val="21621294"/>
    <w:rsid w:val="219409E7"/>
    <w:rsid w:val="219C08B6"/>
    <w:rsid w:val="2297668D"/>
    <w:rsid w:val="229A4FB1"/>
    <w:rsid w:val="22C9D8FF"/>
    <w:rsid w:val="23087F5F"/>
    <w:rsid w:val="23190010"/>
    <w:rsid w:val="2394E478"/>
    <w:rsid w:val="239B1614"/>
    <w:rsid w:val="23B061B5"/>
    <w:rsid w:val="23CB2C4C"/>
    <w:rsid w:val="23FB81E6"/>
    <w:rsid w:val="23FD24F5"/>
    <w:rsid w:val="240181A2"/>
    <w:rsid w:val="24091759"/>
    <w:rsid w:val="241A23BB"/>
    <w:rsid w:val="242F01CA"/>
    <w:rsid w:val="248E5390"/>
    <w:rsid w:val="24A2EA11"/>
    <w:rsid w:val="24A675E4"/>
    <w:rsid w:val="24B1312F"/>
    <w:rsid w:val="24D33BF8"/>
    <w:rsid w:val="25074391"/>
    <w:rsid w:val="25599379"/>
    <w:rsid w:val="256EA75C"/>
    <w:rsid w:val="257AFE6A"/>
    <w:rsid w:val="25BFCD91"/>
    <w:rsid w:val="25E00779"/>
    <w:rsid w:val="262B83D7"/>
    <w:rsid w:val="2664AE6A"/>
    <w:rsid w:val="2673C8AF"/>
    <w:rsid w:val="2694E723"/>
    <w:rsid w:val="26AC70DC"/>
    <w:rsid w:val="26BCDFC8"/>
    <w:rsid w:val="2714F35A"/>
    <w:rsid w:val="27541232"/>
    <w:rsid w:val="27890C42"/>
    <w:rsid w:val="27B95A84"/>
    <w:rsid w:val="27CC4E2D"/>
    <w:rsid w:val="27D9DABF"/>
    <w:rsid w:val="27E57968"/>
    <w:rsid w:val="27F689C8"/>
    <w:rsid w:val="2830B784"/>
    <w:rsid w:val="2866D68A"/>
    <w:rsid w:val="28D8A9E4"/>
    <w:rsid w:val="29037310"/>
    <w:rsid w:val="290AC821"/>
    <w:rsid w:val="290EC5DE"/>
    <w:rsid w:val="29706F51"/>
    <w:rsid w:val="297CF8EB"/>
    <w:rsid w:val="29AD7FC4"/>
    <w:rsid w:val="29B55F9E"/>
    <w:rsid w:val="29D71D38"/>
    <w:rsid w:val="2A51E64B"/>
    <w:rsid w:val="2A8A7CD7"/>
    <w:rsid w:val="2A91AA44"/>
    <w:rsid w:val="2AF4F2AD"/>
    <w:rsid w:val="2B42BB0C"/>
    <w:rsid w:val="2B7B6B77"/>
    <w:rsid w:val="2B993514"/>
    <w:rsid w:val="2BB6C4BF"/>
    <w:rsid w:val="2BC259D6"/>
    <w:rsid w:val="2BC561C8"/>
    <w:rsid w:val="2BD4E2FD"/>
    <w:rsid w:val="2C044447"/>
    <w:rsid w:val="2C0EA375"/>
    <w:rsid w:val="2C2ABB46"/>
    <w:rsid w:val="2C321D32"/>
    <w:rsid w:val="2C33788F"/>
    <w:rsid w:val="2C56AB41"/>
    <w:rsid w:val="2C6202BA"/>
    <w:rsid w:val="2C8CC496"/>
    <w:rsid w:val="2C95A26A"/>
    <w:rsid w:val="2CB7ED9B"/>
    <w:rsid w:val="2CCA7B34"/>
    <w:rsid w:val="2CCB1AD8"/>
    <w:rsid w:val="2CCCDFF1"/>
    <w:rsid w:val="2CD3FE43"/>
    <w:rsid w:val="2CEE7590"/>
    <w:rsid w:val="2CFEEF7C"/>
    <w:rsid w:val="2D013018"/>
    <w:rsid w:val="2D2E71D8"/>
    <w:rsid w:val="2D3F0882"/>
    <w:rsid w:val="2D89C6F2"/>
    <w:rsid w:val="2DE211AA"/>
    <w:rsid w:val="2DF7EB9A"/>
    <w:rsid w:val="2E419B1A"/>
    <w:rsid w:val="2E5CB24A"/>
    <w:rsid w:val="2E5EF7AC"/>
    <w:rsid w:val="2E69C6FF"/>
    <w:rsid w:val="2E9419CF"/>
    <w:rsid w:val="2EB8494B"/>
    <w:rsid w:val="2EEFC40D"/>
    <w:rsid w:val="2F1A3BA5"/>
    <w:rsid w:val="2F216485"/>
    <w:rsid w:val="2F30A81E"/>
    <w:rsid w:val="2F45129F"/>
    <w:rsid w:val="2F7C02DE"/>
    <w:rsid w:val="2F826047"/>
    <w:rsid w:val="2FAE1D6B"/>
    <w:rsid w:val="2FB98065"/>
    <w:rsid w:val="2FC8B8D2"/>
    <w:rsid w:val="2FFF7070"/>
    <w:rsid w:val="2FFFD545"/>
    <w:rsid w:val="3031227E"/>
    <w:rsid w:val="30A613BB"/>
    <w:rsid w:val="30EF711F"/>
    <w:rsid w:val="3117CC8B"/>
    <w:rsid w:val="3169E26B"/>
    <w:rsid w:val="318E9CBA"/>
    <w:rsid w:val="318F7E94"/>
    <w:rsid w:val="3193CF71"/>
    <w:rsid w:val="31AA2024"/>
    <w:rsid w:val="320B3C37"/>
    <w:rsid w:val="32139092"/>
    <w:rsid w:val="324E4F45"/>
    <w:rsid w:val="3296BA50"/>
    <w:rsid w:val="32D5F210"/>
    <w:rsid w:val="32DBE7DF"/>
    <w:rsid w:val="332DAA74"/>
    <w:rsid w:val="33338DAF"/>
    <w:rsid w:val="33377607"/>
    <w:rsid w:val="3339235A"/>
    <w:rsid w:val="333C9E1E"/>
    <w:rsid w:val="335E1A95"/>
    <w:rsid w:val="33ADA433"/>
    <w:rsid w:val="33B189D4"/>
    <w:rsid w:val="33B99D1E"/>
    <w:rsid w:val="33EAED7C"/>
    <w:rsid w:val="340F196F"/>
    <w:rsid w:val="343DDA3F"/>
    <w:rsid w:val="343FD868"/>
    <w:rsid w:val="347832E2"/>
    <w:rsid w:val="34894943"/>
    <w:rsid w:val="34AADC6D"/>
    <w:rsid w:val="34AC0463"/>
    <w:rsid w:val="34C58E10"/>
    <w:rsid w:val="35259CB9"/>
    <w:rsid w:val="35340A8F"/>
    <w:rsid w:val="35447EA8"/>
    <w:rsid w:val="3551D46E"/>
    <w:rsid w:val="3563A3A8"/>
    <w:rsid w:val="35781AF2"/>
    <w:rsid w:val="3589151D"/>
    <w:rsid w:val="35EFE8B9"/>
    <w:rsid w:val="361D2656"/>
    <w:rsid w:val="36AE6CE9"/>
    <w:rsid w:val="36C1177D"/>
    <w:rsid w:val="36C62C94"/>
    <w:rsid w:val="36E92BB8"/>
    <w:rsid w:val="3714266F"/>
    <w:rsid w:val="371E7A45"/>
    <w:rsid w:val="3721609A"/>
    <w:rsid w:val="379300F1"/>
    <w:rsid w:val="37A05F43"/>
    <w:rsid w:val="37A7A70C"/>
    <w:rsid w:val="37AA7997"/>
    <w:rsid w:val="37B36FC9"/>
    <w:rsid w:val="37B9AFC0"/>
    <w:rsid w:val="37C99641"/>
    <w:rsid w:val="3800EDF6"/>
    <w:rsid w:val="383227FB"/>
    <w:rsid w:val="384EB759"/>
    <w:rsid w:val="3906D817"/>
    <w:rsid w:val="392B744F"/>
    <w:rsid w:val="393C2FA4"/>
    <w:rsid w:val="396542E9"/>
    <w:rsid w:val="3977E7FA"/>
    <w:rsid w:val="399B5861"/>
    <w:rsid w:val="399C623A"/>
    <w:rsid w:val="39B61B04"/>
    <w:rsid w:val="3A4F6272"/>
    <w:rsid w:val="3A4FB310"/>
    <w:rsid w:val="3AF013BD"/>
    <w:rsid w:val="3B26CFD9"/>
    <w:rsid w:val="3B877DCC"/>
    <w:rsid w:val="3BA40AD4"/>
    <w:rsid w:val="3C0D1284"/>
    <w:rsid w:val="3C3B0C8B"/>
    <w:rsid w:val="3C461368"/>
    <w:rsid w:val="3C5EBD29"/>
    <w:rsid w:val="3C960AF2"/>
    <w:rsid w:val="3D81D8E6"/>
    <w:rsid w:val="3D94478E"/>
    <w:rsid w:val="3DA6E271"/>
    <w:rsid w:val="3DA8F034"/>
    <w:rsid w:val="3E812A9E"/>
    <w:rsid w:val="3E98D0DC"/>
    <w:rsid w:val="3EA825E7"/>
    <w:rsid w:val="3EB46B8F"/>
    <w:rsid w:val="3EC5D804"/>
    <w:rsid w:val="3EDDC19C"/>
    <w:rsid w:val="3EF6BC37"/>
    <w:rsid w:val="3EF7B6C3"/>
    <w:rsid w:val="3F1CCED6"/>
    <w:rsid w:val="3F8688CA"/>
    <w:rsid w:val="4004884D"/>
    <w:rsid w:val="404415D8"/>
    <w:rsid w:val="40B324C5"/>
    <w:rsid w:val="40BFCBD6"/>
    <w:rsid w:val="40E1A4E1"/>
    <w:rsid w:val="40E5E6A5"/>
    <w:rsid w:val="40EBCD39"/>
    <w:rsid w:val="41101D47"/>
    <w:rsid w:val="41335E97"/>
    <w:rsid w:val="41569058"/>
    <w:rsid w:val="41D61149"/>
    <w:rsid w:val="420430E9"/>
    <w:rsid w:val="4252B5CF"/>
    <w:rsid w:val="42B0E38D"/>
    <w:rsid w:val="42EC301F"/>
    <w:rsid w:val="42F317BE"/>
    <w:rsid w:val="43429058"/>
    <w:rsid w:val="4363875A"/>
    <w:rsid w:val="436A94EE"/>
    <w:rsid w:val="43AEB812"/>
    <w:rsid w:val="43B0847D"/>
    <w:rsid w:val="43D0E624"/>
    <w:rsid w:val="43F76C98"/>
    <w:rsid w:val="4403C8D9"/>
    <w:rsid w:val="44308AA5"/>
    <w:rsid w:val="446EBDDE"/>
    <w:rsid w:val="449261C5"/>
    <w:rsid w:val="4500F1A3"/>
    <w:rsid w:val="450D457B"/>
    <w:rsid w:val="452D4BED"/>
    <w:rsid w:val="457BD5DD"/>
    <w:rsid w:val="460F2408"/>
    <w:rsid w:val="469C36D2"/>
    <w:rsid w:val="46C04BBE"/>
    <w:rsid w:val="46C7A1CC"/>
    <w:rsid w:val="46CEC3E5"/>
    <w:rsid w:val="46D81B10"/>
    <w:rsid w:val="46EEE3AE"/>
    <w:rsid w:val="4734398F"/>
    <w:rsid w:val="477B1A8D"/>
    <w:rsid w:val="478AF52E"/>
    <w:rsid w:val="47BFA2F0"/>
    <w:rsid w:val="482389B6"/>
    <w:rsid w:val="484A4E4D"/>
    <w:rsid w:val="48523153"/>
    <w:rsid w:val="487203B3"/>
    <w:rsid w:val="488F95B0"/>
    <w:rsid w:val="48B56FF3"/>
    <w:rsid w:val="48C9F812"/>
    <w:rsid w:val="48DE1D72"/>
    <w:rsid w:val="49666024"/>
    <w:rsid w:val="496A2CC3"/>
    <w:rsid w:val="4994EC6F"/>
    <w:rsid w:val="49A89461"/>
    <w:rsid w:val="49FE5412"/>
    <w:rsid w:val="4A01A095"/>
    <w:rsid w:val="4A035505"/>
    <w:rsid w:val="4A4F57CE"/>
    <w:rsid w:val="4A9FC818"/>
    <w:rsid w:val="4AA59832"/>
    <w:rsid w:val="4ACF4ADF"/>
    <w:rsid w:val="4B085D02"/>
    <w:rsid w:val="4B0E7128"/>
    <w:rsid w:val="4B18BB0D"/>
    <w:rsid w:val="4B408073"/>
    <w:rsid w:val="4B5B0651"/>
    <w:rsid w:val="4B7A61AC"/>
    <w:rsid w:val="4C2B67D9"/>
    <w:rsid w:val="4C4ADB12"/>
    <w:rsid w:val="4C9AB234"/>
    <w:rsid w:val="4C9AC9E1"/>
    <w:rsid w:val="4CA3042B"/>
    <w:rsid w:val="4CAD8CEA"/>
    <w:rsid w:val="4CC0A6D9"/>
    <w:rsid w:val="4CC24EF9"/>
    <w:rsid w:val="4D224058"/>
    <w:rsid w:val="4D81F63A"/>
    <w:rsid w:val="4DBB6FA8"/>
    <w:rsid w:val="4DDD0ABD"/>
    <w:rsid w:val="4E12AE09"/>
    <w:rsid w:val="4E149700"/>
    <w:rsid w:val="4E263954"/>
    <w:rsid w:val="4E573E23"/>
    <w:rsid w:val="4E60C0FC"/>
    <w:rsid w:val="4E732516"/>
    <w:rsid w:val="4EABCDFF"/>
    <w:rsid w:val="4EEDB1E9"/>
    <w:rsid w:val="4F1344A7"/>
    <w:rsid w:val="4F1999DC"/>
    <w:rsid w:val="4F1F3284"/>
    <w:rsid w:val="4F24489B"/>
    <w:rsid w:val="4F765261"/>
    <w:rsid w:val="4F85FAA7"/>
    <w:rsid w:val="4F8CFA37"/>
    <w:rsid w:val="4F91AF5C"/>
    <w:rsid w:val="4FADFC2D"/>
    <w:rsid w:val="4FCACC66"/>
    <w:rsid w:val="504FE370"/>
    <w:rsid w:val="5076414C"/>
    <w:rsid w:val="50912AF2"/>
    <w:rsid w:val="50BBC660"/>
    <w:rsid w:val="50C1675E"/>
    <w:rsid w:val="510C3BC2"/>
    <w:rsid w:val="5130E6C3"/>
    <w:rsid w:val="5131D8D1"/>
    <w:rsid w:val="51C5529D"/>
    <w:rsid w:val="51F4F283"/>
    <w:rsid w:val="52290AC2"/>
    <w:rsid w:val="526136E7"/>
    <w:rsid w:val="5275A095"/>
    <w:rsid w:val="527CEE91"/>
    <w:rsid w:val="52B68CAD"/>
    <w:rsid w:val="530BF570"/>
    <w:rsid w:val="5337567A"/>
    <w:rsid w:val="533D20D4"/>
    <w:rsid w:val="537117EF"/>
    <w:rsid w:val="53FE58CB"/>
    <w:rsid w:val="5401627C"/>
    <w:rsid w:val="54421E9E"/>
    <w:rsid w:val="548E32A9"/>
    <w:rsid w:val="54CC926D"/>
    <w:rsid w:val="54F860E5"/>
    <w:rsid w:val="55114FC2"/>
    <w:rsid w:val="55283560"/>
    <w:rsid w:val="5560EF6E"/>
    <w:rsid w:val="556EF2B7"/>
    <w:rsid w:val="557B0E22"/>
    <w:rsid w:val="55C6023C"/>
    <w:rsid w:val="55E197F6"/>
    <w:rsid w:val="5604E1DF"/>
    <w:rsid w:val="56429B9A"/>
    <w:rsid w:val="566BB810"/>
    <w:rsid w:val="5680215F"/>
    <w:rsid w:val="56849778"/>
    <w:rsid w:val="56949070"/>
    <w:rsid w:val="56C2BA6D"/>
    <w:rsid w:val="56C70C5D"/>
    <w:rsid w:val="56DEE583"/>
    <w:rsid w:val="56F33C6A"/>
    <w:rsid w:val="5727E8B7"/>
    <w:rsid w:val="57B9DA9D"/>
    <w:rsid w:val="57E17560"/>
    <w:rsid w:val="57EF75B8"/>
    <w:rsid w:val="58151711"/>
    <w:rsid w:val="5821C5AD"/>
    <w:rsid w:val="586C5D2F"/>
    <w:rsid w:val="58971D00"/>
    <w:rsid w:val="589F7D32"/>
    <w:rsid w:val="589FAF71"/>
    <w:rsid w:val="58AE3E4C"/>
    <w:rsid w:val="58B2176C"/>
    <w:rsid w:val="58B5A341"/>
    <w:rsid w:val="58C66988"/>
    <w:rsid w:val="58DFB562"/>
    <w:rsid w:val="58F5965B"/>
    <w:rsid w:val="59005BAC"/>
    <w:rsid w:val="594AB215"/>
    <w:rsid w:val="5978C689"/>
    <w:rsid w:val="599780D3"/>
    <w:rsid w:val="59A5DD6A"/>
    <w:rsid w:val="59CFCFDE"/>
    <w:rsid w:val="5A0D79C5"/>
    <w:rsid w:val="5A0FE550"/>
    <w:rsid w:val="5A352E55"/>
    <w:rsid w:val="5A410219"/>
    <w:rsid w:val="5A5D1E7A"/>
    <w:rsid w:val="5A81615B"/>
    <w:rsid w:val="5A915522"/>
    <w:rsid w:val="5AA0698D"/>
    <w:rsid w:val="5AB8980A"/>
    <w:rsid w:val="5AC77D05"/>
    <w:rsid w:val="5ADD6EB3"/>
    <w:rsid w:val="5AF21D2F"/>
    <w:rsid w:val="5B19B7B0"/>
    <w:rsid w:val="5B5C988A"/>
    <w:rsid w:val="5B9A52A1"/>
    <w:rsid w:val="5BA9D016"/>
    <w:rsid w:val="5BECEA7B"/>
    <w:rsid w:val="5BF8ABB0"/>
    <w:rsid w:val="5C32539D"/>
    <w:rsid w:val="5C5FD21A"/>
    <w:rsid w:val="5CAF152E"/>
    <w:rsid w:val="5CB47827"/>
    <w:rsid w:val="5CC9FE01"/>
    <w:rsid w:val="5D002FF3"/>
    <w:rsid w:val="5D0AFE47"/>
    <w:rsid w:val="5D18211A"/>
    <w:rsid w:val="5D354318"/>
    <w:rsid w:val="5D499808"/>
    <w:rsid w:val="5D617959"/>
    <w:rsid w:val="5D711AF7"/>
    <w:rsid w:val="5D8C91C0"/>
    <w:rsid w:val="5DCE6336"/>
    <w:rsid w:val="5DF77D00"/>
    <w:rsid w:val="5DFBA27B"/>
    <w:rsid w:val="5E1A8A26"/>
    <w:rsid w:val="5E2971DB"/>
    <w:rsid w:val="5E53A0E9"/>
    <w:rsid w:val="5E68F29E"/>
    <w:rsid w:val="5F57BF58"/>
    <w:rsid w:val="5FA49902"/>
    <w:rsid w:val="5FC7BA27"/>
    <w:rsid w:val="5FFDD585"/>
    <w:rsid w:val="601AC96E"/>
    <w:rsid w:val="60239661"/>
    <w:rsid w:val="605D9EA7"/>
    <w:rsid w:val="606ABCC6"/>
    <w:rsid w:val="608C9EFF"/>
    <w:rsid w:val="609DD705"/>
    <w:rsid w:val="610F7DAC"/>
    <w:rsid w:val="613A74C8"/>
    <w:rsid w:val="61402D18"/>
    <w:rsid w:val="61B3E0A1"/>
    <w:rsid w:val="61D0318D"/>
    <w:rsid w:val="623D6DBC"/>
    <w:rsid w:val="62495007"/>
    <w:rsid w:val="6291D536"/>
    <w:rsid w:val="62D513F1"/>
    <w:rsid w:val="62EA5155"/>
    <w:rsid w:val="63032688"/>
    <w:rsid w:val="63343EAE"/>
    <w:rsid w:val="63352D9B"/>
    <w:rsid w:val="638FF845"/>
    <w:rsid w:val="6396589C"/>
    <w:rsid w:val="63AFA3E6"/>
    <w:rsid w:val="63CF864B"/>
    <w:rsid w:val="63E9ED59"/>
    <w:rsid w:val="6403E600"/>
    <w:rsid w:val="64497F88"/>
    <w:rsid w:val="647BF875"/>
    <w:rsid w:val="64896703"/>
    <w:rsid w:val="64AD1867"/>
    <w:rsid w:val="64B5B97C"/>
    <w:rsid w:val="64D39A99"/>
    <w:rsid w:val="65157DE6"/>
    <w:rsid w:val="65C71818"/>
    <w:rsid w:val="65CCE92D"/>
    <w:rsid w:val="65D9E800"/>
    <w:rsid w:val="65E45EBE"/>
    <w:rsid w:val="65E4D3A0"/>
    <w:rsid w:val="65EB7AAE"/>
    <w:rsid w:val="65EE0206"/>
    <w:rsid w:val="6664D64A"/>
    <w:rsid w:val="6687FFAA"/>
    <w:rsid w:val="66913788"/>
    <w:rsid w:val="669A67C6"/>
    <w:rsid w:val="66DD071B"/>
    <w:rsid w:val="66EC606D"/>
    <w:rsid w:val="6711D71A"/>
    <w:rsid w:val="672DCB9B"/>
    <w:rsid w:val="672EF7BA"/>
    <w:rsid w:val="67500F6B"/>
    <w:rsid w:val="6755A5DC"/>
    <w:rsid w:val="67E1C3D1"/>
    <w:rsid w:val="67E51BA2"/>
    <w:rsid w:val="67F3297A"/>
    <w:rsid w:val="68002AB3"/>
    <w:rsid w:val="68375E1F"/>
    <w:rsid w:val="683DF4AA"/>
    <w:rsid w:val="686967B7"/>
    <w:rsid w:val="686CAA26"/>
    <w:rsid w:val="686D3057"/>
    <w:rsid w:val="687136BD"/>
    <w:rsid w:val="68A43CCC"/>
    <w:rsid w:val="691C3646"/>
    <w:rsid w:val="692EA7E6"/>
    <w:rsid w:val="6933D2E7"/>
    <w:rsid w:val="69B4C5E3"/>
    <w:rsid w:val="69B58525"/>
    <w:rsid w:val="6A3BF4C6"/>
    <w:rsid w:val="6A3F5F47"/>
    <w:rsid w:val="6A4E07B9"/>
    <w:rsid w:val="6A6254A3"/>
    <w:rsid w:val="6A894E64"/>
    <w:rsid w:val="6AA91B5D"/>
    <w:rsid w:val="6AD26791"/>
    <w:rsid w:val="6ADAB9BE"/>
    <w:rsid w:val="6B0E69B6"/>
    <w:rsid w:val="6B1BD660"/>
    <w:rsid w:val="6B2833E2"/>
    <w:rsid w:val="6B31F34A"/>
    <w:rsid w:val="6B618402"/>
    <w:rsid w:val="6B64737C"/>
    <w:rsid w:val="6B8F7B1E"/>
    <w:rsid w:val="6BA1FE1B"/>
    <w:rsid w:val="6BC87A2A"/>
    <w:rsid w:val="6BD6CFF7"/>
    <w:rsid w:val="6C11C3D6"/>
    <w:rsid w:val="6C168057"/>
    <w:rsid w:val="6C2D031E"/>
    <w:rsid w:val="6C6E37F2"/>
    <w:rsid w:val="6C758915"/>
    <w:rsid w:val="6C8AF6BC"/>
    <w:rsid w:val="6CAD3B70"/>
    <w:rsid w:val="6CFC54C4"/>
    <w:rsid w:val="6D35C6B1"/>
    <w:rsid w:val="6D50CC1A"/>
    <w:rsid w:val="6D78449B"/>
    <w:rsid w:val="6DE3ECC8"/>
    <w:rsid w:val="6E04EC54"/>
    <w:rsid w:val="6E09B02A"/>
    <w:rsid w:val="6E116E48"/>
    <w:rsid w:val="6E1787AC"/>
    <w:rsid w:val="6E303BF4"/>
    <w:rsid w:val="6E7B01B4"/>
    <w:rsid w:val="6E9924C4"/>
    <w:rsid w:val="6EB4F207"/>
    <w:rsid w:val="6ECE199B"/>
    <w:rsid w:val="6ED500C5"/>
    <w:rsid w:val="6EE5C8FB"/>
    <w:rsid w:val="6F01ABEC"/>
    <w:rsid w:val="6F0F780A"/>
    <w:rsid w:val="6F319A8F"/>
    <w:rsid w:val="6F82E195"/>
    <w:rsid w:val="6FAFC0FD"/>
    <w:rsid w:val="6FE476AF"/>
    <w:rsid w:val="6FEB9D05"/>
    <w:rsid w:val="6FF8740D"/>
    <w:rsid w:val="70013750"/>
    <w:rsid w:val="700D83C9"/>
    <w:rsid w:val="70142BA5"/>
    <w:rsid w:val="701C3C58"/>
    <w:rsid w:val="7048EEEF"/>
    <w:rsid w:val="70B849D5"/>
    <w:rsid w:val="70BEC5CC"/>
    <w:rsid w:val="70C2C42D"/>
    <w:rsid w:val="70C4A6EB"/>
    <w:rsid w:val="70F49F5E"/>
    <w:rsid w:val="7101BE33"/>
    <w:rsid w:val="711E00BA"/>
    <w:rsid w:val="7120942D"/>
    <w:rsid w:val="7168689F"/>
    <w:rsid w:val="71727312"/>
    <w:rsid w:val="7186603A"/>
    <w:rsid w:val="71D1D1A4"/>
    <w:rsid w:val="71FCC464"/>
    <w:rsid w:val="7238B90E"/>
    <w:rsid w:val="7241C870"/>
    <w:rsid w:val="725864B1"/>
    <w:rsid w:val="729BF30D"/>
    <w:rsid w:val="72E33CFC"/>
    <w:rsid w:val="72ED6DCC"/>
    <w:rsid w:val="72F744F2"/>
    <w:rsid w:val="73280FB8"/>
    <w:rsid w:val="7328104B"/>
    <w:rsid w:val="732EF1DC"/>
    <w:rsid w:val="7356F748"/>
    <w:rsid w:val="737065BD"/>
    <w:rsid w:val="73A2410F"/>
    <w:rsid w:val="73D42347"/>
    <w:rsid w:val="73ED16E8"/>
    <w:rsid w:val="73F7C051"/>
    <w:rsid w:val="744B6151"/>
    <w:rsid w:val="744C01F3"/>
    <w:rsid w:val="745834EF"/>
    <w:rsid w:val="748F2BFD"/>
    <w:rsid w:val="749DF736"/>
    <w:rsid w:val="74A47536"/>
    <w:rsid w:val="74F1FDED"/>
    <w:rsid w:val="75117F3E"/>
    <w:rsid w:val="752B16E7"/>
    <w:rsid w:val="75581E73"/>
    <w:rsid w:val="7569D958"/>
    <w:rsid w:val="756FF3A8"/>
    <w:rsid w:val="7589769A"/>
    <w:rsid w:val="7599A6B4"/>
    <w:rsid w:val="759EE790"/>
    <w:rsid w:val="76243900"/>
    <w:rsid w:val="76254E58"/>
    <w:rsid w:val="763FCF5D"/>
    <w:rsid w:val="766619A7"/>
    <w:rsid w:val="76687C7E"/>
    <w:rsid w:val="766E60B1"/>
    <w:rsid w:val="768491DE"/>
    <w:rsid w:val="76A40044"/>
    <w:rsid w:val="76AD54DD"/>
    <w:rsid w:val="76AFDE28"/>
    <w:rsid w:val="76C68E78"/>
    <w:rsid w:val="770BC409"/>
    <w:rsid w:val="7767B8CC"/>
    <w:rsid w:val="77911236"/>
    <w:rsid w:val="7811FF60"/>
    <w:rsid w:val="78167BE5"/>
    <w:rsid w:val="7839D711"/>
    <w:rsid w:val="78417211"/>
    <w:rsid w:val="7852B3EC"/>
    <w:rsid w:val="785D0C0A"/>
    <w:rsid w:val="786AC899"/>
    <w:rsid w:val="78E49757"/>
    <w:rsid w:val="78E9B3A2"/>
    <w:rsid w:val="79027104"/>
    <w:rsid w:val="79120B0C"/>
    <w:rsid w:val="7947EB05"/>
    <w:rsid w:val="794CD783"/>
    <w:rsid w:val="79901953"/>
    <w:rsid w:val="79ABAF3B"/>
    <w:rsid w:val="79E3FA04"/>
    <w:rsid w:val="7A0A3327"/>
    <w:rsid w:val="7A4CF62A"/>
    <w:rsid w:val="7A4E1D3C"/>
    <w:rsid w:val="7A760137"/>
    <w:rsid w:val="7A80465C"/>
    <w:rsid w:val="7AA1DE77"/>
    <w:rsid w:val="7B87E7C5"/>
    <w:rsid w:val="7C030D20"/>
    <w:rsid w:val="7C1BE247"/>
    <w:rsid w:val="7C2CC22A"/>
    <w:rsid w:val="7C71899F"/>
    <w:rsid w:val="7C9C60D0"/>
    <w:rsid w:val="7CF4CF9A"/>
    <w:rsid w:val="7D0C698B"/>
    <w:rsid w:val="7D169D06"/>
    <w:rsid w:val="7D16D567"/>
    <w:rsid w:val="7D7B058D"/>
    <w:rsid w:val="7D7B51B6"/>
    <w:rsid w:val="7D814300"/>
    <w:rsid w:val="7D83BC5B"/>
    <w:rsid w:val="7DC7FA4F"/>
    <w:rsid w:val="7E0C48B0"/>
    <w:rsid w:val="7E4DC156"/>
    <w:rsid w:val="7E5346A8"/>
    <w:rsid w:val="7E5DCAAC"/>
    <w:rsid w:val="7EC682B5"/>
    <w:rsid w:val="7ED129B5"/>
    <w:rsid w:val="7EE91926"/>
    <w:rsid w:val="7F0D12B2"/>
    <w:rsid w:val="7F6D0130"/>
    <w:rsid w:val="7F8D2B9B"/>
    <w:rsid w:val="7F954430"/>
    <w:rsid w:val="7FACB9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6BF2675"/>
  <w15:docId w15:val="{0A2A2CFE-6E4B-4D66-B0FD-81EE04CC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B92903"/>
    <w:pPr>
      <w:numPr>
        <w:numId w:val="1"/>
      </w:numPr>
      <w:contextualSpacing/>
    </w:pPr>
  </w:style>
  <w:style w:type="paragraph" w:styleId="ListBullet2">
    <w:name w:val="List Bullet 2"/>
    <w:basedOn w:val="Normal"/>
    <w:unhideWhenUsed/>
    <w:rsid w:val="00B92903"/>
    <w:pPr>
      <w:numPr>
        <w:numId w:val="2"/>
      </w:numPr>
      <w:contextualSpacing/>
    </w:pPr>
  </w:style>
  <w:style w:type="paragraph" w:styleId="ListBullet3">
    <w:name w:val="List Bullet 3"/>
    <w:basedOn w:val="Normal"/>
    <w:unhideWhenUsed/>
    <w:rsid w:val="00B92903"/>
    <w:pPr>
      <w:numPr>
        <w:numId w:val="3"/>
      </w:numPr>
      <w:contextualSpacing/>
    </w:pPr>
  </w:style>
  <w:style w:type="paragraph" w:styleId="ListBullet4">
    <w:name w:val="List Bullet 4"/>
    <w:basedOn w:val="Normal"/>
    <w:unhideWhenUsed/>
    <w:rsid w:val="00B92903"/>
    <w:pPr>
      <w:numPr>
        <w:numId w:val="4"/>
      </w:numPr>
      <w:contextualSpacing/>
    </w:pPr>
  </w:style>
  <w:style w:type="paragraph" w:customStyle="1" w:styleId="Normal1">
    <w:name w:val="Normal1"/>
    <w:basedOn w:val="Normal"/>
    <w:rsid w:val="00376D77"/>
    <w:pPr>
      <w:spacing w:before="100" w:beforeAutospacing="1" w:after="100" w:afterAutospacing="1"/>
      <w:jc w:val="left"/>
    </w:pPr>
  </w:style>
  <w:style w:type="character" w:customStyle="1" w:styleId="footnotereference">
    <w:name w:val="footnotereference"/>
    <w:basedOn w:val="DefaultParagraphFont"/>
    <w:rsid w:val="00376D77"/>
  </w:style>
  <w:style w:type="character" w:styleId="Hyperlink">
    <w:name w:val="Hyperlink"/>
    <w:basedOn w:val="DefaultParagraphFont"/>
    <w:uiPriority w:val="99"/>
    <w:unhideWhenUsed/>
    <w:rsid w:val="00376D77"/>
    <w:rPr>
      <w:color w:val="0000FF"/>
      <w:u w:val="single"/>
    </w:rPr>
  </w:style>
  <w:style w:type="character" w:customStyle="1" w:styleId="UnresolvedMention1">
    <w:name w:val="Unresolved Mention1"/>
    <w:basedOn w:val="DefaultParagraphFont"/>
    <w:uiPriority w:val="99"/>
    <w:semiHidden/>
    <w:unhideWhenUsed/>
    <w:rsid w:val="00376D77"/>
    <w:rPr>
      <w:color w:val="605E5C"/>
      <w:shd w:val="clear" w:color="auto" w:fill="E1DFDD"/>
    </w:rPr>
  </w:style>
  <w:style w:type="character" w:customStyle="1" w:styleId="italic1">
    <w:name w:val="italic1"/>
    <w:rsid w:val="00784ACF"/>
    <w:rPr>
      <w:i/>
    </w:rPr>
  </w:style>
  <w:style w:type="paragraph" w:customStyle="1" w:styleId="CharCharCharCharChar1CharCharChar">
    <w:name w:val="Char Char Char Char Char1 Char Char Char"/>
    <w:basedOn w:val="Normal"/>
    <w:rsid w:val="00784ACF"/>
    <w:pPr>
      <w:spacing w:before="0" w:after="160" w:line="240" w:lineRule="exact"/>
      <w:jc w:val="left"/>
    </w:pPr>
    <w:rPr>
      <w:rFonts w:ascii="Tahoma" w:eastAsia="Times New Roman" w:hAnsi="Tahoma"/>
    </w:rPr>
  </w:style>
  <w:style w:type="paragraph" w:customStyle="1" w:styleId="Normal2">
    <w:name w:val="Normal2"/>
    <w:basedOn w:val="Normal"/>
    <w:rsid w:val="00637CD8"/>
    <w:pPr>
      <w:spacing w:before="100" w:beforeAutospacing="1" w:after="100" w:afterAutospacing="1"/>
      <w:jc w:val="left"/>
    </w:pPr>
  </w:style>
  <w:style w:type="character" w:styleId="CommentReference">
    <w:name w:val="annotation reference"/>
    <w:basedOn w:val="DefaultParagraphFont"/>
    <w:uiPriority w:val="99"/>
    <w:unhideWhenUsed/>
    <w:rsid w:val="00824EDB"/>
    <w:rPr>
      <w:sz w:val="16"/>
    </w:rPr>
  </w:style>
  <w:style w:type="paragraph" w:styleId="CommentText">
    <w:name w:val="annotation text"/>
    <w:basedOn w:val="Normal"/>
    <w:link w:val="CommentTextChar"/>
    <w:unhideWhenUsed/>
    <w:rsid w:val="00824EDB"/>
    <w:rPr>
      <w:sz w:val="20"/>
    </w:rPr>
  </w:style>
  <w:style w:type="character" w:customStyle="1" w:styleId="CommentTextChar">
    <w:name w:val="Comment Text Char"/>
    <w:basedOn w:val="DefaultParagraphFont"/>
    <w:link w:val="CommentText"/>
    <w:rsid w:val="00824EDB"/>
    <w:rPr>
      <w:rFonts w:ascii="Times New Roman" w:hAnsi="Times New Roman" w:cs="Times New Roman"/>
      <w:sz w:val="20"/>
    </w:rPr>
  </w:style>
  <w:style w:type="paragraph" w:styleId="CommentSubject">
    <w:name w:val="annotation subject"/>
    <w:basedOn w:val="CommentText"/>
    <w:next w:val="CommentText"/>
    <w:link w:val="CommentSubjectChar"/>
    <w:unhideWhenUsed/>
    <w:rsid w:val="00824EDB"/>
    <w:rPr>
      <w:b/>
    </w:rPr>
  </w:style>
  <w:style w:type="character" w:customStyle="1" w:styleId="CommentSubjectChar">
    <w:name w:val="Comment Subject Char"/>
    <w:basedOn w:val="CommentTextChar"/>
    <w:link w:val="CommentSubject"/>
    <w:rsid w:val="00824EDB"/>
    <w:rPr>
      <w:rFonts w:ascii="Times New Roman" w:hAnsi="Times New Roman" w:cs="Times New Roman"/>
      <w:b/>
      <w:sz w:val="20"/>
    </w:rPr>
  </w:style>
  <w:style w:type="paragraph" w:customStyle="1" w:styleId="FootnotesymbolCharCharCharChar">
    <w:name w:val="Footnote symbol Char Char Char Char"/>
    <w:basedOn w:val="Normal"/>
    <w:link w:val="FootnoteReference0"/>
    <w:uiPriority w:val="99"/>
    <w:rsid w:val="005935EA"/>
    <w:pPr>
      <w:spacing w:before="0" w:after="160" w:line="240" w:lineRule="exact"/>
      <w:jc w:val="left"/>
    </w:pPr>
    <w:rPr>
      <w:rFonts w:asciiTheme="minorHAnsi" w:hAnsiTheme="minorHAnsi" w:cstheme="minorBidi"/>
      <w:sz w:val="22"/>
      <w:vertAlign w:val="superscript"/>
    </w:rPr>
  </w:style>
  <w:style w:type="paragraph" w:styleId="ListParagraph">
    <w:name w:val="List Paragraph"/>
    <w:basedOn w:val="Normal"/>
    <w:link w:val="ListParagraphChar"/>
    <w:uiPriority w:val="34"/>
    <w:qFormat/>
    <w:rsid w:val="008B2719"/>
    <w:pPr>
      <w:spacing w:before="0" w:after="200" w:line="276" w:lineRule="auto"/>
      <w:ind w:left="720"/>
      <w:contextualSpacing/>
      <w:jc w:val="left"/>
    </w:pPr>
    <w:rPr>
      <w:rFonts w:ascii="Calibri" w:hAnsi="Calibri" w:cs="Calibri"/>
      <w:sz w:val="22"/>
    </w:rPr>
  </w:style>
  <w:style w:type="character" w:customStyle="1" w:styleId="ListParagraphChar">
    <w:name w:val="List Paragraph Char"/>
    <w:basedOn w:val="DefaultParagraphFont"/>
    <w:link w:val="ListParagraph"/>
    <w:uiPriority w:val="34"/>
    <w:qFormat/>
    <w:locked/>
    <w:rsid w:val="008B2719"/>
    <w:rPr>
      <w:rFonts w:ascii="Calibri" w:hAnsi="Calibri" w:cs="Calibri"/>
    </w:rPr>
  </w:style>
  <w:style w:type="paragraph" w:customStyle="1" w:styleId="CoffeyParagraph">
    <w:name w:val="Coffey Paragraph"/>
    <w:basedOn w:val="Normal"/>
    <w:link w:val="CoffeyParagraphChar"/>
    <w:qFormat/>
    <w:rsid w:val="00FE1CCA"/>
    <w:pPr>
      <w:spacing w:before="0" w:line="276" w:lineRule="auto"/>
    </w:pPr>
    <w:rPr>
      <w:rFonts w:ascii="Arial" w:eastAsia="Calibri" w:hAnsi="Arial"/>
      <w:sz w:val="20"/>
    </w:rPr>
  </w:style>
  <w:style w:type="character" w:customStyle="1" w:styleId="CoffeyParagraphChar">
    <w:name w:val="Coffey Paragraph Char"/>
    <w:link w:val="CoffeyParagraph"/>
    <w:rsid w:val="00FE1CCA"/>
    <w:rPr>
      <w:rFonts w:ascii="Arial" w:eastAsia="Calibri" w:hAnsi="Arial" w:cs="Times New Roman"/>
      <w:sz w:val="20"/>
    </w:rPr>
  </w:style>
  <w:style w:type="character" w:styleId="FollowedHyperlink">
    <w:name w:val="FollowedHyperlink"/>
    <w:basedOn w:val="DefaultParagraphFont"/>
    <w:unhideWhenUsed/>
    <w:rsid w:val="000E75BA"/>
    <w:rPr>
      <w:color w:val="800080" w:themeColor="followedHyperlink"/>
      <w:u w:val="single"/>
    </w:rPr>
  </w:style>
  <w:style w:type="paragraph" w:styleId="Revision">
    <w:name w:val="Revision"/>
    <w:hidden/>
    <w:uiPriority w:val="99"/>
    <w:semiHidden/>
    <w:rsid w:val="009941D3"/>
    <w:pPr>
      <w:spacing w:after="0" w:line="240" w:lineRule="auto"/>
    </w:pPr>
    <w:rPr>
      <w:rFonts w:ascii="Times New Roman" w:hAnsi="Times New Roman" w:cs="Times New Roman"/>
      <w:sz w:val="24"/>
    </w:rPr>
  </w:style>
  <w:style w:type="character" w:customStyle="1" w:styleId="fw-bold">
    <w:name w:val="fw-bold"/>
    <w:basedOn w:val="DefaultParagraphFont"/>
    <w:rsid w:val="00861C31"/>
  </w:style>
  <w:style w:type="paragraph" w:customStyle="1" w:styleId="Text10">
    <w:name w:val="Text1"/>
    <w:basedOn w:val="Point0number"/>
    <w:rsid w:val="006054B5"/>
  </w:style>
  <w:style w:type="paragraph" w:styleId="ListNumber">
    <w:name w:val="List Number"/>
    <w:basedOn w:val="Normal"/>
    <w:rsid w:val="004515FC"/>
    <w:pPr>
      <w:numPr>
        <w:numId w:val="12"/>
      </w:numPr>
    </w:pPr>
  </w:style>
  <w:style w:type="paragraph" w:customStyle="1" w:styleId="ListBullet1">
    <w:name w:val="List Bullet 1"/>
    <w:basedOn w:val="Normal"/>
    <w:rsid w:val="004515FC"/>
    <w:pPr>
      <w:numPr>
        <w:numId w:val="8"/>
      </w:numPr>
    </w:pPr>
  </w:style>
  <w:style w:type="paragraph" w:customStyle="1" w:styleId="ListDash">
    <w:name w:val="List Dash"/>
    <w:basedOn w:val="Normal"/>
    <w:rsid w:val="004515FC"/>
    <w:pPr>
      <w:numPr>
        <w:numId w:val="9"/>
      </w:numPr>
    </w:pPr>
  </w:style>
  <w:style w:type="paragraph" w:customStyle="1" w:styleId="ListDash1">
    <w:name w:val="List Dash 1"/>
    <w:basedOn w:val="Normal"/>
    <w:rsid w:val="004515FC"/>
    <w:pPr>
      <w:numPr>
        <w:numId w:val="10"/>
      </w:numPr>
    </w:pPr>
  </w:style>
  <w:style w:type="paragraph" w:customStyle="1" w:styleId="ListDash2">
    <w:name w:val="List Dash 2"/>
    <w:basedOn w:val="Normal"/>
    <w:rsid w:val="004515FC"/>
    <w:pPr>
      <w:numPr>
        <w:numId w:val="11"/>
      </w:numPr>
    </w:pPr>
  </w:style>
  <w:style w:type="paragraph" w:customStyle="1" w:styleId="ListNumberLevel2">
    <w:name w:val="List Number (Level 2)"/>
    <w:basedOn w:val="Normal"/>
    <w:rsid w:val="004515FC"/>
    <w:pPr>
      <w:numPr>
        <w:ilvl w:val="1"/>
        <w:numId w:val="12"/>
      </w:numPr>
    </w:pPr>
  </w:style>
  <w:style w:type="paragraph" w:customStyle="1" w:styleId="ListNumberLevel3">
    <w:name w:val="List Number (Level 3)"/>
    <w:basedOn w:val="Normal"/>
    <w:rsid w:val="004515FC"/>
    <w:pPr>
      <w:numPr>
        <w:ilvl w:val="2"/>
        <w:numId w:val="12"/>
      </w:numPr>
    </w:pPr>
  </w:style>
  <w:style w:type="paragraph" w:customStyle="1" w:styleId="ListNumberLevel4">
    <w:name w:val="List Number (Level 4)"/>
    <w:basedOn w:val="Normal"/>
    <w:rsid w:val="004515FC"/>
    <w:pPr>
      <w:numPr>
        <w:ilvl w:val="3"/>
        <w:numId w:val="12"/>
      </w:numPr>
    </w:pPr>
  </w:style>
  <w:style w:type="table" w:styleId="TableGrid">
    <w:name w:val="Table Grid"/>
    <w:basedOn w:val="TableNormal"/>
    <w:rsid w:val="004515FC"/>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4515FC"/>
    <w:pPr>
      <w:numPr>
        <w:numId w:val="16"/>
      </w:numPr>
    </w:pPr>
  </w:style>
  <w:style w:type="paragraph" w:styleId="ListNumber3">
    <w:name w:val="List Number 3"/>
    <w:basedOn w:val="Normal"/>
    <w:rsid w:val="004515FC"/>
    <w:pPr>
      <w:numPr>
        <w:numId w:val="17"/>
      </w:numPr>
    </w:pPr>
  </w:style>
  <w:style w:type="paragraph" w:styleId="ListNumber4">
    <w:name w:val="List Number 4"/>
    <w:basedOn w:val="Normal"/>
    <w:rsid w:val="004515FC"/>
    <w:pPr>
      <w:numPr>
        <w:numId w:val="18"/>
      </w:numPr>
    </w:pPr>
  </w:style>
  <w:style w:type="paragraph" w:customStyle="1" w:styleId="ListDash3">
    <w:name w:val="List Dash 3"/>
    <w:basedOn w:val="Normal"/>
    <w:rsid w:val="004515FC"/>
    <w:pPr>
      <w:numPr>
        <w:numId w:val="13"/>
      </w:numPr>
    </w:pPr>
  </w:style>
  <w:style w:type="paragraph" w:customStyle="1" w:styleId="ListDash4">
    <w:name w:val="List Dash 4"/>
    <w:basedOn w:val="Normal"/>
    <w:rsid w:val="004515FC"/>
    <w:pPr>
      <w:numPr>
        <w:numId w:val="14"/>
      </w:numPr>
    </w:pPr>
  </w:style>
  <w:style w:type="paragraph" w:customStyle="1" w:styleId="ListNumber1">
    <w:name w:val="List Number 1"/>
    <w:basedOn w:val="Text1"/>
    <w:rsid w:val="004515FC"/>
    <w:pPr>
      <w:numPr>
        <w:numId w:val="15"/>
      </w:numPr>
    </w:pPr>
  </w:style>
  <w:style w:type="paragraph" w:customStyle="1" w:styleId="ListNumber1Level2">
    <w:name w:val="List Number 1 (Level 2)"/>
    <w:basedOn w:val="Text1"/>
    <w:rsid w:val="004515FC"/>
    <w:pPr>
      <w:numPr>
        <w:ilvl w:val="1"/>
        <w:numId w:val="15"/>
      </w:numPr>
    </w:pPr>
  </w:style>
  <w:style w:type="paragraph" w:customStyle="1" w:styleId="ListNumber2Level2">
    <w:name w:val="List Number 2 (Level 2)"/>
    <w:basedOn w:val="Text2"/>
    <w:rsid w:val="004515FC"/>
    <w:pPr>
      <w:numPr>
        <w:ilvl w:val="1"/>
        <w:numId w:val="16"/>
      </w:numPr>
    </w:pPr>
  </w:style>
  <w:style w:type="paragraph" w:customStyle="1" w:styleId="ListNumber3Level2">
    <w:name w:val="List Number 3 (Level 2)"/>
    <w:basedOn w:val="Text3"/>
    <w:rsid w:val="004515FC"/>
    <w:pPr>
      <w:numPr>
        <w:ilvl w:val="1"/>
        <w:numId w:val="17"/>
      </w:numPr>
    </w:pPr>
  </w:style>
  <w:style w:type="paragraph" w:customStyle="1" w:styleId="ListNumber4Level2">
    <w:name w:val="List Number 4 (Level 2)"/>
    <w:basedOn w:val="Text4"/>
    <w:rsid w:val="004515FC"/>
    <w:pPr>
      <w:numPr>
        <w:ilvl w:val="1"/>
        <w:numId w:val="18"/>
      </w:numPr>
    </w:pPr>
  </w:style>
  <w:style w:type="paragraph" w:customStyle="1" w:styleId="ListNumber1Level3">
    <w:name w:val="List Number 1 (Level 3)"/>
    <w:basedOn w:val="Text1"/>
    <w:rsid w:val="004515FC"/>
    <w:pPr>
      <w:numPr>
        <w:ilvl w:val="2"/>
        <w:numId w:val="15"/>
      </w:numPr>
    </w:pPr>
  </w:style>
  <w:style w:type="paragraph" w:customStyle="1" w:styleId="ListNumber2Level3">
    <w:name w:val="List Number 2 (Level 3)"/>
    <w:basedOn w:val="Text2"/>
    <w:rsid w:val="004515FC"/>
    <w:pPr>
      <w:numPr>
        <w:ilvl w:val="2"/>
        <w:numId w:val="16"/>
      </w:numPr>
    </w:pPr>
  </w:style>
  <w:style w:type="paragraph" w:customStyle="1" w:styleId="ListNumber3Level3">
    <w:name w:val="List Number 3 (Level 3)"/>
    <w:basedOn w:val="Text3"/>
    <w:rsid w:val="004515FC"/>
    <w:pPr>
      <w:numPr>
        <w:ilvl w:val="2"/>
        <w:numId w:val="17"/>
      </w:numPr>
    </w:pPr>
  </w:style>
  <w:style w:type="paragraph" w:customStyle="1" w:styleId="ListNumber4Level3">
    <w:name w:val="List Number 4 (Level 3)"/>
    <w:basedOn w:val="Text4"/>
    <w:rsid w:val="004515FC"/>
    <w:pPr>
      <w:numPr>
        <w:ilvl w:val="2"/>
        <w:numId w:val="18"/>
      </w:numPr>
    </w:pPr>
  </w:style>
  <w:style w:type="paragraph" w:customStyle="1" w:styleId="ListNumber1Level4">
    <w:name w:val="List Number 1 (Level 4)"/>
    <w:basedOn w:val="Text1"/>
    <w:rsid w:val="004515FC"/>
    <w:pPr>
      <w:numPr>
        <w:ilvl w:val="3"/>
        <w:numId w:val="15"/>
      </w:numPr>
    </w:pPr>
  </w:style>
  <w:style w:type="paragraph" w:customStyle="1" w:styleId="ListNumber2Level4">
    <w:name w:val="List Number 2 (Level 4)"/>
    <w:basedOn w:val="Text2"/>
    <w:rsid w:val="004515FC"/>
    <w:pPr>
      <w:numPr>
        <w:ilvl w:val="3"/>
        <w:numId w:val="16"/>
      </w:numPr>
    </w:pPr>
  </w:style>
  <w:style w:type="paragraph" w:customStyle="1" w:styleId="ListNumber3Level4">
    <w:name w:val="List Number 3 (Level 4)"/>
    <w:basedOn w:val="Text3"/>
    <w:rsid w:val="004515FC"/>
    <w:pPr>
      <w:numPr>
        <w:ilvl w:val="3"/>
        <w:numId w:val="17"/>
      </w:numPr>
    </w:pPr>
  </w:style>
  <w:style w:type="paragraph" w:customStyle="1" w:styleId="ListNumber4Level4">
    <w:name w:val="List Number 4 (Level 4)"/>
    <w:basedOn w:val="Text4"/>
    <w:rsid w:val="004515FC"/>
    <w:pPr>
      <w:numPr>
        <w:ilvl w:val="3"/>
        <w:numId w:val="18"/>
      </w:numPr>
    </w:pPr>
  </w:style>
  <w:style w:type="paragraph" w:customStyle="1" w:styleId="Annexetitreacte">
    <w:name w:val="Annexe titre (acte)"/>
    <w:basedOn w:val="Normal"/>
    <w:next w:val="Normal"/>
    <w:rsid w:val="004515FC"/>
    <w:pPr>
      <w:jc w:val="center"/>
    </w:pPr>
    <w:rPr>
      <w:b/>
      <w:u w:val="single"/>
    </w:rPr>
  </w:style>
  <w:style w:type="paragraph" w:customStyle="1" w:styleId="Annexetitreexposglobal">
    <w:name w:val="Annexe titre (exposé global)"/>
    <w:basedOn w:val="Normal"/>
    <w:next w:val="Normal"/>
    <w:rsid w:val="004515FC"/>
    <w:pPr>
      <w:jc w:val="center"/>
    </w:pPr>
    <w:rPr>
      <w:b/>
      <w:u w:val="single"/>
    </w:rPr>
  </w:style>
  <w:style w:type="paragraph" w:customStyle="1" w:styleId="Annexetitrefichefinacte">
    <w:name w:val="Annexe titre (fiche fin. acte)"/>
    <w:basedOn w:val="Normal"/>
    <w:next w:val="Normal"/>
    <w:rsid w:val="004515FC"/>
    <w:pPr>
      <w:jc w:val="center"/>
    </w:pPr>
    <w:rPr>
      <w:b/>
      <w:u w:val="single"/>
    </w:rPr>
  </w:style>
  <w:style w:type="paragraph" w:customStyle="1" w:styleId="Annexetitrefichefinglobale">
    <w:name w:val="Annexe titre (fiche fin. globale)"/>
    <w:basedOn w:val="Normal"/>
    <w:next w:val="Normal"/>
    <w:rsid w:val="004515FC"/>
    <w:pPr>
      <w:jc w:val="center"/>
    </w:pPr>
    <w:rPr>
      <w:b/>
      <w:u w:val="single"/>
    </w:rPr>
  </w:style>
  <w:style w:type="paragraph" w:customStyle="1" w:styleId="Annexetitreglobale">
    <w:name w:val="Annexe titre (globale)"/>
    <w:basedOn w:val="Normal"/>
    <w:next w:val="Normal"/>
    <w:rsid w:val="004515FC"/>
    <w:pPr>
      <w:jc w:val="center"/>
    </w:pPr>
    <w:rPr>
      <w:b/>
      <w:u w:val="single"/>
    </w:rPr>
  </w:style>
  <w:style w:type="paragraph" w:customStyle="1" w:styleId="Exposdesmotifstitreglobal">
    <w:name w:val="Exposé des motifs titre (global)"/>
    <w:basedOn w:val="Normal"/>
    <w:next w:val="Normal"/>
    <w:rsid w:val="004515FC"/>
    <w:pPr>
      <w:jc w:val="center"/>
    </w:pPr>
    <w:rPr>
      <w:b/>
      <w:u w:val="single"/>
    </w:rPr>
  </w:style>
  <w:style w:type="paragraph" w:customStyle="1" w:styleId="Langueoriginale">
    <w:name w:val="Langue originale"/>
    <w:basedOn w:val="Normal"/>
    <w:rsid w:val="004515FC"/>
    <w:pPr>
      <w:spacing w:before="360"/>
      <w:jc w:val="center"/>
    </w:pPr>
    <w:rPr>
      <w:caps/>
    </w:rPr>
  </w:style>
  <w:style w:type="paragraph" w:customStyle="1" w:styleId="Phrasefinale">
    <w:name w:val="Phrase finale"/>
    <w:basedOn w:val="Normal"/>
    <w:next w:val="Normal"/>
    <w:rsid w:val="004515FC"/>
    <w:pPr>
      <w:spacing w:before="360" w:after="0"/>
      <w:jc w:val="center"/>
    </w:pPr>
  </w:style>
  <w:style w:type="paragraph" w:customStyle="1" w:styleId="Prliminairetitre">
    <w:name w:val="Préliminaire titre"/>
    <w:basedOn w:val="Normal"/>
    <w:next w:val="Normal"/>
    <w:rsid w:val="004515FC"/>
    <w:pPr>
      <w:spacing w:before="360" w:after="360"/>
      <w:jc w:val="center"/>
    </w:pPr>
    <w:rPr>
      <w:b/>
    </w:rPr>
  </w:style>
  <w:style w:type="paragraph" w:customStyle="1" w:styleId="Prliminairetype">
    <w:name w:val="Préliminaire type"/>
    <w:basedOn w:val="Normal"/>
    <w:next w:val="Normal"/>
    <w:rsid w:val="004515FC"/>
    <w:pPr>
      <w:spacing w:before="360" w:after="0"/>
      <w:jc w:val="center"/>
    </w:pPr>
    <w:rPr>
      <w:b/>
    </w:rPr>
  </w:style>
  <w:style w:type="paragraph" w:customStyle="1" w:styleId="Rfrenceinstitutionelle">
    <w:name w:val="Référence institutionelle"/>
    <w:basedOn w:val="Normal"/>
    <w:next w:val="Statut"/>
    <w:rsid w:val="004515FC"/>
    <w:pPr>
      <w:spacing w:before="0" w:after="240"/>
      <w:ind w:left="5103"/>
      <w:jc w:val="left"/>
    </w:pPr>
  </w:style>
  <w:style w:type="paragraph" w:customStyle="1" w:styleId="Rfrenceinterinstitutionelle">
    <w:name w:val="Référence interinstitutionelle"/>
    <w:basedOn w:val="Normal"/>
    <w:next w:val="Statut"/>
    <w:rsid w:val="004515FC"/>
    <w:pPr>
      <w:spacing w:before="0" w:after="0"/>
      <w:ind w:left="5103"/>
      <w:jc w:val="left"/>
    </w:pPr>
  </w:style>
  <w:style w:type="paragraph" w:customStyle="1" w:styleId="Rfrenceinterinstitutionelleprliminaire">
    <w:name w:val="Référence interinstitutionelle (préliminaire)"/>
    <w:basedOn w:val="Normal"/>
    <w:next w:val="Normal"/>
    <w:rsid w:val="004515FC"/>
    <w:pPr>
      <w:spacing w:before="0" w:after="0"/>
      <w:ind w:left="5103"/>
      <w:jc w:val="left"/>
    </w:pPr>
  </w:style>
  <w:style w:type="paragraph" w:customStyle="1" w:styleId="Sous-titreobjetprliminaire">
    <w:name w:val="Sous-titre objet (préliminaire)"/>
    <w:basedOn w:val="Normal"/>
    <w:rsid w:val="004515FC"/>
    <w:pPr>
      <w:spacing w:before="0" w:after="0"/>
      <w:jc w:val="center"/>
    </w:pPr>
    <w:rPr>
      <w:b/>
    </w:rPr>
  </w:style>
  <w:style w:type="paragraph" w:customStyle="1" w:styleId="Statutprliminaire">
    <w:name w:val="Statut (préliminaire)"/>
    <w:basedOn w:val="Normal"/>
    <w:next w:val="Normal"/>
    <w:rsid w:val="004515FC"/>
    <w:pPr>
      <w:spacing w:before="360" w:after="0"/>
      <w:jc w:val="center"/>
    </w:pPr>
  </w:style>
  <w:style w:type="paragraph" w:customStyle="1" w:styleId="Titreobjetprliminaire">
    <w:name w:val="Titre objet (préliminaire)"/>
    <w:basedOn w:val="Normal"/>
    <w:next w:val="Normal"/>
    <w:rsid w:val="004515FC"/>
    <w:pPr>
      <w:spacing w:before="360" w:after="360"/>
      <w:jc w:val="center"/>
    </w:pPr>
    <w:rPr>
      <w:b/>
    </w:rPr>
  </w:style>
  <w:style w:type="paragraph" w:customStyle="1" w:styleId="Typedudocumentprliminaire">
    <w:name w:val="Type du document (préliminaire)"/>
    <w:basedOn w:val="Normal"/>
    <w:next w:val="Normal"/>
    <w:rsid w:val="004515FC"/>
    <w:pPr>
      <w:spacing w:before="360" w:after="0"/>
      <w:jc w:val="center"/>
    </w:pPr>
    <w:rPr>
      <w:b/>
    </w:rPr>
  </w:style>
  <w:style w:type="paragraph" w:customStyle="1" w:styleId="Fichefinancirestandardtitre">
    <w:name w:val="Fiche financière (standard) titre"/>
    <w:basedOn w:val="Normal"/>
    <w:next w:val="Normal"/>
    <w:rsid w:val="004515FC"/>
    <w:pPr>
      <w:jc w:val="center"/>
    </w:pPr>
    <w:rPr>
      <w:b/>
      <w:u w:val="single"/>
    </w:rPr>
  </w:style>
  <w:style w:type="paragraph" w:customStyle="1" w:styleId="Fichefinancirestandardtitreacte">
    <w:name w:val="Fiche financière (standard) titre (acte)"/>
    <w:basedOn w:val="Normal"/>
    <w:next w:val="Normal"/>
    <w:rsid w:val="004515FC"/>
    <w:pPr>
      <w:jc w:val="center"/>
    </w:pPr>
    <w:rPr>
      <w:b/>
      <w:u w:val="single"/>
    </w:rPr>
  </w:style>
  <w:style w:type="paragraph" w:customStyle="1" w:styleId="Fichefinanciretravailtitre">
    <w:name w:val="Fiche financière (travail) titre"/>
    <w:basedOn w:val="Normal"/>
    <w:next w:val="Normal"/>
    <w:rsid w:val="004515FC"/>
    <w:pPr>
      <w:jc w:val="center"/>
    </w:pPr>
    <w:rPr>
      <w:b/>
      <w:u w:val="single"/>
    </w:rPr>
  </w:style>
  <w:style w:type="paragraph" w:customStyle="1" w:styleId="Fichefinanciretravailtitreacte">
    <w:name w:val="Fiche financière (travail) titre (acte)"/>
    <w:basedOn w:val="Normal"/>
    <w:next w:val="Normal"/>
    <w:rsid w:val="004515FC"/>
    <w:pPr>
      <w:jc w:val="center"/>
    </w:pPr>
    <w:rPr>
      <w:b/>
      <w:u w:val="single"/>
    </w:rPr>
  </w:style>
  <w:style w:type="paragraph" w:customStyle="1" w:styleId="Fichefinancireattributiontitre">
    <w:name w:val="Fiche financière (attribution) titre"/>
    <w:basedOn w:val="Normal"/>
    <w:next w:val="Normal"/>
    <w:rsid w:val="004515FC"/>
    <w:pPr>
      <w:jc w:val="center"/>
    </w:pPr>
    <w:rPr>
      <w:b/>
      <w:u w:val="single"/>
    </w:rPr>
  </w:style>
  <w:style w:type="paragraph" w:customStyle="1" w:styleId="Fichefinancireattributiontitreacte">
    <w:name w:val="Fiche financière (attribution) titre (acte)"/>
    <w:basedOn w:val="Normal"/>
    <w:next w:val="Normal"/>
    <w:rsid w:val="004515FC"/>
    <w:pPr>
      <w:jc w:val="center"/>
    </w:pPr>
    <w:rPr>
      <w:b/>
      <w:u w:val="single"/>
    </w:rPr>
  </w:style>
  <w:style w:type="paragraph" w:styleId="BalloonText">
    <w:name w:val="Balloon Text"/>
    <w:basedOn w:val="Normal"/>
    <w:link w:val="BalloonTextChar"/>
    <w:rsid w:val="004515FC"/>
    <w:rPr>
      <w:rFonts w:ascii="Tahoma" w:eastAsia="Times New Roman" w:hAnsi="Tahoma" w:cs="Tahoma"/>
      <w:sz w:val="16"/>
    </w:rPr>
  </w:style>
  <w:style w:type="character" w:customStyle="1" w:styleId="BalloonTextChar">
    <w:name w:val="Balloon Text Char"/>
    <w:basedOn w:val="DefaultParagraphFont"/>
    <w:link w:val="BalloonText"/>
    <w:rsid w:val="004515FC"/>
    <w:rPr>
      <w:rFonts w:ascii="Tahoma" w:eastAsia="Times New Roman" w:hAnsi="Tahoma" w:cs="Tahoma"/>
      <w:sz w:val="16"/>
    </w:rPr>
  </w:style>
  <w:style w:type="paragraph" w:styleId="Caption">
    <w:name w:val="caption"/>
    <w:basedOn w:val="Normal"/>
    <w:next w:val="Normal"/>
    <w:qFormat/>
    <w:rsid w:val="004515FC"/>
    <w:rPr>
      <w:b/>
      <w:sz w:val="20"/>
    </w:rPr>
  </w:style>
  <w:style w:type="paragraph" w:styleId="TableofFigures">
    <w:name w:val="table of figures"/>
    <w:basedOn w:val="Normal"/>
    <w:next w:val="Normal"/>
    <w:rsid w:val="004515FC"/>
  </w:style>
  <w:style w:type="character" w:styleId="PageNumber">
    <w:name w:val="page number"/>
    <w:rsid w:val="004515FC"/>
  </w:style>
  <w:style w:type="character" w:customStyle="1" w:styleId="tw4winMark">
    <w:name w:val="tw4winMark"/>
    <w:rsid w:val="004515FC"/>
    <w:rPr>
      <w:vanish/>
      <w:color w:val="800080"/>
      <w:vertAlign w:val="subscript"/>
    </w:rPr>
  </w:style>
  <w:style w:type="paragraph" w:customStyle="1" w:styleId="Sous-titreobjet">
    <w:name w:val="Sous-titre objet"/>
    <w:basedOn w:val="Normal"/>
    <w:rsid w:val="004515FC"/>
    <w:pPr>
      <w:spacing w:before="0" w:after="0"/>
      <w:jc w:val="center"/>
    </w:pPr>
    <w:rPr>
      <w:b/>
    </w:rPr>
  </w:style>
  <w:style w:type="paragraph" w:customStyle="1" w:styleId="Sous-titreobjetPagedecouverture">
    <w:name w:val="Sous-titre objet (Page de couverture)"/>
    <w:basedOn w:val="Sous-titreobjet"/>
    <w:rsid w:val="004515FC"/>
  </w:style>
  <w:style w:type="paragraph" w:customStyle="1" w:styleId="FooterCoverPage">
    <w:name w:val="Footer Cover Page"/>
    <w:basedOn w:val="Normal"/>
    <w:link w:val="FooterCoverPageChar"/>
    <w:rsid w:val="004515FC"/>
    <w:pPr>
      <w:tabs>
        <w:tab w:val="center" w:pos="4535"/>
        <w:tab w:val="right" w:pos="9071"/>
        <w:tab w:val="right" w:pos="9921"/>
      </w:tabs>
      <w:spacing w:before="360" w:after="0"/>
      <w:ind w:left="-850" w:right="-850"/>
      <w:jc w:val="left"/>
    </w:pPr>
  </w:style>
  <w:style w:type="character" w:customStyle="1" w:styleId="TOCHeadingChar">
    <w:name w:val="TOC Heading Char"/>
    <w:uiPriority w:val="39"/>
    <w:rsid w:val="004515FC"/>
    <w:rPr>
      <w:rFonts w:ascii="Times New Roman" w:hAnsi="Times New Roman" w:cs="Times New Roman"/>
      <w:b/>
      <w:sz w:val="28"/>
    </w:rPr>
  </w:style>
  <w:style w:type="character" w:customStyle="1" w:styleId="FooterCoverPageChar">
    <w:name w:val="Footer Cover Page Char"/>
    <w:link w:val="FooterCoverPage"/>
    <w:rsid w:val="004515FC"/>
    <w:rPr>
      <w:rFonts w:ascii="Times New Roman" w:eastAsia="Calibri" w:hAnsi="Times New Roman" w:cs="Times New Roman"/>
      <w:sz w:val="24"/>
    </w:rPr>
  </w:style>
  <w:style w:type="paragraph" w:customStyle="1" w:styleId="HeaderCoverPage">
    <w:name w:val="Header Cover Page"/>
    <w:basedOn w:val="Normal"/>
    <w:link w:val="HeaderCoverPageChar"/>
    <w:rsid w:val="004515FC"/>
    <w:pPr>
      <w:tabs>
        <w:tab w:val="center" w:pos="4535"/>
        <w:tab w:val="right" w:pos="9071"/>
      </w:tabs>
      <w:spacing w:before="0"/>
    </w:pPr>
  </w:style>
  <w:style w:type="character" w:customStyle="1" w:styleId="HeaderCoverPageChar">
    <w:name w:val="Header Cover Page Char"/>
    <w:link w:val="HeaderCoverPage"/>
    <w:rsid w:val="004515FC"/>
    <w:rPr>
      <w:rFonts w:ascii="Times New Roman" w:eastAsia="Calibri" w:hAnsi="Times New Roman" w:cs="Times New Roman"/>
      <w:sz w:val="24"/>
    </w:rPr>
  </w:style>
  <w:style w:type="character" w:customStyle="1" w:styleId="FooterSensitivityChar">
    <w:name w:val="Footer Sensitivity Char"/>
    <w:rsid w:val="004515FC"/>
    <w:rPr>
      <w:rFonts w:ascii="Times New Roman" w:hAnsi="Times New Roman" w:cs="Times New Roman"/>
      <w:b/>
      <w:sz w:val="32"/>
    </w:rPr>
  </w:style>
  <w:style w:type="character" w:customStyle="1" w:styleId="HeaderSensitivityChar">
    <w:name w:val="Header Sensitivity Char"/>
    <w:rsid w:val="004515FC"/>
    <w:rPr>
      <w:rFonts w:ascii="Times New Roman" w:hAnsi="Times New Roman" w:cs="Times New Roman"/>
      <w:b/>
      <w:sz w:val="32"/>
    </w:rPr>
  </w:style>
  <w:style w:type="character" w:customStyle="1" w:styleId="HeaderSensitivityRightChar">
    <w:name w:val="Header Sensitivity Right Char"/>
    <w:rsid w:val="004515FC"/>
    <w:rPr>
      <w:rFonts w:ascii="Times New Roman" w:hAnsi="Times New Roman" w:cs="Times New Roman"/>
      <w:sz w:val="28"/>
    </w:rPr>
  </w:style>
  <w:style w:type="character" w:styleId="FootnoteReference0">
    <w:name w:val="footnote reference"/>
    <w:basedOn w:val="DefaultParagraphFont"/>
    <w:link w:val="FootnotesymbolCharCharCharChar"/>
    <w:uiPriority w:val="99"/>
    <w:semiHidden/>
    <w:unhideWhenUsed/>
    <w:rPr>
      <w:shd w:val="clear" w:color="auto" w:fill="auto"/>
      <w:vertAlign w:val="superscript"/>
    </w:rPr>
  </w:style>
  <w:style w:type="character" w:customStyle="1" w:styleId="Mention1">
    <w:name w:val="Mention1"/>
    <w:basedOn w:val="DefaultParagraphFont"/>
    <w:uiPriority w:val="99"/>
    <w:unhideWhenUsed/>
    <w:rsid w:val="00F27AFF"/>
    <w:rPr>
      <w:color w:val="2B579A"/>
      <w:shd w:val="clear" w:color="auto" w:fill="E1DFDD"/>
    </w:rPr>
  </w:style>
  <w:style w:type="character" w:customStyle="1" w:styleId="HeaderChar">
    <w:name w:val="Header Char"/>
    <w:basedOn w:val="DefaultParagraphFont"/>
    <w:link w:val="Header"/>
    <w:uiPriority w:val="99"/>
    <w:rsid w:val="007A1735"/>
    <w:rPr>
      <w:rFonts w:ascii="Times New Roman" w:hAnsi="Times New Roman" w:cs="Times New Roman"/>
      <w:sz w:val="24"/>
      <w:lang w:val="pt-PT"/>
    </w:rPr>
  </w:style>
  <w:style w:type="character" w:customStyle="1" w:styleId="FooterChar">
    <w:name w:val="Footer Char"/>
    <w:basedOn w:val="DefaultParagraphFont"/>
    <w:link w:val="Footer"/>
    <w:uiPriority w:val="99"/>
    <w:rsid w:val="007A1735"/>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t-P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t-P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t-P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t-P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t-P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Sensitivity">
    <w:name w:val="Header Sensitivity"/>
    <w:basedOn w:val="Normal"/>
    <w:rsid w:val="007A173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A1735"/>
    <w:pPr>
      <w:spacing w:before="0"/>
      <w:jc w:val="right"/>
    </w:pPr>
    <w:rPr>
      <w:sz w:val="28"/>
    </w:rPr>
  </w:style>
  <w:style w:type="paragraph" w:customStyle="1" w:styleId="FooterSensitivity">
    <w:name w:val="Footer Sensitivity"/>
    <w:basedOn w:val="Normal"/>
    <w:rsid w:val="007A173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7A1735"/>
    <w:pPr>
      <w:tabs>
        <w:tab w:val="center" w:pos="4535"/>
        <w:tab w:val="right" w:pos="9071"/>
      </w:tabs>
      <w:spacing w:before="0"/>
    </w:pPr>
  </w:style>
  <w:style w:type="paragraph" w:customStyle="1" w:styleId="HeaderLandscape">
    <w:name w:val="HeaderLandscape"/>
    <w:basedOn w:val="Normal"/>
    <w:rsid w:val="007A1735"/>
    <w:pPr>
      <w:tabs>
        <w:tab w:val="center" w:pos="7285"/>
        <w:tab w:val="right" w:pos="14003"/>
      </w:tabs>
      <w:spacing w:before="0"/>
    </w:pPr>
  </w:style>
  <w:style w:type="paragraph" w:styleId="Footer">
    <w:name w:val="footer"/>
    <w:basedOn w:val="Normal"/>
    <w:link w:val="FooterChar"/>
    <w:uiPriority w:val="99"/>
    <w:unhideWhenUsed/>
    <w:rsid w:val="007A173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7A173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64561">
      <w:bodyDiv w:val="1"/>
      <w:marLeft w:val="0"/>
      <w:marRight w:val="0"/>
      <w:marTop w:val="0"/>
      <w:marBottom w:val="0"/>
      <w:divBdr>
        <w:top w:val="none" w:sz="0" w:space="0" w:color="auto"/>
        <w:left w:val="none" w:sz="0" w:space="0" w:color="auto"/>
        <w:bottom w:val="none" w:sz="0" w:space="0" w:color="auto"/>
        <w:right w:val="none" w:sz="0" w:space="0" w:color="auto"/>
      </w:divBdr>
    </w:div>
    <w:div w:id="241528941">
      <w:bodyDiv w:val="1"/>
      <w:marLeft w:val="0"/>
      <w:marRight w:val="0"/>
      <w:marTop w:val="0"/>
      <w:marBottom w:val="0"/>
      <w:divBdr>
        <w:top w:val="none" w:sz="0" w:space="0" w:color="auto"/>
        <w:left w:val="none" w:sz="0" w:space="0" w:color="auto"/>
        <w:bottom w:val="none" w:sz="0" w:space="0" w:color="auto"/>
        <w:right w:val="none" w:sz="0" w:space="0" w:color="auto"/>
      </w:divBdr>
    </w:div>
    <w:div w:id="450125082">
      <w:bodyDiv w:val="1"/>
      <w:marLeft w:val="0"/>
      <w:marRight w:val="0"/>
      <w:marTop w:val="0"/>
      <w:marBottom w:val="0"/>
      <w:divBdr>
        <w:top w:val="none" w:sz="0" w:space="0" w:color="auto"/>
        <w:left w:val="none" w:sz="0" w:space="0" w:color="auto"/>
        <w:bottom w:val="none" w:sz="0" w:space="0" w:color="auto"/>
        <w:right w:val="none" w:sz="0" w:space="0" w:color="auto"/>
      </w:divBdr>
    </w:div>
    <w:div w:id="515000774">
      <w:bodyDiv w:val="1"/>
      <w:marLeft w:val="0"/>
      <w:marRight w:val="0"/>
      <w:marTop w:val="0"/>
      <w:marBottom w:val="0"/>
      <w:divBdr>
        <w:top w:val="none" w:sz="0" w:space="0" w:color="auto"/>
        <w:left w:val="none" w:sz="0" w:space="0" w:color="auto"/>
        <w:bottom w:val="none" w:sz="0" w:space="0" w:color="auto"/>
        <w:right w:val="none" w:sz="0" w:space="0" w:color="auto"/>
      </w:divBdr>
    </w:div>
    <w:div w:id="532159898">
      <w:bodyDiv w:val="1"/>
      <w:marLeft w:val="0"/>
      <w:marRight w:val="0"/>
      <w:marTop w:val="0"/>
      <w:marBottom w:val="0"/>
      <w:divBdr>
        <w:top w:val="none" w:sz="0" w:space="0" w:color="auto"/>
        <w:left w:val="none" w:sz="0" w:space="0" w:color="auto"/>
        <w:bottom w:val="none" w:sz="0" w:space="0" w:color="auto"/>
        <w:right w:val="none" w:sz="0" w:space="0" w:color="auto"/>
      </w:divBdr>
    </w:div>
    <w:div w:id="576594804">
      <w:bodyDiv w:val="1"/>
      <w:marLeft w:val="0"/>
      <w:marRight w:val="0"/>
      <w:marTop w:val="0"/>
      <w:marBottom w:val="0"/>
      <w:divBdr>
        <w:top w:val="none" w:sz="0" w:space="0" w:color="auto"/>
        <w:left w:val="none" w:sz="0" w:space="0" w:color="auto"/>
        <w:bottom w:val="none" w:sz="0" w:space="0" w:color="auto"/>
        <w:right w:val="none" w:sz="0" w:space="0" w:color="auto"/>
      </w:divBdr>
    </w:div>
    <w:div w:id="627590626">
      <w:bodyDiv w:val="1"/>
      <w:marLeft w:val="0"/>
      <w:marRight w:val="0"/>
      <w:marTop w:val="0"/>
      <w:marBottom w:val="0"/>
      <w:divBdr>
        <w:top w:val="none" w:sz="0" w:space="0" w:color="auto"/>
        <w:left w:val="none" w:sz="0" w:space="0" w:color="auto"/>
        <w:bottom w:val="none" w:sz="0" w:space="0" w:color="auto"/>
        <w:right w:val="none" w:sz="0" w:space="0" w:color="auto"/>
      </w:divBdr>
    </w:div>
    <w:div w:id="652686814">
      <w:bodyDiv w:val="1"/>
      <w:marLeft w:val="0"/>
      <w:marRight w:val="0"/>
      <w:marTop w:val="0"/>
      <w:marBottom w:val="0"/>
      <w:divBdr>
        <w:top w:val="none" w:sz="0" w:space="0" w:color="auto"/>
        <w:left w:val="none" w:sz="0" w:space="0" w:color="auto"/>
        <w:bottom w:val="none" w:sz="0" w:space="0" w:color="auto"/>
        <w:right w:val="none" w:sz="0" w:space="0" w:color="auto"/>
      </w:divBdr>
    </w:div>
    <w:div w:id="725107448">
      <w:bodyDiv w:val="1"/>
      <w:marLeft w:val="0"/>
      <w:marRight w:val="0"/>
      <w:marTop w:val="0"/>
      <w:marBottom w:val="0"/>
      <w:divBdr>
        <w:top w:val="none" w:sz="0" w:space="0" w:color="auto"/>
        <w:left w:val="none" w:sz="0" w:space="0" w:color="auto"/>
        <w:bottom w:val="none" w:sz="0" w:space="0" w:color="auto"/>
        <w:right w:val="none" w:sz="0" w:space="0" w:color="auto"/>
      </w:divBdr>
    </w:div>
    <w:div w:id="765878921">
      <w:bodyDiv w:val="1"/>
      <w:marLeft w:val="0"/>
      <w:marRight w:val="0"/>
      <w:marTop w:val="0"/>
      <w:marBottom w:val="0"/>
      <w:divBdr>
        <w:top w:val="none" w:sz="0" w:space="0" w:color="auto"/>
        <w:left w:val="none" w:sz="0" w:space="0" w:color="auto"/>
        <w:bottom w:val="none" w:sz="0" w:space="0" w:color="auto"/>
        <w:right w:val="none" w:sz="0" w:space="0" w:color="auto"/>
      </w:divBdr>
    </w:div>
    <w:div w:id="787697424">
      <w:bodyDiv w:val="1"/>
      <w:marLeft w:val="0"/>
      <w:marRight w:val="0"/>
      <w:marTop w:val="0"/>
      <w:marBottom w:val="0"/>
      <w:divBdr>
        <w:top w:val="none" w:sz="0" w:space="0" w:color="auto"/>
        <w:left w:val="none" w:sz="0" w:space="0" w:color="auto"/>
        <w:bottom w:val="none" w:sz="0" w:space="0" w:color="auto"/>
        <w:right w:val="none" w:sz="0" w:space="0" w:color="auto"/>
      </w:divBdr>
    </w:div>
    <w:div w:id="825362970">
      <w:bodyDiv w:val="1"/>
      <w:marLeft w:val="0"/>
      <w:marRight w:val="0"/>
      <w:marTop w:val="0"/>
      <w:marBottom w:val="0"/>
      <w:divBdr>
        <w:top w:val="none" w:sz="0" w:space="0" w:color="auto"/>
        <w:left w:val="none" w:sz="0" w:space="0" w:color="auto"/>
        <w:bottom w:val="none" w:sz="0" w:space="0" w:color="auto"/>
        <w:right w:val="none" w:sz="0" w:space="0" w:color="auto"/>
      </w:divBdr>
      <w:divsChild>
        <w:div w:id="1147740207">
          <w:marLeft w:val="0"/>
          <w:marRight w:val="0"/>
          <w:marTop w:val="0"/>
          <w:marBottom w:val="0"/>
          <w:divBdr>
            <w:top w:val="none" w:sz="0" w:space="0" w:color="auto"/>
            <w:left w:val="none" w:sz="0" w:space="0" w:color="auto"/>
            <w:bottom w:val="none" w:sz="0" w:space="0" w:color="auto"/>
            <w:right w:val="none" w:sz="0" w:space="0" w:color="auto"/>
          </w:divBdr>
        </w:div>
      </w:divsChild>
    </w:div>
    <w:div w:id="871307606">
      <w:bodyDiv w:val="1"/>
      <w:marLeft w:val="0"/>
      <w:marRight w:val="0"/>
      <w:marTop w:val="0"/>
      <w:marBottom w:val="0"/>
      <w:divBdr>
        <w:top w:val="none" w:sz="0" w:space="0" w:color="auto"/>
        <w:left w:val="none" w:sz="0" w:space="0" w:color="auto"/>
        <w:bottom w:val="none" w:sz="0" w:space="0" w:color="auto"/>
        <w:right w:val="none" w:sz="0" w:space="0" w:color="auto"/>
      </w:divBdr>
      <w:divsChild>
        <w:div w:id="1208448740">
          <w:marLeft w:val="0"/>
          <w:marRight w:val="0"/>
          <w:marTop w:val="0"/>
          <w:marBottom w:val="0"/>
          <w:divBdr>
            <w:top w:val="none" w:sz="0" w:space="0" w:color="auto"/>
            <w:left w:val="none" w:sz="0" w:space="0" w:color="auto"/>
            <w:bottom w:val="none" w:sz="0" w:space="0" w:color="auto"/>
            <w:right w:val="none" w:sz="0" w:space="0" w:color="auto"/>
          </w:divBdr>
        </w:div>
      </w:divsChild>
    </w:div>
    <w:div w:id="894438397">
      <w:bodyDiv w:val="1"/>
      <w:marLeft w:val="0"/>
      <w:marRight w:val="0"/>
      <w:marTop w:val="0"/>
      <w:marBottom w:val="0"/>
      <w:divBdr>
        <w:top w:val="none" w:sz="0" w:space="0" w:color="auto"/>
        <w:left w:val="none" w:sz="0" w:space="0" w:color="auto"/>
        <w:bottom w:val="none" w:sz="0" w:space="0" w:color="auto"/>
        <w:right w:val="none" w:sz="0" w:space="0" w:color="auto"/>
      </w:divBdr>
    </w:div>
    <w:div w:id="1060783926">
      <w:bodyDiv w:val="1"/>
      <w:marLeft w:val="0"/>
      <w:marRight w:val="0"/>
      <w:marTop w:val="0"/>
      <w:marBottom w:val="0"/>
      <w:divBdr>
        <w:top w:val="none" w:sz="0" w:space="0" w:color="auto"/>
        <w:left w:val="none" w:sz="0" w:space="0" w:color="auto"/>
        <w:bottom w:val="none" w:sz="0" w:space="0" w:color="auto"/>
        <w:right w:val="none" w:sz="0" w:space="0" w:color="auto"/>
      </w:divBdr>
    </w:div>
    <w:div w:id="1102847089">
      <w:bodyDiv w:val="1"/>
      <w:marLeft w:val="0"/>
      <w:marRight w:val="0"/>
      <w:marTop w:val="0"/>
      <w:marBottom w:val="0"/>
      <w:divBdr>
        <w:top w:val="none" w:sz="0" w:space="0" w:color="auto"/>
        <w:left w:val="none" w:sz="0" w:space="0" w:color="auto"/>
        <w:bottom w:val="none" w:sz="0" w:space="0" w:color="auto"/>
        <w:right w:val="none" w:sz="0" w:space="0" w:color="auto"/>
      </w:divBdr>
      <w:divsChild>
        <w:div w:id="1466849705">
          <w:marLeft w:val="0"/>
          <w:marRight w:val="0"/>
          <w:marTop w:val="0"/>
          <w:marBottom w:val="0"/>
          <w:divBdr>
            <w:top w:val="none" w:sz="0" w:space="0" w:color="auto"/>
            <w:left w:val="none" w:sz="0" w:space="0" w:color="auto"/>
            <w:bottom w:val="none" w:sz="0" w:space="0" w:color="auto"/>
            <w:right w:val="none" w:sz="0" w:space="0" w:color="auto"/>
          </w:divBdr>
        </w:div>
      </w:divsChild>
    </w:div>
    <w:div w:id="1125538354">
      <w:bodyDiv w:val="1"/>
      <w:marLeft w:val="0"/>
      <w:marRight w:val="0"/>
      <w:marTop w:val="0"/>
      <w:marBottom w:val="0"/>
      <w:divBdr>
        <w:top w:val="none" w:sz="0" w:space="0" w:color="auto"/>
        <w:left w:val="none" w:sz="0" w:space="0" w:color="auto"/>
        <w:bottom w:val="none" w:sz="0" w:space="0" w:color="auto"/>
        <w:right w:val="none" w:sz="0" w:space="0" w:color="auto"/>
      </w:divBdr>
    </w:div>
    <w:div w:id="1136142787">
      <w:bodyDiv w:val="1"/>
      <w:marLeft w:val="0"/>
      <w:marRight w:val="0"/>
      <w:marTop w:val="0"/>
      <w:marBottom w:val="0"/>
      <w:divBdr>
        <w:top w:val="none" w:sz="0" w:space="0" w:color="auto"/>
        <w:left w:val="none" w:sz="0" w:space="0" w:color="auto"/>
        <w:bottom w:val="none" w:sz="0" w:space="0" w:color="auto"/>
        <w:right w:val="none" w:sz="0" w:space="0" w:color="auto"/>
      </w:divBdr>
    </w:div>
    <w:div w:id="1406296411">
      <w:bodyDiv w:val="1"/>
      <w:marLeft w:val="0"/>
      <w:marRight w:val="0"/>
      <w:marTop w:val="0"/>
      <w:marBottom w:val="0"/>
      <w:divBdr>
        <w:top w:val="none" w:sz="0" w:space="0" w:color="auto"/>
        <w:left w:val="none" w:sz="0" w:space="0" w:color="auto"/>
        <w:bottom w:val="none" w:sz="0" w:space="0" w:color="auto"/>
        <w:right w:val="none" w:sz="0" w:space="0" w:color="auto"/>
      </w:divBdr>
    </w:div>
    <w:div w:id="1500460747">
      <w:bodyDiv w:val="1"/>
      <w:marLeft w:val="0"/>
      <w:marRight w:val="0"/>
      <w:marTop w:val="0"/>
      <w:marBottom w:val="0"/>
      <w:divBdr>
        <w:top w:val="none" w:sz="0" w:space="0" w:color="auto"/>
        <w:left w:val="none" w:sz="0" w:space="0" w:color="auto"/>
        <w:bottom w:val="none" w:sz="0" w:space="0" w:color="auto"/>
        <w:right w:val="none" w:sz="0" w:space="0" w:color="auto"/>
      </w:divBdr>
      <w:divsChild>
        <w:div w:id="967125417">
          <w:marLeft w:val="0"/>
          <w:marRight w:val="0"/>
          <w:marTop w:val="0"/>
          <w:marBottom w:val="0"/>
          <w:divBdr>
            <w:top w:val="none" w:sz="0" w:space="0" w:color="auto"/>
            <w:left w:val="none" w:sz="0" w:space="0" w:color="auto"/>
            <w:bottom w:val="none" w:sz="0" w:space="0" w:color="auto"/>
            <w:right w:val="none" w:sz="0" w:space="0" w:color="auto"/>
          </w:divBdr>
        </w:div>
      </w:divsChild>
    </w:div>
    <w:div w:id="1753160995">
      <w:bodyDiv w:val="1"/>
      <w:marLeft w:val="0"/>
      <w:marRight w:val="0"/>
      <w:marTop w:val="0"/>
      <w:marBottom w:val="0"/>
      <w:divBdr>
        <w:top w:val="none" w:sz="0" w:space="0" w:color="auto"/>
        <w:left w:val="none" w:sz="0" w:space="0" w:color="auto"/>
        <w:bottom w:val="none" w:sz="0" w:space="0" w:color="auto"/>
        <w:right w:val="none" w:sz="0" w:space="0" w:color="auto"/>
      </w:divBdr>
    </w:div>
    <w:div w:id="1924994995">
      <w:bodyDiv w:val="1"/>
      <w:marLeft w:val="0"/>
      <w:marRight w:val="0"/>
      <w:marTop w:val="0"/>
      <w:marBottom w:val="0"/>
      <w:divBdr>
        <w:top w:val="none" w:sz="0" w:space="0" w:color="auto"/>
        <w:left w:val="none" w:sz="0" w:space="0" w:color="auto"/>
        <w:bottom w:val="none" w:sz="0" w:space="0" w:color="auto"/>
        <w:right w:val="none" w:sz="0" w:space="0" w:color="auto"/>
      </w:divBdr>
    </w:div>
    <w:div w:id="200084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data.europa.eu/eli/reg/2018/1725/oj"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data.europa.eu/eli/reg/2011/182/o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ata.europa.eu/eli/dir/2019/997/o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ata.europa.eu/eli/reg/2016/679/oj"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ir/2019/997/oj" TargetMode="External"/><Relationship Id="rId13" Type="http://schemas.openxmlformats.org/officeDocument/2006/relationships/hyperlink" Target="https://data.europa.eu/data/datasets/s2260_485_eng?locale=en" TargetMode="External"/><Relationship Id="rId18" Type="http://schemas.openxmlformats.org/officeDocument/2006/relationships/hyperlink" Target="http://data.europa.eu/eli/reg/2016/679/oj" TargetMode="External"/><Relationship Id="rId26" Type="http://schemas.openxmlformats.org/officeDocument/2006/relationships/hyperlink" Target="http://data.europa.eu/eli/dec/2013/1313/oj" TargetMode="External"/><Relationship Id="rId3" Type="http://schemas.openxmlformats.org/officeDocument/2006/relationships/hyperlink" Target="https://eur-lex.europa.eu/legal-content/pt/ALL/?uri=CELEX%3A52020DC0690" TargetMode="External"/><Relationship Id="rId21" Type="http://schemas.openxmlformats.org/officeDocument/2006/relationships/hyperlink" Target="http://data.europa.eu/eli/reco/2008/355/oj" TargetMode="External"/><Relationship Id="rId7" Type="http://schemas.openxmlformats.org/officeDocument/2006/relationships/hyperlink" Target="https://data.consilium.europa.eu/doc/document/ST-13619-2020-INIT/en/pdf" TargetMode="External"/><Relationship Id="rId12" Type="http://schemas.openxmlformats.org/officeDocument/2006/relationships/hyperlink" Target="https://data.consilium.europa.eu/doc/document/ST-15876-2022-INIT/en/pdf" TargetMode="External"/><Relationship Id="rId17" Type="http://schemas.openxmlformats.org/officeDocument/2006/relationships/hyperlink" Target="https://commission.europa.eu/document/1abc8980-4ffc-4794-b497-9c174f56486a_en" TargetMode="External"/><Relationship Id="rId25" Type="http://schemas.openxmlformats.org/officeDocument/2006/relationships/hyperlink" Target="http://data.europa.eu/eli/reco/2008/355/oj" TargetMode="External"/><Relationship Id="rId2" Type="http://schemas.openxmlformats.org/officeDocument/2006/relationships/hyperlink" Target="http://data.europa.eu/eli/dec/1995/553/oj" TargetMode="External"/><Relationship Id="rId16" Type="http://schemas.openxmlformats.org/officeDocument/2006/relationships/hyperlink" Target="https://commission.europa.eu/document/7a196852-063e-4b0e-b828-b483cbb4533b_en" TargetMode="External"/><Relationship Id="rId20" Type="http://schemas.openxmlformats.org/officeDocument/2006/relationships/hyperlink" Target="http://data.europa.eu/eli/dec/1996/409/oj" TargetMode="External"/><Relationship Id="rId29" Type="http://schemas.openxmlformats.org/officeDocument/2006/relationships/hyperlink" Target="http://data.europa.eu/eli/reg/2018/1725/oj" TargetMode="External"/><Relationship Id="rId1" Type="http://schemas.openxmlformats.org/officeDocument/2006/relationships/hyperlink" Target="http://data.europa.eu/eli/dir/2015/637/oj" TargetMode="External"/><Relationship Id="rId6" Type="http://schemas.openxmlformats.org/officeDocument/2006/relationships/hyperlink" Target="https://eur-lex.europa.eu/legal-content/PT/TXT/?uri=CELEX:52022DC0437" TargetMode="External"/><Relationship Id="rId11" Type="http://schemas.openxmlformats.org/officeDocument/2006/relationships/hyperlink" Target="https://legal.un.org/ilc/texts/instruments/english/conventions/9_2_1963.pdf" TargetMode="External"/><Relationship Id="rId24" Type="http://schemas.openxmlformats.org/officeDocument/2006/relationships/hyperlink" Target="http://data.europa.eu/eli/dec/2010/427/oj" TargetMode="External"/><Relationship Id="rId5" Type="http://schemas.openxmlformats.org/officeDocument/2006/relationships/hyperlink" Target="https://data.consilium.europa.eu/doc/document/ST-7371-2022-INIT/PT/pdf" TargetMode="External"/><Relationship Id="rId15" Type="http://schemas.openxmlformats.org/officeDocument/2006/relationships/hyperlink" Target="https://eur-lex.europa.eu/legal-content/PT/TXT/?uri=CELEX:52020DC0730" TargetMode="External"/><Relationship Id="rId23" Type="http://schemas.openxmlformats.org/officeDocument/2006/relationships/hyperlink" Target="http://data.europa.eu/eli/dir/2019/997/oj" TargetMode="External"/><Relationship Id="rId28" Type="http://schemas.openxmlformats.org/officeDocument/2006/relationships/hyperlink" Target="http://data.europa.eu/eli/reg/2016/679/oj" TargetMode="External"/><Relationship Id="rId10" Type="http://schemas.openxmlformats.org/officeDocument/2006/relationships/hyperlink" Target="http://data.europa.eu/eli/dec/2013/1313/oj" TargetMode="External"/><Relationship Id="rId19" Type="http://schemas.openxmlformats.org/officeDocument/2006/relationships/hyperlink" Target="http://data.europa.eu/eli/reg/2018/1725/oj" TargetMode="External"/><Relationship Id="rId4" Type="http://schemas.openxmlformats.org/officeDocument/2006/relationships/hyperlink" Target="https://eur-lex.europa.eu/legal-content/PT/TXT/?uri=CELEX%3A52022DC0404" TargetMode="External"/><Relationship Id="rId9" Type="http://schemas.openxmlformats.org/officeDocument/2006/relationships/hyperlink" Target="http://data.europa.eu/eli/dec/2010/427/oj" TargetMode="External"/><Relationship Id="rId14" Type="http://schemas.openxmlformats.org/officeDocument/2006/relationships/hyperlink" Target="https://europa.eu/eurobarometer/surveys/detail/2971" TargetMode="External"/><Relationship Id="rId22" Type="http://schemas.openxmlformats.org/officeDocument/2006/relationships/hyperlink" Target="http://data.europa.eu/eli/dir/2015/637/oj" TargetMode="External"/><Relationship Id="rId27" Type="http://schemas.openxmlformats.org/officeDocument/2006/relationships/hyperlink" Target="http://data.europa.eu/eli/reg/2011/182/oj" TargetMode="External"/><Relationship Id="rId30" Type="http://schemas.openxmlformats.org/officeDocument/2006/relationships/hyperlink" Target="https://eur-lex.europa.eu/legal-content/PT/TXT/?uri=CELEX:52011SC15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0D94BF79903409A44EFD8C6ED4DE5" ma:contentTypeVersion="7" ma:contentTypeDescription="Create a new document." ma:contentTypeScope="" ma:versionID="4f23b84c494cfaa1c66f32c38d1aa35e">
  <xsd:schema xmlns:xsd="http://www.w3.org/2001/XMLSchema" xmlns:xs="http://www.w3.org/2001/XMLSchema" xmlns:p="http://schemas.microsoft.com/office/2006/metadata/properties" xmlns:ns2="fb6c068c-bc2d-4620-b517-6a4d82a7e161" xmlns:ns3="604b4288-15a6-4b36-801c-a9875e40b072" targetNamespace="http://schemas.microsoft.com/office/2006/metadata/properties" ma:root="true" ma:fieldsID="bfc11b8d216d428b61f3580c0e7481e7" ns2:_="" ns3:_="">
    <xsd:import namespace="fb6c068c-bc2d-4620-b517-6a4d82a7e161"/>
    <xsd:import namespace="604b4288-15a6-4b36-801c-a9875e40b0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c068c-bc2d-4620-b517-6a4d82a7e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b4288-15a6-4b36-801c-a9875e40b0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42759-D276-463F-A6EE-B4A28364C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c068c-bc2d-4620-b517-6a4d82a7e161"/>
    <ds:schemaRef ds:uri="604b4288-15a6-4b36-801c-a9875e40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2BE49-B8C5-44D7-B1CD-758ED650578D}">
  <ds:schemaRefs>
    <ds:schemaRef ds:uri="http://schemas.microsoft.com/office/2006/documentManagement/types"/>
    <ds:schemaRef ds:uri="http://www.w3.org/XML/1998/namespace"/>
    <ds:schemaRef ds:uri="http://schemas.microsoft.com/office/2006/metadata/properties"/>
    <ds:schemaRef ds:uri="604b4288-15a6-4b36-801c-a9875e40b072"/>
    <ds:schemaRef ds:uri="fb6c068c-bc2d-4620-b517-6a4d82a7e161"/>
    <ds:schemaRef ds:uri="http://schemas.openxmlformats.org/package/2006/metadata/core-properties"/>
    <ds:schemaRef ds:uri="http://schemas.microsoft.com/office/infopath/2007/PartnerControl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FE449B94-C979-4D67-AC37-03526794B5C0}">
  <ds:schemaRefs>
    <ds:schemaRef ds:uri="http://schemas.microsoft.com/sharepoint/v3/contenttype/forms"/>
  </ds:schemaRefs>
</ds:datastoreItem>
</file>

<file path=customXml/itemProps4.xml><?xml version="1.0" encoding="utf-8"?>
<ds:datastoreItem xmlns:ds="http://schemas.openxmlformats.org/officeDocument/2006/customXml" ds:itemID="{D796462B-C303-4156-BEAB-08561B76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77</TotalTime>
  <Pages>13</Pages>
  <Words>17471</Words>
  <Characters>99585</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116823</CharactersWithSpaces>
  <SharedDoc>false</SharedDoc>
  <HLinks>
    <vt:vector size="192" baseType="variant">
      <vt:variant>
        <vt:i4>4915224</vt:i4>
      </vt:variant>
      <vt:variant>
        <vt:i4>9</vt:i4>
      </vt:variant>
      <vt:variant>
        <vt:i4>0</vt:i4>
      </vt:variant>
      <vt:variant>
        <vt:i4>5</vt:i4>
      </vt:variant>
      <vt:variant>
        <vt:lpwstr>http://data.europa.eu/eli/reg/2016/679/oj</vt:lpwstr>
      </vt:variant>
      <vt:variant>
        <vt:lpwstr/>
      </vt:variant>
      <vt:variant>
        <vt:i4>6488173</vt:i4>
      </vt:variant>
      <vt:variant>
        <vt:i4>6</vt:i4>
      </vt:variant>
      <vt:variant>
        <vt:i4>0</vt:i4>
      </vt:variant>
      <vt:variant>
        <vt:i4>5</vt:i4>
      </vt:variant>
      <vt:variant>
        <vt:lpwstr>http://data.europa.eu/eli/reg/2018/1725/oj</vt:lpwstr>
      </vt:variant>
      <vt:variant>
        <vt:lpwstr/>
      </vt:variant>
      <vt:variant>
        <vt:i4>4194327</vt:i4>
      </vt:variant>
      <vt:variant>
        <vt:i4>3</vt:i4>
      </vt:variant>
      <vt:variant>
        <vt:i4>0</vt:i4>
      </vt:variant>
      <vt:variant>
        <vt:i4>5</vt:i4>
      </vt:variant>
      <vt:variant>
        <vt:lpwstr>http://data.europa.eu/eli/reg/2011/182/oj</vt:lpwstr>
      </vt:variant>
      <vt:variant>
        <vt:lpwstr/>
      </vt:variant>
      <vt:variant>
        <vt:i4>4784149</vt:i4>
      </vt:variant>
      <vt:variant>
        <vt:i4>0</vt:i4>
      </vt:variant>
      <vt:variant>
        <vt:i4>0</vt:i4>
      </vt:variant>
      <vt:variant>
        <vt:i4>5</vt:i4>
      </vt:variant>
      <vt:variant>
        <vt:lpwstr>http://data.europa.eu/eli/dir/2019/997/oj</vt:lpwstr>
      </vt:variant>
      <vt:variant>
        <vt:lpwstr/>
      </vt:variant>
      <vt:variant>
        <vt:i4>1048592</vt:i4>
      </vt:variant>
      <vt:variant>
        <vt:i4>87</vt:i4>
      </vt:variant>
      <vt:variant>
        <vt:i4>0</vt:i4>
      </vt:variant>
      <vt:variant>
        <vt:i4>5</vt:i4>
      </vt:variant>
      <vt:variant>
        <vt:lpwstr>https://eur-lex.europa.eu/legal-content/EN/TXT/?uri=CELEX:52011SC1556</vt:lpwstr>
      </vt:variant>
      <vt:variant>
        <vt:lpwstr/>
      </vt:variant>
      <vt:variant>
        <vt:i4>6488173</vt:i4>
      </vt:variant>
      <vt:variant>
        <vt:i4>78</vt:i4>
      </vt:variant>
      <vt:variant>
        <vt:i4>0</vt:i4>
      </vt:variant>
      <vt:variant>
        <vt:i4>5</vt:i4>
      </vt:variant>
      <vt:variant>
        <vt:lpwstr>http://data.europa.eu/eli/reg/2018/1725/oj</vt:lpwstr>
      </vt:variant>
      <vt:variant>
        <vt:lpwstr/>
      </vt:variant>
      <vt:variant>
        <vt:i4>4915224</vt:i4>
      </vt:variant>
      <vt:variant>
        <vt:i4>75</vt:i4>
      </vt:variant>
      <vt:variant>
        <vt:i4>0</vt:i4>
      </vt:variant>
      <vt:variant>
        <vt:i4>5</vt:i4>
      </vt:variant>
      <vt:variant>
        <vt:lpwstr>http://data.europa.eu/eli/reg/2016/679/oj</vt:lpwstr>
      </vt:variant>
      <vt:variant>
        <vt:lpwstr/>
      </vt:variant>
      <vt:variant>
        <vt:i4>4194327</vt:i4>
      </vt:variant>
      <vt:variant>
        <vt:i4>72</vt:i4>
      </vt:variant>
      <vt:variant>
        <vt:i4>0</vt:i4>
      </vt:variant>
      <vt:variant>
        <vt:i4>5</vt:i4>
      </vt:variant>
      <vt:variant>
        <vt:lpwstr>http://data.europa.eu/eli/reg/2011/182/oj</vt:lpwstr>
      </vt:variant>
      <vt:variant>
        <vt:lpwstr/>
      </vt:variant>
      <vt:variant>
        <vt:i4>7012477</vt:i4>
      </vt:variant>
      <vt:variant>
        <vt:i4>69</vt:i4>
      </vt:variant>
      <vt:variant>
        <vt:i4>0</vt:i4>
      </vt:variant>
      <vt:variant>
        <vt:i4>5</vt:i4>
      </vt:variant>
      <vt:variant>
        <vt:lpwstr>http://data.europa.eu/eli/dec/2013/1313/oj</vt:lpwstr>
      </vt:variant>
      <vt:variant>
        <vt:lpwstr/>
      </vt:variant>
      <vt:variant>
        <vt:i4>3145830</vt:i4>
      </vt:variant>
      <vt:variant>
        <vt:i4>66</vt:i4>
      </vt:variant>
      <vt:variant>
        <vt:i4>0</vt:i4>
      </vt:variant>
      <vt:variant>
        <vt:i4>5</vt:i4>
      </vt:variant>
      <vt:variant>
        <vt:lpwstr>http://data.europa.eu/eli/reco/2008/355/oj</vt:lpwstr>
      </vt:variant>
      <vt:variant>
        <vt:lpwstr/>
      </vt:variant>
      <vt:variant>
        <vt:i4>4259855</vt:i4>
      </vt:variant>
      <vt:variant>
        <vt:i4>63</vt:i4>
      </vt:variant>
      <vt:variant>
        <vt:i4>0</vt:i4>
      </vt:variant>
      <vt:variant>
        <vt:i4>5</vt:i4>
      </vt:variant>
      <vt:variant>
        <vt:lpwstr>http://data.europa.eu/eli/dec/2010/427/oj</vt:lpwstr>
      </vt:variant>
      <vt:variant>
        <vt:lpwstr/>
      </vt:variant>
      <vt:variant>
        <vt:i4>4784149</vt:i4>
      </vt:variant>
      <vt:variant>
        <vt:i4>60</vt:i4>
      </vt:variant>
      <vt:variant>
        <vt:i4>0</vt:i4>
      </vt:variant>
      <vt:variant>
        <vt:i4>5</vt:i4>
      </vt:variant>
      <vt:variant>
        <vt:lpwstr>http://data.europa.eu/eli/dir/2019/997/oj</vt:lpwstr>
      </vt:variant>
      <vt:variant>
        <vt:lpwstr/>
      </vt:variant>
      <vt:variant>
        <vt:i4>4849695</vt:i4>
      </vt:variant>
      <vt:variant>
        <vt:i4>57</vt:i4>
      </vt:variant>
      <vt:variant>
        <vt:i4>0</vt:i4>
      </vt:variant>
      <vt:variant>
        <vt:i4>5</vt:i4>
      </vt:variant>
      <vt:variant>
        <vt:lpwstr>http://data.europa.eu/eli/dir/2015/637/oj</vt:lpwstr>
      </vt:variant>
      <vt:variant>
        <vt:lpwstr/>
      </vt:variant>
      <vt:variant>
        <vt:i4>3145830</vt:i4>
      </vt:variant>
      <vt:variant>
        <vt:i4>54</vt:i4>
      </vt:variant>
      <vt:variant>
        <vt:i4>0</vt:i4>
      </vt:variant>
      <vt:variant>
        <vt:i4>5</vt:i4>
      </vt:variant>
      <vt:variant>
        <vt:lpwstr>http://data.europa.eu/eli/reco/2008/355/oj</vt:lpwstr>
      </vt:variant>
      <vt:variant>
        <vt:lpwstr/>
      </vt:variant>
      <vt:variant>
        <vt:i4>4194310</vt:i4>
      </vt:variant>
      <vt:variant>
        <vt:i4>51</vt:i4>
      </vt:variant>
      <vt:variant>
        <vt:i4>0</vt:i4>
      </vt:variant>
      <vt:variant>
        <vt:i4>5</vt:i4>
      </vt:variant>
      <vt:variant>
        <vt:lpwstr>http://data.europa.eu/eli/dec/1996/409/oj</vt:lpwstr>
      </vt:variant>
      <vt:variant>
        <vt:lpwstr/>
      </vt:variant>
      <vt:variant>
        <vt:i4>6488173</vt:i4>
      </vt:variant>
      <vt:variant>
        <vt:i4>48</vt:i4>
      </vt:variant>
      <vt:variant>
        <vt:i4>0</vt:i4>
      </vt:variant>
      <vt:variant>
        <vt:i4>5</vt:i4>
      </vt:variant>
      <vt:variant>
        <vt:lpwstr>http://data.europa.eu/eli/reg/2018/1725/oj</vt:lpwstr>
      </vt:variant>
      <vt:variant>
        <vt:lpwstr/>
      </vt:variant>
      <vt:variant>
        <vt:i4>4915224</vt:i4>
      </vt:variant>
      <vt:variant>
        <vt:i4>45</vt:i4>
      </vt:variant>
      <vt:variant>
        <vt:i4>0</vt:i4>
      </vt:variant>
      <vt:variant>
        <vt:i4>5</vt:i4>
      </vt:variant>
      <vt:variant>
        <vt:lpwstr>http://data.europa.eu/eli/reg/2016/679/oj</vt:lpwstr>
      </vt:variant>
      <vt:variant>
        <vt:lpwstr/>
      </vt:variant>
      <vt:variant>
        <vt:i4>196627</vt:i4>
      </vt:variant>
      <vt:variant>
        <vt:i4>42</vt:i4>
      </vt:variant>
      <vt:variant>
        <vt:i4>0</vt:i4>
      </vt:variant>
      <vt:variant>
        <vt:i4>5</vt:i4>
      </vt:variant>
      <vt:variant>
        <vt:lpwstr>https://eur-lex.europa.eu/legal-content/EN/TXT/?uri=CELEX:52020DC0730</vt:lpwstr>
      </vt:variant>
      <vt:variant>
        <vt:lpwstr/>
      </vt:variant>
      <vt:variant>
        <vt:i4>4587540</vt:i4>
      </vt:variant>
      <vt:variant>
        <vt:i4>39</vt:i4>
      </vt:variant>
      <vt:variant>
        <vt:i4>0</vt:i4>
      </vt:variant>
      <vt:variant>
        <vt:i4>5</vt:i4>
      </vt:variant>
      <vt:variant>
        <vt:lpwstr>https://data.europa.eu/data/datasets/s2260_485_eng?locale=en</vt:lpwstr>
      </vt:variant>
      <vt:variant>
        <vt:lpwstr/>
      </vt:variant>
      <vt:variant>
        <vt:i4>4587540</vt:i4>
      </vt:variant>
      <vt:variant>
        <vt:i4>36</vt:i4>
      </vt:variant>
      <vt:variant>
        <vt:i4>0</vt:i4>
      </vt:variant>
      <vt:variant>
        <vt:i4>5</vt:i4>
      </vt:variant>
      <vt:variant>
        <vt:lpwstr>https://data.europa.eu/data/datasets/s2260_485_eng?locale=en</vt:lpwstr>
      </vt:variant>
      <vt:variant>
        <vt:lpwstr/>
      </vt:variant>
      <vt:variant>
        <vt:i4>3342445</vt:i4>
      </vt:variant>
      <vt:variant>
        <vt:i4>33</vt:i4>
      </vt:variant>
      <vt:variant>
        <vt:i4>0</vt:i4>
      </vt:variant>
      <vt:variant>
        <vt:i4>5</vt:i4>
      </vt:variant>
      <vt:variant>
        <vt:lpwstr>https://data.consilium.europa.eu/doc/document/ST-15876-2022-INIT/en/pdf</vt:lpwstr>
      </vt:variant>
      <vt:variant>
        <vt:lpwstr/>
      </vt:variant>
      <vt:variant>
        <vt:i4>7667830</vt:i4>
      </vt:variant>
      <vt:variant>
        <vt:i4>30</vt:i4>
      </vt:variant>
      <vt:variant>
        <vt:i4>0</vt:i4>
      </vt:variant>
      <vt:variant>
        <vt:i4>5</vt:i4>
      </vt:variant>
      <vt:variant>
        <vt:lpwstr>https://legal.un.org/ilc/texts/instruments/english/conventions/9_2_1963.pdf</vt:lpwstr>
      </vt:variant>
      <vt:variant>
        <vt:lpwstr/>
      </vt:variant>
      <vt:variant>
        <vt:i4>7012477</vt:i4>
      </vt:variant>
      <vt:variant>
        <vt:i4>27</vt:i4>
      </vt:variant>
      <vt:variant>
        <vt:i4>0</vt:i4>
      </vt:variant>
      <vt:variant>
        <vt:i4>5</vt:i4>
      </vt:variant>
      <vt:variant>
        <vt:lpwstr>http://data.europa.eu/eli/dec/2013/1313/oj</vt:lpwstr>
      </vt:variant>
      <vt:variant>
        <vt:lpwstr/>
      </vt:variant>
      <vt:variant>
        <vt:i4>4259855</vt:i4>
      </vt:variant>
      <vt:variant>
        <vt:i4>24</vt:i4>
      </vt:variant>
      <vt:variant>
        <vt:i4>0</vt:i4>
      </vt:variant>
      <vt:variant>
        <vt:i4>5</vt:i4>
      </vt:variant>
      <vt:variant>
        <vt:lpwstr>http://data.europa.eu/eli/dec/2010/427/oj</vt:lpwstr>
      </vt:variant>
      <vt:variant>
        <vt:lpwstr/>
      </vt:variant>
      <vt:variant>
        <vt:i4>4784149</vt:i4>
      </vt:variant>
      <vt:variant>
        <vt:i4>21</vt:i4>
      </vt:variant>
      <vt:variant>
        <vt:i4>0</vt:i4>
      </vt:variant>
      <vt:variant>
        <vt:i4>5</vt:i4>
      </vt:variant>
      <vt:variant>
        <vt:lpwstr>http://data.europa.eu/eli/dir/2019/997/oj</vt:lpwstr>
      </vt:variant>
      <vt:variant>
        <vt:lpwstr/>
      </vt:variant>
      <vt:variant>
        <vt:i4>3276911</vt:i4>
      </vt:variant>
      <vt:variant>
        <vt:i4>18</vt:i4>
      </vt:variant>
      <vt:variant>
        <vt:i4>0</vt:i4>
      </vt:variant>
      <vt:variant>
        <vt:i4>5</vt:i4>
      </vt:variant>
      <vt:variant>
        <vt:lpwstr>https://data.consilium.europa.eu/doc/document/ST-13619-2020-INIT/en/pdf</vt:lpwstr>
      </vt:variant>
      <vt:variant>
        <vt:lpwstr/>
      </vt:variant>
      <vt:variant>
        <vt:i4>196626</vt:i4>
      </vt:variant>
      <vt:variant>
        <vt:i4>15</vt:i4>
      </vt:variant>
      <vt:variant>
        <vt:i4>0</vt:i4>
      </vt:variant>
      <vt:variant>
        <vt:i4>5</vt:i4>
      </vt:variant>
      <vt:variant>
        <vt:lpwstr>https://eur-lex.europa.eu/legal-content/EN/TXT/?uri=CELEX:52022DC0437</vt:lpwstr>
      </vt:variant>
      <vt:variant>
        <vt:lpwstr/>
      </vt:variant>
      <vt:variant>
        <vt:i4>7143530</vt:i4>
      </vt:variant>
      <vt:variant>
        <vt:i4>12</vt:i4>
      </vt:variant>
      <vt:variant>
        <vt:i4>0</vt:i4>
      </vt:variant>
      <vt:variant>
        <vt:i4>5</vt:i4>
      </vt:variant>
      <vt:variant>
        <vt:lpwstr>https://data.consilium.europa.eu/doc/document/ST-7371-2022-INIT/en/pdf</vt:lpwstr>
      </vt:variant>
      <vt:variant>
        <vt:lpwstr/>
      </vt:variant>
      <vt:variant>
        <vt:i4>8257569</vt:i4>
      </vt:variant>
      <vt:variant>
        <vt:i4>9</vt:i4>
      </vt:variant>
      <vt:variant>
        <vt:i4>0</vt:i4>
      </vt:variant>
      <vt:variant>
        <vt:i4>5</vt:i4>
      </vt:variant>
      <vt:variant>
        <vt:lpwstr>https://eur-lex.europa.eu/legal-content/EN/TXT/?uri=CELEX%3A52022DC0404</vt:lpwstr>
      </vt:variant>
      <vt:variant>
        <vt:lpwstr/>
      </vt:variant>
      <vt:variant>
        <vt:i4>7995445</vt:i4>
      </vt:variant>
      <vt:variant>
        <vt:i4>6</vt:i4>
      </vt:variant>
      <vt:variant>
        <vt:i4>0</vt:i4>
      </vt:variant>
      <vt:variant>
        <vt:i4>5</vt:i4>
      </vt:variant>
      <vt:variant>
        <vt:lpwstr>https://eur-lex.europa.eu/legal-content/en/ALL/?uri=CELEX%3A52020DC0690</vt:lpwstr>
      </vt:variant>
      <vt:variant>
        <vt:lpwstr/>
      </vt:variant>
      <vt:variant>
        <vt:i4>4718595</vt:i4>
      </vt:variant>
      <vt:variant>
        <vt:i4>3</vt:i4>
      </vt:variant>
      <vt:variant>
        <vt:i4>0</vt:i4>
      </vt:variant>
      <vt:variant>
        <vt:i4>5</vt:i4>
      </vt:variant>
      <vt:variant>
        <vt:lpwstr>http://data.europa.eu/eli/dec/1995/553/oj</vt:lpwstr>
      </vt:variant>
      <vt:variant>
        <vt:lpwstr/>
      </vt:variant>
      <vt:variant>
        <vt:i4>4849695</vt:i4>
      </vt:variant>
      <vt:variant>
        <vt:i4>0</vt:i4>
      </vt:variant>
      <vt:variant>
        <vt:i4>0</vt:i4>
      </vt:variant>
      <vt:variant>
        <vt:i4>5</vt:i4>
      </vt:variant>
      <vt:variant>
        <vt:lpwstr>http://data.europa.eu/eli/dir/2015/637/oj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26</cp:revision>
  <dcterms:created xsi:type="dcterms:W3CDTF">2023-11-29T08:46:00Z</dcterms:created>
  <dcterms:modified xsi:type="dcterms:W3CDTF">2024-01-17T22:15:00Z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2023-07-06T08:21:10Z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1d6b2046-8b5b-4e6f-b3b3-912bc9b343ae</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SJ-017</vt:lpwstr>
  </property>
  <property fmtid="{D5CDD505-2E9C-101B-9397-08002B2CF9AE}" pid="17" name="ContentTypeId">
    <vt:lpwstr>0x010100D920D94BF79903409A44EFD8C6ED4DE5</vt:lpwstr>
  </property>
  <property fmtid="{D5CDD505-2E9C-101B-9397-08002B2CF9AE}" pid="18" name="DQCStatus">
    <vt:lpwstr>Green (DQC version 03)</vt:lpwstr>
  </property>
  <property name="OP_sanitized" fmtid="{D5CDD505-2E9C-101B-9397-08002B2CF9AE}" pid="19">
    <vt:lpwstr>True</vt:lpwstr>
  </property>
</Properties>
</file>