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25" w:rsidRPr="00567815" w:rsidRDefault="009B03DF" w:rsidP="009B03D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92664F0-134F-44B9-840F-A221BB5D780B" style="width:455.25pt;height:355.5pt">
            <v:imagedata r:id="rId11" o:title=""/>
          </v:shape>
        </w:pict>
      </w:r>
    </w:p>
    <w:p w:rsidR="0034468E" w:rsidRPr="00567815" w:rsidRDefault="0034468E" w:rsidP="0034468E">
      <w:pPr>
        <w:rPr>
          <w:noProof/>
        </w:rPr>
        <w:sectPr w:rsidR="0034468E" w:rsidRPr="00567815" w:rsidSect="009B03DF">
          <w:footerReference w:type="default" r:id="rId12"/>
          <w:pgSz w:w="11907" w:h="16839"/>
          <w:pgMar w:top="1134" w:right="1417" w:bottom="1134" w:left="1417" w:header="709" w:footer="709" w:gutter="0"/>
          <w:pgNumType w:start="0"/>
          <w:cols w:space="720"/>
          <w:docGrid w:linePitch="360"/>
        </w:sectPr>
      </w:pPr>
    </w:p>
    <w:p w:rsidR="0034468E" w:rsidRPr="00567815" w:rsidRDefault="00567815" w:rsidP="00567815">
      <w:pPr>
        <w:pStyle w:val="Statut"/>
        <w:rPr>
          <w:noProof/>
        </w:rPr>
      </w:pPr>
      <w:bookmarkStart w:id="0" w:name="_GoBack"/>
      <w:bookmarkEnd w:id="0"/>
      <w:r w:rsidRPr="00567815">
        <w:rPr>
          <w:noProof/>
        </w:rPr>
        <w:lastRenderedPageBreak/>
        <w:t>Recomendação de</w:t>
      </w:r>
    </w:p>
    <w:p w:rsidR="00CA0B25" w:rsidRPr="00567815" w:rsidRDefault="00567815" w:rsidP="00567815">
      <w:pPr>
        <w:pStyle w:val="Typedudocument"/>
        <w:rPr>
          <w:noProof/>
        </w:rPr>
      </w:pPr>
      <w:r w:rsidRPr="00567815">
        <w:rPr>
          <w:noProof/>
        </w:rPr>
        <w:t>RECOMENDAÇÃO DO CONSELHO</w:t>
      </w:r>
    </w:p>
    <w:p w:rsidR="0034468E" w:rsidRPr="00567815" w:rsidRDefault="00567815" w:rsidP="00567815">
      <w:pPr>
        <w:pStyle w:val="Titreobjet"/>
        <w:rPr>
          <w:noProof/>
        </w:rPr>
      </w:pPr>
      <w:r w:rsidRPr="00567815">
        <w:rPr>
          <w:noProof/>
        </w:rPr>
        <w:t>relativa ao Programa Nacional de Reformas de 2023 de Malta e que emite um parecer do Conselho sobre o Programa de Estabilidade de 2023 de Malta</w:t>
      </w:r>
    </w:p>
    <w:p w:rsidR="00CA0B25" w:rsidRPr="00567815" w:rsidRDefault="00CA0B25" w:rsidP="00F11038">
      <w:pPr>
        <w:pStyle w:val="Institutionquiagit"/>
        <w:rPr>
          <w:noProof/>
        </w:rPr>
      </w:pPr>
      <w:r w:rsidRPr="00567815">
        <w:rPr>
          <w:noProof/>
        </w:rPr>
        <w:t>O CONSELHO DA UNIÃO EUROPEIA,</w:t>
      </w:r>
    </w:p>
    <w:p w:rsidR="00373387" w:rsidRPr="00567815" w:rsidRDefault="00373387" w:rsidP="00F11038">
      <w:pPr>
        <w:rPr>
          <w:noProof/>
        </w:rPr>
      </w:pPr>
      <w:r w:rsidRPr="00567815">
        <w:rPr>
          <w:noProof/>
        </w:rPr>
        <w:t>Tendo em conta o Tratado sobre o Funcionamento da União Europeia, nomeadamente o artigo 121.º, n.º 2, e o artigo 148.º, n.º 4,</w:t>
      </w:r>
    </w:p>
    <w:p w:rsidR="00373387" w:rsidRPr="00567815" w:rsidRDefault="416F7FB2" w:rsidP="00F11038">
      <w:pPr>
        <w:rPr>
          <w:noProof/>
        </w:rPr>
      </w:pPr>
      <w:r w:rsidRPr="00567815">
        <w:rPr>
          <w:noProof/>
        </w:rPr>
        <w:t>Tendo em conta o Regulamento (CE) n.º 1466/97 do Conselho, de 7 de julho de 1997, relativo ao reforço da supervisão das situações orçamentais e à supervisão e coordenação das políticas económicas</w:t>
      </w:r>
      <w:r w:rsidRPr="00567815">
        <w:rPr>
          <w:rStyle w:val="FootnoteReference"/>
          <w:noProof/>
        </w:rPr>
        <w:footnoteReference w:id="2"/>
      </w:r>
      <w:r w:rsidRPr="00567815">
        <w:rPr>
          <w:noProof/>
        </w:rPr>
        <w:t>, nomeadamente o artigo 5.º, n.º 2,</w:t>
      </w:r>
    </w:p>
    <w:p w:rsidR="00373387" w:rsidRPr="00567815" w:rsidDel="0054700A" w:rsidRDefault="416F7FB2" w:rsidP="00F11038">
      <w:pPr>
        <w:rPr>
          <w:noProof/>
        </w:rPr>
      </w:pPr>
      <w:r w:rsidRPr="00567815">
        <w:rPr>
          <w:noProof/>
        </w:rPr>
        <w:t>Tendo em conta a recomendação da Comissão Europeia,</w:t>
      </w:r>
    </w:p>
    <w:p w:rsidR="00373387" w:rsidRPr="00567815" w:rsidRDefault="00373387" w:rsidP="00F11038">
      <w:pPr>
        <w:rPr>
          <w:noProof/>
        </w:rPr>
      </w:pPr>
      <w:r w:rsidRPr="00567815">
        <w:rPr>
          <w:noProof/>
        </w:rPr>
        <w:t>Tendo em conta as resoluções do Parlamento Europeu,</w:t>
      </w:r>
    </w:p>
    <w:p w:rsidR="00373387" w:rsidRPr="00567815" w:rsidRDefault="00373387" w:rsidP="00F11038">
      <w:pPr>
        <w:outlineLvl w:val="0"/>
        <w:rPr>
          <w:noProof/>
        </w:rPr>
      </w:pPr>
      <w:r w:rsidRPr="00567815">
        <w:rPr>
          <w:noProof/>
        </w:rPr>
        <w:t>Tendo em conta as conclusões do Conselho Europeu,</w:t>
      </w:r>
    </w:p>
    <w:p w:rsidR="00373387" w:rsidRPr="00567815" w:rsidRDefault="00373387" w:rsidP="00F11038">
      <w:pPr>
        <w:rPr>
          <w:noProof/>
        </w:rPr>
      </w:pPr>
      <w:r w:rsidRPr="00567815">
        <w:rPr>
          <w:noProof/>
        </w:rPr>
        <w:t>Tendo em conta o parecer do Comité do Emprego,</w:t>
      </w:r>
    </w:p>
    <w:p w:rsidR="00373387" w:rsidRPr="00567815" w:rsidRDefault="00373387" w:rsidP="00F11038">
      <w:pPr>
        <w:rPr>
          <w:noProof/>
        </w:rPr>
      </w:pPr>
      <w:r w:rsidRPr="00567815">
        <w:rPr>
          <w:noProof/>
        </w:rPr>
        <w:t>Tendo em conta o parecer do Comité Económico e Financeiro,</w:t>
      </w:r>
    </w:p>
    <w:p w:rsidR="00373387" w:rsidRPr="00567815" w:rsidRDefault="00373387" w:rsidP="00F11038">
      <w:pPr>
        <w:rPr>
          <w:noProof/>
        </w:rPr>
      </w:pPr>
      <w:r w:rsidRPr="00567815">
        <w:rPr>
          <w:noProof/>
        </w:rPr>
        <w:t>Tendo em conta o parecer do Comité da Proteção Social,</w:t>
      </w:r>
    </w:p>
    <w:p w:rsidR="00006579" w:rsidRPr="00567815" w:rsidRDefault="00373387" w:rsidP="00F11038">
      <w:pPr>
        <w:rPr>
          <w:noProof/>
        </w:rPr>
      </w:pPr>
      <w:r w:rsidRPr="00567815">
        <w:rPr>
          <w:noProof/>
        </w:rPr>
        <w:t>Tendo em conta o parecer do Comité de Política Económica,</w:t>
      </w:r>
    </w:p>
    <w:p w:rsidR="00793D7F" w:rsidRPr="00567815" w:rsidRDefault="00793D7F" w:rsidP="00F11038">
      <w:pPr>
        <w:rPr>
          <w:noProof/>
        </w:rPr>
      </w:pPr>
      <w:r w:rsidRPr="00567815">
        <w:rPr>
          <w:noProof/>
        </w:rPr>
        <w:t>Considerando o seguinte:</w:t>
      </w:r>
    </w:p>
    <w:p w:rsidR="00373387" w:rsidRPr="00567815" w:rsidRDefault="003C6229" w:rsidP="003C6229">
      <w:pPr>
        <w:pStyle w:val="ManualConsidrant"/>
        <w:rPr>
          <w:noProof/>
        </w:rPr>
      </w:pPr>
      <w:r w:rsidRPr="003C6229">
        <w:t>(1)</w:t>
      </w:r>
      <w:r w:rsidRPr="003C6229">
        <w:tab/>
      </w:r>
      <w:r w:rsidR="6AF9BB7D" w:rsidRPr="00567815">
        <w:rPr>
          <w:noProof/>
        </w:rPr>
        <w:t>O Regulamento (UE) 2021/241 do Parlamento Europeu e do Conselho</w:t>
      </w:r>
      <w:r w:rsidR="6AF9BB7D" w:rsidRPr="00567815">
        <w:rPr>
          <w:rStyle w:val="FootnoteReference"/>
          <w:noProof/>
        </w:rPr>
        <w:footnoteReference w:id="3"/>
      </w:r>
      <w:r w:rsidR="6AF9BB7D" w:rsidRPr="00567815">
        <w:rPr>
          <w:noProof/>
        </w:rPr>
        <w:t xml:space="preserve">, que criou o Mecanismo de Recuperação e Resiliência, entrou em vigor em 19 de fevereiro de 2021. O Mecanismo de Recuperação e Resiliência presta apoio financeiro aos Estados-Membros para a execução de reformas e investimentos, implicando um estímulo orçamental financiado pela UE. Em consonância com as prioridades do Semestre Europeu, contribui para a recuperação económica e social e para a execução de reformas e investimentos sustentáveis, em especial para promover a transição ecológica e digital e tornar mais resilientes as economias dos Estados-Membros. Contribui igualmente para reforçar as finanças públicas e estimular o crescimento e a criação de emprego a médio e longo prazo, favorece o aumento da coesão territorial na UE e apoia a execução corrente do Pilar Europeu dos Direitos Sociais. A contribuição financeira máxima por Estado-Membro ao abrigo do Mecanismo de Recuperação e Resiliência foi atualizada em 30 de junho de 2022, em conformidade com o artigo 11.º, n.º 2, do Regulamento (UE) 2021/241. </w:t>
      </w:r>
    </w:p>
    <w:p w:rsidR="00373387" w:rsidRPr="00567815" w:rsidRDefault="003C6229" w:rsidP="003C6229">
      <w:pPr>
        <w:pStyle w:val="ManualConsidrant"/>
        <w:rPr>
          <w:noProof/>
        </w:rPr>
      </w:pPr>
      <w:r w:rsidRPr="003C6229">
        <w:t>(2)</w:t>
      </w:r>
      <w:r w:rsidRPr="003C6229">
        <w:tab/>
      </w:r>
      <w:r w:rsidR="751DAA27" w:rsidRPr="00567815">
        <w:rPr>
          <w:noProof/>
        </w:rPr>
        <w:t>Em 22 de novembro de 2022, a Comissão adotou a Análise Anual do Crescimento Sustentável de 2023</w:t>
      </w:r>
      <w:r w:rsidR="751DAA27" w:rsidRPr="00567815">
        <w:rPr>
          <w:rStyle w:val="FootnoteReference"/>
          <w:noProof/>
        </w:rPr>
        <w:footnoteReference w:id="4"/>
      </w:r>
      <w:r w:rsidR="751DAA27" w:rsidRPr="00567815">
        <w:rPr>
          <w:noProof/>
        </w:rPr>
        <w:t xml:space="preserve">, que marca o início do Semestre Europeu de 2023 para a </w:t>
      </w:r>
      <w:r w:rsidR="751DAA27" w:rsidRPr="00567815">
        <w:rPr>
          <w:noProof/>
        </w:rPr>
        <w:lastRenderedPageBreak/>
        <w:t xml:space="preserve">coordenação das políticas económicas. Em 23 de março de 2023, o Conselho Europeu aprovou as prioridades dessa análise, de acordo com as quatro dimensões da sustentabilidade competitiva. Em 22 de novembro de 2022, com base no Regulamento (UE) n.º 1176/2011, a Comissão adotou igualmente o Relatório sobre o Mecanismo de Alerta de 2023, no qual não </w:t>
      </w:r>
      <w:r w:rsidR="751DAA27" w:rsidRPr="00567815">
        <w:rPr>
          <w:noProof/>
        </w:rPr>
        <w:br/>
        <w:t xml:space="preserve">identificou Malta como um dos Estados-Membros que podem ser afetados ou correr o risco de ser afetados por desequilíbrios e relativamente aos quais seria necessária uma apreciação aprofundada. Na mesma data, a Comissão adotou igualmente um parecer sobre o projeto de plano orçamental de Malta para 2023. A Comissão adotou ainda uma proposta de recomendação do Conselho sobre a política económica da área do euro, que o Conselho adotou em 16 de maio de 2023, bem como a proposta de Relatório Conjunto sobre o Emprego de 2023, que analisa a aplicação das Orientações para o Emprego e os princípios do Pilar Europeu dos Direitos Sociais, que o Conselho adotou em 13 de março de 2023. </w:t>
      </w:r>
    </w:p>
    <w:p w:rsidR="00373387" w:rsidRPr="00567815" w:rsidRDefault="003C6229" w:rsidP="003C6229">
      <w:pPr>
        <w:pStyle w:val="ManualConsidrant"/>
        <w:rPr>
          <w:noProof/>
        </w:rPr>
      </w:pPr>
      <w:r w:rsidRPr="003C6229">
        <w:t>(3)</w:t>
      </w:r>
      <w:r w:rsidRPr="003C6229">
        <w:tab/>
      </w:r>
      <w:r w:rsidR="7EDB4484" w:rsidRPr="00567815">
        <w:rPr>
          <w:noProof/>
        </w:rPr>
        <w:t>Embora as economias da UE estejam a mostrar uma resiliência notável, o contexto geopolítico continua a ter um impacto negativo. Mantendo-se firme no seu apoio à Ucrânia, a UE tem centrado as suas políticas económicas e sociais na redução dos impactos negativos dos choques energéticos para as empresas e agregados familiares vulneráveis no curto prazo, bem como na prossecução dos esforços para concretizar a transição ecológica e digital, apoiar o crescimento sustentável e inclusivo, salvaguardar a estabilidade macroeconómica e aumentar a resiliência a médio prazo. A UE atribui além disso uma forte prioridade ao aumento da sua competitividade e produtividade.</w:t>
      </w:r>
    </w:p>
    <w:p w:rsidR="00373387" w:rsidRPr="00567815" w:rsidRDefault="003C6229" w:rsidP="003C6229">
      <w:pPr>
        <w:pStyle w:val="ManualConsidrant"/>
        <w:rPr>
          <w:noProof/>
        </w:rPr>
      </w:pPr>
      <w:r w:rsidRPr="003C6229">
        <w:t>(4)</w:t>
      </w:r>
      <w:r w:rsidRPr="003C6229">
        <w:tab/>
      </w:r>
      <w:r w:rsidR="59B7512D" w:rsidRPr="00567815">
        <w:rPr>
          <w:noProof/>
        </w:rPr>
        <w:t>Em 1 de fevereiro de 2023, a Comissão publicou uma Comunicação intitulada «Plano Industrial do Pacto Ecológico para a Era do Impacto Zero»</w:t>
      </w:r>
      <w:r w:rsidR="59B7512D" w:rsidRPr="00567815">
        <w:rPr>
          <w:rStyle w:val="FootnoteReference"/>
          <w:noProof/>
        </w:rPr>
        <w:footnoteReference w:id="5"/>
      </w:r>
      <w:r w:rsidR="59B7512D" w:rsidRPr="00567815">
        <w:rPr>
          <w:noProof/>
        </w:rPr>
        <w:t>, visando revitalizar a competitividade da indústria de impacto zero da UE e apoiar uma rápida transição para a neutralidade climática. O plano, que complementa os esforços em curso no âmbito do Pacto Ecológico Europeu e do REPowerEU, visa proporcionar um ambiente mais favorável ao aumento da capacidade de produção da UE no que respeita às tecnologias e produtos de impacto zero necessários para cumprir os ambiciosos objetivos climáticos da UE</w:t>
      </w:r>
      <w:r w:rsidR="59B7512D" w:rsidRPr="00567815">
        <w:rPr>
          <w:rStyle w:val="normaltextrun"/>
          <w:noProof/>
          <w:color w:val="000000"/>
          <w:shd w:val="clear" w:color="auto" w:fill="FFFFFF"/>
        </w:rPr>
        <w:t>,</w:t>
      </w:r>
      <w:r w:rsidR="59B7512D" w:rsidRPr="00567815">
        <w:rPr>
          <w:rStyle w:val="normaltextrun"/>
          <w:noProof/>
          <w:color w:val="000000"/>
        </w:rPr>
        <w:t xml:space="preserve"> bem como assegurar o acesso às necessárias matérias-primas críticas, nomeadamente por via da diversificação do aprovisionamento, da exploração adequada dos recursos geológicos nos Estados-Membros e da maximização da reciclagem de matérias-primas</w:t>
      </w:r>
      <w:r w:rsidR="59B7512D" w:rsidRPr="00567815">
        <w:rPr>
          <w:noProof/>
        </w:rPr>
        <w:t>. O plano baseia-se em quatro pilares: um quadro regulamentar previsível e simplificado, a aceleração do acesso ao financiamento, a melhoria das competências e um comércio aberto para reforçar a resiliência das cadeias de abastecimento. Em 16 de março de 2023, a Comissão publicou também uma comunicação intitulada «Competitividade da UE a longo prazo:</w:t>
      </w:r>
      <w:r w:rsidR="59B7512D" w:rsidRPr="00567815">
        <w:rPr>
          <w:i/>
          <w:noProof/>
        </w:rPr>
        <w:t xml:space="preserve"> </w:t>
      </w:r>
      <w:r w:rsidR="59B7512D" w:rsidRPr="00567815">
        <w:rPr>
          <w:noProof/>
        </w:rPr>
        <w:t>visão além de 2030»</w:t>
      </w:r>
      <w:r w:rsidR="59B7512D" w:rsidRPr="00567815">
        <w:rPr>
          <w:rStyle w:val="FootnoteReference"/>
          <w:noProof/>
        </w:rPr>
        <w:footnoteReference w:id="6"/>
      </w:r>
      <w:r w:rsidR="59B7512D" w:rsidRPr="00567815">
        <w:rPr>
          <w:noProof/>
        </w:rPr>
        <w:t>, articulada em torno de nove fatores impulsionadores que se reforçam mutuamente com o objetivo de contribuir para um quadro regulamentar favorável ao crescimento. A comunicação define prioridades políticas destinadas a assegurar ativamente melhorias estruturais, investimentos bem orientados e medidas regulamentares que fomentem a competitividade a longo prazo da UE e dos Estados-Membros. As recomendações a seguir apresentadas contribuem para a concretização dessas prioridades.</w:t>
      </w:r>
    </w:p>
    <w:p w:rsidR="00373387" w:rsidRPr="00567815" w:rsidRDefault="003C6229" w:rsidP="003C6229">
      <w:pPr>
        <w:pStyle w:val="ManualConsidrant"/>
        <w:rPr>
          <w:noProof/>
        </w:rPr>
      </w:pPr>
      <w:r w:rsidRPr="003C6229">
        <w:lastRenderedPageBreak/>
        <w:t>(5)</w:t>
      </w:r>
      <w:r w:rsidRPr="003C6229">
        <w:tab/>
      </w:r>
      <w:r w:rsidR="493AB4EC" w:rsidRPr="00567815">
        <w:rPr>
          <w:noProof/>
        </w:rPr>
        <w:t xml:space="preserve">Em 2023, o Semestre Europeu para a coordenação das políticas económicas continua a evoluir em consonância com a execução do Mecanismo de Recuperação e Resiliência. A plena execução dos planos de recuperação e resiliência adotados continua a ser um elemento essencial para a realização das prioridades políticas no âmbito do Semestre Europeu, uma vez que os planos atendem à totalidade ou pelo menos a uma parte significativa das recomendações específicas por país formuladas nos últimos anos. As recomendações específicas por país de 2019, 2020 e 2022 continuam a ser igualmente pertinentes para os planos de recuperação e resiliência revistos, atualizados ou alterados em conformidade com os artigos 14.º, 18.º e 21.º do Regulamento (UE) 2021/241. </w:t>
      </w:r>
    </w:p>
    <w:p w:rsidR="00373387" w:rsidRPr="00567815" w:rsidRDefault="003C6229" w:rsidP="003C6229">
      <w:pPr>
        <w:pStyle w:val="ManualConsidrant"/>
        <w:rPr>
          <w:noProof/>
        </w:rPr>
      </w:pPr>
      <w:r w:rsidRPr="003C6229">
        <w:t>(6)</w:t>
      </w:r>
      <w:r w:rsidRPr="003C6229">
        <w:tab/>
      </w:r>
      <w:r w:rsidR="08D90265" w:rsidRPr="00567815">
        <w:rPr>
          <w:noProof/>
        </w:rPr>
        <w:t>O Regulamento REPowerEU</w:t>
      </w:r>
      <w:r w:rsidR="08D90265" w:rsidRPr="00567815">
        <w:rPr>
          <w:rStyle w:val="FootnoteReference"/>
          <w:noProof/>
        </w:rPr>
        <w:footnoteReference w:id="7"/>
      </w:r>
      <w:r w:rsidR="08D90265" w:rsidRPr="00567815">
        <w:rPr>
          <w:noProof/>
        </w:rPr>
        <w:t xml:space="preserve">, adotado em 27 de fevereiro de 2023, visa acabar rapidamente com a dependência da UE das importações de combustíveis fósseis russos, contribuindo para a segurança energética e a diversificação do aprovisionamento energético da UE e reforçando, ao mesmo tempo, a adoção de energias renováveis, as capacidades de armazenamento de energia e a eficiência energética. Ao abrigo do regulamento, os Estados-Membros podem acrescentar um novo capítulo REPowerEU aos seus planos nacionais de recuperação e resiliência, a fim de financiar reformas e investimentos essenciais que contribuam para a consecução dos objetivos REPowerEU. Essas reformas e investimentos contribuirão igualmente para revitalizar a competitividade da indústria de impacto zero da UE, na linha do Plano Industrial do Pacto Ecológico para a Era do Impacto Zero, bem como para dar resposta às recomendações específicas por país em matéria de energia dirigidas aos Estados-Membros em 2022 e, se for caso disso, em 2023. O Regulamento REPowerEU introduz uma nova categoria de apoio financeiro não reembolsável, que é disponibilizado aos Estados-Membros para financiar novas reformas e investimentos relacionados com a energia no âmbito dos seus planos de recuperação e resiliência. </w:t>
      </w:r>
    </w:p>
    <w:p w:rsidR="00373387" w:rsidRPr="00567815" w:rsidRDefault="003C6229" w:rsidP="003C6229">
      <w:pPr>
        <w:pStyle w:val="ManualConsidrant"/>
        <w:rPr>
          <w:noProof/>
        </w:rPr>
      </w:pPr>
      <w:r w:rsidRPr="003C6229">
        <w:t>(7)</w:t>
      </w:r>
      <w:r w:rsidRPr="003C6229">
        <w:tab/>
      </w:r>
      <w:r w:rsidR="2694F8FE" w:rsidRPr="00567815">
        <w:rPr>
          <w:noProof/>
        </w:rPr>
        <w:t>Em 8 de março de 2023, a Comissão adotou uma comunicação que formula orientações em matéria de política orçamental para 2024, com o objetivo de apoiar a preparação dos programas de estabilidade e convergência dos Estados-Membros, reforçando assim a coordenação das políticas</w:t>
      </w:r>
      <w:r w:rsidR="2694F8FE" w:rsidRPr="00567815">
        <w:rPr>
          <w:rStyle w:val="FootnoteReference"/>
          <w:noProof/>
        </w:rPr>
        <w:footnoteReference w:id="8"/>
      </w:r>
      <w:r w:rsidR="2694F8FE" w:rsidRPr="00567815">
        <w:rPr>
          <w:noProof/>
        </w:rPr>
        <w:t xml:space="preserve">. A Comissão recordou nesse contexto que a cláusula de derrogação de âmbito geral do Pacto de Estabilidade e Crescimento será desativada no final de 2023. Para 2023-24, apelou à adoção de políticas orçamentais que permitam assegurar a sustentabilidade da dívida no médio prazo e aumentar o crescimento potencial de forma sustentável. Os Estados-Membros foram convidados a indicar, nos seus programas de estabilidade e convergência de 2023, de que forma os seus planos orçamentais assegurarão o respeito do valor de referência de 3 % do PIB para o défice e uma redução plausível e continuada da dívida, ou a sua manutenção em níveis prudentes no médio prazo. A Comissão convidou os Estados-Membros a eliminarem progressivamente as medidas orçamentais nacionais introduzidas para proteger os agregados familiares e as empresas do choque dos preços da energia, começando pelas medidas de caráter mais genérico. Indicou que, caso seja necessária uma prorrogação das medidas de apoio devido a novas pressões sobre os </w:t>
      </w:r>
      <w:r w:rsidR="2694F8FE" w:rsidRPr="00567815">
        <w:rPr>
          <w:noProof/>
        </w:rPr>
        <w:lastRenderedPageBreak/>
        <w:t>preços da energia, os Estados-Membros deverão orientar muito melhor essas medidas em benefício das empresas e agregados familiares vulneráveis. A Comissão propôs que as recomendações orçamentais fossem quantificadas e diferenciadas e que a respetiva formulação tomasse por base a despesa primária líquida, tal como proposto na sua comunicação sobre as orientações para a reforma do quadro de governação económica da UE</w:t>
      </w:r>
      <w:r w:rsidR="2694F8FE" w:rsidRPr="00567815">
        <w:rPr>
          <w:rStyle w:val="FootnoteReference"/>
          <w:noProof/>
        </w:rPr>
        <w:footnoteReference w:id="9"/>
      </w:r>
      <w:r w:rsidR="2694F8FE" w:rsidRPr="00567815">
        <w:rPr>
          <w:noProof/>
        </w:rPr>
        <w:t>. Recomendou que todos os Estados-Membros continuassem a proteger o investimento financiado a nível nacional e a assegurar a utilização eficaz do Mecanismo de Recuperação e Resiliência e dos outros fundos da UE, em especial tendo em conta os objetivos da transição ecológica e digital e em matéria de resiliência. A Comissão indicou ainda que irá propor ao Conselho a abertura de procedimentos por défice excessivo na primavera de 2024 com base nos dados de execução relativos a 2023, em conformidade com as disposições jurídicas em vigor.</w:t>
      </w:r>
    </w:p>
    <w:p w:rsidR="00373387" w:rsidRPr="00567815" w:rsidRDefault="003C6229" w:rsidP="003C6229">
      <w:pPr>
        <w:pStyle w:val="ManualConsidrant"/>
        <w:rPr>
          <w:noProof/>
        </w:rPr>
      </w:pPr>
      <w:r w:rsidRPr="003C6229">
        <w:t>(8)</w:t>
      </w:r>
      <w:r w:rsidRPr="003C6229">
        <w:tab/>
      </w:r>
      <w:r w:rsidR="00753635" w:rsidRPr="00567815">
        <w:rPr>
          <w:noProof/>
        </w:rPr>
        <w:t>Em 26 de abril de 2023, a Comissão apresentou propostas legislativas para executar uma reforma abrangente das regras de governação económica da UE. O objetivo central destas propostas consiste em reforçar a sustentabilidade da dívida pública e em promover um crescimento sustentável e inclusivo em todos os Estados-Membros através de reformas e investimentos. As propostas visam proporcionar aos Estados-Membros um maior controlo sobre a conceção dos seus planos de médio prazo, introduzindo ao mesmo tempo um regime de aplicação mais rigoroso a fim de garantir que os Estados-Membros respeitem os compromissos assumidos nos seus planos orçamentais/estruturais de médio prazo. O objetivo é concluir o trabalho legislativo em 2023.</w:t>
      </w:r>
    </w:p>
    <w:p w:rsidR="00373387" w:rsidRPr="00567815" w:rsidRDefault="003C6229" w:rsidP="003C6229">
      <w:pPr>
        <w:pStyle w:val="ManualConsidrant"/>
        <w:rPr>
          <w:noProof/>
        </w:rPr>
      </w:pPr>
      <w:r w:rsidRPr="003C6229">
        <w:t>(9)</w:t>
      </w:r>
      <w:r w:rsidRPr="003C6229">
        <w:tab/>
      </w:r>
      <w:r w:rsidR="2BA26F4B" w:rsidRPr="00567815">
        <w:rPr>
          <w:noProof/>
        </w:rPr>
        <w:t>Em 13 de julho de 2021, Malta apresentou à Comissão o seu plano nacional de recuperação e resiliência, em conformidade com o artigo 18.º, n.º 1, do Regulamento (UE) 2021/241. Nos termos do artigo 19.º do Regulamento (UE) 2021/241, a Comissão avaliou a relevância, eficácia, eficiência e coerência do plano de recuperação e resiliência, em conformidade com as orientações de avaliação constantes do anexo V do mesmo regulamento. Em 5 de outubro de 2021, o Conselho adotou a sua decisão relativa à aprovação da avaliação do plano de recuperação e resiliência de Malta</w:t>
      </w:r>
      <w:r w:rsidR="2BA26F4B" w:rsidRPr="00567815">
        <w:rPr>
          <w:rStyle w:val="FootnoteReference"/>
          <w:noProof/>
        </w:rPr>
        <w:footnoteReference w:id="10"/>
      </w:r>
      <w:r w:rsidR="2BA26F4B" w:rsidRPr="00567815">
        <w:rPr>
          <w:noProof/>
        </w:rPr>
        <w:t>. A disponibilização das parcelas está subordinada a uma decisão da Comissão, adotada em conformidade com o artigo 24.º, n.º 5, do Regulamento (UE) 2021/241, que estabeleça que Malta cumpriu de forma satisfatória os marcos e metas aplicáveis estabelecidos na decisão de execução do Conselho. O cumprimento satisfatório pressupõe que não tenha havido recuos na realização dos marcos e metas anteriores.</w:t>
      </w:r>
    </w:p>
    <w:p w:rsidR="00373387" w:rsidRPr="00567815" w:rsidRDefault="003C6229" w:rsidP="003C6229">
      <w:pPr>
        <w:pStyle w:val="ManualConsidrant"/>
        <w:rPr>
          <w:noProof/>
        </w:rPr>
      </w:pPr>
      <w:r w:rsidRPr="003C6229">
        <w:t>(10)</w:t>
      </w:r>
      <w:r w:rsidRPr="003C6229">
        <w:tab/>
      </w:r>
      <w:r w:rsidR="00A56EB7" w:rsidRPr="00567815">
        <w:rPr>
          <w:noProof/>
        </w:rPr>
        <w:t xml:space="preserve">Em 25 de abril de 2023, Malta apresentou o seu Programa Nacional de Reformas de 2023 e, em 3 de maio de 2023, o seu Programa de Estabilidade de 2023, cumprindo assim o prazo estabelecido no artigo 4.º, n.º 1, do Regulamento (CE) n.º 1466/97. A fim de atender às interligações entre os dois programas, estes foram avaliados em conjunto. Em conformidade com o artigo 27.º do Regulamento (UE) 2021/241, o Programa Nacional de Reformas de 2023 reflete igualmente os relatórios semestrais apresentados por Malta sobre os progressos realizados na consecução do plano de recuperação e resiliência. </w:t>
      </w:r>
    </w:p>
    <w:p w:rsidR="00B21854" w:rsidRPr="00567815" w:rsidRDefault="003C6229" w:rsidP="003C6229">
      <w:pPr>
        <w:pStyle w:val="ManualConsidrant"/>
        <w:rPr>
          <w:noProof/>
        </w:rPr>
      </w:pPr>
      <w:r w:rsidRPr="003C6229">
        <w:lastRenderedPageBreak/>
        <w:t>(11)</w:t>
      </w:r>
      <w:r w:rsidRPr="003C6229">
        <w:tab/>
      </w:r>
      <w:r w:rsidR="751DAA27" w:rsidRPr="00567815">
        <w:rPr>
          <w:noProof/>
        </w:rPr>
        <w:t>Em 24 de maio de 2023, a Comissão publicou o relatório específico de 2023 relativo a Malta</w:t>
      </w:r>
      <w:r w:rsidR="751DAA27" w:rsidRPr="00567815">
        <w:rPr>
          <w:rStyle w:val="FootnoteReference"/>
          <w:noProof/>
        </w:rPr>
        <w:footnoteReference w:id="11"/>
      </w:r>
      <w:r w:rsidR="751DAA27" w:rsidRPr="00567815">
        <w:rPr>
          <w:noProof/>
        </w:rPr>
        <w:t xml:space="preserve">, que avalia os progressos realizados em resposta às recomendações específicas por país adotadas pelo Conselho entre 2019 e 2022 e faz o balanço da execução do respetivo plano de recuperação e resiliência. Partindo desta análise, o relatório por país identificou lacunas relativas aos desafios que não são abordados, ou apenas o são parcialmente, pelo plano de recuperação e resiliência, bem como a desafios novos e emergentes. O relatório avaliou igualmente os progressos realizados por Malta na execução do Pilar Europeu dos Direitos Sociais e na consecução das grandes metas da UE em matéria de emprego, competências e redução da pobreza, bem como na concretização dos Objetivos de Desenvolvimento Sustentável da ONU. </w:t>
      </w:r>
    </w:p>
    <w:p w:rsidR="00B21854" w:rsidRPr="00567815" w:rsidRDefault="003C6229" w:rsidP="003C6229">
      <w:pPr>
        <w:pStyle w:val="ManualConsidrant"/>
        <w:rPr>
          <w:noProof/>
        </w:rPr>
      </w:pPr>
      <w:r w:rsidRPr="003C6229">
        <w:t>(12)</w:t>
      </w:r>
      <w:r w:rsidRPr="003C6229">
        <w:tab/>
      </w:r>
      <w:r w:rsidR="00B21854" w:rsidRPr="00567815">
        <w:rPr>
          <w:noProof/>
        </w:rPr>
        <w:t>Com base nos dados validados pelo Eurostat</w:t>
      </w:r>
      <w:r w:rsidR="00B21854" w:rsidRPr="00567815">
        <w:rPr>
          <w:rStyle w:val="FootnoteReference"/>
          <w:noProof/>
        </w:rPr>
        <w:footnoteReference w:id="12"/>
      </w:r>
      <w:r w:rsidR="00B21854" w:rsidRPr="00567815">
        <w:rPr>
          <w:noProof/>
        </w:rPr>
        <w:t>, o défice das administrações públicas de Malta diminuiu de 7,8 % do PIB em 2021 para 5,8 % em 2022, enquanto a dívida das administrações públicas caiu de 55,1 % do PIB no final de 2021 para 53,4 % no final de 2022. Em 24 de maio de 2023, a Comissão elaborou um relatório nos termos do artigo 126.º, n.º 3, do TFUE</w:t>
      </w:r>
      <w:r w:rsidR="00B21854" w:rsidRPr="00567815">
        <w:rPr>
          <w:rStyle w:val="FootnoteReference"/>
          <w:noProof/>
        </w:rPr>
        <w:footnoteReference w:id="13"/>
      </w:r>
      <w:r w:rsidR="00B21854" w:rsidRPr="00567815">
        <w:rPr>
          <w:noProof/>
        </w:rPr>
        <w:t>, no qual analisava a situação orçamental de Malta, dado que, em 2022, o seu défice das administrações públicas havia excedido o valor de referência previsto no Tratado, de 3 % do PIB. O relatório concluiu que o critério do défice não foi cumprido. Em conformidade com a sua Comunicação de 8 de março de 2023</w:t>
      </w:r>
      <w:r w:rsidR="00B21854" w:rsidRPr="00567815">
        <w:rPr>
          <w:rStyle w:val="FootnoteReference"/>
          <w:noProof/>
        </w:rPr>
        <w:footnoteReference w:id="14"/>
      </w:r>
      <w:r w:rsidR="00B21854" w:rsidRPr="00567815">
        <w:rPr>
          <w:noProof/>
        </w:rPr>
        <w:t>, a Comissão não propôs a abertura de novos procedimentos por défice excessivo na primavera de 2023, mas declarou, por outro lado, que irá propor ao Conselho a abertura de procedimentos por défice excessivo na primavera de 2024 com base nos dados de execução relativos a 2023. Malta deve ter em conta este facto na execução do seu orçamento de 2023 e na elaboração do projeto de plano orçamental para 2024.</w:t>
      </w:r>
    </w:p>
    <w:p w:rsidR="00B21854" w:rsidRPr="00567815" w:rsidRDefault="003C6229" w:rsidP="003C6229">
      <w:pPr>
        <w:pStyle w:val="ManualConsidrant"/>
        <w:rPr>
          <w:noProof/>
        </w:rPr>
      </w:pPr>
      <w:r w:rsidRPr="003C6229">
        <w:t>(13)</w:t>
      </w:r>
      <w:r w:rsidRPr="003C6229">
        <w:tab/>
      </w:r>
      <w:r w:rsidR="00B21854" w:rsidRPr="00567815">
        <w:rPr>
          <w:noProof/>
        </w:rPr>
        <w:t>O saldo das administrações públicas foi afetado pelas medidas de política orçamental adotadas para atenuar o impacto económico e social do aumento dos preços da energia. Em 2022, as medidas com efeito de redução da receita incluíram cortes nos impostos indiretos sobre o consumo de energia, enquanto as medidas com efeito de aumento da despesa incluíram subsídios à produção de energia, para compensar o aumento dos preços da eletricidade importada e das emissões de carbono.   A Comissão estima o custo orçamental líquido destas medidas em 2,5 % do PIB em 2022. O saldo das administrações públicas foi igualmente afetado pelo custo orçamental da proteção temporária das pessoas deslocadas da Ucrânia, estimado em 0,1 % do PIB em 2022. Ao mesmo tempo, o custo estimado das medidas temporárias de emergência relacionadas com a COVID-19 diminuiu para 0,8 % do PIB em 2022, partindo de 3,2 % em 2021.</w:t>
      </w:r>
    </w:p>
    <w:p w:rsidR="00B21854" w:rsidRPr="00567815" w:rsidRDefault="003C6229" w:rsidP="003C6229">
      <w:pPr>
        <w:pStyle w:val="ManualConsidrant"/>
        <w:rPr>
          <w:noProof/>
        </w:rPr>
      </w:pPr>
      <w:r w:rsidRPr="003C6229">
        <w:t>(14)</w:t>
      </w:r>
      <w:r w:rsidRPr="003C6229">
        <w:tab/>
      </w:r>
      <w:r w:rsidR="00B21854" w:rsidRPr="00567815">
        <w:rPr>
          <w:noProof/>
        </w:rPr>
        <w:t>Em 18 de junho de 2021, o Conselho recomendou que, em 2022, Malta</w:t>
      </w:r>
      <w:r w:rsidR="00B21854" w:rsidRPr="00567815">
        <w:rPr>
          <w:rStyle w:val="FootnoteReference"/>
          <w:noProof/>
        </w:rPr>
        <w:footnoteReference w:id="15"/>
      </w:r>
      <w:r w:rsidR="00B21854" w:rsidRPr="00567815">
        <w:rPr>
          <w:noProof/>
        </w:rPr>
        <w:t xml:space="preserve"> mantivesse uma orientação orçamental favorável, incluindo o estímulo proporcionado pelo Mecanismo de Recuperação e Resiliência, e preservasse o investimento financiado a nível nacional. </w:t>
      </w:r>
    </w:p>
    <w:p w:rsidR="00B21854" w:rsidRPr="00567815" w:rsidRDefault="003C6229" w:rsidP="003C6229">
      <w:pPr>
        <w:pStyle w:val="ManualConsidrant"/>
        <w:rPr>
          <w:noProof/>
        </w:rPr>
      </w:pPr>
      <w:r w:rsidRPr="003C6229">
        <w:lastRenderedPageBreak/>
        <w:t>(15)</w:t>
      </w:r>
      <w:r w:rsidRPr="003C6229">
        <w:tab/>
      </w:r>
      <w:r w:rsidR="00B21854" w:rsidRPr="00567815">
        <w:rPr>
          <w:noProof/>
        </w:rPr>
        <w:t>De acordo com as estimativas da Comissão, a orientação orçamental em 2022 foi globalmente neutra</w:t>
      </w:r>
      <w:r w:rsidR="00B21854" w:rsidRPr="00567815">
        <w:rPr>
          <w:rStyle w:val="FootnoteReference"/>
          <w:noProof/>
          <w:szCs w:val="24"/>
          <w:lang w:eastAsia="ja-JP"/>
        </w:rPr>
        <w:footnoteReference w:id="16"/>
      </w:r>
      <w:r w:rsidR="00B21854" w:rsidRPr="00567815">
        <w:rPr>
          <w:noProof/>
        </w:rPr>
        <w:t>, situando-se em -0,2 % do PIB, tal como recomendado pelo Conselho. Tal como recomendado pelo Conselho, Malta continuou a apoiar a recuperação através de investimentos a financiar pelo Mecanismo de Recuperação e Resiliência. As despesas financiadas por subvenções do Mecanismo de Recuperação e Resiliência e outros fundos da UE ascenderam a 0,9 % do PIB em 2022 (1,1 % do PIB em 2021). A diminuição das despesas financiadas por subvenções do Mecanismo de Recuperação e Resiliência e outros fundos da UE em 2022 deveu-se a uma menor absorção dos outros fundos da UE. O investimento financiado a nível nacional teve um contributo contracionista para a orientação orçamental de 0,2 pontos percentuais</w:t>
      </w:r>
      <w:r w:rsidR="00B21854" w:rsidRPr="00567815">
        <w:rPr>
          <w:rStyle w:val="FootnoteReference"/>
          <w:noProof/>
        </w:rPr>
        <w:footnoteReference w:id="17"/>
      </w:r>
      <w:r w:rsidR="00B21854" w:rsidRPr="00567815">
        <w:rPr>
          <w:noProof/>
        </w:rPr>
        <w:t>. Por conseguinte, Malta não preservou o investimento financiado a nível nacional, não assegurando</w:t>
      </w:r>
      <w:r w:rsidR="008236F4">
        <w:rPr>
          <w:noProof/>
        </w:rPr>
        <w:t>,</w:t>
      </w:r>
      <w:r w:rsidR="00B21854" w:rsidRPr="00567815">
        <w:rPr>
          <w:noProof/>
        </w:rPr>
        <w:t xml:space="preserve"> portanto</w:t>
      </w:r>
      <w:r w:rsidR="008236F4">
        <w:rPr>
          <w:noProof/>
        </w:rPr>
        <w:t>,</w:t>
      </w:r>
      <w:r w:rsidR="00B21854" w:rsidRPr="00567815">
        <w:rPr>
          <w:noProof/>
        </w:rPr>
        <w:t xml:space="preserve"> a conformidade com a recomendação do Conselho. Ao mesmo tempo, o crescimento das despesas correntes primárias financiadas a nível nacional (líquidas de novas medidas em matéria de receitas) teve um contributo expansionista, equivalente a 0,9 pontos percentuais, para a orientação orçamental global. Este contributo expansionista significativo incluiu contudo o impacto adicional das medidas de política orçamental destinadas a mitigar o impacto económico e social do aumento dos preços da energia (custo orçamental líquido adicional de 1,9 % do PIB), bem como os custos da oferta de proteção temporária às pessoas deslocadas da Ucrânia (0,1 % do PIB). Por conseguinte, Malta assegurou um controlo suficiente do crescimento das despesas correntes financiadas a nível nacional.</w:t>
      </w:r>
    </w:p>
    <w:p w:rsidR="00B21854" w:rsidRPr="00567815" w:rsidRDefault="003C6229" w:rsidP="003C6229">
      <w:pPr>
        <w:pStyle w:val="ManualConsidrant"/>
        <w:rPr>
          <w:noProof/>
        </w:rPr>
      </w:pPr>
      <w:r w:rsidRPr="003C6229">
        <w:t>(16)</w:t>
      </w:r>
      <w:r w:rsidRPr="003C6229">
        <w:tab/>
      </w:r>
      <w:r w:rsidR="00B21854" w:rsidRPr="00567815">
        <w:rPr>
          <w:noProof/>
        </w:rPr>
        <w:t>O cenário macroeconómico subjacente às projeções orçamentais do Programa de Estabilidade é realista em 2023 e nos anos seguintes. O Governo prevê que o PIB real cresça 4,1 % em 2023 e 4,5 % em 2024. Em comparação, as previsões da Comissão da primavera de 2023 apontam para um crescimento do PIB real de 3,9 % em 2023 e 4,1 % em 2024, principalmente devido a um menor contributo das exportações líquidas para o crescimento.</w:t>
      </w:r>
    </w:p>
    <w:p w:rsidR="00B21854" w:rsidRPr="00567815" w:rsidRDefault="003C6229" w:rsidP="003C6229">
      <w:pPr>
        <w:pStyle w:val="ManualConsidrant"/>
        <w:rPr>
          <w:noProof/>
        </w:rPr>
      </w:pPr>
      <w:r w:rsidRPr="003C6229">
        <w:t>(17)</w:t>
      </w:r>
      <w:r w:rsidRPr="003C6229">
        <w:tab/>
      </w:r>
      <w:r w:rsidR="00B21854" w:rsidRPr="00567815">
        <w:rPr>
          <w:noProof/>
        </w:rPr>
        <w:t xml:space="preserve">No Programa de Estabilidade de 2023, o Governo prevê que o rácio do défice das administrações públicas diminua para 5,0 % do PIB em 2023. A diminuição em 2023 reflete principalmente o aumento de outras receitas, incluindo as provenientes dos regimes de concessão de </w:t>
      </w:r>
      <w:r w:rsidR="00B21854" w:rsidRPr="00567815">
        <w:rPr>
          <w:rStyle w:val="markedcontent"/>
          <w:noProof/>
        </w:rPr>
        <w:t>cidadania e residência a investidores estrangeiros</w:t>
      </w:r>
      <w:r w:rsidR="00B21854" w:rsidRPr="00567815">
        <w:rPr>
          <w:noProof/>
        </w:rPr>
        <w:t>, enquanto a diminuição de diversos subsídios, incluindo a prevista eliminação progressiva dos custos de reestruturação das companhias aéreas nacionais, é parcialmente compensada por um aumento dos consumos intermédios e da formação bruta de capital fixo. De acordo com o programa, o rácio dívida pública/PIB deverá aumentar de 53,4 % no final de 2022 para 54,5 % no final de 2023. As previsões da Comissão da primavera de 2023 apontam para um défice orçamental de 5,1 % do PIB em 2023. Esses valores estão em consonância com o défice projetado no Programa de Estabilidade. As previsões da Comissão da primavera de 2023 apontam para um rácio dívida pública/PIB semelhante, 54,8 % no final de 2023.</w:t>
      </w:r>
    </w:p>
    <w:p w:rsidR="00B21854" w:rsidRPr="00567815" w:rsidRDefault="003C6229" w:rsidP="003C6229">
      <w:pPr>
        <w:pStyle w:val="ManualConsidrant"/>
        <w:rPr>
          <w:noProof/>
        </w:rPr>
      </w:pPr>
      <w:r w:rsidRPr="003C6229">
        <w:lastRenderedPageBreak/>
        <w:t>(18)</w:t>
      </w:r>
      <w:r w:rsidRPr="003C6229">
        <w:tab/>
      </w:r>
      <w:r w:rsidR="00B21854" w:rsidRPr="00567815">
        <w:rPr>
          <w:noProof/>
        </w:rPr>
        <w:t>Em 2023, o saldo da administração pública deverá continuar a ser afetado pelas medidas orçamentais adotadas para atenuar o impacto económico e social do aumento dos preços da energia. Em causa estão medidas prorrogadas pós-2022, em particular reduções dos impostos indiretos sobre o consumo de energia e dos subsídios à produção de energia, a fim de compensar o aumento dos preços da eletricidade importada e das emissões de carbono. As previsões da Comissão da primavera de 2023 projetam um custo orçamental líquido das medidas de apoio equivalente a 1,7 % do PIB em 2023</w:t>
      </w:r>
      <w:r w:rsidR="00B21854" w:rsidRPr="00567815">
        <w:rPr>
          <w:rStyle w:val="FootnoteReference"/>
          <w:noProof/>
          <w:szCs w:val="24"/>
          <w:lang w:eastAsia="ja-JP"/>
        </w:rPr>
        <w:footnoteReference w:id="18"/>
      </w:r>
      <w:r w:rsidR="00B21854" w:rsidRPr="00567815">
        <w:rPr>
          <w:noProof/>
        </w:rPr>
        <w:t>. As medidas previstas para 2023 não parecem ser orientadas para as empresas ou agregados familiares mais vulneráveis, nem preservar totalmente os sinais de preço para reduzir a procura de energia e aumentar a eficiência energética. Consequentemente, as previsões da Comissão da primavera de 2023 estimam o montante das medidas de apoio orientadas, a ter em conta na avaliação do cumprimento da recomendação para 2023, em 0,1 % do PIB em 2023 (em comparação com 0,1 % do PIB em 2022). Por último, o saldo das administrações públicas deverá, em 2023, beneficiar da eliminação progressiva das medidas de emergência temporárias relacionadas com a COVID-19, num montante equivalente a 0,8 % do PIB.</w:t>
      </w:r>
    </w:p>
    <w:p w:rsidR="00B21854" w:rsidRPr="00567815" w:rsidRDefault="003C6229" w:rsidP="003C6229">
      <w:pPr>
        <w:pStyle w:val="ManualConsidrant"/>
        <w:rPr>
          <w:noProof/>
        </w:rPr>
      </w:pPr>
      <w:r w:rsidRPr="003C6229">
        <w:t>(19)</w:t>
      </w:r>
      <w:r w:rsidRPr="003C6229">
        <w:tab/>
      </w:r>
      <w:r w:rsidR="00B21854" w:rsidRPr="00567815">
        <w:rPr>
          <w:noProof/>
        </w:rPr>
        <w:t>Em 12 de julho de 2022, o Conselho recomendou</w:t>
      </w:r>
      <w:r w:rsidR="00B21854" w:rsidRPr="00567815">
        <w:rPr>
          <w:rStyle w:val="FootnoteReference"/>
          <w:noProof/>
          <w:szCs w:val="24"/>
        </w:rPr>
        <w:footnoteReference w:id="19"/>
      </w:r>
      <w:r w:rsidR="00B21854" w:rsidRPr="00567815">
        <w:rPr>
          <w:noProof/>
        </w:rPr>
        <w:t xml:space="preserve"> que Malta tomasse medidas, em 2023, para assegurar que o crescimento das despesas correntes primárias financiadas a nível nacional seja conforme com uma orientação política globalmente neutra</w:t>
      </w:r>
      <w:r w:rsidR="00B21854" w:rsidRPr="00567815">
        <w:rPr>
          <w:rStyle w:val="FootnoteReference"/>
          <w:noProof/>
          <w:szCs w:val="24"/>
        </w:rPr>
        <w:footnoteReference w:id="20"/>
      </w:r>
      <w:r w:rsidR="00B21854" w:rsidRPr="00567815">
        <w:rPr>
          <w:noProof/>
        </w:rPr>
        <w:t>, tendo em conta a continuação dos apoios temporários e específicos dirigidos aos agregados familiares e empresas mais vulneráveis aos aumentos dos preços da energia e às pessoas que fogem da Ucrânia. Malta deverá estar preparada para ajustar as despesas atuais à evolução da situação. Foi igualmente recomendado que Malta aumentasse o investimento público para as transições ecológica e digital e a segurança energética, tendo em conta a iniciativa REPowerEU, nomeadamente recorrendo ao Mecanismo de Recuperação e Resiliência e a outros fundos da União.</w:t>
      </w:r>
    </w:p>
    <w:p w:rsidR="00B21854" w:rsidRPr="00567815" w:rsidRDefault="003C6229" w:rsidP="003C6229">
      <w:pPr>
        <w:pStyle w:val="ManualConsidrant"/>
        <w:rPr>
          <w:noProof/>
        </w:rPr>
      </w:pPr>
      <w:r w:rsidRPr="003C6229">
        <w:t>(20)</w:t>
      </w:r>
      <w:r w:rsidRPr="003C6229">
        <w:tab/>
      </w:r>
      <w:r w:rsidR="00B21854" w:rsidRPr="00567815">
        <w:rPr>
          <w:noProof/>
        </w:rPr>
        <w:t>Em 2023, as previsões da Comissão da primavera de 2023 apontam para uma orientação orçamental contracionista (0,4 % do PIB), num contexto de elevada inflação. Esta situação surge na sequência de uma orientação orçamental globalmente neutra em 2022 (-0,2 % do PIB). Além disso, prevê-se que, em 2023, o crescimento das despesas correntes primárias financiadas a nível nacional (líquidas de medidas discricionárias em matéria de receitas) tenha um contributo contracionista, equivalente a 0,8 % do PIB, para a orientação orçamental. Em suma, o crescimento projetado das despesas primárias correntes financiadas a nível nacional está em consonância com a recomendação do Conselho.</w:t>
      </w:r>
      <w:r w:rsidR="00B21854" w:rsidRPr="00567815">
        <w:rPr>
          <w:noProof/>
          <w:color w:val="000000" w:themeColor="text1"/>
        </w:rPr>
        <w:t xml:space="preserve"> </w:t>
      </w:r>
      <w:r w:rsidR="00B21854" w:rsidRPr="00567815">
        <w:rPr>
          <w:noProof/>
        </w:rPr>
        <w:t>As despesas financiadas por subvenções do Mecanismo de Recuperação e Resiliência e por outros fundos da UE ascendem a 1,6 % do PIB em 2023, enquanto o investimento financiado a nível nacional terá um contributo contracionista para a orientação orçamental de 0,3 pontos percentuais</w:t>
      </w:r>
      <w:r w:rsidR="00B21854" w:rsidRPr="00567815">
        <w:rPr>
          <w:rStyle w:val="FootnoteReference"/>
          <w:noProof/>
        </w:rPr>
        <w:footnoteReference w:id="21"/>
      </w:r>
      <w:r w:rsidR="00B21854" w:rsidRPr="00567815">
        <w:rPr>
          <w:noProof/>
        </w:rPr>
        <w:t xml:space="preserve">. Assim sendo, Malta tenciona financiar investimentos adicionais através do Mecanismo de </w:t>
      </w:r>
      <w:r w:rsidR="00B21854" w:rsidRPr="00567815">
        <w:rPr>
          <w:noProof/>
        </w:rPr>
        <w:lastRenderedPageBreak/>
        <w:t xml:space="preserve">Recuperação e Resiliência e de outros fundos da UE, mas não deverá preservar o investimento financiado a nível nacional. O plano será financiar o investimento público para as transições ecológica e digital e para a segurança energética, nomeadamente por via de projetos como a renovação de edifícios públicos e privados, incluindo hospitais e escolas, a eletrificação do setor dos transportes e projetos relacionados com a digitalização da administração pública e do setor privado, que são parcialmente financiados pelo Mecanismo de Recuperação e Resiliência e por outros fundos da UE. </w:t>
      </w:r>
    </w:p>
    <w:p w:rsidR="00B21854" w:rsidRPr="00567815" w:rsidRDefault="003C6229" w:rsidP="003C6229">
      <w:pPr>
        <w:pStyle w:val="ManualConsidrant"/>
        <w:rPr>
          <w:noProof/>
        </w:rPr>
      </w:pPr>
      <w:r w:rsidRPr="003C6229">
        <w:t>(21)</w:t>
      </w:r>
      <w:r w:rsidRPr="003C6229">
        <w:tab/>
      </w:r>
      <w:r w:rsidR="00B21854" w:rsidRPr="00567815">
        <w:rPr>
          <w:noProof/>
        </w:rPr>
        <w:t>De acordo com o Programa de Estabilidade, o défice das administrações públicas deverá diminuir para 4,3 % do PIB em 2024. A diminuição em 2024 reflete principalmente a redução dos subsídios, incluindo a eliminação progressiva dos regimes nacionais de reforma antecipada das companhias aéreas, bem como o contido crescimento da massa salarial e das despesas com consumos intermédios, parcialmente anulados pelo aumento das despesas com juros.</w:t>
      </w:r>
      <w:r w:rsidR="00B21854" w:rsidRPr="00567815">
        <w:rPr>
          <w:noProof/>
          <w:color w:val="000000" w:themeColor="text1"/>
        </w:rPr>
        <w:t xml:space="preserve"> </w:t>
      </w:r>
      <w:r w:rsidR="00B21854" w:rsidRPr="00567815">
        <w:rPr>
          <w:noProof/>
        </w:rPr>
        <w:t>O programa prevê que o rácio dívida pública/PIB aumente para 55,7 % no final de 2024.</w:t>
      </w:r>
      <w:r w:rsidR="00B21854" w:rsidRPr="00567815">
        <w:rPr>
          <w:noProof/>
          <w:color w:val="000000" w:themeColor="text1"/>
        </w:rPr>
        <w:t xml:space="preserve"> Com base nas medidas políticas já conhecidas à data da sua finalização, as previsões da Comissão da primavera de 2023 apontam para um défice das administrações públicas de 4,5 % do PIB em 2024. Esses valores estão em consonância com o défice projetado no programa. As previsões da Comissão da primavera de 2023 apontam para um rácio dívida pública/PIB semelhante, 56,1 % no final de 2024. </w:t>
      </w:r>
    </w:p>
    <w:p w:rsidR="00B21854" w:rsidRPr="00567815" w:rsidRDefault="003C6229" w:rsidP="003C6229">
      <w:pPr>
        <w:pStyle w:val="ManualConsidrant"/>
        <w:rPr>
          <w:noProof/>
        </w:rPr>
      </w:pPr>
      <w:r w:rsidRPr="003C6229">
        <w:t>(22)</w:t>
      </w:r>
      <w:r w:rsidRPr="003C6229">
        <w:tab/>
      </w:r>
      <w:r w:rsidR="00B21854" w:rsidRPr="00567815">
        <w:rPr>
          <w:noProof/>
        </w:rPr>
        <w:t>O Programa de Estabilidade prevê a eliminação progressiva de algumas das medidas de apoio à energia em 2024. A Comissão está atualmente a assumir um custo orçamental líquido das medidas de apoio à energia equivalente a 1,5 % do PIB. apenas no pressuposto de que não surgirão novos aumentos dos preços da energia. A maior parte das medidas de apoio à energia atualmente previstas para 2024 não parecem estar orientadas para as empresas ou agregados familiares vulneráveis. nem mantêm totalmente o sinal de preço para reduzir a procura de energia e aumentar a eficiência energética.</w:t>
      </w:r>
    </w:p>
    <w:p w:rsidR="00B21854" w:rsidRPr="00567815" w:rsidRDefault="003C6229" w:rsidP="003C6229">
      <w:pPr>
        <w:pStyle w:val="ManualConsidrant"/>
        <w:rPr>
          <w:noProof/>
        </w:rPr>
      </w:pPr>
      <w:r w:rsidRPr="003C6229">
        <w:t>(23)</w:t>
      </w:r>
      <w:r w:rsidRPr="003C6229">
        <w:tab/>
      </w:r>
      <w:r w:rsidR="00B21854" w:rsidRPr="00567815">
        <w:rPr>
          <w:noProof/>
        </w:rPr>
        <w:t>O Regulamento (CE) n.º 1466/97 do Conselho apela a uma melhoria anual do saldo orçamental estrutural em direção ao objetivo de médio prazo de 0,5 % do PIB, como valor de referência</w:t>
      </w:r>
      <w:r w:rsidR="00B21854" w:rsidRPr="00567815">
        <w:rPr>
          <w:rStyle w:val="FootnoteReference"/>
          <w:noProof/>
          <w:szCs w:val="24"/>
        </w:rPr>
        <w:footnoteReference w:id="22"/>
      </w:r>
      <w:r w:rsidR="00B21854" w:rsidRPr="00567815">
        <w:rPr>
          <w:noProof/>
        </w:rPr>
        <w:t>.  Tendo em conta considerações de sustentabilidade orçamental</w:t>
      </w:r>
      <w:r w:rsidR="00B21854" w:rsidRPr="00567815">
        <w:rPr>
          <w:rStyle w:val="FootnoteReference"/>
          <w:noProof/>
          <w:szCs w:val="24"/>
        </w:rPr>
        <w:footnoteReference w:id="23"/>
      </w:r>
      <w:r w:rsidR="00B21854" w:rsidRPr="00567815">
        <w:rPr>
          <w:noProof/>
        </w:rPr>
        <w:t xml:space="preserve"> e a necessidade de reduzir o défice para um nível inferior ao valor de referência de 3 % do PIB, o saldo estrutural deverá ser melhorado em pelo menos 0,5 % do PIB em 2024. A fim de assegurar essa melhoria, o crescimento das despesas primárias líquidas financiadas a nível nacional não deverá ultrapassar 5,9 % em 2024, tal como refletido na presente recomendação. </w:t>
      </w:r>
    </w:p>
    <w:p w:rsidR="00B21854" w:rsidRPr="00567815" w:rsidRDefault="00B21854" w:rsidP="00B21854">
      <w:pPr>
        <w:autoSpaceDE w:val="0"/>
        <w:autoSpaceDN w:val="0"/>
        <w:ind w:left="709"/>
        <w:rPr>
          <w:noProof/>
          <w:szCs w:val="24"/>
        </w:rPr>
      </w:pPr>
      <w:r w:rsidRPr="00567815">
        <w:rPr>
          <w:noProof/>
        </w:rPr>
        <w:t xml:space="preserve">Ao mesmo tempo, as restantes medidas de apoio à energia (atualmente estimadas pela Comissão em 1,7 % do PIB em 2023) deverão ser progressivamente eliminadas, em função da evolução do mercado da energia e começando pelas medidas mais genéricas, e as economias conexas deverão ser utilizadas para reduzir o défice </w:t>
      </w:r>
      <w:r w:rsidRPr="00567815">
        <w:rPr>
          <w:noProof/>
        </w:rPr>
        <w:lastRenderedPageBreak/>
        <w:t>orçamental. Com base nas estimativas da Comissão, isso conduziria a um crescimento da despesa primária líquida inferior ao recomendado para 2024.</w:t>
      </w:r>
    </w:p>
    <w:p w:rsidR="00B21854" w:rsidRPr="00567815" w:rsidRDefault="003C6229" w:rsidP="003C6229">
      <w:pPr>
        <w:pStyle w:val="ManualConsidrant"/>
        <w:rPr>
          <w:noProof/>
        </w:rPr>
      </w:pPr>
      <w:r w:rsidRPr="003C6229">
        <w:t>(24)</w:t>
      </w:r>
      <w:r w:rsidRPr="003C6229">
        <w:tab/>
      </w:r>
      <w:r w:rsidR="00B21854" w:rsidRPr="00567815">
        <w:rPr>
          <w:noProof/>
        </w:rPr>
        <w:t>No pressuposto de políticas inalteradas, as previsões da Comissão da primavera de 2023 apontam para um aumento das despesas primárias financiadas a nível nacional de 3,3 % em 2024, abaixo da taxa de crescimento recomendada. O ajustamento projetado nas previsões da Comissão é inferior às economias resultantes da supressão total das medidas de apoio à energia, o que se deve fundamentalmente à manutenção da maior parte das medidas em causa.</w:t>
      </w:r>
    </w:p>
    <w:p w:rsidR="00B21854" w:rsidRPr="00567815" w:rsidRDefault="003C6229" w:rsidP="003C6229">
      <w:pPr>
        <w:pStyle w:val="ManualConsidrant"/>
        <w:rPr>
          <w:noProof/>
        </w:rPr>
      </w:pPr>
      <w:r w:rsidRPr="003C6229">
        <w:t>(25)</w:t>
      </w:r>
      <w:r w:rsidRPr="003C6229">
        <w:tab/>
      </w:r>
      <w:r w:rsidR="00B21854" w:rsidRPr="00567815">
        <w:rPr>
          <w:noProof/>
        </w:rPr>
        <w:t xml:space="preserve">De acordo com o programa, o investimento público deverá diminuir de 3,8 % do PIB em 2023 para 3,1 % do PIB em 2024. O menor investimento reflete tanto o menor investimento financiado a nível nacional como o investimento financiado por outros fundos da UE, para além do Mecanismo de Recuperação e Resiliência.  O programa refere-se a reformas e investimentos que deverão contribuir para a sustentabilidade orçamental e para o crescimento sustentável e inclusivo, incluindo investimentos de elevado valor acrescentado e reformas estruturais com vista às transições ecológica, digital e energética, incluindo a saúde e a boa governação, que também fazem parte do Plano de Recuperação e Resiliência. </w:t>
      </w:r>
    </w:p>
    <w:p w:rsidR="00B21854" w:rsidRPr="00567815" w:rsidRDefault="003C6229" w:rsidP="003C6229">
      <w:pPr>
        <w:pStyle w:val="ManualConsidrant"/>
        <w:rPr>
          <w:noProof/>
        </w:rPr>
      </w:pPr>
      <w:r w:rsidRPr="003C6229">
        <w:t>(26)</w:t>
      </w:r>
      <w:r w:rsidRPr="003C6229">
        <w:tab/>
      </w:r>
      <w:r w:rsidR="00B21854" w:rsidRPr="00567815">
        <w:rPr>
          <w:noProof/>
        </w:rPr>
        <w:t>O Programa de Estabilidade define uma trajetória orçamental de médio prazo até 2026. De acordo com o programa, o défice das administrações públicas deverá diminuir para 3,6 % do PIB em 2025 e para 2,9 % até 2026. O défice das administrações públicas não deverá</w:t>
      </w:r>
      <w:r w:rsidR="008236F4">
        <w:rPr>
          <w:noProof/>
        </w:rPr>
        <w:t>,</w:t>
      </w:r>
      <w:r w:rsidR="00B21854" w:rsidRPr="00567815">
        <w:rPr>
          <w:noProof/>
        </w:rPr>
        <w:t xml:space="preserve"> portanto</w:t>
      </w:r>
      <w:r w:rsidR="008236F4">
        <w:rPr>
          <w:noProof/>
        </w:rPr>
        <w:t>,</w:t>
      </w:r>
      <w:r w:rsidR="00B21854" w:rsidRPr="00567815">
        <w:rPr>
          <w:noProof/>
        </w:rPr>
        <w:t xml:space="preserve"> ser superior a 3 % do PIB em 2026. De acordo com o programa, o rácio dívida pública/PIB deverá diminuir de 55,7 % no final de 2024 para 56,1 % até ao final de 2026.</w:t>
      </w:r>
    </w:p>
    <w:p w:rsidR="00145706" w:rsidRPr="00567815" w:rsidRDefault="003C6229" w:rsidP="003C6229">
      <w:pPr>
        <w:pStyle w:val="ManualConsidrant"/>
        <w:rPr>
          <w:noProof/>
        </w:rPr>
      </w:pPr>
      <w:r w:rsidRPr="003C6229">
        <w:t>(27)</w:t>
      </w:r>
      <w:r w:rsidRPr="003C6229">
        <w:tab/>
      </w:r>
      <w:r w:rsidR="00145706" w:rsidRPr="00567815">
        <w:rPr>
          <w:noProof/>
        </w:rPr>
        <w:t xml:space="preserve">Em conformidade com o artigo 19.º, n.º 3, alínea b), e com o anexo V, critério 2.2, do Regulamento (UE) 2021/241, o plano de recuperação e resiliência inclui um vasto conjunto de reformas e investimentos que se reforçam mutuamente, a executar até 2026. A execução do plano de recuperação e resiliência de Malta está a avançar a bom ritmo. Malta apresentou um pedido de pagamento, correspondente a 19 marcos e metas do plano e que resultou num desembolso global de 52,3 milhões de EUR (em subvenções), em 8 de março de 2023. Em 26 de abril de 2023, Malta apresentou uma alteração do seu plano, juntamente com o capítulo REPowerEU. O novo capítulo REPowerEU proposto deverá permitir dar resposta aos desafios relacionados com o aprovisionamento e a segurança energético, bem como acelerar a transição para fontes de energia renováveis. Além disso, Malta propõe algumas alterações ao plano inicial tendo em conta a redução da dotação total e a adaptação a circunstâncias objetivas. Estas alterações estão atualmente a ser avaliadas pela Comissão e, uma vez adotadas, estarão sujeitas à aprovação do Conselho. A rápida inclusão do novo capítulo REPowerEU no plano de recuperação e resiliência permitirá o financiamento de reformas e investimentos adicionais em apoio dos objetivos estratégicos de Malta nos domínios da energia e da transição ecológica. A participação sistemática e efetiva das autoridades locais e regionais, dos parceiros sociais e de outras partes interessadas continua a ser importante para o êxito da execução do plano de recuperação e resiliência, bem como de outras políticas económicas e de emprego que vão além do plano, a fim de assegurar uma capacitação alargada no quadro da agenda política geral. </w:t>
      </w:r>
    </w:p>
    <w:p w:rsidR="00373387" w:rsidRPr="00567815" w:rsidRDefault="003C6229" w:rsidP="003C6229">
      <w:pPr>
        <w:pStyle w:val="ManualConsidrant"/>
        <w:rPr>
          <w:noProof/>
        </w:rPr>
      </w:pPr>
      <w:r w:rsidRPr="003C6229">
        <w:t>(28)</w:t>
      </w:r>
      <w:r w:rsidRPr="003C6229">
        <w:tab/>
      </w:r>
      <w:r w:rsidR="7F1E5AAE" w:rsidRPr="00567815">
        <w:rPr>
          <w:noProof/>
        </w:rPr>
        <w:t xml:space="preserve">A Comissão aprovou todos os documentos de programação da política de coesão de Malta em 2022. A rápida execução dos programas da política de coesão em complementaridade e sinergia com o plano de recuperação e resiliência, incluindo o capítulo REPowerEU, será essencial para concretizar a transição ecológica e digital, </w:t>
      </w:r>
      <w:r w:rsidR="7F1E5AAE" w:rsidRPr="00567815">
        <w:rPr>
          <w:noProof/>
        </w:rPr>
        <w:lastRenderedPageBreak/>
        <w:t>aumentar a resiliência económica e social e assegurar um desenvolvimento territorial equilibrado em Malta.</w:t>
      </w:r>
    </w:p>
    <w:p w:rsidR="005118F8" w:rsidRPr="00567815" w:rsidRDefault="003C6229" w:rsidP="003C6229">
      <w:pPr>
        <w:pStyle w:val="ManualConsidrant"/>
        <w:rPr>
          <w:noProof/>
        </w:rPr>
      </w:pPr>
      <w:r w:rsidRPr="003C6229">
        <w:t>(29)</w:t>
      </w:r>
      <w:r w:rsidRPr="003C6229">
        <w:tab/>
      </w:r>
      <w:r w:rsidR="29C4A139" w:rsidRPr="00567815">
        <w:rPr>
          <w:noProof/>
        </w:rPr>
        <w:t xml:space="preserve">Além dos desafios económicos e sociais abordados no plano de recuperação e resiliência, Malta enfrenta uma série de desafios adicionais relacionados com determinadas características do sistema fiscal que facilitam o planeamento fiscal agressivo, com a política energética e com a transição ecológica. </w:t>
      </w:r>
    </w:p>
    <w:p w:rsidR="00373387" w:rsidRPr="00567815" w:rsidRDefault="003C6229" w:rsidP="003C6229">
      <w:pPr>
        <w:pStyle w:val="ManualConsidrant"/>
        <w:rPr>
          <w:noProof/>
        </w:rPr>
      </w:pPr>
      <w:r w:rsidRPr="003C6229">
        <w:t>(30)</w:t>
      </w:r>
      <w:r w:rsidRPr="003C6229">
        <w:tab/>
      </w:r>
      <w:r w:rsidR="019AA54C" w:rsidRPr="00567815">
        <w:rPr>
          <w:noProof/>
        </w:rPr>
        <w:t xml:space="preserve">O combate ao planeamento fiscal agressivo continua a ser fundamental para melhorar a eficiência e equidade dos sistemas fiscais. Tendo em conta os efeitos colaterais das estratégias de planeamento fiscal agressivo entre os Estados-Membros, é fundamental uma ação coordenada para complementar a legislação da UE através de políticas nacionais por parte de todos os Estados-Membros. Malta tomou medidas para combater as práticas de planeamento fiscal agressivo, através da aplicação de iniciativas internacionais e europeias previamente acordadas. Malta comprometeu-se ainda a abordar esta questão no seu plano de recuperação e resiliência. Os compromissos no sentido de introduzir regras em matéria de preços de transferência e de encomendar um estudo independente sobre as saídas e entradas de pagamentos (ou seja, sobre os pagamentos entre residentes da UE e residentes de países terceiros), que deverão ser seguidos de legislação em conformidade com as conclusões do estudo, parecem estar na boa direção. No entanto, enquanto Malta não aplicar retenções na fonte sobre os pagamentos de juros, dividendos e </w:t>
      </w:r>
      <w:r w:rsidR="019AA54C" w:rsidRPr="00567815">
        <w:rPr>
          <w:i/>
          <w:iCs/>
          <w:noProof/>
        </w:rPr>
        <w:t>royalties</w:t>
      </w:r>
      <w:r w:rsidR="019AA54C" w:rsidRPr="00567815">
        <w:rPr>
          <w:noProof/>
        </w:rPr>
        <w:t xml:space="preserve"> efetuados por empresas sediadas em Malta para jurisdições com tributação nula ou reduzida (ou seja, qualquer jurisdição com uma taxa legal de imposto sobre o rendimento das sociedades inferior a 9 %, a taxa legal de imposto sobre o rendimento das sociedades mais baixa da UE), ou medidas defensivas equivalentes, a fim de garantir que as empresas não possam transferir os seus lucros não tributados para países terceiros, os riscos de dupla não tributação desses lucros permanecem elevados. Além disso, o tratamento dos residentes não domiciliados continua a representar um risco de dupla não tributação, tanto para as sociedades como para os particulares. A questão só será parcialmente resolvida através do cumprimento da diretiva relativa ao imposto mínimo da UE, que quando for transposta por Malta só será aplicável às grandes empresas.</w:t>
      </w:r>
    </w:p>
    <w:p w:rsidR="00C503E3" w:rsidRPr="00567815" w:rsidRDefault="003C6229" w:rsidP="003C6229">
      <w:pPr>
        <w:pStyle w:val="ManualConsidrant"/>
        <w:rPr>
          <w:noProof/>
        </w:rPr>
      </w:pPr>
      <w:r w:rsidRPr="003C6229">
        <w:t>(31)</w:t>
      </w:r>
      <w:r w:rsidRPr="003C6229">
        <w:tab/>
      </w:r>
      <w:r w:rsidR="19BD25AC" w:rsidRPr="00567815">
        <w:rPr>
          <w:noProof/>
        </w:rPr>
        <w:t xml:space="preserve">Os combustíveis fósseis continuam a desempenhar um papel importante na economia de Malta, altamente dependente das importações de energia e exposta à evolução dos preços a nível mundial, embora o país não importe diretamente petróleo nem gás da Rússia. Em 2021, os combustíveis fósseis representaram a maior parte da produção de eletricidade de Malta, enquanto as energias renováveis representaram apenas 11,9 %. Malta tem um considerável potencial em termos de energia solar e eólica marítima, que não é utilizado. O compromisso do Governo no sentido de adotar tecnologias de energia de fontes renováveis ao largo no futuro, bem como de indicar a sua quota não vinculativa para as metas da UE em matéria de energias renováveis ao largo, constitui uma mudança política positiva, mas ainda não foram identificados projetos concretos. A capacidade e a flexibilidade da rede elétrica constituem um obstáculo à integração das energias renováveis e ao aumento da eficiência, fiabilidade e segurança do aprovisionamento energético. Para tal, será necessário investir na modernização da rede, nomeadamente utilizando o orçamento REPowerEU à disposição de Malta sob a forma de subvenções. Malta está a aumentar a segurança do seu aprovisionamento energético através da construção de uma segunda interligação elétrica com a Itália. </w:t>
      </w:r>
    </w:p>
    <w:p w:rsidR="00373387" w:rsidRPr="00567815" w:rsidRDefault="003C6229" w:rsidP="003C6229">
      <w:pPr>
        <w:pStyle w:val="ManualConsidrant"/>
        <w:rPr>
          <w:rFonts w:asciiTheme="minorHAnsi" w:hAnsiTheme="minorHAnsi" w:cstheme="minorBidi"/>
          <w:noProof/>
          <w:sz w:val="22"/>
        </w:rPr>
      </w:pPr>
      <w:r w:rsidRPr="003C6229">
        <w:t>(32)</w:t>
      </w:r>
      <w:r w:rsidRPr="003C6229">
        <w:tab/>
      </w:r>
      <w:r w:rsidR="5F948651" w:rsidRPr="00567815">
        <w:rPr>
          <w:noProof/>
        </w:rPr>
        <w:t xml:space="preserve">O contributo de Malta para os objetivos de eficiência energética da UE para 2030 é baixo e o consumo de energia nos edifícios residenciais continua a aumentar. Malta poderia intensificar as medidas de eficiência energética e reduzir a procura de energia, </w:t>
      </w:r>
      <w:r w:rsidR="5F948651" w:rsidRPr="00567815">
        <w:rPr>
          <w:noProof/>
        </w:rPr>
        <w:lastRenderedPageBreak/>
        <w:t>nomeadamente incentivando a instalação de painéis solares em todos os edifícios novos; assegurando a implantação de instalações de energia solar adequadas em todos os edifícios novos públicos e não residenciais com uma área útil superior a 250 m²; eliminar os obstáculos jurídicos e proporcionar incentivos económicos adicionais aos donos de casa própria. A utilização de tecnologias digitais como aplicações para monitorizar e regular a utilização de energia poderia contribuir para aumentar a eficiência energética. A aplicação efetiva do novo quadro regulamentar nacional para a indústria da construção aumentaria a qualidade (incluindo a eficiência energética) dos edifícios e a segurança do processo de construção. O consumo de gás natural de Malta aumentou 12,7 % no período de agosto de 2022 a março de 2023, em comparação com o consumo médio de gás durante o mesmo período nos últimos 5 anos, seguindo</w:t>
      </w:r>
      <w:r w:rsidR="008236F4">
        <w:rPr>
          <w:noProof/>
        </w:rPr>
        <w:t>,</w:t>
      </w:r>
      <w:r w:rsidR="5F948651" w:rsidRPr="00567815">
        <w:rPr>
          <w:noProof/>
        </w:rPr>
        <w:t xml:space="preserve"> portanto</w:t>
      </w:r>
      <w:r w:rsidR="008236F4">
        <w:rPr>
          <w:noProof/>
        </w:rPr>
        <w:t>,</w:t>
      </w:r>
      <w:r w:rsidR="5F948651" w:rsidRPr="00567815">
        <w:rPr>
          <w:noProof/>
        </w:rPr>
        <w:t xml:space="preserve"> uma via contrária ao objetivo de redução em 15 %. Apesar da isenção que lhe foi concedida, Malta é incentivada a intensificar os esforços para reduzir temporariamente a procura de gás até 31 de março de 2024</w:t>
      </w:r>
      <w:r w:rsidR="5F948651" w:rsidRPr="00567815">
        <w:rPr>
          <w:rStyle w:val="FootnoteReference"/>
          <w:rFonts w:eastAsia="Times New Roman"/>
          <w:noProof/>
        </w:rPr>
        <w:footnoteReference w:id="24"/>
      </w:r>
      <w:r w:rsidR="5F948651" w:rsidRPr="00567815">
        <w:rPr>
          <w:noProof/>
        </w:rPr>
        <w:t xml:space="preserve">. </w:t>
      </w:r>
    </w:p>
    <w:p w:rsidR="00466D35" w:rsidRPr="00567815" w:rsidRDefault="003C6229" w:rsidP="003C6229">
      <w:pPr>
        <w:pStyle w:val="ManualConsidrant"/>
        <w:rPr>
          <w:rFonts w:eastAsia="Times New Roman"/>
          <w:noProof/>
        </w:rPr>
      </w:pPr>
      <w:r w:rsidRPr="003C6229">
        <w:t>(33)</w:t>
      </w:r>
      <w:r w:rsidRPr="003C6229">
        <w:tab/>
      </w:r>
      <w:r w:rsidR="27BAE705" w:rsidRPr="00567815">
        <w:rPr>
          <w:noProof/>
        </w:rPr>
        <w:t>Além disso, tendo em conta a dependência sustentada dos automóveis particulares, as emissões dos transportes rodoviários continuam a aumentar, constituindo a maior fonte de emissões de gases com efeito de estufa não abrangidas pelo CELE. A percentagem de veículos com nível nulo de emissões é muito inferior à média da UE e está a aumentar muito lentamente. A redução das emissões e do congestionamento do tráfego exigiria que Malta melhorasse os transportes públicos (pontualidade, redução dos tempos de viagem), implantasse sistemas de transporte inteligentes (para melhorar os fluxos de tráfego, a segurança e a aplicação das regras de trânsito) e investisse em infraestruturas de «mobilidade suave» para alternativas seguras à utilização de automóveis privados (tais como passeios seguros, segregados e interligados e pistas para ciclistas/trotinetas elétricas).</w:t>
      </w:r>
    </w:p>
    <w:p w:rsidR="00373387" w:rsidRPr="00567815" w:rsidRDefault="003C6229" w:rsidP="003C6229">
      <w:pPr>
        <w:pStyle w:val="ManualConsidrant"/>
        <w:rPr>
          <w:rFonts w:eastAsia="Times New Roman"/>
          <w:noProof/>
        </w:rPr>
      </w:pPr>
      <w:r w:rsidRPr="003C6229">
        <w:t>(34)</w:t>
      </w:r>
      <w:r w:rsidRPr="003C6229">
        <w:tab/>
      </w:r>
      <w:r w:rsidR="19654FB7" w:rsidRPr="00567815">
        <w:rPr>
          <w:noProof/>
        </w:rPr>
        <w:t>A escassez de mão-de-obra e de competências em setores e profissões fundamentais para a transição ecológica, incluindo o fabrico, implantação e manutenção de tecnologias de impacto zero, está a criar estrangulamentos na transição para uma economia de impacto zero.</w:t>
      </w:r>
      <w:r w:rsidR="19654FB7" w:rsidRPr="00567815">
        <w:rPr>
          <w:noProof/>
          <w:color w:val="000000" w:themeColor="text1"/>
        </w:rPr>
        <w:t xml:space="preserve"> Para aumentar as competências disponíveis e promover a inclusão e a reafetação da mão-de-obra, é essencial dispor de sistemas de educação e formação de elevada qualidade, que consigam dar resposta à evolução das necessidades do mercado de trabalho, bem como de medidas orientadas para a requalificação e a melhoria das competências. A fim de aproveitar a oferta de mão-de-obra não utilizada, essas medidas deverão ser acessíveis, em particular para os indivíduos e nos setores e regiões mais afetados pela transição ecológica. </w:t>
      </w:r>
      <w:r w:rsidR="19654FB7" w:rsidRPr="00567815">
        <w:rPr>
          <w:noProof/>
        </w:rPr>
        <w:t>Em 2022, foi reportada alguma escassez de mão-de-obra em Malta relativamente a seis profissões que exigem competências ou conhecimentos especificamente necessários para a transição ecológica, incluindo trabalhadores fabris e do setor da construção.</w:t>
      </w:r>
    </w:p>
    <w:p w:rsidR="00373387" w:rsidRPr="00567815" w:rsidRDefault="003C6229" w:rsidP="003C6229">
      <w:pPr>
        <w:pStyle w:val="ManualConsidrant"/>
        <w:rPr>
          <w:noProof/>
        </w:rPr>
      </w:pPr>
      <w:r w:rsidRPr="003C6229">
        <w:t>(35)</w:t>
      </w:r>
      <w:r w:rsidRPr="003C6229">
        <w:tab/>
      </w:r>
      <w:r w:rsidR="751DAA27" w:rsidRPr="00567815">
        <w:rPr>
          <w:noProof/>
        </w:rPr>
        <w:t>À luz da avaliação da Comissão, o Conselho examinou o Programa de Estabilidade de 2023, estando o seu parecer</w:t>
      </w:r>
      <w:r w:rsidR="751DAA27" w:rsidRPr="00567815">
        <w:rPr>
          <w:rStyle w:val="FootnoteReference"/>
          <w:noProof/>
        </w:rPr>
        <w:footnoteReference w:id="25"/>
      </w:r>
      <w:r w:rsidR="751DAA27" w:rsidRPr="00567815">
        <w:rPr>
          <w:noProof/>
        </w:rPr>
        <w:t xml:space="preserve"> refletido na recomendação (1). </w:t>
      </w:r>
    </w:p>
    <w:p w:rsidR="007A141C" w:rsidRPr="00567815" w:rsidRDefault="003C6229" w:rsidP="003C6229">
      <w:pPr>
        <w:pStyle w:val="ManualConsidrant"/>
        <w:rPr>
          <w:rStyle w:val="eop"/>
          <w:noProof/>
          <w:shd w:val="clear" w:color="auto" w:fill="FFFFFF"/>
        </w:rPr>
      </w:pPr>
      <w:bookmarkStart w:id="2" w:name="_Hlk131516908"/>
      <w:r w:rsidRPr="003C6229">
        <w:rPr>
          <w:rStyle w:val="eop"/>
        </w:rPr>
        <w:t>(36)</w:t>
      </w:r>
      <w:r w:rsidRPr="003C6229">
        <w:rPr>
          <w:rStyle w:val="eop"/>
        </w:rPr>
        <w:tab/>
      </w:r>
      <w:r w:rsidR="007A141C" w:rsidRPr="00567815">
        <w:rPr>
          <w:rStyle w:val="normaltextrun"/>
          <w:noProof/>
          <w:shd w:val="clear" w:color="auto" w:fill="FFFFFF"/>
        </w:rPr>
        <w:t>Tendo em conta a estreita interligação entre as economias dos Estados-Membros da área do euro e o seu contributo coletivo para o funcionamento da união económica e monetária, o Conselho recomendou que esses Estados-Membros</w:t>
      </w:r>
      <w:r w:rsidR="007A141C" w:rsidRPr="00567815">
        <w:rPr>
          <w:rStyle w:val="normaltextrun"/>
          <w:noProof/>
        </w:rPr>
        <w:t xml:space="preserve"> tomassem medidas, nomeadamente através dos seus planos de recuperação e resiliência, para: i)</w:t>
      </w:r>
      <w:r w:rsidR="007A141C" w:rsidRPr="00567815">
        <w:rPr>
          <w:noProof/>
        </w:rPr>
        <w:t xml:space="preserve"> preservar a sustentabilidade da dívida e evitar medidas genéricas de apoio à procura agregada </w:t>
      </w:r>
      <w:r w:rsidR="007A141C" w:rsidRPr="00567815">
        <w:rPr>
          <w:noProof/>
        </w:rPr>
        <w:lastRenderedPageBreak/>
        <w:t>em 2023, orientar melhor as medidas orçamentais adotadas para atenuar o impacto dos elevados preços da energia e refletir sobre a melhor forma de reduzir gradualmente os apoios à medida que a pressão sobre os preços for diminuindo; ii) manter um elevado investimento público e promover o investimento privado para apoiar a transição ecológica e digital;</w:t>
      </w:r>
      <w:r w:rsidR="007A141C" w:rsidRPr="00567815">
        <w:rPr>
          <w:rStyle w:val="normaltextrun"/>
          <w:noProof/>
        </w:rPr>
        <w:t xml:space="preserve"> </w:t>
      </w:r>
      <w:r w:rsidR="007A141C" w:rsidRPr="00567815">
        <w:rPr>
          <w:rStyle w:val="normaltextrun"/>
          <w:noProof/>
          <w:shd w:val="clear" w:color="auto" w:fill="FFFFFF"/>
        </w:rPr>
        <w:t xml:space="preserve">iii) </w:t>
      </w:r>
      <w:r w:rsidR="007A141C" w:rsidRPr="00567815">
        <w:rPr>
          <w:noProof/>
        </w:rPr>
        <w:t>apoiar uma evolução dos salários que atenue as perdas de poder de compra, limitando simultaneamente os efeitos de segunda ordem sobre a inflação, continuar a melhorar as políticas ativas do mercado de trabalho e dar resposta às situações de escassez de competências;</w:t>
      </w:r>
      <w:r w:rsidR="007A141C" w:rsidRPr="00567815">
        <w:rPr>
          <w:rStyle w:val="normaltextrun"/>
          <w:noProof/>
          <w:shd w:val="clear" w:color="auto" w:fill="FFFFFF"/>
        </w:rPr>
        <w:t xml:space="preserve"> iv) melhorar o ambiente empresarial e assegurar</w:t>
      </w:r>
      <w:r w:rsidR="007A141C" w:rsidRPr="00567815">
        <w:rPr>
          <w:noProof/>
        </w:rPr>
        <w:t xml:space="preserve"> que o apoio energético às empresas seja eficaz em termos de custos, temporário, orientado para empresas viáveis e prestado de uma forma que mantenha os incentivos à transição ecológica; e v) preservar a estabilidade macrofinanceira e monitorizar os riscos, continuando simultaneamente a trabalhar no sentido da conclusão da União Bancária. </w:t>
      </w:r>
      <w:r w:rsidR="007A141C" w:rsidRPr="00567815">
        <w:rPr>
          <w:rStyle w:val="normaltextrun"/>
          <w:noProof/>
          <w:shd w:val="clear" w:color="auto" w:fill="FFFFFF"/>
        </w:rPr>
        <w:t>No que respeita a</w:t>
      </w:r>
      <w:r w:rsidR="007A141C" w:rsidRPr="00567815">
        <w:rPr>
          <w:noProof/>
        </w:rPr>
        <w:t xml:space="preserve"> Malta </w:t>
      </w:r>
      <w:r w:rsidR="007A141C" w:rsidRPr="00567815">
        <w:rPr>
          <w:noProof/>
          <w:shd w:val="clear" w:color="auto" w:fill="FFFFFF"/>
        </w:rPr>
        <w:t>,</w:t>
      </w:r>
      <w:r w:rsidR="007A141C" w:rsidRPr="00567815">
        <w:rPr>
          <w:noProof/>
        </w:rPr>
        <w:t xml:space="preserve"> as recomendações (1), (2), (3) e (4) contribuirão para a execução da primeira, segunda, terceira e quarta </w:t>
      </w:r>
      <w:r w:rsidR="007A141C" w:rsidRPr="00567815">
        <w:rPr>
          <w:noProof/>
          <w:shd w:val="clear" w:color="auto" w:fill="FFFFFF"/>
        </w:rPr>
        <w:t>recomendações para a área do euro</w:t>
      </w:r>
      <w:r w:rsidR="007A141C" w:rsidRPr="00567815">
        <w:rPr>
          <w:noProof/>
        </w:rPr>
        <w:t>.</w:t>
      </w:r>
      <w:r w:rsidR="007A141C" w:rsidRPr="00567815">
        <w:rPr>
          <w:rStyle w:val="eop"/>
          <w:noProof/>
          <w:shd w:val="clear" w:color="auto" w:fill="FFFFFF"/>
        </w:rPr>
        <w:t xml:space="preserve"> </w:t>
      </w:r>
    </w:p>
    <w:bookmarkEnd w:id="2"/>
    <w:p w:rsidR="00BA6F29" w:rsidRPr="00567815" w:rsidRDefault="00BA6F29" w:rsidP="00E17E7C">
      <w:pPr>
        <w:rPr>
          <w:noProof/>
        </w:rPr>
      </w:pPr>
    </w:p>
    <w:p w:rsidR="00D84A5E" w:rsidRPr="00567815" w:rsidRDefault="0A89BED1" w:rsidP="00D84A5E">
      <w:pPr>
        <w:pStyle w:val="Formuledadoption"/>
        <w:rPr>
          <w:noProof/>
        </w:rPr>
      </w:pPr>
      <w:r w:rsidRPr="00567815">
        <w:rPr>
          <w:noProof/>
        </w:rPr>
        <w:t xml:space="preserve">RECOMENDA QUE Malta tome medidas em 2023 e 2024 no sentido de: </w:t>
      </w:r>
    </w:p>
    <w:p w:rsidR="00B21854" w:rsidRPr="00567815" w:rsidRDefault="003C6229" w:rsidP="003C6229">
      <w:pPr>
        <w:pStyle w:val="ManualNumPar1"/>
        <w:rPr>
          <w:noProof/>
        </w:rPr>
      </w:pPr>
      <w:r w:rsidRPr="003C6229">
        <w:t>1.</w:t>
      </w:r>
      <w:r w:rsidRPr="003C6229">
        <w:tab/>
      </w:r>
      <w:r w:rsidR="00B21854" w:rsidRPr="00567815">
        <w:rPr>
          <w:rStyle w:val="normaltextrun"/>
          <w:noProof/>
          <w:shd w:val="clear" w:color="auto" w:fill="FFFFFF"/>
        </w:rPr>
        <w:t>Eliminar progressivamente, até ao final de 2023, as medidas de apoio à energia em vigor, utilizando as correspondentes poupanças para reduzir o défice público. Se novos aumentos dos preços da energia voltarem a exigir medidas de apoio, garantir que estas sejam orientadas para as empresas e os agregados familiares vulneráveis, comportáveis do ponto de vista orçamental e preservem os incentivos à poupança de energia.</w:t>
      </w:r>
    </w:p>
    <w:p w:rsidR="00B21854" w:rsidRPr="00567815" w:rsidRDefault="00B21854" w:rsidP="00E17E7C">
      <w:pPr>
        <w:pStyle w:val="Text1"/>
        <w:rPr>
          <w:noProof/>
        </w:rPr>
      </w:pPr>
      <w:r w:rsidRPr="00567815">
        <w:rPr>
          <w:noProof/>
        </w:rPr>
        <w:t>Assegurar uma política orçamental prudente, nomeadamente limitando o aumento nominal das despesas primárias líquidas financiadas a nível nacional em 2024 a um máximo de 5,9 %.</w:t>
      </w:r>
    </w:p>
    <w:p w:rsidR="00FA3F26" w:rsidRPr="00567815" w:rsidRDefault="00B21854" w:rsidP="00E17E7C">
      <w:pPr>
        <w:pStyle w:val="Text1"/>
        <w:rPr>
          <w:noProof/>
        </w:rPr>
      </w:pPr>
      <w:r w:rsidRPr="00567815">
        <w:rPr>
          <w:noProof/>
        </w:rPr>
        <w:t xml:space="preserve">Preservar o investimento público financiado a nível nacional e assegurar a absorção efetiva das subvenções do MRR e de outros fundos da UE, em especial para promover as transições ecológica e digital. </w:t>
      </w:r>
      <w:bookmarkStart w:id="3" w:name="_Hlk134464709"/>
    </w:p>
    <w:p w:rsidR="00B21854" w:rsidRPr="00567815" w:rsidRDefault="00B21854" w:rsidP="00E17E7C">
      <w:pPr>
        <w:pStyle w:val="Text1"/>
        <w:rPr>
          <w:noProof/>
        </w:rPr>
      </w:pPr>
      <w:r w:rsidRPr="00567815">
        <w:rPr>
          <w:noProof/>
        </w:rPr>
        <w:t xml:space="preserve">Para o período após 2024, continuar a prosseguir uma estratégia orçamental de consolidação gradual e sustentável no médio prazo, combinada com investimentos e reformas conducentes a um maior crescimento sustentável, a fim de alcançar uma situação orçamental prudente a médio prazo. </w:t>
      </w:r>
      <w:bookmarkEnd w:id="3"/>
    </w:p>
    <w:p w:rsidR="00BB2F7D" w:rsidRPr="00567815" w:rsidRDefault="003C6229" w:rsidP="003C6229">
      <w:pPr>
        <w:pStyle w:val="ManualNumPar1"/>
        <w:rPr>
          <w:rFonts w:eastAsia="Times New Roman"/>
          <w:noProof/>
        </w:rPr>
      </w:pPr>
      <w:r w:rsidRPr="003C6229">
        <w:t>2.</w:t>
      </w:r>
      <w:r w:rsidRPr="003C6229">
        <w:tab/>
      </w:r>
      <w:r w:rsidR="00145706" w:rsidRPr="00567815">
        <w:rPr>
          <w:noProof/>
        </w:rPr>
        <w:t>Continuar a assegurar uma execução continuada do seu plano de recuperação e resiliência e finalizar rapidamente a respetiva adenda, incluindo o capítulo REPowerEU, com vista a iniciar rapidamente a sua execução.</w:t>
      </w:r>
      <w:r w:rsidR="00145706" w:rsidRPr="00567815">
        <w:rPr>
          <w:noProof/>
          <w:color w:val="000000" w:themeColor="text1"/>
        </w:rPr>
        <w:t xml:space="preserve"> Prosseguir com a rápida execução dos programas da política de coesão, em estreita complementaridade e sinergia com o plano de recuperação e resiliência.</w:t>
      </w:r>
    </w:p>
    <w:p w:rsidR="00F45165" w:rsidRPr="00567815" w:rsidRDefault="003C6229" w:rsidP="003C6229">
      <w:pPr>
        <w:pStyle w:val="ManualNumPar1"/>
        <w:rPr>
          <w:rFonts w:eastAsia="Times New Roman"/>
          <w:noProof/>
        </w:rPr>
      </w:pPr>
      <w:r w:rsidRPr="003C6229">
        <w:t>3.</w:t>
      </w:r>
      <w:r w:rsidRPr="003C6229">
        <w:tab/>
      </w:r>
      <w:r w:rsidR="005400DE" w:rsidRPr="00567815">
        <w:rPr>
          <w:noProof/>
        </w:rPr>
        <w:t xml:space="preserve">Abordar eficazmente as características do sistema fiscal suscetíveis de facilitar o planeamento fiscal agressivo por parte de pessoas singulares e multinacionais, nomeadamente assegurando uma tributação suficiente das saídas de pagamentos de juros, </w:t>
      </w:r>
      <w:r w:rsidR="005400DE" w:rsidRPr="00567815">
        <w:rPr>
          <w:i/>
          <w:iCs/>
          <w:noProof/>
        </w:rPr>
        <w:t>royalties</w:t>
      </w:r>
      <w:r w:rsidR="005400DE" w:rsidRPr="00567815">
        <w:rPr>
          <w:noProof/>
        </w:rPr>
        <w:t xml:space="preserve"> e dividendos, e alterar as regras aplicáveis às empresas não domiciliadas.</w:t>
      </w:r>
    </w:p>
    <w:p w:rsidR="00BB2F7D" w:rsidRPr="00567815" w:rsidRDefault="003C6229" w:rsidP="003C6229">
      <w:pPr>
        <w:pStyle w:val="ManualNumPar1"/>
        <w:rPr>
          <w:rFonts w:eastAsia="Times New Roman"/>
          <w:noProof/>
        </w:rPr>
      </w:pPr>
      <w:r w:rsidRPr="003C6229">
        <w:t>4.</w:t>
      </w:r>
      <w:r w:rsidRPr="003C6229">
        <w:tab/>
      </w:r>
      <w:r w:rsidR="01B17070" w:rsidRPr="00567815">
        <w:rPr>
          <w:noProof/>
        </w:rPr>
        <w:t xml:space="preserve">Reduzir a dependência dos combustíveis fósseis acelerando a implantação de energias renováveis, incluindo a energia eólica marítima e a energia solar, e modernizar e expandir a capacidade do sistema de rede elétrica, incluindo o transporte, a distribuição e o armazenamento em baterias. Reduzir a procura de </w:t>
      </w:r>
      <w:r w:rsidR="01B17070" w:rsidRPr="00567815">
        <w:rPr>
          <w:noProof/>
        </w:rPr>
        <w:lastRenderedPageBreak/>
        <w:t>energia através de uma maior eficiência energética, em especial nos edifícios residenciais.</w:t>
      </w:r>
      <w:r w:rsidR="01B17070" w:rsidRPr="00567815">
        <w:rPr>
          <w:noProof/>
          <w:sz w:val="22"/>
        </w:rPr>
        <w:t xml:space="preserve"> </w:t>
      </w:r>
      <w:r w:rsidR="01B17070" w:rsidRPr="00567815">
        <w:rPr>
          <w:noProof/>
        </w:rPr>
        <w:t>Reduzir as emissões provenientes do transporte rodoviário, combatendo o congestionamento do tráfego através da melhoria da qualidade do serviço nos transportes públicos, dos sistemas de transporte inteligentes e do investimento em infraestruturas de «mobilidade suave». Intensificar os esforços políticos para assegurar a disponibilização e aquisição das competências necessárias à realização da transição ecológica.</w:t>
      </w:r>
    </w:p>
    <w:p w:rsidR="00D91D05" w:rsidRPr="00567815" w:rsidRDefault="00D91D05" w:rsidP="00D91D05">
      <w:pPr>
        <w:pStyle w:val="Text1"/>
        <w:ind w:left="0"/>
        <w:rPr>
          <w:noProof/>
        </w:rPr>
      </w:pPr>
    </w:p>
    <w:p w:rsidR="00D91D05" w:rsidRPr="00567815" w:rsidRDefault="00D91D05" w:rsidP="00D91D05">
      <w:pPr>
        <w:pStyle w:val="Text1"/>
        <w:ind w:left="0"/>
        <w:rPr>
          <w:noProof/>
        </w:rPr>
      </w:pPr>
    </w:p>
    <w:p w:rsidR="00CA0B25" w:rsidRPr="00567815" w:rsidRDefault="000670C0" w:rsidP="00B202BF">
      <w:pPr>
        <w:pStyle w:val="Fait"/>
        <w:rPr>
          <w:noProof/>
        </w:rPr>
      </w:pPr>
      <w:r w:rsidRPr="000670C0">
        <w:t>Feito em Bruxelas, em</w:t>
      </w:r>
    </w:p>
    <w:p w:rsidR="00CA0B25" w:rsidRPr="00567815" w:rsidRDefault="00CA0B25" w:rsidP="00B202BF">
      <w:pPr>
        <w:pStyle w:val="Institutionquisigne"/>
        <w:rPr>
          <w:noProof/>
        </w:rPr>
      </w:pPr>
      <w:r w:rsidRPr="00567815">
        <w:rPr>
          <w:noProof/>
        </w:rPr>
        <w:tab/>
        <w:t>Pelo Conselho</w:t>
      </w:r>
    </w:p>
    <w:p w:rsidR="00CA0B25" w:rsidRPr="00567815" w:rsidRDefault="00CA0B25" w:rsidP="00CA0B25">
      <w:pPr>
        <w:pStyle w:val="Personnequisigne"/>
        <w:rPr>
          <w:noProof/>
        </w:rPr>
      </w:pPr>
      <w:r w:rsidRPr="00567815">
        <w:rPr>
          <w:noProof/>
        </w:rPr>
        <w:tab/>
        <w:t>O Presidente</w:t>
      </w:r>
    </w:p>
    <w:sectPr w:rsidR="00CA0B25" w:rsidRPr="00567815" w:rsidSect="009B03DF">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EB7" w:rsidRDefault="00A56EB7" w:rsidP="00CA0B25">
      <w:pPr>
        <w:spacing w:before="0" w:after="0"/>
      </w:pPr>
      <w:r>
        <w:separator/>
      </w:r>
    </w:p>
  </w:endnote>
  <w:endnote w:type="continuationSeparator" w:id="0">
    <w:p w:rsidR="00A56EB7" w:rsidRDefault="00A56EB7" w:rsidP="00CA0B25">
      <w:pPr>
        <w:spacing w:before="0" w:after="0"/>
      </w:pPr>
      <w:r>
        <w:continuationSeparator/>
      </w:r>
    </w:p>
  </w:endnote>
  <w:endnote w:type="continuationNotice" w:id="1">
    <w:p w:rsidR="00A56EB7" w:rsidRDefault="00A56E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BB7" w:rsidRPr="009B03DF" w:rsidRDefault="009B03DF" w:rsidP="009B03DF">
    <w:pPr>
      <w:pStyle w:val="Footer"/>
      <w:rPr>
        <w:rFonts w:ascii="Arial" w:hAnsi="Arial" w:cs="Arial"/>
        <w:b/>
        <w:sz w:val="48"/>
      </w:rPr>
    </w:pPr>
    <w:r w:rsidRPr="009B03DF">
      <w:rPr>
        <w:rFonts w:ascii="Arial" w:hAnsi="Arial" w:cs="Arial"/>
        <w:b/>
        <w:sz w:val="48"/>
      </w:rPr>
      <w:t>PT</w:t>
    </w:r>
    <w:r w:rsidRPr="009B03DF">
      <w:rPr>
        <w:rFonts w:ascii="Arial" w:hAnsi="Arial" w:cs="Arial"/>
        <w:b/>
        <w:sz w:val="48"/>
      </w:rPr>
      <w:tab/>
    </w:r>
    <w:r w:rsidRPr="009B03DF">
      <w:rPr>
        <w:rFonts w:ascii="Arial" w:hAnsi="Arial" w:cs="Arial"/>
        <w:b/>
        <w:sz w:val="48"/>
      </w:rPr>
      <w:tab/>
    </w:r>
    <w:r w:rsidRPr="009B03DF">
      <w:tab/>
    </w:r>
    <w:r w:rsidRPr="009B03DF">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3DF" w:rsidRPr="009B03DF" w:rsidRDefault="009B03DF" w:rsidP="009B03DF">
    <w:pPr>
      <w:pStyle w:val="Footer"/>
      <w:rPr>
        <w:rFonts w:ascii="Arial" w:hAnsi="Arial" w:cs="Arial"/>
        <w:b/>
        <w:sz w:val="48"/>
      </w:rPr>
    </w:pPr>
    <w:r w:rsidRPr="009B03DF">
      <w:rPr>
        <w:rFonts w:ascii="Arial" w:hAnsi="Arial" w:cs="Arial"/>
        <w:b/>
        <w:sz w:val="48"/>
      </w:rPr>
      <w:t>PT</w:t>
    </w:r>
    <w:r w:rsidRPr="009B03DF">
      <w:rPr>
        <w:rFonts w:ascii="Arial" w:hAnsi="Arial" w:cs="Arial"/>
        <w:b/>
        <w:sz w:val="48"/>
      </w:rPr>
      <w:tab/>
    </w:r>
    <w:r>
      <w:fldChar w:fldCharType="begin"/>
    </w:r>
    <w:r>
      <w:instrText xml:space="preserve"> PAGE  \* MERGEFORMAT </w:instrText>
    </w:r>
    <w:r>
      <w:fldChar w:fldCharType="separate"/>
    </w:r>
    <w:r w:rsidR="00B202BF">
      <w:rPr>
        <w:noProof/>
      </w:rPr>
      <w:t>13</w:t>
    </w:r>
    <w:r>
      <w:fldChar w:fldCharType="end"/>
    </w:r>
    <w:r>
      <w:tab/>
    </w:r>
    <w:r w:rsidRPr="009B03DF">
      <w:tab/>
    </w:r>
    <w:r w:rsidRPr="009B03DF">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3DF" w:rsidRPr="009B03DF" w:rsidRDefault="009B03DF" w:rsidP="009B0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EB7" w:rsidRDefault="00A56EB7" w:rsidP="00CA0B25">
      <w:pPr>
        <w:spacing w:before="0" w:after="0"/>
      </w:pPr>
      <w:r>
        <w:separator/>
      </w:r>
    </w:p>
  </w:footnote>
  <w:footnote w:type="continuationSeparator" w:id="0">
    <w:p w:rsidR="00A56EB7" w:rsidRDefault="00A56EB7" w:rsidP="00CA0B25">
      <w:pPr>
        <w:spacing w:before="0" w:after="0"/>
      </w:pPr>
      <w:r>
        <w:continuationSeparator/>
      </w:r>
    </w:p>
  </w:footnote>
  <w:footnote w:type="continuationNotice" w:id="1">
    <w:p w:rsidR="00A56EB7" w:rsidRDefault="00A56EB7">
      <w:pPr>
        <w:spacing w:before="0" w:after="0"/>
      </w:pPr>
    </w:p>
  </w:footnote>
  <w:footnote w:id="2">
    <w:p w:rsidR="00A56EB7" w:rsidRPr="00494A36" w:rsidRDefault="00A56EB7" w:rsidP="00373387">
      <w:pPr>
        <w:pStyle w:val="FootnoteText"/>
      </w:pPr>
      <w:r>
        <w:rPr>
          <w:rStyle w:val="FootnoteReference"/>
        </w:rPr>
        <w:footnoteRef/>
      </w:r>
      <w:r>
        <w:tab/>
        <w:t>JO L 209 de 2.8.1997, p. 1.</w:t>
      </w:r>
    </w:p>
  </w:footnote>
  <w:footnote w:id="3">
    <w:p w:rsidR="00A56EB7" w:rsidRDefault="00A56EB7" w:rsidP="00373387">
      <w:pPr>
        <w:pStyle w:val="FootnoteText"/>
      </w:pPr>
      <w:r>
        <w:rPr>
          <w:rStyle w:val="FootnoteReference"/>
        </w:rPr>
        <w:footnoteRef/>
      </w:r>
      <w:r>
        <w:tab/>
        <w:t>Regulamento (UE) 2021/241 do Parlamento Europeu e do Conselho, de 12 de fevereiro de 2021, que cria o Mecanismo de Recuperação e Resiliência (JO L 57 de 18.2.2021, p. 17).</w:t>
      </w:r>
    </w:p>
  </w:footnote>
  <w:footnote w:id="4">
    <w:p w:rsidR="00A56EB7" w:rsidRDefault="00A56EB7" w:rsidP="6A50C796">
      <w:pPr>
        <w:pStyle w:val="FootnoteText"/>
      </w:pPr>
      <w:r w:rsidRPr="008236F4">
        <w:rPr>
          <w:rStyle w:val="FootnoteReference"/>
        </w:rPr>
        <w:footnoteRef/>
      </w:r>
      <w:r w:rsidR="008236F4">
        <w:tab/>
      </w:r>
      <w:r>
        <w:t>COM(2022) 780 final.</w:t>
      </w:r>
    </w:p>
  </w:footnote>
  <w:footnote w:id="5">
    <w:p w:rsidR="00A56EB7" w:rsidRPr="000C69B9" w:rsidRDefault="00A56EB7">
      <w:pPr>
        <w:pStyle w:val="FootnoteText"/>
      </w:pPr>
      <w:r w:rsidRPr="008236F4">
        <w:rPr>
          <w:rStyle w:val="FootnoteReference"/>
        </w:rPr>
        <w:footnoteRef/>
      </w:r>
      <w:r w:rsidR="008236F4">
        <w:tab/>
      </w:r>
      <w:r>
        <w:t>COM(2023) 62 final.</w:t>
      </w:r>
    </w:p>
  </w:footnote>
  <w:footnote w:id="6">
    <w:p w:rsidR="00A56EB7" w:rsidRDefault="00A56EB7">
      <w:pPr>
        <w:pStyle w:val="FootnoteText"/>
      </w:pPr>
      <w:r w:rsidRPr="008236F4">
        <w:rPr>
          <w:rStyle w:val="FootnoteReference"/>
        </w:rPr>
        <w:footnoteRef/>
      </w:r>
      <w:r w:rsidR="008236F4">
        <w:tab/>
      </w:r>
      <w:r>
        <w:t xml:space="preserve">COM(2023) 168 final. </w:t>
      </w:r>
    </w:p>
  </w:footnote>
  <w:footnote w:id="7">
    <w:p w:rsidR="00A56EB7" w:rsidRDefault="00A56EB7" w:rsidP="00DB7D6E">
      <w:pPr>
        <w:pStyle w:val="FootnoteText"/>
      </w:pPr>
      <w:r w:rsidRPr="008236F4">
        <w:rPr>
          <w:rStyle w:val="FootnoteReference"/>
        </w:rPr>
        <w:footnoteRef/>
      </w:r>
      <w:r w:rsidR="008236F4">
        <w:tab/>
      </w:r>
      <w:r>
        <w:t>Regulamento (UE) 2023/435 do Parlamento Europeu e do Conselho, de 27 de fevereiro de 2023, que altera o Regulamento (UE) 2021/241 no que diz respeito aos capítulos REPowerEU dos planos de recuperação e resiliência e que altera os Regulamentos (UE) n.º 1303/2013, (UE) 2021/1060 e (UE) 2021/1755 e a Diretiva 2003/87/CE (JO L 63 de 28.2.2023, p. 1).</w:t>
      </w:r>
    </w:p>
  </w:footnote>
  <w:footnote w:id="8">
    <w:p w:rsidR="00A56EB7" w:rsidRPr="002D5F48" w:rsidRDefault="00A56EB7" w:rsidP="006F032B">
      <w:pPr>
        <w:pStyle w:val="FootnoteText"/>
      </w:pPr>
      <w:r w:rsidRPr="008236F4">
        <w:rPr>
          <w:rStyle w:val="FootnoteReference"/>
        </w:rPr>
        <w:footnoteRef/>
      </w:r>
      <w:r w:rsidR="008236F4">
        <w:tab/>
      </w:r>
      <w:r>
        <w:t>COM(2023) 141 final.</w:t>
      </w:r>
    </w:p>
  </w:footnote>
  <w:footnote w:id="9">
    <w:p w:rsidR="00A56EB7" w:rsidRPr="00C851E9" w:rsidRDefault="00A56EB7" w:rsidP="006F032B">
      <w:pPr>
        <w:pStyle w:val="FootnoteText"/>
      </w:pPr>
      <w:r w:rsidRPr="008236F4">
        <w:rPr>
          <w:rStyle w:val="FootnoteReference"/>
        </w:rPr>
        <w:footnoteRef/>
      </w:r>
      <w:r w:rsidR="008236F4">
        <w:tab/>
      </w:r>
      <w:r>
        <w:t>COM(2022) 583 final.</w:t>
      </w:r>
    </w:p>
  </w:footnote>
  <w:footnote w:id="10">
    <w:p w:rsidR="00A56EB7" w:rsidRDefault="00A56EB7" w:rsidP="00373387">
      <w:pPr>
        <w:pStyle w:val="FootnoteText"/>
      </w:pPr>
      <w:r>
        <w:rPr>
          <w:rStyle w:val="FootnoteReference"/>
        </w:rPr>
        <w:footnoteRef/>
      </w:r>
      <w:r>
        <w:tab/>
        <w:t>Decisão de Execução do Conselho, de 5 de outubro de 2021, relativa à aprovação da avaliação do plano de recuperação e resiliência de Malta (ST 11941/2021 INIT; ST 11941/2021 ADD 1).</w:t>
      </w:r>
    </w:p>
  </w:footnote>
  <w:footnote w:id="11">
    <w:p w:rsidR="00A56EB7" w:rsidRPr="00020688" w:rsidRDefault="00A56EB7" w:rsidP="00373387">
      <w:pPr>
        <w:pStyle w:val="FootnoteText"/>
      </w:pPr>
      <w:r w:rsidRPr="008236F4">
        <w:rPr>
          <w:rStyle w:val="FootnoteReference"/>
        </w:rPr>
        <w:footnoteRef/>
      </w:r>
      <w:r w:rsidR="008236F4">
        <w:tab/>
      </w:r>
      <w:r>
        <w:t>SWD(2023) 618 final.</w:t>
      </w:r>
    </w:p>
  </w:footnote>
  <w:footnote w:id="12">
    <w:p w:rsidR="00B21854" w:rsidRPr="00BC4EBD" w:rsidRDefault="00B21854" w:rsidP="00C63CA7">
      <w:pPr>
        <w:pStyle w:val="FootnoteText"/>
      </w:pPr>
      <w:r>
        <w:rPr>
          <w:rStyle w:val="FootnoteReference"/>
        </w:rPr>
        <w:footnoteRef/>
      </w:r>
      <w:r>
        <w:tab/>
        <w:t xml:space="preserve">Eurostat-Euro Indicators, </w:t>
      </w:r>
      <w:bookmarkStart w:id="1" w:name="_Hlk134625695"/>
      <w:r>
        <w:t>47/2023, 21.4.2023</w:t>
      </w:r>
      <w:bookmarkEnd w:id="1"/>
      <w:r>
        <w:t>.</w:t>
      </w:r>
    </w:p>
  </w:footnote>
  <w:footnote w:id="13">
    <w:p w:rsidR="00B21854" w:rsidRPr="00BC4EBD" w:rsidRDefault="00B21854" w:rsidP="00C63CA7">
      <w:pPr>
        <w:pStyle w:val="FootnoteText"/>
      </w:pPr>
      <w:r>
        <w:rPr>
          <w:rStyle w:val="FootnoteReference"/>
        </w:rPr>
        <w:footnoteRef/>
      </w:r>
      <w:r>
        <w:tab/>
        <w:t>COM(2023) 631 final de 24.5.2023.</w:t>
      </w:r>
    </w:p>
  </w:footnote>
  <w:footnote w:id="14">
    <w:p w:rsidR="00B21854" w:rsidRPr="00BC4EBD" w:rsidRDefault="00B21854" w:rsidP="00C63CA7">
      <w:pPr>
        <w:pStyle w:val="FootnoteText"/>
      </w:pPr>
      <w:r>
        <w:rPr>
          <w:rStyle w:val="FootnoteReference"/>
        </w:rPr>
        <w:footnoteRef/>
      </w:r>
      <w:r>
        <w:tab/>
        <w:t>COM(2023) 141 final de 8.3.2023.</w:t>
      </w:r>
    </w:p>
  </w:footnote>
  <w:footnote w:id="15">
    <w:p w:rsidR="00B21854" w:rsidRPr="00BC4EBD" w:rsidRDefault="00B21854" w:rsidP="00B21854">
      <w:pPr>
        <w:pStyle w:val="FootnoteText"/>
      </w:pPr>
      <w:r>
        <w:rPr>
          <w:rStyle w:val="FootnoteReference"/>
        </w:rPr>
        <w:footnoteRef/>
      </w:r>
      <w:r>
        <w:tab/>
        <w:t>Recomendação do Conselho, de 18 de junho de 2021, que emite um parecer do Conselho sobre o Programa de Estabilidade de Malta para 2021, JO C 304 de 29.7.2021, p. 83.</w:t>
      </w:r>
    </w:p>
  </w:footnote>
  <w:footnote w:id="16">
    <w:p w:rsidR="00B21854" w:rsidRPr="00B21854" w:rsidRDefault="00B21854" w:rsidP="00B21854">
      <w:pPr>
        <w:pStyle w:val="FootnoteText"/>
      </w:pPr>
      <w:r>
        <w:rPr>
          <w:rStyle w:val="FootnoteReference"/>
        </w:rPr>
        <w:footnoteRef/>
      </w:r>
      <w:r>
        <w:tab/>
        <w:t xml:space="preserve">A orientação da política orçamental é medida pela variação das despesas primárias (líquidas de medidas discricionárias do lado das receitas), excluindo as medidas de emergência temporárias relacionadas com a crise da COVID-19 mas incluindo as despesas financiadas por apoios não reembolsáveis (subvenções) do Mecanismo de Recuperação e Resiliência e de outros fundos da UE, comparativamente ao crescimento potencial a médio prazo. Para mais pormenores, ver a caixa 1 dos quadros estatísticos orçamentais. </w:t>
      </w:r>
    </w:p>
  </w:footnote>
  <w:footnote w:id="17">
    <w:p w:rsidR="00B21854" w:rsidRPr="00BC4EBD" w:rsidRDefault="00B21854" w:rsidP="00B21854">
      <w:pPr>
        <w:pStyle w:val="FootnoteText"/>
        <w:spacing w:after="120"/>
      </w:pPr>
      <w:r>
        <w:rPr>
          <w:rStyle w:val="FootnoteReference"/>
        </w:rPr>
        <w:footnoteRef/>
      </w:r>
      <w:r>
        <w:tab/>
        <w:t xml:space="preserve">As outras despesas de capital financiadas a nível nacional tiveram um contributo contracionista de 0,3 pontos percentuais do PIB. </w:t>
      </w:r>
    </w:p>
  </w:footnote>
  <w:footnote w:id="18">
    <w:p w:rsidR="00B21854" w:rsidRPr="00166F81" w:rsidRDefault="00B21854" w:rsidP="00B21854">
      <w:pPr>
        <w:pStyle w:val="FootnoteText"/>
      </w:pPr>
      <w:r>
        <w:rPr>
          <w:rStyle w:val="FootnoteReference"/>
        </w:rPr>
        <w:footnoteRef/>
      </w:r>
      <w:r>
        <w:tab/>
        <w:t>Este valor representa o nível dos custos orçamentais anuais destas medidas, incluindo as receitas e despesas correntes, bem como – quando for o caso – as medidas ligadas às despesas de capital.</w:t>
      </w:r>
    </w:p>
  </w:footnote>
  <w:footnote w:id="19">
    <w:p w:rsidR="00B21854" w:rsidRPr="00BC4EBD" w:rsidRDefault="00B21854" w:rsidP="00B21854">
      <w:pPr>
        <w:pStyle w:val="FootnoteText"/>
        <w:rPr>
          <w:i/>
          <w:iCs/>
        </w:rPr>
      </w:pPr>
      <w:r>
        <w:rPr>
          <w:rStyle w:val="FootnoteReference"/>
        </w:rPr>
        <w:footnoteRef/>
      </w:r>
      <w:r>
        <w:tab/>
        <w:t>Recomendação do Conselho, de 12 de julho de 2022, relativa ao Programa Nacional de Reformas de Malta para 2022 e que emite um parecer do Conselho sobre o Programa de Estabilidade de Malta para 2022, JO C 334 de 1.9.2022, p. 146.</w:t>
      </w:r>
      <w:r>
        <w:rPr>
          <w:i/>
        </w:rPr>
        <w:t xml:space="preserve"> </w:t>
      </w:r>
    </w:p>
  </w:footnote>
  <w:footnote w:id="20">
    <w:p w:rsidR="00B21854" w:rsidRPr="00BC4EBD" w:rsidRDefault="00B21854" w:rsidP="00B21854">
      <w:pPr>
        <w:pStyle w:val="FootnoteText"/>
      </w:pPr>
      <w:r>
        <w:rPr>
          <w:rStyle w:val="FootnoteReference"/>
        </w:rPr>
        <w:footnoteRef/>
      </w:r>
      <w:r>
        <w:tab/>
        <w:t>Com base nas previsões da Comissão da primavera de 2023, o crescimento do produto potencial a médio prazo (média de 10 anos) de Malta, utilizado para medir a orientação da política orçamental, é estimado em 9,5 % em termos nominais.</w:t>
      </w:r>
    </w:p>
  </w:footnote>
  <w:footnote w:id="21">
    <w:p w:rsidR="00B21854" w:rsidRPr="00166F81" w:rsidRDefault="00B21854" w:rsidP="00C63CA7">
      <w:pPr>
        <w:pStyle w:val="FootnoteText"/>
      </w:pPr>
      <w:r>
        <w:rPr>
          <w:rStyle w:val="FootnoteReference"/>
        </w:rPr>
        <w:footnoteRef/>
      </w:r>
      <w:r>
        <w:tab/>
        <w:t xml:space="preserve">As outras despesas de capital financiadas a nível nacional deverão ter, de acordo com as projeções, um contributo neutro, de 0,0 pontos percentuais do PIB. </w:t>
      </w:r>
    </w:p>
  </w:footnote>
  <w:footnote w:id="22">
    <w:p w:rsidR="00B21854" w:rsidRPr="00B2603E" w:rsidRDefault="00B21854" w:rsidP="00B21854">
      <w:pPr>
        <w:pStyle w:val="FootnoteText"/>
      </w:pPr>
      <w:r>
        <w:rPr>
          <w:rStyle w:val="FootnoteReference"/>
        </w:rPr>
        <w:footnoteRef/>
      </w:r>
      <w:r>
        <w:tab/>
        <w:t>Cf. artigo 5.º do Regulamento (CE) n.º 1466/97 do Conselho, que exige igualmente um ajustamento superior a 0,5 % do PIB para os Estados-Membros com uma dívida pública superior a 60 % do PIB ou com riscos mais pronunciados em matéria de sustentabilidade da dívida.</w:t>
      </w:r>
    </w:p>
  </w:footnote>
  <w:footnote w:id="23">
    <w:p w:rsidR="00B21854" w:rsidRPr="00F859D5" w:rsidRDefault="00B21854" w:rsidP="00B21854">
      <w:pPr>
        <w:pStyle w:val="FootnoteText"/>
      </w:pPr>
      <w:r>
        <w:rPr>
          <w:rStyle w:val="FootnoteReference"/>
        </w:rPr>
        <w:footnoteRef/>
      </w:r>
      <w:r>
        <w:tab/>
        <w:t>A Comissão estimou que Malta precisaria de um aumento médio anual do saldo primário estrutural em percentagem do PIB equivalente a 0,3 pontos percentuais para alcançar uma redução plausível da dívida ou para assegurar a sua manutenção em níveis prudentes no médio prazo. Esta estimativa baseou-se nas previsões da Comissão do outono de 2022. O ponto de partida para esta estimativa foram o défice e a dívida públicos projetados para 2024.</w:t>
      </w:r>
    </w:p>
  </w:footnote>
  <w:footnote w:id="24">
    <w:p w:rsidR="00A56EB7" w:rsidRPr="005A3663" w:rsidRDefault="00A56EB7">
      <w:pPr>
        <w:pStyle w:val="FootnoteText"/>
      </w:pPr>
      <w:r>
        <w:rPr>
          <w:rStyle w:val="FootnoteReference"/>
        </w:rPr>
        <w:footnoteRef/>
      </w:r>
      <w:r>
        <w:tab/>
        <w:t>Regulamento (UE) 2022/1369 do Conselho.</w:t>
      </w:r>
    </w:p>
  </w:footnote>
  <w:footnote w:id="25">
    <w:p w:rsidR="00A56EB7" w:rsidRPr="008F6686" w:rsidRDefault="00A56EB7" w:rsidP="00943182">
      <w:pPr>
        <w:pStyle w:val="FootnoteText"/>
      </w:pPr>
      <w:r>
        <w:rPr>
          <w:rStyle w:val="FootnoteReference"/>
        </w:rPr>
        <w:footnoteRef/>
      </w:r>
      <w:r>
        <w:tab/>
        <w:t>Ao abrigo dos artigos 5.º, n.º 2, e 9.º, n.º 2, do Regulamento (CE) n.º 1466/97 do Conselho.</w:t>
      </w:r>
    </w:p>
  </w:footnote>
</w:footnotes>
</file>

<file path=word/intelligence2.xml><?xml version="1.0" encoding="utf-8"?>
<int2:intelligence xmlns:int2="http://schemas.microsoft.com/office/intelligence/2020/intelligence" xmlns:oel="http://schemas.microsoft.com/office/2019/extlst">
  <int2:observations>
    <int2:bookmark int2:bookmarkName="_Int_XF7g9O2y" int2:invalidationBookmarkName="" int2:hashCode="Xtmc0LkefyNkzh" int2:id="vD4xuaX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165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6-02 17:28: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92664F0-134F-44B9-840F-A221BB5D780B"/>
    <w:docVar w:name="LW_COVERPAGE_TYPE" w:val="1"/>
    <w:docVar w:name="LW_CROSSREFERENCE" w:val="{SWD(2023) 618 final}"/>
    <w:docVar w:name="LW_DocType" w:val="COM"/>
    <w:docVar w:name="LW_EMISSION" w:val="24.5.2023"/>
    <w:docVar w:name="LW_EMISSION_ISODATE" w:val="2023-05-24"/>
    <w:docVar w:name="LW_EMISSION_LOCATION" w:val="BRX"/>
    <w:docVar w:name="LW_EMISSION_PREFIX" w:val="Bruxela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6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endação de"/>
    <w:docVar w:name="LW_SUPERTITRE" w:val="&lt;UNUSED&gt;"/>
    <w:docVar w:name="LW_TITRE.OBJ.CP" w:val="relativa ao Programa Nacional de Reformas de 2023 de Malta e que emite um parecer do Conselho sobre o Programa de Estabilidade de 2023 de Malta"/>
    <w:docVar w:name="LW_TYPE.DOC.CP" w:val="RECOMENDAÇÃO DO CONSELHO"/>
    <w:docVar w:name="LwApiVersions" w:val="LW4CoDe 1.23.2.0; LW 8.0, Build 20211117"/>
  </w:docVars>
  <w:rsids>
    <w:rsidRoot w:val="00CA0B25"/>
    <w:rsid w:val="0000370C"/>
    <w:rsid w:val="00004EC6"/>
    <w:rsid w:val="00005282"/>
    <w:rsid w:val="00006579"/>
    <w:rsid w:val="0000740E"/>
    <w:rsid w:val="00007A9B"/>
    <w:rsid w:val="00010F9C"/>
    <w:rsid w:val="0001198C"/>
    <w:rsid w:val="00013C0A"/>
    <w:rsid w:val="000165A3"/>
    <w:rsid w:val="00020688"/>
    <w:rsid w:val="00020FE8"/>
    <w:rsid w:val="0002269A"/>
    <w:rsid w:val="00023A9B"/>
    <w:rsid w:val="0002411D"/>
    <w:rsid w:val="000245D3"/>
    <w:rsid w:val="000245DD"/>
    <w:rsid w:val="000263D7"/>
    <w:rsid w:val="00027253"/>
    <w:rsid w:val="000306B2"/>
    <w:rsid w:val="00031AD6"/>
    <w:rsid w:val="00031DA2"/>
    <w:rsid w:val="00032E28"/>
    <w:rsid w:val="00035701"/>
    <w:rsid w:val="000370D6"/>
    <w:rsid w:val="000386EA"/>
    <w:rsid w:val="00040FDA"/>
    <w:rsid w:val="00041078"/>
    <w:rsid w:val="00043124"/>
    <w:rsid w:val="00043149"/>
    <w:rsid w:val="00044986"/>
    <w:rsid w:val="00046491"/>
    <w:rsid w:val="00050D4F"/>
    <w:rsid w:val="00052189"/>
    <w:rsid w:val="00052D21"/>
    <w:rsid w:val="000545B9"/>
    <w:rsid w:val="00060355"/>
    <w:rsid w:val="00062812"/>
    <w:rsid w:val="00062FD6"/>
    <w:rsid w:val="00063304"/>
    <w:rsid w:val="00063E2A"/>
    <w:rsid w:val="00063EF8"/>
    <w:rsid w:val="00065D5D"/>
    <w:rsid w:val="000670C0"/>
    <w:rsid w:val="0006725B"/>
    <w:rsid w:val="0007111F"/>
    <w:rsid w:val="00071E31"/>
    <w:rsid w:val="00072591"/>
    <w:rsid w:val="00073F87"/>
    <w:rsid w:val="000810DF"/>
    <w:rsid w:val="00081A8E"/>
    <w:rsid w:val="0008364E"/>
    <w:rsid w:val="00084A34"/>
    <w:rsid w:val="00087396"/>
    <w:rsid w:val="000878D7"/>
    <w:rsid w:val="000905D8"/>
    <w:rsid w:val="00090AFE"/>
    <w:rsid w:val="000913D6"/>
    <w:rsid w:val="0009185B"/>
    <w:rsid w:val="00092CD6"/>
    <w:rsid w:val="000936AC"/>
    <w:rsid w:val="000944D9"/>
    <w:rsid w:val="00094C60"/>
    <w:rsid w:val="0009506B"/>
    <w:rsid w:val="00095791"/>
    <w:rsid w:val="00096500"/>
    <w:rsid w:val="00096D64"/>
    <w:rsid w:val="000A2391"/>
    <w:rsid w:val="000A6883"/>
    <w:rsid w:val="000A72AC"/>
    <w:rsid w:val="000B0580"/>
    <w:rsid w:val="000B0DF6"/>
    <w:rsid w:val="000B17B5"/>
    <w:rsid w:val="000B3859"/>
    <w:rsid w:val="000B394B"/>
    <w:rsid w:val="000B52E8"/>
    <w:rsid w:val="000B5474"/>
    <w:rsid w:val="000B5678"/>
    <w:rsid w:val="000B7A7D"/>
    <w:rsid w:val="000C05B6"/>
    <w:rsid w:val="000C217C"/>
    <w:rsid w:val="000C248B"/>
    <w:rsid w:val="000C2B7F"/>
    <w:rsid w:val="000C2D62"/>
    <w:rsid w:val="000C4D6A"/>
    <w:rsid w:val="000C5C73"/>
    <w:rsid w:val="000C69B9"/>
    <w:rsid w:val="000C6F6E"/>
    <w:rsid w:val="000D0476"/>
    <w:rsid w:val="000D1AA8"/>
    <w:rsid w:val="000D5FB0"/>
    <w:rsid w:val="000D7A16"/>
    <w:rsid w:val="000E13EA"/>
    <w:rsid w:val="000E3F61"/>
    <w:rsid w:val="000E40F8"/>
    <w:rsid w:val="000E4BF9"/>
    <w:rsid w:val="000E6759"/>
    <w:rsid w:val="000E7370"/>
    <w:rsid w:val="000E768D"/>
    <w:rsid w:val="000E7B98"/>
    <w:rsid w:val="000E7D9A"/>
    <w:rsid w:val="000ECA4D"/>
    <w:rsid w:val="000F1E8E"/>
    <w:rsid w:val="000F25EF"/>
    <w:rsid w:val="000F4517"/>
    <w:rsid w:val="000F6389"/>
    <w:rsid w:val="0010048E"/>
    <w:rsid w:val="001016AD"/>
    <w:rsid w:val="001027EA"/>
    <w:rsid w:val="0010389C"/>
    <w:rsid w:val="00103C02"/>
    <w:rsid w:val="00104902"/>
    <w:rsid w:val="00105705"/>
    <w:rsid w:val="001061C2"/>
    <w:rsid w:val="00106FD8"/>
    <w:rsid w:val="001073E3"/>
    <w:rsid w:val="00107F3A"/>
    <w:rsid w:val="00110194"/>
    <w:rsid w:val="001106F6"/>
    <w:rsid w:val="00112186"/>
    <w:rsid w:val="001125B7"/>
    <w:rsid w:val="00113939"/>
    <w:rsid w:val="00114400"/>
    <w:rsid w:val="00114BB0"/>
    <w:rsid w:val="001165D9"/>
    <w:rsid w:val="00116DBC"/>
    <w:rsid w:val="0011760E"/>
    <w:rsid w:val="00122014"/>
    <w:rsid w:val="00122852"/>
    <w:rsid w:val="00125E4A"/>
    <w:rsid w:val="00126343"/>
    <w:rsid w:val="001267B4"/>
    <w:rsid w:val="0012764B"/>
    <w:rsid w:val="0012FDB7"/>
    <w:rsid w:val="00133D60"/>
    <w:rsid w:val="001357B1"/>
    <w:rsid w:val="00136F09"/>
    <w:rsid w:val="00136FDF"/>
    <w:rsid w:val="00137FF7"/>
    <w:rsid w:val="001411A8"/>
    <w:rsid w:val="001417DD"/>
    <w:rsid w:val="001427EC"/>
    <w:rsid w:val="00143F22"/>
    <w:rsid w:val="00145706"/>
    <w:rsid w:val="001469B4"/>
    <w:rsid w:val="00150CB9"/>
    <w:rsid w:val="00152242"/>
    <w:rsid w:val="00152894"/>
    <w:rsid w:val="00152E6B"/>
    <w:rsid w:val="001531F4"/>
    <w:rsid w:val="001541F4"/>
    <w:rsid w:val="00154D5D"/>
    <w:rsid w:val="00155840"/>
    <w:rsid w:val="00157C25"/>
    <w:rsid w:val="00157F28"/>
    <w:rsid w:val="00160B7A"/>
    <w:rsid w:val="00160D75"/>
    <w:rsid w:val="00162CDF"/>
    <w:rsid w:val="00163AC9"/>
    <w:rsid w:val="00164526"/>
    <w:rsid w:val="00165839"/>
    <w:rsid w:val="00170018"/>
    <w:rsid w:val="00170193"/>
    <w:rsid w:val="00170C28"/>
    <w:rsid w:val="00174118"/>
    <w:rsid w:val="00174ED3"/>
    <w:rsid w:val="00177216"/>
    <w:rsid w:val="001816E9"/>
    <w:rsid w:val="001830FF"/>
    <w:rsid w:val="001836CA"/>
    <w:rsid w:val="001837C8"/>
    <w:rsid w:val="00184152"/>
    <w:rsid w:val="00184809"/>
    <w:rsid w:val="0018523B"/>
    <w:rsid w:val="00185C62"/>
    <w:rsid w:val="00185C91"/>
    <w:rsid w:val="00187849"/>
    <w:rsid w:val="00191338"/>
    <w:rsid w:val="00194866"/>
    <w:rsid w:val="001A67F4"/>
    <w:rsid w:val="001B04B0"/>
    <w:rsid w:val="001B0520"/>
    <w:rsid w:val="001B0E57"/>
    <w:rsid w:val="001B1979"/>
    <w:rsid w:val="001B2868"/>
    <w:rsid w:val="001B40E5"/>
    <w:rsid w:val="001B4186"/>
    <w:rsid w:val="001B4263"/>
    <w:rsid w:val="001B448E"/>
    <w:rsid w:val="001B57B6"/>
    <w:rsid w:val="001B6990"/>
    <w:rsid w:val="001B6EC0"/>
    <w:rsid w:val="001B7CC8"/>
    <w:rsid w:val="001C0E58"/>
    <w:rsid w:val="001C2E44"/>
    <w:rsid w:val="001C3BC4"/>
    <w:rsid w:val="001C4D0C"/>
    <w:rsid w:val="001D28B5"/>
    <w:rsid w:val="001D414D"/>
    <w:rsid w:val="001D67F8"/>
    <w:rsid w:val="001E1AFF"/>
    <w:rsid w:val="001E22F2"/>
    <w:rsid w:val="001E2EE0"/>
    <w:rsid w:val="001E3EC2"/>
    <w:rsid w:val="001E4357"/>
    <w:rsid w:val="001E6B57"/>
    <w:rsid w:val="001F06CD"/>
    <w:rsid w:val="001F105B"/>
    <w:rsid w:val="001F15DE"/>
    <w:rsid w:val="001F258F"/>
    <w:rsid w:val="001F4700"/>
    <w:rsid w:val="001F5446"/>
    <w:rsid w:val="001F5BF5"/>
    <w:rsid w:val="001F6E8B"/>
    <w:rsid w:val="001F743C"/>
    <w:rsid w:val="001F76CB"/>
    <w:rsid w:val="001F7770"/>
    <w:rsid w:val="001F7A39"/>
    <w:rsid w:val="00200008"/>
    <w:rsid w:val="0020052A"/>
    <w:rsid w:val="00200B0B"/>
    <w:rsid w:val="00201F42"/>
    <w:rsid w:val="00204283"/>
    <w:rsid w:val="0020610B"/>
    <w:rsid w:val="002061D5"/>
    <w:rsid w:val="00211078"/>
    <w:rsid w:val="0021138C"/>
    <w:rsid w:val="00212A32"/>
    <w:rsid w:val="00212FC9"/>
    <w:rsid w:val="00213136"/>
    <w:rsid w:val="002141DA"/>
    <w:rsid w:val="00215179"/>
    <w:rsid w:val="0021524D"/>
    <w:rsid w:val="0021620D"/>
    <w:rsid w:val="002176E0"/>
    <w:rsid w:val="002223AA"/>
    <w:rsid w:val="00222908"/>
    <w:rsid w:val="0022380A"/>
    <w:rsid w:val="0022587C"/>
    <w:rsid w:val="00225892"/>
    <w:rsid w:val="00225C27"/>
    <w:rsid w:val="002274C4"/>
    <w:rsid w:val="00230555"/>
    <w:rsid w:val="00230B8E"/>
    <w:rsid w:val="00230CDA"/>
    <w:rsid w:val="00230E3F"/>
    <w:rsid w:val="0023106F"/>
    <w:rsid w:val="00232A45"/>
    <w:rsid w:val="002341A0"/>
    <w:rsid w:val="00234AD9"/>
    <w:rsid w:val="002350C7"/>
    <w:rsid w:val="0023592E"/>
    <w:rsid w:val="00237400"/>
    <w:rsid w:val="0023795A"/>
    <w:rsid w:val="00242054"/>
    <w:rsid w:val="002438E9"/>
    <w:rsid w:val="0024585C"/>
    <w:rsid w:val="00246650"/>
    <w:rsid w:val="00250F96"/>
    <w:rsid w:val="00251CCB"/>
    <w:rsid w:val="0025635A"/>
    <w:rsid w:val="00256576"/>
    <w:rsid w:val="00256ADD"/>
    <w:rsid w:val="002601C5"/>
    <w:rsid w:val="00263BD5"/>
    <w:rsid w:val="002641A6"/>
    <w:rsid w:val="002657CF"/>
    <w:rsid w:val="00267DB9"/>
    <w:rsid w:val="00270A0C"/>
    <w:rsid w:val="00272211"/>
    <w:rsid w:val="0027332C"/>
    <w:rsid w:val="002738B7"/>
    <w:rsid w:val="00273A14"/>
    <w:rsid w:val="00274980"/>
    <w:rsid w:val="002762D1"/>
    <w:rsid w:val="00277414"/>
    <w:rsid w:val="00277EBE"/>
    <w:rsid w:val="00282CA5"/>
    <w:rsid w:val="00283681"/>
    <w:rsid w:val="0028368C"/>
    <w:rsid w:val="00286AF7"/>
    <w:rsid w:val="00290DE2"/>
    <w:rsid w:val="00291422"/>
    <w:rsid w:val="002916A6"/>
    <w:rsid w:val="002A5064"/>
    <w:rsid w:val="002B1DBF"/>
    <w:rsid w:val="002B1EB8"/>
    <w:rsid w:val="002C1DB4"/>
    <w:rsid w:val="002C2C0B"/>
    <w:rsid w:val="002C48B2"/>
    <w:rsid w:val="002C5CFE"/>
    <w:rsid w:val="002C6366"/>
    <w:rsid w:val="002C6876"/>
    <w:rsid w:val="002D0AA2"/>
    <w:rsid w:val="002D13BE"/>
    <w:rsid w:val="002D278F"/>
    <w:rsid w:val="002D28B4"/>
    <w:rsid w:val="002D2E5B"/>
    <w:rsid w:val="002D5511"/>
    <w:rsid w:val="002E151B"/>
    <w:rsid w:val="002E162A"/>
    <w:rsid w:val="002E22B0"/>
    <w:rsid w:val="002E413E"/>
    <w:rsid w:val="002E415C"/>
    <w:rsid w:val="002E5146"/>
    <w:rsid w:val="002E5A33"/>
    <w:rsid w:val="002F4AD1"/>
    <w:rsid w:val="002F5813"/>
    <w:rsid w:val="002F67E1"/>
    <w:rsid w:val="002F6BBF"/>
    <w:rsid w:val="002F732D"/>
    <w:rsid w:val="00300A8F"/>
    <w:rsid w:val="0030229B"/>
    <w:rsid w:val="00302841"/>
    <w:rsid w:val="003028F9"/>
    <w:rsid w:val="0030291D"/>
    <w:rsid w:val="003042F0"/>
    <w:rsid w:val="0030470F"/>
    <w:rsid w:val="00304ACA"/>
    <w:rsid w:val="00305FC7"/>
    <w:rsid w:val="00307A55"/>
    <w:rsid w:val="003109C7"/>
    <w:rsid w:val="00310A21"/>
    <w:rsid w:val="00311B80"/>
    <w:rsid w:val="00317C5D"/>
    <w:rsid w:val="00325798"/>
    <w:rsid w:val="00325A32"/>
    <w:rsid w:val="00327745"/>
    <w:rsid w:val="003309FC"/>
    <w:rsid w:val="0033142D"/>
    <w:rsid w:val="00333AF1"/>
    <w:rsid w:val="0033634E"/>
    <w:rsid w:val="00336C6A"/>
    <w:rsid w:val="00337594"/>
    <w:rsid w:val="00341D5B"/>
    <w:rsid w:val="00342427"/>
    <w:rsid w:val="0034296C"/>
    <w:rsid w:val="0034468E"/>
    <w:rsid w:val="00344D76"/>
    <w:rsid w:val="00344D93"/>
    <w:rsid w:val="003458C8"/>
    <w:rsid w:val="00345A44"/>
    <w:rsid w:val="00351E63"/>
    <w:rsid w:val="0035237D"/>
    <w:rsid w:val="00355353"/>
    <w:rsid w:val="00355889"/>
    <w:rsid w:val="0035F0D6"/>
    <w:rsid w:val="00362443"/>
    <w:rsid w:val="0036364C"/>
    <w:rsid w:val="00363ED7"/>
    <w:rsid w:val="00365DFA"/>
    <w:rsid w:val="0036600B"/>
    <w:rsid w:val="00366308"/>
    <w:rsid w:val="00366531"/>
    <w:rsid w:val="003672A6"/>
    <w:rsid w:val="00373387"/>
    <w:rsid w:val="00374BBF"/>
    <w:rsid w:val="0037691E"/>
    <w:rsid w:val="003805BC"/>
    <w:rsid w:val="00382410"/>
    <w:rsid w:val="0038529D"/>
    <w:rsid w:val="00385653"/>
    <w:rsid w:val="003871E6"/>
    <w:rsid w:val="00390F56"/>
    <w:rsid w:val="00391353"/>
    <w:rsid w:val="00391BB7"/>
    <w:rsid w:val="00395A6C"/>
    <w:rsid w:val="00396ACD"/>
    <w:rsid w:val="00397326"/>
    <w:rsid w:val="00397B84"/>
    <w:rsid w:val="003A11B8"/>
    <w:rsid w:val="003A1302"/>
    <w:rsid w:val="003A2F6F"/>
    <w:rsid w:val="003A3934"/>
    <w:rsid w:val="003B1328"/>
    <w:rsid w:val="003B16CA"/>
    <w:rsid w:val="003B25B3"/>
    <w:rsid w:val="003B3604"/>
    <w:rsid w:val="003B40C8"/>
    <w:rsid w:val="003B4C73"/>
    <w:rsid w:val="003B4E12"/>
    <w:rsid w:val="003B5CE8"/>
    <w:rsid w:val="003B5F0F"/>
    <w:rsid w:val="003B6752"/>
    <w:rsid w:val="003B7E42"/>
    <w:rsid w:val="003C04C4"/>
    <w:rsid w:val="003C25EB"/>
    <w:rsid w:val="003C2D8A"/>
    <w:rsid w:val="003C499E"/>
    <w:rsid w:val="003C59F5"/>
    <w:rsid w:val="003C6055"/>
    <w:rsid w:val="003C6229"/>
    <w:rsid w:val="003C6899"/>
    <w:rsid w:val="003C6B98"/>
    <w:rsid w:val="003D2D50"/>
    <w:rsid w:val="003D2E3D"/>
    <w:rsid w:val="003D4AC4"/>
    <w:rsid w:val="003D5D64"/>
    <w:rsid w:val="003D6953"/>
    <w:rsid w:val="003E2BC7"/>
    <w:rsid w:val="003E6C30"/>
    <w:rsid w:val="003E7335"/>
    <w:rsid w:val="003E77C4"/>
    <w:rsid w:val="003F0F53"/>
    <w:rsid w:val="003F41A0"/>
    <w:rsid w:val="003F44C4"/>
    <w:rsid w:val="003F55C4"/>
    <w:rsid w:val="003F5914"/>
    <w:rsid w:val="003F6E9A"/>
    <w:rsid w:val="003F7149"/>
    <w:rsid w:val="003F7BA0"/>
    <w:rsid w:val="0040287F"/>
    <w:rsid w:val="00404841"/>
    <w:rsid w:val="0040494B"/>
    <w:rsid w:val="00410382"/>
    <w:rsid w:val="004117DA"/>
    <w:rsid w:val="00411CCA"/>
    <w:rsid w:val="00414163"/>
    <w:rsid w:val="00415149"/>
    <w:rsid w:val="00416A89"/>
    <w:rsid w:val="004217A1"/>
    <w:rsid w:val="00421DE9"/>
    <w:rsid w:val="00422BE6"/>
    <w:rsid w:val="004231A1"/>
    <w:rsid w:val="00423A50"/>
    <w:rsid w:val="004248F6"/>
    <w:rsid w:val="00425CE0"/>
    <w:rsid w:val="00427929"/>
    <w:rsid w:val="00430C1F"/>
    <w:rsid w:val="00431799"/>
    <w:rsid w:val="00431DF0"/>
    <w:rsid w:val="004344C5"/>
    <w:rsid w:val="004348BE"/>
    <w:rsid w:val="00437AA5"/>
    <w:rsid w:val="00437D4B"/>
    <w:rsid w:val="0044089F"/>
    <w:rsid w:val="00440D84"/>
    <w:rsid w:val="00442858"/>
    <w:rsid w:val="00442871"/>
    <w:rsid w:val="00442A42"/>
    <w:rsid w:val="00442E20"/>
    <w:rsid w:val="004434BB"/>
    <w:rsid w:val="00443BE1"/>
    <w:rsid w:val="00444CCA"/>
    <w:rsid w:val="00444CCB"/>
    <w:rsid w:val="00447A6C"/>
    <w:rsid w:val="0045090C"/>
    <w:rsid w:val="00450CDB"/>
    <w:rsid w:val="00453172"/>
    <w:rsid w:val="0045561B"/>
    <w:rsid w:val="004558F1"/>
    <w:rsid w:val="00456C19"/>
    <w:rsid w:val="00460B51"/>
    <w:rsid w:val="00461F87"/>
    <w:rsid w:val="004656EA"/>
    <w:rsid w:val="00465C32"/>
    <w:rsid w:val="00466D35"/>
    <w:rsid w:val="00466DCF"/>
    <w:rsid w:val="004711A2"/>
    <w:rsid w:val="00471AA8"/>
    <w:rsid w:val="00471D5A"/>
    <w:rsid w:val="004727DE"/>
    <w:rsid w:val="0047462B"/>
    <w:rsid w:val="004750A8"/>
    <w:rsid w:val="0047564F"/>
    <w:rsid w:val="0048031A"/>
    <w:rsid w:val="00480E3F"/>
    <w:rsid w:val="00482EDF"/>
    <w:rsid w:val="00484CEF"/>
    <w:rsid w:val="00484E5E"/>
    <w:rsid w:val="00486B54"/>
    <w:rsid w:val="0048731A"/>
    <w:rsid w:val="004876E4"/>
    <w:rsid w:val="004908C7"/>
    <w:rsid w:val="004913BB"/>
    <w:rsid w:val="00492396"/>
    <w:rsid w:val="00492956"/>
    <w:rsid w:val="00492BAB"/>
    <w:rsid w:val="00495DEB"/>
    <w:rsid w:val="00495EC6"/>
    <w:rsid w:val="00495ECB"/>
    <w:rsid w:val="004A36B0"/>
    <w:rsid w:val="004A7BFB"/>
    <w:rsid w:val="004ADA65"/>
    <w:rsid w:val="004B1E14"/>
    <w:rsid w:val="004B3394"/>
    <w:rsid w:val="004B3442"/>
    <w:rsid w:val="004B4853"/>
    <w:rsid w:val="004B5ED5"/>
    <w:rsid w:val="004B70F0"/>
    <w:rsid w:val="004C00D7"/>
    <w:rsid w:val="004C05FF"/>
    <w:rsid w:val="004C18B6"/>
    <w:rsid w:val="004C3924"/>
    <w:rsid w:val="004C43F9"/>
    <w:rsid w:val="004D0BAB"/>
    <w:rsid w:val="004D25B2"/>
    <w:rsid w:val="004D28E5"/>
    <w:rsid w:val="004D53F5"/>
    <w:rsid w:val="004D58A5"/>
    <w:rsid w:val="004D7038"/>
    <w:rsid w:val="004D72A8"/>
    <w:rsid w:val="004E0E89"/>
    <w:rsid w:val="004E19DA"/>
    <w:rsid w:val="004E19F9"/>
    <w:rsid w:val="004E1B54"/>
    <w:rsid w:val="004E34A0"/>
    <w:rsid w:val="004E559E"/>
    <w:rsid w:val="004F1480"/>
    <w:rsid w:val="004F4F92"/>
    <w:rsid w:val="004F5719"/>
    <w:rsid w:val="004F580E"/>
    <w:rsid w:val="004F58A1"/>
    <w:rsid w:val="004F68B0"/>
    <w:rsid w:val="004F761D"/>
    <w:rsid w:val="005016F9"/>
    <w:rsid w:val="00501A2A"/>
    <w:rsid w:val="00502EF2"/>
    <w:rsid w:val="00507DDB"/>
    <w:rsid w:val="005118F8"/>
    <w:rsid w:val="00511F24"/>
    <w:rsid w:val="005131C7"/>
    <w:rsid w:val="00514B8C"/>
    <w:rsid w:val="005164E4"/>
    <w:rsid w:val="00517205"/>
    <w:rsid w:val="0051783C"/>
    <w:rsid w:val="00523662"/>
    <w:rsid w:val="00524040"/>
    <w:rsid w:val="00525D74"/>
    <w:rsid w:val="00530F4E"/>
    <w:rsid w:val="00531417"/>
    <w:rsid w:val="00534B89"/>
    <w:rsid w:val="005350A4"/>
    <w:rsid w:val="005352DC"/>
    <w:rsid w:val="0053751B"/>
    <w:rsid w:val="00537C44"/>
    <w:rsid w:val="005400DE"/>
    <w:rsid w:val="00540654"/>
    <w:rsid w:val="005410E4"/>
    <w:rsid w:val="00542487"/>
    <w:rsid w:val="00542536"/>
    <w:rsid w:val="00542F05"/>
    <w:rsid w:val="005445F2"/>
    <w:rsid w:val="0054531C"/>
    <w:rsid w:val="0054700A"/>
    <w:rsid w:val="00547D5E"/>
    <w:rsid w:val="005503A9"/>
    <w:rsid w:val="00550670"/>
    <w:rsid w:val="00551A7E"/>
    <w:rsid w:val="00553E65"/>
    <w:rsid w:val="005542B1"/>
    <w:rsid w:val="00556211"/>
    <w:rsid w:val="00556E5C"/>
    <w:rsid w:val="005578E6"/>
    <w:rsid w:val="0056014D"/>
    <w:rsid w:val="0056043E"/>
    <w:rsid w:val="00563117"/>
    <w:rsid w:val="00563198"/>
    <w:rsid w:val="00564C6D"/>
    <w:rsid w:val="00566C42"/>
    <w:rsid w:val="0056769A"/>
    <w:rsid w:val="00567815"/>
    <w:rsid w:val="00570A39"/>
    <w:rsid w:val="0057222A"/>
    <w:rsid w:val="0057407D"/>
    <w:rsid w:val="00574BB4"/>
    <w:rsid w:val="00577888"/>
    <w:rsid w:val="00580846"/>
    <w:rsid w:val="005820E3"/>
    <w:rsid w:val="00582810"/>
    <w:rsid w:val="005856DA"/>
    <w:rsid w:val="00586FE4"/>
    <w:rsid w:val="0058780D"/>
    <w:rsid w:val="00590D97"/>
    <w:rsid w:val="00592FBE"/>
    <w:rsid w:val="00593C26"/>
    <w:rsid w:val="00595540"/>
    <w:rsid w:val="0059578D"/>
    <w:rsid w:val="005957DE"/>
    <w:rsid w:val="005961F9"/>
    <w:rsid w:val="005A0A4E"/>
    <w:rsid w:val="005A1A8E"/>
    <w:rsid w:val="005A1BF8"/>
    <w:rsid w:val="005A1C71"/>
    <w:rsid w:val="005A3663"/>
    <w:rsid w:val="005A37B6"/>
    <w:rsid w:val="005A45B7"/>
    <w:rsid w:val="005A5570"/>
    <w:rsid w:val="005A7C0C"/>
    <w:rsid w:val="005B1A9F"/>
    <w:rsid w:val="005B4EBD"/>
    <w:rsid w:val="005B5FA6"/>
    <w:rsid w:val="005C25FE"/>
    <w:rsid w:val="005C6408"/>
    <w:rsid w:val="005C6716"/>
    <w:rsid w:val="005C6AD2"/>
    <w:rsid w:val="005C7810"/>
    <w:rsid w:val="005D27F4"/>
    <w:rsid w:val="005D2F45"/>
    <w:rsid w:val="005D36AF"/>
    <w:rsid w:val="005D5D58"/>
    <w:rsid w:val="005D7AE0"/>
    <w:rsid w:val="005D7FF7"/>
    <w:rsid w:val="005E424C"/>
    <w:rsid w:val="005E6155"/>
    <w:rsid w:val="005E68CD"/>
    <w:rsid w:val="005E6971"/>
    <w:rsid w:val="005E731E"/>
    <w:rsid w:val="005F2FC4"/>
    <w:rsid w:val="005F2FE7"/>
    <w:rsid w:val="005F788B"/>
    <w:rsid w:val="0060067F"/>
    <w:rsid w:val="00600B2C"/>
    <w:rsid w:val="00601974"/>
    <w:rsid w:val="00601D1B"/>
    <w:rsid w:val="006033F0"/>
    <w:rsid w:val="00605870"/>
    <w:rsid w:val="00606057"/>
    <w:rsid w:val="00607004"/>
    <w:rsid w:val="006075B0"/>
    <w:rsid w:val="00616058"/>
    <w:rsid w:val="00616BA2"/>
    <w:rsid w:val="00620E03"/>
    <w:rsid w:val="00620EB9"/>
    <w:rsid w:val="006214B4"/>
    <w:rsid w:val="00626273"/>
    <w:rsid w:val="00626C86"/>
    <w:rsid w:val="006318A7"/>
    <w:rsid w:val="00631E92"/>
    <w:rsid w:val="006327BA"/>
    <w:rsid w:val="0063406B"/>
    <w:rsid w:val="00636947"/>
    <w:rsid w:val="00645543"/>
    <w:rsid w:val="00652796"/>
    <w:rsid w:val="006546A6"/>
    <w:rsid w:val="00655063"/>
    <w:rsid w:val="00656C96"/>
    <w:rsid w:val="00657317"/>
    <w:rsid w:val="00657B6B"/>
    <w:rsid w:val="0066015F"/>
    <w:rsid w:val="006609C6"/>
    <w:rsid w:val="00660DC7"/>
    <w:rsid w:val="00661C37"/>
    <w:rsid w:val="0066305E"/>
    <w:rsid w:val="006648CB"/>
    <w:rsid w:val="00664C94"/>
    <w:rsid w:val="006654AB"/>
    <w:rsid w:val="006668B0"/>
    <w:rsid w:val="0066766A"/>
    <w:rsid w:val="00670780"/>
    <w:rsid w:val="0067191E"/>
    <w:rsid w:val="006730E1"/>
    <w:rsid w:val="006744A7"/>
    <w:rsid w:val="0067502C"/>
    <w:rsid w:val="00675C17"/>
    <w:rsid w:val="006764C4"/>
    <w:rsid w:val="00677428"/>
    <w:rsid w:val="00677D27"/>
    <w:rsid w:val="00681CF3"/>
    <w:rsid w:val="006825F1"/>
    <w:rsid w:val="006870D3"/>
    <w:rsid w:val="00687937"/>
    <w:rsid w:val="006903D3"/>
    <w:rsid w:val="00690A6B"/>
    <w:rsid w:val="00692A3C"/>
    <w:rsid w:val="00693A76"/>
    <w:rsid w:val="006947BE"/>
    <w:rsid w:val="006957F9"/>
    <w:rsid w:val="00695A57"/>
    <w:rsid w:val="00695C62"/>
    <w:rsid w:val="00696675"/>
    <w:rsid w:val="00696D3F"/>
    <w:rsid w:val="00697067"/>
    <w:rsid w:val="00697C0E"/>
    <w:rsid w:val="0069DA46"/>
    <w:rsid w:val="006A25D5"/>
    <w:rsid w:val="006A2AFF"/>
    <w:rsid w:val="006A2B59"/>
    <w:rsid w:val="006A4B7A"/>
    <w:rsid w:val="006A5096"/>
    <w:rsid w:val="006A57EB"/>
    <w:rsid w:val="006B12EF"/>
    <w:rsid w:val="006B1DB1"/>
    <w:rsid w:val="006B1DBE"/>
    <w:rsid w:val="006B3862"/>
    <w:rsid w:val="006B4200"/>
    <w:rsid w:val="006B4C6A"/>
    <w:rsid w:val="006B5CAD"/>
    <w:rsid w:val="006B5EF0"/>
    <w:rsid w:val="006B60AD"/>
    <w:rsid w:val="006B7908"/>
    <w:rsid w:val="006C25A9"/>
    <w:rsid w:val="006C2F08"/>
    <w:rsid w:val="006C3A2F"/>
    <w:rsid w:val="006C3BDA"/>
    <w:rsid w:val="006C3CB9"/>
    <w:rsid w:val="006C3E6D"/>
    <w:rsid w:val="006C5799"/>
    <w:rsid w:val="006D1099"/>
    <w:rsid w:val="006D18D0"/>
    <w:rsid w:val="006D247C"/>
    <w:rsid w:val="006D35FF"/>
    <w:rsid w:val="006D3A31"/>
    <w:rsid w:val="006D7529"/>
    <w:rsid w:val="006D7745"/>
    <w:rsid w:val="006E17BE"/>
    <w:rsid w:val="006E333D"/>
    <w:rsid w:val="006E36F2"/>
    <w:rsid w:val="006E5984"/>
    <w:rsid w:val="006E703A"/>
    <w:rsid w:val="006F032B"/>
    <w:rsid w:val="006F1E2B"/>
    <w:rsid w:val="006F1EA4"/>
    <w:rsid w:val="006F2F06"/>
    <w:rsid w:val="006F37DD"/>
    <w:rsid w:val="006F399D"/>
    <w:rsid w:val="006F750C"/>
    <w:rsid w:val="006F7EFE"/>
    <w:rsid w:val="0070197D"/>
    <w:rsid w:val="00701E4D"/>
    <w:rsid w:val="00702CBB"/>
    <w:rsid w:val="00710304"/>
    <w:rsid w:val="00711CDE"/>
    <w:rsid w:val="00711F69"/>
    <w:rsid w:val="0071227A"/>
    <w:rsid w:val="007123A1"/>
    <w:rsid w:val="007141CA"/>
    <w:rsid w:val="007170DF"/>
    <w:rsid w:val="007176A9"/>
    <w:rsid w:val="007179C4"/>
    <w:rsid w:val="00720902"/>
    <w:rsid w:val="00720CE7"/>
    <w:rsid w:val="00721CBB"/>
    <w:rsid w:val="0072330D"/>
    <w:rsid w:val="00723AE4"/>
    <w:rsid w:val="00724806"/>
    <w:rsid w:val="007250E3"/>
    <w:rsid w:val="00726B25"/>
    <w:rsid w:val="0072749E"/>
    <w:rsid w:val="007279AD"/>
    <w:rsid w:val="00732331"/>
    <w:rsid w:val="0073286D"/>
    <w:rsid w:val="00734472"/>
    <w:rsid w:val="00734F37"/>
    <w:rsid w:val="007372B1"/>
    <w:rsid w:val="007378EE"/>
    <w:rsid w:val="00737E29"/>
    <w:rsid w:val="007400F7"/>
    <w:rsid w:val="007407AB"/>
    <w:rsid w:val="00741198"/>
    <w:rsid w:val="0074457E"/>
    <w:rsid w:val="00745067"/>
    <w:rsid w:val="007462D6"/>
    <w:rsid w:val="0075091B"/>
    <w:rsid w:val="007515E7"/>
    <w:rsid w:val="007517DB"/>
    <w:rsid w:val="0075221F"/>
    <w:rsid w:val="00752231"/>
    <w:rsid w:val="007522DF"/>
    <w:rsid w:val="00752A58"/>
    <w:rsid w:val="00753045"/>
    <w:rsid w:val="00753635"/>
    <w:rsid w:val="0075368F"/>
    <w:rsid w:val="00755888"/>
    <w:rsid w:val="0075626A"/>
    <w:rsid w:val="00756BD5"/>
    <w:rsid w:val="0076125E"/>
    <w:rsid w:val="00763882"/>
    <w:rsid w:val="007648FD"/>
    <w:rsid w:val="00764B36"/>
    <w:rsid w:val="007656A1"/>
    <w:rsid w:val="007658FB"/>
    <w:rsid w:val="00767893"/>
    <w:rsid w:val="00770525"/>
    <w:rsid w:val="00770C91"/>
    <w:rsid w:val="00770E55"/>
    <w:rsid w:val="007714F8"/>
    <w:rsid w:val="007721A4"/>
    <w:rsid w:val="00774DCB"/>
    <w:rsid w:val="00775892"/>
    <w:rsid w:val="00775B91"/>
    <w:rsid w:val="007800C8"/>
    <w:rsid w:val="0078108E"/>
    <w:rsid w:val="00781646"/>
    <w:rsid w:val="00781E28"/>
    <w:rsid w:val="00781ED8"/>
    <w:rsid w:val="00783336"/>
    <w:rsid w:val="00783B7E"/>
    <w:rsid w:val="00785396"/>
    <w:rsid w:val="00785DCD"/>
    <w:rsid w:val="00787692"/>
    <w:rsid w:val="0079083E"/>
    <w:rsid w:val="0079155A"/>
    <w:rsid w:val="0079286F"/>
    <w:rsid w:val="007932B6"/>
    <w:rsid w:val="00793399"/>
    <w:rsid w:val="00793D7F"/>
    <w:rsid w:val="00793FDF"/>
    <w:rsid w:val="00794F5F"/>
    <w:rsid w:val="00796E48"/>
    <w:rsid w:val="007972E7"/>
    <w:rsid w:val="0079736A"/>
    <w:rsid w:val="007A0411"/>
    <w:rsid w:val="007A141C"/>
    <w:rsid w:val="007A2B5B"/>
    <w:rsid w:val="007A4480"/>
    <w:rsid w:val="007A5925"/>
    <w:rsid w:val="007B0413"/>
    <w:rsid w:val="007B37E4"/>
    <w:rsid w:val="007C1348"/>
    <w:rsid w:val="007C1CC9"/>
    <w:rsid w:val="007C2224"/>
    <w:rsid w:val="007C2D6B"/>
    <w:rsid w:val="007C376A"/>
    <w:rsid w:val="007C4A4C"/>
    <w:rsid w:val="007C4D83"/>
    <w:rsid w:val="007D0861"/>
    <w:rsid w:val="007D1C69"/>
    <w:rsid w:val="007D7E0B"/>
    <w:rsid w:val="007E010B"/>
    <w:rsid w:val="007E1EBA"/>
    <w:rsid w:val="007E4734"/>
    <w:rsid w:val="007E4AEB"/>
    <w:rsid w:val="007E4F9C"/>
    <w:rsid w:val="007E5248"/>
    <w:rsid w:val="007E6E79"/>
    <w:rsid w:val="007E7FEF"/>
    <w:rsid w:val="007F0BE3"/>
    <w:rsid w:val="007F0D42"/>
    <w:rsid w:val="007F35A1"/>
    <w:rsid w:val="007F42D0"/>
    <w:rsid w:val="007F4D86"/>
    <w:rsid w:val="007F5441"/>
    <w:rsid w:val="008001F0"/>
    <w:rsid w:val="008011B9"/>
    <w:rsid w:val="00801A2D"/>
    <w:rsid w:val="0080261D"/>
    <w:rsid w:val="00802FC2"/>
    <w:rsid w:val="008033DD"/>
    <w:rsid w:val="0080398E"/>
    <w:rsid w:val="00803EFA"/>
    <w:rsid w:val="00805FF6"/>
    <w:rsid w:val="00806029"/>
    <w:rsid w:val="0080616C"/>
    <w:rsid w:val="008134DA"/>
    <w:rsid w:val="0081387B"/>
    <w:rsid w:val="008161CB"/>
    <w:rsid w:val="00816BCC"/>
    <w:rsid w:val="008207C8"/>
    <w:rsid w:val="00820BBA"/>
    <w:rsid w:val="008214F5"/>
    <w:rsid w:val="008218DD"/>
    <w:rsid w:val="0082292B"/>
    <w:rsid w:val="008236F4"/>
    <w:rsid w:val="0082416F"/>
    <w:rsid w:val="0082671F"/>
    <w:rsid w:val="00826B0B"/>
    <w:rsid w:val="0083165C"/>
    <w:rsid w:val="00831ADE"/>
    <w:rsid w:val="00833C41"/>
    <w:rsid w:val="00834228"/>
    <w:rsid w:val="00836D3C"/>
    <w:rsid w:val="00837C53"/>
    <w:rsid w:val="00840A0E"/>
    <w:rsid w:val="00841AA0"/>
    <w:rsid w:val="008424DA"/>
    <w:rsid w:val="00842DF9"/>
    <w:rsid w:val="008441BE"/>
    <w:rsid w:val="008469C2"/>
    <w:rsid w:val="00851649"/>
    <w:rsid w:val="00854898"/>
    <w:rsid w:val="008548CA"/>
    <w:rsid w:val="008572E0"/>
    <w:rsid w:val="00857B9B"/>
    <w:rsid w:val="008610CC"/>
    <w:rsid w:val="008626AF"/>
    <w:rsid w:val="00863B65"/>
    <w:rsid w:val="00864E61"/>
    <w:rsid w:val="00866721"/>
    <w:rsid w:val="00866CF2"/>
    <w:rsid w:val="0086703C"/>
    <w:rsid w:val="00871072"/>
    <w:rsid w:val="0087127D"/>
    <w:rsid w:val="00871B6E"/>
    <w:rsid w:val="008728EA"/>
    <w:rsid w:val="00872AF7"/>
    <w:rsid w:val="00873779"/>
    <w:rsid w:val="00873D5E"/>
    <w:rsid w:val="008747C8"/>
    <w:rsid w:val="00876B95"/>
    <w:rsid w:val="00877C41"/>
    <w:rsid w:val="00890DFA"/>
    <w:rsid w:val="00892563"/>
    <w:rsid w:val="00892570"/>
    <w:rsid w:val="008938F2"/>
    <w:rsid w:val="008954E2"/>
    <w:rsid w:val="00896321"/>
    <w:rsid w:val="0089795C"/>
    <w:rsid w:val="008A1FB1"/>
    <w:rsid w:val="008A2C1C"/>
    <w:rsid w:val="008A35B3"/>
    <w:rsid w:val="008A5D8A"/>
    <w:rsid w:val="008B0956"/>
    <w:rsid w:val="008B3931"/>
    <w:rsid w:val="008B44F4"/>
    <w:rsid w:val="008B4F74"/>
    <w:rsid w:val="008B5EDD"/>
    <w:rsid w:val="008B7A6C"/>
    <w:rsid w:val="008C0759"/>
    <w:rsid w:val="008C0BFA"/>
    <w:rsid w:val="008C2383"/>
    <w:rsid w:val="008C3672"/>
    <w:rsid w:val="008C5669"/>
    <w:rsid w:val="008C7B2A"/>
    <w:rsid w:val="008D40A8"/>
    <w:rsid w:val="008D4A9F"/>
    <w:rsid w:val="008D5374"/>
    <w:rsid w:val="008D73D7"/>
    <w:rsid w:val="008D7D99"/>
    <w:rsid w:val="008E1E56"/>
    <w:rsid w:val="008E1FFE"/>
    <w:rsid w:val="008E2359"/>
    <w:rsid w:val="008E2499"/>
    <w:rsid w:val="008E262C"/>
    <w:rsid w:val="008E2694"/>
    <w:rsid w:val="008F1ABC"/>
    <w:rsid w:val="008F4B99"/>
    <w:rsid w:val="008F6686"/>
    <w:rsid w:val="008F6959"/>
    <w:rsid w:val="008F6BB0"/>
    <w:rsid w:val="008F79B0"/>
    <w:rsid w:val="008F7A5E"/>
    <w:rsid w:val="0090063E"/>
    <w:rsid w:val="00900FDE"/>
    <w:rsid w:val="00902612"/>
    <w:rsid w:val="009042C1"/>
    <w:rsid w:val="00904C5E"/>
    <w:rsid w:val="00906AC9"/>
    <w:rsid w:val="009125A5"/>
    <w:rsid w:val="00915678"/>
    <w:rsid w:val="00916570"/>
    <w:rsid w:val="00920D88"/>
    <w:rsid w:val="009229C2"/>
    <w:rsid w:val="00924432"/>
    <w:rsid w:val="00924B33"/>
    <w:rsid w:val="00924D36"/>
    <w:rsid w:val="00925EF9"/>
    <w:rsid w:val="009315EA"/>
    <w:rsid w:val="00931856"/>
    <w:rsid w:val="00932CBD"/>
    <w:rsid w:val="00935382"/>
    <w:rsid w:val="009354AA"/>
    <w:rsid w:val="009359AD"/>
    <w:rsid w:val="00935D0F"/>
    <w:rsid w:val="00940731"/>
    <w:rsid w:val="00942073"/>
    <w:rsid w:val="00943182"/>
    <w:rsid w:val="0094460D"/>
    <w:rsid w:val="00947102"/>
    <w:rsid w:val="009476D5"/>
    <w:rsid w:val="0094780D"/>
    <w:rsid w:val="00950DA3"/>
    <w:rsid w:val="00955032"/>
    <w:rsid w:val="009609A7"/>
    <w:rsid w:val="009616B2"/>
    <w:rsid w:val="00963050"/>
    <w:rsid w:val="009633EF"/>
    <w:rsid w:val="009645B0"/>
    <w:rsid w:val="00965494"/>
    <w:rsid w:val="00966944"/>
    <w:rsid w:val="00967DA0"/>
    <w:rsid w:val="00967DB4"/>
    <w:rsid w:val="00971CEF"/>
    <w:rsid w:val="009724D7"/>
    <w:rsid w:val="009758EB"/>
    <w:rsid w:val="00976EFF"/>
    <w:rsid w:val="00982D75"/>
    <w:rsid w:val="00982E94"/>
    <w:rsid w:val="00983271"/>
    <w:rsid w:val="00984825"/>
    <w:rsid w:val="00984C73"/>
    <w:rsid w:val="00984D24"/>
    <w:rsid w:val="00985605"/>
    <w:rsid w:val="0098592E"/>
    <w:rsid w:val="009862B0"/>
    <w:rsid w:val="00987E21"/>
    <w:rsid w:val="00990B32"/>
    <w:rsid w:val="00990C06"/>
    <w:rsid w:val="009918D6"/>
    <w:rsid w:val="00991E04"/>
    <w:rsid w:val="0099387C"/>
    <w:rsid w:val="00993904"/>
    <w:rsid w:val="009957C5"/>
    <w:rsid w:val="00995C4A"/>
    <w:rsid w:val="00995DAE"/>
    <w:rsid w:val="00996496"/>
    <w:rsid w:val="00997F93"/>
    <w:rsid w:val="009A2940"/>
    <w:rsid w:val="009A3F2A"/>
    <w:rsid w:val="009A4135"/>
    <w:rsid w:val="009A5707"/>
    <w:rsid w:val="009B03DF"/>
    <w:rsid w:val="009B0C92"/>
    <w:rsid w:val="009B1380"/>
    <w:rsid w:val="009B2B93"/>
    <w:rsid w:val="009B5D72"/>
    <w:rsid w:val="009C047A"/>
    <w:rsid w:val="009C371F"/>
    <w:rsid w:val="009C3E12"/>
    <w:rsid w:val="009C5718"/>
    <w:rsid w:val="009C5947"/>
    <w:rsid w:val="009C5F07"/>
    <w:rsid w:val="009C7738"/>
    <w:rsid w:val="009D06F9"/>
    <w:rsid w:val="009D32C4"/>
    <w:rsid w:val="009D396A"/>
    <w:rsid w:val="009D5906"/>
    <w:rsid w:val="009D7B71"/>
    <w:rsid w:val="009E0F49"/>
    <w:rsid w:val="009E29B8"/>
    <w:rsid w:val="009E3D17"/>
    <w:rsid w:val="009F107B"/>
    <w:rsid w:val="009F1089"/>
    <w:rsid w:val="009F3715"/>
    <w:rsid w:val="009F5A39"/>
    <w:rsid w:val="009F7259"/>
    <w:rsid w:val="009F781B"/>
    <w:rsid w:val="009F7F1F"/>
    <w:rsid w:val="00A03568"/>
    <w:rsid w:val="00A03DC9"/>
    <w:rsid w:val="00A04ED6"/>
    <w:rsid w:val="00A079DE"/>
    <w:rsid w:val="00A07ADB"/>
    <w:rsid w:val="00A1101A"/>
    <w:rsid w:val="00A11881"/>
    <w:rsid w:val="00A13F6C"/>
    <w:rsid w:val="00A14442"/>
    <w:rsid w:val="00A149CD"/>
    <w:rsid w:val="00A14E84"/>
    <w:rsid w:val="00A154A9"/>
    <w:rsid w:val="00A16311"/>
    <w:rsid w:val="00A17335"/>
    <w:rsid w:val="00A178D2"/>
    <w:rsid w:val="00A22AC5"/>
    <w:rsid w:val="00A23246"/>
    <w:rsid w:val="00A252AD"/>
    <w:rsid w:val="00A25E21"/>
    <w:rsid w:val="00A26D86"/>
    <w:rsid w:val="00A27569"/>
    <w:rsid w:val="00A339D4"/>
    <w:rsid w:val="00A376ED"/>
    <w:rsid w:val="00A40071"/>
    <w:rsid w:val="00A410F7"/>
    <w:rsid w:val="00A42135"/>
    <w:rsid w:val="00A439CB"/>
    <w:rsid w:val="00A4479A"/>
    <w:rsid w:val="00A45577"/>
    <w:rsid w:val="00A4584A"/>
    <w:rsid w:val="00A46EF8"/>
    <w:rsid w:val="00A522AD"/>
    <w:rsid w:val="00A52C2C"/>
    <w:rsid w:val="00A565C7"/>
    <w:rsid w:val="00A56E61"/>
    <w:rsid w:val="00A56EB7"/>
    <w:rsid w:val="00A60876"/>
    <w:rsid w:val="00A63E0A"/>
    <w:rsid w:val="00A642A4"/>
    <w:rsid w:val="00A6575C"/>
    <w:rsid w:val="00A66D1E"/>
    <w:rsid w:val="00A70B7F"/>
    <w:rsid w:val="00A73DB6"/>
    <w:rsid w:val="00A743B7"/>
    <w:rsid w:val="00A8012F"/>
    <w:rsid w:val="00A819FC"/>
    <w:rsid w:val="00A82D9E"/>
    <w:rsid w:val="00A8645C"/>
    <w:rsid w:val="00A87719"/>
    <w:rsid w:val="00A91983"/>
    <w:rsid w:val="00A93A1C"/>
    <w:rsid w:val="00A95130"/>
    <w:rsid w:val="00A95F25"/>
    <w:rsid w:val="00AA012C"/>
    <w:rsid w:val="00AA196F"/>
    <w:rsid w:val="00AA1F5C"/>
    <w:rsid w:val="00AA3F6B"/>
    <w:rsid w:val="00AA4BA3"/>
    <w:rsid w:val="00AA63C1"/>
    <w:rsid w:val="00AB015C"/>
    <w:rsid w:val="00AB1059"/>
    <w:rsid w:val="00AB279E"/>
    <w:rsid w:val="00AB2AD3"/>
    <w:rsid w:val="00AB300C"/>
    <w:rsid w:val="00AB300F"/>
    <w:rsid w:val="00AB3A99"/>
    <w:rsid w:val="00AB49A7"/>
    <w:rsid w:val="00AB5AF7"/>
    <w:rsid w:val="00AB627B"/>
    <w:rsid w:val="00AB6A21"/>
    <w:rsid w:val="00AB7B7C"/>
    <w:rsid w:val="00AC0281"/>
    <w:rsid w:val="00AC0946"/>
    <w:rsid w:val="00AC18C8"/>
    <w:rsid w:val="00AC3C8B"/>
    <w:rsid w:val="00AC4D7C"/>
    <w:rsid w:val="00AC7B5C"/>
    <w:rsid w:val="00AC7E4E"/>
    <w:rsid w:val="00AD080D"/>
    <w:rsid w:val="00AD162B"/>
    <w:rsid w:val="00AD39A4"/>
    <w:rsid w:val="00AD52CF"/>
    <w:rsid w:val="00AD7E6E"/>
    <w:rsid w:val="00AE407B"/>
    <w:rsid w:val="00AE6F43"/>
    <w:rsid w:val="00AE6F84"/>
    <w:rsid w:val="00AF255A"/>
    <w:rsid w:val="00AF3BD7"/>
    <w:rsid w:val="00AF67E0"/>
    <w:rsid w:val="00AF74DA"/>
    <w:rsid w:val="00AF7B26"/>
    <w:rsid w:val="00B009C4"/>
    <w:rsid w:val="00B016ED"/>
    <w:rsid w:val="00B01D05"/>
    <w:rsid w:val="00B04572"/>
    <w:rsid w:val="00B04F5E"/>
    <w:rsid w:val="00B05686"/>
    <w:rsid w:val="00B06F4D"/>
    <w:rsid w:val="00B07AE5"/>
    <w:rsid w:val="00B11342"/>
    <w:rsid w:val="00B11680"/>
    <w:rsid w:val="00B12026"/>
    <w:rsid w:val="00B1226E"/>
    <w:rsid w:val="00B1564E"/>
    <w:rsid w:val="00B202BF"/>
    <w:rsid w:val="00B20BBD"/>
    <w:rsid w:val="00B21854"/>
    <w:rsid w:val="00B23A69"/>
    <w:rsid w:val="00B2538C"/>
    <w:rsid w:val="00B3058D"/>
    <w:rsid w:val="00B314B9"/>
    <w:rsid w:val="00B323FC"/>
    <w:rsid w:val="00B33325"/>
    <w:rsid w:val="00B349DA"/>
    <w:rsid w:val="00B350FC"/>
    <w:rsid w:val="00B35A11"/>
    <w:rsid w:val="00B366A3"/>
    <w:rsid w:val="00B402A4"/>
    <w:rsid w:val="00B4333C"/>
    <w:rsid w:val="00B435CE"/>
    <w:rsid w:val="00B44839"/>
    <w:rsid w:val="00B4758C"/>
    <w:rsid w:val="00B50C5E"/>
    <w:rsid w:val="00B51212"/>
    <w:rsid w:val="00B513E1"/>
    <w:rsid w:val="00B522B3"/>
    <w:rsid w:val="00B55E72"/>
    <w:rsid w:val="00B56A11"/>
    <w:rsid w:val="00B6133A"/>
    <w:rsid w:val="00B63C14"/>
    <w:rsid w:val="00B651C6"/>
    <w:rsid w:val="00B656AF"/>
    <w:rsid w:val="00B65972"/>
    <w:rsid w:val="00B65A4C"/>
    <w:rsid w:val="00B65C36"/>
    <w:rsid w:val="00B65D7A"/>
    <w:rsid w:val="00B703F4"/>
    <w:rsid w:val="00B71C44"/>
    <w:rsid w:val="00B73BF2"/>
    <w:rsid w:val="00B744E0"/>
    <w:rsid w:val="00B74BBB"/>
    <w:rsid w:val="00B752EF"/>
    <w:rsid w:val="00B755E1"/>
    <w:rsid w:val="00B769FC"/>
    <w:rsid w:val="00B7712A"/>
    <w:rsid w:val="00B81AB8"/>
    <w:rsid w:val="00B8271B"/>
    <w:rsid w:val="00B82C01"/>
    <w:rsid w:val="00B83367"/>
    <w:rsid w:val="00B83F38"/>
    <w:rsid w:val="00B85CD4"/>
    <w:rsid w:val="00B85F52"/>
    <w:rsid w:val="00B861D4"/>
    <w:rsid w:val="00B8654C"/>
    <w:rsid w:val="00B8792A"/>
    <w:rsid w:val="00B90BEE"/>
    <w:rsid w:val="00B93667"/>
    <w:rsid w:val="00B93C45"/>
    <w:rsid w:val="00B93FF8"/>
    <w:rsid w:val="00B946AE"/>
    <w:rsid w:val="00B94E9A"/>
    <w:rsid w:val="00B95896"/>
    <w:rsid w:val="00B9606D"/>
    <w:rsid w:val="00B975B4"/>
    <w:rsid w:val="00BA5B88"/>
    <w:rsid w:val="00BA6F29"/>
    <w:rsid w:val="00BA724A"/>
    <w:rsid w:val="00BB2F7D"/>
    <w:rsid w:val="00BB6D54"/>
    <w:rsid w:val="00BB6E54"/>
    <w:rsid w:val="00BB768B"/>
    <w:rsid w:val="00BC60E0"/>
    <w:rsid w:val="00BC662A"/>
    <w:rsid w:val="00BC730E"/>
    <w:rsid w:val="00BD104A"/>
    <w:rsid w:val="00BD2CAD"/>
    <w:rsid w:val="00BD394A"/>
    <w:rsid w:val="00BD3C3C"/>
    <w:rsid w:val="00BD6555"/>
    <w:rsid w:val="00BD6AC1"/>
    <w:rsid w:val="00BE03F1"/>
    <w:rsid w:val="00BE0ECC"/>
    <w:rsid w:val="00BE13E4"/>
    <w:rsid w:val="00BE2061"/>
    <w:rsid w:val="00BE26B4"/>
    <w:rsid w:val="00BE35BB"/>
    <w:rsid w:val="00BE5EA1"/>
    <w:rsid w:val="00BE6583"/>
    <w:rsid w:val="00BF1261"/>
    <w:rsid w:val="00BF307A"/>
    <w:rsid w:val="00BF326A"/>
    <w:rsid w:val="00BF4E38"/>
    <w:rsid w:val="00BF502E"/>
    <w:rsid w:val="00BF72EE"/>
    <w:rsid w:val="00C0019A"/>
    <w:rsid w:val="00C007AD"/>
    <w:rsid w:val="00C01A2B"/>
    <w:rsid w:val="00C036CD"/>
    <w:rsid w:val="00C0421B"/>
    <w:rsid w:val="00C047D6"/>
    <w:rsid w:val="00C10B84"/>
    <w:rsid w:val="00C124F4"/>
    <w:rsid w:val="00C13D05"/>
    <w:rsid w:val="00C15231"/>
    <w:rsid w:val="00C16C53"/>
    <w:rsid w:val="00C17052"/>
    <w:rsid w:val="00C21702"/>
    <w:rsid w:val="00C24A1B"/>
    <w:rsid w:val="00C2547A"/>
    <w:rsid w:val="00C2672E"/>
    <w:rsid w:val="00C272AA"/>
    <w:rsid w:val="00C30B46"/>
    <w:rsid w:val="00C313D5"/>
    <w:rsid w:val="00C34451"/>
    <w:rsid w:val="00C350A0"/>
    <w:rsid w:val="00C3731F"/>
    <w:rsid w:val="00C37B36"/>
    <w:rsid w:val="00C403C6"/>
    <w:rsid w:val="00C41A06"/>
    <w:rsid w:val="00C4221A"/>
    <w:rsid w:val="00C43894"/>
    <w:rsid w:val="00C4511E"/>
    <w:rsid w:val="00C45BD8"/>
    <w:rsid w:val="00C47A0C"/>
    <w:rsid w:val="00C503E3"/>
    <w:rsid w:val="00C52FC7"/>
    <w:rsid w:val="00C551DC"/>
    <w:rsid w:val="00C55D0D"/>
    <w:rsid w:val="00C574E9"/>
    <w:rsid w:val="00C57E07"/>
    <w:rsid w:val="00C60354"/>
    <w:rsid w:val="00C6046C"/>
    <w:rsid w:val="00C62C34"/>
    <w:rsid w:val="00C63CA7"/>
    <w:rsid w:val="00C74B70"/>
    <w:rsid w:val="00C75D2E"/>
    <w:rsid w:val="00C77912"/>
    <w:rsid w:val="00C80226"/>
    <w:rsid w:val="00C8233A"/>
    <w:rsid w:val="00C82CDE"/>
    <w:rsid w:val="00C831C7"/>
    <w:rsid w:val="00C8329C"/>
    <w:rsid w:val="00C849D3"/>
    <w:rsid w:val="00C85010"/>
    <w:rsid w:val="00C851E9"/>
    <w:rsid w:val="00C86F19"/>
    <w:rsid w:val="00C8742A"/>
    <w:rsid w:val="00C90543"/>
    <w:rsid w:val="00C92D30"/>
    <w:rsid w:val="00C935EC"/>
    <w:rsid w:val="00C94EAB"/>
    <w:rsid w:val="00C96D58"/>
    <w:rsid w:val="00CA0B25"/>
    <w:rsid w:val="00CA2EEF"/>
    <w:rsid w:val="00CA4646"/>
    <w:rsid w:val="00CA7B71"/>
    <w:rsid w:val="00CB00EE"/>
    <w:rsid w:val="00CB035A"/>
    <w:rsid w:val="00CB0CED"/>
    <w:rsid w:val="00CB0EEA"/>
    <w:rsid w:val="00CB1279"/>
    <w:rsid w:val="00CB177B"/>
    <w:rsid w:val="00CB5C25"/>
    <w:rsid w:val="00CB70A5"/>
    <w:rsid w:val="00CC1948"/>
    <w:rsid w:val="00CC19B4"/>
    <w:rsid w:val="00CC3BB9"/>
    <w:rsid w:val="00CC7C2A"/>
    <w:rsid w:val="00CC8FE0"/>
    <w:rsid w:val="00CD169C"/>
    <w:rsid w:val="00CD5C11"/>
    <w:rsid w:val="00CD7E22"/>
    <w:rsid w:val="00CE1851"/>
    <w:rsid w:val="00CE2067"/>
    <w:rsid w:val="00CE2398"/>
    <w:rsid w:val="00CE34DC"/>
    <w:rsid w:val="00CE36D9"/>
    <w:rsid w:val="00CE58C7"/>
    <w:rsid w:val="00CE7C14"/>
    <w:rsid w:val="00CF0640"/>
    <w:rsid w:val="00CF0D97"/>
    <w:rsid w:val="00CF3D00"/>
    <w:rsid w:val="00CF46E0"/>
    <w:rsid w:val="00CF621E"/>
    <w:rsid w:val="00CF6C9B"/>
    <w:rsid w:val="00D03AF0"/>
    <w:rsid w:val="00D10102"/>
    <w:rsid w:val="00D1287E"/>
    <w:rsid w:val="00D13A77"/>
    <w:rsid w:val="00D150CC"/>
    <w:rsid w:val="00D15C2B"/>
    <w:rsid w:val="00D15C39"/>
    <w:rsid w:val="00D17448"/>
    <w:rsid w:val="00D17D47"/>
    <w:rsid w:val="00D20435"/>
    <w:rsid w:val="00D256E3"/>
    <w:rsid w:val="00D26BAF"/>
    <w:rsid w:val="00D274B1"/>
    <w:rsid w:val="00D30D31"/>
    <w:rsid w:val="00D3102E"/>
    <w:rsid w:val="00D3105D"/>
    <w:rsid w:val="00D3290C"/>
    <w:rsid w:val="00D35447"/>
    <w:rsid w:val="00D365F5"/>
    <w:rsid w:val="00D4048E"/>
    <w:rsid w:val="00D43C5B"/>
    <w:rsid w:val="00D4444B"/>
    <w:rsid w:val="00D465FE"/>
    <w:rsid w:val="00D51ADC"/>
    <w:rsid w:val="00D53FA4"/>
    <w:rsid w:val="00D56AE1"/>
    <w:rsid w:val="00D56B1C"/>
    <w:rsid w:val="00D60D0B"/>
    <w:rsid w:val="00D622E5"/>
    <w:rsid w:val="00D64ABD"/>
    <w:rsid w:val="00D7384C"/>
    <w:rsid w:val="00D74883"/>
    <w:rsid w:val="00D75444"/>
    <w:rsid w:val="00D75B02"/>
    <w:rsid w:val="00D7711C"/>
    <w:rsid w:val="00D8114A"/>
    <w:rsid w:val="00D816DB"/>
    <w:rsid w:val="00D83BFD"/>
    <w:rsid w:val="00D84A5E"/>
    <w:rsid w:val="00D86836"/>
    <w:rsid w:val="00D873B3"/>
    <w:rsid w:val="00D90A0D"/>
    <w:rsid w:val="00D90AB9"/>
    <w:rsid w:val="00D91D05"/>
    <w:rsid w:val="00D93D5D"/>
    <w:rsid w:val="00D94E81"/>
    <w:rsid w:val="00DA3506"/>
    <w:rsid w:val="00DA381E"/>
    <w:rsid w:val="00DA4312"/>
    <w:rsid w:val="00DA44E7"/>
    <w:rsid w:val="00DA53AD"/>
    <w:rsid w:val="00DA676C"/>
    <w:rsid w:val="00DADC34"/>
    <w:rsid w:val="00DB0B8E"/>
    <w:rsid w:val="00DB1C94"/>
    <w:rsid w:val="00DB2153"/>
    <w:rsid w:val="00DB2AC8"/>
    <w:rsid w:val="00DB2D40"/>
    <w:rsid w:val="00DB391F"/>
    <w:rsid w:val="00DB3ADC"/>
    <w:rsid w:val="00DB4B20"/>
    <w:rsid w:val="00DB5D7A"/>
    <w:rsid w:val="00DB62D8"/>
    <w:rsid w:val="00DB65F9"/>
    <w:rsid w:val="00DB6697"/>
    <w:rsid w:val="00DB7429"/>
    <w:rsid w:val="00DB7D6E"/>
    <w:rsid w:val="00DC06A4"/>
    <w:rsid w:val="00DC0AA5"/>
    <w:rsid w:val="00DC0BC5"/>
    <w:rsid w:val="00DD0791"/>
    <w:rsid w:val="00DD2028"/>
    <w:rsid w:val="00DD2246"/>
    <w:rsid w:val="00DD2A90"/>
    <w:rsid w:val="00DD7F85"/>
    <w:rsid w:val="00DE0B70"/>
    <w:rsid w:val="00DE6047"/>
    <w:rsid w:val="00DF0F31"/>
    <w:rsid w:val="00DF1B15"/>
    <w:rsid w:val="00DF288A"/>
    <w:rsid w:val="00DF2D5C"/>
    <w:rsid w:val="00DF3289"/>
    <w:rsid w:val="00DF5D04"/>
    <w:rsid w:val="00DF70B8"/>
    <w:rsid w:val="00E00779"/>
    <w:rsid w:val="00E0099E"/>
    <w:rsid w:val="00E00BFB"/>
    <w:rsid w:val="00E01668"/>
    <w:rsid w:val="00E02740"/>
    <w:rsid w:val="00E04357"/>
    <w:rsid w:val="00E0520A"/>
    <w:rsid w:val="00E0630D"/>
    <w:rsid w:val="00E06F6E"/>
    <w:rsid w:val="00E07235"/>
    <w:rsid w:val="00E07944"/>
    <w:rsid w:val="00E10D99"/>
    <w:rsid w:val="00E12198"/>
    <w:rsid w:val="00E12B97"/>
    <w:rsid w:val="00E13581"/>
    <w:rsid w:val="00E14951"/>
    <w:rsid w:val="00E154F8"/>
    <w:rsid w:val="00E15634"/>
    <w:rsid w:val="00E16640"/>
    <w:rsid w:val="00E17E7C"/>
    <w:rsid w:val="00E205F8"/>
    <w:rsid w:val="00E213D2"/>
    <w:rsid w:val="00E25E8A"/>
    <w:rsid w:val="00E263D8"/>
    <w:rsid w:val="00E26CBC"/>
    <w:rsid w:val="00E26E67"/>
    <w:rsid w:val="00E31250"/>
    <w:rsid w:val="00E31934"/>
    <w:rsid w:val="00E31CBF"/>
    <w:rsid w:val="00E324E4"/>
    <w:rsid w:val="00E32E3A"/>
    <w:rsid w:val="00E33C9F"/>
    <w:rsid w:val="00E34534"/>
    <w:rsid w:val="00E34958"/>
    <w:rsid w:val="00E34B5B"/>
    <w:rsid w:val="00E375C4"/>
    <w:rsid w:val="00E4050A"/>
    <w:rsid w:val="00E41138"/>
    <w:rsid w:val="00E43543"/>
    <w:rsid w:val="00E43AEC"/>
    <w:rsid w:val="00E44277"/>
    <w:rsid w:val="00E44C6F"/>
    <w:rsid w:val="00E45302"/>
    <w:rsid w:val="00E45FC9"/>
    <w:rsid w:val="00E46516"/>
    <w:rsid w:val="00E466F6"/>
    <w:rsid w:val="00E47A74"/>
    <w:rsid w:val="00E50095"/>
    <w:rsid w:val="00E5054D"/>
    <w:rsid w:val="00E53A2A"/>
    <w:rsid w:val="00E54264"/>
    <w:rsid w:val="00E54C37"/>
    <w:rsid w:val="00E55CE7"/>
    <w:rsid w:val="00E56D3B"/>
    <w:rsid w:val="00E60311"/>
    <w:rsid w:val="00E60649"/>
    <w:rsid w:val="00E62A7A"/>
    <w:rsid w:val="00E632CD"/>
    <w:rsid w:val="00E6600B"/>
    <w:rsid w:val="00E663CF"/>
    <w:rsid w:val="00E67847"/>
    <w:rsid w:val="00E71915"/>
    <w:rsid w:val="00E72F2E"/>
    <w:rsid w:val="00E7395F"/>
    <w:rsid w:val="00E73A8C"/>
    <w:rsid w:val="00E73BF2"/>
    <w:rsid w:val="00E745DE"/>
    <w:rsid w:val="00E755D2"/>
    <w:rsid w:val="00E75DAC"/>
    <w:rsid w:val="00E81ED1"/>
    <w:rsid w:val="00E823AE"/>
    <w:rsid w:val="00E827D4"/>
    <w:rsid w:val="00E856FA"/>
    <w:rsid w:val="00E86B7D"/>
    <w:rsid w:val="00E90E25"/>
    <w:rsid w:val="00E91488"/>
    <w:rsid w:val="00E936A8"/>
    <w:rsid w:val="00E94483"/>
    <w:rsid w:val="00E95B0E"/>
    <w:rsid w:val="00E95F77"/>
    <w:rsid w:val="00E979AB"/>
    <w:rsid w:val="00E97AC0"/>
    <w:rsid w:val="00E97E3B"/>
    <w:rsid w:val="00EA3879"/>
    <w:rsid w:val="00EA464C"/>
    <w:rsid w:val="00EA4846"/>
    <w:rsid w:val="00EA48B6"/>
    <w:rsid w:val="00EA49BB"/>
    <w:rsid w:val="00EA53E5"/>
    <w:rsid w:val="00EA6A13"/>
    <w:rsid w:val="00EA6C76"/>
    <w:rsid w:val="00EA7754"/>
    <w:rsid w:val="00EB0E69"/>
    <w:rsid w:val="00EB114C"/>
    <w:rsid w:val="00EB1B6E"/>
    <w:rsid w:val="00EB3124"/>
    <w:rsid w:val="00EB42CA"/>
    <w:rsid w:val="00EB58A6"/>
    <w:rsid w:val="00EC0493"/>
    <w:rsid w:val="00EC050B"/>
    <w:rsid w:val="00EC39BC"/>
    <w:rsid w:val="00EC3AF4"/>
    <w:rsid w:val="00EC5289"/>
    <w:rsid w:val="00ED32C0"/>
    <w:rsid w:val="00ED3474"/>
    <w:rsid w:val="00ED3593"/>
    <w:rsid w:val="00ED3650"/>
    <w:rsid w:val="00ED518F"/>
    <w:rsid w:val="00ED58D7"/>
    <w:rsid w:val="00ED59A0"/>
    <w:rsid w:val="00EE0FAC"/>
    <w:rsid w:val="00EE140B"/>
    <w:rsid w:val="00EE1BD9"/>
    <w:rsid w:val="00EE2183"/>
    <w:rsid w:val="00EE3E93"/>
    <w:rsid w:val="00EE6E1A"/>
    <w:rsid w:val="00EF0223"/>
    <w:rsid w:val="00EF22B1"/>
    <w:rsid w:val="00EF5308"/>
    <w:rsid w:val="00F01483"/>
    <w:rsid w:val="00F01E80"/>
    <w:rsid w:val="00F01F04"/>
    <w:rsid w:val="00F02D72"/>
    <w:rsid w:val="00F03FB2"/>
    <w:rsid w:val="00F058F7"/>
    <w:rsid w:val="00F11038"/>
    <w:rsid w:val="00F117A6"/>
    <w:rsid w:val="00F11A57"/>
    <w:rsid w:val="00F12B90"/>
    <w:rsid w:val="00F13AF1"/>
    <w:rsid w:val="00F14EBF"/>
    <w:rsid w:val="00F15453"/>
    <w:rsid w:val="00F15699"/>
    <w:rsid w:val="00F20AAA"/>
    <w:rsid w:val="00F20B20"/>
    <w:rsid w:val="00F22E87"/>
    <w:rsid w:val="00F2375E"/>
    <w:rsid w:val="00F23FF8"/>
    <w:rsid w:val="00F27A24"/>
    <w:rsid w:val="00F300CC"/>
    <w:rsid w:val="00F32710"/>
    <w:rsid w:val="00F32A25"/>
    <w:rsid w:val="00F32DCF"/>
    <w:rsid w:val="00F334A5"/>
    <w:rsid w:val="00F342A6"/>
    <w:rsid w:val="00F355EA"/>
    <w:rsid w:val="00F36C3F"/>
    <w:rsid w:val="00F37DE5"/>
    <w:rsid w:val="00F37E1B"/>
    <w:rsid w:val="00F41FF9"/>
    <w:rsid w:val="00F43564"/>
    <w:rsid w:val="00F448C5"/>
    <w:rsid w:val="00F45165"/>
    <w:rsid w:val="00F477BC"/>
    <w:rsid w:val="00F52D5E"/>
    <w:rsid w:val="00F57166"/>
    <w:rsid w:val="00F619AD"/>
    <w:rsid w:val="00F63E6D"/>
    <w:rsid w:val="00F71DDB"/>
    <w:rsid w:val="00F72886"/>
    <w:rsid w:val="00F73182"/>
    <w:rsid w:val="00F73770"/>
    <w:rsid w:val="00F75CB6"/>
    <w:rsid w:val="00F77359"/>
    <w:rsid w:val="00F774D8"/>
    <w:rsid w:val="00F77638"/>
    <w:rsid w:val="00F846DE"/>
    <w:rsid w:val="00F84C0E"/>
    <w:rsid w:val="00F86F62"/>
    <w:rsid w:val="00F87A3F"/>
    <w:rsid w:val="00F90288"/>
    <w:rsid w:val="00F917D5"/>
    <w:rsid w:val="00F91A8E"/>
    <w:rsid w:val="00F9287E"/>
    <w:rsid w:val="00F94D6D"/>
    <w:rsid w:val="00F9537C"/>
    <w:rsid w:val="00F9614C"/>
    <w:rsid w:val="00F96165"/>
    <w:rsid w:val="00FA06CD"/>
    <w:rsid w:val="00FA0808"/>
    <w:rsid w:val="00FA1954"/>
    <w:rsid w:val="00FA2B84"/>
    <w:rsid w:val="00FA3F26"/>
    <w:rsid w:val="00FA5ECF"/>
    <w:rsid w:val="00FA7A62"/>
    <w:rsid w:val="00FB00DC"/>
    <w:rsid w:val="00FB04CA"/>
    <w:rsid w:val="00FB1ABE"/>
    <w:rsid w:val="00FB2149"/>
    <w:rsid w:val="00FB3059"/>
    <w:rsid w:val="00FB3B2C"/>
    <w:rsid w:val="00FB4BC7"/>
    <w:rsid w:val="00FB5005"/>
    <w:rsid w:val="00FB592F"/>
    <w:rsid w:val="00FC0947"/>
    <w:rsid w:val="00FC11D9"/>
    <w:rsid w:val="00FC1DF3"/>
    <w:rsid w:val="00FC2396"/>
    <w:rsid w:val="00FC4E41"/>
    <w:rsid w:val="00FC53B4"/>
    <w:rsid w:val="00FC56B4"/>
    <w:rsid w:val="00FC6D22"/>
    <w:rsid w:val="00FD06AB"/>
    <w:rsid w:val="00FD1053"/>
    <w:rsid w:val="00FD3F77"/>
    <w:rsid w:val="00FD5597"/>
    <w:rsid w:val="00FE3A8D"/>
    <w:rsid w:val="00FE4F2D"/>
    <w:rsid w:val="00FE65AA"/>
    <w:rsid w:val="00FE6DFF"/>
    <w:rsid w:val="00FE7DBF"/>
    <w:rsid w:val="00FF1220"/>
    <w:rsid w:val="00FF2F84"/>
    <w:rsid w:val="00FF66B7"/>
    <w:rsid w:val="00FF6DAC"/>
    <w:rsid w:val="010A205B"/>
    <w:rsid w:val="010A5465"/>
    <w:rsid w:val="011AEDB2"/>
    <w:rsid w:val="015DFA4C"/>
    <w:rsid w:val="017FABA1"/>
    <w:rsid w:val="0180AAD9"/>
    <w:rsid w:val="0188AFB0"/>
    <w:rsid w:val="018DB6D2"/>
    <w:rsid w:val="019AA54C"/>
    <w:rsid w:val="019AFC13"/>
    <w:rsid w:val="01A20C2D"/>
    <w:rsid w:val="01A67139"/>
    <w:rsid w:val="01B17070"/>
    <w:rsid w:val="01E6DB4F"/>
    <w:rsid w:val="01FCBEF6"/>
    <w:rsid w:val="02101B77"/>
    <w:rsid w:val="0231BE75"/>
    <w:rsid w:val="02469CCE"/>
    <w:rsid w:val="02476031"/>
    <w:rsid w:val="0273285A"/>
    <w:rsid w:val="0274766E"/>
    <w:rsid w:val="02A3C6DD"/>
    <w:rsid w:val="02AA6544"/>
    <w:rsid w:val="02AE47F9"/>
    <w:rsid w:val="02B12FEB"/>
    <w:rsid w:val="0319530A"/>
    <w:rsid w:val="03231DEF"/>
    <w:rsid w:val="03257C72"/>
    <w:rsid w:val="036F5212"/>
    <w:rsid w:val="0385B61F"/>
    <w:rsid w:val="039EC17A"/>
    <w:rsid w:val="03C68886"/>
    <w:rsid w:val="03CCDE0F"/>
    <w:rsid w:val="03D41A5A"/>
    <w:rsid w:val="03F8F629"/>
    <w:rsid w:val="03F90378"/>
    <w:rsid w:val="040BCD5F"/>
    <w:rsid w:val="043040FA"/>
    <w:rsid w:val="04B69B4E"/>
    <w:rsid w:val="04C14B62"/>
    <w:rsid w:val="04D66576"/>
    <w:rsid w:val="04D88B2D"/>
    <w:rsid w:val="04DE1B32"/>
    <w:rsid w:val="04DE623D"/>
    <w:rsid w:val="0505085B"/>
    <w:rsid w:val="050F5A4D"/>
    <w:rsid w:val="0513E260"/>
    <w:rsid w:val="05231650"/>
    <w:rsid w:val="05659A99"/>
    <w:rsid w:val="057E539C"/>
    <w:rsid w:val="058114D7"/>
    <w:rsid w:val="0584F186"/>
    <w:rsid w:val="059146B5"/>
    <w:rsid w:val="0598E2CD"/>
    <w:rsid w:val="059974AF"/>
    <w:rsid w:val="05B0ACE9"/>
    <w:rsid w:val="05B77396"/>
    <w:rsid w:val="05BC9B4B"/>
    <w:rsid w:val="05C46921"/>
    <w:rsid w:val="05C73F24"/>
    <w:rsid w:val="05CC115B"/>
    <w:rsid w:val="05E58A92"/>
    <w:rsid w:val="05E75BEF"/>
    <w:rsid w:val="060A5E1D"/>
    <w:rsid w:val="060D4DE9"/>
    <w:rsid w:val="060FF3EC"/>
    <w:rsid w:val="0622D713"/>
    <w:rsid w:val="062790E5"/>
    <w:rsid w:val="063907F8"/>
    <w:rsid w:val="0647C003"/>
    <w:rsid w:val="064934C0"/>
    <w:rsid w:val="0649BD78"/>
    <w:rsid w:val="064BD3CE"/>
    <w:rsid w:val="06721376"/>
    <w:rsid w:val="06837F9A"/>
    <w:rsid w:val="068DB80B"/>
    <w:rsid w:val="06976B47"/>
    <w:rsid w:val="06BD5186"/>
    <w:rsid w:val="06BEBC77"/>
    <w:rsid w:val="06C463F6"/>
    <w:rsid w:val="070F82AE"/>
    <w:rsid w:val="070FD001"/>
    <w:rsid w:val="07120175"/>
    <w:rsid w:val="071D2B28"/>
    <w:rsid w:val="0722DFC0"/>
    <w:rsid w:val="072AB892"/>
    <w:rsid w:val="0739FE41"/>
    <w:rsid w:val="074543A8"/>
    <w:rsid w:val="076A8335"/>
    <w:rsid w:val="077C8B3C"/>
    <w:rsid w:val="07B38B0E"/>
    <w:rsid w:val="07EEF78B"/>
    <w:rsid w:val="080193F8"/>
    <w:rsid w:val="0814F421"/>
    <w:rsid w:val="08579160"/>
    <w:rsid w:val="0867E600"/>
    <w:rsid w:val="086FC932"/>
    <w:rsid w:val="0879D506"/>
    <w:rsid w:val="087EA22E"/>
    <w:rsid w:val="088D71F9"/>
    <w:rsid w:val="08A48585"/>
    <w:rsid w:val="08BF3CB0"/>
    <w:rsid w:val="08D90265"/>
    <w:rsid w:val="08DA45C5"/>
    <w:rsid w:val="08E588CD"/>
    <w:rsid w:val="08EDA5AE"/>
    <w:rsid w:val="09116B8A"/>
    <w:rsid w:val="09171A88"/>
    <w:rsid w:val="0925A812"/>
    <w:rsid w:val="092B43DC"/>
    <w:rsid w:val="092D120E"/>
    <w:rsid w:val="095C239C"/>
    <w:rsid w:val="095C9257"/>
    <w:rsid w:val="0972E20E"/>
    <w:rsid w:val="09831BB5"/>
    <w:rsid w:val="09AEB5CA"/>
    <w:rsid w:val="09B3DE99"/>
    <w:rsid w:val="09C48B92"/>
    <w:rsid w:val="09C70DF8"/>
    <w:rsid w:val="09CB221F"/>
    <w:rsid w:val="09CE0C1F"/>
    <w:rsid w:val="09EF6FA8"/>
    <w:rsid w:val="0A454598"/>
    <w:rsid w:val="0A6F1DC4"/>
    <w:rsid w:val="0A8798C1"/>
    <w:rsid w:val="0A89BED1"/>
    <w:rsid w:val="0A94465F"/>
    <w:rsid w:val="0B046BB7"/>
    <w:rsid w:val="0B1AB922"/>
    <w:rsid w:val="0B1FECA7"/>
    <w:rsid w:val="0B285FCA"/>
    <w:rsid w:val="0B332D61"/>
    <w:rsid w:val="0B3CF55B"/>
    <w:rsid w:val="0B54A5DF"/>
    <w:rsid w:val="0B6A23F5"/>
    <w:rsid w:val="0B829922"/>
    <w:rsid w:val="0B8E77AE"/>
    <w:rsid w:val="0BAE068F"/>
    <w:rsid w:val="0C0521EE"/>
    <w:rsid w:val="0C34D45B"/>
    <w:rsid w:val="0C5E95D0"/>
    <w:rsid w:val="0C943FF4"/>
    <w:rsid w:val="0C9C3BC4"/>
    <w:rsid w:val="0CBA6945"/>
    <w:rsid w:val="0CEB980C"/>
    <w:rsid w:val="0D1202F7"/>
    <w:rsid w:val="0D18CCBC"/>
    <w:rsid w:val="0D394843"/>
    <w:rsid w:val="0D46FC68"/>
    <w:rsid w:val="0D541002"/>
    <w:rsid w:val="0D5CDC4A"/>
    <w:rsid w:val="0D9097FB"/>
    <w:rsid w:val="0DD56D31"/>
    <w:rsid w:val="0E02CA67"/>
    <w:rsid w:val="0E08DFFA"/>
    <w:rsid w:val="0E2BCEB9"/>
    <w:rsid w:val="0E643DA2"/>
    <w:rsid w:val="0E822769"/>
    <w:rsid w:val="0E833E85"/>
    <w:rsid w:val="0EA10150"/>
    <w:rsid w:val="0EA6CC83"/>
    <w:rsid w:val="0EBE9AB6"/>
    <w:rsid w:val="0EC0227E"/>
    <w:rsid w:val="0EC58D02"/>
    <w:rsid w:val="0ED09ED8"/>
    <w:rsid w:val="0EDDB8B3"/>
    <w:rsid w:val="0F04AB42"/>
    <w:rsid w:val="0F0BF5BD"/>
    <w:rsid w:val="0F73A2A4"/>
    <w:rsid w:val="0F7533B3"/>
    <w:rsid w:val="0F7A003B"/>
    <w:rsid w:val="0F92B572"/>
    <w:rsid w:val="0FAC9997"/>
    <w:rsid w:val="0FB2AB7E"/>
    <w:rsid w:val="0FEAEFC4"/>
    <w:rsid w:val="0FFB654C"/>
    <w:rsid w:val="1003AF72"/>
    <w:rsid w:val="102B6F9D"/>
    <w:rsid w:val="1042D33A"/>
    <w:rsid w:val="10449C29"/>
    <w:rsid w:val="1049C226"/>
    <w:rsid w:val="10A269A2"/>
    <w:rsid w:val="10B1636D"/>
    <w:rsid w:val="10B6EAA8"/>
    <w:rsid w:val="10BACF02"/>
    <w:rsid w:val="10C3B149"/>
    <w:rsid w:val="10E8D162"/>
    <w:rsid w:val="1127A269"/>
    <w:rsid w:val="1132AD14"/>
    <w:rsid w:val="114ED7C6"/>
    <w:rsid w:val="114FAE3F"/>
    <w:rsid w:val="117F1D9B"/>
    <w:rsid w:val="118E97EA"/>
    <w:rsid w:val="11AD371C"/>
    <w:rsid w:val="11B98546"/>
    <w:rsid w:val="11BAB090"/>
    <w:rsid w:val="11D2D157"/>
    <w:rsid w:val="11E08059"/>
    <w:rsid w:val="11E32E10"/>
    <w:rsid w:val="11EFB6D2"/>
    <w:rsid w:val="1229AE89"/>
    <w:rsid w:val="122F5BB8"/>
    <w:rsid w:val="125D2D25"/>
    <w:rsid w:val="126A6DDE"/>
    <w:rsid w:val="127B54E9"/>
    <w:rsid w:val="1290B937"/>
    <w:rsid w:val="12CFB8C8"/>
    <w:rsid w:val="12EC46F8"/>
    <w:rsid w:val="12F95EE6"/>
    <w:rsid w:val="12FA9CDF"/>
    <w:rsid w:val="12FBB128"/>
    <w:rsid w:val="131DF71D"/>
    <w:rsid w:val="131EFDB8"/>
    <w:rsid w:val="131FF832"/>
    <w:rsid w:val="13254063"/>
    <w:rsid w:val="1337AEC5"/>
    <w:rsid w:val="135D5BC8"/>
    <w:rsid w:val="1377C3CC"/>
    <w:rsid w:val="138522CE"/>
    <w:rsid w:val="13E6EF1D"/>
    <w:rsid w:val="13F1DA49"/>
    <w:rsid w:val="13F9695D"/>
    <w:rsid w:val="14063E3F"/>
    <w:rsid w:val="1418D4FF"/>
    <w:rsid w:val="1433FF72"/>
    <w:rsid w:val="14489675"/>
    <w:rsid w:val="147764C3"/>
    <w:rsid w:val="147C4C1D"/>
    <w:rsid w:val="1490D171"/>
    <w:rsid w:val="1494A597"/>
    <w:rsid w:val="14B4FD43"/>
    <w:rsid w:val="14BD9D72"/>
    <w:rsid w:val="14CACD0E"/>
    <w:rsid w:val="14D65E7A"/>
    <w:rsid w:val="14D83E25"/>
    <w:rsid w:val="1525D117"/>
    <w:rsid w:val="154FC2FF"/>
    <w:rsid w:val="155A430C"/>
    <w:rsid w:val="155C03F8"/>
    <w:rsid w:val="159A6069"/>
    <w:rsid w:val="159B0EC7"/>
    <w:rsid w:val="15B9047B"/>
    <w:rsid w:val="15DDDBEF"/>
    <w:rsid w:val="15F30F9F"/>
    <w:rsid w:val="1601B80A"/>
    <w:rsid w:val="160D44D4"/>
    <w:rsid w:val="163254F3"/>
    <w:rsid w:val="16567A32"/>
    <w:rsid w:val="1659C3A7"/>
    <w:rsid w:val="1661B290"/>
    <w:rsid w:val="166C55BD"/>
    <w:rsid w:val="168CCC25"/>
    <w:rsid w:val="169DE0A0"/>
    <w:rsid w:val="16C2C44C"/>
    <w:rsid w:val="16D3DFA2"/>
    <w:rsid w:val="16D82D39"/>
    <w:rsid w:val="1714124F"/>
    <w:rsid w:val="1723A23F"/>
    <w:rsid w:val="17291664"/>
    <w:rsid w:val="17342D21"/>
    <w:rsid w:val="174E2E30"/>
    <w:rsid w:val="17803737"/>
    <w:rsid w:val="178FCE6C"/>
    <w:rsid w:val="1792F9E6"/>
    <w:rsid w:val="17A6E925"/>
    <w:rsid w:val="17E827D7"/>
    <w:rsid w:val="181B6ED1"/>
    <w:rsid w:val="183E9617"/>
    <w:rsid w:val="18410B47"/>
    <w:rsid w:val="18486BCF"/>
    <w:rsid w:val="185A8CCD"/>
    <w:rsid w:val="185FE33B"/>
    <w:rsid w:val="1879AA5B"/>
    <w:rsid w:val="18A522E3"/>
    <w:rsid w:val="18A5A756"/>
    <w:rsid w:val="18BD4688"/>
    <w:rsid w:val="18EEC267"/>
    <w:rsid w:val="18F4D9F3"/>
    <w:rsid w:val="1906C7CA"/>
    <w:rsid w:val="19143724"/>
    <w:rsid w:val="191C0798"/>
    <w:rsid w:val="191E1613"/>
    <w:rsid w:val="191FEA1E"/>
    <w:rsid w:val="1927B81B"/>
    <w:rsid w:val="19366CED"/>
    <w:rsid w:val="194BD602"/>
    <w:rsid w:val="19654FB7"/>
    <w:rsid w:val="199E4922"/>
    <w:rsid w:val="19BD25AC"/>
    <w:rsid w:val="19CB46A4"/>
    <w:rsid w:val="19CE5A2F"/>
    <w:rsid w:val="19D97C8D"/>
    <w:rsid w:val="19E6949F"/>
    <w:rsid w:val="19ECA012"/>
    <w:rsid w:val="19EF976E"/>
    <w:rsid w:val="1A02C162"/>
    <w:rsid w:val="1A3B4BC6"/>
    <w:rsid w:val="1A565F78"/>
    <w:rsid w:val="1A8A139E"/>
    <w:rsid w:val="1A943724"/>
    <w:rsid w:val="1A9735AD"/>
    <w:rsid w:val="1AA1E626"/>
    <w:rsid w:val="1AA9912D"/>
    <w:rsid w:val="1AAEB799"/>
    <w:rsid w:val="1ABD73D5"/>
    <w:rsid w:val="1AC924B4"/>
    <w:rsid w:val="1AD92E13"/>
    <w:rsid w:val="1ADC0693"/>
    <w:rsid w:val="1ADC2903"/>
    <w:rsid w:val="1B10EA2A"/>
    <w:rsid w:val="1B3A0E92"/>
    <w:rsid w:val="1B3CA74E"/>
    <w:rsid w:val="1B610D65"/>
    <w:rsid w:val="1B778305"/>
    <w:rsid w:val="1B90EA6B"/>
    <w:rsid w:val="1C007DF1"/>
    <w:rsid w:val="1C3B8FC2"/>
    <w:rsid w:val="1C4C1BB5"/>
    <w:rsid w:val="1C8897F6"/>
    <w:rsid w:val="1C905B7D"/>
    <w:rsid w:val="1CA48E25"/>
    <w:rsid w:val="1CB4D87F"/>
    <w:rsid w:val="1CB8098C"/>
    <w:rsid w:val="1CC976CB"/>
    <w:rsid w:val="1D0C0EF3"/>
    <w:rsid w:val="1D355FE0"/>
    <w:rsid w:val="1D3ED1FD"/>
    <w:rsid w:val="1D63FF27"/>
    <w:rsid w:val="1D6A5E01"/>
    <w:rsid w:val="1D91F5D3"/>
    <w:rsid w:val="1DC9A1E6"/>
    <w:rsid w:val="1DCBAE5E"/>
    <w:rsid w:val="1DD6CD9A"/>
    <w:rsid w:val="1DDED2DC"/>
    <w:rsid w:val="1E02E240"/>
    <w:rsid w:val="1E0486C7"/>
    <w:rsid w:val="1E100C8B"/>
    <w:rsid w:val="1E19BB33"/>
    <w:rsid w:val="1E2BB2C9"/>
    <w:rsid w:val="1E52516D"/>
    <w:rsid w:val="1E6EFF84"/>
    <w:rsid w:val="1E706B34"/>
    <w:rsid w:val="1E8ABDA2"/>
    <w:rsid w:val="1E968748"/>
    <w:rsid w:val="1EDB96BF"/>
    <w:rsid w:val="1F02FD36"/>
    <w:rsid w:val="1F0F151A"/>
    <w:rsid w:val="1F20C1DA"/>
    <w:rsid w:val="1F26846D"/>
    <w:rsid w:val="1F30E80C"/>
    <w:rsid w:val="1F31769F"/>
    <w:rsid w:val="1F5FED39"/>
    <w:rsid w:val="1F6E245F"/>
    <w:rsid w:val="1F72F13C"/>
    <w:rsid w:val="1F9ACCE7"/>
    <w:rsid w:val="1FA1EF29"/>
    <w:rsid w:val="1FAFEAFC"/>
    <w:rsid w:val="1FB3F124"/>
    <w:rsid w:val="1FD99A19"/>
    <w:rsid w:val="1FE92933"/>
    <w:rsid w:val="200767A3"/>
    <w:rsid w:val="200D7FB5"/>
    <w:rsid w:val="201B3070"/>
    <w:rsid w:val="205BACCF"/>
    <w:rsid w:val="205E0D98"/>
    <w:rsid w:val="20742D9B"/>
    <w:rsid w:val="20861A47"/>
    <w:rsid w:val="20956A06"/>
    <w:rsid w:val="209B52C1"/>
    <w:rsid w:val="20AB1A3E"/>
    <w:rsid w:val="20B30F39"/>
    <w:rsid w:val="20BF318B"/>
    <w:rsid w:val="20C3B526"/>
    <w:rsid w:val="20CD938D"/>
    <w:rsid w:val="20DAE2A5"/>
    <w:rsid w:val="20ECE198"/>
    <w:rsid w:val="20FB937B"/>
    <w:rsid w:val="213AE796"/>
    <w:rsid w:val="213E1C1A"/>
    <w:rsid w:val="2142E7A7"/>
    <w:rsid w:val="215FA622"/>
    <w:rsid w:val="217BC60D"/>
    <w:rsid w:val="217C9B9B"/>
    <w:rsid w:val="2189750F"/>
    <w:rsid w:val="218E29E4"/>
    <w:rsid w:val="21907AE2"/>
    <w:rsid w:val="21A5457C"/>
    <w:rsid w:val="21A7C076"/>
    <w:rsid w:val="21A80BF6"/>
    <w:rsid w:val="21B9EFB4"/>
    <w:rsid w:val="21C83791"/>
    <w:rsid w:val="21CC43A5"/>
    <w:rsid w:val="220D673A"/>
    <w:rsid w:val="22110285"/>
    <w:rsid w:val="221D1371"/>
    <w:rsid w:val="2228C133"/>
    <w:rsid w:val="2232B16D"/>
    <w:rsid w:val="225D1C3B"/>
    <w:rsid w:val="225EFDD7"/>
    <w:rsid w:val="22628EFE"/>
    <w:rsid w:val="227AD822"/>
    <w:rsid w:val="227B1C17"/>
    <w:rsid w:val="228CDF42"/>
    <w:rsid w:val="2298E3AA"/>
    <w:rsid w:val="22A523DA"/>
    <w:rsid w:val="22AB6B74"/>
    <w:rsid w:val="22BD2599"/>
    <w:rsid w:val="22CBFB40"/>
    <w:rsid w:val="22D3D108"/>
    <w:rsid w:val="230C9CE7"/>
    <w:rsid w:val="2314094A"/>
    <w:rsid w:val="23452077"/>
    <w:rsid w:val="234EA1BB"/>
    <w:rsid w:val="2363F30C"/>
    <w:rsid w:val="236FE521"/>
    <w:rsid w:val="23852DE6"/>
    <w:rsid w:val="2395AE5A"/>
    <w:rsid w:val="2399CFFA"/>
    <w:rsid w:val="239CF0C5"/>
    <w:rsid w:val="23ACD2E6"/>
    <w:rsid w:val="23D5412D"/>
    <w:rsid w:val="23D9C407"/>
    <w:rsid w:val="23E6F91E"/>
    <w:rsid w:val="240344BB"/>
    <w:rsid w:val="240C8851"/>
    <w:rsid w:val="24324D1A"/>
    <w:rsid w:val="2438E36A"/>
    <w:rsid w:val="24419582"/>
    <w:rsid w:val="2452B387"/>
    <w:rsid w:val="24580844"/>
    <w:rsid w:val="246467BE"/>
    <w:rsid w:val="247E20DB"/>
    <w:rsid w:val="24D9D931"/>
    <w:rsid w:val="24E1BE1C"/>
    <w:rsid w:val="24E6613A"/>
    <w:rsid w:val="252E585D"/>
    <w:rsid w:val="255E2F8D"/>
    <w:rsid w:val="256454D9"/>
    <w:rsid w:val="25BB9BDE"/>
    <w:rsid w:val="25E2E148"/>
    <w:rsid w:val="25E32F42"/>
    <w:rsid w:val="25E94CCD"/>
    <w:rsid w:val="25EC8ED2"/>
    <w:rsid w:val="260C4140"/>
    <w:rsid w:val="261107D6"/>
    <w:rsid w:val="261BD54F"/>
    <w:rsid w:val="263DD4EC"/>
    <w:rsid w:val="266EF458"/>
    <w:rsid w:val="26942E1F"/>
    <w:rsid w:val="2694F8FE"/>
    <w:rsid w:val="269E934C"/>
    <w:rsid w:val="26B24132"/>
    <w:rsid w:val="26DFC019"/>
    <w:rsid w:val="26FE3AEA"/>
    <w:rsid w:val="2740232A"/>
    <w:rsid w:val="2740850D"/>
    <w:rsid w:val="274B197F"/>
    <w:rsid w:val="276A05B6"/>
    <w:rsid w:val="27BAE705"/>
    <w:rsid w:val="27BBA004"/>
    <w:rsid w:val="27C01888"/>
    <w:rsid w:val="27C1D530"/>
    <w:rsid w:val="27C769BB"/>
    <w:rsid w:val="27D56221"/>
    <w:rsid w:val="280959F2"/>
    <w:rsid w:val="281A25F0"/>
    <w:rsid w:val="281B54A7"/>
    <w:rsid w:val="28332EF9"/>
    <w:rsid w:val="284CDF9C"/>
    <w:rsid w:val="284E0053"/>
    <w:rsid w:val="2866EB0F"/>
    <w:rsid w:val="287B4C4F"/>
    <w:rsid w:val="28889B46"/>
    <w:rsid w:val="28958FA6"/>
    <w:rsid w:val="28D57F37"/>
    <w:rsid w:val="28E7B849"/>
    <w:rsid w:val="28EA804D"/>
    <w:rsid w:val="28FC561F"/>
    <w:rsid w:val="2911D1FD"/>
    <w:rsid w:val="29129C3B"/>
    <w:rsid w:val="2921BE42"/>
    <w:rsid w:val="292DD7E3"/>
    <w:rsid w:val="2963B057"/>
    <w:rsid w:val="2964BBFA"/>
    <w:rsid w:val="298F6B5D"/>
    <w:rsid w:val="29AF77D0"/>
    <w:rsid w:val="29C4A139"/>
    <w:rsid w:val="29CFA14C"/>
    <w:rsid w:val="29D5C885"/>
    <w:rsid w:val="29DFD49B"/>
    <w:rsid w:val="29EA23A0"/>
    <w:rsid w:val="2A05B11C"/>
    <w:rsid w:val="2A3B242E"/>
    <w:rsid w:val="2A75344B"/>
    <w:rsid w:val="2A982680"/>
    <w:rsid w:val="2AA824EE"/>
    <w:rsid w:val="2AB49F77"/>
    <w:rsid w:val="2ACF3DE0"/>
    <w:rsid w:val="2AD28497"/>
    <w:rsid w:val="2B094E20"/>
    <w:rsid w:val="2B1EAF49"/>
    <w:rsid w:val="2B59125A"/>
    <w:rsid w:val="2B655FA2"/>
    <w:rsid w:val="2B9DC992"/>
    <w:rsid w:val="2BA26F4B"/>
    <w:rsid w:val="2BA3B2C0"/>
    <w:rsid w:val="2BA9D905"/>
    <w:rsid w:val="2BAACB47"/>
    <w:rsid w:val="2BAF1C05"/>
    <w:rsid w:val="2BDF8800"/>
    <w:rsid w:val="2BDF93E3"/>
    <w:rsid w:val="2BEABBC9"/>
    <w:rsid w:val="2BFBE942"/>
    <w:rsid w:val="2BFE56F4"/>
    <w:rsid w:val="2C20D6CD"/>
    <w:rsid w:val="2C3E38D1"/>
    <w:rsid w:val="2C4C8D7F"/>
    <w:rsid w:val="2C56C849"/>
    <w:rsid w:val="2C57B73B"/>
    <w:rsid w:val="2C638191"/>
    <w:rsid w:val="2C899BC7"/>
    <w:rsid w:val="2C9BE37E"/>
    <w:rsid w:val="2CA21F98"/>
    <w:rsid w:val="2CB7EF4D"/>
    <w:rsid w:val="2CC169C3"/>
    <w:rsid w:val="2CC71C08"/>
    <w:rsid w:val="2CE81241"/>
    <w:rsid w:val="2CEA4746"/>
    <w:rsid w:val="2CEEAAC3"/>
    <w:rsid w:val="2D192A61"/>
    <w:rsid w:val="2D5DFC6F"/>
    <w:rsid w:val="2D6EFEE9"/>
    <w:rsid w:val="2D7430AB"/>
    <w:rsid w:val="2D8CC5B0"/>
    <w:rsid w:val="2DB0F513"/>
    <w:rsid w:val="2DCE3028"/>
    <w:rsid w:val="2DFA1AF4"/>
    <w:rsid w:val="2DFEB33C"/>
    <w:rsid w:val="2E1FB486"/>
    <w:rsid w:val="2E2BC508"/>
    <w:rsid w:val="2E2E4FC2"/>
    <w:rsid w:val="2E3DB2F3"/>
    <w:rsid w:val="2E829256"/>
    <w:rsid w:val="2EA26BF2"/>
    <w:rsid w:val="2EB12EA0"/>
    <w:rsid w:val="2EDE1DF0"/>
    <w:rsid w:val="2F38966A"/>
    <w:rsid w:val="2F58F765"/>
    <w:rsid w:val="2F6E9323"/>
    <w:rsid w:val="2F712D01"/>
    <w:rsid w:val="2F78B768"/>
    <w:rsid w:val="2F9141D4"/>
    <w:rsid w:val="2F9E48FD"/>
    <w:rsid w:val="2FAB817D"/>
    <w:rsid w:val="2FBA6A25"/>
    <w:rsid w:val="2FC2A209"/>
    <w:rsid w:val="2FCD58D1"/>
    <w:rsid w:val="2FD42D0D"/>
    <w:rsid w:val="2FD89E86"/>
    <w:rsid w:val="2FF2AE40"/>
    <w:rsid w:val="304AAE56"/>
    <w:rsid w:val="30655ABB"/>
    <w:rsid w:val="307DDDDE"/>
    <w:rsid w:val="30FE3E15"/>
    <w:rsid w:val="311178D7"/>
    <w:rsid w:val="311D15CA"/>
    <w:rsid w:val="31367B95"/>
    <w:rsid w:val="314AEAF8"/>
    <w:rsid w:val="31711D72"/>
    <w:rsid w:val="3173A2DA"/>
    <w:rsid w:val="31794254"/>
    <w:rsid w:val="3192D533"/>
    <w:rsid w:val="31A732DF"/>
    <w:rsid w:val="31A7FE7E"/>
    <w:rsid w:val="31AEDB72"/>
    <w:rsid w:val="31DEE9EB"/>
    <w:rsid w:val="31EF4993"/>
    <w:rsid w:val="31FF4B63"/>
    <w:rsid w:val="3203A3AD"/>
    <w:rsid w:val="32219C99"/>
    <w:rsid w:val="32262949"/>
    <w:rsid w:val="3229E761"/>
    <w:rsid w:val="323E699E"/>
    <w:rsid w:val="323FC10D"/>
    <w:rsid w:val="327E2497"/>
    <w:rsid w:val="328613B7"/>
    <w:rsid w:val="329FEBEC"/>
    <w:rsid w:val="32A74973"/>
    <w:rsid w:val="32A89B0C"/>
    <w:rsid w:val="32CB762D"/>
    <w:rsid w:val="32D5F20C"/>
    <w:rsid w:val="32E19B12"/>
    <w:rsid w:val="32F7369F"/>
    <w:rsid w:val="32FFB3FF"/>
    <w:rsid w:val="33077F55"/>
    <w:rsid w:val="330E44F0"/>
    <w:rsid w:val="33255B15"/>
    <w:rsid w:val="3343374C"/>
    <w:rsid w:val="335BEFF3"/>
    <w:rsid w:val="337B6B48"/>
    <w:rsid w:val="339E3544"/>
    <w:rsid w:val="33A41001"/>
    <w:rsid w:val="33AC593C"/>
    <w:rsid w:val="33D062DA"/>
    <w:rsid w:val="33E18CEE"/>
    <w:rsid w:val="33EF5EAF"/>
    <w:rsid w:val="33F58478"/>
    <w:rsid w:val="33FA7657"/>
    <w:rsid w:val="34041C35"/>
    <w:rsid w:val="341ADCAB"/>
    <w:rsid w:val="34657550"/>
    <w:rsid w:val="34673366"/>
    <w:rsid w:val="347A9E73"/>
    <w:rsid w:val="3495BED8"/>
    <w:rsid w:val="34A0EDCD"/>
    <w:rsid w:val="34AC2508"/>
    <w:rsid w:val="34B50275"/>
    <w:rsid w:val="35131426"/>
    <w:rsid w:val="3524E75E"/>
    <w:rsid w:val="352F2A1C"/>
    <w:rsid w:val="352F4BD1"/>
    <w:rsid w:val="354086A0"/>
    <w:rsid w:val="354A7C41"/>
    <w:rsid w:val="35799DB9"/>
    <w:rsid w:val="357D25BD"/>
    <w:rsid w:val="3596B8DA"/>
    <w:rsid w:val="35AB55F4"/>
    <w:rsid w:val="35CA42B6"/>
    <w:rsid w:val="35D35E7E"/>
    <w:rsid w:val="35FBDBB1"/>
    <w:rsid w:val="35FC6FB3"/>
    <w:rsid w:val="36251C1C"/>
    <w:rsid w:val="3648EA42"/>
    <w:rsid w:val="364DC72F"/>
    <w:rsid w:val="3652D68A"/>
    <w:rsid w:val="36655653"/>
    <w:rsid w:val="366C8292"/>
    <w:rsid w:val="3677F854"/>
    <w:rsid w:val="36A77560"/>
    <w:rsid w:val="36B1854C"/>
    <w:rsid w:val="36B63B1F"/>
    <w:rsid w:val="36BB420D"/>
    <w:rsid w:val="36C6622A"/>
    <w:rsid w:val="36CCAA44"/>
    <w:rsid w:val="36DB8B42"/>
    <w:rsid w:val="36FB28B0"/>
    <w:rsid w:val="371207DC"/>
    <w:rsid w:val="372F72A0"/>
    <w:rsid w:val="374C7925"/>
    <w:rsid w:val="37898267"/>
    <w:rsid w:val="378B5728"/>
    <w:rsid w:val="379C08FE"/>
    <w:rsid w:val="37AC3384"/>
    <w:rsid w:val="37BE0D7C"/>
    <w:rsid w:val="37CE10FF"/>
    <w:rsid w:val="37CE7619"/>
    <w:rsid w:val="37D0E767"/>
    <w:rsid w:val="37D6C78D"/>
    <w:rsid w:val="37E11B6B"/>
    <w:rsid w:val="37E3EE6E"/>
    <w:rsid w:val="37EE7B4D"/>
    <w:rsid w:val="37F19C2B"/>
    <w:rsid w:val="37F19DA3"/>
    <w:rsid w:val="37FA6B09"/>
    <w:rsid w:val="38115F30"/>
    <w:rsid w:val="38240BCD"/>
    <w:rsid w:val="3853AEBE"/>
    <w:rsid w:val="3860AC02"/>
    <w:rsid w:val="389B526A"/>
    <w:rsid w:val="38A2F421"/>
    <w:rsid w:val="38B92911"/>
    <w:rsid w:val="38C9A92D"/>
    <w:rsid w:val="38D0209E"/>
    <w:rsid w:val="38D19061"/>
    <w:rsid w:val="38D9321F"/>
    <w:rsid w:val="38F45934"/>
    <w:rsid w:val="3919EF98"/>
    <w:rsid w:val="391DC734"/>
    <w:rsid w:val="39240753"/>
    <w:rsid w:val="392B2C30"/>
    <w:rsid w:val="392CF1C4"/>
    <w:rsid w:val="396716DE"/>
    <w:rsid w:val="3977CB97"/>
    <w:rsid w:val="397959A6"/>
    <w:rsid w:val="39ABD9AE"/>
    <w:rsid w:val="39DC1FB9"/>
    <w:rsid w:val="3A046FFB"/>
    <w:rsid w:val="3A2F5784"/>
    <w:rsid w:val="3A43C4C3"/>
    <w:rsid w:val="3A526BDF"/>
    <w:rsid w:val="3A6103B7"/>
    <w:rsid w:val="3A662856"/>
    <w:rsid w:val="3AA2A6A7"/>
    <w:rsid w:val="3AA8DD6B"/>
    <w:rsid w:val="3ABEEC9F"/>
    <w:rsid w:val="3AD900BC"/>
    <w:rsid w:val="3B021138"/>
    <w:rsid w:val="3B0AAC29"/>
    <w:rsid w:val="3B48B327"/>
    <w:rsid w:val="3B5BE3B8"/>
    <w:rsid w:val="3B79B92F"/>
    <w:rsid w:val="3BAA7F6D"/>
    <w:rsid w:val="3BE07722"/>
    <w:rsid w:val="3BE6FD31"/>
    <w:rsid w:val="3C04D753"/>
    <w:rsid w:val="3C26C933"/>
    <w:rsid w:val="3C3FAC9C"/>
    <w:rsid w:val="3C927905"/>
    <w:rsid w:val="3CA145AF"/>
    <w:rsid w:val="3CBE7CBE"/>
    <w:rsid w:val="3CDFDBBB"/>
    <w:rsid w:val="3CE28473"/>
    <w:rsid w:val="3D146533"/>
    <w:rsid w:val="3D1F5747"/>
    <w:rsid w:val="3D2A3D3A"/>
    <w:rsid w:val="3D2A6277"/>
    <w:rsid w:val="3D2AB368"/>
    <w:rsid w:val="3D355375"/>
    <w:rsid w:val="3D3DA1CE"/>
    <w:rsid w:val="3D52AEE2"/>
    <w:rsid w:val="3D580122"/>
    <w:rsid w:val="3D833548"/>
    <w:rsid w:val="3D9688BB"/>
    <w:rsid w:val="3D9CEF11"/>
    <w:rsid w:val="3DA29D86"/>
    <w:rsid w:val="3DB9261E"/>
    <w:rsid w:val="3DC8A7C7"/>
    <w:rsid w:val="3DD80C4A"/>
    <w:rsid w:val="3DE27B89"/>
    <w:rsid w:val="3DE64D2B"/>
    <w:rsid w:val="3E009BAF"/>
    <w:rsid w:val="3E1474C2"/>
    <w:rsid w:val="3E2EAB39"/>
    <w:rsid w:val="3E3F4A4D"/>
    <w:rsid w:val="3E466E65"/>
    <w:rsid w:val="3E496EEB"/>
    <w:rsid w:val="3E6591B6"/>
    <w:rsid w:val="3E6D5766"/>
    <w:rsid w:val="3E721805"/>
    <w:rsid w:val="3E851415"/>
    <w:rsid w:val="3E979101"/>
    <w:rsid w:val="3EAA8C17"/>
    <w:rsid w:val="3EB02FB6"/>
    <w:rsid w:val="3EC039A1"/>
    <w:rsid w:val="3EF46E80"/>
    <w:rsid w:val="3F0E2EE9"/>
    <w:rsid w:val="3F1F0E22"/>
    <w:rsid w:val="3F25AAA6"/>
    <w:rsid w:val="3F2C53B1"/>
    <w:rsid w:val="3F3233CD"/>
    <w:rsid w:val="3F343EF0"/>
    <w:rsid w:val="3F48842C"/>
    <w:rsid w:val="3F5561EE"/>
    <w:rsid w:val="3F6D2C43"/>
    <w:rsid w:val="3F7DED6F"/>
    <w:rsid w:val="3F807F04"/>
    <w:rsid w:val="3F86583E"/>
    <w:rsid w:val="3FB3A143"/>
    <w:rsid w:val="3FD418EA"/>
    <w:rsid w:val="3FDD04F5"/>
    <w:rsid w:val="3FE20F3B"/>
    <w:rsid w:val="3FFFA100"/>
    <w:rsid w:val="4007B6CE"/>
    <w:rsid w:val="400F6F06"/>
    <w:rsid w:val="403FAC45"/>
    <w:rsid w:val="40573575"/>
    <w:rsid w:val="40717E8A"/>
    <w:rsid w:val="408A4FA4"/>
    <w:rsid w:val="40A4A587"/>
    <w:rsid w:val="40AC4D22"/>
    <w:rsid w:val="40C34A7F"/>
    <w:rsid w:val="40C684BB"/>
    <w:rsid w:val="40C93DF7"/>
    <w:rsid w:val="40CE151B"/>
    <w:rsid w:val="40DBAE9F"/>
    <w:rsid w:val="40DF8A40"/>
    <w:rsid w:val="40F83555"/>
    <w:rsid w:val="40FDBCE1"/>
    <w:rsid w:val="4120426C"/>
    <w:rsid w:val="4151C133"/>
    <w:rsid w:val="4164EB7F"/>
    <w:rsid w:val="416F7FB2"/>
    <w:rsid w:val="417BDCD6"/>
    <w:rsid w:val="419C373E"/>
    <w:rsid w:val="41A603EC"/>
    <w:rsid w:val="41BC4868"/>
    <w:rsid w:val="41CA904E"/>
    <w:rsid w:val="41DA93AD"/>
    <w:rsid w:val="420FCCC4"/>
    <w:rsid w:val="422018FA"/>
    <w:rsid w:val="42270C4D"/>
    <w:rsid w:val="423DC006"/>
    <w:rsid w:val="42635263"/>
    <w:rsid w:val="426DDFF9"/>
    <w:rsid w:val="427B2466"/>
    <w:rsid w:val="42A1436A"/>
    <w:rsid w:val="42A19272"/>
    <w:rsid w:val="42BD58EB"/>
    <w:rsid w:val="42C0D1DE"/>
    <w:rsid w:val="42CEB1D9"/>
    <w:rsid w:val="42CECE50"/>
    <w:rsid w:val="42ECE2EE"/>
    <w:rsid w:val="42EEFE94"/>
    <w:rsid w:val="432FFD6A"/>
    <w:rsid w:val="43857AF2"/>
    <w:rsid w:val="43961F4C"/>
    <w:rsid w:val="43967F38"/>
    <w:rsid w:val="43A6859E"/>
    <w:rsid w:val="43A9C1C3"/>
    <w:rsid w:val="43D036E0"/>
    <w:rsid w:val="43D1B98E"/>
    <w:rsid w:val="43F908B2"/>
    <w:rsid w:val="43FE7AFC"/>
    <w:rsid w:val="4431358A"/>
    <w:rsid w:val="44379553"/>
    <w:rsid w:val="444BCDA0"/>
    <w:rsid w:val="446163A9"/>
    <w:rsid w:val="44652C87"/>
    <w:rsid w:val="4474081D"/>
    <w:rsid w:val="447A3B3B"/>
    <w:rsid w:val="448C486D"/>
    <w:rsid w:val="44D8CDCE"/>
    <w:rsid w:val="44DB8B16"/>
    <w:rsid w:val="44E547BB"/>
    <w:rsid w:val="44EABA3C"/>
    <w:rsid w:val="44EB64E6"/>
    <w:rsid w:val="44FCC5ED"/>
    <w:rsid w:val="450253EA"/>
    <w:rsid w:val="452A317C"/>
    <w:rsid w:val="4543D8AB"/>
    <w:rsid w:val="454BF03C"/>
    <w:rsid w:val="4552E50D"/>
    <w:rsid w:val="456C0741"/>
    <w:rsid w:val="4584C774"/>
    <w:rsid w:val="458C73C8"/>
    <w:rsid w:val="45934A2E"/>
    <w:rsid w:val="45AB0C60"/>
    <w:rsid w:val="45ADAF6B"/>
    <w:rsid w:val="45C3D57A"/>
    <w:rsid w:val="45D4A98F"/>
    <w:rsid w:val="45F7FB47"/>
    <w:rsid w:val="45F8B681"/>
    <w:rsid w:val="46189B0B"/>
    <w:rsid w:val="462A91FF"/>
    <w:rsid w:val="462B2C90"/>
    <w:rsid w:val="46661F51"/>
    <w:rsid w:val="4670383A"/>
    <w:rsid w:val="467FB7E3"/>
    <w:rsid w:val="46950B56"/>
    <w:rsid w:val="46B27047"/>
    <w:rsid w:val="46D5A07E"/>
    <w:rsid w:val="46F67E70"/>
    <w:rsid w:val="46FBACA6"/>
    <w:rsid w:val="4709B504"/>
    <w:rsid w:val="473893A0"/>
    <w:rsid w:val="474F702F"/>
    <w:rsid w:val="475A2A61"/>
    <w:rsid w:val="475E9E58"/>
    <w:rsid w:val="47806FAF"/>
    <w:rsid w:val="478B90E9"/>
    <w:rsid w:val="478D9676"/>
    <w:rsid w:val="4793D088"/>
    <w:rsid w:val="4799AF2A"/>
    <w:rsid w:val="47AE8073"/>
    <w:rsid w:val="47B605F5"/>
    <w:rsid w:val="47BFEE6F"/>
    <w:rsid w:val="47C99FD7"/>
    <w:rsid w:val="47D28D65"/>
    <w:rsid w:val="47DA1AFB"/>
    <w:rsid w:val="47EFB105"/>
    <w:rsid w:val="480C6D42"/>
    <w:rsid w:val="4833D499"/>
    <w:rsid w:val="483D2812"/>
    <w:rsid w:val="4863EFA6"/>
    <w:rsid w:val="486BE10B"/>
    <w:rsid w:val="48A2FBB2"/>
    <w:rsid w:val="48A5D1ED"/>
    <w:rsid w:val="48D4769D"/>
    <w:rsid w:val="48D723E4"/>
    <w:rsid w:val="48DE5FCE"/>
    <w:rsid w:val="48E8919A"/>
    <w:rsid w:val="48EA2210"/>
    <w:rsid w:val="48ED4356"/>
    <w:rsid w:val="48F6CABC"/>
    <w:rsid w:val="491B90C7"/>
    <w:rsid w:val="493AB4EC"/>
    <w:rsid w:val="494F76F0"/>
    <w:rsid w:val="495DF987"/>
    <w:rsid w:val="497B2F94"/>
    <w:rsid w:val="4981E713"/>
    <w:rsid w:val="49924B35"/>
    <w:rsid w:val="49A24415"/>
    <w:rsid w:val="49BEA320"/>
    <w:rsid w:val="49FE3D93"/>
    <w:rsid w:val="4A0C9594"/>
    <w:rsid w:val="4A0F4FDD"/>
    <w:rsid w:val="4A125244"/>
    <w:rsid w:val="4A38B4CA"/>
    <w:rsid w:val="4A4084C3"/>
    <w:rsid w:val="4A5CDF0C"/>
    <w:rsid w:val="4A9C9133"/>
    <w:rsid w:val="4A9D2F86"/>
    <w:rsid w:val="4AAADE88"/>
    <w:rsid w:val="4ACE1395"/>
    <w:rsid w:val="4AF379A6"/>
    <w:rsid w:val="4B018325"/>
    <w:rsid w:val="4B13BF8E"/>
    <w:rsid w:val="4B26BD83"/>
    <w:rsid w:val="4B512BB9"/>
    <w:rsid w:val="4B6951CC"/>
    <w:rsid w:val="4B6E6B5F"/>
    <w:rsid w:val="4B713D4B"/>
    <w:rsid w:val="4B89F7AC"/>
    <w:rsid w:val="4BE50CD6"/>
    <w:rsid w:val="4BEFE233"/>
    <w:rsid w:val="4C0D9859"/>
    <w:rsid w:val="4C2355A9"/>
    <w:rsid w:val="4C3572C3"/>
    <w:rsid w:val="4C4C3859"/>
    <w:rsid w:val="4C578519"/>
    <w:rsid w:val="4C5AF772"/>
    <w:rsid w:val="4C6E4AAF"/>
    <w:rsid w:val="4C894A12"/>
    <w:rsid w:val="4C9D2070"/>
    <w:rsid w:val="4CDC3B16"/>
    <w:rsid w:val="4CDE2F0C"/>
    <w:rsid w:val="4CEAE72F"/>
    <w:rsid w:val="4CF62679"/>
    <w:rsid w:val="4D0C43E6"/>
    <w:rsid w:val="4D2E82F7"/>
    <w:rsid w:val="4D360B11"/>
    <w:rsid w:val="4D3FE462"/>
    <w:rsid w:val="4D6B28A0"/>
    <w:rsid w:val="4D70A333"/>
    <w:rsid w:val="4D938C38"/>
    <w:rsid w:val="4D9E74C4"/>
    <w:rsid w:val="4DD7C358"/>
    <w:rsid w:val="4DE70EED"/>
    <w:rsid w:val="4DE85206"/>
    <w:rsid w:val="4DE939D1"/>
    <w:rsid w:val="4DEEC1CE"/>
    <w:rsid w:val="4DFB5077"/>
    <w:rsid w:val="4E01B05E"/>
    <w:rsid w:val="4E2376CE"/>
    <w:rsid w:val="4E2CA03D"/>
    <w:rsid w:val="4E54E1E5"/>
    <w:rsid w:val="4E5B6417"/>
    <w:rsid w:val="4EAF37B4"/>
    <w:rsid w:val="4EB3E484"/>
    <w:rsid w:val="4ED0683D"/>
    <w:rsid w:val="4EE3D935"/>
    <w:rsid w:val="4F04A085"/>
    <w:rsid w:val="4F190FF0"/>
    <w:rsid w:val="4F2AB878"/>
    <w:rsid w:val="4F319E07"/>
    <w:rsid w:val="4F333AA4"/>
    <w:rsid w:val="4F39B910"/>
    <w:rsid w:val="4F4400DA"/>
    <w:rsid w:val="4F56FC01"/>
    <w:rsid w:val="4F889A16"/>
    <w:rsid w:val="4F8FF4C6"/>
    <w:rsid w:val="4FA60851"/>
    <w:rsid w:val="4FB59798"/>
    <w:rsid w:val="4FB7E50F"/>
    <w:rsid w:val="4FC46729"/>
    <w:rsid w:val="4FC4C033"/>
    <w:rsid w:val="4FCB09F6"/>
    <w:rsid w:val="4FE52CE0"/>
    <w:rsid w:val="4FE730B1"/>
    <w:rsid w:val="5016DAA3"/>
    <w:rsid w:val="50224B72"/>
    <w:rsid w:val="503906D1"/>
    <w:rsid w:val="504152F3"/>
    <w:rsid w:val="50622302"/>
    <w:rsid w:val="50851CFB"/>
    <w:rsid w:val="50C7A505"/>
    <w:rsid w:val="50D8EFD3"/>
    <w:rsid w:val="50E53E14"/>
    <w:rsid w:val="510B74EB"/>
    <w:rsid w:val="510D0FE2"/>
    <w:rsid w:val="510DDF3B"/>
    <w:rsid w:val="51470F2D"/>
    <w:rsid w:val="515B85B8"/>
    <w:rsid w:val="515F3E57"/>
    <w:rsid w:val="516F8D0C"/>
    <w:rsid w:val="5172C0EF"/>
    <w:rsid w:val="5195DE02"/>
    <w:rsid w:val="51970669"/>
    <w:rsid w:val="519F7A6E"/>
    <w:rsid w:val="519FD906"/>
    <w:rsid w:val="51C34402"/>
    <w:rsid w:val="51C536F4"/>
    <w:rsid w:val="51CD33E7"/>
    <w:rsid w:val="51F631AC"/>
    <w:rsid w:val="52132335"/>
    <w:rsid w:val="525B2B20"/>
    <w:rsid w:val="526C0A4E"/>
    <w:rsid w:val="526E6833"/>
    <w:rsid w:val="5274C034"/>
    <w:rsid w:val="5278F82B"/>
    <w:rsid w:val="527AAC71"/>
    <w:rsid w:val="527E9D8F"/>
    <w:rsid w:val="528FD4F1"/>
    <w:rsid w:val="529D7A19"/>
    <w:rsid w:val="52A93D31"/>
    <w:rsid w:val="52F8E332"/>
    <w:rsid w:val="530D2C6D"/>
    <w:rsid w:val="53121680"/>
    <w:rsid w:val="5313B9B9"/>
    <w:rsid w:val="534A656E"/>
    <w:rsid w:val="535E9553"/>
    <w:rsid w:val="536227C3"/>
    <w:rsid w:val="536AB186"/>
    <w:rsid w:val="537732AF"/>
    <w:rsid w:val="5379B925"/>
    <w:rsid w:val="5399BF24"/>
    <w:rsid w:val="53B6E94E"/>
    <w:rsid w:val="53C03FE8"/>
    <w:rsid w:val="53C57351"/>
    <w:rsid w:val="53CAB89B"/>
    <w:rsid w:val="53DA1845"/>
    <w:rsid w:val="53EE2AEE"/>
    <w:rsid w:val="54014593"/>
    <w:rsid w:val="541D7B44"/>
    <w:rsid w:val="54760905"/>
    <w:rsid w:val="547F7922"/>
    <w:rsid w:val="548224B2"/>
    <w:rsid w:val="548D1550"/>
    <w:rsid w:val="5496521B"/>
    <w:rsid w:val="54A19048"/>
    <w:rsid w:val="54C62AA8"/>
    <w:rsid w:val="54EB3023"/>
    <w:rsid w:val="551A5C52"/>
    <w:rsid w:val="5551C955"/>
    <w:rsid w:val="5587FDC0"/>
    <w:rsid w:val="559671CE"/>
    <w:rsid w:val="5599BC4E"/>
    <w:rsid w:val="55B6B7D1"/>
    <w:rsid w:val="560EAE27"/>
    <w:rsid w:val="560F1407"/>
    <w:rsid w:val="56312BB8"/>
    <w:rsid w:val="5632F763"/>
    <w:rsid w:val="56550DFD"/>
    <w:rsid w:val="5675E6BC"/>
    <w:rsid w:val="5689B59F"/>
    <w:rsid w:val="56935CFC"/>
    <w:rsid w:val="56A84855"/>
    <w:rsid w:val="56C11E94"/>
    <w:rsid w:val="56C9BE83"/>
    <w:rsid w:val="56D2AEC9"/>
    <w:rsid w:val="56E93100"/>
    <w:rsid w:val="57191282"/>
    <w:rsid w:val="5727824F"/>
    <w:rsid w:val="5738E655"/>
    <w:rsid w:val="5762FA12"/>
    <w:rsid w:val="57A773D1"/>
    <w:rsid w:val="57B2B7A4"/>
    <w:rsid w:val="57B7F507"/>
    <w:rsid w:val="57BA48AD"/>
    <w:rsid w:val="57BE11AC"/>
    <w:rsid w:val="57CB0E24"/>
    <w:rsid w:val="57CCC035"/>
    <w:rsid w:val="57DF17E7"/>
    <w:rsid w:val="57F13E5A"/>
    <w:rsid w:val="57F7E00F"/>
    <w:rsid w:val="57F89602"/>
    <w:rsid w:val="583A1AE1"/>
    <w:rsid w:val="58400AD3"/>
    <w:rsid w:val="58466AF1"/>
    <w:rsid w:val="5898BAB8"/>
    <w:rsid w:val="58D4B6B6"/>
    <w:rsid w:val="58E148FF"/>
    <w:rsid w:val="58F861CA"/>
    <w:rsid w:val="58F8B12B"/>
    <w:rsid w:val="58FDC31A"/>
    <w:rsid w:val="596AACB8"/>
    <w:rsid w:val="59828D32"/>
    <w:rsid w:val="59B7512D"/>
    <w:rsid w:val="59B857BA"/>
    <w:rsid w:val="59BC0B69"/>
    <w:rsid w:val="5A129A9C"/>
    <w:rsid w:val="5A167719"/>
    <w:rsid w:val="5A8BC79A"/>
    <w:rsid w:val="5A97567A"/>
    <w:rsid w:val="5AC94CD6"/>
    <w:rsid w:val="5ADB3017"/>
    <w:rsid w:val="5AEEB67D"/>
    <w:rsid w:val="5AF51ABB"/>
    <w:rsid w:val="5B19BB57"/>
    <w:rsid w:val="5B5BE8CA"/>
    <w:rsid w:val="5B60D662"/>
    <w:rsid w:val="5B75523C"/>
    <w:rsid w:val="5B94DF7A"/>
    <w:rsid w:val="5B9A323F"/>
    <w:rsid w:val="5B9CA52C"/>
    <w:rsid w:val="5BA1B683"/>
    <w:rsid w:val="5BAF25A5"/>
    <w:rsid w:val="5BE986F3"/>
    <w:rsid w:val="5BEEFCDE"/>
    <w:rsid w:val="5C0F3508"/>
    <w:rsid w:val="5C3381AF"/>
    <w:rsid w:val="5C6FDD3B"/>
    <w:rsid w:val="5C95E422"/>
    <w:rsid w:val="5C987EC9"/>
    <w:rsid w:val="5CA7B562"/>
    <w:rsid w:val="5CBCA4C0"/>
    <w:rsid w:val="5CC2FD61"/>
    <w:rsid w:val="5CCB42CF"/>
    <w:rsid w:val="5CD08D02"/>
    <w:rsid w:val="5CD79BC3"/>
    <w:rsid w:val="5CD8B395"/>
    <w:rsid w:val="5CE161C4"/>
    <w:rsid w:val="5CE272E1"/>
    <w:rsid w:val="5CF45B56"/>
    <w:rsid w:val="5D57D13D"/>
    <w:rsid w:val="5D5D7B51"/>
    <w:rsid w:val="5D7B540B"/>
    <w:rsid w:val="5D85DAFC"/>
    <w:rsid w:val="5D92646C"/>
    <w:rsid w:val="5D9BA36D"/>
    <w:rsid w:val="5DA68CE5"/>
    <w:rsid w:val="5DB3854C"/>
    <w:rsid w:val="5DB6992F"/>
    <w:rsid w:val="5DB83E5D"/>
    <w:rsid w:val="5DE92DAA"/>
    <w:rsid w:val="5E0377F6"/>
    <w:rsid w:val="5E096203"/>
    <w:rsid w:val="5E0B3C74"/>
    <w:rsid w:val="5E0DAA15"/>
    <w:rsid w:val="5E212001"/>
    <w:rsid w:val="5E27741D"/>
    <w:rsid w:val="5E302B99"/>
    <w:rsid w:val="5E3C6EF3"/>
    <w:rsid w:val="5E427334"/>
    <w:rsid w:val="5E4D5B2F"/>
    <w:rsid w:val="5E64DE06"/>
    <w:rsid w:val="5E7AC8FF"/>
    <w:rsid w:val="5E9A7D7D"/>
    <w:rsid w:val="5EA97D68"/>
    <w:rsid w:val="5EACECAC"/>
    <w:rsid w:val="5EAD2285"/>
    <w:rsid w:val="5ED671D1"/>
    <w:rsid w:val="5F39EE19"/>
    <w:rsid w:val="5F444F67"/>
    <w:rsid w:val="5F49BC09"/>
    <w:rsid w:val="5F5FB2E2"/>
    <w:rsid w:val="5F6089D1"/>
    <w:rsid w:val="5F7CE3CE"/>
    <w:rsid w:val="5F800242"/>
    <w:rsid w:val="5F948651"/>
    <w:rsid w:val="5F966148"/>
    <w:rsid w:val="5FBDCFC5"/>
    <w:rsid w:val="5FBE63BA"/>
    <w:rsid w:val="5FDA0FB5"/>
    <w:rsid w:val="5FF00210"/>
    <w:rsid w:val="5FF22A65"/>
    <w:rsid w:val="60227A43"/>
    <w:rsid w:val="60235833"/>
    <w:rsid w:val="60415833"/>
    <w:rsid w:val="604822E3"/>
    <w:rsid w:val="6058C4AE"/>
    <w:rsid w:val="606F72B2"/>
    <w:rsid w:val="6087811D"/>
    <w:rsid w:val="609C198E"/>
    <w:rsid w:val="60B49C72"/>
    <w:rsid w:val="60C191C7"/>
    <w:rsid w:val="60D100C2"/>
    <w:rsid w:val="60F45C1C"/>
    <w:rsid w:val="60F76ADA"/>
    <w:rsid w:val="610FAA58"/>
    <w:rsid w:val="6135DDCA"/>
    <w:rsid w:val="61386332"/>
    <w:rsid w:val="6142CF2D"/>
    <w:rsid w:val="615F3873"/>
    <w:rsid w:val="61BF28E7"/>
    <w:rsid w:val="61CA9ED4"/>
    <w:rsid w:val="6216AEEF"/>
    <w:rsid w:val="623A3B3A"/>
    <w:rsid w:val="6271BBA1"/>
    <w:rsid w:val="627CAE58"/>
    <w:rsid w:val="6291C516"/>
    <w:rsid w:val="62A8A133"/>
    <w:rsid w:val="62AC6398"/>
    <w:rsid w:val="62AF2EFF"/>
    <w:rsid w:val="62BBFCEA"/>
    <w:rsid w:val="62C0AAA7"/>
    <w:rsid w:val="62C25C77"/>
    <w:rsid w:val="62C74E81"/>
    <w:rsid w:val="62C9B37D"/>
    <w:rsid w:val="62D36BC2"/>
    <w:rsid w:val="62D60137"/>
    <w:rsid w:val="62EB0228"/>
    <w:rsid w:val="62F252B3"/>
    <w:rsid w:val="62FBDD60"/>
    <w:rsid w:val="6303049D"/>
    <w:rsid w:val="63033784"/>
    <w:rsid w:val="6310763D"/>
    <w:rsid w:val="631B361B"/>
    <w:rsid w:val="6334878B"/>
    <w:rsid w:val="633508E7"/>
    <w:rsid w:val="63444080"/>
    <w:rsid w:val="63475D55"/>
    <w:rsid w:val="63643856"/>
    <w:rsid w:val="636C3D3B"/>
    <w:rsid w:val="6381A906"/>
    <w:rsid w:val="638EB8E3"/>
    <w:rsid w:val="63F607BE"/>
    <w:rsid w:val="640D8C02"/>
    <w:rsid w:val="6417695D"/>
    <w:rsid w:val="6424DFFB"/>
    <w:rsid w:val="6438248F"/>
    <w:rsid w:val="64468E3E"/>
    <w:rsid w:val="6482C932"/>
    <w:rsid w:val="64FA37EA"/>
    <w:rsid w:val="65119026"/>
    <w:rsid w:val="65637439"/>
    <w:rsid w:val="656C4568"/>
    <w:rsid w:val="6585F8BE"/>
    <w:rsid w:val="658898F8"/>
    <w:rsid w:val="658E5E56"/>
    <w:rsid w:val="65A248ED"/>
    <w:rsid w:val="65A5183A"/>
    <w:rsid w:val="65B339BE"/>
    <w:rsid w:val="65BB2744"/>
    <w:rsid w:val="65BF5582"/>
    <w:rsid w:val="65DF3DD8"/>
    <w:rsid w:val="65F06945"/>
    <w:rsid w:val="6618B260"/>
    <w:rsid w:val="662ACD70"/>
    <w:rsid w:val="662F3C4A"/>
    <w:rsid w:val="66461B37"/>
    <w:rsid w:val="665D9AF2"/>
    <w:rsid w:val="665EE90C"/>
    <w:rsid w:val="66675F1A"/>
    <w:rsid w:val="666913DA"/>
    <w:rsid w:val="6680DD49"/>
    <w:rsid w:val="66FA63A3"/>
    <w:rsid w:val="66FEDBF3"/>
    <w:rsid w:val="671919AE"/>
    <w:rsid w:val="671ED68D"/>
    <w:rsid w:val="671F9DD3"/>
    <w:rsid w:val="67279CFC"/>
    <w:rsid w:val="67347BB8"/>
    <w:rsid w:val="67423057"/>
    <w:rsid w:val="67B1E7C6"/>
    <w:rsid w:val="67D825E6"/>
    <w:rsid w:val="67DE5E74"/>
    <w:rsid w:val="67E1298D"/>
    <w:rsid w:val="681D51CC"/>
    <w:rsid w:val="682DA11D"/>
    <w:rsid w:val="6842CD12"/>
    <w:rsid w:val="684986FA"/>
    <w:rsid w:val="685CB5D1"/>
    <w:rsid w:val="689D3E6C"/>
    <w:rsid w:val="68A6FB78"/>
    <w:rsid w:val="68BA0A85"/>
    <w:rsid w:val="68C84AB4"/>
    <w:rsid w:val="68D6DD7B"/>
    <w:rsid w:val="68DDB607"/>
    <w:rsid w:val="68FC9E5F"/>
    <w:rsid w:val="693DD37D"/>
    <w:rsid w:val="69424885"/>
    <w:rsid w:val="694F856C"/>
    <w:rsid w:val="6958E76D"/>
    <w:rsid w:val="6968533D"/>
    <w:rsid w:val="6973A030"/>
    <w:rsid w:val="69767497"/>
    <w:rsid w:val="6979C9F7"/>
    <w:rsid w:val="69836670"/>
    <w:rsid w:val="69A43139"/>
    <w:rsid w:val="69BE670E"/>
    <w:rsid w:val="69E0454E"/>
    <w:rsid w:val="6A0666CC"/>
    <w:rsid w:val="6A1FC571"/>
    <w:rsid w:val="6A23561A"/>
    <w:rsid w:val="6A2F53E1"/>
    <w:rsid w:val="6A50C796"/>
    <w:rsid w:val="6A54C657"/>
    <w:rsid w:val="6A6DC89A"/>
    <w:rsid w:val="6A8E387C"/>
    <w:rsid w:val="6AB0B45F"/>
    <w:rsid w:val="6ABDE68C"/>
    <w:rsid w:val="6AC8462C"/>
    <w:rsid w:val="6ACCFC12"/>
    <w:rsid w:val="6AD0A777"/>
    <w:rsid w:val="6ADDB1E1"/>
    <w:rsid w:val="6AEA0732"/>
    <w:rsid w:val="6AF63EBB"/>
    <w:rsid w:val="6AF9BB7D"/>
    <w:rsid w:val="6B0FBCC5"/>
    <w:rsid w:val="6B174981"/>
    <w:rsid w:val="6B19D9D2"/>
    <w:rsid w:val="6B366EC8"/>
    <w:rsid w:val="6B3DAA80"/>
    <w:rsid w:val="6B49DA16"/>
    <w:rsid w:val="6B4A1A3E"/>
    <w:rsid w:val="6B52F0A4"/>
    <w:rsid w:val="6B637D5B"/>
    <w:rsid w:val="6B7A5DCB"/>
    <w:rsid w:val="6B80B142"/>
    <w:rsid w:val="6BB194FD"/>
    <w:rsid w:val="6BB5576E"/>
    <w:rsid w:val="6BD5A2E6"/>
    <w:rsid w:val="6BE6B28C"/>
    <w:rsid w:val="6BEF63F1"/>
    <w:rsid w:val="6C11BDC5"/>
    <w:rsid w:val="6C2A1380"/>
    <w:rsid w:val="6C3258C7"/>
    <w:rsid w:val="6C58420A"/>
    <w:rsid w:val="6C8F8DC9"/>
    <w:rsid w:val="6C98E656"/>
    <w:rsid w:val="6CA52488"/>
    <w:rsid w:val="6CFF96C3"/>
    <w:rsid w:val="6D09F4B1"/>
    <w:rsid w:val="6D2D5D3B"/>
    <w:rsid w:val="6D5AFB11"/>
    <w:rsid w:val="6D66747E"/>
    <w:rsid w:val="6D6EAE0B"/>
    <w:rsid w:val="6D987496"/>
    <w:rsid w:val="6D99C399"/>
    <w:rsid w:val="6D9C3D53"/>
    <w:rsid w:val="6DA3BED1"/>
    <w:rsid w:val="6DB46E48"/>
    <w:rsid w:val="6DB8309E"/>
    <w:rsid w:val="6DCFC43C"/>
    <w:rsid w:val="6DD1BED8"/>
    <w:rsid w:val="6DFCF48F"/>
    <w:rsid w:val="6DFE235D"/>
    <w:rsid w:val="6DFFFAEF"/>
    <w:rsid w:val="6E160D74"/>
    <w:rsid w:val="6E236C6B"/>
    <w:rsid w:val="6E2EB532"/>
    <w:rsid w:val="6E3A66E9"/>
    <w:rsid w:val="6E442F19"/>
    <w:rsid w:val="6E7D4080"/>
    <w:rsid w:val="6E849CE7"/>
    <w:rsid w:val="6E876B84"/>
    <w:rsid w:val="6E9AA845"/>
    <w:rsid w:val="6EC420EB"/>
    <w:rsid w:val="6ED04E35"/>
    <w:rsid w:val="6EE481A0"/>
    <w:rsid w:val="6F0B171D"/>
    <w:rsid w:val="6F3AC8EF"/>
    <w:rsid w:val="6F492D0A"/>
    <w:rsid w:val="6F4D1FAB"/>
    <w:rsid w:val="6F70AE56"/>
    <w:rsid w:val="6F8E5832"/>
    <w:rsid w:val="6F8F2E1C"/>
    <w:rsid w:val="6FB7BF27"/>
    <w:rsid w:val="6FD6387F"/>
    <w:rsid w:val="6FD8933E"/>
    <w:rsid w:val="6FD964D7"/>
    <w:rsid w:val="6FEFC56C"/>
    <w:rsid w:val="7021B937"/>
    <w:rsid w:val="7043E646"/>
    <w:rsid w:val="70636161"/>
    <w:rsid w:val="70740C9B"/>
    <w:rsid w:val="7077F473"/>
    <w:rsid w:val="70845C9B"/>
    <w:rsid w:val="7087D972"/>
    <w:rsid w:val="708E4FAE"/>
    <w:rsid w:val="70E157E8"/>
    <w:rsid w:val="70FAB3FD"/>
    <w:rsid w:val="710C53EF"/>
    <w:rsid w:val="7116D0E1"/>
    <w:rsid w:val="71252437"/>
    <w:rsid w:val="71300859"/>
    <w:rsid w:val="716011E8"/>
    <w:rsid w:val="718049DB"/>
    <w:rsid w:val="71920A83"/>
    <w:rsid w:val="71AA7CA3"/>
    <w:rsid w:val="71AB612A"/>
    <w:rsid w:val="71C8990E"/>
    <w:rsid w:val="71DF48EA"/>
    <w:rsid w:val="71F1B183"/>
    <w:rsid w:val="71FF31C2"/>
    <w:rsid w:val="721B7F89"/>
    <w:rsid w:val="721C2262"/>
    <w:rsid w:val="7256B68C"/>
    <w:rsid w:val="726DF4C4"/>
    <w:rsid w:val="72B5AA79"/>
    <w:rsid w:val="72BB2ECC"/>
    <w:rsid w:val="72C78EAB"/>
    <w:rsid w:val="72CAA599"/>
    <w:rsid w:val="72CF3F82"/>
    <w:rsid w:val="72D272F2"/>
    <w:rsid w:val="7301C764"/>
    <w:rsid w:val="7307AD9F"/>
    <w:rsid w:val="731D19DE"/>
    <w:rsid w:val="733A6D77"/>
    <w:rsid w:val="7360EF90"/>
    <w:rsid w:val="7394D25E"/>
    <w:rsid w:val="739D568E"/>
    <w:rsid w:val="739FCF3E"/>
    <w:rsid w:val="73AB62E1"/>
    <w:rsid w:val="73FC3605"/>
    <w:rsid w:val="740AC359"/>
    <w:rsid w:val="7417DA80"/>
    <w:rsid w:val="741AA525"/>
    <w:rsid w:val="74254551"/>
    <w:rsid w:val="74357AAD"/>
    <w:rsid w:val="744149E1"/>
    <w:rsid w:val="744E0BE2"/>
    <w:rsid w:val="747D059D"/>
    <w:rsid w:val="7485391A"/>
    <w:rsid w:val="7485E906"/>
    <w:rsid w:val="74A04B74"/>
    <w:rsid w:val="74AB6BF4"/>
    <w:rsid w:val="74ACB5A4"/>
    <w:rsid w:val="74D5C506"/>
    <w:rsid w:val="74F655C7"/>
    <w:rsid w:val="74FEC04E"/>
    <w:rsid w:val="750288D2"/>
    <w:rsid w:val="750827BD"/>
    <w:rsid w:val="75093633"/>
    <w:rsid w:val="7516ACC5"/>
    <w:rsid w:val="751A03F1"/>
    <w:rsid w:val="751DAA27"/>
    <w:rsid w:val="7523C7F1"/>
    <w:rsid w:val="7524836A"/>
    <w:rsid w:val="752E7361"/>
    <w:rsid w:val="75371F64"/>
    <w:rsid w:val="753D167C"/>
    <w:rsid w:val="753E03C3"/>
    <w:rsid w:val="754871E8"/>
    <w:rsid w:val="75651819"/>
    <w:rsid w:val="75724B06"/>
    <w:rsid w:val="758C0FB0"/>
    <w:rsid w:val="75A27002"/>
    <w:rsid w:val="75AAA303"/>
    <w:rsid w:val="75BCB7F4"/>
    <w:rsid w:val="75DF9EA4"/>
    <w:rsid w:val="75E3BF6D"/>
    <w:rsid w:val="75F0AC8F"/>
    <w:rsid w:val="75F87708"/>
    <w:rsid w:val="763671B5"/>
    <w:rsid w:val="763C5E59"/>
    <w:rsid w:val="764884AF"/>
    <w:rsid w:val="76618FB9"/>
    <w:rsid w:val="766F17B3"/>
    <w:rsid w:val="7679309C"/>
    <w:rsid w:val="767F7D39"/>
    <w:rsid w:val="76939285"/>
    <w:rsid w:val="769F83E8"/>
    <w:rsid w:val="76A0670C"/>
    <w:rsid w:val="76A70DC4"/>
    <w:rsid w:val="76A867C5"/>
    <w:rsid w:val="76BE5A5C"/>
    <w:rsid w:val="76CB8B82"/>
    <w:rsid w:val="76F259FF"/>
    <w:rsid w:val="76F4735A"/>
    <w:rsid w:val="7724B502"/>
    <w:rsid w:val="7725DBE3"/>
    <w:rsid w:val="7742211C"/>
    <w:rsid w:val="774D9127"/>
    <w:rsid w:val="77AEBFDA"/>
    <w:rsid w:val="77CC715C"/>
    <w:rsid w:val="77EFEB19"/>
    <w:rsid w:val="7855021C"/>
    <w:rsid w:val="78A16CBB"/>
    <w:rsid w:val="78D07603"/>
    <w:rsid w:val="78DE62D7"/>
    <w:rsid w:val="790F1662"/>
    <w:rsid w:val="7910C328"/>
    <w:rsid w:val="791FF731"/>
    <w:rsid w:val="793B5B8E"/>
    <w:rsid w:val="793FD811"/>
    <w:rsid w:val="79421445"/>
    <w:rsid w:val="795A1492"/>
    <w:rsid w:val="799EC248"/>
    <w:rsid w:val="79A237DB"/>
    <w:rsid w:val="79BE4633"/>
    <w:rsid w:val="79C36592"/>
    <w:rsid w:val="79DC8789"/>
    <w:rsid w:val="79E98CB6"/>
    <w:rsid w:val="79F09201"/>
    <w:rsid w:val="79FCEB8A"/>
    <w:rsid w:val="7A1920DE"/>
    <w:rsid w:val="7A29E90C"/>
    <w:rsid w:val="7A8FA8FB"/>
    <w:rsid w:val="7A953AD7"/>
    <w:rsid w:val="7AA240A2"/>
    <w:rsid w:val="7AA4D5C9"/>
    <w:rsid w:val="7AA9BC84"/>
    <w:rsid w:val="7AB3C5CC"/>
    <w:rsid w:val="7AB73090"/>
    <w:rsid w:val="7ABBC691"/>
    <w:rsid w:val="7AC3B5E5"/>
    <w:rsid w:val="7AE49570"/>
    <w:rsid w:val="7AEB0715"/>
    <w:rsid w:val="7B004F20"/>
    <w:rsid w:val="7B15E329"/>
    <w:rsid w:val="7B171DB0"/>
    <w:rsid w:val="7B1DBDB4"/>
    <w:rsid w:val="7B4519DB"/>
    <w:rsid w:val="7B45C2E8"/>
    <w:rsid w:val="7B48D59F"/>
    <w:rsid w:val="7B7E80B7"/>
    <w:rsid w:val="7BC1F978"/>
    <w:rsid w:val="7BC64BDC"/>
    <w:rsid w:val="7BD0F762"/>
    <w:rsid w:val="7BE52F64"/>
    <w:rsid w:val="7BE5DF23"/>
    <w:rsid w:val="7C0651C7"/>
    <w:rsid w:val="7C0B447D"/>
    <w:rsid w:val="7C1B868C"/>
    <w:rsid w:val="7C3D03AE"/>
    <w:rsid w:val="7C4FD921"/>
    <w:rsid w:val="7C55DF3C"/>
    <w:rsid w:val="7C77B6A4"/>
    <w:rsid w:val="7C810BA6"/>
    <w:rsid w:val="7CB3FB55"/>
    <w:rsid w:val="7CB553AB"/>
    <w:rsid w:val="7CCA2057"/>
    <w:rsid w:val="7CE75E5D"/>
    <w:rsid w:val="7CF11AE6"/>
    <w:rsid w:val="7D0A7999"/>
    <w:rsid w:val="7D362EB1"/>
    <w:rsid w:val="7D4FDC8A"/>
    <w:rsid w:val="7D5A424E"/>
    <w:rsid w:val="7D69F6FA"/>
    <w:rsid w:val="7D950FB0"/>
    <w:rsid w:val="7DAC3E55"/>
    <w:rsid w:val="7DE1E009"/>
    <w:rsid w:val="7E0B08B8"/>
    <w:rsid w:val="7E19CEB5"/>
    <w:rsid w:val="7E21B80C"/>
    <w:rsid w:val="7E21D52F"/>
    <w:rsid w:val="7E24558E"/>
    <w:rsid w:val="7E29B005"/>
    <w:rsid w:val="7E387E0F"/>
    <w:rsid w:val="7E470603"/>
    <w:rsid w:val="7E7EC2C1"/>
    <w:rsid w:val="7E7FB1CC"/>
    <w:rsid w:val="7EC30963"/>
    <w:rsid w:val="7EDB4484"/>
    <w:rsid w:val="7EE09B65"/>
    <w:rsid w:val="7EE61D68"/>
    <w:rsid w:val="7F0779D9"/>
    <w:rsid w:val="7F1195C2"/>
    <w:rsid w:val="7F1E5AAE"/>
    <w:rsid w:val="7F254F04"/>
    <w:rsid w:val="7F2F57BD"/>
    <w:rsid w:val="7F34D17E"/>
    <w:rsid w:val="7F38E853"/>
    <w:rsid w:val="7F3AC93A"/>
    <w:rsid w:val="7F6357A1"/>
    <w:rsid w:val="7F6E4FF9"/>
    <w:rsid w:val="7F89ABA9"/>
    <w:rsid w:val="7F9FE8C7"/>
    <w:rsid w:val="7FA2F30D"/>
    <w:rsid w:val="7FC1F342"/>
    <w:rsid w:val="7FC34CB4"/>
    <w:rsid w:val="7FCE2C6D"/>
    <w:rsid w:val="7FE67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5:docId w15:val="{5A9014E2-1167-4D60-A9C2-48AB6F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2"/>
      </w:numPr>
      <w:contextualSpacing/>
    </w:pPr>
  </w:style>
  <w:style w:type="paragraph" w:styleId="ListBullet2">
    <w:name w:val="List Bullet 2"/>
    <w:basedOn w:val="Normal"/>
    <w:uiPriority w:val="99"/>
    <w:semiHidden/>
    <w:unhideWhenUsed/>
    <w:rsid w:val="00793D7F"/>
    <w:pPr>
      <w:numPr>
        <w:numId w:val="3"/>
      </w:numPr>
      <w:contextualSpacing/>
    </w:pPr>
  </w:style>
  <w:style w:type="paragraph" w:styleId="ListBullet3">
    <w:name w:val="List Bullet 3"/>
    <w:basedOn w:val="Normal"/>
    <w:uiPriority w:val="99"/>
    <w:semiHidden/>
    <w:unhideWhenUsed/>
    <w:rsid w:val="00793D7F"/>
    <w:pPr>
      <w:numPr>
        <w:numId w:val="4"/>
      </w:numPr>
      <w:contextualSpacing/>
    </w:pPr>
  </w:style>
  <w:style w:type="paragraph" w:styleId="ListBullet4">
    <w:name w:val="List Bullet 4"/>
    <w:basedOn w:val="Normal"/>
    <w:uiPriority w:val="99"/>
    <w:semiHidden/>
    <w:unhideWhenUsed/>
    <w:rsid w:val="00793D7F"/>
    <w:pPr>
      <w:numPr>
        <w:numId w:val="5"/>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6"/>
      </w:numPr>
      <w:contextualSpacing/>
    </w:pPr>
  </w:style>
  <w:style w:type="paragraph" w:styleId="ListNumber2">
    <w:name w:val="List Number 2"/>
    <w:basedOn w:val="Normal"/>
    <w:uiPriority w:val="99"/>
    <w:semiHidden/>
    <w:unhideWhenUsed/>
    <w:rsid w:val="00344D76"/>
    <w:pPr>
      <w:numPr>
        <w:numId w:val="7"/>
      </w:numPr>
      <w:contextualSpacing/>
    </w:pPr>
  </w:style>
  <w:style w:type="paragraph" w:styleId="ListNumber3">
    <w:name w:val="List Number 3"/>
    <w:basedOn w:val="Normal"/>
    <w:uiPriority w:val="99"/>
    <w:semiHidden/>
    <w:unhideWhenUsed/>
    <w:rsid w:val="00344D76"/>
    <w:pPr>
      <w:numPr>
        <w:numId w:val="8"/>
      </w:numPr>
      <w:contextualSpacing/>
    </w:pPr>
  </w:style>
  <w:style w:type="paragraph" w:styleId="ListNumber4">
    <w:name w:val="List Number 4"/>
    <w:basedOn w:val="Normal"/>
    <w:uiPriority w:val="99"/>
    <w:semiHidden/>
    <w:unhideWhenUsed/>
    <w:rsid w:val="00344D76"/>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t-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pt-PT"/>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pt-PT"/>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004EC6"/>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857B9B"/>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E50095"/>
    <w:rPr>
      <w:color w:val="800080"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7A141C"/>
  </w:style>
  <w:style w:type="character" w:customStyle="1" w:styleId="eop">
    <w:name w:val="eop"/>
    <w:basedOn w:val="DefaultParagraphFont"/>
    <w:rsid w:val="007A141C"/>
  </w:style>
  <w:style w:type="character" w:customStyle="1" w:styleId="markedcontent">
    <w:name w:val="markedcontent"/>
    <w:basedOn w:val="DefaultParagraphFont"/>
    <w:rsid w:val="00B21854"/>
  </w:style>
  <w:style w:type="paragraph" w:styleId="Header">
    <w:name w:val="header"/>
    <w:basedOn w:val="Normal"/>
    <w:link w:val="HeaderChar"/>
    <w:uiPriority w:val="99"/>
    <w:unhideWhenUsed/>
    <w:rsid w:val="009B03DF"/>
    <w:pPr>
      <w:tabs>
        <w:tab w:val="center" w:pos="4535"/>
        <w:tab w:val="right" w:pos="9071"/>
      </w:tabs>
      <w:spacing w:before="0"/>
    </w:pPr>
  </w:style>
  <w:style w:type="character" w:customStyle="1" w:styleId="HeaderChar">
    <w:name w:val="Header Char"/>
    <w:basedOn w:val="DefaultParagraphFont"/>
    <w:link w:val="Header"/>
    <w:uiPriority w:val="99"/>
    <w:rsid w:val="009B03DF"/>
    <w:rPr>
      <w:rFonts w:ascii="Times New Roman" w:hAnsi="Times New Roman" w:cs="Times New Roman"/>
      <w:sz w:val="24"/>
      <w:lang w:val="pt-PT"/>
    </w:rPr>
  </w:style>
  <w:style w:type="paragraph" w:styleId="Footer">
    <w:name w:val="footer"/>
    <w:basedOn w:val="Normal"/>
    <w:link w:val="FooterChar"/>
    <w:uiPriority w:val="99"/>
    <w:unhideWhenUsed/>
    <w:rsid w:val="009B03D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B03DF"/>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B03DF"/>
    <w:pPr>
      <w:tabs>
        <w:tab w:val="center" w:pos="7285"/>
        <w:tab w:val="right" w:pos="14003"/>
      </w:tabs>
      <w:spacing w:before="0"/>
    </w:pPr>
  </w:style>
  <w:style w:type="paragraph" w:customStyle="1" w:styleId="FooterLandscape">
    <w:name w:val="FooterLandscape"/>
    <w:basedOn w:val="Normal"/>
    <w:rsid w:val="009B03D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B03D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03DF"/>
    <w:pPr>
      <w:spacing w:before="0"/>
      <w:jc w:val="right"/>
    </w:pPr>
    <w:rPr>
      <w:sz w:val="28"/>
    </w:rPr>
  </w:style>
  <w:style w:type="paragraph" w:customStyle="1" w:styleId="FooterSensitivity">
    <w:name w:val="Footer Sensitivity"/>
    <w:basedOn w:val="Normal"/>
    <w:rsid w:val="009B03D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4C05FF"/>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70107">
      <w:bodyDiv w:val="1"/>
      <w:marLeft w:val="0"/>
      <w:marRight w:val="0"/>
      <w:marTop w:val="0"/>
      <w:marBottom w:val="0"/>
      <w:divBdr>
        <w:top w:val="none" w:sz="0" w:space="0" w:color="auto"/>
        <w:left w:val="none" w:sz="0" w:space="0" w:color="auto"/>
        <w:bottom w:val="none" w:sz="0" w:space="0" w:color="auto"/>
        <w:right w:val="none" w:sz="0" w:space="0" w:color="auto"/>
      </w:divBdr>
    </w:div>
    <w:div w:id="670572607">
      <w:bodyDiv w:val="1"/>
      <w:marLeft w:val="0"/>
      <w:marRight w:val="0"/>
      <w:marTop w:val="0"/>
      <w:marBottom w:val="0"/>
      <w:divBdr>
        <w:top w:val="none" w:sz="0" w:space="0" w:color="auto"/>
        <w:left w:val="none" w:sz="0" w:space="0" w:color="auto"/>
        <w:bottom w:val="none" w:sz="0" w:space="0" w:color="auto"/>
        <w:right w:val="none" w:sz="0" w:space="0" w:color="auto"/>
      </w:divBdr>
    </w:div>
    <w:div w:id="1095713177">
      <w:bodyDiv w:val="1"/>
      <w:marLeft w:val="0"/>
      <w:marRight w:val="0"/>
      <w:marTop w:val="0"/>
      <w:marBottom w:val="0"/>
      <w:divBdr>
        <w:top w:val="none" w:sz="0" w:space="0" w:color="auto"/>
        <w:left w:val="none" w:sz="0" w:space="0" w:color="auto"/>
        <w:bottom w:val="none" w:sz="0" w:space="0" w:color="auto"/>
        <w:right w:val="none" w:sz="0" w:space="0" w:color="auto"/>
      </w:divBdr>
    </w:div>
    <w:div w:id="1162500200">
      <w:bodyDiv w:val="1"/>
      <w:marLeft w:val="0"/>
      <w:marRight w:val="0"/>
      <w:marTop w:val="0"/>
      <w:marBottom w:val="0"/>
      <w:divBdr>
        <w:top w:val="none" w:sz="0" w:space="0" w:color="auto"/>
        <w:left w:val="none" w:sz="0" w:space="0" w:color="auto"/>
        <w:bottom w:val="none" w:sz="0" w:space="0" w:color="auto"/>
        <w:right w:val="none" w:sz="0" w:space="0" w:color="auto"/>
      </w:divBdr>
    </w:div>
    <w:div w:id="1330524931">
      <w:bodyDiv w:val="1"/>
      <w:marLeft w:val="0"/>
      <w:marRight w:val="0"/>
      <w:marTop w:val="0"/>
      <w:marBottom w:val="0"/>
      <w:divBdr>
        <w:top w:val="none" w:sz="0" w:space="0" w:color="auto"/>
        <w:left w:val="none" w:sz="0" w:space="0" w:color="auto"/>
        <w:bottom w:val="none" w:sz="0" w:space="0" w:color="auto"/>
        <w:right w:val="none" w:sz="0" w:space="0" w:color="auto"/>
      </w:divBdr>
    </w:div>
    <w:div w:id="1530801478">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334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D28839EA-1E5C-4CFA-8875-60F500877975}">
    <t:Anchor>
      <t:Comment id="1137350387"/>
    </t:Anchor>
    <t:History>
      <t:Event id="{5537BF9A-15A0-482F-9B57-6328A56D1080}" time="2023-04-18T10:54:15.311Z">
        <t:Attribution userId="S::marianne.grima@ec.europa.eu::8fcb137e-49bc-4d08-bbdd-b4a2853c4b6f" userProvider="AD" userName="GRIMA Marianne (ECFIN)"/>
        <t:Anchor>
          <t:Comment id="335107875"/>
        </t:Anchor>
        <t:Create/>
      </t:Event>
      <t:Event id="{A0366A7F-C748-4189-BFEF-33D1DF2F7FD2}" time="2023-04-18T10:54:15.311Z">
        <t:Attribution userId="S::marianne.grima@ec.europa.eu::8fcb137e-49bc-4d08-bbdd-b4a2853c4b6f" userProvider="AD" userName="GRIMA Marianne (ECFIN)"/>
        <t:Anchor>
          <t:Comment id="335107875"/>
        </t:Anchor>
        <t:Assign userId="S::Dino.PINELLI@ec.europa.eu::b5a04e57-2f42-492d-9be4-b47771a2347e" userProvider="AD" userName="PINELLI Dino (ECFIN)"/>
      </t:Event>
      <t:Event id="{AA882636-F92E-4933-B0B7-0DA85FD3758C}" time="2023-04-18T10:54:15.311Z">
        <t:Attribution userId="S::marianne.grima@ec.europa.eu::8fcb137e-49bc-4d08-bbdd-b4a2853c4b6f" userProvider="AD" userName="GRIMA Marianne (ECFIN)"/>
        <t:Anchor>
          <t:Comment id="335107875"/>
        </t:Anchor>
        <t:SetTitle title="@PINELLI Dino (ECFIN), just to confirm this final text with you (as there's a typo in the current formulation] In addition, the EU minimum tax Directive ensuring a minimum 15% effective corporate taxation for large corporations, SHOULD be transposed …"/>
      </t:Event>
      <t:Event id="{3AF98A30-6E41-40AB-9613-E05394C1CBF5}" time="2023-04-18T16:15:30.032Z">
        <t:Attribution userId="S::marianne.grima@ec.europa.eu::8fcb137e-49bc-4d08-bbdd-b4a2853c4b6f" userProvider="AD" userName="GRIMA Marianne (ECF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3533703895D964F9A76F3E97F8A1C24" ma:contentTypeVersion="5" ma:contentTypeDescription="Create a new document in this library." ma:contentTypeScope="" ma:versionID="be81afbe349d2a130a075f0d902a160f">
  <xsd:schema xmlns:xsd="http://www.w3.org/2001/XMLSchema" xmlns:xs="http://www.w3.org/2001/XMLSchema" xmlns:p="http://schemas.microsoft.com/office/2006/metadata/properties" xmlns:ns2="http://schemas.microsoft.com/sharepoint/v3/fields" xmlns:ns3="9d23c325-700d-40fa-82c8-eebc198f0ab2" xmlns:ns4="b0e4217b-6a25-4bb6-b226-fd0b2189a869" targetNamespace="http://schemas.microsoft.com/office/2006/metadata/properties" ma:root="true" ma:fieldsID="4c1f29c6a9cd69aaf725145ff19aa83a" ns2:_="" ns3:_="" ns4:_="">
    <xsd:import namespace="http://schemas.microsoft.com/sharepoint/v3/fields"/>
    <xsd:import namespace="9d23c325-700d-40fa-82c8-eebc198f0ab2"/>
    <xsd:import namespace="b0e4217b-6a25-4bb6-b226-fd0b2189a86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23c325-700d-40fa-82c8-eebc198f0a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217b-6a25-4bb6-b226-fd0b2189a8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d23c325-700d-40fa-82c8-eebc198f0ab2">EN</EC_Collab_DocumentLanguage>
    <EC_ARES_TRANSFERRED_BY xmlns="9d23c325-700d-40fa-82c8-eebc198f0ab2" xsi:nil="true"/>
    <EC_ARES_DATE_TRANSFERRED xmlns="9d23c325-700d-40fa-82c8-eebc198f0ab2" xsi:nil="true"/>
    <EC_ARES_NUMBER xmlns="9d23c325-700d-40fa-82c8-eebc198f0ab2">
      <Url xsi:nil="true"/>
      <Description xsi:nil="true"/>
    </EC_ARES_NUMBER>
    <EC_Collab_Reference xmlns="9d23c325-700d-40fa-82c8-eebc198f0ab2" xsi:nil="true"/>
    <EC_Collab_Status xmlns="9d23c325-700d-40fa-82c8-eebc198f0ab2">Not Started</EC_Collab_Statu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E5EA4-EA4D-4015-9711-05124A40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23c325-700d-40fa-82c8-eebc198f0ab2"/>
    <ds:schemaRef ds:uri="b0e4217b-6a25-4bb6-b226-fd0b218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2D87B-3DD2-4064-817C-4262C4755B23}">
  <ds:schemaRefs>
    <ds:schemaRef ds:uri="9d23c325-700d-40fa-82c8-eebc198f0ab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e4217b-6a25-4bb6-b226-fd0b2189a869"/>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BBD59677-216F-4EA8-9EF2-3CDB5368CA4E}">
  <ds:schemaRefs>
    <ds:schemaRef ds:uri="http://schemas.microsoft.com/sharepoint/v3/contenttype/forms"/>
  </ds:schemaRefs>
</ds:datastoreItem>
</file>

<file path=customXml/itemProps4.xml><?xml version="1.0" encoding="utf-8"?>
<ds:datastoreItem xmlns:ds="http://schemas.openxmlformats.org/officeDocument/2006/customXml" ds:itemID="{054ED86E-E660-4829-80D5-0B70DFE3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14</Pages>
  <Words>6229</Words>
  <Characters>33580</Characters>
  <Application>Microsoft Office Word</Application>
  <DocSecurity>0</DocSecurity>
  <Lines>533</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58</cp:revision>
  <dcterms:created xsi:type="dcterms:W3CDTF">2023-05-21T15:00:00Z</dcterms:created>
  <dcterms:modified xsi:type="dcterms:W3CDTF">2023-06-02T15:28:00Z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0x010100258AA79CEB83498886A3A0868112325000A3533703895D964F9A76F3E97F8A1C24</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2023-02-27T16:49:23Z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c02d7eb0-c71f-4890-869a-1781fd9c287c</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