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documenttasks/documenttasks1.xml" ContentType="application/vnd.ms-office.documenttask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7318D0" w14:textId="4BB0C206" w:rsidR="00F16A2C" w:rsidRDefault="009D18A0" w:rsidP="009D18A0">
      <w:pPr>
        <w:pStyle w:val="Pagedecouverture"/>
        <w:rPr>
          <w:noProof/>
        </w:rPr>
      </w:pPr>
      <w:bookmarkStart w:id="0" w:name="LW_BM_COVERPAGE"/>
      <w:r>
        <w:rPr>
          <w:noProof/>
        </w:rPr>
        <w:pict w14:anchorId="27794B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233FF183-0445-4B25-83BE-B15D132996DD" style="width:455.25pt;height:425.25pt">
            <v:imagedata r:id="rId11" o:title=""/>
          </v:shape>
        </w:pict>
      </w:r>
    </w:p>
    <w:bookmarkEnd w:id="0"/>
    <w:p w14:paraId="4E8B9637" w14:textId="77777777" w:rsidR="00F16A2C" w:rsidRDefault="00F16A2C">
      <w:pPr>
        <w:rPr>
          <w:noProof/>
        </w:rPr>
        <w:sectPr w:rsidR="00F16A2C" w:rsidSect="009D18A0">
          <w:headerReference w:type="even" r:id="rId12"/>
          <w:headerReference w:type="default" r:id="rId13"/>
          <w:footerReference w:type="even" r:id="rId14"/>
          <w:footerReference w:type="default" r:id="rId15"/>
          <w:headerReference w:type="first" r:id="rId16"/>
          <w:footerReference w:type="first" r:id="rId17"/>
          <w:pgSz w:w="11907" w:h="16839"/>
          <w:pgMar w:top="1134" w:right="1417" w:bottom="1134" w:left="1417" w:header="709" w:footer="709" w:gutter="0"/>
          <w:pgNumType w:start="0"/>
          <w:cols w:space="720"/>
          <w:docGrid w:linePitch="360"/>
        </w:sectPr>
      </w:pPr>
    </w:p>
    <w:p w14:paraId="4E696D23" w14:textId="77777777" w:rsidR="00B07FC0" w:rsidRDefault="00B07FC0" w:rsidP="00B07FC0">
      <w:pPr>
        <w:rPr>
          <w:noProof/>
        </w:rPr>
      </w:pPr>
      <w:bookmarkStart w:id="1" w:name="_GoBack"/>
      <w:bookmarkEnd w:id="1"/>
      <w:r>
        <w:rPr>
          <w:noProof/>
        </w:rPr>
        <w:lastRenderedPageBreak/>
        <w:t>Tendo em conta:</w:t>
      </w:r>
    </w:p>
    <w:p w14:paraId="3D8CA857" w14:textId="77777777" w:rsidR="00B07FC0" w:rsidRPr="00B07FC0" w:rsidRDefault="00B07FC0" w:rsidP="00B07FC0">
      <w:pPr>
        <w:pStyle w:val="Tiret0"/>
        <w:tabs>
          <w:tab w:val="clear" w:pos="850"/>
          <w:tab w:val="num" w:pos="1004"/>
        </w:tabs>
        <w:rPr>
          <w:noProof/>
          <w:lang w:val="pt-PT"/>
        </w:rPr>
      </w:pPr>
      <w:r w:rsidRPr="00B07FC0">
        <w:rPr>
          <w:noProof/>
          <w:lang w:val="pt-PT"/>
        </w:rPr>
        <w:t>o Tratado sobre o Funcionamento da União Europeia, nomeadamente o artigo 314.º, conjugado com o Tratado que institui a Comunidade Europeia da Energia Atómica, nomeadamente o artigo 106.º-A,</w:t>
      </w:r>
    </w:p>
    <w:p w14:paraId="5822D62A" w14:textId="77777777" w:rsidR="00B07FC0" w:rsidRPr="00B07FC0" w:rsidRDefault="00B07FC0" w:rsidP="00B07FC0">
      <w:pPr>
        <w:pStyle w:val="Tiret0"/>
        <w:rPr>
          <w:noProof/>
          <w:lang w:val="pt-PT"/>
        </w:rPr>
      </w:pPr>
      <w:r w:rsidRPr="00B07FC0">
        <w:rPr>
          <w:noProof/>
          <w:lang w:val="pt-PT"/>
        </w:rPr>
        <w:t>a Decisão (UE, Euratom) 2020/2053 do Conselho, de 14 de dezembro de 2020, relativa ao sistema de recursos próprios da União Europeia</w:t>
      </w:r>
      <w:r>
        <w:rPr>
          <w:rStyle w:val="FootnoteReference"/>
          <w:noProof/>
        </w:rPr>
        <w:footnoteReference w:id="2"/>
      </w:r>
      <w:r w:rsidRPr="00B07FC0">
        <w:rPr>
          <w:noProof/>
          <w:lang w:val="pt-PT"/>
        </w:rPr>
        <w:t>, que entrou em vigor em 1 de junho de 2021,</w:t>
      </w:r>
    </w:p>
    <w:p w14:paraId="4B7EEAD0" w14:textId="77777777" w:rsidR="00B07FC0" w:rsidRPr="00B07FC0" w:rsidRDefault="00B07FC0" w:rsidP="00B07FC0">
      <w:pPr>
        <w:pStyle w:val="Tiret0"/>
        <w:tabs>
          <w:tab w:val="clear" w:pos="850"/>
          <w:tab w:val="num" w:pos="927"/>
        </w:tabs>
        <w:rPr>
          <w:rFonts w:cs="Arial"/>
          <w:noProof/>
          <w:lang w:val="pt-PT"/>
        </w:rPr>
      </w:pPr>
      <w:r w:rsidRPr="00B07FC0">
        <w:rPr>
          <w:noProof/>
          <w:lang w:val="pt-PT"/>
        </w:rPr>
        <w:t>o Regulamento (UE, Euratom) 2018/1046 do Parlamento Europeu e do Conselho, de 18 de julho de 2018, relativo às disposições financeiras aplicáveis ao orçamento geral da União (…)</w:t>
      </w:r>
      <w:r>
        <w:rPr>
          <w:rStyle w:val="FootnoteReference"/>
          <w:noProof/>
        </w:rPr>
        <w:footnoteReference w:id="3"/>
      </w:r>
      <w:r w:rsidRPr="00B07FC0">
        <w:rPr>
          <w:noProof/>
          <w:lang w:val="pt-PT"/>
        </w:rPr>
        <w:t>, nomeadamente o artigo 42.º,</w:t>
      </w:r>
    </w:p>
    <w:p w14:paraId="5F031A6F" w14:textId="77777777" w:rsidR="00B07FC0" w:rsidRPr="00B07FC0" w:rsidRDefault="00B07FC0" w:rsidP="00B07FC0">
      <w:pPr>
        <w:pStyle w:val="Tiret0"/>
        <w:tabs>
          <w:tab w:val="clear" w:pos="850"/>
          <w:tab w:val="num" w:pos="927"/>
        </w:tabs>
        <w:rPr>
          <w:noProof/>
          <w:lang w:val="pt-PT"/>
        </w:rPr>
      </w:pPr>
      <w:r w:rsidRPr="00B07FC0">
        <w:rPr>
          <w:noProof/>
          <w:lang w:val="pt-PT"/>
        </w:rPr>
        <w:t>o projeto de orçamento geral da União Europeia para o exercício de 2024, adotado pela Comissão em 5 de julho de 2023</w:t>
      </w:r>
      <w:r>
        <w:rPr>
          <w:rStyle w:val="FootnoteReference"/>
          <w:noProof/>
        </w:rPr>
        <w:footnoteReference w:id="4"/>
      </w:r>
      <w:r w:rsidRPr="00B07FC0">
        <w:rPr>
          <w:noProof/>
          <w:lang w:val="pt-PT"/>
        </w:rPr>
        <w:t>,</w:t>
      </w:r>
    </w:p>
    <w:p w14:paraId="1519EB3E" w14:textId="77777777" w:rsidR="00B07FC0" w:rsidRPr="00B07FC0" w:rsidRDefault="00B07FC0" w:rsidP="00B07FC0">
      <w:pPr>
        <w:spacing w:after="600"/>
        <w:jc w:val="both"/>
        <w:rPr>
          <w:noProof/>
          <w:lang w:val="pt-PT"/>
        </w:rPr>
      </w:pPr>
      <w:r w:rsidRPr="00B07FC0">
        <w:rPr>
          <w:noProof/>
          <w:lang w:val="pt-PT"/>
        </w:rPr>
        <w:t>a Comissão Europeia vem apresentar ao Parlamento Europeu e ao Conselho a carta retificativa n.º 1 do projeto de orçamento geral da União Europeia para o exercício de 2024, pelas razões indicadas na exposição de motivos.</w:t>
      </w:r>
    </w:p>
    <w:p w14:paraId="1E6277FA" w14:textId="77777777" w:rsidR="00B07FC0" w:rsidRPr="00B07FC0" w:rsidRDefault="00B07FC0" w:rsidP="00B07FC0">
      <w:pPr>
        <w:spacing w:after="240"/>
        <w:jc w:val="both"/>
        <w:rPr>
          <w:b/>
          <w:noProof/>
          <w:u w:val="single"/>
          <w:lang w:val="pt-PT"/>
        </w:rPr>
      </w:pPr>
      <w:r w:rsidRPr="00B07FC0">
        <w:rPr>
          <w:b/>
          <w:noProof/>
          <w:u w:val="single"/>
          <w:lang w:val="pt-PT"/>
        </w:rPr>
        <w:t>ALTERAÇÕES DO MAPA DE RECEITAS E DESPESAS POR SECÇÃO</w:t>
      </w:r>
    </w:p>
    <w:p w14:paraId="42A16C1D" w14:textId="77777777" w:rsidR="00B07FC0" w:rsidRPr="00B07FC0" w:rsidRDefault="00B07FC0" w:rsidP="00B07FC0">
      <w:pPr>
        <w:jc w:val="both"/>
        <w:rPr>
          <w:noProof/>
          <w:lang w:val="pt-PT"/>
        </w:rPr>
      </w:pPr>
      <w:r w:rsidRPr="00B07FC0">
        <w:rPr>
          <w:noProof/>
          <w:lang w:val="pt-PT"/>
        </w:rPr>
        <w:t>As alterações do mapa geral de receitas e despesas e dos mapas de receitas e despesas por secção estão disponíveis na base Eur-Lex (</w:t>
      </w:r>
      <w:hyperlink r:id="rId18" w:history="1">
        <w:r w:rsidRPr="00B07FC0">
          <w:rPr>
            <w:rStyle w:val="Hyperlink"/>
            <w:noProof/>
            <w:color w:val="auto"/>
            <w:lang w:val="pt-PT"/>
          </w:rPr>
          <w:t>https://eur-lex.europa.eu/budget/www/index-pt.htm</w:t>
        </w:r>
      </w:hyperlink>
      <w:r w:rsidRPr="00B07FC0">
        <w:rPr>
          <w:noProof/>
          <w:lang w:val="pt-PT"/>
        </w:rPr>
        <w:t>). A versão em língua inglesa das alterações deste mapa é apensa enquanto anexo orçamental, a título informativo.</w:t>
      </w:r>
    </w:p>
    <w:p w14:paraId="45BD7A83" w14:textId="77777777" w:rsidR="00B07FC0" w:rsidRPr="00B07FC0" w:rsidRDefault="00B07FC0" w:rsidP="00B07FC0">
      <w:pPr>
        <w:rPr>
          <w:noProof/>
          <w:lang w:val="pt-PT"/>
        </w:rPr>
        <w:sectPr w:rsidR="00B07FC0" w:rsidRPr="00B07FC0" w:rsidSect="00263D8F">
          <w:headerReference w:type="even" r:id="rId19"/>
          <w:headerReference w:type="default" r:id="rId20"/>
          <w:footerReference w:type="even" r:id="rId21"/>
          <w:footerReference w:type="default" r:id="rId22"/>
          <w:headerReference w:type="first" r:id="rId23"/>
          <w:footerReference w:type="first" r:id="rId24"/>
          <w:pgSz w:w="11907" w:h="16839"/>
          <w:pgMar w:top="1418" w:right="1418" w:bottom="1418" w:left="1418" w:header="709" w:footer="709" w:gutter="0"/>
          <w:cols w:space="720"/>
          <w:docGrid w:linePitch="360"/>
        </w:sectPr>
      </w:pPr>
    </w:p>
    <w:p w14:paraId="1111D599" w14:textId="77777777" w:rsidR="00B07FC0" w:rsidRPr="00B07FC0" w:rsidRDefault="00B07FC0" w:rsidP="00B07FC0">
      <w:pPr>
        <w:pStyle w:val="ManualHeading1"/>
        <w:spacing w:before="240"/>
        <w:ind w:left="0" w:firstLine="0"/>
        <w:rPr>
          <w:noProof/>
          <w:lang w:val="pt-PT"/>
        </w:rPr>
      </w:pPr>
      <w:bookmarkStart w:id="2" w:name="_Toc462410042"/>
      <w:bookmarkStart w:id="3" w:name="_Toc526753779"/>
      <w:bookmarkStart w:id="4" w:name="_Toc54770308"/>
      <w:bookmarkStart w:id="5" w:name="_Toc55807118"/>
      <w:bookmarkStart w:id="6" w:name="_Toc114838626"/>
      <w:bookmarkStart w:id="7" w:name="_Toc145922819"/>
      <w:bookmarkStart w:id="8" w:name="_Toc294675429"/>
      <w:bookmarkStart w:id="9" w:name="_Toc272133653"/>
      <w:bookmarkStart w:id="10" w:name="_Toc294673202"/>
      <w:bookmarkStart w:id="11" w:name="_Toc318365572"/>
      <w:bookmarkStart w:id="12" w:name="_Toc361649893"/>
      <w:bookmarkStart w:id="13" w:name="_Toc387301589"/>
      <w:bookmarkStart w:id="14" w:name="_Toc385506031"/>
      <w:bookmarkStart w:id="15" w:name="_Toc430865946"/>
      <w:bookmarkStart w:id="16" w:name="_Toc430867524"/>
      <w:bookmarkStart w:id="17" w:name="_Toc463264162"/>
      <w:bookmarkStart w:id="18" w:name="_Toc351469332"/>
      <w:bookmarkStart w:id="19" w:name="_Toc361649879"/>
      <w:r w:rsidRPr="00B07FC0">
        <w:rPr>
          <w:noProof/>
          <w:lang w:val="pt-PT"/>
        </w:rPr>
        <w:t>1.</w:t>
      </w:r>
      <w:r w:rsidRPr="00B07FC0">
        <w:rPr>
          <w:noProof/>
          <w:lang w:val="pt-PT"/>
        </w:rPr>
        <w:tab/>
      </w:r>
      <w:bookmarkEnd w:id="2"/>
      <w:bookmarkEnd w:id="3"/>
      <w:bookmarkEnd w:id="4"/>
      <w:bookmarkEnd w:id="5"/>
      <w:r w:rsidRPr="00B07FC0">
        <w:rPr>
          <w:noProof/>
          <w:lang w:val="pt-PT"/>
        </w:rPr>
        <w:t>Introdução</w:t>
      </w:r>
      <w:bookmarkEnd w:id="6"/>
      <w:bookmarkEnd w:id="7"/>
    </w:p>
    <w:bookmarkEnd w:id="8"/>
    <w:bookmarkEnd w:id="9"/>
    <w:bookmarkEnd w:id="10"/>
    <w:bookmarkEnd w:id="11"/>
    <w:bookmarkEnd w:id="12"/>
    <w:bookmarkEnd w:id="13"/>
    <w:bookmarkEnd w:id="14"/>
    <w:bookmarkEnd w:id="15"/>
    <w:bookmarkEnd w:id="16"/>
    <w:bookmarkEnd w:id="17"/>
    <w:bookmarkEnd w:id="18"/>
    <w:bookmarkEnd w:id="19"/>
    <w:p w14:paraId="743C1889" w14:textId="77777777" w:rsidR="00B07FC0" w:rsidRPr="00B07FC0" w:rsidRDefault="00B07FC0" w:rsidP="00B07FC0">
      <w:pPr>
        <w:spacing w:before="120" w:after="120"/>
        <w:jc w:val="both"/>
        <w:rPr>
          <w:noProof/>
          <w:lang w:val="pt-PT"/>
        </w:rPr>
      </w:pPr>
      <w:r w:rsidRPr="00B07FC0">
        <w:rPr>
          <w:noProof/>
          <w:lang w:val="pt-PT"/>
        </w:rPr>
        <w:t>A presente carta retificativa n.º 1 (CR 1/2024) do projeto de orçamento de 2024 (PO de 2024) contempla os seguintes elementos:</w:t>
      </w:r>
    </w:p>
    <w:p w14:paraId="40862453" w14:textId="77777777" w:rsidR="00B07FC0" w:rsidRPr="00B07FC0" w:rsidRDefault="00B07FC0" w:rsidP="00B07FC0">
      <w:pPr>
        <w:pStyle w:val="ListParagraph"/>
        <w:numPr>
          <w:ilvl w:val="0"/>
          <w:numId w:val="13"/>
        </w:numPr>
        <w:spacing w:before="120" w:after="120" w:line="240" w:lineRule="auto"/>
        <w:ind w:left="357" w:hanging="357"/>
        <w:jc w:val="both"/>
        <w:rPr>
          <w:rFonts w:ascii="Times New Roman" w:eastAsia="Times New Roman" w:hAnsi="Times New Roman"/>
          <w:noProof/>
          <w:sz w:val="24"/>
          <w:szCs w:val="24"/>
          <w:lang w:val="pt-PT"/>
        </w:rPr>
      </w:pPr>
      <w:r w:rsidRPr="00B07FC0">
        <w:rPr>
          <w:rFonts w:ascii="Times New Roman" w:hAnsi="Times New Roman"/>
          <w:noProof/>
          <w:sz w:val="24"/>
          <w:lang w:val="pt-PT"/>
        </w:rPr>
        <w:t>Revisão em baixa das necessidades da rubrica de juros relativa ao NextGenerationEU, no contexto de um nível de desembolsos do NextGenerationEU inferior ao estimado em 2023;</w:t>
      </w:r>
    </w:p>
    <w:p w14:paraId="752C54FF" w14:textId="77777777" w:rsidR="00B07FC0" w:rsidRPr="00B07FC0" w:rsidRDefault="00B07FC0" w:rsidP="00B07FC0">
      <w:pPr>
        <w:numPr>
          <w:ilvl w:val="0"/>
          <w:numId w:val="13"/>
        </w:numPr>
        <w:spacing w:before="120" w:after="120"/>
        <w:jc w:val="both"/>
        <w:rPr>
          <w:noProof/>
          <w:szCs w:val="20"/>
          <w:lang w:val="pt-PT"/>
        </w:rPr>
      </w:pPr>
      <w:r w:rsidRPr="00B07FC0">
        <w:rPr>
          <w:noProof/>
          <w:lang w:val="pt-PT"/>
        </w:rPr>
        <w:t>Atualização das necessidades estimadas, das receitas afetadas e das dotações para as despesas agrícolas. Para além das variações dos fatores de mercado, a CR n.º 1/2024 tem igualmente em conta o impacto das decisões adotadas no setor agrícola desde a adoção do PO de 2024, em julho de 2023, bem como outras propostas que se prevê virem a ter um efeito significativo durante o exercício financeiro;</w:t>
      </w:r>
    </w:p>
    <w:p w14:paraId="40C5BA77" w14:textId="77777777" w:rsidR="00B07FC0" w:rsidRPr="00B07FC0" w:rsidRDefault="00B07FC0" w:rsidP="00B07FC0">
      <w:pPr>
        <w:numPr>
          <w:ilvl w:val="0"/>
          <w:numId w:val="13"/>
        </w:numPr>
        <w:spacing w:before="120" w:after="120"/>
        <w:jc w:val="both"/>
        <w:rPr>
          <w:noProof/>
          <w:lang w:val="pt-PT"/>
        </w:rPr>
      </w:pPr>
      <w:r w:rsidRPr="00B07FC0">
        <w:rPr>
          <w:noProof/>
          <w:lang w:val="pt-PT"/>
        </w:rPr>
        <w:t>Atualização das necessidades estimadas dos acordos de parceria no domínio da pesca sustentável (APPS), tendo em conta o acordo recentemente assinado e o protocolo conexo com a República de Madagáscar e o novo protocolo com a República de Quiribáti, que entrou em aplicação provisória em 2 de outubro de 2023;</w:t>
      </w:r>
    </w:p>
    <w:p w14:paraId="7C8F3C92" w14:textId="77777777" w:rsidR="00B07FC0" w:rsidRPr="00B07FC0" w:rsidRDefault="00B07FC0" w:rsidP="00B07FC0">
      <w:pPr>
        <w:numPr>
          <w:ilvl w:val="0"/>
          <w:numId w:val="13"/>
        </w:numPr>
        <w:spacing w:before="120" w:after="120"/>
        <w:jc w:val="both"/>
        <w:rPr>
          <w:noProof/>
          <w:lang w:val="pt-PT"/>
        </w:rPr>
      </w:pPr>
      <w:r w:rsidRPr="00B07FC0">
        <w:rPr>
          <w:noProof/>
          <w:lang w:val="pt-PT"/>
        </w:rPr>
        <w:t>Ajustamentos do nível das dotações e/ou do pessoal de várias agências descentralizadas, em especial a Agência da União Europeia para a Cooperação Judiciária Penal (Eurojust), a Agência da União Europeia para a Gestão Operacional de Sistemas Informáticos de Grande Escala no Espaço de Liberdade, Segurança e Justiça (eu-LISA) e a Procuradoria Europeia, tendo em conta os mais recentes desenvolvimentos legislativos ou políticos das suas operações em 2024 e os montantes a transferir das rubricas de reserva para as rubricas operacionais na sequência da adoção de propostas legislativas;</w:t>
      </w:r>
    </w:p>
    <w:p w14:paraId="1E13A8F9" w14:textId="77777777" w:rsidR="00B07FC0" w:rsidRPr="00B07FC0" w:rsidRDefault="00B07FC0" w:rsidP="00B07FC0">
      <w:pPr>
        <w:pStyle w:val="ListParagraph"/>
        <w:numPr>
          <w:ilvl w:val="0"/>
          <w:numId w:val="13"/>
        </w:numPr>
        <w:spacing w:before="120" w:after="120" w:line="240" w:lineRule="auto"/>
        <w:ind w:left="357" w:hanging="357"/>
        <w:jc w:val="both"/>
        <w:rPr>
          <w:rFonts w:ascii="Times New Roman" w:eastAsia="Times New Roman" w:hAnsi="Times New Roman"/>
          <w:noProof/>
          <w:sz w:val="24"/>
          <w:szCs w:val="24"/>
          <w:lang w:val="pt-PT"/>
        </w:rPr>
      </w:pPr>
      <w:r w:rsidRPr="00B07FC0">
        <w:rPr>
          <w:rFonts w:ascii="Times New Roman" w:hAnsi="Times New Roman"/>
          <w:noProof/>
          <w:sz w:val="24"/>
          <w:lang w:val="pt-PT"/>
        </w:rPr>
        <w:t>Transferência de recursos do Fundo Europeu de Desenvolvimento Regional (FEDER) para o Horizonte Europa na sequência de um pedido correspondente apresentado pela Lituânia no sentido de alterar o seu programa do FEDER nos termos do artigo 26.º do Regulamento Disposições Comuns</w:t>
      </w:r>
      <w:r>
        <w:rPr>
          <w:rStyle w:val="FootnoteReference"/>
          <w:rFonts w:ascii="Times New Roman" w:eastAsia="Times New Roman" w:hAnsi="Times New Roman"/>
          <w:noProof/>
          <w:sz w:val="24"/>
          <w:szCs w:val="24"/>
          <w:lang w:val="en-GB"/>
        </w:rPr>
        <w:footnoteReference w:id="5"/>
      </w:r>
      <w:r w:rsidRPr="00B07FC0">
        <w:rPr>
          <w:rFonts w:ascii="Times New Roman" w:hAnsi="Times New Roman"/>
          <w:noProof/>
          <w:sz w:val="24"/>
          <w:lang w:val="pt-PT"/>
        </w:rPr>
        <w:t>;</w:t>
      </w:r>
    </w:p>
    <w:p w14:paraId="73461CB7" w14:textId="77777777" w:rsidR="00B07FC0" w:rsidRPr="00B07FC0" w:rsidRDefault="00B07FC0" w:rsidP="00B07FC0">
      <w:pPr>
        <w:numPr>
          <w:ilvl w:val="0"/>
          <w:numId w:val="13"/>
        </w:numPr>
        <w:spacing w:before="120" w:after="120"/>
        <w:jc w:val="both"/>
        <w:rPr>
          <w:noProof/>
          <w:lang w:val="pt-PT"/>
        </w:rPr>
      </w:pPr>
      <w:r w:rsidRPr="00B07FC0">
        <w:rPr>
          <w:noProof/>
          <w:lang w:val="pt-PT"/>
        </w:rPr>
        <w:t>Ajustamentos da rubrica 7 «Administração Pública Europeia», nomeadamente em relação ao Serviço Europeu para a Ação Externa (SEAE), a fim de reforçar a Capacidade Militar de Planeamento e Condução (CMPC), incluindo o aumento do pessoal e o reforço do sistema de comunicação e informação, bem como outros pequenos ajustamentos da rubrica.</w:t>
      </w:r>
    </w:p>
    <w:p w14:paraId="63C88486" w14:textId="77777777" w:rsidR="00B07FC0" w:rsidRPr="00B07FC0" w:rsidRDefault="00B07FC0" w:rsidP="00B07FC0">
      <w:pPr>
        <w:numPr>
          <w:ilvl w:val="0"/>
          <w:numId w:val="13"/>
        </w:numPr>
        <w:spacing w:before="120" w:after="120"/>
        <w:jc w:val="both"/>
        <w:rPr>
          <w:noProof/>
          <w:lang w:val="pt-PT"/>
        </w:rPr>
      </w:pPr>
      <w:r w:rsidRPr="00B07FC0">
        <w:rPr>
          <w:noProof/>
          <w:lang w:val="pt-PT"/>
        </w:rPr>
        <w:t>Montantes a transferir da rubrica de reserva para a rubrica operacional relativa à Ação de Apoio à Produção de Munições (ASAP) e ao instrumento para reforçar a indústria europeia da defesa através da contratação conjunta (EDIRPA), na sequência da adoção dos atos de base.</w:t>
      </w:r>
    </w:p>
    <w:p w14:paraId="1E910630" w14:textId="77777777" w:rsidR="00B07FC0" w:rsidRPr="00B07FC0" w:rsidRDefault="00B07FC0" w:rsidP="00B07FC0">
      <w:pPr>
        <w:spacing w:after="200"/>
        <w:jc w:val="both"/>
        <w:rPr>
          <w:noProof/>
          <w:szCs w:val="20"/>
          <w:lang w:val="pt-PT"/>
        </w:rPr>
      </w:pPr>
      <w:bookmarkStart w:id="20" w:name="_Toc463264163"/>
      <w:r w:rsidRPr="00B07FC0">
        <w:rPr>
          <w:noProof/>
          <w:lang w:val="pt-PT"/>
        </w:rPr>
        <w:t>Globalmente, o impacto líquido da CR n.º 1/2024 nas despesas do PO de 2024 corresponde a uma diminuição de 67,4 milhões de EUR em dotações de autorização e de pagamento.</w:t>
      </w:r>
    </w:p>
    <w:p w14:paraId="3CA71C6E" w14:textId="77777777" w:rsidR="00B07FC0" w:rsidRPr="00B07FC0" w:rsidRDefault="00B07FC0" w:rsidP="00B07FC0">
      <w:pPr>
        <w:spacing w:before="120" w:after="120" w:line="259" w:lineRule="auto"/>
        <w:jc w:val="both"/>
        <w:rPr>
          <w:noProof/>
          <w:szCs w:val="20"/>
          <w:lang w:val="pt-PT"/>
        </w:rPr>
      </w:pPr>
      <w:bookmarkStart w:id="21" w:name="_Toc526753780"/>
      <w:r w:rsidRPr="00B07FC0">
        <w:rPr>
          <w:noProof/>
          <w:lang w:val="pt-PT"/>
        </w:rPr>
        <w:t xml:space="preserve">Nas secções seguintes, são dadas mais informações sobre cada componente. </w:t>
      </w:r>
    </w:p>
    <w:p w14:paraId="71FA7C41" w14:textId="77777777" w:rsidR="00B07FC0" w:rsidRPr="00B07FC0" w:rsidRDefault="00B07FC0" w:rsidP="00B07FC0">
      <w:pPr>
        <w:spacing w:before="120" w:after="120" w:line="259" w:lineRule="auto"/>
        <w:jc w:val="both"/>
        <w:rPr>
          <w:noProof/>
          <w:szCs w:val="20"/>
          <w:lang w:val="pt-PT"/>
        </w:rPr>
      </w:pPr>
      <w:r w:rsidRPr="00B07FC0">
        <w:rPr>
          <w:noProof/>
          <w:lang w:val="pt-PT"/>
        </w:rPr>
        <w:t>As rubricas orçamentais em causa são descritos em pormenor no anexo orçamental, juntamente com a atualização das receitas resultante das alterações das despesas incluídas na presente carta retificativa.</w:t>
      </w:r>
    </w:p>
    <w:p w14:paraId="317DB0B7" w14:textId="77777777" w:rsidR="00B07FC0" w:rsidRPr="00B07FC0" w:rsidRDefault="00B07FC0" w:rsidP="00B07FC0">
      <w:pPr>
        <w:pStyle w:val="ManualHeading1"/>
        <w:ind w:left="0" w:firstLine="0"/>
        <w:rPr>
          <w:noProof/>
          <w:lang w:val="pt-PT"/>
        </w:rPr>
      </w:pPr>
      <w:bookmarkStart w:id="22" w:name="_Toc54770319"/>
      <w:bookmarkStart w:id="23" w:name="_Toc55807129"/>
      <w:bookmarkStart w:id="24" w:name="_Toc114838628"/>
      <w:bookmarkStart w:id="25" w:name="_Toc145922820"/>
      <w:bookmarkStart w:id="26" w:name="_Hlk111642919"/>
      <w:bookmarkStart w:id="27" w:name="_Hlk109912676"/>
      <w:r w:rsidRPr="00B07FC0">
        <w:rPr>
          <w:noProof/>
          <w:lang w:val="pt-PT"/>
        </w:rPr>
        <w:t>2.</w:t>
      </w:r>
      <w:r w:rsidRPr="00B07FC0">
        <w:rPr>
          <w:noProof/>
          <w:lang w:val="pt-PT"/>
        </w:rPr>
        <w:tab/>
      </w:r>
      <w:bookmarkEnd w:id="22"/>
      <w:bookmarkEnd w:id="23"/>
      <w:r w:rsidRPr="00B07FC0">
        <w:rPr>
          <w:noProof/>
          <w:lang w:val="pt-PT"/>
        </w:rPr>
        <w:t>Custos de financiamento do NextGenerationEU</w:t>
      </w:r>
      <w:bookmarkEnd w:id="24"/>
      <w:bookmarkEnd w:id="25"/>
    </w:p>
    <w:p w14:paraId="3DF133EC" w14:textId="77777777" w:rsidR="00B07FC0" w:rsidRPr="00B07FC0" w:rsidRDefault="00B07FC0" w:rsidP="00B07FC0">
      <w:pPr>
        <w:spacing w:before="120" w:after="120" w:line="259" w:lineRule="auto"/>
        <w:jc w:val="both"/>
        <w:rPr>
          <w:noProof/>
          <w:lang w:val="pt-PT"/>
        </w:rPr>
      </w:pPr>
      <w:bookmarkStart w:id="28" w:name="_Hlk115359835"/>
      <w:r w:rsidRPr="00B07FC0">
        <w:rPr>
          <w:noProof/>
          <w:lang w:val="pt-PT"/>
        </w:rPr>
        <w:t>No contexto do PO de 2024, a Comissão propôs um reforço da rubrica de juros do IRUE em 1,9 mil milhões de EUR em comparação com a programação financeira para 2024, com base nas projeções das taxas de juro e dos desembolsos do IRUE até ao final de 2023, tal como se apresentavam nessa altura.</w:t>
      </w:r>
    </w:p>
    <w:p w14:paraId="6961BD99" w14:textId="77777777" w:rsidR="00B07FC0" w:rsidRPr="00B07FC0" w:rsidRDefault="00B07FC0" w:rsidP="00B07FC0">
      <w:pPr>
        <w:spacing w:before="120" w:after="120" w:line="259" w:lineRule="auto"/>
        <w:jc w:val="both"/>
        <w:rPr>
          <w:noProof/>
          <w:lang w:val="pt-PT"/>
        </w:rPr>
      </w:pPr>
      <w:r w:rsidRPr="00B07FC0">
        <w:rPr>
          <w:noProof/>
          <w:lang w:val="pt-PT"/>
        </w:rPr>
        <w:t xml:space="preserve">As projeções mais recentes relativas à rubrica do IRUE de 8 de setembro de 2023 apontam para um montante total de desembolsos relativamente ao apoio não reembolsável em 2023 de 79,9 mil milhões de EUR, o que representa uma diminuição de cerca de 3 mil milhões de EUR em comparação com o plano de desembolsos tido em conta no quadro do PO de 2024. Neste novo cenário, que tem igualmente em conta taxas de juro ligeiramente mais elevadas e um aumento de 10 milhões de EUR do montante que pode transitar do exercício de 2023, o custo estimado da rubrica de juros é de 3 790 milhões de EUR, ou seja, uma diminuição de 74 milhões de EUR. A Comissão propõe reduzir em conformidade o nível das dotações de autorização e de pagamento da rubrica de juros do IRUE. </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5132"/>
        <w:gridCol w:w="1701"/>
        <w:gridCol w:w="1701"/>
      </w:tblGrid>
      <w:tr w:rsidR="00B07FC0" w:rsidRPr="00B31192" w14:paraId="325F54B7" w14:textId="77777777" w:rsidTr="00433C4E">
        <w:trPr>
          <w:jc w:val="center"/>
        </w:trPr>
        <w:tc>
          <w:tcPr>
            <w:tcW w:w="9810" w:type="dxa"/>
            <w:gridSpan w:val="4"/>
            <w:tcBorders>
              <w:top w:val="nil"/>
              <w:left w:val="nil"/>
              <w:bottom w:val="single" w:sz="4" w:space="0" w:color="auto"/>
              <w:right w:val="nil"/>
            </w:tcBorders>
            <w:shd w:val="clear" w:color="auto" w:fill="auto"/>
            <w:vAlign w:val="center"/>
          </w:tcPr>
          <w:p w14:paraId="65B380C1" w14:textId="77777777" w:rsidR="00B07FC0" w:rsidRPr="00B31192" w:rsidRDefault="00B07FC0" w:rsidP="00433C4E">
            <w:pPr>
              <w:widowControl w:val="0"/>
              <w:spacing w:before="15" w:after="15"/>
              <w:jc w:val="right"/>
              <w:rPr>
                <w:i/>
                <w:noProof/>
                <w:sz w:val="20"/>
                <w:szCs w:val="20"/>
              </w:rPr>
            </w:pPr>
            <w:bookmarkStart w:id="29" w:name="_Hlk111646182"/>
            <w:bookmarkEnd w:id="28"/>
            <w:r>
              <w:rPr>
                <w:i/>
                <w:noProof/>
                <w:sz w:val="20"/>
              </w:rPr>
              <w:t>EUR</w:t>
            </w:r>
          </w:p>
        </w:tc>
      </w:tr>
      <w:tr w:rsidR="00B07FC0" w:rsidRPr="00B31192" w14:paraId="2D786477" w14:textId="77777777" w:rsidTr="00433C4E">
        <w:trPr>
          <w:jc w:val="center"/>
        </w:trPr>
        <w:tc>
          <w:tcPr>
            <w:tcW w:w="1276" w:type="dxa"/>
            <w:tcBorders>
              <w:top w:val="single" w:sz="4" w:space="0" w:color="auto"/>
            </w:tcBorders>
            <w:shd w:val="clear" w:color="auto" w:fill="D9D9D9" w:themeFill="background1" w:themeFillShade="D9"/>
            <w:vAlign w:val="center"/>
          </w:tcPr>
          <w:p w14:paraId="0E41B9D7" w14:textId="77777777" w:rsidR="00B07FC0" w:rsidRPr="00B31192" w:rsidRDefault="00B07FC0" w:rsidP="00433C4E">
            <w:pPr>
              <w:keepNext/>
              <w:spacing w:before="15" w:after="15"/>
              <w:jc w:val="center"/>
              <w:rPr>
                <w:b/>
                <w:noProof/>
                <w:sz w:val="20"/>
                <w:szCs w:val="20"/>
              </w:rPr>
            </w:pPr>
            <w:r>
              <w:rPr>
                <w:b/>
                <w:noProof/>
                <w:sz w:val="20"/>
              </w:rPr>
              <w:t>Rubrica orçamental</w:t>
            </w:r>
          </w:p>
        </w:tc>
        <w:tc>
          <w:tcPr>
            <w:tcW w:w="5132" w:type="dxa"/>
            <w:tcBorders>
              <w:top w:val="single" w:sz="4" w:space="0" w:color="auto"/>
            </w:tcBorders>
            <w:shd w:val="clear" w:color="auto" w:fill="D9D9D9" w:themeFill="background1" w:themeFillShade="D9"/>
            <w:vAlign w:val="center"/>
          </w:tcPr>
          <w:p w14:paraId="0A8319EB" w14:textId="77777777" w:rsidR="00B07FC0" w:rsidRPr="00B31192" w:rsidRDefault="00B07FC0" w:rsidP="00433C4E">
            <w:pPr>
              <w:widowControl w:val="0"/>
              <w:spacing w:before="15" w:after="15"/>
              <w:jc w:val="center"/>
              <w:rPr>
                <w:b/>
                <w:noProof/>
                <w:sz w:val="20"/>
                <w:szCs w:val="20"/>
              </w:rPr>
            </w:pPr>
            <w:r>
              <w:rPr>
                <w:b/>
                <w:noProof/>
                <w:sz w:val="20"/>
              </w:rPr>
              <w:t>Nome</w:t>
            </w:r>
          </w:p>
        </w:tc>
        <w:tc>
          <w:tcPr>
            <w:tcW w:w="1701" w:type="dxa"/>
            <w:tcBorders>
              <w:top w:val="single" w:sz="4" w:space="0" w:color="auto"/>
            </w:tcBorders>
            <w:shd w:val="clear" w:color="auto" w:fill="D9D9D9" w:themeFill="background1" w:themeFillShade="D9"/>
            <w:vAlign w:val="center"/>
          </w:tcPr>
          <w:p w14:paraId="6285F14F" w14:textId="77777777" w:rsidR="00B07FC0" w:rsidRPr="00B31192" w:rsidRDefault="00B07FC0" w:rsidP="00433C4E">
            <w:pPr>
              <w:widowControl w:val="0"/>
              <w:spacing w:before="15" w:after="15"/>
              <w:jc w:val="center"/>
              <w:rPr>
                <w:b/>
                <w:noProof/>
                <w:sz w:val="20"/>
                <w:szCs w:val="20"/>
              </w:rPr>
            </w:pPr>
            <w:r>
              <w:rPr>
                <w:b/>
                <w:noProof/>
                <w:sz w:val="20"/>
              </w:rPr>
              <w:t>Dotações de autorização</w:t>
            </w:r>
          </w:p>
        </w:tc>
        <w:tc>
          <w:tcPr>
            <w:tcW w:w="1701" w:type="dxa"/>
            <w:tcBorders>
              <w:top w:val="single" w:sz="4" w:space="0" w:color="auto"/>
            </w:tcBorders>
            <w:shd w:val="clear" w:color="auto" w:fill="D9D9D9" w:themeFill="background1" w:themeFillShade="D9"/>
            <w:vAlign w:val="center"/>
          </w:tcPr>
          <w:p w14:paraId="47875298" w14:textId="77777777" w:rsidR="00B07FC0" w:rsidRPr="00B31192" w:rsidRDefault="00B07FC0" w:rsidP="00433C4E">
            <w:pPr>
              <w:widowControl w:val="0"/>
              <w:spacing w:before="15" w:after="15"/>
              <w:jc w:val="center"/>
              <w:rPr>
                <w:b/>
                <w:noProof/>
                <w:sz w:val="20"/>
                <w:szCs w:val="20"/>
              </w:rPr>
            </w:pPr>
            <w:r>
              <w:rPr>
                <w:b/>
                <w:noProof/>
                <w:sz w:val="20"/>
              </w:rPr>
              <w:t>Dotações de pagamento</w:t>
            </w:r>
          </w:p>
        </w:tc>
      </w:tr>
      <w:tr w:rsidR="00B07FC0" w:rsidRPr="00B31192" w14:paraId="33674846" w14:textId="77777777" w:rsidTr="00433C4E">
        <w:trPr>
          <w:jc w:val="center"/>
        </w:trPr>
        <w:tc>
          <w:tcPr>
            <w:tcW w:w="9810" w:type="dxa"/>
            <w:gridSpan w:val="4"/>
            <w:shd w:val="clear" w:color="auto" w:fill="F2F2F2" w:themeFill="background1" w:themeFillShade="F2"/>
            <w:vAlign w:val="center"/>
          </w:tcPr>
          <w:p w14:paraId="7EB2FB80" w14:textId="77777777" w:rsidR="00B07FC0" w:rsidRPr="00B31192" w:rsidRDefault="00B07FC0" w:rsidP="00433C4E">
            <w:pPr>
              <w:widowControl w:val="0"/>
              <w:spacing w:before="15" w:after="15"/>
              <w:rPr>
                <w:i/>
                <w:noProof/>
                <w:sz w:val="20"/>
                <w:szCs w:val="20"/>
              </w:rPr>
            </w:pPr>
            <w:r>
              <w:rPr>
                <w:i/>
                <w:noProof/>
                <w:sz w:val="20"/>
              </w:rPr>
              <w:t>Secção III – Comissão</w:t>
            </w:r>
          </w:p>
        </w:tc>
      </w:tr>
      <w:tr w:rsidR="00B07FC0" w:rsidRPr="00B31192" w14:paraId="6597FCC6" w14:textId="77777777" w:rsidTr="00433C4E">
        <w:trPr>
          <w:jc w:val="center"/>
        </w:trPr>
        <w:tc>
          <w:tcPr>
            <w:tcW w:w="1276" w:type="dxa"/>
          </w:tcPr>
          <w:p w14:paraId="1C4C7921" w14:textId="77777777" w:rsidR="00B07FC0" w:rsidRPr="000C3AD9" w:rsidRDefault="00B07FC0" w:rsidP="00433C4E">
            <w:pPr>
              <w:widowControl w:val="0"/>
              <w:spacing w:before="15" w:after="15"/>
              <w:ind w:right="-113"/>
              <w:jc w:val="both"/>
              <w:rPr>
                <w:noProof/>
                <w:sz w:val="16"/>
                <w:szCs w:val="16"/>
              </w:rPr>
            </w:pPr>
            <w:r>
              <w:rPr>
                <w:noProof/>
                <w:sz w:val="16"/>
              </w:rPr>
              <w:t>06 04 01</w:t>
            </w:r>
          </w:p>
        </w:tc>
        <w:tc>
          <w:tcPr>
            <w:tcW w:w="5132" w:type="dxa"/>
          </w:tcPr>
          <w:p w14:paraId="3CCF9658" w14:textId="77777777" w:rsidR="00B07FC0" w:rsidRPr="00B07FC0" w:rsidRDefault="00B07FC0" w:rsidP="00433C4E">
            <w:pPr>
              <w:widowControl w:val="0"/>
              <w:tabs>
                <w:tab w:val="left" w:pos="1350"/>
              </w:tabs>
              <w:spacing w:before="15" w:after="15"/>
              <w:jc w:val="both"/>
              <w:rPr>
                <w:i/>
                <w:noProof/>
                <w:sz w:val="16"/>
                <w:szCs w:val="16"/>
                <w:lang w:val="pt-PT"/>
              </w:rPr>
            </w:pPr>
            <w:r w:rsidRPr="00B07FC0">
              <w:rPr>
                <w:noProof/>
                <w:sz w:val="16"/>
                <w:lang w:val="pt-PT"/>
              </w:rPr>
              <w:t>Instrumento de Recuperação da União Europeia (IRUE) — Pagamento dos cupões periódicos e resgate no termo do vencimento</w:t>
            </w:r>
          </w:p>
        </w:tc>
        <w:tc>
          <w:tcPr>
            <w:tcW w:w="1701" w:type="dxa"/>
          </w:tcPr>
          <w:p w14:paraId="02C78005" w14:textId="77777777" w:rsidR="00B07FC0" w:rsidRPr="000C3AD9" w:rsidRDefault="00B07FC0" w:rsidP="00433C4E">
            <w:pPr>
              <w:widowControl w:val="0"/>
              <w:spacing w:before="15" w:after="15"/>
              <w:jc w:val="right"/>
              <w:rPr>
                <w:noProof/>
                <w:sz w:val="16"/>
                <w:szCs w:val="16"/>
              </w:rPr>
            </w:pPr>
            <w:r>
              <w:rPr>
                <w:noProof/>
                <w:sz w:val="16"/>
              </w:rPr>
              <w:t>-74 000 000</w:t>
            </w:r>
          </w:p>
        </w:tc>
        <w:tc>
          <w:tcPr>
            <w:tcW w:w="1701" w:type="dxa"/>
          </w:tcPr>
          <w:p w14:paraId="3A86EF52" w14:textId="77777777" w:rsidR="00B07FC0" w:rsidRPr="000C3AD9" w:rsidRDefault="00B07FC0" w:rsidP="00433C4E">
            <w:pPr>
              <w:widowControl w:val="0"/>
              <w:spacing w:before="15" w:after="15"/>
              <w:jc w:val="right"/>
              <w:rPr>
                <w:noProof/>
                <w:sz w:val="16"/>
                <w:szCs w:val="16"/>
              </w:rPr>
            </w:pPr>
            <w:r>
              <w:rPr>
                <w:noProof/>
                <w:sz w:val="16"/>
              </w:rPr>
              <w:t>-74 000 000</w:t>
            </w:r>
          </w:p>
        </w:tc>
      </w:tr>
      <w:tr w:rsidR="00B07FC0" w:rsidRPr="00B31192" w14:paraId="064899A6" w14:textId="77777777" w:rsidTr="00433C4E">
        <w:trPr>
          <w:jc w:val="center"/>
        </w:trPr>
        <w:tc>
          <w:tcPr>
            <w:tcW w:w="6408" w:type="dxa"/>
            <w:gridSpan w:val="2"/>
            <w:shd w:val="clear" w:color="auto" w:fill="D9D9D9" w:themeFill="background1" w:themeFillShade="D9"/>
          </w:tcPr>
          <w:p w14:paraId="12C91C90" w14:textId="77777777" w:rsidR="00B07FC0" w:rsidRPr="000C3AD9" w:rsidRDefault="00B07FC0" w:rsidP="00433C4E">
            <w:pPr>
              <w:widowControl w:val="0"/>
              <w:spacing w:before="15" w:after="15"/>
              <w:ind w:right="-113"/>
              <w:jc w:val="both"/>
              <w:rPr>
                <w:b/>
                <w:noProof/>
                <w:sz w:val="20"/>
                <w:szCs w:val="20"/>
              </w:rPr>
            </w:pPr>
            <w:r>
              <w:rPr>
                <w:b/>
                <w:noProof/>
                <w:sz w:val="20"/>
              </w:rPr>
              <w:t>Total</w:t>
            </w:r>
            <w:r>
              <w:rPr>
                <w:noProof/>
              </w:rPr>
              <w:tab/>
            </w:r>
          </w:p>
        </w:tc>
        <w:tc>
          <w:tcPr>
            <w:tcW w:w="1701" w:type="dxa"/>
            <w:shd w:val="clear" w:color="auto" w:fill="D9D9D9" w:themeFill="background1" w:themeFillShade="D9"/>
          </w:tcPr>
          <w:p w14:paraId="4859719D" w14:textId="77777777" w:rsidR="00B07FC0" w:rsidRPr="000C3AD9" w:rsidRDefault="00B07FC0" w:rsidP="00433C4E">
            <w:pPr>
              <w:widowControl w:val="0"/>
              <w:spacing w:before="15" w:after="15"/>
              <w:jc w:val="right"/>
              <w:rPr>
                <w:b/>
                <w:bCs/>
                <w:noProof/>
                <w:sz w:val="20"/>
                <w:szCs w:val="20"/>
              </w:rPr>
            </w:pPr>
            <w:r>
              <w:rPr>
                <w:b/>
                <w:noProof/>
                <w:sz w:val="20"/>
              </w:rPr>
              <w:t>-74 000 000</w:t>
            </w:r>
          </w:p>
        </w:tc>
        <w:tc>
          <w:tcPr>
            <w:tcW w:w="1701" w:type="dxa"/>
            <w:shd w:val="clear" w:color="auto" w:fill="D9D9D9" w:themeFill="background1" w:themeFillShade="D9"/>
          </w:tcPr>
          <w:p w14:paraId="2A6881CF" w14:textId="77777777" w:rsidR="00B07FC0" w:rsidRPr="000C3AD9" w:rsidRDefault="00B07FC0" w:rsidP="00433C4E">
            <w:pPr>
              <w:widowControl w:val="0"/>
              <w:spacing w:before="15" w:after="15"/>
              <w:jc w:val="right"/>
              <w:rPr>
                <w:b/>
                <w:bCs/>
                <w:noProof/>
                <w:sz w:val="20"/>
                <w:szCs w:val="20"/>
              </w:rPr>
            </w:pPr>
            <w:r>
              <w:rPr>
                <w:b/>
                <w:noProof/>
                <w:sz w:val="20"/>
              </w:rPr>
              <w:t>-74 000 000</w:t>
            </w:r>
          </w:p>
        </w:tc>
      </w:tr>
      <w:bookmarkEnd w:id="29"/>
    </w:tbl>
    <w:p w14:paraId="2A3B38AB" w14:textId="77777777" w:rsidR="00B07FC0" w:rsidRDefault="00B07FC0" w:rsidP="00B07FC0">
      <w:pPr>
        <w:spacing w:before="120" w:after="120"/>
        <w:jc w:val="both"/>
        <w:rPr>
          <w:noProof/>
          <w:lang w:eastAsia="de-DE"/>
        </w:rPr>
      </w:pPr>
    </w:p>
    <w:p w14:paraId="3CF9B6E9" w14:textId="77777777" w:rsidR="00B07FC0" w:rsidRPr="00B07FC0" w:rsidRDefault="00B07FC0" w:rsidP="00B07FC0">
      <w:pPr>
        <w:spacing w:before="120" w:after="120"/>
        <w:jc w:val="both"/>
        <w:rPr>
          <w:noProof/>
          <w:lang w:val="pt-PT"/>
        </w:rPr>
      </w:pPr>
      <w:r w:rsidRPr="00B07FC0">
        <w:rPr>
          <w:noProof/>
          <w:lang w:val="pt-PT"/>
        </w:rPr>
        <w:t>Com a redução proposta, o recurso ao Instrumento de Margem Único no âmbito da sub-rubrica 2B seria reduzido em 72,0 milhões de EUR, passando para 300,8 milhões de EUR.</w:t>
      </w:r>
    </w:p>
    <w:p w14:paraId="52EAEABA" w14:textId="77777777" w:rsidR="00B07FC0" w:rsidRPr="00B07FC0" w:rsidRDefault="00B07FC0" w:rsidP="00B07FC0">
      <w:pPr>
        <w:pStyle w:val="ManualHeading1"/>
        <w:ind w:left="0" w:firstLine="0"/>
        <w:rPr>
          <w:noProof/>
          <w:lang w:val="pt-PT"/>
        </w:rPr>
      </w:pPr>
      <w:bookmarkStart w:id="30" w:name="_Toc54770320"/>
      <w:bookmarkStart w:id="31" w:name="_Toc55807130"/>
      <w:bookmarkStart w:id="32" w:name="_Toc114838631"/>
      <w:bookmarkStart w:id="33" w:name="_Toc145922821"/>
      <w:bookmarkEnd w:id="26"/>
      <w:bookmarkEnd w:id="27"/>
      <w:r w:rsidRPr="00B07FC0">
        <w:rPr>
          <w:noProof/>
          <w:lang w:val="pt-PT"/>
        </w:rPr>
        <w:t>3.</w:t>
      </w:r>
      <w:r w:rsidRPr="00B07FC0">
        <w:rPr>
          <w:noProof/>
          <w:lang w:val="pt-PT"/>
        </w:rPr>
        <w:tab/>
        <w:t>Fundo Europeu Agrícola de Garantia (FEAGA)</w:t>
      </w:r>
      <w:bookmarkEnd w:id="30"/>
      <w:bookmarkEnd w:id="31"/>
      <w:bookmarkEnd w:id="32"/>
      <w:bookmarkEnd w:id="33"/>
    </w:p>
    <w:p w14:paraId="193BB27F" w14:textId="77777777" w:rsidR="00B07FC0" w:rsidRPr="00B07FC0" w:rsidRDefault="00B07FC0" w:rsidP="00B07FC0">
      <w:pPr>
        <w:autoSpaceDE w:val="0"/>
        <w:autoSpaceDN w:val="0"/>
        <w:adjustRightInd w:val="0"/>
        <w:spacing w:before="120" w:after="120" w:line="259" w:lineRule="auto"/>
        <w:jc w:val="both"/>
        <w:rPr>
          <w:noProof/>
          <w:lang w:val="pt-PT"/>
        </w:rPr>
      </w:pPr>
      <w:bookmarkStart w:id="34" w:name="_Toc462933829"/>
      <w:bookmarkStart w:id="35" w:name="_Toc462935190"/>
      <w:bookmarkStart w:id="36" w:name="_Toc462935292"/>
      <w:bookmarkStart w:id="37" w:name="_Toc462935340"/>
      <w:bookmarkStart w:id="38" w:name="_Toc462935497"/>
      <w:bookmarkStart w:id="39" w:name="_Toc463004731"/>
      <w:bookmarkStart w:id="40" w:name="_Toc463264164"/>
      <w:bookmarkStart w:id="41" w:name="_Toc463376628"/>
      <w:bookmarkStart w:id="42" w:name="_Toc463438680"/>
      <w:bookmarkStart w:id="43" w:name="_Toc463438848"/>
      <w:bookmarkStart w:id="44" w:name="_Toc463462765"/>
      <w:bookmarkStart w:id="45" w:name="_Toc463974150"/>
      <w:bookmarkStart w:id="46" w:name="_Toc464028191"/>
      <w:bookmarkStart w:id="47" w:name="_Toc462933830"/>
      <w:bookmarkStart w:id="48" w:name="_Toc462935191"/>
      <w:bookmarkStart w:id="49" w:name="_Toc462935293"/>
      <w:bookmarkStart w:id="50" w:name="_Toc462935341"/>
      <w:bookmarkStart w:id="51" w:name="_Toc462935498"/>
      <w:bookmarkStart w:id="52" w:name="_Toc463004732"/>
      <w:bookmarkStart w:id="53" w:name="_Toc463264165"/>
      <w:bookmarkStart w:id="54" w:name="_Toc463376629"/>
      <w:bookmarkStart w:id="55" w:name="_Toc463438681"/>
      <w:bookmarkStart w:id="56" w:name="_Toc463438849"/>
      <w:bookmarkStart w:id="57" w:name="_Toc463462766"/>
      <w:bookmarkStart w:id="58" w:name="_Toc463974151"/>
      <w:bookmarkStart w:id="59" w:name="_Toc464028192"/>
      <w:bookmarkStart w:id="60" w:name="_Toc464028333"/>
      <w:bookmarkStart w:id="61" w:name="_Toc526753782"/>
      <w:bookmarkStart w:id="62" w:name="_Toc526753784"/>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rsidRPr="00B07FC0">
        <w:rPr>
          <w:noProof/>
          <w:lang w:val="pt-PT"/>
        </w:rPr>
        <w:t xml:space="preserve">A CR n.º 1/2024 atualiza as estimativas relativas às despesas agrícolas com base nos dados económicos e no quadro legislativo mais recentes. Em setembro de 2023, a Comissão dispunha de uma primeira indicação do nível da produção de 2023 e das perspetivas para os mercados agrícolas, bem como de dados efetivos quanto à maior parte da execução orçamental de 2023 no que diz respeito à gestão partilhada do FEAGA, que constituem a base das estimativas atualizadas das necessidades orçamentais para 2024. </w:t>
      </w:r>
    </w:p>
    <w:p w14:paraId="223B6C35" w14:textId="77777777" w:rsidR="00B07FC0" w:rsidRPr="00B07FC0" w:rsidRDefault="00B07FC0" w:rsidP="00B07FC0">
      <w:pPr>
        <w:autoSpaceDE w:val="0"/>
        <w:autoSpaceDN w:val="0"/>
        <w:adjustRightInd w:val="0"/>
        <w:spacing w:before="120" w:after="120" w:line="259" w:lineRule="auto"/>
        <w:jc w:val="both"/>
        <w:rPr>
          <w:noProof/>
          <w:lang w:val="pt-PT"/>
        </w:rPr>
      </w:pPr>
      <w:r w:rsidRPr="00B07FC0">
        <w:rPr>
          <w:noProof/>
          <w:lang w:val="pt-PT"/>
        </w:rPr>
        <w:t xml:space="preserve">Para além dos fatores de mercado, a presente CR n.º 1/2024 tem também em conta o impacto das decisões legislativas no setor agrícola desde a adoção do PO para 2024 em julho de 2023. </w:t>
      </w:r>
    </w:p>
    <w:p w14:paraId="5CB2FE53" w14:textId="77777777" w:rsidR="00B07FC0" w:rsidRPr="00B07FC0" w:rsidRDefault="00B07FC0" w:rsidP="00B07FC0">
      <w:pPr>
        <w:autoSpaceDE w:val="0"/>
        <w:autoSpaceDN w:val="0"/>
        <w:adjustRightInd w:val="0"/>
        <w:spacing w:before="120" w:after="120" w:line="259" w:lineRule="auto"/>
        <w:jc w:val="both"/>
        <w:rPr>
          <w:noProof/>
          <w:lang w:val="pt-PT"/>
        </w:rPr>
      </w:pPr>
      <w:r w:rsidRPr="00B07FC0">
        <w:rPr>
          <w:noProof/>
          <w:lang w:val="pt-PT"/>
        </w:rPr>
        <w:t>Globalmente, as necessidades do FEAGA em 2024, incluindo a reserva agrícola (financiada a partir de um montante não utilizado da reserva agrícola de 2023 de 200 milhões de EUR, bem como das disponibilidades do FEAGA em 2024) são atualmente estimadas em 41 450,6 milhões de EUR</w:t>
      </w:r>
      <w:r>
        <w:rPr>
          <w:noProof/>
          <w:vertAlign w:val="superscript"/>
        </w:rPr>
        <w:footnoteReference w:id="6"/>
      </w:r>
      <w:r w:rsidRPr="00B07FC0">
        <w:rPr>
          <w:noProof/>
          <w:lang w:val="pt-PT"/>
        </w:rPr>
        <w:t>. Trata-se de um aumento de 343 milhões de EUR em comparação com o PO de 2024, que se deve: (i) a necessidades adicionais de 280 milhões de EUR relativamente ao número 08 02 01 «Reserva agrícola», (ii) ao aumento das necessidades relativas às medidas de mercado e intervenções dos Estados-Membros em 61 milhões de EUR, principalmente devido às necessidades mais elevadas do setor das frutas e produtos hortícolas, e (iii) a um pequeno aumento de 2 milhões de EUR de outras despesas do FEAGA.</w:t>
      </w:r>
    </w:p>
    <w:p w14:paraId="59D3A485" w14:textId="77777777" w:rsidR="00B07FC0" w:rsidRPr="00B07FC0" w:rsidRDefault="00B07FC0" w:rsidP="00B07FC0">
      <w:pPr>
        <w:spacing w:before="120" w:after="120" w:line="259" w:lineRule="auto"/>
        <w:jc w:val="both"/>
        <w:rPr>
          <w:noProof/>
          <w:lang w:val="pt-PT"/>
        </w:rPr>
      </w:pPr>
      <w:r w:rsidRPr="00B07FC0">
        <w:rPr>
          <w:noProof/>
          <w:lang w:val="pt-PT"/>
        </w:rPr>
        <w:t>Em 2023, foram adotadas medidas excecionais com um impacto financeiro global de 530 milhões de EUR para prestar apoio aos agricultores atingidos pela gripe aviária, para fazer face às perturbações do mercado causadas pelo aumento das importações de cereais ucranianos nos Estados-Membros da primeira linha, bem como para prestar assistência aos agricultores afetados por fenómenos meteorológicos extremos e outros problemas específicos. Este montante total excedeu em 80 milhões de EUR as disponibilidades da reserva agrícola de 2023. Dos 450 milhões de EUR disponíveis, 250 milhões de EUR deverão ser utilizados em 2023, com base nos dados de execução mais recentes e nas previsões dos Estados-Membros. O montante remanescente de 200 milhões de EUR transitará para o ano de 2024, em conformidade com o artigo 16.º, n.º 2, do Regulamento Horizontal da PAC</w:t>
      </w:r>
      <w:r>
        <w:rPr>
          <w:rStyle w:val="FootnoteReference"/>
          <w:noProof/>
        </w:rPr>
        <w:footnoteReference w:id="7"/>
      </w:r>
      <w:r w:rsidRPr="00B07FC0">
        <w:rPr>
          <w:noProof/>
          <w:lang w:val="pt-PT"/>
        </w:rPr>
        <w:t>, e será utilizado para o reembolso das despesas dos Estados-Membros relacionadas com estas medidas excecionais adotadas em 2023, mas pagas após 15 de outubro, pertencendo assim ao exercício agrícola de 2024. Além disso, para poder cobrir integralmente a parte remanescente das medidas excecionais adotadas em 2023, em conformidade com o artigo 16.º, n.º 2, primeiro parágrafo, do Regulamento Horizontal da PAC, a Comissão propõe aumentar as novas dotações da reserva agrícola de 2024 para 530 milhões de EUR, ou seja, um aumento de 80 milhões de EUR em relação ao PO de 2024. Tal permitirá manter 450 milhões de EUR para novas medidas excecionais que possam ser adotadas no próximo ano para responder a eventuais perturbações do mercado causadas pelo contexto geopolítico continuamente instável e, cada vez mais, por acontecimentos meteorológicos adversos em toda a UE.</w:t>
      </w:r>
    </w:p>
    <w:p w14:paraId="275B7183" w14:textId="77777777" w:rsidR="00B07FC0" w:rsidRPr="00B07FC0" w:rsidRDefault="00B07FC0" w:rsidP="00B07FC0">
      <w:pPr>
        <w:autoSpaceDE w:val="0"/>
        <w:autoSpaceDN w:val="0"/>
        <w:adjustRightInd w:val="0"/>
        <w:spacing w:before="120" w:after="120" w:line="259" w:lineRule="auto"/>
        <w:jc w:val="both"/>
        <w:rPr>
          <w:noProof/>
          <w:highlight w:val="yellow"/>
          <w:lang w:val="pt-PT"/>
        </w:rPr>
      </w:pPr>
      <w:r w:rsidRPr="00B07FC0">
        <w:rPr>
          <w:noProof/>
          <w:lang w:val="pt-PT"/>
        </w:rPr>
        <w:t>O montante das receitas afetadas que se prevê estar disponível em 2024 aumenta, passando de 505,5 milhões de EUR no quadro do PO de 2024 para 848,5 milhões de EUR, cobrindo assim plenamente as necessidades suplementares. O aumento previsto das receitas afetadas provém do excedente previsto de 2023, que transitará para 2024, em conformidade com o artigo 12.º, n.º 2, alínea d), do Regulamento Financeiro. O excedente resulta da subexecução da reserva agrícola de 2023, tal como explicado acima, e de uma subexecução relativamente pequena dos pagamentos diretos, bem como de receitas afetadas mais elevadas do que o previsto resultantes do apuramento das contas do FEAGA.</w:t>
      </w:r>
    </w:p>
    <w:p w14:paraId="7A1E7758" w14:textId="77777777" w:rsidR="00B07FC0" w:rsidRPr="00B07FC0" w:rsidRDefault="00B07FC0" w:rsidP="00B07FC0">
      <w:pPr>
        <w:autoSpaceDE w:val="0"/>
        <w:autoSpaceDN w:val="0"/>
        <w:adjustRightInd w:val="0"/>
        <w:spacing w:before="120" w:after="120" w:line="259" w:lineRule="auto"/>
        <w:jc w:val="both"/>
        <w:rPr>
          <w:noProof/>
          <w:lang w:val="pt-PT"/>
        </w:rPr>
      </w:pPr>
      <w:r w:rsidRPr="00B07FC0">
        <w:rPr>
          <w:noProof/>
          <w:lang w:val="pt-PT"/>
        </w:rPr>
        <w:t xml:space="preserve">Em resultado disso, o montante total das dotações de autorização mantém-se inalterado, em 40 602,1 milhões de EUR, o que inclui 530 milhões de EUR para a reserva agrícola. Este montante total corresponde ao saldo líquido disponível para o FEAGA, incluindo o efeito das notificações dos Estados-Membros sobre as transferências entre pagamentos diretos e desenvolvimento rural, não deixando qualquer margem abaixo do sublimite máximo. </w:t>
      </w:r>
    </w:p>
    <w:p w14:paraId="7DD5531E" w14:textId="77777777" w:rsidR="00B07FC0" w:rsidRPr="00B07FC0" w:rsidRDefault="00B07FC0" w:rsidP="00B07FC0">
      <w:pPr>
        <w:pStyle w:val="ManualHeading1"/>
        <w:ind w:left="0" w:firstLine="0"/>
        <w:rPr>
          <w:noProof/>
          <w:lang w:val="pt-PT"/>
        </w:rPr>
      </w:pPr>
      <w:bookmarkStart w:id="63" w:name="_Toc55807155"/>
      <w:bookmarkStart w:id="64" w:name="_Toc114838632"/>
      <w:bookmarkStart w:id="65" w:name="_Toc145922822"/>
      <w:bookmarkStart w:id="66" w:name="_Toc54770344"/>
      <w:bookmarkEnd w:id="61"/>
      <w:bookmarkEnd w:id="62"/>
      <w:r w:rsidRPr="00B07FC0">
        <w:rPr>
          <w:noProof/>
          <w:lang w:val="pt-PT"/>
        </w:rPr>
        <w:t xml:space="preserve">4. </w:t>
      </w:r>
      <w:r w:rsidRPr="00B07FC0">
        <w:rPr>
          <w:noProof/>
          <w:lang w:val="pt-PT"/>
        </w:rPr>
        <w:tab/>
      </w:r>
      <w:bookmarkEnd w:id="63"/>
      <w:r w:rsidRPr="00B07FC0">
        <w:rPr>
          <w:noProof/>
          <w:lang w:val="pt-PT"/>
        </w:rPr>
        <w:t>Atualização dos acordos de parceria no domínio da pesca sustentável</w:t>
      </w:r>
      <w:bookmarkEnd w:id="64"/>
      <w:bookmarkEnd w:id="65"/>
    </w:p>
    <w:p w14:paraId="7BE29251" w14:textId="77777777" w:rsidR="00B07FC0" w:rsidRPr="00B07FC0" w:rsidRDefault="00B07FC0" w:rsidP="00B07FC0">
      <w:pPr>
        <w:autoSpaceDE w:val="0"/>
        <w:autoSpaceDN w:val="0"/>
        <w:adjustRightInd w:val="0"/>
        <w:spacing w:before="120" w:after="120" w:line="259" w:lineRule="auto"/>
        <w:jc w:val="both"/>
        <w:rPr>
          <w:noProof/>
          <w:lang w:val="pt-PT"/>
        </w:rPr>
      </w:pPr>
      <w:r w:rsidRPr="00B07FC0">
        <w:rPr>
          <w:noProof/>
          <w:lang w:val="pt-PT"/>
        </w:rPr>
        <w:t>A Comissão examinou as informações mais recentes disponíveis sobre os acordos de parceria no domínio da pesca sustentável (APPS) e analisou as necessidades previstas para 2024 com base na evolução das negociações com os países terceiros envolvidos, como previsto na parte II, ponto C, do Acordo Interinstitucional (AII)</w:t>
      </w:r>
      <w:r>
        <w:rPr>
          <w:noProof/>
          <w:vertAlign w:val="superscript"/>
        </w:rPr>
        <w:footnoteReference w:id="8"/>
      </w:r>
      <w:r w:rsidRPr="00B07FC0">
        <w:rPr>
          <w:noProof/>
          <w:lang w:val="pt-PT"/>
        </w:rPr>
        <w:t xml:space="preserve">. Com base nesta análise, a Comissão propõe que se transfiram dotações de autorização e dotações de pagamento num montante de 2 560 000 EUR da reserva (artigo orçamental 30 02 02) para o artigo operacional (08 05 01 </w:t>
      </w:r>
      <w:r w:rsidRPr="00B07FC0">
        <w:rPr>
          <w:i/>
          <w:iCs/>
          <w:noProof/>
          <w:lang w:val="pt-PT"/>
        </w:rPr>
        <w:t>Estabelecimento de um quadro de governação para as atividades de pesca exercidas por navios de pesca da União em águas de países terceiros</w:t>
      </w:r>
      <w:r w:rsidRPr="00B07FC0">
        <w:rPr>
          <w:noProof/>
          <w:lang w:val="pt-PT"/>
        </w:rPr>
        <w:t xml:space="preserve">). Esta transferência neutra do ponto de vista orçamental diz respeito aos APPS com a República de Madagáscar, que entraram em aplicação a título provisório em 1 de julho de 2023, e com a República de Quiribáti, que entraram em aplicação a título provisório em 2 de outubro de 2023. </w:t>
      </w:r>
    </w:p>
    <w:p w14:paraId="3E142756" w14:textId="77777777" w:rsidR="00B07FC0" w:rsidRPr="00B07FC0" w:rsidRDefault="00B07FC0" w:rsidP="00B07FC0">
      <w:pPr>
        <w:autoSpaceDE w:val="0"/>
        <w:autoSpaceDN w:val="0"/>
        <w:adjustRightInd w:val="0"/>
        <w:spacing w:before="120" w:after="120" w:line="259" w:lineRule="auto"/>
        <w:jc w:val="both"/>
        <w:rPr>
          <w:noProof/>
          <w:lang w:val="pt-PT"/>
        </w:rPr>
      </w:pPr>
      <w:r w:rsidRPr="00B07FC0">
        <w:rPr>
          <w:noProof/>
          <w:lang w:val="pt-PT"/>
        </w:rPr>
        <w:t>O total das dotações de autorização disponíveis para os acordos de parceria no domínio da pesca sustentável mantém-se inalterado em 156,7 milhões de EUR, dos quais 66,9 milhões de EUR na reserva e 89,9 milhões de EUR na rubrica operacional principal.</w:t>
      </w:r>
    </w:p>
    <w:p w14:paraId="2635D61A" w14:textId="77777777" w:rsidR="00B07FC0" w:rsidRPr="00BD054A" w:rsidRDefault="00B07FC0" w:rsidP="00B07FC0">
      <w:pPr>
        <w:autoSpaceDE w:val="0"/>
        <w:autoSpaceDN w:val="0"/>
        <w:adjustRightInd w:val="0"/>
        <w:spacing w:before="120" w:line="259" w:lineRule="auto"/>
        <w:jc w:val="right"/>
        <w:rPr>
          <w:i/>
          <w:iCs/>
          <w:noProof/>
          <w:sz w:val="20"/>
          <w:szCs w:val="20"/>
        </w:rPr>
      </w:pPr>
      <w:r>
        <w:rPr>
          <w:i/>
          <w:noProof/>
          <w:sz w:val="20"/>
        </w:rPr>
        <w:t>EUR</w:t>
      </w:r>
    </w:p>
    <w:tbl>
      <w:tblPr>
        <w:tblW w:w="996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16"/>
        <w:gridCol w:w="4577"/>
        <w:gridCol w:w="1909"/>
        <w:gridCol w:w="2161"/>
      </w:tblGrid>
      <w:tr w:rsidR="00B07FC0" w14:paraId="7560ECCA" w14:textId="77777777" w:rsidTr="00433C4E">
        <w:tc>
          <w:tcPr>
            <w:tcW w:w="13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635E56" w14:textId="77777777" w:rsidR="00B07FC0" w:rsidRDefault="00B07FC0" w:rsidP="00433C4E">
            <w:pPr>
              <w:widowControl w:val="0"/>
              <w:spacing w:before="15" w:after="15"/>
              <w:jc w:val="center"/>
              <w:rPr>
                <w:b/>
                <w:noProof/>
                <w:sz w:val="20"/>
                <w:szCs w:val="20"/>
              </w:rPr>
            </w:pPr>
            <w:bookmarkStart w:id="67" w:name="_Hlk111108294"/>
            <w:r>
              <w:rPr>
                <w:b/>
                <w:noProof/>
                <w:sz w:val="20"/>
              </w:rPr>
              <w:t>Rubrica orçamental</w:t>
            </w:r>
          </w:p>
        </w:tc>
        <w:tc>
          <w:tcPr>
            <w:tcW w:w="45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27009A" w14:textId="77777777" w:rsidR="00B07FC0" w:rsidRDefault="00B07FC0" w:rsidP="00433C4E">
            <w:pPr>
              <w:widowControl w:val="0"/>
              <w:spacing w:before="15" w:after="15"/>
              <w:jc w:val="center"/>
              <w:rPr>
                <w:b/>
                <w:noProof/>
                <w:sz w:val="20"/>
                <w:szCs w:val="20"/>
              </w:rPr>
            </w:pPr>
            <w:r>
              <w:rPr>
                <w:b/>
                <w:noProof/>
                <w:sz w:val="20"/>
              </w:rPr>
              <w:t>Nome</w:t>
            </w:r>
          </w:p>
        </w:tc>
        <w:tc>
          <w:tcPr>
            <w:tcW w:w="19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4EFB6B" w14:textId="77777777" w:rsidR="00B07FC0" w:rsidRDefault="00B07FC0" w:rsidP="00433C4E">
            <w:pPr>
              <w:widowControl w:val="0"/>
              <w:spacing w:before="15" w:after="15"/>
              <w:jc w:val="center"/>
              <w:rPr>
                <w:b/>
                <w:noProof/>
                <w:sz w:val="20"/>
                <w:szCs w:val="20"/>
              </w:rPr>
            </w:pPr>
            <w:r>
              <w:rPr>
                <w:b/>
                <w:noProof/>
                <w:sz w:val="20"/>
              </w:rPr>
              <w:t>Dotações de autorização</w:t>
            </w:r>
          </w:p>
        </w:tc>
        <w:tc>
          <w:tcPr>
            <w:tcW w:w="21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103227" w14:textId="77777777" w:rsidR="00B07FC0" w:rsidRDefault="00B07FC0" w:rsidP="00433C4E">
            <w:pPr>
              <w:widowControl w:val="0"/>
              <w:spacing w:before="15" w:after="15"/>
              <w:jc w:val="center"/>
              <w:rPr>
                <w:b/>
                <w:noProof/>
                <w:sz w:val="20"/>
                <w:szCs w:val="20"/>
              </w:rPr>
            </w:pPr>
            <w:r>
              <w:rPr>
                <w:b/>
                <w:noProof/>
                <w:sz w:val="20"/>
              </w:rPr>
              <w:t>Dotações de pagamento</w:t>
            </w:r>
          </w:p>
        </w:tc>
      </w:tr>
      <w:tr w:rsidR="00B07FC0" w14:paraId="2E696C1B" w14:textId="77777777" w:rsidTr="00433C4E">
        <w:tc>
          <w:tcPr>
            <w:tcW w:w="9963" w:type="dxa"/>
            <w:gridSpan w:val="4"/>
            <w:tcBorders>
              <w:top w:val="single" w:sz="4" w:space="0" w:color="auto"/>
              <w:left w:val="single" w:sz="4" w:space="0" w:color="auto"/>
              <w:bottom w:val="single" w:sz="4" w:space="0" w:color="auto"/>
              <w:right w:val="single" w:sz="4" w:space="0" w:color="auto"/>
            </w:tcBorders>
            <w:vAlign w:val="center"/>
          </w:tcPr>
          <w:p w14:paraId="2268ED6E" w14:textId="77777777" w:rsidR="00B07FC0" w:rsidRPr="008D3404" w:rsidRDefault="00B07FC0" w:rsidP="00433C4E">
            <w:pPr>
              <w:widowControl w:val="0"/>
              <w:spacing w:before="15" w:after="15"/>
              <w:rPr>
                <w:i/>
                <w:iCs/>
                <w:noProof/>
                <w:sz w:val="20"/>
                <w:szCs w:val="20"/>
              </w:rPr>
            </w:pPr>
            <w:r>
              <w:rPr>
                <w:i/>
                <w:noProof/>
                <w:sz w:val="20"/>
              </w:rPr>
              <w:t>Secção III – Comissão</w:t>
            </w:r>
          </w:p>
        </w:tc>
      </w:tr>
      <w:tr w:rsidR="00B07FC0" w14:paraId="704AAC28" w14:textId="77777777" w:rsidTr="00433C4E">
        <w:tc>
          <w:tcPr>
            <w:tcW w:w="1316" w:type="dxa"/>
            <w:tcBorders>
              <w:top w:val="single" w:sz="4" w:space="0" w:color="auto"/>
              <w:left w:val="single" w:sz="4" w:space="0" w:color="auto"/>
              <w:bottom w:val="single" w:sz="4" w:space="0" w:color="auto"/>
              <w:right w:val="single" w:sz="4" w:space="0" w:color="auto"/>
            </w:tcBorders>
            <w:vAlign w:val="center"/>
          </w:tcPr>
          <w:p w14:paraId="1D6504CD" w14:textId="77777777" w:rsidR="00B07FC0" w:rsidRPr="008D3404" w:rsidRDefault="00B07FC0" w:rsidP="00433C4E">
            <w:pPr>
              <w:jc w:val="center"/>
              <w:rPr>
                <w:noProof/>
                <w:sz w:val="16"/>
                <w:szCs w:val="16"/>
              </w:rPr>
            </w:pPr>
            <w:r>
              <w:rPr>
                <w:noProof/>
                <w:sz w:val="16"/>
              </w:rPr>
              <w:t>08 05 01</w:t>
            </w:r>
          </w:p>
        </w:tc>
        <w:tc>
          <w:tcPr>
            <w:tcW w:w="4577" w:type="dxa"/>
            <w:tcBorders>
              <w:top w:val="single" w:sz="4" w:space="0" w:color="auto"/>
              <w:left w:val="single" w:sz="4" w:space="0" w:color="auto"/>
              <w:bottom w:val="single" w:sz="4" w:space="0" w:color="auto"/>
              <w:right w:val="single" w:sz="4" w:space="0" w:color="auto"/>
            </w:tcBorders>
          </w:tcPr>
          <w:p w14:paraId="477600C4" w14:textId="77777777" w:rsidR="00B07FC0" w:rsidRPr="00B07FC0" w:rsidRDefault="00B07FC0" w:rsidP="00433C4E">
            <w:pPr>
              <w:widowControl w:val="0"/>
              <w:tabs>
                <w:tab w:val="left" w:pos="1350"/>
              </w:tabs>
              <w:spacing w:before="15" w:after="15"/>
              <w:jc w:val="both"/>
              <w:rPr>
                <w:noProof/>
                <w:sz w:val="16"/>
                <w:szCs w:val="16"/>
                <w:lang w:val="pt-PT"/>
              </w:rPr>
            </w:pPr>
            <w:r w:rsidRPr="00B07FC0">
              <w:rPr>
                <w:noProof/>
                <w:sz w:val="16"/>
                <w:lang w:val="pt-PT"/>
              </w:rPr>
              <w:t>Estabelecimento de um quadro de governação para as atividades de pesca exercidas por navios de pesca da União em águas de países terceiros</w:t>
            </w:r>
          </w:p>
        </w:tc>
        <w:tc>
          <w:tcPr>
            <w:tcW w:w="1909" w:type="dxa"/>
            <w:tcBorders>
              <w:top w:val="single" w:sz="4" w:space="0" w:color="auto"/>
              <w:left w:val="single" w:sz="4" w:space="0" w:color="auto"/>
              <w:bottom w:val="single" w:sz="4" w:space="0" w:color="auto"/>
              <w:right w:val="single" w:sz="4" w:space="0" w:color="auto"/>
            </w:tcBorders>
            <w:vAlign w:val="center"/>
          </w:tcPr>
          <w:p w14:paraId="1508464F" w14:textId="77777777" w:rsidR="00B07FC0" w:rsidRPr="008D3404" w:rsidRDefault="00B07FC0" w:rsidP="00433C4E">
            <w:pPr>
              <w:widowControl w:val="0"/>
              <w:spacing w:before="15" w:after="15"/>
              <w:jc w:val="right"/>
              <w:rPr>
                <w:noProof/>
                <w:sz w:val="16"/>
                <w:szCs w:val="16"/>
              </w:rPr>
            </w:pPr>
            <w:r>
              <w:rPr>
                <w:noProof/>
                <w:sz w:val="16"/>
              </w:rPr>
              <w:t>2 560 000</w:t>
            </w:r>
          </w:p>
        </w:tc>
        <w:tc>
          <w:tcPr>
            <w:tcW w:w="2161" w:type="dxa"/>
            <w:tcBorders>
              <w:top w:val="single" w:sz="4" w:space="0" w:color="auto"/>
              <w:left w:val="single" w:sz="4" w:space="0" w:color="auto"/>
              <w:bottom w:val="single" w:sz="4" w:space="0" w:color="auto"/>
              <w:right w:val="single" w:sz="4" w:space="0" w:color="auto"/>
            </w:tcBorders>
            <w:vAlign w:val="center"/>
          </w:tcPr>
          <w:p w14:paraId="797DF5C6" w14:textId="77777777" w:rsidR="00B07FC0" w:rsidRPr="008D3404" w:rsidRDefault="00B07FC0" w:rsidP="00433C4E">
            <w:pPr>
              <w:widowControl w:val="0"/>
              <w:spacing w:before="15" w:after="15"/>
              <w:jc w:val="right"/>
              <w:rPr>
                <w:noProof/>
                <w:sz w:val="16"/>
                <w:szCs w:val="16"/>
              </w:rPr>
            </w:pPr>
            <w:r>
              <w:rPr>
                <w:noProof/>
                <w:sz w:val="16"/>
              </w:rPr>
              <w:t xml:space="preserve"> 2 560 000</w:t>
            </w:r>
          </w:p>
        </w:tc>
      </w:tr>
      <w:tr w:rsidR="00B07FC0" w14:paraId="4A623887" w14:textId="77777777" w:rsidTr="00433C4E">
        <w:tc>
          <w:tcPr>
            <w:tcW w:w="1316" w:type="dxa"/>
            <w:tcBorders>
              <w:top w:val="single" w:sz="4" w:space="0" w:color="auto"/>
              <w:left w:val="single" w:sz="4" w:space="0" w:color="auto"/>
              <w:bottom w:val="single" w:sz="4" w:space="0" w:color="auto"/>
              <w:right w:val="single" w:sz="4" w:space="0" w:color="auto"/>
            </w:tcBorders>
            <w:vAlign w:val="center"/>
          </w:tcPr>
          <w:p w14:paraId="7BBB64DA" w14:textId="77777777" w:rsidR="00B07FC0" w:rsidRPr="008D3404" w:rsidRDefault="00B07FC0" w:rsidP="00433C4E">
            <w:pPr>
              <w:jc w:val="center"/>
              <w:rPr>
                <w:noProof/>
                <w:sz w:val="16"/>
                <w:szCs w:val="16"/>
              </w:rPr>
            </w:pPr>
            <w:r>
              <w:rPr>
                <w:noProof/>
                <w:sz w:val="16"/>
              </w:rPr>
              <w:t>30 02 02</w:t>
            </w:r>
          </w:p>
        </w:tc>
        <w:tc>
          <w:tcPr>
            <w:tcW w:w="4577" w:type="dxa"/>
            <w:tcBorders>
              <w:top w:val="single" w:sz="4" w:space="0" w:color="auto"/>
              <w:left w:val="single" w:sz="4" w:space="0" w:color="auto"/>
              <w:bottom w:val="single" w:sz="4" w:space="0" w:color="auto"/>
              <w:right w:val="single" w:sz="4" w:space="0" w:color="auto"/>
            </w:tcBorders>
          </w:tcPr>
          <w:p w14:paraId="5F18F5CE" w14:textId="77777777" w:rsidR="00B07FC0" w:rsidRPr="00B07FC0" w:rsidRDefault="00B07FC0" w:rsidP="00433C4E">
            <w:pPr>
              <w:widowControl w:val="0"/>
              <w:tabs>
                <w:tab w:val="left" w:pos="1350"/>
              </w:tabs>
              <w:spacing w:before="15" w:after="15"/>
              <w:jc w:val="both"/>
              <w:rPr>
                <w:noProof/>
                <w:sz w:val="16"/>
                <w:szCs w:val="16"/>
                <w:lang w:val="pt-PT"/>
              </w:rPr>
            </w:pPr>
            <w:r w:rsidRPr="00B07FC0">
              <w:rPr>
                <w:noProof/>
                <w:sz w:val="16"/>
                <w:lang w:val="pt-PT"/>
              </w:rPr>
              <w:t>Dotações diferenciadas (</w:t>
            </w:r>
            <w:r w:rsidRPr="00B07FC0">
              <w:rPr>
                <w:i/>
                <w:iCs/>
                <w:noProof/>
                <w:sz w:val="16"/>
                <w:lang w:val="pt-PT"/>
              </w:rPr>
              <w:t>Reserva para o artigo orçamental 08 05 01</w:t>
            </w:r>
            <w:r w:rsidRPr="00B07FC0">
              <w:rPr>
                <w:noProof/>
                <w:sz w:val="16"/>
                <w:lang w:val="pt-PT"/>
              </w:rPr>
              <w:t>)</w:t>
            </w:r>
          </w:p>
        </w:tc>
        <w:tc>
          <w:tcPr>
            <w:tcW w:w="1909" w:type="dxa"/>
            <w:tcBorders>
              <w:top w:val="single" w:sz="4" w:space="0" w:color="auto"/>
              <w:left w:val="single" w:sz="4" w:space="0" w:color="auto"/>
              <w:bottom w:val="single" w:sz="4" w:space="0" w:color="auto"/>
              <w:right w:val="single" w:sz="4" w:space="0" w:color="auto"/>
            </w:tcBorders>
            <w:vAlign w:val="center"/>
          </w:tcPr>
          <w:p w14:paraId="5B9ACE5B" w14:textId="77777777" w:rsidR="00B07FC0" w:rsidRPr="00355BA7" w:rsidRDefault="00B07FC0" w:rsidP="00433C4E">
            <w:pPr>
              <w:pStyle w:val="ListParagraph"/>
              <w:widowControl w:val="0"/>
              <w:spacing w:before="15" w:after="15"/>
              <w:jc w:val="right"/>
              <w:rPr>
                <w:rFonts w:ascii="Times New Roman" w:hAnsi="Times New Roman"/>
                <w:noProof/>
                <w:sz w:val="16"/>
                <w:szCs w:val="16"/>
              </w:rPr>
            </w:pPr>
            <w:r>
              <w:rPr>
                <w:rFonts w:ascii="Times New Roman" w:hAnsi="Times New Roman"/>
                <w:noProof/>
                <w:sz w:val="16"/>
              </w:rPr>
              <w:t>-2 560 000</w:t>
            </w:r>
          </w:p>
        </w:tc>
        <w:tc>
          <w:tcPr>
            <w:tcW w:w="2161" w:type="dxa"/>
            <w:tcBorders>
              <w:top w:val="single" w:sz="4" w:space="0" w:color="auto"/>
              <w:left w:val="single" w:sz="4" w:space="0" w:color="auto"/>
              <w:bottom w:val="single" w:sz="4" w:space="0" w:color="auto"/>
              <w:right w:val="single" w:sz="4" w:space="0" w:color="auto"/>
            </w:tcBorders>
            <w:vAlign w:val="center"/>
          </w:tcPr>
          <w:p w14:paraId="5CEB4FD3" w14:textId="77777777" w:rsidR="00B07FC0" w:rsidRPr="00355BA7" w:rsidRDefault="00B07FC0" w:rsidP="00433C4E">
            <w:pPr>
              <w:pStyle w:val="ListParagraph"/>
              <w:widowControl w:val="0"/>
              <w:spacing w:before="15" w:after="15"/>
              <w:jc w:val="right"/>
              <w:rPr>
                <w:rFonts w:ascii="Times New Roman" w:hAnsi="Times New Roman"/>
                <w:noProof/>
                <w:sz w:val="16"/>
                <w:szCs w:val="16"/>
              </w:rPr>
            </w:pPr>
            <w:r>
              <w:rPr>
                <w:rFonts w:ascii="Times New Roman" w:hAnsi="Times New Roman"/>
                <w:noProof/>
                <w:sz w:val="16"/>
              </w:rPr>
              <w:t>- 2 560 000</w:t>
            </w:r>
          </w:p>
        </w:tc>
      </w:tr>
      <w:tr w:rsidR="00B07FC0" w14:paraId="5A0BE4C5" w14:textId="77777777" w:rsidTr="00433C4E">
        <w:tc>
          <w:tcPr>
            <w:tcW w:w="58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1F7BF2" w14:textId="77777777" w:rsidR="00B07FC0" w:rsidRDefault="00B07FC0" w:rsidP="00433C4E">
            <w:pPr>
              <w:widowControl w:val="0"/>
              <w:tabs>
                <w:tab w:val="left" w:pos="975"/>
              </w:tabs>
              <w:spacing w:before="15" w:after="15"/>
              <w:jc w:val="both"/>
              <w:rPr>
                <w:b/>
                <w:noProof/>
                <w:sz w:val="20"/>
                <w:szCs w:val="20"/>
              </w:rPr>
            </w:pPr>
            <w:r>
              <w:rPr>
                <w:b/>
                <w:noProof/>
                <w:sz w:val="20"/>
              </w:rPr>
              <w:t>Total</w:t>
            </w:r>
            <w:r>
              <w:rPr>
                <w:noProof/>
              </w:rPr>
              <w:tab/>
            </w:r>
          </w:p>
        </w:tc>
        <w:tc>
          <w:tcPr>
            <w:tcW w:w="19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E2B1C8" w14:textId="77777777" w:rsidR="00B07FC0" w:rsidRDefault="00B07FC0" w:rsidP="00433C4E">
            <w:pPr>
              <w:widowControl w:val="0"/>
              <w:spacing w:before="15" w:after="15"/>
              <w:jc w:val="right"/>
              <w:rPr>
                <w:b/>
                <w:noProof/>
                <w:sz w:val="20"/>
                <w:szCs w:val="20"/>
              </w:rPr>
            </w:pPr>
            <w:r>
              <w:rPr>
                <w:b/>
                <w:noProof/>
                <w:sz w:val="20"/>
              </w:rPr>
              <w:t>0</w:t>
            </w:r>
          </w:p>
        </w:tc>
        <w:tc>
          <w:tcPr>
            <w:tcW w:w="21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CB0857" w14:textId="77777777" w:rsidR="00B07FC0" w:rsidRDefault="00B07FC0" w:rsidP="00433C4E">
            <w:pPr>
              <w:widowControl w:val="0"/>
              <w:spacing w:before="15" w:after="15"/>
              <w:jc w:val="right"/>
              <w:rPr>
                <w:b/>
                <w:noProof/>
                <w:sz w:val="20"/>
                <w:szCs w:val="20"/>
              </w:rPr>
            </w:pPr>
            <w:r>
              <w:rPr>
                <w:b/>
                <w:noProof/>
                <w:sz w:val="20"/>
              </w:rPr>
              <w:t>0</w:t>
            </w:r>
          </w:p>
        </w:tc>
      </w:tr>
    </w:tbl>
    <w:p w14:paraId="15543A74" w14:textId="77777777" w:rsidR="00B07FC0" w:rsidRDefault="00B07FC0" w:rsidP="00B07FC0">
      <w:pPr>
        <w:pStyle w:val="ManualHeading1"/>
        <w:ind w:left="0" w:firstLine="0"/>
        <w:rPr>
          <w:noProof/>
        </w:rPr>
      </w:pPr>
      <w:bookmarkStart w:id="68" w:name="_Toc462933859"/>
      <w:bookmarkStart w:id="69" w:name="_Toc462935220"/>
      <w:bookmarkStart w:id="70" w:name="_Toc462935322"/>
      <w:bookmarkStart w:id="71" w:name="_Toc462935370"/>
      <w:bookmarkStart w:id="72" w:name="_Toc462935527"/>
      <w:bookmarkStart w:id="73" w:name="_Toc463004747"/>
      <w:bookmarkStart w:id="74" w:name="_Toc463974174"/>
      <w:bookmarkStart w:id="75" w:name="_Toc464028219"/>
      <w:bookmarkStart w:id="76" w:name="_Toc464028351"/>
      <w:bookmarkStart w:id="77" w:name="_Toc463974178"/>
      <w:bookmarkStart w:id="78" w:name="_Toc464028223"/>
      <w:bookmarkStart w:id="79" w:name="_Toc464028355"/>
      <w:bookmarkStart w:id="80" w:name="_Toc54770327"/>
      <w:bookmarkStart w:id="81" w:name="_Toc55807137"/>
      <w:bookmarkStart w:id="82" w:name="_Toc114838635"/>
      <w:bookmarkStart w:id="83" w:name="_Toc145922823"/>
      <w:bookmarkStart w:id="84" w:name="_Toc526753785"/>
      <w:bookmarkEnd w:id="20"/>
      <w:bookmarkEnd w:id="21"/>
      <w:bookmarkEnd w:id="66"/>
      <w:bookmarkEnd w:id="67"/>
      <w:bookmarkEnd w:id="68"/>
      <w:bookmarkEnd w:id="69"/>
      <w:bookmarkEnd w:id="70"/>
      <w:bookmarkEnd w:id="71"/>
      <w:bookmarkEnd w:id="72"/>
      <w:bookmarkEnd w:id="73"/>
      <w:bookmarkEnd w:id="74"/>
      <w:bookmarkEnd w:id="75"/>
      <w:bookmarkEnd w:id="76"/>
      <w:bookmarkEnd w:id="77"/>
      <w:bookmarkEnd w:id="78"/>
      <w:bookmarkEnd w:id="79"/>
      <w:r>
        <w:rPr>
          <w:noProof/>
        </w:rPr>
        <w:t>5.</w:t>
      </w:r>
      <w:r>
        <w:rPr>
          <w:noProof/>
        </w:rPr>
        <w:tab/>
        <w:t>Agências descentralizadas</w:t>
      </w:r>
      <w:bookmarkEnd w:id="80"/>
      <w:bookmarkEnd w:id="81"/>
      <w:r>
        <w:rPr>
          <w:noProof/>
        </w:rPr>
        <w:t xml:space="preserve"> e Procuradoria Europeia</w:t>
      </w:r>
      <w:bookmarkEnd w:id="82"/>
      <w:bookmarkEnd w:id="83"/>
    </w:p>
    <w:p w14:paraId="5B53224C" w14:textId="77777777" w:rsidR="00B07FC0" w:rsidRDefault="00B07FC0" w:rsidP="00B07FC0">
      <w:pPr>
        <w:keepNext/>
        <w:tabs>
          <w:tab w:val="left" w:pos="850"/>
        </w:tabs>
        <w:spacing w:before="360" w:after="120"/>
        <w:ind w:left="357" w:hanging="357"/>
        <w:jc w:val="both"/>
        <w:outlineLvl w:val="1"/>
        <w:rPr>
          <w:rFonts w:eastAsia="Calibri"/>
          <w:b/>
          <w:noProof/>
        </w:rPr>
      </w:pPr>
      <w:bookmarkStart w:id="85" w:name="_Toc114838639"/>
      <w:bookmarkStart w:id="86" w:name="_Toc145922824"/>
      <w:r>
        <w:rPr>
          <w:b/>
          <w:noProof/>
        </w:rPr>
        <w:t>5.1.</w:t>
      </w:r>
      <w:r>
        <w:rPr>
          <w:noProof/>
        </w:rPr>
        <w:tab/>
      </w:r>
      <w:r>
        <w:rPr>
          <w:b/>
          <w:noProof/>
        </w:rPr>
        <w:t>Procuradoria Europeia (EPPO)</w:t>
      </w:r>
      <w:bookmarkEnd w:id="85"/>
      <w:bookmarkEnd w:id="86"/>
    </w:p>
    <w:p w14:paraId="1F579341" w14:textId="77777777" w:rsidR="00B07FC0" w:rsidRPr="00B07FC0" w:rsidRDefault="00B07FC0" w:rsidP="00B07FC0">
      <w:pPr>
        <w:spacing w:before="240"/>
        <w:jc w:val="both"/>
        <w:rPr>
          <w:rFonts w:eastAsia="Calibri"/>
          <w:noProof/>
          <w:lang w:val="pt-PT"/>
        </w:rPr>
      </w:pPr>
      <w:r w:rsidRPr="00B07FC0">
        <w:rPr>
          <w:noProof/>
          <w:lang w:val="pt-PT"/>
        </w:rPr>
        <w:t>No POR n.º 4/2023</w:t>
      </w:r>
      <w:r>
        <w:rPr>
          <w:rStyle w:val="FootnoteReference"/>
          <w:noProof/>
          <w:lang w:val="en-IE"/>
        </w:rPr>
        <w:footnoteReference w:id="9"/>
      </w:r>
      <w:r w:rsidRPr="00B07FC0">
        <w:rPr>
          <w:noProof/>
          <w:lang w:val="pt-PT"/>
        </w:rPr>
        <w:t xml:space="preserve">, a Comissão propôs o aumento da contribuição da UE para a Procuradoria Europeia relativamente à segurança dos edifícios e dos sistemas informáticos, bem como a atribuição de oito lugares adicionais de agentes temporários. Propõe-se que o orçamento da Procuradoria Europeia para 2024 seja aumentado em 2 milhões de EUR para cobrir um reforço pontual da segurança informática e dos edifícios, bem como os salários do novo pessoal que deverá ser recrutado em 2023 numa base anual. </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5132"/>
        <w:gridCol w:w="1701"/>
        <w:gridCol w:w="1701"/>
      </w:tblGrid>
      <w:tr w:rsidR="00B07FC0" w:rsidRPr="007E687E" w14:paraId="3AD0334A" w14:textId="77777777" w:rsidTr="00433C4E">
        <w:trPr>
          <w:jc w:val="center"/>
        </w:trPr>
        <w:tc>
          <w:tcPr>
            <w:tcW w:w="9810" w:type="dxa"/>
            <w:gridSpan w:val="4"/>
            <w:tcBorders>
              <w:top w:val="nil"/>
              <w:left w:val="nil"/>
              <w:bottom w:val="single" w:sz="4" w:space="0" w:color="auto"/>
              <w:right w:val="nil"/>
            </w:tcBorders>
            <w:shd w:val="clear" w:color="auto" w:fill="auto"/>
            <w:vAlign w:val="center"/>
          </w:tcPr>
          <w:p w14:paraId="7DB8EFB0" w14:textId="77777777" w:rsidR="00B07FC0" w:rsidRPr="007E687E" w:rsidRDefault="00B07FC0" w:rsidP="00433C4E">
            <w:pPr>
              <w:widowControl w:val="0"/>
              <w:spacing w:before="15" w:after="15"/>
              <w:jc w:val="right"/>
              <w:rPr>
                <w:rFonts w:eastAsia="Calibri"/>
                <w:i/>
                <w:noProof/>
                <w:sz w:val="20"/>
                <w:szCs w:val="20"/>
              </w:rPr>
            </w:pPr>
            <w:r>
              <w:rPr>
                <w:i/>
                <w:noProof/>
                <w:sz w:val="20"/>
              </w:rPr>
              <w:t>EUR</w:t>
            </w:r>
          </w:p>
        </w:tc>
      </w:tr>
      <w:tr w:rsidR="00B07FC0" w:rsidRPr="007E687E" w14:paraId="3391FA76" w14:textId="77777777" w:rsidTr="00433C4E">
        <w:trPr>
          <w:jc w:val="center"/>
        </w:trPr>
        <w:tc>
          <w:tcPr>
            <w:tcW w:w="1276" w:type="dxa"/>
            <w:tcBorders>
              <w:top w:val="single" w:sz="4" w:space="0" w:color="auto"/>
            </w:tcBorders>
            <w:shd w:val="clear" w:color="auto" w:fill="D9D9D9"/>
            <w:vAlign w:val="center"/>
          </w:tcPr>
          <w:p w14:paraId="604C7D91" w14:textId="77777777" w:rsidR="00B07FC0" w:rsidRPr="007E687E" w:rsidRDefault="00B07FC0" w:rsidP="00433C4E">
            <w:pPr>
              <w:keepNext/>
              <w:spacing w:before="15" w:after="15"/>
              <w:jc w:val="center"/>
              <w:rPr>
                <w:rFonts w:eastAsia="Calibri"/>
                <w:b/>
                <w:noProof/>
                <w:sz w:val="20"/>
                <w:szCs w:val="20"/>
              </w:rPr>
            </w:pPr>
            <w:r>
              <w:rPr>
                <w:b/>
                <w:noProof/>
                <w:sz w:val="20"/>
              </w:rPr>
              <w:t>Rubrica orçamental</w:t>
            </w:r>
          </w:p>
        </w:tc>
        <w:tc>
          <w:tcPr>
            <w:tcW w:w="5132" w:type="dxa"/>
            <w:tcBorders>
              <w:top w:val="single" w:sz="4" w:space="0" w:color="auto"/>
            </w:tcBorders>
            <w:shd w:val="clear" w:color="auto" w:fill="D9D9D9"/>
            <w:vAlign w:val="center"/>
          </w:tcPr>
          <w:p w14:paraId="7179FBCA" w14:textId="77777777" w:rsidR="00B07FC0" w:rsidRPr="007E687E" w:rsidRDefault="00B07FC0" w:rsidP="00433C4E">
            <w:pPr>
              <w:widowControl w:val="0"/>
              <w:spacing w:before="15" w:after="15"/>
              <w:jc w:val="center"/>
              <w:rPr>
                <w:rFonts w:eastAsia="Calibri"/>
                <w:b/>
                <w:noProof/>
                <w:sz w:val="20"/>
                <w:szCs w:val="20"/>
              </w:rPr>
            </w:pPr>
            <w:r>
              <w:rPr>
                <w:b/>
                <w:noProof/>
                <w:sz w:val="20"/>
              </w:rPr>
              <w:t>Nome</w:t>
            </w:r>
          </w:p>
        </w:tc>
        <w:tc>
          <w:tcPr>
            <w:tcW w:w="1701" w:type="dxa"/>
            <w:tcBorders>
              <w:top w:val="single" w:sz="4" w:space="0" w:color="auto"/>
            </w:tcBorders>
            <w:shd w:val="clear" w:color="auto" w:fill="D9D9D9"/>
            <w:vAlign w:val="center"/>
          </w:tcPr>
          <w:p w14:paraId="6FBD6599" w14:textId="77777777" w:rsidR="00B07FC0" w:rsidRPr="007E687E" w:rsidRDefault="00B07FC0" w:rsidP="00433C4E">
            <w:pPr>
              <w:widowControl w:val="0"/>
              <w:spacing w:before="15" w:after="15"/>
              <w:jc w:val="center"/>
              <w:rPr>
                <w:rFonts w:eastAsia="Calibri"/>
                <w:b/>
                <w:noProof/>
                <w:sz w:val="20"/>
                <w:szCs w:val="20"/>
              </w:rPr>
            </w:pPr>
            <w:r>
              <w:rPr>
                <w:b/>
                <w:noProof/>
                <w:sz w:val="20"/>
              </w:rPr>
              <w:t>Dotações de autorização</w:t>
            </w:r>
          </w:p>
        </w:tc>
        <w:tc>
          <w:tcPr>
            <w:tcW w:w="1701" w:type="dxa"/>
            <w:tcBorders>
              <w:top w:val="single" w:sz="4" w:space="0" w:color="auto"/>
            </w:tcBorders>
            <w:shd w:val="clear" w:color="auto" w:fill="D9D9D9"/>
            <w:vAlign w:val="center"/>
          </w:tcPr>
          <w:p w14:paraId="4FEF8A1A" w14:textId="77777777" w:rsidR="00B07FC0" w:rsidRPr="007E687E" w:rsidRDefault="00B07FC0" w:rsidP="00433C4E">
            <w:pPr>
              <w:widowControl w:val="0"/>
              <w:spacing w:before="15" w:after="15"/>
              <w:jc w:val="center"/>
              <w:rPr>
                <w:rFonts w:eastAsia="Calibri"/>
                <w:b/>
                <w:noProof/>
                <w:sz w:val="20"/>
                <w:szCs w:val="20"/>
              </w:rPr>
            </w:pPr>
            <w:r>
              <w:rPr>
                <w:b/>
                <w:noProof/>
                <w:sz w:val="20"/>
              </w:rPr>
              <w:t>Dotações de pagamento</w:t>
            </w:r>
          </w:p>
        </w:tc>
      </w:tr>
      <w:tr w:rsidR="00B07FC0" w:rsidRPr="007E687E" w14:paraId="45934F74" w14:textId="77777777" w:rsidTr="00433C4E">
        <w:trPr>
          <w:jc w:val="center"/>
        </w:trPr>
        <w:tc>
          <w:tcPr>
            <w:tcW w:w="9810" w:type="dxa"/>
            <w:gridSpan w:val="4"/>
            <w:tcBorders>
              <w:bottom w:val="single" w:sz="4" w:space="0" w:color="auto"/>
            </w:tcBorders>
            <w:shd w:val="clear" w:color="auto" w:fill="F2F2F2"/>
            <w:vAlign w:val="center"/>
          </w:tcPr>
          <w:p w14:paraId="024253BE" w14:textId="77777777" w:rsidR="00B07FC0" w:rsidRPr="007E687E" w:rsidRDefault="00B07FC0" w:rsidP="00433C4E">
            <w:pPr>
              <w:widowControl w:val="0"/>
              <w:spacing w:before="15" w:after="15"/>
              <w:rPr>
                <w:rFonts w:eastAsia="Calibri"/>
                <w:i/>
                <w:noProof/>
                <w:sz w:val="20"/>
                <w:szCs w:val="20"/>
              </w:rPr>
            </w:pPr>
            <w:r>
              <w:rPr>
                <w:i/>
                <w:noProof/>
                <w:sz w:val="20"/>
              </w:rPr>
              <w:t>Secção III – Comissão</w:t>
            </w:r>
          </w:p>
        </w:tc>
      </w:tr>
      <w:tr w:rsidR="00B07FC0" w:rsidRPr="007E687E" w14:paraId="680453CE" w14:textId="77777777" w:rsidTr="00433C4E">
        <w:trPr>
          <w:jc w:val="center"/>
        </w:trPr>
        <w:tc>
          <w:tcPr>
            <w:tcW w:w="1276" w:type="dxa"/>
          </w:tcPr>
          <w:p w14:paraId="3F5BEE28" w14:textId="77777777" w:rsidR="00B07FC0" w:rsidRPr="00885900" w:rsidRDefault="00B07FC0" w:rsidP="00433C4E">
            <w:pPr>
              <w:widowControl w:val="0"/>
              <w:tabs>
                <w:tab w:val="left" w:pos="1350"/>
              </w:tabs>
              <w:spacing w:before="15" w:after="15"/>
              <w:jc w:val="both"/>
              <w:rPr>
                <w:rFonts w:eastAsia="Calibri"/>
                <w:noProof/>
                <w:sz w:val="16"/>
                <w:szCs w:val="16"/>
              </w:rPr>
            </w:pPr>
            <w:r>
              <w:rPr>
                <w:noProof/>
                <w:sz w:val="16"/>
              </w:rPr>
              <w:t>07 10 08</w:t>
            </w:r>
          </w:p>
        </w:tc>
        <w:tc>
          <w:tcPr>
            <w:tcW w:w="5132" w:type="dxa"/>
          </w:tcPr>
          <w:p w14:paraId="44CC5D48" w14:textId="77777777" w:rsidR="00B07FC0" w:rsidRPr="00885900" w:rsidRDefault="00B07FC0" w:rsidP="00433C4E">
            <w:pPr>
              <w:widowControl w:val="0"/>
              <w:tabs>
                <w:tab w:val="left" w:pos="1350"/>
              </w:tabs>
              <w:spacing w:before="15" w:after="15"/>
              <w:jc w:val="both"/>
              <w:rPr>
                <w:rFonts w:eastAsia="Calibri"/>
                <w:noProof/>
                <w:sz w:val="16"/>
                <w:szCs w:val="16"/>
              </w:rPr>
            </w:pPr>
            <w:r>
              <w:rPr>
                <w:noProof/>
                <w:sz w:val="16"/>
              </w:rPr>
              <w:t>Procuradoria Europeia (EPPO)</w:t>
            </w:r>
          </w:p>
        </w:tc>
        <w:tc>
          <w:tcPr>
            <w:tcW w:w="1701" w:type="dxa"/>
          </w:tcPr>
          <w:p w14:paraId="6F236A72" w14:textId="77777777" w:rsidR="00B07FC0" w:rsidRPr="00885900" w:rsidRDefault="00B07FC0" w:rsidP="00433C4E">
            <w:pPr>
              <w:widowControl w:val="0"/>
              <w:spacing w:before="15" w:after="15"/>
              <w:jc w:val="right"/>
              <w:rPr>
                <w:rFonts w:eastAsia="Calibri"/>
                <w:noProof/>
                <w:sz w:val="16"/>
                <w:szCs w:val="16"/>
              </w:rPr>
            </w:pPr>
            <w:r>
              <w:rPr>
                <w:noProof/>
                <w:sz w:val="16"/>
              </w:rPr>
              <w:t>2 000 000</w:t>
            </w:r>
          </w:p>
        </w:tc>
        <w:tc>
          <w:tcPr>
            <w:tcW w:w="1701" w:type="dxa"/>
          </w:tcPr>
          <w:p w14:paraId="3CB788B5" w14:textId="77777777" w:rsidR="00B07FC0" w:rsidRPr="00885900" w:rsidRDefault="00B07FC0" w:rsidP="00433C4E">
            <w:pPr>
              <w:widowControl w:val="0"/>
              <w:spacing w:before="15" w:after="15"/>
              <w:jc w:val="right"/>
              <w:rPr>
                <w:rFonts w:eastAsia="Calibri"/>
                <w:noProof/>
                <w:sz w:val="16"/>
                <w:szCs w:val="16"/>
              </w:rPr>
            </w:pPr>
            <w:r>
              <w:rPr>
                <w:noProof/>
                <w:sz w:val="16"/>
              </w:rPr>
              <w:t>2 000 000</w:t>
            </w:r>
          </w:p>
        </w:tc>
      </w:tr>
      <w:tr w:rsidR="00B07FC0" w:rsidRPr="007E687E" w14:paraId="4A9157E5" w14:textId="77777777" w:rsidTr="00433C4E">
        <w:trPr>
          <w:jc w:val="center"/>
        </w:trPr>
        <w:tc>
          <w:tcPr>
            <w:tcW w:w="6408" w:type="dxa"/>
            <w:gridSpan w:val="2"/>
            <w:shd w:val="clear" w:color="auto" w:fill="D9D9D9"/>
          </w:tcPr>
          <w:p w14:paraId="090FEDB1" w14:textId="77777777" w:rsidR="00B07FC0" w:rsidRPr="007E687E" w:rsidRDefault="00B07FC0" w:rsidP="00433C4E">
            <w:pPr>
              <w:widowControl w:val="0"/>
              <w:spacing w:before="15" w:after="15"/>
              <w:ind w:right="-113"/>
              <w:jc w:val="both"/>
              <w:rPr>
                <w:rFonts w:eastAsia="Calibri"/>
                <w:noProof/>
                <w:sz w:val="20"/>
                <w:szCs w:val="20"/>
              </w:rPr>
            </w:pPr>
            <w:r>
              <w:rPr>
                <w:b/>
                <w:noProof/>
                <w:sz w:val="20"/>
              </w:rPr>
              <w:t>Total</w:t>
            </w:r>
            <w:r>
              <w:rPr>
                <w:noProof/>
              </w:rPr>
              <w:tab/>
            </w:r>
          </w:p>
        </w:tc>
        <w:tc>
          <w:tcPr>
            <w:tcW w:w="1701" w:type="dxa"/>
            <w:shd w:val="clear" w:color="auto" w:fill="D9D9D9"/>
          </w:tcPr>
          <w:p w14:paraId="431E4956" w14:textId="77777777" w:rsidR="00B07FC0" w:rsidRPr="00DC3D08" w:rsidRDefault="00B07FC0" w:rsidP="00433C4E">
            <w:pPr>
              <w:widowControl w:val="0"/>
              <w:spacing w:before="15" w:after="15"/>
              <w:jc w:val="right"/>
              <w:rPr>
                <w:rFonts w:eastAsia="Calibri"/>
                <w:b/>
                <w:bCs/>
                <w:noProof/>
                <w:sz w:val="20"/>
                <w:szCs w:val="20"/>
              </w:rPr>
            </w:pPr>
            <w:r>
              <w:rPr>
                <w:b/>
                <w:noProof/>
                <w:sz w:val="20"/>
              </w:rPr>
              <w:t>2 000 000</w:t>
            </w:r>
          </w:p>
        </w:tc>
        <w:tc>
          <w:tcPr>
            <w:tcW w:w="1701" w:type="dxa"/>
            <w:shd w:val="clear" w:color="auto" w:fill="D9D9D9"/>
          </w:tcPr>
          <w:p w14:paraId="7BF03E42" w14:textId="77777777" w:rsidR="00B07FC0" w:rsidRPr="00DC3D08" w:rsidRDefault="00B07FC0" w:rsidP="00433C4E">
            <w:pPr>
              <w:widowControl w:val="0"/>
              <w:spacing w:before="15" w:after="15"/>
              <w:jc w:val="right"/>
              <w:rPr>
                <w:rFonts w:eastAsia="Calibri"/>
                <w:b/>
                <w:bCs/>
                <w:noProof/>
                <w:sz w:val="20"/>
                <w:szCs w:val="20"/>
              </w:rPr>
            </w:pPr>
            <w:r>
              <w:rPr>
                <w:b/>
                <w:noProof/>
                <w:sz w:val="20"/>
              </w:rPr>
              <w:t>2 000 000</w:t>
            </w:r>
          </w:p>
        </w:tc>
      </w:tr>
    </w:tbl>
    <w:p w14:paraId="44E5D803" w14:textId="77777777" w:rsidR="00B07FC0" w:rsidRPr="00B07FC0" w:rsidRDefault="00B07FC0" w:rsidP="00B07FC0">
      <w:pPr>
        <w:keepNext/>
        <w:tabs>
          <w:tab w:val="left" w:pos="850"/>
        </w:tabs>
        <w:spacing w:before="360" w:after="120"/>
        <w:ind w:left="357" w:hanging="357"/>
        <w:jc w:val="both"/>
        <w:outlineLvl w:val="1"/>
        <w:rPr>
          <w:rFonts w:eastAsia="Calibri"/>
          <w:noProof/>
          <w:lang w:val="pt-PT"/>
        </w:rPr>
      </w:pPr>
      <w:bookmarkStart w:id="87" w:name="_Toc145922825"/>
      <w:r w:rsidRPr="00B07FC0">
        <w:rPr>
          <w:noProof/>
          <w:lang w:val="pt-PT"/>
        </w:rPr>
        <w:t>As correspondentes alterações do quadro do pessoal constam do anexo orçamental.</w:t>
      </w:r>
    </w:p>
    <w:p w14:paraId="409CD38A" w14:textId="77777777" w:rsidR="00B07FC0" w:rsidRPr="00B07FC0" w:rsidRDefault="00B07FC0" w:rsidP="00B07FC0">
      <w:pPr>
        <w:keepNext/>
        <w:tabs>
          <w:tab w:val="left" w:pos="850"/>
        </w:tabs>
        <w:spacing w:before="360" w:after="120"/>
        <w:ind w:left="357" w:hanging="357"/>
        <w:jc w:val="both"/>
        <w:outlineLvl w:val="1"/>
        <w:rPr>
          <w:rFonts w:eastAsia="Calibri"/>
          <w:b/>
          <w:noProof/>
          <w:lang w:val="pt-PT"/>
        </w:rPr>
      </w:pPr>
      <w:r w:rsidRPr="00B07FC0">
        <w:rPr>
          <w:b/>
          <w:noProof/>
          <w:lang w:val="pt-PT"/>
        </w:rPr>
        <w:t xml:space="preserve">5.2. </w:t>
      </w:r>
      <w:r w:rsidRPr="00B07FC0">
        <w:rPr>
          <w:noProof/>
          <w:lang w:val="pt-PT"/>
        </w:rPr>
        <w:tab/>
      </w:r>
      <w:r w:rsidRPr="00B07FC0">
        <w:rPr>
          <w:b/>
          <w:noProof/>
          <w:lang w:val="pt-PT"/>
        </w:rPr>
        <w:t>Agência da União Europeia para a Cooperação Judiciária Penal (Eurojust)</w:t>
      </w:r>
      <w:bookmarkEnd w:id="87"/>
    </w:p>
    <w:p w14:paraId="5B6C36EA" w14:textId="77777777" w:rsidR="00B07FC0" w:rsidRPr="00B07FC0" w:rsidRDefault="00B07FC0" w:rsidP="00B07FC0">
      <w:pPr>
        <w:autoSpaceDE w:val="0"/>
        <w:autoSpaceDN w:val="0"/>
        <w:adjustRightInd w:val="0"/>
        <w:spacing w:before="120" w:after="120" w:line="259" w:lineRule="auto"/>
        <w:jc w:val="both"/>
        <w:rPr>
          <w:noProof/>
          <w:lang w:val="pt-PT"/>
        </w:rPr>
      </w:pPr>
      <w:r w:rsidRPr="00B07FC0">
        <w:rPr>
          <w:noProof/>
          <w:lang w:val="pt-PT"/>
        </w:rPr>
        <w:t>Na sequência da criação do Centro Internacional de Ação Penal pelo Crime de Agressão contra a Ucrânia (ICPA), a Eurojust prestará apoio operacional, jurídico, financeiro e logístico, nomeadamente para preservar, armazenar e analisar provas. Trata-se de um trabalho essencial para preparar futuros julgamentos, quer perante tribunais nacionais ou internacionais, incluindo um eventual tribunal especializado em crimes de agressão, quer perante o Tribunal Penal Internacional (TPI), no caso dos crimes abrangidos pela sua jurisdição. As correspondentes tarefas adicionais do ICPA para a Eurojust exigem um reforço do quadro de pessoal da agência em quatro agentes temporários em 2024. O correspondente reforço da contribuição da UE para a Eurojust será pago a partir do Serviço dos Instrumentos de Política Externa (FPI) através de acordos de contribuição relativamente às tarefas do ICPA, não exigindo assim dotações adicionais do orçamento da UE.</w:t>
      </w:r>
    </w:p>
    <w:p w14:paraId="61838A6B" w14:textId="77777777" w:rsidR="00B07FC0" w:rsidRPr="00B07FC0" w:rsidRDefault="00B07FC0" w:rsidP="00B07FC0">
      <w:pPr>
        <w:autoSpaceDE w:val="0"/>
        <w:autoSpaceDN w:val="0"/>
        <w:adjustRightInd w:val="0"/>
        <w:spacing w:before="120" w:after="120" w:line="259" w:lineRule="auto"/>
        <w:jc w:val="both"/>
        <w:rPr>
          <w:noProof/>
          <w:lang w:val="pt-PT"/>
        </w:rPr>
      </w:pPr>
      <w:r w:rsidRPr="00B07FC0">
        <w:rPr>
          <w:noProof/>
          <w:lang w:val="pt-PT"/>
        </w:rPr>
        <w:t>As correspondentes alterações do quadro do pessoal constam do anexo orçamental.</w:t>
      </w:r>
    </w:p>
    <w:p w14:paraId="0E621BCB" w14:textId="77777777" w:rsidR="00B07FC0" w:rsidRPr="00B07FC0" w:rsidRDefault="00B07FC0" w:rsidP="00B07FC0">
      <w:pPr>
        <w:keepNext/>
        <w:tabs>
          <w:tab w:val="left" w:pos="850"/>
        </w:tabs>
        <w:spacing w:before="360" w:after="120"/>
        <w:ind w:left="357" w:hanging="357"/>
        <w:jc w:val="both"/>
        <w:outlineLvl w:val="1"/>
        <w:rPr>
          <w:rFonts w:eastAsia="Calibri"/>
          <w:b/>
          <w:bCs/>
          <w:noProof/>
          <w:lang w:val="pt-PT"/>
        </w:rPr>
      </w:pPr>
      <w:bookmarkStart w:id="88" w:name="_Toc145922826"/>
      <w:r w:rsidRPr="00B07FC0">
        <w:rPr>
          <w:b/>
          <w:noProof/>
          <w:lang w:val="pt-PT"/>
        </w:rPr>
        <w:t>5.3. Agência da União Europeia para a Gestão Operacional de Sistemas Informáticos de Grande Escala no Espaço de Liberdade, Segurança e Justiça («eu-LISA»)</w:t>
      </w:r>
      <w:bookmarkEnd w:id="88"/>
    </w:p>
    <w:p w14:paraId="64D0E3F4" w14:textId="77777777" w:rsidR="00B07FC0" w:rsidRPr="00B07FC0" w:rsidRDefault="00B07FC0" w:rsidP="00B07FC0">
      <w:pPr>
        <w:spacing w:before="120" w:after="120" w:line="259" w:lineRule="auto"/>
        <w:jc w:val="both"/>
        <w:rPr>
          <w:rFonts w:eastAsiaTheme="minorEastAsia"/>
          <w:noProof/>
          <w:lang w:val="pt-PT"/>
        </w:rPr>
      </w:pPr>
      <w:bookmarkStart w:id="89" w:name="_Toc114838640"/>
      <w:r w:rsidRPr="00B07FC0">
        <w:rPr>
          <w:noProof/>
          <w:lang w:val="pt-PT"/>
        </w:rPr>
        <w:t>Na sequência da conclusão das negociações políticas sobre o Regulamento relativo à digitalização do procedimento de visto</w:t>
      </w:r>
      <w:r>
        <w:rPr>
          <w:rStyle w:val="FootnoteReference"/>
          <w:noProof/>
        </w:rPr>
        <w:footnoteReference w:id="10"/>
      </w:r>
      <w:r w:rsidRPr="00B07FC0">
        <w:rPr>
          <w:noProof/>
          <w:lang w:val="pt-PT"/>
        </w:rPr>
        <w:t xml:space="preserve">, o orçamento da eu-LISA deve ser atualizado para 2024, em conformidade com a ficha financeira legislativa atualizada. Tal implica uma redução do número de agentes temporários (de cinco para um) e de agentes contratuais (de três para zero). O acordo político alcançado implica igualmente uma redução das dotações necessárias em 2024. Do montante previsto de 19 945 000 EUR em reserva no quadro deste regulamento, que foi deduzido do Instrumento de Apoio Financeiro à Gestão das Fronteiras e à Política de Vistos (IGFV), propõe-se transferir 86 000 EUR para a rubrica operacional e 19 859 000 EUR para o IGFV. </w:t>
      </w:r>
    </w:p>
    <w:p w14:paraId="3CC60419" w14:textId="77777777" w:rsidR="00B07FC0" w:rsidRPr="00B07FC0" w:rsidRDefault="00B07FC0" w:rsidP="00B07FC0">
      <w:pPr>
        <w:spacing w:before="240"/>
        <w:jc w:val="both"/>
        <w:rPr>
          <w:rFonts w:eastAsia="Calibri"/>
          <w:noProof/>
          <w:lang w:val="pt-PT"/>
        </w:rPr>
      </w:pPr>
      <w:r w:rsidRPr="00B07FC0">
        <w:rPr>
          <w:noProof/>
          <w:lang w:val="pt-PT"/>
        </w:rPr>
        <w:t>As correspondentes alterações do quadro do pessoal constam do anexo orçamental.</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5132"/>
        <w:gridCol w:w="1701"/>
        <w:gridCol w:w="1701"/>
      </w:tblGrid>
      <w:tr w:rsidR="00B07FC0" w:rsidRPr="007E687E" w14:paraId="49827EEF" w14:textId="77777777" w:rsidTr="00433C4E">
        <w:trPr>
          <w:jc w:val="center"/>
        </w:trPr>
        <w:tc>
          <w:tcPr>
            <w:tcW w:w="9810" w:type="dxa"/>
            <w:gridSpan w:val="4"/>
            <w:tcBorders>
              <w:top w:val="nil"/>
              <w:left w:val="nil"/>
              <w:bottom w:val="single" w:sz="4" w:space="0" w:color="auto"/>
              <w:right w:val="nil"/>
            </w:tcBorders>
            <w:shd w:val="clear" w:color="auto" w:fill="auto"/>
            <w:vAlign w:val="center"/>
          </w:tcPr>
          <w:p w14:paraId="1398019C" w14:textId="77777777" w:rsidR="00B07FC0" w:rsidRPr="007E687E" w:rsidRDefault="00B07FC0" w:rsidP="00433C4E">
            <w:pPr>
              <w:widowControl w:val="0"/>
              <w:spacing w:before="15" w:after="15"/>
              <w:jc w:val="right"/>
              <w:rPr>
                <w:rFonts w:eastAsia="Calibri"/>
                <w:i/>
                <w:noProof/>
                <w:sz w:val="20"/>
                <w:szCs w:val="20"/>
              </w:rPr>
            </w:pPr>
            <w:r>
              <w:rPr>
                <w:i/>
                <w:noProof/>
                <w:sz w:val="20"/>
              </w:rPr>
              <w:t>EUR</w:t>
            </w:r>
          </w:p>
        </w:tc>
      </w:tr>
      <w:tr w:rsidR="00B07FC0" w:rsidRPr="007E687E" w14:paraId="4D8AB3F8" w14:textId="77777777" w:rsidTr="00433C4E">
        <w:trPr>
          <w:jc w:val="center"/>
        </w:trPr>
        <w:tc>
          <w:tcPr>
            <w:tcW w:w="1276" w:type="dxa"/>
            <w:tcBorders>
              <w:top w:val="single" w:sz="4" w:space="0" w:color="auto"/>
            </w:tcBorders>
            <w:shd w:val="clear" w:color="auto" w:fill="D9D9D9"/>
            <w:vAlign w:val="center"/>
          </w:tcPr>
          <w:p w14:paraId="2E4C78AF" w14:textId="77777777" w:rsidR="00B07FC0" w:rsidRPr="007E687E" w:rsidRDefault="00B07FC0" w:rsidP="00433C4E">
            <w:pPr>
              <w:keepNext/>
              <w:spacing w:before="15" w:after="15"/>
              <w:jc w:val="center"/>
              <w:rPr>
                <w:rFonts w:eastAsia="Calibri"/>
                <w:b/>
                <w:noProof/>
                <w:sz w:val="20"/>
                <w:szCs w:val="20"/>
              </w:rPr>
            </w:pPr>
            <w:r>
              <w:rPr>
                <w:b/>
                <w:noProof/>
                <w:sz w:val="20"/>
              </w:rPr>
              <w:t>Rubrica orçamental</w:t>
            </w:r>
          </w:p>
        </w:tc>
        <w:tc>
          <w:tcPr>
            <w:tcW w:w="5132" w:type="dxa"/>
            <w:tcBorders>
              <w:top w:val="single" w:sz="4" w:space="0" w:color="auto"/>
            </w:tcBorders>
            <w:shd w:val="clear" w:color="auto" w:fill="D9D9D9"/>
            <w:vAlign w:val="center"/>
          </w:tcPr>
          <w:p w14:paraId="46BE8D97" w14:textId="77777777" w:rsidR="00B07FC0" w:rsidRPr="007E687E" w:rsidRDefault="00B07FC0" w:rsidP="00433C4E">
            <w:pPr>
              <w:widowControl w:val="0"/>
              <w:spacing w:before="15" w:after="15"/>
              <w:jc w:val="center"/>
              <w:rPr>
                <w:rFonts w:eastAsia="Calibri"/>
                <w:b/>
                <w:noProof/>
                <w:sz w:val="20"/>
                <w:szCs w:val="20"/>
              </w:rPr>
            </w:pPr>
            <w:r>
              <w:rPr>
                <w:b/>
                <w:noProof/>
                <w:sz w:val="20"/>
              </w:rPr>
              <w:t>Nome</w:t>
            </w:r>
          </w:p>
        </w:tc>
        <w:tc>
          <w:tcPr>
            <w:tcW w:w="1701" w:type="dxa"/>
            <w:tcBorders>
              <w:top w:val="single" w:sz="4" w:space="0" w:color="auto"/>
            </w:tcBorders>
            <w:shd w:val="clear" w:color="auto" w:fill="D9D9D9"/>
            <w:vAlign w:val="center"/>
          </w:tcPr>
          <w:p w14:paraId="174AC6A7" w14:textId="77777777" w:rsidR="00B07FC0" w:rsidRPr="007E687E" w:rsidRDefault="00B07FC0" w:rsidP="00433C4E">
            <w:pPr>
              <w:widowControl w:val="0"/>
              <w:spacing w:before="15" w:after="15"/>
              <w:jc w:val="center"/>
              <w:rPr>
                <w:rFonts w:eastAsia="Calibri"/>
                <w:b/>
                <w:noProof/>
                <w:sz w:val="20"/>
                <w:szCs w:val="20"/>
              </w:rPr>
            </w:pPr>
            <w:r>
              <w:rPr>
                <w:b/>
                <w:noProof/>
                <w:sz w:val="20"/>
              </w:rPr>
              <w:t>Dotações de autorização</w:t>
            </w:r>
          </w:p>
        </w:tc>
        <w:tc>
          <w:tcPr>
            <w:tcW w:w="1701" w:type="dxa"/>
            <w:tcBorders>
              <w:top w:val="single" w:sz="4" w:space="0" w:color="auto"/>
            </w:tcBorders>
            <w:shd w:val="clear" w:color="auto" w:fill="D9D9D9"/>
            <w:vAlign w:val="center"/>
          </w:tcPr>
          <w:p w14:paraId="2AB3C49E" w14:textId="77777777" w:rsidR="00B07FC0" w:rsidRPr="007E687E" w:rsidRDefault="00B07FC0" w:rsidP="00433C4E">
            <w:pPr>
              <w:widowControl w:val="0"/>
              <w:spacing w:before="15" w:after="15"/>
              <w:jc w:val="center"/>
              <w:rPr>
                <w:rFonts w:eastAsia="Calibri"/>
                <w:b/>
                <w:noProof/>
                <w:sz w:val="20"/>
                <w:szCs w:val="20"/>
              </w:rPr>
            </w:pPr>
            <w:r>
              <w:rPr>
                <w:b/>
                <w:noProof/>
                <w:sz w:val="20"/>
              </w:rPr>
              <w:t>Dotações de pagamento</w:t>
            </w:r>
          </w:p>
        </w:tc>
      </w:tr>
      <w:tr w:rsidR="00B07FC0" w:rsidRPr="007E687E" w14:paraId="3ED27960" w14:textId="77777777" w:rsidTr="00433C4E">
        <w:trPr>
          <w:jc w:val="center"/>
        </w:trPr>
        <w:tc>
          <w:tcPr>
            <w:tcW w:w="9810" w:type="dxa"/>
            <w:gridSpan w:val="4"/>
            <w:tcBorders>
              <w:bottom w:val="single" w:sz="4" w:space="0" w:color="auto"/>
            </w:tcBorders>
            <w:shd w:val="clear" w:color="auto" w:fill="F2F2F2"/>
            <w:vAlign w:val="center"/>
          </w:tcPr>
          <w:p w14:paraId="5D271160" w14:textId="77777777" w:rsidR="00B07FC0" w:rsidRPr="007E687E" w:rsidRDefault="00B07FC0" w:rsidP="00433C4E">
            <w:pPr>
              <w:widowControl w:val="0"/>
              <w:spacing w:before="15" w:after="15"/>
              <w:rPr>
                <w:rFonts w:eastAsia="Calibri"/>
                <w:i/>
                <w:noProof/>
                <w:sz w:val="20"/>
                <w:szCs w:val="20"/>
              </w:rPr>
            </w:pPr>
            <w:r>
              <w:rPr>
                <w:i/>
                <w:noProof/>
                <w:sz w:val="20"/>
              </w:rPr>
              <w:t>Secção III – Comissão</w:t>
            </w:r>
          </w:p>
        </w:tc>
      </w:tr>
      <w:tr w:rsidR="00B07FC0" w:rsidRPr="007E687E" w14:paraId="78ABB6BC" w14:textId="77777777" w:rsidTr="00433C4E">
        <w:trPr>
          <w:jc w:val="center"/>
        </w:trPr>
        <w:tc>
          <w:tcPr>
            <w:tcW w:w="1276" w:type="dxa"/>
            <w:vAlign w:val="center"/>
          </w:tcPr>
          <w:p w14:paraId="2B872820" w14:textId="77777777" w:rsidR="00B07FC0" w:rsidRPr="00BB59FE" w:rsidRDefault="00B07FC0" w:rsidP="00433C4E">
            <w:pPr>
              <w:widowControl w:val="0"/>
              <w:tabs>
                <w:tab w:val="left" w:pos="1350"/>
              </w:tabs>
              <w:spacing w:before="15" w:after="15"/>
              <w:jc w:val="both"/>
              <w:rPr>
                <w:noProof/>
                <w:sz w:val="16"/>
                <w:szCs w:val="16"/>
              </w:rPr>
            </w:pPr>
            <w:r>
              <w:rPr>
                <w:noProof/>
                <w:sz w:val="16"/>
              </w:rPr>
              <w:t>30 02 02</w:t>
            </w:r>
          </w:p>
        </w:tc>
        <w:tc>
          <w:tcPr>
            <w:tcW w:w="5132" w:type="dxa"/>
          </w:tcPr>
          <w:p w14:paraId="7B1B1BB4" w14:textId="77777777" w:rsidR="00B07FC0" w:rsidRPr="00B07FC0" w:rsidRDefault="00B07FC0" w:rsidP="00433C4E">
            <w:pPr>
              <w:widowControl w:val="0"/>
              <w:tabs>
                <w:tab w:val="left" w:pos="1350"/>
              </w:tabs>
              <w:spacing w:before="15" w:after="15"/>
              <w:jc w:val="both"/>
              <w:rPr>
                <w:noProof/>
                <w:sz w:val="16"/>
                <w:szCs w:val="16"/>
                <w:lang w:val="pt-PT"/>
              </w:rPr>
            </w:pPr>
            <w:r w:rsidRPr="00B07FC0">
              <w:rPr>
                <w:noProof/>
                <w:sz w:val="16"/>
                <w:lang w:val="pt-PT"/>
              </w:rPr>
              <w:t>Dotações diferenciadas (</w:t>
            </w:r>
            <w:r w:rsidRPr="00B07FC0">
              <w:rPr>
                <w:i/>
                <w:iCs/>
                <w:noProof/>
                <w:sz w:val="16"/>
                <w:lang w:val="pt-PT"/>
              </w:rPr>
              <w:t>Reserva para o artigo orçamental 11 10 02</w:t>
            </w:r>
            <w:r w:rsidRPr="00B07FC0">
              <w:rPr>
                <w:noProof/>
                <w:sz w:val="16"/>
                <w:lang w:val="pt-PT"/>
              </w:rPr>
              <w:t>)</w:t>
            </w:r>
          </w:p>
        </w:tc>
        <w:tc>
          <w:tcPr>
            <w:tcW w:w="1701" w:type="dxa"/>
            <w:vAlign w:val="center"/>
          </w:tcPr>
          <w:p w14:paraId="5A02BE8D" w14:textId="77777777" w:rsidR="00B07FC0" w:rsidDel="00ED1745" w:rsidRDefault="00B07FC0" w:rsidP="00433C4E">
            <w:pPr>
              <w:widowControl w:val="0"/>
              <w:spacing w:before="15" w:after="15"/>
              <w:jc w:val="right"/>
              <w:rPr>
                <w:rFonts w:eastAsia="Calibri"/>
                <w:noProof/>
                <w:sz w:val="16"/>
                <w:szCs w:val="16"/>
              </w:rPr>
            </w:pPr>
            <w:r>
              <w:rPr>
                <w:noProof/>
                <w:sz w:val="16"/>
              </w:rPr>
              <w:t>-19 945 000</w:t>
            </w:r>
          </w:p>
        </w:tc>
        <w:tc>
          <w:tcPr>
            <w:tcW w:w="1701" w:type="dxa"/>
            <w:vAlign w:val="center"/>
          </w:tcPr>
          <w:p w14:paraId="3655124C" w14:textId="77777777" w:rsidR="00B07FC0" w:rsidRDefault="00B07FC0" w:rsidP="00433C4E">
            <w:pPr>
              <w:widowControl w:val="0"/>
              <w:spacing w:before="15" w:after="15"/>
              <w:jc w:val="right"/>
              <w:rPr>
                <w:rFonts w:eastAsia="Calibri"/>
                <w:noProof/>
                <w:sz w:val="16"/>
                <w:szCs w:val="16"/>
              </w:rPr>
            </w:pPr>
            <w:r>
              <w:rPr>
                <w:noProof/>
                <w:sz w:val="16"/>
              </w:rPr>
              <w:t>-19 945 000</w:t>
            </w:r>
          </w:p>
        </w:tc>
      </w:tr>
      <w:tr w:rsidR="00B07FC0" w:rsidRPr="007E687E" w14:paraId="5E84806D" w14:textId="77777777" w:rsidTr="00433C4E">
        <w:trPr>
          <w:jc w:val="center"/>
        </w:trPr>
        <w:tc>
          <w:tcPr>
            <w:tcW w:w="1276" w:type="dxa"/>
          </w:tcPr>
          <w:p w14:paraId="6E8E5549" w14:textId="77777777" w:rsidR="00B07FC0" w:rsidRPr="00885900" w:rsidRDefault="00B07FC0" w:rsidP="00433C4E">
            <w:pPr>
              <w:widowControl w:val="0"/>
              <w:tabs>
                <w:tab w:val="left" w:pos="1350"/>
              </w:tabs>
              <w:spacing w:before="15" w:after="15"/>
              <w:jc w:val="both"/>
              <w:rPr>
                <w:rFonts w:eastAsia="Calibri"/>
                <w:noProof/>
                <w:sz w:val="16"/>
                <w:szCs w:val="16"/>
              </w:rPr>
            </w:pPr>
            <w:r>
              <w:rPr>
                <w:noProof/>
                <w:sz w:val="16"/>
              </w:rPr>
              <w:t>11 10 02</w:t>
            </w:r>
          </w:p>
        </w:tc>
        <w:tc>
          <w:tcPr>
            <w:tcW w:w="5132" w:type="dxa"/>
          </w:tcPr>
          <w:p w14:paraId="656ACF9F" w14:textId="77777777" w:rsidR="00B07FC0" w:rsidRPr="00B07FC0" w:rsidRDefault="00B07FC0" w:rsidP="00433C4E">
            <w:pPr>
              <w:widowControl w:val="0"/>
              <w:tabs>
                <w:tab w:val="left" w:pos="1350"/>
              </w:tabs>
              <w:spacing w:before="15" w:after="15"/>
              <w:jc w:val="both"/>
              <w:rPr>
                <w:rFonts w:eastAsia="Calibri"/>
                <w:noProof/>
                <w:sz w:val="16"/>
                <w:szCs w:val="16"/>
                <w:lang w:val="pt-PT"/>
              </w:rPr>
            </w:pPr>
            <w:r w:rsidRPr="00B07FC0">
              <w:rPr>
                <w:noProof/>
                <w:sz w:val="16"/>
                <w:lang w:val="pt-PT"/>
              </w:rPr>
              <w:t>Agência da União Europeia para a Gestão Operacional de Sistemas Informáticos de Grande Escala no Espaço de Liberdade, Segurança e Justiça («eu-LISA»)</w:t>
            </w:r>
          </w:p>
        </w:tc>
        <w:tc>
          <w:tcPr>
            <w:tcW w:w="1701" w:type="dxa"/>
            <w:vAlign w:val="center"/>
          </w:tcPr>
          <w:p w14:paraId="4DABFB93" w14:textId="77777777" w:rsidR="00B07FC0" w:rsidRPr="00885900" w:rsidRDefault="00B07FC0" w:rsidP="00433C4E">
            <w:pPr>
              <w:widowControl w:val="0"/>
              <w:spacing w:before="15" w:after="15"/>
              <w:jc w:val="right"/>
              <w:rPr>
                <w:rFonts w:eastAsia="Calibri"/>
                <w:noProof/>
                <w:sz w:val="16"/>
                <w:szCs w:val="16"/>
              </w:rPr>
            </w:pPr>
            <w:r>
              <w:rPr>
                <w:noProof/>
                <w:sz w:val="16"/>
              </w:rPr>
              <w:t>86 000</w:t>
            </w:r>
          </w:p>
        </w:tc>
        <w:tc>
          <w:tcPr>
            <w:tcW w:w="1701" w:type="dxa"/>
            <w:vAlign w:val="center"/>
          </w:tcPr>
          <w:p w14:paraId="59DF170F" w14:textId="77777777" w:rsidR="00B07FC0" w:rsidRPr="00885900" w:rsidRDefault="00B07FC0" w:rsidP="00433C4E">
            <w:pPr>
              <w:widowControl w:val="0"/>
              <w:spacing w:before="15" w:after="15"/>
              <w:jc w:val="right"/>
              <w:rPr>
                <w:rFonts w:eastAsia="Calibri"/>
                <w:noProof/>
                <w:sz w:val="16"/>
                <w:szCs w:val="16"/>
              </w:rPr>
            </w:pPr>
            <w:r>
              <w:rPr>
                <w:noProof/>
                <w:sz w:val="16"/>
              </w:rPr>
              <w:t>86 000</w:t>
            </w:r>
          </w:p>
        </w:tc>
      </w:tr>
      <w:tr w:rsidR="00B07FC0" w:rsidRPr="007E687E" w14:paraId="48644C5B" w14:textId="77777777" w:rsidTr="00433C4E">
        <w:trPr>
          <w:jc w:val="center"/>
        </w:trPr>
        <w:tc>
          <w:tcPr>
            <w:tcW w:w="1276" w:type="dxa"/>
          </w:tcPr>
          <w:p w14:paraId="1C3FB79B" w14:textId="77777777" w:rsidR="00B07FC0" w:rsidRPr="00BB59FE" w:rsidRDefault="00B07FC0" w:rsidP="00433C4E">
            <w:pPr>
              <w:widowControl w:val="0"/>
              <w:tabs>
                <w:tab w:val="left" w:pos="1350"/>
              </w:tabs>
              <w:spacing w:before="15" w:after="15"/>
              <w:jc w:val="both"/>
              <w:rPr>
                <w:noProof/>
                <w:sz w:val="16"/>
                <w:szCs w:val="16"/>
              </w:rPr>
            </w:pPr>
            <w:r>
              <w:rPr>
                <w:noProof/>
                <w:sz w:val="16"/>
              </w:rPr>
              <w:t>11 02 01</w:t>
            </w:r>
          </w:p>
        </w:tc>
        <w:tc>
          <w:tcPr>
            <w:tcW w:w="5132" w:type="dxa"/>
          </w:tcPr>
          <w:p w14:paraId="53737F43" w14:textId="77777777" w:rsidR="00B07FC0" w:rsidRPr="00B07FC0" w:rsidRDefault="00B07FC0" w:rsidP="00433C4E">
            <w:pPr>
              <w:widowControl w:val="0"/>
              <w:tabs>
                <w:tab w:val="left" w:pos="1350"/>
              </w:tabs>
              <w:spacing w:before="15" w:after="15"/>
              <w:jc w:val="both"/>
              <w:rPr>
                <w:noProof/>
                <w:sz w:val="16"/>
                <w:szCs w:val="16"/>
                <w:lang w:val="pt-PT"/>
              </w:rPr>
            </w:pPr>
            <w:r w:rsidRPr="00B07FC0">
              <w:rPr>
                <w:noProof/>
                <w:sz w:val="16"/>
                <w:lang w:val="pt-PT"/>
              </w:rPr>
              <w:t>Instrumento de apoio financeiro à gestão das fronteiras e dos vistos</w:t>
            </w:r>
          </w:p>
        </w:tc>
        <w:tc>
          <w:tcPr>
            <w:tcW w:w="1701" w:type="dxa"/>
            <w:vAlign w:val="center"/>
          </w:tcPr>
          <w:p w14:paraId="10E611E6" w14:textId="77777777" w:rsidR="00B07FC0" w:rsidRDefault="00B07FC0" w:rsidP="00433C4E">
            <w:pPr>
              <w:widowControl w:val="0"/>
              <w:spacing w:before="15" w:after="15"/>
              <w:jc w:val="right"/>
              <w:rPr>
                <w:rFonts w:eastAsia="Calibri"/>
                <w:noProof/>
                <w:sz w:val="16"/>
                <w:szCs w:val="16"/>
              </w:rPr>
            </w:pPr>
            <w:r>
              <w:rPr>
                <w:noProof/>
                <w:sz w:val="16"/>
              </w:rPr>
              <w:t>19 859 000</w:t>
            </w:r>
          </w:p>
        </w:tc>
        <w:tc>
          <w:tcPr>
            <w:tcW w:w="1701" w:type="dxa"/>
            <w:vAlign w:val="center"/>
          </w:tcPr>
          <w:p w14:paraId="65494EE3" w14:textId="77777777" w:rsidR="00B07FC0" w:rsidRDefault="00B07FC0" w:rsidP="00433C4E">
            <w:pPr>
              <w:widowControl w:val="0"/>
              <w:spacing w:before="15" w:after="15"/>
              <w:jc w:val="right"/>
              <w:rPr>
                <w:rFonts w:eastAsia="Calibri"/>
                <w:noProof/>
                <w:sz w:val="16"/>
                <w:szCs w:val="16"/>
              </w:rPr>
            </w:pPr>
            <w:r>
              <w:rPr>
                <w:noProof/>
                <w:sz w:val="16"/>
              </w:rPr>
              <w:t>19 859 000</w:t>
            </w:r>
          </w:p>
        </w:tc>
      </w:tr>
      <w:tr w:rsidR="00B07FC0" w:rsidRPr="007E687E" w14:paraId="5B9C71E6" w14:textId="77777777" w:rsidTr="00433C4E">
        <w:trPr>
          <w:jc w:val="center"/>
        </w:trPr>
        <w:tc>
          <w:tcPr>
            <w:tcW w:w="6408" w:type="dxa"/>
            <w:gridSpan w:val="2"/>
            <w:shd w:val="clear" w:color="auto" w:fill="D9D9D9"/>
          </w:tcPr>
          <w:p w14:paraId="4AD21C7E" w14:textId="77777777" w:rsidR="00B07FC0" w:rsidRPr="007E687E" w:rsidRDefault="00B07FC0" w:rsidP="00433C4E">
            <w:pPr>
              <w:widowControl w:val="0"/>
              <w:spacing w:before="15" w:after="15"/>
              <w:ind w:right="-113"/>
              <w:jc w:val="both"/>
              <w:rPr>
                <w:rFonts w:eastAsia="Calibri"/>
                <w:noProof/>
                <w:sz w:val="20"/>
                <w:szCs w:val="20"/>
              </w:rPr>
            </w:pPr>
            <w:r>
              <w:rPr>
                <w:b/>
                <w:noProof/>
                <w:sz w:val="20"/>
              </w:rPr>
              <w:t>Total</w:t>
            </w:r>
            <w:r>
              <w:rPr>
                <w:noProof/>
              </w:rPr>
              <w:tab/>
            </w:r>
          </w:p>
        </w:tc>
        <w:tc>
          <w:tcPr>
            <w:tcW w:w="1701" w:type="dxa"/>
            <w:shd w:val="clear" w:color="auto" w:fill="D9D9D9"/>
          </w:tcPr>
          <w:p w14:paraId="799BFB04" w14:textId="77777777" w:rsidR="00B07FC0" w:rsidRPr="00DC3D08" w:rsidRDefault="00B07FC0" w:rsidP="00433C4E">
            <w:pPr>
              <w:widowControl w:val="0"/>
              <w:spacing w:before="15" w:after="15"/>
              <w:jc w:val="right"/>
              <w:rPr>
                <w:rFonts w:eastAsia="Calibri"/>
                <w:b/>
                <w:bCs/>
                <w:noProof/>
                <w:sz w:val="20"/>
                <w:szCs w:val="20"/>
              </w:rPr>
            </w:pPr>
            <w:r>
              <w:rPr>
                <w:b/>
                <w:noProof/>
                <w:sz w:val="20"/>
              </w:rPr>
              <w:t>0</w:t>
            </w:r>
          </w:p>
        </w:tc>
        <w:tc>
          <w:tcPr>
            <w:tcW w:w="1701" w:type="dxa"/>
            <w:shd w:val="clear" w:color="auto" w:fill="D9D9D9"/>
          </w:tcPr>
          <w:p w14:paraId="6FF9C236" w14:textId="77777777" w:rsidR="00B07FC0" w:rsidRPr="00DC3D08" w:rsidRDefault="00B07FC0" w:rsidP="00433C4E">
            <w:pPr>
              <w:widowControl w:val="0"/>
              <w:spacing w:before="15" w:after="15"/>
              <w:jc w:val="right"/>
              <w:rPr>
                <w:rFonts w:eastAsia="Calibri"/>
                <w:b/>
                <w:bCs/>
                <w:noProof/>
                <w:sz w:val="20"/>
                <w:szCs w:val="20"/>
              </w:rPr>
            </w:pPr>
            <w:r>
              <w:rPr>
                <w:b/>
                <w:noProof/>
                <w:sz w:val="20"/>
              </w:rPr>
              <w:t>0</w:t>
            </w:r>
          </w:p>
        </w:tc>
      </w:tr>
    </w:tbl>
    <w:p w14:paraId="1BCA6E22" w14:textId="77777777" w:rsidR="00B07FC0" w:rsidRPr="00B07FC0" w:rsidRDefault="00B07FC0" w:rsidP="00B07FC0">
      <w:pPr>
        <w:keepNext/>
        <w:tabs>
          <w:tab w:val="left" w:pos="850"/>
        </w:tabs>
        <w:spacing w:before="360" w:after="120"/>
        <w:ind w:left="357" w:hanging="357"/>
        <w:jc w:val="both"/>
        <w:outlineLvl w:val="1"/>
        <w:rPr>
          <w:rFonts w:eastAsia="Calibri"/>
          <w:b/>
          <w:noProof/>
          <w:lang w:val="pt-PT"/>
        </w:rPr>
      </w:pPr>
      <w:bookmarkStart w:id="90" w:name="_Toc145922827"/>
      <w:r w:rsidRPr="00B07FC0">
        <w:rPr>
          <w:b/>
          <w:noProof/>
          <w:lang w:val="pt-PT"/>
        </w:rPr>
        <w:t xml:space="preserve">5,4. </w:t>
      </w:r>
      <w:r w:rsidRPr="00B07FC0">
        <w:rPr>
          <w:noProof/>
          <w:lang w:val="pt-PT"/>
        </w:rPr>
        <w:tab/>
      </w:r>
      <w:r w:rsidRPr="00B07FC0">
        <w:rPr>
          <w:b/>
          <w:noProof/>
          <w:lang w:val="pt-PT"/>
        </w:rPr>
        <w:t>Transferências das reservas para as rubricas operacionais das agências descentralizadas em virtude da adoção de atos jurídicos.</w:t>
      </w:r>
      <w:bookmarkEnd w:id="89"/>
      <w:bookmarkEnd w:id="90"/>
      <w:r w:rsidRPr="00B07FC0">
        <w:rPr>
          <w:b/>
          <w:noProof/>
          <w:lang w:val="pt-PT"/>
        </w:rPr>
        <w:t xml:space="preserve"> </w:t>
      </w:r>
    </w:p>
    <w:p w14:paraId="3FEFBF35" w14:textId="77777777" w:rsidR="00B07FC0" w:rsidRPr="00B07FC0" w:rsidRDefault="00B07FC0" w:rsidP="00B07FC0">
      <w:pPr>
        <w:jc w:val="both"/>
        <w:rPr>
          <w:noProof/>
          <w:lang w:val="pt-PT"/>
        </w:rPr>
      </w:pPr>
      <w:r w:rsidRPr="00B07FC0">
        <w:rPr>
          <w:noProof/>
          <w:lang w:val="pt-PT"/>
        </w:rPr>
        <w:t xml:space="preserve">Devido à adoção futura ou passada dos seguintes atos jurídicos pelos colegisladores, a Comissão propõe transferir os montantes atualmente colocados em reservas com vista à execução destes atos jurídicos para as rubricas operacionais das agências descentralizadas em causa: </w:t>
      </w:r>
    </w:p>
    <w:p w14:paraId="6B871836" w14:textId="77777777" w:rsidR="00B07FC0" w:rsidRPr="00B07FC0" w:rsidRDefault="00B07FC0" w:rsidP="00B07FC0">
      <w:pPr>
        <w:jc w:val="both"/>
        <w:rPr>
          <w:rFonts w:eastAsiaTheme="minorHAnsi"/>
          <w:noProof/>
          <w:lang w:val="pt-PT" w:eastAsia="en-US"/>
        </w:rPr>
      </w:pPr>
    </w:p>
    <w:p w14:paraId="38B8C628" w14:textId="77777777" w:rsidR="00B07FC0" w:rsidRPr="00B07FC0" w:rsidRDefault="00B07FC0" w:rsidP="00B07FC0">
      <w:pPr>
        <w:pStyle w:val="ListParagraph"/>
        <w:numPr>
          <w:ilvl w:val="0"/>
          <w:numId w:val="45"/>
        </w:numPr>
        <w:ind w:left="360"/>
        <w:jc w:val="both"/>
        <w:rPr>
          <w:rFonts w:ascii="Times New Roman" w:eastAsia="Times New Roman" w:hAnsi="Times New Roman"/>
          <w:noProof/>
          <w:sz w:val="24"/>
          <w:szCs w:val="24"/>
          <w:lang w:val="pt-PT"/>
        </w:rPr>
      </w:pPr>
      <w:r w:rsidRPr="00B07FC0">
        <w:rPr>
          <w:rFonts w:ascii="Times New Roman" w:hAnsi="Times New Roman"/>
          <w:b/>
          <w:bCs/>
          <w:noProof/>
          <w:sz w:val="24"/>
          <w:lang w:val="pt-PT"/>
        </w:rPr>
        <w:t>Agência da União Europeia</w:t>
      </w:r>
      <w:r w:rsidRPr="00B07FC0">
        <w:rPr>
          <w:rFonts w:ascii="Times New Roman" w:hAnsi="Times New Roman"/>
          <w:b/>
          <w:bCs/>
          <w:i/>
          <w:iCs/>
          <w:noProof/>
          <w:sz w:val="24"/>
          <w:lang w:val="pt-PT"/>
        </w:rPr>
        <w:t xml:space="preserve"> para a Segurança da Aviação (AESA)</w:t>
      </w:r>
      <w:r w:rsidRPr="00B07FC0">
        <w:rPr>
          <w:rFonts w:ascii="Times New Roman" w:hAnsi="Times New Roman"/>
          <w:b/>
          <w:i/>
          <w:noProof/>
          <w:sz w:val="24"/>
          <w:lang w:val="pt-PT"/>
        </w:rPr>
        <w:t xml:space="preserve"> (02 10 01)</w:t>
      </w:r>
      <w:r w:rsidRPr="00B07FC0">
        <w:rPr>
          <w:rFonts w:ascii="Times New Roman" w:hAnsi="Times New Roman"/>
          <w:noProof/>
          <w:sz w:val="24"/>
          <w:lang w:val="pt-PT"/>
        </w:rPr>
        <w:t>: Na sequência do acordo político sobre a proposta da Comissão relativa à garantia de condições de concorrência equitativas para um transporte aéreo sustentável</w:t>
      </w:r>
      <w:r>
        <w:rPr>
          <w:rStyle w:val="FootnoteReference"/>
          <w:rFonts w:ascii="Times New Roman" w:eastAsiaTheme="minorEastAsia" w:hAnsi="Times New Roman"/>
          <w:noProof/>
          <w:sz w:val="24"/>
          <w:szCs w:val="24"/>
          <w:lang w:val="en-GB"/>
        </w:rPr>
        <w:footnoteReference w:id="11"/>
      </w:r>
      <w:r w:rsidRPr="00B07FC0">
        <w:rPr>
          <w:rFonts w:ascii="Times New Roman" w:hAnsi="Times New Roman"/>
          <w:noProof/>
          <w:sz w:val="24"/>
          <w:lang w:val="pt-PT"/>
        </w:rPr>
        <w:t>, será transferido um montante de 2 774 000 EUR em dotações de autorização e de pagamento da rubrica de reserva para a rubrica operacional.</w:t>
      </w:r>
    </w:p>
    <w:p w14:paraId="2396ADCC" w14:textId="77777777" w:rsidR="00B07FC0" w:rsidRPr="00B07FC0" w:rsidRDefault="00B07FC0" w:rsidP="00B07FC0">
      <w:pPr>
        <w:pStyle w:val="ListParagraph"/>
        <w:numPr>
          <w:ilvl w:val="0"/>
          <w:numId w:val="45"/>
        </w:numPr>
        <w:ind w:left="360"/>
        <w:jc w:val="both"/>
        <w:rPr>
          <w:rFonts w:ascii="Times New Roman" w:eastAsiaTheme="minorEastAsia" w:hAnsi="Times New Roman"/>
          <w:noProof/>
          <w:sz w:val="24"/>
          <w:szCs w:val="24"/>
          <w:lang w:val="pt-PT"/>
        </w:rPr>
      </w:pPr>
      <w:r w:rsidRPr="00B07FC0">
        <w:rPr>
          <w:rFonts w:ascii="Times New Roman" w:hAnsi="Times New Roman"/>
          <w:b/>
          <w:bCs/>
          <w:i/>
          <w:iCs/>
          <w:noProof/>
          <w:sz w:val="24"/>
          <w:lang w:val="pt-PT"/>
        </w:rPr>
        <w:t>Agência Europeia da Segurança Marítima (EMSA)</w:t>
      </w:r>
      <w:r w:rsidRPr="00B07FC0">
        <w:rPr>
          <w:rFonts w:ascii="Times New Roman" w:hAnsi="Times New Roman"/>
          <w:b/>
          <w:i/>
          <w:noProof/>
          <w:sz w:val="24"/>
          <w:lang w:val="pt-PT"/>
        </w:rPr>
        <w:t xml:space="preserve"> (02 10 02)</w:t>
      </w:r>
      <w:r w:rsidRPr="00B07FC0">
        <w:rPr>
          <w:rFonts w:ascii="Times New Roman" w:hAnsi="Times New Roman"/>
          <w:noProof/>
          <w:sz w:val="24"/>
          <w:lang w:val="pt-PT"/>
        </w:rPr>
        <w:t>: Na sequência da adoção do Regulamento (UE) 2023/1805 do Parlamento Europeu e do Conselho, de 22 de setembro de 2023, relativo à utilização de combustíveis renováveis e hipocarbónicos nos transportes marítimos e que altera a Diretiva 2009/16/CE</w:t>
      </w:r>
      <w:r>
        <w:rPr>
          <w:rStyle w:val="FootnoteReference"/>
          <w:rFonts w:ascii="Times New Roman" w:eastAsiaTheme="minorEastAsia" w:hAnsi="Times New Roman"/>
          <w:noProof/>
          <w:sz w:val="24"/>
          <w:szCs w:val="24"/>
          <w:lang w:val="en-GB"/>
        </w:rPr>
        <w:footnoteReference w:id="12"/>
      </w:r>
      <w:r w:rsidRPr="00B07FC0">
        <w:rPr>
          <w:rFonts w:ascii="Times New Roman" w:hAnsi="Times New Roman"/>
          <w:noProof/>
          <w:sz w:val="24"/>
          <w:lang w:val="pt-PT"/>
        </w:rPr>
        <w:t>, será transferido da rubrica de reserva para a rubrica operacional um montante de 1 191 000 EUR em dotações de autorização e de pagamento.</w:t>
      </w:r>
    </w:p>
    <w:p w14:paraId="6696269A" w14:textId="77777777" w:rsidR="00B07FC0" w:rsidRPr="00B07FC0" w:rsidRDefault="00B07FC0" w:rsidP="00B07FC0">
      <w:pPr>
        <w:pStyle w:val="ListParagraph"/>
        <w:numPr>
          <w:ilvl w:val="0"/>
          <w:numId w:val="45"/>
        </w:numPr>
        <w:ind w:left="360"/>
        <w:jc w:val="both"/>
        <w:rPr>
          <w:rFonts w:ascii="Times New Roman" w:eastAsiaTheme="minorEastAsia" w:hAnsi="Times New Roman"/>
          <w:noProof/>
          <w:sz w:val="24"/>
          <w:szCs w:val="24"/>
          <w:lang w:val="pt-PT"/>
        </w:rPr>
      </w:pPr>
      <w:r w:rsidRPr="00B07FC0">
        <w:rPr>
          <w:rFonts w:ascii="Times New Roman" w:hAnsi="Times New Roman"/>
          <w:b/>
          <w:bCs/>
          <w:i/>
          <w:iCs/>
          <w:noProof/>
          <w:sz w:val="24"/>
          <w:lang w:val="pt-PT"/>
        </w:rPr>
        <w:t>Autoridade Europeia dos Valores Mobiliários e dos Mercados (ESMA)</w:t>
      </w:r>
      <w:r w:rsidRPr="00B07FC0">
        <w:rPr>
          <w:rFonts w:ascii="Times New Roman" w:hAnsi="Times New Roman"/>
          <w:b/>
          <w:i/>
          <w:noProof/>
          <w:sz w:val="24"/>
          <w:lang w:val="pt-PT"/>
        </w:rPr>
        <w:t xml:space="preserve"> (03 10 04)</w:t>
      </w:r>
      <w:r w:rsidRPr="00B07FC0">
        <w:rPr>
          <w:rFonts w:ascii="Times New Roman" w:hAnsi="Times New Roman"/>
          <w:noProof/>
          <w:sz w:val="24"/>
          <w:lang w:val="pt-PT"/>
        </w:rPr>
        <w:t>: Na sequência do acordo político sobre a proposta da Comissão relativa ao ponto de acesso único europeu</w:t>
      </w:r>
      <w:r>
        <w:rPr>
          <w:rStyle w:val="FootnoteReference"/>
          <w:rFonts w:ascii="Times New Roman" w:eastAsiaTheme="minorEastAsia" w:hAnsi="Times New Roman"/>
          <w:noProof/>
          <w:sz w:val="24"/>
          <w:szCs w:val="24"/>
          <w:lang w:val="en-GB"/>
        </w:rPr>
        <w:footnoteReference w:id="13"/>
      </w:r>
      <w:r w:rsidRPr="00B07FC0">
        <w:rPr>
          <w:rFonts w:ascii="Times New Roman" w:hAnsi="Times New Roman"/>
          <w:noProof/>
          <w:sz w:val="24"/>
          <w:lang w:val="pt-PT"/>
        </w:rPr>
        <w:t>, será transferido um montante de 1 007 000 EUR em dotações de autorização e de pagamento da rubrica de reserva para a rubrica operacional.</w:t>
      </w:r>
    </w:p>
    <w:p w14:paraId="2953C454" w14:textId="77777777" w:rsidR="00B07FC0" w:rsidRPr="00B07FC0" w:rsidRDefault="00B07FC0" w:rsidP="00B07FC0">
      <w:pPr>
        <w:jc w:val="both"/>
        <w:rPr>
          <w:rFonts w:eastAsiaTheme="minorEastAsia"/>
          <w:noProof/>
          <w:lang w:val="pt-PT"/>
        </w:rPr>
      </w:pPr>
      <w:bookmarkStart w:id="91" w:name="_Hlk114245085"/>
      <w:r w:rsidRPr="00B07FC0">
        <w:rPr>
          <w:noProof/>
          <w:lang w:val="pt-PT"/>
        </w:rPr>
        <w:t>O quadro que se segue apresenta uma panorâmica dos montantes que se propõe levantar da reserva na sequência da adoção dos atos de base correspondentes:</w:t>
      </w:r>
    </w:p>
    <w:bookmarkEnd w:id="91"/>
    <w:p w14:paraId="0D9F90F4" w14:textId="77777777" w:rsidR="00B07FC0" w:rsidRPr="00B07FC0" w:rsidRDefault="00B07FC0" w:rsidP="00B07FC0">
      <w:pPr>
        <w:jc w:val="both"/>
        <w:rPr>
          <w:rFonts w:eastAsiaTheme="minorEastAsia"/>
          <w:noProof/>
          <w:lang w:val="pt-PT"/>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4961"/>
        <w:gridCol w:w="1843"/>
        <w:gridCol w:w="1843"/>
      </w:tblGrid>
      <w:tr w:rsidR="00B07FC0" w14:paraId="483E407B" w14:textId="77777777" w:rsidTr="00433C4E">
        <w:tc>
          <w:tcPr>
            <w:tcW w:w="1276" w:type="dxa"/>
            <w:tcBorders>
              <w:top w:val="single" w:sz="4" w:space="0" w:color="auto"/>
            </w:tcBorders>
            <w:shd w:val="clear" w:color="auto" w:fill="D9D9D9" w:themeFill="background1" w:themeFillShade="D9"/>
            <w:vAlign w:val="center"/>
          </w:tcPr>
          <w:p w14:paraId="3D888A3A" w14:textId="77777777" w:rsidR="00B07FC0" w:rsidRDefault="00B07FC0" w:rsidP="00433C4E">
            <w:pPr>
              <w:widowControl w:val="0"/>
              <w:spacing w:before="15" w:after="15"/>
              <w:jc w:val="center"/>
              <w:rPr>
                <w:b/>
                <w:noProof/>
                <w:sz w:val="20"/>
                <w:szCs w:val="20"/>
              </w:rPr>
            </w:pPr>
            <w:r>
              <w:rPr>
                <w:b/>
                <w:noProof/>
                <w:sz w:val="20"/>
              </w:rPr>
              <w:t>Rubrica orçamental</w:t>
            </w:r>
          </w:p>
        </w:tc>
        <w:tc>
          <w:tcPr>
            <w:tcW w:w="4961" w:type="dxa"/>
            <w:tcBorders>
              <w:top w:val="single" w:sz="4" w:space="0" w:color="auto"/>
            </w:tcBorders>
            <w:shd w:val="clear" w:color="auto" w:fill="D9D9D9" w:themeFill="background1" w:themeFillShade="D9"/>
            <w:vAlign w:val="center"/>
          </w:tcPr>
          <w:p w14:paraId="3A2BA5A4" w14:textId="77777777" w:rsidR="00B07FC0" w:rsidRDefault="00B07FC0" w:rsidP="00433C4E">
            <w:pPr>
              <w:widowControl w:val="0"/>
              <w:spacing w:before="15" w:after="15"/>
              <w:ind w:right="176"/>
              <w:jc w:val="center"/>
              <w:rPr>
                <w:b/>
                <w:noProof/>
                <w:sz w:val="20"/>
                <w:szCs w:val="20"/>
              </w:rPr>
            </w:pPr>
            <w:r>
              <w:rPr>
                <w:b/>
                <w:noProof/>
                <w:sz w:val="20"/>
              </w:rPr>
              <w:t>Nome</w:t>
            </w:r>
          </w:p>
        </w:tc>
        <w:tc>
          <w:tcPr>
            <w:tcW w:w="1843" w:type="dxa"/>
            <w:tcBorders>
              <w:top w:val="single" w:sz="4" w:space="0" w:color="auto"/>
            </w:tcBorders>
            <w:shd w:val="clear" w:color="auto" w:fill="D9D9D9" w:themeFill="background1" w:themeFillShade="D9"/>
          </w:tcPr>
          <w:p w14:paraId="377E64DD" w14:textId="77777777" w:rsidR="00B07FC0" w:rsidRDefault="00B07FC0" w:rsidP="00433C4E">
            <w:pPr>
              <w:widowControl w:val="0"/>
              <w:spacing w:before="15" w:after="15"/>
              <w:jc w:val="center"/>
              <w:rPr>
                <w:b/>
                <w:noProof/>
                <w:sz w:val="20"/>
                <w:szCs w:val="20"/>
              </w:rPr>
            </w:pPr>
            <w:r>
              <w:rPr>
                <w:b/>
                <w:noProof/>
                <w:sz w:val="20"/>
              </w:rPr>
              <w:t>Dotações de autorização</w:t>
            </w:r>
          </w:p>
        </w:tc>
        <w:tc>
          <w:tcPr>
            <w:tcW w:w="1843" w:type="dxa"/>
            <w:tcBorders>
              <w:top w:val="single" w:sz="4" w:space="0" w:color="auto"/>
            </w:tcBorders>
            <w:shd w:val="clear" w:color="auto" w:fill="D9D9D9" w:themeFill="background1" w:themeFillShade="D9"/>
            <w:vAlign w:val="center"/>
          </w:tcPr>
          <w:p w14:paraId="06F0356D" w14:textId="77777777" w:rsidR="00B07FC0" w:rsidRDefault="00B07FC0" w:rsidP="00433C4E">
            <w:pPr>
              <w:widowControl w:val="0"/>
              <w:spacing w:before="15" w:after="15"/>
              <w:jc w:val="center"/>
              <w:rPr>
                <w:b/>
                <w:noProof/>
                <w:sz w:val="20"/>
                <w:szCs w:val="20"/>
              </w:rPr>
            </w:pPr>
            <w:r>
              <w:rPr>
                <w:b/>
                <w:noProof/>
                <w:sz w:val="20"/>
              </w:rPr>
              <w:t>Dotações de pagamento</w:t>
            </w:r>
          </w:p>
        </w:tc>
      </w:tr>
      <w:tr w:rsidR="00B07FC0" w14:paraId="76350891" w14:textId="77777777" w:rsidTr="00433C4E">
        <w:tc>
          <w:tcPr>
            <w:tcW w:w="1276" w:type="dxa"/>
          </w:tcPr>
          <w:p w14:paraId="173C9D21" w14:textId="77777777" w:rsidR="00B07FC0" w:rsidRPr="00CD5E8A" w:rsidRDefault="00B07FC0" w:rsidP="00433C4E">
            <w:pPr>
              <w:widowControl w:val="0"/>
              <w:spacing w:before="15" w:after="15"/>
              <w:ind w:right="-113"/>
              <w:jc w:val="both"/>
              <w:rPr>
                <w:noProof/>
                <w:sz w:val="16"/>
                <w:szCs w:val="16"/>
              </w:rPr>
            </w:pPr>
            <w:r>
              <w:rPr>
                <w:noProof/>
                <w:sz w:val="16"/>
              </w:rPr>
              <w:t>02 10 01</w:t>
            </w:r>
          </w:p>
        </w:tc>
        <w:tc>
          <w:tcPr>
            <w:tcW w:w="4961" w:type="dxa"/>
          </w:tcPr>
          <w:p w14:paraId="0B64CACA" w14:textId="77777777" w:rsidR="00B07FC0" w:rsidRPr="00B07FC0" w:rsidRDefault="00B07FC0" w:rsidP="00433C4E">
            <w:pPr>
              <w:widowControl w:val="0"/>
              <w:spacing w:before="15" w:after="15"/>
              <w:ind w:right="-113"/>
              <w:jc w:val="both"/>
              <w:rPr>
                <w:noProof/>
                <w:sz w:val="16"/>
                <w:szCs w:val="16"/>
                <w:lang w:val="pt-PT"/>
              </w:rPr>
            </w:pPr>
            <w:r w:rsidRPr="00B07FC0">
              <w:rPr>
                <w:noProof/>
                <w:sz w:val="16"/>
                <w:lang w:val="pt-PT"/>
              </w:rPr>
              <w:t>Agência da União Europeia para a Segurança da Aviação (AESA)</w:t>
            </w:r>
          </w:p>
        </w:tc>
        <w:tc>
          <w:tcPr>
            <w:tcW w:w="1843" w:type="dxa"/>
          </w:tcPr>
          <w:p w14:paraId="34C46C05" w14:textId="77777777" w:rsidR="00B07FC0" w:rsidRPr="00CD5E8A" w:rsidRDefault="00B07FC0" w:rsidP="00433C4E">
            <w:pPr>
              <w:jc w:val="right"/>
              <w:rPr>
                <w:noProof/>
                <w:color w:val="000000"/>
                <w:sz w:val="16"/>
                <w:szCs w:val="16"/>
              </w:rPr>
            </w:pPr>
            <w:r>
              <w:rPr>
                <w:noProof/>
                <w:color w:val="000000"/>
                <w:sz w:val="16"/>
              </w:rPr>
              <w:t>2 774 000</w:t>
            </w:r>
          </w:p>
        </w:tc>
        <w:tc>
          <w:tcPr>
            <w:tcW w:w="1843" w:type="dxa"/>
          </w:tcPr>
          <w:p w14:paraId="6E70BDFA" w14:textId="77777777" w:rsidR="00B07FC0" w:rsidRPr="00CD5E8A" w:rsidRDefault="00B07FC0" w:rsidP="00433C4E">
            <w:pPr>
              <w:widowControl w:val="0"/>
              <w:spacing w:before="15" w:after="15"/>
              <w:jc w:val="right"/>
              <w:rPr>
                <w:noProof/>
                <w:sz w:val="16"/>
                <w:szCs w:val="16"/>
              </w:rPr>
            </w:pPr>
            <w:r>
              <w:rPr>
                <w:noProof/>
                <w:sz w:val="16"/>
              </w:rPr>
              <w:t>2 774 000</w:t>
            </w:r>
          </w:p>
        </w:tc>
      </w:tr>
      <w:tr w:rsidR="00B07FC0" w14:paraId="13EF9DAE" w14:textId="77777777" w:rsidTr="00433C4E">
        <w:tc>
          <w:tcPr>
            <w:tcW w:w="1276" w:type="dxa"/>
          </w:tcPr>
          <w:p w14:paraId="6B96A07A" w14:textId="77777777" w:rsidR="00B07FC0" w:rsidRPr="00CD5E8A" w:rsidRDefault="00B07FC0" w:rsidP="00433C4E">
            <w:pPr>
              <w:widowControl w:val="0"/>
              <w:spacing w:before="15" w:after="15"/>
              <w:ind w:right="-113"/>
              <w:jc w:val="both"/>
              <w:rPr>
                <w:noProof/>
                <w:sz w:val="16"/>
                <w:szCs w:val="16"/>
              </w:rPr>
            </w:pPr>
            <w:r>
              <w:rPr>
                <w:noProof/>
                <w:sz w:val="16"/>
              </w:rPr>
              <w:t>30 02 02</w:t>
            </w:r>
          </w:p>
        </w:tc>
        <w:tc>
          <w:tcPr>
            <w:tcW w:w="4961" w:type="dxa"/>
          </w:tcPr>
          <w:p w14:paraId="0C9767A0" w14:textId="77777777" w:rsidR="00B07FC0" w:rsidRPr="00B07FC0" w:rsidRDefault="00B07FC0" w:rsidP="00433C4E">
            <w:pPr>
              <w:widowControl w:val="0"/>
              <w:spacing w:before="15" w:after="15"/>
              <w:ind w:right="-113"/>
              <w:jc w:val="both"/>
              <w:rPr>
                <w:noProof/>
                <w:sz w:val="16"/>
                <w:szCs w:val="16"/>
                <w:lang w:val="pt-PT"/>
              </w:rPr>
            </w:pPr>
            <w:r w:rsidRPr="00B07FC0">
              <w:rPr>
                <w:noProof/>
                <w:sz w:val="16"/>
                <w:lang w:val="pt-PT"/>
              </w:rPr>
              <w:t>Dotações diferenciadas (</w:t>
            </w:r>
            <w:r w:rsidRPr="00B07FC0">
              <w:rPr>
                <w:i/>
                <w:iCs/>
                <w:noProof/>
                <w:sz w:val="16"/>
                <w:lang w:val="pt-PT"/>
              </w:rPr>
              <w:t>Reserva para o artigo orçamental 02 10 01</w:t>
            </w:r>
            <w:r w:rsidRPr="00B07FC0">
              <w:rPr>
                <w:noProof/>
                <w:sz w:val="16"/>
                <w:lang w:val="pt-PT"/>
              </w:rPr>
              <w:t>)</w:t>
            </w:r>
          </w:p>
        </w:tc>
        <w:tc>
          <w:tcPr>
            <w:tcW w:w="1843" w:type="dxa"/>
          </w:tcPr>
          <w:p w14:paraId="276F2FFB" w14:textId="77777777" w:rsidR="00B07FC0" w:rsidRPr="00CD5E8A" w:rsidRDefault="00B07FC0" w:rsidP="00433C4E">
            <w:pPr>
              <w:jc w:val="right"/>
              <w:rPr>
                <w:noProof/>
                <w:color w:val="000000"/>
                <w:sz w:val="16"/>
                <w:szCs w:val="16"/>
              </w:rPr>
            </w:pPr>
            <w:r>
              <w:rPr>
                <w:noProof/>
                <w:color w:val="000000"/>
                <w:sz w:val="16"/>
              </w:rPr>
              <w:t>-2 774 000</w:t>
            </w:r>
          </w:p>
        </w:tc>
        <w:tc>
          <w:tcPr>
            <w:tcW w:w="1843" w:type="dxa"/>
          </w:tcPr>
          <w:p w14:paraId="6F907544" w14:textId="77777777" w:rsidR="00B07FC0" w:rsidRPr="00CD5E8A" w:rsidRDefault="00B07FC0" w:rsidP="00433C4E">
            <w:pPr>
              <w:widowControl w:val="0"/>
              <w:spacing w:before="15" w:after="15"/>
              <w:jc w:val="right"/>
              <w:rPr>
                <w:noProof/>
                <w:sz w:val="16"/>
                <w:szCs w:val="16"/>
              </w:rPr>
            </w:pPr>
            <w:r>
              <w:rPr>
                <w:noProof/>
                <w:sz w:val="16"/>
              </w:rPr>
              <w:t>-2 774 000</w:t>
            </w:r>
          </w:p>
        </w:tc>
      </w:tr>
      <w:tr w:rsidR="00B07FC0" w14:paraId="57604F91" w14:textId="77777777" w:rsidTr="00433C4E">
        <w:tc>
          <w:tcPr>
            <w:tcW w:w="1276" w:type="dxa"/>
          </w:tcPr>
          <w:p w14:paraId="6A80C5F2" w14:textId="77777777" w:rsidR="00B07FC0" w:rsidRPr="00CD5E8A" w:rsidRDefault="00B07FC0" w:rsidP="00433C4E">
            <w:pPr>
              <w:widowControl w:val="0"/>
              <w:spacing w:before="15" w:after="15"/>
              <w:ind w:right="-113"/>
              <w:jc w:val="both"/>
              <w:rPr>
                <w:noProof/>
                <w:sz w:val="16"/>
                <w:szCs w:val="16"/>
              </w:rPr>
            </w:pPr>
            <w:r>
              <w:rPr>
                <w:noProof/>
                <w:sz w:val="16"/>
              </w:rPr>
              <w:t>02 10 02</w:t>
            </w:r>
          </w:p>
        </w:tc>
        <w:tc>
          <w:tcPr>
            <w:tcW w:w="4961" w:type="dxa"/>
          </w:tcPr>
          <w:p w14:paraId="6936B56B" w14:textId="77777777" w:rsidR="00B07FC0" w:rsidRPr="00B07FC0" w:rsidRDefault="00B07FC0" w:rsidP="00433C4E">
            <w:pPr>
              <w:widowControl w:val="0"/>
              <w:spacing w:before="15" w:after="15"/>
              <w:ind w:right="-113"/>
              <w:jc w:val="both"/>
              <w:rPr>
                <w:noProof/>
                <w:sz w:val="16"/>
                <w:szCs w:val="16"/>
                <w:lang w:val="pt-PT"/>
              </w:rPr>
            </w:pPr>
            <w:r w:rsidRPr="00B07FC0">
              <w:rPr>
                <w:noProof/>
                <w:sz w:val="16"/>
                <w:lang w:val="pt-PT"/>
              </w:rPr>
              <w:t>Agência Europeia da Segurança Marítima (EMSA)</w:t>
            </w:r>
          </w:p>
        </w:tc>
        <w:tc>
          <w:tcPr>
            <w:tcW w:w="1843" w:type="dxa"/>
          </w:tcPr>
          <w:p w14:paraId="72DAC846" w14:textId="77777777" w:rsidR="00B07FC0" w:rsidRPr="00CD5E8A" w:rsidRDefault="00B07FC0" w:rsidP="00433C4E">
            <w:pPr>
              <w:jc w:val="right"/>
              <w:rPr>
                <w:noProof/>
                <w:color w:val="000000"/>
                <w:sz w:val="16"/>
                <w:szCs w:val="16"/>
              </w:rPr>
            </w:pPr>
            <w:r>
              <w:rPr>
                <w:noProof/>
                <w:color w:val="000000"/>
                <w:sz w:val="16"/>
              </w:rPr>
              <w:t>1 191 000</w:t>
            </w:r>
          </w:p>
        </w:tc>
        <w:tc>
          <w:tcPr>
            <w:tcW w:w="1843" w:type="dxa"/>
          </w:tcPr>
          <w:p w14:paraId="4E420FAD" w14:textId="77777777" w:rsidR="00B07FC0" w:rsidRPr="00CD5E8A" w:rsidRDefault="00B07FC0" w:rsidP="00433C4E">
            <w:pPr>
              <w:widowControl w:val="0"/>
              <w:spacing w:before="15" w:after="15"/>
              <w:jc w:val="right"/>
              <w:rPr>
                <w:noProof/>
                <w:sz w:val="16"/>
                <w:szCs w:val="16"/>
              </w:rPr>
            </w:pPr>
            <w:r>
              <w:rPr>
                <w:noProof/>
                <w:sz w:val="16"/>
              </w:rPr>
              <w:t>1 191 000</w:t>
            </w:r>
          </w:p>
        </w:tc>
      </w:tr>
      <w:tr w:rsidR="00B07FC0" w14:paraId="6612ED9F" w14:textId="77777777" w:rsidTr="00433C4E">
        <w:tc>
          <w:tcPr>
            <w:tcW w:w="1276" w:type="dxa"/>
          </w:tcPr>
          <w:p w14:paraId="24D940D9" w14:textId="77777777" w:rsidR="00B07FC0" w:rsidRPr="00CD5E8A" w:rsidRDefault="00B07FC0" w:rsidP="00433C4E">
            <w:pPr>
              <w:widowControl w:val="0"/>
              <w:spacing w:before="15" w:after="15"/>
              <w:ind w:right="-113"/>
              <w:jc w:val="both"/>
              <w:rPr>
                <w:noProof/>
                <w:sz w:val="16"/>
                <w:szCs w:val="16"/>
              </w:rPr>
            </w:pPr>
            <w:r>
              <w:rPr>
                <w:noProof/>
                <w:sz w:val="16"/>
              </w:rPr>
              <w:t>30 02 02</w:t>
            </w:r>
          </w:p>
        </w:tc>
        <w:tc>
          <w:tcPr>
            <w:tcW w:w="4961" w:type="dxa"/>
          </w:tcPr>
          <w:p w14:paraId="3D999023" w14:textId="77777777" w:rsidR="00B07FC0" w:rsidRPr="00B07FC0" w:rsidRDefault="00B07FC0" w:rsidP="00433C4E">
            <w:pPr>
              <w:widowControl w:val="0"/>
              <w:spacing w:before="15" w:after="15"/>
              <w:ind w:right="-113"/>
              <w:jc w:val="both"/>
              <w:rPr>
                <w:noProof/>
                <w:sz w:val="16"/>
                <w:szCs w:val="16"/>
                <w:lang w:val="pt-PT"/>
              </w:rPr>
            </w:pPr>
            <w:r w:rsidRPr="00B07FC0">
              <w:rPr>
                <w:noProof/>
                <w:sz w:val="16"/>
                <w:lang w:val="pt-PT"/>
              </w:rPr>
              <w:t>Dotações diferenciadas (</w:t>
            </w:r>
            <w:r w:rsidRPr="00B07FC0">
              <w:rPr>
                <w:i/>
                <w:iCs/>
                <w:noProof/>
                <w:sz w:val="16"/>
                <w:lang w:val="pt-PT"/>
              </w:rPr>
              <w:t>Reserva para o artigo orçamental 02 10 02</w:t>
            </w:r>
            <w:r w:rsidRPr="00B07FC0">
              <w:rPr>
                <w:noProof/>
                <w:sz w:val="16"/>
                <w:lang w:val="pt-PT"/>
              </w:rPr>
              <w:t>)</w:t>
            </w:r>
          </w:p>
        </w:tc>
        <w:tc>
          <w:tcPr>
            <w:tcW w:w="1843" w:type="dxa"/>
          </w:tcPr>
          <w:p w14:paraId="473B573F" w14:textId="77777777" w:rsidR="00B07FC0" w:rsidRPr="00CD5E8A" w:rsidRDefault="00B07FC0" w:rsidP="00433C4E">
            <w:pPr>
              <w:jc w:val="right"/>
              <w:rPr>
                <w:noProof/>
                <w:color w:val="000000"/>
                <w:sz w:val="16"/>
                <w:szCs w:val="16"/>
              </w:rPr>
            </w:pPr>
            <w:r>
              <w:rPr>
                <w:noProof/>
                <w:color w:val="000000"/>
                <w:sz w:val="16"/>
              </w:rPr>
              <w:t>- 1 191 000</w:t>
            </w:r>
          </w:p>
        </w:tc>
        <w:tc>
          <w:tcPr>
            <w:tcW w:w="1843" w:type="dxa"/>
          </w:tcPr>
          <w:p w14:paraId="4A8EDF22" w14:textId="77777777" w:rsidR="00B07FC0" w:rsidRPr="00CD5E8A" w:rsidRDefault="00B07FC0" w:rsidP="00433C4E">
            <w:pPr>
              <w:widowControl w:val="0"/>
              <w:spacing w:before="15" w:after="15"/>
              <w:jc w:val="right"/>
              <w:rPr>
                <w:noProof/>
                <w:sz w:val="16"/>
                <w:szCs w:val="16"/>
              </w:rPr>
            </w:pPr>
            <w:r>
              <w:rPr>
                <w:noProof/>
                <w:sz w:val="16"/>
              </w:rPr>
              <w:t>-1 191 000</w:t>
            </w:r>
          </w:p>
        </w:tc>
      </w:tr>
      <w:tr w:rsidR="00B07FC0" w14:paraId="50EE89D1" w14:textId="77777777" w:rsidTr="00433C4E">
        <w:tc>
          <w:tcPr>
            <w:tcW w:w="1276" w:type="dxa"/>
          </w:tcPr>
          <w:p w14:paraId="7F32D788" w14:textId="77777777" w:rsidR="00B07FC0" w:rsidRPr="00CD5E8A" w:rsidRDefault="00B07FC0" w:rsidP="00433C4E">
            <w:pPr>
              <w:widowControl w:val="0"/>
              <w:spacing w:before="15" w:after="15"/>
              <w:ind w:right="-113"/>
              <w:jc w:val="both"/>
              <w:rPr>
                <w:noProof/>
                <w:sz w:val="16"/>
                <w:szCs w:val="16"/>
              </w:rPr>
            </w:pPr>
            <w:r>
              <w:rPr>
                <w:noProof/>
                <w:sz w:val="16"/>
              </w:rPr>
              <w:t>03 10 04</w:t>
            </w:r>
          </w:p>
        </w:tc>
        <w:tc>
          <w:tcPr>
            <w:tcW w:w="4961" w:type="dxa"/>
          </w:tcPr>
          <w:p w14:paraId="5C837663" w14:textId="77777777" w:rsidR="00B07FC0" w:rsidRPr="00B07FC0" w:rsidRDefault="00B07FC0" w:rsidP="00433C4E">
            <w:pPr>
              <w:widowControl w:val="0"/>
              <w:spacing w:before="15" w:after="15"/>
              <w:ind w:right="-113"/>
              <w:jc w:val="both"/>
              <w:rPr>
                <w:noProof/>
                <w:sz w:val="16"/>
                <w:szCs w:val="16"/>
                <w:lang w:val="pt-PT"/>
              </w:rPr>
            </w:pPr>
            <w:r w:rsidRPr="00B07FC0">
              <w:rPr>
                <w:noProof/>
                <w:sz w:val="16"/>
                <w:lang w:val="pt-PT"/>
              </w:rPr>
              <w:t>Autoridade Europeia dos Valores Mobiliários e dos Mercados (ESMA)</w:t>
            </w:r>
          </w:p>
        </w:tc>
        <w:tc>
          <w:tcPr>
            <w:tcW w:w="1843" w:type="dxa"/>
          </w:tcPr>
          <w:p w14:paraId="3A61A914" w14:textId="77777777" w:rsidR="00B07FC0" w:rsidRPr="00CD5E8A" w:rsidRDefault="00B07FC0" w:rsidP="00433C4E">
            <w:pPr>
              <w:jc w:val="right"/>
              <w:rPr>
                <w:noProof/>
                <w:color w:val="000000"/>
                <w:sz w:val="16"/>
                <w:szCs w:val="16"/>
              </w:rPr>
            </w:pPr>
            <w:r>
              <w:rPr>
                <w:noProof/>
                <w:color w:val="000000"/>
                <w:sz w:val="16"/>
              </w:rPr>
              <w:t>1 007 000</w:t>
            </w:r>
          </w:p>
        </w:tc>
        <w:tc>
          <w:tcPr>
            <w:tcW w:w="1843" w:type="dxa"/>
          </w:tcPr>
          <w:p w14:paraId="4FA03A6F" w14:textId="77777777" w:rsidR="00B07FC0" w:rsidRPr="00CD5E8A" w:rsidRDefault="00B07FC0" w:rsidP="00433C4E">
            <w:pPr>
              <w:widowControl w:val="0"/>
              <w:spacing w:before="15" w:after="15"/>
              <w:jc w:val="right"/>
              <w:rPr>
                <w:noProof/>
                <w:sz w:val="16"/>
                <w:szCs w:val="16"/>
              </w:rPr>
            </w:pPr>
            <w:r>
              <w:rPr>
                <w:noProof/>
                <w:sz w:val="16"/>
              </w:rPr>
              <w:t>1 007 000</w:t>
            </w:r>
          </w:p>
        </w:tc>
      </w:tr>
      <w:tr w:rsidR="00B07FC0" w14:paraId="5DFD4150" w14:textId="77777777" w:rsidTr="00433C4E">
        <w:tc>
          <w:tcPr>
            <w:tcW w:w="1276" w:type="dxa"/>
          </w:tcPr>
          <w:p w14:paraId="6A29FA6E" w14:textId="77777777" w:rsidR="00B07FC0" w:rsidRPr="00CD5E8A" w:rsidRDefault="00B07FC0" w:rsidP="00433C4E">
            <w:pPr>
              <w:widowControl w:val="0"/>
              <w:spacing w:before="15" w:after="15"/>
              <w:ind w:right="-113"/>
              <w:jc w:val="both"/>
              <w:rPr>
                <w:noProof/>
                <w:sz w:val="16"/>
                <w:szCs w:val="16"/>
              </w:rPr>
            </w:pPr>
            <w:r>
              <w:rPr>
                <w:noProof/>
                <w:sz w:val="16"/>
              </w:rPr>
              <w:t>30 02 02</w:t>
            </w:r>
          </w:p>
        </w:tc>
        <w:tc>
          <w:tcPr>
            <w:tcW w:w="4961" w:type="dxa"/>
          </w:tcPr>
          <w:p w14:paraId="67793031" w14:textId="77777777" w:rsidR="00B07FC0" w:rsidRPr="00B07FC0" w:rsidRDefault="00B07FC0" w:rsidP="00433C4E">
            <w:pPr>
              <w:widowControl w:val="0"/>
              <w:spacing w:before="15" w:after="15"/>
              <w:ind w:right="-113"/>
              <w:jc w:val="both"/>
              <w:rPr>
                <w:noProof/>
                <w:sz w:val="16"/>
                <w:szCs w:val="16"/>
                <w:lang w:val="pt-PT"/>
              </w:rPr>
            </w:pPr>
            <w:r w:rsidRPr="00B07FC0">
              <w:rPr>
                <w:noProof/>
                <w:sz w:val="16"/>
                <w:lang w:val="pt-PT"/>
              </w:rPr>
              <w:t>Dotações diferenciadas (</w:t>
            </w:r>
            <w:r w:rsidRPr="00B07FC0">
              <w:rPr>
                <w:i/>
                <w:iCs/>
                <w:noProof/>
                <w:sz w:val="16"/>
                <w:lang w:val="pt-PT"/>
              </w:rPr>
              <w:t>Reserva para o artigo orçamental 03 10 04</w:t>
            </w:r>
            <w:r w:rsidRPr="00B07FC0">
              <w:rPr>
                <w:noProof/>
                <w:sz w:val="16"/>
                <w:lang w:val="pt-PT"/>
              </w:rPr>
              <w:t>)</w:t>
            </w:r>
          </w:p>
        </w:tc>
        <w:tc>
          <w:tcPr>
            <w:tcW w:w="1843" w:type="dxa"/>
          </w:tcPr>
          <w:p w14:paraId="2F3AA6A9" w14:textId="77777777" w:rsidR="00B07FC0" w:rsidRPr="00CD5E8A" w:rsidRDefault="00B07FC0" w:rsidP="00433C4E">
            <w:pPr>
              <w:jc w:val="right"/>
              <w:rPr>
                <w:noProof/>
                <w:color w:val="000000"/>
                <w:sz w:val="16"/>
                <w:szCs w:val="16"/>
              </w:rPr>
            </w:pPr>
            <w:r>
              <w:rPr>
                <w:noProof/>
                <w:color w:val="000000"/>
                <w:sz w:val="16"/>
              </w:rPr>
              <w:t>- 1 007 000</w:t>
            </w:r>
          </w:p>
        </w:tc>
        <w:tc>
          <w:tcPr>
            <w:tcW w:w="1843" w:type="dxa"/>
          </w:tcPr>
          <w:p w14:paraId="78187995" w14:textId="77777777" w:rsidR="00B07FC0" w:rsidRPr="00CD5E8A" w:rsidRDefault="00B07FC0" w:rsidP="00433C4E">
            <w:pPr>
              <w:widowControl w:val="0"/>
              <w:spacing w:before="15" w:after="15"/>
              <w:jc w:val="right"/>
              <w:rPr>
                <w:noProof/>
                <w:sz w:val="16"/>
                <w:szCs w:val="16"/>
              </w:rPr>
            </w:pPr>
            <w:r>
              <w:rPr>
                <w:noProof/>
                <w:sz w:val="16"/>
              </w:rPr>
              <w:t>-1 007 000</w:t>
            </w:r>
          </w:p>
        </w:tc>
      </w:tr>
      <w:tr w:rsidR="00B07FC0" w14:paraId="4C845B9C" w14:textId="77777777" w:rsidTr="00433C4E">
        <w:tc>
          <w:tcPr>
            <w:tcW w:w="6237" w:type="dxa"/>
            <w:gridSpan w:val="2"/>
            <w:shd w:val="clear" w:color="auto" w:fill="D9D9D9" w:themeFill="background1" w:themeFillShade="D9"/>
          </w:tcPr>
          <w:p w14:paraId="57BF8163" w14:textId="77777777" w:rsidR="00B07FC0" w:rsidRDefault="00B07FC0" w:rsidP="00433C4E">
            <w:pPr>
              <w:widowControl w:val="0"/>
              <w:tabs>
                <w:tab w:val="left" w:pos="975"/>
              </w:tabs>
              <w:spacing w:before="15" w:after="15"/>
              <w:jc w:val="both"/>
              <w:rPr>
                <w:b/>
                <w:noProof/>
                <w:sz w:val="20"/>
                <w:szCs w:val="20"/>
              </w:rPr>
            </w:pPr>
            <w:r>
              <w:rPr>
                <w:b/>
                <w:noProof/>
                <w:sz w:val="20"/>
              </w:rPr>
              <w:t>Total</w:t>
            </w:r>
            <w:r>
              <w:rPr>
                <w:noProof/>
              </w:rPr>
              <w:tab/>
            </w:r>
          </w:p>
        </w:tc>
        <w:tc>
          <w:tcPr>
            <w:tcW w:w="1843" w:type="dxa"/>
            <w:shd w:val="clear" w:color="auto" w:fill="D9D9D9" w:themeFill="background1" w:themeFillShade="D9"/>
          </w:tcPr>
          <w:p w14:paraId="68D39F4F" w14:textId="77777777" w:rsidR="00B07FC0" w:rsidRDefault="00B07FC0" w:rsidP="00433C4E">
            <w:pPr>
              <w:jc w:val="right"/>
              <w:rPr>
                <w:b/>
                <w:noProof/>
                <w:color w:val="000000"/>
                <w:sz w:val="20"/>
                <w:szCs w:val="20"/>
              </w:rPr>
            </w:pPr>
            <w:r>
              <w:rPr>
                <w:b/>
                <w:noProof/>
                <w:color w:val="000000"/>
                <w:sz w:val="20"/>
              </w:rPr>
              <w:t>0</w:t>
            </w:r>
          </w:p>
        </w:tc>
        <w:tc>
          <w:tcPr>
            <w:tcW w:w="1843" w:type="dxa"/>
            <w:shd w:val="clear" w:color="auto" w:fill="D9D9D9" w:themeFill="background1" w:themeFillShade="D9"/>
          </w:tcPr>
          <w:p w14:paraId="19938C91" w14:textId="77777777" w:rsidR="00B07FC0" w:rsidRDefault="00B07FC0" w:rsidP="00433C4E">
            <w:pPr>
              <w:jc w:val="right"/>
              <w:rPr>
                <w:b/>
                <w:noProof/>
                <w:sz w:val="20"/>
                <w:szCs w:val="20"/>
              </w:rPr>
            </w:pPr>
            <w:r>
              <w:rPr>
                <w:b/>
                <w:noProof/>
                <w:sz w:val="20"/>
              </w:rPr>
              <w:t>0</w:t>
            </w:r>
          </w:p>
        </w:tc>
      </w:tr>
    </w:tbl>
    <w:p w14:paraId="0CBB4DB6" w14:textId="77777777" w:rsidR="00B07FC0" w:rsidRPr="00B07FC0" w:rsidRDefault="00B07FC0" w:rsidP="00B07FC0">
      <w:pPr>
        <w:pStyle w:val="ManualHeading1"/>
        <w:ind w:left="0" w:firstLine="0"/>
        <w:rPr>
          <w:noProof/>
          <w:lang w:val="pt-PT"/>
        </w:rPr>
      </w:pPr>
      <w:bookmarkStart w:id="92" w:name="_Toc145922828"/>
      <w:bookmarkStart w:id="93" w:name="_Toc54770334"/>
      <w:bookmarkStart w:id="94" w:name="_Toc55807144"/>
      <w:bookmarkStart w:id="95" w:name="_Toc114838641"/>
      <w:bookmarkStart w:id="96" w:name="_Toc526753789"/>
      <w:bookmarkEnd w:id="84"/>
      <w:r w:rsidRPr="00B07FC0">
        <w:rPr>
          <w:noProof/>
          <w:lang w:val="pt-PT"/>
        </w:rPr>
        <w:t>6.</w:t>
      </w:r>
      <w:r w:rsidRPr="00B07FC0">
        <w:rPr>
          <w:noProof/>
          <w:lang w:val="pt-PT"/>
        </w:rPr>
        <w:tab/>
        <w:t>Transferência de recursos do Fundo Europeu de Desenvolvimento Regional para o Horizonte Europa relativamente à Lituânia</w:t>
      </w:r>
      <w:bookmarkEnd w:id="92"/>
    </w:p>
    <w:p w14:paraId="08A0F106" w14:textId="77777777" w:rsidR="00B07FC0" w:rsidRPr="00B07FC0" w:rsidRDefault="00B07FC0" w:rsidP="00B07FC0">
      <w:pPr>
        <w:pStyle w:val="Text1"/>
        <w:ind w:left="0"/>
        <w:rPr>
          <w:noProof/>
          <w:lang w:val="pt-PT"/>
        </w:rPr>
      </w:pPr>
      <w:r w:rsidRPr="00B07FC0">
        <w:rPr>
          <w:noProof/>
          <w:lang w:val="pt-PT"/>
        </w:rPr>
        <w:t>Na sequência do pedido da Lituânia formulado no quadro de uma alteração do seu programa do FEDER</w:t>
      </w:r>
      <w:r>
        <w:rPr>
          <w:rStyle w:val="FootnoteReference"/>
          <w:noProof/>
        </w:rPr>
        <w:footnoteReference w:id="14"/>
      </w:r>
      <w:r w:rsidRPr="00B07FC0">
        <w:rPr>
          <w:noProof/>
          <w:lang w:val="pt-PT"/>
        </w:rPr>
        <w:t xml:space="preserve"> no sentido de transferir recursos nos termos do artigo 26.º do Regulamento Disposições Comuns (RDC), os recursos adicionais podem ser executados no quadro do Horizonte Europa em conformidade com as regras do instrumento, em benefício do Estado-Membro em causa. As dotações são inscritas em rubricas orçamentais distintas.</w:t>
      </w:r>
    </w:p>
    <w:p w14:paraId="214B259C" w14:textId="77777777" w:rsidR="00B07FC0" w:rsidRPr="00B07FC0" w:rsidRDefault="00B07FC0" w:rsidP="00B07FC0">
      <w:pPr>
        <w:pStyle w:val="Text1"/>
        <w:ind w:left="0"/>
        <w:rPr>
          <w:noProof/>
          <w:lang w:val="pt-PT"/>
        </w:rPr>
      </w:pPr>
      <w:r w:rsidRPr="00B07FC0">
        <w:rPr>
          <w:noProof/>
          <w:lang w:val="pt-PT"/>
        </w:rPr>
        <w:t>Nesta base, a Comissão propõe as seguintes alterações às rubricas orçamentais em causa no quadro do PO de 2024:</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5132"/>
        <w:gridCol w:w="1701"/>
        <w:gridCol w:w="1701"/>
      </w:tblGrid>
      <w:tr w:rsidR="00B07FC0" w:rsidRPr="00B31192" w14:paraId="0CDE2450" w14:textId="77777777" w:rsidTr="00433C4E">
        <w:trPr>
          <w:jc w:val="center"/>
        </w:trPr>
        <w:tc>
          <w:tcPr>
            <w:tcW w:w="9810" w:type="dxa"/>
            <w:gridSpan w:val="4"/>
            <w:tcBorders>
              <w:top w:val="nil"/>
              <w:left w:val="nil"/>
              <w:bottom w:val="single" w:sz="4" w:space="0" w:color="auto"/>
              <w:right w:val="nil"/>
            </w:tcBorders>
            <w:shd w:val="clear" w:color="auto" w:fill="auto"/>
            <w:vAlign w:val="center"/>
          </w:tcPr>
          <w:p w14:paraId="5AEE8E83" w14:textId="77777777" w:rsidR="00B07FC0" w:rsidRPr="00B31192" w:rsidRDefault="00B07FC0" w:rsidP="00433C4E">
            <w:pPr>
              <w:widowControl w:val="0"/>
              <w:spacing w:before="15" w:after="15"/>
              <w:jc w:val="right"/>
              <w:rPr>
                <w:i/>
                <w:noProof/>
                <w:sz w:val="20"/>
                <w:szCs w:val="20"/>
              </w:rPr>
            </w:pPr>
            <w:r>
              <w:rPr>
                <w:i/>
                <w:noProof/>
                <w:sz w:val="20"/>
              </w:rPr>
              <w:t>EUR</w:t>
            </w:r>
          </w:p>
        </w:tc>
      </w:tr>
      <w:tr w:rsidR="00B07FC0" w:rsidRPr="00B31192" w14:paraId="672CBC43" w14:textId="77777777" w:rsidTr="00433C4E">
        <w:trPr>
          <w:jc w:val="center"/>
        </w:trPr>
        <w:tc>
          <w:tcPr>
            <w:tcW w:w="1276" w:type="dxa"/>
            <w:tcBorders>
              <w:top w:val="single" w:sz="4" w:space="0" w:color="auto"/>
            </w:tcBorders>
            <w:shd w:val="clear" w:color="auto" w:fill="D9D9D9" w:themeFill="background1" w:themeFillShade="D9"/>
            <w:vAlign w:val="center"/>
          </w:tcPr>
          <w:p w14:paraId="4123DA0B" w14:textId="77777777" w:rsidR="00B07FC0" w:rsidRPr="00B31192" w:rsidRDefault="00B07FC0" w:rsidP="00433C4E">
            <w:pPr>
              <w:keepNext/>
              <w:spacing w:before="15" w:after="15"/>
              <w:jc w:val="center"/>
              <w:rPr>
                <w:b/>
                <w:noProof/>
                <w:sz w:val="20"/>
                <w:szCs w:val="20"/>
              </w:rPr>
            </w:pPr>
            <w:r>
              <w:rPr>
                <w:b/>
                <w:noProof/>
                <w:sz w:val="20"/>
              </w:rPr>
              <w:t>Rubrica orçamental</w:t>
            </w:r>
          </w:p>
        </w:tc>
        <w:tc>
          <w:tcPr>
            <w:tcW w:w="5132" w:type="dxa"/>
            <w:tcBorders>
              <w:top w:val="single" w:sz="4" w:space="0" w:color="auto"/>
            </w:tcBorders>
            <w:shd w:val="clear" w:color="auto" w:fill="D9D9D9" w:themeFill="background1" w:themeFillShade="D9"/>
            <w:vAlign w:val="center"/>
          </w:tcPr>
          <w:p w14:paraId="1770AEB1" w14:textId="77777777" w:rsidR="00B07FC0" w:rsidRPr="00B31192" w:rsidRDefault="00B07FC0" w:rsidP="00433C4E">
            <w:pPr>
              <w:widowControl w:val="0"/>
              <w:spacing w:before="15" w:after="15"/>
              <w:jc w:val="center"/>
              <w:rPr>
                <w:b/>
                <w:noProof/>
                <w:sz w:val="20"/>
                <w:szCs w:val="20"/>
              </w:rPr>
            </w:pPr>
            <w:r>
              <w:rPr>
                <w:b/>
                <w:noProof/>
                <w:sz w:val="20"/>
              </w:rPr>
              <w:t>Nome</w:t>
            </w:r>
          </w:p>
        </w:tc>
        <w:tc>
          <w:tcPr>
            <w:tcW w:w="1701" w:type="dxa"/>
            <w:tcBorders>
              <w:top w:val="single" w:sz="4" w:space="0" w:color="auto"/>
            </w:tcBorders>
            <w:shd w:val="clear" w:color="auto" w:fill="D9D9D9" w:themeFill="background1" w:themeFillShade="D9"/>
            <w:vAlign w:val="center"/>
          </w:tcPr>
          <w:p w14:paraId="58EA75D8" w14:textId="77777777" w:rsidR="00B07FC0" w:rsidRPr="00B31192" w:rsidRDefault="00B07FC0" w:rsidP="00433C4E">
            <w:pPr>
              <w:widowControl w:val="0"/>
              <w:spacing w:before="15" w:after="15"/>
              <w:jc w:val="center"/>
              <w:rPr>
                <w:b/>
                <w:noProof/>
                <w:sz w:val="20"/>
                <w:szCs w:val="20"/>
              </w:rPr>
            </w:pPr>
            <w:r>
              <w:rPr>
                <w:b/>
                <w:noProof/>
                <w:sz w:val="20"/>
              </w:rPr>
              <w:t>Dotações de autorização</w:t>
            </w:r>
          </w:p>
        </w:tc>
        <w:tc>
          <w:tcPr>
            <w:tcW w:w="1701" w:type="dxa"/>
            <w:tcBorders>
              <w:top w:val="single" w:sz="4" w:space="0" w:color="auto"/>
            </w:tcBorders>
            <w:shd w:val="clear" w:color="auto" w:fill="D9D9D9" w:themeFill="background1" w:themeFillShade="D9"/>
            <w:vAlign w:val="center"/>
          </w:tcPr>
          <w:p w14:paraId="35B7CC7E" w14:textId="77777777" w:rsidR="00B07FC0" w:rsidRPr="00B31192" w:rsidRDefault="00B07FC0" w:rsidP="00433C4E">
            <w:pPr>
              <w:widowControl w:val="0"/>
              <w:spacing w:before="15" w:after="15"/>
              <w:jc w:val="center"/>
              <w:rPr>
                <w:b/>
                <w:noProof/>
                <w:sz w:val="20"/>
                <w:szCs w:val="20"/>
              </w:rPr>
            </w:pPr>
            <w:r>
              <w:rPr>
                <w:b/>
                <w:noProof/>
                <w:sz w:val="20"/>
              </w:rPr>
              <w:t>Dotações de pagamento</w:t>
            </w:r>
          </w:p>
        </w:tc>
      </w:tr>
      <w:tr w:rsidR="00B07FC0" w:rsidRPr="00B31192" w14:paraId="27F6C60E" w14:textId="77777777" w:rsidTr="00433C4E">
        <w:trPr>
          <w:jc w:val="center"/>
        </w:trPr>
        <w:tc>
          <w:tcPr>
            <w:tcW w:w="9810" w:type="dxa"/>
            <w:gridSpan w:val="4"/>
            <w:shd w:val="clear" w:color="auto" w:fill="F2F2F2" w:themeFill="background1" w:themeFillShade="F2"/>
            <w:vAlign w:val="center"/>
          </w:tcPr>
          <w:p w14:paraId="3A3F42E9" w14:textId="77777777" w:rsidR="00B07FC0" w:rsidRPr="00B31192" w:rsidRDefault="00B07FC0" w:rsidP="00433C4E">
            <w:pPr>
              <w:widowControl w:val="0"/>
              <w:spacing w:before="15" w:after="15"/>
              <w:rPr>
                <w:i/>
                <w:noProof/>
                <w:sz w:val="20"/>
                <w:szCs w:val="20"/>
              </w:rPr>
            </w:pPr>
            <w:r>
              <w:rPr>
                <w:i/>
                <w:noProof/>
                <w:sz w:val="20"/>
              </w:rPr>
              <w:t>Secção III – Comissão</w:t>
            </w:r>
          </w:p>
        </w:tc>
      </w:tr>
      <w:tr w:rsidR="00B07FC0" w:rsidRPr="00B31192" w14:paraId="1550A33A" w14:textId="77777777" w:rsidTr="00433C4E">
        <w:trPr>
          <w:jc w:val="center"/>
        </w:trPr>
        <w:tc>
          <w:tcPr>
            <w:tcW w:w="1276" w:type="dxa"/>
          </w:tcPr>
          <w:p w14:paraId="4118BFA8" w14:textId="77777777" w:rsidR="00B07FC0" w:rsidRDefault="00B07FC0" w:rsidP="00433C4E">
            <w:pPr>
              <w:widowControl w:val="0"/>
              <w:spacing w:before="15" w:after="15"/>
              <w:ind w:right="-113"/>
              <w:jc w:val="both"/>
              <w:rPr>
                <w:noProof/>
                <w:sz w:val="16"/>
                <w:szCs w:val="16"/>
              </w:rPr>
            </w:pPr>
            <w:r>
              <w:rPr>
                <w:noProof/>
                <w:sz w:val="16"/>
              </w:rPr>
              <w:t>05 02 01</w:t>
            </w:r>
          </w:p>
        </w:tc>
        <w:tc>
          <w:tcPr>
            <w:tcW w:w="5132" w:type="dxa"/>
          </w:tcPr>
          <w:p w14:paraId="6D7D6F30" w14:textId="77777777" w:rsidR="00B07FC0" w:rsidRDefault="00B07FC0" w:rsidP="00433C4E">
            <w:pPr>
              <w:widowControl w:val="0"/>
              <w:tabs>
                <w:tab w:val="left" w:pos="1350"/>
              </w:tabs>
              <w:spacing w:before="15" w:after="15"/>
              <w:jc w:val="both"/>
              <w:rPr>
                <w:noProof/>
                <w:sz w:val="16"/>
                <w:szCs w:val="16"/>
              </w:rPr>
            </w:pPr>
            <w:r>
              <w:rPr>
                <w:noProof/>
                <w:sz w:val="16"/>
              </w:rPr>
              <w:t>FEDER - Despesas operacionais</w:t>
            </w:r>
          </w:p>
        </w:tc>
        <w:tc>
          <w:tcPr>
            <w:tcW w:w="1701" w:type="dxa"/>
          </w:tcPr>
          <w:p w14:paraId="001F7881" w14:textId="77777777" w:rsidR="00B07FC0" w:rsidDel="00DF0FD8" w:rsidRDefault="00B07FC0" w:rsidP="00433C4E">
            <w:pPr>
              <w:widowControl w:val="0"/>
              <w:spacing w:before="15" w:after="15"/>
              <w:jc w:val="right"/>
              <w:rPr>
                <w:noProof/>
                <w:sz w:val="16"/>
                <w:szCs w:val="16"/>
              </w:rPr>
            </w:pPr>
            <w:r>
              <w:rPr>
                <w:noProof/>
                <w:sz w:val="16"/>
              </w:rPr>
              <w:t>-10 543 750</w:t>
            </w:r>
          </w:p>
        </w:tc>
        <w:tc>
          <w:tcPr>
            <w:tcW w:w="1701" w:type="dxa"/>
          </w:tcPr>
          <w:p w14:paraId="525EAE46" w14:textId="77777777" w:rsidR="00B07FC0" w:rsidDel="00DF0FD8" w:rsidRDefault="00B07FC0" w:rsidP="00433C4E">
            <w:pPr>
              <w:widowControl w:val="0"/>
              <w:spacing w:before="15" w:after="15"/>
              <w:jc w:val="right"/>
              <w:rPr>
                <w:noProof/>
                <w:sz w:val="16"/>
                <w:szCs w:val="16"/>
              </w:rPr>
            </w:pPr>
            <w:r>
              <w:rPr>
                <w:noProof/>
                <w:sz w:val="16"/>
              </w:rPr>
              <w:t>0</w:t>
            </w:r>
          </w:p>
        </w:tc>
      </w:tr>
      <w:tr w:rsidR="00B07FC0" w:rsidRPr="00B31192" w14:paraId="203F9B53" w14:textId="77777777" w:rsidTr="00433C4E">
        <w:trPr>
          <w:jc w:val="center"/>
        </w:trPr>
        <w:tc>
          <w:tcPr>
            <w:tcW w:w="1276" w:type="dxa"/>
          </w:tcPr>
          <w:p w14:paraId="5192AA3B" w14:textId="77777777" w:rsidR="00B07FC0" w:rsidRDefault="00B07FC0" w:rsidP="00433C4E">
            <w:pPr>
              <w:widowControl w:val="0"/>
              <w:spacing w:before="15" w:after="15"/>
              <w:ind w:right="-113"/>
              <w:jc w:val="both"/>
              <w:rPr>
                <w:noProof/>
                <w:sz w:val="16"/>
                <w:szCs w:val="16"/>
              </w:rPr>
            </w:pPr>
            <w:r>
              <w:rPr>
                <w:noProof/>
                <w:sz w:val="16"/>
              </w:rPr>
              <w:t>05 02 09</w:t>
            </w:r>
          </w:p>
        </w:tc>
        <w:tc>
          <w:tcPr>
            <w:tcW w:w="5132" w:type="dxa"/>
          </w:tcPr>
          <w:p w14:paraId="02998230" w14:textId="77777777" w:rsidR="00B07FC0" w:rsidRPr="00B07FC0" w:rsidRDefault="00B07FC0" w:rsidP="00433C4E">
            <w:pPr>
              <w:widowControl w:val="0"/>
              <w:tabs>
                <w:tab w:val="left" w:pos="1350"/>
              </w:tabs>
              <w:spacing w:before="15" w:after="15"/>
              <w:jc w:val="both"/>
              <w:rPr>
                <w:noProof/>
                <w:sz w:val="16"/>
                <w:szCs w:val="16"/>
                <w:lang w:val="pt-PT"/>
              </w:rPr>
            </w:pPr>
            <w:r w:rsidRPr="00B07FC0">
              <w:rPr>
                <w:noProof/>
                <w:sz w:val="16"/>
                <w:lang w:val="pt-PT"/>
              </w:rPr>
              <w:t>Horizonte Europa – Contribuição do FEDER</w:t>
            </w:r>
          </w:p>
        </w:tc>
        <w:tc>
          <w:tcPr>
            <w:tcW w:w="1701" w:type="dxa"/>
          </w:tcPr>
          <w:p w14:paraId="56241C5D" w14:textId="77777777" w:rsidR="00B07FC0" w:rsidRDefault="00B07FC0" w:rsidP="00433C4E">
            <w:pPr>
              <w:widowControl w:val="0"/>
              <w:spacing w:before="15" w:after="15"/>
              <w:jc w:val="right"/>
              <w:rPr>
                <w:noProof/>
                <w:sz w:val="16"/>
                <w:szCs w:val="16"/>
              </w:rPr>
            </w:pPr>
            <w:r>
              <w:rPr>
                <w:noProof/>
                <w:sz w:val="16"/>
              </w:rPr>
              <w:t>10 543 750</w:t>
            </w:r>
          </w:p>
        </w:tc>
        <w:tc>
          <w:tcPr>
            <w:tcW w:w="1701" w:type="dxa"/>
          </w:tcPr>
          <w:p w14:paraId="42610D14" w14:textId="77777777" w:rsidR="00B07FC0" w:rsidRDefault="00B07FC0" w:rsidP="00433C4E">
            <w:pPr>
              <w:widowControl w:val="0"/>
              <w:spacing w:before="15" w:after="15"/>
              <w:jc w:val="right"/>
              <w:rPr>
                <w:noProof/>
                <w:sz w:val="16"/>
                <w:szCs w:val="16"/>
              </w:rPr>
            </w:pPr>
            <w:r>
              <w:rPr>
                <w:noProof/>
                <w:sz w:val="16"/>
              </w:rPr>
              <w:t>0</w:t>
            </w:r>
          </w:p>
        </w:tc>
      </w:tr>
      <w:tr w:rsidR="00B07FC0" w:rsidRPr="00B31192" w14:paraId="102AEE21" w14:textId="77777777" w:rsidTr="00433C4E">
        <w:trPr>
          <w:jc w:val="center"/>
        </w:trPr>
        <w:tc>
          <w:tcPr>
            <w:tcW w:w="6408" w:type="dxa"/>
            <w:gridSpan w:val="2"/>
            <w:shd w:val="clear" w:color="auto" w:fill="D9D9D9" w:themeFill="background1" w:themeFillShade="D9"/>
          </w:tcPr>
          <w:p w14:paraId="43367793" w14:textId="77777777" w:rsidR="00B07FC0" w:rsidRPr="00B31192" w:rsidRDefault="00B07FC0" w:rsidP="00433C4E">
            <w:pPr>
              <w:widowControl w:val="0"/>
              <w:spacing w:before="15" w:after="15"/>
              <w:ind w:right="-113"/>
              <w:jc w:val="both"/>
              <w:rPr>
                <w:noProof/>
                <w:sz w:val="20"/>
                <w:szCs w:val="20"/>
              </w:rPr>
            </w:pPr>
            <w:r>
              <w:rPr>
                <w:b/>
                <w:noProof/>
                <w:sz w:val="20"/>
              </w:rPr>
              <w:t>Total</w:t>
            </w:r>
            <w:r>
              <w:rPr>
                <w:noProof/>
              </w:rPr>
              <w:tab/>
            </w:r>
          </w:p>
        </w:tc>
        <w:tc>
          <w:tcPr>
            <w:tcW w:w="1701" w:type="dxa"/>
            <w:shd w:val="clear" w:color="auto" w:fill="D9D9D9" w:themeFill="background1" w:themeFillShade="D9"/>
          </w:tcPr>
          <w:p w14:paraId="1B9613A1" w14:textId="77777777" w:rsidR="00B07FC0" w:rsidRPr="00CA6CA7" w:rsidRDefault="00B07FC0" w:rsidP="00433C4E">
            <w:pPr>
              <w:widowControl w:val="0"/>
              <w:spacing w:before="15" w:after="15"/>
              <w:jc w:val="right"/>
              <w:rPr>
                <w:b/>
                <w:bCs/>
                <w:noProof/>
                <w:sz w:val="20"/>
                <w:szCs w:val="20"/>
              </w:rPr>
            </w:pPr>
            <w:r>
              <w:rPr>
                <w:b/>
                <w:noProof/>
                <w:sz w:val="20"/>
              </w:rPr>
              <w:t>0</w:t>
            </w:r>
          </w:p>
        </w:tc>
        <w:tc>
          <w:tcPr>
            <w:tcW w:w="1701" w:type="dxa"/>
            <w:shd w:val="clear" w:color="auto" w:fill="D9D9D9" w:themeFill="background1" w:themeFillShade="D9"/>
          </w:tcPr>
          <w:p w14:paraId="677BB711" w14:textId="77777777" w:rsidR="00B07FC0" w:rsidRPr="00CA6CA7" w:rsidRDefault="00B07FC0" w:rsidP="00433C4E">
            <w:pPr>
              <w:widowControl w:val="0"/>
              <w:spacing w:before="15" w:after="15"/>
              <w:jc w:val="right"/>
              <w:rPr>
                <w:b/>
                <w:noProof/>
                <w:sz w:val="20"/>
                <w:szCs w:val="20"/>
              </w:rPr>
            </w:pPr>
            <w:r>
              <w:rPr>
                <w:b/>
                <w:noProof/>
                <w:sz w:val="20"/>
              </w:rPr>
              <w:t>0</w:t>
            </w:r>
          </w:p>
        </w:tc>
      </w:tr>
    </w:tbl>
    <w:p w14:paraId="59FE317E" w14:textId="77777777" w:rsidR="00B07FC0" w:rsidRPr="00AA6580" w:rsidRDefault="00B07FC0" w:rsidP="00B07FC0">
      <w:pPr>
        <w:pStyle w:val="Text1"/>
        <w:ind w:left="0"/>
        <w:rPr>
          <w:noProof/>
        </w:rPr>
      </w:pPr>
    </w:p>
    <w:p w14:paraId="07BD8FE2" w14:textId="77777777" w:rsidR="00B07FC0" w:rsidRPr="00B07FC0" w:rsidRDefault="00B07FC0" w:rsidP="00B07FC0">
      <w:pPr>
        <w:pStyle w:val="ManualHeading1"/>
        <w:spacing w:before="240"/>
        <w:ind w:left="0" w:firstLine="0"/>
        <w:rPr>
          <w:noProof/>
          <w:lang w:val="pt-PT"/>
        </w:rPr>
      </w:pPr>
      <w:bookmarkStart w:id="97" w:name="_Toc145922829"/>
      <w:r w:rsidRPr="00B07FC0">
        <w:rPr>
          <w:noProof/>
          <w:lang w:val="pt-PT"/>
        </w:rPr>
        <w:t>7.</w:t>
      </w:r>
      <w:r w:rsidRPr="00B07FC0">
        <w:rPr>
          <w:noProof/>
          <w:lang w:val="pt-PT"/>
        </w:rPr>
        <w:tab/>
        <w:t>Ajustamentos da rubrica 7 «Administração Pública Europeia»</w:t>
      </w:r>
      <w:bookmarkEnd w:id="93"/>
      <w:bookmarkEnd w:id="94"/>
      <w:bookmarkEnd w:id="95"/>
      <w:bookmarkEnd w:id="97"/>
    </w:p>
    <w:p w14:paraId="0E45942A" w14:textId="77777777" w:rsidR="00B07FC0" w:rsidRPr="00B07FC0" w:rsidRDefault="00B07FC0" w:rsidP="00B07FC0">
      <w:pPr>
        <w:pStyle w:val="ManualHeading1"/>
        <w:autoSpaceDE w:val="0"/>
        <w:autoSpaceDN w:val="0"/>
        <w:adjustRightInd w:val="0"/>
        <w:spacing w:before="240" w:line="259" w:lineRule="auto"/>
        <w:ind w:left="0" w:firstLine="0"/>
        <w:rPr>
          <w:noProof/>
          <w:lang w:val="pt-PT"/>
        </w:rPr>
      </w:pPr>
      <w:bookmarkStart w:id="98" w:name="_Toc145922830"/>
      <w:r w:rsidRPr="00B07FC0">
        <w:rPr>
          <w:noProof/>
          <w:lang w:val="pt-PT"/>
        </w:rPr>
        <w:t>7.1 Ajustamentos das despesas do Serviço Europeu para a Ação Externa (SEAE) relativamente ao aumento dos PND militares</w:t>
      </w:r>
      <w:bookmarkEnd w:id="98"/>
    </w:p>
    <w:p w14:paraId="1E51D88A" w14:textId="77777777" w:rsidR="00B07FC0" w:rsidRPr="00B07FC0" w:rsidRDefault="00B07FC0" w:rsidP="00B07FC0">
      <w:pPr>
        <w:autoSpaceDE w:val="0"/>
        <w:autoSpaceDN w:val="0"/>
        <w:adjustRightInd w:val="0"/>
        <w:spacing w:before="120" w:after="120" w:line="259" w:lineRule="auto"/>
        <w:jc w:val="both"/>
        <w:rPr>
          <w:noProof/>
          <w:lang w:val="pt-PT"/>
        </w:rPr>
      </w:pPr>
      <w:r w:rsidRPr="00B07FC0">
        <w:rPr>
          <w:noProof/>
          <w:lang w:val="pt-PT"/>
        </w:rPr>
        <w:t>No seu mapa previsional para 2024, o SEAE assinalou que uma série de debates em curso ainda não tinham atingido a maturidade suficiente para justificar a inclusão dos recursos correspondentes no projeto de orçamento de 2024, mas poderiam fazer parte de uma carta retificativa numa fase posterior.</w:t>
      </w:r>
    </w:p>
    <w:p w14:paraId="44ECF256" w14:textId="77777777" w:rsidR="00B07FC0" w:rsidRPr="00B07FC0" w:rsidRDefault="00B07FC0" w:rsidP="00B07FC0">
      <w:pPr>
        <w:autoSpaceDE w:val="0"/>
        <w:autoSpaceDN w:val="0"/>
        <w:adjustRightInd w:val="0"/>
        <w:spacing w:before="120" w:after="120" w:line="259" w:lineRule="auto"/>
        <w:jc w:val="both"/>
        <w:rPr>
          <w:noProof/>
          <w:lang w:val="pt-PT"/>
        </w:rPr>
      </w:pPr>
      <w:r w:rsidRPr="00B07FC0">
        <w:rPr>
          <w:noProof/>
          <w:lang w:val="pt-PT"/>
        </w:rPr>
        <w:t>Entre estas ações, o roteiro da Capacidade Militar de Planeamento e Condução (CMPC) avançou suficientemente para poder ser incluído na carta retificativa. Os Estados-Membros declararam na Bússola Estratégica: «Garantiremos que a Capacidade Militar de Planeamento e Condução esteja totalmente em condições de planear, controlar e comandar tarefas e operações não executivas e executivas, bem como exercícios reais. Neste contexto, iremos aumentar as contribuições em termos de pessoal e garantir que dispomos dos necessários sistemas de comunicação e informação, bem como das instalações adequadas».</w:t>
      </w:r>
    </w:p>
    <w:p w14:paraId="51199CAA" w14:textId="77777777" w:rsidR="00B07FC0" w:rsidRPr="00B07FC0" w:rsidRDefault="00B07FC0" w:rsidP="00B07FC0">
      <w:pPr>
        <w:autoSpaceDE w:val="0"/>
        <w:autoSpaceDN w:val="0"/>
        <w:adjustRightInd w:val="0"/>
        <w:spacing w:before="120" w:after="120" w:line="259" w:lineRule="auto"/>
        <w:jc w:val="both"/>
        <w:rPr>
          <w:noProof/>
          <w:lang w:val="pt-PT"/>
        </w:rPr>
      </w:pPr>
      <w:r w:rsidRPr="00B07FC0">
        <w:rPr>
          <w:noProof/>
          <w:lang w:val="pt-PT"/>
        </w:rPr>
        <w:t xml:space="preserve">À luz da ambição acordada na Bússola Estratégica relativamente ao futuro desenvolvimento da CMPC enquanto estrutura de comando e controlo preferida, o necessário reforço dos seus recursos ocorrerá através do seguinte: </w:t>
      </w:r>
    </w:p>
    <w:p w14:paraId="5E9C1447" w14:textId="77777777" w:rsidR="00B07FC0" w:rsidRPr="00BC6233" w:rsidRDefault="00B07FC0" w:rsidP="00B07FC0">
      <w:pPr>
        <w:pStyle w:val="ListParagraph"/>
        <w:numPr>
          <w:ilvl w:val="0"/>
          <w:numId w:val="48"/>
        </w:numPr>
        <w:autoSpaceDE w:val="0"/>
        <w:autoSpaceDN w:val="0"/>
        <w:adjustRightInd w:val="0"/>
        <w:spacing w:before="120" w:after="120" w:line="259" w:lineRule="auto"/>
        <w:ind w:left="714" w:hanging="357"/>
        <w:contextualSpacing w:val="0"/>
        <w:jc w:val="both"/>
        <w:rPr>
          <w:rFonts w:ascii="Times New Roman" w:hAnsi="Times New Roman"/>
          <w:noProof/>
          <w:sz w:val="24"/>
          <w:szCs w:val="24"/>
        </w:rPr>
      </w:pPr>
      <w:r w:rsidRPr="00B07FC0">
        <w:rPr>
          <w:rFonts w:ascii="Times New Roman" w:hAnsi="Times New Roman"/>
          <w:noProof/>
          <w:sz w:val="24"/>
          <w:lang w:val="pt-PT"/>
        </w:rPr>
        <w:t xml:space="preserve">O financiamento de 55 PND militares com partilha de custos, dos quais 20 substituirão os PND sem custos incluídos no quadro do POR n.º 4/2023, aumentando o pessoal da CMPC para um total de 115. </w:t>
      </w:r>
      <w:r>
        <w:rPr>
          <w:rFonts w:ascii="Times New Roman" w:hAnsi="Times New Roman"/>
          <w:noProof/>
          <w:sz w:val="24"/>
        </w:rPr>
        <w:t xml:space="preserve">Tal exigirá um aumento das dotações de 3 394 400 EUR. </w:t>
      </w:r>
    </w:p>
    <w:p w14:paraId="24C2BE90" w14:textId="77777777" w:rsidR="00B07FC0" w:rsidRPr="00B07FC0" w:rsidRDefault="00B07FC0" w:rsidP="00B07FC0">
      <w:pPr>
        <w:pStyle w:val="ListParagraph"/>
        <w:numPr>
          <w:ilvl w:val="0"/>
          <w:numId w:val="48"/>
        </w:numPr>
        <w:autoSpaceDE w:val="0"/>
        <w:autoSpaceDN w:val="0"/>
        <w:adjustRightInd w:val="0"/>
        <w:spacing w:before="120" w:after="120" w:line="259" w:lineRule="auto"/>
        <w:ind w:left="714" w:hanging="357"/>
        <w:contextualSpacing w:val="0"/>
        <w:jc w:val="both"/>
        <w:rPr>
          <w:rFonts w:ascii="Times New Roman" w:hAnsi="Times New Roman"/>
          <w:noProof/>
          <w:sz w:val="24"/>
          <w:szCs w:val="24"/>
          <w:lang w:val="pt-PT"/>
        </w:rPr>
      </w:pPr>
      <w:r w:rsidRPr="00B07FC0">
        <w:rPr>
          <w:rFonts w:ascii="Times New Roman" w:hAnsi="Times New Roman"/>
          <w:noProof/>
          <w:sz w:val="24"/>
          <w:lang w:val="pt-PT"/>
        </w:rPr>
        <w:t>O financiamento parcial das ações necessárias para cobrir os custos de ter o SEAE como prestador único de serviços do sistema de comunicação e informação (SCI) relativamente à CMPC (o restante será suportado pelo Mecanismo Europeu de Apoio à Paz). No contexto do apoio militar da UE à Ucrânia, o contexto de segurança mudou drasticamente, pelo que se tornou necessário colmatar as lacunas existentes a nível do sistema de comunicação e informação. Tal exigirá um aumento das dotações de 4 126 000 EUR, abrangendo, em especial, o financiamento do sistema de comunicação e informação e de quatro peritos conexos.</w:t>
      </w:r>
    </w:p>
    <w:p w14:paraId="5E155AD3" w14:textId="77777777" w:rsidR="00B07FC0" w:rsidRPr="00B07FC0" w:rsidRDefault="00B07FC0" w:rsidP="00B07FC0">
      <w:pPr>
        <w:pStyle w:val="ListParagraph"/>
        <w:numPr>
          <w:ilvl w:val="0"/>
          <w:numId w:val="48"/>
        </w:numPr>
        <w:autoSpaceDE w:val="0"/>
        <w:autoSpaceDN w:val="0"/>
        <w:adjustRightInd w:val="0"/>
        <w:spacing w:before="120" w:after="120" w:line="259" w:lineRule="auto"/>
        <w:ind w:left="714" w:hanging="357"/>
        <w:contextualSpacing w:val="0"/>
        <w:jc w:val="both"/>
        <w:rPr>
          <w:rFonts w:ascii="Times New Roman" w:hAnsi="Times New Roman"/>
          <w:noProof/>
          <w:sz w:val="24"/>
          <w:szCs w:val="24"/>
          <w:lang w:val="pt-PT"/>
        </w:rPr>
      </w:pPr>
      <w:r w:rsidRPr="00B07FC0">
        <w:rPr>
          <w:rFonts w:ascii="Times New Roman" w:hAnsi="Times New Roman"/>
          <w:noProof/>
          <w:sz w:val="24"/>
          <w:lang w:val="pt-PT"/>
        </w:rPr>
        <w:t>O financiamento de quatro agentes contratuais para os serviços de apoio ao sistema de comunicação e informação. Propõe-se, por conseguinte, um aumento das dotações em 414 700 EUR.</w:t>
      </w:r>
    </w:p>
    <w:p w14:paraId="744A398D" w14:textId="77777777" w:rsidR="00B07FC0" w:rsidRPr="00B07FC0" w:rsidRDefault="00B07FC0" w:rsidP="00B07FC0">
      <w:pPr>
        <w:autoSpaceDE w:val="0"/>
        <w:autoSpaceDN w:val="0"/>
        <w:adjustRightInd w:val="0"/>
        <w:spacing w:before="120" w:after="120" w:line="259" w:lineRule="auto"/>
        <w:jc w:val="both"/>
        <w:rPr>
          <w:noProof/>
          <w:lang w:val="pt-PT"/>
        </w:rPr>
      </w:pPr>
      <w:r w:rsidRPr="00B07FC0">
        <w:rPr>
          <w:noProof/>
          <w:lang w:val="pt-PT"/>
        </w:rPr>
        <w:t xml:space="preserve">Todos os referidos elementos correspondem a um aumento da secção X SEAS num total de 7 935 100  </w:t>
      </w:r>
      <w:r w:rsidRPr="00B07FC0">
        <w:rPr>
          <w:noProof/>
          <w:lang w:val="pt-PT"/>
        </w:rPr>
        <w:br/>
        <w:t>EUR.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
        <w:gridCol w:w="1168"/>
        <w:gridCol w:w="108"/>
        <w:gridCol w:w="5007"/>
        <w:gridCol w:w="96"/>
        <w:gridCol w:w="1605"/>
        <w:gridCol w:w="96"/>
        <w:gridCol w:w="1605"/>
        <w:gridCol w:w="96"/>
      </w:tblGrid>
      <w:tr w:rsidR="00B07FC0" w14:paraId="24BA13E7" w14:textId="77777777" w:rsidTr="00433C4E">
        <w:trPr>
          <w:gridAfter w:val="1"/>
          <w:wAfter w:w="96" w:type="dxa"/>
          <w:trHeight w:val="300"/>
          <w:jc w:val="center"/>
        </w:trPr>
        <w:tc>
          <w:tcPr>
            <w:tcW w:w="9793" w:type="dxa"/>
            <w:gridSpan w:val="8"/>
            <w:tcBorders>
              <w:top w:val="nil"/>
              <w:left w:val="nil"/>
              <w:bottom w:val="single" w:sz="4" w:space="0" w:color="auto"/>
              <w:right w:val="nil"/>
            </w:tcBorders>
            <w:shd w:val="clear" w:color="auto" w:fill="auto"/>
            <w:vAlign w:val="center"/>
          </w:tcPr>
          <w:p w14:paraId="5E8EBB73" w14:textId="77777777" w:rsidR="00B07FC0" w:rsidRDefault="00B07FC0" w:rsidP="00433C4E">
            <w:pPr>
              <w:widowControl w:val="0"/>
              <w:spacing w:before="15" w:after="15"/>
              <w:jc w:val="right"/>
              <w:rPr>
                <w:rFonts w:eastAsia="Calibri"/>
                <w:i/>
                <w:iCs/>
                <w:noProof/>
                <w:sz w:val="20"/>
                <w:szCs w:val="20"/>
              </w:rPr>
            </w:pPr>
            <w:r>
              <w:rPr>
                <w:i/>
                <w:noProof/>
                <w:sz w:val="20"/>
              </w:rPr>
              <w:t>EUR</w:t>
            </w:r>
          </w:p>
        </w:tc>
      </w:tr>
      <w:tr w:rsidR="00B07FC0" w14:paraId="6BD79431" w14:textId="77777777" w:rsidTr="00433C4E">
        <w:trPr>
          <w:gridAfter w:val="1"/>
          <w:wAfter w:w="96" w:type="dxa"/>
          <w:trHeight w:val="300"/>
          <w:jc w:val="center"/>
        </w:trPr>
        <w:tc>
          <w:tcPr>
            <w:tcW w:w="1276" w:type="dxa"/>
            <w:gridSpan w:val="2"/>
            <w:tcBorders>
              <w:top w:val="single" w:sz="4" w:space="0" w:color="auto"/>
            </w:tcBorders>
            <w:shd w:val="clear" w:color="auto" w:fill="D9D9D9" w:themeFill="background1" w:themeFillShade="D9"/>
            <w:vAlign w:val="center"/>
          </w:tcPr>
          <w:p w14:paraId="119A58B1" w14:textId="77777777" w:rsidR="00B07FC0" w:rsidRDefault="00B07FC0" w:rsidP="00433C4E">
            <w:pPr>
              <w:keepNext/>
              <w:spacing w:before="15" w:after="15"/>
              <w:jc w:val="center"/>
              <w:rPr>
                <w:rFonts w:eastAsia="Calibri"/>
                <w:b/>
                <w:bCs/>
                <w:noProof/>
                <w:sz w:val="20"/>
                <w:szCs w:val="20"/>
              </w:rPr>
            </w:pPr>
            <w:r>
              <w:rPr>
                <w:b/>
                <w:noProof/>
                <w:sz w:val="20"/>
              </w:rPr>
              <w:t>Rubrica orçamental</w:t>
            </w:r>
          </w:p>
        </w:tc>
        <w:tc>
          <w:tcPr>
            <w:tcW w:w="5115" w:type="dxa"/>
            <w:gridSpan w:val="2"/>
            <w:tcBorders>
              <w:top w:val="single" w:sz="4" w:space="0" w:color="auto"/>
            </w:tcBorders>
            <w:shd w:val="clear" w:color="auto" w:fill="D9D9D9" w:themeFill="background1" w:themeFillShade="D9"/>
            <w:vAlign w:val="center"/>
          </w:tcPr>
          <w:p w14:paraId="6949349F" w14:textId="77777777" w:rsidR="00B07FC0" w:rsidRDefault="00B07FC0" w:rsidP="00433C4E">
            <w:pPr>
              <w:widowControl w:val="0"/>
              <w:spacing w:before="15" w:after="15"/>
              <w:jc w:val="center"/>
              <w:rPr>
                <w:rFonts w:eastAsia="Calibri"/>
                <w:b/>
                <w:bCs/>
                <w:noProof/>
                <w:sz w:val="20"/>
                <w:szCs w:val="20"/>
              </w:rPr>
            </w:pPr>
            <w:r>
              <w:rPr>
                <w:b/>
                <w:noProof/>
                <w:sz w:val="20"/>
              </w:rPr>
              <w:t>Nome</w:t>
            </w:r>
          </w:p>
        </w:tc>
        <w:tc>
          <w:tcPr>
            <w:tcW w:w="1701" w:type="dxa"/>
            <w:gridSpan w:val="2"/>
            <w:tcBorders>
              <w:top w:val="single" w:sz="4" w:space="0" w:color="auto"/>
            </w:tcBorders>
            <w:shd w:val="clear" w:color="auto" w:fill="D9D9D9" w:themeFill="background1" w:themeFillShade="D9"/>
            <w:vAlign w:val="center"/>
          </w:tcPr>
          <w:p w14:paraId="3874AC0D" w14:textId="77777777" w:rsidR="00B07FC0" w:rsidRDefault="00B07FC0" w:rsidP="00433C4E">
            <w:pPr>
              <w:widowControl w:val="0"/>
              <w:spacing w:before="15" w:after="15"/>
              <w:jc w:val="center"/>
              <w:rPr>
                <w:rFonts w:eastAsia="Calibri"/>
                <w:b/>
                <w:bCs/>
                <w:noProof/>
                <w:sz w:val="20"/>
                <w:szCs w:val="20"/>
              </w:rPr>
            </w:pPr>
            <w:r>
              <w:rPr>
                <w:b/>
                <w:noProof/>
                <w:sz w:val="20"/>
              </w:rPr>
              <w:t>Dotações de autorização</w:t>
            </w:r>
          </w:p>
        </w:tc>
        <w:tc>
          <w:tcPr>
            <w:tcW w:w="1701" w:type="dxa"/>
            <w:gridSpan w:val="2"/>
            <w:tcBorders>
              <w:top w:val="single" w:sz="4" w:space="0" w:color="auto"/>
            </w:tcBorders>
            <w:shd w:val="clear" w:color="auto" w:fill="D9D9D9" w:themeFill="background1" w:themeFillShade="D9"/>
            <w:vAlign w:val="center"/>
          </w:tcPr>
          <w:p w14:paraId="6EF944F6" w14:textId="77777777" w:rsidR="00B07FC0" w:rsidRDefault="00B07FC0" w:rsidP="00433C4E">
            <w:pPr>
              <w:widowControl w:val="0"/>
              <w:spacing w:before="15" w:after="15"/>
              <w:jc w:val="center"/>
              <w:rPr>
                <w:rFonts w:eastAsia="Calibri"/>
                <w:b/>
                <w:bCs/>
                <w:noProof/>
                <w:sz w:val="20"/>
                <w:szCs w:val="20"/>
              </w:rPr>
            </w:pPr>
            <w:r>
              <w:rPr>
                <w:b/>
                <w:noProof/>
                <w:sz w:val="20"/>
              </w:rPr>
              <w:t>Dotações de pagamento</w:t>
            </w:r>
          </w:p>
        </w:tc>
      </w:tr>
      <w:tr w:rsidR="00B07FC0" w:rsidRPr="00B07FC0" w14:paraId="3222DC7F" w14:textId="77777777" w:rsidTr="00433C4E">
        <w:trPr>
          <w:gridAfter w:val="1"/>
          <w:wAfter w:w="96" w:type="dxa"/>
          <w:trHeight w:val="300"/>
          <w:jc w:val="center"/>
        </w:trPr>
        <w:tc>
          <w:tcPr>
            <w:tcW w:w="9793" w:type="dxa"/>
            <w:gridSpan w:val="8"/>
            <w:tcBorders>
              <w:bottom w:val="single" w:sz="4" w:space="0" w:color="auto"/>
            </w:tcBorders>
            <w:shd w:val="clear" w:color="auto" w:fill="F2F2F2" w:themeFill="background1" w:themeFillShade="F2"/>
            <w:vAlign w:val="center"/>
          </w:tcPr>
          <w:p w14:paraId="485CFB56" w14:textId="77777777" w:rsidR="00B07FC0" w:rsidRPr="00B07FC0" w:rsidRDefault="00B07FC0" w:rsidP="00433C4E">
            <w:pPr>
              <w:widowControl w:val="0"/>
              <w:spacing w:before="15" w:after="15"/>
              <w:rPr>
                <w:rFonts w:eastAsia="Calibri"/>
                <w:i/>
                <w:iCs/>
                <w:noProof/>
                <w:sz w:val="20"/>
                <w:szCs w:val="20"/>
                <w:lang w:val="pt-PT"/>
              </w:rPr>
            </w:pPr>
            <w:r w:rsidRPr="00B07FC0">
              <w:rPr>
                <w:i/>
                <w:iCs/>
                <w:noProof/>
                <w:lang w:val="pt-PT"/>
              </w:rPr>
              <w:t xml:space="preserve">Secção X - </w:t>
            </w:r>
            <w:bookmarkStart w:id="99" w:name="_Hlk145947102"/>
            <w:r w:rsidRPr="00B07FC0">
              <w:rPr>
                <w:i/>
                <w:iCs/>
                <w:noProof/>
                <w:lang w:val="pt-PT"/>
              </w:rPr>
              <w:t>Serviço Europeu para a Ação Externa (SEAE)</w:t>
            </w:r>
            <w:bookmarkEnd w:id="99"/>
          </w:p>
        </w:tc>
      </w:tr>
      <w:tr w:rsidR="00B07FC0" w14:paraId="5388DDBE" w14:textId="77777777" w:rsidTr="00433C4E">
        <w:trPr>
          <w:gridAfter w:val="1"/>
          <w:wAfter w:w="96" w:type="dxa"/>
          <w:trHeight w:val="300"/>
          <w:jc w:val="center"/>
        </w:trPr>
        <w:tc>
          <w:tcPr>
            <w:tcW w:w="1276" w:type="dxa"/>
            <w:gridSpan w:val="2"/>
            <w:vAlign w:val="center"/>
          </w:tcPr>
          <w:p w14:paraId="7E71CE32" w14:textId="77777777" w:rsidR="00B07FC0" w:rsidRDefault="00B07FC0" w:rsidP="00433C4E">
            <w:pPr>
              <w:widowControl w:val="0"/>
              <w:tabs>
                <w:tab w:val="left" w:pos="1350"/>
              </w:tabs>
              <w:spacing w:before="15" w:after="15"/>
              <w:jc w:val="both"/>
              <w:rPr>
                <w:noProof/>
                <w:sz w:val="16"/>
                <w:szCs w:val="16"/>
              </w:rPr>
            </w:pPr>
            <w:r>
              <w:rPr>
                <w:noProof/>
                <w:sz w:val="16"/>
              </w:rPr>
              <w:t>1 2 0 0</w:t>
            </w:r>
          </w:p>
        </w:tc>
        <w:tc>
          <w:tcPr>
            <w:tcW w:w="5115" w:type="dxa"/>
            <w:gridSpan w:val="2"/>
            <w:vAlign w:val="center"/>
          </w:tcPr>
          <w:p w14:paraId="6F00611A" w14:textId="77777777" w:rsidR="00B07FC0" w:rsidRDefault="00B07FC0" w:rsidP="00433C4E">
            <w:pPr>
              <w:widowControl w:val="0"/>
              <w:tabs>
                <w:tab w:val="left" w:pos="1350"/>
              </w:tabs>
              <w:spacing w:before="15" w:after="15"/>
              <w:jc w:val="both"/>
              <w:rPr>
                <w:noProof/>
                <w:sz w:val="16"/>
                <w:szCs w:val="16"/>
              </w:rPr>
            </w:pPr>
            <w:r>
              <w:rPr>
                <w:noProof/>
                <w:sz w:val="16"/>
              </w:rPr>
              <w:t>Agentes contratuais</w:t>
            </w:r>
          </w:p>
        </w:tc>
        <w:tc>
          <w:tcPr>
            <w:tcW w:w="1701" w:type="dxa"/>
            <w:gridSpan w:val="2"/>
            <w:vAlign w:val="center"/>
          </w:tcPr>
          <w:p w14:paraId="7C9A15E8" w14:textId="77777777" w:rsidR="00B07FC0" w:rsidRDefault="00B07FC0" w:rsidP="00433C4E">
            <w:pPr>
              <w:widowControl w:val="0"/>
              <w:spacing w:before="15" w:after="15"/>
              <w:jc w:val="right"/>
              <w:rPr>
                <w:noProof/>
                <w:sz w:val="16"/>
                <w:szCs w:val="16"/>
              </w:rPr>
            </w:pPr>
            <w:r>
              <w:rPr>
                <w:noProof/>
                <w:sz w:val="16"/>
              </w:rPr>
              <w:t>414 700</w:t>
            </w:r>
          </w:p>
        </w:tc>
        <w:tc>
          <w:tcPr>
            <w:tcW w:w="1701" w:type="dxa"/>
            <w:gridSpan w:val="2"/>
            <w:vAlign w:val="center"/>
          </w:tcPr>
          <w:p w14:paraId="3E47620A" w14:textId="77777777" w:rsidR="00B07FC0" w:rsidRDefault="00B07FC0" w:rsidP="00433C4E">
            <w:pPr>
              <w:widowControl w:val="0"/>
              <w:spacing w:before="15" w:after="15"/>
              <w:jc w:val="right"/>
              <w:rPr>
                <w:rFonts w:eastAsia="Calibri"/>
                <w:noProof/>
                <w:sz w:val="16"/>
                <w:szCs w:val="16"/>
              </w:rPr>
            </w:pPr>
            <w:r>
              <w:rPr>
                <w:noProof/>
                <w:sz w:val="16"/>
              </w:rPr>
              <w:t>414 700</w:t>
            </w:r>
          </w:p>
        </w:tc>
      </w:tr>
      <w:tr w:rsidR="00B07FC0" w:rsidRPr="003C6FAD" w14:paraId="77586D27" w14:textId="77777777" w:rsidTr="00433C4E">
        <w:tblPrEx>
          <w:jc w:val="left"/>
        </w:tblPrEx>
        <w:trPr>
          <w:gridBefore w:val="1"/>
          <w:wBefore w:w="108" w:type="dxa"/>
          <w:trHeight w:hRule="exact" w:val="284"/>
        </w:trPr>
        <w:tc>
          <w:tcPr>
            <w:tcW w:w="1276" w:type="dxa"/>
            <w:gridSpan w:val="2"/>
            <w:vAlign w:val="center"/>
          </w:tcPr>
          <w:p w14:paraId="44AFA022" w14:textId="77777777" w:rsidR="00B07FC0" w:rsidRPr="00B37189" w:rsidRDefault="00B07FC0" w:rsidP="00433C4E">
            <w:pPr>
              <w:widowControl w:val="0"/>
              <w:spacing w:after="15"/>
              <w:ind w:right="-113"/>
              <w:rPr>
                <w:noProof/>
                <w:color w:val="000000"/>
                <w:sz w:val="16"/>
                <w:szCs w:val="16"/>
              </w:rPr>
            </w:pPr>
            <w:r>
              <w:rPr>
                <w:noProof/>
                <w:color w:val="000000"/>
                <w:sz w:val="16"/>
              </w:rPr>
              <w:t>1 2 0 5</w:t>
            </w:r>
          </w:p>
        </w:tc>
        <w:tc>
          <w:tcPr>
            <w:tcW w:w="5103" w:type="dxa"/>
            <w:gridSpan w:val="2"/>
            <w:vAlign w:val="center"/>
          </w:tcPr>
          <w:p w14:paraId="209F1796" w14:textId="77777777" w:rsidR="00B07FC0" w:rsidRPr="00B37189" w:rsidRDefault="00B07FC0" w:rsidP="00433C4E">
            <w:pPr>
              <w:widowControl w:val="0"/>
              <w:spacing w:after="15"/>
              <w:ind w:right="-113"/>
              <w:rPr>
                <w:noProof/>
                <w:color w:val="000000"/>
                <w:sz w:val="16"/>
                <w:szCs w:val="16"/>
              </w:rPr>
            </w:pPr>
            <w:r>
              <w:rPr>
                <w:noProof/>
                <w:color w:val="000000"/>
                <w:sz w:val="16"/>
              </w:rPr>
              <w:t>Peritos militares nacionais destacados</w:t>
            </w:r>
          </w:p>
        </w:tc>
        <w:tc>
          <w:tcPr>
            <w:tcW w:w="1701" w:type="dxa"/>
            <w:gridSpan w:val="2"/>
            <w:vAlign w:val="center"/>
          </w:tcPr>
          <w:p w14:paraId="1258AA2A" w14:textId="77777777" w:rsidR="00B07FC0" w:rsidRPr="0074715E" w:rsidRDefault="00B07FC0" w:rsidP="00433C4E">
            <w:pPr>
              <w:widowControl w:val="0"/>
              <w:spacing w:before="15" w:after="15"/>
              <w:jc w:val="right"/>
              <w:rPr>
                <w:rFonts w:eastAsia="Calibri"/>
                <w:noProof/>
                <w:sz w:val="16"/>
                <w:szCs w:val="16"/>
              </w:rPr>
            </w:pPr>
            <w:r>
              <w:rPr>
                <w:noProof/>
                <w:sz w:val="16"/>
              </w:rPr>
              <w:t>3 394 400</w:t>
            </w:r>
          </w:p>
        </w:tc>
        <w:tc>
          <w:tcPr>
            <w:tcW w:w="1701" w:type="dxa"/>
            <w:gridSpan w:val="2"/>
            <w:vAlign w:val="center"/>
          </w:tcPr>
          <w:p w14:paraId="6E84CA79" w14:textId="77777777" w:rsidR="00B07FC0" w:rsidRPr="0074715E" w:rsidRDefault="00B07FC0" w:rsidP="00433C4E">
            <w:pPr>
              <w:widowControl w:val="0"/>
              <w:spacing w:before="15" w:after="15"/>
              <w:jc w:val="right"/>
              <w:rPr>
                <w:rFonts w:eastAsia="Calibri"/>
                <w:noProof/>
                <w:sz w:val="16"/>
                <w:szCs w:val="16"/>
              </w:rPr>
            </w:pPr>
            <w:r>
              <w:rPr>
                <w:noProof/>
                <w:sz w:val="16"/>
              </w:rPr>
              <w:t>3 394 400</w:t>
            </w:r>
          </w:p>
        </w:tc>
      </w:tr>
      <w:tr w:rsidR="00B07FC0" w:rsidRPr="003C6FAD" w14:paraId="48E47EE3" w14:textId="77777777" w:rsidTr="00433C4E">
        <w:tblPrEx>
          <w:jc w:val="left"/>
        </w:tblPrEx>
        <w:trPr>
          <w:gridBefore w:val="1"/>
          <w:wBefore w:w="108" w:type="dxa"/>
          <w:trHeight w:hRule="exact" w:val="284"/>
        </w:trPr>
        <w:tc>
          <w:tcPr>
            <w:tcW w:w="1276" w:type="dxa"/>
            <w:gridSpan w:val="2"/>
            <w:vAlign w:val="center"/>
          </w:tcPr>
          <w:p w14:paraId="16607246" w14:textId="77777777" w:rsidR="00B07FC0" w:rsidRPr="00B37189" w:rsidRDefault="00B07FC0" w:rsidP="00433C4E">
            <w:pPr>
              <w:widowControl w:val="0"/>
              <w:spacing w:after="15"/>
              <w:ind w:right="-113"/>
              <w:rPr>
                <w:noProof/>
                <w:color w:val="000000"/>
                <w:sz w:val="16"/>
                <w:szCs w:val="16"/>
              </w:rPr>
            </w:pPr>
            <w:r>
              <w:rPr>
                <w:noProof/>
                <w:color w:val="000000"/>
                <w:sz w:val="16"/>
              </w:rPr>
              <w:t>2 1 0 0</w:t>
            </w:r>
          </w:p>
        </w:tc>
        <w:tc>
          <w:tcPr>
            <w:tcW w:w="5103" w:type="dxa"/>
            <w:gridSpan w:val="2"/>
            <w:vAlign w:val="center"/>
          </w:tcPr>
          <w:p w14:paraId="0D0C99B6" w14:textId="77777777" w:rsidR="00B07FC0" w:rsidRPr="00B07FC0" w:rsidRDefault="00B07FC0" w:rsidP="00433C4E">
            <w:pPr>
              <w:widowControl w:val="0"/>
              <w:spacing w:after="15"/>
              <w:ind w:right="-113"/>
              <w:rPr>
                <w:noProof/>
                <w:color w:val="000000"/>
                <w:sz w:val="16"/>
                <w:szCs w:val="16"/>
                <w:lang w:val="pt-PT"/>
              </w:rPr>
            </w:pPr>
            <w:r w:rsidRPr="00B07FC0">
              <w:rPr>
                <w:noProof/>
                <w:color w:val="000000"/>
                <w:sz w:val="16"/>
                <w:lang w:val="pt-PT"/>
              </w:rPr>
              <w:t>Tecnologias da informação e comunicação</w:t>
            </w:r>
          </w:p>
        </w:tc>
        <w:tc>
          <w:tcPr>
            <w:tcW w:w="1701" w:type="dxa"/>
            <w:gridSpan w:val="2"/>
            <w:vAlign w:val="center"/>
          </w:tcPr>
          <w:p w14:paraId="37718A06" w14:textId="77777777" w:rsidR="00B07FC0" w:rsidRPr="0074715E" w:rsidRDefault="00B07FC0" w:rsidP="00433C4E">
            <w:pPr>
              <w:widowControl w:val="0"/>
              <w:spacing w:before="15" w:after="15"/>
              <w:jc w:val="right"/>
              <w:rPr>
                <w:rFonts w:eastAsia="Calibri"/>
                <w:noProof/>
                <w:sz w:val="16"/>
                <w:szCs w:val="16"/>
              </w:rPr>
            </w:pPr>
            <w:r>
              <w:rPr>
                <w:noProof/>
                <w:sz w:val="16"/>
              </w:rPr>
              <w:t>2 271 000</w:t>
            </w:r>
          </w:p>
        </w:tc>
        <w:tc>
          <w:tcPr>
            <w:tcW w:w="1701" w:type="dxa"/>
            <w:gridSpan w:val="2"/>
            <w:vAlign w:val="center"/>
          </w:tcPr>
          <w:p w14:paraId="19C8D6C8" w14:textId="77777777" w:rsidR="00B07FC0" w:rsidRPr="0074715E" w:rsidRDefault="00B07FC0" w:rsidP="00433C4E">
            <w:pPr>
              <w:widowControl w:val="0"/>
              <w:spacing w:before="15" w:after="15"/>
              <w:jc w:val="right"/>
              <w:rPr>
                <w:rFonts w:eastAsia="Calibri"/>
                <w:noProof/>
                <w:sz w:val="16"/>
                <w:szCs w:val="16"/>
              </w:rPr>
            </w:pPr>
            <w:r>
              <w:rPr>
                <w:noProof/>
                <w:sz w:val="16"/>
              </w:rPr>
              <w:t>2 271 000</w:t>
            </w:r>
          </w:p>
        </w:tc>
      </w:tr>
      <w:tr w:rsidR="00B07FC0" w:rsidRPr="003C6FAD" w14:paraId="343D5FC8" w14:textId="77777777" w:rsidTr="00433C4E">
        <w:tblPrEx>
          <w:jc w:val="left"/>
        </w:tblPrEx>
        <w:trPr>
          <w:gridBefore w:val="1"/>
          <w:wBefore w:w="108" w:type="dxa"/>
          <w:trHeight w:hRule="exact" w:val="472"/>
        </w:trPr>
        <w:tc>
          <w:tcPr>
            <w:tcW w:w="1276" w:type="dxa"/>
            <w:gridSpan w:val="2"/>
            <w:vAlign w:val="center"/>
          </w:tcPr>
          <w:p w14:paraId="00E4A834" w14:textId="77777777" w:rsidR="00B07FC0" w:rsidRPr="00B37189" w:rsidRDefault="00B07FC0" w:rsidP="00433C4E">
            <w:pPr>
              <w:widowControl w:val="0"/>
              <w:spacing w:after="15"/>
              <w:ind w:right="-113"/>
              <w:rPr>
                <w:noProof/>
                <w:color w:val="000000"/>
                <w:sz w:val="16"/>
                <w:szCs w:val="16"/>
              </w:rPr>
            </w:pPr>
            <w:r>
              <w:rPr>
                <w:noProof/>
                <w:color w:val="000000"/>
                <w:sz w:val="16"/>
              </w:rPr>
              <w:t>2 1 0 1</w:t>
            </w:r>
          </w:p>
        </w:tc>
        <w:tc>
          <w:tcPr>
            <w:tcW w:w="5103" w:type="dxa"/>
            <w:gridSpan w:val="2"/>
            <w:vAlign w:val="center"/>
          </w:tcPr>
          <w:p w14:paraId="5F158F48" w14:textId="77777777" w:rsidR="00B07FC0" w:rsidRPr="00B07FC0" w:rsidRDefault="00B07FC0" w:rsidP="00433C4E">
            <w:pPr>
              <w:widowControl w:val="0"/>
              <w:spacing w:after="15"/>
              <w:ind w:right="-113"/>
              <w:rPr>
                <w:noProof/>
                <w:color w:val="000000"/>
                <w:sz w:val="16"/>
                <w:szCs w:val="16"/>
                <w:lang w:val="pt-PT"/>
              </w:rPr>
            </w:pPr>
            <w:r w:rsidRPr="00B07FC0">
              <w:rPr>
                <w:noProof/>
                <w:color w:val="000000"/>
                <w:sz w:val="16"/>
                <w:lang w:val="pt-PT"/>
              </w:rPr>
              <w:t>Criptografia e tecnologias da informação e das comunicações altamente sensíveis</w:t>
            </w:r>
          </w:p>
        </w:tc>
        <w:tc>
          <w:tcPr>
            <w:tcW w:w="1701" w:type="dxa"/>
            <w:gridSpan w:val="2"/>
            <w:vAlign w:val="center"/>
          </w:tcPr>
          <w:p w14:paraId="5926A66E" w14:textId="77777777" w:rsidR="00B07FC0" w:rsidRPr="0074715E" w:rsidRDefault="00B07FC0" w:rsidP="00433C4E">
            <w:pPr>
              <w:widowControl w:val="0"/>
              <w:spacing w:before="15" w:after="15"/>
              <w:jc w:val="right"/>
              <w:rPr>
                <w:rFonts w:eastAsia="Calibri"/>
                <w:noProof/>
                <w:sz w:val="16"/>
                <w:szCs w:val="16"/>
              </w:rPr>
            </w:pPr>
            <w:r>
              <w:rPr>
                <w:noProof/>
                <w:sz w:val="16"/>
              </w:rPr>
              <w:t>1 855 000</w:t>
            </w:r>
          </w:p>
        </w:tc>
        <w:tc>
          <w:tcPr>
            <w:tcW w:w="1701" w:type="dxa"/>
            <w:gridSpan w:val="2"/>
            <w:vAlign w:val="center"/>
          </w:tcPr>
          <w:p w14:paraId="3ACBB722" w14:textId="77777777" w:rsidR="00B07FC0" w:rsidRPr="0074715E" w:rsidRDefault="00B07FC0" w:rsidP="00433C4E">
            <w:pPr>
              <w:widowControl w:val="0"/>
              <w:spacing w:before="15" w:after="15"/>
              <w:jc w:val="right"/>
              <w:rPr>
                <w:rFonts w:eastAsia="Calibri"/>
                <w:noProof/>
                <w:sz w:val="16"/>
                <w:szCs w:val="16"/>
              </w:rPr>
            </w:pPr>
            <w:r>
              <w:rPr>
                <w:noProof/>
                <w:sz w:val="16"/>
              </w:rPr>
              <w:t>1 855 000</w:t>
            </w:r>
          </w:p>
        </w:tc>
      </w:tr>
      <w:tr w:rsidR="00B07FC0" w14:paraId="319293A7" w14:textId="77777777" w:rsidTr="00433C4E">
        <w:trPr>
          <w:gridAfter w:val="1"/>
          <w:wAfter w:w="96" w:type="dxa"/>
          <w:trHeight w:val="300"/>
          <w:jc w:val="center"/>
        </w:trPr>
        <w:tc>
          <w:tcPr>
            <w:tcW w:w="6391" w:type="dxa"/>
            <w:gridSpan w:val="4"/>
            <w:shd w:val="clear" w:color="auto" w:fill="D9D9D9" w:themeFill="background1" w:themeFillShade="D9"/>
          </w:tcPr>
          <w:p w14:paraId="319039A0" w14:textId="77777777" w:rsidR="00B07FC0" w:rsidRDefault="00B07FC0" w:rsidP="00433C4E">
            <w:pPr>
              <w:widowControl w:val="0"/>
              <w:spacing w:before="15" w:after="15"/>
              <w:ind w:right="-113"/>
              <w:jc w:val="both"/>
              <w:rPr>
                <w:rFonts w:eastAsia="Calibri"/>
                <w:noProof/>
                <w:sz w:val="20"/>
                <w:szCs w:val="20"/>
              </w:rPr>
            </w:pPr>
            <w:r>
              <w:rPr>
                <w:b/>
                <w:noProof/>
                <w:sz w:val="20"/>
              </w:rPr>
              <w:t>Total</w:t>
            </w:r>
            <w:r>
              <w:rPr>
                <w:noProof/>
              </w:rPr>
              <w:tab/>
            </w:r>
          </w:p>
        </w:tc>
        <w:tc>
          <w:tcPr>
            <w:tcW w:w="1701" w:type="dxa"/>
            <w:gridSpan w:val="2"/>
            <w:shd w:val="clear" w:color="auto" w:fill="D9D9D9" w:themeFill="background1" w:themeFillShade="D9"/>
          </w:tcPr>
          <w:p w14:paraId="04FF6AEC" w14:textId="77777777" w:rsidR="00B07FC0" w:rsidRDefault="00B07FC0" w:rsidP="00433C4E">
            <w:pPr>
              <w:widowControl w:val="0"/>
              <w:spacing w:before="15" w:after="15"/>
              <w:jc w:val="right"/>
              <w:rPr>
                <w:noProof/>
                <w:sz w:val="20"/>
                <w:szCs w:val="20"/>
              </w:rPr>
            </w:pPr>
            <w:r>
              <w:rPr>
                <w:b/>
                <w:noProof/>
                <w:sz w:val="20"/>
              </w:rPr>
              <w:t>7 935 100</w:t>
            </w:r>
          </w:p>
        </w:tc>
        <w:tc>
          <w:tcPr>
            <w:tcW w:w="1701" w:type="dxa"/>
            <w:gridSpan w:val="2"/>
            <w:shd w:val="clear" w:color="auto" w:fill="D9D9D9" w:themeFill="background1" w:themeFillShade="D9"/>
          </w:tcPr>
          <w:p w14:paraId="55B59143" w14:textId="77777777" w:rsidR="00B07FC0" w:rsidRDefault="00B07FC0" w:rsidP="00433C4E">
            <w:pPr>
              <w:widowControl w:val="0"/>
              <w:spacing w:before="15" w:after="15"/>
              <w:jc w:val="right"/>
              <w:rPr>
                <w:noProof/>
                <w:sz w:val="20"/>
                <w:szCs w:val="20"/>
              </w:rPr>
            </w:pPr>
            <w:r>
              <w:rPr>
                <w:b/>
                <w:noProof/>
                <w:sz w:val="20"/>
              </w:rPr>
              <w:t>7 935 100</w:t>
            </w:r>
          </w:p>
        </w:tc>
      </w:tr>
    </w:tbl>
    <w:p w14:paraId="5F373F1D" w14:textId="77777777" w:rsidR="00B07FC0" w:rsidRPr="00B07FC0" w:rsidRDefault="00B07FC0" w:rsidP="00B07FC0">
      <w:pPr>
        <w:pStyle w:val="ManualHeading1"/>
        <w:autoSpaceDE w:val="0"/>
        <w:autoSpaceDN w:val="0"/>
        <w:adjustRightInd w:val="0"/>
        <w:spacing w:before="240" w:line="259" w:lineRule="auto"/>
        <w:ind w:left="0" w:firstLine="0"/>
        <w:rPr>
          <w:noProof/>
          <w:lang w:val="pt-PT"/>
        </w:rPr>
      </w:pPr>
      <w:bookmarkStart w:id="100" w:name="_Toc145922831"/>
      <w:r w:rsidRPr="00B07FC0">
        <w:rPr>
          <w:noProof/>
          <w:lang w:val="pt-PT"/>
        </w:rPr>
        <w:t>7.2 Ajustamentos das despesas do Tribunal de Contas Europeu (TCE)</w:t>
      </w:r>
      <w:bookmarkEnd w:id="100"/>
      <w:r w:rsidRPr="00B07FC0">
        <w:rPr>
          <w:noProof/>
          <w:lang w:val="pt-PT"/>
        </w:rPr>
        <w:t xml:space="preserve"> </w:t>
      </w:r>
    </w:p>
    <w:p w14:paraId="657D2662" w14:textId="77777777" w:rsidR="00B07FC0" w:rsidRPr="00B07FC0" w:rsidRDefault="00B07FC0" w:rsidP="00B07FC0">
      <w:pPr>
        <w:pStyle w:val="Text1"/>
        <w:ind w:left="0"/>
        <w:rPr>
          <w:noProof/>
          <w:lang w:val="pt-PT"/>
        </w:rPr>
      </w:pPr>
      <w:r w:rsidRPr="00B07FC0">
        <w:rPr>
          <w:noProof/>
          <w:lang w:val="pt-PT"/>
        </w:rPr>
        <w:t xml:space="preserve">Na sequência de um erro administrativo, o Tribunal de Contas Europeu não incluiu no seu pedido de orçamento para 2024 um montante de 330 000 EUR relativo às taxas anuais cobradas retroativamente pela Comissão pela utilização da aplicação de pagamentos (NAP) e do Sysper. Propõe-se, por conseguinte, que a rubrica orçamental correspondente seja aumentada em conformidade.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5132"/>
        <w:gridCol w:w="1701"/>
        <w:gridCol w:w="1701"/>
      </w:tblGrid>
      <w:tr w:rsidR="00B07FC0" w14:paraId="78E21A6D" w14:textId="77777777" w:rsidTr="00433C4E">
        <w:trPr>
          <w:trHeight w:val="300"/>
          <w:jc w:val="center"/>
        </w:trPr>
        <w:tc>
          <w:tcPr>
            <w:tcW w:w="9810" w:type="dxa"/>
            <w:gridSpan w:val="4"/>
            <w:tcBorders>
              <w:top w:val="nil"/>
              <w:left w:val="nil"/>
              <w:bottom w:val="single" w:sz="4" w:space="0" w:color="auto"/>
              <w:right w:val="nil"/>
            </w:tcBorders>
            <w:shd w:val="clear" w:color="auto" w:fill="auto"/>
            <w:vAlign w:val="center"/>
          </w:tcPr>
          <w:p w14:paraId="0D365831" w14:textId="77777777" w:rsidR="00B07FC0" w:rsidRDefault="00B07FC0" w:rsidP="00433C4E">
            <w:pPr>
              <w:widowControl w:val="0"/>
              <w:spacing w:before="15" w:after="15"/>
              <w:jc w:val="right"/>
              <w:rPr>
                <w:rFonts w:eastAsia="Calibri"/>
                <w:i/>
                <w:iCs/>
                <w:noProof/>
                <w:sz w:val="20"/>
                <w:szCs w:val="20"/>
              </w:rPr>
            </w:pPr>
            <w:r>
              <w:rPr>
                <w:i/>
                <w:noProof/>
                <w:sz w:val="20"/>
              </w:rPr>
              <w:t>EUR</w:t>
            </w:r>
          </w:p>
        </w:tc>
      </w:tr>
      <w:tr w:rsidR="00B07FC0" w14:paraId="68FE3407" w14:textId="77777777" w:rsidTr="00433C4E">
        <w:trPr>
          <w:trHeight w:val="300"/>
          <w:jc w:val="center"/>
        </w:trPr>
        <w:tc>
          <w:tcPr>
            <w:tcW w:w="1276" w:type="dxa"/>
            <w:tcBorders>
              <w:top w:val="single" w:sz="4" w:space="0" w:color="auto"/>
            </w:tcBorders>
            <w:shd w:val="clear" w:color="auto" w:fill="D9D9D9" w:themeFill="background1" w:themeFillShade="D9"/>
            <w:vAlign w:val="center"/>
          </w:tcPr>
          <w:p w14:paraId="151CC482" w14:textId="77777777" w:rsidR="00B07FC0" w:rsidRDefault="00B07FC0" w:rsidP="00433C4E">
            <w:pPr>
              <w:keepNext/>
              <w:spacing w:before="15" w:after="15"/>
              <w:jc w:val="center"/>
              <w:rPr>
                <w:rFonts w:eastAsia="Calibri"/>
                <w:b/>
                <w:bCs/>
                <w:noProof/>
                <w:sz w:val="20"/>
                <w:szCs w:val="20"/>
              </w:rPr>
            </w:pPr>
            <w:r>
              <w:rPr>
                <w:b/>
                <w:noProof/>
                <w:sz w:val="20"/>
              </w:rPr>
              <w:t>Rubrica orçamental</w:t>
            </w:r>
          </w:p>
        </w:tc>
        <w:tc>
          <w:tcPr>
            <w:tcW w:w="5132" w:type="dxa"/>
            <w:tcBorders>
              <w:top w:val="single" w:sz="4" w:space="0" w:color="auto"/>
            </w:tcBorders>
            <w:shd w:val="clear" w:color="auto" w:fill="D9D9D9" w:themeFill="background1" w:themeFillShade="D9"/>
            <w:vAlign w:val="center"/>
          </w:tcPr>
          <w:p w14:paraId="0BAB5AEA" w14:textId="77777777" w:rsidR="00B07FC0" w:rsidRDefault="00B07FC0" w:rsidP="00433C4E">
            <w:pPr>
              <w:widowControl w:val="0"/>
              <w:spacing w:before="15" w:after="15"/>
              <w:jc w:val="center"/>
              <w:rPr>
                <w:rFonts w:eastAsia="Calibri"/>
                <w:b/>
                <w:bCs/>
                <w:noProof/>
                <w:sz w:val="20"/>
                <w:szCs w:val="20"/>
              </w:rPr>
            </w:pPr>
            <w:r>
              <w:rPr>
                <w:b/>
                <w:noProof/>
                <w:sz w:val="20"/>
              </w:rPr>
              <w:t>Nome</w:t>
            </w:r>
          </w:p>
        </w:tc>
        <w:tc>
          <w:tcPr>
            <w:tcW w:w="1701" w:type="dxa"/>
            <w:tcBorders>
              <w:top w:val="single" w:sz="4" w:space="0" w:color="auto"/>
            </w:tcBorders>
            <w:shd w:val="clear" w:color="auto" w:fill="D9D9D9" w:themeFill="background1" w:themeFillShade="D9"/>
            <w:vAlign w:val="center"/>
          </w:tcPr>
          <w:p w14:paraId="47CB7283" w14:textId="77777777" w:rsidR="00B07FC0" w:rsidRDefault="00B07FC0" w:rsidP="00433C4E">
            <w:pPr>
              <w:widowControl w:val="0"/>
              <w:spacing w:before="15" w:after="15"/>
              <w:jc w:val="center"/>
              <w:rPr>
                <w:rFonts w:eastAsia="Calibri"/>
                <w:b/>
                <w:bCs/>
                <w:noProof/>
                <w:sz w:val="20"/>
                <w:szCs w:val="20"/>
              </w:rPr>
            </w:pPr>
            <w:r>
              <w:rPr>
                <w:b/>
                <w:noProof/>
                <w:sz w:val="20"/>
              </w:rPr>
              <w:t>Dotações de autorização</w:t>
            </w:r>
          </w:p>
        </w:tc>
        <w:tc>
          <w:tcPr>
            <w:tcW w:w="1701" w:type="dxa"/>
            <w:tcBorders>
              <w:top w:val="single" w:sz="4" w:space="0" w:color="auto"/>
            </w:tcBorders>
            <w:shd w:val="clear" w:color="auto" w:fill="D9D9D9" w:themeFill="background1" w:themeFillShade="D9"/>
            <w:vAlign w:val="center"/>
          </w:tcPr>
          <w:p w14:paraId="62F4EB92" w14:textId="77777777" w:rsidR="00B07FC0" w:rsidRDefault="00B07FC0" w:rsidP="00433C4E">
            <w:pPr>
              <w:widowControl w:val="0"/>
              <w:spacing w:before="15" w:after="15"/>
              <w:jc w:val="center"/>
              <w:rPr>
                <w:rFonts w:eastAsia="Calibri"/>
                <w:b/>
                <w:bCs/>
                <w:noProof/>
                <w:sz w:val="20"/>
                <w:szCs w:val="20"/>
              </w:rPr>
            </w:pPr>
            <w:r>
              <w:rPr>
                <w:b/>
                <w:noProof/>
                <w:sz w:val="20"/>
              </w:rPr>
              <w:t>Dotações de pagamento</w:t>
            </w:r>
          </w:p>
        </w:tc>
      </w:tr>
      <w:tr w:rsidR="00B07FC0" w:rsidRPr="00B07FC0" w14:paraId="684F5760" w14:textId="77777777" w:rsidTr="00433C4E">
        <w:trPr>
          <w:trHeight w:val="300"/>
          <w:jc w:val="center"/>
        </w:trPr>
        <w:tc>
          <w:tcPr>
            <w:tcW w:w="9810" w:type="dxa"/>
            <w:gridSpan w:val="4"/>
            <w:tcBorders>
              <w:bottom w:val="single" w:sz="4" w:space="0" w:color="auto"/>
            </w:tcBorders>
            <w:shd w:val="clear" w:color="auto" w:fill="F2F2F2" w:themeFill="background1" w:themeFillShade="F2"/>
            <w:vAlign w:val="center"/>
          </w:tcPr>
          <w:p w14:paraId="7B1ED146" w14:textId="77777777" w:rsidR="00B07FC0" w:rsidRPr="00B07FC0" w:rsidRDefault="00B07FC0" w:rsidP="00433C4E">
            <w:pPr>
              <w:widowControl w:val="0"/>
              <w:spacing w:before="15" w:after="15"/>
              <w:rPr>
                <w:rFonts w:eastAsia="Calibri"/>
                <w:i/>
                <w:iCs/>
                <w:noProof/>
                <w:sz w:val="20"/>
                <w:szCs w:val="20"/>
                <w:lang w:val="pt-PT"/>
              </w:rPr>
            </w:pPr>
            <w:r w:rsidRPr="00B07FC0">
              <w:rPr>
                <w:i/>
                <w:noProof/>
                <w:sz w:val="20"/>
                <w:lang w:val="pt-PT"/>
              </w:rPr>
              <w:t>Secção V — Tribunal de Contas Europeu</w:t>
            </w:r>
          </w:p>
        </w:tc>
      </w:tr>
      <w:tr w:rsidR="00B07FC0" w14:paraId="3BE528C4" w14:textId="77777777" w:rsidTr="00433C4E">
        <w:trPr>
          <w:trHeight w:val="300"/>
          <w:jc w:val="center"/>
        </w:trPr>
        <w:tc>
          <w:tcPr>
            <w:tcW w:w="1276" w:type="dxa"/>
            <w:vAlign w:val="center"/>
          </w:tcPr>
          <w:p w14:paraId="46D7DBE9" w14:textId="77777777" w:rsidR="00B07FC0" w:rsidRDefault="00B07FC0" w:rsidP="00433C4E">
            <w:pPr>
              <w:widowControl w:val="0"/>
              <w:tabs>
                <w:tab w:val="left" w:pos="1350"/>
              </w:tabs>
              <w:spacing w:before="15" w:after="15"/>
              <w:jc w:val="both"/>
              <w:rPr>
                <w:noProof/>
                <w:sz w:val="16"/>
                <w:szCs w:val="16"/>
              </w:rPr>
            </w:pPr>
            <w:r>
              <w:rPr>
                <w:noProof/>
                <w:sz w:val="16"/>
              </w:rPr>
              <w:t>2 1 0 2</w:t>
            </w:r>
          </w:p>
        </w:tc>
        <w:tc>
          <w:tcPr>
            <w:tcW w:w="5132" w:type="dxa"/>
            <w:vAlign w:val="center"/>
          </w:tcPr>
          <w:p w14:paraId="621C51E9" w14:textId="77777777" w:rsidR="00B07FC0" w:rsidRPr="00B07FC0" w:rsidRDefault="00B07FC0" w:rsidP="00433C4E">
            <w:pPr>
              <w:widowControl w:val="0"/>
              <w:tabs>
                <w:tab w:val="left" w:pos="1350"/>
              </w:tabs>
              <w:spacing w:before="15" w:after="15"/>
              <w:jc w:val="both"/>
              <w:rPr>
                <w:noProof/>
                <w:sz w:val="16"/>
                <w:szCs w:val="16"/>
                <w:lang w:val="pt-PT"/>
              </w:rPr>
            </w:pPr>
            <w:r w:rsidRPr="00B07FC0">
              <w:rPr>
                <w:noProof/>
                <w:sz w:val="16"/>
                <w:lang w:val="pt-PT"/>
              </w:rPr>
              <w:t xml:space="preserve">Prestações externas para a exploração, a realização e a manutenção do </w:t>
            </w:r>
            <w:r w:rsidRPr="00B07FC0">
              <w:rPr>
                <w:i/>
                <w:iCs/>
                <w:noProof/>
                <w:sz w:val="16"/>
                <w:lang w:val="pt-PT"/>
              </w:rPr>
              <w:t>software</w:t>
            </w:r>
            <w:r w:rsidRPr="00B07FC0">
              <w:rPr>
                <w:noProof/>
                <w:sz w:val="16"/>
                <w:lang w:val="pt-PT"/>
              </w:rPr>
              <w:t xml:space="preserve"> e dos sistemas</w:t>
            </w:r>
          </w:p>
        </w:tc>
        <w:tc>
          <w:tcPr>
            <w:tcW w:w="1701" w:type="dxa"/>
            <w:vAlign w:val="center"/>
          </w:tcPr>
          <w:p w14:paraId="737F306F" w14:textId="77777777" w:rsidR="00B07FC0" w:rsidRDefault="00B07FC0" w:rsidP="00433C4E">
            <w:pPr>
              <w:widowControl w:val="0"/>
              <w:spacing w:before="15" w:after="15"/>
              <w:jc w:val="right"/>
              <w:rPr>
                <w:rFonts w:eastAsia="Calibri"/>
                <w:noProof/>
                <w:sz w:val="16"/>
                <w:szCs w:val="16"/>
              </w:rPr>
            </w:pPr>
            <w:r>
              <w:rPr>
                <w:noProof/>
                <w:sz w:val="16"/>
              </w:rPr>
              <w:t>330 000</w:t>
            </w:r>
          </w:p>
        </w:tc>
        <w:tc>
          <w:tcPr>
            <w:tcW w:w="1701" w:type="dxa"/>
            <w:vAlign w:val="center"/>
          </w:tcPr>
          <w:p w14:paraId="7171F587" w14:textId="77777777" w:rsidR="00B07FC0" w:rsidRDefault="00B07FC0" w:rsidP="00433C4E">
            <w:pPr>
              <w:widowControl w:val="0"/>
              <w:spacing w:before="15" w:after="15"/>
              <w:jc w:val="right"/>
              <w:rPr>
                <w:rFonts w:eastAsia="Calibri"/>
                <w:noProof/>
                <w:sz w:val="16"/>
                <w:szCs w:val="16"/>
              </w:rPr>
            </w:pPr>
            <w:r>
              <w:rPr>
                <w:noProof/>
                <w:sz w:val="16"/>
              </w:rPr>
              <w:t>330 000</w:t>
            </w:r>
          </w:p>
        </w:tc>
      </w:tr>
      <w:tr w:rsidR="00B07FC0" w14:paraId="19096B66" w14:textId="77777777" w:rsidTr="00433C4E">
        <w:trPr>
          <w:trHeight w:val="300"/>
          <w:jc w:val="center"/>
        </w:trPr>
        <w:tc>
          <w:tcPr>
            <w:tcW w:w="6408" w:type="dxa"/>
            <w:gridSpan w:val="2"/>
            <w:shd w:val="clear" w:color="auto" w:fill="D9D9D9" w:themeFill="background1" w:themeFillShade="D9"/>
          </w:tcPr>
          <w:p w14:paraId="6159B042" w14:textId="77777777" w:rsidR="00B07FC0" w:rsidRDefault="00B07FC0" w:rsidP="00433C4E">
            <w:pPr>
              <w:widowControl w:val="0"/>
              <w:spacing w:before="15" w:after="15"/>
              <w:ind w:right="-113"/>
              <w:jc w:val="both"/>
              <w:rPr>
                <w:rFonts w:eastAsia="Calibri"/>
                <w:noProof/>
                <w:sz w:val="20"/>
                <w:szCs w:val="20"/>
              </w:rPr>
            </w:pPr>
            <w:r>
              <w:rPr>
                <w:b/>
                <w:noProof/>
                <w:sz w:val="20"/>
              </w:rPr>
              <w:t>Total</w:t>
            </w:r>
            <w:r>
              <w:rPr>
                <w:noProof/>
              </w:rPr>
              <w:tab/>
            </w:r>
          </w:p>
        </w:tc>
        <w:tc>
          <w:tcPr>
            <w:tcW w:w="1701" w:type="dxa"/>
            <w:shd w:val="clear" w:color="auto" w:fill="D9D9D9" w:themeFill="background1" w:themeFillShade="D9"/>
          </w:tcPr>
          <w:p w14:paraId="48CBB1A3" w14:textId="77777777" w:rsidR="00B07FC0" w:rsidRDefault="00B07FC0" w:rsidP="00433C4E">
            <w:pPr>
              <w:widowControl w:val="0"/>
              <w:spacing w:before="15" w:after="15"/>
              <w:jc w:val="right"/>
              <w:rPr>
                <w:rFonts w:eastAsia="Calibri"/>
                <w:b/>
                <w:bCs/>
                <w:noProof/>
                <w:sz w:val="20"/>
                <w:szCs w:val="20"/>
              </w:rPr>
            </w:pPr>
            <w:r>
              <w:rPr>
                <w:b/>
                <w:noProof/>
                <w:sz w:val="20"/>
              </w:rPr>
              <w:t>330 000</w:t>
            </w:r>
          </w:p>
        </w:tc>
        <w:tc>
          <w:tcPr>
            <w:tcW w:w="1701" w:type="dxa"/>
            <w:shd w:val="clear" w:color="auto" w:fill="D9D9D9" w:themeFill="background1" w:themeFillShade="D9"/>
          </w:tcPr>
          <w:p w14:paraId="496A9600" w14:textId="77777777" w:rsidR="00B07FC0" w:rsidRDefault="00B07FC0" w:rsidP="00433C4E">
            <w:pPr>
              <w:widowControl w:val="0"/>
              <w:spacing w:before="15" w:after="15"/>
              <w:jc w:val="right"/>
              <w:rPr>
                <w:noProof/>
                <w:sz w:val="20"/>
                <w:szCs w:val="20"/>
              </w:rPr>
            </w:pPr>
            <w:r>
              <w:rPr>
                <w:b/>
                <w:noProof/>
                <w:sz w:val="20"/>
              </w:rPr>
              <w:t>330 000</w:t>
            </w:r>
          </w:p>
        </w:tc>
      </w:tr>
    </w:tbl>
    <w:p w14:paraId="1969E307" w14:textId="77777777" w:rsidR="00B07FC0" w:rsidRPr="00B07FC0" w:rsidRDefault="00B07FC0" w:rsidP="00B07FC0">
      <w:pPr>
        <w:pStyle w:val="ManualHeading1"/>
        <w:autoSpaceDE w:val="0"/>
        <w:autoSpaceDN w:val="0"/>
        <w:adjustRightInd w:val="0"/>
        <w:spacing w:before="240" w:line="259" w:lineRule="auto"/>
        <w:ind w:left="0" w:firstLine="0"/>
        <w:rPr>
          <w:noProof/>
          <w:lang w:val="pt-PT"/>
        </w:rPr>
      </w:pPr>
      <w:bookmarkStart w:id="101" w:name="_Toc145922832"/>
      <w:r w:rsidRPr="00B07FC0">
        <w:rPr>
          <w:noProof/>
          <w:lang w:val="pt-PT"/>
        </w:rPr>
        <w:t>7.3 Ajustamentos das despesas do Parlamento Europeu (PE)</w:t>
      </w:r>
      <w:bookmarkEnd w:id="101"/>
      <w:r w:rsidRPr="00B07FC0">
        <w:rPr>
          <w:noProof/>
          <w:lang w:val="pt-PT"/>
        </w:rPr>
        <w:t xml:space="preserve"> </w:t>
      </w:r>
    </w:p>
    <w:p w14:paraId="0E373526" w14:textId="77777777" w:rsidR="00B07FC0" w:rsidRPr="00B07FC0" w:rsidRDefault="00B07FC0" w:rsidP="00B07FC0">
      <w:pPr>
        <w:pStyle w:val="Text1"/>
        <w:spacing w:before="240" w:after="0"/>
        <w:ind w:left="0"/>
        <w:rPr>
          <w:noProof/>
          <w:lang w:val="pt-PT"/>
        </w:rPr>
      </w:pPr>
      <w:r w:rsidRPr="00B07FC0">
        <w:rPr>
          <w:noProof/>
          <w:lang w:val="pt-PT"/>
        </w:rPr>
        <w:t>No contexto do tratamento dos processos de desemprego dos antigos assistentes parlamentares, o Serviço de Pagamentos (PMO) está atualmente a faturar ao Parlamento Europeu (PE) a fim de cobrir a carga de trabalho conexa. Dada a natureza recorrente deste serviço, com picos específicos na sequência das eleições europeias, foi acordado entre o PMO e o PE que parte do orçamento anual total deve ser diretamente afetada ao PMO em vez de ao PE, permitindo assim ao PMO recrutar os agentes contratuais necessários para gerir estes processos numa base permanente. O custo remanescente, que dependerá do volume anual efetivo de processos a gerir, continuará a ser faturado ao PE.</w:t>
      </w:r>
    </w:p>
    <w:p w14:paraId="76FEAFB8" w14:textId="77777777" w:rsidR="00B07FC0" w:rsidRPr="00B07FC0" w:rsidRDefault="00B07FC0" w:rsidP="00B07FC0">
      <w:pPr>
        <w:pStyle w:val="Text1"/>
        <w:spacing w:before="240" w:after="0"/>
        <w:ind w:left="0"/>
        <w:rPr>
          <w:noProof/>
          <w:lang w:val="pt-PT"/>
        </w:rPr>
      </w:pPr>
      <w:r w:rsidRPr="00B07FC0">
        <w:rPr>
          <w:noProof/>
          <w:lang w:val="pt-PT"/>
        </w:rPr>
        <w:t>Por conseguinte, propõe-se a inclusão desta transferência neutra do ponto de vista orçamental, resultando numa redução de 300 000 EUR do pedido de orçamento do PE para 2024, com um aumento equivalente do orçamento do PMO.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5132"/>
        <w:gridCol w:w="1701"/>
        <w:gridCol w:w="1701"/>
      </w:tblGrid>
      <w:tr w:rsidR="00B07FC0" w14:paraId="02E861A2" w14:textId="77777777" w:rsidTr="00433C4E">
        <w:trPr>
          <w:trHeight w:val="300"/>
          <w:jc w:val="center"/>
        </w:trPr>
        <w:tc>
          <w:tcPr>
            <w:tcW w:w="9810" w:type="dxa"/>
            <w:gridSpan w:val="4"/>
            <w:tcBorders>
              <w:top w:val="nil"/>
              <w:left w:val="nil"/>
              <w:bottom w:val="single" w:sz="4" w:space="0" w:color="auto"/>
              <w:right w:val="nil"/>
            </w:tcBorders>
            <w:shd w:val="clear" w:color="auto" w:fill="auto"/>
            <w:vAlign w:val="center"/>
          </w:tcPr>
          <w:p w14:paraId="23A81989" w14:textId="77777777" w:rsidR="00B07FC0" w:rsidRDefault="00B07FC0" w:rsidP="00433C4E">
            <w:pPr>
              <w:widowControl w:val="0"/>
              <w:spacing w:before="15" w:after="15"/>
              <w:jc w:val="right"/>
              <w:rPr>
                <w:rFonts w:eastAsia="Calibri"/>
                <w:i/>
                <w:iCs/>
                <w:noProof/>
                <w:sz w:val="20"/>
                <w:szCs w:val="20"/>
              </w:rPr>
            </w:pPr>
            <w:r>
              <w:rPr>
                <w:i/>
                <w:noProof/>
                <w:sz w:val="20"/>
              </w:rPr>
              <w:t>EUR</w:t>
            </w:r>
          </w:p>
        </w:tc>
      </w:tr>
      <w:tr w:rsidR="00B07FC0" w14:paraId="0E4C2236" w14:textId="77777777" w:rsidTr="00433C4E">
        <w:trPr>
          <w:trHeight w:val="300"/>
          <w:jc w:val="center"/>
        </w:trPr>
        <w:tc>
          <w:tcPr>
            <w:tcW w:w="1276" w:type="dxa"/>
            <w:tcBorders>
              <w:top w:val="single" w:sz="4" w:space="0" w:color="auto"/>
            </w:tcBorders>
            <w:shd w:val="clear" w:color="auto" w:fill="D9D9D9" w:themeFill="background1" w:themeFillShade="D9"/>
            <w:vAlign w:val="center"/>
          </w:tcPr>
          <w:p w14:paraId="27F6348F" w14:textId="77777777" w:rsidR="00B07FC0" w:rsidRDefault="00B07FC0" w:rsidP="00433C4E">
            <w:pPr>
              <w:keepNext/>
              <w:spacing w:before="15" w:after="15"/>
              <w:jc w:val="center"/>
              <w:rPr>
                <w:rFonts w:eastAsia="Calibri"/>
                <w:b/>
                <w:bCs/>
                <w:noProof/>
                <w:sz w:val="20"/>
                <w:szCs w:val="20"/>
              </w:rPr>
            </w:pPr>
            <w:r>
              <w:rPr>
                <w:b/>
                <w:noProof/>
                <w:sz w:val="20"/>
              </w:rPr>
              <w:t>Rubrica orçamental</w:t>
            </w:r>
          </w:p>
        </w:tc>
        <w:tc>
          <w:tcPr>
            <w:tcW w:w="5132" w:type="dxa"/>
            <w:tcBorders>
              <w:top w:val="single" w:sz="4" w:space="0" w:color="auto"/>
            </w:tcBorders>
            <w:shd w:val="clear" w:color="auto" w:fill="D9D9D9" w:themeFill="background1" w:themeFillShade="D9"/>
            <w:vAlign w:val="center"/>
          </w:tcPr>
          <w:p w14:paraId="2B4B07FA" w14:textId="77777777" w:rsidR="00B07FC0" w:rsidRDefault="00B07FC0" w:rsidP="00433C4E">
            <w:pPr>
              <w:widowControl w:val="0"/>
              <w:spacing w:before="15" w:after="15"/>
              <w:jc w:val="center"/>
              <w:rPr>
                <w:rFonts w:eastAsia="Calibri"/>
                <w:b/>
                <w:bCs/>
                <w:noProof/>
                <w:sz w:val="20"/>
                <w:szCs w:val="20"/>
              </w:rPr>
            </w:pPr>
            <w:r>
              <w:rPr>
                <w:b/>
                <w:noProof/>
                <w:sz w:val="20"/>
              </w:rPr>
              <w:t>Nome</w:t>
            </w:r>
          </w:p>
        </w:tc>
        <w:tc>
          <w:tcPr>
            <w:tcW w:w="1701" w:type="dxa"/>
            <w:tcBorders>
              <w:top w:val="single" w:sz="4" w:space="0" w:color="auto"/>
            </w:tcBorders>
            <w:shd w:val="clear" w:color="auto" w:fill="D9D9D9" w:themeFill="background1" w:themeFillShade="D9"/>
            <w:vAlign w:val="center"/>
          </w:tcPr>
          <w:p w14:paraId="787DCADF" w14:textId="77777777" w:rsidR="00B07FC0" w:rsidRDefault="00B07FC0" w:rsidP="00433C4E">
            <w:pPr>
              <w:widowControl w:val="0"/>
              <w:spacing w:before="15" w:after="15"/>
              <w:jc w:val="center"/>
              <w:rPr>
                <w:rFonts w:eastAsia="Calibri"/>
                <w:b/>
                <w:bCs/>
                <w:noProof/>
                <w:sz w:val="20"/>
                <w:szCs w:val="20"/>
              </w:rPr>
            </w:pPr>
            <w:r>
              <w:rPr>
                <w:b/>
                <w:noProof/>
                <w:sz w:val="20"/>
              </w:rPr>
              <w:t>Dotações de autorização</w:t>
            </w:r>
          </w:p>
        </w:tc>
        <w:tc>
          <w:tcPr>
            <w:tcW w:w="1701" w:type="dxa"/>
            <w:tcBorders>
              <w:top w:val="single" w:sz="4" w:space="0" w:color="auto"/>
            </w:tcBorders>
            <w:shd w:val="clear" w:color="auto" w:fill="D9D9D9" w:themeFill="background1" w:themeFillShade="D9"/>
            <w:vAlign w:val="center"/>
          </w:tcPr>
          <w:p w14:paraId="0CDCD10A" w14:textId="77777777" w:rsidR="00B07FC0" w:rsidRDefault="00B07FC0" w:rsidP="00433C4E">
            <w:pPr>
              <w:widowControl w:val="0"/>
              <w:spacing w:before="15" w:after="15"/>
              <w:jc w:val="center"/>
              <w:rPr>
                <w:rFonts w:eastAsia="Calibri"/>
                <w:b/>
                <w:bCs/>
                <w:noProof/>
                <w:sz w:val="20"/>
                <w:szCs w:val="20"/>
              </w:rPr>
            </w:pPr>
            <w:r>
              <w:rPr>
                <w:b/>
                <w:noProof/>
                <w:sz w:val="20"/>
              </w:rPr>
              <w:t>Dotações de pagamento</w:t>
            </w:r>
          </w:p>
        </w:tc>
      </w:tr>
      <w:tr w:rsidR="00B07FC0" w14:paraId="53E603CC" w14:textId="77777777" w:rsidTr="00433C4E">
        <w:trPr>
          <w:trHeight w:val="375"/>
          <w:jc w:val="center"/>
        </w:trPr>
        <w:tc>
          <w:tcPr>
            <w:tcW w:w="9810" w:type="dxa"/>
            <w:gridSpan w:val="4"/>
            <w:tcBorders>
              <w:bottom w:val="single" w:sz="4" w:space="0" w:color="auto"/>
            </w:tcBorders>
            <w:shd w:val="clear" w:color="auto" w:fill="F2F2F2" w:themeFill="background1" w:themeFillShade="F2"/>
            <w:vAlign w:val="center"/>
          </w:tcPr>
          <w:p w14:paraId="19C9203A" w14:textId="77777777" w:rsidR="00B07FC0" w:rsidRDefault="00B07FC0" w:rsidP="00433C4E">
            <w:pPr>
              <w:widowControl w:val="0"/>
              <w:spacing w:before="15" w:after="15"/>
              <w:rPr>
                <w:rFonts w:eastAsia="Calibri"/>
                <w:i/>
                <w:iCs/>
                <w:noProof/>
                <w:sz w:val="20"/>
                <w:szCs w:val="20"/>
              </w:rPr>
            </w:pPr>
            <w:r>
              <w:rPr>
                <w:i/>
                <w:noProof/>
                <w:sz w:val="20"/>
              </w:rPr>
              <w:t>Secção I – Parlamento Europeu</w:t>
            </w:r>
          </w:p>
        </w:tc>
      </w:tr>
      <w:tr w:rsidR="00B07FC0" w14:paraId="43CE5D8D" w14:textId="77777777" w:rsidTr="00433C4E">
        <w:trPr>
          <w:trHeight w:val="300"/>
          <w:jc w:val="center"/>
        </w:trPr>
        <w:tc>
          <w:tcPr>
            <w:tcW w:w="1276" w:type="dxa"/>
            <w:tcBorders>
              <w:bottom w:val="single" w:sz="4" w:space="0" w:color="auto"/>
            </w:tcBorders>
            <w:vAlign w:val="center"/>
          </w:tcPr>
          <w:p w14:paraId="3A2C81D3" w14:textId="77777777" w:rsidR="00B07FC0" w:rsidRDefault="00B07FC0" w:rsidP="00433C4E">
            <w:pPr>
              <w:widowControl w:val="0"/>
              <w:tabs>
                <w:tab w:val="left" w:pos="1350"/>
              </w:tabs>
              <w:spacing w:before="15" w:after="15"/>
              <w:jc w:val="both"/>
              <w:rPr>
                <w:noProof/>
                <w:sz w:val="16"/>
                <w:szCs w:val="16"/>
              </w:rPr>
            </w:pPr>
            <w:r>
              <w:rPr>
                <w:noProof/>
                <w:sz w:val="16"/>
              </w:rPr>
              <w:t>1 4 0 0</w:t>
            </w:r>
          </w:p>
        </w:tc>
        <w:tc>
          <w:tcPr>
            <w:tcW w:w="5132" w:type="dxa"/>
            <w:tcBorders>
              <w:bottom w:val="single" w:sz="4" w:space="0" w:color="auto"/>
            </w:tcBorders>
            <w:vAlign w:val="center"/>
          </w:tcPr>
          <w:p w14:paraId="587D57E3" w14:textId="77777777" w:rsidR="00B07FC0" w:rsidRPr="00B07FC0" w:rsidRDefault="00B07FC0" w:rsidP="00433C4E">
            <w:pPr>
              <w:widowControl w:val="0"/>
              <w:tabs>
                <w:tab w:val="left" w:pos="1350"/>
              </w:tabs>
              <w:spacing w:before="15" w:after="15"/>
              <w:jc w:val="both"/>
              <w:rPr>
                <w:noProof/>
                <w:sz w:val="16"/>
                <w:szCs w:val="16"/>
                <w:lang w:val="pt-PT"/>
              </w:rPr>
            </w:pPr>
            <w:r w:rsidRPr="00B07FC0">
              <w:rPr>
                <w:noProof/>
                <w:sz w:val="16"/>
                <w:lang w:val="pt-PT"/>
              </w:rPr>
              <w:t>Outros agentes - Secretariado e grupos políticos</w:t>
            </w:r>
          </w:p>
        </w:tc>
        <w:tc>
          <w:tcPr>
            <w:tcW w:w="1701" w:type="dxa"/>
            <w:tcBorders>
              <w:bottom w:val="single" w:sz="4" w:space="0" w:color="auto"/>
            </w:tcBorders>
            <w:vAlign w:val="center"/>
          </w:tcPr>
          <w:p w14:paraId="5BA1904E" w14:textId="77777777" w:rsidR="00B07FC0" w:rsidRDefault="00B07FC0" w:rsidP="00433C4E">
            <w:pPr>
              <w:widowControl w:val="0"/>
              <w:spacing w:before="15" w:after="15"/>
              <w:jc w:val="right"/>
              <w:rPr>
                <w:rFonts w:eastAsia="Calibri"/>
                <w:noProof/>
                <w:sz w:val="16"/>
                <w:szCs w:val="16"/>
              </w:rPr>
            </w:pPr>
            <w:r>
              <w:rPr>
                <w:noProof/>
                <w:sz w:val="16"/>
              </w:rPr>
              <w:t>- 300 000</w:t>
            </w:r>
          </w:p>
        </w:tc>
        <w:tc>
          <w:tcPr>
            <w:tcW w:w="1701" w:type="dxa"/>
            <w:tcBorders>
              <w:bottom w:val="single" w:sz="4" w:space="0" w:color="auto"/>
            </w:tcBorders>
            <w:vAlign w:val="center"/>
          </w:tcPr>
          <w:p w14:paraId="6029EF4E" w14:textId="77777777" w:rsidR="00B07FC0" w:rsidRDefault="00B07FC0" w:rsidP="00433C4E">
            <w:pPr>
              <w:widowControl w:val="0"/>
              <w:spacing w:before="15" w:after="15"/>
              <w:jc w:val="right"/>
              <w:rPr>
                <w:noProof/>
                <w:sz w:val="16"/>
                <w:szCs w:val="16"/>
              </w:rPr>
            </w:pPr>
            <w:r>
              <w:rPr>
                <w:noProof/>
                <w:sz w:val="16"/>
              </w:rPr>
              <w:t>-300 000</w:t>
            </w:r>
          </w:p>
        </w:tc>
      </w:tr>
      <w:tr w:rsidR="00B07FC0" w14:paraId="7A98FFA8" w14:textId="77777777" w:rsidTr="00433C4E">
        <w:trPr>
          <w:trHeight w:val="300"/>
          <w:jc w:val="center"/>
        </w:trPr>
        <w:tc>
          <w:tcPr>
            <w:tcW w:w="9810" w:type="dxa"/>
            <w:gridSpan w:val="4"/>
            <w:shd w:val="pct10" w:color="auto" w:fill="auto"/>
          </w:tcPr>
          <w:p w14:paraId="5EE7B85F" w14:textId="77777777" w:rsidR="00B07FC0" w:rsidRPr="42EA40D1" w:rsidRDefault="00B07FC0" w:rsidP="00433C4E">
            <w:pPr>
              <w:widowControl w:val="0"/>
              <w:tabs>
                <w:tab w:val="left" w:pos="1350"/>
              </w:tabs>
              <w:spacing w:before="15" w:after="15"/>
              <w:jc w:val="both"/>
              <w:rPr>
                <w:rFonts w:eastAsia="Calibri"/>
                <w:noProof/>
                <w:sz w:val="16"/>
                <w:szCs w:val="16"/>
              </w:rPr>
            </w:pPr>
            <w:r>
              <w:rPr>
                <w:i/>
                <w:noProof/>
                <w:sz w:val="20"/>
              </w:rPr>
              <w:t>Secção III – Comissão Europeia</w:t>
            </w:r>
          </w:p>
        </w:tc>
      </w:tr>
      <w:tr w:rsidR="00B07FC0" w14:paraId="5EB965EA" w14:textId="77777777" w:rsidTr="00433C4E">
        <w:trPr>
          <w:trHeight w:val="300"/>
          <w:jc w:val="center"/>
        </w:trPr>
        <w:tc>
          <w:tcPr>
            <w:tcW w:w="1276" w:type="dxa"/>
            <w:vAlign w:val="center"/>
          </w:tcPr>
          <w:p w14:paraId="5A94C67E" w14:textId="77777777" w:rsidR="00B07FC0" w:rsidRDefault="00B07FC0" w:rsidP="00433C4E">
            <w:pPr>
              <w:widowControl w:val="0"/>
              <w:tabs>
                <w:tab w:val="left" w:pos="1350"/>
              </w:tabs>
              <w:spacing w:before="15" w:after="15"/>
              <w:jc w:val="both"/>
              <w:rPr>
                <w:noProof/>
                <w:sz w:val="16"/>
                <w:szCs w:val="16"/>
              </w:rPr>
            </w:pPr>
            <w:r>
              <w:rPr>
                <w:noProof/>
                <w:sz w:val="16"/>
              </w:rPr>
              <w:t>O3 01 02</w:t>
            </w:r>
          </w:p>
        </w:tc>
        <w:tc>
          <w:tcPr>
            <w:tcW w:w="5132" w:type="dxa"/>
            <w:vAlign w:val="center"/>
          </w:tcPr>
          <w:p w14:paraId="188FB05C" w14:textId="77777777" w:rsidR="00B07FC0" w:rsidRPr="006C496D" w:rsidRDefault="00B07FC0" w:rsidP="00433C4E">
            <w:pPr>
              <w:widowControl w:val="0"/>
              <w:tabs>
                <w:tab w:val="left" w:pos="1350"/>
              </w:tabs>
              <w:spacing w:before="15" w:after="15"/>
              <w:jc w:val="both"/>
              <w:rPr>
                <w:noProof/>
                <w:sz w:val="16"/>
                <w:szCs w:val="16"/>
              </w:rPr>
            </w:pPr>
            <w:r>
              <w:rPr>
                <w:noProof/>
                <w:sz w:val="16"/>
              </w:rPr>
              <w:t>Pessoal externo</w:t>
            </w:r>
          </w:p>
        </w:tc>
        <w:tc>
          <w:tcPr>
            <w:tcW w:w="1701" w:type="dxa"/>
            <w:vAlign w:val="center"/>
          </w:tcPr>
          <w:p w14:paraId="5B6D7211" w14:textId="77777777" w:rsidR="00B07FC0" w:rsidRPr="42EA40D1" w:rsidRDefault="00B07FC0" w:rsidP="00433C4E">
            <w:pPr>
              <w:widowControl w:val="0"/>
              <w:spacing w:before="15" w:after="15"/>
              <w:jc w:val="right"/>
              <w:rPr>
                <w:rFonts w:eastAsia="Calibri"/>
                <w:noProof/>
                <w:sz w:val="16"/>
                <w:szCs w:val="16"/>
              </w:rPr>
            </w:pPr>
            <w:r>
              <w:rPr>
                <w:noProof/>
                <w:sz w:val="16"/>
              </w:rPr>
              <w:t>300 000</w:t>
            </w:r>
          </w:p>
        </w:tc>
        <w:tc>
          <w:tcPr>
            <w:tcW w:w="1701" w:type="dxa"/>
            <w:vAlign w:val="center"/>
          </w:tcPr>
          <w:p w14:paraId="10BDDC4E" w14:textId="77777777" w:rsidR="00B07FC0" w:rsidRPr="42EA40D1" w:rsidRDefault="00B07FC0" w:rsidP="00433C4E">
            <w:pPr>
              <w:widowControl w:val="0"/>
              <w:spacing w:before="15" w:after="15"/>
              <w:jc w:val="right"/>
              <w:rPr>
                <w:rFonts w:eastAsia="Calibri"/>
                <w:noProof/>
                <w:sz w:val="16"/>
                <w:szCs w:val="16"/>
              </w:rPr>
            </w:pPr>
            <w:r>
              <w:rPr>
                <w:noProof/>
                <w:sz w:val="16"/>
              </w:rPr>
              <w:t>300 000</w:t>
            </w:r>
          </w:p>
        </w:tc>
      </w:tr>
      <w:tr w:rsidR="00B07FC0" w14:paraId="0A13555E" w14:textId="77777777" w:rsidTr="00433C4E">
        <w:trPr>
          <w:trHeight w:val="300"/>
          <w:jc w:val="center"/>
        </w:trPr>
        <w:tc>
          <w:tcPr>
            <w:tcW w:w="6408" w:type="dxa"/>
            <w:gridSpan w:val="2"/>
            <w:shd w:val="clear" w:color="auto" w:fill="D9D9D9" w:themeFill="background1" w:themeFillShade="D9"/>
          </w:tcPr>
          <w:p w14:paraId="0987AA16" w14:textId="77777777" w:rsidR="00B07FC0" w:rsidRDefault="00B07FC0" w:rsidP="00433C4E">
            <w:pPr>
              <w:widowControl w:val="0"/>
              <w:spacing w:before="15" w:after="15"/>
              <w:ind w:right="-113"/>
              <w:jc w:val="both"/>
              <w:rPr>
                <w:rFonts w:eastAsia="Calibri"/>
                <w:noProof/>
                <w:sz w:val="20"/>
                <w:szCs w:val="20"/>
              </w:rPr>
            </w:pPr>
            <w:r>
              <w:rPr>
                <w:b/>
                <w:noProof/>
                <w:sz w:val="20"/>
              </w:rPr>
              <w:t>Total</w:t>
            </w:r>
            <w:r>
              <w:rPr>
                <w:noProof/>
              </w:rPr>
              <w:tab/>
            </w:r>
          </w:p>
        </w:tc>
        <w:tc>
          <w:tcPr>
            <w:tcW w:w="1701" w:type="dxa"/>
            <w:shd w:val="clear" w:color="auto" w:fill="D9D9D9" w:themeFill="background1" w:themeFillShade="D9"/>
          </w:tcPr>
          <w:p w14:paraId="3494CCEF" w14:textId="77777777" w:rsidR="00B07FC0" w:rsidRDefault="00B07FC0" w:rsidP="00433C4E">
            <w:pPr>
              <w:widowControl w:val="0"/>
              <w:spacing w:before="15" w:after="15"/>
              <w:jc w:val="right"/>
              <w:rPr>
                <w:rFonts w:eastAsia="Calibri"/>
                <w:b/>
                <w:bCs/>
                <w:noProof/>
                <w:sz w:val="20"/>
                <w:szCs w:val="20"/>
              </w:rPr>
            </w:pPr>
            <w:r>
              <w:rPr>
                <w:b/>
                <w:noProof/>
                <w:sz w:val="20"/>
              </w:rPr>
              <w:t>0</w:t>
            </w:r>
          </w:p>
        </w:tc>
        <w:tc>
          <w:tcPr>
            <w:tcW w:w="1701" w:type="dxa"/>
            <w:shd w:val="clear" w:color="auto" w:fill="D9D9D9" w:themeFill="background1" w:themeFillShade="D9"/>
          </w:tcPr>
          <w:p w14:paraId="4B86B67A" w14:textId="77777777" w:rsidR="00B07FC0" w:rsidRDefault="00B07FC0" w:rsidP="00433C4E">
            <w:pPr>
              <w:widowControl w:val="0"/>
              <w:spacing w:before="15" w:after="15"/>
              <w:jc w:val="right"/>
              <w:rPr>
                <w:noProof/>
                <w:sz w:val="20"/>
                <w:szCs w:val="20"/>
              </w:rPr>
            </w:pPr>
            <w:r>
              <w:rPr>
                <w:b/>
                <w:noProof/>
                <w:sz w:val="20"/>
              </w:rPr>
              <w:t>0</w:t>
            </w:r>
          </w:p>
        </w:tc>
      </w:tr>
    </w:tbl>
    <w:p w14:paraId="22BEB1F8" w14:textId="77777777" w:rsidR="00B07FC0" w:rsidRPr="00B07FC0" w:rsidRDefault="00B07FC0" w:rsidP="00B07FC0">
      <w:pPr>
        <w:pStyle w:val="ManualHeading1"/>
        <w:autoSpaceDE w:val="0"/>
        <w:autoSpaceDN w:val="0"/>
        <w:adjustRightInd w:val="0"/>
        <w:spacing w:before="240" w:line="259" w:lineRule="auto"/>
        <w:ind w:left="0" w:firstLine="0"/>
        <w:rPr>
          <w:noProof/>
          <w:lang w:val="pt-PT"/>
        </w:rPr>
      </w:pPr>
      <w:bookmarkStart w:id="102" w:name="_Toc145922833"/>
      <w:r w:rsidRPr="00B07FC0">
        <w:rPr>
          <w:noProof/>
          <w:lang w:val="pt-PT"/>
        </w:rPr>
        <w:t>7.4 Ajustamentos das despesas da Comissão Europeia</w:t>
      </w:r>
      <w:bookmarkEnd w:id="102"/>
      <w:r w:rsidRPr="00B07FC0">
        <w:rPr>
          <w:noProof/>
          <w:lang w:val="pt-PT"/>
        </w:rPr>
        <w:t xml:space="preserve"> </w:t>
      </w:r>
    </w:p>
    <w:p w14:paraId="08BE4120" w14:textId="77777777" w:rsidR="00B07FC0" w:rsidRPr="00B07FC0" w:rsidRDefault="00B07FC0" w:rsidP="00B07FC0">
      <w:pPr>
        <w:autoSpaceDE w:val="0"/>
        <w:autoSpaceDN w:val="0"/>
        <w:adjustRightInd w:val="0"/>
        <w:spacing w:before="120" w:after="120" w:line="259" w:lineRule="auto"/>
        <w:jc w:val="both"/>
        <w:rPr>
          <w:noProof/>
          <w:lang w:val="pt-PT"/>
        </w:rPr>
      </w:pPr>
      <w:r w:rsidRPr="00B07FC0">
        <w:rPr>
          <w:noProof/>
          <w:lang w:val="pt-PT"/>
        </w:rPr>
        <w:t>A Comissão propõe incluir no quadro da CR n.º 1/2024 uma redução de 3,7 milhões de EUR das despesas com salários na Comissão, a fim de ter em conta o impacto da redução da classificação de 78 lugares AST em AST-SC, refletindo a recente decisão da Comissão</w:t>
      </w:r>
      <w:r>
        <w:rPr>
          <w:rStyle w:val="FootnoteReference"/>
          <w:noProof/>
        </w:rPr>
        <w:footnoteReference w:id="15"/>
      </w:r>
      <w:r w:rsidRPr="00B07FC0">
        <w:rPr>
          <w:noProof/>
          <w:lang w:val="pt-PT"/>
        </w:rPr>
        <w:t xml:space="preserve"> relativa ao quadro de pessoal de 2023, em conformidade com o artigo 53.º do Regulamento Financeiro.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5132"/>
        <w:gridCol w:w="1701"/>
        <w:gridCol w:w="1701"/>
      </w:tblGrid>
      <w:tr w:rsidR="00B07FC0" w14:paraId="5E4A4498" w14:textId="77777777" w:rsidTr="00433C4E">
        <w:trPr>
          <w:trHeight w:val="300"/>
          <w:jc w:val="center"/>
        </w:trPr>
        <w:tc>
          <w:tcPr>
            <w:tcW w:w="9810" w:type="dxa"/>
            <w:gridSpan w:val="4"/>
            <w:tcBorders>
              <w:top w:val="nil"/>
              <w:left w:val="nil"/>
              <w:bottom w:val="single" w:sz="4" w:space="0" w:color="auto"/>
              <w:right w:val="nil"/>
            </w:tcBorders>
            <w:shd w:val="clear" w:color="auto" w:fill="auto"/>
            <w:vAlign w:val="center"/>
          </w:tcPr>
          <w:p w14:paraId="05D52DCA" w14:textId="77777777" w:rsidR="00B07FC0" w:rsidRDefault="00B07FC0" w:rsidP="00433C4E">
            <w:pPr>
              <w:widowControl w:val="0"/>
              <w:spacing w:before="15" w:after="15"/>
              <w:jc w:val="right"/>
              <w:rPr>
                <w:rFonts w:eastAsia="Calibri"/>
                <w:i/>
                <w:iCs/>
                <w:noProof/>
                <w:sz w:val="20"/>
                <w:szCs w:val="20"/>
              </w:rPr>
            </w:pPr>
            <w:r>
              <w:rPr>
                <w:i/>
                <w:noProof/>
                <w:sz w:val="20"/>
              </w:rPr>
              <w:t>EUR</w:t>
            </w:r>
          </w:p>
        </w:tc>
      </w:tr>
      <w:tr w:rsidR="00B07FC0" w14:paraId="2D1B0B3D" w14:textId="77777777" w:rsidTr="00433C4E">
        <w:trPr>
          <w:trHeight w:val="300"/>
          <w:jc w:val="center"/>
        </w:trPr>
        <w:tc>
          <w:tcPr>
            <w:tcW w:w="1276" w:type="dxa"/>
            <w:tcBorders>
              <w:top w:val="single" w:sz="4" w:space="0" w:color="auto"/>
            </w:tcBorders>
            <w:shd w:val="clear" w:color="auto" w:fill="D9D9D9" w:themeFill="background1" w:themeFillShade="D9"/>
            <w:vAlign w:val="center"/>
          </w:tcPr>
          <w:p w14:paraId="62366D7C" w14:textId="77777777" w:rsidR="00B07FC0" w:rsidRDefault="00B07FC0" w:rsidP="00433C4E">
            <w:pPr>
              <w:keepNext/>
              <w:spacing w:before="15" w:after="15"/>
              <w:jc w:val="center"/>
              <w:rPr>
                <w:rFonts w:eastAsia="Calibri"/>
                <w:b/>
                <w:bCs/>
                <w:noProof/>
                <w:sz w:val="20"/>
                <w:szCs w:val="20"/>
              </w:rPr>
            </w:pPr>
            <w:r>
              <w:rPr>
                <w:b/>
                <w:noProof/>
                <w:sz w:val="20"/>
              </w:rPr>
              <w:t>Rubrica orçamental</w:t>
            </w:r>
          </w:p>
        </w:tc>
        <w:tc>
          <w:tcPr>
            <w:tcW w:w="5132" w:type="dxa"/>
            <w:tcBorders>
              <w:top w:val="single" w:sz="4" w:space="0" w:color="auto"/>
            </w:tcBorders>
            <w:shd w:val="clear" w:color="auto" w:fill="D9D9D9" w:themeFill="background1" w:themeFillShade="D9"/>
            <w:vAlign w:val="center"/>
          </w:tcPr>
          <w:p w14:paraId="5D1307F6" w14:textId="77777777" w:rsidR="00B07FC0" w:rsidRDefault="00B07FC0" w:rsidP="00433C4E">
            <w:pPr>
              <w:widowControl w:val="0"/>
              <w:spacing w:before="15" w:after="15"/>
              <w:jc w:val="center"/>
              <w:rPr>
                <w:rFonts w:eastAsia="Calibri"/>
                <w:b/>
                <w:bCs/>
                <w:noProof/>
                <w:sz w:val="20"/>
                <w:szCs w:val="20"/>
              </w:rPr>
            </w:pPr>
            <w:r>
              <w:rPr>
                <w:b/>
                <w:noProof/>
                <w:sz w:val="20"/>
              </w:rPr>
              <w:t>Nome</w:t>
            </w:r>
          </w:p>
        </w:tc>
        <w:tc>
          <w:tcPr>
            <w:tcW w:w="1701" w:type="dxa"/>
            <w:tcBorders>
              <w:top w:val="single" w:sz="4" w:space="0" w:color="auto"/>
            </w:tcBorders>
            <w:shd w:val="clear" w:color="auto" w:fill="D9D9D9" w:themeFill="background1" w:themeFillShade="D9"/>
            <w:vAlign w:val="center"/>
          </w:tcPr>
          <w:p w14:paraId="3E254102" w14:textId="77777777" w:rsidR="00B07FC0" w:rsidRDefault="00B07FC0" w:rsidP="00433C4E">
            <w:pPr>
              <w:widowControl w:val="0"/>
              <w:spacing w:before="15" w:after="15"/>
              <w:jc w:val="center"/>
              <w:rPr>
                <w:rFonts w:eastAsia="Calibri"/>
                <w:b/>
                <w:bCs/>
                <w:noProof/>
                <w:sz w:val="20"/>
                <w:szCs w:val="20"/>
              </w:rPr>
            </w:pPr>
            <w:r>
              <w:rPr>
                <w:b/>
                <w:noProof/>
                <w:sz w:val="20"/>
              </w:rPr>
              <w:t>Dotações de autorização</w:t>
            </w:r>
          </w:p>
        </w:tc>
        <w:tc>
          <w:tcPr>
            <w:tcW w:w="1701" w:type="dxa"/>
            <w:tcBorders>
              <w:top w:val="single" w:sz="4" w:space="0" w:color="auto"/>
            </w:tcBorders>
            <w:shd w:val="clear" w:color="auto" w:fill="D9D9D9" w:themeFill="background1" w:themeFillShade="D9"/>
            <w:vAlign w:val="center"/>
          </w:tcPr>
          <w:p w14:paraId="363BBEFF" w14:textId="77777777" w:rsidR="00B07FC0" w:rsidRDefault="00B07FC0" w:rsidP="00433C4E">
            <w:pPr>
              <w:widowControl w:val="0"/>
              <w:spacing w:before="15" w:after="15"/>
              <w:jc w:val="center"/>
              <w:rPr>
                <w:rFonts w:eastAsia="Calibri"/>
                <w:b/>
                <w:bCs/>
                <w:noProof/>
                <w:sz w:val="20"/>
                <w:szCs w:val="20"/>
              </w:rPr>
            </w:pPr>
            <w:r>
              <w:rPr>
                <w:b/>
                <w:noProof/>
                <w:sz w:val="20"/>
              </w:rPr>
              <w:t>Dotações de pagamento</w:t>
            </w:r>
          </w:p>
        </w:tc>
      </w:tr>
      <w:tr w:rsidR="00B07FC0" w14:paraId="49753910" w14:textId="77777777" w:rsidTr="00433C4E">
        <w:trPr>
          <w:trHeight w:val="300"/>
          <w:jc w:val="center"/>
        </w:trPr>
        <w:tc>
          <w:tcPr>
            <w:tcW w:w="9810" w:type="dxa"/>
            <w:gridSpan w:val="4"/>
            <w:tcBorders>
              <w:bottom w:val="single" w:sz="4" w:space="0" w:color="auto"/>
            </w:tcBorders>
            <w:shd w:val="clear" w:color="auto" w:fill="F2F2F2" w:themeFill="background1" w:themeFillShade="F2"/>
            <w:vAlign w:val="center"/>
          </w:tcPr>
          <w:p w14:paraId="018AEB65" w14:textId="77777777" w:rsidR="00B07FC0" w:rsidRDefault="00B07FC0" w:rsidP="00433C4E">
            <w:pPr>
              <w:widowControl w:val="0"/>
              <w:spacing w:before="15" w:after="15"/>
              <w:rPr>
                <w:rFonts w:eastAsia="Calibri"/>
                <w:i/>
                <w:iCs/>
                <w:noProof/>
                <w:sz w:val="20"/>
                <w:szCs w:val="20"/>
              </w:rPr>
            </w:pPr>
            <w:r>
              <w:rPr>
                <w:i/>
                <w:noProof/>
                <w:sz w:val="20"/>
              </w:rPr>
              <w:t>Secção III – Comissão</w:t>
            </w:r>
          </w:p>
        </w:tc>
      </w:tr>
      <w:tr w:rsidR="00B07FC0" w14:paraId="2D8827D8" w14:textId="77777777" w:rsidTr="00433C4E">
        <w:trPr>
          <w:trHeight w:val="300"/>
          <w:jc w:val="center"/>
        </w:trPr>
        <w:tc>
          <w:tcPr>
            <w:tcW w:w="1276" w:type="dxa"/>
            <w:vAlign w:val="center"/>
          </w:tcPr>
          <w:p w14:paraId="311AFD92" w14:textId="77777777" w:rsidR="00B07FC0" w:rsidRDefault="00B07FC0" w:rsidP="00433C4E">
            <w:pPr>
              <w:widowControl w:val="0"/>
              <w:tabs>
                <w:tab w:val="left" w:pos="1350"/>
              </w:tabs>
              <w:spacing w:before="15" w:after="15"/>
              <w:jc w:val="both"/>
              <w:rPr>
                <w:noProof/>
                <w:sz w:val="16"/>
                <w:szCs w:val="16"/>
              </w:rPr>
            </w:pPr>
            <w:r>
              <w:rPr>
                <w:noProof/>
                <w:sz w:val="16"/>
              </w:rPr>
              <w:t>20 01 02 01</w:t>
            </w:r>
          </w:p>
        </w:tc>
        <w:tc>
          <w:tcPr>
            <w:tcW w:w="5132" w:type="dxa"/>
            <w:vAlign w:val="center"/>
          </w:tcPr>
          <w:p w14:paraId="737E9869" w14:textId="77777777" w:rsidR="00B07FC0" w:rsidRPr="00B07FC0" w:rsidRDefault="00B07FC0" w:rsidP="00433C4E">
            <w:pPr>
              <w:widowControl w:val="0"/>
              <w:tabs>
                <w:tab w:val="left" w:pos="1350"/>
              </w:tabs>
              <w:spacing w:before="15" w:after="15"/>
              <w:jc w:val="both"/>
              <w:rPr>
                <w:noProof/>
                <w:sz w:val="16"/>
                <w:szCs w:val="16"/>
                <w:lang w:val="pt-PT"/>
              </w:rPr>
            </w:pPr>
            <w:r w:rsidRPr="00B07FC0">
              <w:rPr>
                <w:noProof/>
                <w:sz w:val="16"/>
                <w:lang w:val="pt-PT"/>
              </w:rPr>
              <w:t>Remunerações e subsídios - Sede e Gabinetes de representação</w:t>
            </w:r>
          </w:p>
        </w:tc>
        <w:tc>
          <w:tcPr>
            <w:tcW w:w="1701" w:type="dxa"/>
            <w:vAlign w:val="center"/>
          </w:tcPr>
          <w:p w14:paraId="5AA9F432" w14:textId="77777777" w:rsidR="00B07FC0" w:rsidRDefault="00B07FC0" w:rsidP="00433C4E">
            <w:pPr>
              <w:widowControl w:val="0"/>
              <w:spacing w:before="15" w:after="15"/>
              <w:jc w:val="right"/>
              <w:rPr>
                <w:rFonts w:eastAsia="Calibri"/>
                <w:noProof/>
                <w:sz w:val="16"/>
                <w:szCs w:val="16"/>
              </w:rPr>
            </w:pPr>
            <w:r>
              <w:rPr>
                <w:noProof/>
                <w:sz w:val="16"/>
              </w:rPr>
              <w:t>-3 677 000</w:t>
            </w:r>
          </w:p>
        </w:tc>
        <w:tc>
          <w:tcPr>
            <w:tcW w:w="1701" w:type="dxa"/>
            <w:vAlign w:val="center"/>
          </w:tcPr>
          <w:p w14:paraId="450A0C56" w14:textId="77777777" w:rsidR="00B07FC0" w:rsidRDefault="00B07FC0" w:rsidP="00433C4E">
            <w:pPr>
              <w:widowControl w:val="0"/>
              <w:spacing w:before="15" w:after="15"/>
              <w:jc w:val="right"/>
              <w:rPr>
                <w:rFonts w:eastAsia="Calibri"/>
                <w:noProof/>
                <w:sz w:val="16"/>
                <w:szCs w:val="16"/>
              </w:rPr>
            </w:pPr>
            <w:r>
              <w:rPr>
                <w:noProof/>
                <w:sz w:val="16"/>
              </w:rPr>
              <w:t>-3 677 000</w:t>
            </w:r>
          </w:p>
        </w:tc>
      </w:tr>
      <w:tr w:rsidR="00B07FC0" w:rsidRPr="005C47FF" w14:paraId="4D6DF789" w14:textId="77777777" w:rsidTr="00433C4E">
        <w:trPr>
          <w:trHeight w:val="300"/>
          <w:jc w:val="center"/>
        </w:trPr>
        <w:tc>
          <w:tcPr>
            <w:tcW w:w="6408" w:type="dxa"/>
            <w:gridSpan w:val="2"/>
            <w:shd w:val="clear" w:color="auto" w:fill="D9D9D9" w:themeFill="background1" w:themeFillShade="D9"/>
          </w:tcPr>
          <w:p w14:paraId="5B6D52D2" w14:textId="77777777" w:rsidR="00B07FC0" w:rsidRPr="005C47FF" w:rsidRDefault="00B07FC0" w:rsidP="00433C4E">
            <w:pPr>
              <w:widowControl w:val="0"/>
              <w:spacing w:before="15" w:after="15"/>
              <w:ind w:right="-113"/>
              <w:jc w:val="both"/>
              <w:rPr>
                <w:rFonts w:eastAsia="Calibri"/>
                <w:noProof/>
                <w:sz w:val="20"/>
                <w:szCs w:val="20"/>
              </w:rPr>
            </w:pPr>
            <w:r>
              <w:rPr>
                <w:b/>
                <w:noProof/>
                <w:sz w:val="20"/>
              </w:rPr>
              <w:t>Total</w:t>
            </w:r>
            <w:r>
              <w:rPr>
                <w:noProof/>
              </w:rPr>
              <w:tab/>
            </w:r>
          </w:p>
        </w:tc>
        <w:tc>
          <w:tcPr>
            <w:tcW w:w="1701" w:type="dxa"/>
            <w:shd w:val="clear" w:color="auto" w:fill="D9D9D9" w:themeFill="background1" w:themeFillShade="D9"/>
          </w:tcPr>
          <w:p w14:paraId="0C0F3BD4" w14:textId="77777777" w:rsidR="00B07FC0" w:rsidRPr="005C47FF" w:rsidRDefault="00B07FC0" w:rsidP="00433C4E">
            <w:pPr>
              <w:widowControl w:val="0"/>
              <w:spacing w:before="15" w:after="15"/>
              <w:jc w:val="right"/>
              <w:rPr>
                <w:b/>
                <w:bCs/>
                <w:noProof/>
                <w:sz w:val="20"/>
                <w:szCs w:val="20"/>
              </w:rPr>
            </w:pPr>
            <w:r>
              <w:rPr>
                <w:b/>
                <w:noProof/>
                <w:sz w:val="20"/>
              </w:rPr>
              <w:t>-3 677 000</w:t>
            </w:r>
          </w:p>
        </w:tc>
        <w:tc>
          <w:tcPr>
            <w:tcW w:w="1701" w:type="dxa"/>
            <w:shd w:val="clear" w:color="auto" w:fill="D9D9D9" w:themeFill="background1" w:themeFillShade="D9"/>
          </w:tcPr>
          <w:p w14:paraId="3F76D8F5" w14:textId="77777777" w:rsidR="00B07FC0" w:rsidRPr="005C47FF" w:rsidRDefault="00B07FC0" w:rsidP="00433C4E">
            <w:pPr>
              <w:widowControl w:val="0"/>
              <w:spacing w:before="15" w:after="15"/>
              <w:jc w:val="right"/>
              <w:rPr>
                <w:b/>
                <w:bCs/>
                <w:noProof/>
                <w:sz w:val="20"/>
                <w:szCs w:val="20"/>
              </w:rPr>
            </w:pPr>
            <w:r>
              <w:rPr>
                <w:b/>
                <w:noProof/>
                <w:sz w:val="20"/>
              </w:rPr>
              <w:t>-3 677 000</w:t>
            </w:r>
          </w:p>
        </w:tc>
      </w:tr>
    </w:tbl>
    <w:p w14:paraId="0EBE1605" w14:textId="77777777" w:rsidR="00B07FC0" w:rsidRPr="00B07FC0" w:rsidRDefault="00B07FC0" w:rsidP="00B07FC0">
      <w:pPr>
        <w:autoSpaceDE w:val="0"/>
        <w:autoSpaceDN w:val="0"/>
        <w:adjustRightInd w:val="0"/>
        <w:spacing w:before="120" w:after="120" w:line="259" w:lineRule="auto"/>
        <w:jc w:val="both"/>
        <w:rPr>
          <w:noProof/>
          <w:lang w:val="pt-PT"/>
        </w:rPr>
      </w:pPr>
      <w:r w:rsidRPr="00B07FC0">
        <w:rPr>
          <w:noProof/>
          <w:lang w:val="pt-PT"/>
        </w:rPr>
        <w:t xml:space="preserve">Globalmente, o efeito combinado nas despesas estimadas no quadro do projeto de orçamento de 2024 relativamente à rubrica 7 consiste num aumento de 4,6 milhões de EUR para as despesas administrativas, enquanto as despesas com as pensões e as Escolas Europeias permanecem inalteradas. </w:t>
      </w:r>
    </w:p>
    <w:p w14:paraId="2D5F69BA" w14:textId="77777777" w:rsidR="00B07FC0" w:rsidRPr="00B07FC0" w:rsidRDefault="00B07FC0" w:rsidP="00B07FC0">
      <w:pPr>
        <w:autoSpaceDE w:val="0"/>
        <w:autoSpaceDN w:val="0"/>
        <w:adjustRightInd w:val="0"/>
        <w:spacing w:before="120" w:line="259" w:lineRule="auto"/>
        <w:jc w:val="both"/>
        <w:rPr>
          <w:noProof/>
          <w:lang w:val="pt-PT"/>
        </w:rPr>
      </w:pPr>
      <w:r w:rsidRPr="00B07FC0">
        <w:rPr>
          <w:noProof/>
          <w:lang w:val="pt-PT"/>
        </w:rPr>
        <w:t>O impacto global sobre as despesas é o seguinte:</w:t>
      </w:r>
    </w:p>
    <w:tbl>
      <w:tblPr>
        <w:tblW w:w="9639" w:type="dxa"/>
        <w:tblInd w:w="108" w:type="dxa"/>
        <w:tblLook w:val="04A0" w:firstRow="1" w:lastRow="0" w:firstColumn="1" w:lastColumn="0" w:noHBand="0" w:noVBand="1"/>
      </w:tblPr>
      <w:tblGrid>
        <w:gridCol w:w="4480"/>
        <w:gridCol w:w="1616"/>
        <w:gridCol w:w="1701"/>
        <w:gridCol w:w="1842"/>
      </w:tblGrid>
      <w:tr w:rsidR="00B07FC0" w:rsidRPr="00B07FC0" w14:paraId="689618CD" w14:textId="77777777" w:rsidTr="00433C4E">
        <w:trPr>
          <w:trHeight w:val="290"/>
        </w:trPr>
        <w:tc>
          <w:tcPr>
            <w:tcW w:w="9639" w:type="dxa"/>
            <w:gridSpan w:val="4"/>
            <w:tcBorders>
              <w:top w:val="nil"/>
              <w:left w:val="nil"/>
              <w:bottom w:val="nil"/>
              <w:right w:val="nil"/>
            </w:tcBorders>
            <w:shd w:val="clear" w:color="auto" w:fill="FFFFFF" w:themeFill="background1"/>
            <w:vAlign w:val="center"/>
            <w:hideMark/>
          </w:tcPr>
          <w:p w14:paraId="4067C8FB" w14:textId="77777777" w:rsidR="00B07FC0" w:rsidRPr="00B07FC0" w:rsidRDefault="00B07FC0" w:rsidP="00433C4E">
            <w:pPr>
              <w:jc w:val="right"/>
              <w:rPr>
                <w:i/>
                <w:iCs/>
                <w:noProof/>
                <w:color w:val="000000"/>
                <w:sz w:val="20"/>
                <w:szCs w:val="20"/>
                <w:lang w:val="pt-PT"/>
              </w:rPr>
            </w:pPr>
            <w:r w:rsidRPr="00B07FC0">
              <w:rPr>
                <w:i/>
                <w:noProof/>
                <w:color w:val="000000"/>
                <w:sz w:val="20"/>
                <w:lang w:val="pt-PT"/>
              </w:rPr>
              <w:t>Montantes em milhões de EUR</w:t>
            </w:r>
          </w:p>
        </w:tc>
      </w:tr>
      <w:tr w:rsidR="00B07FC0" w:rsidRPr="00B07FC0" w14:paraId="120B6454" w14:textId="77777777" w:rsidTr="00433C4E">
        <w:trPr>
          <w:trHeight w:val="780"/>
        </w:trPr>
        <w:tc>
          <w:tcPr>
            <w:tcW w:w="44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426595" w14:textId="77777777" w:rsidR="00B07FC0" w:rsidRPr="00B07FC0" w:rsidRDefault="00B07FC0" w:rsidP="00433C4E">
            <w:pPr>
              <w:jc w:val="center"/>
              <w:rPr>
                <w:b/>
                <w:bCs/>
                <w:noProof/>
                <w:color w:val="000000"/>
                <w:sz w:val="20"/>
                <w:szCs w:val="20"/>
                <w:lang w:val="pt-PT"/>
              </w:rPr>
            </w:pPr>
            <w:r w:rsidRPr="00B07FC0">
              <w:rPr>
                <w:b/>
                <w:noProof/>
                <w:color w:val="000000"/>
                <w:sz w:val="20"/>
                <w:lang w:val="pt-PT"/>
              </w:rPr>
              <w:t xml:space="preserve"> </w:t>
            </w:r>
          </w:p>
        </w:tc>
        <w:tc>
          <w:tcPr>
            <w:tcW w:w="161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B4001A9" w14:textId="77777777" w:rsidR="00B07FC0" w:rsidRPr="00937B4C" w:rsidRDefault="00B07FC0" w:rsidP="00433C4E">
            <w:pPr>
              <w:jc w:val="center"/>
              <w:rPr>
                <w:b/>
                <w:bCs/>
                <w:noProof/>
                <w:color w:val="000000"/>
                <w:sz w:val="20"/>
                <w:szCs w:val="20"/>
              </w:rPr>
            </w:pPr>
            <w:r>
              <w:rPr>
                <w:b/>
                <w:noProof/>
                <w:color w:val="000000"/>
                <w:sz w:val="20"/>
              </w:rPr>
              <w:t>PO de 2024</w:t>
            </w:r>
          </w:p>
        </w:tc>
        <w:tc>
          <w:tcPr>
            <w:tcW w:w="170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18C85E3" w14:textId="77777777" w:rsidR="00B07FC0" w:rsidRPr="00B07FC0" w:rsidRDefault="00B07FC0" w:rsidP="00433C4E">
            <w:pPr>
              <w:jc w:val="center"/>
              <w:rPr>
                <w:b/>
                <w:bCs/>
                <w:noProof/>
                <w:color w:val="000000"/>
                <w:sz w:val="20"/>
                <w:szCs w:val="20"/>
                <w:lang w:val="pt-PT"/>
              </w:rPr>
            </w:pPr>
            <w:r w:rsidRPr="00B07FC0">
              <w:rPr>
                <w:b/>
                <w:noProof/>
                <w:color w:val="000000"/>
                <w:sz w:val="20"/>
                <w:lang w:val="pt-PT"/>
              </w:rPr>
              <w:t>Carta retificativa n.º 1 ao PO de 2024</w:t>
            </w:r>
          </w:p>
        </w:tc>
        <w:tc>
          <w:tcPr>
            <w:tcW w:w="184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6F938F8" w14:textId="77777777" w:rsidR="00B07FC0" w:rsidRPr="00B07FC0" w:rsidRDefault="00B07FC0" w:rsidP="00433C4E">
            <w:pPr>
              <w:jc w:val="center"/>
              <w:rPr>
                <w:b/>
                <w:bCs/>
                <w:noProof/>
                <w:color w:val="000000"/>
                <w:sz w:val="20"/>
                <w:szCs w:val="20"/>
                <w:lang w:val="pt-PT"/>
              </w:rPr>
            </w:pPr>
            <w:r w:rsidRPr="00B07FC0">
              <w:rPr>
                <w:b/>
                <w:noProof/>
                <w:color w:val="000000"/>
                <w:sz w:val="20"/>
                <w:lang w:val="pt-PT"/>
              </w:rPr>
              <w:t>PO de 2024 com a adição da CR n.º 1</w:t>
            </w:r>
          </w:p>
        </w:tc>
      </w:tr>
      <w:tr w:rsidR="00B07FC0" w:rsidRPr="00937B4C" w14:paraId="4192DADD" w14:textId="77777777" w:rsidTr="00433C4E">
        <w:trPr>
          <w:trHeight w:hRule="exact" w:val="290"/>
        </w:trPr>
        <w:tc>
          <w:tcPr>
            <w:tcW w:w="4480"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A14A303" w14:textId="77777777" w:rsidR="00B07FC0" w:rsidRPr="00937B4C" w:rsidRDefault="00B07FC0" w:rsidP="00433C4E">
            <w:pPr>
              <w:rPr>
                <w:b/>
                <w:bCs/>
                <w:noProof/>
                <w:color w:val="000000"/>
                <w:sz w:val="16"/>
                <w:szCs w:val="16"/>
              </w:rPr>
            </w:pPr>
            <w:r>
              <w:rPr>
                <w:b/>
                <w:noProof/>
                <w:color w:val="000000"/>
                <w:sz w:val="16"/>
              </w:rPr>
              <w:t>Pensões e Escolas Europeias</w:t>
            </w:r>
          </w:p>
        </w:tc>
        <w:tc>
          <w:tcPr>
            <w:tcW w:w="1616" w:type="dxa"/>
            <w:tcBorders>
              <w:top w:val="nil"/>
              <w:left w:val="nil"/>
              <w:bottom w:val="single" w:sz="4" w:space="0" w:color="auto"/>
              <w:right w:val="single" w:sz="4" w:space="0" w:color="auto"/>
            </w:tcBorders>
            <w:shd w:val="clear" w:color="auto" w:fill="F2F2F2" w:themeFill="background1" w:themeFillShade="F2"/>
            <w:vAlign w:val="center"/>
            <w:hideMark/>
          </w:tcPr>
          <w:p w14:paraId="64BE8247" w14:textId="77777777" w:rsidR="00B07FC0" w:rsidRPr="00B131F5" w:rsidRDefault="00B07FC0" w:rsidP="00433C4E">
            <w:pPr>
              <w:jc w:val="right"/>
              <w:rPr>
                <w:noProof/>
                <w:color w:val="000000"/>
                <w:sz w:val="16"/>
                <w:szCs w:val="16"/>
              </w:rPr>
            </w:pPr>
            <w:r>
              <w:rPr>
                <w:noProof/>
                <w:sz w:val="16"/>
              </w:rPr>
              <w:t>2 812,6</w:t>
            </w:r>
          </w:p>
        </w:tc>
        <w:tc>
          <w:tcPr>
            <w:tcW w:w="1701" w:type="dxa"/>
            <w:tcBorders>
              <w:top w:val="nil"/>
              <w:left w:val="nil"/>
              <w:bottom w:val="single" w:sz="4" w:space="0" w:color="auto"/>
              <w:right w:val="single" w:sz="4" w:space="0" w:color="auto"/>
            </w:tcBorders>
            <w:shd w:val="clear" w:color="auto" w:fill="F2F2F2" w:themeFill="background1" w:themeFillShade="F2"/>
            <w:vAlign w:val="center"/>
            <w:hideMark/>
          </w:tcPr>
          <w:p w14:paraId="7B98D5FA" w14:textId="77777777" w:rsidR="00B07FC0" w:rsidRPr="00B131F5" w:rsidRDefault="00B07FC0" w:rsidP="00433C4E">
            <w:pPr>
              <w:jc w:val="right"/>
              <w:rPr>
                <w:noProof/>
                <w:color w:val="000000"/>
                <w:sz w:val="16"/>
                <w:szCs w:val="16"/>
                <w:lang w:val="en-IE" w:eastAsia="en-IE"/>
              </w:rPr>
            </w:pPr>
          </w:p>
        </w:tc>
        <w:tc>
          <w:tcPr>
            <w:tcW w:w="1842" w:type="dxa"/>
            <w:tcBorders>
              <w:top w:val="nil"/>
              <w:left w:val="nil"/>
              <w:bottom w:val="single" w:sz="4" w:space="0" w:color="auto"/>
              <w:right w:val="single" w:sz="4" w:space="0" w:color="auto"/>
            </w:tcBorders>
            <w:shd w:val="clear" w:color="auto" w:fill="F2F2F2" w:themeFill="background1" w:themeFillShade="F2"/>
            <w:vAlign w:val="center"/>
            <w:hideMark/>
          </w:tcPr>
          <w:p w14:paraId="3155BF26" w14:textId="77777777" w:rsidR="00B07FC0" w:rsidRDefault="00B07FC0" w:rsidP="00433C4E">
            <w:pPr>
              <w:jc w:val="right"/>
              <w:rPr>
                <w:noProof/>
                <w:color w:val="000000" w:themeColor="text1"/>
                <w:sz w:val="16"/>
                <w:szCs w:val="16"/>
              </w:rPr>
            </w:pPr>
            <w:r>
              <w:rPr>
                <w:noProof/>
                <w:sz w:val="16"/>
              </w:rPr>
              <w:t>2 812,6</w:t>
            </w:r>
          </w:p>
        </w:tc>
      </w:tr>
      <w:tr w:rsidR="00B07FC0" w:rsidRPr="00937B4C" w14:paraId="69551088" w14:textId="77777777" w:rsidTr="00433C4E">
        <w:trPr>
          <w:trHeight w:hRule="exact" w:val="290"/>
        </w:trPr>
        <w:tc>
          <w:tcPr>
            <w:tcW w:w="4480"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39E323C2" w14:textId="77777777" w:rsidR="00B07FC0" w:rsidRPr="00937B4C" w:rsidRDefault="00B07FC0" w:rsidP="00433C4E">
            <w:pPr>
              <w:ind w:firstLineChars="100" w:firstLine="160"/>
              <w:rPr>
                <w:noProof/>
                <w:color w:val="000000"/>
                <w:sz w:val="16"/>
                <w:szCs w:val="16"/>
              </w:rPr>
            </w:pPr>
            <w:r>
              <w:rPr>
                <w:noProof/>
                <w:color w:val="000000"/>
                <w:sz w:val="16"/>
              </w:rPr>
              <w:t>Pensões</w:t>
            </w:r>
          </w:p>
        </w:tc>
        <w:tc>
          <w:tcPr>
            <w:tcW w:w="1616" w:type="dxa"/>
            <w:tcBorders>
              <w:top w:val="nil"/>
              <w:left w:val="nil"/>
              <w:bottom w:val="single" w:sz="4" w:space="0" w:color="auto"/>
              <w:right w:val="single" w:sz="4" w:space="0" w:color="auto"/>
            </w:tcBorders>
            <w:shd w:val="clear" w:color="auto" w:fill="F2F2F2" w:themeFill="background1" w:themeFillShade="F2"/>
            <w:vAlign w:val="center"/>
            <w:hideMark/>
          </w:tcPr>
          <w:p w14:paraId="59DF8A4A" w14:textId="77777777" w:rsidR="00B07FC0" w:rsidRPr="00B131F5" w:rsidRDefault="00B07FC0" w:rsidP="00433C4E">
            <w:pPr>
              <w:jc w:val="right"/>
              <w:rPr>
                <w:noProof/>
                <w:color w:val="000000"/>
                <w:sz w:val="16"/>
                <w:szCs w:val="16"/>
              </w:rPr>
            </w:pPr>
            <w:r>
              <w:rPr>
                <w:noProof/>
                <w:sz w:val="16"/>
              </w:rPr>
              <w:t>2 565,5</w:t>
            </w:r>
          </w:p>
        </w:tc>
        <w:tc>
          <w:tcPr>
            <w:tcW w:w="1701" w:type="dxa"/>
            <w:tcBorders>
              <w:top w:val="nil"/>
              <w:left w:val="nil"/>
              <w:bottom w:val="single" w:sz="4" w:space="0" w:color="auto"/>
              <w:right w:val="single" w:sz="4" w:space="0" w:color="auto"/>
            </w:tcBorders>
            <w:shd w:val="clear" w:color="auto" w:fill="F2F2F2" w:themeFill="background1" w:themeFillShade="F2"/>
            <w:vAlign w:val="center"/>
            <w:hideMark/>
          </w:tcPr>
          <w:p w14:paraId="6FC9174A" w14:textId="77777777" w:rsidR="00B07FC0" w:rsidRPr="00B131F5" w:rsidRDefault="00B07FC0" w:rsidP="00433C4E">
            <w:pPr>
              <w:jc w:val="right"/>
              <w:rPr>
                <w:noProof/>
                <w:color w:val="000000"/>
                <w:sz w:val="16"/>
                <w:szCs w:val="16"/>
                <w:lang w:val="en-IE" w:eastAsia="en-IE"/>
              </w:rPr>
            </w:pPr>
          </w:p>
        </w:tc>
        <w:tc>
          <w:tcPr>
            <w:tcW w:w="1842" w:type="dxa"/>
            <w:tcBorders>
              <w:top w:val="nil"/>
              <w:left w:val="nil"/>
              <w:bottom w:val="single" w:sz="4" w:space="0" w:color="auto"/>
              <w:right w:val="single" w:sz="4" w:space="0" w:color="auto"/>
            </w:tcBorders>
            <w:shd w:val="clear" w:color="auto" w:fill="F2F2F2" w:themeFill="background1" w:themeFillShade="F2"/>
            <w:vAlign w:val="center"/>
            <w:hideMark/>
          </w:tcPr>
          <w:p w14:paraId="108F6CFE" w14:textId="77777777" w:rsidR="00B07FC0" w:rsidRDefault="00B07FC0" w:rsidP="00433C4E">
            <w:pPr>
              <w:jc w:val="right"/>
              <w:rPr>
                <w:noProof/>
                <w:color w:val="000000" w:themeColor="text1"/>
                <w:sz w:val="16"/>
                <w:szCs w:val="16"/>
              </w:rPr>
            </w:pPr>
            <w:r>
              <w:rPr>
                <w:noProof/>
                <w:sz w:val="16"/>
              </w:rPr>
              <w:t>2 565,5</w:t>
            </w:r>
          </w:p>
        </w:tc>
      </w:tr>
      <w:tr w:rsidR="00B07FC0" w:rsidRPr="00937B4C" w14:paraId="291EAEB1" w14:textId="77777777" w:rsidTr="00433C4E">
        <w:trPr>
          <w:trHeight w:hRule="exact" w:val="290"/>
        </w:trPr>
        <w:tc>
          <w:tcPr>
            <w:tcW w:w="4480"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7F681D73" w14:textId="77777777" w:rsidR="00B07FC0" w:rsidRPr="00937B4C" w:rsidRDefault="00B07FC0" w:rsidP="00433C4E">
            <w:pPr>
              <w:ind w:firstLineChars="100" w:firstLine="160"/>
              <w:rPr>
                <w:noProof/>
                <w:color w:val="000000"/>
                <w:sz w:val="16"/>
                <w:szCs w:val="16"/>
              </w:rPr>
            </w:pPr>
            <w:r>
              <w:rPr>
                <w:noProof/>
                <w:color w:val="000000"/>
                <w:sz w:val="16"/>
              </w:rPr>
              <w:t>Escolas Europeias</w:t>
            </w:r>
          </w:p>
        </w:tc>
        <w:tc>
          <w:tcPr>
            <w:tcW w:w="1616" w:type="dxa"/>
            <w:tcBorders>
              <w:top w:val="nil"/>
              <w:left w:val="nil"/>
              <w:bottom w:val="single" w:sz="4" w:space="0" w:color="auto"/>
              <w:right w:val="single" w:sz="4" w:space="0" w:color="auto"/>
            </w:tcBorders>
            <w:shd w:val="clear" w:color="auto" w:fill="F2F2F2" w:themeFill="background1" w:themeFillShade="F2"/>
            <w:vAlign w:val="center"/>
            <w:hideMark/>
          </w:tcPr>
          <w:p w14:paraId="583EC222" w14:textId="77777777" w:rsidR="00B07FC0" w:rsidRPr="00B131F5" w:rsidRDefault="00B07FC0" w:rsidP="00433C4E">
            <w:pPr>
              <w:jc w:val="right"/>
              <w:rPr>
                <w:noProof/>
                <w:color w:val="000000"/>
                <w:sz w:val="16"/>
                <w:szCs w:val="16"/>
              </w:rPr>
            </w:pPr>
            <w:r>
              <w:rPr>
                <w:noProof/>
                <w:sz w:val="16"/>
              </w:rPr>
              <w:t>247,2</w:t>
            </w:r>
          </w:p>
        </w:tc>
        <w:tc>
          <w:tcPr>
            <w:tcW w:w="1701" w:type="dxa"/>
            <w:tcBorders>
              <w:top w:val="nil"/>
              <w:left w:val="nil"/>
              <w:bottom w:val="single" w:sz="4" w:space="0" w:color="auto"/>
              <w:right w:val="single" w:sz="4" w:space="0" w:color="auto"/>
            </w:tcBorders>
            <w:shd w:val="clear" w:color="auto" w:fill="F2F2F2" w:themeFill="background1" w:themeFillShade="F2"/>
            <w:vAlign w:val="center"/>
            <w:hideMark/>
          </w:tcPr>
          <w:p w14:paraId="7AAA67D7" w14:textId="77777777" w:rsidR="00B07FC0" w:rsidRPr="00B131F5" w:rsidRDefault="00B07FC0" w:rsidP="00433C4E">
            <w:pPr>
              <w:jc w:val="right"/>
              <w:rPr>
                <w:noProof/>
                <w:color w:val="000000"/>
                <w:sz w:val="16"/>
                <w:szCs w:val="16"/>
                <w:lang w:val="en-IE" w:eastAsia="en-IE"/>
              </w:rPr>
            </w:pPr>
          </w:p>
        </w:tc>
        <w:tc>
          <w:tcPr>
            <w:tcW w:w="1842" w:type="dxa"/>
            <w:tcBorders>
              <w:top w:val="nil"/>
              <w:left w:val="nil"/>
              <w:bottom w:val="single" w:sz="4" w:space="0" w:color="auto"/>
              <w:right w:val="single" w:sz="4" w:space="0" w:color="auto"/>
            </w:tcBorders>
            <w:shd w:val="clear" w:color="auto" w:fill="F2F2F2" w:themeFill="background1" w:themeFillShade="F2"/>
            <w:vAlign w:val="center"/>
            <w:hideMark/>
          </w:tcPr>
          <w:p w14:paraId="765EACF8" w14:textId="77777777" w:rsidR="00B07FC0" w:rsidRDefault="00B07FC0" w:rsidP="00433C4E">
            <w:pPr>
              <w:jc w:val="right"/>
              <w:rPr>
                <w:noProof/>
                <w:color w:val="000000" w:themeColor="text1"/>
                <w:sz w:val="16"/>
                <w:szCs w:val="16"/>
              </w:rPr>
            </w:pPr>
            <w:r>
              <w:rPr>
                <w:noProof/>
                <w:sz w:val="16"/>
              </w:rPr>
              <w:t>247,2</w:t>
            </w:r>
          </w:p>
        </w:tc>
      </w:tr>
      <w:tr w:rsidR="00B07FC0" w:rsidRPr="00937B4C" w14:paraId="77E1D640" w14:textId="77777777" w:rsidTr="00433C4E">
        <w:trPr>
          <w:trHeight w:hRule="exact" w:val="290"/>
        </w:trPr>
        <w:tc>
          <w:tcPr>
            <w:tcW w:w="4480"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192074E0" w14:textId="77777777" w:rsidR="00B07FC0" w:rsidRPr="00937B4C" w:rsidRDefault="00B07FC0" w:rsidP="00433C4E">
            <w:pPr>
              <w:rPr>
                <w:b/>
                <w:bCs/>
                <w:noProof/>
                <w:color w:val="000000"/>
                <w:sz w:val="16"/>
                <w:szCs w:val="16"/>
              </w:rPr>
            </w:pPr>
            <w:r>
              <w:rPr>
                <w:b/>
                <w:noProof/>
                <w:color w:val="000000"/>
                <w:sz w:val="16"/>
              </w:rPr>
              <w:t>Despesas administrativas das instituições</w:t>
            </w:r>
          </w:p>
        </w:tc>
        <w:tc>
          <w:tcPr>
            <w:tcW w:w="1616" w:type="dxa"/>
            <w:tcBorders>
              <w:top w:val="nil"/>
              <w:left w:val="nil"/>
              <w:bottom w:val="single" w:sz="4" w:space="0" w:color="auto"/>
              <w:right w:val="single" w:sz="4" w:space="0" w:color="auto"/>
            </w:tcBorders>
            <w:shd w:val="clear" w:color="auto" w:fill="F2F2F2" w:themeFill="background1" w:themeFillShade="F2"/>
            <w:vAlign w:val="center"/>
            <w:hideMark/>
          </w:tcPr>
          <w:p w14:paraId="0D306E2D" w14:textId="77777777" w:rsidR="00B07FC0" w:rsidRPr="00B131F5" w:rsidRDefault="00B07FC0" w:rsidP="00433C4E">
            <w:pPr>
              <w:jc w:val="right"/>
              <w:rPr>
                <w:noProof/>
                <w:color w:val="000000"/>
                <w:sz w:val="16"/>
                <w:szCs w:val="16"/>
              </w:rPr>
            </w:pPr>
            <w:r>
              <w:rPr>
                <w:noProof/>
                <w:sz w:val="16"/>
              </w:rPr>
              <w:t>9 137</w:t>
            </w:r>
          </w:p>
        </w:tc>
        <w:tc>
          <w:tcPr>
            <w:tcW w:w="1701" w:type="dxa"/>
            <w:tcBorders>
              <w:top w:val="nil"/>
              <w:left w:val="nil"/>
              <w:bottom w:val="single" w:sz="4" w:space="0" w:color="auto"/>
              <w:right w:val="single" w:sz="4" w:space="0" w:color="auto"/>
            </w:tcBorders>
            <w:shd w:val="clear" w:color="auto" w:fill="F2F2F2" w:themeFill="background1" w:themeFillShade="F2"/>
            <w:vAlign w:val="center"/>
            <w:hideMark/>
          </w:tcPr>
          <w:p w14:paraId="15FF5BB0" w14:textId="77777777" w:rsidR="00B07FC0" w:rsidRPr="00B131F5" w:rsidRDefault="00B07FC0" w:rsidP="00433C4E">
            <w:pPr>
              <w:jc w:val="right"/>
              <w:rPr>
                <w:noProof/>
                <w:color w:val="000000"/>
                <w:sz w:val="16"/>
                <w:szCs w:val="16"/>
              </w:rPr>
            </w:pPr>
            <w:r>
              <w:rPr>
                <w:noProof/>
                <w:sz w:val="16"/>
              </w:rPr>
              <w:t>7,3</w:t>
            </w:r>
          </w:p>
        </w:tc>
        <w:tc>
          <w:tcPr>
            <w:tcW w:w="1842" w:type="dxa"/>
            <w:tcBorders>
              <w:top w:val="nil"/>
              <w:left w:val="nil"/>
              <w:bottom w:val="single" w:sz="4" w:space="0" w:color="auto"/>
              <w:right w:val="single" w:sz="4" w:space="0" w:color="auto"/>
            </w:tcBorders>
            <w:shd w:val="clear" w:color="auto" w:fill="F2F2F2" w:themeFill="background1" w:themeFillShade="F2"/>
            <w:vAlign w:val="center"/>
            <w:hideMark/>
          </w:tcPr>
          <w:p w14:paraId="006D3047" w14:textId="77777777" w:rsidR="00B07FC0" w:rsidRPr="00B131F5" w:rsidRDefault="00B07FC0" w:rsidP="00433C4E">
            <w:pPr>
              <w:jc w:val="right"/>
              <w:rPr>
                <w:noProof/>
                <w:sz w:val="16"/>
                <w:szCs w:val="16"/>
              </w:rPr>
            </w:pPr>
            <w:r>
              <w:rPr>
                <w:noProof/>
                <w:sz w:val="16"/>
              </w:rPr>
              <w:t>9 144,3</w:t>
            </w:r>
          </w:p>
        </w:tc>
      </w:tr>
      <w:tr w:rsidR="00B07FC0" w:rsidRPr="00937B4C" w14:paraId="296AA066" w14:textId="77777777" w:rsidTr="00433C4E">
        <w:trPr>
          <w:trHeight w:hRule="exact" w:val="290"/>
        </w:trPr>
        <w:tc>
          <w:tcPr>
            <w:tcW w:w="4480"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2DE559E0" w14:textId="77777777" w:rsidR="00B07FC0" w:rsidRPr="00937B4C" w:rsidRDefault="00B07FC0" w:rsidP="00433C4E">
            <w:pPr>
              <w:ind w:firstLineChars="100" w:firstLine="160"/>
              <w:rPr>
                <w:noProof/>
                <w:color w:val="000000"/>
                <w:sz w:val="16"/>
                <w:szCs w:val="16"/>
              </w:rPr>
            </w:pPr>
            <w:r>
              <w:rPr>
                <w:noProof/>
                <w:color w:val="000000"/>
                <w:sz w:val="16"/>
              </w:rPr>
              <w:t>Comissão</w:t>
            </w:r>
          </w:p>
        </w:tc>
        <w:tc>
          <w:tcPr>
            <w:tcW w:w="1616" w:type="dxa"/>
            <w:tcBorders>
              <w:top w:val="nil"/>
              <w:left w:val="nil"/>
              <w:bottom w:val="single" w:sz="4" w:space="0" w:color="auto"/>
              <w:right w:val="single" w:sz="4" w:space="0" w:color="auto"/>
            </w:tcBorders>
            <w:shd w:val="clear" w:color="auto" w:fill="F2F2F2" w:themeFill="background1" w:themeFillShade="F2"/>
            <w:vAlign w:val="center"/>
            <w:hideMark/>
          </w:tcPr>
          <w:p w14:paraId="52B5B8B8" w14:textId="77777777" w:rsidR="00B07FC0" w:rsidRPr="00B131F5" w:rsidRDefault="00B07FC0" w:rsidP="00433C4E">
            <w:pPr>
              <w:jc w:val="right"/>
              <w:rPr>
                <w:noProof/>
                <w:color w:val="000000"/>
                <w:sz w:val="16"/>
                <w:szCs w:val="16"/>
              </w:rPr>
            </w:pPr>
            <w:r>
              <w:rPr>
                <w:noProof/>
                <w:sz w:val="16"/>
              </w:rPr>
              <w:t>4 221,4</w:t>
            </w:r>
          </w:p>
        </w:tc>
        <w:tc>
          <w:tcPr>
            <w:tcW w:w="1701" w:type="dxa"/>
            <w:tcBorders>
              <w:top w:val="nil"/>
              <w:left w:val="nil"/>
              <w:bottom w:val="single" w:sz="4" w:space="0" w:color="auto"/>
              <w:right w:val="single" w:sz="4" w:space="0" w:color="auto"/>
            </w:tcBorders>
            <w:shd w:val="clear" w:color="auto" w:fill="F2F2F2" w:themeFill="background1" w:themeFillShade="F2"/>
            <w:vAlign w:val="center"/>
            <w:hideMark/>
          </w:tcPr>
          <w:p w14:paraId="207C5C96" w14:textId="77777777" w:rsidR="00B07FC0" w:rsidRPr="00B131F5" w:rsidRDefault="00B07FC0" w:rsidP="00433C4E">
            <w:pPr>
              <w:jc w:val="right"/>
              <w:rPr>
                <w:noProof/>
                <w:sz w:val="16"/>
                <w:szCs w:val="16"/>
              </w:rPr>
            </w:pPr>
            <w:r>
              <w:rPr>
                <w:noProof/>
                <w:sz w:val="16"/>
              </w:rPr>
              <w:t>-3,4</w:t>
            </w:r>
          </w:p>
        </w:tc>
        <w:tc>
          <w:tcPr>
            <w:tcW w:w="1842" w:type="dxa"/>
            <w:tcBorders>
              <w:top w:val="nil"/>
              <w:left w:val="nil"/>
              <w:bottom w:val="single" w:sz="4" w:space="0" w:color="auto"/>
              <w:right w:val="single" w:sz="4" w:space="0" w:color="auto"/>
            </w:tcBorders>
            <w:shd w:val="clear" w:color="auto" w:fill="F2F2F2" w:themeFill="background1" w:themeFillShade="F2"/>
            <w:vAlign w:val="center"/>
            <w:hideMark/>
          </w:tcPr>
          <w:p w14:paraId="5DF8B5FD" w14:textId="77777777" w:rsidR="00B07FC0" w:rsidRPr="00B131F5" w:rsidRDefault="00B07FC0" w:rsidP="00433C4E">
            <w:pPr>
              <w:jc w:val="right"/>
              <w:rPr>
                <w:noProof/>
                <w:sz w:val="16"/>
                <w:szCs w:val="16"/>
              </w:rPr>
            </w:pPr>
            <w:r>
              <w:rPr>
                <w:noProof/>
                <w:sz w:val="16"/>
              </w:rPr>
              <w:t xml:space="preserve"> 4 218,1</w:t>
            </w:r>
          </w:p>
        </w:tc>
      </w:tr>
      <w:tr w:rsidR="00B07FC0" w:rsidRPr="00937B4C" w14:paraId="20E91F04" w14:textId="77777777" w:rsidTr="00433C4E">
        <w:trPr>
          <w:trHeight w:hRule="exact" w:val="290"/>
        </w:trPr>
        <w:tc>
          <w:tcPr>
            <w:tcW w:w="4480"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7A983BB3" w14:textId="77777777" w:rsidR="00B07FC0" w:rsidRPr="00937B4C" w:rsidRDefault="00B07FC0" w:rsidP="00433C4E">
            <w:pPr>
              <w:ind w:firstLineChars="100" w:firstLine="160"/>
              <w:rPr>
                <w:noProof/>
                <w:color w:val="000000"/>
                <w:sz w:val="16"/>
                <w:szCs w:val="16"/>
              </w:rPr>
            </w:pPr>
            <w:r>
              <w:rPr>
                <w:noProof/>
                <w:color w:val="000000"/>
                <w:sz w:val="16"/>
              </w:rPr>
              <w:t>Outras instituições</w:t>
            </w:r>
          </w:p>
        </w:tc>
        <w:tc>
          <w:tcPr>
            <w:tcW w:w="1616" w:type="dxa"/>
            <w:tcBorders>
              <w:top w:val="nil"/>
              <w:left w:val="nil"/>
              <w:bottom w:val="single" w:sz="4" w:space="0" w:color="auto"/>
              <w:right w:val="single" w:sz="4" w:space="0" w:color="auto"/>
            </w:tcBorders>
            <w:shd w:val="clear" w:color="auto" w:fill="F2F2F2" w:themeFill="background1" w:themeFillShade="F2"/>
            <w:vAlign w:val="center"/>
            <w:hideMark/>
          </w:tcPr>
          <w:p w14:paraId="3D372947" w14:textId="77777777" w:rsidR="00B07FC0" w:rsidRPr="00B131F5" w:rsidRDefault="00B07FC0" w:rsidP="00433C4E">
            <w:pPr>
              <w:jc w:val="right"/>
              <w:rPr>
                <w:noProof/>
                <w:color w:val="000000"/>
                <w:sz w:val="16"/>
                <w:szCs w:val="16"/>
              </w:rPr>
            </w:pPr>
            <w:r>
              <w:rPr>
                <w:noProof/>
                <w:sz w:val="16"/>
              </w:rPr>
              <w:t>4 915,6</w:t>
            </w:r>
          </w:p>
        </w:tc>
        <w:tc>
          <w:tcPr>
            <w:tcW w:w="1701" w:type="dxa"/>
            <w:tcBorders>
              <w:top w:val="nil"/>
              <w:left w:val="nil"/>
              <w:bottom w:val="single" w:sz="4" w:space="0" w:color="auto"/>
              <w:right w:val="single" w:sz="4" w:space="0" w:color="auto"/>
            </w:tcBorders>
            <w:shd w:val="clear" w:color="auto" w:fill="F2F2F2" w:themeFill="background1" w:themeFillShade="F2"/>
            <w:vAlign w:val="center"/>
            <w:hideMark/>
          </w:tcPr>
          <w:p w14:paraId="08376E53" w14:textId="77777777" w:rsidR="00B07FC0" w:rsidRPr="00B131F5" w:rsidRDefault="00B07FC0" w:rsidP="00433C4E">
            <w:pPr>
              <w:jc w:val="right"/>
              <w:rPr>
                <w:noProof/>
                <w:sz w:val="16"/>
                <w:szCs w:val="16"/>
              </w:rPr>
            </w:pPr>
            <w:r>
              <w:rPr>
                <w:noProof/>
                <w:sz w:val="16"/>
              </w:rPr>
              <w:t>10,7</w:t>
            </w:r>
          </w:p>
        </w:tc>
        <w:tc>
          <w:tcPr>
            <w:tcW w:w="1842" w:type="dxa"/>
            <w:tcBorders>
              <w:top w:val="nil"/>
              <w:left w:val="nil"/>
              <w:bottom w:val="single" w:sz="4" w:space="0" w:color="auto"/>
              <w:right w:val="single" w:sz="4" w:space="0" w:color="auto"/>
            </w:tcBorders>
            <w:shd w:val="clear" w:color="auto" w:fill="F2F2F2" w:themeFill="background1" w:themeFillShade="F2"/>
            <w:vAlign w:val="center"/>
            <w:hideMark/>
          </w:tcPr>
          <w:p w14:paraId="51901E59" w14:textId="77777777" w:rsidR="00B07FC0" w:rsidRPr="00B131F5" w:rsidRDefault="00B07FC0" w:rsidP="00433C4E">
            <w:pPr>
              <w:jc w:val="right"/>
              <w:rPr>
                <w:noProof/>
                <w:sz w:val="16"/>
                <w:szCs w:val="16"/>
              </w:rPr>
            </w:pPr>
            <w:r>
              <w:rPr>
                <w:noProof/>
                <w:sz w:val="16"/>
              </w:rPr>
              <w:t>4 926,2</w:t>
            </w:r>
          </w:p>
        </w:tc>
      </w:tr>
      <w:tr w:rsidR="00B07FC0" w:rsidRPr="00937B4C" w14:paraId="1E7E6285" w14:textId="77777777" w:rsidTr="00433C4E">
        <w:trPr>
          <w:trHeight w:val="290"/>
        </w:trPr>
        <w:tc>
          <w:tcPr>
            <w:tcW w:w="4480" w:type="dxa"/>
            <w:tcBorders>
              <w:top w:val="nil"/>
              <w:left w:val="single" w:sz="4" w:space="0" w:color="auto"/>
              <w:bottom w:val="single" w:sz="4" w:space="0" w:color="auto"/>
              <w:right w:val="single" w:sz="4" w:space="0" w:color="auto"/>
            </w:tcBorders>
            <w:shd w:val="clear" w:color="auto" w:fill="auto"/>
            <w:vAlign w:val="center"/>
            <w:hideMark/>
          </w:tcPr>
          <w:p w14:paraId="2A579866" w14:textId="77777777" w:rsidR="00B07FC0" w:rsidRPr="00937B4C" w:rsidRDefault="00B07FC0" w:rsidP="00433C4E">
            <w:pPr>
              <w:ind w:firstLineChars="300" w:firstLine="480"/>
              <w:rPr>
                <w:noProof/>
                <w:color w:val="000000"/>
                <w:sz w:val="16"/>
                <w:szCs w:val="16"/>
              </w:rPr>
            </w:pPr>
            <w:r>
              <w:rPr>
                <w:noProof/>
                <w:color w:val="000000"/>
                <w:sz w:val="16"/>
              </w:rPr>
              <w:t>Parlamento Europeu</w:t>
            </w:r>
          </w:p>
        </w:tc>
        <w:tc>
          <w:tcPr>
            <w:tcW w:w="1616" w:type="dxa"/>
            <w:tcBorders>
              <w:top w:val="nil"/>
              <w:left w:val="nil"/>
              <w:bottom w:val="single" w:sz="4" w:space="0" w:color="auto"/>
              <w:right w:val="single" w:sz="4" w:space="0" w:color="auto"/>
            </w:tcBorders>
            <w:shd w:val="clear" w:color="auto" w:fill="auto"/>
            <w:vAlign w:val="center"/>
            <w:hideMark/>
          </w:tcPr>
          <w:p w14:paraId="7D7E4084" w14:textId="77777777" w:rsidR="00B07FC0" w:rsidRPr="00B131F5" w:rsidRDefault="00B07FC0" w:rsidP="00433C4E">
            <w:pPr>
              <w:jc w:val="right"/>
              <w:rPr>
                <w:noProof/>
                <w:color w:val="000000"/>
                <w:sz w:val="16"/>
                <w:szCs w:val="16"/>
              </w:rPr>
            </w:pPr>
            <w:r>
              <w:rPr>
                <w:noProof/>
                <w:sz w:val="16"/>
              </w:rPr>
              <w:t>2 354,9</w:t>
            </w:r>
          </w:p>
        </w:tc>
        <w:tc>
          <w:tcPr>
            <w:tcW w:w="1701" w:type="dxa"/>
            <w:tcBorders>
              <w:top w:val="nil"/>
              <w:left w:val="nil"/>
              <w:bottom w:val="single" w:sz="4" w:space="0" w:color="auto"/>
              <w:right w:val="single" w:sz="4" w:space="0" w:color="auto"/>
            </w:tcBorders>
            <w:shd w:val="clear" w:color="auto" w:fill="auto"/>
            <w:vAlign w:val="center"/>
            <w:hideMark/>
          </w:tcPr>
          <w:p w14:paraId="6F7E0262" w14:textId="77777777" w:rsidR="00B07FC0" w:rsidRPr="00B131F5" w:rsidRDefault="00B07FC0" w:rsidP="00433C4E">
            <w:pPr>
              <w:jc w:val="right"/>
              <w:rPr>
                <w:noProof/>
                <w:sz w:val="16"/>
                <w:szCs w:val="16"/>
              </w:rPr>
            </w:pPr>
            <w:r>
              <w:rPr>
                <w:noProof/>
                <w:sz w:val="16"/>
              </w:rPr>
              <w:t>-0,3</w:t>
            </w:r>
          </w:p>
        </w:tc>
        <w:tc>
          <w:tcPr>
            <w:tcW w:w="1842" w:type="dxa"/>
            <w:tcBorders>
              <w:top w:val="nil"/>
              <w:left w:val="nil"/>
              <w:bottom w:val="single" w:sz="4" w:space="0" w:color="auto"/>
              <w:right w:val="single" w:sz="4" w:space="0" w:color="auto"/>
            </w:tcBorders>
            <w:shd w:val="clear" w:color="auto" w:fill="auto"/>
            <w:vAlign w:val="center"/>
            <w:hideMark/>
          </w:tcPr>
          <w:p w14:paraId="502E624F" w14:textId="77777777" w:rsidR="00B07FC0" w:rsidRPr="00B131F5" w:rsidRDefault="00B07FC0" w:rsidP="00433C4E">
            <w:pPr>
              <w:jc w:val="right"/>
              <w:rPr>
                <w:noProof/>
                <w:sz w:val="16"/>
                <w:szCs w:val="16"/>
              </w:rPr>
            </w:pPr>
            <w:r>
              <w:rPr>
                <w:noProof/>
                <w:sz w:val="16"/>
              </w:rPr>
              <w:t>2 354,6</w:t>
            </w:r>
          </w:p>
        </w:tc>
      </w:tr>
      <w:tr w:rsidR="00B07FC0" w:rsidRPr="00937B4C" w14:paraId="78EA5AB6" w14:textId="77777777" w:rsidTr="00433C4E">
        <w:trPr>
          <w:trHeight w:val="290"/>
        </w:trPr>
        <w:tc>
          <w:tcPr>
            <w:tcW w:w="4480" w:type="dxa"/>
            <w:tcBorders>
              <w:top w:val="nil"/>
              <w:left w:val="single" w:sz="4" w:space="0" w:color="auto"/>
              <w:bottom w:val="single" w:sz="4" w:space="0" w:color="auto"/>
              <w:right w:val="single" w:sz="4" w:space="0" w:color="auto"/>
            </w:tcBorders>
            <w:shd w:val="clear" w:color="auto" w:fill="auto"/>
            <w:vAlign w:val="center"/>
            <w:hideMark/>
          </w:tcPr>
          <w:p w14:paraId="7196386B" w14:textId="77777777" w:rsidR="00B07FC0" w:rsidRPr="00937B4C" w:rsidRDefault="00B07FC0" w:rsidP="00433C4E">
            <w:pPr>
              <w:ind w:firstLineChars="300" w:firstLine="480"/>
              <w:rPr>
                <w:noProof/>
                <w:color w:val="000000"/>
                <w:sz w:val="16"/>
                <w:szCs w:val="16"/>
              </w:rPr>
            </w:pPr>
            <w:r>
              <w:rPr>
                <w:noProof/>
                <w:color w:val="000000"/>
                <w:sz w:val="16"/>
              </w:rPr>
              <w:t>Conselho Europeu e Conselho</w:t>
            </w:r>
          </w:p>
        </w:tc>
        <w:tc>
          <w:tcPr>
            <w:tcW w:w="1616" w:type="dxa"/>
            <w:tcBorders>
              <w:top w:val="nil"/>
              <w:left w:val="nil"/>
              <w:bottom w:val="single" w:sz="4" w:space="0" w:color="auto"/>
              <w:right w:val="single" w:sz="4" w:space="0" w:color="auto"/>
            </w:tcBorders>
            <w:shd w:val="clear" w:color="auto" w:fill="auto"/>
            <w:vAlign w:val="center"/>
            <w:hideMark/>
          </w:tcPr>
          <w:p w14:paraId="2AFF523D" w14:textId="77777777" w:rsidR="00B07FC0" w:rsidRPr="00B131F5" w:rsidRDefault="00B07FC0" w:rsidP="00433C4E">
            <w:pPr>
              <w:jc w:val="right"/>
              <w:rPr>
                <w:noProof/>
                <w:color w:val="000000"/>
                <w:sz w:val="16"/>
                <w:szCs w:val="16"/>
              </w:rPr>
            </w:pPr>
            <w:r>
              <w:rPr>
                <w:noProof/>
                <w:sz w:val="16"/>
              </w:rPr>
              <w:t>676,8</w:t>
            </w:r>
          </w:p>
        </w:tc>
        <w:tc>
          <w:tcPr>
            <w:tcW w:w="1701" w:type="dxa"/>
            <w:tcBorders>
              <w:top w:val="nil"/>
              <w:left w:val="nil"/>
              <w:bottom w:val="single" w:sz="4" w:space="0" w:color="auto"/>
              <w:right w:val="single" w:sz="4" w:space="0" w:color="auto"/>
            </w:tcBorders>
            <w:shd w:val="clear" w:color="auto" w:fill="auto"/>
            <w:vAlign w:val="center"/>
            <w:hideMark/>
          </w:tcPr>
          <w:p w14:paraId="2002C142" w14:textId="77777777" w:rsidR="00B07FC0" w:rsidRPr="00B131F5" w:rsidRDefault="00B07FC0" w:rsidP="00433C4E">
            <w:pPr>
              <w:jc w:val="right"/>
              <w:rPr>
                <w:noProof/>
                <w:color w:val="000000"/>
                <w:sz w:val="16"/>
                <w:szCs w:val="16"/>
                <w:lang w:val="en-IE" w:eastAsia="en-IE"/>
              </w:rPr>
            </w:pPr>
          </w:p>
        </w:tc>
        <w:tc>
          <w:tcPr>
            <w:tcW w:w="1842" w:type="dxa"/>
            <w:tcBorders>
              <w:top w:val="nil"/>
              <w:left w:val="nil"/>
              <w:bottom w:val="single" w:sz="4" w:space="0" w:color="auto"/>
              <w:right w:val="single" w:sz="4" w:space="0" w:color="auto"/>
            </w:tcBorders>
            <w:shd w:val="clear" w:color="auto" w:fill="auto"/>
            <w:vAlign w:val="center"/>
            <w:hideMark/>
          </w:tcPr>
          <w:p w14:paraId="24BCC550" w14:textId="77777777" w:rsidR="00B07FC0" w:rsidRPr="00B131F5" w:rsidRDefault="00B07FC0" w:rsidP="00433C4E">
            <w:pPr>
              <w:jc w:val="right"/>
              <w:rPr>
                <w:noProof/>
                <w:color w:val="000000"/>
                <w:sz w:val="16"/>
                <w:szCs w:val="16"/>
              </w:rPr>
            </w:pPr>
            <w:r>
              <w:rPr>
                <w:noProof/>
                <w:sz w:val="16"/>
              </w:rPr>
              <w:t xml:space="preserve"> 676,8</w:t>
            </w:r>
          </w:p>
        </w:tc>
      </w:tr>
      <w:tr w:rsidR="00B07FC0" w:rsidRPr="00937B4C" w14:paraId="78F86ABB" w14:textId="77777777" w:rsidTr="00433C4E">
        <w:trPr>
          <w:trHeight w:val="290"/>
        </w:trPr>
        <w:tc>
          <w:tcPr>
            <w:tcW w:w="4480" w:type="dxa"/>
            <w:tcBorders>
              <w:top w:val="nil"/>
              <w:left w:val="single" w:sz="4" w:space="0" w:color="auto"/>
              <w:bottom w:val="single" w:sz="4" w:space="0" w:color="auto"/>
              <w:right w:val="single" w:sz="4" w:space="0" w:color="auto"/>
            </w:tcBorders>
            <w:shd w:val="clear" w:color="auto" w:fill="auto"/>
            <w:vAlign w:val="center"/>
            <w:hideMark/>
          </w:tcPr>
          <w:p w14:paraId="51A6F15A" w14:textId="77777777" w:rsidR="00B07FC0" w:rsidRPr="00B07FC0" w:rsidRDefault="00B07FC0" w:rsidP="00433C4E">
            <w:pPr>
              <w:ind w:firstLineChars="300" w:firstLine="480"/>
              <w:rPr>
                <w:noProof/>
                <w:color w:val="000000"/>
                <w:sz w:val="16"/>
                <w:szCs w:val="16"/>
                <w:lang w:val="pt-PT"/>
              </w:rPr>
            </w:pPr>
            <w:r w:rsidRPr="00B07FC0">
              <w:rPr>
                <w:noProof/>
                <w:color w:val="000000"/>
                <w:sz w:val="16"/>
                <w:lang w:val="pt-PT"/>
              </w:rPr>
              <w:t>Tribunal de Justiça da União Europeia</w:t>
            </w:r>
          </w:p>
        </w:tc>
        <w:tc>
          <w:tcPr>
            <w:tcW w:w="1616" w:type="dxa"/>
            <w:tcBorders>
              <w:top w:val="nil"/>
              <w:left w:val="nil"/>
              <w:bottom w:val="single" w:sz="4" w:space="0" w:color="auto"/>
              <w:right w:val="single" w:sz="4" w:space="0" w:color="auto"/>
            </w:tcBorders>
            <w:shd w:val="clear" w:color="auto" w:fill="auto"/>
            <w:vAlign w:val="center"/>
            <w:hideMark/>
          </w:tcPr>
          <w:p w14:paraId="0C85DFA4" w14:textId="77777777" w:rsidR="00B07FC0" w:rsidRPr="00B131F5" w:rsidRDefault="00B07FC0" w:rsidP="00433C4E">
            <w:pPr>
              <w:jc w:val="right"/>
              <w:rPr>
                <w:noProof/>
                <w:color w:val="000000"/>
                <w:sz w:val="16"/>
                <w:szCs w:val="16"/>
              </w:rPr>
            </w:pPr>
            <w:r>
              <w:rPr>
                <w:noProof/>
                <w:sz w:val="16"/>
              </w:rPr>
              <w:t>502,4</w:t>
            </w:r>
          </w:p>
        </w:tc>
        <w:tc>
          <w:tcPr>
            <w:tcW w:w="1701" w:type="dxa"/>
            <w:tcBorders>
              <w:top w:val="nil"/>
              <w:left w:val="nil"/>
              <w:bottom w:val="single" w:sz="4" w:space="0" w:color="auto"/>
              <w:right w:val="single" w:sz="4" w:space="0" w:color="auto"/>
            </w:tcBorders>
            <w:shd w:val="clear" w:color="auto" w:fill="auto"/>
            <w:vAlign w:val="center"/>
            <w:hideMark/>
          </w:tcPr>
          <w:p w14:paraId="06E1572C" w14:textId="77777777" w:rsidR="00B07FC0" w:rsidRPr="00B131F5" w:rsidRDefault="00B07FC0" w:rsidP="00433C4E">
            <w:pPr>
              <w:jc w:val="right"/>
              <w:rPr>
                <w:noProof/>
                <w:color w:val="000000"/>
                <w:sz w:val="16"/>
                <w:szCs w:val="16"/>
                <w:lang w:val="en-IE" w:eastAsia="en-IE"/>
              </w:rPr>
            </w:pPr>
          </w:p>
        </w:tc>
        <w:tc>
          <w:tcPr>
            <w:tcW w:w="1842" w:type="dxa"/>
            <w:tcBorders>
              <w:top w:val="nil"/>
              <w:left w:val="nil"/>
              <w:bottom w:val="single" w:sz="4" w:space="0" w:color="auto"/>
              <w:right w:val="single" w:sz="4" w:space="0" w:color="auto"/>
            </w:tcBorders>
            <w:shd w:val="clear" w:color="auto" w:fill="auto"/>
            <w:vAlign w:val="center"/>
            <w:hideMark/>
          </w:tcPr>
          <w:p w14:paraId="0DD9D621" w14:textId="77777777" w:rsidR="00B07FC0" w:rsidRPr="00B131F5" w:rsidRDefault="00B07FC0" w:rsidP="00433C4E">
            <w:pPr>
              <w:jc w:val="right"/>
              <w:rPr>
                <w:noProof/>
                <w:color w:val="000000"/>
                <w:sz w:val="16"/>
                <w:szCs w:val="16"/>
              </w:rPr>
            </w:pPr>
            <w:r>
              <w:rPr>
                <w:noProof/>
                <w:sz w:val="16"/>
              </w:rPr>
              <w:t xml:space="preserve"> 502,4</w:t>
            </w:r>
          </w:p>
        </w:tc>
      </w:tr>
      <w:tr w:rsidR="00B07FC0" w:rsidRPr="00937B4C" w14:paraId="768F8230" w14:textId="77777777" w:rsidTr="00433C4E">
        <w:trPr>
          <w:trHeight w:val="290"/>
        </w:trPr>
        <w:tc>
          <w:tcPr>
            <w:tcW w:w="4480" w:type="dxa"/>
            <w:tcBorders>
              <w:top w:val="nil"/>
              <w:left w:val="single" w:sz="4" w:space="0" w:color="auto"/>
              <w:bottom w:val="single" w:sz="4" w:space="0" w:color="auto"/>
              <w:right w:val="single" w:sz="4" w:space="0" w:color="auto"/>
            </w:tcBorders>
            <w:shd w:val="clear" w:color="auto" w:fill="auto"/>
            <w:vAlign w:val="center"/>
            <w:hideMark/>
          </w:tcPr>
          <w:p w14:paraId="6D23715B" w14:textId="77777777" w:rsidR="00B07FC0" w:rsidRPr="00937B4C" w:rsidRDefault="00B07FC0" w:rsidP="00433C4E">
            <w:pPr>
              <w:ind w:firstLineChars="300" w:firstLine="480"/>
              <w:rPr>
                <w:noProof/>
                <w:color w:val="000000"/>
                <w:sz w:val="16"/>
                <w:szCs w:val="16"/>
              </w:rPr>
            </w:pPr>
            <w:r>
              <w:rPr>
                <w:noProof/>
                <w:color w:val="000000"/>
                <w:sz w:val="16"/>
              </w:rPr>
              <w:t>Tribunal de Contas</w:t>
            </w:r>
          </w:p>
        </w:tc>
        <w:tc>
          <w:tcPr>
            <w:tcW w:w="1616" w:type="dxa"/>
            <w:tcBorders>
              <w:top w:val="nil"/>
              <w:left w:val="nil"/>
              <w:bottom w:val="single" w:sz="4" w:space="0" w:color="auto"/>
              <w:right w:val="single" w:sz="4" w:space="0" w:color="auto"/>
            </w:tcBorders>
            <w:shd w:val="clear" w:color="auto" w:fill="auto"/>
            <w:vAlign w:val="center"/>
            <w:hideMark/>
          </w:tcPr>
          <w:p w14:paraId="03C09FC8" w14:textId="77777777" w:rsidR="00B07FC0" w:rsidRPr="00B131F5" w:rsidRDefault="00B07FC0" w:rsidP="00433C4E">
            <w:pPr>
              <w:jc w:val="right"/>
              <w:rPr>
                <w:noProof/>
                <w:color w:val="000000"/>
                <w:sz w:val="16"/>
                <w:szCs w:val="16"/>
              </w:rPr>
            </w:pPr>
            <w:r>
              <w:rPr>
                <w:noProof/>
                <w:sz w:val="16"/>
              </w:rPr>
              <w:t>184,8</w:t>
            </w:r>
          </w:p>
        </w:tc>
        <w:tc>
          <w:tcPr>
            <w:tcW w:w="1701" w:type="dxa"/>
            <w:tcBorders>
              <w:top w:val="nil"/>
              <w:left w:val="nil"/>
              <w:bottom w:val="single" w:sz="4" w:space="0" w:color="auto"/>
              <w:right w:val="single" w:sz="4" w:space="0" w:color="auto"/>
            </w:tcBorders>
            <w:shd w:val="clear" w:color="auto" w:fill="auto"/>
            <w:vAlign w:val="center"/>
            <w:hideMark/>
          </w:tcPr>
          <w:p w14:paraId="0FBE688B" w14:textId="77777777" w:rsidR="00B07FC0" w:rsidRPr="00B131F5" w:rsidRDefault="00B07FC0" w:rsidP="00433C4E">
            <w:pPr>
              <w:jc w:val="right"/>
              <w:rPr>
                <w:noProof/>
                <w:color w:val="000000"/>
                <w:sz w:val="16"/>
                <w:szCs w:val="16"/>
              </w:rPr>
            </w:pPr>
            <w:r>
              <w:rPr>
                <w:noProof/>
                <w:sz w:val="16"/>
              </w:rPr>
              <w:t>0,3</w:t>
            </w:r>
          </w:p>
        </w:tc>
        <w:tc>
          <w:tcPr>
            <w:tcW w:w="1842" w:type="dxa"/>
            <w:tcBorders>
              <w:top w:val="nil"/>
              <w:left w:val="nil"/>
              <w:bottom w:val="single" w:sz="4" w:space="0" w:color="auto"/>
              <w:right w:val="single" w:sz="4" w:space="0" w:color="auto"/>
            </w:tcBorders>
            <w:shd w:val="clear" w:color="auto" w:fill="auto"/>
            <w:vAlign w:val="center"/>
            <w:hideMark/>
          </w:tcPr>
          <w:p w14:paraId="16BD4868" w14:textId="77777777" w:rsidR="00B07FC0" w:rsidRPr="00B131F5" w:rsidRDefault="00B07FC0" w:rsidP="00433C4E">
            <w:pPr>
              <w:jc w:val="right"/>
              <w:rPr>
                <w:noProof/>
                <w:sz w:val="16"/>
                <w:szCs w:val="16"/>
              </w:rPr>
            </w:pPr>
            <w:r>
              <w:rPr>
                <w:noProof/>
                <w:sz w:val="16"/>
              </w:rPr>
              <w:t>185,1</w:t>
            </w:r>
          </w:p>
        </w:tc>
      </w:tr>
      <w:tr w:rsidR="00B07FC0" w:rsidRPr="00937B4C" w14:paraId="0CC0A1BA" w14:textId="77777777" w:rsidTr="00433C4E">
        <w:trPr>
          <w:trHeight w:val="290"/>
        </w:trPr>
        <w:tc>
          <w:tcPr>
            <w:tcW w:w="4480" w:type="dxa"/>
            <w:tcBorders>
              <w:top w:val="nil"/>
              <w:left w:val="single" w:sz="4" w:space="0" w:color="auto"/>
              <w:bottom w:val="single" w:sz="4" w:space="0" w:color="auto"/>
              <w:right w:val="single" w:sz="4" w:space="0" w:color="auto"/>
            </w:tcBorders>
            <w:shd w:val="clear" w:color="auto" w:fill="auto"/>
            <w:vAlign w:val="center"/>
            <w:hideMark/>
          </w:tcPr>
          <w:p w14:paraId="7A82656B" w14:textId="77777777" w:rsidR="00B07FC0" w:rsidRPr="00B07FC0" w:rsidRDefault="00B07FC0" w:rsidP="00433C4E">
            <w:pPr>
              <w:ind w:firstLineChars="300" w:firstLine="480"/>
              <w:rPr>
                <w:noProof/>
                <w:color w:val="000000"/>
                <w:sz w:val="16"/>
                <w:szCs w:val="16"/>
                <w:lang w:val="pt-PT"/>
              </w:rPr>
            </w:pPr>
            <w:r w:rsidRPr="00B07FC0">
              <w:rPr>
                <w:noProof/>
                <w:color w:val="000000"/>
                <w:sz w:val="16"/>
                <w:lang w:val="pt-PT"/>
              </w:rPr>
              <w:t>Comité Económico e Social Europeu</w:t>
            </w:r>
          </w:p>
        </w:tc>
        <w:tc>
          <w:tcPr>
            <w:tcW w:w="1616" w:type="dxa"/>
            <w:tcBorders>
              <w:top w:val="nil"/>
              <w:left w:val="nil"/>
              <w:bottom w:val="single" w:sz="4" w:space="0" w:color="auto"/>
              <w:right w:val="single" w:sz="4" w:space="0" w:color="auto"/>
            </w:tcBorders>
            <w:shd w:val="clear" w:color="auto" w:fill="auto"/>
            <w:vAlign w:val="center"/>
            <w:hideMark/>
          </w:tcPr>
          <w:p w14:paraId="7779AEFB" w14:textId="77777777" w:rsidR="00B07FC0" w:rsidRPr="00B131F5" w:rsidRDefault="00B07FC0" w:rsidP="00433C4E">
            <w:pPr>
              <w:jc w:val="right"/>
              <w:rPr>
                <w:noProof/>
                <w:color w:val="000000"/>
                <w:sz w:val="16"/>
                <w:szCs w:val="16"/>
              </w:rPr>
            </w:pPr>
            <w:r>
              <w:rPr>
                <w:noProof/>
                <w:sz w:val="16"/>
              </w:rPr>
              <w:t>164,9</w:t>
            </w:r>
          </w:p>
        </w:tc>
        <w:tc>
          <w:tcPr>
            <w:tcW w:w="1701" w:type="dxa"/>
            <w:tcBorders>
              <w:top w:val="nil"/>
              <w:left w:val="nil"/>
              <w:bottom w:val="single" w:sz="4" w:space="0" w:color="auto"/>
              <w:right w:val="single" w:sz="4" w:space="0" w:color="auto"/>
            </w:tcBorders>
            <w:shd w:val="clear" w:color="auto" w:fill="auto"/>
            <w:vAlign w:val="center"/>
            <w:hideMark/>
          </w:tcPr>
          <w:p w14:paraId="123ACFCB" w14:textId="77777777" w:rsidR="00B07FC0" w:rsidRPr="00B131F5" w:rsidRDefault="00B07FC0" w:rsidP="00433C4E">
            <w:pPr>
              <w:jc w:val="right"/>
              <w:rPr>
                <w:noProof/>
                <w:color w:val="000000"/>
                <w:sz w:val="16"/>
                <w:szCs w:val="16"/>
                <w:lang w:val="en-IE" w:eastAsia="en-IE"/>
              </w:rPr>
            </w:pPr>
          </w:p>
        </w:tc>
        <w:tc>
          <w:tcPr>
            <w:tcW w:w="1842" w:type="dxa"/>
            <w:tcBorders>
              <w:top w:val="nil"/>
              <w:left w:val="nil"/>
              <w:bottom w:val="single" w:sz="4" w:space="0" w:color="auto"/>
              <w:right w:val="single" w:sz="4" w:space="0" w:color="auto"/>
            </w:tcBorders>
            <w:shd w:val="clear" w:color="auto" w:fill="auto"/>
            <w:vAlign w:val="center"/>
            <w:hideMark/>
          </w:tcPr>
          <w:p w14:paraId="754254EB" w14:textId="77777777" w:rsidR="00B07FC0" w:rsidRPr="00B131F5" w:rsidRDefault="00B07FC0" w:rsidP="00433C4E">
            <w:pPr>
              <w:jc w:val="right"/>
              <w:rPr>
                <w:noProof/>
                <w:sz w:val="16"/>
                <w:szCs w:val="16"/>
              </w:rPr>
            </w:pPr>
            <w:r>
              <w:rPr>
                <w:noProof/>
                <w:sz w:val="16"/>
              </w:rPr>
              <w:t>164,9</w:t>
            </w:r>
          </w:p>
        </w:tc>
      </w:tr>
      <w:tr w:rsidR="00B07FC0" w:rsidRPr="00937B4C" w14:paraId="01E5141D" w14:textId="77777777" w:rsidTr="00433C4E">
        <w:trPr>
          <w:trHeight w:val="290"/>
        </w:trPr>
        <w:tc>
          <w:tcPr>
            <w:tcW w:w="4480" w:type="dxa"/>
            <w:tcBorders>
              <w:top w:val="nil"/>
              <w:left w:val="single" w:sz="4" w:space="0" w:color="auto"/>
              <w:bottom w:val="single" w:sz="4" w:space="0" w:color="auto"/>
              <w:right w:val="single" w:sz="4" w:space="0" w:color="auto"/>
            </w:tcBorders>
            <w:shd w:val="clear" w:color="auto" w:fill="auto"/>
            <w:vAlign w:val="center"/>
            <w:hideMark/>
          </w:tcPr>
          <w:p w14:paraId="550914D7" w14:textId="77777777" w:rsidR="00B07FC0" w:rsidRPr="00937B4C" w:rsidRDefault="00B07FC0" w:rsidP="00433C4E">
            <w:pPr>
              <w:ind w:firstLineChars="300" w:firstLine="480"/>
              <w:rPr>
                <w:noProof/>
                <w:color w:val="000000"/>
                <w:sz w:val="16"/>
                <w:szCs w:val="16"/>
              </w:rPr>
            </w:pPr>
            <w:r>
              <w:rPr>
                <w:noProof/>
                <w:color w:val="000000"/>
                <w:sz w:val="16"/>
              </w:rPr>
              <w:t>Comité das Regiões</w:t>
            </w:r>
          </w:p>
        </w:tc>
        <w:tc>
          <w:tcPr>
            <w:tcW w:w="1616" w:type="dxa"/>
            <w:tcBorders>
              <w:top w:val="nil"/>
              <w:left w:val="nil"/>
              <w:bottom w:val="single" w:sz="4" w:space="0" w:color="auto"/>
              <w:right w:val="single" w:sz="4" w:space="0" w:color="auto"/>
            </w:tcBorders>
            <w:shd w:val="clear" w:color="auto" w:fill="auto"/>
            <w:vAlign w:val="center"/>
            <w:hideMark/>
          </w:tcPr>
          <w:p w14:paraId="587165C1" w14:textId="77777777" w:rsidR="00B07FC0" w:rsidRPr="00B131F5" w:rsidRDefault="00B07FC0" w:rsidP="00433C4E">
            <w:pPr>
              <w:jc w:val="right"/>
              <w:rPr>
                <w:noProof/>
                <w:color w:val="000000"/>
                <w:sz w:val="16"/>
                <w:szCs w:val="16"/>
              </w:rPr>
            </w:pPr>
            <w:r>
              <w:rPr>
                <w:noProof/>
                <w:sz w:val="16"/>
              </w:rPr>
              <w:t>121,9</w:t>
            </w:r>
          </w:p>
        </w:tc>
        <w:tc>
          <w:tcPr>
            <w:tcW w:w="1701" w:type="dxa"/>
            <w:tcBorders>
              <w:top w:val="nil"/>
              <w:left w:val="nil"/>
              <w:bottom w:val="single" w:sz="4" w:space="0" w:color="auto"/>
              <w:right w:val="single" w:sz="4" w:space="0" w:color="auto"/>
            </w:tcBorders>
            <w:shd w:val="clear" w:color="auto" w:fill="auto"/>
            <w:vAlign w:val="center"/>
            <w:hideMark/>
          </w:tcPr>
          <w:p w14:paraId="11597B4D" w14:textId="77777777" w:rsidR="00B07FC0" w:rsidRPr="00B131F5" w:rsidRDefault="00B07FC0" w:rsidP="00433C4E">
            <w:pPr>
              <w:jc w:val="right"/>
              <w:rPr>
                <w:noProof/>
                <w:color w:val="000000"/>
                <w:sz w:val="16"/>
                <w:szCs w:val="16"/>
                <w:lang w:val="en-IE" w:eastAsia="en-IE"/>
              </w:rPr>
            </w:pPr>
          </w:p>
        </w:tc>
        <w:tc>
          <w:tcPr>
            <w:tcW w:w="1842" w:type="dxa"/>
            <w:tcBorders>
              <w:top w:val="nil"/>
              <w:left w:val="nil"/>
              <w:bottom w:val="single" w:sz="4" w:space="0" w:color="auto"/>
              <w:right w:val="single" w:sz="4" w:space="0" w:color="auto"/>
            </w:tcBorders>
            <w:shd w:val="clear" w:color="auto" w:fill="auto"/>
            <w:vAlign w:val="center"/>
            <w:hideMark/>
          </w:tcPr>
          <w:p w14:paraId="30DBF8D0" w14:textId="77777777" w:rsidR="00B07FC0" w:rsidRPr="00B131F5" w:rsidRDefault="00B07FC0" w:rsidP="00433C4E">
            <w:pPr>
              <w:jc w:val="right"/>
              <w:rPr>
                <w:noProof/>
                <w:sz w:val="16"/>
                <w:szCs w:val="16"/>
              </w:rPr>
            </w:pPr>
            <w:r>
              <w:rPr>
                <w:noProof/>
                <w:sz w:val="16"/>
              </w:rPr>
              <w:t>121,9</w:t>
            </w:r>
          </w:p>
        </w:tc>
      </w:tr>
      <w:tr w:rsidR="00B07FC0" w:rsidRPr="00937B4C" w14:paraId="2FFA7C66" w14:textId="77777777" w:rsidTr="00433C4E">
        <w:trPr>
          <w:trHeight w:val="290"/>
        </w:trPr>
        <w:tc>
          <w:tcPr>
            <w:tcW w:w="4480" w:type="dxa"/>
            <w:tcBorders>
              <w:top w:val="nil"/>
              <w:left w:val="single" w:sz="4" w:space="0" w:color="auto"/>
              <w:bottom w:val="single" w:sz="4" w:space="0" w:color="auto"/>
              <w:right w:val="single" w:sz="4" w:space="0" w:color="auto"/>
            </w:tcBorders>
            <w:shd w:val="clear" w:color="auto" w:fill="auto"/>
            <w:vAlign w:val="center"/>
            <w:hideMark/>
          </w:tcPr>
          <w:p w14:paraId="4C415A20" w14:textId="77777777" w:rsidR="00B07FC0" w:rsidRPr="00937B4C" w:rsidRDefault="00B07FC0" w:rsidP="00433C4E">
            <w:pPr>
              <w:ind w:firstLineChars="300" w:firstLine="480"/>
              <w:rPr>
                <w:noProof/>
                <w:color w:val="000000"/>
                <w:sz w:val="16"/>
                <w:szCs w:val="16"/>
              </w:rPr>
            </w:pPr>
            <w:r>
              <w:rPr>
                <w:noProof/>
                <w:color w:val="000000"/>
                <w:sz w:val="16"/>
              </w:rPr>
              <w:t>Provedor de Justiça Europeu</w:t>
            </w:r>
          </w:p>
        </w:tc>
        <w:tc>
          <w:tcPr>
            <w:tcW w:w="1616" w:type="dxa"/>
            <w:tcBorders>
              <w:top w:val="nil"/>
              <w:left w:val="nil"/>
              <w:bottom w:val="single" w:sz="4" w:space="0" w:color="auto"/>
              <w:right w:val="single" w:sz="4" w:space="0" w:color="auto"/>
            </w:tcBorders>
            <w:shd w:val="clear" w:color="auto" w:fill="auto"/>
            <w:vAlign w:val="center"/>
            <w:hideMark/>
          </w:tcPr>
          <w:p w14:paraId="022B634F" w14:textId="77777777" w:rsidR="00B07FC0" w:rsidRPr="00B131F5" w:rsidRDefault="00B07FC0" w:rsidP="00433C4E">
            <w:pPr>
              <w:jc w:val="right"/>
              <w:rPr>
                <w:noProof/>
                <w:color w:val="000000"/>
                <w:sz w:val="16"/>
                <w:szCs w:val="16"/>
              </w:rPr>
            </w:pPr>
            <w:r>
              <w:rPr>
                <w:noProof/>
                <w:sz w:val="16"/>
              </w:rPr>
              <w:t>13,7</w:t>
            </w:r>
          </w:p>
        </w:tc>
        <w:tc>
          <w:tcPr>
            <w:tcW w:w="1701" w:type="dxa"/>
            <w:tcBorders>
              <w:top w:val="nil"/>
              <w:left w:val="nil"/>
              <w:bottom w:val="single" w:sz="4" w:space="0" w:color="auto"/>
              <w:right w:val="single" w:sz="4" w:space="0" w:color="auto"/>
            </w:tcBorders>
            <w:shd w:val="clear" w:color="auto" w:fill="auto"/>
            <w:vAlign w:val="center"/>
            <w:hideMark/>
          </w:tcPr>
          <w:p w14:paraId="558D8479" w14:textId="77777777" w:rsidR="00B07FC0" w:rsidRPr="00B131F5" w:rsidRDefault="00B07FC0" w:rsidP="00433C4E">
            <w:pPr>
              <w:jc w:val="right"/>
              <w:rPr>
                <w:noProof/>
                <w:color w:val="000000"/>
                <w:sz w:val="16"/>
                <w:szCs w:val="16"/>
                <w:lang w:val="en-IE" w:eastAsia="en-IE"/>
              </w:rPr>
            </w:pPr>
          </w:p>
        </w:tc>
        <w:tc>
          <w:tcPr>
            <w:tcW w:w="1842" w:type="dxa"/>
            <w:tcBorders>
              <w:top w:val="nil"/>
              <w:left w:val="nil"/>
              <w:bottom w:val="single" w:sz="4" w:space="0" w:color="auto"/>
              <w:right w:val="single" w:sz="4" w:space="0" w:color="auto"/>
            </w:tcBorders>
            <w:shd w:val="clear" w:color="auto" w:fill="auto"/>
            <w:vAlign w:val="center"/>
            <w:hideMark/>
          </w:tcPr>
          <w:p w14:paraId="311FE755" w14:textId="77777777" w:rsidR="00B07FC0" w:rsidRPr="00B131F5" w:rsidRDefault="00B07FC0" w:rsidP="00433C4E">
            <w:pPr>
              <w:jc w:val="right"/>
              <w:rPr>
                <w:noProof/>
                <w:sz w:val="16"/>
                <w:szCs w:val="16"/>
              </w:rPr>
            </w:pPr>
            <w:r>
              <w:rPr>
                <w:noProof/>
                <w:sz w:val="16"/>
              </w:rPr>
              <w:t>13,7</w:t>
            </w:r>
          </w:p>
        </w:tc>
      </w:tr>
      <w:tr w:rsidR="00B07FC0" w:rsidRPr="00937B4C" w14:paraId="0E3C9DFF" w14:textId="77777777" w:rsidTr="00433C4E">
        <w:trPr>
          <w:trHeight w:val="290"/>
        </w:trPr>
        <w:tc>
          <w:tcPr>
            <w:tcW w:w="4480" w:type="dxa"/>
            <w:tcBorders>
              <w:top w:val="nil"/>
              <w:left w:val="single" w:sz="4" w:space="0" w:color="auto"/>
              <w:bottom w:val="single" w:sz="4" w:space="0" w:color="auto"/>
              <w:right w:val="single" w:sz="4" w:space="0" w:color="auto"/>
            </w:tcBorders>
            <w:shd w:val="clear" w:color="auto" w:fill="auto"/>
            <w:vAlign w:val="center"/>
            <w:hideMark/>
          </w:tcPr>
          <w:p w14:paraId="37832AB3" w14:textId="77777777" w:rsidR="00B07FC0" w:rsidRPr="00B07FC0" w:rsidRDefault="00B07FC0" w:rsidP="00433C4E">
            <w:pPr>
              <w:ind w:firstLineChars="300" w:firstLine="480"/>
              <w:rPr>
                <w:noProof/>
                <w:color w:val="000000"/>
                <w:sz w:val="16"/>
                <w:szCs w:val="16"/>
                <w:lang w:val="pt-PT"/>
              </w:rPr>
            </w:pPr>
            <w:r w:rsidRPr="00B07FC0">
              <w:rPr>
                <w:noProof/>
                <w:color w:val="000000"/>
                <w:sz w:val="16"/>
                <w:lang w:val="pt-PT"/>
              </w:rPr>
              <w:t>Autoridade Europeia para a Proteção de Dados</w:t>
            </w:r>
          </w:p>
        </w:tc>
        <w:tc>
          <w:tcPr>
            <w:tcW w:w="1616" w:type="dxa"/>
            <w:tcBorders>
              <w:top w:val="nil"/>
              <w:left w:val="nil"/>
              <w:bottom w:val="single" w:sz="4" w:space="0" w:color="auto"/>
              <w:right w:val="single" w:sz="4" w:space="0" w:color="auto"/>
            </w:tcBorders>
            <w:shd w:val="clear" w:color="auto" w:fill="auto"/>
            <w:vAlign w:val="center"/>
            <w:hideMark/>
          </w:tcPr>
          <w:p w14:paraId="3E09E01B" w14:textId="77777777" w:rsidR="00B07FC0" w:rsidRPr="00B131F5" w:rsidRDefault="00B07FC0" w:rsidP="00433C4E">
            <w:pPr>
              <w:jc w:val="right"/>
              <w:rPr>
                <w:noProof/>
                <w:color w:val="000000"/>
                <w:sz w:val="16"/>
                <w:szCs w:val="16"/>
              </w:rPr>
            </w:pPr>
            <w:r>
              <w:rPr>
                <w:noProof/>
                <w:sz w:val="16"/>
              </w:rPr>
              <w:t>23,9</w:t>
            </w:r>
          </w:p>
        </w:tc>
        <w:tc>
          <w:tcPr>
            <w:tcW w:w="1701" w:type="dxa"/>
            <w:tcBorders>
              <w:top w:val="nil"/>
              <w:left w:val="nil"/>
              <w:bottom w:val="single" w:sz="4" w:space="0" w:color="auto"/>
              <w:right w:val="single" w:sz="4" w:space="0" w:color="auto"/>
            </w:tcBorders>
            <w:shd w:val="clear" w:color="auto" w:fill="auto"/>
            <w:vAlign w:val="center"/>
            <w:hideMark/>
          </w:tcPr>
          <w:p w14:paraId="1BE745CD" w14:textId="77777777" w:rsidR="00B07FC0" w:rsidRPr="00B131F5" w:rsidRDefault="00B07FC0" w:rsidP="00433C4E">
            <w:pPr>
              <w:jc w:val="right"/>
              <w:rPr>
                <w:noProof/>
                <w:color w:val="000000"/>
                <w:sz w:val="16"/>
                <w:szCs w:val="16"/>
                <w:lang w:val="en-IE" w:eastAsia="en-IE"/>
              </w:rPr>
            </w:pPr>
          </w:p>
        </w:tc>
        <w:tc>
          <w:tcPr>
            <w:tcW w:w="1842" w:type="dxa"/>
            <w:tcBorders>
              <w:top w:val="nil"/>
              <w:left w:val="nil"/>
              <w:bottom w:val="single" w:sz="4" w:space="0" w:color="auto"/>
              <w:right w:val="single" w:sz="4" w:space="0" w:color="auto"/>
            </w:tcBorders>
            <w:shd w:val="clear" w:color="auto" w:fill="auto"/>
            <w:vAlign w:val="center"/>
            <w:hideMark/>
          </w:tcPr>
          <w:p w14:paraId="126D82B9" w14:textId="77777777" w:rsidR="00B07FC0" w:rsidRPr="00B131F5" w:rsidRDefault="00B07FC0" w:rsidP="00433C4E">
            <w:pPr>
              <w:jc w:val="right"/>
              <w:rPr>
                <w:noProof/>
                <w:sz w:val="16"/>
                <w:szCs w:val="16"/>
              </w:rPr>
            </w:pPr>
            <w:r>
              <w:rPr>
                <w:noProof/>
                <w:sz w:val="16"/>
              </w:rPr>
              <w:t>23,9</w:t>
            </w:r>
          </w:p>
        </w:tc>
      </w:tr>
      <w:tr w:rsidR="00B07FC0" w:rsidRPr="00937B4C" w14:paraId="018677E0" w14:textId="77777777" w:rsidTr="00433C4E">
        <w:trPr>
          <w:trHeight w:val="290"/>
        </w:trPr>
        <w:tc>
          <w:tcPr>
            <w:tcW w:w="4480" w:type="dxa"/>
            <w:tcBorders>
              <w:top w:val="nil"/>
              <w:left w:val="single" w:sz="4" w:space="0" w:color="auto"/>
              <w:bottom w:val="single" w:sz="4" w:space="0" w:color="auto"/>
              <w:right w:val="single" w:sz="4" w:space="0" w:color="auto"/>
            </w:tcBorders>
            <w:shd w:val="clear" w:color="auto" w:fill="auto"/>
            <w:vAlign w:val="center"/>
            <w:hideMark/>
          </w:tcPr>
          <w:p w14:paraId="4685E83F" w14:textId="77777777" w:rsidR="00B07FC0" w:rsidRPr="00B07FC0" w:rsidRDefault="00B07FC0" w:rsidP="00433C4E">
            <w:pPr>
              <w:ind w:firstLineChars="300" w:firstLine="480"/>
              <w:rPr>
                <w:noProof/>
                <w:color w:val="000000"/>
                <w:sz w:val="16"/>
                <w:szCs w:val="16"/>
                <w:lang w:val="pt-PT"/>
              </w:rPr>
            </w:pPr>
            <w:r w:rsidRPr="00B07FC0">
              <w:rPr>
                <w:noProof/>
                <w:color w:val="000000"/>
                <w:sz w:val="16"/>
                <w:lang w:val="pt-PT"/>
              </w:rPr>
              <w:t>Serviço Europeu para a Ação Externa</w:t>
            </w:r>
          </w:p>
        </w:tc>
        <w:tc>
          <w:tcPr>
            <w:tcW w:w="1616" w:type="dxa"/>
            <w:tcBorders>
              <w:top w:val="nil"/>
              <w:left w:val="nil"/>
              <w:bottom w:val="single" w:sz="4" w:space="0" w:color="auto"/>
              <w:right w:val="single" w:sz="4" w:space="0" w:color="auto"/>
            </w:tcBorders>
            <w:shd w:val="clear" w:color="auto" w:fill="auto"/>
            <w:vAlign w:val="center"/>
            <w:hideMark/>
          </w:tcPr>
          <w:p w14:paraId="1A2BA3F6" w14:textId="77777777" w:rsidR="00B07FC0" w:rsidRPr="00B131F5" w:rsidRDefault="00B07FC0" w:rsidP="00433C4E">
            <w:pPr>
              <w:jc w:val="right"/>
              <w:rPr>
                <w:noProof/>
                <w:color w:val="000000"/>
                <w:sz w:val="16"/>
                <w:szCs w:val="16"/>
              </w:rPr>
            </w:pPr>
            <w:r>
              <w:rPr>
                <w:noProof/>
                <w:sz w:val="16"/>
              </w:rPr>
              <w:t>872,2</w:t>
            </w:r>
          </w:p>
        </w:tc>
        <w:tc>
          <w:tcPr>
            <w:tcW w:w="1701" w:type="dxa"/>
            <w:tcBorders>
              <w:top w:val="nil"/>
              <w:left w:val="nil"/>
              <w:bottom w:val="single" w:sz="4" w:space="0" w:color="auto"/>
              <w:right w:val="single" w:sz="4" w:space="0" w:color="auto"/>
            </w:tcBorders>
            <w:shd w:val="clear" w:color="auto" w:fill="auto"/>
            <w:vAlign w:val="center"/>
            <w:hideMark/>
          </w:tcPr>
          <w:p w14:paraId="173DDD80" w14:textId="77777777" w:rsidR="00B07FC0" w:rsidRPr="00B131F5" w:rsidRDefault="00B07FC0" w:rsidP="00433C4E">
            <w:pPr>
              <w:jc w:val="right"/>
              <w:rPr>
                <w:noProof/>
                <w:sz w:val="16"/>
                <w:szCs w:val="16"/>
              </w:rPr>
            </w:pPr>
            <w:r>
              <w:rPr>
                <w:noProof/>
                <w:sz w:val="16"/>
              </w:rPr>
              <w:t>7,9</w:t>
            </w:r>
          </w:p>
        </w:tc>
        <w:tc>
          <w:tcPr>
            <w:tcW w:w="1842" w:type="dxa"/>
            <w:tcBorders>
              <w:top w:val="nil"/>
              <w:left w:val="nil"/>
              <w:bottom w:val="single" w:sz="4" w:space="0" w:color="auto"/>
              <w:right w:val="single" w:sz="4" w:space="0" w:color="auto"/>
            </w:tcBorders>
            <w:shd w:val="clear" w:color="auto" w:fill="auto"/>
            <w:vAlign w:val="center"/>
            <w:hideMark/>
          </w:tcPr>
          <w:p w14:paraId="3B6735C4" w14:textId="77777777" w:rsidR="00B07FC0" w:rsidRPr="00B131F5" w:rsidRDefault="00B07FC0" w:rsidP="00433C4E">
            <w:pPr>
              <w:jc w:val="right"/>
              <w:rPr>
                <w:noProof/>
                <w:sz w:val="16"/>
                <w:szCs w:val="16"/>
              </w:rPr>
            </w:pPr>
            <w:r>
              <w:rPr>
                <w:noProof/>
                <w:sz w:val="16"/>
              </w:rPr>
              <w:t>880,1</w:t>
            </w:r>
          </w:p>
        </w:tc>
      </w:tr>
      <w:tr w:rsidR="00B07FC0" w:rsidRPr="00937B4C" w14:paraId="3297EF1F" w14:textId="77777777" w:rsidTr="00433C4E">
        <w:trPr>
          <w:trHeight w:val="290"/>
        </w:trPr>
        <w:tc>
          <w:tcPr>
            <w:tcW w:w="448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EB16D6C" w14:textId="77777777" w:rsidR="00B07FC0" w:rsidRPr="00937B4C" w:rsidRDefault="00B07FC0" w:rsidP="00433C4E">
            <w:pPr>
              <w:jc w:val="both"/>
              <w:rPr>
                <w:b/>
                <w:bCs/>
                <w:noProof/>
                <w:color w:val="000000"/>
                <w:sz w:val="20"/>
                <w:szCs w:val="20"/>
              </w:rPr>
            </w:pPr>
            <w:r>
              <w:rPr>
                <w:b/>
                <w:noProof/>
                <w:sz w:val="20"/>
              </w:rPr>
              <w:t xml:space="preserve">Total </w:t>
            </w:r>
          </w:p>
        </w:tc>
        <w:tc>
          <w:tcPr>
            <w:tcW w:w="1616" w:type="dxa"/>
            <w:tcBorders>
              <w:top w:val="nil"/>
              <w:left w:val="nil"/>
              <w:bottom w:val="single" w:sz="4" w:space="0" w:color="auto"/>
              <w:right w:val="single" w:sz="4" w:space="0" w:color="auto"/>
            </w:tcBorders>
            <w:shd w:val="clear" w:color="auto" w:fill="D9D9D9" w:themeFill="background1" w:themeFillShade="D9"/>
            <w:vAlign w:val="center"/>
            <w:hideMark/>
          </w:tcPr>
          <w:p w14:paraId="17BF7FAF" w14:textId="77777777" w:rsidR="00B07FC0" w:rsidRPr="00937B4C" w:rsidRDefault="00B07FC0" w:rsidP="00433C4E">
            <w:pPr>
              <w:jc w:val="right"/>
              <w:rPr>
                <w:b/>
                <w:bCs/>
                <w:noProof/>
                <w:color w:val="000000"/>
                <w:sz w:val="20"/>
                <w:szCs w:val="20"/>
              </w:rPr>
            </w:pPr>
            <w:r>
              <w:rPr>
                <w:b/>
                <w:noProof/>
                <w:sz w:val="20"/>
              </w:rPr>
              <w:t>11 949,6</w:t>
            </w:r>
          </w:p>
        </w:tc>
        <w:tc>
          <w:tcPr>
            <w:tcW w:w="1701" w:type="dxa"/>
            <w:tcBorders>
              <w:top w:val="nil"/>
              <w:left w:val="nil"/>
              <w:bottom w:val="single" w:sz="4" w:space="0" w:color="auto"/>
              <w:right w:val="single" w:sz="4" w:space="0" w:color="auto"/>
            </w:tcBorders>
            <w:shd w:val="clear" w:color="auto" w:fill="D9D9D9" w:themeFill="background1" w:themeFillShade="D9"/>
            <w:vAlign w:val="center"/>
            <w:hideMark/>
          </w:tcPr>
          <w:p w14:paraId="28922B70" w14:textId="77777777" w:rsidR="00B07FC0" w:rsidRPr="00937B4C" w:rsidRDefault="00B07FC0" w:rsidP="00433C4E">
            <w:pPr>
              <w:jc w:val="right"/>
              <w:rPr>
                <w:noProof/>
                <w:sz w:val="20"/>
                <w:szCs w:val="20"/>
              </w:rPr>
            </w:pPr>
            <w:r>
              <w:rPr>
                <w:b/>
                <w:noProof/>
                <w:color w:val="000000" w:themeColor="text1"/>
                <w:sz w:val="20"/>
              </w:rPr>
              <w:t>4,6</w:t>
            </w:r>
          </w:p>
        </w:tc>
        <w:tc>
          <w:tcPr>
            <w:tcW w:w="1842" w:type="dxa"/>
            <w:tcBorders>
              <w:top w:val="nil"/>
              <w:left w:val="nil"/>
              <w:bottom w:val="single" w:sz="4" w:space="0" w:color="auto"/>
              <w:right w:val="single" w:sz="4" w:space="0" w:color="auto"/>
            </w:tcBorders>
            <w:shd w:val="clear" w:color="auto" w:fill="D9D9D9" w:themeFill="background1" w:themeFillShade="D9"/>
            <w:vAlign w:val="center"/>
            <w:hideMark/>
          </w:tcPr>
          <w:p w14:paraId="0A993521" w14:textId="77777777" w:rsidR="00B07FC0" w:rsidRPr="00937B4C" w:rsidRDefault="00B07FC0" w:rsidP="00433C4E">
            <w:pPr>
              <w:jc w:val="right"/>
              <w:rPr>
                <w:noProof/>
                <w:sz w:val="20"/>
                <w:szCs w:val="20"/>
              </w:rPr>
            </w:pPr>
            <w:r>
              <w:rPr>
                <w:b/>
                <w:noProof/>
                <w:sz w:val="20"/>
              </w:rPr>
              <w:t>11 954,2</w:t>
            </w:r>
          </w:p>
        </w:tc>
      </w:tr>
    </w:tbl>
    <w:p w14:paraId="09BD35F8" w14:textId="77777777" w:rsidR="00B07FC0" w:rsidRPr="00B07FC0" w:rsidRDefault="00B07FC0" w:rsidP="00B07FC0">
      <w:pPr>
        <w:autoSpaceDE w:val="0"/>
        <w:autoSpaceDN w:val="0"/>
        <w:adjustRightInd w:val="0"/>
        <w:spacing w:before="120" w:after="120" w:line="259" w:lineRule="auto"/>
        <w:jc w:val="both"/>
        <w:rPr>
          <w:noProof/>
          <w:lang w:val="pt-PT"/>
        </w:rPr>
      </w:pPr>
      <w:r w:rsidRPr="00B07FC0">
        <w:rPr>
          <w:noProof/>
          <w:lang w:val="pt-PT"/>
        </w:rPr>
        <w:t>Por conseguinte, o recurso ao Instrumento de Margem Único no âmbito da rubrica 7 deve ser aumentado num montante de 4,6 milhões de EUR em comparação com o PO de 2024, conduzindo à utilização do Instrumento de Margem Único (artigo 11.º, n.º 1, alínea a)) num montante de 181,2 milhões de EUR em 2024, a fim de cumprir todas as obrigações jurídicas. No entanto, as despesas totais relativas à administração no âmbito da rubrica 7 do período 2021-2024 permanecem dentro dos limites máximos fixados para esta rubrica no Regulamento QFP, uma vez que as margens não utilizadas da rubrica 7 em 2021-2022 ascenderam a 467 milhões de EUR.</w:t>
      </w:r>
    </w:p>
    <w:p w14:paraId="3ACC21AE" w14:textId="77777777" w:rsidR="00B07FC0" w:rsidRPr="00B07FC0" w:rsidRDefault="00B07FC0" w:rsidP="00B07FC0">
      <w:pPr>
        <w:pStyle w:val="ManualHeading1"/>
        <w:ind w:left="0" w:firstLine="0"/>
        <w:rPr>
          <w:noProof/>
          <w:lang w:val="pt-PT"/>
        </w:rPr>
      </w:pPr>
      <w:bookmarkStart w:id="103" w:name="_Toc114838644"/>
      <w:bookmarkStart w:id="104" w:name="_Toc145922834"/>
      <w:r w:rsidRPr="00B07FC0">
        <w:rPr>
          <w:noProof/>
          <w:lang w:val="pt-PT"/>
        </w:rPr>
        <w:t>8.</w:t>
      </w:r>
      <w:r w:rsidRPr="00B07FC0">
        <w:rPr>
          <w:noProof/>
          <w:lang w:val="pt-PT"/>
        </w:rPr>
        <w:tab/>
      </w:r>
      <w:bookmarkEnd w:id="103"/>
      <w:r w:rsidRPr="00B07FC0">
        <w:rPr>
          <w:noProof/>
          <w:lang w:val="pt-PT"/>
        </w:rPr>
        <w:t>Transferência da rubrica de reserva para as rubricas operacionais</w:t>
      </w:r>
      <w:bookmarkEnd w:id="104"/>
    </w:p>
    <w:p w14:paraId="4434E358" w14:textId="77777777" w:rsidR="00B07FC0" w:rsidRPr="00B07FC0" w:rsidRDefault="00B07FC0" w:rsidP="00B07FC0">
      <w:pPr>
        <w:spacing w:after="120" w:line="259" w:lineRule="auto"/>
        <w:jc w:val="both"/>
        <w:rPr>
          <w:noProof/>
          <w:lang w:val="pt-PT"/>
        </w:rPr>
      </w:pPr>
      <w:r w:rsidRPr="00B07FC0">
        <w:rPr>
          <w:noProof/>
          <w:lang w:val="pt-PT"/>
        </w:rPr>
        <w:t>Devido à adoção dos atos jurídicos correspondentes pelos colegisladores, a Comissão propõe transferir os montantes atualmente colocados em reservas relativos à Ação de Apoio à Produção de Munições (ASAP)</w:t>
      </w:r>
      <w:r>
        <w:rPr>
          <w:rStyle w:val="FootnoteReference"/>
          <w:noProof/>
        </w:rPr>
        <w:footnoteReference w:id="16"/>
      </w:r>
      <w:r w:rsidRPr="00B07FC0">
        <w:rPr>
          <w:noProof/>
          <w:lang w:val="pt-PT"/>
        </w:rPr>
        <w:t xml:space="preserve"> e ao instrumento para reforçar a indústria europeia da defesa através da contratação conjunta (EDIRPA)</w:t>
      </w:r>
      <w:r>
        <w:rPr>
          <w:rStyle w:val="FootnoteReference"/>
          <w:noProof/>
        </w:rPr>
        <w:footnoteReference w:id="17"/>
      </w:r>
      <w:r w:rsidRPr="00B07FC0">
        <w:rPr>
          <w:noProof/>
          <w:lang w:val="pt-PT"/>
        </w:rPr>
        <w:t xml:space="preserve"> para as rubricas operacionais dos programas em causa, do seguinte modo:</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5132"/>
        <w:gridCol w:w="1701"/>
        <w:gridCol w:w="1701"/>
      </w:tblGrid>
      <w:tr w:rsidR="00B07FC0" w:rsidRPr="00B31192" w14:paraId="473F74EE" w14:textId="77777777" w:rsidTr="00433C4E">
        <w:trPr>
          <w:jc w:val="center"/>
        </w:trPr>
        <w:tc>
          <w:tcPr>
            <w:tcW w:w="9810" w:type="dxa"/>
            <w:gridSpan w:val="4"/>
            <w:tcBorders>
              <w:top w:val="nil"/>
              <w:left w:val="nil"/>
              <w:bottom w:val="single" w:sz="4" w:space="0" w:color="auto"/>
              <w:right w:val="nil"/>
            </w:tcBorders>
            <w:shd w:val="clear" w:color="auto" w:fill="auto"/>
            <w:vAlign w:val="center"/>
          </w:tcPr>
          <w:p w14:paraId="3C0281EF" w14:textId="77777777" w:rsidR="00B07FC0" w:rsidRPr="00B31192" w:rsidRDefault="00B07FC0" w:rsidP="00433C4E">
            <w:pPr>
              <w:widowControl w:val="0"/>
              <w:spacing w:before="15" w:after="15"/>
              <w:jc w:val="right"/>
              <w:rPr>
                <w:i/>
                <w:noProof/>
                <w:sz w:val="20"/>
                <w:szCs w:val="20"/>
              </w:rPr>
            </w:pPr>
            <w:r>
              <w:rPr>
                <w:i/>
                <w:noProof/>
                <w:sz w:val="20"/>
              </w:rPr>
              <w:t>EUR</w:t>
            </w:r>
          </w:p>
        </w:tc>
      </w:tr>
      <w:tr w:rsidR="00B07FC0" w:rsidRPr="00B31192" w14:paraId="267C0EDB" w14:textId="77777777" w:rsidTr="00433C4E">
        <w:trPr>
          <w:jc w:val="center"/>
        </w:trPr>
        <w:tc>
          <w:tcPr>
            <w:tcW w:w="1276" w:type="dxa"/>
            <w:tcBorders>
              <w:top w:val="single" w:sz="4" w:space="0" w:color="auto"/>
            </w:tcBorders>
            <w:shd w:val="clear" w:color="auto" w:fill="D9D9D9" w:themeFill="background1" w:themeFillShade="D9"/>
            <w:vAlign w:val="center"/>
          </w:tcPr>
          <w:p w14:paraId="6875B6C2" w14:textId="77777777" w:rsidR="00B07FC0" w:rsidRPr="00B31192" w:rsidRDefault="00B07FC0" w:rsidP="00433C4E">
            <w:pPr>
              <w:keepNext/>
              <w:spacing w:before="15" w:after="15"/>
              <w:jc w:val="center"/>
              <w:rPr>
                <w:b/>
                <w:noProof/>
                <w:sz w:val="20"/>
                <w:szCs w:val="20"/>
              </w:rPr>
            </w:pPr>
            <w:r>
              <w:rPr>
                <w:b/>
                <w:noProof/>
                <w:sz w:val="20"/>
              </w:rPr>
              <w:t>Rubrica orçamental</w:t>
            </w:r>
          </w:p>
        </w:tc>
        <w:tc>
          <w:tcPr>
            <w:tcW w:w="5132" w:type="dxa"/>
            <w:tcBorders>
              <w:top w:val="single" w:sz="4" w:space="0" w:color="auto"/>
            </w:tcBorders>
            <w:shd w:val="clear" w:color="auto" w:fill="D9D9D9" w:themeFill="background1" w:themeFillShade="D9"/>
            <w:vAlign w:val="center"/>
          </w:tcPr>
          <w:p w14:paraId="06F12AB0" w14:textId="77777777" w:rsidR="00B07FC0" w:rsidRPr="00B31192" w:rsidRDefault="00B07FC0" w:rsidP="00433C4E">
            <w:pPr>
              <w:widowControl w:val="0"/>
              <w:spacing w:before="15" w:after="15"/>
              <w:jc w:val="center"/>
              <w:rPr>
                <w:b/>
                <w:noProof/>
                <w:sz w:val="20"/>
                <w:szCs w:val="20"/>
              </w:rPr>
            </w:pPr>
            <w:r>
              <w:rPr>
                <w:b/>
                <w:noProof/>
                <w:sz w:val="20"/>
              </w:rPr>
              <w:t>Nome</w:t>
            </w:r>
          </w:p>
        </w:tc>
        <w:tc>
          <w:tcPr>
            <w:tcW w:w="1701" w:type="dxa"/>
            <w:tcBorders>
              <w:top w:val="single" w:sz="4" w:space="0" w:color="auto"/>
            </w:tcBorders>
            <w:shd w:val="clear" w:color="auto" w:fill="D9D9D9" w:themeFill="background1" w:themeFillShade="D9"/>
            <w:vAlign w:val="center"/>
          </w:tcPr>
          <w:p w14:paraId="6CFF5F3A" w14:textId="77777777" w:rsidR="00B07FC0" w:rsidRPr="00B31192" w:rsidRDefault="00B07FC0" w:rsidP="00433C4E">
            <w:pPr>
              <w:widowControl w:val="0"/>
              <w:spacing w:before="15" w:after="15"/>
              <w:jc w:val="center"/>
              <w:rPr>
                <w:b/>
                <w:noProof/>
                <w:sz w:val="20"/>
                <w:szCs w:val="20"/>
              </w:rPr>
            </w:pPr>
            <w:r>
              <w:rPr>
                <w:b/>
                <w:noProof/>
                <w:sz w:val="20"/>
              </w:rPr>
              <w:t>Dotações de autorização</w:t>
            </w:r>
          </w:p>
        </w:tc>
        <w:tc>
          <w:tcPr>
            <w:tcW w:w="1701" w:type="dxa"/>
            <w:tcBorders>
              <w:top w:val="single" w:sz="4" w:space="0" w:color="auto"/>
            </w:tcBorders>
            <w:shd w:val="clear" w:color="auto" w:fill="D9D9D9" w:themeFill="background1" w:themeFillShade="D9"/>
            <w:vAlign w:val="center"/>
          </w:tcPr>
          <w:p w14:paraId="1BF5243E" w14:textId="77777777" w:rsidR="00B07FC0" w:rsidRPr="00B31192" w:rsidRDefault="00B07FC0" w:rsidP="00433C4E">
            <w:pPr>
              <w:widowControl w:val="0"/>
              <w:spacing w:before="15" w:after="15"/>
              <w:jc w:val="center"/>
              <w:rPr>
                <w:b/>
                <w:noProof/>
                <w:sz w:val="20"/>
                <w:szCs w:val="20"/>
              </w:rPr>
            </w:pPr>
            <w:r>
              <w:rPr>
                <w:b/>
                <w:noProof/>
                <w:sz w:val="20"/>
              </w:rPr>
              <w:t>Dotações de pagamento</w:t>
            </w:r>
          </w:p>
        </w:tc>
      </w:tr>
      <w:tr w:rsidR="00B07FC0" w:rsidRPr="00B31192" w14:paraId="7CFB4F76" w14:textId="77777777" w:rsidTr="00433C4E">
        <w:trPr>
          <w:jc w:val="center"/>
        </w:trPr>
        <w:tc>
          <w:tcPr>
            <w:tcW w:w="9810" w:type="dxa"/>
            <w:gridSpan w:val="4"/>
            <w:shd w:val="clear" w:color="auto" w:fill="F2F2F2" w:themeFill="background1" w:themeFillShade="F2"/>
            <w:vAlign w:val="center"/>
          </w:tcPr>
          <w:p w14:paraId="0052A11C" w14:textId="77777777" w:rsidR="00B07FC0" w:rsidRPr="00B31192" w:rsidRDefault="00B07FC0" w:rsidP="00433C4E">
            <w:pPr>
              <w:widowControl w:val="0"/>
              <w:spacing w:before="15" w:after="15"/>
              <w:rPr>
                <w:i/>
                <w:noProof/>
                <w:sz w:val="20"/>
                <w:szCs w:val="20"/>
              </w:rPr>
            </w:pPr>
            <w:r>
              <w:rPr>
                <w:i/>
                <w:noProof/>
                <w:sz w:val="20"/>
              </w:rPr>
              <w:t>Secção III – Comissão</w:t>
            </w:r>
          </w:p>
        </w:tc>
      </w:tr>
      <w:tr w:rsidR="00B07FC0" w:rsidRPr="00B31192" w14:paraId="74556FA4" w14:textId="77777777" w:rsidTr="00433C4E">
        <w:trPr>
          <w:jc w:val="center"/>
        </w:trPr>
        <w:tc>
          <w:tcPr>
            <w:tcW w:w="1276" w:type="dxa"/>
          </w:tcPr>
          <w:p w14:paraId="50246D16" w14:textId="77777777" w:rsidR="00B07FC0" w:rsidRDefault="00B07FC0" w:rsidP="00433C4E">
            <w:pPr>
              <w:widowControl w:val="0"/>
              <w:spacing w:before="15" w:after="15"/>
              <w:ind w:right="-113"/>
              <w:jc w:val="both"/>
              <w:rPr>
                <w:noProof/>
                <w:sz w:val="16"/>
                <w:szCs w:val="16"/>
              </w:rPr>
            </w:pPr>
            <w:r>
              <w:rPr>
                <w:noProof/>
                <w:sz w:val="16"/>
              </w:rPr>
              <w:t>13 06 01</w:t>
            </w:r>
          </w:p>
        </w:tc>
        <w:tc>
          <w:tcPr>
            <w:tcW w:w="5132" w:type="dxa"/>
          </w:tcPr>
          <w:p w14:paraId="2079B997" w14:textId="77777777" w:rsidR="00B07FC0" w:rsidRPr="00B07FC0" w:rsidRDefault="00B07FC0" w:rsidP="00433C4E">
            <w:pPr>
              <w:widowControl w:val="0"/>
              <w:tabs>
                <w:tab w:val="left" w:pos="1350"/>
              </w:tabs>
              <w:spacing w:before="15" w:after="15"/>
              <w:jc w:val="both"/>
              <w:rPr>
                <w:noProof/>
                <w:sz w:val="16"/>
                <w:szCs w:val="16"/>
                <w:lang w:val="pt-PT"/>
              </w:rPr>
            </w:pPr>
            <w:r w:rsidRPr="00B07FC0">
              <w:rPr>
                <w:noProof/>
                <w:sz w:val="16"/>
                <w:lang w:val="pt-PT"/>
              </w:rPr>
              <w:t>Instrumento de curto prazo para a contratação pública colaborativa no setor da defesa</w:t>
            </w:r>
          </w:p>
        </w:tc>
        <w:tc>
          <w:tcPr>
            <w:tcW w:w="1701" w:type="dxa"/>
          </w:tcPr>
          <w:p w14:paraId="78D18C1A" w14:textId="77777777" w:rsidR="00B07FC0" w:rsidDel="00DF0FD8" w:rsidRDefault="00B07FC0" w:rsidP="00433C4E">
            <w:pPr>
              <w:widowControl w:val="0"/>
              <w:spacing w:before="15" w:after="15"/>
              <w:jc w:val="right"/>
              <w:rPr>
                <w:noProof/>
                <w:sz w:val="16"/>
                <w:szCs w:val="16"/>
              </w:rPr>
            </w:pPr>
            <w:r>
              <w:rPr>
                <w:noProof/>
                <w:sz w:val="16"/>
              </w:rPr>
              <w:t>259 972 301</w:t>
            </w:r>
          </w:p>
        </w:tc>
        <w:tc>
          <w:tcPr>
            <w:tcW w:w="1701" w:type="dxa"/>
          </w:tcPr>
          <w:p w14:paraId="19F8AEC5" w14:textId="77777777" w:rsidR="00B07FC0" w:rsidDel="00DF0FD8" w:rsidRDefault="00B07FC0" w:rsidP="00433C4E">
            <w:pPr>
              <w:widowControl w:val="0"/>
              <w:spacing w:before="15" w:after="15"/>
              <w:jc w:val="right"/>
              <w:rPr>
                <w:noProof/>
                <w:sz w:val="16"/>
                <w:szCs w:val="16"/>
              </w:rPr>
            </w:pPr>
            <w:r>
              <w:rPr>
                <w:noProof/>
                <w:sz w:val="16"/>
              </w:rPr>
              <w:t>100 000 000</w:t>
            </w:r>
          </w:p>
        </w:tc>
      </w:tr>
      <w:tr w:rsidR="00B07FC0" w:rsidRPr="00B31192" w14:paraId="5C448DEB" w14:textId="77777777" w:rsidTr="00433C4E">
        <w:trPr>
          <w:jc w:val="center"/>
        </w:trPr>
        <w:tc>
          <w:tcPr>
            <w:tcW w:w="1276" w:type="dxa"/>
          </w:tcPr>
          <w:p w14:paraId="0CA8C9A3" w14:textId="77777777" w:rsidR="00B07FC0" w:rsidRDefault="00B07FC0" w:rsidP="00433C4E">
            <w:pPr>
              <w:widowControl w:val="0"/>
              <w:spacing w:before="15" w:after="15"/>
              <w:ind w:right="-113"/>
              <w:jc w:val="both"/>
              <w:rPr>
                <w:noProof/>
                <w:sz w:val="16"/>
                <w:szCs w:val="16"/>
              </w:rPr>
            </w:pPr>
            <w:r>
              <w:rPr>
                <w:noProof/>
                <w:sz w:val="16"/>
              </w:rPr>
              <w:t>13 07 01</w:t>
            </w:r>
          </w:p>
        </w:tc>
        <w:tc>
          <w:tcPr>
            <w:tcW w:w="5132" w:type="dxa"/>
          </w:tcPr>
          <w:p w14:paraId="424C2AC9" w14:textId="77777777" w:rsidR="00B07FC0" w:rsidRPr="00B07FC0" w:rsidRDefault="00B07FC0" w:rsidP="00433C4E">
            <w:pPr>
              <w:widowControl w:val="0"/>
              <w:tabs>
                <w:tab w:val="left" w:pos="1350"/>
              </w:tabs>
              <w:spacing w:before="15" w:after="15"/>
              <w:jc w:val="both"/>
              <w:rPr>
                <w:noProof/>
                <w:sz w:val="16"/>
                <w:szCs w:val="16"/>
                <w:lang w:val="pt-PT"/>
              </w:rPr>
            </w:pPr>
            <w:r w:rsidRPr="00B07FC0">
              <w:rPr>
                <w:noProof/>
                <w:sz w:val="16"/>
                <w:lang w:val="pt-PT"/>
              </w:rPr>
              <w:t>Instrumento de Reforço da Indústria da Defesa</w:t>
            </w:r>
          </w:p>
        </w:tc>
        <w:tc>
          <w:tcPr>
            <w:tcW w:w="1701" w:type="dxa"/>
          </w:tcPr>
          <w:p w14:paraId="7F12402D" w14:textId="77777777" w:rsidR="00B07FC0" w:rsidRDefault="00B07FC0" w:rsidP="00433C4E">
            <w:pPr>
              <w:widowControl w:val="0"/>
              <w:spacing w:before="15" w:after="15"/>
              <w:jc w:val="right"/>
              <w:rPr>
                <w:noProof/>
                <w:sz w:val="16"/>
                <w:szCs w:val="16"/>
              </w:rPr>
            </w:pPr>
            <w:r>
              <w:rPr>
                <w:noProof/>
                <w:sz w:val="16"/>
              </w:rPr>
              <w:t>343 000 000</w:t>
            </w:r>
          </w:p>
        </w:tc>
        <w:tc>
          <w:tcPr>
            <w:tcW w:w="1701" w:type="dxa"/>
          </w:tcPr>
          <w:p w14:paraId="7A34F269" w14:textId="77777777" w:rsidR="00B07FC0" w:rsidRDefault="00B07FC0" w:rsidP="00433C4E">
            <w:pPr>
              <w:widowControl w:val="0"/>
              <w:spacing w:before="15" w:after="15"/>
              <w:jc w:val="right"/>
              <w:rPr>
                <w:noProof/>
                <w:sz w:val="16"/>
                <w:szCs w:val="16"/>
              </w:rPr>
            </w:pPr>
            <w:r>
              <w:rPr>
                <w:noProof/>
                <w:sz w:val="16"/>
              </w:rPr>
              <w:t>78 500 000</w:t>
            </w:r>
          </w:p>
        </w:tc>
      </w:tr>
      <w:tr w:rsidR="00B07FC0" w:rsidRPr="00B31192" w14:paraId="30F8F545" w14:textId="77777777" w:rsidTr="00433C4E">
        <w:trPr>
          <w:jc w:val="center"/>
        </w:trPr>
        <w:tc>
          <w:tcPr>
            <w:tcW w:w="1276" w:type="dxa"/>
          </w:tcPr>
          <w:p w14:paraId="4D05603D" w14:textId="77777777" w:rsidR="00B07FC0" w:rsidRDefault="00B07FC0" w:rsidP="00433C4E">
            <w:pPr>
              <w:widowControl w:val="0"/>
              <w:spacing w:before="15" w:after="15"/>
              <w:ind w:right="-113"/>
              <w:jc w:val="both"/>
              <w:rPr>
                <w:noProof/>
                <w:sz w:val="16"/>
                <w:szCs w:val="16"/>
              </w:rPr>
            </w:pPr>
            <w:r>
              <w:rPr>
                <w:noProof/>
                <w:sz w:val="16"/>
              </w:rPr>
              <w:t>30 02 02</w:t>
            </w:r>
          </w:p>
        </w:tc>
        <w:tc>
          <w:tcPr>
            <w:tcW w:w="5132" w:type="dxa"/>
          </w:tcPr>
          <w:p w14:paraId="6249E544" w14:textId="77777777" w:rsidR="00B07FC0" w:rsidRPr="00B07FC0" w:rsidRDefault="00B07FC0" w:rsidP="00433C4E">
            <w:pPr>
              <w:widowControl w:val="0"/>
              <w:tabs>
                <w:tab w:val="left" w:pos="1350"/>
              </w:tabs>
              <w:spacing w:before="15" w:after="15"/>
              <w:jc w:val="both"/>
              <w:rPr>
                <w:noProof/>
                <w:sz w:val="16"/>
                <w:szCs w:val="16"/>
                <w:lang w:val="pt-PT"/>
              </w:rPr>
            </w:pPr>
            <w:r w:rsidRPr="00B07FC0">
              <w:rPr>
                <w:noProof/>
                <w:sz w:val="16"/>
                <w:lang w:val="pt-PT"/>
              </w:rPr>
              <w:t>Dotações diferenciadas (</w:t>
            </w:r>
            <w:r w:rsidRPr="00B07FC0">
              <w:rPr>
                <w:i/>
                <w:iCs/>
                <w:noProof/>
                <w:sz w:val="16"/>
                <w:lang w:val="pt-PT"/>
              </w:rPr>
              <w:t>Reserva do artigo orçamental 13 06 01</w:t>
            </w:r>
            <w:r w:rsidRPr="00B07FC0">
              <w:rPr>
                <w:noProof/>
                <w:sz w:val="16"/>
                <w:lang w:val="pt-PT"/>
              </w:rPr>
              <w:t>)</w:t>
            </w:r>
          </w:p>
        </w:tc>
        <w:tc>
          <w:tcPr>
            <w:tcW w:w="1701" w:type="dxa"/>
          </w:tcPr>
          <w:p w14:paraId="47ED4B21" w14:textId="77777777" w:rsidR="00B07FC0" w:rsidRDefault="00B07FC0" w:rsidP="00433C4E">
            <w:pPr>
              <w:widowControl w:val="0"/>
              <w:spacing w:before="15" w:after="15"/>
              <w:jc w:val="right"/>
              <w:rPr>
                <w:noProof/>
                <w:sz w:val="16"/>
                <w:szCs w:val="16"/>
              </w:rPr>
            </w:pPr>
            <w:r>
              <w:rPr>
                <w:noProof/>
                <w:sz w:val="16"/>
              </w:rPr>
              <w:t>-259 972 301</w:t>
            </w:r>
          </w:p>
        </w:tc>
        <w:tc>
          <w:tcPr>
            <w:tcW w:w="1701" w:type="dxa"/>
          </w:tcPr>
          <w:p w14:paraId="7567FA44" w14:textId="77777777" w:rsidR="00B07FC0" w:rsidRDefault="00B07FC0" w:rsidP="00433C4E">
            <w:pPr>
              <w:widowControl w:val="0"/>
              <w:spacing w:before="15" w:after="15"/>
              <w:jc w:val="right"/>
              <w:rPr>
                <w:noProof/>
                <w:sz w:val="16"/>
                <w:szCs w:val="16"/>
              </w:rPr>
            </w:pPr>
            <w:r>
              <w:rPr>
                <w:noProof/>
                <w:sz w:val="16"/>
              </w:rPr>
              <w:t>-100 000 000</w:t>
            </w:r>
          </w:p>
        </w:tc>
      </w:tr>
      <w:tr w:rsidR="00B07FC0" w:rsidRPr="00B31192" w14:paraId="01A62C0F" w14:textId="77777777" w:rsidTr="00433C4E">
        <w:trPr>
          <w:jc w:val="center"/>
        </w:trPr>
        <w:tc>
          <w:tcPr>
            <w:tcW w:w="1276" w:type="dxa"/>
          </w:tcPr>
          <w:p w14:paraId="59E62790" w14:textId="77777777" w:rsidR="00B07FC0" w:rsidRPr="00B31192" w:rsidRDefault="00B07FC0" w:rsidP="00433C4E">
            <w:pPr>
              <w:widowControl w:val="0"/>
              <w:spacing w:before="15" w:after="15"/>
              <w:ind w:right="-113"/>
              <w:jc w:val="both"/>
              <w:rPr>
                <w:noProof/>
                <w:sz w:val="16"/>
                <w:szCs w:val="16"/>
              </w:rPr>
            </w:pPr>
            <w:r>
              <w:rPr>
                <w:noProof/>
                <w:sz w:val="16"/>
              </w:rPr>
              <w:t>30 02 02</w:t>
            </w:r>
          </w:p>
        </w:tc>
        <w:tc>
          <w:tcPr>
            <w:tcW w:w="5132" w:type="dxa"/>
          </w:tcPr>
          <w:p w14:paraId="6D88B4CC" w14:textId="77777777" w:rsidR="00B07FC0" w:rsidRPr="00B07FC0" w:rsidRDefault="00B07FC0" w:rsidP="00433C4E">
            <w:pPr>
              <w:widowControl w:val="0"/>
              <w:tabs>
                <w:tab w:val="left" w:pos="1350"/>
              </w:tabs>
              <w:spacing w:before="15" w:after="15"/>
              <w:jc w:val="both"/>
              <w:rPr>
                <w:i/>
                <w:noProof/>
                <w:sz w:val="16"/>
                <w:szCs w:val="16"/>
                <w:lang w:val="pt-PT"/>
              </w:rPr>
            </w:pPr>
            <w:r w:rsidRPr="00B07FC0">
              <w:rPr>
                <w:noProof/>
                <w:sz w:val="16"/>
                <w:lang w:val="pt-PT"/>
              </w:rPr>
              <w:t>Dotações diferenciadas (</w:t>
            </w:r>
            <w:r w:rsidRPr="00B07FC0">
              <w:rPr>
                <w:i/>
                <w:iCs/>
                <w:noProof/>
                <w:sz w:val="16"/>
                <w:lang w:val="pt-PT"/>
              </w:rPr>
              <w:t>Reserva do artigo orçamental 13 07 01</w:t>
            </w:r>
            <w:r w:rsidRPr="00B07FC0">
              <w:rPr>
                <w:noProof/>
                <w:sz w:val="16"/>
                <w:lang w:val="pt-PT"/>
              </w:rPr>
              <w:t>)</w:t>
            </w:r>
          </w:p>
        </w:tc>
        <w:tc>
          <w:tcPr>
            <w:tcW w:w="1701" w:type="dxa"/>
          </w:tcPr>
          <w:p w14:paraId="308CEF1F" w14:textId="77777777" w:rsidR="00B07FC0" w:rsidRPr="00BF6AA7" w:rsidRDefault="00B07FC0" w:rsidP="00433C4E">
            <w:pPr>
              <w:widowControl w:val="0"/>
              <w:spacing w:before="15" w:after="15"/>
              <w:jc w:val="right"/>
              <w:rPr>
                <w:noProof/>
                <w:sz w:val="16"/>
                <w:szCs w:val="16"/>
              </w:rPr>
            </w:pPr>
            <w:r>
              <w:rPr>
                <w:noProof/>
                <w:sz w:val="16"/>
              </w:rPr>
              <w:t>-343 000 000</w:t>
            </w:r>
          </w:p>
        </w:tc>
        <w:tc>
          <w:tcPr>
            <w:tcW w:w="1701" w:type="dxa"/>
          </w:tcPr>
          <w:p w14:paraId="29BE393A" w14:textId="77777777" w:rsidR="00B07FC0" w:rsidRPr="00BF6AA7" w:rsidRDefault="00B07FC0" w:rsidP="00433C4E">
            <w:pPr>
              <w:widowControl w:val="0"/>
              <w:spacing w:before="15" w:after="15"/>
              <w:jc w:val="right"/>
              <w:rPr>
                <w:noProof/>
                <w:sz w:val="16"/>
                <w:szCs w:val="16"/>
              </w:rPr>
            </w:pPr>
            <w:r>
              <w:rPr>
                <w:noProof/>
                <w:sz w:val="16"/>
              </w:rPr>
              <w:t>-78 500 000</w:t>
            </w:r>
          </w:p>
        </w:tc>
      </w:tr>
      <w:tr w:rsidR="00B07FC0" w:rsidRPr="00B31192" w14:paraId="4B9E1659" w14:textId="77777777" w:rsidTr="00433C4E">
        <w:trPr>
          <w:jc w:val="center"/>
        </w:trPr>
        <w:tc>
          <w:tcPr>
            <w:tcW w:w="6408" w:type="dxa"/>
            <w:gridSpan w:val="2"/>
            <w:shd w:val="clear" w:color="auto" w:fill="D9D9D9" w:themeFill="background1" w:themeFillShade="D9"/>
          </w:tcPr>
          <w:p w14:paraId="5EF4E196" w14:textId="77777777" w:rsidR="00B07FC0" w:rsidRPr="00B31192" w:rsidRDefault="00B07FC0" w:rsidP="00433C4E">
            <w:pPr>
              <w:widowControl w:val="0"/>
              <w:spacing w:before="15" w:after="15"/>
              <w:ind w:right="-113"/>
              <w:jc w:val="both"/>
              <w:rPr>
                <w:noProof/>
                <w:sz w:val="20"/>
                <w:szCs w:val="20"/>
              </w:rPr>
            </w:pPr>
            <w:r>
              <w:rPr>
                <w:b/>
                <w:noProof/>
                <w:sz w:val="20"/>
              </w:rPr>
              <w:t>Total</w:t>
            </w:r>
            <w:r>
              <w:rPr>
                <w:noProof/>
              </w:rPr>
              <w:tab/>
            </w:r>
          </w:p>
        </w:tc>
        <w:tc>
          <w:tcPr>
            <w:tcW w:w="1701" w:type="dxa"/>
            <w:shd w:val="clear" w:color="auto" w:fill="D9D9D9" w:themeFill="background1" w:themeFillShade="D9"/>
          </w:tcPr>
          <w:p w14:paraId="737F22CA" w14:textId="77777777" w:rsidR="00B07FC0" w:rsidRPr="00CA6CA7" w:rsidRDefault="00B07FC0" w:rsidP="00433C4E">
            <w:pPr>
              <w:widowControl w:val="0"/>
              <w:spacing w:before="15" w:after="15"/>
              <w:jc w:val="right"/>
              <w:rPr>
                <w:b/>
                <w:bCs/>
                <w:noProof/>
                <w:sz w:val="20"/>
                <w:szCs w:val="20"/>
              </w:rPr>
            </w:pPr>
            <w:r>
              <w:rPr>
                <w:b/>
                <w:noProof/>
                <w:sz w:val="20"/>
              </w:rPr>
              <w:t>0</w:t>
            </w:r>
          </w:p>
        </w:tc>
        <w:tc>
          <w:tcPr>
            <w:tcW w:w="1701" w:type="dxa"/>
            <w:shd w:val="clear" w:color="auto" w:fill="D9D9D9" w:themeFill="background1" w:themeFillShade="D9"/>
          </w:tcPr>
          <w:p w14:paraId="6F6688E1" w14:textId="77777777" w:rsidR="00B07FC0" w:rsidRPr="00CA6CA7" w:rsidRDefault="00B07FC0" w:rsidP="00433C4E">
            <w:pPr>
              <w:widowControl w:val="0"/>
              <w:spacing w:before="15" w:after="15"/>
              <w:jc w:val="right"/>
              <w:rPr>
                <w:b/>
                <w:noProof/>
                <w:sz w:val="20"/>
                <w:szCs w:val="20"/>
              </w:rPr>
            </w:pPr>
            <w:r>
              <w:rPr>
                <w:b/>
                <w:noProof/>
                <w:sz w:val="20"/>
              </w:rPr>
              <w:t>0</w:t>
            </w:r>
          </w:p>
        </w:tc>
      </w:tr>
    </w:tbl>
    <w:p w14:paraId="0ACC42DB" w14:textId="77777777" w:rsidR="00B07FC0" w:rsidRPr="005638C6" w:rsidRDefault="00B07FC0" w:rsidP="00B07FC0">
      <w:pPr>
        <w:keepNext/>
        <w:tabs>
          <w:tab w:val="left" w:pos="850"/>
        </w:tabs>
        <w:spacing w:before="360" w:after="120"/>
        <w:ind w:left="851" w:hanging="851"/>
        <w:jc w:val="both"/>
        <w:outlineLvl w:val="0"/>
        <w:rPr>
          <w:b/>
          <w:smallCaps/>
          <w:noProof/>
        </w:rPr>
      </w:pPr>
      <w:bookmarkStart w:id="105" w:name="_Toc84231370"/>
      <w:bookmarkStart w:id="106" w:name="_Toc114838645"/>
      <w:bookmarkStart w:id="107" w:name="_Toc145922835"/>
      <w:r>
        <w:rPr>
          <w:b/>
          <w:smallCaps/>
          <w:noProof/>
        </w:rPr>
        <w:t>9.</w:t>
      </w:r>
      <w:r>
        <w:rPr>
          <w:noProof/>
        </w:rPr>
        <w:tab/>
      </w:r>
      <w:r>
        <w:rPr>
          <w:b/>
          <w:smallCaps/>
          <w:noProof/>
        </w:rPr>
        <w:t>Financiamento</w:t>
      </w:r>
      <w:bookmarkEnd w:id="105"/>
      <w:bookmarkEnd w:id="106"/>
      <w:bookmarkEnd w:id="107"/>
    </w:p>
    <w:p w14:paraId="592D7BF6" w14:textId="77777777" w:rsidR="00B07FC0" w:rsidRPr="00B07FC0" w:rsidRDefault="00B07FC0" w:rsidP="00B07FC0">
      <w:pPr>
        <w:spacing w:after="120" w:line="259" w:lineRule="auto"/>
        <w:jc w:val="both"/>
        <w:rPr>
          <w:noProof/>
          <w:lang w:val="pt-PT"/>
        </w:rPr>
      </w:pPr>
      <w:r w:rsidRPr="00B07FC0">
        <w:rPr>
          <w:noProof/>
          <w:lang w:val="pt-PT"/>
        </w:rPr>
        <w:t>Globalmente, o impacto líquido da CR n.º 1/2024 nas despesas do PO de 2024 corresponde a uma diminuição de 67,4 milhões de EUR em dotações de autorização e de pagamento.</w:t>
      </w:r>
    </w:p>
    <w:p w14:paraId="40F9733E" w14:textId="77777777" w:rsidR="00B07FC0" w:rsidRPr="00B07FC0" w:rsidRDefault="00B07FC0" w:rsidP="00B07FC0">
      <w:pPr>
        <w:spacing w:line="259" w:lineRule="auto"/>
        <w:jc w:val="both"/>
        <w:rPr>
          <w:noProof/>
          <w:lang w:val="pt-PT"/>
        </w:rPr>
      </w:pPr>
      <w:r w:rsidRPr="00B07FC0">
        <w:rPr>
          <w:noProof/>
          <w:lang w:val="pt-PT"/>
        </w:rPr>
        <w:t>O impacto combinado da diminuição dos custos de financiamento na rubrica de juros do IRUE e do aumento das despesas da rubrica 7 conduziu a uma redução dos montantes propostos a mobilizar a partir do Instrumento de Margem Único em 67,4 milhões de EUR.</w:t>
      </w:r>
      <w:bookmarkStart w:id="108" w:name="_Toc526753799"/>
      <w:bookmarkStart w:id="109" w:name="_Toc54770354"/>
      <w:bookmarkStart w:id="110" w:name="_Toc55807168"/>
      <w:bookmarkStart w:id="111" w:name="_Toc114838646"/>
      <w:bookmarkEnd w:id="96"/>
    </w:p>
    <w:p w14:paraId="3CC6FA6C" w14:textId="77777777" w:rsidR="00B07FC0" w:rsidRPr="00B07FC0" w:rsidRDefault="00B07FC0" w:rsidP="00B07FC0">
      <w:pPr>
        <w:spacing w:after="200" w:line="276" w:lineRule="auto"/>
        <w:rPr>
          <w:b/>
          <w:smallCaps/>
          <w:noProof/>
          <w:lang w:val="pt-PT"/>
        </w:rPr>
      </w:pPr>
      <w:r w:rsidRPr="00B07FC0">
        <w:rPr>
          <w:noProof/>
          <w:lang w:val="pt-PT"/>
        </w:rPr>
        <w:br w:type="page"/>
      </w:r>
    </w:p>
    <w:p w14:paraId="3881E677" w14:textId="77777777" w:rsidR="00B07FC0" w:rsidRPr="00B07FC0" w:rsidRDefault="00B07FC0" w:rsidP="00B07FC0">
      <w:pPr>
        <w:spacing w:after="200" w:line="276" w:lineRule="auto"/>
        <w:rPr>
          <w:b/>
          <w:smallCaps/>
          <w:noProof/>
          <w:lang w:val="pt-PT" w:eastAsia="de-DE"/>
        </w:rPr>
      </w:pPr>
    </w:p>
    <w:p w14:paraId="6A7325EA" w14:textId="77777777" w:rsidR="00B07FC0" w:rsidRPr="00B07FC0" w:rsidRDefault="00B07FC0" w:rsidP="00B07FC0">
      <w:pPr>
        <w:pStyle w:val="ManualHeading1"/>
        <w:spacing w:before="240"/>
        <w:rPr>
          <w:noProof/>
          <w:lang w:val="pt-PT"/>
        </w:rPr>
      </w:pPr>
      <w:bookmarkStart w:id="112" w:name="_Toc145922836"/>
      <w:r w:rsidRPr="00B07FC0">
        <w:rPr>
          <w:noProof/>
          <w:lang w:val="pt-PT"/>
        </w:rPr>
        <w:t>10.</w:t>
      </w:r>
      <w:r w:rsidRPr="00B07FC0">
        <w:rPr>
          <w:noProof/>
          <w:lang w:val="pt-PT"/>
        </w:rPr>
        <w:tab/>
        <w:t>Quadro recapitulativo por rubrica do QFP</w:t>
      </w:r>
      <w:bookmarkEnd w:id="108"/>
      <w:bookmarkEnd w:id="109"/>
      <w:bookmarkEnd w:id="110"/>
      <w:bookmarkEnd w:id="111"/>
      <w:bookmarkEnd w:id="112"/>
    </w:p>
    <w:tbl>
      <w:tblPr>
        <w:tblW w:w="10338" w:type="dxa"/>
        <w:tblInd w:w="118" w:type="dxa"/>
        <w:tblLook w:val="04A0" w:firstRow="1" w:lastRow="0" w:firstColumn="1" w:lastColumn="0" w:noHBand="0" w:noVBand="1"/>
      </w:tblPr>
      <w:tblGrid>
        <w:gridCol w:w="453"/>
        <w:gridCol w:w="2542"/>
        <w:gridCol w:w="1271"/>
        <w:gridCol w:w="1271"/>
        <w:gridCol w:w="1130"/>
        <w:gridCol w:w="1130"/>
        <w:gridCol w:w="1270"/>
        <w:gridCol w:w="1271"/>
      </w:tblGrid>
      <w:tr w:rsidR="00B07FC0" w:rsidRPr="00B07FC0" w14:paraId="3500AF47" w14:textId="77777777" w:rsidTr="00433C4E">
        <w:trPr>
          <w:trHeight w:val="465"/>
        </w:trPr>
        <w:tc>
          <w:tcPr>
            <w:tcW w:w="416" w:type="dxa"/>
            <w:tcBorders>
              <w:top w:val="single" w:sz="8" w:space="0" w:color="auto"/>
              <w:left w:val="single" w:sz="8" w:space="0" w:color="auto"/>
              <w:bottom w:val="nil"/>
              <w:right w:val="nil"/>
            </w:tcBorders>
            <w:shd w:val="clear" w:color="000000" w:fill="BFBFBF"/>
            <w:vAlign w:val="center"/>
            <w:hideMark/>
          </w:tcPr>
          <w:p w14:paraId="5E82752C" w14:textId="77777777" w:rsidR="00B07FC0" w:rsidRPr="00B07FC0" w:rsidRDefault="00B07FC0" w:rsidP="00433C4E">
            <w:pPr>
              <w:jc w:val="both"/>
              <w:rPr>
                <w:noProof/>
                <w:sz w:val="16"/>
                <w:szCs w:val="16"/>
                <w:lang w:val="pt-PT"/>
              </w:rPr>
            </w:pPr>
            <w:r w:rsidRPr="00B07FC0">
              <w:rPr>
                <w:noProof/>
                <w:sz w:val="16"/>
                <w:lang w:val="pt-PT"/>
              </w:rPr>
              <w:t xml:space="preserve"> </w:t>
            </w:r>
          </w:p>
        </w:tc>
        <w:tc>
          <w:tcPr>
            <w:tcW w:w="2551" w:type="dxa"/>
            <w:tcBorders>
              <w:top w:val="single" w:sz="8" w:space="0" w:color="auto"/>
              <w:left w:val="nil"/>
              <w:bottom w:val="nil"/>
              <w:right w:val="single" w:sz="8" w:space="0" w:color="auto"/>
            </w:tcBorders>
            <w:shd w:val="clear" w:color="000000" w:fill="BFBFBF"/>
            <w:vAlign w:val="center"/>
            <w:hideMark/>
          </w:tcPr>
          <w:p w14:paraId="4DD5F9CB" w14:textId="77777777" w:rsidR="00B07FC0" w:rsidRPr="00B07FC0" w:rsidRDefault="00B07FC0" w:rsidP="00433C4E">
            <w:pPr>
              <w:jc w:val="both"/>
              <w:rPr>
                <w:noProof/>
                <w:sz w:val="16"/>
                <w:szCs w:val="16"/>
                <w:lang w:val="pt-PT"/>
              </w:rPr>
            </w:pPr>
            <w:r w:rsidRPr="00B07FC0">
              <w:rPr>
                <w:noProof/>
                <w:sz w:val="16"/>
                <w:lang w:val="pt-PT"/>
              </w:rPr>
              <w:t xml:space="preserve"> </w:t>
            </w:r>
          </w:p>
        </w:tc>
        <w:tc>
          <w:tcPr>
            <w:tcW w:w="2552" w:type="dxa"/>
            <w:gridSpan w:val="2"/>
            <w:tcBorders>
              <w:top w:val="single" w:sz="8" w:space="0" w:color="auto"/>
              <w:left w:val="nil"/>
              <w:bottom w:val="single" w:sz="8" w:space="0" w:color="auto"/>
              <w:right w:val="single" w:sz="8" w:space="0" w:color="000000"/>
            </w:tcBorders>
            <w:shd w:val="clear" w:color="000000" w:fill="BFBFBF"/>
            <w:vAlign w:val="center"/>
            <w:hideMark/>
          </w:tcPr>
          <w:p w14:paraId="24DCAE4D" w14:textId="77777777" w:rsidR="00B07FC0" w:rsidRPr="007C250E" w:rsidRDefault="00B07FC0" w:rsidP="00433C4E">
            <w:pPr>
              <w:jc w:val="center"/>
              <w:rPr>
                <w:b/>
                <w:bCs/>
                <w:noProof/>
                <w:sz w:val="20"/>
                <w:szCs w:val="20"/>
              </w:rPr>
            </w:pPr>
            <w:r>
              <w:rPr>
                <w:b/>
                <w:noProof/>
                <w:sz w:val="20"/>
              </w:rPr>
              <w:t>Projeto de orçamento de 2024</w:t>
            </w:r>
          </w:p>
        </w:tc>
        <w:tc>
          <w:tcPr>
            <w:tcW w:w="2268" w:type="dxa"/>
            <w:gridSpan w:val="2"/>
            <w:tcBorders>
              <w:top w:val="single" w:sz="8" w:space="0" w:color="auto"/>
              <w:left w:val="nil"/>
              <w:bottom w:val="single" w:sz="8" w:space="0" w:color="auto"/>
              <w:right w:val="single" w:sz="8" w:space="0" w:color="000000"/>
            </w:tcBorders>
            <w:shd w:val="clear" w:color="000000" w:fill="BFBFBF"/>
            <w:vAlign w:val="center"/>
            <w:hideMark/>
          </w:tcPr>
          <w:p w14:paraId="41177360" w14:textId="77777777" w:rsidR="00B07FC0" w:rsidRPr="00B07FC0" w:rsidRDefault="00B07FC0" w:rsidP="00433C4E">
            <w:pPr>
              <w:jc w:val="center"/>
              <w:rPr>
                <w:b/>
                <w:bCs/>
                <w:noProof/>
                <w:sz w:val="20"/>
                <w:szCs w:val="20"/>
                <w:lang w:val="pt-PT"/>
              </w:rPr>
            </w:pPr>
            <w:r w:rsidRPr="00B07FC0">
              <w:rPr>
                <w:b/>
                <w:noProof/>
                <w:sz w:val="20"/>
                <w:lang w:val="pt-PT"/>
              </w:rPr>
              <w:t>Carta retificativa n.º 1 ao projeto de orçamento de 2024</w:t>
            </w:r>
          </w:p>
        </w:tc>
        <w:tc>
          <w:tcPr>
            <w:tcW w:w="2551" w:type="dxa"/>
            <w:gridSpan w:val="2"/>
            <w:tcBorders>
              <w:top w:val="single" w:sz="8" w:space="0" w:color="auto"/>
              <w:left w:val="nil"/>
              <w:bottom w:val="single" w:sz="8" w:space="0" w:color="auto"/>
              <w:right w:val="single" w:sz="8" w:space="0" w:color="000000"/>
            </w:tcBorders>
            <w:shd w:val="clear" w:color="000000" w:fill="BFBFBF"/>
            <w:vAlign w:val="center"/>
            <w:hideMark/>
          </w:tcPr>
          <w:p w14:paraId="3BB1F494" w14:textId="77777777" w:rsidR="00B07FC0" w:rsidRPr="00B07FC0" w:rsidRDefault="00B07FC0" w:rsidP="00433C4E">
            <w:pPr>
              <w:jc w:val="center"/>
              <w:rPr>
                <w:b/>
                <w:bCs/>
                <w:noProof/>
                <w:sz w:val="20"/>
                <w:szCs w:val="20"/>
                <w:lang w:val="pt-PT"/>
              </w:rPr>
            </w:pPr>
            <w:r w:rsidRPr="00B07FC0">
              <w:rPr>
                <w:b/>
                <w:noProof/>
                <w:sz w:val="20"/>
                <w:lang w:val="pt-PT"/>
              </w:rPr>
              <w:t>Projeto de orçamento de 2024 com a adição da CR n.º 1</w:t>
            </w:r>
          </w:p>
        </w:tc>
      </w:tr>
      <w:tr w:rsidR="00B07FC0" w:rsidRPr="007C250E" w14:paraId="5F7ACB1D" w14:textId="77777777" w:rsidTr="00433C4E">
        <w:trPr>
          <w:trHeight w:val="300"/>
        </w:trPr>
        <w:tc>
          <w:tcPr>
            <w:tcW w:w="416" w:type="dxa"/>
            <w:tcBorders>
              <w:top w:val="nil"/>
              <w:left w:val="single" w:sz="8" w:space="0" w:color="auto"/>
              <w:bottom w:val="single" w:sz="8" w:space="0" w:color="auto"/>
              <w:right w:val="nil"/>
            </w:tcBorders>
            <w:shd w:val="clear" w:color="000000" w:fill="BFBFBF"/>
            <w:vAlign w:val="center"/>
            <w:hideMark/>
          </w:tcPr>
          <w:p w14:paraId="765104A4" w14:textId="77777777" w:rsidR="00B07FC0" w:rsidRPr="00B07FC0" w:rsidRDefault="00B07FC0" w:rsidP="00433C4E">
            <w:pPr>
              <w:jc w:val="both"/>
              <w:rPr>
                <w:noProof/>
                <w:color w:val="000000"/>
                <w:sz w:val="16"/>
                <w:szCs w:val="16"/>
                <w:lang w:val="pt-PT"/>
              </w:rPr>
            </w:pPr>
            <w:r w:rsidRPr="00B07FC0">
              <w:rPr>
                <w:noProof/>
                <w:color w:val="000000"/>
                <w:sz w:val="16"/>
                <w:lang w:val="pt-PT"/>
              </w:rPr>
              <w:t xml:space="preserve"> </w:t>
            </w:r>
          </w:p>
        </w:tc>
        <w:tc>
          <w:tcPr>
            <w:tcW w:w="2551" w:type="dxa"/>
            <w:tcBorders>
              <w:top w:val="nil"/>
              <w:left w:val="nil"/>
              <w:bottom w:val="single" w:sz="8" w:space="0" w:color="auto"/>
              <w:right w:val="single" w:sz="8" w:space="0" w:color="auto"/>
            </w:tcBorders>
            <w:shd w:val="clear" w:color="000000" w:fill="BFBFBF"/>
            <w:vAlign w:val="center"/>
            <w:hideMark/>
          </w:tcPr>
          <w:p w14:paraId="1D2BFD38" w14:textId="77777777" w:rsidR="00B07FC0" w:rsidRPr="00B07FC0" w:rsidRDefault="00B07FC0" w:rsidP="00433C4E">
            <w:pPr>
              <w:jc w:val="both"/>
              <w:rPr>
                <w:noProof/>
                <w:color w:val="000000"/>
                <w:sz w:val="16"/>
                <w:szCs w:val="16"/>
                <w:lang w:val="pt-PT"/>
              </w:rPr>
            </w:pPr>
            <w:r w:rsidRPr="00B07FC0">
              <w:rPr>
                <w:noProof/>
                <w:color w:val="000000"/>
                <w:sz w:val="16"/>
                <w:lang w:val="pt-PT"/>
              </w:rPr>
              <w:t xml:space="preserve"> </w:t>
            </w:r>
          </w:p>
        </w:tc>
        <w:tc>
          <w:tcPr>
            <w:tcW w:w="1276" w:type="dxa"/>
            <w:tcBorders>
              <w:top w:val="nil"/>
              <w:left w:val="nil"/>
              <w:bottom w:val="single" w:sz="8" w:space="0" w:color="auto"/>
              <w:right w:val="single" w:sz="8" w:space="0" w:color="auto"/>
            </w:tcBorders>
            <w:shd w:val="clear" w:color="000000" w:fill="BFBFBF"/>
            <w:vAlign w:val="center"/>
            <w:hideMark/>
          </w:tcPr>
          <w:p w14:paraId="3B9E07B7" w14:textId="77777777" w:rsidR="00B07FC0" w:rsidRPr="007C250E" w:rsidRDefault="00B07FC0" w:rsidP="00433C4E">
            <w:pPr>
              <w:jc w:val="center"/>
              <w:rPr>
                <w:b/>
                <w:bCs/>
                <w:noProof/>
                <w:color w:val="000000"/>
                <w:sz w:val="16"/>
                <w:szCs w:val="16"/>
              </w:rPr>
            </w:pPr>
            <w:r>
              <w:rPr>
                <w:b/>
                <w:noProof/>
                <w:color w:val="000000"/>
                <w:sz w:val="16"/>
              </w:rPr>
              <w:t>DA</w:t>
            </w:r>
          </w:p>
        </w:tc>
        <w:tc>
          <w:tcPr>
            <w:tcW w:w="1276" w:type="dxa"/>
            <w:tcBorders>
              <w:top w:val="nil"/>
              <w:left w:val="nil"/>
              <w:bottom w:val="single" w:sz="8" w:space="0" w:color="auto"/>
              <w:right w:val="single" w:sz="8" w:space="0" w:color="auto"/>
            </w:tcBorders>
            <w:shd w:val="clear" w:color="000000" w:fill="BFBFBF"/>
            <w:vAlign w:val="center"/>
            <w:hideMark/>
          </w:tcPr>
          <w:p w14:paraId="389ABE10" w14:textId="77777777" w:rsidR="00B07FC0" w:rsidRPr="007C250E" w:rsidRDefault="00B07FC0" w:rsidP="00433C4E">
            <w:pPr>
              <w:jc w:val="center"/>
              <w:rPr>
                <w:b/>
                <w:bCs/>
                <w:noProof/>
                <w:color w:val="000000"/>
                <w:sz w:val="16"/>
                <w:szCs w:val="16"/>
              </w:rPr>
            </w:pPr>
            <w:r>
              <w:rPr>
                <w:b/>
                <w:noProof/>
                <w:color w:val="000000"/>
                <w:sz w:val="16"/>
              </w:rPr>
              <w:t>DP</w:t>
            </w:r>
          </w:p>
        </w:tc>
        <w:tc>
          <w:tcPr>
            <w:tcW w:w="1134" w:type="dxa"/>
            <w:tcBorders>
              <w:top w:val="nil"/>
              <w:left w:val="nil"/>
              <w:bottom w:val="single" w:sz="8" w:space="0" w:color="auto"/>
              <w:right w:val="single" w:sz="8" w:space="0" w:color="auto"/>
            </w:tcBorders>
            <w:shd w:val="clear" w:color="000000" w:fill="BFBFBF"/>
            <w:vAlign w:val="center"/>
            <w:hideMark/>
          </w:tcPr>
          <w:p w14:paraId="237A49B3" w14:textId="77777777" w:rsidR="00B07FC0" w:rsidRPr="007C250E" w:rsidRDefault="00B07FC0" w:rsidP="00433C4E">
            <w:pPr>
              <w:jc w:val="center"/>
              <w:rPr>
                <w:b/>
                <w:bCs/>
                <w:noProof/>
                <w:sz w:val="16"/>
                <w:szCs w:val="16"/>
              </w:rPr>
            </w:pPr>
            <w:r>
              <w:rPr>
                <w:b/>
                <w:noProof/>
                <w:sz w:val="16"/>
              </w:rPr>
              <w:t>DA</w:t>
            </w:r>
          </w:p>
        </w:tc>
        <w:tc>
          <w:tcPr>
            <w:tcW w:w="1134" w:type="dxa"/>
            <w:tcBorders>
              <w:top w:val="nil"/>
              <w:left w:val="nil"/>
              <w:bottom w:val="single" w:sz="8" w:space="0" w:color="auto"/>
              <w:right w:val="single" w:sz="8" w:space="0" w:color="auto"/>
            </w:tcBorders>
            <w:shd w:val="clear" w:color="000000" w:fill="BFBFBF"/>
            <w:vAlign w:val="center"/>
            <w:hideMark/>
          </w:tcPr>
          <w:p w14:paraId="256A225C" w14:textId="77777777" w:rsidR="00B07FC0" w:rsidRPr="007C250E" w:rsidRDefault="00B07FC0" w:rsidP="00433C4E">
            <w:pPr>
              <w:jc w:val="center"/>
              <w:rPr>
                <w:b/>
                <w:bCs/>
                <w:noProof/>
                <w:sz w:val="16"/>
                <w:szCs w:val="16"/>
              </w:rPr>
            </w:pPr>
            <w:r>
              <w:rPr>
                <w:b/>
                <w:noProof/>
                <w:sz w:val="16"/>
              </w:rPr>
              <w:t>DP</w:t>
            </w:r>
          </w:p>
        </w:tc>
        <w:tc>
          <w:tcPr>
            <w:tcW w:w="1275" w:type="dxa"/>
            <w:tcBorders>
              <w:top w:val="nil"/>
              <w:left w:val="nil"/>
              <w:bottom w:val="single" w:sz="8" w:space="0" w:color="auto"/>
              <w:right w:val="single" w:sz="8" w:space="0" w:color="auto"/>
            </w:tcBorders>
            <w:shd w:val="clear" w:color="000000" w:fill="BFBFBF"/>
            <w:vAlign w:val="center"/>
            <w:hideMark/>
          </w:tcPr>
          <w:p w14:paraId="73B4DE17" w14:textId="77777777" w:rsidR="00B07FC0" w:rsidRPr="007C250E" w:rsidRDefault="00B07FC0" w:rsidP="00433C4E">
            <w:pPr>
              <w:jc w:val="center"/>
              <w:rPr>
                <w:b/>
                <w:bCs/>
                <w:noProof/>
                <w:color w:val="000000"/>
                <w:sz w:val="16"/>
                <w:szCs w:val="16"/>
              </w:rPr>
            </w:pPr>
            <w:r>
              <w:rPr>
                <w:b/>
                <w:noProof/>
                <w:color w:val="000000"/>
                <w:sz w:val="16"/>
              </w:rPr>
              <w:t>DA</w:t>
            </w:r>
          </w:p>
        </w:tc>
        <w:tc>
          <w:tcPr>
            <w:tcW w:w="1276" w:type="dxa"/>
            <w:tcBorders>
              <w:top w:val="nil"/>
              <w:left w:val="nil"/>
              <w:bottom w:val="single" w:sz="8" w:space="0" w:color="auto"/>
              <w:right w:val="single" w:sz="8" w:space="0" w:color="auto"/>
            </w:tcBorders>
            <w:shd w:val="clear" w:color="000000" w:fill="BFBFBF"/>
            <w:vAlign w:val="center"/>
            <w:hideMark/>
          </w:tcPr>
          <w:p w14:paraId="7CB8FACF" w14:textId="77777777" w:rsidR="00B07FC0" w:rsidRPr="007C250E" w:rsidRDefault="00B07FC0" w:rsidP="00433C4E">
            <w:pPr>
              <w:jc w:val="center"/>
              <w:rPr>
                <w:b/>
                <w:bCs/>
                <w:noProof/>
                <w:color w:val="000000"/>
                <w:sz w:val="16"/>
                <w:szCs w:val="16"/>
              </w:rPr>
            </w:pPr>
            <w:r>
              <w:rPr>
                <w:b/>
                <w:noProof/>
                <w:color w:val="000000"/>
                <w:sz w:val="16"/>
              </w:rPr>
              <w:t>DP</w:t>
            </w:r>
          </w:p>
        </w:tc>
      </w:tr>
      <w:tr w:rsidR="00B07FC0" w:rsidRPr="007C250E" w14:paraId="1A3991CD" w14:textId="77777777" w:rsidTr="00433C4E">
        <w:trPr>
          <w:trHeight w:val="300"/>
        </w:trPr>
        <w:tc>
          <w:tcPr>
            <w:tcW w:w="416" w:type="dxa"/>
            <w:tcBorders>
              <w:top w:val="nil"/>
              <w:left w:val="single" w:sz="8" w:space="0" w:color="auto"/>
              <w:bottom w:val="single" w:sz="8" w:space="0" w:color="auto"/>
              <w:right w:val="nil"/>
            </w:tcBorders>
            <w:shd w:val="clear" w:color="000000" w:fill="D9D9D9"/>
            <w:vAlign w:val="center"/>
            <w:hideMark/>
          </w:tcPr>
          <w:p w14:paraId="04CEF161" w14:textId="77777777" w:rsidR="00B07FC0" w:rsidRPr="007C250E" w:rsidRDefault="00B07FC0" w:rsidP="00433C4E">
            <w:pPr>
              <w:jc w:val="both"/>
              <w:rPr>
                <w:b/>
                <w:bCs/>
                <w:noProof/>
                <w:sz w:val="16"/>
                <w:szCs w:val="16"/>
              </w:rPr>
            </w:pPr>
            <w:r>
              <w:rPr>
                <w:b/>
                <w:noProof/>
                <w:sz w:val="16"/>
              </w:rPr>
              <w:t>1.</w:t>
            </w:r>
          </w:p>
        </w:tc>
        <w:tc>
          <w:tcPr>
            <w:tcW w:w="2551" w:type="dxa"/>
            <w:tcBorders>
              <w:top w:val="nil"/>
              <w:left w:val="nil"/>
              <w:bottom w:val="single" w:sz="8" w:space="0" w:color="auto"/>
              <w:right w:val="single" w:sz="8" w:space="0" w:color="auto"/>
            </w:tcBorders>
            <w:shd w:val="clear" w:color="000000" w:fill="D9D9D9"/>
            <w:vAlign w:val="center"/>
            <w:hideMark/>
          </w:tcPr>
          <w:p w14:paraId="120EC18D" w14:textId="77777777" w:rsidR="00B07FC0" w:rsidRPr="00B07FC0" w:rsidRDefault="00B07FC0" w:rsidP="00433C4E">
            <w:pPr>
              <w:jc w:val="both"/>
              <w:rPr>
                <w:b/>
                <w:bCs/>
                <w:noProof/>
                <w:sz w:val="16"/>
                <w:szCs w:val="16"/>
                <w:lang w:val="pt-PT"/>
              </w:rPr>
            </w:pPr>
            <w:r w:rsidRPr="00B07FC0">
              <w:rPr>
                <w:b/>
                <w:noProof/>
                <w:sz w:val="16"/>
                <w:lang w:val="pt-PT"/>
              </w:rPr>
              <w:t>Mercado Único, Inovação e Digital</w:t>
            </w:r>
          </w:p>
        </w:tc>
        <w:tc>
          <w:tcPr>
            <w:tcW w:w="1276" w:type="dxa"/>
            <w:tcBorders>
              <w:top w:val="nil"/>
              <w:left w:val="nil"/>
              <w:bottom w:val="single" w:sz="8" w:space="0" w:color="auto"/>
              <w:right w:val="single" w:sz="8" w:space="0" w:color="auto"/>
            </w:tcBorders>
            <w:shd w:val="clear" w:color="000000" w:fill="D9D9D9"/>
            <w:vAlign w:val="center"/>
            <w:hideMark/>
          </w:tcPr>
          <w:p w14:paraId="5B23F13F" w14:textId="77777777" w:rsidR="00B07FC0" w:rsidRPr="007C250E" w:rsidRDefault="00B07FC0" w:rsidP="00433C4E">
            <w:pPr>
              <w:jc w:val="right"/>
              <w:rPr>
                <w:b/>
                <w:bCs/>
                <w:noProof/>
                <w:sz w:val="16"/>
                <w:szCs w:val="16"/>
              </w:rPr>
            </w:pPr>
            <w:r>
              <w:rPr>
                <w:b/>
                <w:noProof/>
                <w:sz w:val="16"/>
              </w:rPr>
              <w:t>21 431 352 987</w:t>
            </w:r>
          </w:p>
        </w:tc>
        <w:tc>
          <w:tcPr>
            <w:tcW w:w="1276" w:type="dxa"/>
            <w:tcBorders>
              <w:top w:val="nil"/>
              <w:left w:val="nil"/>
              <w:bottom w:val="single" w:sz="8" w:space="0" w:color="auto"/>
              <w:right w:val="single" w:sz="8" w:space="0" w:color="auto"/>
            </w:tcBorders>
            <w:shd w:val="clear" w:color="000000" w:fill="D9D9D9"/>
            <w:vAlign w:val="center"/>
            <w:hideMark/>
          </w:tcPr>
          <w:p w14:paraId="0CEAF27B" w14:textId="77777777" w:rsidR="00B07FC0" w:rsidRPr="007C250E" w:rsidRDefault="00B07FC0" w:rsidP="00433C4E">
            <w:pPr>
              <w:jc w:val="right"/>
              <w:rPr>
                <w:b/>
                <w:bCs/>
                <w:noProof/>
                <w:sz w:val="16"/>
                <w:szCs w:val="16"/>
              </w:rPr>
            </w:pPr>
            <w:r>
              <w:rPr>
                <w:b/>
                <w:noProof/>
                <w:sz w:val="16"/>
              </w:rPr>
              <w:t>20 916 212 003</w:t>
            </w:r>
          </w:p>
        </w:tc>
        <w:tc>
          <w:tcPr>
            <w:tcW w:w="1134" w:type="dxa"/>
            <w:tcBorders>
              <w:top w:val="nil"/>
              <w:left w:val="nil"/>
              <w:bottom w:val="single" w:sz="8" w:space="0" w:color="auto"/>
              <w:right w:val="single" w:sz="8" w:space="0" w:color="auto"/>
            </w:tcBorders>
            <w:shd w:val="clear" w:color="000000" w:fill="D9D9D9"/>
            <w:vAlign w:val="center"/>
            <w:hideMark/>
          </w:tcPr>
          <w:p w14:paraId="2C64FE13" w14:textId="77777777" w:rsidR="00B07FC0" w:rsidRPr="007C250E" w:rsidRDefault="00B07FC0" w:rsidP="00433C4E">
            <w:pPr>
              <w:jc w:val="right"/>
              <w:rPr>
                <w:b/>
                <w:bCs/>
                <w:noProof/>
                <w:sz w:val="16"/>
                <w:szCs w:val="16"/>
              </w:rPr>
            </w:pPr>
            <w:r>
              <w:rPr>
                <w:b/>
                <w:noProof/>
                <w:sz w:val="16"/>
              </w:rPr>
              <w:t xml:space="preserve"> </w:t>
            </w:r>
          </w:p>
        </w:tc>
        <w:tc>
          <w:tcPr>
            <w:tcW w:w="1134" w:type="dxa"/>
            <w:tcBorders>
              <w:top w:val="nil"/>
              <w:left w:val="nil"/>
              <w:bottom w:val="single" w:sz="8" w:space="0" w:color="auto"/>
              <w:right w:val="single" w:sz="8" w:space="0" w:color="auto"/>
            </w:tcBorders>
            <w:shd w:val="clear" w:color="000000" w:fill="D9D9D9"/>
            <w:vAlign w:val="center"/>
            <w:hideMark/>
          </w:tcPr>
          <w:p w14:paraId="3973EAE1" w14:textId="77777777" w:rsidR="00B07FC0" w:rsidRPr="007C250E" w:rsidRDefault="00B07FC0" w:rsidP="00433C4E">
            <w:pPr>
              <w:jc w:val="right"/>
              <w:rPr>
                <w:b/>
                <w:bCs/>
                <w:noProof/>
                <w:sz w:val="16"/>
                <w:szCs w:val="16"/>
              </w:rPr>
            </w:pPr>
            <w:r>
              <w:rPr>
                <w:b/>
                <w:noProof/>
                <w:sz w:val="16"/>
              </w:rPr>
              <w:t xml:space="preserve"> </w:t>
            </w:r>
          </w:p>
        </w:tc>
        <w:tc>
          <w:tcPr>
            <w:tcW w:w="1275" w:type="dxa"/>
            <w:tcBorders>
              <w:top w:val="nil"/>
              <w:left w:val="nil"/>
              <w:bottom w:val="single" w:sz="8" w:space="0" w:color="auto"/>
              <w:right w:val="single" w:sz="8" w:space="0" w:color="auto"/>
            </w:tcBorders>
            <w:shd w:val="clear" w:color="000000" w:fill="D9D9D9"/>
            <w:vAlign w:val="center"/>
            <w:hideMark/>
          </w:tcPr>
          <w:p w14:paraId="2F069A9F" w14:textId="77777777" w:rsidR="00B07FC0" w:rsidRPr="007C250E" w:rsidRDefault="00B07FC0" w:rsidP="00433C4E">
            <w:pPr>
              <w:jc w:val="right"/>
              <w:rPr>
                <w:b/>
                <w:bCs/>
                <w:noProof/>
                <w:sz w:val="16"/>
                <w:szCs w:val="16"/>
              </w:rPr>
            </w:pPr>
            <w:r>
              <w:rPr>
                <w:b/>
                <w:noProof/>
                <w:sz w:val="16"/>
              </w:rPr>
              <w:t xml:space="preserve">21 431 352 987 </w:t>
            </w:r>
          </w:p>
        </w:tc>
        <w:tc>
          <w:tcPr>
            <w:tcW w:w="1276" w:type="dxa"/>
            <w:tcBorders>
              <w:top w:val="nil"/>
              <w:left w:val="nil"/>
              <w:bottom w:val="single" w:sz="8" w:space="0" w:color="auto"/>
              <w:right w:val="single" w:sz="8" w:space="0" w:color="auto"/>
            </w:tcBorders>
            <w:shd w:val="clear" w:color="000000" w:fill="D9D9D9"/>
            <w:vAlign w:val="center"/>
            <w:hideMark/>
          </w:tcPr>
          <w:p w14:paraId="2B669A48" w14:textId="77777777" w:rsidR="00B07FC0" w:rsidRPr="007C250E" w:rsidRDefault="00B07FC0" w:rsidP="00433C4E">
            <w:pPr>
              <w:jc w:val="right"/>
              <w:rPr>
                <w:b/>
                <w:bCs/>
                <w:noProof/>
                <w:sz w:val="16"/>
                <w:szCs w:val="16"/>
              </w:rPr>
            </w:pPr>
            <w:r>
              <w:rPr>
                <w:b/>
                <w:noProof/>
                <w:sz w:val="16"/>
              </w:rPr>
              <w:t xml:space="preserve">20 916 212 003 </w:t>
            </w:r>
          </w:p>
        </w:tc>
      </w:tr>
      <w:tr w:rsidR="00B07FC0" w:rsidRPr="00B07FC0" w14:paraId="0D6C3F91" w14:textId="77777777" w:rsidTr="00433C4E">
        <w:trPr>
          <w:trHeight w:val="300"/>
        </w:trPr>
        <w:tc>
          <w:tcPr>
            <w:tcW w:w="416" w:type="dxa"/>
            <w:tcBorders>
              <w:top w:val="nil"/>
              <w:left w:val="single" w:sz="8" w:space="0" w:color="auto"/>
              <w:bottom w:val="single" w:sz="8" w:space="0" w:color="auto"/>
              <w:right w:val="nil"/>
            </w:tcBorders>
            <w:shd w:val="clear" w:color="auto" w:fill="auto"/>
            <w:vAlign w:val="center"/>
            <w:hideMark/>
          </w:tcPr>
          <w:p w14:paraId="2D9B308D" w14:textId="77777777" w:rsidR="00B07FC0" w:rsidRPr="007C250E" w:rsidRDefault="00B07FC0" w:rsidP="00433C4E">
            <w:pPr>
              <w:jc w:val="both"/>
              <w:rPr>
                <w:noProof/>
                <w:color w:val="000000"/>
                <w:sz w:val="16"/>
                <w:szCs w:val="16"/>
              </w:rPr>
            </w:pPr>
            <w:r>
              <w:rPr>
                <w:noProof/>
                <w:color w:val="000000"/>
                <w:sz w:val="16"/>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35A26B36" w14:textId="77777777" w:rsidR="00B07FC0" w:rsidRPr="00B07FC0" w:rsidRDefault="00B07FC0" w:rsidP="00433C4E">
            <w:pPr>
              <w:jc w:val="right"/>
              <w:rPr>
                <w:b/>
                <w:bCs/>
                <w:noProof/>
                <w:color w:val="000000"/>
                <w:sz w:val="16"/>
                <w:szCs w:val="16"/>
                <w:lang w:val="pt-PT"/>
              </w:rPr>
            </w:pPr>
            <w:r w:rsidRPr="00B07FC0">
              <w:rPr>
                <w:b/>
                <w:noProof/>
                <w:color w:val="000000"/>
                <w:sz w:val="16"/>
                <w:lang w:val="pt-PT"/>
              </w:rPr>
              <w:t>Dos quais, a título do Instrumento de Flexibilidade</w:t>
            </w:r>
          </w:p>
        </w:tc>
        <w:tc>
          <w:tcPr>
            <w:tcW w:w="1276" w:type="dxa"/>
            <w:tcBorders>
              <w:top w:val="nil"/>
              <w:left w:val="nil"/>
              <w:bottom w:val="single" w:sz="8" w:space="0" w:color="auto"/>
              <w:right w:val="single" w:sz="8" w:space="0" w:color="auto"/>
            </w:tcBorders>
            <w:shd w:val="clear" w:color="auto" w:fill="auto"/>
            <w:vAlign w:val="center"/>
            <w:hideMark/>
          </w:tcPr>
          <w:p w14:paraId="32F7D63A"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68E24037"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AC67351"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A42D580"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310558A2"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3525FD1E"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r>
      <w:tr w:rsidR="00B07FC0" w:rsidRPr="00B07FC0" w14:paraId="28FB7C53" w14:textId="77777777" w:rsidTr="00433C4E">
        <w:trPr>
          <w:trHeight w:val="430"/>
        </w:trPr>
        <w:tc>
          <w:tcPr>
            <w:tcW w:w="416" w:type="dxa"/>
            <w:tcBorders>
              <w:top w:val="nil"/>
              <w:left w:val="single" w:sz="8" w:space="0" w:color="auto"/>
              <w:bottom w:val="single" w:sz="8" w:space="0" w:color="auto"/>
              <w:right w:val="nil"/>
            </w:tcBorders>
            <w:shd w:val="clear" w:color="auto" w:fill="auto"/>
            <w:vAlign w:val="center"/>
            <w:hideMark/>
          </w:tcPr>
          <w:p w14:paraId="0CCF6516" w14:textId="77777777" w:rsidR="00B07FC0" w:rsidRPr="00B07FC0" w:rsidRDefault="00B07FC0" w:rsidP="00433C4E">
            <w:pPr>
              <w:jc w:val="both"/>
              <w:rPr>
                <w:noProof/>
                <w:color w:val="000000"/>
                <w:sz w:val="16"/>
                <w:szCs w:val="16"/>
                <w:lang w:val="pt-PT"/>
              </w:rPr>
            </w:pPr>
            <w:r w:rsidRPr="00B07FC0">
              <w:rPr>
                <w:noProof/>
                <w:color w:val="000000"/>
                <w:sz w:val="16"/>
                <w:lang w:val="pt-PT"/>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0B65B471" w14:textId="77777777" w:rsidR="00B07FC0" w:rsidRPr="00B07FC0" w:rsidRDefault="00B07FC0" w:rsidP="00433C4E">
            <w:pPr>
              <w:jc w:val="right"/>
              <w:rPr>
                <w:b/>
                <w:bCs/>
                <w:noProof/>
                <w:color w:val="000000"/>
                <w:sz w:val="16"/>
                <w:szCs w:val="16"/>
                <w:lang w:val="pt-PT"/>
              </w:rPr>
            </w:pPr>
            <w:r w:rsidRPr="00B07FC0">
              <w:rPr>
                <w:b/>
                <w:noProof/>
                <w:color w:val="000000"/>
                <w:sz w:val="16"/>
                <w:lang w:val="pt-PT"/>
              </w:rPr>
              <w:t>Dos quais, a título do Instrumento de Margem Único (Artigo 11.º, n.º 1, alínea a))</w:t>
            </w:r>
          </w:p>
        </w:tc>
        <w:tc>
          <w:tcPr>
            <w:tcW w:w="1276" w:type="dxa"/>
            <w:tcBorders>
              <w:top w:val="nil"/>
              <w:left w:val="nil"/>
              <w:bottom w:val="single" w:sz="8" w:space="0" w:color="auto"/>
              <w:right w:val="single" w:sz="8" w:space="0" w:color="auto"/>
            </w:tcBorders>
            <w:shd w:val="clear" w:color="auto" w:fill="auto"/>
            <w:vAlign w:val="center"/>
            <w:hideMark/>
          </w:tcPr>
          <w:p w14:paraId="57C81669"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32109F4D"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2BC08B1"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2A63F39"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7ED44E23"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31C68C27"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r>
      <w:tr w:rsidR="00B07FC0" w:rsidRPr="00B07FC0" w14:paraId="0C395B89" w14:textId="77777777" w:rsidTr="00433C4E">
        <w:trPr>
          <w:trHeight w:val="430"/>
        </w:trPr>
        <w:tc>
          <w:tcPr>
            <w:tcW w:w="416" w:type="dxa"/>
            <w:tcBorders>
              <w:top w:val="nil"/>
              <w:left w:val="single" w:sz="8" w:space="0" w:color="auto"/>
              <w:bottom w:val="single" w:sz="8" w:space="0" w:color="auto"/>
              <w:right w:val="nil"/>
            </w:tcBorders>
            <w:shd w:val="clear" w:color="auto" w:fill="auto"/>
            <w:vAlign w:val="center"/>
            <w:hideMark/>
          </w:tcPr>
          <w:p w14:paraId="52DD52EB" w14:textId="77777777" w:rsidR="00B07FC0" w:rsidRPr="00B07FC0" w:rsidRDefault="00B07FC0" w:rsidP="00433C4E">
            <w:pPr>
              <w:jc w:val="both"/>
              <w:rPr>
                <w:noProof/>
                <w:color w:val="000000"/>
                <w:sz w:val="16"/>
                <w:szCs w:val="16"/>
                <w:lang w:val="pt-PT"/>
              </w:rPr>
            </w:pPr>
            <w:r w:rsidRPr="00B07FC0">
              <w:rPr>
                <w:noProof/>
                <w:color w:val="000000"/>
                <w:sz w:val="16"/>
                <w:lang w:val="pt-PT"/>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0FC2E840" w14:textId="77777777" w:rsidR="00B07FC0" w:rsidRPr="00B07FC0" w:rsidRDefault="00B07FC0" w:rsidP="00433C4E">
            <w:pPr>
              <w:jc w:val="right"/>
              <w:rPr>
                <w:b/>
                <w:bCs/>
                <w:noProof/>
                <w:color w:val="000000"/>
                <w:sz w:val="16"/>
                <w:szCs w:val="16"/>
                <w:lang w:val="pt-PT"/>
              </w:rPr>
            </w:pPr>
            <w:r w:rsidRPr="00B07FC0">
              <w:rPr>
                <w:b/>
                <w:noProof/>
                <w:color w:val="000000"/>
                <w:sz w:val="16"/>
                <w:lang w:val="pt-PT"/>
              </w:rPr>
              <w:t>dos quais, a título do Instrumento de Margem Único (Artigo 11.º, n.º 1, alínea c))</w:t>
            </w:r>
          </w:p>
        </w:tc>
        <w:tc>
          <w:tcPr>
            <w:tcW w:w="1276" w:type="dxa"/>
            <w:tcBorders>
              <w:top w:val="nil"/>
              <w:left w:val="nil"/>
              <w:bottom w:val="single" w:sz="8" w:space="0" w:color="auto"/>
              <w:right w:val="single" w:sz="8" w:space="0" w:color="auto"/>
            </w:tcBorders>
            <w:shd w:val="clear" w:color="auto" w:fill="auto"/>
            <w:vAlign w:val="center"/>
            <w:hideMark/>
          </w:tcPr>
          <w:p w14:paraId="4354A1C9"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20CF8140"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39E36EF"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7AE61FC"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77F207B7"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1B1EEB66"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r>
      <w:tr w:rsidR="00B07FC0" w:rsidRPr="007C250E" w14:paraId="4DA014F4" w14:textId="77777777" w:rsidTr="00433C4E">
        <w:trPr>
          <w:trHeight w:val="300"/>
        </w:trPr>
        <w:tc>
          <w:tcPr>
            <w:tcW w:w="2967"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0F794215" w14:textId="77777777" w:rsidR="00B07FC0" w:rsidRPr="007C250E" w:rsidRDefault="00B07FC0" w:rsidP="00433C4E">
            <w:pPr>
              <w:jc w:val="right"/>
              <w:rPr>
                <w:b/>
                <w:bCs/>
                <w:i/>
                <w:iCs/>
                <w:noProof/>
                <w:sz w:val="16"/>
                <w:szCs w:val="16"/>
              </w:rPr>
            </w:pPr>
            <w:r>
              <w:rPr>
                <w:b/>
                <w:i/>
                <w:noProof/>
                <w:sz w:val="16"/>
              </w:rPr>
              <w:t>Limite máximo</w:t>
            </w:r>
          </w:p>
        </w:tc>
        <w:tc>
          <w:tcPr>
            <w:tcW w:w="1276" w:type="dxa"/>
            <w:tcBorders>
              <w:top w:val="nil"/>
              <w:left w:val="nil"/>
              <w:bottom w:val="single" w:sz="8" w:space="0" w:color="auto"/>
              <w:right w:val="single" w:sz="8" w:space="0" w:color="auto"/>
            </w:tcBorders>
            <w:shd w:val="clear" w:color="auto" w:fill="auto"/>
            <w:vAlign w:val="center"/>
            <w:hideMark/>
          </w:tcPr>
          <w:p w14:paraId="39E8D2A8" w14:textId="77777777" w:rsidR="00B07FC0" w:rsidRPr="007C250E" w:rsidRDefault="00B07FC0" w:rsidP="00433C4E">
            <w:pPr>
              <w:jc w:val="right"/>
              <w:rPr>
                <w:i/>
                <w:iCs/>
                <w:noProof/>
                <w:sz w:val="16"/>
                <w:szCs w:val="16"/>
              </w:rPr>
            </w:pPr>
            <w:r>
              <w:rPr>
                <w:i/>
                <w:noProof/>
                <w:sz w:val="16"/>
              </w:rPr>
              <w:t>21 598 000 000</w:t>
            </w:r>
          </w:p>
        </w:tc>
        <w:tc>
          <w:tcPr>
            <w:tcW w:w="1276" w:type="dxa"/>
            <w:tcBorders>
              <w:top w:val="nil"/>
              <w:left w:val="nil"/>
              <w:bottom w:val="single" w:sz="8" w:space="0" w:color="auto"/>
              <w:right w:val="single" w:sz="8" w:space="0" w:color="auto"/>
            </w:tcBorders>
            <w:shd w:val="clear" w:color="auto" w:fill="auto"/>
            <w:vAlign w:val="center"/>
            <w:hideMark/>
          </w:tcPr>
          <w:p w14:paraId="33E64542" w14:textId="77777777" w:rsidR="00B07FC0" w:rsidRPr="007C250E" w:rsidRDefault="00B07FC0" w:rsidP="00433C4E">
            <w:pPr>
              <w:jc w:val="right"/>
              <w:rPr>
                <w:noProof/>
                <w:sz w:val="16"/>
                <w:szCs w:val="16"/>
              </w:rPr>
            </w:pPr>
            <w:r>
              <w:rPr>
                <w:noProof/>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3FBC0BB" w14:textId="77777777" w:rsidR="00B07FC0" w:rsidRPr="007C250E" w:rsidRDefault="00B07FC0" w:rsidP="00433C4E">
            <w:pPr>
              <w:jc w:val="right"/>
              <w:rPr>
                <w:i/>
                <w:iCs/>
                <w:noProof/>
                <w:sz w:val="16"/>
                <w:szCs w:val="16"/>
              </w:rPr>
            </w:pPr>
            <w:r>
              <w:rPr>
                <w:i/>
                <w:noProof/>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C1D91EA" w14:textId="77777777" w:rsidR="00B07FC0" w:rsidRPr="007C250E" w:rsidRDefault="00B07FC0" w:rsidP="00433C4E">
            <w:pPr>
              <w:jc w:val="right"/>
              <w:rPr>
                <w:noProof/>
                <w:sz w:val="16"/>
                <w:szCs w:val="16"/>
              </w:rPr>
            </w:pPr>
            <w:r>
              <w:rPr>
                <w:noProof/>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65737886" w14:textId="77777777" w:rsidR="00B07FC0" w:rsidRPr="007C250E" w:rsidRDefault="00B07FC0" w:rsidP="00433C4E">
            <w:pPr>
              <w:jc w:val="right"/>
              <w:rPr>
                <w:i/>
                <w:iCs/>
                <w:noProof/>
                <w:sz w:val="16"/>
                <w:szCs w:val="16"/>
              </w:rPr>
            </w:pPr>
            <w:r>
              <w:rPr>
                <w:i/>
                <w:noProof/>
                <w:sz w:val="16"/>
              </w:rPr>
              <w:t xml:space="preserve">21 598 000 000 </w:t>
            </w:r>
          </w:p>
        </w:tc>
        <w:tc>
          <w:tcPr>
            <w:tcW w:w="1276" w:type="dxa"/>
            <w:tcBorders>
              <w:top w:val="nil"/>
              <w:left w:val="nil"/>
              <w:bottom w:val="single" w:sz="8" w:space="0" w:color="auto"/>
              <w:right w:val="single" w:sz="8" w:space="0" w:color="auto"/>
            </w:tcBorders>
            <w:shd w:val="clear" w:color="auto" w:fill="auto"/>
            <w:vAlign w:val="center"/>
            <w:hideMark/>
          </w:tcPr>
          <w:p w14:paraId="19E3A791" w14:textId="77777777" w:rsidR="00B07FC0" w:rsidRPr="007C250E" w:rsidRDefault="00B07FC0" w:rsidP="00433C4E">
            <w:pPr>
              <w:jc w:val="right"/>
              <w:rPr>
                <w:noProof/>
                <w:sz w:val="16"/>
                <w:szCs w:val="16"/>
              </w:rPr>
            </w:pPr>
            <w:r>
              <w:rPr>
                <w:noProof/>
                <w:sz w:val="16"/>
              </w:rPr>
              <w:t xml:space="preserve"> </w:t>
            </w:r>
          </w:p>
        </w:tc>
      </w:tr>
      <w:tr w:rsidR="00B07FC0" w:rsidRPr="007C250E" w14:paraId="78331924" w14:textId="77777777" w:rsidTr="00433C4E">
        <w:trPr>
          <w:trHeight w:val="300"/>
        </w:trPr>
        <w:tc>
          <w:tcPr>
            <w:tcW w:w="2967"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150C616" w14:textId="77777777" w:rsidR="00B07FC0" w:rsidRPr="007C250E" w:rsidRDefault="00B07FC0" w:rsidP="00433C4E">
            <w:pPr>
              <w:jc w:val="right"/>
              <w:rPr>
                <w:b/>
                <w:bCs/>
                <w:i/>
                <w:iCs/>
                <w:noProof/>
                <w:color w:val="000000"/>
                <w:sz w:val="16"/>
                <w:szCs w:val="16"/>
              </w:rPr>
            </w:pPr>
            <w:r>
              <w:rPr>
                <w:b/>
                <w:i/>
                <w:noProof/>
                <w:color w:val="000000"/>
                <w:sz w:val="16"/>
              </w:rPr>
              <w:t>Margem</w:t>
            </w:r>
          </w:p>
        </w:tc>
        <w:tc>
          <w:tcPr>
            <w:tcW w:w="1276" w:type="dxa"/>
            <w:tcBorders>
              <w:top w:val="nil"/>
              <w:left w:val="nil"/>
              <w:bottom w:val="single" w:sz="8" w:space="0" w:color="auto"/>
              <w:right w:val="single" w:sz="8" w:space="0" w:color="auto"/>
            </w:tcBorders>
            <w:shd w:val="clear" w:color="auto" w:fill="auto"/>
            <w:vAlign w:val="center"/>
            <w:hideMark/>
          </w:tcPr>
          <w:p w14:paraId="62CBED9E" w14:textId="77777777" w:rsidR="00B07FC0" w:rsidRPr="007C250E" w:rsidRDefault="00B07FC0" w:rsidP="00433C4E">
            <w:pPr>
              <w:jc w:val="right"/>
              <w:rPr>
                <w:i/>
                <w:iCs/>
                <w:noProof/>
                <w:color w:val="000000"/>
                <w:sz w:val="16"/>
                <w:szCs w:val="16"/>
              </w:rPr>
            </w:pPr>
            <w:r>
              <w:rPr>
                <w:i/>
                <w:noProof/>
                <w:color w:val="000000"/>
                <w:sz w:val="16"/>
              </w:rPr>
              <w:t>166 647 013</w:t>
            </w:r>
          </w:p>
        </w:tc>
        <w:tc>
          <w:tcPr>
            <w:tcW w:w="1276" w:type="dxa"/>
            <w:tcBorders>
              <w:top w:val="nil"/>
              <w:left w:val="nil"/>
              <w:bottom w:val="single" w:sz="8" w:space="0" w:color="auto"/>
              <w:right w:val="single" w:sz="8" w:space="0" w:color="auto"/>
            </w:tcBorders>
            <w:shd w:val="clear" w:color="auto" w:fill="auto"/>
            <w:vAlign w:val="center"/>
            <w:hideMark/>
          </w:tcPr>
          <w:p w14:paraId="4467A602" w14:textId="77777777" w:rsidR="00B07FC0" w:rsidRPr="007C250E" w:rsidRDefault="00B07FC0" w:rsidP="00433C4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7586BDF" w14:textId="77777777" w:rsidR="00B07FC0" w:rsidRPr="007C250E" w:rsidRDefault="00B07FC0" w:rsidP="00433C4E">
            <w:pPr>
              <w:jc w:val="right"/>
              <w:rPr>
                <w:i/>
                <w:iCs/>
                <w:noProof/>
                <w:color w:val="000000"/>
                <w:sz w:val="16"/>
                <w:szCs w:val="16"/>
              </w:rPr>
            </w:pPr>
            <w:r>
              <w:rPr>
                <w:i/>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62F3F59" w14:textId="77777777" w:rsidR="00B07FC0" w:rsidRPr="007C250E" w:rsidRDefault="00B07FC0" w:rsidP="00433C4E">
            <w:pPr>
              <w:jc w:val="right"/>
              <w:rPr>
                <w:noProof/>
                <w:color w:val="000000"/>
                <w:sz w:val="16"/>
                <w:szCs w:val="16"/>
              </w:rPr>
            </w:pPr>
            <w:r>
              <w:rPr>
                <w:noProof/>
                <w:color w:val="000000"/>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0D9E2468" w14:textId="77777777" w:rsidR="00B07FC0" w:rsidRPr="007C250E" w:rsidRDefault="00B07FC0" w:rsidP="00433C4E">
            <w:pPr>
              <w:jc w:val="right"/>
              <w:rPr>
                <w:i/>
                <w:iCs/>
                <w:noProof/>
                <w:color w:val="000000"/>
                <w:sz w:val="16"/>
                <w:szCs w:val="16"/>
              </w:rPr>
            </w:pPr>
            <w:r>
              <w:rPr>
                <w:i/>
                <w:noProof/>
                <w:color w:val="000000"/>
                <w:sz w:val="16"/>
              </w:rPr>
              <w:t xml:space="preserve">166 647 013 </w:t>
            </w:r>
          </w:p>
        </w:tc>
        <w:tc>
          <w:tcPr>
            <w:tcW w:w="1276" w:type="dxa"/>
            <w:tcBorders>
              <w:top w:val="nil"/>
              <w:left w:val="nil"/>
              <w:bottom w:val="single" w:sz="8" w:space="0" w:color="auto"/>
              <w:right w:val="single" w:sz="8" w:space="0" w:color="auto"/>
            </w:tcBorders>
            <w:shd w:val="clear" w:color="auto" w:fill="auto"/>
            <w:vAlign w:val="center"/>
            <w:hideMark/>
          </w:tcPr>
          <w:p w14:paraId="06E772FD" w14:textId="77777777" w:rsidR="00B07FC0" w:rsidRPr="007C250E" w:rsidRDefault="00B07FC0" w:rsidP="00433C4E">
            <w:pPr>
              <w:jc w:val="right"/>
              <w:rPr>
                <w:noProof/>
                <w:color w:val="000000"/>
                <w:sz w:val="16"/>
                <w:szCs w:val="16"/>
              </w:rPr>
            </w:pPr>
            <w:r>
              <w:rPr>
                <w:noProof/>
                <w:color w:val="000000"/>
                <w:sz w:val="16"/>
              </w:rPr>
              <w:t xml:space="preserve"> </w:t>
            </w:r>
          </w:p>
        </w:tc>
      </w:tr>
      <w:tr w:rsidR="00B07FC0" w:rsidRPr="007C250E" w14:paraId="2045376D" w14:textId="77777777" w:rsidTr="00433C4E">
        <w:trPr>
          <w:trHeight w:val="300"/>
        </w:trPr>
        <w:tc>
          <w:tcPr>
            <w:tcW w:w="416" w:type="dxa"/>
            <w:tcBorders>
              <w:top w:val="nil"/>
              <w:left w:val="single" w:sz="8" w:space="0" w:color="auto"/>
              <w:bottom w:val="single" w:sz="8" w:space="0" w:color="auto"/>
              <w:right w:val="nil"/>
            </w:tcBorders>
            <w:shd w:val="clear" w:color="000000" w:fill="D9D9D9"/>
            <w:vAlign w:val="center"/>
            <w:hideMark/>
          </w:tcPr>
          <w:p w14:paraId="5B5873FC" w14:textId="77777777" w:rsidR="00B07FC0" w:rsidRPr="007C250E" w:rsidRDefault="00B07FC0" w:rsidP="00433C4E">
            <w:pPr>
              <w:jc w:val="both"/>
              <w:rPr>
                <w:b/>
                <w:bCs/>
                <w:noProof/>
                <w:sz w:val="16"/>
                <w:szCs w:val="16"/>
              </w:rPr>
            </w:pPr>
            <w:r>
              <w:rPr>
                <w:b/>
                <w:noProof/>
                <w:sz w:val="16"/>
              </w:rPr>
              <w:t>2.</w:t>
            </w:r>
          </w:p>
        </w:tc>
        <w:tc>
          <w:tcPr>
            <w:tcW w:w="2551" w:type="dxa"/>
            <w:tcBorders>
              <w:top w:val="nil"/>
              <w:left w:val="nil"/>
              <w:bottom w:val="single" w:sz="8" w:space="0" w:color="auto"/>
              <w:right w:val="single" w:sz="8" w:space="0" w:color="auto"/>
            </w:tcBorders>
            <w:shd w:val="clear" w:color="000000" w:fill="D9D9D9"/>
            <w:vAlign w:val="center"/>
            <w:hideMark/>
          </w:tcPr>
          <w:p w14:paraId="6B6678C4" w14:textId="77777777" w:rsidR="00B07FC0" w:rsidRPr="007C250E" w:rsidRDefault="00B07FC0" w:rsidP="00433C4E">
            <w:pPr>
              <w:jc w:val="both"/>
              <w:rPr>
                <w:b/>
                <w:bCs/>
                <w:noProof/>
                <w:sz w:val="16"/>
                <w:szCs w:val="16"/>
              </w:rPr>
            </w:pPr>
            <w:r>
              <w:rPr>
                <w:b/>
                <w:noProof/>
                <w:sz w:val="16"/>
              </w:rPr>
              <w:t>Coesão, Resiliência e Valores</w:t>
            </w:r>
          </w:p>
        </w:tc>
        <w:tc>
          <w:tcPr>
            <w:tcW w:w="1276" w:type="dxa"/>
            <w:tcBorders>
              <w:top w:val="nil"/>
              <w:left w:val="nil"/>
              <w:bottom w:val="single" w:sz="8" w:space="0" w:color="auto"/>
              <w:right w:val="single" w:sz="8" w:space="0" w:color="auto"/>
            </w:tcBorders>
            <w:shd w:val="clear" w:color="000000" w:fill="D9D9D9"/>
            <w:vAlign w:val="center"/>
            <w:hideMark/>
          </w:tcPr>
          <w:p w14:paraId="5533D876" w14:textId="77777777" w:rsidR="00B07FC0" w:rsidRPr="007C250E" w:rsidRDefault="00B07FC0" w:rsidP="00433C4E">
            <w:pPr>
              <w:jc w:val="right"/>
              <w:rPr>
                <w:b/>
                <w:bCs/>
                <w:noProof/>
                <w:sz w:val="16"/>
                <w:szCs w:val="16"/>
              </w:rPr>
            </w:pPr>
            <w:r>
              <w:rPr>
                <w:b/>
                <w:noProof/>
                <w:sz w:val="16"/>
              </w:rPr>
              <w:t>74 979 363 449</w:t>
            </w:r>
          </w:p>
        </w:tc>
        <w:tc>
          <w:tcPr>
            <w:tcW w:w="1276" w:type="dxa"/>
            <w:tcBorders>
              <w:top w:val="nil"/>
              <w:left w:val="nil"/>
              <w:bottom w:val="single" w:sz="8" w:space="0" w:color="auto"/>
              <w:right w:val="single" w:sz="8" w:space="0" w:color="auto"/>
            </w:tcBorders>
            <w:shd w:val="clear" w:color="000000" w:fill="D9D9D9"/>
            <w:vAlign w:val="center"/>
            <w:hideMark/>
          </w:tcPr>
          <w:p w14:paraId="4103F804" w14:textId="77777777" w:rsidR="00B07FC0" w:rsidRPr="007C250E" w:rsidRDefault="00B07FC0" w:rsidP="00433C4E">
            <w:pPr>
              <w:jc w:val="right"/>
              <w:rPr>
                <w:b/>
                <w:bCs/>
                <w:noProof/>
                <w:sz w:val="16"/>
                <w:szCs w:val="16"/>
              </w:rPr>
            </w:pPr>
            <w:r>
              <w:rPr>
                <w:b/>
                <w:noProof/>
                <w:sz w:val="16"/>
              </w:rPr>
              <w:t>34 186 039 329</w:t>
            </w:r>
          </w:p>
        </w:tc>
        <w:tc>
          <w:tcPr>
            <w:tcW w:w="1134" w:type="dxa"/>
            <w:tcBorders>
              <w:top w:val="nil"/>
              <w:left w:val="nil"/>
              <w:bottom w:val="single" w:sz="8" w:space="0" w:color="auto"/>
              <w:right w:val="single" w:sz="8" w:space="0" w:color="auto"/>
            </w:tcBorders>
            <w:shd w:val="clear" w:color="000000" w:fill="D9D9D9"/>
            <w:vAlign w:val="center"/>
            <w:hideMark/>
          </w:tcPr>
          <w:p w14:paraId="504E806D" w14:textId="77777777" w:rsidR="00B07FC0" w:rsidRPr="007C250E" w:rsidRDefault="00B07FC0" w:rsidP="00433C4E">
            <w:pPr>
              <w:jc w:val="right"/>
              <w:rPr>
                <w:b/>
                <w:bCs/>
                <w:noProof/>
                <w:sz w:val="16"/>
                <w:szCs w:val="16"/>
              </w:rPr>
            </w:pPr>
            <w:r>
              <w:rPr>
                <w:b/>
                <w:noProof/>
                <w:sz w:val="16"/>
              </w:rPr>
              <w:t xml:space="preserve">-72 000 000 </w:t>
            </w:r>
          </w:p>
        </w:tc>
        <w:tc>
          <w:tcPr>
            <w:tcW w:w="1134" w:type="dxa"/>
            <w:tcBorders>
              <w:top w:val="nil"/>
              <w:left w:val="nil"/>
              <w:bottom w:val="single" w:sz="8" w:space="0" w:color="auto"/>
              <w:right w:val="single" w:sz="8" w:space="0" w:color="auto"/>
            </w:tcBorders>
            <w:shd w:val="clear" w:color="000000" w:fill="D9D9D9"/>
            <w:vAlign w:val="center"/>
            <w:hideMark/>
          </w:tcPr>
          <w:p w14:paraId="6EA1C0AB" w14:textId="77777777" w:rsidR="00B07FC0" w:rsidRPr="007C250E" w:rsidRDefault="00B07FC0" w:rsidP="00433C4E">
            <w:pPr>
              <w:jc w:val="right"/>
              <w:rPr>
                <w:b/>
                <w:bCs/>
                <w:noProof/>
                <w:sz w:val="16"/>
                <w:szCs w:val="16"/>
              </w:rPr>
            </w:pPr>
            <w:r>
              <w:rPr>
                <w:b/>
                <w:noProof/>
                <w:sz w:val="16"/>
              </w:rPr>
              <w:t xml:space="preserve">-72 000 000 </w:t>
            </w:r>
          </w:p>
        </w:tc>
        <w:tc>
          <w:tcPr>
            <w:tcW w:w="1275" w:type="dxa"/>
            <w:tcBorders>
              <w:top w:val="nil"/>
              <w:left w:val="nil"/>
              <w:bottom w:val="single" w:sz="8" w:space="0" w:color="auto"/>
              <w:right w:val="single" w:sz="8" w:space="0" w:color="auto"/>
            </w:tcBorders>
            <w:shd w:val="clear" w:color="000000" w:fill="D9D9D9"/>
            <w:vAlign w:val="center"/>
            <w:hideMark/>
          </w:tcPr>
          <w:p w14:paraId="4E694F9D" w14:textId="77777777" w:rsidR="00B07FC0" w:rsidRPr="007C250E" w:rsidRDefault="00B07FC0" w:rsidP="00433C4E">
            <w:pPr>
              <w:jc w:val="right"/>
              <w:rPr>
                <w:b/>
                <w:bCs/>
                <w:noProof/>
                <w:sz w:val="16"/>
                <w:szCs w:val="16"/>
              </w:rPr>
            </w:pPr>
            <w:r>
              <w:rPr>
                <w:b/>
                <w:noProof/>
                <w:sz w:val="16"/>
              </w:rPr>
              <w:t xml:space="preserve">74 907 363 449 </w:t>
            </w:r>
          </w:p>
        </w:tc>
        <w:tc>
          <w:tcPr>
            <w:tcW w:w="1276" w:type="dxa"/>
            <w:tcBorders>
              <w:top w:val="nil"/>
              <w:left w:val="nil"/>
              <w:bottom w:val="single" w:sz="8" w:space="0" w:color="auto"/>
              <w:right w:val="single" w:sz="8" w:space="0" w:color="auto"/>
            </w:tcBorders>
            <w:shd w:val="clear" w:color="000000" w:fill="D9D9D9"/>
            <w:vAlign w:val="center"/>
            <w:hideMark/>
          </w:tcPr>
          <w:p w14:paraId="39201EAA" w14:textId="77777777" w:rsidR="00B07FC0" w:rsidRPr="007C250E" w:rsidRDefault="00B07FC0" w:rsidP="00433C4E">
            <w:pPr>
              <w:jc w:val="right"/>
              <w:rPr>
                <w:b/>
                <w:bCs/>
                <w:noProof/>
                <w:sz w:val="16"/>
                <w:szCs w:val="16"/>
              </w:rPr>
            </w:pPr>
            <w:r>
              <w:rPr>
                <w:b/>
                <w:noProof/>
                <w:sz w:val="16"/>
              </w:rPr>
              <w:t xml:space="preserve">34 114 039 329 </w:t>
            </w:r>
          </w:p>
        </w:tc>
      </w:tr>
      <w:tr w:rsidR="00B07FC0" w:rsidRPr="007C250E" w14:paraId="378E0278" w14:textId="77777777" w:rsidTr="00433C4E">
        <w:trPr>
          <w:trHeight w:val="300"/>
        </w:trPr>
        <w:tc>
          <w:tcPr>
            <w:tcW w:w="416" w:type="dxa"/>
            <w:tcBorders>
              <w:top w:val="nil"/>
              <w:left w:val="single" w:sz="8" w:space="0" w:color="auto"/>
              <w:bottom w:val="single" w:sz="8" w:space="0" w:color="auto"/>
              <w:right w:val="nil"/>
            </w:tcBorders>
            <w:shd w:val="clear" w:color="auto" w:fill="auto"/>
            <w:vAlign w:val="center"/>
            <w:hideMark/>
          </w:tcPr>
          <w:p w14:paraId="1A6C1802" w14:textId="77777777" w:rsidR="00B07FC0" w:rsidRPr="007C250E" w:rsidRDefault="00B07FC0" w:rsidP="00433C4E">
            <w:pPr>
              <w:jc w:val="both"/>
              <w:rPr>
                <w:noProof/>
                <w:sz w:val="16"/>
                <w:szCs w:val="16"/>
              </w:rPr>
            </w:pPr>
            <w:r>
              <w:rPr>
                <w:noProof/>
                <w:sz w:val="16"/>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3FE1BC2D" w14:textId="77777777" w:rsidR="00B07FC0" w:rsidRPr="00B07FC0" w:rsidRDefault="00B07FC0" w:rsidP="00433C4E">
            <w:pPr>
              <w:jc w:val="right"/>
              <w:rPr>
                <w:b/>
                <w:bCs/>
                <w:noProof/>
                <w:sz w:val="16"/>
                <w:szCs w:val="16"/>
                <w:lang w:val="pt-PT"/>
              </w:rPr>
            </w:pPr>
            <w:r w:rsidRPr="00B07FC0">
              <w:rPr>
                <w:b/>
                <w:noProof/>
                <w:sz w:val="16"/>
                <w:lang w:val="pt-PT"/>
              </w:rPr>
              <w:t>Dos quais, a título do Instrumento de Flexibilidade</w:t>
            </w:r>
          </w:p>
        </w:tc>
        <w:tc>
          <w:tcPr>
            <w:tcW w:w="1276" w:type="dxa"/>
            <w:tcBorders>
              <w:top w:val="nil"/>
              <w:left w:val="nil"/>
              <w:bottom w:val="single" w:sz="8" w:space="0" w:color="auto"/>
              <w:right w:val="single" w:sz="8" w:space="0" w:color="auto"/>
            </w:tcBorders>
            <w:shd w:val="clear" w:color="auto" w:fill="auto"/>
            <w:vAlign w:val="center"/>
            <w:hideMark/>
          </w:tcPr>
          <w:p w14:paraId="51FCCDB5" w14:textId="77777777" w:rsidR="00B07FC0" w:rsidRPr="007C250E" w:rsidRDefault="00B07FC0" w:rsidP="00433C4E">
            <w:pPr>
              <w:jc w:val="right"/>
              <w:rPr>
                <w:i/>
                <w:iCs/>
                <w:noProof/>
                <w:sz w:val="16"/>
                <w:szCs w:val="16"/>
              </w:rPr>
            </w:pPr>
            <w:r>
              <w:rPr>
                <w:i/>
                <w:noProof/>
                <w:sz w:val="16"/>
              </w:rPr>
              <w:t>1 335 350 949</w:t>
            </w:r>
          </w:p>
        </w:tc>
        <w:tc>
          <w:tcPr>
            <w:tcW w:w="1276" w:type="dxa"/>
            <w:tcBorders>
              <w:top w:val="nil"/>
              <w:left w:val="nil"/>
              <w:bottom w:val="single" w:sz="8" w:space="0" w:color="auto"/>
              <w:right w:val="single" w:sz="8" w:space="0" w:color="auto"/>
            </w:tcBorders>
            <w:shd w:val="clear" w:color="auto" w:fill="auto"/>
            <w:vAlign w:val="center"/>
            <w:hideMark/>
          </w:tcPr>
          <w:p w14:paraId="6A6C7DE8" w14:textId="77777777" w:rsidR="00B07FC0" w:rsidRPr="007C250E" w:rsidRDefault="00B07FC0" w:rsidP="00433C4E">
            <w:pPr>
              <w:jc w:val="right"/>
              <w:rPr>
                <w:noProof/>
                <w:sz w:val="16"/>
                <w:szCs w:val="16"/>
              </w:rPr>
            </w:pPr>
            <w:r>
              <w:rPr>
                <w:noProof/>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F270F5C" w14:textId="77777777" w:rsidR="00B07FC0" w:rsidRPr="007C250E" w:rsidRDefault="00B07FC0" w:rsidP="00433C4E">
            <w:pPr>
              <w:jc w:val="right"/>
              <w:rPr>
                <w:i/>
                <w:iCs/>
                <w:noProof/>
                <w:sz w:val="16"/>
                <w:szCs w:val="16"/>
              </w:rPr>
            </w:pPr>
            <w:r>
              <w:rPr>
                <w:i/>
                <w:noProof/>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88533B4" w14:textId="77777777" w:rsidR="00B07FC0" w:rsidRPr="007C250E" w:rsidRDefault="00B07FC0" w:rsidP="00433C4E">
            <w:pPr>
              <w:jc w:val="right"/>
              <w:rPr>
                <w:noProof/>
                <w:sz w:val="16"/>
                <w:szCs w:val="16"/>
              </w:rPr>
            </w:pPr>
            <w:r>
              <w:rPr>
                <w:noProof/>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291D8730" w14:textId="77777777" w:rsidR="00B07FC0" w:rsidRPr="007C250E" w:rsidRDefault="00B07FC0" w:rsidP="00433C4E">
            <w:pPr>
              <w:jc w:val="right"/>
              <w:rPr>
                <w:i/>
                <w:iCs/>
                <w:noProof/>
                <w:sz w:val="16"/>
                <w:szCs w:val="16"/>
              </w:rPr>
            </w:pPr>
            <w:r>
              <w:rPr>
                <w:i/>
                <w:noProof/>
                <w:sz w:val="16"/>
              </w:rPr>
              <w:t xml:space="preserve">1 335 350 949 </w:t>
            </w:r>
          </w:p>
        </w:tc>
        <w:tc>
          <w:tcPr>
            <w:tcW w:w="1276" w:type="dxa"/>
            <w:tcBorders>
              <w:top w:val="nil"/>
              <w:left w:val="nil"/>
              <w:bottom w:val="single" w:sz="8" w:space="0" w:color="auto"/>
              <w:right w:val="single" w:sz="8" w:space="0" w:color="auto"/>
            </w:tcBorders>
            <w:shd w:val="clear" w:color="auto" w:fill="auto"/>
            <w:vAlign w:val="center"/>
            <w:hideMark/>
          </w:tcPr>
          <w:p w14:paraId="6CD80D95" w14:textId="77777777" w:rsidR="00B07FC0" w:rsidRPr="007C250E" w:rsidRDefault="00B07FC0" w:rsidP="00433C4E">
            <w:pPr>
              <w:jc w:val="right"/>
              <w:rPr>
                <w:noProof/>
                <w:sz w:val="16"/>
                <w:szCs w:val="16"/>
              </w:rPr>
            </w:pPr>
            <w:r>
              <w:rPr>
                <w:noProof/>
                <w:sz w:val="16"/>
              </w:rPr>
              <w:t xml:space="preserve"> </w:t>
            </w:r>
          </w:p>
        </w:tc>
      </w:tr>
      <w:tr w:rsidR="00B07FC0" w:rsidRPr="007C250E" w14:paraId="4F734C90" w14:textId="77777777" w:rsidTr="00433C4E">
        <w:trPr>
          <w:trHeight w:val="430"/>
        </w:trPr>
        <w:tc>
          <w:tcPr>
            <w:tcW w:w="416" w:type="dxa"/>
            <w:tcBorders>
              <w:top w:val="nil"/>
              <w:left w:val="single" w:sz="8" w:space="0" w:color="auto"/>
              <w:bottom w:val="single" w:sz="8" w:space="0" w:color="auto"/>
              <w:right w:val="nil"/>
            </w:tcBorders>
            <w:shd w:val="clear" w:color="auto" w:fill="auto"/>
            <w:vAlign w:val="center"/>
            <w:hideMark/>
          </w:tcPr>
          <w:p w14:paraId="5E017A74" w14:textId="77777777" w:rsidR="00B07FC0" w:rsidRPr="007C250E" w:rsidRDefault="00B07FC0" w:rsidP="00433C4E">
            <w:pPr>
              <w:jc w:val="both"/>
              <w:rPr>
                <w:noProof/>
                <w:sz w:val="16"/>
                <w:szCs w:val="16"/>
              </w:rPr>
            </w:pPr>
            <w:r>
              <w:rPr>
                <w:noProof/>
                <w:sz w:val="16"/>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79C38B34" w14:textId="77777777" w:rsidR="00B07FC0" w:rsidRPr="00B07FC0" w:rsidRDefault="00B07FC0" w:rsidP="00433C4E">
            <w:pPr>
              <w:jc w:val="right"/>
              <w:rPr>
                <w:b/>
                <w:bCs/>
                <w:noProof/>
                <w:sz w:val="16"/>
                <w:szCs w:val="16"/>
                <w:lang w:val="pt-PT"/>
              </w:rPr>
            </w:pPr>
            <w:r w:rsidRPr="00B07FC0">
              <w:rPr>
                <w:b/>
                <w:noProof/>
                <w:sz w:val="16"/>
                <w:lang w:val="pt-PT"/>
              </w:rPr>
              <w:t>Dos quais, a título do Instrumento de Margem Único (Artigo 11.º, n.º 1, alínea a))</w:t>
            </w:r>
          </w:p>
        </w:tc>
        <w:tc>
          <w:tcPr>
            <w:tcW w:w="1276" w:type="dxa"/>
            <w:tcBorders>
              <w:top w:val="nil"/>
              <w:left w:val="nil"/>
              <w:bottom w:val="single" w:sz="8" w:space="0" w:color="auto"/>
              <w:right w:val="single" w:sz="8" w:space="0" w:color="auto"/>
            </w:tcBorders>
            <w:shd w:val="clear" w:color="auto" w:fill="auto"/>
            <w:vAlign w:val="center"/>
            <w:hideMark/>
          </w:tcPr>
          <w:p w14:paraId="5DC04CA4" w14:textId="77777777" w:rsidR="00B07FC0" w:rsidRPr="007C250E" w:rsidRDefault="00B07FC0" w:rsidP="00433C4E">
            <w:pPr>
              <w:jc w:val="right"/>
              <w:rPr>
                <w:i/>
                <w:iCs/>
                <w:noProof/>
                <w:sz w:val="16"/>
                <w:szCs w:val="16"/>
              </w:rPr>
            </w:pPr>
            <w:r>
              <w:rPr>
                <w:i/>
                <w:noProof/>
                <w:sz w:val="16"/>
              </w:rPr>
              <w:t>372 816 884</w:t>
            </w:r>
          </w:p>
        </w:tc>
        <w:tc>
          <w:tcPr>
            <w:tcW w:w="1276" w:type="dxa"/>
            <w:tcBorders>
              <w:top w:val="nil"/>
              <w:left w:val="nil"/>
              <w:bottom w:val="single" w:sz="8" w:space="0" w:color="auto"/>
              <w:right w:val="single" w:sz="8" w:space="0" w:color="auto"/>
            </w:tcBorders>
            <w:shd w:val="clear" w:color="auto" w:fill="auto"/>
            <w:vAlign w:val="center"/>
            <w:hideMark/>
          </w:tcPr>
          <w:p w14:paraId="35490812" w14:textId="77777777" w:rsidR="00B07FC0" w:rsidRPr="007C250E" w:rsidRDefault="00B07FC0" w:rsidP="00433C4E">
            <w:pPr>
              <w:jc w:val="right"/>
              <w:rPr>
                <w:noProof/>
                <w:sz w:val="16"/>
                <w:szCs w:val="16"/>
              </w:rPr>
            </w:pPr>
            <w:r>
              <w:rPr>
                <w:noProof/>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DC761DF" w14:textId="77777777" w:rsidR="00B07FC0" w:rsidRPr="007C250E" w:rsidRDefault="00B07FC0" w:rsidP="00433C4E">
            <w:pPr>
              <w:jc w:val="right"/>
              <w:rPr>
                <w:i/>
                <w:iCs/>
                <w:noProof/>
                <w:sz w:val="16"/>
                <w:szCs w:val="16"/>
              </w:rPr>
            </w:pPr>
            <w:r>
              <w:rPr>
                <w:i/>
                <w:noProof/>
                <w:sz w:val="16"/>
              </w:rPr>
              <w:t xml:space="preserve">-72 000 000 </w:t>
            </w:r>
          </w:p>
        </w:tc>
        <w:tc>
          <w:tcPr>
            <w:tcW w:w="1134" w:type="dxa"/>
            <w:tcBorders>
              <w:top w:val="nil"/>
              <w:left w:val="nil"/>
              <w:bottom w:val="single" w:sz="8" w:space="0" w:color="auto"/>
              <w:right w:val="single" w:sz="8" w:space="0" w:color="auto"/>
            </w:tcBorders>
            <w:shd w:val="clear" w:color="auto" w:fill="auto"/>
            <w:vAlign w:val="center"/>
            <w:hideMark/>
          </w:tcPr>
          <w:p w14:paraId="75027EDA" w14:textId="77777777" w:rsidR="00B07FC0" w:rsidRPr="007C250E" w:rsidRDefault="00B07FC0" w:rsidP="00433C4E">
            <w:pPr>
              <w:jc w:val="right"/>
              <w:rPr>
                <w:noProof/>
                <w:sz w:val="16"/>
                <w:szCs w:val="16"/>
              </w:rPr>
            </w:pPr>
            <w:r>
              <w:rPr>
                <w:noProof/>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7BC95F09" w14:textId="77777777" w:rsidR="00B07FC0" w:rsidRPr="007C250E" w:rsidRDefault="00B07FC0" w:rsidP="00433C4E">
            <w:pPr>
              <w:jc w:val="right"/>
              <w:rPr>
                <w:i/>
                <w:iCs/>
                <w:noProof/>
                <w:sz w:val="16"/>
                <w:szCs w:val="16"/>
              </w:rPr>
            </w:pPr>
            <w:r>
              <w:rPr>
                <w:i/>
                <w:noProof/>
                <w:sz w:val="16"/>
              </w:rPr>
              <w:t xml:space="preserve">300 816 884 </w:t>
            </w:r>
          </w:p>
        </w:tc>
        <w:tc>
          <w:tcPr>
            <w:tcW w:w="1276" w:type="dxa"/>
            <w:tcBorders>
              <w:top w:val="nil"/>
              <w:left w:val="nil"/>
              <w:bottom w:val="single" w:sz="8" w:space="0" w:color="auto"/>
              <w:right w:val="single" w:sz="8" w:space="0" w:color="auto"/>
            </w:tcBorders>
            <w:shd w:val="clear" w:color="auto" w:fill="auto"/>
            <w:vAlign w:val="center"/>
            <w:hideMark/>
          </w:tcPr>
          <w:p w14:paraId="774FE78F" w14:textId="77777777" w:rsidR="00B07FC0" w:rsidRPr="007C250E" w:rsidRDefault="00B07FC0" w:rsidP="00433C4E">
            <w:pPr>
              <w:jc w:val="right"/>
              <w:rPr>
                <w:noProof/>
                <w:sz w:val="16"/>
                <w:szCs w:val="16"/>
              </w:rPr>
            </w:pPr>
            <w:r>
              <w:rPr>
                <w:noProof/>
                <w:sz w:val="16"/>
              </w:rPr>
              <w:t xml:space="preserve"> </w:t>
            </w:r>
          </w:p>
        </w:tc>
      </w:tr>
      <w:tr w:rsidR="00B07FC0" w:rsidRPr="00B07FC0" w14:paraId="6AB80ADA" w14:textId="77777777" w:rsidTr="00433C4E">
        <w:trPr>
          <w:trHeight w:val="430"/>
        </w:trPr>
        <w:tc>
          <w:tcPr>
            <w:tcW w:w="416" w:type="dxa"/>
            <w:tcBorders>
              <w:top w:val="nil"/>
              <w:left w:val="single" w:sz="8" w:space="0" w:color="auto"/>
              <w:bottom w:val="single" w:sz="8" w:space="0" w:color="auto"/>
              <w:right w:val="nil"/>
            </w:tcBorders>
            <w:shd w:val="clear" w:color="auto" w:fill="auto"/>
            <w:vAlign w:val="center"/>
            <w:hideMark/>
          </w:tcPr>
          <w:p w14:paraId="154D14A5" w14:textId="77777777" w:rsidR="00B07FC0" w:rsidRPr="007C250E" w:rsidRDefault="00B07FC0" w:rsidP="00433C4E">
            <w:pPr>
              <w:jc w:val="both"/>
              <w:rPr>
                <w:noProof/>
                <w:color w:val="000000"/>
                <w:sz w:val="16"/>
                <w:szCs w:val="16"/>
              </w:rPr>
            </w:pPr>
            <w:r>
              <w:rPr>
                <w:noProof/>
                <w:color w:val="000000"/>
                <w:sz w:val="16"/>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491DB9BC" w14:textId="77777777" w:rsidR="00B07FC0" w:rsidRPr="00B07FC0" w:rsidRDefault="00B07FC0" w:rsidP="00433C4E">
            <w:pPr>
              <w:jc w:val="right"/>
              <w:rPr>
                <w:b/>
                <w:bCs/>
                <w:noProof/>
                <w:color w:val="000000"/>
                <w:sz w:val="16"/>
                <w:szCs w:val="16"/>
                <w:lang w:val="pt-PT"/>
              </w:rPr>
            </w:pPr>
            <w:r w:rsidRPr="00B07FC0">
              <w:rPr>
                <w:b/>
                <w:noProof/>
                <w:color w:val="000000"/>
                <w:sz w:val="16"/>
                <w:lang w:val="pt-PT"/>
              </w:rPr>
              <w:t>dos quais, a título do Instrumento de Margem Único (Artigo 11.º, n.º 1, alínea c))</w:t>
            </w:r>
          </w:p>
        </w:tc>
        <w:tc>
          <w:tcPr>
            <w:tcW w:w="1276" w:type="dxa"/>
            <w:tcBorders>
              <w:top w:val="nil"/>
              <w:left w:val="nil"/>
              <w:bottom w:val="single" w:sz="8" w:space="0" w:color="auto"/>
              <w:right w:val="single" w:sz="8" w:space="0" w:color="auto"/>
            </w:tcBorders>
            <w:shd w:val="clear" w:color="auto" w:fill="auto"/>
            <w:vAlign w:val="center"/>
            <w:hideMark/>
          </w:tcPr>
          <w:p w14:paraId="146B3931"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707DC2BF"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3A51133"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E919617"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0237AB8E"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2CBD06BB"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r>
      <w:tr w:rsidR="00B07FC0" w:rsidRPr="007C250E" w14:paraId="4572AF02" w14:textId="77777777" w:rsidTr="00433C4E">
        <w:trPr>
          <w:trHeight w:val="300"/>
        </w:trPr>
        <w:tc>
          <w:tcPr>
            <w:tcW w:w="2967"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18532A6" w14:textId="77777777" w:rsidR="00B07FC0" w:rsidRPr="007C250E" w:rsidRDefault="00B07FC0" w:rsidP="00433C4E">
            <w:pPr>
              <w:jc w:val="right"/>
              <w:rPr>
                <w:b/>
                <w:bCs/>
                <w:i/>
                <w:iCs/>
                <w:noProof/>
                <w:color w:val="000000"/>
                <w:sz w:val="16"/>
                <w:szCs w:val="16"/>
              </w:rPr>
            </w:pPr>
            <w:r>
              <w:rPr>
                <w:b/>
                <w:i/>
                <w:noProof/>
                <w:color w:val="000000"/>
                <w:sz w:val="16"/>
              </w:rPr>
              <w:t>Limite máximo</w:t>
            </w:r>
          </w:p>
        </w:tc>
        <w:tc>
          <w:tcPr>
            <w:tcW w:w="1276" w:type="dxa"/>
            <w:tcBorders>
              <w:top w:val="nil"/>
              <w:left w:val="nil"/>
              <w:bottom w:val="single" w:sz="8" w:space="0" w:color="auto"/>
              <w:right w:val="single" w:sz="8" w:space="0" w:color="auto"/>
            </w:tcBorders>
            <w:shd w:val="clear" w:color="auto" w:fill="auto"/>
            <w:vAlign w:val="center"/>
            <w:hideMark/>
          </w:tcPr>
          <w:p w14:paraId="5DF4E1E5" w14:textId="77777777" w:rsidR="00B07FC0" w:rsidRPr="007C250E" w:rsidRDefault="00B07FC0" w:rsidP="00433C4E">
            <w:pPr>
              <w:jc w:val="right"/>
              <w:rPr>
                <w:i/>
                <w:iCs/>
                <w:noProof/>
                <w:color w:val="000000"/>
                <w:sz w:val="16"/>
                <w:szCs w:val="16"/>
              </w:rPr>
            </w:pPr>
            <w:r>
              <w:rPr>
                <w:i/>
                <w:noProof/>
                <w:color w:val="000000"/>
                <w:sz w:val="16"/>
              </w:rPr>
              <w:t>73 289 000 000</w:t>
            </w:r>
          </w:p>
        </w:tc>
        <w:tc>
          <w:tcPr>
            <w:tcW w:w="1276" w:type="dxa"/>
            <w:tcBorders>
              <w:top w:val="nil"/>
              <w:left w:val="nil"/>
              <w:bottom w:val="single" w:sz="8" w:space="0" w:color="auto"/>
              <w:right w:val="single" w:sz="8" w:space="0" w:color="auto"/>
            </w:tcBorders>
            <w:shd w:val="clear" w:color="auto" w:fill="auto"/>
            <w:vAlign w:val="center"/>
            <w:hideMark/>
          </w:tcPr>
          <w:p w14:paraId="168AF4FF" w14:textId="77777777" w:rsidR="00B07FC0" w:rsidRPr="007C250E" w:rsidRDefault="00B07FC0" w:rsidP="00433C4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BE59634" w14:textId="77777777" w:rsidR="00B07FC0" w:rsidRPr="007C250E" w:rsidRDefault="00B07FC0" w:rsidP="00433C4E">
            <w:pPr>
              <w:jc w:val="right"/>
              <w:rPr>
                <w:i/>
                <w:iCs/>
                <w:noProof/>
                <w:color w:val="000000"/>
                <w:sz w:val="16"/>
                <w:szCs w:val="16"/>
              </w:rPr>
            </w:pPr>
            <w:r>
              <w:rPr>
                <w:i/>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1C0323D" w14:textId="77777777" w:rsidR="00B07FC0" w:rsidRPr="007C250E" w:rsidRDefault="00B07FC0" w:rsidP="00433C4E">
            <w:pPr>
              <w:jc w:val="right"/>
              <w:rPr>
                <w:noProof/>
                <w:color w:val="000000"/>
                <w:sz w:val="16"/>
                <w:szCs w:val="16"/>
              </w:rPr>
            </w:pPr>
            <w:r>
              <w:rPr>
                <w:noProof/>
                <w:color w:val="000000"/>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255436FD" w14:textId="77777777" w:rsidR="00B07FC0" w:rsidRPr="007C250E" w:rsidRDefault="00B07FC0" w:rsidP="00433C4E">
            <w:pPr>
              <w:jc w:val="right"/>
              <w:rPr>
                <w:i/>
                <w:iCs/>
                <w:noProof/>
                <w:color w:val="000000"/>
                <w:sz w:val="16"/>
                <w:szCs w:val="16"/>
              </w:rPr>
            </w:pPr>
            <w:r>
              <w:rPr>
                <w:i/>
                <w:noProof/>
                <w:color w:val="000000"/>
                <w:sz w:val="16"/>
              </w:rPr>
              <w:t xml:space="preserve">73 289 000 000 </w:t>
            </w:r>
          </w:p>
        </w:tc>
        <w:tc>
          <w:tcPr>
            <w:tcW w:w="1276" w:type="dxa"/>
            <w:tcBorders>
              <w:top w:val="nil"/>
              <w:left w:val="nil"/>
              <w:bottom w:val="single" w:sz="8" w:space="0" w:color="auto"/>
              <w:right w:val="single" w:sz="8" w:space="0" w:color="auto"/>
            </w:tcBorders>
            <w:shd w:val="clear" w:color="auto" w:fill="auto"/>
            <w:vAlign w:val="center"/>
            <w:hideMark/>
          </w:tcPr>
          <w:p w14:paraId="2ACE3FCF" w14:textId="77777777" w:rsidR="00B07FC0" w:rsidRPr="007C250E" w:rsidRDefault="00B07FC0" w:rsidP="00433C4E">
            <w:pPr>
              <w:jc w:val="right"/>
              <w:rPr>
                <w:noProof/>
                <w:color w:val="000000"/>
                <w:sz w:val="16"/>
                <w:szCs w:val="16"/>
              </w:rPr>
            </w:pPr>
            <w:r>
              <w:rPr>
                <w:noProof/>
                <w:color w:val="000000"/>
                <w:sz w:val="16"/>
              </w:rPr>
              <w:t xml:space="preserve"> </w:t>
            </w:r>
          </w:p>
        </w:tc>
      </w:tr>
      <w:tr w:rsidR="00B07FC0" w:rsidRPr="007C250E" w14:paraId="71898C44" w14:textId="77777777" w:rsidTr="00433C4E">
        <w:trPr>
          <w:trHeight w:val="300"/>
        </w:trPr>
        <w:tc>
          <w:tcPr>
            <w:tcW w:w="2967"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5BB0AC27" w14:textId="77777777" w:rsidR="00B07FC0" w:rsidRPr="007C250E" w:rsidRDefault="00B07FC0" w:rsidP="00433C4E">
            <w:pPr>
              <w:jc w:val="right"/>
              <w:rPr>
                <w:b/>
                <w:bCs/>
                <w:i/>
                <w:iCs/>
                <w:noProof/>
                <w:sz w:val="16"/>
                <w:szCs w:val="16"/>
              </w:rPr>
            </w:pPr>
            <w:r>
              <w:rPr>
                <w:b/>
                <w:i/>
                <w:noProof/>
                <w:sz w:val="16"/>
              </w:rPr>
              <w:t>Margem</w:t>
            </w:r>
          </w:p>
        </w:tc>
        <w:tc>
          <w:tcPr>
            <w:tcW w:w="1276" w:type="dxa"/>
            <w:tcBorders>
              <w:top w:val="nil"/>
              <w:left w:val="nil"/>
              <w:bottom w:val="single" w:sz="8" w:space="0" w:color="auto"/>
              <w:right w:val="single" w:sz="8" w:space="0" w:color="auto"/>
            </w:tcBorders>
            <w:shd w:val="clear" w:color="auto" w:fill="auto"/>
            <w:vAlign w:val="center"/>
            <w:hideMark/>
          </w:tcPr>
          <w:p w14:paraId="23C93880" w14:textId="77777777" w:rsidR="00B07FC0" w:rsidRPr="007C250E" w:rsidRDefault="00B07FC0" w:rsidP="00433C4E">
            <w:pPr>
              <w:jc w:val="right"/>
              <w:rPr>
                <w:i/>
                <w:iCs/>
                <w:noProof/>
                <w:sz w:val="16"/>
                <w:szCs w:val="16"/>
              </w:rPr>
            </w:pPr>
            <w:r>
              <w:rPr>
                <w:i/>
                <w:noProof/>
                <w:sz w:val="16"/>
              </w:rPr>
              <w:t>17 804 384</w:t>
            </w:r>
          </w:p>
        </w:tc>
        <w:tc>
          <w:tcPr>
            <w:tcW w:w="1276" w:type="dxa"/>
            <w:tcBorders>
              <w:top w:val="nil"/>
              <w:left w:val="nil"/>
              <w:bottom w:val="single" w:sz="8" w:space="0" w:color="auto"/>
              <w:right w:val="single" w:sz="8" w:space="0" w:color="auto"/>
            </w:tcBorders>
            <w:shd w:val="clear" w:color="auto" w:fill="auto"/>
            <w:vAlign w:val="center"/>
            <w:hideMark/>
          </w:tcPr>
          <w:p w14:paraId="7989424A" w14:textId="77777777" w:rsidR="00B07FC0" w:rsidRPr="007C250E" w:rsidRDefault="00B07FC0" w:rsidP="00433C4E">
            <w:pPr>
              <w:jc w:val="right"/>
              <w:rPr>
                <w:noProof/>
                <w:sz w:val="16"/>
                <w:szCs w:val="16"/>
              </w:rPr>
            </w:pPr>
            <w:r>
              <w:rPr>
                <w:noProof/>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1C10F24" w14:textId="77777777" w:rsidR="00B07FC0" w:rsidRPr="007C250E" w:rsidRDefault="00B07FC0" w:rsidP="00433C4E">
            <w:pPr>
              <w:jc w:val="right"/>
              <w:rPr>
                <w:i/>
                <w:iCs/>
                <w:noProof/>
                <w:sz w:val="16"/>
                <w:szCs w:val="16"/>
              </w:rPr>
            </w:pPr>
            <w:r>
              <w:rPr>
                <w:i/>
                <w:noProof/>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66E8E1B" w14:textId="77777777" w:rsidR="00B07FC0" w:rsidRPr="007C250E" w:rsidRDefault="00B07FC0" w:rsidP="00433C4E">
            <w:pPr>
              <w:jc w:val="right"/>
              <w:rPr>
                <w:noProof/>
                <w:sz w:val="16"/>
                <w:szCs w:val="16"/>
              </w:rPr>
            </w:pPr>
            <w:r>
              <w:rPr>
                <w:noProof/>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5A4E53DC" w14:textId="77777777" w:rsidR="00B07FC0" w:rsidRPr="007C250E" w:rsidRDefault="00B07FC0" w:rsidP="00433C4E">
            <w:pPr>
              <w:jc w:val="right"/>
              <w:rPr>
                <w:i/>
                <w:iCs/>
                <w:noProof/>
                <w:sz w:val="16"/>
                <w:szCs w:val="16"/>
              </w:rPr>
            </w:pPr>
            <w:r>
              <w:rPr>
                <w:i/>
                <w:noProof/>
                <w:sz w:val="16"/>
              </w:rPr>
              <w:t xml:space="preserve">17 804 384 </w:t>
            </w:r>
          </w:p>
        </w:tc>
        <w:tc>
          <w:tcPr>
            <w:tcW w:w="1276" w:type="dxa"/>
            <w:tcBorders>
              <w:top w:val="nil"/>
              <w:left w:val="nil"/>
              <w:bottom w:val="single" w:sz="8" w:space="0" w:color="auto"/>
              <w:right w:val="single" w:sz="8" w:space="0" w:color="auto"/>
            </w:tcBorders>
            <w:shd w:val="clear" w:color="auto" w:fill="auto"/>
            <w:vAlign w:val="center"/>
            <w:hideMark/>
          </w:tcPr>
          <w:p w14:paraId="09F405A7" w14:textId="77777777" w:rsidR="00B07FC0" w:rsidRPr="007C250E" w:rsidRDefault="00B07FC0" w:rsidP="00433C4E">
            <w:pPr>
              <w:jc w:val="right"/>
              <w:rPr>
                <w:noProof/>
                <w:sz w:val="16"/>
                <w:szCs w:val="16"/>
              </w:rPr>
            </w:pPr>
            <w:r>
              <w:rPr>
                <w:noProof/>
                <w:sz w:val="16"/>
              </w:rPr>
              <w:t xml:space="preserve"> </w:t>
            </w:r>
          </w:p>
        </w:tc>
      </w:tr>
      <w:tr w:rsidR="00B07FC0" w:rsidRPr="007C250E" w14:paraId="412CE5CC" w14:textId="77777777" w:rsidTr="00433C4E">
        <w:trPr>
          <w:trHeight w:val="300"/>
        </w:trPr>
        <w:tc>
          <w:tcPr>
            <w:tcW w:w="416" w:type="dxa"/>
            <w:tcBorders>
              <w:top w:val="nil"/>
              <w:left w:val="single" w:sz="8" w:space="0" w:color="auto"/>
              <w:bottom w:val="single" w:sz="8" w:space="0" w:color="auto"/>
              <w:right w:val="nil"/>
            </w:tcBorders>
            <w:shd w:val="clear" w:color="000000" w:fill="D9D9D9"/>
            <w:vAlign w:val="center"/>
            <w:hideMark/>
          </w:tcPr>
          <w:p w14:paraId="44D6FA2C" w14:textId="77777777" w:rsidR="00B07FC0" w:rsidRPr="007C250E" w:rsidRDefault="00B07FC0" w:rsidP="00433C4E">
            <w:pPr>
              <w:jc w:val="both"/>
              <w:rPr>
                <w:noProof/>
                <w:color w:val="000000"/>
                <w:sz w:val="16"/>
                <w:szCs w:val="16"/>
              </w:rPr>
            </w:pPr>
            <w:r>
              <w:rPr>
                <w:noProof/>
                <w:color w:val="000000"/>
                <w:sz w:val="16"/>
              </w:rPr>
              <w:t>2A.</w:t>
            </w:r>
          </w:p>
        </w:tc>
        <w:tc>
          <w:tcPr>
            <w:tcW w:w="2551" w:type="dxa"/>
            <w:tcBorders>
              <w:top w:val="nil"/>
              <w:left w:val="nil"/>
              <w:bottom w:val="single" w:sz="8" w:space="0" w:color="auto"/>
              <w:right w:val="single" w:sz="8" w:space="0" w:color="auto"/>
            </w:tcBorders>
            <w:shd w:val="clear" w:color="000000" w:fill="D9D9D9"/>
            <w:vAlign w:val="center"/>
            <w:hideMark/>
          </w:tcPr>
          <w:p w14:paraId="0648525D" w14:textId="77777777" w:rsidR="00B07FC0" w:rsidRPr="00B07FC0" w:rsidRDefault="00B07FC0" w:rsidP="00433C4E">
            <w:pPr>
              <w:jc w:val="both"/>
              <w:rPr>
                <w:noProof/>
                <w:color w:val="000000"/>
                <w:sz w:val="16"/>
                <w:szCs w:val="16"/>
                <w:lang w:val="pt-PT"/>
              </w:rPr>
            </w:pPr>
            <w:r w:rsidRPr="00B07FC0">
              <w:rPr>
                <w:noProof/>
                <w:color w:val="000000"/>
                <w:sz w:val="16"/>
                <w:lang w:val="pt-PT"/>
              </w:rPr>
              <w:t>Coesão económica, social e territorial</w:t>
            </w:r>
          </w:p>
        </w:tc>
        <w:tc>
          <w:tcPr>
            <w:tcW w:w="1276" w:type="dxa"/>
            <w:tcBorders>
              <w:top w:val="nil"/>
              <w:left w:val="nil"/>
              <w:bottom w:val="single" w:sz="8" w:space="0" w:color="auto"/>
              <w:right w:val="single" w:sz="8" w:space="0" w:color="auto"/>
            </w:tcBorders>
            <w:shd w:val="clear" w:color="000000" w:fill="D9D9D9"/>
            <w:vAlign w:val="center"/>
            <w:hideMark/>
          </w:tcPr>
          <w:p w14:paraId="1F8C6E3D" w14:textId="77777777" w:rsidR="00B07FC0" w:rsidRPr="007C250E" w:rsidRDefault="00B07FC0" w:rsidP="00433C4E">
            <w:pPr>
              <w:jc w:val="right"/>
              <w:rPr>
                <w:noProof/>
                <w:color w:val="000000"/>
                <w:sz w:val="16"/>
                <w:szCs w:val="16"/>
              </w:rPr>
            </w:pPr>
            <w:r>
              <w:rPr>
                <w:noProof/>
                <w:color w:val="000000"/>
                <w:sz w:val="16"/>
              </w:rPr>
              <w:t>64 665 195 616</w:t>
            </w:r>
          </w:p>
        </w:tc>
        <w:tc>
          <w:tcPr>
            <w:tcW w:w="1276" w:type="dxa"/>
            <w:tcBorders>
              <w:top w:val="nil"/>
              <w:left w:val="nil"/>
              <w:bottom w:val="single" w:sz="8" w:space="0" w:color="auto"/>
              <w:right w:val="single" w:sz="8" w:space="0" w:color="auto"/>
            </w:tcBorders>
            <w:shd w:val="clear" w:color="000000" w:fill="D9D9D9"/>
            <w:vAlign w:val="center"/>
            <w:hideMark/>
          </w:tcPr>
          <w:p w14:paraId="696DD354" w14:textId="77777777" w:rsidR="00B07FC0" w:rsidRPr="007C250E" w:rsidRDefault="00B07FC0" w:rsidP="00433C4E">
            <w:pPr>
              <w:jc w:val="right"/>
              <w:rPr>
                <w:noProof/>
                <w:color w:val="000000"/>
                <w:sz w:val="16"/>
                <w:szCs w:val="16"/>
              </w:rPr>
            </w:pPr>
            <w:r>
              <w:rPr>
                <w:noProof/>
                <w:color w:val="000000"/>
                <w:sz w:val="16"/>
              </w:rPr>
              <w:t>24 155 654 152</w:t>
            </w:r>
          </w:p>
        </w:tc>
        <w:tc>
          <w:tcPr>
            <w:tcW w:w="1134" w:type="dxa"/>
            <w:tcBorders>
              <w:top w:val="nil"/>
              <w:left w:val="nil"/>
              <w:bottom w:val="single" w:sz="8" w:space="0" w:color="auto"/>
              <w:right w:val="single" w:sz="8" w:space="0" w:color="auto"/>
            </w:tcBorders>
            <w:shd w:val="clear" w:color="000000" w:fill="D9D9D9"/>
            <w:vAlign w:val="center"/>
            <w:hideMark/>
          </w:tcPr>
          <w:p w14:paraId="35512E0F" w14:textId="77777777" w:rsidR="00B07FC0" w:rsidRPr="007C250E" w:rsidRDefault="00B07FC0" w:rsidP="00433C4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000000" w:fill="D9D9D9"/>
            <w:vAlign w:val="center"/>
            <w:hideMark/>
          </w:tcPr>
          <w:p w14:paraId="0660C88C" w14:textId="77777777" w:rsidR="00B07FC0" w:rsidRPr="007C250E" w:rsidRDefault="00B07FC0" w:rsidP="00433C4E">
            <w:pPr>
              <w:jc w:val="right"/>
              <w:rPr>
                <w:noProof/>
                <w:color w:val="000000"/>
                <w:sz w:val="16"/>
                <w:szCs w:val="16"/>
              </w:rPr>
            </w:pPr>
            <w:r>
              <w:rPr>
                <w:noProof/>
                <w:color w:val="000000"/>
                <w:sz w:val="16"/>
              </w:rPr>
              <w:t xml:space="preserve"> </w:t>
            </w:r>
          </w:p>
        </w:tc>
        <w:tc>
          <w:tcPr>
            <w:tcW w:w="1275" w:type="dxa"/>
            <w:tcBorders>
              <w:top w:val="nil"/>
              <w:left w:val="nil"/>
              <w:bottom w:val="single" w:sz="8" w:space="0" w:color="auto"/>
              <w:right w:val="single" w:sz="8" w:space="0" w:color="auto"/>
            </w:tcBorders>
            <w:shd w:val="clear" w:color="000000" w:fill="D9D9D9"/>
            <w:vAlign w:val="center"/>
            <w:hideMark/>
          </w:tcPr>
          <w:p w14:paraId="49FA6732" w14:textId="77777777" w:rsidR="00B07FC0" w:rsidRPr="007C250E" w:rsidRDefault="00B07FC0" w:rsidP="00433C4E">
            <w:pPr>
              <w:jc w:val="right"/>
              <w:rPr>
                <w:noProof/>
                <w:color w:val="000000"/>
                <w:sz w:val="16"/>
                <w:szCs w:val="16"/>
              </w:rPr>
            </w:pPr>
            <w:r>
              <w:rPr>
                <w:noProof/>
                <w:color w:val="000000"/>
                <w:sz w:val="16"/>
              </w:rPr>
              <w:t xml:space="preserve">64 665 195 616 </w:t>
            </w:r>
          </w:p>
        </w:tc>
        <w:tc>
          <w:tcPr>
            <w:tcW w:w="1276" w:type="dxa"/>
            <w:tcBorders>
              <w:top w:val="nil"/>
              <w:left w:val="nil"/>
              <w:bottom w:val="single" w:sz="8" w:space="0" w:color="auto"/>
              <w:right w:val="single" w:sz="8" w:space="0" w:color="auto"/>
            </w:tcBorders>
            <w:shd w:val="clear" w:color="000000" w:fill="D9D9D9"/>
            <w:vAlign w:val="center"/>
            <w:hideMark/>
          </w:tcPr>
          <w:p w14:paraId="2655B5D1" w14:textId="77777777" w:rsidR="00B07FC0" w:rsidRPr="007C250E" w:rsidRDefault="00B07FC0" w:rsidP="00433C4E">
            <w:pPr>
              <w:jc w:val="right"/>
              <w:rPr>
                <w:noProof/>
                <w:color w:val="000000"/>
                <w:sz w:val="16"/>
                <w:szCs w:val="16"/>
              </w:rPr>
            </w:pPr>
            <w:r>
              <w:rPr>
                <w:noProof/>
                <w:color w:val="000000"/>
                <w:sz w:val="16"/>
              </w:rPr>
              <w:t xml:space="preserve">24 155 654 152 </w:t>
            </w:r>
          </w:p>
        </w:tc>
      </w:tr>
      <w:tr w:rsidR="00B07FC0" w:rsidRPr="00B07FC0" w14:paraId="0A35082B" w14:textId="77777777" w:rsidTr="00433C4E">
        <w:trPr>
          <w:trHeight w:val="300"/>
        </w:trPr>
        <w:tc>
          <w:tcPr>
            <w:tcW w:w="416" w:type="dxa"/>
            <w:tcBorders>
              <w:top w:val="nil"/>
              <w:left w:val="single" w:sz="8" w:space="0" w:color="auto"/>
              <w:bottom w:val="single" w:sz="8" w:space="0" w:color="auto"/>
              <w:right w:val="nil"/>
            </w:tcBorders>
            <w:shd w:val="clear" w:color="auto" w:fill="auto"/>
            <w:vAlign w:val="center"/>
            <w:hideMark/>
          </w:tcPr>
          <w:p w14:paraId="727898E6" w14:textId="77777777" w:rsidR="00B07FC0" w:rsidRPr="007C250E" w:rsidRDefault="00B07FC0" w:rsidP="00433C4E">
            <w:pPr>
              <w:jc w:val="both"/>
              <w:rPr>
                <w:noProof/>
                <w:color w:val="000000"/>
                <w:sz w:val="16"/>
                <w:szCs w:val="16"/>
              </w:rPr>
            </w:pPr>
            <w:r>
              <w:rPr>
                <w:noProof/>
                <w:color w:val="000000"/>
                <w:sz w:val="16"/>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178EAEF0" w14:textId="77777777" w:rsidR="00B07FC0" w:rsidRPr="00B07FC0" w:rsidRDefault="00B07FC0" w:rsidP="00433C4E">
            <w:pPr>
              <w:jc w:val="right"/>
              <w:rPr>
                <w:b/>
                <w:bCs/>
                <w:noProof/>
                <w:color w:val="000000"/>
                <w:sz w:val="16"/>
                <w:szCs w:val="16"/>
                <w:lang w:val="pt-PT"/>
              </w:rPr>
            </w:pPr>
            <w:r w:rsidRPr="00B07FC0">
              <w:rPr>
                <w:b/>
                <w:noProof/>
                <w:color w:val="000000"/>
                <w:sz w:val="16"/>
                <w:lang w:val="pt-PT"/>
              </w:rPr>
              <w:t>Dos quais, a título do Instrumento de Flexibilidade</w:t>
            </w:r>
          </w:p>
        </w:tc>
        <w:tc>
          <w:tcPr>
            <w:tcW w:w="1276" w:type="dxa"/>
            <w:tcBorders>
              <w:top w:val="nil"/>
              <w:left w:val="nil"/>
              <w:bottom w:val="single" w:sz="8" w:space="0" w:color="auto"/>
              <w:right w:val="single" w:sz="8" w:space="0" w:color="auto"/>
            </w:tcBorders>
            <w:shd w:val="clear" w:color="auto" w:fill="auto"/>
            <w:vAlign w:val="center"/>
            <w:hideMark/>
          </w:tcPr>
          <w:p w14:paraId="57D9D892"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5B563965"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5E4C829"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4DF9907"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10FE43A3"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0575907F"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r>
      <w:tr w:rsidR="00B07FC0" w:rsidRPr="00B07FC0" w14:paraId="72B70047" w14:textId="77777777" w:rsidTr="00433C4E">
        <w:trPr>
          <w:trHeight w:val="430"/>
        </w:trPr>
        <w:tc>
          <w:tcPr>
            <w:tcW w:w="416" w:type="dxa"/>
            <w:tcBorders>
              <w:top w:val="nil"/>
              <w:left w:val="single" w:sz="8" w:space="0" w:color="auto"/>
              <w:bottom w:val="single" w:sz="8" w:space="0" w:color="auto"/>
              <w:right w:val="nil"/>
            </w:tcBorders>
            <w:shd w:val="clear" w:color="auto" w:fill="auto"/>
            <w:vAlign w:val="center"/>
            <w:hideMark/>
          </w:tcPr>
          <w:p w14:paraId="2F871DA8" w14:textId="77777777" w:rsidR="00B07FC0" w:rsidRPr="00B07FC0" w:rsidRDefault="00B07FC0" w:rsidP="00433C4E">
            <w:pPr>
              <w:jc w:val="both"/>
              <w:rPr>
                <w:noProof/>
                <w:color w:val="000000"/>
                <w:sz w:val="16"/>
                <w:szCs w:val="16"/>
                <w:lang w:val="pt-PT"/>
              </w:rPr>
            </w:pPr>
            <w:r w:rsidRPr="00B07FC0">
              <w:rPr>
                <w:noProof/>
                <w:color w:val="000000"/>
                <w:sz w:val="16"/>
                <w:lang w:val="pt-PT"/>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6D898D2C" w14:textId="77777777" w:rsidR="00B07FC0" w:rsidRPr="00B07FC0" w:rsidRDefault="00B07FC0" w:rsidP="00433C4E">
            <w:pPr>
              <w:jc w:val="right"/>
              <w:rPr>
                <w:b/>
                <w:bCs/>
                <w:noProof/>
                <w:color w:val="000000"/>
                <w:sz w:val="16"/>
                <w:szCs w:val="16"/>
                <w:lang w:val="pt-PT"/>
              </w:rPr>
            </w:pPr>
            <w:r w:rsidRPr="00B07FC0">
              <w:rPr>
                <w:b/>
                <w:noProof/>
                <w:color w:val="000000"/>
                <w:sz w:val="16"/>
                <w:lang w:val="pt-PT"/>
              </w:rPr>
              <w:t>Dos quais, a título do Instrumento de Margem Único (Artigo 11.º, n.º 1, alínea a))</w:t>
            </w:r>
          </w:p>
        </w:tc>
        <w:tc>
          <w:tcPr>
            <w:tcW w:w="1276" w:type="dxa"/>
            <w:tcBorders>
              <w:top w:val="nil"/>
              <w:left w:val="nil"/>
              <w:bottom w:val="single" w:sz="8" w:space="0" w:color="auto"/>
              <w:right w:val="single" w:sz="8" w:space="0" w:color="auto"/>
            </w:tcBorders>
            <w:shd w:val="clear" w:color="auto" w:fill="auto"/>
            <w:vAlign w:val="center"/>
            <w:hideMark/>
          </w:tcPr>
          <w:p w14:paraId="50F9B457"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1688420D"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45ABB67"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7D40741"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0C27223B"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5458EE33"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r>
      <w:tr w:rsidR="00B07FC0" w:rsidRPr="00B07FC0" w14:paraId="160A3373" w14:textId="77777777" w:rsidTr="00433C4E">
        <w:trPr>
          <w:trHeight w:val="430"/>
        </w:trPr>
        <w:tc>
          <w:tcPr>
            <w:tcW w:w="416" w:type="dxa"/>
            <w:tcBorders>
              <w:top w:val="nil"/>
              <w:left w:val="single" w:sz="8" w:space="0" w:color="auto"/>
              <w:bottom w:val="single" w:sz="8" w:space="0" w:color="auto"/>
              <w:right w:val="nil"/>
            </w:tcBorders>
            <w:shd w:val="clear" w:color="auto" w:fill="auto"/>
            <w:vAlign w:val="center"/>
            <w:hideMark/>
          </w:tcPr>
          <w:p w14:paraId="71929741" w14:textId="77777777" w:rsidR="00B07FC0" w:rsidRPr="00B07FC0" w:rsidRDefault="00B07FC0" w:rsidP="00433C4E">
            <w:pPr>
              <w:jc w:val="both"/>
              <w:rPr>
                <w:noProof/>
                <w:color w:val="000000"/>
                <w:sz w:val="16"/>
                <w:szCs w:val="16"/>
                <w:lang w:val="pt-PT"/>
              </w:rPr>
            </w:pPr>
            <w:r w:rsidRPr="00B07FC0">
              <w:rPr>
                <w:noProof/>
                <w:color w:val="000000"/>
                <w:sz w:val="16"/>
                <w:lang w:val="pt-PT"/>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1FC1955F" w14:textId="77777777" w:rsidR="00B07FC0" w:rsidRPr="00B07FC0" w:rsidRDefault="00B07FC0" w:rsidP="00433C4E">
            <w:pPr>
              <w:jc w:val="right"/>
              <w:rPr>
                <w:b/>
                <w:bCs/>
                <w:noProof/>
                <w:color w:val="000000"/>
                <w:sz w:val="16"/>
                <w:szCs w:val="16"/>
                <w:lang w:val="pt-PT"/>
              </w:rPr>
            </w:pPr>
            <w:r w:rsidRPr="00B07FC0">
              <w:rPr>
                <w:b/>
                <w:noProof/>
                <w:color w:val="000000"/>
                <w:sz w:val="16"/>
                <w:lang w:val="pt-PT"/>
              </w:rPr>
              <w:t>dos quais, a título do Instrumento de Margem Único (Artigo 11.º, n.º 1, alínea c))</w:t>
            </w:r>
          </w:p>
        </w:tc>
        <w:tc>
          <w:tcPr>
            <w:tcW w:w="1276" w:type="dxa"/>
            <w:tcBorders>
              <w:top w:val="nil"/>
              <w:left w:val="nil"/>
              <w:bottom w:val="single" w:sz="8" w:space="0" w:color="auto"/>
              <w:right w:val="single" w:sz="8" w:space="0" w:color="auto"/>
            </w:tcBorders>
            <w:shd w:val="clear" w:color="auto" w:fill="auto"/>
            <w:vAlign w:val="center"/>
            <w:hideMark/>
          </w:tcPr>
          <w:p w14:paraId="608C219F"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7AF2AEDE"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B2B803F"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EE3C5A1"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63219C09"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1B6BEA5A"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r>
      <w:tr w:rsidR="00B07FC0" w:rsidRPr="007C250E" w14:paraId="4840B4A9" w14:textId="77777777" w:rsidTr="00433C4E">
        <w:trPr>
          <w:trHeight w:val="300"/>
        </w:trPr>
        <w:tc>
          <w:tcPr>
            <w:tcW w:w="2967"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0647176" w14:textId="77777777" w:rsidR="00B07FC0" w:rsidRPr="007C250E" w:rsidRDefault="00B07FC0" w:rsidP="00433C4E">
            <w:pPr>
              <w:jc w:val="right"/>
              <w:rPr>
                <w:b/>
                <w:bCs/>
                <w:i/>
                <w:iCs/>
                <w:noProof/>
                <w:color w:val="000000"/>
                <w:sz w:val="16"/>
                <w:szCs w:val="16"/>
              </w:rPr>
            </w:pPr>
            <w:r>
              <w:rPr>
                <w:b/>
                <w:i/>
                <w:noProof/>
                <w:color w:val="000000"/>
                <w:sz w:val="16"/>
              </w:rPr>
              <w:t>Limite máximo</w:t>
            </w:r>
          </w:p>
        </w:tc>
        <w:tc>
          <w:tcPr>
            <w:tcW w:w="1276" w:type="dxa"/>
            <w:tcBorders>
              <w:top w:val="nil"/>
              <w:left w:val="nil"/>
              <w:bottom w:val="single" w:sz="8" w:space="0" w:color="auto"/>
              <w:right w:val="single" w:sz="8" w:space="0" w:color="auto"/>
            </w:tcBorders>
            <w:shd w:val="clear" w:color="auto" w:fill="auto"/>
            <w:vAlign w:val="center"/>
            <w:hideMark/>
          </w:tcPr>
          <w:p w14:paraId="48617590" w14:textId="77777777" w:rsidR="00B07FC0" w:rsidRPr="007C250E" w:rsidRDefault="00B07FC0" w:rsidP="00433C4E">
            <w:pPr>
              <w:jc w:val="right"/>
              <w:rPr>
                <w:i/>
                <w:iCs/>
                <w:noProof/>
                <w:color w:val="000000"/>
                <w:sz w:val="16"/>
                <w:szCs w:val="16"/>
              </w:rPr>
            </w:pPr>
            <w:r>
              <w:rPr>
                <w:i/>
                <w:noProof/>
                <w:color w:val="000000"/>
                <w:sz w:val="16"/>
              </w:rPr>
              <w:t>64 683 000 000</w:t>
            </w:r>
          </w:p>
        </w:tc>
        <w:tc>
          <w:tcPr>
            <w:tcW w:w="1276" w:type="dxa"/>
            <w:tcBorders>
              <w:top w:val="nil"/>
              <w:left w:val="nil"/>
              <w:bottom w:val="single" w:sz="8" w:space="0" w:color="auto"/>
              <w:right w:val="single" w:sz="8" w:space="0" w:color="auto"/>
            </w:tcBorders>
            <w:shd w:val="clear" w:color="auto" w:fill="auto"/>
            <w:vAlign w:val="center"/>
            <w:hideMark/>
          </w:tcPr>
          <w:p w14:paraId="5DE7E9E8" w14:textId="77777777" w:rsidR="00B07FC0" w:rsidRPr="007C250E" w:rsidRDefault="00B07FC0" w:rsidP="00433C4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50545E5" w14:textId="77777777" w:rsidR="00B07FC0" w:rsidRPr="007C250E" w:rsidRDefault="00B07FC0" w:rsidP="00433C4E">
            <w:pPr>
              <w:jc w:val="right"/>
              <w:rPr>
                <w:i/>
                <w:iCs/>
                <w:noProof/>
                <w:color w:val="000000"/>
                <w:sz w:val="16"/>
                <w:szCs w:val="16"/>
              </w:rPr>
            </w:pPr>
            <w:r>
              <w:rPr>
                <w:i/>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6572926" w14:textId="77777777" w:rsidR="00B07FC0" w:rsidRPr="007C250E" w:rsidRDefault="00B07FC0" w:rsidP="00433C4E">
            <w:pPr>
              <w:jc w:val="right"/>
              <w:rPr>
                <w:noProof/>
                <w:color w:val="000000"/>
                <w:sz w:val="16"/>
                <w:szCs w:val="16"/>
              </w:rPr>
            </w:pPr>
            <w:r>
              <w:rPr>
                <w:noProof/>
                <w:color w:val="000000"/>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68D2712B" w14:textId="77777777" w:rsidR="00B07FC0" w:rsidRPr="007C250E" w:rsidRDefault="00B07FC0" w:rsidP="00433C4E">
            <w:pPr>
              <w:jc w:val="right"/>
              <w:rPr>
                <w:i/>
                <w:iCs/>
                <w:noProof/>
                <w:color w:val="000000"/>
                <w:sz w:val="16"/>
                <w:szCs w:val="16"/>
              </w:rPr>
            </w:pPr>
            <w:r>
              <w:rPr>
                <w:i/>
                <w:noProof/>
                <w:color w:val="000000"/>
                <w:sz w:val="16"/>
              </w:rPr>
              <w:t xml:space="preserve">64 683 000 000 </w:t>
            </w:r>
          </w:p>
        </w:tc>
        <w:tc>
          <w:tcPr>
            <w:tcW w:w="1276" w:type="dxa"/>
            <w:tcBorders>
              <w:top w:val="nil"/>
              <w:left w:val="nil"/>
              <w:bottom w:val="single" w:sz="8" w:space="0" w:color="auto"/>
              <w:right w:val="single" w:sz="8" w:space="0" w:color="auto"/>
            </w:tcBorders>
            <w:shd w:val="clear" w:color="auto" w:fill="auto"/>
            <w:vAlign w:val="center"/>
            <w:hideMark/>
          </w:tcPr>
          <w:p w14:paraId="6C4C5AB5" w14:textId="77777777" w:rsidR="00B07FC0" w:rsidRPr="007C250E" w:rsidRDefault="00B07FC0" w:rsidP="00433C4E">
            <w:pPr>
              <w:jc w:val="right"/>
              <w:rPr>
                <w:noProof/>
                <w:color w:val="000000"/>
                <w:sz w:val="16"/>
                <w:szCs w:val="16"/>
              </w:rPr>
            </w:pPr>
            <w:r>
              <w:rPr>
                <w:noProof/>
                <w:color w:val="000000"/>
                <w:sz w:val="16"/>
              </w:rPr>
              <w:t xml:space="preserve"> </w:t>
            </w:r>
          </w:p>
        </w:tc>
      </w:tr>
      <w:tr w:rsidR="00B07FC0" w:rsidRPr="007C250E" w14:paraId="1AACE9BD" w14:textId="77777777" w:rsidTr="00433C4E">
        <w:trPr>
          <w:trHeight w:val="300"/>
        </w:trPr>
        <w:tc>
          <w:tcPr>
            <w:tcW w:w="2967"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55F883D" w14:textId="77777777" w:rsidR="00B07FC0" w:rsidRPr="007C250E" w:rsidRDefault="00B07FC0" w:rsidP="00433C4E">
            <w:pPr>
              <w:jc w:val="right"/>
              <w:rPr>
                <w:b/>
                <w:bCs/>
                <w:i/>
                <w:iCs/>
                <w:noProof/>
                <w:color w:val="000000"/>
                <w:sz w:val="16"/>
                <w:szCs w:val="16"/>
              </w:rPr>
            </w:pPr>
            <w:r>
              <w:rPr>
                <w:b/>
                <w:i/>
                <w:noProof/>
                <w:color w:val="000000"/>
                <w:sz w:val="16"/>
              </w:rPr>
              <w:t>Margem</w:t>
            </w:r>
          </w:p>
        </w:tc>
        <w:tc>
          <w:tcPr>
            <w:tcW w:w="1276" w:type="dxa"/>
            <w:tcBorders>
              <w:top w:val="nil"/>
              <w:left w:val="nil"/>
              <w:bottom w:val="single" w:sz="8" w:space="0" w:color="auto"/>
              <w:right w:val="single" w:sz="8" w:space="0" w:color="auto"/>
            </w:tcBorders>
            <w:shd w:val="clear" w:color="auto" w:fill="auto"/>
            <w:vAlign w:val="center"/>
            <w:hideMark/>
          </w:tcPr>
          <w:p w14:paraId="6CFA8BFC" w14:textId="77777777" w:rsidR="00B07FC0" w:rsidRPr="007C250E" w:rsidRDefault="00B07FC0" w:rsidP="00433C4E">
            <w:pPr>
              <w:jc w:val="right"/>
              <w:rPr>
                <w:i/>
                <w:iCs/>
                <w:noProof/>
                <w:color w:val="000000"/>
                <w:sz w:val="16"/>
                <w:szCs w:val="16"/>
              </w:rPr>
            </w:pPr>
            <w:r>
              <w:rPr>
                <w:i/>
                <w:noProof/>
                <w:color w:val="000000"/>
                <w:sz w:val="16"/>
              </w:rPr>
              <w:t>17 804 384</w:t>
            </w:r>
          </w:p>
        </w:tc>
        <w:tc>
          <w:tcPr>
            <w:tcW w:w="1276" w:type="dxa"/>
            <w:tcBorders>
              <w:top w:val="nil"/>
              <w:left w:val="nil"/>
              <w:bottom w:val="single" w:sz="8" w:space="0" w:color="auto"/>
              <w:right w:val="single" w:sz="8" w:space="0" w:color="auto"/>
            </w:tcBorders>
            <w:shd w:val="clear" w:color="auto" w:fill="auto"/>
            <w:vAlign w:val="center"/>
            <w:hideMark/>
          </w:tcPr>
          <w:p w14:paraId="62D93E40" w14:textId="77777777" w:rsidR="00B07FC0" w:rsidRPr="007C250E" w:rsidRDefault="00B07FC0" w:rsidP="00433C4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3361942" w14:textId="77777777" w:rsidR="00B07FC0" w:rsidRPr="007C250E" w:rsidRDefault="00B07FC0" w:rsidP="00433C4E">
            <w:pPr>
              <w:jc w:val="right"/>
              <w:rPr>
                <w:i/>
                <w:iCs/>
                <w:noProof/>
                <w:color w:val="000000"/>
                <w:sz w:val="16"/>
                <w:szCs w:val="16"/>
              </w:rPr>
            </w:pPr>
            <w:r>
              <w:rPr>
                <w:i/>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D73C40F" w14:textId="77777777" w:rsidR="00B07FC0" w:rsidRPr="007C250E" w:rsidRDefault="00B07FC0" w:rsidP="00433C4E">
            <w:pPr>
              <w:jc w:val="right"/>
              <w:rPr>
                <w:noProof/>
                <w:color w:val="000000"/>
                <w:sz w:val="16"/>
                <w:szCs w:val="16"/>
              </w:rPr>
            </w:pPr>
            <w:r>
              <w:rPr>
                <w:noProof/>
                <w:color w:val="000000"/>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2D352714" w14:textId="77777777" w:rsidR="00B07FC0" w:rsidRPr="007C250E" w:rsidRDefault="00B07FC0" w:rsidP="00433C4E">
            <w:pPr>
              <w:jc w:val="right"/>
              <w:rPr>
                <w:i/>
                <w:iCs/>
                <w:noProof/>
                <w:color w:val="000000"/>
                <w:sz w:val="16"/>
                <w:szCs w:val="16"/>
              </w:rPr>
            </w:pPr>
            <w:r>
              <w:rPr>
                <w:i/>
                <w:noProof/>
                <w:color w:val="000000"/>
                <w:sz w:val="16"/>
              </w:rPr>
              <w:t xml:space="preserve">17 804 384 </w:t>
            </w:r>
          </w:p>
        </w:tc>
        <w:tc>
          <w:tcPr>
            <w:tcW w:w="1276" w:type="dxa"/>
            <w:tcBorders>
              <w:top w:val="nil"/>
              <w:left w:val="nil"/>
              <w:bottom w:val="single" w:sz="8" w:space="0" w:color="auto"/>
              <w:right w:val="single" w:sz="8" w:space="0" w:color="auto"/>
            </w:tcBorders>
            <w:shd w:val="clear" w:color="auto" w:fill="auto"/>
            <w:vAlign w:val="center"/>
            <w:hideMark/>
          </w:tcPr>
          <w:p w14:paraId="6B28E382" w14:textId="77777777" w:rsidR="00B07FC0" w:rsidRPr="007C250E" w:rsidRDefault="00B07FC0" w:rsidP="00433C4E">
            <w:pPr>
              <w:jc w:val="right"/>
              <w:rPr>
                <w:noProof/>
                <w:color w:val="000000"/>
                <w:sz w:val="16"/>
                <w:szCs w:val="16"/>
              </w:rPr>
            </w:pPr>
            <w:r>
              <w:rPr>
                <w:noProof/>
                <w:color w:val="000000"/>
                <w:sz w:val="16"/>
              </w:rPr>
              <w:t xml:space="preserve"> </w:t>
            </w:r>
          </w:p>
        </w:tc>
      </w:tr>
      <w:tr w:rsidR="00B07FC0" w:rsidRPr="007C250E" w14:paraId="6EACA337" w14:textId="77777777" w:rsidTr="00433C4E">
        <w:trPr>
          <w:trHeight w:val="300"/>
        </w:trPr>
        <w:tc>
          <w:tcPr>
            <w:tcW w:w="416" w:type="dxa"/>
            <w:tcBorders>
              <w:top w:val="nil"/>
              <w:left w:val="single" w:sz="8" w:space="0" w:color="auto"/>
              <w:bottom w:val="single" w:sz="8" w:space="0" w:color="auto"/>
              <w:right w:val="nil"/>
            </w:tcBorders>
            <w:shd w:val="clear" w:color="000000" w:fill="D9D9D9"/>
            <w:vAlign w:val="center"/>
            <w:hideMark/>
          </w:tcPr>
          <w:p w14:paraId="768FC6B5" w14:textId="77777777" w:rsidR="00B07FC0" w:rsidRPr="007C250E" w:rsidRDefault="00B07FC0" w:rsidP="00433C4E">
            <w:pPr>
              <w:jc w:val="both"/>
              <w:rPr>
                <w:noProof/>
                <w:sz w:val="16"/>
                <w:szCs w:val="16"/>
              </w:rPr>
            </w:pPr>
            <w:r>
              <w:rPr>
                <w:noProof/>
                <w:sz w:val="16"/>
              </w:rPr>
              <w:t>2B.</w:t>
            </w:r>
          </w:p>
        </w:tc>
        <w:tc>
          <w:tcPr>
            <w:tcW w:w="2551" w:type="dxa"/>
            <w:tcBorders>
              <w:top w:val="nil"/>
              <w:left w:val="nil"/>
              <w:bottom w:val="single" w:sz="8" w:space="0" w:color="auto"/>
              <w:right w:val="single" w:sz="8" w:space="0" w:color="auto"/>
            </w:tcBorders>
            <w:shd w:val="clear" w:color="000000" w:fill="D9D9D9"/>
            <w:vAlign w:val="center"/>
            <w:hideMark/>
          </w:tcPr>
          <w:p w14:paraId="04C6FFCC" w14:textId="77777777" w:rsidR="00B07FC0" w:rsidRPr="007C250E" w:rsidRDefault="00B07FC0" w:rsidP="00433C4E">
            <w:pPr>
              <w:jc w:val="both"/>
              <w:rPr>
                <w:noProof/>
                <w:sz w:val="16"/>
                <w:szCs w:val="16"/>
              </w:rPr>
            </w:pPr>
            <w:r>
              <w:rPr>
                <w:noProof/>
                <w:sz w:val="16"/>
              </w:rPr>
              <w:t>Resiliência e valores</w:t>
            </w:r>
          </w:p>
        </w:tc>
        <w:tc>
          <w:tcPr>
            <w:tcW w:w="1276" w:type="dxa"/>
            <w:tcBorders>
              <w:top w:val="nil"/>
              <w:left w:val="nil"/>
              <w:bottom w:val="single" w:sz="8" w:space="0" w:color="auto"/>
              <w:right w:val="single" w:sz="8" w:space="0" w:color="auto"/>
            </w:tcBorders>
            <w:shd w:val="clear" w:color="000000" w:fill="D9D9D9"/>
            <w:vAlign w:val="center"/>
            <w:hideMark/>
          </w:tcPr>
          <w:p w14:paraId="614FFA44" w14:textId="77777777" w:rsidR="00B07FC0" w:rsidRPr="007C250E" w:rsidRDefault="00B07FC0" w:rsidP="00433C4E">
            <w:pPr>
              <w:jc w:val="right"/>
              <w:rPr>
                <w:noProof/>
                <w:sz w:val="16"/>
                <w:szCs w:val="16"/>
              </w:rPr>
            </w:pPr>
            <w:r>
              <w:rPr>
                <w:noProof/>
                <w:sz w:val="16"/>
              </w:rPr>
              <w:t>10 314 167 833</w:t>
            </w:r>
          </w:p>
        </w:tc>
        <w:tc>
          <w:tcPr>
            <w:tcW w:w="1276" w:type="dxa"/>
            <w:tcBorders>
              <w:top w:val="nil"/>
              <w:left w:val="nil"/>
              <w:bottom w:val="single" w:sz="8" w:space="0" w:color="auto"/>
              <w:right w:val="single" w:sz="8" w:space="0" w:color="auto"/>
            </w:tcBorders>
            <w:shd w:val="clear" w:color="000000" w:fill="D9D9D9"/>
            <w:vAlign w:val="center"/>
            <w:hideMark/>
          </w:tcPr>
          <w:p w14:paraId="5440F5A4" w14:textId="77777777" w:rsidR="00B07FC0" w:rsidRPr="007C250E" w:rsidRDefault="00B07FC0" w:rsidP="00433C4E">
            <w:pPr>
              <w:jc w:val="right"/>
              <w:rPr>
                <w:noProof/>
                <w:sz w:val="16"/>
                <w:szCs w:val="16"/>
              </w:rPr>
            </w:pPr>
            <w:r>
              <w:rPr>
                <w:noProof/>
                <w:sz w:val="16"/>
              </w:rPr>
              <w:t>10 030 385 177</w:t>
            </w:r>
          </w:p>
        </w:tc>
        <w:tc>
          <w:tcPr>
            <w:tcW w:w="1134" w:type="dxa"/>
            <w:tcBorders>
              <w:top w:val="nil"/>
              <w:left w:val="nil"/>
              <w:bottom w:val="single" w:sz="8" w:space="0" w:color="auto"/>
              <w:right w:val="single" w:sz="8" w:space="0" w:color="auto"/>
            </w:tcBorders>
            <w:shd w:val="clear" w:color="000000" w:fill="D9D9D9"/>
            <w:vAlign w:val="center"/>
            <w:hideMark/>
          </w:tcPr>
          <w:p w14:paraId="5B1C86D8" w14:textId="77777777" w:rsidR="00B07FC0" w:rsidRPr="007C250E" w:rsidRDefault="00B07FC0" w:rsidP="00433C4E">
            <w:pPr>
              <w:jc w:val="right"/>
              <w:rPr>
                <w:noProof/>
                <w:sz w:val="16"/>
                <w:szCs w:val="16"/>
              </w:rPr>
            </w:pPr>
            <w:r>
              <w:rPr>
                <w:noProof/>
                <w:sz w:val="16"/>
              </w:rPr>
              <w:t xml:space="preserve">-72 000 000 </w:t>
            </w:r>
          </w:p>
        </w:tc>
        <w:tc>
          <w:tcPr>
            <w:tcW w:w="1134" w:type="dxa"/>
            <w:tcBorders>
              <w:top w:val="nil"/>
              <w:left w:val="nil"/>
              <w:bottom w:val="single" w:sz="8" w:space="0" w:color="auto"/>
              <w:right w:val="single" w:sz="8" w:space="0" w:color="auto"/>
            </w:tcBorders>
            <w:shd w:val="clear" w:color="000000" w:fill="D9D9D9"/>
            <w:vAlign w:val="center"/>
            <w:hideMark/>
          </w:tcPr>
          <w:p w14:paraId="706DE661" w14:textId="77777777" w:rsidR="00B07FC0" w:rsidRPr="007C250E" w:rsidRDefault="00B07FC0" w:rsidP="00433C4E">
            <w:pPr>
              <w:jc w:val="right"/>
              <w:rPr>
                <w:noProof/>
                <w:sz w:val="16"/>
                <w:szCs w:val="16"/>
              </w:rPr>
            </w:pPr>
            <w:r>
              <w:rPr>
                <w:noProof/>
                <w:sz w:val="16"/>
              </w:rPr>
              <w:t xml:space="preserve">-72 000 000 </w:t>
            </w:r>
          </w:p>
        </w:tc>
        <w:tc>
          <w:tcPr>
            <w:tcW w:w="1275" w:type="dxa"/>
            <w:tcBorders>
              <w:top w:val="nil"/>
              <w:left w:val="nil"/>
              <w:bottom w:val="single" w:sz="8" w:space="0" w:color="auto"/>
              <w:right w:val="single" w:sz="8" w:space="0" w:color="auto"/>
            </w:tcBorders>
            <w:shd w:val="clear" w:color="000000" w:fill="D9D9D9"/>
            <w:vAlign w:val="center"/>
            <w:hideMark/>
          </w:tcPr>
          <w:p w14:paraId="432C163E" w14:textId="77777777" w:rsidR="00B07FC0" w:rsidRPr="007C250E" w:rsidRDefault="00B07FC0" w:rsidP="00433C4E">
            <w:pPr>
              <w:jc w:val="right"/>
              <w:rPr>
                <w:noProof/>
                <w:sz w:val="16"/>
                <w:szCs w:val="16"/>
              </w:rPr>
            </w:pPr>
            <w:r>
              <w:rPr>
                <w:noProof/>
                <w:sz w:val="16"/>
              </w:rPr>
              <w:t xml:space="preserve">10 242 167 833 </w:t>
            </w:r>
          </w:p>
        </w:tc>
        <w:tc>
          <w:tcPr>
            <w:tcW w:w="1276" w:type="dxa"/>
            <w:tcBorders>
              <w:top w:val="nil"/>
              <w:left w:val="nil"/>
              <w:bottom w:val="single" w:sz="8" w:space="0" w:color="auto"/>
              <w:right w:val="single" w:sz="8" w:space="0" w:color="auto"/>
            </w:tcBorders>
            <w:shd w:val="clear" w:color="000000" w:fill="D9D9D9"/>
            <w:vAlign w:val="center"/>
            <w:hideMark/>
          </w:tcPr>
          <w:p w14:paraId="0D5E1DDF" w14:textId="77777777" w:rsidR="00B07FC0" w:rsidRPr="007C250E" w:rsidRDefault="00B07FC0" w:rsidP="00433C4E">
            <w:pPr>
              <w:jc w:val="right"/>
              <w:rPr>
                <w:noProof/>
                <w:sz w:val="16"/>
                <w:szCs w:val="16"/>
              </w:rPr>
            </w:pPr>
            <w:r>
              <w:rPr>
                <w:noProof/>
                <w:sz w:val="16"/>
              </w:rPr>
              <w:t xml:space="preserve">9 958 385 177 </w:t>
            </w:r>
          </w:p>
        </w:tc>
      </w:tr>
      <w:tr w:rsidR="00B07FC0" w:rsidRPr="007C250E" w14:paraId="2B313AB1" w14:textId="77777777" w:rsidTr="00433C4E">
        <w:trPr>
          <w:trHeight w:val="300"/>
        </w:trPr>
        <w:tc>
          <w:tcPr>
            <w:tcW w:w="416" w:type="dxa"/>
            <w:tcBorders>
              <w:top w:val="nil"/>
              <w:left w:val="single" w:sz="8" w:space="0" w:color="auto"/>
              <w:bottom w:val="single" w:sz="8" w:space="0" w:color="auto"/>
              <w:right w:val="nil"/>
            </w:tcBorders>
            <w:shd w:val="clear" w:color="auto" w:fill="auto"/>
            <w:vAlign w:val="center"/>
            <w:hideMark/>
          </w:tcPr>
          <w:p w14:paraId="6FFE5F73" w14:textId="77777777" w:rsidR="00B07FC0" w:rsidRPr="007C250E" w:rsidRDefault="00B07FC0" w:rsidP="00433C4E">
            <w:pPr>
              <w:jc w:val="both"/>
              <w:rPr>
                <w:noProof/>
                <w:sz w:val="16"/>
                <w:szCs w:val="16"/>
              </w:rPr>
            </w:pPr>
            <w:r>
              <w:rPr>
                <w:noProof/>
                <w:sz w:val="16"/>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0CA0C354" w14:textId="77777777" w:rsidR="00B07FC0" w:rsidRPr="00B07FC0" w:rsidRDefault="00B07FC0" w:rsidP="00433C4E">
            <w:pPr>
              <w:jc w:val="right"/>
              <w:rPr>
                <w:b/>
                <w:bCs/>
                <w:noProof/>
                <w:sz w:val="16"/>
                <w:szCs w:val="16"/>
                <w:lang w:val="pt-PT"/>
              </w:rPr>
            </w:pPr>
            <w:r w:rsidRPr="00B07FC0">
              <w:rPr>
                <w:b/>
                <w:noProof/>
                <w:sz w:val="16"/>
                <w:lang w:val="pt-PT"/>
              </w:rPr>
              <w:t>Dos quais, a título do Instrumento de Flexibilidade</w:t>
            </w:r>
          </w:p>
        </w:tc>
        <w:tc>
          <w:tcPr>
            <w:tcW w:w="1276" w:type="dxa"/>
            <w:tcBorders>
              <w:top w:val="nil"/>
              <w:left w:val="nil"/>
              <w:bottom w:val="single" w:sz="8" w:space="0" w:color="auto"/>
              <w:right w:val="single" w:sz="8" w:space="0" w:color="auto"/>
            </w:tcBorders>
            <w:shd w:val="clear" w:color="auto" w:fill="auto"/>
            <w:vAlign w:val="center"/>
            <w:hideMark/>
          </w:tcPr>
          <w:p w14:paraId="0E722D6F" w14:textId="77777777" w:rsidR="00B07FC0" w:rsidRPr="007C250E" w:rsidRDefault="00B07FC0" w:rsidP="00433C4E">
            <w:pPr>
              <w:jc w:val="right"/>
              <w:rPr>
                <w:i/>
                <w:iCs/>
                <w:noProof/>
                <w:sz w:val="16"/>
                <w:szCs w:val="16"/>
              </w:rPr>
            </w:pPr>
            <w:r>
              <w:rPr>
                <w:i/>
                <w:noProof/>
                <w:sz w:val="16"/>
              </w:rPr>
              <w:t>1 335 350 949</w:t>
            </w:r>
          </w:p>
        </w:tc>
        <w:tc>
          <w:tcPr>
            <w:tcW w:w="1276" w:type="dxa"/>
            <w:tcBorders>
              <w:top w:val="nil"/>
              <w:left w:val="nil"/>
              <w:bottom w:val="single" w:sz="8" w:space="0" w:color="auto"/>
              <w:right w:val="single" w:sz="8" w:space="0" w:color="auto"/>
            </w:tcBorders>
            <w:shd w:val="clear" w:color="auto" w:fill="auto"/>
            <w:vAlign w:val="center"/>
            <w:hideMark/>
          </w:tcPr>
          <w:p w14:paraId="4D45AC7A" w14:textId="77777777" w:rsidR="00B07FC0" w:rsidRPr="007C250E" w:rsidRDefault="00B07FC0" w:rsidP="00433C4E">
            <w:pPr>
              <w:jc w:val="right"/>
              <w:rPr>
                <w:noProof/>
                <w:sz w:val="16"/>
                <w:szCs w:val="16"/>
              </w:rPr>
            </w:pPr>
            <w:r>
              <w:rPr>
                <w:noProof/>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4F6A428" w14:textId="77777777" w:rsidR="00B07FC0" w:rsidRPr="007C250E" w:rsidRDefault="00B07FC0" w:rsidP="00433C4E">
            <w:pPr>
              <w:jc w:val="right"/>
              <w:rPr>
                <w:i/>
                <w:iCs/>
                <w:noProof/>
                <w:sz w:val="16"/>
                <w:szCs w:val="16"/>
              </w:rPr>
            </w:pPr>
            <w:r>
              <w:rPr>
                <w:i/>
                <w:noProof/>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5045239" w14:textId="77777777" w:rsidR="00B07FC0" w:rsidRPr="007C250E" w:rsidRDefault="00B07FC0" w:rsidP="00433C4E">
            <w:pPr>
              <w:jc w:val="right"/>
              <w:rPr>
                <w:noProof/>
                <w:sz w:val="16"/>
                <w:szCs w:val="16"/>
              </w:rPr>
            </w:pPr>
            <w:r>
              <w:rPr>
                <w:noProof/>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11D31752" w14:textId="77777777" w:rsidR="00B07FC0" w:rsidRPr="007C250E" w:rsidRDefault="00B07FC0" w:rsidP="00433C4E">
            <w:pPr>
              <w:jc w:val="right"/>
              <w:rPr>
                <w:i/>
                <w:iCs/>
                <w:noProof/>
                <w:sz w:val="16"/>
                <w:szCs w:val="16"/>
              </w:rPr>
            </w:pPr>
            <w:r>
              <w:rPr>
                <w:i/>
                <w:noProof/>
                <w:sz w:val="16"/>
              </w:rPr>
              <w:t xml:space="preserve">1 335 350 949 </w:t>
            </w:r>
          </w:p>
        </w:tc>
        <w:tc>
          <w:tcPr>
            <w:tcW w:w="1276" w:type="dxa"/>
            <w:tcBorders>
              <w:top w:val="nil"/>
              <w:left w:val="nil"/>
              <w:bottom w:val="single" w:sz="8" w:space="0" w:color="auto"/>
              <w:right w:val="single" w:sz="8" w:space="0" w:color="auto"/>
            </w:tcBorders>
            <w:shd w:val="clear" w:color="auto" w:fill="auto"/>
            <w:vAlign w:val="center"/>
            <w:hideMark/>
          </w:tcPr>
          <w:p w14:paraId="6A326A9F" w14:textId="77777777" w:rsidR="00B07FC0" w:rsidRPr="007C250E" w:rsidRDefault="00B07FC0" w:rsidP="00433C4E">
            <w:pPr>
              <w:jc w:val="right"/>
              <w:rPr>
                <w:noProof/>
                <w:sz w:val="16"/>
                <w:szCs w:val="16"/>
              </w:rPr>
            </w:pPr>
            <w:r>
              <w:rPr>
                <w:noProof/>
                <w:sz w:val="16"/>
              </w:rPr>
              <w:t xml:space="preserve"> </w:t>
            </w:r>
          </w:p>
        </w:tc>
      </w:tr>
      <w:tr w:rsidR="00B07FC0" w:rsidRPr="007C250E" w14:paraId="4439F079" w14:textId="77777777" w:rsidTr="00433C4E">
        <w:trPr>
          <w:trHeight w:val="430"/>
        </w:trPr>
        <w:tc>
          <w:tcPr>
            <w:tcW w:w="416" w:type="dxa"/>
            <w:tcBorders>
              <w:top w:val="nil"/>
              <w:left w:val="single" w:sz="8" w:space="0" w:color="auto"/>
              <w:bottom w:val="single" w:sz="8" w:space="0" w:color="auto"/>
              <w:right w:val="nil"/>
            </w:tcBorders>
            <w:shd w:val="clear" w:color="auto" w:fill="auto"/>
            <w:vAlign w:val="center"/>
            <w:hideMark/>
          </w:tcPr>
          <w:p w14:paraId="1AA5657B" w14:textId="77777777" w:rsidR="00B07FC0" w:rsidRPr="007C250E" w:rsidRDefault="00B07FC0" w:rsidP="00433C4E">
            <w:pPr>
              <w:jc w:val="both"/>
              <w:rPr>
                <w:noProof/>
                <w:sz w:val="16"/>
                <w:szCs w:val="16"/>
              </w:rPr>
            </w:pPr>
            <w:r>
              <w:rPr>
                <w:noProof/>
                <w:sz w:val="16"/>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5632D69B" w14:textId="77777777" w:rsidR="00B07FC0" w:rsidRPr="00B07FC0" w:rsidRDefault="00B07FC0" w:rsidP="00433C4E">
            <w:pPr>
              <w:jc w:val="right"/>
              <w:rPr>
                <w:b/>
                <w:bCs/>
                <w:noProof/>
                <w:sz w:val="16"/>
                <w:szCs w:val="16"/>
                <w:lang w:val="pt-PT"/>
              </w:rPr>
            </w:pPr>
            <w:r w:rsidRPr="00B07FC0">
              <w:rPr>
                <w:b/>
                <w:noProof/>
                <w:sz w:val="16"/>
                <w:lang w:val="pt-PT"/>
              </w:rPr>
              <w:t>Dos quais, a título do Instrumento de Margem Único (Artigo 11.º, n.º 1, alínea a))</w:t>
            </w:r>
          </w:p>
        </w:tc>
        <w:tc>
          <w:tcPr>
            <w:tcW w:w="1276" w:type="dxa"/>
            <w:tcBorders>
              <w:top w:val="nil"/>
              <w:left w:val="nil"/>
              <w:bottom w:val="single" w:sz="8" w:space="0" w:color="auto"/>
              <w:right w:val="single" w:sz="8" w:space="0" w:color="auto"/>
            </w:tcBorders>
            <w:shd w:val="clear" w:color="auto" w:fill="auto"/>
            <w:vAlign w:val="center"/>
            <w:hideMark/>
          </w:tcPr>
          <w:p w14:paraId="775FD79D" w14:textId="77777777" w:rsidR="00B07FC0" w:rsidRPr="007C250E" w:rsidRDefault="00B07FC0" w:rsidP="00433C4E">
            <w:pPr>
              <w:jc w:val="right"/>
              <w:rPr>
                <w:i/>
                <w:iCs/>
                <w:noProof/>
                <w:sz w:val="16"/>
                <w:szCs w:val="16"/>
              </w:rPr>
            </w:pPr>
            <w:r>
              <w:rPr>
                <w:i/>
                <w:noProof/>
                <w:sz w:val="16"/>
              </w:rPr>
              <w:t>372 816 884</w:t>
            </w:r>
          </w:p>
        </w:tc>
        <w:tc>
          <w:tcPr>
            <w:tcW w:w="1276" w:type="dxa"/>
            <w:tcBorders>
              <w:top w:val="nil"/>
              <w:left w:val="nil"/>
              <w:bottom w:val="single" w:sz="8" w:space="0" w:color="auto"/>
              <w:right w:val="single" w:sz="8" w:space="0" w:color="auto"/>
            </w:tcBorders>
            <w:shd w:val="clear" w:color="auto" w:fill="auto"/>
            <w:vAlign w:val="center"/>
            <w:hideMark/>
          </w:tcPr>
          <w:p w14:paraId="32DFA409" w14:textId="77777777" w:rsidR="00B07FC0" w:rsidRPr="007C250E" w:rsidRDefault="00B07FC0" w:rsidP="00433C4E">
            <w:pPr>
              <w:jc w:val="right"/>
              <w:rPr>
                <w:noProof/>
                <w:sz w:val="16"/>
                <w:szCs w:val="16"/>
              </w:rPr>
            </w:pPr>
            <w:r>
              <w:rPr>
                <w:noProof/>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8A4CCCE" w14:textId="77777777" w:rsidR="00B07FC0" w:rsidRPr="007C250E" w:rsidRDefault="00B07FC0" w:rsidP="00433C4E">
            <w:pPr>
              <w:jc w:val="right"/>
              <w:rPr>
                <w:i/>
                <w:iCs/>
                <w:noProof/>
                <w:sz w:val="16"/>
                <w:szCs w:val="16"/>
              </w:rPr>
            </w:pPr>
            <w:r>
              <w:rPr>
                <w:i/>
                <w:noProof/>
                <w:sz w:val="16"/>
              </w:rPr>
              <w:t xml:space="preserve">-72 000 000 </w:t>
            </w:r>
          </w:p>
        </w:tc>
        <w:tc>
          <w:tcPr>
            <w:tcW w:w="1134" w:type="dxa"/>
            <w:tcBorders>
              <w:top w:val="nil"/>
              <w:left w:val="nil"/>
              <w:bottom w:val="single" w:sz="8" w:space="0" w:color="auto"/>
              <w:right w:val="single" w:sz="8" w:space="0" w:color="auto"/>
            </w:tcBorders>
            <w:shd w:val="clear" w:color="auto" w:fill="auto"/>
            <w:vAlign w:val="center"/>
            <w:hideMark/>
          </w:tcPr>
          <w:p w14:paraId="7551C503" w14:textId="77777777" w:rsidR="00B07FC0" w:rsidRPr="007C250E" w:rsidRDefault="00B07FC0" w:rsidP="00433C4E">
            <w:pPr>
              <w:jc w:val="right"/>
              <w:rPr>
                <w:noProof/>
                <w:sz w:val="16"/>
                <w:szCs w:val="16"/>
              </w:rPr>
            </w:pPr>
            <w:r>
              <w:rPr>
                <w:noProof/>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5CFFFD8C" w14:textId="77777777" w:rsidR="00B07FC0" w:rsidRPr="007C250E" w:rsidRDefault="00B07FC0" w:rsidP="00433C4E">
            <w:pPr>
              <w:jc w:val="right"/>
              <w:rPr>
                <w:i/>
                <w:iCs/>
                <w:noProof/>
                <w:sz w:val="16"/>
                <w:szCs w:val="16"/>
              </w:rPr>
            </w:pPr>
            <w:r>
              <w:rPr>
                <w:i/>
                <w:noProof/>
                <w:sz w:val="16"/>
              </w:rPr>
              <w:t xml:space="preserve">300 816 884 </w:t>
            </w:r>
          </w:p>
        </w:tc>
        <w:tc>
          <w:tcPr>
            <w:tcW w:w="1276" w:type="dxa"/>
            <w:tcBorders>
              <w:top w:val="nil"/>
              <w:left w:val="nil"/>
              <w:bottom w:val="single" w:sz="8" w:space="0" w:color="auto"/>
              <w:right w:val="single" w:sz="8" w:space="0" w:color="auto"/>
            </w:tcBorders>
            <w:shd w:val="clear" w:color="auto" w:fill="auto"/>
            <w:vAlign w:val="center"/>
            <w:hideMark/>
          </w:tcPr>
          <w:p w14:paraId="63AECEA1" w14:textId="77777777" w:rsidR="00B07FC0" w:rsidRPr="007C250E" w:rsidRDefault="00B07FC0" w:rsidP="00433C4E">
            <w:pPr>
              <w:jc w:val="right"/>
              <w:rPr>
                <w:noProof/>
                <w:sz w:val="16"/>
                <w:szCs w:val="16"/>
              </w:rPr>
            </w:pPr>
            <w:r>
              <w:rPr>
                <w:noProof/>
                <w:sz w:val="16"/>
              </w:rPr>
              <w:t xml:space="preserve"> </w:t>
            </w:r>
          </w:p>
        </w:tc>
      </w:tr>
      <w:tr w:rsidR="00B07FC0" w:rsidRPr="00B07FC0" w14:paraId="0310871C" w14:textId="77777777" w:rsidTr="00433C4E">
        <w:trPr>
          <w:trHeight w:val="430"/>
        </w:trPr>
        <w:tc>
          <w:tcPr>
            <w:tcW w:w="416" w:type="dxa"/>
            <w:tcBorders>
              <w:top w:val="nil"/>
              <w:left w:val="single" w:sz="8" w:space="0" w:color="auto"/>
              <w:bottom w:val="single" w:sz="8" w:space="0" w:color="auto"/>
              <w:right w:val="nil"/>
            </w:tcBorders>
            <w:shd w:val="clear" w:color="auto" w:fill="auto"/>
            <w:vAlign w:val="center"/>
            <w:hideMark/>
          </w:tcPr>
          <w:p w14:paraId="7DCB20B4" w14:textId="77777777" w:rsidR="00B07FC0" w:rsidRPr="007C250E" w:rsidRDefault="00B07FC0" w:rsidP="00433C4E">
            <w:pPr>
              <w:jc w:val="both"/>
              <w:rPr>
                <w:noProof/>
                <w:color w:val="000000"/>
                <w:sz w:val="16"/>
                <w:szCs w:val="16"/>
              </w:rPr>
            </w:pPr>
            <w:r>
              <w:rPr>
                <w:noProof/>
                <w:color w:val="000000"/>
                <w:sz w:val="16"/>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74B295EB" w14:textId="77777777" w:rsidR="00B07FC0" w:rsidRPr="00B07FC0" w:rsidRDefault="00B07FC0" w:rsidP="00433C4E">
            <w:pPr>
              <w:jc w:val="right"/>
              <w:rPr>
                <w:b/>
                <w:bCs/>
                <w:noProof/>
                <w:color w:val="000000"/>
                <w:sz w:val="16"/>
                <w:szCs w:val="16"/>
                <w:lang w:val="pt-PT"/>
              </w:rPr>
            </w:pPr>
            <w:r w:rsidRPr="00B07FC0">
              <w:rPr>
                <w:b/>
                <w:noProof/>
                <w:color w:val="000000"/>
                <w:sz w:val="16"/>
                <w:lang w:val="pt-PT"/>
              </w:rPr>
              <w:t>dos quais, a título do Instrumento de Margem Único (Artigo 11.º, n.º 1, alínea c))</w:t>
            </w:r>
          </w:p>
        </w:tc>
        <w:tc>
          <w:tcPr>
            <w:tcW w:w="1276" w:type="dxa"/>
            <w:tcBorders>
              <w:top w:val="nil"/>
              <w:left w:val="nil"/>
              <w:bottom w:val="single" w:sz="8" w:space="0" w:color="auto"/>
              <w:right w:val="single" w:sz="8" w:space="0" w:color="auto"/>
            </w:tcBorders>
            <w:shd w:val="clear" w:color="auto" w:fill="auto"/>
            <w:vAlign w:val="center"/>
            <w:hideMark/>
          </w:tcPr>
          <w:p w14:paraId="022E5462"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4667D864"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8E5554A"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105C403"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453D6F8C"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60ED1A22"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r>
      <w:tr w:rsidR="00B07FC0" w:rsidRPr="007C250E" w14:paraId="1FA8A94F" w14:textId="77777777" w:rsidTr="00433C4E">
        <w:trPr>
          <w:trHeight w:val="300"/>
        </w:trPr>
        <w:tc>
          <w:tcPr>
            <w:tcW w:w="2967"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C1C0135" w14:textId="77777777" w:rsidR="00B07FC0" w:rsidRPr="007C250E" w:rsidRDefault="00B07FC0" w:rsidP="00433C4E">
            <w:pPr>
              <w:jc w:val="right"/>
              <w:rPr>
                <w:b/>
                <w:bCs/>
                <w:i/>
                <w:iCs/>
                <w:noProof/>
                <w:color w:val="000000"/>
                <w:sz w:val="16"/>
                <w:szCs w:val="16"/>
              </w:rPr>
            </w:pPr>
            <w:r>
              <w:rPr>
                <w:b/>
                <w:i/>
                <w:noProof/>
                <w:color w:val="000000"/>
                <w:sz w:val="16"/>
              </w:rPr>
              <w:t>Limite máximo</w:t>
            </w:r>
          </w:p>
        </w:tc>
        <w:tc>
          <w:tcPr>
            <w:tcW w:w="1276" w:type="dxa"/>
            <w:tcBorders>
              <w:top w:val="nil"/>
              <w:left w:val="nil"/>
              <w:bottom w:val="single" w:sz="8" w:space="0" w:color="auto"/>
              <w:right w:val="single" w:sz="8" w:space="0" w:color="auto"/>
            </w:tcBorders>
            <w:shd w:val="clear" w:color="auto" w:fill="auto"/>
            <w:vAlign w:val="center"/>
            <w:hideMark/>
          </w:tcPr>
          <w:p w14:paraId="49672566" w14:textId="77777777" w:rsidR="00B07FC0" w:rsidRPr="007C250E" w:rsidRDefault="00B07FC0" w:rsidP="00433C4E">
            <w:pPr>
              <w:jc w:val="right"/>
              <w:rPr>
                <w:i/>
                <w:iCs/>
                <w:noProof/>
                <w:color w:val="000000"/>
                <w:sz w:val="16"/>
                <w:szCs w:val="16"/>
              </w:rPr>
            </w:pPr>
            <w:r>
              <w:rPr>
                <w:i/>
                <w:noProof/>
                <w:color w:val="000000"/>
                <w:sz w:val="16"/>
              </w:rPr>
              <w:t>8 606 000 000</w:t>
            </w:r>
          </w:p>
        </w:tc>
        <w:tc>
          <w:tcPr>
            <w:tcW w:w="1276" w:type="dxa"/>
            <w:tcBorders>
              <w:top w:val="nil"/>
              <w:left w:val="nil"/>
              <w:bottom w:val="single" w:sz="8" w:space="0" w:color="auto"/>
              <w:right w:val="single" w:sz="8" w:space="0" w:color="auto"/>
            </w:tcBorders>
            <w:shd w:val="clear" w:color="auto" w:fill="auto"/>
            <w:vAlign w:val="center"/>
            <w:hideMark/>
          </w:tcPr>
          <w:p w14:paraId="15128E0D" w14:textId="77777777" w:rsidR="00B07FC0" w:rsidRPr="007C250E" w:rsidRDefault="00B07FC0" w:rsidP="00433C4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3E053F4" w14:textId="77777777" w:rsidR="00B07FC0" w:rsidRPr="007C250E" w:rsidRDefault="00B07FC0" w:rsidP="00433C4E">
            <w:pPr>
              <w:jc w:val="right"/>
              <w:rPr>
                <w:i/>
                <w:iCs/>
                <w:noProof/>
                <w:color w:val="000000"/>
                <w:sz w:val="16"/>
                <w:szCs w:val="16"/>
              </w:rPr>
            </w:pPr>
            <w:r>
              <w:rPr>
                <w:i/>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0017934" w14:textId="77777777" w:rsidR="00B07FC0" w:rsidRPr="007C250E" w:rsidRDefault="00B07FC0" w:rsidP="00433C4E">
            <w:pPr>
              <w:jc w:val="right"/>
              <w:rPr>
                <w:noProof/>
                <w:color w:val="000000"/>
                <w:sz w:val="16"/>
                <w:szCs w:val="16"/>
              </w:rPr>
            </w:pPr>
            <w:r>
              <w:rPr>
                <w:noProof/>
                <w:color w:val="000000"/>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63939741" w14:textId="77777777" w:rsidR="00B07FC0" w:rsidRPr="007C250E" w:rsidRDefault="00B07FC0" w:rsidP="00433C4E">
            <w:pPr>
              <w:jc w:val="right"/>
              <w:rPr>
                <w:i/>
                <w:iCs/>
                <w:noProof/>
                <w:color w:val="000000"/>
                <w:sz w:val="16"/>
                <w:szCs w:val="16"/>
              </w:rPr>
            </w:pPr>
            <w:r>
              <w:rPr>
                <w:i/>
                <w:noProof/>
                <w:color w:val="000000"/>
                <w:sz w:val="16"/>
              </w:rPr>
              <w:t xml:space="preserve">8 606 000 000 </w:t>
            </w:r>
          </w:p>
        </w:tc>
        <w:tc>
          <w:tcPr>
            <w:tcW w:w="1276" w:type="dxa"/>
            <w:tcBorders>
              <w:top w:val="nil"/>
              <w:left w:val="nil"/>
              <w:bottom w:val="single" w:sz="8" w:space="0" w:color="auto"/>
              <w:right w:val="single" w:sz="8" w:space="0" w:color="auto"/>
            </w:tcBorders>
            <w:shd w:val="clear" w:color="auto" w:fill="auto"/>
            <w:vAlign w:val="center"/>
            <w:hideMark/>
          </w:tcPr>
          <w:p w14:paraId="301E90E0" w14:textId="77777777" w:rsidR="00B07FC0" w:rsidRPr="007C250E" w:rsidRDefault="00B07FC0" w:rsidP="00433C4E">
            <w:pPr>
              <w:jc w:val="right"/>
              <w:rPr>
                <w:noProof/>
                <w:color w:val="000000"/>
                <w:sz w:val="16"/>
                <w:szCs w:val="16"/>
              </w:rPr>
            </w:pPr>
            <w:r>
              <w:rPr>
                <w:noProof/>
                <w:color w:val="000000"/>
                <w:sz w:val="16"/>
              </w:rPr>
              <w:t xml:space="preserve"> </w:t>
            </w:r>
          </w:p>
        </w:tc>
      </w:tr>
      <w:tr w:rsidR="00B07FC0" w:rsidRPr="007C250E" w14:paraId="35836056" w14:textId="77777777" w:rsidTr="00433C4E">
        <w:trPr>
          <w:trHeight w:val="300"/>
        </w:trPr>
        <w:tc>
          <w:tcPr>
            <w:tcW w:w="2967"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473FD90" w14:textId="77777777" w:rsidR="00B07FC0" w:rsidRPr="007C250E" w:rsidRDefault="00B07FC0" w:rsidP="00433C4E">
            <w:pPr>
              <w:jc w:val="right"/>
              <w:rPr>
                <w:b/>
                <w:bCs/>
                <w:i/>
                <w:iCs/>
                <w:noProof/>
                <w:sz w:val="16"/>
                <w:szCs w:val="16"/>
              </w:rPr>
            </w:pPr>
            <w:r>
              <w:rPr>
                <w:b/>
                <w:i/>
                <w:noProof/>
                <w:sz w:val="16"/>
              </w:rPr>
              <w:t>Margem</w:t>
            </w:r>
          </w:p>
        </w:tc>
        <w:tc>
          <w:tcPr>
            <w:tcW w:w="1276" w:type="dxa"/>
            <w:tcBorders>
              <w:top w:val="nil"/>
              <w:left w:val="nil"/>
              <w:bottom w:val="single" w:sz="8" w:space="0" w:color="auto"/>
              <w:right w:val="single" w:sz="8" w:space="0" w:color="auto"/>
            </w:tcBorders>
            <w:shd w:val="clear" w:color="auto" w:fill="auto"/>
            <w:vAlign w:val="center"/>
            <w:hideMark/>
          </w:tcPr>
          <w:p w14:paraId="10D34A31" w14:textId="77777777" w:rsidR="00B07FC0" w:rsidRPr="007C250E" w:rsidRDefault="00B07FC0" w:rsidP="00433C4E">
            <w:pPr>
              <w:jc w:val="right"/>
              <w:rPr>
                <w:noProof/>
                <w:sz w:val="16"/>
                <w:szCs w:val="16"/>
              </w:rPr>
            </w:pPr>
            <w:r>
              <w:rPr>
                <w:noProof/>
                <w:sz w:val="16"/>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14D1FB37" w14:textId="77777777" w:rsidR="00B07FC0" w:rsidRPr="007C250E" w:rsidRDefault="00B07FC0" w:rsidP="00433C4E">
            <w:pPr>
              <w:jc w:val="right"/>
              <w:rPr>
                <w:noProof/>
                <w:sz w:val="16"/>
                <w:szCs w:val="16"/>
              </w:rPr>
            </w:pPr>
            <w:r>
              <w:rPr>
                <w:noProof/>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69F3669" w14:textId="77777777" w:rsidR="00B07FC0" w:rsidRPr="007C250E" w:rsidRDefault="00B07FC0" w:rsidP="00433C4E">
            <w:pPr>
              <w:jc w:val="right"/>
              <w:rPr>
                <w:noProof/>
                <w:sz w:val="16"/>
                <w:szCs w:val="16"/>
              </w:rPr>
            </w:pPr>
            <w:r>
              <w:rPr>
                <w:noProof/>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4F73449" w14:textId="77777777" w:rsidR="00B07FC0" w:rsidRPr="007C250E" w:rsidRDefault="00B07FC0" w:rsidP="00433C4E">
            <w:pPr>
              <w:jc w:val="right"/>
              <w:rPr>
                <w:noProof/>
                <w:sz w:val="16"/>
                <w:szCs w:val="16"/>
              </w:rPr>
            </w:pPr>
            <w:r>
              <w:rPr>
                <w:noProof/>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0A9D9BB4" w14:textId="77777777" w:rsidR="00B07FC0" w:rsidRPr="007C250E" w:rsidRDefault="00B07FC0" w:rsidP="00433C4E">
            <w:pPr>
              <w:jc w:val="right"/>
              <w:rPr>
                <w:noProof/>
                <w:sz w:val="16"/>
                <w:szCs w:val="16"/>
              </w:rPr>
            </w:pPr>
            <w:r>
              <w:rPr>
                <w:noProof/>
                <w:sz w:val="16"/>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5B6B114B" w14:textId="77777777" w:rsidR="00B07FC0" w:rsidRPr="007C250E" w:rsidRDefault="00B07FC0" w:rsidP="00433C4E">
            <w:pPr>
              <w:jc w:val="right"/>
              <w:rPr>
                <w:noProof/>
                <w:sz w:val="16"/>
                <w:szCs w:val="16"/>
              </w:rPr>
            </w:pPr>
            <w:r>
              <w:rPr>
                <w:noProof/>
                <w:sz w:val="16"/>
              </w:rPr>
              <w:t xml:space="preserve"> </w:t>
            </w:r>
          </w:p>
        </w:tc>
      </w:tr>
      <w:tr w:rsidR="00B07FC0" w:rsidRPr="007C250E" w14:paraId="59DB0BEB" w14:textId="77777777" w:rsidTr="00433C4E">
        <w:trPr>
          <w:trHeight w:val="300"/>
        </w:trPr>
        <w:tc>
          <w:tcPr>
            <w:tcW w:w="416" w:type="dxa"/>
            <w:tcBorders>
              <w:top w:val="nil"/>
              <w:left w:val="single" w:sz="8" w:space="0" w:color="auto"/>
              <w:bottom w:val="single" w:sz="8" w:space="0" w:color="auto"/>
              <w:right w:val="nil"/>
            </w:tcBorders>
            <w:shd w:val="clear" w:color="000000" w:fill="D9D9D9"/>
            <w:vAlign w:val="center"/>
            <w:hideMark/>
          </w:tcPr>
          <w:p w14:paraId="0C1380E9" w14:textId="77777777" w:rsidR="00B07FC0" w:rsidRPr="007C250E" w:rsidRDefault="00B07FC0" w:rsidP="00433C4E">
            <w:pPr>
              <w:jc w:val="both"/>
              <w:rPr>
                <w:b/>
                <w:bCs/>
                <w:noProof/>
                <w:sz w:val="16"/>
                <w:szCs w:val="16"/>
              </w:rPr>
            </w:pPr>
            <w:r>
              <w:rPr>
                <w:b/>
                <w:noProof/>
                <w:sz w:val="16"/>
              </w:rPr>
              <w:t>3.</w:t>
            </w:r>
          </w:p>
        </w:tc>
        <w:tc>
          <w:tcPr>
            <w:tcW w:w="2551" w:type="dxa"/>
            <w:tcBorders>
              <w:top w:val="nil"/>
              <w:left w:val="nil"/>
              <w:bottom w:val="single" w:sz="8" w:space="0" w:color="auto"/>
              <w:right w:val="single" w:sz="8" w:space="0" w:color="auto"/>
            </w:tcBorders>
            <w:shd w:val="clear" w:color="000000" w:fill="D9D9D9"/>
            <w:vAlign w:val="center"/>
            <w:hideMark/>
          </w:tcPr>
          <w:p w14:paraId="634530ED" w14:textId="77777777" w:rsidR="00B07FC0" w:rsidRPr="007C250E" w:rsidRDefault="00B07FC0" w:rsidP="00433C4E">
            <w:pPr>
              <w:jc w:val="both"/>
              <w:rPr>
                <w:b/>
                <w:bCs/>
                <w:noProof/>
                <w:sz w:val="16"/>
                <w:szCs w:val="16"/>
              </w:rPr>
            </w:pPr>
            <w:r>
              <w:rPr>
                <w:b/>
                <w:noProof/>
                <w:sz w:val="16"/>
              </w:rPr>
              <w:t>Recursos Naturais e Ambiente</w:t>
            </w:r>
          </w:p>
        </w:tc>
        <w:tc>
          <w:tcPr>
            <w:tcW w:w="1276" w:type="dxa"/>
            <w:tcBorders>
              <w:top w:val="nil"/>
              <w:left w:val="nil"/>
              <w:bottom w:val="single" w:sz="8" w:space="0" w:color="auto"/>
              <w:right w:val="single" w:sz="8" w:space="0" w:color="auto"/>
            </w:tcBorders>
            <w:shd w:val="clear" w:color="000000" w:fill="D9D9D9"/>
            <w:vAlign w:val="center"/>
            <w:hideMark/>
          </w:tcPr>
          <w:p w14:paraId="7072DC78" w14:textId="77777777" w:rsidR="00B07FC0" w:rsidRPr="007C250E" w:rsidRDefault="00B07FC0" w:rsidP="00433C4E">
            <w:pPr>
              <w:jc w:val="right"/>
              <w:rPr>
                <w:b/>
                <w:bCs/>
                <w:noProof/>
                <w:sz w:val="16"/>
                <w:szCs w:val="16"/>
              </w:rPr>
            </w:pPr>
            <w:r>
              <w:rPr>
                <w:b/>
                <w:noProof/>
                <w:sz w:val="16"/>
              </w:rPr>
              <w:t>57 388 890 839</w:t>
            </w:r>
          </w:p>
        </w:tc>
        <w:tc>
          <w:tcPr>
            <w:tcW w:w="1276" w:type="dxa"/>
            <w:tcBorders>
              <w:top w:val="nil"/>
              <w:left w:val="nil"/>
              <w:bottom w:val="single" w:sz="8" w:space="0" w:color="auto"/>
              <w:right w:val="single" w:sz="8" w:space="0" w:color="auto"/>
            </w:tcBorders>
            <w:shd w:val="clear" w:color="000000" w:fill="D9D9D9"/>
            <w:vAlign w:val="center"/>
            <w:hideMark/>
          </w:tcPr>
          <w:p w14:paraId="0180E8C6" w14:textId="77777777" w:rsidR="00B07FC0" w:rsidRPr="007C250E" w:rsidRDefault="00B07FC0" w:rsidP="00433C4E">
            <w:pPr>
              <w:jc w:val="right"/>
              <w:rPr>
                <w:b/>
                <w:bCs/>
                <w:noProof/>
                <w:sz w:val="16"/>
                <w:szCs w:val="16"/>
              </w:rPr>
            </w:pPr>
            <w:r>
              <w:rPr>
                <w:b/>
                <w:noProof/>
                <w:sz w:val="16"/>
              </w:rPr>
              <w:t>54 232 567 941</w:t>
            </w:r>
          </w:p>
        </w:tc>
        <w:tc>
          <w:tcPr>
            <w:tcW w:w="1134" w:type="dxa"/>
            <w:tcBorders>
              <w:top w:val="nil"/>
              <w:left w:val="nil"/>
              <w:bottom w:val="single" w:sz="8" w:space="0" w:color="auto"/>
              <w:right w:val="single" w:sz="8" w:space="0" w:color="auto"/>
            </w:tcBorders>
            <w:shd w:val="clear" w:color="000000" w:fill="D9D9D9"/>
            <w:vAlign w:val="center"/>
            <w:hideMark/>
          </w:tcPr>
          <w:p w14:paraId="496EAD1A" w14:textId="77777777" w:rsidR="00B07FC0" w:rsidRPr="007C250E" w:rsidRDefault="00B07FC0" w:rsidP="00433C4E">
            <w:pPr>
              <w:jc w:val="right"/>
              <w:rPr>
                <w:b/>
                <w:bCs/>
                <w:noProof/>
                <w:sz w:val="16"/>
                <w:szCs w:val="16"/>
              </w:rPr>
            </w:pPr>
            <w:r>
              <w:rPr>
                <w:b/>
                <w:noProof/>
                <w:sz w:val="16"/>
              </w:rPr>
              <w:t xml:space="preserve"> </w:t>
            </w:r>
          </w:p>
        </w:tc>
        <w:tc>
          <w:tcPr>
            <w:tcW w:w="1134" w:type="dxa"/>
            <w:tcBorders>
              <w:top w:val="nil"/>
              <w:left w:val="nil"/>
              <w:bottom w:val="single" w:sz="8" w:space="0" w:color="auto"/>
              <w:right w:val="single" w:sz="8" w:space="0" w:color="auto"/>
            </w:tcBorders>
            <w:shd w:val="clear" w:color="000000" w:fill="D9D9D9"/>
            <w:vAlign w:val="center"/>
            <w:hideMark/>
          </w:tcPr>
          <w:p w14:paraId="35F388A0" w14:textId="77777777" w:rsidR="00B07FC0" w:rsidRPr="007C250E" w:rsidRDefault="00B07FC0" w:rsidP="00433C4E">
            <w:pPr>
              <w:jc w:val="right"/>
              <w:rPr>
                <w:b/>
                <w:bCs/>
                <w:noProof/>
                <w:sz w:val="16"/>
                <w:szCs w:val="16"/>
              </w:rPr>
            </w:pPr>
            <w:r>
              <w:rPr>
                <w:b/>
                <w:noProof/>
                <w:sz w:val="16"/>
              </w:rPr>
              <w:t xml:space="preserve"> </w:t>
            </w:r>
          </w:p>
        </w:tc>
        <w:tc>
          <w:tcPr>
            <w:tcW w:w="1275" w:type="dxa"/>
            <w:tcBorders>
              <w:top w:val="nil"/>
              <w:left w:val="nil"/>
              <w:bottom w:val="single" w:sz="8" w:space="0" w:color="auto"/>
              <w:right w:val="single" w:sz="8" w:space="0" w:color="auto"/>
            </w:tcBorders>
            <w:shd w:val="clear" w:color="000000" w:fill="D9D9D9"/>
            <w:vAlign w:val="center"/>
            <w:hideMark/>
          </w:tcPr>
          <w:p w14:paraId="5ACD40AF" w14:textId="77777777" w:rsidR="00B07FC0" w:rsidRPr="007C250E" w:rsidRDefault="00B07FC0" w:rsidP="00433C4E">
            <w:pPr>
              <w:jc w:val="right"/>
              <w:rPr>
                <w:b/>
                <w:bCs/>
                <w:noProof/>
                <w:sz w:val="16"/>
                <w:szCs w:val="16"/>
              </w:rPr>
            </w:pPr>
            <w:r>
              <w:rPr>
                <w:b/>
                <w:noProof/>
                <w:sz w:val="16"/>
              </w:rPr>
              <w:t xml:space="preserve">57 388 890 839 </w:t>
            </w:r>
          </w:p>
        </w:tc>
        <w:tc>
          <w:tcPr>
            <w:tcW w:w="1276" w:type="dxa"/>
            <w:tcBorders>
              <w:top w:val="nil"/>
              <w:left w:val="nil"/>
              <w:bottom w:val="single" w:sz="8" w:space="0" w:color="auto"/>
              <w:right w:val="single" w:sz="8" w:space="0" w:color="auto"/>
            </w:tcBorders>
            <w:shd w:val="clear" w:color="000000" w:fill="D9D9D9"/>
            <w:vAlign w:val="center"/>
            <w:hideMark/>
          </w:tcPr>
          <w:p w14:paraId="0F375C42" w14:textId="77777777" w:rsidR="00B07FC0" w:rsidRPr="007C250E" w:rsidRDefault="00B07FC0" w:rsidP="00433C4E">
            <w:pPr>
              <w:jc w:val="right"/>
              <w:rPr>
                <w:b/>
                <w:bCs/>
                <w:noProof/>
                <w:sz w:val="16"/>
                <w:szCs w:val="16"/>
              </w:rPr>
            </w:pPr>
            <w:r>
              <w:rPr>
                <w:b/>
                <w:noProof/>
                <w:sz w:val="16"/>
              </w:rPr>
              <w:t xml:space="preserve">54 232 567 941 </w:t>
            </w:r>
          </w:p>
        </w:tc>
      </w:tr>
      <w:tr w:rsidR="00B07FC0" w:rsidRPr="00B07FC0" w14:paraId="7D2005E8" w14:textId="77777777" w:rsidTr="00433C4E">
        <w:trPr>
          <w:trHeight w:val="300"/>
        </w:trPr>
        <w:tc>
          <w:tcPr>
            <w:tcW w:w="416" w:type="dxa"/>
            <w:tcBorders>
              <w:top w:val="nil"/>
              <w:left w:val="single" w:sz="8" w:space="0" w:color="auto"/>
              <w:bottom w:val="single" w:sz="8" w:space="0" w:color="auto"/>
              <w:right w:val="nil"/>
            </w:tcBorders>
            <w:shd w:val="clear" w:color="auto" w:fill="auto"/>
            <w:vAlign w:val="center"/>
            <w:hideMark/>
          </w:tcPr>
          <w:p w14:paraId="43651C33" w14:textId="77777777" w:rsidR="00B07FC0" w:rsidRPr="007C250E" w:rsidRDefault="00B07FC0" w:rsidP="00433C4E">
            <w:pPr>
              <w:jc w:val="both"/>
              <w:rPr>
                <w:noProof/>
                <w:color w:val="000000"/>
                <w:sz w:val="16"/>
                <w:szCs w:val="16"/>
              </w:rPr>
            </w:pPr>
            <w:r>
              <w:rPr>
                <w:noProof/>
                <w:color w:val="000000"/>
                <w:sz w:val="16"/>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18F7A499" w14:textId="77777777" w:rsidR="00B07FC0" w:rsidRPr="00B07FC0" w:rsidRDefault="00B07FC0" w:rsidP="00433C4E">
            <w:pPr>
              <w:jc w:val="right"/>
              <w:rPr>
                <w:b/>
                <w:bCs/>
                <w:noProof/>
                <w:color w:val="000000"/>
                <w:sz w:val="16"/>
                <w:szCs w:val="16"/>
                <w:lang w:val="pt-PT"/>
              </w:rPr>
            </w:pPr>
            <w:r w:rsidRPr="00B07FC0">
              <w:rPr>
                <w:b/>
                <w:noProof/>
                <w:color w:val="000000"/>
                <w:sz w:val="16"/>
                <w:lang w:val="pt-PT"/>
              </w:rPr>
              <w:t>Dos quais, a título do Instrumento de Flexibilidade</w:t>
            </w:r>
          </w:p>
        </w:tc>
        <w:tc>
          <w:tcPr>
            <w:tcW w:w="1276" w:type="dxa"/>
            <w:tcBorders>
              <w:top w:val="nil"/>
              <w:left w:val="nil"/>
              <w:bottom w:val="single" w:sz="8" w:space="0" w:color="auto"/>
              <w:right w:val="single" w:sz="8" w:space="0" w:color="auto"/>
            </w:tcBorders>
            <w:shd w:val="clear" w:color="auto" w:fill="auto"/>
            <w:vAlign w:val="center"/>
            <w:hideMark/>
          </w:tcPr>
          <w:p w14:paraId="6F7253C7"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1004DD1A"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5A2DFD3"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4717006"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3EE3963C"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3C073F9C"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r>
      <w:tr w:rsidR="00B07FC0" w:rsidRPr="00B07FC0" w14:paraId="15CE98D0" w14:textId="77777777" w:rsidTr="00433C4E">
        <w:trPr>
          <w:trHeight w:val="430"/>
        </w:trPr>
        <w:tc>
          <w:tcPr>
            <w:tcW w:w="416" w:type="dxa"/>
            <w:tcBorders>
              <w:top w:val="nil"/>
              <w:left w:val="single" w:sz="8" w:space="0" w:color="auto"/>
              <w:bottom w:val="single" w:sz="8" w:space="0" w:color="auto"/>
              <w:right w:val="nil"/>
            </w:tcBorders>
            <w:shd w:val="clear" w:color="auto" w:fill="auto"/>
            <w:vAlign w:val="center"/>
            <w:hideMark/>
          </w:tcPr>
          <w:p w14:paraId="508F8500" w14:textId="77777777" w:rsidR="00B07FC0" w:rsidRPr="00B07FC0" w:rsidRDefault="00B07FC0" w:rsidP="00433C4E">
            <w:pPr>
              <w:jc w:val="both"/>
              <w:rPr>
                <w:noProof/>
                <w:color w:val="000000"/>
                <w:sz w:val="16"/>
                <w:szCs w:val="16"/>
                <w:lang w:val="pt-PT"/>
              </w:rPr>
            </w:pPr>
            <w:r w:rsidRPr="00B07FC0">
              <w:rPr>
                <w:noProof/>
                <w:color w:val="000000"/>
                <w:sz w:val="16"/>
                <w:lang w:val="pt-PT"/>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2CEE243F" w14:textId="77777777" w:rsidR="00B07FC0" w:rsidRPr="00B07FC0" w:rsidRDefault="00B07FC0" w:rsidP="00433C4E">
            <w:pPr>
              <w:jc w:val="right"/>
              <w:rPr>
                <w:b/>
                <w:bCs/>
                <w:noProof/>
                <w:color w:val="000000"/>
                <w:sz w:val="16"/>
                <w:szCs w:val="16"/>
                <w:lang w:val="pt-PT"/>
              </w:rPr>
            </w:pPr>
            <w:r w:rsidRPr="00B07FC0">
              <w:rPr>
                <w:b/>
                <w:noProof/>
                <w:color w:val="000000"/>
                <w:sz w:val="16"/>
                <w:lang w:val="pt-PT"/>
              </w:rPr>
              <w:t>Dos quais, a título do Instrumento de Margem Único (Artigo 11.º, n.º 1, alínea a))</w:t>
            </w:r>
          </w:p>
        </w:tc>
        <w:tc>
          <w:tcPr>
            <w:tcW w:w="1276" w:type="dxa"/>
            <w:tcBorders>
              <w:top w:val="nil"/>
              <w:left w:val="nil"/>
              <w:bottom w:val="single" w:sz="8" w:space="0" w:color="auto"/>
              <w:right w:val="single" w:sz="8" w:space="0" w:color="auto"/>
            </w:tcBorders>
            <w:shd w:val="clear" w:color="auto" w:fill="auto"/>
            <w:vAlign w:val="center"/>
            <w:hideMark/>
          </w:tcPr>
          <w:p w14:paraId="46F15728"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33A9844E"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94577F6"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917C0C1"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2F4A8248"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5874D9A6"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r>
      <w:tr w:rsidR="00B07FC0" w:rsidRPr="00B07FC0" w14:paraId="4A114692" w14:textId="77777777" w:rsidTr="00433C4E">
        <w:trPr>
          <w:trHeight w:val="430"/>
        </w:trPr>
        <w:tc>
          <w:tcPr>
            <w:tcW w:w="416" w:type="dxa"/>
            <w:tcBorders>
              <w:top w:val="nil"/>
              <w:left w:val="single" w:sz="8" w:space="0" w:color="auto"/>
              <w:bottom w:val="single" w:sz="8" w:space="0" w:color="auto"/>
              <w:right w:val="nil"/>
            </w:tcBorders>
            <w:shd w:val="clear" w:color="auto" w:fill="auto"/>
            <w:vAlign w:val="center"/>
            <w:hideMark/>
          </w:tcPr>
          <w:p w14:paraId="31C91F6E" w14:textId="77777777" w:rsidR="00B07FC0" w:rsidRPr="00B07FC0" w:rsidRDefault="00B07FC0" w:rsidP="00433C4E">
            <w:pPr>
              <w:jc w:val="both"/>
              <w:rPr>
                <w:noProof/>
                <w:color w:val="000000"/>
                <w:sz w:val="16"/>
                <w:szCs w:val="16"/>
                <w:lang w:val="pt-PT"/>
              </w:rPr>
            </w:pPr>
            <w:r w:rsidRPr="00B07FC0">
              <w:rPr>
                <w:noProof/>
                <w:color w:val="000000"/>
                <w:sz w:val="16"/>
                <w:lang w:val="pt-PT"/>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0BC79DD3" w14:textId="77777777" w:rsidR="00B07FC0" w:rsidRPr="00B07FC0" w:rsidRDefault="00B07FC0" w:rsidP="00433C4E">
            <w:pPr>
              <w:jc w:val="right"/>
              <w:rPr>
                <w:b/>
                <w:bCs/>
                <w:noProof/>
                <w:color w:val="000000"/>
                <w:sz w:val="16"/>
                <w:szCs w:val="16"/>
                <w:lang w:val="pt-PT"/>
              </w:rPr>
            </w:pPr>
            <w:r w:rsidRPr="00B07FC0">
              <w:rPr>
                <w:b/>
                <w:noProof/>
                <w:color w:val="000000"/>
                <w:sz w:val="16"/>
                <w:lang w:val="pt-PT"/>
              </w:rPr>
              <w:t>dos quais, a título do Instrumento de Margem Único (Artigo 11.º, n.º 1, alínea c))</w:t>
            </w:r>
          </w:p>
        </w:tc>
        <w:tc>
          <w:tcPr>
            <w:tcW w:w="1276" w:type="dxa"/>
            <w:tcBorders>
              <w:top w:val="nil"/>
              <w:left w:val="nil"/>
              <w:bottom w:val="single" w:sz="8" w:space="0" w:color="auto"/>
              <w:right w:val="single" w:sz="8" w:space="0" w:color="auto"/>
            </w:tcBorders>
            <w:shd w:val="clear" w:color="auto" w:fill="auto"/>
            <w:vAlign w:val="center"/>
            <w:hideMark/>
          </w:tcPr>
          <w:p w14:paraId="03FE597C"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4FBB9581"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A635D30"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0FAE6CA"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34747986"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7366CE9D"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r>
      <w:tr w:rsidR="00B07FC0" w:rsidRPr="007C250E" w14:paraId="611AF5A4" w14:textId="77777777" w:rsidTr="00433C4E">
        <w:trPr>
          <w:trHeight w:val="300"/>
        </w:trPr>
        <w:tc>
          <w:tcPr>
            <w:tcW w:w="2967"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3CD3612" w14:textId="77777777" w:rsidR="00B07FC0" w:rsidRPr="007C250E" w:rsidRDefault="00B07FC0" w:rsidP="00433C4E">
            <w:pPr>
              <w:jc w:val="right"/>
              <w:rPr>
                <w:b/>
                <w:bCs/>
                <w:i/>
                <w:iCs/>
                <w:noProof/>
                <w:sz w:val="16"/>
                <w:szCs w:val="16"/>
              </w:rPr>
            </w:pPr>
            <w:r>
              <w:rPr>
                <w:b/>
                <w:i/>
                <w:noProof/>
                <w:sz w:val="16"/>
              </w:rPr>
              <w:t>Limite máximo</w:t>
            </w:r>
          </w:p>
        </w:tc>
        <w:tc>
          <w:tcPr>
            <w:tcW w:w="1276" w:type="dxa"/>
            <w:tcBorders>
              <w:top w:val="nil"/>
              <w:left w:val="nil"/>
              <w:bottom w:val="single" w:sz="8" w:space="0" w:color="auto"/>
              <w:right w:val="single" w:sz="8" w:space="0" w:color="auto"/>
            </w:tcBorders>
            <w:shd w:val="clear" w:color="auto" w:fill="auto"/>
            <w:vAlign w:val="center"/>
            <w:hideMark/>
          </w:tcPr>
          <w:p w14:paraId="429FFAA6" w14:textId="77777777" w:rsidR="00B07FC0" w:rsidRPr="007C250E" w:rsidRDefault="00B07FC0" w:rsidP="00433C4E">
            <w:pPr>
              <w:jc w:val="right"/>
              <w:rPr>
                <w:i/>
                <w:iCs/>
                <w:noProof/>
                <w:sz w:val="16"/>
                <w:szCs w:val="16"/>
              </w:rPr>
            </w:pPr>
            <w:r>
              <w:rPr>
                <w:i/>
                <w:noProof/>
                <w:sz w:val="16"/>
              </w:rPr>
              <w:t>57 449 000 000</w:t>
            </w:r>
          </w:p>
        </w:tc>
        <w:tc>
          <w:tcPr>
            <w:tcW w:w="1276" w:type="dxa"/>
            <w:tcBorders>
              <w:top w:val="nil"/>
              <w:left w:val="nil"/>
              <w:bottom w:val="single" w:sz="8" w:space="0" w:color="auto"/>
              <w:right w:val="single" w:sz="8" w:space="0" w:color="auto"/>
            </w:tcBorders>
            <w:shd w:val="clear" w:color="auto" w:fill="auto"/>
            <w:vAlign w:val="center"/>
            <w:hideMark/>
          </w:tcPr>
          <w:p w14:paraId="0E5F8F4B" w14:textId="77777777" w:rsidR="00B07FC0" w:rsidRPr="007C250E" w:rsidRDefault="00B07FC0" w:rsidP="00433C4E">
            <w:pPr>
              <w:jc w:val="right"/>
              <w:rPr>
                <w:noProof/>
                <w:sz w:val="16"/>
                <w:szCs w:val="16"/>
              </w:rPr>
            </w:pPr>
            <w:r>
              <w:rPr>
                <w:noProof/>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308F3B0" w14:textId="77777777" w:rsidR="00B07FC0" w:rsidRPr="007C250E" w:rsidRDefault="00B07FC0" w:rsidP="00433C4E">
            <w:pPr>
              <w:jc w:val="right"/>
              <w:rPr>
                <w:i/>
                <w:iCs/>
                <w:noProof/>
                <w:sz w:val="16"/>
                <w:szCs w:val="16"/>
              </w:rPr>
            </w:pPr>
            <w:r>
              <w:rPr>
                <w:i/>
                <w:noProof/>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9794656" w14:textId="77777777" w:rsidR="00B07FC0" w:rsidRPr="007C250E" w:rsidRDefault="00B07FC0" w:rsidP="00433C4E">
            <w:pPr>
              <w:jc w:val="right"/>
              <w:rPr>
                <w:noProof/>
                <w:sz w:val="16"/>
                <w:szCs w:val="16"/>
              </w:rPr>
            </w:pPr>
            <w:r>
              <w:rPr>
                <w:noProof/>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0C8C08D8" w14:textId="77777777" w:rsidR="00B07FC0" w:rsidRPr="007C250E" w:rsidRDefault="00B07FC0" w:rsidP="00433C4E">
            <w:pPr>
              <w:jc w:val="right"/>
              <w:rPr>
                <w:i/>
                <w:iCs/>
                <w:noProof/>
                <w:sz w:val="16"/>
                <w:szCs w:val="16"/>
              </w:rPr>
            </w:pPr>
            <w:r>
              <w:rPr>
                <w:i/>
                <w:noProof/>
                <w:sz w:val="16"/>
              </w:rPr>
              <w:t xml:space="preserve">57 449 000 000 </w:t>
            </w:r>
          </w:p>
        </w:tc>
        <w:tc>
          <w:tcPr>
            <w:tcW w:w="1276" w:type="dxa"/>
            <w:tcBorders>
              <w:top w:val="nil"/>
              <w:left w:val="nil"/>
              <w:bottom w:val="single" w:sz="8" w:space="0" w:color="auto"/>
              <w:right w:val="single" w:sz="8" w:space="0" w:color="auto"/>
            </w:tcBorders>
            <w:shd w:val="clear" w:color="auto" w:fill="auto"/>
            <w:vAlign w:val="center"/>
            <w:hideMark/>
          </w:tcPr>
          <w:p w14:paraId="733C0865" w14:textId="77777777" w:rsidR="00B07FC0" w:rsidRPr="007C250E" w:rsidRDefault="00B07FC0" w:rsidP="00433C4E">
            <w:pPr>
              <w:jc w:val="right"/>
              <w:rPr>
                <w:noProof/>
                <w:sz w:val="16"/>
                <w:szCs w:val="16"/>
              </w:rPr>
            </w:pPr>
            <w:r>
              <w:rPr>
                <w:noProof/>
                <w:sz w:val="16"/>
              </w:rPr>
              <w:t xml:space="preserve"> </w:t>
            </w:r>
          </w:p>
        </w:tc>
      </w:tr>
      <w:tr w:rsidR="00B07FC0" w:rsidRPr="007C250E" w14:paraId="37F18B05" w14:textId="77777777" w:rsidTr="00433C4E">
        <w:trPr>
          <w:trHeight w:val="300"/>
        </w:trPr>
        <w:tc>
          <w:tcPr>
            <w:tcW w:w="2967"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24E7D8D" w14:textId="77777777" w:rsidR="00B07FC0" w:rsidRPr="007C250E" w:rsidRDefault="00B07FC0" w:rsidP="00433C4E">
            <w:pPr>
              <w:jc w:val="right"/>
              <w:rPr>
                <w:b/>
                <w:bCs/>
                <w:i/>
                <w:iCs/>
                <w:noProof/>
                <w:color w:val="000000"/>
                <w:sz w:val="16"/>
                <w:szCs w:val="16"/>
              </w:rPr>
            </w:pPr>
            <w:r>
              <w:rPr>
                <w:b/>
                <w:i/>
                <w:noProof/>
                <w:color w:val="000000"/>
                <w:sz w:val="16"/>
              </w:rPr>
              <w:t>Margem</w:t>
            </w:r>
          </w:p>
        </w:tc>
        <w:tc>
          <w:tcPr>
            <w:tcW w:w="1276" w:type="dxa"/>
            <w:tcBorders>
              <w:top w:val="nil"/>
              <w:left w:val="nil"/>
              <w:bottom w:val="single" w:sz="8" w:space="0" w:color="auto"/>
              <w:right w:val="single" w:sz="8" w:space="0" w:color="auto"/>
            </w:tcBorders>
            <w:shd w:val="clear" w:color="auto" w:fill="auto"/>
            <w:vAlign w:val="center"/>
            <w:hideMark/>
          </w:tcPr>
          <w:p w14:paraId="7833766A" w14:textId="77777777" w:rsidR="00B07FC0" w:rsidRPr="007C250E" w:rsidRDefault="00B07FC0" w:rsidP="00433C4E">
            <w:pPr>
              <w:jc w:val="right"/>
              <w:rPr>
                <w:i/>
                <w:iCs/>
                <w:noProof/>
                <w:color w:val="000000"/>
                <w:sz w:val="16"/>
                <w:szCs w:val="16"/>
              </w:rPr>
            </w:pPr>
            <w:r>
              <w:rPr>
                <w:i/>
                <w:noProof/>
                <w:color w:val="000000"/>
                <w:sz w:val="16"/>
              </w:rPr>
              <w:t>60 109 161</w:t>
            </w:r>
          </w:p>
        </w:tc>
        <w:tc>
          <w:tcPr>
            <w:tcW w:w="1276" w:type="dxa"/>
            <w:tcBorders>
              <w:top w:val="nil"/>
              <w:left w:val="nil"/>
              <w:bottom w:val="single" w:sz="8" w:space="0" w:color="auto"/>
              <w:right w:val="single" w:sz="8" w:space="0" w:color="auto"/>
            </w:tcBorders>
            <w:shd w:val="clear" w:color="auto" w:fill="auto"/>
            <w:vAlign w:val="center"/>
            <w:hideMark/>
          </w:tcPr>
          <w:p w14:paraId="6952CBCC" w14:textId="77777777" w:rsidR="00B07FC0" w:rsidRPr="007C250E" w:rsidRDefault="00B07FC0" w:rsidP="00433C4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86144BA" w14:textId="77777777" w:rsidR="00B07FC0" w:rsidRPr="007C250E" w:rsidRDefault="00B07FC0" w:rsidP="00433C4E">
            <w:pPr>
              <w:jc w:val="right"/>
              <w:rPr>
                <w:i/>
                <w:iCs/>
                <w:noProof/>
                <w:color w:val="000000"/>
                <w:sz w:val="16"/>
                <w:szCs w:val="16"/>
              </w:rPr>
            </w:pPr>
            <w:r>
              <w:rPr>
                <w:i/>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6965176" w14:textId="77777777" w:rsidR="00B07FC0" w:rsidRPr="007C250E" w:rsidRDefault="00B07FC0" w:rsidP="00433C4E">
            <w:pPr>
              <w:jc w:val="right"/>
              <w:rPr>
                <w:noProof/>
                <w:color w:val="000000"/>
                <w:sz w:val="16"/>
                <w:szCs w:val="16"/>
              </w:rPr>
            </w:pPr>
            <w:r>
              <w:rPr>
                <w:noProof/>
                <w:color w:val="000000"/>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3FBFF70E" w14:textId="77777777" w:rsidR="00B07FC0" w:rsidRPr="007C250E" w:rsidRDefault="00B07FC0" w:rsidP="00433C4E">
            <w:pPr>
              <w:jc w:val="right"/>
              <w:rPr>
                <w:i/>
                <w:iCs/>
                <w:noProof/>
                <w:color w:val="000000"/>
                <w:sz w:val="16"/>
                <w:szCs w:val="16"/>
              </w:rPr>
            </w:pPr>
            <w:r>
              <w:rPr>
                <w:i/>
                <w:noProof/>
                <w:color w:val="000000"/>
                <w:sz w:val="16"/>
              </w:rPr>
              <w:t xml:space="preserve">60 109 161 </w:t>
            </w:r>
          </w:p>
        </w:tc>
        <w:tc>
          <w:tcPr>
            <w:tcW w:w="1276" w:type="dxa"/>
            <w:tcBorders>
              <w:top w:val="nil"/>
              <w:left w:val="nil"/>
              <w:bottom w:val="single" w:sz="8" w:space="0" w:color="auto"/>
              <w:right w:val="single" w:sz="8" w:space="0" w:color="auto"/>
            </w:tcBorders>
            <w:shd w:val="clear" w:color="auto" w:fill="auto"/>
            <w:vAlign w:val="center"/>
            <w:hideMark/>
          </w:tcPr>
          <w:p w14:paraId="4275B019" w14:textId="77777777" w:rsidR="00B07FC0" w:rsidRPr="007C250E" w:rsidRDefault="00B07FC0" w:rsidP="00433C4E">
            <w:pPr>
              <w:jc w:val="right"/>
              <w:rPr>
                <w:noProof/>
                <w:color w:val="000000"/>
                <w:sz w:val="16"/>
                <w:szCs w:val="16"/>
              </w:rPr>
            </w:pPr>
            <w:r>
              <w:rPr>
                <w:noProof/>
                <w:color w:val="000000"/>
                <w:sz w:val="16"/>
              </w:rPr>
              <w:t xml:space="preserve"> </w:t>
            </w:r>
          </w:p>
        </w:tc>
      </w:tr>
      <w:tr w:rsidR="00B07FC0" w:rsidRPr="007C250E" w14:paraId="61CF171C" w14:textId="77777777" w:rsidTr="00433C4E">
        <w:trPr>
          <w:trHeight w:val="430"/>
        </w:trPr>
        <w:tc>
          <w:tcPr>
            <w:tcW w:w="416" w:type="dxa"/>
            <w:tcBorders>
              <w:top w:val="nil"/>
              <w:left w:val="single" w:sz="8" w:space="0" w:color="auto"/>
              <w:bottom w:val="single" w:sz="8" w:space="0" w:color="auto"/>
              <w:right w:val="nil"/>
            </w:tcBorders>
            <w:shd w:val="clear" w:color="000000" w:fill="D9D9D9"/>
            <w:vAlign w:val="center"/>
            <w:hideMark/>
          </w:tcPr>
          <w:p w14:paraId="486F13C9" w14:textId="77777777" w:rsidR="00B07FC0" w:rsidRPr="007C250E" w:rsidRDefault="00B07FC0" w:rsidP="00433C4E">
            <w:pPr>
              <w:jc w:val="both"/>
              <w:rPr>
                <w:noProof/>
                <w:color w:val="000000"/>
                <w:sz w:val="16"/>
                <w:szCs w:val="16"/>
              </w:rPr>
            </w:pPr>
            <w:r>
              <w:rPr>
                <w:noProof/>
                <w:color w:val="000000"/>
                <w:sz w:val="16"/>
              </w:rPr>
              <w:t xml:space="preserve"> </w:t>
            </w:r>
          </w:p>
        </w:tc>
        <w:tc>
          <w:tcPr>
            <w:tcW w:w="2551" w:type="dxa"/>
            <w:tcBorders>
              <w:top w:val="nil"/>
              <w:left w:val="nil"/>
              <w:bottom w:val="single" w:sz="8" w:space="0" w:color="auto"/>
              <w:right w:val="single" w:sz="8" w:space="0" w:color="auto"/>
            </w:tcBorders>
            <w:shd w:val="clear" w:color="000000" w:fill="D9D9D9"/>
            <w:vAlign w:val="center"/>
            <w:hideMark/>
          </w:tcPr>
          <w:p w14:paraId="6856DF1B" w14:textId="77777777" w:rsidR="00B07FC0" w:rsidRPr="00B07FC0" w:rsidRDefault="00B07FC0" w:rsidP="00433C4E">
            <w:pPr>
              <w:jc w:val="both"/>
              <w:rPr>
                <w:b/>
                <w:bCs/>
                <w:noProof/>
                <w:color w:val="000000"/>
                <w:sz w:val="16"/>
                <w:szCs w:val="16"/>
                <w:lang w:val="pt-PT"/>
              </w:rPr>
            </w:pPr>
            <w:r w:rsidRPr="00B07FC0">
              <w:rPr>
                <w:b/>
                <w:noProof/>
                <w:color w:val="000000"/>
                <w:sz w:val="16"/>
                <w:lang w:val="pt-PT"/>
              </w:rPr>
              <w:t>dos quais: Despesas de mercado e pagamentos diretos</w:t>
            </w:r>
          </w:p>
        </w:tc>
        <w:tc>
          <w:tcPr>
            <w:tcW w:w="1276" w:type="dxa"/>
            <w:tcBorders>
              <w:top w:val="nil"/>
              <w:left w:val="nil"/>
              <w:bottom w:val="single" w:sz="8" w:space="0" w:color="auto"/>
              <w:right w:val="single" w:sz="8" w:space="0" w:color="auto"/>
            </w:tcBorders>
            <w:shd w:val="clear" w:color="000000" w:fill="D9D9D9"/>
            <w:vAlign w:val="center"/>
            <w:hideMark/>
          </w:tcPr>
          <w:p w14:paraId="67BA0DE3" w14:textId="77777777" w:rsidR="00B07FC0" w:rsidRPr="007C250E" w:rsidRDefault="00B07FC0" w:rsidP="00433C4E">
            <w:pPr>
              <w:jc w:val="right"/>
              <w:rPr>
                <w:b/>
                <w:bCs/>
                <w:noProof/>
                <w:color w:val="000000"/>
                <w:sz w:val="16"/>
                <w:szCs w:val="16"/>
              </w:rPr>
            </w:pPr>
            <w:r>
              <w:rPr>
                <w:b/>
                <w:noProof/>
                <w:color w:val="000000"/>
                <w:sz w:val="16"/>
              </w:rPr>
              <w:t>40 602 078 000</w:t>
            </w:r>
          </w:p>
        </w:tc>
        <w:tc>
          <w:tcPr>
            <w:tcW w:w="1276" w:type="dxa"/>
            <w:tcBorders>
              <w:top w:val="nil"/>
              <w:left w:val="nil"/>
              <w:bottom w:val="single" w:sz="8" w:space="0" w:color="auto"/>
              <w:right w:val="single" w:sz="8" w:space="0" w:color="auto"/>
            </w:tcBorders>
            <w:shd w:val="clear" w:color="000000" w:fill="D9D9D9"/>
            <w:vAlign w:val="center"/>
            <w:hideMark/>
          </w:tcPr>
          <w:p w14:paraId="67B399B3" w14:textId="77777777" w:rsidR="00B07FC0" w:rsidRPr="007C250E" w:rsidRDefault="00B07FC0" w:rsidP="00433C4E">
            <w:pPr>
              <w:jc w:val="right"/>
              <w:rPr>
                <w:b/>
                <w:bCs/>
                <w:noProof/>
                <w:color w:val="000000"/>
                <w:sz w:val="16"/>
                <w:szCs w:val="16"/>
              </w:rPr>
            </w:pPr>
            <w:r>
              <w:rPr>
                <w:b/>
                <w:noProof/>
                <w:color w:val="000000"/>
                <w:sz w:val="16"/>
              </w:rPr>
              <w:t>40 590 282 213</w:t>
            </w:r>
          </w:p>
        </w:tc>
        <w:tc>
          <w:tcPr>
            <w:tcW w:w="1134" w:type="dxa"/>
            <w:tcBorders>
              <w:top w:val="nil"/>
              <w:left w:val="nil"/>
              <w:bottom w:val="single" w:sz="8" w:space="0" w:color="auto"/>
              <w:right w:val="single" w:sz="8" w:space="0" w:color="auto"/>
            </w:tcBorders>
            <w:shd w:val="clear" w:color="000000" w:fill="D9D9D9"/>
            <w:vAlign w:val="center"/>
            <w:hideMark/>
          </w:tcPr>
          <w:p w14:paraId="701C58DE" w14:textId="77777777" w:rsidR="00B07FC0" w:rsidRPr="007C250E" w:rsidRDefault="00B07FC0" w:rsidP="00433C4E">
            <w:pPr>
              <w:jc w:val="right"/>
              <w:rPr>
                <w:b/>
                <w:bCs/>
                <w:noProof/>
                <w:color w:val="000000"/>
                <w:sz w:val="16"/>
                <w:szCs w:val="16"/>
              </w:rPr>
            </w:pPr>
            <w:r>
              <w:rPr>
                <w:b/>
                <w:noProof/>
                <w:color w:val="000000"/>
                <w:sz w:val="16"/>
              </w:rPr>
              <w:t xml:space="preserve"> </w:t>
            </w:r>
          </w:p>
        </w:tc>
        <w:tc>
          <w:tcPr>
            <w:tcW w:w="1134" w:type="dxa"/>
            <w:tcBorders>
              <w:top w:val="nil"/>
              <w:left w:val="nil"/>
              <w:bottom w:val="single" w:sz="8" w:space="0" w:color="auto"/>
              <w:right w:val="single" w:sz="8" w:space="0" w:color="auto"/>
            </w:tcBorders>
            <w:shd w:val="clear" w:color="000000" w:fill="D9D9D9"/>
            <w:vAlign w:val="center"/>
            <w:hideMark/>
          </w:tcPr>
          <w:p w14:paraId="0A8A2B9F" w14:textId="77777777" w:rsidR="00B07FC0" w:rsidRPr="007C250E" w:rsidRDefault="00B07FC0" w:rsidP="00433C4E">
            <w:pPr>
              <w:jc w:val="right"/>
              <w:rPr>
                <w:b/>
                <w:bCs/>
                <w:noProof/>
                <w:color w:val="000000"/>
                <w:sz w:val="16"/>
                <w:szCs w:val="16"/>
              </w:rPr>
            </w:pPr>
            <w:r>
              <w:rPr>
                <w:b/>
                <w:noProof/>
                <w:color w:val="000000"/>
                <w:sz w:val="16"/>
              </w:rPr>
              <w:t xml:space="preserve"> </w:t>
            </w:r>
          </w:p>
        </w:tc>
        <w:tc>
          <w:tcPr>
            <w:tcW w:w="1275" w:type="dxa"/>
            <w:tcBorders>
              <w:top w:val="nil"/>
              <w:left w:val="nil"/>
              <w:bottom w:val="single" w:sz="8" w:space="0" w:color="auto"/>
              <w:right w:val="single" w:sz="8" w:space="0" w:color="auto"/>
            </w:tcBorders>
            <w:shd w:val="clear" w:color="000000" w:fill="D9D9D9"/>
            <w:vAlign w:val="center"/>
            <w:hideMark/>
          </w:tcPr>
          <w:p w14:paraId="71B826AF" w14:textId="77777777" w:rsidR="00B07FC0" w:rsidRPr="007C250E" w:rsidRDefault="00B07FC0" w:rsidP="00433C4E">
            <w:pPr>
              <w:jc w:val="right"/>
              <w:rPr>
                <w:b/>
                <w:bCs/>
                <w:noProof/>
                <w:color w:val="000000"/>
                <w:sz w:val="16"/>
                <w:szCs w:val="16"/>
              </w:rPr>
            </w:pPr>
            <w:r>
              <w:rPr>
                <w:b/>
                <w:noProof/>
                <w:color w:val="000000"/>
                <w:sz w:val="16"/>
              </w:rPr>
              <w:t xml:space="preserve">40 602 078 000 </w:t>
            </w:r>
          </w:p>
        </w:tc>
        <w:tc>
          <w:tcPr>
            <w:tcW w:w="1276" w:type="dxa"/>
            <w:tcBorders>
              <w:top w:val="nil"/>
              <w:left w:val="nil"/>
              <w:bottom w:val="single" w:sz="8" w:space="0" w:color="auto"/>
              <w:right w:val="single" w:sz="8" w:space="0" w:color="auto"/>
            </w:tcBorders>
            <w:shd w:val="clear" w:color="000000" w:fill="D9D9D9"/>
            <w:vAlign w:val="center"/>
            <w:hideMark/>
          </w:tcPr>
          <w:p w14:paraId="40B1030E" w14:textId="77777777" w:rsidR="00B07FC0" w:rsidRPr="007C250E" w:rsidRDefault="00B07FC0" w:rsidP="00433C4E">
            <w:pPr>
              <w:jc w:val="right"/>
              <w:rPr>
                <w:b/>
                <w:bCs/>
                <w:noProof/>
                <w:color w:val="000000"/>
                <w:sz w:val="16"/>
                <w:szCs w:val="16"/>
              </w:rPr>
            </w:pPr>
            <w:r>
              <w:rPr>
                <w:b/>
                <w:noProof/>
                <w:color w:val="000000"/>
                <w:sz w:val="16"/>
              </w:rPr>
              <w:t xml:space="preserve">40 590 282 213 </w:t>
            </w:r>
          </w:p>
        </w:tc>
      </w:tr>
      <w:tr w:rsidR="00B07FC0" w:rsidRPr="007C250E" w14:paraId="29267913" w14:textId="77777777" w:rsidTr="00433C4E">
        <w:trPr>
          <w:trHeight w:val="300"/>
        </w:trPr>
        <w:tc>
          <w:tcPr>
            <w:tcW w:w="416" w:type="dxa"/>
            <w:tcBorders>
              <w:top w:val="nil"/>
              <w:left w:val="single" w:sz="8" w:space="0" w:color="auto"/>
              <w:bottom w:val="single" w:sz="8" w:space="0" w:color="auto"/>
              <w:right w:val="nil"/>
            </w:tcBorders>
            <w:shd w:val="clear" w:color="auto" w:fill="auto"/>
            <w:vAlign w:val="center"/>
            <w:hideMark/>
          </w:tcPr>
          <w:p w14:paraId="60B68402" w14:textId="77777777" w:rsidR="00B07FC0" w:rsidRPr="007C250E" w:rsidRDefault="00B07FC0" w:rsidP="00433C4E">
            <w:pPr>
              <w:jc w:val="both"/>
              <w:rPr>
                <w:noProof/>
                <w:color w:val="000000"/>
                <w:sz w:val="16"/>
                <w:szCs w:val="16"/>
              </w:rPr>
            </w:pPr>
            <w:r>
              <w:rPr>
                <w:noProof/>
                <w:color w:val="000000"/>
                <w:sz w:val="16"/>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54F31DB6" w14:textId="77777777" w:rsidR="00B07FC0" w:rsidRPr="007C250E" w:rsidRDefault="00B07FC0" w:rsidP="00433C4E">
            <w:pPr>
              <w:jc w:val="right"/>
              <w:rPr>
                <w:i/>
                <w:iCs/>
                <w:noProof/>
                <w:color w:val="000000"/>
                <w:sz w:val="16"/>
                <w:szCs w:val="16"/>
              </w:rPr>
            </w:pPr>
            <w:r>
              <w:rPr>
                <w:i/>
                <w:noProof/>
                <w:color w:val="000000"/>
                <w:sz w:val="16"/>
              </w:rPr>
              <w:t>Sublimite máximo do FEAGA</w:t>
            </w:r>
          </w:p>
        </w:tc>
        <w:tc>
          <w:tcPr>
            <w:tcW w:w="1276" w:type="dxa"/>
            <w:tcBorders>
              <w:top w:val="nil"/>
              <w:left w:val="nil"/>
              <w:bottom w:val="single" w:sz="8" w:space="0" w:color="auto"/>
              <w:right w:val="single" w:sz="8" w:space="0" w:color="auto"/>
            </w:tcBorders>
            <w:shd w:val="clear" w:color="auto" w:fill="auto"/>
            <w:vAlign w:val="center"/>
            <w:hideMark/>
          </w:tcPr>
          <w:p w14:paraId="0DC7B8EB" w14:textId="77777777" w:rsidR="00B07FC0" w:rsidRPr="007C250E" w:rsidRDefault="00B07FC0" w:rsidP="00433C4E">
            <w:pPr>
              <w:jc w:val="right"/>
              <w:rPr>
                <w:i/>
                <w:iCs/>
                <w:noProof/>
                <w:color w:val="000000"/>
                <w:sz w:val="16"/>
                <w:szCs w:val="16"/>
              </w:rPr>
            </w:pPr>
            <w:r>
              <w:rPr>
                <w:i/>
                <w:noProof/>
                <w:color w:val="000000"/>
                <w:sz w:val="16"/>
              </w:rPr>
              <w:t>40 603 000 000</w:t>
            </w:r>
          </w:p>
        </w:tc>
        <w:tc>
          <w:tcPr>
            <w:tcW w:w="1276" w:type="dxa"/>
            <w:tcBorders>
              <w:top w:val="nil"/>
              <w:left w:val="nil"/>
              <w:bottom w:val="single" w:sz="8" w:space="0" w:color="auto"/>
              <w:right w:val="single" w:sz="8" w:space="0" w:color="auto"/>
            </w:tcBorders>
            <w:shd w:val="clear" w:color="auto" w:fill="auto"/>
            <w:vAlign w:val="center"/>
            <w:hideMark/>
          </w:tcPr>
          <w:p w14:paraId="420DD521" w14:textId="77777777" w:rsidR="00B07FC0" w:rsidRPr="007C250E" w:rsidRDefault="00B07FC0" w:rsidP="00433C4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7B630F3" w14:textId="77777777" w:rsidR="00B07FC0" w:rsidRPr="007C250E" w:rsidRDefault="00B07FC0" w:rsidP="00433C4E">
            <w:pPr>
              <w:jc w:val="right"/>
              <w:rPr>
                <w:i/>
                <w:iCs/>
                <w:noProof/>
                <w:color w:val="000000"/>
                <w:sz w:val="16"/>
                <w:szCs w:val="16"/>
              </w:rPr>
            </w:pPr>
            <w:r>
              <w:rPr>
                <w:i/>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380AB94" w14:textId="77777777" w:rsidR="00B07FC0" w:rsidRPr="007C250E" w:rsidRDefault="00B07FC0" w:rsidP="00433C4E">
            <w:pPr>
              <w:jc w:val="right"/>
              <w:rPr>
                <w:noProof/>
                <w:color w:val="000000"/>
                <w:sz w:val="16"/>
                <w:szCs w:val="16"/>
              </w:rPr>
            </w:pPr>
            <w:r>
              <w:rPr>
                <w:noProof/>
                <w:color w:val="000000"/>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4A430350" w14:textId="77777777" w:rsidR="00B07FC0" w:rsidRPr="007C250E" w:rsidRDefault="00B07FC0" w:rsidP="00433C4E">
            <w:pPr>
              <w:jc w:val="right"/>
              <w:rPr>
                <w:i/>
                <w:iCs/>
                <w:noProof/>
                <w:color w:val="000000"/>
                <w:sz w:val="16"/>
                <w:szCs w:val="16"/>
              </w:rPr>
            </w:pPr>
            <w:r>
              <w:rPr>
                <w:i/>
                <w:noProof/>
                <w:color w:val="000000"/>
                <w:sz w:val="16"/>
              </w:rPr>
              <w:t xml:space="preserve">40 603 000 000 </w:t>
            </w:r>
          </w:p>
        </w:tc>
        <w:tc>
          <w:tcPr>
            <w:tcW w:w="1276" w:type="dxa"/>
            <w:tcBorders>
              <w:top w:val="nil"/>
              <w:left w:val="nil"/>
              <w:bottom w:val="single" w:sz="8" w:space="0" w:color="auto"/>
              <w:right w:val="single" w:sz="8" w:space="0" w:color="auto"/>
            </w:tcBorders>
            <w:shd w:val="clear" w:color="auto" w:fill="auto"/>
            <w:vAlign w:val="center"/>
            <w:hideMark/>
          </w:tcPr>
          <w:p w14:paraId="07E2F6E6" w14:textId="77777777" w:rsidR="00B07FC0" w:rsidRPr="007C250E" w:rsidRDefault="00B07FC0" w:rsidP="00433C4E">
            <w:pPr>
              <w:jc w:val="right"/>
              <w:rPr>
                <w:noProof/>
                <w:color w:val="000000"/>
                <w:sz w:val="16"/>
                <w:szCs w:val="16"/>
              </w:rPr>
            </w:pPr>
            <w:r>
              <w:rPr>
                <w:noProof/>
                <w:color w:val="000000"/>
                <w:sz w:val="16"/>
              </w:rPr>
              <w:t xml:space="preserve"> </w:t>
            </w:r>
          </w:p>
        </w:tc>
      </w:tr>
      <w:tr w:rsidR="00B07FC0" w:rsidRPr="007C250E" w14:paraId="42C2DC78" w14:textId="77777777" w:rsidTr="00433C4E">
        <w:trPr>
          <w:trHeight w:val="430"/>
        </w:trPr>
        <w:tc>
          <w:tcPr>
            <w:tcW w:w="416" w:type="dxa"/>
            <w:tcBorders>
              <w:top w:val="nil"/>
              <w:left w:val="single" w:sz="8" w:space="0" w:color="auto"/>
              <w:bottom w:val="single" w:sz="8" w:space="0" w:color="auto"/>
              <w:right w:val="nil"/>
            </w:tcBorders>
            <w:shd w:val="clear" w:color="auto" w:fill="auto"/>
            <w:vAlign w:val="center"/>
            <w:hideMark/>
          </w:tcPr>
          <w:p w14:paraId="43FF8520" w14:textId="77777777" w:rsidR="00B07FC0" w:rsidRPr="007C250E" w:rsidRDefault="00B07FC0" w:rsidP="00433C4E">
            <w:pPr>
              <w:jc w:val="both"/>
              <w:rPr>
                <w:noProof/>
                <w:color w:val="000000"/>
                <w:sz w:val="16"/>
                <w:szCs w:val="16"/>
              </w:rPr>
            </w:pPr>
            <w:r>
              <w:rPr>
                <w:noProof/>
                <w:color w:val="000000"/>
                <w:sz w:val="16"/>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3CA2F172" w14:textId="77777777" w:rsidR="00B07FC0" w:rsidRPr="00B07FC0" w:rsidRDefault="00B07FC0" w:rsidP="00433C4E">
            <w:pPr>
              <w:jc w:val="right"/>
              <w:rPr>
                <w:i/>
                <w:iCs/>
                <w:noProof/>
                <w:color w:val="000000"/>
                <w:sz w:val="16"/>
                <w:szCs w:val="16"/>
                <w:lang w:val="pt-PT"/>
              </w:rPr>
            </w:pPr>
            <w:r w:rsidRPr="00B07FC0">
              <w:rPr>
                <w:i/>
                <w:noProof/>
                <w:color w:val="000000"/>
                <w:sz w:val="16"/>
                <w:lang w:val="pt-PT"/>
              </w:rPr>
              <w:t xml:space="preserve"> Diferença de arredondamento excluída do cálculo da submargem</w:t>
            </w:r>
          </w:p>
        </w:tc>
        <w:tc>
          <w:tcPr>
            <w:tcW w:w="1276" w:type="dxa"/>
            <w:tcBorders>
              <w:top w:val="nil"/>
              <w:left w:val="nil"/>
              <w:bottom w:val="single" w:sz="8" w:space="0" w:color="auto"/>
              <w:right w:val="single" w:sz="8" w:space="0" w:color="auto"/>
            </w:tcBorders>
            <w:shd w:val="clear" w:color="auto" w:fill="auto"/>
            <w:vAlign w:val="center"/>
            <w:hideMark/>
          </w:tcPr>
          <w:p w14:paraId="52156D91" w14:textId="77777777" w:rsidR="00B07FC0" w:rsidRPr="007C250E" w:rsidRDefault="00B07FC0" w:rsidP="00433C4E">
            <w:pPr>
              <w:jc w:val="right"/>
              <w:rPr>
                <w:i/>
                <w:iCs/>
                <w:noProof/>
                <w:color w:val="000000"/>
                <w:sz w:val="16"/>
                <w:szCs w:val="16"/>
              </w:rPr>
            </w:pPr>
            <w:r>
              <w:rPr>
                <w:i/>
                <w:noProof/>
                <w:color w:val="000000"/>
                <w:sz w:val="16"/>
              </w:rPr>
              <w:t>922 000</w:t>
            </w:r>
          </w:p>
        </w:tc>
        <w:tc>
          <w:tcPr>
            <w:tcW w:w="1276" w:type="dxa"/>
            <w:tcBorders>
              <w:top w:val="nil"/>
              <w:left w:val="nil"/>
              <w:bottom w:val="single" w:sz="8" w:space="0" w:color="auto"/>
              <w:right w:val="single" w:sz="8" w:space="0" w:color="auto"/>
            </w:tcBorders>
            <w:shd w:val="clear" w:color="auto" w:fill="auto"/>
            <w:vAlign w:val="center"/>
            <w:hideMark/>
          </w:tcPr>
          <w:p w14:paraId="1B1934A3" w14:textId="77777777" w:rsidR="00B07FC0" w:rsidRPr="007C250E" w:rsidRDefault="00B07FC0" w:rsidP="00433C4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1050657" w14:textId="77777777" w:rsidR="00B07FC0" w:rsidRPr="007C250E" w:rsidRDefault="00B07FC0" w:rsidP="00433C4E">
            <w:pPr>
              <w:jc w:val="right"/>
              <w:rPr>
                <w:i/>
                <w:iCs/>
                <w:noProof/>
                <w:color w:val="000000"/>
                <w:sz w:val="16"/>
                <w:szCs w:val="16"/>
              </w:rPr>
            </w:pPr>
            <w:r>
              <w:rPr>
                <w:i/>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8D10921" w14:textId="77777777" w:rsidR="00B07FC0" w:rsidRPr="007C250E" w:rsidRDefault="00B07FC0" w:rsidP="00433C4E">
            <w:pPr>
              <w:jc w:val="right"/>
              <w:rPr>
                <w:noProof/>
                <w:color w:val="000000"/>
                <w:sz w:val="16"/>
                <w:szCs w:val="16"/>
              </w:rPr>
            </w:pPr>
            <w:r>
              <w:rPr>
                <w:noProof/>
                <w:color w:val="000000"/>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76580270" w14:textId="77777777" w:rsidR="00B07FC0" w:rsidRPr="007C250E" w:rsidRDefault="00B07FC0" w:rsidP="00433C4E">
            <w:pPr>
              <w:jc w:val="right"/>
              <w:rPr>
                <w:i/>
                <w:iCs/>
                <w:noProof/>
                <w:color w:val="000000"/>
                <w:sz w:val="16"/>
                <w:szCs w:val="16"/>
              </w:rPr>
            </w:pPr>
            <w:r>
              <w:rPr>
                <w:i/>
                <w:noProof/>
                <w:color w:val="000000"/>
                <w:sz w:val="16"/>
              </w:rPr>
              <w:t xml:space="preserve">922 000 </w:t>
            </w:r>
          </w:p>
        </w:tc>
        <w:tc>
          <w:tcPr>
            <w:tcW w:w="1276" w:type="dxa"/>
            <w:tcBorders>
              <w:top w:val="nil"/>
              <w:left w:val="nil"/>
              <w:bottom w:val="single" w:sz="8" w:space="0" w:color="auto"/>
              <w:right w:val="single" w:sz="8" w:space="0" w:color="auto"/>
            </w:tcBorders>
            <w:shd w:val="clear" w:color="auto" w:fill="auto"/>
            <w:vAlign w:val="center"/>
            <w:hideMark/>
          </w:tcPr>
          <w:p w14:paraId="29627F85" w14:textId="77777777" w:rsidR="00B07FC0" w:rsidRPr="007C250E" w:rsidRDefault="00B07FC0" w:rsidP="00433C4E">
            <w:pPr>
              <w:jc w:val="right"/>
              <w:rPr>
                <w:noProof/>
                <w:color w:val="000000"/>
                <w:sz w:val="16"/>
                <w:szCs w:val="16"/>
              </w:rPr>
            </w:pPr>
            <w:r>
              <w:rPr>
                <w:noProof/>
                <w:color w:val="000000"/>
                <w:sz w:val="16"/>
              </w:rPr>
              <w:t xml:space="preserve"> </w:t>
            </w:r>
          </w:p>
        </w:tc>
      </w:tr>
      <w:tr w:rsidR="00B07FC0" w:rsidRPr="00B07FC0" w14:paraId="6F5A5A19" w14:textId="77777777" w:rsidTr="00433C4E">
        <w:trPr>
          <w:trHeight w:val="300"/>
        </w:trPr>
        <w:tc>
          <w:tcPr>
            <w:tcW w:w="416" w:type="dxa"/>
            <w:tcBorders>
              <w:top w:val="nil"/>
              <w:left w:val="single" w:sz="8" w:space="0" w:color="auto"/>
              <w:bottom w:val="single" w:sz="8" w:space="0" w:color="auto"/>
              <w:right w:val="nil"/>
            </w:tcBorders>
            <w:shd w:val="clear" w:color="auto" w:fill="auto"/>
            <w:vAlign w:val="center"/>
            <w:hideMark/>
          </w:tcPr>
          <w:p w14:paraId="4890C88D" w14:textId="77777777" w:rsidR="00B07FC0" w:rsidRPr="007C250E" w:rsidRDefault="00B07FC0" w:rsidP="00433C4E">
            <w:pPr>
              <w:jc w:val="both"/>
              <w:rPr>
                <w:noProof/>
                <w:color w:val="000000"/>
                <w:sz w:val="16"/>
                <w:szCs w:val="16"/>
              </w:rPr>
            </w:pPr>
            <w:r>
              <w:rPr>
                <w:noProof/>
                <w:color w:val="000000"/>
                <w:sz w:val="16"/>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756AA4B5" w14:textId="77777777" w:rsidR="00B07FC0" w:rsidRPr="00B07FC0" w:rsidRDefault="00B07FC0" w:rsidP="00433C4E">
            <w:pPr>
              <w:jc w:val="right"/>
              <w:rPr>
                <w:i/>
                <w:iCs/>
                <w:noProof/>
                <w:color w:val="000000"/>
                <w:sz w:val="16"/>
                <w:szCs w:val="16"/>
                <w:lang w:val="pt-PT"/>
              </w:rPr>
            </w:pPr>
            <w:r w:rsidRPr="00B07FC0">
              <w:rPr>
                <w:i/>
                <w:noProof/>
                <w:color w:val="000000"/>
                <w:sz w:val="16"/>
                <w:lang w:val="pt-PT"/>
              </w:rPr>
              <w:t>Transferências líquidas entre o FEAGA e o FEADER</w:t>
            </w:r>
          </w:p>
        </w:tc>
        <w:tc>
          <w:tcPr>
            <w:tcW w:w="1276" w:type="dxa"/>
            <w:tcBorders>
              <w:top w:val="nil"/>
              <w:left w:val="nil"/>
              <w:bottom w:val="single" w:sz="8" w:space="0" w:color="auto"/>
              <w:right w:val="single" w:sz="8" w:space="0" w:color="auto"/>
            </w:tcBorders>
            <w:shd w:val="clear" w:color="auto" w:fill="auto"/>
            <w:vAlign w:val="center"/>
            <w:hideMark/>
          </w:tcPr>
          <w:p w14:paraId="173DABA4"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33EE7E08"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F65CF5F"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FD160E0"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7E7E6AC1"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52D27835"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r>
      <w:tr w:rsidR="00B07FC0" w:rsidRPr="007C250E" w14:paraId="664E1837" w14:textId="77777777" w:rsidTr="00433C4E">
        <w:trPr>
          <w:trHeight w:val="300"/>
        </w:trPr>
        <w:tc>
          <w:tcPr>
            <w:tcW w:w="416" w:type="dxa"/>
            <w:tcBorders>
              <w:top w:val="nil"/>
              <w:left w:val="single" w:sz="8" w:space="0" w:color="auto"/>
              <w:bottom w:val="single" w:sz="8" w:space="0" w:color="auto"/>
              <w:right w:val="nil"/>
            </w:tcBorders>
            <w:shd w:val="clear" w:color="auto" w:fill="auto"/>
            <w:vAlign w:val="center"/>
            <w:hideMark/>
          </w:tcPr>
          <w:p w14:paraId="783F70E8" w14:textId="77777777" w:rsidR="00B07FC0" w:rsidRPr="00B07FC0" w:rsidRDefault="00B07FC0" w:rsidP="00433C4E">
            <w:pPr>
              <w:jc w:val="both"/>
              <w:rPr>
                <w:noProof/>
                <w:color w:val="000000"/>
                <w:sz w:val="16"/>
                <w:szCs w:val="16"/>
                <w:lang w:val="pt-PT"/>
              </w:rPr>
            </w:pPr>
            <w:r w:rsidRPr="00B07FC0">
              <w:rPr>
                <w:noProof/>
                <w:color w:val="000000"/>
                <w:sz w:val="16"/>
                <w:lang w:val="pt-PT"/>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34DB6FFD" w14:textId="77777777" w:rsidR="00B07FC0" w:rsidRPr="00B07FC0" w:rsidRDefault="00B07FC0" w:rsidP="00433C4E">
            <w:pPr>
              <w:jc w:val="right"/>
              <w:rPr>
                <w:i/>
                <w:iCs/>
                <w:noProof/>
                <w:color w:val="000000"/>
                <w:sz w:val="16"/>
                <w:szCs w:val="16"/>
                <w:lang w:val="pt-PT"/>
              </w:rPr>
            </w:pPr>
            <w:r w:rsidRPr="00B07FC0">
              <w:rPr>
                <w:i/>
                <w:noProof/>
                <w:color w:val="000000"/>
                <w:sz w:val="16"/>
                <w:lang w:val="pt-PT"/>
              </w:rPr>
              <w:t xml:space="preserve"> Saldo líquido disponível para as despesas do FEAGA</w:t>
            </w:r>
          </w:p>
        </w:tc>
        <w:tc>
          <w:tcPr>
            <w:tcW w:w="1276" w:type="dxa"/>
            <w:tcBorders>
              <w:top w:val="nil"/>
              <w:left w:val="nil"/>
              <w:bottom w:val="single" w:sz="8" w:space="0" w:color="auto"/>
              <w:right w:val="single" w:sz="8" w:space="0" w:color="auto"/>
            </w:tcBorders>
            <w:shd w:val="clear" w:color="auto" w:fill="auto"/>
            <w:vAlign w:val="center"/>
            <w:hideMark/>
          </w:tcPr>
          <w:p w14:paraId="6164128D" w14:textId="77777777" w:rsidR="00B07FC0" w:rsidRPr="007C250E" w:rsidRDefault="00B07FC0" w:rsidP="00433C4E">
            <w:pPr>
              <w:jc w:val="right"/>
              <w:rPr>
                <w:i/>
                <w:iCs/>
                <w:noProof/>
                <w:color w:val="000000"/>
                <w:sz w:val="16"/>
                <w:szCs w:val="16"/>
              </w:rPr>
            </w:pPr>
            <w:r>
              <w:rPr>
                <w:i/>
                <w:noProof/>
                <w:color w:val="000000"/>
                <w:sz w:val="16"/>
              </w:rPr>
              <w:t>40 602 078 000</w:t>
            </w:r>
          </w:p>
        </w:tc>
        <w:tc>
          <w:tcPr>
            <w:tcW w:w="1276" w:type="dxa"/>
            <w:tcBorders>
              <w:top w:val="nil"/>
              <w:left w:val="nil"/>
              <w:bottom w:val="single" w:sz="8" w:space="0" w:color="auto"/>
              <w:right w:val="single" w:sz="8" w:space="0" w:color="auto"/>
            </w:tcBorders>
            <w:shd w:val="clear" w:color="auto" w:fill="auto"/>
            <w:vAlign w:val="center"/>
            <w:hideMark/>
          </w:tcPr>
          <w:p w14:paraId="57289CAA" w14:textId="77777777" w:rsidR="00B07FC0" w:rsidRPr="007C250E" w:rsidRDefault="00B07FC0" w:rsidP="00433C4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C0EFFBF" w14:textId="77777777" w:rsidR="00B07FC0" w:rsidRPr="007C250E" w:rsidRDefault="00B07FC0" w:rsidP="00433C4E">
            <w:pPr>
              <w:jc w:val="right"/>
              <w:rPr>
                <w:i/>
                <w:iCs/>
                <w:noProof/>
                <w:color w:val="000000"/>
                <w:sz w:val="16"/>
                <w:szCs w:val="16"/>
              </w:rPr>
            </w:pPr>
            <w:r>
              <w:rPr>
                <w:i/>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67621FE" w14:textId="77777777" w:rsidR="00B07FC0" w:rsidRPr="007C250E" w:rsidRDefault="00B07FC0" w:rsidP="00433C4E">
            <w:pPr>
              <w:jc w:val="right"/>
              <w:rPr>
                <w:noProof/>
                <w:color w:val="000000"/>
                <w:sz w:val="16"/>
                <w:szCs w:val="16"/>
              </w:rPr>
            </w:pPr>
            <w:r>
              <w:rPr>
                <w:noProof/>
                <w:color w:val="000000"/>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2D0304C9" w14:textId="77777777" w:rsidR="00B07FC0" w:rsidRPr="007C250E" w:rsidRDefault="00B07FC0" w:rsidP="00433C4E">
            <w:pPr>
              <w:jc w:val="right"/>
              <w:rPr>
                <w:i/>
                <w:iCs/>
                <w:noProof/>
                <w:color w:val="000000"/>
                <w:sz w:val="16"/>
                <w:szCs w:val="16"/>
              </w:rPr>
            </w:pPr>
            <w:r>
              <w:rPr>
                <w:i/>
                <w:noProof/>
                <w:color w:val="000000"/>
                <w:sz w:val="16"/>
              </w:rPr>
              <w:t xml:space="preserve">40 602 078 000 </w:t>
            </w:r>
          </w:p>
        </w:tc>
        <w:tc>
          <w:tcPr>
            <w:tcW w:w="1276" w:type="dxa"/>
            <w:tcBorders>
              <w:top w:val="nil"/>
              <w:left w:val="nil"/>
              <w:bottom w:val="single" w:sz="8" w:space="0" w:color="auto"/>
              <w:right w:val="single" w:sz="8" w:space="0" w:color="auto"/>
            </w:tcBorders>
            <w:shd w:val="clear" w:color="auto" w:fill="auto"/>
            <w:vAlign w:val="center"/>
            <w:hideMark/>
          </w:tcPr>
          <w:p w14:paraId="67DB6211" w14:textId="77777777" w:rsidR="00B07FC0" w:rsidRPr="007C250E" w:rsidRDefault="00B07FC0" w:rsidP="00433C4E">
            <w:pPr>
              <w:jc w:val="right"/>
              <w:rPr>
                <w:noProof/>
                <w:color w:val="000000"/>
                <w:sz w:val="16"/>
                <w:szCs w:val="16"/>
              </w:rPr>
            </w:pPr>
            <w:r>
              <w:rPr>
                <w:noProof/>
                <w:color w:val="000000"/>
                <w:sz w:val="16"/>
              </w:rPr>
              <w:t xml:space="preserve"> </w:t>
            </w:r>
          </w:p>
        </w:tc>
      </w:tr>
      <w:tr w:rsidR="00B07FC0" w:rsidRPr="007C250E" w14:paraId="601BF717" w14:textId="77777777" w:rsidTr="00433C4E">
        <w:trPr>
          <w:trHeight w:val="430"/>
        </w:trPr>
        <w:tc>
          <w:tcPr>
            <w:tcW w:w="416" w:type="dxa"/>
            <w:tcBorders>
              <w:top w:val="nil"/>
              <w:left w:val="single" w:sz="8" w:space="0" w:color="auto"/>
              <w:bottom w:val="single" w:sz="8" w:space="0" w:color="auto"/>
              <w:right w:val="nil"/>
            </w:tcBorders>
            <w:shd w:val="clear" w:color="auto" w:fill="auto"/>
            <w:vAlign w:val="center"/>
            <w:hideMark/>
          </w:tcPr>
          <w:p w14:paraId="5D03E15A" w14:textId="77777777" w:rsidR="00B07FC0" w:rsidRPr="007C250E" w:rsidRDefault="00B07FC0" w:rsidP="00433C4E">
            <w:pPr>
              <w:jc w:val="both"/>
              <w:rPr>
                <w:noProof/>
                <w:color w:val="000000"/>
                <w:sz w:val="16"/>
                <w:szCs w:val="16"/>
              </w:rPr>
            </w:pPr>
            <w:r>
              <w:rPr>
                <w:noProof/>
                <w:color w:val="000000"/>
                <w:sz w:val="16"/>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78E91EB2" w14:textId="77777777" w:rsidR="00B07FC0" w:rsidRPr="00B07FC0" w:rsidRDefault="00B07FC0" w:rsidP="00433C4E">
            <w:pPr>
              <w:jc w:val="right"/>
              <w:rPr>
                <w:i/>
                <w:iCs/>
                <w:noProof/>
                <w:color w:val="000000"/>
                <w:sz w:val="16"/>
                <w:szCs w:val="16"/>
                <w:lang w:val="pt-PT"/>
              </w:rPr>
            </w:pPr>
            <w:r w:rsidRPr="00B07FC0">
              <w:rPr>
                <w:i/>
                <w:noProof/>
                <w:color w:val="000000"/>
                <w:sz w:val="16"/>
                <w:lang w:val="pt-PT"/>
              </w:rPr>
              <w:t xml:space="preserve"> Sublimite máximo ajustado do FEAGA corrigido por transferências entre o FEAGA e o FEADER</w:t>
            </w:r>
          </w:p>
        </w:tc>
        <w:tc>
          <w:tcPr>
            <w:tcW w:w="1276" w:type="dxa"/>
            <w:tcBorders>
              <w:top w:val="nil"/>
              <w:left w:val="nil"/>
              <w:bottom w:val="single" w:sz="8" w:space="0" w:color="auto"/>
              <w:right w:val="single" w:sz="8" w:space="0" w:color="auto"/>
            </w:tcBorders>
            <w:shd w:val="clear" w:color="auto" w:fill="auto"/>
            <w:vAlign w:val="center"/>
            <w:hideMark/>
          </w:tcPr>
          <w:p w14:paraId="224B8D2D" w14:textId="77777777" w:rsidR="00B07FC0" w:rsidRPr="007C250E" w:rsidRDefault="00B07FC0" w:rsidP="00433C4E">
            <w:pPr>
              <w:jc w:val="right"/>
              <w:rPr>
                <w:i/>
                <w:iCs/>
                <w:noProof/>
                <w:color w:val="000000"/>
                <w:sz w:val="16"/>
                <w:szCs w:val="16"/>
              </w:rPr>
            </w:pPr>
            <w:r>
              <w:rPr>
                <w:i/>
                <w:noProof/>
                <w:color w:val="000000"/>
                <w:sz w:val="16"/>
              </w:rPr>
              <w:t>40 603 000 000</w:t>
            </w:r>
          </w:p>
        </w:tc>
        <w:tc>
          <w:tcPr>
            <w:tcW w:w="1276" w:type="dxa"/>
            <w:tcBorders>
              <w:top w:val="nil"/>
              <w:left w:val="nil"/>
              <w:bottom w:val="single" w:sz="8" w:space="0" w:color="auto"/>
              <w:right w:val="single" w:sz="8" w:space="0" w:color="auto"/>
            </w:tcBorders>
            <w:shd w:val="clear" w:color="auto" w:fill="auto"/>
            <w:vAlign w:val="center"/>
            <w:hideMark/>
          </w:tcPr>
          <w:p w14:paraId="4773AA39" w14:textId="77777777" w:rsidR="00B07FC0" w:rsidRPr="007C250E" w:rsidRDefault="00B07FC0" w:rsidP="00433C4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B56335C" w14:textId="77777777" w:rsidR="00B07FC0" w:rsidRPr="007C250E" w:rsidRDefault="00B07FC0" w:rsidP="00433C4E">
            <w:pPr>
              <w:jc w:val="right"/>
              <w:rPr>
                <w:i/>
                <w:iCs/>
                <w:noProof/>
                <w:color w:val="000000"/>
                <w:sz w:val="16"/>
                <w:szCs w:val="16"/>
              </w:rPr>
            </w:pPr>
            <w:r>
              <w:rPr>
                <w:i/>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4FD246A" w14:textId="77777777" w:rsidR="00B07FC0" w:rsidRPr="007C250E" w:rsidRDefault="00B07FC0" w:rsidP="00433C4E">
            <w:pPr>
              <w:jc w:val="right"/>
              <w:rPr>
                <w:noProof/>
                <w:color w:val="000000"/>
                <w:sz w:val="16"/>
                <w:szCs w:val="16"/>
              </w:rPr>
            </w:pPr>
            <w:r>
              <w:rPr>
                <w:noProof/>
                <w:color w:val="000000"/>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2E6AE81A" w14:textId="77777777" w:rsidR="00B07FC0" w:rsidRPr="007C250E" w:rsidRDefault="00B07FC0" w:rsidP="00433C4E">
            <w:pPr>
              <w:jc w:val="right"/>
              <w:rPr>
                <w:i/>
                <w:iCs/>
                <w:noProof/>
                <w:color w:val="000000"/>
                <w:sz w:val="16"/>
                <w:szCs w:val="16"/>
              </w:rPr>
            </w:pPr>
            <w:r>
              <w:rPr>
                <w:i/>
                <w:noProof/>
                <w:color w:val="000000"/>
                <w:sz w:val="16"/>
              </w:rPr>
              <w:t xml:space="preserve">40 603 000 000 </w:t>
            </w:r>
          </w:p>
        </w:tc>
        <w:tc>
          <w:tcPr>
            <w:tcW w:w="1276" w:type="dxa"/>
            <w:tcBorders>
              <w:top w:val="nil"/>
              <w:left w:val="nil"/>
              <w:bottom w:val="single" w:sz="8" w:space="0" w:color="auto"/>
              <w:right w:val="single" w:sz="8" w:space="0" w:color="auto"/>
            </w:tcBorders>
            <w:shd w:val="clear" w:color="auto" w:fill="auto"/>
            <w:vAlign w:val="center"/>
            <w:hideMark/>
          </w:tcPr>
          <w:p w14:paraId="5656EF02" w14:textId="77777777" w:rsidR="00B07FC0" w:rsidRPr="007C250E" w:rsidRDefault="00B07FC0" w:rsidP="00433C4E">
            <w:pPr>
              <w:jc w:val="right"/>
              <w:rPr>
                <w:noProof/>
                <w:color w:val="000000"/>
                <w:sz w:val="16"/>
                <w:szCs w:val="16"/>
              </w:rPr>
            </w:pPr>
            <w:r>
              <w:rPr>
                <w:noProof/>
                <w:color w:val="000000"/>
                <w:sz w:val="16"/>
              </w:rPr>
              <w:t xml:space="preserve"> </w:t>
            </w:r>
          </w:p>
        </w:tc>
      </w:tr>
      <w:tr w:rsidR="00B07FC0" w:rsidRPr="007C250E" w14:paraId="479AECCA" w14:textId="77777777" w:rsidTr="00433C4E">
        <w:trPr>
          <w:trHeight w:val="300"/>
        </w:trPr>
        <w:tc>
          <w:tcPr>
            <w:tcW w:w="416" w:type="dxa"/>
            <w:tcBorders>
              <w:top w:val="nil"/>
              <w:left w:val="single" w:sz="8" w:space="0" w:color="auto"/>
              <w:bottom w:val="single" w:sz="8" w:space="0" w:color="auto"/>
              <w:right w:val="nil"/>
            </w:tcBorders>
            <w:shd w:val="clear" w:color="auto" w:fill="auto"/>
            <w:vAlign w:val="center"/>
            <w:hideMark/>
          </w:tcPr>
          <w:p w14:paraId="2BE3259E" w14:textId="77777777" w:rsidR="00B07FC0" w:rsidRPr="007C250E" w:rsidRDefault="00B07FC0" w:rsidP="00433C4E">
            <w:pPr>
              <w:jc w:val="both"/>
              <w:rPr>
                <w:noProof/>
                <w:color w:val="000000"/>
                <w:sz w:val="16"/>
                <w:szCs w:val="16"/>
              </w:rPr>
            </w:pPr>
            <w:r>
              <w:rPr>
                <w:noProof/>
                <w:color w:val="000000"/>
                <w:sz w:val="16"/>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4426E654" w14:textId="77777777" w:rsidR="00B07FC0" w:rsidRPr="007C250E" w:rsidRDefault="00B07FC0" w:rsidP="00433C4E">
            <w:pPr>
              <w:jc w:val="right"/>
              <w:rPr>
                <w:i/>
                <w:iCs/>
                <w:noProof/>
                <w:color w:val="000000"/>
                <w:sz w:val="16"/>
                <w:szCs w:val="16"/>
              </w:rPr>
            </w:pPr>
            <w:r>
              <w:rPr>
                <w:i/>
                <w:noProof/>
                <w:color w:val="000000"/>
                <w:sz w:val="16"/>
              </w:rPr>
              <w:t>Submargem do FEAGA</w:t>
            </w:r>
          </w:p>
        </w:tc>
        <w:tc>
          <w:tcPr>
            <w:tcW w:w="1276" w:type="dxa"/>
            <w:tcBorders>
              <w:top w:val="nil"/>
              <w:left w:val="nil"/>
              <w:bottom w:val="single" w:sz="8" w:space="0" w:color="auto"/>
              <w:right w:val="single" w:sz="8" w:space="0" w:color="auto"/>
            </w:tcBorders>
            <w:shd w:val="clear" w:color="auto" w:fill="auto"/>
            <w:vAlign w:val="center"/>
            <w:hideMark/>
          </w:tcPr>
          <w:p w14:paraId="235F0CBE" w14:textId="77777777" w:rsidR="00B07FC0" w:rsidRPr="007C250E" w:rsidRDefault="00B07FC0" w:rsidP="00433C4E">
            <w:pPr>
              <w:jc w:val="right"/>
              <w:rPr>
                <w:i/>
                <w:iCs/>
                <w:noProof/>
                <w:color w:val="000000"/>
                <w:sz w:val="16"/>
                <w:szCs w:val="16"/>
              </w:rPr>
            </w:pPr>
            <w:r>
              <w:rPr>
                <w:i/>
                <w:noProof/>
                <w:color w:val="000000"/>
                <w:sz w:val="16"/>
              </w:rPr>
              <w:t>922 000</w:t>
            </w:r>
          </w:p>
        </w:tc>
        <w:tc>
          <w:tcPr>
            <w:tcW w:w="1276" w:type="dxa"/>
            <w:tcBorders>
              <w:top w:val="nil"/>
              <w:left w:val="nil"/>
              <w:bottom w:val="single" w:sz="8" w:space="0" w:color="auto"/>
              <w:right w:val="single" w:sz="8" w:space="0" w:color="auto"/>
            </w:tcBorders>
            <w:shd w:val="clear" w:color="auto" w:fill="auto"/>
            <w:vAlign w:val="center"/>
            <w:hideMark/>
          </w:tcPr>
          <w:p w14:paraId="1078A1E7" w14:textId="77777777" w:rsidR="00B07FC0" w:rsidRPr="007C250E" w:rsidRDefault="00B07FC0" w:rsidP="00433C4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EE7DC54" w14:textId="77777777" w:rsidR="00B07FC0" w:rsidRPr="007C250E" w:rsidRDefault="00B07FC0" w:rsidP="00433C4E">
            <w:pPr>
              <w:jc w:val="right"/>
              <w:rPr>
                <w:i/>
                <w:iCs/>
                <w:noProof/>
                <w:color w:val="000000"/>
                <w:sz w:val="16"/>
                <w:szCs w:val="16"/>
              </w:rPr>
            </w:pPr>
            <w:r>
              <w:rPr>
                <w:i/>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FFC7250" w14:textId="77777777" w:rsidR="00B07FC0" w:rsidRPr="007C250E" w:rsidRDefault="00B07FC0" w:rsidP="00433C4E">
            <w:pPr>
              <w:jc w:val="right"/>
              <w:rPr>
                <w:noProof/>
                <w:color w:val="000000"/>
                <w:sz w:val="16"/>
                <w:szCs w:val="16"/>
              </w:rPr>
            </w:pPr>
            <w:r>
              <w:rPr>
                <w:noProof/>
                <w:color w:val="000000"/>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32BA1AD7" w14:textId="77777777" w:rsidR="00B07FC0" w:rsidRPr="007C250E" w:rsidRDefault="00B07FC0" w:rsidP="00433C4E">
            <w:pPr>
              <w:jc w:val="right"/>
              <w:rPr>
                <w:i/>
                <w:iCs/>
                <w:noProof/>
                <w:color w:val="000000"/>
                <w:sz w:val="16"/>
                <w:szCs w:val="16"/>
              </w:rPr>
            </w:pPr>
            <w:r>
              <w:rPr>
                <w:i/>
                <w:noProof/>
                <w:color w:val="000000"/>
                <w:sz w:val="16"/>
              </w:rPr>
              <w:t xml:space="preserve">922 000 </w:t>
            </w:r>
          </w:p>
        </w:tc>
        <w:tc>
          <w:tcPr>
            <w:tcW w:w="1276" w:type="dxa"/>
            <w:tcBorders>
              <w:top w:val="nil"/>
              <w:left w:val="nil"/>
              <w:bottom w:val="single" w:sz="8" w:space="0" w:color="auto"/>
              <w:right w:val="single" w:sz="8" w:space="0" w:color="auto"/>
            </w:tcBorders>
            <w:shd w:val="clear" w:color="auto" w:fill="auto"/>
            <w:vAlign w:val="center"/>
            <w:hideMark/>
          </w:tcPr>
          <w:p w14:paraId="28A4714A" w14:textId="77777777" w:rsidR="00B07FC0" w:rsidRPr="007C250E" w:rsidRDefault="00B07FC0" w:rsidP="00433C4E">
            <w:pPr>
              <w:jc w:val="right"/>
              <w:rPr>
                <w:noProof/>
                <w:color w:val="000000"/>
                <w:sz w:val="16"/>
                <w:szCs w:val="16"/>
              </w:rPr>
            </w:pPr>
            <w:r>
              <w:rPr>
                <w:noProof/>
                <w:color w:val="000000"/>
                <w:sz w:val="16"/>
              </w:rPr>
              <w:t xml:space="preserve"> </w:t>
            </w:r>
          </w:p>
        </w:tc>
      </w:tr>
      <w:tr w:rsidR="00B07FC0" w:rsidRPr="00B07FC0" w14:paraId="5460F674" w14:textId="77777777" w:rsidTr="00433C4E">
        <w:trPr>
          <w:trHeight w:val="430"/>
        </w:trPr>
        <w:tc>
          <w:tcPr>
            <w:tcW w:w="416" w:type="dxa"/>
            <w:tcBorders>
              <w:top w:val="nil"/>
              <w:left w:val="single" w:sz="8" w:space="0" w:color="auto"/>
              <w:bottom w:val="single" w:sz="8" w:space="0" w:color="auto"/>
              <w:right w:val="nil"/>
            </w:tcBorders>
            <w:shd w:val="clear" w:color="auto" w:fill="auto"/>
            <w:vAlign w:val="center"/>
            <w:hideMark/>
          </w:tcPr>
          <w:p w14:paraId="1D7AD11C" w14:textId="77777777" w:rsidR="00B07FC0" w:rsidRPr="007C250E" w:rsidRDefault="00B07FC0" w:rsidP="00433C4E">
            <w:pPr>
              <w:jc w:val="both"/>
              <w:rPr>
                <w:noProof/>
                <w:color w:val="000000"/>
                <w:sz w:val="16"/>
                <w:szCs w:val="16"/>
              </w:rPr>
            </w:pPr>
            <w:r>
              <w:rPr>
                <w:noProof/>
                <w:color w:val="000000"/>
                <w:sz w:val="16"/>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0BB4DCD7" w14:textId="77777777" w:rsidR="00B07FC0" w:rsidRPr="00B07FC0" w:rsidRDefault="00B07FC0" w:rsidP="00433C4E">
            <w:pPr>
              <w:jc w:val="right"/>
              <w:rPr>
                <w:i/>
                <w:iCs/>
                <w:noProof/>
                <w:color w:val="000000"/>
                <w:sz w:val="16"/>
                <w:szCs w:val="16"/>
                <w:lang w:val="pt-PT"/>
              </w:rPr>
            </w:pPr>
            <w:r w:rsidRPr="00B07FC0">
              <w:rPr>
                <w:i/>
                <w:noProof/>
                <w:color w:val="000000"/>
                <w:sz w:val="16"/>
                <w:lang w:val="pt-PT"/>
              </w:rPr>
              <w:t>Submargem do FEAGA (excluindo a diferença de arredondamento)</w:t>
            </w:r>
          </w:p>
        </w:tc>
        <w:tc>
          <w:tcPr>
            <w:tcW w:w="1276" w:type="dxa"/>
            <w:tcBorders>
              <w:top w:val="nil"/>
              <w:left w:val="nil"/>
              <w:bottom w:val="single" w:sz="8" w:space="0" w:color="auto"/>
              <w:right w:val="single" w:sz="8" w:space="0" w:color="auto"/>
            </w:tcBorders>
            <w:shd w:val="clear" w:color="auto" w:fill="auto"/>
            <w:vAlign w:val="center"/>
            <w:hideMark/>
          </w:tcPr>
          <w:p w14:paraId="3488EA64"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0394C058"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CA3A46A"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CE77C68"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479C6C09"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56E96F55"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r>
      <w:tr w:rsidR="00B07FC0" w:rsidRPr="007C250E" w14:paraId="09193C16" w14:textId="77777777" w:rsidTr="00433C4E">
        <w:trPr>
          <w:trHeight w:val="300"/>
        </w:trPr>
        <w:tc>
          <w:tcPr>
            <w:tcW w:w="416" w:type="dxa"/>
            <w:tcBorders>
              <w:top w:val="nil"/>
              <w:left w:val="single" w:sz="8" w:space="0" w:color="auto"/>
              <w:bottom w:val="single" w:sz="8" w:space="0" w:color="auto"/>
              <w:right w:val="nil"/>
            </w:tcBorders>
            <w:shd w:val="clear" w:color="000000" w:fill="D9D9D9"/>
            <w:vAlign w:val="center"/>
            <w:hideMark/>
          </w:tcPr>
          <w:p w14:paraId="26DBB388" w14:textId="77777777" w:rsidR="00B07FC0" w:rsidRPr="007C250E" w:rsidRDefault="00B07FC0" w:rsidP="00433C4E">
            <w:pPr>
              <w:jc w:val="both"/>
              <w:rPr>
                <w:b/>
                <w:bCs/>
                <w:noProof/>
                <w:color w:val="000000"/>
                <w:sz w:val="16"/>
                <w:szCs w:val="16"/>
              </w:rPr>
            </w:pPr>
            <w:r>
              <w:rPr>
                <w:b/>
                <w:noProof/>
                <w:color w:val="000000"/>
                <w:sz w:val="16"/>
              </w:rPr>
              <w:t>4.</w:t>
            </w:r>
          </w:p>
        </w:tc>
        <w:tc>
          <w:tcPr>
            <w:tcW w:w="2551" w:type="dxa"/>
            <w:tcBorders>
              <w:top w:val="nil"/>
              <w:left w:val="nil"/>
              <w:bottom w:val="single" w:sz="8" w:space="0" w:color="auto"/>
              <w:right w:val="single" w:sz="8" w:space="0" w:color="auto"/>
            </w:tcBorders>
            <w:shd w:val="clear" w:color="000000" w:fill="D9D9D9"/>
            <w:vAlign w:val="center"/>
            <w:hideMark/>
          </w:tcPr>
          <w:p w14:paraId="558337C1" w14:textId="77777777" w:rsidR="00B07FC0" w:rsidRPr="00B07FC0" w:rsidRDefault="00B07FC0" w:rsidP="00433C4E">
            <w:pPr>
              <w:jc w:val="both"/>
              <w:rPr>
                <w:b/>
                <w:bCs/>
                <w:noProof/>
                <w:color w:val="000000"/>
                <w:sz w:val="16"/>
                <w:szCs w:val="16"/>
                <w:lang w:val="pt-PT"/>
              </w:rPr>
            </w:pPr>
            <w:r w:rsidRPr="00B07FC0">
              <w:rPr>
                <w:b/>
                <w:noProof/>
                <w:color w:val="000000"/>
                <w:sz w:val="16"/>
                <w:lang w:val="pt-PT"/>
              </w:rPr>
              <w:t>Migração e Gestão das Fronteiras</w:t>
            </w:r>
          </w:p>
        </w:tc>
        <w:tc>
          <w:tcPr>
            <w:tcW w:w="1276" w:type="dxa"/>
            <w:tcBorders>
              <w:top w:val="nil"/>
              <w:left w:val="nil"/>
              <w:bottom w:val="single" w:sz="8" w:space="0" w:color="auto"/>
              <w:right w:val="single" w:sz="8" w:space="0" w:color="auto"/>
            </w:tcBorders>
            <w:shd w:val="clear" w:color="000000" w:fill="D9D9D9"/>
            <w:vAlign w:val="center"/>
            <w:hideMark/>
          </w:tcPr>
          <w:p w14:paraId="25FECEAB" w14:textId="77777777" w:rsidR="00B07FC0" w:rsidRPr="007C250E" w:rsidRDefault="00B07FC0" w:rsidP="00433C4E">
            <w:pPr>
              <w:jc w:val="right"/>
              <w:rPr>
                <w:b/>
                <w:bCs/>
                <w:noProof/>
                <w:color w:val="000000"/>
                <w:sz w:val="16"/>
                <w:szCs w:val="16"/>
              </w:rPr>
            </w:pPr>
            <w:r>
              <w:rPr>
                <w:b/>
                <w:noProof/>
                <w:color w:val="000000"/>
                <w:sz w:val="16"/>
              </w:rPr>
              <w:t>3 896 705 671</w:t>
            </w:r>
          </w:p>
        </w:tc>
        <w:tc>
          <w:tcPr>
            <w:tcW w:w="1276" w:type="dxa"/>
            <w:tcBorders>
              <w:top w:val="nil"/>
              <w:left w:val="nil"/>
              <w:bottom w:val="single" w:sz="8" w:space="0" w:color="auto"/>
              <w:right w:val="single" w:sz="8" w:space="0" w:color="auto"/>
            </w:tcBorders>
            <w:shd w:val="clear" w:color="000000" w:fill="D9D9D9"/>
            <w:vAlign w:val="center"/>
            <w:hideMark/>
          </w:tcPr>
          <w:p w14:paraId="3B4B2AA5" w14:textId="77777777" w:rsidR="00B07FC0" w:rsidRPr="007C250E" w:rsidRDefault="00B07FC0" w:rsidP="00433C4E">
            <w:pPr>
              <w:jc w:val="right"/>
              <w:rPr>
                <w:b/>
                <w:bCs/>
                <w:noProof/>
                <w:color w:val="000000"/>
                <w:sz w:val="16"/>
                <w:szCs w:val="16"/>
              </w:rPr>
            </w:pPr>
            <w:r>
              <w:rPr>
                <w:b/>
                <w:noProof/>
                <w:color w:val="000000"/>
                <w:sz w:val="16"/>
              </w:rPr>
              <w:t>3 257 967 443</w:t>
            </w:r>
          </w:p>
        </w:tc>
        <w:tc>
          <w:tcPr>
            <w:tcW w:w="1134" w:type="dxa"/>
            <w:tcBorders>
              <w:top w:val="nil"/>
              <w:left w:val="nil"/>
              <w:bottom w:val="single" w:sz="8" w:space="0" w:color="auto"/>
              <w:right w:val="single" w:sz="8" w:space="0" w:color="auto"/>
            </w:tcBorders>
            <w:shd w:val="clear" w:color="000000" w:fill="D9D9D9"/>
            <w:vAlign w:val="center"/>
            <w:hideMark/>
          </w:tcPr>
          <w:p w14:paraId="4DAFE271" w14:textId="77777777" w:rsidR="00B07FC0" w:rsidRPr="007C250E" w:rsidRDefault="00B07FC0" w:rsidP="00433C4E">
            <w:pPr>
              <w:jc w:val="right"/>
              <w:rPr>
                <w:b/>
                <w:bCs/>
                <w:noProof/>
                <w:color w:val="000000"/>
                <w:sz w:val="16"/>
                <w:szCs w:val="16"/>
              </w:rPr>
            </w:pPr>
            <w:r>
              <w:rPr>
                <w:b/>
                <w:noProof/>
                <w:color w:val="000000"/>
                <w:sz w:val="16"/>
              </w:rPr>
              <w:t xml:space="preserve"> </w:t>
            </w:r>
          </w:p>
        </w:tc>
        <w:tc>
          <w:tcPr>
            <w:tcW w:w="1134" w:type="dxa"/>
            <w:tcBorders>
              <w:top w:val="nil"/>
              <w:left w:val="nil"/>
              <w:bottom w:val="single" w:sz="8" w:space="0" w:color="auto"/>
              <w:right w:val="single" w:sz="8" w:space="0" w:color="auto"/>
            </w:tcBorders>
            <w:shd w:val="clear" w:color="000000" w:fill="D9D9D9"/>
            <w:vAlign w:val="center"/>
            <w:hideMark/>
          </w:tcPr>
          <w:p w14:paraId="6F8EF578" w14:textId="77777777" w:rsidR="00B07FC0" w:rsidRPr="007C250E" w:rsidRDefault="00B07FC0" w:rsidP="00433C4E">
            <w:pPr>
              <w:jc w:val="right"/>
              <w:rPr>
                <w:b/>
                <w:bCs/>
                <w:noProof/>
                <w:color w:val="000000"/>
                <w:sz w:val="16"/>
                <w:szCs w:val="16"/>
              </w:rPr>
            </w:pPr>
            <w:r>
              <w:rPr>
                <w:b/>
                <w:noProof/>
                <w:color w:val="000000"/>
                <w:sz w:val="16"/>
              </w:rPr>
              <w:t xml:space="preserve"> </w:t>
            </w:r>
          </w:p>
        </w:tc>
        <w:tc>
          <w:tcPr>
            <w:tcW w:w="1275" w:type="dxa"/>
            <w:tcBorders>
              <w:top w:val="nil"/>
              <w:left w:val="nil"/>
              <w:bottom w:val="single" w:sz="8" w:space="0" w:color="auto"/>
              <w:right w:val="single" w:sz="8" w:space="0" w:color="auto"/>
            </w:tcBorders>
            <w:shd w:val="clear" w:color="000000" w:fill="D9D9D9"/>
            <w:vAlign w:val="center"/>
            <w:hideMark/>
          </w:tcPr>
          <w:p w14:paraId="5A6BF66D" w14:textId="77777777" w:rsidR="00B07FC0" w:rsidRPr="007C250E" w:rsidRDefault="00B07FC0" w:rsidP="00433C4E">
            <w:pPr>
              <w:jc w:val="right"/>
              <w:rPr>
                <w:b/>
                <w:bCs/>
                <w:noProof/>
                <w:color w:val="000000"/>
                <w:sz w:val="16"/>
                <w:szCs w:val="16"/>
              </w:rPr>
            </w:pPr>
            <w:r>
              <w:rPr>
                <w:b/>
                <w:noProof/>
                <w:color w:val="000000"/>
                <w:sz w:val="16"/>
              </w:rPr>
              <w:t xml:space="preserve">3 896 705 671 </w:t>
            </w:r>
          </w:p>
        </w:tc>
        <w:tc>
          <w:tcPr>
            <w:tcW w:w="1276" w:type="dxa"/>
            <w:tcBorders>
              <w:top w:val="nil"/>
              <w:left w:val="nil"/>
              <w:bottom w:val="single" w:sz="8" w:space="0" w:color="auto"/>
              <w:right w:val="single" w:sz="8" w:space="0" w:color="auto"/>
            </w:tcBorders>
            <w:shd w:val="clear" w:color="000000" w:fill="D9D9D9"/>
            <w:vAlign w:val="center"/>
            <w:hideMark/>
          </w:tcPr>
          <w:p w14:paraId="7AD99AEC" w14:textId="77777777" w:rsidR="00B07FC0" w:rsidRPr="007C250E" w:rsidRDefault="00B07FC0" w:rsidP="00433C4E">
            <w:pPr>
              <w:jc w:val="right"/>
              <w:rPr>
                <w:b/>
                <w:bCs/>
                <w:noProof/>
                <w:color w:val="000000"/>
                <w:sz w:val="16"/>
                <w:szCs w:val="16"/>
              </w:rPr>
            </w:pPr>
            <w:r>
              <w:rPr>
                <w:b/>
                <w:noProof/>
                <w:color w:val="000000"/>
                <w:sz w:val="16"/>
              </w:rPr>
              <w:t xml:space="preserve">3 257 967 443 </w:t>
            </w:r>
          </w:p>
        </w:tc>
      </w:tr>
      <w:tr w:rsidR="00B07FC0" w:rsidRPr="007C250E" w14:paraId="3ACE03C9" w14:textId="77777777" w:rsidTr="00433C4E">
        <w:trPr>
          <w:trHeight w:val="300"/>
        </w:trPr>
        <w:tc>
          <w:tcPr>
            <w:tcW w:w="2967"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822BE48" w14:textId="77777777" w:rsidR="00B07FC0" w:rsidRPr="007C250E" w:rsidRDefault="00B07FC0" w:rsidP="00433C4E">
            <w:pPr>
              <w:jc w:val="right"/>
              <w:rPr>
                <w:b/>
                <w:bCs/>
                <w:i/>
                <w:iCs/>
                <w:noProof/>
                <w:color w:val="000000"/>
                <w:sz w:val="16"/>
                <w:szCs w:val="16"/>
              </w:rPr>
            </w:pPr>
            <w:r>
              <w:rPr>
                <w:b/>
                <w:i/>
                <w:noProof/>
                <w:color w:val="000000"/>
                <w:sz w:val="16"/>
              </w:rPr>
              <w:t>Limite máximo</w:t>
            </w:r>
          </w:p>
        </w:tc>
        <w:tc>
          <w:tcPr>
            <w:tcW w:w="1276" w:type="dxa"/>
            <w:tcBorders>
              <w:top w:val="nil"/>
              <w:left w:val="nil"/>
              <w:bottom w:val="single" w:sz="8" w:space="0" w:color="auto"/>
              <w:right w:val="single" w:sz="8" w:space="0" w:color="auto"/>
            </w:tcBorders>
            <w:shd w:val="clear" w:color="auto" w:fill="auto"/>
            <w:vAlign w:val="center"/>
            <w:hideMark/>
          </w:tcPr>
          <w:p w14:paraId="57EAA307" w14:textId="77777777" w:rsidR="00B07FC0" w:rsidRPr="007C250E" w:rsidRDefault="00B07FC0" w:rsidP="00433C4E">
            <w:pPr>
              <w:jc w:val="right"/>
              <w:rPr>
                <w:i/>
                <w:iCs/>
                <w:noProof/>
                <w:color w:val="000000"/>
                <w:sz w:val="16"/>
                <w:szCs w:val="16"/>
              </w:rPr>
            </w:pPr>
            <w:r>
              <w:rPr>
                <w:i/>
                <w:noProof/>
                <w:color w:val="000000"/>
                <w:sz w:val="16"/>
              </w:rPr>
              <w:t>4 020 000 000</w:t>
            </w:r>
          </w:p>
        </w:tc>
        <w:tc>
          <w:tcPr>
            <w:tcW w:w="1276" w:type="dxa"/>
            <w:tcBorders>
              <w:top w:val="nil"/>
              <w:left w:val="nil"/>
              <w:bottom w:val="single" w:sz="8" w:space="0" w:color="auto"/>
              <w:right w:val="single" w:sz="8" w:space="0" w:color="auto"/>
            </w:tcBorders>
            <w:shd w:val="clear" w:color="auto" w:fill="auto"/>
            <w:vAlign w:val="center"/>
            <w:hideMark/>
          </w:tcPr>
          <w:p w14:paraId="5F7D1956" w14:textId="77777777" w:rsidR="00B07FC0" w:rsidRPr="007C250E" w:rsidRDefault="00B07FC0" w:rsidP="00433C4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D41D141" w14:textId="77777777" w:rsidR="00B07FC0" w:rsidRPr="007C250E" w:rsidRDefault="00B07FC0" w:rsidP="00433C4E">
            <w:pPr>
              <w:jc w:val="right"/>
              <w:rPr>
                <w:i/>
                <w:iCs/>
                <w:noProof/>
                <w:color w:val="000000"/>
                <w:sz w:val="16"/>
                <w:szCs w:val="16"/>
              </w:rPr>
            </w:pPr>
            <w:r>
              <w:rPr>
                <w:i/>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105A2B9" w14:textId="77777777" w:rsidR="00B07FC0" w:rsidRPr="007C250E" w:rsidRDefault="00B07FC0" w:rsidP="00433C4E">
            <w:pPr>
              <w:jc w:val="right"/>
              <w:rPr>
                <w:noProof/>
                <w:color w:val="000000"/>
                <w:sz w:val="16"/>
                <w:szCs w:val="16"/>
              </w:rPr>
            </w:pPr>
            <w:r>
              <w:rPr>
                <w:noProof/>
                <w:color w:val="000000"/>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10407391" w14:textId="77777777" w:rsidR="00B07FC0" w:rsidRPr="007C250E" w:rsidRDefault="00B07FC0" w:rsidP="00433C4E">
            <w:pPr>
              <w:jc w:val="right"/>
              <w:rPr>
                <w:i/>
                <w:iCs/>
                <w:noProof/>
                <w:color w:val="000000"/>
                <w:sz w:val="16"/>
                <w:szCs w:val="16"/>
              </w:rPr>
            </w:pPr>
            <w:r>
              <w:rPr>
                <w:i/>
                <w:noProof/>
                <w:color w:val="000000"/>
                <w:sz w:val="16"/>
              </w:rPr>
              <w:t xml:space="preserve">4 020 000 000 </w:t>
            </w:r>
          </w:p>
        </w:tc>
        <w:tc>
          <w:tcPr>
            <w:tcW w:w="1276" w:type="dxa"/>
            <w:tcBorders>
              <w:top w:val="nil"/>
              <w:left w:val="nil"/>
              <w:bottom w:val="single" w:sz="8" w:space="0" w:color="auto"/>
              <w:right w:val="single" w:sz="8" w:space="0" w:color="auto"/>
            </w:tcBorders>
            <w:shd w:val="clear" w:color="auto" w:fill="auto"/>
            <w:vAlign w:val="center"/>
            <w:hideMark/>
          </w:tcPr>
          <w:p w14:paraId="139E4BC8" w14:textId="77777777" w:rsidR="00B07FC0" w:rsidRPr="007C250E" w:rsidRDefault="00B07FC0" w:rsidP="00433C4E">
            <w:pPr>
              <w:jc w:val="right"/>
              <w:rPr>
                <w:noProof/>
                <w:color w:val="000000"/>
                <w:sz w:val="16"/>
                <w:szCs w:val="16"/>
              </w:rPr>
            </w:pPr>
            <w:r>
              <w:rPr>
                <w:noProof/>
                <w:color w:val="000000"/>
                <w:sz w:val="16"/>
              </w:rPr>
              <w:t xml:space="preserve"> </w:t>
            </w:r>
          </w:p>
        </w:tc>
      </w:tr>
      <w:tr w:rsidR="00B07FC0" w:rsidRPr="00B07FC0" w14:paraId="43B61CB0" w14:textId="77777777" w:rsidTr="00433C4E">
        <w:trPr>
          <w:trHeight w:val="300"/>
        </w:trPr>
        <w:tc>
          <w:tcPr>
            <w:tcW w:w="416" w:type="dxa"/>
            <w:tcBorders>
              <w:top w:val="nil"/>
              <w:left w:val="single" w:sz="8" w:space="0" w:color="auto"/>
              <w:bottom w:val="single" w:sz="8" w:space="0" w:color="auto"/>
              <w:right w:val="nil"/>
            </w:tcBorders>
            <w:shd w:val="clear" w:color="auto" w:fill="auto"/>
            <w:vAlign w:val="center"/>
            <w:hideMark/>
          </w:tcPr>
          <w:p w14:paraId="0C73FE7B" w14:textId="77777777" w:rsidR="00B07FC0" w:rsidRPr="007C250E" w:rsidRDefault="00B07FC0" w:rsidP="00433C4E">
            <w:pPr>
              <w:jc w:val="both"/>
              <w:rPr>
                <w:noProof/>
                <w:color w:val="000000"/>
                <w:sz w:val="16"/>
                <w:szCs w:val="16"/>
              </w:rPr>
            </w:pPr>
            <w:r>
              <w:rPr>
                <w:noProof/>
                <w:color w:val="000000"/>
                <w:sz w:val="16"/>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58F65A99" w14:textId="77777777" w:rsidR="00B07FC0" w:rsidRPr="00B07FC0" w:rsidRDefault="00B07FC0" w:rsidP="00433C4E">
            <w:pPr>
              <w:jc w:val="right"/>
              <w:rPr>
                <w:b/>
                <w:bCs/>
                <w:noProof/>
                <w:color w:val="000000"/>
                <w:sz w:val="16"/>
                <w:szCs w:val="16"/>
                <w:lang w:val="pt-PT"/>
              </w:rPr>
            </w:pPr>
            <w:r w:rsidRPr="00B07FC0">
              <w:rPr>
                <w:b/>
                <w:noProof/>
                <w:color w:val="000000"/>
                <w:sz w:val="16"/>
                <w:lang w:val="pt-PT"/>
              </w:rPr>
              <w:t>Dos quais, a título do Instrumento de Flexibilidade</w:t>
            </w:r>
          </w:p>
        </w:tc>
        <w:tc>
          <w:tcPr>
            <w:tcW w:w="1276" w:type="dxa"/>
            <w:tcBorders>
              <w:top w:val="nil"/>
              <w:left w:val="nil"/>
              <w:bottom w:val="single" w:sz="8" w:space="0" w:color="auto"/>
              <w:right w:val="single" w:sz="8" w:space="0" w:color="auto"/>
            </w:tcBorders>
            <w:shd w:val="clear" w:color="auto" w:fill="auto"/>
            <w:vAlign w:val="center"/>
            <w:hideMark/>
          </w:tcPr>
          <w:p w14:paraId="7DFE75F9"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2600BBDB"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53397B4"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74F9162"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328930E6"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5425A84B"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r>
      <w:tr w:rsidR="00B07FC0" w:rsidRPr="00B07FC0" w14:paraId="5FBF6D18" w14:textId="77777777" w:rsidTr="00433C4E">
        <w:trPr>
          <w:trHeight w:val="430"/>
        </w:trPr>
        <w:tc>
          <w:tcPr>
            <w:tcW w:w="416" w:type="dxa"/>
            <w:tcBorders>
              <w:top w:val="nil"/>
              <w:left w:val="single" w:sz="8" w:space="0" w:color="auto"/>
              <w:bottom w:val="single" w:sz="8" w:space="0" w:color="auto"/>
              <w:right w:val="nil"/>
            </w:tcBorders>
            <w:shd w:val="clear" w:color="auto" w:fill="auto"/>
            <w:vAlign w:val="center"/>
            <w:hideMark/>
          </w:tcPr>
          <w:p w14:paraId="3C7764CE" w14:textId="77777777" w:rsidR="00B07FC0" w:rsidRPr="00B07FC0" w:rsidRDefault="00B07FC0" w:rsidP="00433C4E">
            <w:pPr>
              <w:jc w:val="both"/>
              <w:rPr>
                <w:noProof/>
                <w:color w:val="000000"/>
                <w:sz w:val="16"/>
                <w:szCs w:val="16"/>
                <w:lang w:val="pt-PT"/>
              </w:rPr>
            </w:pPr>
            <w:r w:rsidRPr="00B07FC0">
              <w:rPr>
                <w:noProof/>
                <w:color w:val="000000"/>
                <w:sz w:val="16"/>
                <w:lang w:val="pt-PT"/>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4B62F6A5" w14:textId="77777777" w:rsidR="00B07FC0" w:rsidRPr="00B07FC0" w:rsidRDefault="00B07FC0" w:rsidP="00433C4E">
            <w:pPr>
              <w:jc w:val="right"/>
              <w:rPr>
                <w:b/>
                <w:bCs/>
                <w:noProof/>
                <w:color w:val="000000"/>
                <w:sz w:val="16"/>
                <w:szCs w:val="16"/>
                <w:lang w:val="pt-PT"/>
              </w:rPr>
            </w:pPr>
            <w:r w:rsidRPr="00B07FC0">
              <w:rPr>
                <w:b/>
                <w:noProof/>
                <w:color w:val="000000"/>
                <w:sz w:val="16"/>
                <w:lang w:val="pt-PT"/>
              </w:rPr>
              <w:t>Dos quais, a título do Instrumento de Margem Único (Artigo 11.º, n.º 1, alínea a))</w:t>
            </w:r>
          </w:p>
        </w:tc>
        <w:tc>
          <w:tcPr>
            <w:tcW w:w="1276" w:type="dxa"/>
            <w:tcBorders>
              <w:top w:val="nil"/>
              <w:left w:val="nil"/>
              <w:bottom w:val="single" w:sz="8" w:space="0" w:color="auto"/>
              <w:right w:val="single" w:sz="8" w:space="0" w:color="auto"/>
            </w:tcBorders>
            <w:shd w:val="clear" w:color="auto" w:fill="auto"/>
            <w:vAlign w:val="center"/>
            <w:hideMark/>
          </w:tcPr>
          <w:p w14:paraId="2E9D008B"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582A9DDA"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5F6875D"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DB3EC74"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4A82E6BF"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1ADB079A"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r>
      <w:tr w:rsidR="00B07FC0" w:rsidRPr="00B07FC0" w14:paraId="4CC60CA8" w14:textId="77777777" w:rsidTr="00433C4E">
        <w:trPr>
          <w:trHeight w:val="430"/>
        </w:trPr>
        <w:tc>
          <w:tcPr>
            <w:tcW w:w="416" w:type="dxa"/>
            <w:tcBorders>
              <w:top w:val="nil"/>
              <w:left w:val="single" w:sz="8" w:space="0" w:color="auto"/>
              <w:bottom w:val="single" w:sz="8" w:space="0" w:color="auto"/>
              <w:right w:val="nil"/>
            </w:tcBorders>
            <w:shd w:val="clear" w:color="auto" w:fill="auto"/>
            <w:vAlign w:val="center"/>
            <w:hideMark/>
          </w:tcPr>
          <w:p w14:paraId="4DC91CDE" w14:textId="77777777" w:rsidR="00B07FC0" w:rsidRPr="00B07FC0" w:rsidRDefault="00B07FC0" w:rsidP="00433C4E">
            <w:pPr>
              <w:jc w:val="both"/>
              <w:rPr>
                <w:noProof/>
                <w:color w:val="000000"/>
                <w:sz w:val="16"/>
                <w:szCs w:val="16"/>
                <w:lang w:val="pt-PT"/>
              </w:rPr>
            </w:pPr>
            <w:r w:rsidRPr="00B07FC0">
              <w:rPr>
                <w:noProof/>
                <w:color w:val="000000"/>
                <w:sz w:val="16"/>
                <w:lang w:val="pt-PT"/>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376540BF" w14:textId="77777777" w:rsidR="00B07FC0" w:rsidRPr="00B07FC0" w:rsidRDefault="00B07FC0" w:rsidP="00433C4E">
            <w:pPr>
              <w:jc w:val="right"/>
              <w:rPr>
                <w:b/>
                <w:bCs/>
                <w:noProof/>
                <w:color w:val="000000"/>
                <w:sz w:val="16"/>
                <w:szCs w:val="16"/>
                <w:lang w:val="pt-PT"/>
              </w:rPr>
            </w:pPr>
            <w:r w:rsidRPr="00B07FC0">
              <w:rPr>
                <w:b/>
                <w:noProof/>
                <w:color w:val="000000"/>
                <w:sz w:val="16"/>
                <w:lang w:val="pt-PT"/>
              </w:rPr>
              <w:t>dos quais, a título do Instrumento de Margem Único (Artigo 11.º, n.º 1, alínea c))</w:t>
            </w:r>
          </w:p>
        </w:tc>
        <w:tc>
          <w:tcPr>
            <w:tcW w:w="1276" w:type="dxa"/>
            <w:tcBorders>
              <w:top w:val="nil"/>
              <w:left w:val="nil"/>
              <w:bottom w:val="single" w:sz="8" w:space="0" w:color="auto"/>
              <w:right w:val="single" w:sz="8" w:space="0" w:color="auto"/>
            </w:tcBorders>
            <w:shd w:val="clear" w:color="auto" w:fill="auto"/>
            <w:vAlign w:val="center"/>
            <w:hideMark/>
          </w:tcPr>
          <w:p w14:paraId="4271BFE5"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20DB8C3C"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19F9DAF"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3710BC8"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22DDBCE4"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2FA44A60"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r>
      <w:tr w:rsidR="00B07FC0" w:rsidRPr="007C250E" w14:paraId="47B9283D" w14:textId="77777777" w:rsidTr="00433C4E">
        <w:trPr>
          <w:trHeight w:val="300"/>
        </w:trPr>
        <w:tc>
          <w:tcPr>
            <w:tcW w:w="2967"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4E06351" w14:textId="77777777" w:rsidR="00B07FC0" w:rsidRPr="007C250E" w:rsidRDefault="00B07FC0" w:rsidP="00433C4E">
            <w:pPr>
              <w:jc w:val="right"/>
              <w:rPr>
                <w:b/>
                <w:bCs/>
                <w:i/>
                <w:iCs/>
                <w:noProof/>
                <w:color w:val="000000"/>
                <w:sz w:val="16"/>
                <w:szCs w:val="16"/>
              </w:rPr>
            </w:pPr>
            <w:r>
              <w:rPr>
                <w:b/>
                <w:i/>
                <w:noProof/>
                <w:color w:val="000000"/>
                <w:sz w:val="16"/>
              </w:rPr>
              <w:t>Margem</w:t>
            </w:r>
          </w:p>
        </w:tc>
        <w:tc>
          <w:tcPr>
            <w:tcW w:w="1276" w:type="dxa"/>
            <w:tcBorders>
              <w:top w:val="nil"/>
              <w:left w:val="nil"/>
              <w:bottom w:val="single" w:sz="8" w:space="0" w:color="auto"/>
              <w:right w:val="single" w:sz="8" w:space="0" w:color="auto"/>
            </w:tcBorders>
            <w:shd w:val="clear" w:color="auto" w:fill="auto"/>
            <w:vAlign w:val="center"/>
            <w:hideMark/>
          </w:tcPr>
          <w:p w14:paraId="0F4F15E9" w14:textId="77777777" w:rsidR="00B07FC0" w:rsidRPr="007C250E" w:rsidRDefault="00B07FC0" w:rsidP="00433C4E">
            <w:pPr>
              <w:jc w:val="right"/>
              <w:rPr>
                <w:i/>
                <w:iCs/>
                <w:noProof/>
                <w:color w:val="000000"/>
                <w:sz w:val="16"/>
                <w:szCs w:val="16"/>
              </w:rPr>
            </w:pPr>
            <w:r>
              <w:rPr>
                <w:i/>
                <w:noProof/>
                <w:color w:val="000000"/>
                <w:sz w:val="16"/>
              </w:rPr>
              <w:t>123 294 329</w:t>
            </w:r>
          </w:p>
        </w:tc>
        <w:tc>
          <w:tcPr>
            <w:tcW w:w="1276" w:type="dxa"/>
            <w:tcBorders>
              <w:top w:val="nil"/>
              <w:left w:val="nil"/>
              <w:bottom w:val="single" w:sz="8" w:space="0" w:color="auto"/>
              <w:right w:val="single" w:sz="8" w:space="0" w:color="auto"/>
            </w:tcBorders>
            <w:shd w:val="clear" w:color="auto" w:fill="auto"/>
            <w:vAlign w:val="center"/>
            <w:hideMark/>
          </w:tcPr>
          <w:p w14:paraId="68084C4E" w14:textId="77777777" w:rsidR="00B07FC0" w:rsidRPr="007C250E" w:rsidRDefault="00B07FC0" w:rsidP="00433C4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164432D" w14:textId="77777777" w:rsidR="00B07FC0" w:rsidRPr="007C250E" w:rsidRDefault="00B07FC0" w:rsidP="00433C4E">
            <w:pPr>
              <w:jc w:val="right"/>
              <w:rPr>
                <w:i/>
                <w:iCs/>
                <w:noProof/>
                <w:color w:val="000000"/>
                <w:sz w:val="16"/>
                <w:szCs w:val="16"/>
              </w:rPr>
            </w:pPr>
            <w:r>
              <w:rPr>
                <w:i/>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E71CBF9" w14:textId="77777777" w:rsidR="00B07FC0" w:rsidRPr="007C250E" w:rsidRDefault="00B07FC0" w:rsidP="00433C4E">
            <w:pPr>
              <w:jc w:val="right"/>
              <w:rPr>
                <w:noProof/>
                <w:color w:val="000000"/>
                <w:sz w:val="16"/>
                <w:szCs w:val="16"/>
              </w:rPr>
            </w:pPr>
            <w:r>
              <w:rPr>
                <w:noProof/>
                <w:color w:val="000000"/>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0EAAD2E5" w14:textId="77777777" w:rsidR="00B07FC0" w:rsidRPr="007C250E" w:rsidRDefault="00B07FC0" w:rsidP="00433C4E">
            <w:pPr>
              <w:jc w:val="right"/>
              <w:rPr>
                <w:i/>
                <w:iCs/>
                <w:noProof/>
                <w:color w:val="000000"/>
                <w:sz w:val="16"/>
                <w:szCs w:val="16"/>
              </w:rPr>
            </w:pPr>
            <w:r>
              <w:rPr>
                <w:i/>
                <w:noProof/>
                <w:color w:val="000000"/>
                <w:sz w:val="16"/>
              </w:rPr>
              <w:t xml:space="preserve">123 294 329 </w:t>
            </w:r>
          </w:p>
        </w:tc>
        <w:tc>
          <w:tcPr>
            <w:tcW w:w="1276" w:type="dxa"/>
            <w:tcBorders>
              <w:top w:val="nil"/>
              <w:left w:val="nil"/>
              <w:bottom w:val="single" w:sz="8" w:space="0" w:color="auto"/>
              <w:right w:val="single" w:sz="8" w:space="0" w:color="auto"/>
            </w:tcBorders>
            <w:shd w:val="clear" w:color="auto" w:fill="auto"/>
            <w:vAlign w:val="center"/>
            <w:hideMark/>
          </w:tcPr>
          <w:p w14:paraId="4A6960F3" w14:textId="77777777" w:rsidR="00B07FC0" w:rsidRPr="007C250E" w:rsidRDefault="00B07FC0" w:rsidP="00433C4E">
            <w:pPr>
              <w:jc w:val="right"/>
              <w:rPr>
                <w:noProof/>
                <w:color w:val="000000"/>
                <w:sz w:val="16"/>
                <w:szCs w:val="16"/>
              </w:rPr>
            </w:pPr>
            <w:r>
              <w:rPr>
                <w:noProof/>
                <w:color w:val="000000"/>
                <w:sz w:val="16"/>
              </w:rPr>
              <w:t xml:space="preserve"> </w:t>
            </w:r>
          </w:p>
        </w:tc>
      </w:tr>
      <w:tr w:rsidR="00B07FC0" w:rsidRPr="007C250E" w14:paraId="188C6F91" w14:textId="77777777" w:rsidTr="00433C4E">
        <w:trPr>
          <w:trHeight w:val="300"/>
        </w:trPr>
        <w:tc>
          <w:tcPr>
            <w:tcW w:w="416" w:type="dxa"/>
            <w:tcBorders>
              <w:top w:val="nil"/>
              <w:left w:val="single" w:sz="8" w:space="0" w:color="auto"/>
              <w:bottom w:val="single" w:sz="8" w:space="0" w:color="auto"/>
              <w:right w:val="nil"/>
            </w:tcBorders>
            <w:shd w:val="clear" w:color="000000" w:fill="D9D9D9"/>
            <w:vAlign w:val="center"/>
            <w:hideMark/>
          </w:tcPr>
          <w:p w14:paraId="25497D76" w14:textId="77777777" w:rsidR="00B07FC0" w:rsidRPr="007C250E" w:rsidRDefault="00B07FC0" w:rsidP="00433C4E">
            <w:pPr>
              <w:jc w:val="both"/>
              <w:rPr>
                <w:b/>
                <w:bCs/>
                <w:noProof/>
                <w:sz w:val="16"/>
                <w:szCs w:val="16"/>
              </w:rPr>
            </w:pPr>
            <w:r>
              <w:rPr>
                <w:b/>
                <w:noProof/>
                <w:sz w:val="16"/>
              </w:rPr>
              <w:t>5.</w:t>
            </w:r>
          </w:p>
        </w:tc>
        <w:tc>
          <w:tcPr>
            <w:tcW w:w="2551" w:type="dxa"/>
            <w:tcBorders>
              <w:top w:val="nil"/>
              <w:left w:val="nil"/>
              <w:bottom w:val="single" w:sz="8" w:space="0" w:color="auto"/>
              <w:right w:val="single" w:sz="8" w:space="0" w:color="auto"/>
            </w:tcBorders>
            <w:shd w:val="clear" w:color="000000" w:fill="D9D9D9"/>
            <w:vAlign w:val="center"/>
            <w:hideMark/>
          </w:tcPr>
          <w:p w14:paraId="0F5ECE6B" w14:textId="77777777" w:rsidR="00B07FC0" w:rsidRPr="007C250E" w:rsidRDefault="00B07FC0" w:rsidP="00433C4E">
            <w:pPr>
              <w:jc w:val="both"/>
              <w:rPr>
                <w:b/>
                <w:bCs/>
                <w:noProof/>
                <w:sz w:val="16"/>
                <w:szCs w:val="16"/>
              </w:rPr>
            </w:pPr>
            <w:r>
              <w:rPr>
                <w:b/>
                <w:noProof/>
                <w:sz w:val="16"/>
              </w:rPr>
              <w:t>Segurança e Defesa</w:t>
            </w:r>
          </w:p>
        </w:tc>
        <w:tc>
          <w:tcPr>
            <w:tcW w:w="1276" w:type="dxa"/>
            <w:tcBorders>
              <w:top w:val="nil"/>
              <w:left w:val="nil"/>
              <w:bottom w:val="single" w:sz="8" w:space="0" w:color="auto"/>
              <w:right w:val="single" w:sz="8" w:space="0" w:color="auto"/>
            </w:tcBorders>
            <w:shd w:val="clear" w:color="000000" w:fill="D9D9D9"/>
            <w:vAlign w:val="center"/>
            <w:hideMark/>
          </w:tcPr>
          <w:p w14:paraId="43219B57" w14:textId="77777777" w:rsidR="00B07FC0" w:rsidRPr="007C250E" w:rsidRDefault="00B07FC0" w:rsidP="00433C4E">
            <w:pPr>
              <w:jc w:val="right"/>
              <w:rPr>
                <w:b/>
                <w:bCs/>
                <w:noProof/>
                <w:sz w:val="16"/>
                <w:szCs w:val="16"/>
              </w:rPr>
            </w:pPr>
            <w:r>
              <w:rPr>
                <w:b/>
                <w:noProof/>
                <w:sz w:val="16"/>
              </w:rPr>
              <w:t>2 304 177 926</w:t>
            </w:r>
          </w:p>
        </w:tc>
        <w:tc>
          <w:tcPr>
            <w:tcW w:w="1276" w:type="dxa"/>
            <w:tcBorders>
              <w:top w:val="nil"/>
              <w:left w:val="nil"/>
              <w:bottom w:val="single" w:sz="8" w:space="0" w:color="auto"/>
              <w:right w:val="single" w:sz="8" w:space="0" w:color="auto"/>
            </w:tcBorders>
            <w:shd w:val="clear" w:color="000000" w:fill="D9D9D9"/>
            <w:vAlign w:val="center"/>
            <w:hideMark/>
          </w:tcPr>
          <w:p w14:paraId="7B51227B" w14:textId="77777777" w:rsidR="00B07FC0" w:rsidRPr="007C250E" w:rsidRDefault="00B07FC0" w:rsidP="00433C4E">
            <w:pPr>
              <w:jc w:val="right"/>
              <w:rPr>
                <w:b/>
                <w:bCs/>
                <w:noProof/>
                <w:sz w:val="16"/>
                <w:szCs w:val="16"/>
              </w:rPr>
            </w:pPr>
            <w:r>
              <w:rPr>
                <w:b/>
                <w:noProof/>
                <w:sz w:val="16"/>
              </w:rPr>
              <w:t>2 028 413 531</w:t>
            </w:r>
          </w:p>
        </w:tc>
        <w:tc>
          <w:tcPr>
            <w:tcW w:w="1134" w:type="dxa"/>
            <w:tcBorders>
              <w:top w:val="nil"/>
              <w:left w:val="nil"/>
              <w:bottom w:val="single" w:sz="8" w:space="0" w:color="auto"/>
              <w:right w:val="single" w:sz="8" w:space="0" w:color="auto"/>
            </w:tcBorders>
            <w:shd w:val="clear" w:color="000000" w:fill="D9D9D9"/>
            <w:vAlign w:val="center"/>
            <w:hideMark/>
          </w:tcPr>
          <w:p w14:paraId="72A4CCA1" w14:textId="77777777" w:rsidR="00B07FC0" w:rsidRPr="007C250E" w:rsidRDefault="00B07FC0" w:rsidP="00433C4E">
            <w:pPr>
              <w:jc w:val="right"/>
              <w:rPr>
                <w:b/>
                <w:bCs/>
                <w:noProof/>
                <w:sz w:val="16"/>
                <w:szCs w:val="16"/>
              </w:rPr>
            </w:pPr>
            <w:r>
              <w:rPr>
                <w:b/>
                <w:noProof/>
                <w:sz w:val="16"/>
              </w:rPr>
              <w:t xml:space="preserve"> </w:t>
            </w:r>
          </w:p>
        </w:tc>
        <w:tc>
          <w:tcPr>
            <w:tcW w:w="1134" w:type="dxa"/>
            <w:tcBorders>
              <w:top w:val="nil"/>
              <w:left w:val="nil"/>
              <w:bottom w:val="single" w:sz="8" w:space="0" w:color="auto"/>
              <w:right w:val="single" w:sz="8" w:space="0" w:color="auto"/>
            </w:tcBorders>
            <w:shd w:val="clear" w:color="000000" w:fill="D9D9D9"/>
            <w:vAlign w:val="center"/>
            <w:hideMark/>
          </w:tcPr>
          <w:p w14:paraId="374B37BF" w14:textId="77777777" w:rsidR="00B07FC0" w:rsidRPr="007C250E" w:rsidRDefault="00B07FC0" w:rsidP="00433C4E">
            <w:pPr>
              <w:jc w:val="right"/>
              <w:rPr>
                <w:b/>
                <w:bCs/>
                <w:noProof/>
                <w:sz w:val="16"/>
                <w:szCs w:val="16"/>
              </w:rPr>
            </w:pPr>
            <w:r>
              <w:rPr>
                <w:b/>
                <w:noProof/>
                <w:sz w:val="16"/>
              </w:rPr>
              <w:t xml:space="preserve"> </w:t>
            </w:r>
          </w:p>
        </w:tc>
        <w:tc>
          <w:tcPr>
            <w:tcW w:w="1275" w:type="dxa"/>
            <w:tcBorders>
              <w:top w:val="nil"/>
              <w:left w:val="nil"/>
              <w:bottom w:val="single" w:sz="8" w:space="0" w:color="auto"/>
              <w:right w:val="single" w:sz="8" w:space="0" w:color="auto"/>
            </w:tcBorders>
            <w:shd w:val="clear" w:color="000000" w:fill="D9D9D9"/>
            <w:vAlign w:val="center"/>
            <w:hideMark/>
          </w:tcPr>
          <w:p w14:paraId="5BA66C95" w14:textId="77777777" w:rsidR="00B07FC0" w:rsidRPr="007C250E" w:rsidRDefault="00B07FC0" w:rsidP="00433C4E">
            <w:pPr>
              <w:jc w:val="right"/>
              <w:rPr>
                <w:b/>
                <w:bCs/>
                <w:noProof/>
                <w:sz w:val="16"/>
                <w:szCs w:val="16"/>
              </w:rPr>
            </w:pPr>
            <w:r>
              <w:rPr>
                <w:b/>
                <w:noProof/>
                <w:sz w:val="16"/>
              </w:rPr>
              <w:t xml:space="preserve">2 304 177 926 </w:t>
            </w:r>
          </w:p>
        </w:tc>
        <w:tc>
          <w:tcPr>
            <w:tcW w:w="1276" w:type="dxa"/>
            <w:tcBorders>
              <w:top w:val="nil"/>
              <w:left w:val="nil"/>
              <w:bottom w:val="single" w:sz="8" w:space="0" w:color="auto"/>
              <w:right w:val="single" w:sz="8" w:space="0" w:color="auto"/>
            </w:tcBorders>
            <w:shd w:val="clear" w:color="000000" w:fill="D9D9D9"/>
            <w:vAlign w:val="center"/>
            <w:hideMark/>
          </w:tcPr>
          <w:p w14:paraId="1AA073F0" w14:textId="77777777" w:rsidR="00B07FC0" w:rsidRPr="007C250E" w:rsidRDefault="00B07FC0" w:rsidP="00433C4E">
            <w:pPr>
              <w:jc w:val="right"/>
              <w:rPr>
                <w:b/>
                <w:bCs/>
                <w:noProof/>
                <w:sz w:val="16"/>
                <w:szCs w:val="16"/>
              </w:rPr>
            </w:pPr>
            <w:r>
              <w:rPr>
                <w:b/>
                <w:noProof/>
                <w:sz w:val="16"/>
              </w:rPr>
              <w:t xml:space="preserve">2 028 413 531 </w:t>
            </w:r>
          </w:p>
        </w:tc>
      </w:tr>
      <w:tr w:rsidR="00B07FC0" w:rsidRPr="007C250E" w14:paraId="2AC361C8" w14:textId="77777777" w:rsidTr="00433C4E">
        <w:trPr>
          <w:trHeight w:val="300"/>
        </w:trPr>
        <w:tc>
          <w:tcPr>
            <w:tcW w:w="2967"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5EA0DC0D" w14:textId="77777777" w:rsidR="00B07FC0" w:rsidRPr="007C250E" w:rsidRDefault="00B07FC0" w:rsidP="00433C4E">
            <w:pPr>
              <w:jc w:val="right"/>
              <w:rPr>
                <w:b/>
                <w:bCs/>
                <w:i/>
                <w:iCs/>
                <w:noProof/>
                <w:sz w:val="16"/>
                <w:szCs w:val="16"/>
              </w:rPr>
            </w:pPr>
            <w:r>
              <w:rPr>
                <w:b/>
                <w:i/>
                <w:noProof/>
                <w:sz w:val="16"/>
              </w:rPr>
              <w:t>Limite máximo</w:t>
            </w:r>
          </w:p>
        </w:tc>
        <w:tc>
          <w:tcPr>
            <w:tcW w:w="1276" w:type="dxa"/>
            <w:tcBorders>
              <w:top w:val="nil"/>
              <w:left w:val="nil"/>
              <w:bottom w:val="single" w:sz="8" w:space="0" w:color="auto"/>
              <w:right w:val="single" w:sz="8" w:space="0" w:color="auto"/>
            </w:tcBorders>
            <w:shd w:val="clear" w:color="auto" w:fill="auto"/>
            <w:vAlign w:val="center"/>
            <w:hideMark/>
          </w:tcPr>
          <w:p w14:paraId="5C26B869" w14:textId="77777777" w:rsidR="00B07FC0" w:rsidRPr="007C250E" w:rsidRDefault="00B07FC0" w:rsidP="00433C4E">
            <w:pPr>
              <w:jc w:val="right"/>
              <w:rPr>
                <w:i/>
                <w:iCs/>
                <w:noProof/>
                <w:sz w:val="16"/>
                <w:szCs w:val="16"/>
              </w:rPr>
            </w:pPr>
            <w:r>
              <w:rPr>
                <w:i/>
                <w:noProof/>
                <w:sz w:val="16"/>
              </w:rPr>
              <w:t>2 004 000 000</w:t>
            </w:r>
          </w:p>
        </w:tc>
        <w:tc>
          <w:tcPr>
            <w:tcW w:w="1276" w:type="dxa"/>
            <w:tcBorders>
              <w:top w:val="nil"/>
              <w:left w:val="nil"/>
              <w:bottom w:val="single" w:sz="8" w:space="0" w:color="auto"/>
              <w:right w:val="single" w:sz="8" w:space="0" w:color="auto"/>
            </w:tcBorders>
            <w:shd w:val="clear" w:color="auto" w:fill="auto"/>
            <w:vAlign w:val="center"/>
            <w:hideMark/>
          </w:tcPr>
          <w:p w14:paraId="547D7E3E" w14:textId="77777777" w:rsidR="00B07FC0" w:rsidRPr="007C250E" w:rsidRDefault="00B07FC0" w:rsidP="00433C4E">
            <w:pPr>
              <w:jc w:val="right"/>
              <w:rPr>
                <w:noProof/>
                <w:sz w:val="16"/>
                <w:szCs w:val="16"/>
              </w:rPr>
            </w:pPr>
            <w:r>
              <w:rPr>
                <w:noProof/>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D60F227" w14:textId="77777777" w:rsidR="00B07FC0" w:rsidRPr="007C250E" w:rsidRDefault="00B07FC0" w:rsidP="00433C4E">
            <w:pPr>
              <w:jc w:val="right"/>
              <w:rPr>
                <w:i/>
                <w:iCs/>
                <w:noProof/>
                <w:sz w:val="16"/>
                <w:szCs w:val="16"/>
              </w:rPr>
            </w:pPr>
            <w:r>
              <w:rPr>
                <w:i/>
                <w:noProof/>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B36B602" w14:textId="77777777" w:rsidR="00B07FC0" w:rsidRPr="007C250E" w:rsidRDefault="00B07FC0" w:rsidP="00433C4E">
            <w:pPr>
              <w:jc w:val="right"/>
              <w:rPr>
                <w:noProof/>
                <w:sz w:val="16"/>
                <w:szCs w:val="16"/>
              </w:rPr>
            </w:pPr>
            <w:r>
              <w:rPr>
                <w:noProof/>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3CF13DAC" w14:textId="77777777" w:rsidR="00B07FC0" w:rsidRPr="007C250E" w:rsidRDefault="00B07FC0" w:rsidP="00433C4E">
            <w:pPr>
              <w:jc w:val="right"/>
              <w:rPr>
                <w:i/>
                <w:iCs/>
                <w:noProof/>
                <w:sz w:val="16"/>
                <w:szCs w:val="16"/>
              </w:rPr>
            </w:pPr>
            <w:r>
              <w:rPr>
                <w:i/>
                <w:noProof/>
                <w:sz w:val="16"/>
              </w:rPr>
              <w:t xml:space="preserve">2 004 000 000 </w:t>
            </w:r>
          </w:p>
        </w:tc>
        <w:tc>
          <w:tcPr>
            <w:tcW w:w="1276" w:type="dxa"/>
            <w:tcBorders>
              <w:top w:val="nil"/>
              <w:left w:val="nil"/>
              <w:bottom w:val="single" w:sz="8" w:space="0" w:color="auto"/>
              <w:right w:val="single" w:sz="8" w:space="0" w:color="auto"/>
            </w:tcBorders>
            <w:shd w:val="clear" w:color="auto" w:fill="auto"/>
            <w:vAlign w:val="center"/>
            <w:hideMark/>
          </w:tcPr>
          <w:p w14:paraId="0DD7CC40" w14:textId="77777777" w:rsidR="00B07FC0" w:rsidRPr="007C250E" w:rsidRDefault="00B07FC0" w:rsidP="00433C4E">
            <w:pPr>
              <w:jc w:val="right"/>
              <w:rPr>
                <w:noProof/>
                <w:sz w:val="16"/>
                <w:szCs w:val="16"/>
              </w:rPr>
            </w:pPr>
            <w:r>
              <w:rPr>
                <w:noProof/>
                <w:sz w:val="16"/>
              </w:rPr>
              <w:t xml:space="preserve"> </w:t>
            </w:r>
          </w:p>
        </w:tc>
      </w:tr>
      <w:tr w:rsidR="00B07FC0" w:rsidRPr="007C250E" w14:paraId="355EF5F0" w14:textId="77777777" w:rsidTr="00433C4E">
        <w:trPr>
          <w:trHeight w:val="300"/>
        </w:trPr>
        <w:tc>
          <w:tcPr>
            <w:tcW w:w="416" w:type="dxa"/>
            <w:tcBorders>
              <w:top w:val="nil"/>
              <w:left w:val="single" w:sz="8" w:space="0" w:color="auto"/>
              <w:bottom w:val="single" w:sz="8" w:space="0" w:color="auto"/>
              <w:right w:val="nil"/>
            </w:tcBorders>
            <w:shd w:val="clear" w:color="auto" w:fill="auto"/>
            <w:vAlign w:val="center"/>
            <w:hideMark/>
          </w:tcPr>
          <w:p w14:paraId="248B07C8" w14:textId="77777777" w:rsidR="00B07FC0" w:rsidRPr="007C250E" w:rsidRDefault="00B07FC0" w:rsidP="00433C4E">
            <w:pPr>
              <w:jc w:val="both"/>
              <w:rPr>
                <w:noProof/>
                <w:color w:val="000000"/>
                <w:sz w:val="16"/>
                <w:szCs w:val="16"/>
              </w:rPr>
            </w:pPr>
            <w:r>
              <w:rPr>
                <w:noProof/>
                <w:color w:val="000000"/>
                <w:sz w:val="16"/>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04B63A22" w14:textId="77777777" w:rsidR="00B07FC0" w:rsidRPr="00B07FC0" w:rsidRDefault="00B07FC0" w:rsidP="00433C4E">
            <w:pPr>
              <w:jc w:val="right"/>
              <w:rPr>
                <w:b/>
                <w:bCs/>
                <w:noProof/>
                <w:color w:val="000000"/>
                <w:sz w:val="16"/>
                <w:szCs w:val="16"/>
                <w:lang w:val="pt-PT"/>
              </w:rPr>
            </w:pPr>
            <w:r w:rsidRPr="00B07FC0">
              <w:rPr>
                <w:b/>
                <w:noProof/>
                <w:color w:val="000000"/>
                <w:sz w:val="16"/>
                <w:lang w:val="pt-PT"/>
              </w:rPr>
              <w:t>Dos quais, a título do Instrumento de Flexibilidade</w:t>
            </w:r>
          </w:p>
        </w:tc>
        <w:tc>
          <w:tcPr>
            <w:tcW w:w="1276" w:type="dxa"/>
            <w:tcBorders>
              <w:top w:val="nil"/>
              <w:left w:val="nil"/>
              <w:bottom w:val="single" w:sz="8" w:space="0" w:color="auto"/>
              <w:right w:val="single" w:sz="8" w:space="0" w:color="auto"/>
            </w:tcBorders>
            <w:shd w:val="clear" w:color="auto" w:fill="auto"/>
            <w:vAlign w:val="center"/>
            <w:hideMark/>
          </w:tcPr>
          <w:p w14:paraId="5DE0DFD9" w14:textId="77777777" w:rsidR="00B07FC0" w:rsidRPr="007C250E" w:rsidRDefault="00B07FC0" w:rsidP="00433C4E">
            <w:pPr>
              <w:jc w:val="right"/>
              <w:rPr>
                <w:i/>
                <w:iCs/>
                <w:noProof/>
                <w:color w:val="000000"/>
                <w:sz w:val="16"/>
                <w:szCs w:val="16"/>
              </w:rPr>
            </w:pPr>
            <w:r>
              <w:rPr>
                <w:i/>
                <w:noProof/>
                <w:color w:val="000000"/>
                <w:sz w:val="16"/>
              </w:rPr>
              <w:t>300 177 926</w:t>
            </w:r>
          </w:p>
        </w:tc>
        <w:tc>
          <w:tcPr>
            <w:tcW w:w="1276" w:type="dxa"/>
            <w:tcBorders>
              <w:top w:val="nil"/>
              <w:left w:val="nil"/>
              <w:bottom w:val="single" w:sz="8" w:space="0" w:color="auto"/>
              <w:right w:val="single" w:sz="8" w:space="0" w:color="auto"/>
            </w:tcBorders>
            <w:shd w:val="clear" w:color="auto" w:fill="auto"/>
            <w:vAlign w:val="center"/>
            <w:hideMark/>
          </w:tcPr>
          <w:p w14:paraId="16F87C33" w14:textId="77777777" w:rsidR="00B07FC0" w:rsidRPr="007C250E" w:rsidRDefault="00B07FC0" w:rsidP="00433C4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5C16760" w14:textId="77777777" w:rsidR="00B07FC0" w:rsidRPr="007C250E" w:rsidRDefault="00B07FC0" w:rsidP="00433C4E">
            <w:pPr>
              <w:jc w:val="right"/>
              <w:rPr>
                <w:i/>
                <w:iCs/>
                <w:noProof/>
                <w:color w:val="000000"/>
                <w:sz w:val="16"/>
                <w:szCs w:val="16"/>
              </w:rPr>
            </w:pPr>
            <w:r>
              <w:rPr>
                <w:i/>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7A7A636" w14:textId="77777777" w:rsidR="00B07FC0" w:rsidRPr="007C250E" w:rsidRDefault="00B07FC0" w:rsidP="00433C4E">
            <w:pPr>
              <w:jc w:val="right"/>
              <w:rPr>
                <w:noProof/>
                <w:color w:val="000000"/>
                <w:sz w:val="16"/>
                <w:szCs w:val="16"/>
              </w:rPr>
            </w:pPr>
            <w:r>
              <w:rPr>
                <w:noProof/>
                <w:color w:val="000000"/>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75A06BBC" w14:textId="77777777" w:rsidR="00B07FC0" w:rsidRPr="007C250E" w:rsidRDefault="00B07FC0" w:rsidP="00433C4E">
            <w:pPr>
              <w:jc w:val="right"/>
              <w:rPr>
                <w:i/>
                <w:iCs/>
                <w:noProof/>
                <w:color w:val="000000"/>
                <w:sz w:val="16"/>
                <w:szCs w:val="16"/>
              </w:rPr>
            </w:pPr>
            <w:r>
              <w:rPr>
                <w:i/>
                <w:noProof/>
                <w:color w:val="000000"/>
                <w:sz w:val="16"/>
              </w:rPr>
              <w:t xml:space="preserve">300 177 926 </w:t>
            </w:r>
          </w:p>
        </w:tc>
        <w:tc>
          <w:tcPr>
            <w:tcW w:w="1276" w:type="dxa"/>
            <w:tcBorders>
              <w:top w:val="nil"/>
              <w:left w:val="nil"/>
              <w:bottom w:val="single" w:sz="8" w:space="0" w:color="auto"/>
              <w:right w:val="single" w:sz="8" w:space="0" w:color="auto"/>
            </w:tcBorders>
            <w:shd w:val="clear" w:color="auto" w:fill="auto"/>
            <w:vAlign w:val="center"/>
            <w:hideMark/>
          </w:tcPr>
          <w:p w14:paraId="265210E5" w14:textId="77777777" w:rsidR="00B07FC0" w:rsidRPr="007C250E" w:rsidRDefault="00B07FC0" w:rsidP="00433C4E">
            <w:pPr>
              <w:jc w:val="right"/>
              <w:rPr>
                <w:noProof/>
                <w:color w:val="000000"/>
                <w:sz w:val="16"/>
                <w:szCs w:val="16"/>
              </w:rPr>
            </w:pPr>
            <w:r>
              <w:rPr>
                <w:noProof/>
                <w:color w:val="000000"/>
                <w:sz w:val="16"/>
              </w:rPr>
              <w:t xml:space="preserve"> </w:t>
            </w:r>
          </w:p>
        </w:tc>
      </w:tr>
      <w:tr w:rsidR="00B07FC0" w:rsidRPr="00B07FC0" w14:paraId="56AF0267" w14:textId="77777777" w:rsidTr="00433C4E">
        <w:trPr>
          <w:trHeight w:val="430"/>
        </w:trPr>
        <w:tc>
          <w:tcPr>
            <w:tcW w:w="416" w:type="dxa"/>
            <w:tcBorders>
              <w:top w:val="nil"/>
              <w:left w:val="single" w:sz="8" w:space="0" w:color="auto"/>
              <w:bottom w:val="single" w:sz="8" w:space="0" w:color="auto"/>
              <w:right w:val="nil"/>
            </w:tcBorders>
            <w:shd w:val="clear" w:color="auto" w:fill="auto"/>
            <w:vAlign w:val="center"/>
            <w:hideMark/>
          </w:tcPr>
          <w:p w14:paraId="170DBC60" w14:textId="77777777" w:rsidR="00B07FC0" w:rsidRPr="007C250E" w:rsidRDefault="00B07FC0" w:rsidP="00433C4E">
            <w:pPr>
              <w:jc w:val="both"/>
              <w:rPr>
                <w:noProof/>
                <w:color w:val="000000"/>
                <w:sz w:val="16"/>
                <w:szCs w:val="16"/>
              </w:rPr>
            </w:pPr>
            <w:r>
              <w:rPr>
                <w:noProof/>
                <w:color w:val="000000"/>
                <w:sz w:val="16"/>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05006D98" w14:textId="77777777" w:rsidR="00B07FC0" w:rsidRPr="00B07FC0" w:rsidRDefault="00B07FC0" w:rsidP="00433C4E">
            <w:pPr>
              <w:jc w:val="right"/>
              <w:rPr>
                <w:b/>
                <w:bCs/>
                <w:noProof/>
                <w:color w:val="000000"/>
                <w:sz w:val="16"/>
                <w:szCs w:val="16"/>
                <w:lang w:val="pt-PT"/>
              </w:rPr>
            </w:pPr>
            <w:r w:rsidRPr="00B07FC0">
              <w:rPr>
                <w:b/>
                <w:noProof/>
                <w:color w:val="000000"/>
                <w:sz w:val="16"/>
                <w:lang w:val="pt-PT"/>
              </w:rPr>
              <w:t>Dos quais, a título do Instrumento de Margem Único (Artigo 11.º, n.º 1, alínea a))</w:t>
            </w:r>
          </w:p>
        </w:tc>
        <w:tc>
          <w:tcPr>
            <w:tcW w:w="1276" w:type="dxa"/>
            <w:tcBorders>
              <w:top w:val="nil"/>
              <w:left w:val="nil"/>
              <w:bottom w:val="single" w:sz="8" w:space="0" w:color="auto"/>
              <w:right w:val="single" w:sz="8" w:space="0" w:color="auto"/>
            </w:tcBorders>
            <w:shd w:val="clear" w:color="auto" w:fill="auto"/>
            <w:vAlign w:val="center"/>
            <w:hideMark/>
          </w:tcPr>
          <w:p w14:paraId="7C7914F7"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4C264323"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2EA75D8"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7B7E165"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544EB855"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6B026A25"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r>
      <w:tr w:rsidR="00B07FC0" w:rsidRPr="00B07FC0" w14:paraId="536159EE" w14:textId="77777777" w:rsidTr="00433C4E">
        <w:trPr>
          <w:trHeight w:val="430"/>
        </w:trPr>
        <w:tc>
          <w:tcPr>
            <w:tcW w:w="416" w:type="dxa"/>
            <w:tcBorders>
              <w:top w:val="nil"/>
              <w:left w:val="single" w:sz="8" w:space="0" w:color="auto"/>
              <w:bottom w:val="single" w:sz="8" w:space="0" w:color="auto"/>
              <w:right w:val="nil"/>
            </w:tcBorders>
            <w:shd w:val="clear" w:color="auto" w:fill="auto"/>
            <w:vAlign w:val="center"/>
            <w:hideMark/>
          </w:tcPr>
          <w:p w14:paraId="12FC1817" w14:textId="77777777" w:rsidR="00B07FC0" w:rsidRPr="00B07FC0" w:rsidRDefault="00B07FC0" w:rsidP="00433C4E">
            <w:pPr>
              <w:jc w:val="both"/>
              <w:rPr>
                <w:noProof/>
                <w:color w:val="000000"/>
                <w:sz w:val="16"/>
                <w:szCs w:val="16"/>
                <w:lang w:val="pt-PT"/>
              </w:rPr>
            </w:pPr>
            <w:r w:rsidRPr="00B07FC0">
              <w:rPr>
                <w:noProof/>
                <w:color w:val="000000"/>
                <w:sz w:val="16"/>
                <w:lang w:val="pt-PT"/>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6C34E8B2" w14:textId="77777777" w:rsidR="00B07FC0" w:rsidRPr="00B07FC0" w:rsidRDefault="00B07FC0" w:rsidP="00433C4E">
            <w:pPr>
              <w:jc w:val="right"/>
              <w:rPr>
                <w:b/>
                <w:bCs/>
                <w:noProof/>
                <w:color w:val="000000"/>
                <w:sz w:val="16"/>
                <w:szCs w:val="16"/>
                <w:lang w:val="pt-PT"/>
              </w:rPr>
            </w:pPr>
            <w:r w:rsidRPr="00B07FC0">
              <w:rPr>
                <w:b/>
                <w:noProof/>
                <w:color w:val="000000"/>
                <w:sz w:val="16"/>
                <w:lang w:val="pt-PT"/>
              </w:rPr>
              <w:t>dos quais, a título do Instrumento de Margem Único (Artigo 11.º, n.º 1, alínea c))</w:t>
            </w:r>
          </w:p>
        </w:tc>
        <w:tc>
          <w:tcPr>
            <w:tcW w:w="1276" w:type="dxa"/>
            <w:tcBorders>
              <w:top w:val="nil"/>
              <w:left w:val="nil"/>
              <w:bottom w:val="single" w:sz="8" w:space="0" w:color="auto"/>
              <w:right w:val="single" w:sz="8" w:space="0" w:color="auto"/>
            </w:tcBorders>
            <w:shd w:val="clear" w:color="auto" w:fill="auto"/>
            <w:vAlign w:val="center"/>
            <w:hideMark/>
          </w:tcPr>
          <w:p w14:paraId="44CFD34C"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73E9F455"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14F4608"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93E8324"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3E39B4A6"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46D42377"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r>
      <w:tr w:rsidR="00B07FC0" w:rsidRPr="007C250E" w14:paraId="5C71B970" w14:textId="77777777" w:rsidTr="00433C4E">
        <w:trPr>
          <w:trHeight w:val="300"/>
        </w:trPr>
        <w:tc>
          <w:tcPr>
            <w:tcW w:w="2967"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58C3E729" w14:textId="77777777" w:rsidR="00B07FC0" w:rsidRPr="007C250E" w:rsidRDefault="00B07FC0" w:rsidP="00433C4E">
            <w:pPr>
              <w:jc w:val="right"/>
              <w:rPr>
                <w:b/>
                <w:bCs/>
                <w:i/>
                <w:iCs/>
                <w:noProof/>
                <w:color w:val="000000"/>
                <w:sz w:val="16"/>
                <w:szCs w:val="16"/>
              </w:rPr>
            </w:pPr>
            <w:r>
              <w:rPr>
                <w:b/>
                <w:i/>
                <w:noProof/>
                <w:color w:val="000000"/>
                <w:sz w:val="16"/>
              </w:rPr>
              <w:t>Margem</w:t>
            </w:r>
          </w:p>
        </w:tc>
        <w:tc>
          <w:tcPr>
            <w:tcW w:w="1276" w:type="dxa"/>
            <w:tcBorders>
              <w:top w:val="nil"/>
              <w:left w:val="nil"/>
              <w:bottom w:val="single" w:sz="8" w:space="0" w:color="auto"/>
              <w:right w:val="single" w:sz="8" w:space="0" w:color="auto"/>
            </w:tcBorders>
            <w:shd w:val="clear" w:color="auto" w:fill="auto"/>
            <w:vAlign w:val="center"/>
            <w:hideMark/>
          </w:tcPr>
          <w:p w14:paraId="6E87F8B7" w14:textId="77777777" w:rsidR="00B07FC0" w:rsidRPr="007C250E" w:rsidRDefault="00B07FC0" w:rsidP="00433C4E">
            <w:pPr>
              <w:jc w:val="right"/>
              <w:rPr>
                <w:noProof/>
                <w:color w:val="000000"/>
                <w:sz w:val="16"/>
                <w:szCs w:val="16"/>
              </w:rPr>
            </w:pPr>
            <w:r>
              <w:rPr>
                <w:noProof/>
                <w:color w:val="000000"/>
                <w:sz w:val="16"/>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715D891A" w14:textId="77777777" w:rsidR="00B07FC0" w:rsidRPr="007C250E" w:rsidRDefault="00B07FC0" w:rsidP="00433C4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C6197C4" w14:textId="77777777" w:rsidR="00B07FC0" w:rsidRPr="007C250E" w:rsidRDefault="00B07FC0" w:rsidP="00433C4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70814A4" w14:textId="77777777" w:rsidR="00B07FC0" w:rsidRPr="007C250E" w:rsidRDefault="00B07FC0" w:rsidP="00433C4E">
            <w:pPr>
              <w:jc w:val="right"/>
              <w:rPr>
                <w:noProof/>
                <w:color w:val="000000"/>
                <w:sz w:val="16"/>
                <w:szCs w:val="16"/>
              </w:rPr>
            </w:pPr>
            <w:r>
              <w:rPr>
                <w:noProof/>
                <w:color w:val="000000"/>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4C0CBAA2" w14:textId="77777777" w:rsidR="00B07FC0" w:rsidRPr="007C250E" w:rsidRDefault="00B07FC0" w:rsidP="00433C4E">
            <w:pPr>
              <w:jc w:val="right"/>
              <w:rPr>
                <w:noProof/>
                <w:color w:val="000000"/>
                <w:sz w:val="16"/>
                <w:szCs w:val="16"/>
              </w:rPr>
            </w:pPr>
            <w:r>
              <w:rPr>
                <w:noProof/>
                <w:color w:val="000000"/>
                <w:sz w:val="16"/>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1F60B7A3" w14:textId="77777777" w:rsidR="00B07FC0" w:rsidRPr="007C250E" w:rsidRDefault="00B07FC0" w:rsidP="00433C4E">
            <w:pPr>
              <w:jc w:val="right"/>
              <w:rPr>
                <w:noProof/>
                <w:color w:val="000000"/>
                <w:sz w:val="16"/>
                <w:szCs w:val="16"/>
              </w:rPr>
            </w:pPr>
            <w:r>
              <w:rPr>
                <w:noProof/>
                <w:color w:val="000000"/>
                <w:sz w:val="16"/>
              </w:rPr>
              <w:t xml:space="preserve"> </w:t>
            </w:r>
          </w:p>
        </w:tc>
      </w:tr>
      <w:tr w:rsidR="00B07FC0" w:rsidRPr="007C250E" w14:paraId="76EC37A2" w14:textId="77777777" w:rsidTr="00433C4E">
        <w:trPr>
          <w:trHeight w:val="300"/>
        </w:trPr>
        <w:tc>
          <w:tcPr>
            <w:tcW w:w="416" w:type="dxa"/>
            <w:tcBorders>
              <w:top w:val="nil"/>
              <w:left w:val="single" w:sz="8" w:space="0" w:color="auto"/>
              <w:bottom w:val="single" w:sz="8" w:space="0" w:color="auto"/>
              <w:right w:val="nil"/>
            </w:tcBorders>
            <w:shd w:val="clear" w:color="000000" w:fill="D9D9D9"/>
            <w:vAlign w:val="center"/>
            <w:hideMark/>
          </w:tcPr>
          <w:p w14:paraId="11E3D3A2" w14:textId="77777777" w:rsidR="00B07FC0" w:rsidRPr="007C250E" w:rsidRDefault="00B07FC0" w:rsidP="00433C4E">
            <w:pPr>
              <w:jc w:val="both"/>
              <w:rPr>
                <w:b/>
                <w:bCs/>
                <w:noProof/>
                <w:sz w:val="16"/>
                <w:szCs w:val="16"/>
              </w:rPr>
            </w:pPr>
            <w:r>
              <w:rPr>
                <w:b/>
                <w:noProof/>
                <w:sz w:val="16"/>
              </w:rPr>
              <w:t>6.</w:t>
            </w:r>
          </w:p>
        </w:tc>
        <w:tc>
          <w:tcPr>
            <w:tcW w:w="2551" w:type="dxa"/>
            <w:tcBorders>
              <w:top w:val="nil"/>
              <w:left w:val="nil"/>
              <w:bottom w:val="single" w:sz="8" w:space="0" w:color="auto"/>
              <w:right w:val="single" w:sz="8" w:space="0" w:color="auto"/>
            </w:tcBorders>
            <w:shd w:val="clear" w:color="000000" w:fill="D9D9D9"/>
            <w:vAlign w:val="center"/>
            <w:hideMark/>
          </w:tcPr>
          <w:p w14:paraId="6C3AAE70" w14:textId="77777777" w:rsidR="00B07FC0" w:rsidRPr="007C250E" w:rsidRDefault="00B07FC0" w:rsidP="00433C4E">
            <w:pPr>
              <w:jc w:val="both"/>
              <w:rPr>
                <w:b/>
                <w:bCs/>
                <w:noProof/>
                <w:sz w:val="16"/>
                <w:szCs w:val="16"/>
              </w:rPr>
            </w:pPr>
            <w:r>
              <w:rPr>
                <w:b/>
                <w:noProof/>
                <w:sz w:val="16"/>
              </w:rPr>
              <w:t>Vizinhança e Mundo</w:t>
            </w:r>
          </w:p>
        </w:tc>
        <w:tc>
          <w:tcPr>
            <w:tcW w:w="1276" w:type="dxa"/>
            <w:tcBorders>
              <w:top w:val="nil"/>
              <w:left w:val="nil"/>
              <w:bottom w:val="single" w:sz="8" w:space="0" w:color="auto"/>
              <w:right w:val="single" w:sz="8" w:space="0" w:color="auto"/>
            </w:tcBorders>
            <w:shd w:val="clear" w:color="000000" w:fill="D9D9D9"/>
            <w:vAlign w:val="center"/>
            <w:hideMark/>
          </w:tcPr>
          <w:p w14:paraId="2242EE8F" w14:textId="77777777" w:rsidR="00B07FC0" w:rsidRPr="007C250E" w:rsidRDefault="00B07FC0" w:rsidP="00433C4E">
            <w:pPr>
              <w:jc w:val="right"/>
              <w:rPr>
                <w:b/>
                <w:bCs/>
                <w:noProof/>
                <w:sz w:val="16"/>
                <w:szCs w:val="16"/>
              </w:rPr>
            </w:pPr>
            <w:r>
              <w:rPr>
                <w:b/>
                <w:noProof/>
                <w:sz w:val="16"/>
              </w:rPr>
              <w:t>15 830 000 000</w:t>
            </w:r>
          </w:p>
        </w:tc>
        <w:tc>
          <w:tcPr>
            <w:tcW w:w="1276" w:type="dxa"/>
            <w:tcBorders>
              <w:top w:val="nil"/>
              <w:left w:val="nil"/>
              <w:bottom w:val="single" w:sz="8" w:space="0" w:color="auto"/>
              <w:right w:val="single" w:sz="8" w:space="0" w:color="auto"/>
            </w:tcBorders>
            <w:shd w:val="clear" w:color="000000" w:fill="D9D9D9"/>
            <w:vAlign w:val="center"/>
            <w:hideMark/>
          </w:tcPr>
          <w:p w14:paraId="7CC69EC4" w14:textId="77777777" w:rsidR="00B07FC0" w:rsidRPr="007C250E" w:rsidRDefault="00B07FC0" w:rsidP="00433C4E">
            <w:pPr>
              <w:jc w:val="right"/>
              <w:rPr>
                <w:b/>
                <w:bCs/>
                <w:noProof/>
                <w:sz w:val="16"/>
                <w:szCs w:val="16"/>
              </w:rPr>
            </w:pPr>
            <w:r>
              <w:rPr>
                <w:b/>
                <w:noProof/>
                <w:sz w:val="16"/>
              </w:rPr>
              <w:t>15 111 157 313</w:t>
            </w:r>
          </w:p>
        </w:tc>
        <w:tc>
          <w:tcPr>
            <w:tcW w:w="1134" w:type="dxa"/>
            <w:tcBorders>
              <w:top w:val="nil"/>
              <w:left w:val="nil"/>
              <w:bottom w:val="single" w:sz="8" w:space="0" w:color="auto"/>
              <w:right w:val="single" w:sz="8" w:space="0" w:color="auto"/>
            </w:tcBorders>
            <w:shd w:val="clear" w:color="000000" w:fill="D9D9D9"/>
            <w:vAlign w:val="center"/>
            <w:hideMark/>
          </w:tcPr>
          <w:p w14:paraId="6AC5B598" w14:textId="77777777" w:rsidR="00B07FC0" w:rsidRPr="007C250E" w:rsidRDefault="00B07FC0" w:rsidP="00433C4E">
            <w:pPr>
              <w:jc w:val="right"/>
              <w:rPr>
                <w:b/>
                <w:bCs/>
                <w:noProof/>
                <w:sz w:val="16"/>
                <w:szCs w:val="16"/>
              </w:rPr>
            </w:pPr>
            <w:r>
              <w:rPr>
                <w:b/>
                <w:noProof/>
                <w:sz w:val="16"/>
              </w:rPr>
              <w:t xml:space="preserve"> </w:t>
            </w:r>
          </w:p>
        </w:tc>
        <w:tc>
          <w:tcPr>
            <w:tcW w:w="1134" w:type="dxa"/>
            <w:tcBorders>
              <w:top w:val="nil"/>
              <w:left w:val="nil"/>
              <w:bottom w:val="single" w:sz="8" w:space="0" w:color="auto"/>
              <w:right w:val="single" w:sz="8" w:space="0" w:color="auto"/>
            </w:tcBorders>
            <w:shd w:val="clear" w:color="000000" w:fill="D9D9D9"/>
            <w:vAlign w:val="center"/>
            <w:hideMark/>
          </w:tcPr>
          <w:p w14:paraId="3DD473BE" w14:textId="77777777" w:rsidR="00B07FC0" w:rsidRPr="007C250E" w:rsidRDefault="00B07FC0" w:rsidP="00433C4E">
            <w:pPr>
              <w:jc w:val="right"/>
              <w:rPr>
                <w:b/>
                <w:bCs/>
                <w:noProof/>
                <w:sz w:val="16"/>
                <w:szCs w:val="16"/>
              </w:rPr>
            </w:pPr>
            <w:r>
              <w:rPr>
                <w:b/>
                <w:noProof/>
                <w:sz w:val="16"/>
              </w:rPr>
              <w:t xml:space="preserve"> </w:t>
            </w:r>
          </w:p>
        </w:tc>
        <w:tc>
          <w:tcPr>
            <w:tcW w:w="1275" w:type="dxa"/>
            <w:tcBorders>
              <w:top w:val="nil"/>
              <w:left w:val="nil"/>
              <w:bottom w:val="single" w:sz="8" w:space="0" w:color="auto"/>
              <w:right w:val="single" w:sz="8" w:space="0" w:color="auto"/>
            </w:tcBorders>
            <w:shd w:val="clear" w:color="000000" w:fill="D9D9D9"/>
            <w:vAlign w:val="center"/>
            <w:hideMark/>
          </w:tcPr>
          <w:p w14:paraId="1A690CAD" w14:textId="77777777" w:rsidR="00B07FC0" w:rsidRPr="007C250E" w:rsidRDefault="00B07FC0" w:rsidP="00433C4E">
            <w:pPr>
              <w:jc w:val="right"/>
              <w:rPr>
                <w:b/>
                <w:bCs/>
                <w:noProof/>
                <w:sz w:val="16"/>
                <w:szCs w:val="16"/>
              </w:rPr>
            </w:pPr>
            <w:r>
              <w:rPr>
                <w:b/>
                <w:noProof/>
                <w:sz w:val="16"/>
              </w:rPr>
              <w:t xml:space="preserve">15 830 000 000 </w:t>
            </w:r>
          </w:p>
        </w:tc>
        <w:tc>
          <w:tcPr>
            <w:tcW w:w="1276" w:type="dxa"/>
            <w:tcBorders>
              <w:top w:val="nil"/>
              <w:left w:val="nil"/>
              <w:bottom w:val="single" w:sz="8" w:space="0" w:color="auto"/>
              <w:right w:val="single" w:sz="8" w:space="0" w:color="auto"/>
            </w:tcBorders>
            <w:shd w:val="clear" w:color="000000" w:fill="D9D9D9"/>
            <w:vAlign w:val="center"/>
            <w:hideMark/>
          </w:tcPr>
          <w:p w14:paraId="4B181BB8" w14:textId="77777777" w:rsidR="00B07FC0" w:rsidRPr="007C250E" w:rsidRDefault="00B07FC0" w:rsidP="00433C4E">
            <w:pPr>
              <w:jc w:val="right"/>
              <w:rPr>
                <w:b/>
                <w:bCs/>
                <w:noProof/>
                <w:sz w:val="16"/>
                <w:szCs w:val="16"/>
              </w:rPr>
            </w:pPr>
            <w:r>
              <w:rPr>
                <w:b/>
                <w:noProof/>
                <w:sz w:val="16"/>
              </w:rPr>
              <w:t xml:space="preserve">15 111 157 313 </w:t>
            </w:r>
          </w:p>
        </w:tc>
      </w:tr>
      <w:tr w:rsidR="00B07FC0" w:rsidRPr="00B07FC0" w14:paraId="58367C66" w14:textId="77777777" w:rsidTr="00433C4E">
        <w:trPr>
          <w:trHeight w:val="300"/>
        </w:trPr>
        <w:tc>
          <w:tcPr>
            <w:tcW w:w="2967"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5F1F413A" w14:textId="77777777" w:rsidR="00B07FC0" w:rsidRPr="00B07FC0" w:rsidRDefault="00B07FC0" w:rsidP="00433C4E">
            <w:pPr>
              <w:jc w:val="right"/>
              <w:rPr>
                <w:b/>
                <w:bCs/>
                <w:noProof/>
                <w:color w:val="000000"/>
                <w:sz w:val="16"/>
                <w:szCs w:val="16"/>
                <w:lang w:val="pt-PT"/>
              </w:rPr>
            </w:pPr>
            <w:r w:rsidRPr="00B07FC0">
              <w:rPr>
                <w:b/>
                <w:noProof/>
                <w:color w:val="000000"/>
                <w:sz w:val="16"/>
                <w:lang w:val="pt-PT"/>
              </w:rPr>
              <w:t>Dos quais, a título do Instrumento de Flexibilidade</w:t>
            </w:r>
          </w:p>
        </w:tc>
        <w:tc>
          <w:tcPr>
            <w:tcW w:w="1276" w:type="dxa"/>
            <w:tcBorders>
              <w:top w:val="nil"/>
              <w:left w:val="nil"/>
              <w:bottom w:val="single" w:sz="8" w:space="0" w:color="auto"/>
              <w:right w:val="single" w:sz="8" w:space="0" w:color="auto"/>
            </w:tcBorders>
            <w:shd w:val="clear" w:color="auto" w:fill="auto"/>
            <w:vAlign w:val="center"/>
            <w:hideMark/>
          </w:tcPr>
          <w:p w14:paraId="4D16462E"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6A8F3311"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2A703A5"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C439D12"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38ED83FF"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0AED99EB"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r>
      <w:tr w:rsidR="00B07FC0" w:rsidRPr="007C250E" w14:paraId="3CEFF933" w14:textId="77777777" w:rsidTr="00433C4E">
        <w:trPr>
          <w:trHeight w:val="300"/>
        </w:trPr>
        <w:tc>
          <w:tcPr>
            <w:tcW w:w="2967"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D4F3F74" w14:textId="77777777" w:rsidR="00B07FC0" w:rsidRPr="007C250E" w:rsidRDefault="00B07FC0" w:rsidP="00433C4E">
            <w:pPr>
              <w:jc w:val="right"/>
              <w:rPr>
                <w:b/>
                <w:bCs/>
                <w:i/>
                <w:iCs/>
                <w:noProof/>
                <w:sz w:val="16"/>
                <w:szCs w:val="16"/>
              </w:rPr>
            </w:pPr>
            <w:r>
              <w:rPr>
                <w:b/>
                <w:i/>
                <w:noProof/>
                <w:sz w:val="16"/>
              </w:rPr>
              <w:t>Limite máximo</w:t>
            </w:r>
          </w:p>
        </w:tc>
        <w:tc>
          <w:tcPr>
            <w:tcW w:w="1276" w:type="dxa"/>
            <w:tcBorders>
              <w:top w:val="nil"/>
              <w:left w:val="nil"/>
              <w:bottom w:val="single" w:sz="8" w:space="0" w:color="auto"/>
              <w:right w:val="single" w:sz="8" w:space="0" w:color="auto"/>
            </w:tcBorders>
            <w:shd w:val="clear" w:color="auto" w:fill="auto"/>
            <w:vAlign w:val="center"/>
            <w:hideMark/>
          </w:tcPr>
          <w:p w14:paraId="24421C49" w14:textId="77777777" w:rsidR="00B07FC0" w:rsidRPr="007C250E" w:rsidRDefault="00B07FC0" w:rsidP="00433C4E">
            <w:pPr>
              <w:jc w:val="right"/>
              <w:rPr>
                <w:i/>
                <w:iCs/>
                <w:noProof/>
                <w:sz w:val="16"/>
                <w:szCs w:val="16"/>
              </w:rPr>
            </w:pPr>
            <w:r>
              <w:rPr>
                <w:i/>
                <w:noProof/>
                <w:sz w:val="16"/>
              </w:rPr>
              <w:t>15 830 000 000</w:t>
            </w:r>
          </w:p>
        </w:tc>
        <w:tc>
          <w:tcPr>
            <w:tcW w:w="1276" w:type="dxa"/>
            <w:tcBorders>
              <w:top w:val="nil"/>
              <w:left w:val="nil"/>
              <w:bottom w:val="single" w:sz="8" w:space="0" w:color="auto"/>
              <w:right w:val="single" w:sz="8" w:space="0" w:color="auto"/>
            </w:tcBorders>
            <w:shd w:val="clear" w:color="auto" w:fill="auto"/>
            <w:vAlign w:val="center"/>
            <w:hideMark/>
          </w:tcPr>
          <w:p w14:paraId="1743D984" w14:textId="77777777" w:rsidR="00B07FC0" w:rsidRPr="007C250E" w:rsidRDefault="00B07FC0" w:rsidP="00433C4E">
            <w:pPr>
              <w:jc w:val="right"/>
              <w:rPr>
                <w:noProof/>
                <w:sz w:val="16"/>
                <w:szCs w:val="16"/>
              </w:rPr>
            </w:pPr>
            <w:r>
              <w:rPr>
                <w:noProof/>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0FC4AE3" w14:textId="77777777" w:rsidR="00B07FC0" w:rsidRPr="007C250E" w:rsidRDefault="00B07FC0" w:rsidP="00433C4E">
            <w:pPr>
              <w:jc w:val="right"/>
              <w:rPr>
                <w:i/>
                <w:iCs/>
                <w:noProof/>
                <w:sz w:val="16"/>
                <w:szCs w:val="16"/>
              </w:rPr>
            </w:pPr>
            <w:r>
              <w:rPr>
                <w:i/>
                <w:noProof/>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9D1A735" w14:textId="77777777" w:rsidR="00B07FC0" w:rsidRPr="007C250E" w:rsidRDefault="00B07FC0" w:rsidP="00433C4E">
            <w:pPr>
              <w:jc w:val="right"/>
              <w:rPr>
                <w:noProof/>
                <w:sz w:val="16"/>
                <w:szCs w:val="16"/>
              </w:rPr>
            </w:pPr>
            <w:r>
              <w:rPr>
                <w:noProof/>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4B084D55" w14:textId="77777777" w:rsidR="00B07FC0" w:rsidRPr="007C250E" w:rsidRDefault="00B07FC0" w:rsidP="00433C4E">
            <w:pPr>
              <w:jc w:val="right"/>
              <w:rPr>
                <w:i/>
                <w:iCs/>
                <w:noProof/>
                <w:sz w:val="16"/>
                <w:szCs w:val="16"/>
              </w:rPr>
            </w:pPr>
            <w:r>
              <w:rPr>
                <w:i/>
                <w:noProof/>
                <w:sz w:val="16"/>
              </w:rPr>
              <w:t xml:space="preserve">15 830 000 000 </w:t>
            </w:r>
          </w:p>
        </w:tc>
        <w:tc>
          <w:tcPr>
            <w:tcW w:w="1276" w:type="dxa"/>
            <w:tcBorders>
              <w:top w:val="nil"/>
              <w:left w:val="nil"/>
              <w:bottom w:val="single" w:sz="8" w:space="0" w:color="auto"/>
              <w:right w:val="single" w:sz="8" w:space="0" w:color="auto"/>
            </w:tcBorders>
            <w:shd w:val="clear" w:color="auto" w:fill="auto"/>
            <w:vAlign w:val="center"/>
            <w:hideMark/>
          </w:tcPr>
          <w:p w14:paraId="188B8EBF" w14:textId="77777777" w:rsidR="00B07FC0" w:rsidRPr="007C250E" w:rsidRDefault="00B07FC0" w:rsidP="00433C4E">
            <w:pPr>
              <w:jc w:val="right"/>
              <w:rPr>
                <w:noProof/>
                <w:sz w:val="16"/>
                <w:szCs w:val="16"/>
              </w:rPr>
            </w:pPr>
            <w:r>
              <w:rPr>
                <w:noProof/>
                <w:sz w:val="16"/>
              </w:rPr>
              <w:t xml:space="preserve"> </w:t>
            </w:r>
          </w:p>
        </w:tc>
      </w:tr>
      <w:tr w:rsidR="00B07FC0" w:rsidRPr="00B07FC0" w14:paraId="48AC0C4F" w14:textId="77777777" w:rsidTr="00433C4E">
        <w:trPr>
          <w:trHeight w:val="430"/>
        </w:trPr>
        <w:tc>
          <w:tcPr>
            <w:tcW w:w="416" w:type="dxa"/>
            <w:tcBorders>
              <w:top w:val="nil"/>
              <w:left w:val="single" w:sz="8" w:space="0" w:color="auto"/>
              <w:bottom w:val="single" w:sz="8" w:space="0" w:color="auto"/>
              <w:right w:val="nil"/>
            </w:tcBorders>
            <w:shd w:val="clear" w:color="auto" w:fill="auto"/>
            <w:vAlign w:val="center"/>
            <w:hideMark/>
          </w:tcPr>
          <w:p w14:paraId="5D37DBC3" w14:textId="77777777" w:rsidR="00B07FC0" w:rsidRPr="007C250E" w:rsidRDefault="00B07FC0" w:rsidP="00433C4E">
            <w:pPr>
              <w:jc w:val="both"/>
              <w:rPr>
                <w:noProof/>
                <w:color w:val="000000"/>
                <w:sz w:val="16"/>
                <w:szCs w:val="16"/>
              </w:rPr>
            </w:pPr>
            <w:r>
              <w:rPr>
                <w:noProof/>
                <w:color w:val="000000"/>
                <w:sz w:val="16"/>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42F6B78F" w14:textId="77777777" w:rsidR="00B07FC0" w:rsidRPr="00B07FC0" w:rsidRDefault="00B07FC0" w:rsidP="00433C4E">
            <w:pPr>
              <w:jc w:val="right"/>
              <w:rPr>
                <w:b/>
                <w:bCs/>
                <w:noProof/>
                <w:color w:val="000000"/>
                <w:sz w:val="16"/>
                <w:szCs w:val="16"/>
                <w:lang w:val="pt-PT"/>
              </w:rPr>
            </w:pPr>
            <w:r w:rsidRPr="00B07FC0">
              <w:rPr>
                <w:b/>
                <w:noProof/>
                <w:color w:val="000000"/>
                <w:sz w:val="16"/>
                <w:lang w:val="pt-PT"/>
              </w:rPr>
              <w:t>Dos quais, a título do Instrumento de Margem Único (Artigo 11.º, n.º 1, alínea a))</w:t>
            </w:r>
          </w:p>
        </w:tc>
        <w:tc>
          <w:tcPr>
            <w:tcW w:w="1276" w:type="dxa"/>
            <w:tcBorders>
              <w:top w:val="nil"/>
              <w:left w:val="nil"/>
              <w:bottom w:val="single" w:sz="8" w:space="0" w:color="auto"/>
              <w:right w:val="single" w:sz="8" w:space="0" w:color="auto"/>
            </w:tcBorders>
            <w:shd w:val="clear" w:color="auto" w:fill="auto"/>
            <w:vAlign w:val="center"/>
            <w:hideMark/>
          </w:tcPr>
          <w:p w14:paraId="0DECBC1F"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4DF9BC90"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0C3CF36"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2F0F77F"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2153BBC6"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24576AE1"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r>
      <w:tr w:rsidR="00B07FC0" w:rsidRPr="00B07FC0" w14:paraId="39D749FA" w14:textId="77777777" w:rsidTr="00433C4E">
        <w:trPr>
          <w:trHeight w:val="430"/>
        </w:trPr>
        <w:tc>
          <w:tcPr>
            <w:tcW w:w="416" w:type="dxa"/>
            <w:tcBorders>
              <w:top w:val="nil"/>
              <w:left w:val="single" w:sz="8" w:space="0" w:color="auto"/>
              <w:bottom w:val="single" w:sz="8" w:space="0" w:color="auto"/>
              <w:right w:val="nil"/>
            </w:tcBorders>
            <w:shd w:val="clear" w:color="auto" w:fill="auto"/>
            <w:vAlign w:val="center"/>
            <w:hideMark/>
          </w:tcPr>
          <w:p w14:paraId="0B6112FC" w14:textId="77777777" w:rsidR="00B07FC0" w:rsidRPr="00B07FC0" w:rsidRDefault="00B07FC0" w:rsidP="00433C4E">
            <w:pPr>
              <w:jc w:val="both"/>
              <w:rPr>
                <w:noProof/>
                <w:color w:val="000000"/>
                <w:sz w:val="16"/>
                <w:szCs w:val="16"/>
                <w:lang w:val="pt-PT"/>
              </w:rPr>
            </w:pPr>
            <w:r w:rsidRPr="00B07FC0">
              <w:rPr>
                <w:noProof/>
                <w:color w:val="000000"/>
                <w:sz w:val="16"/>
                <w:lang w:val="pt-PT"/>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262210AF" w14:textId="77777777" w:rsidR="00B07FC0" w:rsidRPr="00B07FC0" w:rsidRDefault="00B07FC0" w:rsidP="00433C4E">
            <w:pPr>
              <w:jc w:val="right"/>
              <w:rPr>
                <w:b/>
                <w:bCs/>
                <w:noProof/>
                <w:color w:val="000000"/>
                <w:sz w:val="16"/>
                <w:szCs w:val="16"/>
                <w:lang w:val="pt-PT"/>
              </w:rPr>
            </w:pPr>
            <w:r w:rsidRPr="00B07FC0">
              <w:rPr>
                <w:b/>
                <w:noProof/>
                <w:color w:val="000000"/>
                <w:sz w:val="16"/>
                <w:lang w:val="pt-PT"/>
              </w:rPr>
              <w:t>dos quais, a título do Instrumento de Margem Único (Artigo 11.º, n.º 1, alínea c))</w:t>
            </w:r>
          </w:p>
        </w:tc>
        <w:tc>
          <w:tcPr>
            <w:tcW w:w="1276" w:type="dxa"/>
            <w:tcBorders>
              <w:top w:val="nil"/>
              <w:left w:val="nil"/>
              <w:bottom w:val="single" w:sz="8" w:space="0" w:color="auto"/>
              <w:right w:val="single" w:sz="8" w:space="0" w:color="auto"/>
            </w:tcBorders>
            <w:shd w:val="clear" w:color="auto" w:fill="auto"/>
            <w:vAlign w:val="center"/>
            <w:hideMark/>
          </w:tcPr>
          <w:p w14:paraId="03E6D9D4"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4A3F3BBC"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6E36B18"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D9062B8"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7727EF01"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5208E21D"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r>
      <w:tr w:rsidR="00B07FC0" w:rsidRPr="007C250E" w14:paraId="18A61346" w14:textId="77777777" w:rsidTr="00433C4E">
        <w:trPr>
          <w:trHeight w:val="300"/>
        </w:trPr>
        <w:tc>
          <w:tcPr>
            <w:tcW w:w="2967"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33DD4B0" w14:textId="77777777" w:rsidR="00B07FC0" w:rsidRPr="007C250E" w:rsidRDefault="00B07FC0" w:rsidP="00433C4E">
            <w:pPr>
              <w:jc w:val="right"/>
              <w:rPr>
                <w:b/>
                <w:bCs/>
                <w:i/>
                <w:iCs/>
                <w:noProof/>
                <w:color w:val="000000"/>
                <w:sz w:val="16"/>
                <w:szCs w:val="16"/>
              </w:rPr>
            </w:pPr>
            <w:r>
              <w:rPr>
                <w:b/>
                <w:i/>
                <w:noProof/>
                <w:color w:val="000000"/>
                <w:sz w:val="16"/>
              </w:rPr>
              <w:t>Margem</w:t>
            </w:r>
          </w:p>
        </w:tc>
        <w:tc>
          <w:tcPr>
            <w:tcW w:w="1276" w:type="dxa"/>
            <w:tcBorders>
              <w:top w:val="nil"/>
              <w:left w:val="nil"/>
              <w:bottom w:val="single" w:sz="8" w:space="0" w:color="auto"/>
              <w:right w:val="single" w:sz="8" w:space="0" w:color="auto"/>
            </w:tcBorders>
            <w:shd w:val="clear" w:color="auto" w:fill="auto"/>
            <w:vAlign w:val="center"/>
            <w:hideMark/>
          </w:tcPr>
          <w:p w14:paraId="461527BF" w14:textId="77777777" w:rsidR="00B07FC0" w:rsidRPr="007C250E" w:rsidRDefault="00B07FC0" w:rsidP="00433C4E">
            <w:pPr>
              <w:jc w:val="right"/>
              <w:rPr>
                <w:noProof/>
                <w:color w:val="000000"/>
                <w:sz w:val="16"/>
                <w:szCs w:val="16"/>
              </w:rPr>
            </w:pPr>
            <w:r>
              <w:rPr>
                <w:noProof/>
                <w:color w:val="000000"/>
                <w:sz w:val="16"/>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34A2B2FD" w14:textId="77777777" w:rsidR="00B07FC0" w:rsidRPr="007C250E" w:rsidRDefault="00B07FC0" w:rsidP="00433C4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0B95D43" w14:textId="77777777" w:rsidR="00B07FC0" w:rsidRPr="007C250E" w:rsidRDefault="00B07FC0" w:rsidP="00433C4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23BCCE0" w14:textId="77777777" w:rsidR="00B07FC0" w:rsidRPr="007C250E" w:rsidRDefault="00B07FC0" w:rsidP="00433C4E">
            <w:pPr>
              <w:jc w:val="right"/>
              <w:rPr>
                <w:noProof/>
                <w:color w:val="000000"/>
                <w:sz w:val="16"/>
                <w:szCs w:val="16"/>
              </w:rPr>
            </w:pPr>
            <w:r>
              <w:rPr>
                <w:noProof/>
                <w:color w:val="000000"/>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0B2F78AE" w14:textId="77777777" w:rsidR="00B07FC0" w:rsidRPr="007C250E" w:rsidRDefault="00B07FC0" w:rsidP="00433C4E">
            <w:pPr>
              <w:jc w:val="right"/>
              <w:rPr>
                <w:noProof/>
                <w:color w:val="000000"/>
                <w:sz w:val="16"/>
                <w:szCs w:val="16"/>
              </w:rPr>
            </w:pPr>
            <w:r>
              <w:rPr>
                <w:noProof/>
                <w:color w:val="000000"/>
                <w:sz w:val="16"/>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373573BE" w14:textId="77777777" w:rsidR="00B07FC0" w:rsidRPr="007C250E" w:rsidRDefault="00B07FC0" w:rsidP="00433C4E">
            <w:pPr>
              <w:jc w:val="right"/>
              <w:rPr>
                <w:noProof/>
                <w:color w:val="000000"/>
                <w:sz w:val="16"/>
                <w:szCs w:val="16"/>
              </w:rPr>
            </w:pPr>
            <w:r>
              <w:rPr>
                <w:noProof/>
                <w:color w:val="000000"/>
                <w:sz w:val="16"/>
              </w:rPr>
              <w:t xml:space="preserve"> </w:t>
            </w:r>
          </w:p>
        </w:tc>
      </w:tr>
      <w:tr w:rsidR="00B07FC0" w:rsidRPr="007C250E" w14:paraId="288B4DA4" w14:textId="77777777" w:rsidTr="00433C4E">
        <w:trPr>
          <w:trHeight w:val="300"/>
        </w:trPr>
        <w:tc>
          <w:tcPr>
            <w:tcW w:w="416" w:type="dxa"/>
            <w:tcBorders>
              <w:top w:val="nil"/>
              <w:left w:val="single" w:sz="8" w:space="0" w:color="auto"/>
              <w:bottom w:val="single" w:sz="8" w:space="0" w:color="auto"/>
              <w:right w:val="nil"/>
            </w:tcBorders>
            <w:shd w:val="clear" w:color="000000" w:fill="D9D9D9"/>
            <w:vAlign w:val="center"/>
            <w:hideMark/>
          </w:tcPr>
          <w:p w14:paraId="363E1057" w14:textId="77777777" w:rsidR="00B07FC0" w:rsidRPr="007C250E" w:rsidRDefault="00B07FC0" w:rsidP="00433C4E">
            <w:pPr>
              <w:jc w:val="both"/>
              <w:rPr>
                <w:b/>
                <w:bCs/>
                <w:noProof/>
                <w:sz w:val="16"/>
                <w:szCs w:val="16"/>
              </w:rPr>
            </w:pPr>
            <w:r>
              <w:rPr>
                <w:b/>
                <w:noProof/>
                <w:sz w:val="16"/>
              </w:rPr>
              <w:t>7.</w:t>
            </w:r>
          </w:p>
        </w:tc>
        <w:tc>
          <w:tcPr>
            <w:tcW w:w="2551" w:type="dxa"/>
            <w:tcBorders>
              <w:top w:val="nil"/>
              <w:left w:val="nil"/>
              <w:bottom w:val="single" w:sz="8" w:space="0" w:color="auto"/>
              <w:right w:val="single" w:sz="8" w:space="0" w:color="auto"/>
            </w:tcBorders>
            <w:shd w:val="clear" w:color="000000" w:fill="D9D9D9"/>
            <w:vAlign w:val="center"/>
            <w:hideMark/>
          </w:tcPr>
          <w:p w14:paraId="06059E05" w14:textId="77777777" w:rsidR="00B07FC0" w:rsidRPr="007C250E" w:rsidRDefault="00B07FC0" w:rsidP="00433C4E">
            <w:pPr>
              <w:jc w:val="both"/>
              <w:rPr>
                <w:b/>
                <w:bCs/>
                <w:noProof/>
                <w:sz w:val="16"/>
                <w:szCs w:val="16"/>
              </w:rPr>
            </w:pPr>
            <w:r>
              <w:rPr>
                <w:b/>
                <w:noProof/>
                <w:sz w:val="16"/>
              </w:rPr>
              <w:t>Administração Pública Europeia</w:t>
            </w:r>
          </w:p>
        </w:tc>
        <w:tc>
          <w:tcPr>
            <w:tcW w:w="1276" w:type="dxa"/>
            <w:tcBorders>
              <w:top w:val="nil"/>
              <w:left w:val="nil"/>
              <w:bottom w:val="single" w:sz="8" w:space="0" w:color="auto"/>
              <w:right w:val="single" w:sz="8" w:space="0" w:color="auto"/>
            </w:tcBorders>
            <w:shd w:val="clear" w:color="000000" w:fill="D9D9D9"/>
            <w:vAlign w:val="center"/>
            <w:hideMark/>
          </w:tcPr>
          <w:p w14:paraId="208BD313" w14:textId="77777777" w:rsidR="00B07FC0" w:rsidRPr="007C250E" w:rsidRDefault="00B07FC0" w:rsidP="00433C4E">
            <w:pPr>
              <w:jc w:val="right"/>
              <w:rPr>
                <w:b/>
                <w:bCs/>
                <w:noProof/>
                <w:sz w:val="16"/>
                <w:szCs w:val="16"/>
              </w:rPr>
            </w:pPr>
            <w:r>
              <w:rPr>
                <w:b/>
                <w:noProof/>
                <w:sz w:val="16"/>
              </w:rPr>
              <w:t>11 949 625 456</w:t>
            </w:r>
          </w:p>
        </w:tc>
        <w:tc>
          <w:tcPr>
            <w:tcW w:w="1276" w:type="dxa"/>
            <w:tcBorders>
              <w:top w:val="nil"/>
              <w:left w:val="nil"/>
              <w:bottom w:val="single" w:sz="8" w:space="0" w:color="auto"/>
              <w:right w:val="single" w:sz="8" w:space="0" w:color="auto"/>
            </w:tcBorders>
            <w:shd w:val="clear" w:color="000000" w:fill="D9D9D9"/>
            <w:vAlign w:val="center"/>
            <w:hideMark/>
          </w:tcPr>
          <w:p w14:paraId="2F2D4EA7" w14:textId="77777777" w:rsidR="00B07FC0" w:rsidRPr="007C250E" w:rsidRDefault="00B07FC0" w:rsidP="00433C4E">
            <w:pPr>
              <w:jc w:val="right"/>
              <w:rPr>
                <w:b/>
                <w:bCs/>
                <w:noProof/>
                <w:sz w:val="16"/>
                <w:szCs w:val="16"/>
              </w:rPr>
            </w:pPr>
            <w:r>
              <w:rPr>
                <w:b/>
                <w:noProof/>
                <w:sz w:val="16"/>
              </w:rPr>
              <w:t>11 949 625 456</w:t>
            </w:r>
          </w:p>
        </w:tc>
        <w:tc>
          <w:tcPr>
            <w:tcW w:w="1134" w:type="dxa"/>
            <w:tcBorders>
              <w:top w:val="nil"/>
              <w:left w:val="nil"/>
              <w:bottom w:val="single" w:sz="8" w:space="0" w:color="auto"/>
              <w:right w:val="single" w:sz="8" w:space="0" w:color="auto"/>
            </w:tcBorders>
            <w:shd w:val="clear" w:color="000000" w:fill="D9D9D9"/>
            <w:vAlign w:val="center"/>
            <w:hideMark/>
          </w:tcPr>
          <w:p w14:paraId="782F32D5" w14:textId="77777777" w:rsidR="00B07FC0" w:rsidRPr="007C250E" w:rsidRDefault="00B07FC0" w:rsidP="00433C4E">
            <w:pPr>
              <w:jc w:val="right"/>
              <w:rPr>
                <w:b/>
                <w:bCs/>
                <w:noProof/>
                <w:sz w:val="16"/>
                <w:szCs w:val="16"/>
              </w:rPr>
            </w:pPr>
            <w:r>
              <w:rPr>
                <w:b/>
                <w:noProof/>
                <w:sz w:val="16"/>
              </w:rPr>
              <w:t xml:space="preserve">4 588 100 </w:t>
            </w:r>
          </w:p>
        </w:tc>
        <w:tc>
          <w:tcPr>
            <w:tcW w:w="1134" w:type="dxa"/>
            <w:tcBorders>
              <w:top w:val="nil"/>
              <w:left w:val="nil"/>
              <w:bottom w:val="single" w:sz="8" w:space="0" w:color="auto"/>
              <w:right w:val="single" w:sz="8" w:space="0" w:color="auto"/>
            </w:tcBorders>
            <w:shd w:val="clear" w:color="000000" w:fill="D9D9D9"/>
            <w:vAlign w:val="center"/>
            <w:hideMark/>
          </w:tcPr>
          <w:p w14:paraId="45BE113C" w14:textId="77777777" w:rsidR="00B07FC0" w:rsidRPr="007C250E" w:rsidRDefault="00B07FC0" w:rsidP="00433C4E">
            <w:pPr>
              <w:jc w:val="right"/>
              <w:rPr>
                <w:b/>
                <w:bCs/>
                <w:noProof/>
                <w:sz w:val="16"/>
                <w:szCs w:val="16"/>
              </w:rPr>
            </w:pPr>
            <w:r>
              <w:rPr>
                <w:b/>
                <w:noProof/>
                <w:sz w:val="16"/>
              </w:rPr>
              <w:t xml:space="preserve">4 588 100 </w:t>
            </w:r>
          </w:p>
        </w:tc>
        <w:tc>
          <w:tcPr>
            <w:tcW w:w="1275" w:type="dxa"/>
            <w:tcBorders>
              <w:top w:val="nil"/>
              <w:left w:val="nil"/>
              <w:bottom w:val="single" w:sz="8" w:space="0" w:color="auto"/>
              <w:right w:val="single" w:sz="8" w:space="0" w:color="auto"/>
            </w:tcBorders>
            <w:shd w:val="clear" w:color="000000" w:fill="D9D9D9"/>
            <w:vAlign w:val="center"/>
            <w:hideMark/>
          </w:tcPr>
          <w:p w14:paraId="27A80E61" w14:textId="77777777" w:rsidR="00B07FC0" w:rsidRPr="007C250E" w:rsidRDefault="00B07FC0" w:rsidP="00433C4E">
            <w:pPr>
              <w:jc w:val="right"/>
              <w:rPr>
                <w:b/>
                <w:bCs/>
                <w:noProof/>
                <w:sz w:val="16"/>
                <w:szCs w:val="16"/>
              </w:rPr>
            </w:pPr>
            <w:r>
              <w:rPr>
                <w:b/>
                <w:noProof/>
                <w:sz w:val="16"/>
              </w:rPr>
              <w:t xml:space="preserve">11 954 213 556 </w:t>
            </w:r>
          </w:p>
        </w:tc>
        <w:tc>
          <w:tcPr>
            <w:tcW w:w="1276" w:type="dxa"/>
            <w:tcBorders>
              <w:top w:val="nil"/>
              <w:left w:val="nil"/>
              <w:bottom w:val="single" w:sz="8" w:space="0" w:color="auto"/>
              <w:right w:val="single" w:sz="8" w:space="0" w:color="auto"/>
            </w:tcBorders>
            <w:shd w:val="clear" w:color="000000" w:fill="D9D9D9"/>
            <w:vAlign w:val="center"/>
            <w:hideMark/>
          </w:tcPr>
          <w:p w14:paraId="753C6212" w14:textId="77777777" w:rsidR="00B07FC0" w:rsidRPr="007C250E" w:rsidRDefault="00B07FC0" w:rsidP="00433C4E">
            <w:pPr>
              <w:jc w:val="right"/>
              <w:rPr>
                <w:b/>
                <w:bCs/>
                <w:noProof/>
                <w:sz w:val="16"/>
                <w:szCs w:val="16"/>
              </w:rPr>
            </w:pPr>
            <w:r>
              <w:rPr>
                <w:b/>
                <w:noProof/>
                <w:sz w:val="16"/>
              </w:rPr>
              <w:t xml:space="preserve">11 954 213 556 </w:t>
            </w:r>
          </w:p>
        </w:tc>
      </w:tr>
      <w:tr w:rsidR="00B07FC0" w:rsidRPr="007C250E" w14:paraId="08C110B3" w14:textId="77777777" w:rsidTr="00433C4E">
        <w:trPr>
          <w:trHeight w:val="300"/>
        </w:trPr>
        <w:tc>
          <w:tcPr>
            <w:tcW w:w="2967"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032E6539" w14:textId="77777777" w:rsidR="00B07FC0" w:rsidRPr="007C250E" w:rsidRDefault="00B07FC0" w:rsidP="00433C4E">
            <w:pPr>
              <w:jc w:val="right"/>
              <w:rPr>
                <w:b/>
                <w:bCs/>
                <w:i/>
                <w:iCs/>
                <w:noProof/>
                <w:sz w:val="16"/>
                <w:szCs w:val="16"/>
              </w:rPr>
            </w:pPr>
            <w:r>
              <w:rPr>
                <w:b/>
                <w:i/>
                <w:noProof/>
                <w:sz w:val="16"/>
              </w:rPr>
              <w:t>Limite máximo</w:t>
            </w:r>
          </w:p>
        </w:tc>
        <w:tc>
          <w:tcPr>
            <w:tcW w:w="1276" w:type="dxa"/>
            <w:tcBorders>
              <w:top w:val="nil"/>
              <w:left w:val="nil"/>
              <w:bottom w:val="single" w:sz="8" w:space="0" w:color="auto"/>
              <w:right w:val="single" w:sz="8" w:space="0" w:color="auto"/>
            </w:tcBorders>
            <w:shd w:val="clear" w:color="auto" w:fill="auto"/>
            <w:vAlign w:val="center"/>
            <w:hideMark/>
          </w:tcPr>
          <w:p w14:paraId="25EDEA9D" w14:textId="77777777" w:rsidR="00B07FC0" w:rsidRPr="007C250E" w:rsidRDefault="00B07FC0" w:rsidP="00433C4E">
            <w:pPr>
              <w:jc w:val="right"/>
              <w:rPr>
                <w:i/>
                <w:iCs/>
                <w:noProof/>
                <w:sz w:val="16"/>
                <w:szCs w:val="16"/>
              </w:rPr>
            </w:pPr>
            <w:r>
              <w:rPr>
                <w:i/>
                <w:noProof/>
                <w:sz w:val="16"/>
              </w:rPr>
              <w:t>11 773 000 000</w:t>
            </w:r>
          </w:p>
        </w:tc>
        <w:tc>
          <w:tcPr>
            <w:tcW w:w="1276" w:type="dxa"/>
            <w:tcBorders>
              <w:top w:val="nil"/>
              <w:left w:val="nil"/>
              <w:bottom w:val="single" w:sz="8" w:space="0" w:color="auto"/>
              <w:right w:val="single" w:sz="8" w:space="0" w:color="auto"/>
            </w:tcBorders>
            <w:shd w:val="clear" w:color="auto" w:fill="auto"/>
            <w:vAlign w:val="center"/>
            <w:hideMark/>
          </w:tcPr>
          <w:p w14:paraId="334E57A3" w14:textId="77777777" w:rsidR="00B07FC0" w:rsidRPr="007C250E" w:rsidRDefault="00B07FC0" w:rsidP="00433C4E">
            <w:pPr>
              <w:jc w:val="right"/>
              <w:rPr>
                <w:noProof/>
                <w:sz w:val="16"/>
                <w:szCs w:val="16"/>
              </w:rPr>
            </w:pPr>
            <w:r>
              <w:rPr>
                <w:noProof/>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F84E772" w14:textId="77777777" w:rsidR="00B07FC0" w:rsidRPr="007C250E" w:rsidRDefault="00B07FC0" w:rsidP="00433C4E">
            <w:pPr>
              <w:jc w:val="right"/>
              <w:rPr>
                <w:i/>
                <w:iCs/>
                <w:noProof/>
                <w:sz w:val="16"/>
                <w:szCs w:val="16"/>
              </w:rPr>
            </w:pPr>
            <w:r>
              <w:rPr>
                <w:i/>
                <w:noProof/>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8AFFB73" w14:textId="77777777" w:rsidR="00B07FC0" w:rsidRPr="007C250E" w:rsidRDefault="00B07FC0" w:rsidP="00433C4E">
            <w:pPr>
              <w:jc w:val="right"/>
              <w:rPr>
                <w:noProof/>
                <w:sz w:val="16"/>
                <w:szCs w:val="16"/>
              </w:rPr>
            </w:pPr>
            <w:r>
              <w:rPr>
                <w:noProof/>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624E27FE" w14:textId="77777777" w:rsidR="00B07FC0" w:rsidRPr="007C250E" w:rsidRDefault="00B07FC0" w:rsidP="00433C4E">
            <w:pPr>
              <w:jc w:val="right"/>
              <w:rPr>
                <w:i/>
                <w:iCs/>
                <w:noProof/>
                <w:sz w:val="16"/>
                <w:szCs w:val="16"/>
              </w:rPr>
            </w:pPr>
            <w:r>
              <w:rPr>
                <w:i/>
                <w:noProof/>
                <w:sz w:val="16"/>
              </w:rPr>
              <w:t xml:space="preserve">11 773 000 000 </w:t>
            </w:r>
          </w:p>
        </w:tc>
        <w:tc>
          <w:tcPr>
            <w:tcW w:w="1276" w:type="dxa"/>
            <w:tcBorders>
              <w:top w:val="nil"/>
              <w:left w:val="nil"/>
              <w:bottom w:val="single" w:sz="8" w:space="0" w:color="auto"/>
              <w:right w:val="single" w:sz="8" w:space="0" w:color="auto"/>
            </w:tcBorders>
            <w:shd w:val="clear" w:color="auto" w:fill="auto"/>
            <w:vAlign w:val="center"/>
            <w:hideMark/>
          </w:tcPr>
          <w:p w14:paraId="6B612478" w14:textId="77777777" w:rsidR="00B07FC0" w:rsidRPr="007C250E" w:rsidRDefault="00B07FC0" w:rsidP="00433C4E">
            <w:pPr>
              <w:jc w:val="right"/>
              <w:rPr>
                <w:noProof/>
                <w:sz w:val="16"/>
                <w:szCs w:val="16"/>
              </w:rPr>
            </w:pPr>
            <w:r>
              <w:rPr>
                <w:noProof/>
                <w:sz w:val="16"/>
              </w:rPr>
              <w:t xml:space="preserve"> </w:t>
            </w:r>
          </w:p>
        </w:tc>
      </w:tr>
      <w:tr w:rsidR="00B07FC0" w:rsidRPr="00B07FC0" w14:paraId="3DF8161F" w14:textId="77777777" w:rsidTr="00433C4E">
        <w:trPr>
          <w:trHeight w:val="300"/>
        </w:trPr>
        <w:tc>
          <w:tcPr>
            <w:tcW w:w="416" w:type="dxa"/>
            <w:tcBorders>
              <w:top w:val="nil"/>
              <w:left w:val="single" w:sz="8" w:space="0" w:color="auto"/>
              <w:bottom w:val="single" w:sz="8" w:space="0" w:color="auto"/>
              <w:right w:val="nil"/>
            </w:tcBorders>
            <w:shd w:val="clear" w:color="auto" w:fill="auto"/>
            <w:vAlign w:val="center"/>
            <w:hideMark/>
          </w:tcPr>
          <w:p w14:paraId="71AA554D" w14:textId="77777777" w:rsidR="00B07FC0" w:rsidRPr="007C250E" w:rsidRDefault="00B07FC0" w:rsidP="00433C4E">
            <w:pPr>
              <w:jc w:val="both"/>
              <w:rPr>
                <w:noProof/>
                <w:color w:val="000000"/>
                <w:sz w:val="16"/>
                <w:szCs w:val="16"/>
              </w:rPr>
            </w:pPr>
            <w:r>
              <w:rPr>
                <w:noProof/>
                <w:color w:val="000000"/>
                <w:sz w:val="16"/>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2E97669B" w14:textId="77777777" w:rsidR="00B07FC0" w:rsidRPr="00B07FC0" w:rsidRDefault="00B07FC0" w:rsidP="00433C4E">
            <w:pPr>
              <w:jc w:val="right"/>
              <w:rPr>
                <w:b/>
                <w:bCs/>
                <w:noProof/>
                <w:color w:val="000000"/>
                <w:sz w:val="16"/>
                <w:szCs w:val="16"/>
                <w:lang w:val="pt-PT"/>
              </w:rPr>
            </w:pPr>
            <w:r w:rsidRPr="00B07FC0">
              <w:rPr>
                <w:b/>
                <w:noProof/>
                <w:color w:val="000000"/>
                <w:sz w:val="16"/>
                <w:lang w:val="pt-PT"/>
              </w:rPr>
              <w:t>Dos quais, a título do Instrumento de Flexibilidade</w:t>
            </w:r>
          </w:p>
        </w:tc>
        <w:tc>
          <w:tcPr>
            <w:tcW w:w="1276" w:type="dxa"/>
            <w:tcBorders>
              <w:top w:val="nil"/>
              <w:left w:val="nil"/>
              <w:bottom w:val="single" w:sz="8" w:space="0" w:color="auto"/>
              <w:right w:val="single" w:sz="8" w:space="0" w:color="auto"/>
            </w:tcBorders>
            <w:shd w:val="clear" w:color="auto" w:fill="auto"/>
            <w:vAlign w:val="center"/>
            <w:hideMark/>
          </w:tcPr>
          <w:p w14:paraId="01481710"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45A9709E"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05232E5"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C7743CC"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4670C353"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6F02154D"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r>
      <w:tr w:rsidR="00B07FC0" w:rsidRPr="007C250E" w14:paraId="563CFC1D" w14:textId="77777777" w:rsidTr="00433C4E">
        <w:trPr>
          <w:trHeight w:val="430"/>
        </w:trPr>
        <w:tc>
          <w:tcPr>
            <w:tcW w:w="416" w:type="dxa"/>
            <w:tcBorders>
              <w:top w:val="nil"/>
              <w:left w:val="single" w:sz="8" w:space="0" w:color="auto"/>
              <w:bottom w:val="single" w:sz="8" w:space="0" w:color="auto"/>
              <w:right w:val="nil"/>
            </w:tcBorders>
            <w:shd w:val="clear" w:color="auto" w:fill="auto"/>
            <w:vAlign w:val="center"/>
            <w:hideMark/>
          </w:tcPr>
          <w:p w14:paraId="71757382" w14:textId="77777777" w:rsidR="00B07FC0" w:rsidRPr="00B07FC0" w:rsidRDefault="00B07FC0" w:rsidP="00433C4E">
            <w:pPr>
              <w:jc w:val="both"/>
              <w:rPr>
                <w:noProof/>
                <w:sz w:val="16"/>
                <w:szCs w:val="16"/>
                <w:lang w:val="pt-PT"/>
              </w:rPr>
            </w:pPr>
            <w:r w:rsidRPr="00B07FC0">
              <w:rPr>
                <w:noProof/>
                <w:sz w:val="16"/>
                <w:lang w:val="pt-PT"/>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41DD30AC" w14:textId="77777777" w:rsidR="00B07FC0" w:rsidRPr="00B07FC0" w:rsidRDefault="00B07FC0" w:rsidP="00433C4E">
            <w:pPr>
              <w:jc w:val="right"/>
              <w:rPr>
                <w:b/>
                <w:bCs/>
                <w:noProof/>
                <w:sz w:val="16"/>
                <w:szCs w:val="16"/>
                <w:lang w:val="pt-PT"/>
              </w:rPr>
            </w:pPr>
            <w:r w:rsidRPr="00B07FC0">
              <w:rPr>
                <w:b/>
                <w:noProof/>
                <w:sz w:val="16"/>
                <w:lang w:val="pt-PT"/>
              </w:rPr>
              <w:t>Dos quais, a título do Instrumento de Margem Único (Artigo 11.º, n.º 1, alínea a))</w:t>
            </w:r>
          </w:p>
        </w:tc>
        <w:tc>
          <w:tcPr>
            <w:tcW w:w="1276" w:type="dxa"/>
            <w:tcBorders>
              <w:top w:val="nil"/>
              <w:left w:val="nil"/>
              <w:bottom w:val="single" w:sz="8" w:space="0" w:color="auto"/>
              <w:right w:val="single" w:sz="8" w:space="0" w:color="auto"/>
            </w:tcBorders>
            <w:shd w:val="clear" w:color="auto" w:fill="auto"/>
            <w:vAlign w:val="center"/>
            <w:hideMark/>
          </w:tcPr>
          <w:p w14:paraId="5DA1066E" w14:textId="77777777" w:rsidR="00B07FC0" w:rsidRPr="007C250E" w:rsidRDefault="00B07FC0" w:rsidP="00433C4E">
            <w:pPr>
              <w:jc w:val="right"/>
              <w:rPr>
                <w:i/>
                <w:iCs/>
                <w:noProof/>
                <w:sz w:val="16"/>
                <w:szCs w:val="16"/>
              </w:rPr>
            </w:pPr>
            <w:r>
              <w:rPr>
                <w:i/>
                <w:noProof/>
                <w:sz w:val="16"/>
              </w:rPr>
              <w:t>176 625 456</w:t>
            </w:r>
          </w:p>
        </w:tc>
        <w:tc>
          <w:tcPr>
            <w:tcW w:w="1276" w:type="dxa"/>
            <w:tcBorders>
              <w:top w:val="nil"/>
              <w:left w:val="nil"/>
              <w:bottom w:val="single" w:sz="8" w:space="0" w:color="auto"/>
              <w:right w:val="single" w:sz="8" w:space="0" w:color="auto"/>
            </w:tcBorders>
            <w:shd w:val="clear" w:color="auto" w:fill="auto"/>
            <w:vAlign w:val="center"/>
            <w:hideMark/>
          </w:tcPr>
          <w:p w14:paraId="0580A2E6" w14:textId="77777777" w:rsidR="00B07FC0" w:rsidRPr="007C250E" w:rsidRDefault="00B07FC0" w:rsidP="00433C4E">
            <w:pPr>
              <w:jc w:val="right"/>
              <w:rPr>
                <w:noProof/>
                <w:sz w:val="16"/>
                <w:szCs w:val="16"/>
              </w:rPr>
            </w:pPr>
            <w:r>
              <w:rPr>
                <w:noProof/>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2F60B7A" w14:textId="77777777" w:rsidR="00B07FC0" w:rsidRPr="007C250E" w:rsidRDefault="00B07FC0" w:rsidP="00433C4E">
            <w:pPr>
              <w:jc w:val="right"/>
              <w:rPr>
                <w:i/>
                <w:iCs/>
                <w:noProof/>
                <w:sz w:val="16"/>
                <w:szCs w:val="16"/>
              </w:rPr>
            </w:pPr>
            <w:r>
              <w:rPr>
                <w:i/>
                <w:noProof/>
                <w:sz w:val="16"/>
              </w:rPr>
              <w:t xml:space="preserve">4 588 100 </w:t>
            </w:r>
          </w:p>
        </w:tc>
        <w:tc>
          <w:tcPr>
            <w:tcW w:w="1134" w:type="dxa"/>
            <w:tcBorders>
              <w:top w:val="nil"/>
              <w:left w:val="nil"/>
              <w:bottom w:val="single" w:sz="8" w:space="0" w:color="auto"/>
              <w:right w:val="single" w:sz="8" w:space="0" w:color="auto"/>
            </w:tcBorders>
            <w:shd w:val="clear" w:color="auto" w:fill="auto"/>
            <w:vAlign w:val="center"/>
            <w:hideMark/>
          </w:tcPr>
          <w:p w14:paraId="24230A75" w14:textId="77777777" w:rsidR="00B07FC0" w:rsidRPr="007C250E" w:rsidRDefault="00B07FC0" w:rsidP="00433C4E">
            <w:pPr>
              <w:jc w:val="right"/>
              <w:rPr>
                <w:i/>
                <w:iCs/>
                <w:noProof/>
                <w:sz w:val="16"/>
                <w:szCs w:val="16"/>
              </w:rPr>
            </w:pPr>
            <w:r>
              <w:rPr>
                <w:i/>
                <w:noProof/>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6F54FAC0" w14:textId="77777777" w:rsidR="00B07FC0" w:rsidRPr="007C250E" w:rsidRDefault="00B07FC0" w:rsidP="00433C4E">
            <w:pPr>
              <w:jc w:val="right"/>
              <w:rPr>
                <w:i/>
                <w:iCs/>
                <w:noProof/>
                <w:sz w:val="16"/>
                <w:szCs w:val="16"/>
              </w:rPr>
            </w:pPr>
            <w:r>
              <w:rPr>
                <w:i/>
                <w:noProof/>
                <w:sz w:val="16"/>
              </w:rPr>
              <w:t xml:space="preserve">181 213 556 </w:t>
            </w:r>
          </w:p>
        </w:tc>
        <w:tc>
          <w:tcPr>
            <w:tcW w:w="1276" w:type="dxa"/>
            <w:tcBorders>
              <w:top w:val="nil"/>
              <w:left w:val="nil"/>
              <w:bottom w:val="single" w:sz="8" w:space="0" w:color="auto"/>
              <w:right w:val="single" w:sz="8" w:space="0" w:color="auto"/>
            </w:tcBorders>
            <w:shd w:val="clear" w:color="auto" w:fill="auto"/>
            <w:vAlign w:val="center"/>
            <w:hideMark/>
          </w:tcPr>
          <w:p w14:paraId="2A248632" w14:textId="77777777" w:rsidR="00B07FC0" w:rsidRPr="007C250E" w:rsidRDefault="00B07FC0" w:rsidP="00433C4E">
            <w:pPr>
              <w:jc w:val="right"/>
              <w:rPr>
                <w:noProof/>
                <w:sz w:val="16"/>
                <w:szCs w:val="16"/>
              </w:rPr>
            </w:pPr>
            <w:r>
              <w:rPr>
                <w:noProof/>
                <w:sz w:val="16"/>
              </w:rPr>
              <w:t xml:space="preserve"> </w:t>
            </w:r>
          </w:p>
        </w:tc>
      </w:tr>
      <w:tr w:rsidR="00B07FC0" w:rsidRPr="00B07FC0" w14:paraId="2BBC92E4" w14:textId="77777777" w:rsidTr="00433C4E">
        <w:trPr>
          <w:trHeight w:val="430"/>
        </w:trPr>
        <w:tc>
          <w:tcPr>
            <w:tcW w:w="416" w:type="dxa"/>
            <w:tcBorders>
              <w:top w:val="nil"/>
              <w:left w:val="single" w:sz="8" w:space="0" w:color="auto"/>
              <w:bottom w:val="single" w:sz="8" w:space="0" w:color="auto"/>
              <w:right w:val="nil"/>
            </w:tcBorders>
            <w:shd w:val="clear" w:color="auto" w:fill="auto"/>
            <w:vAlign w:val="center"/>
            <w:hideMark/>
          </w:tcPr>
          <w:p w14:paraId="7CA0B71A" w14:textId="77777777" w:rsidR="00B07FC0" w:rsidRPr="007C250E" w:rsidRDefault="00B07FC0" w:rsidP="00433C4E">
            <w:pPr>
              <w:jc w:val="both"/>
              <w:rPr>
                <w:noProof/>
                <w:color w:val="000000"/>
                <w:sz w:val="16"/>
                <w:szCs w:val="16"/>
              </w:rPr>
            </w:pPr>
            <w:r>
              <w:rPr>
                <w:noProof/>
                <w:color w:val="000000"/>
                <w:sz w:val="16"/>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3C9D6718" w14:textId="77777777" w:rsidR="00B07FC0" w:rsidRPr="00B07FC0" w:rsidRDefault="00B07FC0" w:rsidP="00433C4E">
            <w:pPr>
              <w:jc w:val="right"/>
              <w:rPr>
                <w:b/>
                <w:bCs/>
                <w:noProof/>
                <w:color w:val="000000"/>
                <w:sz w:val="16"/>
                <w:szCs w:val="16"/>
                <w:lang w:val="pt-PT"/>
              </w:rPr>
            </w:pPr>
            <w:r w:rsidRPr="00B07FC0">
              <w:rPr>
                <w:b/>
                <w:noProof/>
                <w:color w:val="000000"/>
                <w:sz w:val="16"/>
                <w:lang w:val="pt-PT"/>
              </w:rPr>
              <w:t>dos quais, a título do Instrumento de Margem Único (Artigo 11.º, n.º 1, alínea c))</w:t>
            </w:r>
          </w:p>
        </w:tc>
        <w:tc>
          <w:tcPr>
            <w:tcW w:w="1276" w:type="dxa"/>
            <w:tcBorders>
              <w:top w:val="nil"/>
              <w:left w:val="nil"/>
              <w:bottom w:val="single" w:sz="8" w:space="0" w:color="auto"/>
              <w:right w:val="single" w:sz="8" w:space="0" w:color="auto"/>
            </w:tcBorders>
            <w:shd w:val="clear" w:color="auto" w:fill="auto"/>
            <w:vAlign w:val="center"/>
            <w:hideMark/>
          </w:tcPr>
          <w:p w14:paraId="7D88C6ED"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03446FAE"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37D2A2B"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3C7AA29"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3DD7BF16"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18CA80D1"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r>
      <w:tr w:rsidR="00B07FC0" w:rsidRPr="007C250E" w14:paraId="4A542008" w14:textId="77777777" w:rsidTr="00433C4E">
        <w:trPr>
          <w:trHeight w:val="300"/>
        </w:trPr>
        <w:tc>
          <w:tcPr>
            <w:tcW w:w="2967"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C5BFACF" w14:textId="77777777" w:rsidR="00B07FC0" w:rsidRPr="007C250E" w:rsidRDefault="00B07FC0" w:rsidP="00433C4E">
            <w:pPr>
              <w:jc w:val="right"/>
              <w:rPr>
                <w:b/>
                <w:bCs/>
                <w:i/>
                <w:iCs/>
                <w:noProof/>
                <w:color w:val="000000"/>
                <w:sz w:val="16"/>
                <w:szCs w:val="16"/>
              </w:rPr>
            </w:pPr>
            <w:r>
              <w:rPr>
                <w:b/>
                <w:i/>
                <w:noProof/>
                <w:color w:val="000000"/>
                <w:sz w:val="16"/>
              </w:rPr>
              <w:t>Margem</w:t>
            </w:r>
          </w:p>
        </w:tc>
        <w:tc>
          <w:tcPr>
            <w:tcW w:w="1276" w:type="dxa"/>
            <w:tcBorders>
              <w:top w:val="nil"/>
              <w:left w:val="nil"/>
              <w:bottom w:val="single" w:sz="8" w:space="0" w:color="auto"/>
              <w:right w:val="single" w:sz="8" w:space="0" w:color="auto"/>
            </w:tcBorders>
            <w:shd w:val="clear" w:color="auto" w:fill="auto"/>
            <w:vAlign w:val="center"/>
            <w:hideMark/>
          </w:tcPr>
          <w:p w14:paraId="6FB1CA10" w14:textId="77777777" w:rsidR="00B07FC0" w:rsidRPr="007C250E" w:rsidRDefault="00B07FC0" w:rsidP="00433C4E">
            <w:pPr>
              <w:jc w:val="right"/>
              <w:rPr>
                <w:noProof/>
                <w:color w:val="000000"/>
                <w:sz w:val="16"/>
                <w:szCs w:val="16"/>
              </w:rPr>
            </w:pPr>
            <w:r>
              <w:rPr>
                <w:noProof/>
                <w:color w:val="000000"/>
                <w:sz w:val="16"/>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12A1B330" w14:textId="77777777" w:rsidR="00B07FC0" w:rsidRPr="007C250E" w:rsidRDefault="00B07FC0" w:rsidP="00433C4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063F727" w14:textId="77777777" w:rsidR="00B07FC0" w:rsidRPr="007C250E" w:rsidRDefault="00B07FC0" w:rsidP="00433C4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60D6E47" w14:textId="77777777" w:rsidR="00B07FC0" w:rsidRPr="007C250E" w:rsidRDefault="00B07FC0" w:rsidP="00433C4E">
            <w:pPr>
              <w:jc w:val="right"/>
              <w:rPr>
                <w:noProof/>
                <w:color w:val="000000"/>
                <w:sz w:val="16"/>
                <w:szCs w:val="16"/>
              </w:rPr>
            </w:pPr>
            <w:r>
              <w:rPr>
                <w:noProof/>
                <w:color w:val="000000"/>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7C4C9532" w14:textId="77777777" w:rsidR="00B07FC0" w:rsidRPr="007C250E" w:rsidRDefault="00B07FC0" w:rsidP="00433C4E">
            <w:pPr>
              <w:jc w:val="right"/>
              <w:rPr>
                <w:noProof/>
                <w:color w:val="000000"/>
                <w:sz w:val="16"/>
                <w:szCs w:val="16"/>
              </w:rPr>
            </w:pPr>
            <w:r>
              <w:rPr>
                <w:noProof/>
                <w:color w:val="000000"/>
                <w:sz w:val="16"/>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2104A5AA" w14:textId="77777777" w:rsidR="00B07FC0" w:rsidRPr="007C250E" w:rsidRDefault="00B07FC0" w:rsidP="00433C4E">
            <w:pPr>
              <w:jc w:val="right"/>
              <w:rPr>
                <w:noProof/>
                <w:color w:val="000000"/>
                <w:sz w:val="16"/>
                <w:szCs w:val="16"/>
              </w:rPr>
            </w:pPr>
            <w:r>
              <w:rPr>
                <w:noProof/>
                <w:color w:val="000000"/>
                <w:sz w:val="16"/>
              </w:rPr>
              <w:t xml:space="preserve"> </w:t>
            </w:r>
          </w:p>
        </w:tc>
      </w:tr>
      <w:tr w:rsidR="00B07FC0" w:rsidRPr="007C250E" w14:paraId="1D53E363" w14:textId="77777777" w:rsidTr="00433C4E">
        <w:trPr>
          <w:trHeight w:val="430"/>
        </w:trPr>
        <w:tc>
          <w:tcPr>
            <w:tcW w:w="416" w:type="dxa"/>
            <w:tcBorders>
              <w:top w:val="nil"/>
              <w:left w:val="single" w:sz="8" w:space="0" w:color="auto"/>
              <w:bottom w:val="single" w:sz="8" w:space="0" w:color="auto"/>
              <w:right w:val="nil"/>
            </w:tcBorders>
            <w:shd w:val="clear" w:color="000000" w:fill="D9D9D9"/>
            <w:vAlign w:val="center"/>
            <w:hideMark/>
          </w:tcPr>
          <w:p w14:paraId="185DB25E" w14:textId="77777777" w:rsidR="00B07FC0" w:rsidRPr="007C250E" w:rsidRDefault="00B07FC0" w:rsidP="00433C4E">
            <w:pPr>
              <w:jc w:val="both"/>
              <w:rPr>
                <w:noProof/>
                <w:sz w:val="16"/>
                <w:szCs w:val="16"/>
              </w:rPr>
            </w:pPr>
            <w:r>
              <w:rPr>
                <w:noProof/>
                <w:sz w:val="16"/>
              </w:rPr>
              <w:t xml:space="preserve"> </w:t>
            </w:r>
          </w:p>
        </w:tc>
        <w:tc>
          <w:tcPr>
            <w:tcW w:w="2551" w:type="dxa"/>
            <w:tcBorders>
              <w:top w:val="nil"/>
              <w:left w:val="nil"/>
              <w:bottom w:val="single" w:sz="8" w:space="0" w:color="auto"/>
              <w:right w:val="single" w:sz="8" w:space="0" w:color="auto"/>
            </w:tcBorders>
            <w:shd w:val="clear" w:color="000000" w:fill="D9D9D9"/>
            <w:vAlign w:val="center"/>
            <w:hideMark/>
          </w:tcPr>
          <w:p w14:paraId="5D90835C" w14:textId="77777777" w:rsidR="00B07FC0" w:rsidRPr="00B07FC0" w:rsidRDefault="00B07FC0" w:rsidP="00433C4E">
            <w:pPr>
              <w:jc w:val="both"/>
              <w:rPr>
                <w:b/>
                <w:bCs/>
                <w:noProof/>
                <w:sz w:val="16"/>
                <w:szCs w:val="16"/>
                <w:lang w:val="pt-PT"/>
              </w:rPr>
            </w:pPr>
            <w:r w:rsidRPr="00B07FC0">
              <w:rPr>
                <w:b/>
                <w:noProof/>
                <w:sz w:val="16"/>
                <w:lang w:val="pt-PT"/>
              </w:rPr>
              <w:t>dos quais: Despesas administrativas das instituições</w:t>
            </w:r>
          </w:p>
        </w:tc>
        <w:tc>
          <w:tcPr>
            <w:tcW w:w="1276" w:type="dxa"/>
            <w:tcBorders>
              <w:top w:val="nil"/>
              <w:left w:val="nil"/>
              <w:bottom w:val="single" w:sz="8" w:space="0" w:color="auto"/>
              <w:right w:val="single" w:sz="8" w:space="0" w:color="auto"/>
            </w:tcBorders>
            <w:shd w:val="clear" w:color="000000" w:fill="D9D9D9"/>
            <w:vAlign w:val="center"/>
            <w:hideMark/>
          </w:tcPr>
          <w:p w14:paraId="0C0C37A4" w14:textId="77777777" w:rsidR="00B07FC0" w:rsidRPr="007C250E" w:rsidRDefault="00B07FC0" w:rsidP="00433C4E">
            <w:pPr>
              <w:jc w:val="right"/>
              <w:rPr>
                <w:b/>
                <w:bCs/>
                <w:noProof/>
                <w:sz w:val="16"/>
                <w:szCs w:val="16"/>
              </w:rPr>
            </w:pPr>
            <w:r>
              <w:rPr>
                <w:b/>
                <w:noProof/>
                <w:sz w:val="16"/>
              </w:rPr>
              <w:t>9 137 000 694</w:t>
            </w:r>
          </w:p>
        </w:tc>
        <w:tc>
          <w:tcPr>
            <w:tcW w:w="1276" w:type="dxa"/>
            <w:tcBorders>
              <w:top w:val="nil"/>
              <w:left w:val="nil"/>
              <w:bottom w:val="single" w:sz="8" w:space="0" w:color="auto"/>
              <w:right w:val="single" w:sz="8" w:space="0" w:color="auto"/>
            </w:tcBorders>
            <w:shd w:val="clear" w:color="000000" w:fill="D9D9D9"/>
            <w:vAlign w:val="center"/>
            <w:hideMark/>
          </w:tcPr>
          <w:p w14:paraId="4BBF528A" w14:textId="77777777" w:rsidR="00B07FC0" w:rsidRPr="007C250E" w:rsidRDefault="00B07FC0" w:rsidP="00433C4E">
            <w:pPr>
              <w:jc w:val="right"/>
              <w:rPr>
                <w:b/>
                <w:bCs/>
                <w:noProof/>
                <w:sz w:val="16"/>
                <w:szCs w:val="16"/>
              </w:rPr>
            </w:pPr>
            <w:r>
              <w:rPr>
                <w:b/>
                <w:noProof/>
                <w:sz w:val="16"/>
              </w:rPr>
              <w:t>9 137 000 694</w:t>
            </w:r>
          </w:p>
        </w:tc>
        <w:tc>
          <w:tcPr>
            <w:tcW w:w="1134" w:type="dxa"/>
            <w:tcBorders>
              <w:top w:val="nil"/>
              <w:left w:val="nil"/>
              <w:bottom w:val="single" w:sz="8" w:space="0" w:color="auto"/>
              <w:right w:val="single" w:sz="8" w:space="0" w:color="auto"/>
            </w:tcBorders>
            <w:shd w:val="clear" w:color="000000" w:fill="D9D9D9"/>
            <w:vAlign w:val="center"/>
            <w:hideMark/>
          </w:tcPr>
          <w:p w14:paraId="05CE484F" w14:textId="77777777" w:rsidR="00B07FC0" w:rsidRPr="007C250E" w:rsidRDefault="00B07FC0" w:rsidP="00433C4E">
            <w:pPr>
              <w:jc w:val="right"/>
              <w:rPr>
                <w:b/>
                <w:bCs/>
                <w:noProof/>
                <w:sz w:val="16"/>
                <w:szCs w:val="16"/>
              </w:rPr>
            </w:pPr>
            <w:r>
              <w:rPr>
                <w:b/>
                <w:noProof/>
                <w:sz w:val="16"/>
              </w:rPr>
              <w:t xml:space="preserve">4 588 100 </w:t>
            </w:r>
          </w:p>
        </w:tc>
        <w:tc>
          <w:tcPr>
            <w:tcW w:w="1134" w:type="dxa"/>
            <w:tcBorders>
              <w:top w:val="nil"/>
              <w:left w:val="nil"/>
              <w:bottom w:val="single" w:sz="8" w:space="0" w:color="auto"/>
              <w:right w:val="single" w:sz="8" w:space="0" w:color="auto"/>
            </w:tcBorders>
            <w:shd w:val="clear" w:color="000000" w:fill="D9D9D9"/>
            <w:vAlign w:val="center"/>
            <w:hideMark/>
          </w:tcPr>
          <w:p w14:paraId="55B8BFD0" w14:textId="77777777" w:rsidR="00B07FC0" w:rsidRPr="007C250E" w:rsidRDefault="00B07FC0" w:rsidP="00433C4E">
            <w:pPr>
              <w:jc w:val="right"/>
              <w:rPr>
                <w:b/>
                <w:bCs/>
                <w:noProof/>
                <w:sz w:val="16"/>
                <w:szCs w:val="16"/>
              </w:rPr>
            </w:pPr>
            <w:r>
              <w:rPr>
                <w:b/>
                <w:noProof/>
                <w:sz w:val="16"/>
              </w:rPr>
              <w:t xml:space="preserve">4 588 100 </w:t>
            </w:r>
          </w:p>
        </w:tc>
        <w:tc>
          <w:tcPr>
            <w:tcW w:w="1275" w:type="dxa"/>
            <w:tcBorders>
              <w:top w:val="nil"/>
              <w:left w:val="nil"/>
              <w:bottom w:val="single" w:sz="8" w:space="0" w:color="auto"/>
              <w:right w:val="single" w:sz="8" w:space="0" w:color="auto"/>
            </w:tcBorders>
            <w:shd w:val="clear" w:color="000000" w:fill="D9D9D9"/>
            <w:vAlign w:val="center"/>
            <w:hideMark/>
          </w:tcPr>
          <w:p w14:paraId="2BA3627C" w14:textId="77777777" w:rsidR="00B07FC0" w:rsidRPr="007C250E" w:rsidRDefault="00B07FC0" w:rsidP="00433C4E">
            <w:pPr>
              <w:jc w:val="right"/>
              <w:rPr>
                <w:b/>
                <w:bCs/>
                <w:noProof/>
                <w:sz w:val="16"/>
                <w:szCs w:val="16"/>
              </w:rPr>
            </w:pPr>
            <w:r>
              <w:rPr>
                <w:b/>
                <w:noProof/>
                <w:sz w:val="16"/>
              </w:rPr>
              <w:t xml:space="preserve">9 141 588 794 </w:t>
            </w:r>
          </w:p>
        </w:tc>
        <w:tc>
          <w:tcPr>
            <w:tcW w:w="1276" w:type="dxa"/>
            <w:tcBorders>
              <w:top w:val="nil"/>
              <w:left w:val="nil"/>
              <w:bottom w:val="single" w:sz="8" w:space="0" w:color="auto"/>
              <w:right w:val="single" w:sz="8" w:space="0" w:color="auto"/>
            </w:tcBorders>
            <w:shd w:val="clear" w:color="000000" w:fill="D9D9D9"/>
            <w:vAlign w:val="center"/>
            <w:hideMark/>
          </w:tcPr>
          <w:p w14:paraId="3605F34F" w14:textId="77777777" w:rsidR="00B07FC0" w:rsidRPr="007C250E" w:rsidRDefault="00B07FC0" w:rsidP="00433C4E">
            <w:pPr>
              <w:jc w:val="right"/>
              <w:rPr>
                <w:b/>
                <w:bCs/>
                <w:noProof/>
                <w:sz w:val="16"/>
                <w:szCs w:val="16"/>
              </w:rPr>
            </w:pPr>
            <w:r>
              <w:rPr>
                <w:b/>
                <w:noProof/>
                <w:sz w:val="16"/>
              </w:rPr>
              <w:t xml:space="preserve">9 141 588 794 </w:t>
            </w:r>
          </w:p>
        </w:tc>
      </w:tr>
      <w:tr w:rsidR="00B07FC0" w:rsidRPr="007C250E" w14:paraId="319054D0" w14:textId="77777777" w:rsidTr="00433C4E">
        <w:trPr>
          <w:trHeight w:val="300"/>
        </w:trPr>
        <w:tc>
          <w:tcPr>
            <w:tcW w:w="416" w:type="dxa"/>
            <w:tcBorders>
              <w:top w:val="nil"/>
              <w:left w:val="single" w:sz="8" w:space="0" w:color="auto"/>
              <w:bottom w:val="single" w:sz="8" w:space="0" w:color="auto"/>
              <w:right w:val="nil"/>
            </w:tcBorders>
            <w:shd w:val="clear" w:color="auto" w:fill="auto"/>
            <w:vAlign w:val="center"/>
            <w:hideMark/>
          </w:tcPr>
          <w:p w14:paraId="3646FD98" w14:textId="77777777" w:rsidR="00B07FC0" w:rsidRPr="007C250E" w:rsidRDefault="00B07FC0" w:rsidP="00433C4E">
            <w:pPr>
              <w:jc w:val="both"/>
              <w:rPr>
                <w:noProof/>
                <w:sz w:val="16"/>
                <w:szCs w:val="16"/>
              </w:rPr>
            </w:pPr>
            <w:r>
              <w:rPr>
                <w:noProof/>
                <w:sz w:val="16"/>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5C7B85A3" w14:textId="77777777" w:rsidR="00B07FC0" w:rsidRPr="007C250E" w:rsidRDefault="00B07FC0" w:rsidP="00433C4E">
            <w:pPr>
              <w:jc w:val="right"/>
              <w:rPr>
                <w:b/>
                <w:bCs/>
                <w:i/>
                <w:iCs/>
                <w:noProof/>
                <w:sz w:val="16"/>
                <w:szCs w:val="16"/>
              </w:rPr>
            </w:pPr>
            <w:r>
              <w:rPr>
                <w:b/>
                <w:i/>
                <w:noProof/>
                <w:sz w:val="16"/>
              </w:rPr>
              <w:t>Sublimite máximo</w:t>
            </w:r>
          </w:p>
        </w:tc>
        <w:tc>
          <w:tcPr>
            <w:tcW w:w="1276" w:type="dxa"/>
            <w:tcBorders>
              <w:top w:val="nil"/>
              <w:left w:val="nil"/>
              <w:bottom w:val="single" w:sz="8" w:space="0" w:color="auto"/>
              <w:right w:val="single" w:sz="8" w:space="0" w:color="auto"/>
            </w:tcBorders>
            <w:shd w:val="clear" w:color="auto" w:fill="auto"/>
            <w:vAlign w:val="center"/>
            <w:hideMark/>
          </w:tcPr>
          <w:p w14:paraId="09C29AC1" w14:textId="77777777" w:rsidR="00B07FC0" w:rsidRPr="007C250E" w:rsidRDefault="00B07FC0" w:rsidP="00433C4E">
            <w:pPr>
              <w:jc w:val="right"/>
              <w:rPr>
                <w:i/>
                <w:iCs/>
                <w:noProof/>
                <w:sz w:val="16"/>
                <w:szCs w:val="16"/>
              </w:rPr>
            </w:pPr>
            <w:r>
              <w:rPr>
                <w:i/>
                <w:noProof/>
                <w:sz w:val="16"/>
              </w:rPr>
              <w:t>9 006 000 000</w:t>
            </w:r>
          </w:p>
        </w:tc>
        <w:tc>
          <w:tcPr>
            <w:tcW w:w="1276" w:type="dxa"/>
            <w:tcBorders>
              <w:top w:val="nil"/>
              <w:left w:val="nil"/>
              <w:bottom w:val="single" w:sz="8" w:space="0" w:color="auto"/>
              <w:right w:val="single" w:sz="8" w:space="0" w:color="auto"/>
            </w:tcBorders>
            <w:shd w:val="clear" w:color="auto" w:fill="auto"/>
            <w:vAlign w:val="center"/>
            <w:hideMark/>
          </w:tcPr>
          <w:p w14:paraId="09B79E1B" w14:textId="77777777" w:rsidR="00B07FC0" w:rsidRPr="007C250E" w:rsidRDefault="00B07FC0" w:rsidP="00433C4E">
            <w:pPr>
              <w:jc w:val="right"/>
              <w:rPr>
                <w:noProof/>
                <w:sz w:val="16"/>
                <w:szCs w:val="16"/>
              </w:rPr>
            </w:pPr>
            <w:r>
              <w:rPr>
                <w:noProof/>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43929EE" w14:textId="77777777" w:rsidR="00B07FC0" w:rsidRPr="007C250E" w:rsidRDefault="00B07FC0" w:rsidP="00433C4E">
            <w:pPr>
              <w:jc w:val="right"/>
              <w:rPr>
                <w:i/>
                <w:iCs/>
                <w:noProof/>
                <w:sz w:val="16"/>
                <w:szCs w:val="16"/>
              </w:rPr>
            </w:pPr>
            <w:r>
              <w:rPr>
                <w:i/>
                <w:noProof/>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00A6B2D" w14:textId="77777777" w:rsidR="00B07FC0" w:rsidRPr="007C250E" w:rsidRDefault="00B07FC0" w:rsidP="00433C4E">
            <w:pPr>
              <w:jc w:val="right"/>
              <w:rPr>
                <w:noProof/>
                <w:sz w:val="16"/>
                <w:szCs w:val="16"/>
              </w:rPr>
            </w:pPr>
            <w:r>
              <w:rPr>
                <w:noProof/>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2ABE5D6A" w14:textId="77777777" w:rsidR="00B07FC0" w:rsidRPr="007C250E" w:rsidRDefault="00B07FC0" w:rsidP="00433C4E">
            <w:pPr>
              <w:jc w:val="right"/>
              <w:rPr>
                <w:i/>
                <w:iCs/>
                <w:noProof/>
                <w:sz w:val="16"/>
                <w:szCs w:val="16"/>
              </w:rPr>
            </w:pPr>
            <w:r>
              <w:rPr>
                <w:i/>
                <w:noProof/>
                <w:sz w:val="16"/>
              </w:rPr>
              <w:t xml:space="preserve">9 006 000 000 </w:t>
            </w:r>
          </w:p>
        </w:tc>
        <w:tc>
          <w:tcPr>
            <w:tcW w:w="1276" w:type="dxa"/>
            <w:tcBorders>
              <w:top w:val="nil"/>
              <w:left w:val="nil"/>
              <w:bottom w:val="single" w:sz="8" w:space="0" w:color="auto"/>
              <w:right w:val="single" w:sz="8" w:space="0" w:color="auto"/>
            </w:tcBorders>
            <w:shd w:val="clear" w:color="auto" w:fill="auto"/>
            <w:vAlign w:val="center"/>
            <w:hideMark/>
          </w:tcPr>
          <w:p w14:paraId="64126A99" w14:textId="77777777" w:rsidR="00B07FC0" w:rsidRPr="007C250E" w:rsidRDefault="00B07FC0" w:rsidP="00433C4E">
            <w:pPr>
              <w:jc w:val="right"/>
              <w:rPr>
                <w:noProof/>
                <w:sz w:val="16"/>
                <w:szCs w:val="16"/>
              </w:rPr>
            </w:pPr>
            <w:r>
              <w:rPr>
                <w:noProof/>
                <w:sz w:val="16"/>
              </w:rPr>
              <w:t xml:space="preserve"> </w:t>
            </w:r>
          </w:p>
        </w:tc>
      </w:tr>
      <w:tr w:rsidR="00B07FC0" w:rsidRPr="00B07FC0" w14:paraId="1C4FB6AD" w14:textId="77777777" w:rsidTr="00433C4E">
        <w:trPr>
          <w:trHeight w:val="300"/>
        </w:trPr>
        <w:tc>
          <w:tcPr>
            <w:tcW w:w="416" w:type="dxa"/>
            <w:tcBorders>
              <w:top w:val="nil"/>
              <w:left w:val="single" w:sz="8" w:space="0" w:color="auto"/>
              <w:bottom w:val="single" w:sz="8" w:space="0" w:color="auto"/>
              <w:right w:val="nil"/>
            </w:tcBorders>
            <w:shd w:val="clear" w:color="auto" w:fill="auto"/>
            <w:vAlign w:val="center"/>
            <w:hideMark/>
          </w:tcPr>
          <w:p w14:paraId="09127241" w14:textId="77777777" w:rsidR="00B07FC0" w:rsidRPr="007C250E" w:rsidRDefault="00B07FC0" w:rsidP="00433C4E">
            <w:pPr>
              <w:jc w:val="both"/>
              <w:rPr>
                <w:noProof/>
                <w:color w:val="000000"/>
                <w:sz w:val="16"/>
                <w:szCs w:val="16"/>
              </w:rPr>
            </w:pPr>
            <w:r>
              <w:rPr>
                <w:noProof/>
                <w:color w:val="000000"/>
                <w:sz w:val="16"/>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23B5CE0E" w14:textId="77777777" w:rsidR="00B07FC0" w:rsidRPr="00B07FC0" w:rsidRDefault="00B07FC0" w:rsidP="00433C4E">
            <w:pPr>
              <w:jc w:val="right"/>
              <w:rPr>
                <w:b/>
                <w:bCs/>
                <w:noProof/>
                <w:color w:val="000000"/>
                <w:sz w:val="16"/>
                <w:szCs w:val="16"/>
                <w:lang w:val="pt-PT"/>
              </w:rPr>
            </w:pPr>
            <w:r w:rsidRPr="00B07FC0">
              <w:rPr>
                <w:b/>
                <w:noProof/>
                <w:color w:val="000000"/>
                <w:sz w:val="16"/>
                <w:lang w:val="pt-PT"/>
              </w:rPr>
              <w:t>Dos quais, a título do Instrumento de Flexibilidade</w:t>
            </w:r>
          </w:p>
        </w:tc>
        <w:tc>
          <w:tcPr>
            <w:tcW w:w="1276" w:type="dxa"/>
            <w:tcBorders>
              <w:top w:val="nil"/>
              <w:left w:val="nil"/>
              <w:bottom w:val="single" w:sz="8" w:space="0" w:color="auto"/>
              <w:right w:val="single" w:sz="8" w:space="0" w:color="auto"/>
            </w:tcBorders>
            <w:shd w:val="clear" w:color="auto" w:fill="auto"/>
            <w:vAlign w:val="center"/>
            <w:hideMark/>
          </w:tcPr>
          <w:p w14:paraId="10AEA989"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17AA93F6"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5FAF7C6"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8000B46"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04BD3395"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6970829D"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r>
      <w:tr w:rsidR="00B07FC0" w:rsidRPr="007C250E" w14:paraId="60A5366B" w14:textId="77777777" w:rsidTr="00433C4E">
        <w:trPr>
          <w:trHeight w:val="430"/>
        </w:trPr>
        <w:tc>
          <w:tcPr>
            <w:tcW w:w="416" w:type="dxa"/>
            <w:tcBorders>
              <w:top w:val="nil"/>
              <w:left w:val="single" w:sz="8" w:space="0" w:color="auto"/>
              <w:bottom w:val="single" w:sz="8" w:space="0" w:color="auto"/>
              <w:right w:val="nil"/>
            </w:tcBorders>
            <w:shd w:val="clear" w:color="auto" w:fill="auto"/>
            <w:vAlign w:val="center"/>
            <w:hideMark/>
          </w:tcPr>
          <w:p w14:paraId="391FC511" w14:textId="77777777" w:rsidR="00B07FC0" w:rsidRPr="00B07FC0" w:rsidRDefault="00B07FC0" w:rsidP="00433C4E">
            <w:pPr>
              <w:jc w:val="both"/>
              <w:rPr>
                <w:noProof/>
                <w:sz w:val="16"/>
                <w:szCs w:val="16"/>
                <w:lang w:val="pt-PT"/>
              </w:rPr>
            </w:pPr>
            <w:r w:rsidRPr="00B07FC0">
              <w:rPr>
                <w:noProof/>
                <w:sz w:val="16"/>
                <w:lang w:val="pt-PT"/>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12D7FC30" w14:textId="77777777" w:rsidR="00B07FC0" w:rsidRPr="00B07FC0" w:rsidRDefault="00B07FC0" w:rsidP="00433C4E">
            <w:pPr>
              <w:jc w:val="right"/>
              <w:rPr>
                <w:b/>
                <w:bCs/>
                <w:noProof/>
                <w:sz w:val="16"/>
                <w:szCs w:val="16"/>
                <w:lang w:val="pt-PT"/>
              </w:rPr>
            </w:pPr>
            <w:r w:rsidRPr="00B07FC0">
              <w:rPr>
                <w:b/>
                <w:noProof/>
                <w:sz w:val="16"/>
                <w:lang w:val="pt-PT"/>
              </w:rPr>
              <w:t>Dos quais, a título do Instrumento de Margem Único (Artigo 11.º, n.º 1, alínea a))</w:t>
            </w:r>
          </w:p>
        </w:tc>
        <w:tc>
          <w:tcPr>
            <w:tcW w:w="1276" w:type="dxa"/>
            <w:tcBorders>
              <w:top w:val="nil"/>
              <w:left w:val="nil"/>
              <w:bottom w:val="single" w:sz="8" w:space="0" w:color="auto"/>
              <w:right w:val="single" w:sz="8" w:space="0" w:color="auto"/>
            </w:tcBorders>
            <w:shd w:val="clear" w:color="auto" w:fill="auto"/>
            <w:vAlign w:val="center"/>
            <w:hideMark/>
          </w:tcPr>
          <w:p w14:paraId="02F27D35" w14:textId="77777777" w:rsidR="00B07FC0" w:rsidRPr="007C250E" w:rsidRDefault="00B07FC0" w:rsidP="00433C4E">
            <w:pPr>
              <w:jc w:val="right"/>
              <w:rPr>
                <w:i/>
                <w:iCs/>
                <w:noProof/>
                <w:sz w:val="16"/>
                <w:szCs w:val="16"/>
              </w:rPr>
            </w:pPr>
            <w:r>
              <w:rPr>
                <w:i/>
                <w:noProof/>
                <w:sz w:val="16"/>
              </w:rPr>
              <w:t>131 000 694</w:t>
            </w:r>
          </w:p>
        </w:tc>
        <w:tc>
          <w:tcPr>
            <w:tcW w:w="1276" w:type="dxa"/>
            <w:tcBorders>
              <w:top w:val="nil"/>
              <w:left w:val="nil"/>
              <w:bottom w:val="single" w:sz="8" w:space="0" w:color="auto"/>
              <w:right w:val="single" w:sz="8" w:space="0" w:color="auto"/>
            </w:tcBorders>
            <w:shd w:val="clear" w:color="auto" w:fill="auto"/>
            <w:vAlign w:val="center"/>
            <w:hideMark/>
          </w:tcPr>
          <w:p w14:paraId="2BB9FD79" w14:textId="77777777" w:rsidR="00B07FC0" w:rsidRPr="007C250E" w:rsidRDefault="00B07FC0" w:rsidP="00433C4E">
            <w:pPr>
              <w:jc w:val="right"/>
              <w:rPr>
                <w:noProof/>
                <w:sz w:val="16"/>
                <w:szCs w:val="16"/>
              </w:rPr>
            </w:pPr>
            <w:r>
              <w:rPr>
                <w:noProof/>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93DCCAD" w14:textId="77777777" w:rsidR="00B07FC0" w:rsidRPr="007C250E" w:rsidRDefault="00B07FC0" w:rsidP="00433C4E">
            <w:pPr>
              <w:jc w:val="right"/>
              <w:rPr>
                <w:i/>
                <w:iCs/>
                <w:noProof/>
                <w:sz w:val="16"/>
                <w:szCs w:val="16"/>
              </w:rPr>
            </w:pPr>
            <w:r>
              <w:rPr>
                <w:i/>
                <w:noProof/>
                <w:sz w:val="16"/>
              </w:rPr>
              <w:t xml:space="preserve">4 588 100 </w:t>
            </w:r>
          </w:p>
        </w:tc>
        <w:tc>
          <w:tcPr>
            <w:tcW w:w="1134" w:type="dxa"/>
            <w:tcBorders>
              <w:top w:val="nil"/>
              <w:left w:val="nil"/>
              <w:bottom w:val="single" w:sz="8" w:space="0" w:color="auto"/>
              <w:right w:val="single" w:sz="8" w:space="0" w:color="auto"/>
            </w:tcBorders>
            <w:shd w:val="clear" w:color="auto" w:fill="auto"/>
            <w:vAlign w:val="center"/>
            <w:hideMark/>
          </w:tcPr>
          <w:p w14:paraId="72E1B86D" w14:textId="77777777" w:rsidR="00B07FC0" w:rsidRPr="007C250E" w:rsidRDefault="00B07FC0" w:rsidP="00433C4E">
            <w:pPr>
              <w:jc w:val="right"/>
              <w:rPr>
                <w:i/>
                <w:iCs/>
                <w:noProof/>
                <w:sz w:val="16"/>
                <w:szCs w:val="16"/>
              </w:rPr>
            </w:pPr>
            <w:r>
              <w:rPr>
                <w:i/>
                <w:noProof/>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586D148C" w14:textId="77777777" w:rsidR="00B07FC0" w:rsidRPr="007C250E" w:rsidRDefault="00B07FC0" w:rsidP="00433C4E">
            <w:pPr>
              <w:jc w:val="right"/>
              <w:rPr>
                <w:i/>
                <w:iCs/>
                <w:noProof/>
                <w:sz w:val="16"/>
                <w:szCs w:val="16"/>
              </w:rPr>
            </w:pPr>
            <w:r>
              <w:rPr>
                <w:i/>
                <w:noProof/>
                <w:sz w:val="16"/>
              </w:rPr>
              <w:t xml:space="preserve">135 588 794 </w:t>
            </w:r>
          </w:p>
        </w:tc>
        <w:tc>
          <w:tcPr>
            <w:tcW w:w="1276" w:type="dxa"/>
            <w:tcBorders>
              <w:top w:val="nil"/>
              <w:left w:val="nil"/>
              <w:bottom w:val="single" w:sz="8" w:space="0" w:color="auto"/>
              <w:right w:val="single" w:sz="8" w:space="0" w:color="auto"/>
            </w:tcBorders>
            <w:shd w:val="clear" w:color="auto" w:fill="auto"/>
            <w:vAlign w:val="center"/>
            <w:hideMark/>
          </w:tcPr>
          <w:p w14:paraId="6BBA2EE0" w14:textId="77777777" w:rsidR="00B07FC0" w:rsidRPr="007C250E" w:rsidRDefault="00B07FC0" w:rsidP="00433C4E">
            <w:pPr>
              <w:jc w:val="right"/>
              <w:rPr>
                <w:noProof/>
                <w:sz w:val="16"/>
                <w:szCs w:val="16"/>
              </w:rPr>
            </w:pPr>
            <w:r>
              <w:rPr>
                <w:noProof/>
                <w:sz w:val="16"/>
              </w:rPr>
              <w:t xml:space="preserve"> </w:t>
            </w:r>
          </w:p>
        </w:tc>
      </w:tr>
      <w:tr w:rsidR="00B07FC0" w:rsidRPr="00B07FC0" w14:paraId="54CCEA8A" w14:textId="77777777" w:rsidTr="00433C4E">
        <w:trPr>
          <w:trHeight w:val="430"/>
        </w:trPr>
        <w:tc>
          <w:tcPr>
            <w:tcW w:w="416" w:type="dxa"/>
            <w:tcBorders>
              <w:top w:val="nil"/>
              <w:left w:val="single" w:sz="8" w:space="0" w:color="auto"/>
              <w:bottom w:val="single" w:sz="8" w:space="0" w:color="auto"/>
              <w:right w:val="nil"/>
            </w:tcBorders>
            <w:shd w:val="clear" w:color="auto" w:fill="auto"/>
            <w:vAlign w:val="center"/>
            <w:hideMark/>
          </w:tcPr>
          <w:p w14:paraId="3D258834" w14:textId="77777777" w:rsidR="00B07FC0" w:rsidRPr="007C250E" w:rsidRDefault="00B07FC0" w:rsidP="00433C4E">
            <w:pPr>
              <w:jc w:val="both"/>
              <w:rPr>
                <w:noProof/>
                <w:color w:val="000000"/>
                <w:sz w:val="16"/>
                <w:szCs w:val="16"/>
              </w:rPr>
            </w:pPr>
            <w:r>
              <w:rPr>
                <w:noProof/>
                <w:color w:val="000000"/>
                <w:sz w:val="16"/>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63E70ADB" w14:textId="77777777" w:rsidR="00B07FC0" w:rsidRPr="00B07FC0" w:rsidRDefault="00B07FC0" w:rsidP="00433C4E">
            <w:pPr>
              <w:jc w:val="right"/>
              <w:rPr>
                <w:b/>
                <w:bCs/>
                <w:noProof/>
                <w:color w:val="000000"/>
                <w:sz w:val="16"/>
                <w:szCs w:val="16"/>
                <w:lang w:val="pt-PT"/>
              </w:rPr>
            </w:pPr>
            <w:r w:rsidRPr="00B07FC0">
              <w:rPr>
                <w:b/>
                <w:noProof/>
                <w:color w:val="000000"/>
                <w:sz w:val="16"/>
                <w:lang w:val="pt-PT"/>
              </w:rPr>
              <w:t>dos quais, a título do Instrumento de Margem Único (Artigo 11.º, n.º 1, alínea c))</w:t>
            </w:r>
          </w:p>
        </w:tc>
        <w:tc>
          <w:tcPr>
            <w:tcW w:w="1276" w:type="dxa"/>
            <w:tcBorders>
              <w:top w:val="nil"/>
              <w:left w:val="nil"/>
              <w:bottom w:val="single" w:sz="8" w:space="0" w:color="auto"/>
              <w:right w:val="single" w:sz="8" w:space="0" w:color="auto"/>
            </w:tcBorders>
            <w:shd w:val="clear" w:color="auto" w:fill="auto"/>
            <w:vAlign w:val="center"/>
            <w:hideMark/>
          </w:tcPr>
          <w:p w14:paraId="319856D7"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3C48436F"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B4FBE2F"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D3FE823"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17B98978"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43DB72B9"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r>
      <w:tr w:rsidR="00B07FC0" w:rsidRPr="007C250E" w14:paraId="07E6BA1D" w14:textId="77777777" w:rsidTr="00433C4E">
        <w:trPr>
          <w:trHeight w:val="300"/>
        </w:trPr>
        <w:tc>
          <w:tcPr>
            <w:tcW w:w="416" w:type="dxa"/>
            <w:tcBorders>
              <w:top w:val="nil"/>
              <w:left w:val="single" w:sz="8" w:space="0" w:color="auto"/>
              <w:bottom w:val="single" w:sz="8" w:space="0" w:color="auto"/>
              <w:right w:val="nil"/>
            </w:tcBorders>
            <w:shd w:val="clear" w:color="auto" w:fill="auto"/>
            <w:vAlign w:val="center"/>
            <w:hideMark/>
          </w:tcPr>
          <w:p w14:paraId="544E86F9" w14:textId="77777777" w:rsidR="00B07FC0" w:rsidRPr="00B07FC0" w:rsidRDefault="00B07FC0" w:rsidP="00433C4E">
            <w:pPr>
              <w:jc w:val="both"/>
              <w:rPr>
                <w:noProof/>
                <w:color w:val="000000"/>
                <w:sz w:val="16"/>
                <w:szCs w:val="16"/>
                <w:lang w:val="pt-PT"/>
              </w:rPr>
            </w:pPr>
            <w:r w:rsidRPr="00B07FC0">
              <w:rPr>
                <w:noProof/>
                <w:color w:val="000000"/>
                <w:sz w:val="16"/>
                <w:lang w:val="pt-PT"/>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639CEC4D" w14:textId="77777777" w:rsidR="00B07FC0" w:rsidRPr="007C250E" w:rsidRDefault="00B07FC0" w:rsidP="00433C4E">
            <w:pPr>
              <w:jc w:val="right"/>
              <w:rPr>
                <w:b/>
                <w:bCs/>
                <w:i/>
                <w:iCs/>
                <w:noProof/>
                <w:color w:val="000000"/>
                <w:sz w:val="16"/>
                <w:szCs w:val="16"/>
              </w:rPr>
            </w:pPr>
            <w:r>
              <w:rPr>
                <w:b/>
                <w:i/>
                <w:noProof/>
                <w:color w:val="000000"/>
                <w:sz w:val="16"/>
              </w:rPr>
              <w:t>Margem</w:t>
            </w:r>
          </w:p>
        </w:tc>
        <w:tc>
          <w:tcPr>
            <w:tcW w:w="1276" w:type="dxa"/>
            <w:tcBorders>
              <w:top w:val="nil"/>
              <w:left w:val="nil"/>
              <w:bottom w:val="single" w:sz="8" w:space="0" w:color="auto"/>
              <w:right w:val="single" w:sz="8" w:space="0" w:color="auto"/>
            </w:tcBorders>
            <w:shd w:val="clear" w:color="auto" w:fill="auto"/>
            <w:vAlign w:val="center"/>
            <w:hideMark/>
          </w:tcPr>
          <w:p w14:paraId="16222AC1" w14:textId="77777777" w:rsidR="00B07FC0" w:rsidRPr="007C250E" w:rsidRDefault="00B07FC0" w:rsidP="00433C4E">
            <w:pPr>
              <w:jc w:val="right"/>
              <w:rPr>
                <w:noProof/>
                <w:color w:val="000000"/>
                <w:sz w:val="16"/>
                <w:szCs w:val="16"/>
              </w:rPr>
            </w:pPr>
            <w:r>
              <w:rPr>
                <w:noProof/>
                <w:color w:val="000000"/>
                <w:sz w:val="16"/>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37CEED5B" w14:textId="77777777" w:rsidR="00B07FC0" w:rsidRPr="007C250E" w:rsidRDefault="00B07FC0" w:rsidP="00433C4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8747B3A" w14:textId="77777777" w:rsidR="00B07FC0" w:rsidRPr="007C250E" w:rsidRDefault="00B07FC0" w:rsidP="00433C4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7A81844" w14:textId="77777777" w:rsidR="00B07FC0" w:rsidRPr="007C250E" w:rsidRDefault="00B07FC0" w:rsidP="00433C4E">
            <w:pPr>
              <w:jc w:val="right"/>
              <w:rPr>
                <w:noProof/>
                <w:color w:val="000000"/>
                <w:sz w:val="16"/>
                <w:szCs w:val="16"/>
              </w:rPr>
            </w:pPr>
            <w:r>
              <w:rPr>
                <w:noProof/>
                <w:color w:val="000000"/>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16B7CB63" w14:textId="77777777" w:rsidR="00B07FC0" w:rsidRPr="007C250E" w:rsidRDefault="00B07FC0" w:rsidP="00433C4E">
            <w:pPr>
              <w:jc w:val="right"/>
              <w:rPr>
                <w:noProof/>
                <w:color w:val="000000"/>
                <w:sz w:val="16"/>
                <w:szCs w:val="16"/>
              </w:rPr>
            </w:pPr>
            <w:r>
              <w:rPr>
                <w:noProof/>
                <w:color w:val="000000"/>
                <w:sz w:val="16"/>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240250E9" w14:textId="77777777" w:rsidR="00B07FC0" w:rsidRPr="007C250E" w:rsidRDefault="00B07FC0" w:rsidP="00433C4E">
            <w:pPr>
              <w:jc w:val="right"/>
              <w:rPr>
                <w:noProof/>
                <w:color w:val="000000"/>
                <w:sz w:val="16"/>
                <w:szCs w:val="16"/>
              </w:rPr>
            </w:pPr>
            <w:r>
              <w:rPr>
                <w:noProof/>
                <w:color w:val="000000"/>
                <w:sz w:val="16"/>
              </w:rPr>
              <w:t xml:space="preserve"> </w:t>
            </w:r>
          </w:p>
        </w:tc>
      </w:tr>
      <w:tr w:rsidR="00B07FC0" w:rsidRPr="007C250E" w14:paraId="64188DE0" w14:textId="77777777" w:rsidTr="00433C4E">
        <w:trPr>
          <w:trHeight w:val="300"/>
        </w:trPr>
        <w:tc>
          <w:tcPr>
            <w:tcW w:w="416" w:type="dxa"/>
            <w:tcBorders>
              <w:top w:val="nil"/>
              <w:left w:val="single" w:sz="8" w:space="0" w:color="auto"/>
              <w:bottom w:val="single" w:sz="8" w:space="0" w:color="auto"/>
              <w:right w:val="nil"/>
            </w:tcBorders>
            <w:shd w:val="clear" w:color="000000" w:fill="F2F2F2"/>
            <w:vAlign w:val="center"/>
            <w:hideMark/>
          </w:tcPr>
          <w:p w14:paraId="397E983E" w14:textId="77777777" w:rsidR="00B07FC0" w:rsidRPr="007C250E" w:rsidRDefault="00B07FC0" w:rsidP="00433C4E">
            <w:pPr>
              <w:jc w:val="both"/>
              <w:rPr>
                <w:noProof/>
                <w:sz w:val="16"/>
                <w:szCs w:val="16"/>
              </w:rPr>
            </w:pPr>
            <w:r>
              <w:rPr>
                <w:noProof/>
                <w:sz w:val="16"/>
              </w:rPr>
              <w:t xml:space="preserve"> </w:t>
            </w:r>
          </w:p>
        </w:tc>
        <w:tc>
          <w:tcPr>
            <w:tcW w:w="2551" w:type="dxa"/>
            <w:tcBorders>
              <w:top w:val="nil"/>
              <w:left w:val="nil"/>
              <w:bottom w:val="single" w:sz="8" w:space="0" w:color="auto"/>
              <w:right w:val="single" w:sz="8" w:space="0" w:color="auto"/>
            </w:tcBorders>
            <w:shd w:val="clear" w:color="000000" w:fill="F2F2F2"/>
            <w:vAlign w:val="center"/>
            <w:hideMark/>
          </w:tcPr>
          <w:p w14:paraId="48A354B8" w14:textId="77777777" w:rsidR="00B07FC0" w:rsidRPr="007C250E" w:rsidRDefault="00B07FC0" w:rsidP="00433C4E">
            <w:pPr>
              <w:rPr>
                <w:noProof/>
                <w:sz w:val="16"/>
                <w:szCs w:val="16"/>
              </w:rPr>
            </w:pPr>
            <w:r>
              <w:rPr>
                <w:noProof/>
                <w:sz w:val="16"/>
              </w:rPr>
              <w:t>Pensões e Escolas Europeias</w:t>
            </w:r>
          </w:p>
        </w:tc>
        <w:tc>
          <w:tcPr>
            <w:tcW w:w="1276" w:type="dxa"/>
            <w:tcBorders>
              <w:top w:val="nil"/>
              <w:left w:val="nil"/>
              <w:bottom w:val="single" w:sz="8" w:space="0" w:color="auto"/>
              <w:right w:val="single" w:sz="8" w:space="0" w:color="auto"/>
            </w:tcBorders>
            <w:shd w:val="clear" w:color="000000" w:fill="F2F2F2"/>
            <w:vAlign w:val="center"/>
            <w:hideMark/>
          </w:tcPr>
          <w:p w14:paraId="3CF5FAA6" w14:textId="77777777" w:rsidR="00B07FC0" w:rsidRPr="007C250E" w:rsidRDefault="00B07FC0" w:rsidP="00433C4E">
            <w:pPr>
              <w:jc w:val="right"/>
              <w:rPr>
                <w:noProof/>
                <w:sz w:val="16"/>
                <w:szCs w:val="16"/>
              </w:rPr>
            </w:pPr>
            <w:r>
              <w:rPr>
                <w:noProof/>
                <w:sz w:val="16"/>
              </w:rPr>
              <w:t>2 812 624 762</w:t>
            </w:r>
          </w:p>
        </w:tc>
        <w:tc>
          <w:tcPr>
            <w:tcW w:w="1276" w:type="dxa"/>
            <w:tcBorders>
              <w:top w:val="nil"/>
              <w:left w:val="nil"/>
              <w:bottom w:val="single" w:sz="8" w:space="0" w:color="auto"/>
              <w:right w:val="single" w:sz="8" w:space="0" w:color="auto"/>
            </w:tcBorders>
            <w:shd w:val="clear" w:color="000000" w:fill="F2F2F2"/>
            <w:vAlign w:val="center"/>
            <w:hideMark/>
          </w:tcPr>
          <w:p w14:paraId="439D8A0C" w14:textId="77777777" w:rsidR="00B07FC0" w:rsidRPr="007C250E" w:rsidRDefault="00B07FC0" w:rsidP="00433C4E">
            <w:pPr>
              <w:jc w:val="right"/>
              <w:rPr>
                <w:noProof/>
                <w:sz w:val="16"/>
                <w:szCs w:val="16"/>
              </w:rPr>
            </w:pPr>
            <w:r>
              <w:rPr>
                <w:noProof/>
                <w:sz w:val="16"/>
              </w:rPr>
              <w:t>2 812 624 762</w:t>
            </w:r>
          </w:p>
        </w:tc>
        <w:tc>
          <w:tcPr>
            <w:tcW w:w="1134" w:type="dxa"/>
            <w:tcBorders>
              <w:top w:val="nil"/>
              <w:left w:val="nil"/>
              <w:bottom w:val="single" w:sz="8" w:space="0" w:color="auto"/>
              <w:right w:val="single" w:sz="8" w:space="0" w:color="auto"/>
            </w:tcBorders>
            <w:shd w:val="clear" w:color="000000" w:fill="F2F2F2"/>
            <w:vAlign w:val="center"/>
            <w:hideMark/>
          </w:tcPr>
          <w:p w14:paraId="0DC5BCBD" w14:textId="77777777" w:rsidR="00B07FC0" w:rsidRPr="007C250E" w:rsidRDefault="00B07FC0" w:rsidP="00433C4E">
            <w:pPr>
              <w:jc w:val="right"/>
              <w:rPr>
                <w:noProof/>
                <w:sz w:val="16"/>
                <w:szCs w:val="16"/>
              </w:rPr>
            </w:pPr>
            <w:r>
              <w:rPr>
                <w:noProof/>
                <w:sz w:val="16"/>
              </w:rPr>
              <w:t xml:space="preserve"> </w:t>
            </w:r>
          </w:p>
        </w:tc>
        <w:tc>
          <w:tcPr>
            <w:tcW w:w="1134" w:type="dxa"/>
            <w:tcBorders>
              <w:top w:val="nil"/>
              <w:left w:val="nil"/>
              <w:bottom w:val="single" w:sz="8" w:space="0" w:color="auto"/>
              <w:right w:val="single" w:sz="8" w:space="0" w:color="auto"/>
            </w:tcBorders>
            <w:shd w:val="clear" w:color="000000" w:fill="F2F2F2"/>
            <w:vAlign w:val="center"/>
            <w:hideMark/>
          </w:tcPr>
          <w:p w14:paraId="75E651FC" w14:textId="77777777" w:rsidR="00B07FC0" w:rsidRPr="007C250E" w:rsidRDefault="00B07FC0" w:rsidP="00433C4E">
            <w:pPr>
              <w:jc w:val="right"/>
              <w:rPr>
                <w:noProof/>
                <w:sz w:val="16"/>
                <w:szCs w:val="16"/>
              </w:rPr>
            </w:pPr>
            <w:r>
              <w:rPr>
                <w:noProof/>
                <w:sz w:val="16"/>
              </w:rPr>
              <w:t xml:space="preserve"> </w:t>
            </w:r>
          </w:p>
        </w:tc>
        <w:tc>
          <w:tcPr>
            <w:tcW w:w="1275" w:type="dxa"/>
            <w:tcBorders>
              <w:top w:val="nil"/>
              <w:left w:val="nil"/>
              <w:bottom w:val="single" w:sz="8" w:space="0" w:color="auto"/>
              <w:right w:val="single" w:sz="8" w:space="0" w:color="auto"/>
            </w:tcBorders>
            <w:shd w:val="clear" w:color="000000" w:fill="F2F2F2"/>
            <w:vAlign w:val="center"/>
            <w:hideMark/>
          </w:tcPr>
          <w:p w14:paraId="1FE41AA6" w14:textId="77777777" w:rsidR="00B07FC0" w:rsidRPr="007C250E" w:rsidRDefault="00B07FC0" w:rsidP="00433C4E">
            <w:pPr>
              <w:jc w:val="right"/>
              <w:rPr>
                <w:noProof/>
                <w:sz w:val="16"/>
                <w:szCs w:val="16"/>
              </w:rPr>
            </w:pPr>
            <w:r>
              <w:rPr>
                <w:noProof/>
                <w:sz w:val="16"/>
              </w:rPr>
              <w:t xml:space="preserve">2 812 624 762 </w:t>
            </w:r>
          </w:p>
        </w:tc>
        <w:tc>
          <w:tcPr>
            <w:tcW w:w="1276" w:type="dxa"/>
            <w:tcBorders>
              <w:top w:val="nil"/>
              <w:left w:val="nil"/>
              <w:bottom w:val="single" w:sz="8" w:space="0" w:color="auto"/>
              <w:right w:val="single" w:sz="8" w:space="0" w:color="auto"/>
            </w:tcBorders>
            <w:shd w:val="clear" w:color="000000" w:fill="F2F2F2"/>
            <w:vAlign w:val="center"/>
            <w:hideMark/>
          </w:tcPr>
          <w:p w14:paraId="0CDF0D94" w14:textId="77777777" w:rsidR="00B07FC0" w:rsidRPr="007C250E" w:rsidRDefault="00B07FC0" w:rsidP="00433C4E">
            <w:pPr>
              <w:jc w:val="right"/>
              <w:rPr>
                <w:noProof/>
                <w:sz w:val="16"/>
                <w:szCs w:val="16"/>
              </w:rPr>
            </w:pPr>
            <w:r>
              <w:rPr>
                <w:noProof/>
                <w:sz w:val="16"/>
              </w:rPr>
              <w:t xml:space="preserve">2 812 624 762 </w:t>
            </w:r>
          </w:p>
        </w:tc>
      </w:tr>
      <w:tr w:rsidR="00B07FC0" w:rsidRPr="007C250E" w14:paraId="3777593F" w14:textId="77777777" w:rsidTr="00433C4E">
        <w:trPr>
          <w:trHeight w:val="300"/>
        </w:trPr>
        <w:tc>
          <w:tcPr>
            <w:tcW w:w="416" w:type="dxa"/>
            <w:tcBorders>
              <w:top w:val="nil"/>
              <w:left w:val="single" w:sz="8" w:space="0" w:color="auto"/>
              <w:bottom w:val="single" w:sz="8" w:space="0" w:color="auto"/>
              <w:right w:val="nil"/>
            </w:tcBorders>
            <w:shd w:val="clear" w:color="auto" w:fill="auto"/>
            <w:vAlign w:val="center"/>
            <w:hideMark/>
          </w:tcPr>
          <w:p w14:paraId="1D07C389" w14:textId="77777777" w:rsidR="00B07FC0" w:rsidRPr="007C250E" w:rsidRDefault="00B07FC0" w:rsidP="00433C4E">
            <w:pPr>
              <w:jc w:val="both"/>
              <w:rPr>
                <w:noProof/>
                <w:color w:val="000000"/>
                <w:sz w:val="16"/>
                <w:szCs w:val="16"/>
              </w:rPr>
            </w:pPr>
            <w:r>
              <w:rPr>
                <w:noProof/>
                <w:color w:val="000000"/>
                <w:sz w:val="16"/>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4DE52D98" w14:textId="77777777" w:rsidR="00B07FC0" w:rsidRPr="007C250E" w:rsidRDefault="00B07FC0" w:rsidP="00433C4E">
            <w:pPr>
              <w:jc w:val="right"/>
              <w:rPr>
                <w:i/>
                <w:iCs/>
                <w:noProof/>
                <w:color w:val="000000"/>
                <w:sz w:val="16"/>
                <w:szCs w:val="16"/>
              </w:rPr>
            </w:pPr>
            <w:r>
              <w:rPr>
                <w:i/>
                <w:noProof/>
                <w:color w:val="000000"/>
                <w:sz w:val="16"/>
              </w:rPr>
              <w:t>Pensões</w:t>
            </w:r>
          </w:p>
        </w:tc>
        <w:tc>
          <w:tcPr>
            <w:tcW w:w="1276" w:type="dxa"/>
            <w:tcBorders>
              <w:top w:val="nil"/>
              <w:left w:val="nil"/>
              <w:bottom w:val="single" w:sz="8" w:space="0" w:color="auto"/>
              <w:right w:val="single" w:sz="8" w:space="0" w:color="auto"/>
            </w:tcBorders>
            <w:shd w:val="clear" w:color="auto" w:fill="auto"/>
            <w:vAlign w:val="center"/>
            <w:hideMark/>
          </w:tcPr>
          <w:p w14:paraId="6C12FD5A" w14:textId="77777777" w:rsidR="00B07FC0" w:rsidRPr="007C250E" w:rsidRDefault="00B07FC0" w:rsidP="00433C4E">
            <w:pPr>
              <w:jc w:val="right"/>
              <w:rPr>
                <w:i/>
                <w:iCs/>
                <w:noProof/>
                <w:color w:val="000000"/>
                <w:sz w:val="16"/>
                <w:szCs w:val="16"/>
              </w:rPr>
            </w:pPr>
            <w:r>
              <w:rPr>
                <w:i/>
                <w:noProof/>
                <w:color w:val="000000"/>
                <w:sz w:val="16"/>
              </w:rPr>
              <w:t>2 565 464 000</w:t>
            </w:r>
          </w:p>
        </w:tc>
        <w:tc>
          <w:tcPr>
            <w:tcW w:w="1276" w:type="dxa"/>
            <w:tcBorders>
              <w:top w:val="nil"/>
              <w:left w:val="nil"/>
              <w:bottom w:val="single" w:sz="8" w:space="0" w:color="auto"/>
              <w:right w:val="single" w:sz="8" w:space="0" w:color="auto"/>
            </w:tcBorders>
            <w:shd w:val="clear" w:color="auto" w:fill="auto"/>
            <w:vAlign w:val="center"/>
            <w:hideMark/>
          </w:tcPr>
          <w:p w14:paraId="2F8E5D6F" w14:textId="77777777" w:rsidR="00B07FC0" w:rsidRPr="007C250E" w:rsidRDefault="00B07FC0" w:rsidP="00433C4E">
            <w:pPr>
              <w:jc w:val="right"/>
              <w:rPr>
                <w:i/>
                <w:iCs/>
                <w:noProof/>
                <w:color w:val="000000"/>
                <w:sz w:val="16"/>
                <w:szCs w:val="16"/>
              </w:rPr>
            </w:pPr>
            <w:r>
              <w:rPr>
                <w:i/>
                <w:noProof/>
                <w:color w:val="000000"/>
                <w:sz w:val="16"/>
              </w:rPr>
              <w:t>2 565 464 000</w:t>
            </w:r>
          </w:p>
        </w:tc>
        <w:tc>
          <w:tcPr>
            <w:tcW w:w="1134" w:type="dxa"/>
            <w:tcBorders>
              <w:top w:val="nil"/>
              <w:left w:val="nil"/>
              <w:bottom w:val="single" w:sz="8" w:space="0" w:color="auto"/>
              <w:right w:val="single" w:sz="8" w:space="0" w:color="auto"/>
            </w:tcBorders>
            <w:shd w:val="clear" w:color="auto" w:fill="auto"/>
            <w:vAlign w:val="center"/>
            <w:hideMark/>
          </w:tcPr>
          <w:p w14:paraId="03A328FF" w14:textId="77777777" w:rsidR="00B07FC0" w:rsidRPr="007C250E" w:rsidRDefault="00B07FC0" w:rsidP="00433C4E">
            <w:pPr>
              <w:jc w:val="right"/>
              <w:rPr>
                <w:i/>
                <w:iCs/>
                <w:noProof/>
                <w:color w:val="000000"/>
                <w:sz w:val="16"/>
                <w:szCs w:val="16"/>
              </w:rPr>
            </w:pPr>
            <w:r>
              <w:rPr>
                <w:i/>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5685E8F" w14:textId="77777777" w:rsidR="00B07FC0" w:rsidRPr="007C250E" w:rsidRDefault="00B07FC0" w:rsidP="00433C4E">
            <w:pPr>
              <w:jc w:val="right"/>
              <w:rPr>
                <w:i/>
                <w:iCs/>
                <w:noProof/>
                <w:color w:val="000000"/>
                <w:sz w:val="16"/>
                <w:szCs w:val="16"/>
              </w:rPr>
            </w:pPr>
            <w:r>
              <w:rPr>
                <w:i/>
                <w:noProof/>
                <w:color w:val="000000"/>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300055F6" w14:textId="77777777" w:rsidR="00B07FC0" w:rsidRPr="007C250E" w:rsidRDefault="00B07FC0" w:rsidP="00433C4E">
            <w:pPr>
              <w:jc w:val="right"/>
              <w:rPr>
                <w:i/>
                <w:iCs/>
                <w:noProof/>
                <w:color w:val="000000"/>
                <w:sz w:val="16"/>
                <w:szCs w:val="16"/>
              </w:rPr>
            </w:pPr>
            <w:r>
              <w:rPr>
                <w:i/>
                <w:noProof/>
                <w:color w:val="000000"/>
                <w:sz w:val="16"/>
              </w:rPr>
              <w:t xml:space="preserve">2 565 464 000 </w:t>
            </w:r>
          </w:p>
        </w:tc>
        <w:tc>
          <w:tcPr>
            <w:tcW w:w="1276" w:type="dxa"/>
            <w:tcBorders>
              <w:top w:val="nil"/>
              <w:left w:val="nil"/>
              <w:bottom w:val="single" w:sz="8" w:space="0" w:color="auto"/>
              <w:right w:val="single" w:sz="8" w:space="0" w:color="auto"/>
            </w:tcBorders>
            <w:shd w:val="clear" w:color="auto" w:fill="auto"/>
            <w:vAlign w:val="center"/>
            <w:hideMark/>
          </w:tcPr>
          <w:p w14:paraId="17EE992F" w14:textId="77777777" w:rsidR="00B07FC0" w:rsidRPr="007C250E" w:rsidRDefault="00B07FC0" w:rsidP="00433C4E">
            <w:pPr>
              <w:jc w:val="right"/>
              <w:rPr>
                <w:i/>
                <w:iCs/>
                <w:noProof/>
                <w:color w:val="000000"/>
                <w:sz w:val="16"/>
                <w:szCs w:val="16"/>
              </w:rPr>
            </w:pPr>
            <w:r>
              <w:rPr>
                <w:i/>
                <w:noProof/>
                <w:color w:val="000000"/>
                <w:sz w:val="16"/>
              </w:rPr>
              <w:t xml:space="preserve">2 565 464 000 </w:t>
            </w:r>
          </w:p>
        </w:tc>
      </w:tr>
      <w:tr w:rsidR="00B07FC0" w:rsidRPr="007C250E" w14:paraId="63224CCF" w14:textId="77777777" w:rsidTr="00433C4E">
        <w:trPr>
          <w:trHeight w:val="300"/>
        </w:trPr>
        <w:tc>
          <w:tcPr>
            <w:tcW w:w="416" w:type="dxa"/>
            <w:tcBorders>
              <w:top w:val="nil"/>
              <w:left w:val="single" w:sz="8" w:space="0" w:color="auto"/>
              <w:bottom w:val="single" w:sz="8" w:space="0" w:color="auto"/>
              <w:right w:val="nil"/>
            </w:tcBorders>
            <w:shd w:val="clear" w:color="auto" w:fill="auto"/>
            <w:vAlign w:val="center"/>
            <w:hideMark/>
          </w:tcPr>
          <w:p w14:paraId="78A79010" w14:textId="77777777" w:rsidR="00B07FC0" w:rsidRPr="007C250E" w:rsidRDefault="00B07FC0" w:rsidP="00433C4E">
            <w:pPr>
              <w:jc w:val="both"/>
              <w:rPr>
                <w:noProof/>
                <w:color w:val="000000"/>
                <w:sz w:val="16"/>
                <w:szCs w:val="16"/>
              </w:rPr>
            </w:pPr>
            <w:r>
              <w:rPr>
                <w:noProof/>
                <w:color w:val="000000"/>
                <w:sz w:val="16"/>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4F4EAF45" w14:textId="77777777" w:rsidR="00B07FC0" w:rsidRPr="007C250E" w:rsidRDefault="00B07FC0" w:rsidP="00433C4E">
            <w:pPr>
              <w:jc w:val="right"/>
              <w:rPr>
                <w:i/>
                <w:iCs/>
                <w:noProof/>
                <w:color w:val="000000"/>
                <w:sz w:val="16"/>
                <w:szCs w:val="16"/>
              </w:rPr>
            </w:pPr>
            <w:r>
              <w:rPr>
                <w:i/>
                <w:noProof/>
                <w:color w:val="000000"/>
                <w:sz w:val="16"/>
              </w:rPr>
              <w:t>Escolas Europeias</w:t>
            </w:r>
          </w:p>
        </w:tc>
        <w:tc>
          <w:tcPr>
            <w:tcW w:w="1276" w:type="dxa"/>
            <w:tcBorders>
              <w:top w:val="nil"/>
              <w:left w:val="nil"/>
              <w:bottom w:val="single" w:sz="8" w:space="0" w:color="auto"/>
              <w:right w:val="single" w:sz="8" w:space="0" w:color="auto"/>
            </w:tcBorders>
            <w:shd w:val="clear" w:color="auto" w:fill="auto"/>
            <w:vAlign w:val="center"/>
            <w:hideMark/>
          </w:tcPr>
          <w:p w14:paraId="18A6D4D8" w14:textId="77777777" w:rsidR="00B07FC0" w:rsidRPr="007C250E" w:rsidRDefault="00B07FC0" w:rsidP="00433C4E">
            <w:pPr>
              <w:jc w:val="right"/>
              <w:rPr>
                <w:i/>
                <w:iCs/>
                <w:noProof/>
                <w:color w:val="000000"/>
                <w:sz w:val="16"/>
                <w:szCs w:val="16"/>
              </w:rPr>
            </w:pPr>
            <w:r>
              <w:rPr>
                <w:i/>
                <w:noProof/>
                <w:color w:val="000000"/>
                <w:sz w:val="16"/>
              </w:rPr>
              <w:t>247 160 762</w:t>
            </w:r>
          </w:p>
        </w:tc>
        <w:tc>
          <w:tcPr>
            <w:tcW w:w="1276" w:type="dxa"/>
            <w:tcBorders>
              <w:top w:val="nil"/>
              <w:left w:val="nil"/>
              <w:bottom w:val="single" w:sz="8" w:space="0" w:color="auto"/>
              <w:right w:val="single" w:sz="8" w:space="0" w:color="auto"/>
            </w:tcBorders>
            <w:shd w:val="clear" w:color="auto" w:fill="auto"/>
            <w:vAlign w:val="center"/>
            <w:hideMark/>
          </w:tcPr>
          <w:p w14:paraId="53400FB9" w14:textId="77777777" w:rsidR="00B07FC0" w:rsidRPr="007C250E" w:rsidRDefault="00B07FC0" w:rsidP="00433C4E">
            <w:pPr>
              <w:jc w:val="right"/>
              <w:rPr>
                <w:i/>
                <w:iCs/>
                <w:noProof/>
                <w:color w:val="000000"/>
                <w:sz w:val="16"/>
                <w:szCs w:val="16"/>
              </w:rPr>
            </w:pPr>
            <w:r>
              <w:rPr>
                <w:i/>
                <w:noProof/>
                <w:color w:val="000000"/>
                <w:sz w:val="16"/>
              </w:rPr>
              <w:t>247 160 762</w:t>
            </w:r>
          </w:p>
        </w:tc>
        <w:tc>
          <w:tcPr>
            <w:tcW w:w="1134" w:type="dxa"/>
            <w:tcBorders>
              <w:top w:val="nil"/>
              <w:left w:val="nil"/>
              <w:bottom w:val="single" w:sz="8" w:space="0" w:color="auto"/>
              <w:right w:val="single" w:sz="8" w:space="0" w:color="auto"/>
            </w:tcBorders>
            <w:shd w:val="clear" w:color="auto" w:fill="auto"/>
            <w:vAlign w:val="center"/>
            <w:hideMark/>
          </w:tcPr>
          <w:p w14:paraId="5BA82152" w14:textId="77777777" w:rsidR="00B07FC0" w:rsidRPr="007C250E" w:rsidRDefault="00B07FC0" w:rsidP="00433C4E">
            <w:pPr>
              <w:jc w:val="right"/>
              <w:rPr>
                <w:i/>
                <w:iCs/>
                <w:noProof/>
                <w:color w:val="000000"/>
                <w:sz w:val="16"/>
                <w:szCs w:val="16"/>
              </w:rPr>
            </w:pPr>
            <w:r>
              <w:rPr>
                <w:i/>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C131CF5" w14:textId="77777777" w:rsidR="00B07FC0" w:rsidRPr="007C250E" w:rsidRDefault="00B07FC0" w:rsidP="00433C4E">
            <w:pPr>
              <w:jc w:val="right"/>
              <w:rPr>
                <w:i/>
                <w:iCs/>
                <w:noProof/>
                <w:color w:val="000000"/>
                <w:sz w:val="16"/>
                <w:szCs w:val="16"/>
              </w:rPr>
            </w:pPr>
            <w:r>
              <w:rPr>
                <w:i/>
                <w:noProof/>
                <w:color w:val="000000"/>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644AB87F" w14:textId="77777777" w:rsidR="00B07FC0" w:rsidRPr="007C250E" w:rsidRDefault="00B07FC0" w:rsidP="00433C4E">
            <w:pPr>
              <w:jc w:val="right"/>
              <w:rPr>
                <w:i/>
                <w:iCs/>
                <w:noProof/>
                <w:color w:val="000000"/>
                <w:sz w:val="16"/>
                <w:szCs w:val="16"/>
              </w:rPr>
            </w:pPr>
            <w:r>
              <w:rPr>
                <w:i/>
                <w:noProof/>
                <w:color w:val="000000"/>
                <w:sz w:val="16"/>
              </w:rPr>
              <w:t xml:space="preserve">247 160 762 </w:t>
            </w:r>
          </w:p>
        </w:tc>
        <w:tc>
          <w:tcPr>
            <w:tcW w:w="1276" w:type="dxa"/>
            <w:tcBorders>
              <w:top w:val="nil"/>
              <w:left w:val="nil"/>
              <w:bottom w:val="single" w:sz="8" w:space="0" w:color="auto"/>
              <w:right w:val="single" w:sz="8" w:space="0" w:color="auto"/>
            </w:tcBorders>
            <w:shd w:val="clear" w:color="auto" w:fill="auto"/>
            <w:vAlign w:val="center"/>
            <w:hideMark/>
          </w:tcPr>
          <w:p w14:paraId="2194C3A5" w14:textId="77777777" w:rsidR="00B07FC0" w:rsidRPr="007C250E" w:rsidRDefault="00B07FC0" w:rsidP="00433C4E">
            <w:pPr>
              <w:jc w:val="right"/>
              <w:rPr>
                <w:i/>
                <w:iCs/>
                <w:noProof/>
                <w:color w:val="000000"/>
                <w:sz w:val="16"/>
                <w:szCs w:val="16"/>
              </w:rPr>
            </w:pPr>
            <w:r>
              <w:rPr>
                <w:i/>
                <w:noProof/>
                <w:color w:val="000000"/>
                <w:sz w:val="16"/>
              </w:rPr>
              <w:t xml:space="preserve">247 160 762 </w:t>
            </w:r>
          </w:p>
        </w:tc>
      </w:tr>
      <w:tr w:rsidR="00B07FC0" w:rsidRPr="007C250E" w14:paraId="327BBA2B" w14:textId="77777777" w:rsidTr="00433C4E">
        <w:trPr>
          <w:trHeight w:val="300"/>
        </w:trPr>
        <w:tc>
          <w:tcPr>
            <w:tcW w:w="416" w:type="dxa"/>
            <w:tcBorders>
              <w:top w:val="nil"/>
              <w:left w:val="single" w:sz="8" w:space="0" w:color="auto"/>
              <w:bottom w:val="single" w:sz="8" w:space="0" w:color="auto"/>
              <w:right w:val="nil"/>
            </w:tcBorders>
            <w:shd w:val="clear" w:color="000000" w:fill="F2F2F2"/>
            <w:vAlign w:val="center"/>
            <w:hideMark/>
          </w:tcPr>
          <w:p w14:paraId="35E9800F" w14:textId="77777777" w:rsidR="00B07FC0" w:rsidRPr="007C250E" w:rsidRDefault="00B07FC0" w:rsidP="00433C4E">
            <w:pPr>
              <w:jc w:val="both"/>
              <w:rPr>
                <w:noProof/>
                <w:sz w:val="16"/>
                <w:szCs w:val="16"/>
              </w:rPr>
            </w:pPr>
            <w:r>
              <w:rPr>
                <w:noProof/>
                <w:sz w:val="16"/>
              </w:rPr>
              <w:t xml:space="preserve"> </w:t>
            </w:r>
          </w:p>
        </w:tc>
        <w:tc>
          <w:tcPr>
            <w:tcW w:w="2551" w:type="dxa"/>
            <w:tcBorders>
              <w:top w:val="nil"/>
              <w:left w:val="nil"/>
              <w:bottom w:val="single" w:sz="8" w:space="0" w:color="auto"/>
              <w:right w:val="single" w:sz="8" w:space="0" w:color="auto"/>
            </w:tcBorders>
            <w:shd w:val="clear" w:color="000000" w:fill="F2F2F2"/>
            <w:vAlign w:val="center"/>
            <w:hideMark/>
          </w:tcPr>
          <w:p w14:paraId="59E297A3" w14:textId="77777777" w:rsidR="00B07FC0" w:rsidRPr="007C250E" w:rsidRDefault="00B07FC0" w:rsidP="00433C4E">
            <w:pPr>
              <w:rPr>
                <w:noProof/>
                <w:sz w:val="16"/>
                <w:szCs w:val="16"/>
              </w:rPr>
            </w:pPr>
            <w:r>
              <w:rPr>
                <w:noProof/>
                <w:sz w:val="16"/>
              </w:rPr>
              <w:t>Despesas administrativas das instituições</w:t>
            </w:r>
          </w:p>
        </w:tc>
        <w:tc>
          <w:tcPr>
            <w:tcW w:w="1276" w:type="dxa"/>
            <w:tcBorders>
              <w:top w:val="nil"/>
              <w:left w:val="nil"/>
              <w:bottom w:val="single" w:sz="8" w:space="0" w:color="auto"/>
              <w:right w:val="single" w:sz="8" w:space="0" w:color="auto"/>
            </w:tcBorders>
            <w:shd w:val="clear" w:color="000000" w:fill="F2F2F2"/>
            <w:vAlign w:val="center"/>
            <w:hideMark/>
          </w:tcPr>
          <w:p w14:paraId="64E04066" w14:textId="77777777" w:rsidR="00B07FC0" w:rsidRPr="007C250E" w:rsidRDefault="00B07FC0" w:rsidP="00433C4E">
            <w:pPr>
              <w:jc w:val="right"/>
              <w:rPr>
                <w:noProof/>
                <w:sz w:val="16"/>
                <w:szCs w:val="16"/>
              </w:rPr>
            </w:pPr>
            <w:r>
              <w:rPr>
                <w:noProof/>
                <w:sz w:val="16"/>
              </w:rPr>
              <w:t>9 137 000 694</w:t>
            </w:r>
          </w:p>
        </w:tc>
        <w:tc>
          <w:tcPr>
            <w:tcW w:w="1276" w:type="dxa"/>
            <w:tcBorders>
              <w:top w:val="nil"/>
              <w:left w:val="nil"/>
              <w:bottom w:val="single" w:sz="8" w:space="0" w:color="auto"/>
              <w:right w:val="single" w:sz="8" w:space="0" w:color="auto"/>
            </w:tcBorders>
            <w:shd w:val="clear" w:color="000000" w:fill="F2F2F2"/>
            <w:vAlign w:val="center"/>
            <w:hideMark/>
          </w:tcPr>
          <w:p w14:paraId="0A137062" w14:textId="77777777" w:rsidR="00B07FC0" w:rsidRPr="007C250E" w:rsidRDefault="00B07FC0" w:rsidP="00433C4E">
            <w:pPr>
              <w:jc w:val="right"/>
              <w:rPr>
                <w:noProof/>
                <w:sz w:val="16"/>
                <w:szCs w:val="16"/>
              </w:rPr>
            </w:pPr>
            <w:r>
              <w:rPr>
                <w:noProof/>
                <w:sz w:val="16"/>
              </w:rPr>
              <w:t>9 137 000 694</w:t>
            </w:r>
          </w:p>
        </w:tc>
        <w:tc>
          <w:tcPr>
            <w:tcW w:w="1134" w:type="dxa"/>
            <w:tcBorders>
              <w:top w:val="nil"/>
              <w:left w:val="nil"/>
              <w:bottom w:val="single" w:sz="8" w:space="0" w:color="auto"/>
              <w:right w:val="single" w:sz="8" w:space="0" w:color="auto"/>
            </w:tcBorders>
            <w:shd w:val="clear" w:color="000000" w:fill="F2F2F2"/>
            <w:vAlign w:val="center"/>
            <w:hideMark/>
          </w:tcPr>
          <w:p w14:paraId="26CB2596" w14:textId="77777777" w:rsidR="00B07FC0" w:rsidRPr="007C250E" w:rsidRDefault="00B07FC0" w:rsidP="00433C4E">
            <w:pPr>
              <w:jc w:val="right"/>
              <w:rPr>
                <w:noProof/>
                <w:sz w:val="16"/>
                <w:szCs w:val="16"/>
              </w:rPr>
            </w:pPr>
            <w:r>
              <w:rPr>
                <w:noProof/>
                <w:sz w:val="16"/>
              </w:rPr>
              <w:t xml:space="preserve">4 588 100 </w:t>
            </w:r>
          </w:p>
        </w:tc>
        <w:tc>
          <w:tcPr>
            <w:tcW w:w="1134" w:type="dxa"/>
            <w:tcBorders>
              <w:top w:val="nil"/>
              <w:left w:val="nil"/>
              <w:bottom w:val="single" w:sz="8" w:space="0" w:color="auto"/>
              <w:right w:val="single" w:sz="8" w:space="0" w:color="auto"/>
            </w:tcBorders>
            <w:shd w:val="clear" w:color="000000" w:fill="F2F2F2"/>
            <w:vAlign w:val="center"/>
            <w:hideMark/>
          </w:tcPr>
          <w:p w14:paraId="5A6DB7FE" w14:textId="77777777" w:rsidR="00B07FC0" w:rsidRPr="007C250E" w:rsidRDefault="00B07FC0" w:rsidP="00433C4E">
            <w:pPr>
              <w:jc w:val="right"/>
              <w:rPr>
                <w:noProof/>
                <w:sz w:val="16"/>
                <w:szCs w:val="16"/>
              </w:rPr>
            </w:pPr>
            <w:r>
              <w:rPr>
                <w:noProof/>
                <w:sz w:val="16"/>
              </w:rPr>
              <w:t xml:space="preserve">4 588 100 </w:t>
            </w:r>
          </w:p>
        </w:tc>
        <w:tc>
          <w:tcPr>
            <w:tcW w:w="1275" w:type="dxa"/>
            <w:tcBorders>
              <w:top w:val="nil"/>
              <w:left w:val="nil"/>
              <w:bottom w:val="single" w:sz="8" w:space="0" w:color="auto"/>
              <w:right w:val="single" w:sz="8" w:space="0" w:color="auto"/>
            </w:tcBorders>
            <w:shd w:val="clear" w:color="000000" w:fill="F2F2F2"/>
            <w:vAlign w:val="center"/>
            <w:hideMark/>
          </w:tcPr>
          <w:p w14:paraId="3E387692" w14:textId="77777777" w:rsidR="00B07FC0" w:rsidRPr="007C250E" w:rsidRDefault="00B07FC0" w:rsidP="00433C4E">
            <w:pPr>
              <w:jc w:val="right"/>
              <w:rPr>
                <w:noProof/>
                <w:sz w:val="16"/>
                <w:szCs w:val="16"/>
              </w:rPr>
            </w:pPr>
            <w:r>
              <w:rPr>
                <w:noProof/>
                <w:sz w:val="16"/>
              </w:rPr>
              <w:t xml:space="preserve">9 141 588 794 </w:t>
            </w:r>
          </w:p>
        </w:tc>
        <w:tc>
          <w:tcPr>
            <w:tcW w:w="1276" w:type="dxa"/>
            <w:tcBorders>
              <w:top w:val="nil"/>
              <w:left w:val="nil"/>
              <w:bottom w:val="single" w:sz="8" w:space="0" w:color="auto"/>
              <w:right w:val="single" w:sz="8" w:space="0" w:color="auto"/>
            </w:tcBorders>
            <w:shd w:val="clear" w:color="000000" w:fill="F2F2F2"/>
            <w:vAlign w:val="center"/>
            <w:hideMark/>
          </w:tcPr>
          <w:p w14:paraId="17299D14" w14:textId="77777777" w:rsidR="00B07FC0" w:rsidRPr="007C250E" w:rsidRDefault="00B07FC0" w:rsidP="00433C4E">
            <w:pPr>
              <w:jc w:val="right"/>
              <w:rPr>
                <w:noProof/>
                <w:sz w:val="16"/>
                <w:szCs w:val="16"/>
              </w:rPr>
            </w:pPr>
            <w:r>
              <w:rPr>
                <w:noProof/>
                <w:sz w:val="16"/>
              </w:rPr>
              <w:t xml:space="preserve">9 141 588 794 </w:t>
            </w:r>
          </w:p>
        </w:tc>
      </w:tr>
      <w:tr w:rsidR="00B07FC0" w:rsidRPr="007C250E" w14:paraId="08A6EA57" w14:textId="77777777" w:rsidTr="00433C4E">
        <w:trPr>
          <w:trHeight w:val="300"/>
        </w:trPr>
        <w:tc>
          <w:tcPr>
            <w:tcW w:w="416" w:type="dxa"/>
            <w:tcBorders>
              <w:top w:val="nil"/>
              <w:left w:val="single" w:sz="8" w:space="0" w:color="auto"/>
              <w:bottom w:val="single" w:sz="8" w:space="0" w:color="auto"/>
              <w:right w:val="nil"/>
            </w:tcBorders>
            <w:shd w:val="clear" w:color="auto" w:fill="auto"/>
            <w:vAlign w:val="center"/>
            <w:hideMark/>
          </w:tcPr>
          <w:p w14:paraId="4FA1DC69" w14:textId="77777777" w:rsidR="00B07FC0" w:rsidRPr="007C250E" w:rsidRDefault="00B07FC0" w:rsidP="00433C4E">
            <w:pPr>
              <w:jc w:val="both"/>
              <w:rPr>
                <w:noProof/>
                <w:color w:val="000000"/>
                <w:sz w:val="16"/>
                <w:szCs w:val="16"/>
              </w:rPr>
            </w:pPr>
            <w:r>
              <w:rPr>
                <w:noProof/>
                <w:color w:val="000000"/>
                <w:sz w:val="16"/>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0F918B5A" w14:textId="77777777" w:rsidR="00B07FC0" w:rsidRPr="007C250E" w:rsidRDefault="00B07FC0" w:rsidP="00433C4E">
            <w:pPr>
              <w:jc w:val="right"/>
              <w:rPr>
                <w:i/>
                <w:iCs/>
                <w:noProof/>
                <w:color w:val="000000"/>
                <w:sz w:val="16"/>
                <w:szCs w:val="16"/>
              </w:rPr>
            </w:pPr>
            <w:r>
              <w:rPr>
                <w:i/>
                <w:noProof/>
                <w:color w:val="000000"/>
                <w:sz w:val="16"/>
              </w:rPr>
              <w:t>Parlamento Europeu</w:t>
            </w:r>
          </w:p>
        </w:tc>
        <w:tc>
          <w:tcPr>
            <w:tcW w:w="1276" w:type="dxa"/>
            <w:tcBorders>
              <w:top w:val="nil"/>
              <w:left w:val="nil"/>
              <w:bottom w:val="single" w:sz="8" w:space="0" w:color="auto"/>
              <w:right w:val="single" w:sz="8" w:space="0" w:color="auto"/>
            </w:tcBorders>
            <w:shd w:val="clear" w:color="auto" w:fill="auto"/>
            <w:vAlign w:val="center"/>
            <w:hideMark/>
          </w:tcPr>
          <w:p w14:paraId="5D9BC20D" w14:textId="77777777" w:rsidR="00B07FC0" w:rsidRPr="007C250E" w:rsidRDefault="00B07FC0" w:rsidP="00433C4E">
            <w:pPr>
              <w:jc w:val="right"/>
              <w:rPr>
                <w:i/>
                <w:iCs/>
                <w:noProof/>
                <w:color w:val="000000"/>
                <w:sz w:val="16"/>
                <w:szCs w:val="16"/>
              </w:rPr>
            </w:pPr>
            <w:r>
              <w:rPr>
                <w:i/>
                <w:noProof/>
                <w:color w:val="000000"/>
                <w:sz w:val="16"/>
              </w:rPr>
              <w:t>2 354 855 881</w:t>
            </w:r>
          </w:p>
        </w:tc>
        <w:tc>
          <w:tcPr>
            <w:tcW w:w="1276" w:type="dxa"/>
            <w:tcBorders>
              <w:top w:val="nil"/>
              <w:left w:val="nil"/>
              <w:bottom w:val="single" w:sz="8" w:space="0" w:color="auto"/>
              <w:right w:val="single" w:sz="8" w:space="0" w:color="auto"/>
            </w:tcBorders>
            <w:shd w:val="clear" w:color="auto" w:fill="auto"/>
            <w:vAlign w:val="center"/>
            <w:hideMark/>
          </w:tcPr>
          <w:p w14:paraId="3B705C11" w14:textId="77777777" w:rsidR="00B07FC0" w:rsidRPr="007C250E" w:rsidRDefault="00B07FC0" w:rsidP="00433C4E">
            <w:pPr>
              <w:jc w:val="right"/>
              <w:rPr>
                <w:i/>
                <w:iCs/>
                <w:noProof/>
                <w:color w:val="000000"/>
                <w:sz w:val="16"/>
                <w:szCs w:val="16"/>
              </w:rPr>
            </w:pPr>
            <w:r>
              <w:rPr>
                <w:i/>
                <w:noProof/>
                <w:color w:val="000000"/>
                <w:sz w:val="16"/>
              </w:rPr>
              <w:t>2 354 855 881</w:t>
            </w:r>
          </w:p>
        </w:tc>
        <w:tc>
          <w:tcPr>
            <w:tcW w:w="1134" w:type="dxa"/>
            <w:tcBorders>
              <w:top w:val="nil"/>
              <w:left w:val="nil"/>
              <w:bottom w:val="single" w:sz="8" w:space="0" w:color="auto"/>
              <w:right w:val="single" w:sz="8" w:space="0" w:color="auto"/>
            </w:tcBorders>
            <w:shd w:val="clear" w:color="auto" w:fill="auto"/>
            <w:vAlign w:val="center"/>
            <w:hideMark/>
          </w:tcPr>
          <w:p w14:paraId="6088CEDE" w14:textId="77777777" w:rsidR="00B07FC0" w:rsidRPr="007C250E" w:rsidRDefault="00B07FC0" w:rsidP="00433C4E">
            <w:pPr>
              <w:jc w:val="right"/>
              <w:rPr>
                <w:i/>
                <w:iCs/>
                <w:noProof/>
                <w:color w:val="000000"/>
                <w:sz w:val="16"/>
                <w:szCs w:val="16"/>
              </w:rPr>
            </w:pPr>
            <w:r>
              <w:rPr>
                <w:i/>
                <w:noProof/>
                <w:color w:val="000000"/>
                <w:sz w:val="16"/>
              </w:rPr>
              <w:t xml:space="preserve">-300 000 </w:t>
            </w:r>
          </w:p>
        </w:tc>
        <w:tc>
          <w:tcPr>
            <w:tcW w:w="1134" w:type="dxa"/>
            <w:tcBorders>
              <w:top w:val="nil"/>
              <w:left w:val="nil"/>
              <w:bottom w:val="single" w:sz="8" w:space="0" w:color="auto"/>
              <w:right w:val="single" w:sz="8" w:space="0" w:color="auto"/>
            </w:tcBorders>
            <w:shd w:val="clear" w:color="auto" w:fill="auto"/>
            <w:vAlign w:val="center"/>
            <w:hideMark/>
          </w:tcPr>
          <w:p w14:paraId="7B74FA8E" w14:textId="77777777" w:rsidR="00B07FC0" w:rsidRPr="007C250E" w:rsidRDefault="00B07FC0" w:rsidP="00433C4E">
            <w:pPr>
              <w:jc w:val="right"/>
              <w:rPr>
                <w:i/>
                <w:iCs/>
                <w:noProof/>
                <w:color w:val="000000"/>
                <w:sz w:val="16"/>
                <w:szCs w:val="16"/>
              </w:rPr>
            </w:pPr>
            <w:r>
              <w:rPr>
                <w:i/>
                <w:noProof/>
                <w:color w:val="000000"/>
                <w:sz w:val="16"/>
              </w:rPr>
              <w:t xml:space="preserve">-300 000 </w:t>
            </w:r>
          </w:p>
        </w:tc>
        <w:tc>
          <w:tcPr>
            <w:tcW w:w="1275" w:type="dxa"/>
            <w:tcBorders>
              <w:top w:val="nil"/>
              <w:left w:val="nil"/>
              <w:bottom w:val="single" w:sz="8" w:space="0" w:color="auto"/>
              <w:right w:val="single" w:sz="8" w:space="0" w:color="auto"/>
            </w:tcBorders>
            <w:shd w:val="clear" w:color="auto" w:fill="auto"/>
            <w:vAlign w:val="center"/>
            <w:hideMark/>
          </w:tcPr>
          <w:p w14:paraId="51BD069B" w14:textId="77777777" w:rsidR="00B07FC0" w:rsidRPr="007C250E" w:rsidRDefault="00B07FC0" w:rsidP="00433C4E">
            <w:pPr>
              <w:jc w:val="right"/>
              <w:rPr>
                <w:i/>
                <w:iCs/>
                <w:noProof/>
                <w:color w:val="000000"/>
                <w:sz w:val="16"/>
                <w:szCs w:val="16"/>
              </w:rPr>
            </w:pPr>
            <w:r>
              <w:rPr>
                <w:i/>
                <w:noProof/>
                <w:color w:val="000000"/>
                <w:sz w:val="16"/>
              </w:rPr>
              <w:t xml:space="preserve">2 354 555 881 </w:t>
            </w:r>
          </w:p>
        </w:tc>
        <w:tc>
          <w:tcPr>
            <w:tcW w:w="1276" w:type="dxa"/>
            <w:tcBorders>
              <w:top w:val="nil"/>
              <w:left w:val="nil"/>
              <w:bottom w:val="single" w:sz="8" w:space="0" w:color="auto"/>
              <w:right w:val="single" w:sz="8" w:space="0" w:color="auto"/>
            </w:tcBorders>
            <w:shd w:val="clear" w:color="auto" w:fill="auto"/>
            <w:vAlign w:val="center"/>
            <w:hideMark/>
          </w:tcPr>
          <w:p w14:paraId="5BB34D3C" w14:textId="77777777" w:rsidR="00B07FC0" w:rsidRPr="007C250E" w:rsidRDefault="00B07FC0" w:rsidP="00433C4E">
            <w:pPr>
              <w:jc w:val="right"/>
              <w:rPr>
                <w:i/>
                <w:iCs/>
                <w:noProof/>
                <w:color w:val="000000"/>
                <w:sz w:val="16"/>
                <w:szCs w:val="16"/>
              </w:rPr>
            </w:pPr>
            <w:r>
              <w:rPr>
                <w:i/>
                <w:noProof/>
                <w:color w:val="000000"/>
                <w:sz w:val="16"/>
              </w:rPr>
              <w:t xml:space="preserve">2 354 555 881 </w:t>
            </w:r>
          </w:p>
        </w:tc>
      </w:tr>
      <w:tr w:rsidR="00B07FC0" w:rsidRPr="007C250E" w14:paraId="3B32F355" w14:textId="77777777" w:rsidTr="00433C4E">
        <w:trPr>
          <w:trHeight w:val="300"/>
        </w:trPr>
        <w:tc>
          <w:tcPr>
            <w:tcW w:w="416" w:type="dxa"/>
            <w:tcBorders>
              <w:top w:val="nil"/>
              <w:left w:val="single" w:sz="8" w:space="0" w:color="auto"/>
              <w:bottom w:val="single" w:sz="8" w:space="0" w:color="auto"/>
              <w:right w:val="nil"/>
            </w:tcBorders>
            <w:shd w:val="clear" w:color="auto" w:fill="auto"/>
            <w:vAlign w:val="center"/>
            <w:hideMark/>
          </w:tcPr>
          <w:p w14:paraId="0678C288" w14:textId="77777777" w:rsidR="00B07FC0" w:rsidRPr="007C250E" w:rsidRDefault="00B07FC0" w:rsidP="00433C4E">
            <w:pPr>
              <w:jc w:val="both"/>
              <w:rPr>
                <w:noProof/>
                <w:color w:val="000000"/>
                <w:sz w:val="16"/>
                <w:szCs w:val="16"/>
              </w:rPr>
            </w:pPr>
            <w:r>
              <w:rPr>
                <w:noProof/>
                <w:color w:val="000000"/>
                <w:sz w:val="16"/>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61CB945A" w14:textId="77777777" w:rsidR="00B07FC0" w:rsidRPr="007C250E" w:rsidRDefault="00B07FC0" w:rsidP="00433C4E">
            <w:pPr>
              <w:jc w:val="right"/>
              <w:rPr>
                <w:i/>
                <w:iCs/>
                <w:noProof/>
                <w:color w:val="000000"/>
                <w:sz w:val="16"/>
                <w:szCs w:val="16"/>
              </w:rPr>
            </w:pPr>
            <w:r>
              <w:rPr>
                <w:i/>
                <w:noProof/>
                <w:color w:val="000000"/>
                <w:sz w:val="16"/>
              </w:rPr>
              <w:t>Conselho Europeu e Conselho</w:t>
            </w:r>
          </w:p>
        </w:tc>
        <w:tc>
          <w:tcPr>
            <w:tcW w:w="1276" w:type="dxa"/>
            <w:tcBorders>
              <w:top w:val="nil"/>
              <w:left w:val="nil"/>
              <w:bottom w:val="single" w:sz="8" w:space="0" w:color="auto"/>
              <w:right w:val="single" w:sz="8" w:space="0" w:color="auto"/>
            </w:tcBorders>
            <w:shd w:val="clear" w:color="auto" w:fill="auto"/>
            <w:vAlign w:val="center"/>
            <w:hideMark/>
          </w:tcPr>
          <w:p w14:paraId="5A071C55" w14:textId="77777777" w:rsidR="00B07FC0" w:rsidRPr="007C250E" w:rsidRDefault="00B07FC0" w:rsidP="00433C4E">
            <w:pPr>
              <w:jc w:val="right"/>
              <w:rPr>
                <w:i/>
                <w:iCs/>
                <w:noProof/>
                <w:color w:val="000000"/>
                <w:sz w:val="16"/>
                <w:szCs w:val="16"/>
              </w:rPr>
            </w:pPr>
            <w:r>
              <w:rPr>
                <w:i/>
                <w:noProof/>
                <w:color w:val="000000"/>
                <w:sz w:val="16"/>
              </w:rPr>
              <w:t>676 842 943</w:t>
            </w:r>
          </w:p>
        </w:tc>
        <w:tc>
          <w:tcPr>
            <w:tcW w:w="1276" w:type="dxa"/>
            <w:tcBorders>
              <w:top w:val="nil"/>
              <w:left w:val="nil"/>
              <w:bottom w:val="single" w:sz="8" w:space="0" w:color="auto"/>
              <w:right w:val="single" w:sz="8" w:space="0" w:color="auto"/>
            </w:tcBorders>
            <w:shd w:val="clear" w:color="auto" w:fill="auto"/>
            <w:vAlign w:val="center"/>
            <w:hideMark/>
          </w:tcPr>
          <w:p w14:paraId="5DD6C856" w14:textId="77777777" w:rsidR="00B07FC0" w:rsidRPr="007C250E" w:rsidRDefault="00B07FC0" w:rsidP="00433C4E">
            <w:pPr>
              <w:jc w:val="right"/>
              <w:rPr>
                <w:i/>
                <w:iCs/>
                <w:noProof/>
                <w:color w:val="000000"/>
                <w:sz w:val="16"/>
                <w:szCs w:val="16"/>
              </w:rPr>
            </w:pPr>
            <w:r>
              <w:rPr>
                <w:i/>
                <w:noProof/>
                <w:color w:val="000000"/>
                <w:sz w:val="16"/>
              </w:rPr>
              <w:t>676 842 943</w:t>
            </w:r>
          </w:p>
        </w:tc>
        <w:tc>
          <w:tcPr>
            <w:tcW w:w="1134" w:type="dxa"/>
            <w:tcBorders>
              <w:top w:val="nil"/>
              <w:left w:val="nil"/>
              <w:bottom w:val="single" w:sz="8" w:space="0" w:color="auto"/>
              <w:right w:val="single" w:sz="8" w:space="0" w:color="auto"/>
            </w:tcBorders>
            <w:shd w:val="clear" w:color="auto" w:fill="auto"/>
            <w:vAlign w:val="center"/>
            <w:hideMark/>
          </w:tcPr>
          <w:p w14:paraId="13D074D2" w14:textId="77777777" w:rsidR="00B07FC0" w:rsidRPr="007C250E" w:rsidRDefault="00B07FC0" w:rsidP="00433C4E">
            <w:pPr>
              <w:jc w:val="right"/>
              <w:rPr>
                <w:i/>
                <w:iCs/>
                <w:noProof/>
                <w:color w:val="000000"/>
                <w:sz w:val="16"/>
                <w:szCs w:val="16"/>
              </w:rPr>
            </w:pPr>
            <w:r>
              <w:rPr>
                <w:i/>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F1E4D25" w14:textId="77777777" w:rsidR="00B07FC0" w:rsidRPr="007C250E" w:rsidRDefault="00B07FC0" w:rsidP="00433C4E">
            <w:pPr>
              <w:jc w:val="right"/>
              <w:rPr>
                <w:i/>
                <w:iCs/>
                <w:noProof/>
                <w:color w:val="000000"/>
                <w:sz w:val="16"/>
                <w:szCs w:val="16"/>
              </w:rPr>
            </w:pPr>
            <w:r>
              <w:rPr>
                <w:i/>
                <w:noProof/>
                <w:color w:val="000000"/>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08824868" w14:textId="77777777" w:rsidR="00B07FC0" w:rsidRPr="007C250E" w:rsidRDefault="00B07FC0" w:rsidP="00433C4E">
            <w:pPr>
              <w:jc w:val="right"/>
              <w:rPr>
                <w:i/>
                <w:iCs/>
                <w:noProof/>
                <w:color w:val="000000"/>
                <w:sz w:val="16"/>
                <w:szCs w:val="16"/>
              </w:rPr>
            </w:pPr>
            <w:r>
              <w:rPr>
                <w:i/>
                <w:noProof/>
                <w:color w:val="000000"/>
                <w:sz w:val="16"/>
              </w:rPr>
              <w:t xml:space="preserve">676 842 943 </w:t>
            </w:r>
          </w:p>
        </w:tc>
        <w:tc>
          <w:tcPr>
            <w:tcW w:w="1276" w:type="dxa"/>
            <w:tcBorders>
              <w:top w:val="nil"/>
              <w:left w:val="nil"/>
              <w:bottom w:val="single" w:sz="8" w:space="0" w:color="auto"/>
              <w:right w:val="single" w:sz="8" w:space="0" w:color="auto"/>
            </w:tcBorders>
            <w:shd w:val="clear" w:color="auto" w:fill="auto"/>
            <w:vAlign w:val="center"/>
            <w:hideMark/>
          </w:tcPr>
          <w:p w14:paraId="09206798" w14:textId="77777777" w:rsidR="00B07FC0" w:rsidRPr="007C250E" w:rsidRDefault="00B07FC0" w:rsidP="00433C4E">
            <w:pPr>
              <w:jc w:val="right"/>
              <w:rPr>
                <w:i/>
                <w:iCs/>
                <w:noProof/>
                <w:color w:val="000000"/>
                <w:sz w:val="16"/>
                <w:szCs w:val="16"/>
              </w:rPr>
            </w:pPr>
            <w:r>
              <w:rPr>
                <w:i/>
                <w:noProof/>
                <w:color w:val="000000"/>
                <w:sz w:val="16"/>
              </w:rPr>
              <w:t xml:space="preserve">676 842 943 </w:t>
            </w:r>
          </w:p>
        </w:tc>
      </w:tr>
      <w:tr w:rsidR="00B07FC0" w:rsidRPr="007C250E" w14:paraId="12C94ADC" w14:textId="77777777" w:rsidTr="00433C4E">
        <w:trPr>
          <w:trHeight w:val="300"/>
        </w:trPr>
        <w:tc>
          <w:tcPr>
            <w:tcW w:w="416" w:type="dxa"/>
            <w:tcBorders>
              <w:top w:val="nil"/>
              <w:left w:val="single" w:sz="8" w:space="0" w:color="auto"/>
              <w:bottom w:val="single" w:sz="8" w:space="0" w:color="auto"/>
              <w:right w:val="nil"/>
            </w:tcBorders>
            <w:shd w:val="clear" w:color="000000" w:fill="FFFFFF"/>
            <w:vAlign w:val="center"/>
            <w:hideMark/>
          </w:tcPr>
          <w:p w14:paraId="2CADD7CD" w14:textId="77777777" w:rsidR="00B07FC0" w:rsidRPr="007C250E" w:rsidRDefault="00B07FC0" w:rsidP="00433C4E">
            <w:pPr>
              <w:jc w:val="both"/>
              <w:rPr>
                <w:noProof/>
                <w:color w:val="000000"/>
                <w:sz w:val="16"/>
                <w:szCs w:val="16"/>
              </w:rPr>
            </w:pPr>
            <w:r>
              <w:rPr>
                <w:noProof/>
                <w:color w:val="000000"/>
                <w:sz w:val="16"/>
              </w:rPr>
              <w:t xml:space="preserve"> </w:t>
            </w:r>
          </w:p>
        </w:tc>
        <w:tc>
          <w:tcPr>
            <w:tcW w:w="2551" w:type="dxa"/>
            <w:tcBorders>
              <w:top w:val="nil"/>
              <w:left w:val="nil"/>
              <w:bottom w:val="single" w:sz="8" w:space="0" w:color="auto"/>
              <w:right w:val="single" w:sz="8" w:space="0" w:color="auto"/>
            </w:tcBorders>
            <w:shd w:val="clear" w:color="000000" w:fill="FFFFFF"/>
            <w:vAlign w:val="center"/>
            <w:hideMark/>
          </w:tcPr>
          <w:p w14:paraId="243C97BC" w14:textId="77777777" w:rsidR="00B07FC0" w:rsidRPr="007C250E" w:rsidRDefault="00B07FC0" w:rsidP="00433C4E">
            <w:pPr>
              <w:jc w:val="right"/>
              <w:rPr>
                <w:i/>
                <w:iCs/>
                <w:noProof/>
                <w:color w:val="000000"/>
                <w:sz w:val="16"/>
                <w:szCs w:val="16"/>
              </w:rPr>
            </w:pPr>
            <w:r>
              <w:rPr>
                <w:i/>
                <w:noProof/>
                <w:color w:val="000000"/>
                <w:sz w:val="16"/>
              </w:rPr>
              <w:t>Comissão</w:t>
            </w:r>
          </w:p>
        </w:tc>
        <w:tc>
          <w:tcPr>
            <w:tcW w:w="1276" w:type="dxa"/>
            <w:tcBorders>
              <w:top w:val="nil"/>
              <w:left w:val="nil"/>
              <w:bottom w:val="single" w:sz="8" w:space="0" w:color="auto"/>
              <w:right w:val="single" w:sz="8" w:space="0" w:color="auto"/>
            </w:tcBorders>
            <w:shd w:val="clear" w:color="000000" w:fill="FFFFFF"/>
            <w:vAlign w:val="center"/>
            <w:hideMark/>
          </w:tcPr>
          <w:p w14:paraId="4395CCFB" w14:textId="77777777" w:rsidR="00B07FC0" w:rsidRPr="007C250E" w:rsidRDefault="00B07FC0" w:rsidP="00433C4E">
            <w:pPr>
              <w:jc w:val="right"/>
              <w:rPr>
                <w:i/>
                <w:iCs/>
                <w:noProof/>
                <w:color w:val="000000"/>
                <w:sz w:val="16"/>
                <w:szCs w:val="16"/>
              </w:rPr>
            </w:pPr>
            <w:r>
              <w:rPr>
                <w:i/>
                <w:noProof/>
                <w:color w:val="000000"/>
                <w:sz w:val="16"/>
              </w:rPr>
              <w:t>4 221 445 825</w:t>
            </w:r>
          </w:p>
        </w:tc>
        <w:tc>
          <w:tcPr>
            <w:tcW w:w="1276" w:type="dxa"/>
            <w:tcBorders>
              <w:top w:val="nil"/>
              <w:left w:val="nil"/>
              <w:bottom w:val="single" w:sz="8" w:space="0" w:color="auto"/>
              <w:right w:val="single" w:sz="8" w:space="0" w:color="auto"/>
            </w:tcBorders>
            <w:shd w:val="clear" w:color="000000" w:fill="FFFFFF"/>
            <w:vAlign w:val="center"/>
            <w:hideMark/>
          </w:tcPr>
          <w:p w14:paraId="64E5902C" w14:textId="77777777" w:rsidR="00B07FC0" w:rsidRPr="007C250E" w:rsidRDefault="00B07FC0" w:rsidP="00433C4E">
            <w:pPr>
              <w:jc w:val="right"/>
              <w:rPr>
                <w:i/>
                <w:iCs/>
                <w:noProof/>
                <w:color w:val="000000"/>
                <w:sz w:val="16"/>
                <w:szCs w:val="16"/>
              </w:rPr>
            </w:pPr>
            <w:r>
              <w:rPr>
                <w:i/>
                <w:noProof/>
                <w:color w:val="000000"/>
                <w:sz w:val="16"/>
              </w:rPr>
              <w:t>4 221 445 825</w:t>
            </w:r>
          </w:p>
        </w:tc>
        <w:tc>
          <w:tcPr>
            <w:tcW w:w="1134" w:type="dxa"/>
            <w:tcBorders>
              <w:top w:val="nil"/>
              <w:left w:val="nil"/>
              <w:bottom w:val="single" w:sz="8" w:space="0" w:color="auto"/>
              <w:right w:val="single" w:sz="8" w:space="0" w:color="auto"/>
            </w:tcBorders>
            <w:shd w:val="clear" w:color="000000" w:fill="FFFFFF"/>
            <w:vAlign w:val="center"/>
            <w:hideMark/>
          </w:tcPr>
          <w:p w14:paraId="55D8E3C4" w14:textId="77777777" w:rsidR="00B07FC0" w:rsidRPr="007C250E" w:rsidRDefault="00B07FC0" w:rsidP="00433C4E">
            <w:pPr>
              <w:jc w:val="right"/>
              <w:rPr>
                <w:i/>
                <w:iCs/>
                <w:noProof/>
                <w:color w:val="000000"/>
                <w:sz w:val="16"/>
                <w:szCs w:val="16"/>
              </w:rPr>
            </w:pPr>
            <w:r>
              <w:rPr>
                <w:i/>
                <w:noProof/>
                <w:color w:val="000000"/>
                <w:sz w:val="16"/>
              </w:rPr>
              <w:t xml:space="preserve">-3 377 000 </w:t>
            </w:r>
          </w:p>
        </w:tc>
        <w:tc>
          <w:tcPr>
            <w:tcW w:w="1134" w:type="dxa"/>
            <w:tcBorders>
              <w:top w:val="nil"/>
              <w:left w:val="nil"/>
              <w:bottom w:val="single" w:sz="8" w:space="0" w:color="auto"/>
              <w:right w:val="single" w:sz="8" w:space="0" w:color="auto"/>
            </w:tcBorders>
            <w:shd w:val="clear" w:color="000000" w:fill="FFFFFF"/>
            <w:vAlign w:val="center"/>
            <w:hideMark/>
          </w:tcPr>
          <w:p w14:paraId="7CA6B2BC" w14:textId="77777777" w:rsidR="00B07FC0" w:rsidRPr="007C250E" w:rsidRDefault="00B07FC0" w:rsidP="00433C4E">
            <w:pPr>
              <w:jc w:val="right"/>
              <w:rPr>
                <w:i/>
                <w:iCs/>
                <w:noProof/>
                <w:color w:val="000000"/>
                <w:sz w:val="16"/>
                <w:szCs w:val="16"/>
              </w:rPr>
            </w:pPr>
            <w:r>
              <w:rPr>
                <w:i/>
                <w:noProof/>
                <w:color w:val="000000"/>
                <w:sz w:val="16"/>
              </w:rPr>
              <w:t xml:space="preserve">-3 377 000 </w:t>
            </w:r>
          </w:p>
        </w:tc>
        <w:tc>
          <w:tcPr>
            <w:tcW w:w="1275" w:type="dxa"/>
            <w:tcBorders>
              <w:top w:val="nil"/>
              <w:left w:val="nil"/>
              <w:bottom w:val="single" w:sz="8" w:space="0" w:color="auto"/>
              <w:right w:val="single" w:sz="8" w:space="0" w:color="auto"/>
            </w:tcBorders>
            <w:shd w:val="clear" w:color="000000" w:fill="FFFFFF"/>
            <w:vAlign w:val="center"/>
            <w:hideMark/>
          </w:tcPr>
          <w:p w14:paraId="2223E304" w14:textId="77777777" w:rsidR="00B07FC0" w:rsidRPr="007C250E" w:rsidRDefault="00B07FC0" w:rsidP="00433C4E">
            <w:pPr>
              <w:jc w:val="right"/>
              <w:rPr>
                <w:i/>
                <w:iCs/>
                <w:noProof/>
                <w:color w:val="000000"/>
                <w:sz w:val="16"/>
                <w:szCs w:val="16"/>
              </w:rPr>
            </w:pPr>
            <w:r>
              <w:rPr>
                <w:i/>
                <w:noProof/>
                <w:color w:val="000000"/>
                <w:sz w:val="16"/>
              </w:rPr>
              <w:t xml:space="preserve">4 218 068 825 </w:t>
            </w:r>
          </w:p>
        </w:tc>
        <w:tc>
          <w:tcPr>
            <w:tcW w:w="1276" w:type="dxa"/>
            <w:tcBorders>
              <w:top w:val="nil"/>
              <w:left w:val="nil"/>
              <w:bottom w:val="single" w:sz="8" w:space="0" w:color="auto"/>
              <w:right w:val="single" w:sz="8" w:space="0" w:color="auto"/>
            </w:tcBorders>
            <w:shd w:val="clear" w:color="000000" w:fill="FFFFFF"/>
            <w:vAlign w:val="center"/>
            <w:hideMark/>
          </w:tcPr>
          <w:p w14:paraId="55C8C8B9" w14:textId="77777777" w:rsidR="00B07FC0" w:rsidRPr="007C250E" w:rsidRDefault="00B07FC0" w:rsidP="00433C4E">
            <w:pPr>
              <w:jc w:val="right"/>
              <w:rPr>
                <w:i/>
                <w:iCs/>
                <w:noProof/>
                <w:color w:val="000000"/>
                <w:sz w:val="16"/>
                <w:szCs w:val="16"/>
              </w:rPr>
            </w:pPr>
            <w:r>
              <w:rPr>
                <w:i/>
                <w:noProof/>
                <w:color w:val="000000"/>
                <w:sz w:val="16"/>
              </w:rPr>
              <w:t xml:space="preserve">4 218 068 825 </w:t>
            </w:r>
          </w:p>
        </w:tc>
      </w:tr>
      <w:tr w:rsidR="00B07FC0" w:rsidRPr="007C250E" w14:paraId="6569220C" w14:textId="77777777" w:rsidTr="00433C4E">
        <w:trPr>
          <w:trHeight w:val="300"/>
        </w:trPr>
        <w:tc>
          <w:tcPr>
            <w:tcW w:w="416" w:type="dxa"/>
            <w:tcBorders>
              <w:top w:val="nil"/>
              <w:left w:val="single" w:sz="8" w:space="0" w:color="auto"/>
              <w:bottom w:val="single" w:sz="8" w:space="0" w:color="auto"/>
              <w:right w:val="nil"/>
            </w:tcBorders>
            <w:shd w:val="clear" w:color="auto" w:fill="auto"/>
            <w:vAlign w:val="center"/>
            <w:hideMark/>
          </w:tcPr>
          <w:p w14:paraId="4F4991BE" w14:textId="77777777" w:rsidR="00B07FC0" w:rsidRPr="007C250E" w:rsidRDefault="00B07FC0" w:rsidP="00433C4E">
            <w:pPr>
              <w:jc w:val="both"/>
              <w:rPr>
                <w:noProof/>
                <w:color w:val="000000"/>
                <w:sz w:val="16"/>
                <w:szCs w:val="16"/>
              </w:rPr>
            </w:pPr>
            <w:r>
              <w:rPr>
                <w:noProof/>
                <w:color w:val="000000"/>
                <w:sz w:val="16"/>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54690C3A" w14:textId="77777777" w:rsidR="00B07FC0" w:rsidRPr="00B07FC0" w:rsidRDefault="00B07FC0" w:rsidP="00433C4E">
            <w:pPr>
              <w:jc w:val="right"/>
              <w:rPr>
                <w:i/>
                <w:iCs/>
                <w:noProof/>
                <w:color w:val="000000"/>
                <w:sz w:val="16"/>
                <w:szCs w:val="16"/>
                <w:lang w:val="pt-PT"/>
              </w:rPr>
            </w:pPr>
            <w:r w:rsidRPr="00B07FC0">
              <w:rPr>
                <w:i/>
                <w:noProof/>
                <w:color w:val="000000"/>
                <w:sz w:val="16"/>
                <w:lang w:val="pt-PT"/>
              </w:rPr>
              <w:t>Tribunal de Justiça da União Europeia</w:t>
            </w:r>
          </w:p>
        </w:tc>
        <w:tc>
          <w:tcPr>
            <w:tcW w:w="1276" w:type="dxa"/>
            <w:tcBorders>
              <w:top w:val="nil"/>
              <w:left w:val="nil"/>
              <w:bottom w:val="single" w:sz="8" w:space="0" w:color="auto"/>
              <w:right w:val="single" w:sz="8" w:space="0" w:color="auto"/>
            </w:tcBorders>
            <w:shd w:val="clear" w:color="auto" w:fill="auto"/>
            <w:vAlign w:val="center"/>
            <w:hideMark/>
          </w:tcPr>
          <w:p w14:paraId="5D06DD9E" w14:textId="77777777" w:rsidR="00B07FC0" w:rsidRPr="007C250E" w:rsidRDefault="00B07FC0" w:rsidP="00433C4E">
            <w:pPr>
              <w:jc w:val="right"/>
              <w:rPr>
                <w:i/>
                <w:iCs/>
                <w:noProof/>
                <w:color w:val="000000"/>
                <w:sz w:val="16"/>
                <w:szCs w:val="16"/>
              </w:rPr>
            </w:pPr>
            <w:r>
              <w:rPr>
                <w:i/>
                <w:noProof/>
                <w:color w:val="000000"/>
                <w:sz w:val="16"/>
              </w:rPr>
              <w:t>502 443 711</w:t>
            </w:r>
          </w:p>
        </w:tc>
        <w:tc>
          <w:tcPr>
            <w:tcW w:w="1276" w:type="dxa"/>
            <w:tcBorders>
              <w:top w:val="nil"/>
              <w:left w:val="nil"/>
              <w:bottom w:val="single" w:sz="8" w:space="0" w:color="auto"/>
              <w:right w:val="single" w:sz="8" w:space="0" w:color="auto"/>
            </w:tcBorders>
            <w:shd w:val="clear" w:color="auto" w:fill="auto"/>
            <w:vAlign w:val="center"/>
            <w:hideMark/>
          </w:tcPr>
          <w:p w14:paraId="6B70DA5A" w14:textId="77777777" w:rsidR="00B07FC0" w:rsidRPr="007C250E" w:rsidRDefault="00B07FC0" w:rsidP="00433C4E">
            <w:pPr>
              <w:jc w:val="right"/>
              <w:rPr>
                <w:i/>
                <w:iCs/>
                <w:noProof/>
                <w:color w:val="000000"/>
                <w:sz w:val="16"/>
                <w:szCs w:val="16"/>
              </w:rPr>
            </w:pPr>
            <w:r>
              <w:rPr>
                <w:i/>
                <w:noProof/>
                <w:color w:val="000000"/>
                <w:sz w:val="16"/>
              </w:rPr>
              <w:t>502 443 711</w:t>
            </w:r>
          </w:p>
        </w:tc>
        <w:tc>
          <w:tcPr>
            <w:tcW w:w="1134" w:type="dxa"/>
            <w:tcBorders>
              <w:top w:val="nil"/>
              <w:left w:val="nil"/>
              <w:bottom w:val="single" w:sz="8" w:space="0" w:color="auto"/>
              <w:right w:val="single" w:sz="8" w:space="0" w:color="auto"/>
            </w:tcBorders>
            <w:shd w:val="clear" w:color="auto" w:fill="auto"/>
            <w:vAlign w:val="center"/>
            <w:hideMark/>
          </w:tcPr>
          <w:p w14:paraId="6375945F" w14:textId="77777777" w:rsidR="00B07FC0" w:rsidRPr="007C250E" w:rsidRDefault="00B07FC0" w:rsidP="00433C4E">
            <w:pPr>
              <w:jc w:val="right"/>
              <w:rPr>
                <w:i/>
                <w:iCs/>
                <w:noProof/>
                <w:color w:val="000000"/>
                <w:sz w:val="16"/>
                <w:szCs w:val="16"/>
              </w:rPr>
            </w:pPr>
            <w:r>
              <w:rPr>
                <w:i/>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0C9ED16" w14:textId="77777777" w:rsidR="00B07FC0" w:rsidRPr="007C250E" w:rsidRDefault="00B07FC0" w:rsidP="00433C4E">
            <w:pPr>
              <w:jc w:val="right"/>
              <w:rPr>
                <w:i/>
                <w:iCs/>
                <w:noProof/>
                <w:color w:val="000000"/>
                <w:sz w:val="16"/>
                <w:szCs w:val="16"/>
              </w:rPr>
            </w:pPr>
            <w:r>
              <w:rPr>
                <w:i/>
                <w:noProof/>
                <w:color w:val="000000"/>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4D992009" w14:textId="77777777" w:rsidR="00B07FC0" w:rsidRPr="007C250E" w:rsidRDefault="00B07FC0" w:rsidP="00433C4E">
            <w:pPr>
              <w:jc w:val="right"/>
              <w:rPr>
                <w:i/>
                <w:iCs/>
                <w:noProof/>
                <w:color w:val="000000"/>
                <w:sz w:val="16"/>
                <w:szCs w:val="16"/>
              </w:rPr>
            </w:pPr>
            <w:r>
              <w:rPr>
                <w:i/>
                <w:noProof/>
                <w:color w:val="000000"/>
                <w:sz w:val="16"/>
              </w:rPr>
              <w:t xml:space="preserve">502 443 711 </w:t>
            </w:r>
          </w:p>
        </w:tc>
        <w:tc>
          <w:tcPr>
            <w:tcW w:w="1276" w:type="dxa"/>
            <w:tcBorders>
              <w:top w:val="nil"/>
              <w:left w:val="nil"/>
              <w:bottom w:val="single" w:sz="8" w:space="0" w:color="auto"/>
              <w:right w:val="single" w:sz="8" w:space="0" w:color="auto"/>
            </w:tcBorders>
            <w:shd w:val="clear" w:color="auto" w:fill="auto"/>
            <w:vAlign w:val="center"/>
            <w:hideMark/>
          </w:tcPr>
          <w:p w14:paraId="066ED835" w14:textId="77777777" w:rsidR="00B07FC0" w:rsidRPr="007C250E" w:rsidRDefault="00B07FC0" w:rsidP="00433C4E">
            <w:pPr>
              <w:jc w:val="right"/>
              <w:rPr>
                <w:i/>
                <w:iCs/>
                <w:noProof/>
                <w:color w:val="000000"/>
                <w:sz w:val="16"/>
                <w:szCs w:val="16"/>
              </w:rPr>
            </w:pPr>
            <w:r>
              <w:rPr>
                <w:i/>
                <w:noProof/>
                <w:color w:val="000000"/>
                <w:sz w:val="16"/>
              </w:rPr>
              <w:t xml:space="preserve">502 443 711 </w:t>
            </w:r>
          </w:p>
        </w:tc>
      </w:tr>
      <w:tr w:rsidR="00B07FC0" w:rsidRPr="007C250E" w14:paraId="78BF19BC" w14:textId="77777777" w:rsidTr="00433C4E">
        <w:trPr>
          <w:trHeight w:val="300"/>
        </w:trPr>
        <w:tc>
          <w:tcPr>
            <w:tcW w:w="416" w:type="dxa"/>
            <w:tcBorders>
              <w:top w:val="nil"/>
              <w:left w:val="single" w:sz="8" w:space="0" w:color="auto"/>
              <w:bottom w:val="single" w:sz="8" w:space="0" w:color="auto"/>
              <w:right w:val="nil"/>
            </w:tcBorders>
            <w:shd w:val="clear" w:color="auto" w:fill="auto"/>
            <w:vAlign w:val="center"/>
            <w:hideMark/>
          </w:tcPr>
          <w:p w14:paraId="0D4C1A6D" w14:textId="77777777" w:rsidR="00B07FC0" w:rsidRPr="007C250E" w:rsidRDefault="00B07FC0" w:rsidP="00433C4E">
            <w:pPr>
              <w:jc w:val="both"/>
              <w:rPr>
                <w:noProof/>
                <w:color w:val="000000"/>
                <w:sz w:val="16"/>
                <w:szCs w:val="16"/>
              </w:rPr>
            </w:pPr>
            <w:r>
              <w:rPr>
                <w:noProof/>
                <w:color w:val="000000"/>
                <w:sz w:val="16"/>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3B9E88F0" w14:textId="77777777" w:rsidR="00B07FC0" w:rsidRPr="007C250E" w:rsidRDefault="00B07FC0" w:rsidP="00433C4E">
            <w:pPr>
              <w:jc w:val="right"/>
              <w:rPr>
                <w:i/>
                <w:iCs/>
                <w:noProof/>
                <w:color w:val="000000"/>
                <w:sz w:val="16"/>
                <w:szCs w:val="16"/>
              </w:rPr>
            </w:pPr>
            <w:r>
              <w:rPr>
                <w:i/>
                <w:noProof/>
                <w:color w:val="000000"/>
                <w:sz w:val="16"/>
              </w:rPr>
              <w:t>Tribunal de Contas Europeu</w:t>
            </w:r>
          </w:p>
        </w:tc>
        <w:tc>
          <w:tcPr>
            <w:tcW w:w="1276" w:type="dxa"/>
            <w:tcBorders>
              <w:top w:val="nil"/>
              <w:left w:val="nil"/>
              <w:bottom w:val="single" w:sz="8" w:space="0" w:color="auto"/>
              <w:right w:val="single" w:sz="8" w:space="0" w:color="auto"/>
            </w:tcBorders>
            <w:shd w:val="clear" w:color="auto" w:fill="auto"/>
            <w:vAlign w:val="center"/>
            <w:hideMark/>
          </w:tcPr>
          <w:p w14:paraId="4BF821A6" w14:textId="77777777" w:rsidR="00B07FC0" w:rsidRPr="007C250E" w:rsidRDefault="00B07FC0" w:rsidP="00433C4E">
            <w:pPr>
              <w:jc w:val="right"/>
              <w:rPr>
                <w:i/>
                <w:iCs/>
                <w:noProof/>
                <w:color w:val="000000"/>
                <w:sz w:val="16"/>
                <w:szCs w:val="16"/>
              </w:rPr>
            </w:pPr>
            <w:r>
              <w:rPr>
                <w:i/>
                <w:noProof/>
                <w:color w:val="000000"/>
                <w:sz w:val="16"/>
              </w:rPr>
              <w:t>184 803 430</w:t>
            </w:r>
          </w:p>
        </w:tc>
        <w:tc>
          <w:tcPr>
            <w:tcW w:w="1276" w:type="dxa"/>
            <w:tcBorders>
              <w:top w:val="nil"/>
              <w:left w:val="nil"/>
              <w:bottom w:val="single" w:sz="8" w:space="0" w:color="auto"/>
              <w:right w:val="single" w:sz="8" w:space="0" w:color="auto"/>
            </w:tcBorders>
            <w:shd w:val="clear" w:color="auto" w:fill="auto"/>
            <w:vAlign w:val="center"/>
            <w:hideMark/>
          </w:tcPr>
          <w:p w14:paraId="092FBB91" w14:textId="77777777" w:rsidR="00B07FC0" w:rsidRPr="007C250E" w:rsidRDefault="00B07FC0" w:rsidP="00433C4E">
            <w:pPr>
              <w:jc w:val="right"/>
              <w:rPr>
                <w:i/>
                <w:iCs/>
                <w:noProof/>
                <w:color w:val="000000"/>
                <w:sz w:val="16"/>
                <w:szCs w:val="16"/>
              </w:rPr>
            </w:pPr>
            <w:r>
              <w:rPr>
                <w:i/>
                <w:noProof/>
                <w:color w:val="000000"/>
                <w:sz w:val="16"/>
              </w:rPr>
              <w:t>184 803 430</w:t>
            </w:r>
          </w:p>
        </w:tc>
        <w:tc>
          <w:tcPr>
            <w:tcW w:w="1134" w:type="dxa"/>
            <w:tcBorders>
              <w:top w:val="nil"/>
              <w:left w:val="nil"/>
              <w:bottom w:val="single" w:sz="8" w:space="0" w:color="auto"/>
              <w:right w:val="single" w:sz="8" w:space="0" w:color="auto"/>
            </w:tcBorders>
            <w:shd w:val="clear" w:color="auto" w:fill="auto"/>
            <w:vAlign w:val="center"/>
            <w:hideMark/>
          </w:tcPr>
          <w:p w14:paraId="073B707D" w14:textId="77777777" w:rsidR="00B07FC0" w:rsidRPr="007C250E" w:rsidRDefault="00B07FC0" w:rsidP="00433C4E">
            <w:pPr>
              <w:jc w:val="right"/>
              <w:rPr>
                <w:i/>
                <w:iCs/>
                <w:noProof/>
                <w:color w:val="000000"/>
                <w:sz w:val="16"/>
                <w:szCs w:val="16"/>
              </w:rPr>
            </w:pPr>
            <w:r>
              <w:rPr>
                <w:i/>
                <w:noProof/>
                <w:color w:val="000000"/>
                <w:sz w:val="16"/>
              </w:rPr>
              <w:t xml:space="preserve">330 000 </w:t>
            </w:r>
          </w:p>
        </w:tc>
        <w:tc>
          <w:tcPr>
            <w:tcW w:w="1134" w:type="dxa"/>
            <w:tcBorders>
              <w:top w:val="nil"/>
              <w:left w:val="nil"/>
              <w:bottom w:val="single" w:sz="8" w:space="0" w:color="auto"/>
              <w:right w:val="single" w:sz="8" w:space="0" w:color="auto"/>
            </w:tcBorders>
            <w:shd w:val="clear" w:color="auto" w:fill="auto"/>
            <w:vAlign w:val="center"/>
            <w:hideMark/>
          </w:tcPr>
          <w:p w14:paraId="0E57117A" w14:textId="77777777" w:rsidR="00B07FC0" w:rsidRPr="007C250E" w:rsidRDefault="00B07FC0" w:rsidP="00433C4E">
            <w:pPr>
              <w:jc w:val="right"/>
              <w:rPr>
                <w:i/>
                <w:iCs/>
                <w:noProof/>
                <w:color w:val="000000"/>
                <w:sz w:val="16"/>
                <w:szCs w:val="16"/>
              </w:rPr>
            </w:pPr>
            <w:r>
              <w:rPr>
                <w:i/>
                <w:noProof/>
                <w:color w:val="000000"/>
                <w:sz w:val="16"/>
              </w:rPr>
              <w:t xml:space="preserve">330 000 </w:t>
            </w:r>
          </w:p>
        </w:tc>
        <w:tc>
          <w:tcPr>
            <w:tcW w:w="1275" w:type="dxa"/>
            <w:tcBorders>
              <w:top w:val="nil"/>
              <w:left w:val="nil"/>
              <w:bottom w:val="single" w:sz="8" w:space="0" w:color="auto"/>
              <w:right w:val="single" w:sz="8" w:space="0" w:color="auto"/>
            </w:tcBorders>
            <w:shd w:val="clear" w:color="auto" w:fill="auto"/>
            <w:vAlign w:val="center"/>
            <w:hideMark/>
          </w:tcPr>
          <w:p w14:paraId="3D463349" w14:textId="77777777" w:rsidR="00B07FC0" w:rsidRPr="007C250E" w:rsidRDefault="00B07FC0" w:rsidP="00433C4E">
            <w:pPr>
              <w:jc w:val="right"/>
              <w:rPr>
                <w:i/>
                <w:iCs/>
                <w:noProof/>
                <w:color w:val="000000"/>
                <w:sz w:val="16"/>
                <w:szCs w:val="16"/>
              </w:rPr>
            </w:pPr>
            <w:r>
              <w:rPr>
                <w:i/>
                <w:noProof/>
                <w:color w:val="000000"/>
                <w:sz w:val="16"/>
              </w:rPr>
              <w:t xml:space="preserve">185 133 430 </w:t>
            </w:r>
          </w:p>
        </w:tc>
        <w:tc>
          <w:tcPr>
            <w:tcW w:w="1276" w:type="dxa"/>
            <w:tcBorders>
              <w:top w:val="nil"/>
              <w:left w:val="nil"/>
              <w:bottom w:val="single" w:sz="8" w:space="0" w:color="auto"/>
              <w:right w:val="single" w:sz="8" w:space="0" w:color="auto"/>
            </w:tcBorders>
            <w:shd w:val="clear" w:color="auto" w:fill="auto"/>
            <w:vAlign w:val="center"/>
            <w:hideMark/>
          </w:tcPr>
          <w:p w14:paraId="492A59AD" w14:textId="77777777" w:rsidR="00B07FC0" w:rsidRPr="007C250E" w:rsidRDefault="00B07FC0" w:rsidP="00433C4E">
            <w:pPr>
              <w:jc w:val="right"/>
              <w:rPr>
                <w:i/>
                <w:iCs/>
                <w:noProof/>
                <w:color w:val="000000"/>
                <w:sz w:val="16"/>
                <w:szCs w:val="16"/>
              </w:rPr>
            </w:pPr>
            <w:r>
              <w:rPr>
                <w:i/>
                <w:noProof/>
                <w:color w:val="000000"/>
                <w:sz w:val="16"/>
              </w:rPr>
              <w:t xml:space="preserve">185 133 430 </w:t>
            </w:r>
          </w:p>
        </w:tc>
      </w:tr>
      <w:tr w:rsidR="00B07FC0" w:rsidRPr="007C250E" w14:paraId="1C1C9541" w14:textId="77777777" w:rsidTr="00433C4E">
        <w:trPr>
          <w:trHeight w:val="300"/>
        </w:trPr>
        <w:tc>
          <w:tcPr>
            <w:tcW w:w="416" w:type="dxa"/>
            <w:tcBorders>
              <w:top w:val="nil"/>
              <w:left w:val="single" w:sz="8" w:space="0" w:color="auto"/>
              <w:bottom w:val="single" w:sz="8" w:space="0" w:color="auto"/>
              <w:right w:val="nil"/>
            </w:tcBorders>
            <w:shd w:val="clear" w:color="auto" w:fill="auto"/>
            <w:vAlign w:val="center"/>
            <w:hideMark/>
          </w:tcPr>
          <w:p w14:paraId="564B43F9" w14:textId="77777777" w:rsidR="00B07FC0" w:rsidRPr="007C250E" w:rsidRDefault="00B07FC0" w:rsidP="00433C4E">
            <w:pPr>
              <w:jc w:val="both"/>
              <w:rPr>
                <w:noProof/>
                <w:color w:val="000000"/>
                <w:sz w:val="16"/>
                <w:szCs w:val="16"/>
              </w:rPr>
            </w:pPr>
            <w:r>
              <w:rPr>
                <w:noProof/>
                <w:color w:val="000000"/>
                <w:sz w:val="16"/>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207B78E8" w14:textId="77777777" w:rsidR="00B07FC0" w:rsidRPr="00B07FC0" w:rsidRDefault="00B07FC0" w:rsidP="00433C4E">
            <w:pPr>
              <w:jc w:val="right"/>
              <w:rPr>
                <w:i/>
                <w:iCs/>
                <w:noProof/>
                <w:color w:val="000000"/>
                <w:sz w:val="16"/>
                <w:szCs w:val="16"/>
                <w:lang w:val="pt-PT"/>
              </w:rPr>
            </w:pPr>
            <w:r w:rsidRPr="00B07FC0">
              <w:rPr>
                <w:i/>
                <w:noProof/>
                <w:color w:val="000000"/>
                <w:sz w:val="16"/>
                <w:lang w:val="pt-PT"/>
              </w:rPr>
              <w:t>Comité Económico e Social Europeu</w:t>
            </w:r>
          </w:p>
        </w:tc>
        <w:tc>
          <w:tcPr>
            <w:tcW w:w="1276" w:type="dxa"/>
            <w:tcBorders>
              <w:top w:val="nil"/>
              <w:left w:val="nil"/>
              <w:bottom w:val="single" w:sz="8" w:space="0" w:color="auto"/>
              <w:right w:val="single" w:sz="8" w:space="0" w:color="auto"/>
            </w:tcBorders>
            <w:shd w:val="clear" w:color="auto" w:fill="auto"/>
            <w:vAlign w:val="center"/>
            <w:hideMark/>
          </w:tcPr>
          <w:p w14:paraId="3BDA20C4" w14:textId="77777777" w:rsidR="00B07FC0" w:rsidRPr="007C250E" w:rsidRDefault="00B07FC0" w:rsidP="00433C4E">
            <w:pPr>
              <w:jc w:val="right"/>
              <w:rPr>
                <w:i/>
                <w:iCs/>
                <w:noProof/>
                <w:color w:val="000000"/>
                <w:sz w:val="16"/>
                <w:szCs w:val="16"/>
              </w:rPr>
            </w:pPr>
            <w:r>
              <w:rPr>
                <w:i/>
                <w:noProof/>
                <w:color w:val="000000"/>
                <w:sz w:val="16"/>
              </w:rPr>
              <w:t>164 945 524</w:t>
            </w:r>
          </w:p>
        </w:tc>
        <w:tc>
          <w:tcPr>
            <w:tcW w:w="1276" w:type="dxa"/>
            <w:tcBorders>
              <w:top w:val="nil"/>
              <w:left w:val="nil"/>
              <w:bottom w:val="single" w:sz="8" w:space="0" w:color="auto"/>
              <w:right w:val="single" w:sz="8" w:space="0" w:color="auto"/>
            </w:tcBorders>
            <w:shd w:val="clear" w:color="auto" w:fill="auto"/>
            <w:vAlign w:val="center"/>
            <w:hideMark/>
          </w:tcPr>
          <w:p w14:paraId="3A27D9CB" w14:textId="77777777" w:rsidR="00B07FC0" w:rsidRPr="007C250E" w:rsidRDefault="00B07FC0" w:rsidP="00433C4E">
            <w:pPr>
              <w:jc w:val="right"/>
              <w:rPr>
                <w:i/>
                <w:iCs/>
                <w:noProof/>
                <w:color w:val="000000"/>
                <w:sz w:val="16"/>
                <w:szCs w:val="16"/>
              </w:rPr>
            </w:pPr>
            <w:r>
              <w:rPr>
                <w:i/>
                <w:noProof/>
                <w:color w:val="000000"/>
                <w:sz w:val="16"/>
              </w:rPr>
              <w:t>164 945 524</w:t>
            </w:r>
          </w:p>
        </w:tc>
        <w:tc>
          <w:tcPr>
            <w:tcW w:w="1134" w:type="dxa"/>
            <w:tcBorders>
              <w:top w:val="nil"/>
              <w:left w:val="nil"/>
              <w:bottom w:val="single" w:sz="8" w:space="0" w:color="auto"/>
              <w:right w:val="single" w:sz="8" w:space="0" w:color="auto"/>
            </w:tcBorders>
            <w:shd w:val="clear" w:color="auto" w:fill="auto"/>
            <w:vAlign w:val="center"/>
            <w:hideMark/>
          </w:tcPr>
          <w:p w14:paraId="25DB0B60" w14:textId="77777777" w:rsidR="00B07FC0" w:rsidRPr="007C250E" w:rsidRDefault="00B07FC0" w:rsidP="00433C4E">
            <w:pPr>
              <w:jc w:val="right"/>
              <w:rPr>
                <w:i/>
                <w:iCs/>
                <w:noProof/>
                <w:color w:val="000000"/>
                <w:sz w:val="16"/>
                <w:szCs w:val="16"/>
              </w:rPr>
            </w:pPr>
            <w:r>
              <w:rPr>
                <w:i/>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F50386A" w14:textId="77777777" w:rsidR="00B07FC0" w:rsidRPr="007C250E" w:rsidRDefault="00B07FC0" w:rsidP="00433C4E">
            <w:pPr>
              <w:jc w:val="right"/>
              <w:rPr>
                <w:i/>
                <w:iCs/>
                <w:noProof/>
                <w:color w:val="000000"/>
                <w:sz w:val="16"/>
                <w:szCs w:val="16"/>
              </w:rPr>
            </w:pPr>
            <w:r>
              <w:rPr>
                <w:i/>
                <w:noProof/>
                <w:color w:val="000000"/>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239132D8" w14:textId="77777777" w:rsidR="00B07FC0" w:rsidRPr="007C250E" w:rsidRDefault="00B07FC0" w:rsidP="00433C4E">
            <w:pPr>
              <w:jc w:val="right"/>
              <w:rPr>
                <w:i/>
                <w:iCs/>
                <w:noProof/>
                <w:color w:val="000000"/>
                <w:sz w:val="16"/>
                <w:szCs w:val="16"/>
              </w:rPr>
            </w:pPr>
            <w:r>
              <w:rPr>
                <w:i/>
                <w:noProof/>
                <w:color w:val="000000"/>
                <w:sz w:val="16"/>
              </w:rPr>
              <w:t xml:space="preserve">164 945 524 </w:t>
            </w:r>
          </w:p>
        </w:tc>
        <w:tc>
          <w:tcPr>
            <w:tcW w:w="1276" w:type="dxa"/>
            <w:tcBorders>
              <w:top w:val="nil"/>
              <w:left w:val="nil"/>
              <w:bottom w:val="single" w:sz="8" w:space="0" w:color="auto"/>
              <w:right w:val="single" w:sz="8" w:space="0" w:color="auto"/>
            </w:tcBorders>
            <w:shd w:val="clear" w:color="auto" w:fill="auto"/>
            <w:vAlign w:val="center"/>
            <w:hideMark/>
          </w:tcPr>
          <w:p w14:paraId="1458575F" w14:textId="77777777" w:rsidR="00B07FC0" w:rsidRPr="007C250E" w:rsidRDefault="00B07FC0" w:rsidP="00433C4E">
            <w:pPr>
              <w:jc w:val="right"/>
              <w:rPr>
                <w:i/>
                <w:iCs/>
                <w:noProof/>
                <w:color w:val="000000"/>
                <w:sz w:val="16"/>
                <w:szCs w:val="16"/>
              </w:rPr>
            </w:pPr>
            <w:r>
              <w:rPr>
                <w:i/>
                <w:noProof/>
                <w:color w:val="000000"/>
                <w:sz w:val="16"/>
              </w:rPr>
              <w:t xml:space="preserve">164 945 524 </w:t>
            </w:r>
          </w:p>
        </w:tc>
      </w:tr>
      <w:tr w:rsidR="00B07FC0" w:rsidRPr="007C250E" w14:paraId="16D3D758" w14:textId="77777777" w:rsidTr="00433C4E">
        <w:trPr>
          <w:trHeight w:val="300"/>
        </w:trPr>
        <w:tc>
          <w:tcPr>
            <w:tcW w:w="416" w:type="dxa"/>
            <w:tcBorders>
              <w:top w:val="nil"/>
              <w:left w:val="single" w:sz="8" w:space="0" w:color="auto"/>
              <w:bottom w:val="single" w:sz="8" w:space="0" w:color="auto"/>
              <w:right w:val="nil"/>
            </w:tcBorders>
            <w:shd w:val="clear" w:color="auto" w:fill="auto"/>
            <w:vAlign w:val="center"/>
            <w:hideMark/>
          </w:tcPr>
          <w:p w14:paraId="0F96ABDE" w14:textId="77777777" w:rsidR="00B07FC0" w:rsidRPr="007C250E" w:rsidRDefault="00B07FC0" w:rsidP="00433C4E">
            <w:pPr>
              <w:jc w:val="both"/>
              <w:rPr>
                <w:noProof/>
                <w:color w:val="000000"/>
                <w:sz w:val="16"/>
                <w:szCs w:val="16"/>
              </w:rPr>
            </w:pPr>
            <w:r>
              <w:rPr>
                <w:noProof/>
                <w:color w:val="000000"/>
                <w:sz w:val="16"/>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224C218B" w14:textId="77777777" w:rsidR="00B07FC0" w:rsidRPr="007C250E" w:rsidRDefault="00B07FC0" w:rsidP="00433C4E">
            <w:pPr>
              <w:jc w:val="right"/>
              <w:rPr>
                <w:i/>
                <w:iCs/>
                <w:noProof/>
                <w:color w:val="000000"/>
                <w:sz w:val="16"/>
                <w:szCs w:val="16"/>
              </w:rPr>
            </w:pPr>
            <w:r>
              <w:rPr>
                <w:i/>
                <w:noProof/>
                <w:color w:val="000000"/>
                <w:sz w:val="16"/>
              </w:rPr>
              <w:t>Comité das Regiões Europeu</w:t>
            </w:r>
          </w:p>
        </w:tc>
        <w:tc>
          <w:tcPr>
            <w:tcW w:w="1276" w:type="dxa"/>
            <w:tcBorders>
              <w:top w:val="nil"/>
              <w:left w:val="nil"/>
              <w:bottom w:val="single" w:sz="8" w:space="0" w:color="auto"/>
              <w:right w:val="single" w:sz="8" w:space="0" w:color="auto"/>
            </w:tcBorders>
            <w:shd w:val="clear" w:color="auto" w:fill="auto"/>
            <w:vAlign w:val="center"/>
            <w:hideMark/>
          </w:tcPr>
          <w:p w14:paraId="5DAF8652" w14:textId="77777777" w:rsidR="00B07FC0" w:rsidRPr="007C250E" w:rsidRDefault="00B07FC0" w:rsidP="00433C4E">
            <w:pPr>
              <w:jc w:val="right"/>
              <w:rPr>
                <w:i/>
                <w:iCs/>
                <w:noProof/>
                <w:color w:val="000000"/>
                <w:sz w:val="16"/>
                <w:szCs w:val="16"/>
              </w:rPr>
            </w:pPr>
            <w:r>
              <w:rPr>
                <w:i/>
                <w:noProof/>
                <w:color w:val="000000"/>
                <w:sz w:val="16"/>
              </w:rPr>
              <w:t>121 878 345</w:t>
            </w:r>
          </w:p>
        </w:tc>
        <w:tc>
          <w:tcPr>
            <w:tcW w:w="1276" w:type="dxa"/>
            <w:tcBorders>
              <w:top w:val="nil"/>
              <w:left w:val="nil"/>
              <w:bottom w:val="single" w:sz="8" w:space="0" w:color="auto"/>
              <w:right w:val="single" w:sz="8" w:space="0" w:color="auto"/>
            </w:tcBorders>
            <w:shd w:val="clear" w:color="auto" w:fill="auto"/>
            <w:vAlign w:val="center"/>
            <w:hideMark/>
          </w:tcPr>
          <w:p w14:paraId="31C0D3CD" w14:textId="77777777" w:rsidR="00B07FC0" w:rsidRPr="007C250E" w:rsidRDefault="00B07FC0" w:rsidP="00433C4E">
            <w:pPr>
              <w:jc w:val="right"/>
              <w:rPr>
                <w:i/>
                <w:iCs/>
                <w:noProof/>
                <w:color w:val="000000"/>
                <w:sz w:val="16"/>
                <w:szCs w:val="16"/>
              </w:rPr>
            </w:pPr>
            <w:r>
              <w:rPr>
                <w:i/>
                <w:noProof/>
                <w:color w:val="000000"/>
                <w:sz w:val="16"/>
              </w:rPr>
              <w:t>121 878 345</w:t>
            </w:r>
          </w:p>
        </w:tc>
        <w:tc>
          <w:tcPr>
            <w:tcW w:w="1134" w:type="dxa"/>
            <w:tcBorders>
              <w:top w:val="nil"/>
              <w:left w:val="nil"/>
              <w:bottom w:val="single" w:sz="8" w:space="0" w:color="auto"/>
              <w:right w:val="single" w:sz="8" w:space="0" w:color="auto"/>
            </w:tcBorders>
            <w:shd w:val="clear" w:color="auto" w:fill="auto"/>
            <w:vAlign w:val="center"/>
            <w:hideMark/>
          </w:tcPr>
          <w:p w14:paraId="4D8A3B69" w14:textId="77777777" w:rsidR="00B07FC0" w:rsidRPr="007C250E" w:rsidRDefault="00B07FC0" w:rsidP="00433C4E">
            <w:pPr>
              <w:jc w:val="right"/>
              <w:rPr>
                <w:i/>
                <w:iCs/>
                <w:noProof/>
                <w:color w:val="000000"/>
                <w:sz w:val="16"/>
                <w:szCs w:val="16"/>
              </w:rPr>
            </w:pPr>
            <w:r>
              <w:rPr>
                <w:i/>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B16001D" w14:textId="77777777" w:rsidR="00B07FC0" w:rsidRPr="007C250E" w:rsidRDefault="00B07FC0" w:rsidP="00433C4E">
            <w:pPr>
              <w:jc w:val="right"/>
              <w:rPr>
                <w:i/>
                <w:iCs/>
                <w:noProof/>
                <w:color w:val="000000"/>
                <w:sz w:val="16"/>
                <w:szCs w:val="16"/>
              </w:rPr>
            </w:pPr>
            <w:r>
              <w:rPr>
                <w:i/>
                <w:noProof/>
                <w:color w:val="000000"/>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260F31A0" w14:textId="77777777" w:rsidR="00B07FC0" w:rsidRPr="007C250E" w:rsidRDefault="00B07FC0" w:rsidP="00433C4E">
            <w:pPr>
              <w:jc w:val="right"/>
              <w:rPr>
                <w:i/>
                <w:iCs/>
                <w:noProof/>
                <w:color w:val="000000"/>
                <w:sz w:val="16"/>
                <w:szCs w:val="16"/>
              </w:rPr>
            </w:pPr>
            <w:r>
              <w:rPr>
                <w:i/>
                <w:noProof/>
                <w:color w:val="000000"/>
                <w:sz w:val="16"/>
              </w:rPr>
              <w:t xml:space="preserve">121 878 345 </w:t>
            </w:r>
          </w:p>
        </w:tc>
        <w:tc>
          <w:tcPr>
            <w:tcW w:w="1276" w:type="dxa"/>
            <w:tcBorders>
              <w:top w:val="nil"/>
              <w:left w:val="nil"/>
              <w:bottom w:val="single" w:sz="8" w:space="0" w:color="auto"/>
              <w:right w:val="single" w:sz="8" w:space="0" w:color="auto"/>
            </w:tcBorders>
            <w:shd w:val="clear" w:color="auto" w:fill="auto"/>
            <w:vAlign w:val="center"/>
            <w:hideMark/>
          </w:tcPr>
          <w:p w14:paraId="2FEF9FD7" w14:textId="77777777" w:rsidR="00B07FC0" w:rsidRPr="007C250E" w:rsidRDefault="00B07FC0" w:rsidP="00433C4E">
            <w:pPr>
              <w:jc w:val="right"/>
              <w:rPr>
                <w:i/>
                <w:iCs/>
                <w:noProof/>
                <w:color w:val="000000"/>
                <w:sz w:val="16"/>
                <w:szCs w:val="16"/>
              </w:rPr>
            </w:pPr>
            <w:r>
              <w:rPr>
                <w:i/>
                <w:noProof/>
                <w:color w:val="000000"/>
                <w:sz w:val="16"/>
              </w:rPr>
              <w:t xml:space="preserve">121 878 345 </w:t>
            </w:r>
          </w:p>
        </w:tc>
      </w:tr>
      <w:tr w:rsidR="00B07FC0" w:rsidRPr="007C250E" w14:paraId="535C8E0D" w14:textId="77777777" w:rsidTr="00433C4E">
        <w:trPr>
          <w:trHeight w:val="300"/>
        </w:trPr>
        <w:tc>
          <w:tcPr>
            <w:tcW w:w="416" w:type="dxa"/>
            <w:tcBorders>
              <w:top w:val="nil"/>
              <w:left w:val="single" w:sz="8" w:space="0" w:color="auto"/>
              <w:bottom w:val="single" w:sz="8" w:space="0" w:color="auto"/>
              <w:right w:val="nil"/>
            </w:tcBorders>
            <w:shd w:val="clear" w:color="auto" w:fill="auto"/>
            <w:vAlign w:val="center"/>
            <w:hideMark/>
          </w:tcPr>
          <w:p w14:paraId="57F91572" w14:textId="77777777" w:rsidR="00B07FC0" w:rsidRPr="007C250E" w:rsidRDefault="00B07FC0" w:rsidP="00433C4E">
            <w:pPr>
              <w:jc w:val="both"/>
              <w:rPr>
                <w:noProof/>
                <w:color w:val="000000"/>
                <w:sz w:val="16"/>
                <w:szCs w:val="16"/>
              </w:rPr>
            </w:pPr>
            <w:r>
              <w:rPr>
                <w:noProof/>
                <w:color w:val="000000"/>
                <w:sz w:val="16"/>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09B8A563" w14:textId="77777777" w:rsidR="00B07FC0" w:rsidRPr="007C250E" w:rsidRDefault="00B07FC0" w:rsidP="00433C4E">
            <w:pPr>
              <w:jc w:val="right"/>
              <w:rPr>
                <w:i/>
                <w:iCs/>
                <w:noProof/>
                <w:color w:val="000000"/>
                <w:sz w:val="16"/>
                <w:szCs w:val="16"/>
              </w:rPr>
            </w:pPr>
            <w:r>
              <w:rPr>
                <w:i/>
                <w:noProof/>
                <w:color w:val="000000"/>
                <w:sz w:val="16"/>
              </w:rPr>
              <w:t>Provedor de Justiça Europeu</w:t>
            </w:r>
          </w:p>
        </w:tc>
        <w:tc>
          <w:tcPr>
            <w:tcW w:w="1276" w:type="dxa"/>
            <w:tcBorders>
              <w:top w:val="nil"/>
              <w:left w:val="nil"/>
              <w:bottom w:val="single" w:sz="8" w:space="0" w:color="auto"/>
              <w:right w:val="single" w:sz="8" w:space="0" w:color="auto"/>
            </w:tcBorders>
            <w:shd w:val="clear" w:color="auto" w:fill="auto"/>
            <w:vAlign w:val="center"/>
            <w:hideMark/>
          </w:tcPr>
          <w:p w14:paraId="0BAD7AD2" w14:textId="77777777" w:rsidR="00B07FC0" w:rsidRPr="007C250E" w:rsidRDefault="00B07FC0" w:rsidP="00433C4E">
            <w:pPr>
              <w:jc w:val="right"/>
              <w:rPr>
                <w:i/>
                <w:iCs/>
                <w:noProof/>
                <w:color w:val="000000"/>
                <w:sz w:val="16"/>
                <w:szCs w:val="16"/>
              </w:rPr>
            </w:pPr>
            <w:r>
              <w:rPr>
                <w:i/>
                <w:noProof/>
                <w:color w:val="000000"/>
                <w:sz w:val="16"/>
              </w:rPr>
              <w:t>13 667 466</w:t>
            </w:r>
          </w:p>
        </w:tc>
        <w:tc>
          <w:tcPr>
            <w:tcW w:w="1276" w:type="dxa"/>
            <w:tcBorders>
              <w:top w:val="nil"/>
              <w:left w:val="nil"/>
              <w:bottom w:val="single" w:sz="8" w:space="0" w:color="auto"/>
              <w:right w:val="single" w:sz="8" w:space="0" w:color="auto"/>
            </w:tcBorders>
            <w:shd w:val="clear" w:color="auto" w:fill="auto"/>
            <w:vAlign w:val="center"/>
            <w:hideMark/>
          </w:tcPr>
          <w:p w14:paraId="194D7214" w14:textId="77777777" w:rsidR="00B07FC0" w:rsidRPr="007C250E" w:rsidRDefault="00B07FC0" w:rsidP="00433C4E">
            <w:pPr>
              <w:jc w:val="right"/>
              <w:rPr>
                <w:i/>
                <w:iCs/>
                <w:noProof/>
                <w:color w:val="000000"/>
                <w:sz w:val="16"/>
                <w:szCs w:val="16"/>
              </w:rPr>
            </w:pPr>
            <w:r>
              <w:rPr>
                <w:i/>
                <w:noProof/>
                <w:color w:val="000000"/>
                <w:sz w:val="16"/>
              </w:rPr>
              <w:t>13 667 466</w:t>
            </w:r>
          </w:p>
        </w:tc>
        <w:tc>
          <w:tcPr>
            <w:tcW w:w="1134" w:type="dxa"/>
            <w:tcBorders>
              <w:top w:val="nil"/>
              <w:left w:val="nil"/>
              <w:bottom w:val="single" w:sz="8" w:space="0" w:color="auto"/>
              <w:right w:val="single" w:sz="8" w:space="0" w:color="auto"/>
            </w:tcBorders>
            <w:shd w:val="clear" w:color="auto" w:fill="auto"/>
            <w:vAlign w:val="center"/>
            <w:hideMark/>
          </w:tcPr>
          <w:p w14:paraId="4B1E2E0D" w14:textId="77777777" w:rsidR="00B07FC0" w:rsidRPr="007C250E" w:rsidRDefault="00B07FC0" w:rsidP="00433C4E">
            <w:pPr>
              <w:jc w:val="right"/>
              <w:rPr>
                <w:i/>
                <w:iCs/>
                <w:noProof/>
                <w:color w:val="000000"/>
                <w:sz w:val="16"/>
                <w:szCs w:val="16"/>
              </w:rPr>
            </w:pPr>
            <w:r>
              <w:rPr>
                <w:i/>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FD978D2" w14:textId="77777777" w:rsidR="00B07FC0" w:rsidRPr="007C250E" w:rsidRDefault="00B07FC0" w:rsidP="00433C4E">
            <w:pPr>
              <w:jc w:val="right"/>
              <w:rPr>
                <w:i/>
                <w:iCs/>
                <w:noProof/>
                <w:color w:val="000000"/>
                <w:sz w:val="16"/>
                <w:szCs w:val="16"/>
              </w:rPr>
            </w:pPr>
            <w:r>
              <w:rPr>
                <w:i/>
                <w:noProof/>
                <w:color w:val="000000"/>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34FCF0CC" w14:textId="77777777" w:rsidR="00B07FC0" w:rsidRPr="007C250E" w:rsidRDefault="00B07FC0" w:rsidP="00433C4E">
            <w:pPr>
              <w:jc w:val="right"/>
              <w:rPr>
                <w:i/>
                <w:iCs/>
                <w:noProof/>
                <w:color w:val="000000"/>
                <w:sz w:val="16"/>
                <w:szCs w:val="16"/>
              </w:rPr>
            </w:pPr>
            <w:r>
              <w:rPr>
                <w:i/>
                <w:noProof/>
                <w:color w:val="000000"/>
                <w:sz w:val="16"/>
              </w:rPr>
              <w:t xml:space="preserve">13 667 466 </w:t>
            </w:r>
          </w:p>
        </w:tc>
        <w:tc>
          <w:tcPr>
            <w:tcW w:w="1276" w:type="dxa"/>
            <w:tcBorders>
              <w:top w:val="nil"/>
              <w:left w:val="nil"/>
              <w:bottom w:val="single" w:sz="8" w:space="0" w:color="auto"/>
              <w:right w:val="single" w:sz="8" w:space="0" w:color="auto"/>
            </w:tcBorders>
            <w:shd w:val="clear" w:color="auto" w:fill="auto"/>
            <w:vAlign w:val="center"/>
            <w:hideMark/>
          </w:tcPr>
          <w:p w14:paraId="66AE9A26" w14:textId="77777777" w:rsidR="00B07FC0" w:rsidRPr="007C250E" w:rsidRDefault="00B07FC0" w:rsidP="00433C4E">
            <w:pPr>
              <w:jc w:val="right"/>
              <w:rPr>
                <w:i/>
                <w:iCs/>
                <w:noProof/>
                <w:color w:val="000000"/>
                <w:sz w:val="16"/>
                <w:szCs w:val="16"/>
              </w:rPr>
            </w:pPr>
            <w:r>
              <w:rPr>
                <w:i/>
                <w:noProof/>
                <w:color w:val="000000"/>
                <w:sz w:val="16"/>
              </w:rPr>
              <w:t xml:space="preserve">13 667 466 </w:t>
            </w:r>
          </w:p>
        </w:tc>
      </w:tr>
      <w:tr w:rsidR="00B07FC0" w:rsidRPr="007C250E" w14:paraId="58C0925B" w14:textId="77777777" w:rsidTr="00433C4E">
        <w:trPr>
          <w:trHeight w:val="300"/>
        </w:trPr>
        <w:tc>
          <w:tcPr>
            <w:tcW w:w="416" w:type="dxa"/>
            <w:tcBorders>
              <w:top w:val="nil"/>
              <w:left w:val="single" w:sz="8" w:space="0" w:color="auto"/>
              <w:bottom w:val="single" w:sz="8" w:space="0" w:color="auto"/>
              <w:right w:val="nil"/>
            </w:tcBorders>
            <w:shd w:val="clear" w:color="auto" w:fill="auto"/>
            <w:vAlign w:val="center"/>
            <w:hideMark/>
          </w:tcPr>
          <w:p w14:paraId="20C2784B" w14:textId="77777777" w:rsidR="00B07FC0" w:rsidRPr="007C250E" w:rsidRDefault="00B07FC0" w:rsidP="00433C4E">
            <w:pPr>
              <w:jc w:val="both"/>
              <w:rPr>
                <w:noProof/>
                <w:color w:val="000000"/>
                <w:sz w:val="16"/>
                <w:szCs w:val="16"/>
              </w:rPr>
            </w:pPr>
            <w:r>
              <w:rPr>
                <w:noProof/>
                <w:color w:val="000000"/>
                <w:sz w:val="16"/>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5F8D9A7A" w14:textId="77777777" w:rsidR="00B07FC0" w:rsidRPr="00B07FC0" w:rsidRDefault="00B07FC0" w:rsidP="00433C4E">
            <w:pPr>
              <w:jc w:val="right"/>
              <w:rPr>
                <w:i/>
                <w:iCs/>
                <w:noProof/>
                <w:color w:val="000000"/>
                <w:sz w:val="16"/>
                <w:szCs w:val="16"/>
                <w:lang w:val="pt-PT"/>
              </w:rPr>
            </w:pPr>
            <w:r w:rsidRPr="00B07FC0">
              <w:rPr>
                <w:i/>
                <w:noProof/>
                <w:color w:val="000000"/>
                <w:sz w:val="16"/>
                <w:lang w:val="pt-PT"/>
              </w:rPr>
              <w:t>Autoridade Europeia para a Proteção de Dados</w:t>
            </w:r>
          </w:p>
        </w:tc>
        <w:tc>
          <w:tcPr>
            <w:tcW w:w="1276" w:type="dxa"/>
            <w:tcBorders>
              <w:top w:val="nil"/>
              <w:left w:val="nil"/>
              <w:bottom w:val="single" w:sz="8" w:space="0" w:color="auto"/>
              <w:right w:val="single" w:sz="8" w:space="0" w:color="auto"/>
            </w:tcBorders>
            <w:shd w:val="clear" w:color="auto" w:fill="auto"/>
            <w:vAlign w:val="center"/>
            <w:hideMark/>
          </w:tcPr>
          <w:p w14:paraId="566C343A" w14:textId="77777777" w:rsidR="00B07FC0" w:rsidRPr="007C250E" w:rsidRDefault="00B07FC0" w:rsidP="00433C4E">
            <w:pPr>
              <w:jc w:val="right"/>
              <w:rPr>
                <w:i/>
                <w:iCs/>
                <w:noProof/>
                <w:color w:val="000000"/>
                <w:sz w:val="16"/>
                <w:szCs w:val="16"/>
              </w:rPr>
            </w:pPr>
            <w:r>
              <w:rPr>
                <w:i/>
                <w:noProof/>
                <w:color w:val="000000"/>
                <w:sz w:val="16"/>
              </w:rPr>
              <w:t>23 921 966</w:t>
            </w:r>
          </w:p>
        </w:tc>
        <w:tc>
          <w:tcPr>
            <w:tcW w:w="1276" w:type="dxa"/>
            <w:tcBorders>
              <w:top w:val="nil"/>
              <w:left w:val="nil"/>
              <w:bottom w:val="single" w:sz="8" w:space="0" w:color="auto"/>
              <w:right w:val="single" w:sz="8" w:space="0" w:color="auto"/>
            </w:tcBorders>
            <w:shd w:val="clear" w:color="auto" w:fill="auto"/>
            <w:vAlign w:val="center"/>
            <w:hideMark/>
          </w:tcPr>
          <w:p w14:paraId="101C8338" w14:textId="77777777" w:rsidR="00B07FC0" w:rsidRPr="007C250E" w:rsidRDefault="00B07FC0" w:rsidP="00433C4E">
            <w:pPr>
              <w:jc w:val="right"/>
              <w:rPr>
                <w:i/>
                <w:iCs/>
                <w:noProof/>
                <w:color w:val="000000"/>
                <w:sz w:val="16"/>
                <w:szCs w:val="16"/>
              </w:rPr>
            </w:pPr>
            <w:r>
              <w:rPr>
                <w:i/>
                <w:noProof/>
                <w:color w:val="000000"/>
                <w:sz w:val="16"/>
              </w:rPr>
              <w:t>23 921 966</w:t>
            </w:r>
          </w:p>
        </w:tc>
        <w:tc>
          <w:tcPr>
            <w:tcW w:w="1134" w:type="dxa"/>
            <w:tcBorders>
              <w:top w:val="nil"/>
              <w:left w:val="nil"/>
              <w:bottom w:val="single" w:sz="8" w:space="0" w:color="auto"/>
              <w:right w:val="single" w:sz="8" w:space="0" w:color="auto"/>
            </w:tcBorders>
            <w:shd w:val="clear" w:color="auto" w:fill="auto"/>
            <w:vAlign w:val="center"/>
            <w:hideMark/>
          </w:tcPr>
          <w:p w14:paraId="30E2AF45" w14:textId="77777777" w:rsidR="00B07FC0" w:rsidRPr="007C250E" w:rsidRDefault="00B07FC0" w:rsidP="00433C4E">
            <w:pPr>
              <w:jc w:val="right"/>
              <w:rPr>
                <w:i/>
                <w:iCs/>
                <w:noProof/>
                <w:color w:val="000000"/>
                <w:sz w:val="16"/>
                <w:szCs w:val="16"/>
              </w:rPr>
            </w:pPr>
            <w:r>
              <w:rPr>
                <w:i/>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36ABF30" w14:textId="77777777" w:rsidR="00B07FC0" w:rsidRPr="007C250E" w:rsidRDefault="00B07FC0" w:rsidP="00433C4E">
            <w:pPr>
              <w:jc w:val="right"/>
              <w:rPr>
                <w:i/>
                <w:iCs/>
                <w:noProof/>
                <w:color w:val="000000"/>
                <w:sz w:val="16"/>
                <w:szCs w:val="16"/>
              </w:rPr>
            </w:pPr>
            <w:r>
              <w:rPr>
                <w:i/>
                <w:noProof/>
                <w:color w:val="000000"/>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3135551A" w14:textId="77777777" w:rsidR="00B07FC0" w:rsidRPr="007C250E" w:rsidRDefault="00B07FC0" w:rsidP="00433C4E">
            <w:pPr>
              <w:jc w:val="right"/>
              <w:rPr>
                <w:i/>
                <w:iCs/>
                <w:noProof/>
                <w:color w:val="000000"/>
                <w:sz w:val="16"/>
                <w:szCs w:val="16"/>
              </w:rPr>
            </w:pPr>
            <w:r>
              <w:rPr>
                <w:i/>
                <w:noProof/>
                <w:color w:val="000000"/>
                <w:sz w:val="16"/>
              </w:rPr>
              <w:t xml:space="preserve">23 921 966 </w:t>
            </w:r>
          </w:p>
        </w:tc>
        <w:tc>
          <w:tcPr>
            <w:tcW w:w="1276" w:type="dxa"/>
            <w:tcBorders>
              <w:top w:val="nil"/>
              <w:left w:val="nil"/>
              <w:bottom w:val="single" w:sz="8" w:space="0" w:color="auto"/>
              <w:right w:val="single" w:sz="8" w:space="0" w:color="auto"/>
            </w:tcBorders>
            <w:shd w:val="clear" w:color="auto" w:fill="auto"/>
            <w:vAlign w:val="center"/>
            <w:hideMark/>
          </w:tcPr>
          <w:p w14:paraId="660E96EB" w14:textId="77777777" w:rsidR="00B07FC0" w:rsidRPr="007C250E" w:rsidRDefault="00B07FC0" w:rsidP="00433C4E">
            <w:pPr>
              <w:jc w:val="right"/>
              <w:rPr>
                <w:i/>
                <w:iCs/>
                <w:noProof/>
                <w:color w:val="000000"/>
                <w:sz w:val="16"/>
                <w:szCs w:val="16"/>
              </w:rPr>
            </w:pPr>
            <w:r>
              <w:rPr>
                <w:i/>
                <w:noProof/>
                <w:color w:val="000000"/>
                <w:sz w:val="16"/>
              </w:rPr>
              <w:t xml:space="preserve">23 921 966 </w:t>
            </w:r>
          </w:p>
        </w:tc>
      </w:tr>
      <w:tr w:rsidR="00B07FC0" w:rsidRPr="007C250E" w14:paraId="4C257E09" w14:textId="77777777" w:rsidTr="00433C4E">
        <w:trPr>
          <w:trHeight w:val="300"/>
        </w:trPr>
        <w:tc>
          <w:tcPr>
            <w:tcW w:w="416" w:type="dxa"/>
            <w:tcBorders>
              <w:top w:val="nil"/>
              <w:left w:val="single" w:sz="8" w:space="0" w:color="auto"/>
              <w:bottom w:val="single" w:sz="8" w:space="0" w:color="auto"/>
              <w:right w:val="nil"/>
            </w:tcBorders>
            <w:shd w:val="clear" w:color="auto" w:fill="auto"/>
            <w:vAlign w:val="center"/>
            <w:hideMark/>
          </w:tcPr>
          <w:p w14:paraId="6EBB96DB" w14:textId="77777777" w:rsidR="00B07FC0" w:rsidRPr="007C250E" w:rsidRDefault="00B07FC0" w:rsidP="00433C4E">
            <w:pPr>
              <w:jc w:val="both"/>
              <w:rPr>
                <w:noProof/>
                <w:color w:val="000000"/>
                <w:sz w:val="16"/>
                <w:szCs w:val="16"/>
              </w:rPr>
            </w:pPr>
            <w:r>
              <w:rPr>
                <w:noProof/>
                <w:color w:val="000000"/>
                <w:sz w:val="16"/>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2D973BAE" w14:textId="77777777" w:rsidR="00B07FC0" w:rsidRPr="00B07FC0" w:rsidRDefault="00B07FC0" w:rsidP="00433C4E">
            <w:pPr>
              <w:jc w:val="right"/>
              <w:rPr>
                <w:i/>
                <w:iCs/>
                <w:noProof/>
                <w:color w:val="000000"/>
                <w:sz w:val="16"/>
                <w:szCs w:val="16"/>
                <w:lang w:val="pt-PT"/>
              </w:rPr>
            </w:pPr>
            <w:r w:rsidRPr="00B07FC0">
              <w:rPr>
                <w:i/>
                <w:noProof/>
                <w:color w:val="000000"/>
                <w:sz w:val="16"/>
                <w:lang w:val="pt-PT"/>
              </w:rPr>
              <w:t>Serviço Europeu para a Ação Externa</w:t>
            </w:r>
          </w:p>
        </w:tc>
        <w:tc>
          <w:tcPr>
            <w:tcW w:w="1276" w:type="dxa"/>
            <w:tcBorders>
              <w:top w:val="nil"/>
              <w:left w:val="nil"/>
              <w:bottom w:val="single" w:sz="8" w:space="0" w:color="auto"/>
              <w:right w:val="single" w:sz="8" w:space="0" w:color="auto"/>
            </w:tcBorders>
            <w:shd w:val="clear" w:color="auto" w:fill="auto"/>
            <w:vAlign w:val="center"/>
            <w:hideMark/>
          </w:tcPr>
          <w:p w14:paraId="1DD96040" w14:textId="77777777" w:rsidR="00B07FC0" w:rsidRPr="007C250E" w:rsidRDefault="00B07FC0" w:rsidP="00433C4E">
            <w:pPr>
              <w:jc w:val="right"/>
              <w:rPr>
                <w:i/>
                <w:iCs/>
                <w:noProof/>
                <w:color w:val="000000"/>
                <w:sz w:val="16"/>
                <w:szCs w:val="16"/>
              </w:rPr>
            </w:pPr>
            <w:r>
              <w:rPr>
                <w:i/>
                <w:noProof/>
                <w:color w:val="000000"/>
                <w:sz w:val="16"/>
              </w:rPr>
              <w:t>872 195 603</w:t>
            </w:r>
          </w:p>
        </w:tc>
        <w:tc>
          <w:tcPr>
            <w:tcW w:w="1276" w:type="dxa"/>
            <w:tcBorders>
              <w:top w:val="nil"/>
              <w:left w:val="nil"/>
              <w:bottom w:val="single" w:sz="8" w:space="0" w:color="auto"/>
              <w:right w:val="single" w:sz="8" w:space="0" w:color="auto"/>
            </w:tcBorders>
            <w:shd w:val="clear" w:color="auto" w:fill="auto"/>
            <w:vAlign w:val="center"/>
            <w:hideMark/>
          </w:tcPr>
          <w:p w14:paraId="374E2927" w14:textId="77777777" w:rsidR="00B07FC0" w:rsidRPr="007C250E" w:rsidRDefault="00B07FC0" w:rsidP="00433C4E">
            <w:pPr>
              <w:jc w:val="right"/>
              <w:rPr>
                <w:i/>
                <w:iCs/>
                <w:noProof/>
                <w:color w:val="000000"/>
                <w:sz w:val="16"/>
                <w:szCs w:val="16"/>
              </w:rPr>
            </w:pPr>
            <w:r>
              <w:rPr>
                <w:i/>
                <w:noProof/>
                <w:color w:val="000000"/>
                <w:sz w:val="16"/>
              </w:rPr>
              <w:t>872 195 603</w:t>
            </w:r>
          </w:p>
        </w:tc>
        <w:tc>
          <w:tcPr>
            <w:tcW w:w="1134" w:type="dxa"/>
            <w:tcBorders>
              <w:top w:val="nil"/>
              <w:left w:val="nil"/>
              <w:bottom w:val="single" w:sz="8" w:space="0" w:color="auto"/>
              <w:right w:val="single" w:sz="8" w:space="0" w:color="auto"/>
            </w:tcBorders>
            <w:shd w:val="clear" w:color="auto" w:fill="auto"/>
            <w:vAlign w:val="center"/>
            <w:hideMark/>
          </w:tcPr>
          <w:p w14:paraId="4C8D95F5" w14:textId="77777777" w:rsidR="00B07FC0" w:rsidRPr="007C250E" w:rsidRDefault="00B07FC0" w:rsidP="00433C4E">
            <w:pPr>
              <w:jc w:val="right"/>
              <w:rPr>
                <w:i/>
                <w:iCs/>
                <w:noProof/>
                <w:color w:val="000000"/>
                <w:sz w:val="16"/>
                <w:szCs w:val="16"/>
              </w:rPr>
            </w:pPr>
            <w:r>
              <w:rPr>
                <w:i/>
                <w:noProof/>
                <w:color w:val="000000"/>
                <w:sz w:val="16"/>
              </w:rPr>
              <w:t xml:space="preserve">7 935 100 </w:t>
            </w:r>
          </w:p>
        </w:tc>
        <w:tc>
          <w:tcPr>
            <w:tcW w:w="1134" w:type="dxa"/>
            <w:tcBorders>
              <w:top w:val="nil"/>
              <w:left w:val="nil"/>
              <w:bottom w:val="single" w:sz="8" w:space="0" w:color="auto"/>
              <w:right w:val="single" w:sz="8" w:space="0" w:color="auto"/>
            </w:tcBorders>
            <w:shd w:val="clear" w:color="auto" w:fill="auto"/>
            <w:vAlign w:val="center"/>
            <w:hideMark/>
          </w:tcPr>
          <w:p w14:paraId="6EBEBB35" w14:textId="77777777" w:rsidR="00B07FC0" w:rsidRPr="007C250E" w:rsidRDefault="00B07FC0" w:rsidP="00433C4E">
            <w:pPr>
              <w:jc w:val="right"/>
              <w:rPr>
                <w:i/>
                <w:iCs/>
                <w:noProof/>
                <w:color w:val="000000"/>
                <w:sz w:val="16"/>
                <w:szCs w:val="16"/>
              </w:rPr>
            </w:pPr>
            <w:r>
              <w:rPr>
                <w:i/>
                <w:noProof/>
                <w:color w:val="000000"/>
                <w:sz w:val="16"/>
              </w:rPr>
              <w:t xml:space="preserve">7 935 100 </w:t>
            </w:r>
          </w:p>
        </w:tc>
        <w:tc>
          <w:tcPr>
            <w:tcW w:w="1275" w:type="dxa"/>
            <w:tcBorders>
              <w:top w:val="nil"/>
              <w:left w:val="nil"/>
              <w:bottom w:val="single" w:sz="8" w:space="0" w:color="auto"/>
              <w:right w:val="single" w:sz="8" w:space="0" w:color="auto"/>
            </w:tcBorders>
            <w:shd w:val="clear" w:color="auto" w:fill="auto"/>
            <w:vAlign w:val="center"/>
            <w:hideMark/>
          </w:tcPr>
          <w:p w14:paraId="2620CCFA" w14:textId="77777777" w:rsidR="00B07FC0" w:rsidRPr="007C250E" w:rsidRDefault="00B07FC0" w:rsidP="00433C4E">
            <w:pPr>
              <w:jc w:val="right"/>
              <w:rPr>
                <w:i/>
                <w:iCs/>
                <w:noProof/>
                <w:color w:val="000000"/>
                <w:sz w:val="16"/>
                <w:szCs w:val="16"/>
              </w:rPr>
            </w:pPr>
            <w:r>
              <w:rPr>
                <w:i/>
                <w:noProof/>
                <w:color w:val="000000"/>
                <w:sz w:val="16"/>
              </w:rPr>
              <w:t xml:space="preserve">880 130 703 </w:t>
            </w:r>
          </w:p>
        </w:tc>
        <w:tc>
          <w:tcPr>
            <w:tcW w:w="1276" w:type="dxa"/>
            <w:tcBorders>
              <w:top w:val="nil"/>
              <w:left w:val="nil"/>
              <w:bottom w:val="single" w:sz="8" w:space="0" w:color="auto"/>
              <w:right w:val="single" w:sz="8" w:space="0" w:color="auto"/>
            </w:tcBorders>
            <w:shd w:val="clear" w:color="auto" w:fill="auto"/>
            <w:vAlign w:val="center"/>
            <w:hideMark/>
          </w:tcPr>
          <w:p w14:paraId="53645BE0" w14:textId="77777777" w:rsidR="00B07FC0" w:rsidRPr="007C250E" w:rsidRDefault="00B07FC0" w:rsidP="00433C4E">
            <w:pPr>
              <w:jc w:val="right"/>
              <w:rPr>
                <w:i/>
                <w:iCs/>
                <w:noProof/>
                <w:color w:val="000000"/>
                <w:sz w:val="16"/>
                <w:szCs w:val="16"/>
              </w:rPr>
            </w:pPr>
            <w:r>
              <w:rPr>
                <w:i/>
                <w:noProof/>
                <w:color w:val="000000"/>
                <w:sz w:val="16"/>
              </w:rPr>
              <w:t xml:space="preserve">880 130 703 </w:t>
            </w:r>
          </w:p>
        </w:tc>
      </w:tr>
      <w:tr w:rsidR="00B07FC0" w:rsidRPr="007C250E" w14:paraId="715BD0B3" w14:textId="77777777" w:rsidTr="00433C4E">
        <w:trPr>
          <w:trHeight w:val="300"/>
        </w:trPr>
        <w:tc>
          <w:tcPr>
            <w:tcW w:w="2967" w:type="dxa"/>
            <w:gridSpan w:val="2"/>
            <w:tcBorders>
              <w:top w:val="single" w:sz="8" w:space="0" w:color="auto"/>
              <w:left w:val="single" w:sz="8" w:space="0" w:color="auto"/>
              <w:bottom w:val="single" w:sz="8" w:space="0" w:color="auto"/>
              <w:right w:val="single" w:sz="8" w:space="0" w:color="000000"/>
            </w:tcBorders>
            <w:shd w:val="clear" w:color="000000" w:fill="BFBFBF"/>
            <w:vAlign w:val="center"/>
            <w:hideMark/>
          </w:tcPr>
          <w:p w14:paraId="5560FB0E" w14:textId="77777777" w:rsidR="00B07FC0" w:rsidRPr="007C250E" w:rsidRDefault="00B07FC0" w:rsidP="00433C4E">
            <w:pPr>
              <w:jc w:val="right"/>
              <w:rPr>
                <w:b/>
                <w:bCs/>
                <w:noProof/>
                <w:sz w:val="16"/>
                <w:szCs w:val="16"/>
              </w:rPr>
            </w:pPr>
            <w:r>
              <w:rPr>
                <w:b/>
                <w:noProof/>
                <w:sz w:val="16"/>
              </w:rPr>
              <w:t>Dotações das rubricas</w:t>
            </w:r>
          </w:p>
        </w:tc>
        <w:tc>
          <w:tcPr>
            <w:tcW w:w="1276" w:type="dxa"/>
            <w:tcBorders>
              <w:top w:val="nil"/>
              <w:left w:val="nil"/>
              <w:bottom w:val="single" w:sz="8" w:space="0" w:color="auto"/>
              <w:right w:val="single" w:sz="8" w:space="0" w:color="auto"/>
            </w:tcBorders>
            <w:shd w:val="clear" w:color="000000" w:fill="BFBFBF"/>
            <w:vAlign w:val="center"/>
            <w:hideMark/>
          </w:tcPr>
          <w:p w14:paraId="048C357C" w14:textId="77777777" w:rsidR="00B07FC0" w:rsidRPr="007C250E" w:rsidRDefault="00B07FC0" w:rsidP="00433C4E">
            <w:pPr>
              <w:jc w:val="right"/>
              <w:rPr>
                <w:b/>
                <w:bCs/>
                <w:noProof/>
                <w:sz w:val="16"/>
                <w:szCs w:val="16"/>
              </w:rPr>
            </w:pPr>
            <w:r>
              <w:rPr>
                <w:b/>
                <w:noProof/>
                <w:sz w:val="16"/>
              </w:rPr>
              <w:t>187 780 116 328</w:t>
            </w:r>
          </w:p>
        </w:tc>
        <w:tc>
          <w:tcPr>
            <w:tcW w:w="1276" w:type="dxa"/>
            <w:tcBorders>
              <w:top w:val="nil"/>
              <w:left w:val="nil"/>
              <w:bottom w:val="single" w:sz="8" w:space="0" w:color="auto"/>
              <w:right w:val="single" w:sz="8" w:space="0" w:color="auto"/>
            </w:tcBorders>
            <w:shd w:val="clear" w:color="000000" w:fill="BFBFBF"/>
            <w:vAlign w:val="center"/>
            <w:hideMark/>
          </w:tcPr>
          <w:p w14:paraId="11EC9105" w14:textId="77777777" w:rsidR="00B07FC0" w:rsidRPr="007C250E" w:rsidRDefault="00B07FC0" w:rsidP="00433C4E">
            <w:pPr>
              <w:jc w:val="right"/>
              <w:rPr>
                <w:b/>
                <w:bCs/>
                <w:noProof/>
                <w:sz w:val="16"/>
                <w:szCs w:val="16"/>
              </w:rPr>
            </w:pPr>
            <w:r>
              <w:rPr>
                <w:b/>
                <w:noProof/>
                <w:sz w:val="16"/>
              </w:rPr>
              <w:t>141 681 983 016</w:t>
            </w:r>
          </w:p>
        </w:tc>
        <w:tc>
          <w:tcPr>
            <w:tcW w:w="1134" w:type="dxa"/>
            <w:tcBorders>
              <w:top w:val="nil"/>
              <w:left w:val="nil"/>
              <w:bottom w:val="single" w:sz="8" w:space="0" w:color="auto"/>
              <w:right w:val="single" w:sz="8" w:space="0" w:color="auto"/>
            </w:tcBorders>
            <w:shd w:val="clear" w:color="000000" w:fill="BFBFBF"/>
            <w:vAlign w:val="center"/>
            <w:hideMark/>
          </w:tcPr>
          <w:p w14:paraId="3B841E6B" w14:textId="77777777" w:rsidR="00B07FC0" w:rsidRPr="007C250E" w:rsidRDefault="00B07FC0" w:rsidP="00433C4E">
            <w:pPr>
              <w:jc w:val="right"/>
              <w:rPr>
                <w:b/>
                <w:bCs/>
                <w:noProof/>
                <w:sz w:val="16"/>
                <w:szCs w:val="16"/>
              </w:rPr>
            </w:pPr>
            <w:r>
              <w:rPr>
                <w:b/>
                <w:noProof/>
                <w:sz w:val="16"/>
              </w:rPr>
              <w:t xml:space="preserve">-67 411 900 </w:t>
            </w:r>
          </w:p>
        </w:tc>
        <w:tc>
          <w:tcPr>
            <w:tcW w:w="1134" w:type="dxa"/>
            <w:tcBorders>
              <w:top w:val="nil"/>
              <w:left w:val="nil"/>
              <w:bottom w:val="single" w:sz="8" w:space="0" w:color="auto"/>
              <w:right w:val="single" w:sz="8" w:space="0" w:color="auto"/>
            </w:tcBorders>
            <w:shd w:val="clear" w:color="000000" w:fill="BFBFBF"/>
            <w:vAlign w:val="center"/>
            <w:hideMark/>
          </w:tcPr>
          <w:p w14:paraId="568FD226" w14:textId="77777777" w:rsidR="00B07FC0" w:rsidRPr="007C250E" w:rsidRDefault="00B07FC0" w:rsidP="00433C4E">
            <w:pPr>
              <w:jc w:val="right"/>
              <w:rPr>
                <w:b/>
                <w:bCs/>
                <w:noProof/>
                <w:sz w:val="16"/>
                <w:szCs w:val="16"/>
              </w:rPr>
            </w:pPr>
            <w:r>
              <w:rPr>
                <w:b/>
                <w:noProof/>
                <w:sz w:val="16"/>
              </w:rPr>
              <w:t xml:space="preserve">-67 411 900 </w:t>
            </w:r>
          </w:p>
        </w:tc>
        <w:tc>
          <w:tcPr>
            <w:tcW w:w="1275" w:type="dxa"/>
            <w:tcBorders>
              <w:top w:val="nil"/>
              <w:left w:val="nil"/>
              <w:bottom w:val="single" w:sz="8" w:space="0" w:color="auto"/>
              <w:right w:val="single" w:sz="8" w:space="0" w:color="auto"/>
            </w:tcBorders>
            <w:shd w:val="clear" w:color="000000" w:fill="BFBFBF"/>
            <w:vAlign w:val="center"/>
            <w:hideMark/>
          </w:tcPr>
          <w:p w14:paraId="667DEF7E" w14:textId="77777777" w:rsidR="00B07FC0" w:rsidRPr="007C250E" w:rsidRDefault="00B07FC0" w:rsidP="00433C4E">
            <w:pPr>
              <w:jc w:val="right"/>
              <w:rPr>
                <w:b/>
                <w:bCs/>
                <w:noProof/>
                <w:sz w:val="16"/>
                <w:szCs w:val="16"/>
              </w:rPr>
            </w:pPr>
            <w:r>
              <w:rPr>
                <w:b/>
                <w:noProof/>
                <w:sz w:val="16"/>
              </w:rPr>
              <w:t xml:space="preserve">187 712 704 428 </w:t>
            </w:r>
          </w:p>
        </w:tc>
        <w:tc>
          <w:tcPr>
            <w:tcW w:w="1276" w:type="dxa"/>
            <w:tcBorders>
              <w:top w:val="nil"/>
              <w:left w:val="nil"/>
              <w:bottom w:val="single" w:sz="8" w:space="0" w:color="auto"/>
              <w:right w:val="single" w:sz="8" w:space="0" w:color="auto"/>
            </w:tcBorders>
            <w:shd w:val="clear" w:color="000000" w:fill="BFBFBF"/>
            <w:vAlign w:val="center"/>
            <w:hideMark/>
          </w:tcPr>
          <w:p w14:paraId="0859A000" w14:textId="77777777" w:rsidR="00B07FC0" w:rsidRPr="007C250E" w:rsidRDefault="00B07FC0" w:rsidP="00433C4E">
            <w:pPr>
              <w:jc w:val="right"/>
              <w:rPr>
                <w:b/>
                <w:bCs/>
                <w:noProof/>
                <w:sz w:val="16"/>
                <w:szCs w:val="16"/>
              </w:rPr>
            </w:pPr>
            <w:r>
              <w:rPr>
                <w:b/>
                <w:noProof/>
                <w:sz w:val="16"/>
              </w:rPr>
              <w:t xml:space="preserve">141 614 571 116 </w:t>
            </w:r>
          </w:p>
        </w:tc>
      </w:tr>
      <w:tr w:rsidR="00B07FC0" w:rsidRPr="007C250E" w14:paraId="09009EE1" w14:textId="77777777" w:rsidTr="00433C4E">
        <w:trPr>
          <w:trHeight w:val="300"/>
        </w:trPr>
        <w:tc>
          <w:tcPr>
            <w:tcW w:w="416" w:type="dxa"/>
            <w:tcBorders>
              <w:top w:val="nil"/>
              <w:left w:val="single" w:sz="8" w:space="0" w:color="auto"/>
              <w:bottom w:val="single" w:sz="8" w:space="0" w:color="auto"/>
              <w:right w:val="nil"/>
            </w:tcBorders>
            <w:shd w:val="clear" w:color="000000" w:fill="F2F2F2"/>
            <w:vAlign w:val="center"/>
            <w:hideMark/>
          </w:tcPr>
          <w:p w14:paraId="6A6265C6" w14:textId="77777777" w:rsidR="00B07FC0" w:rsidRPr="007C250E" w:rsidRDefault="00B07FC0" w:rsidP="00433C4E">
            <w:pPr>
              <w:jc w:val="both"/>
              <w:rPr>
                <w:noProof/>
                <w:sz w:val="16"/>
                <w:szCs w:val="16"/>
              </w:rPr>
            </w:pPr>
            <w:r>
              <w:rPr>
                <w:noProof/>
                <w:sz w:val="16"/>
              </w:rPr>
              <w:t xml:space="preserve"> </w:t>
            </w:r>
          </w:p>
        </w:tc>
        <w:tc>
          <w:tcPr>
            <w:tcW w:w="2551" w:type="dxa"/>
            <w:tcBorders>
              <w:top w:val="nil"/>
              <w:left w:val="nil"/>
              <w:bottom w:val="single" w:sz="8" w:space="0" w:color="auto"/>
              <w:right w:val="single" w:sz="8" w:space="0" w:color="auto"/>
            </w:tcBorders>
            <w:shd w:val="clear" w:color="000000" w:fill="F2F2F2"/>
            <w:vAlign w:val="center"/>
            <w:hideMark/>
          </w:tcPr>
          <w:p w14:paraId="5BE75BC8" w14:textId="77777777" w:rsidR="00B07FC0" w:rsidRPr="007C250E" w:rsidRDefault="00B07FC0" w:rsidP="00433C4E">
            <w:pPr>
              <w:jc w:val="right"/>
              <w:rPr>
                <w:b/>
                <w:bCs/>
                <w:i/>
                <w:iCs/>
                <w:noProof/>
                <w:sz w:val="16"/>
                <w:szCs w:val="16"/>
              </w:rPr>
            </w:pPr>
            <w:r>
              <w:rPr>
                <w:b/>
                <w:i/>
                <w:noProof/>
                <w:sz w:val="16"/>
              </w:rPr>
              <w:t xml:space="preserve">Limite máximo </w:t>
            </w:r>
          </w:p>
        </w:tc>
        <w:tc>
          <w:tcPr>
            <w:tcW w:w="1276" w:type="dxa"/>
            <w:tcBorders>
              <w:top w:val="nil"/>
              <w:left w:val="nil"/>
              <w:bottom w:val="single" w:sz="8" w:space="0" w:color="auto"/>
              <w:right w:val="single" w:sz="8" w:space="0" w:color="auto"/>
            </w:tcBorders>
            <w:shd w:val="clear" w:color="000000" w:fill="F2F2F2"/>
            <w:vAlign w:val="center"/>
            <w:hideMark/>
          </w:tcPr>
          <w:p w14:paraId="55B8F55A" w14:textId="77777777" w:rsidR="00B07FC0" w:rsidRPr="007C250E" w:rsidRDefault="00B07FC0" w:rsidP="00433C4E">
            <w:pPr>
              <w:jc w:val="right"/>
              <w:rPr>
                <w:b/>
                <w:bCs/>
                <w:i/>
                <w:iCs/>
                <w:noProof/>
                <w:sz w:val="16"/>
                <w:szCs w:val="16"/>
              </w:rPr>
            </w:pPr>
            <w:r>
              <w:rPr>
                <w:b/>
                <w:i/>
                <w:noProof/>
                <w:sz w:val="16"/>
              </w:rPr>
              <w:t>185 963 000 000</w:t>
            </w:r>
          </w:p>
        </w:tc>
        <w:tc>
          <w:tcPr>
            <w:tcW w:w="1276" w:type="dxa"/>
            <w:tcBorders>
              <w:top w:val="nil"/>
              <w:left w:val="nil"/>
              <w:bottom w:val="single" w:sz="8" w:space="0" w:color="auto"/>
              <w:right w:val="single" w:sz="8" w:space="0" w:color="auto"/>
            </w:tcBorders>
            <w:shd w:val="clear" w:color="000000" w:fill="F2F2F2"/>
            <w:vAlign w:val="center"/>
            <w:hideMark/>
          </w:tcPr>
          <w:p w14:paraId="33A9548A" w14:textId="77777777" w:rsidR="00B07FC0" w:rsidRPr="007C250E" w:rsidRDefault="00B07FC0" w:rsidP="00433C4E">
            <w:pPr>
              <w:jc w:val="right"/>
              <w:rPr>
                <w:b/>
                <w:bCs/>
                <w:i/>
                <w:iCs/>
                <w:noProof/>
                <w:sz w:val="16"/>
                <w:szCs w:val="16"/>
              </w:rPr>
            </w:pPr>
            <w:r>
              <w:rPr>
                <w:b/>
                <w:i/>
                <w:noProof/>
                <w:sz w:val="16"/>
              </w:rPr>
              <w:t>170 543 000 000</w:t>
            </w:r>
          </w:p>
        </w:tc>
        <w:tc>
          <w:tcPr>
            <w:tcW w:w="1134" w:type="dxa"/>
            <w:tcBorders>
              <w:top w:val="nil"/>
              <w:left w:val="nil"/>
              <w:bottom w:val="single" w:sz="8" w:space="0" w:color="auto"/>
              <w:right w:val="single" w:sz="8" w:space="0" w:color="auto"/>
            </w:tcBorders>
            <w:shd w:val="clear" w:color="000000" w:fill="F2F2F2"/>
            <w:vAlign w:val="center"/>
            <w:hideMark/>
          </w:tcPr>
          <w:p w14:paraId="021CF99E" w14:textId="77777777" w:rsidR="00B07FC0" w:rsidRPr="007C250E" w:rsidRDefault="00B07FC0" w:rsidP="00433C4E">
            <w:pPr>
              <w:jc w:val="right"/>
              <w:rPr>
                <w:b/>
                <w:bCs/>
                <w:i/>
                <w:iCs/>
                <w:noProof/>
                <w:sz w:val="16"/>
                <w:szCs w:val="16"/>
              </w:rPr>
            </w:pPr>
            <w:r>
              <w:rPr>
                <w:b/>
                <w:i/>
                <w:noProof/>
                <w:sz w:val="16"/>
              </w:rPr>
              <w:t xml:space="preserve"> </w:t>
            </w:r>
          </w:p>
        </w:tc>
        <w:tc>
          <w:tcPr>
            <w:tcW w:w="1134" w:type="dxa"/>
            <w:tcBorders>
              <w:top w:val="nil"/>
              <w:left w:val="nil"/>
              <w:bottom w:val="single" w:sz="8" w:space="0" w:color="auto"/>
              <w:right w:val="single" w:sz="8" w:space="0" w:color="auto"/>
            </w:tcBorders>
            <w:shd w:val="clear" w:color="000000" w:fill="F2F2F2"/>
            <w:vAlign w:val="center"/>
            <w:hideMark/>
          </w:tcPr>
          <w:p w14:paraId="2CA0E0D1" w14:textId="77777777" w:rsidR="00B07FC0" w:rsidRPr="007C250E" w:rsidRDefault="00B07FC0" w:rsidP="00433C4E">
            <w:pPr>
              <w:jc w:val="right"/>
              <w:rPr>
                <w:b/>
                <w:bCs/>
                <w:i/>
                <w:iCs/>
                <w:noProof/>
                <w:sz w:val="16"/>
                <w:szCs w:val="16"/>
              </w:rPr>
            </w:pPr>
            <w:r>
              <w:rPr>
                <w:b/>
                <w:i/>
                <w:noProof/>
                <w:sz w:val="16"/>
              </w:rPr>
              <w:t xml:space="preserve"> </w:t>
            </w:r>
          </w:p>
        </w:tc>
        <w:tc>
          <w:tcPr>
            <w:tcW w:w="1275" w:type="dxa"/>
            <w:tcBorders>
              <w:top w:val="nil"/>
              <w:left w:val="nil"/>
              <w:bottom w:val="single" w:sz="8" w:space="0" w:color="auto"/>
              <w:right w:val="single" w:sz="8" w:space="0" w:color="auto"/>
            </w:tcBorders>
            <w:shd w:val="clear" w:color="000000" w:fill="F2F2F2"/>
            <w:vAlign w:val="center"/>
            <w:hideMark/>
          </w:tcPr>
          <w:p w14:paraId="32DD712B" w14:textId="77777777" w:rsidR="00B07FC0" w:rsidRPr="007C250E" w:rsidRDefault="00B07FC0" w:rsidP="00433C4E">
            <w:pPr>
              <w:jc w:val="right"/>
              <w:rPr>
                <w:b/>
                <w:bCs/>
                <w:i/>
                <w:iCs/>
                <w:noProof/>
                <w:sz w:val="16"/>
                <w:szCs w:val="16"/>
              </w:rPr>
            </w:pPr>
            <w:r>
              <w:rPr>
                <w:b/>
                <w:i/>
                <w:noProof/>
                <w:sz w:val="16"/>
              </w:rPr>
              <w:t xml:space="preserve">185 963 000 000 </w:t>
            </w:r>
          </w:p>
        </w:tc>
        <w:tc>
          <w:tcPr>
            <w:tcW w:w="1276" w:type="dxa"/>
            <w:tcBorders>
              <w:top w:val="nil"/>
              <w:left w:val="nil"/>
              <w:bottom w:val="single" w:sz="8" w:space="0" w:color="auto"/>
              <w:right w:val="single" w:sz="8" w:space="0" w:color="auto"/>
            </w:tcBorders>
            <w:shd w:val="clear" w:color="000000" w:fill="F2F2F2"/>
            <w:vAlign w:val="center"/>
            <w:hideMark/>
          </w:tcPr>
          <w:p w14:paraId="744B54C9" w14:textId="77777777" w:rsidR="00B07FC0" w:rsidRPr="007C250E" w:rsidRDefault="00B07FC0" w:rsidP="00433C4E">
            <w:pPr>
              <w:jc w:val="right"/>
              <w:rPr>
                <w:b/>
                <w:bCs/>
                <w:i/>
                <w:iCs/>
                <w:noProof/>
                <w:sz w:val="16"/>
                <w:szCs w:val="16"/>
              </w:rPr>
            </w:pPr>
            <w:r>
              <w:rPr>
                <w:b/>
                <w:i/>
                <w:noProof/>
                <w:sz w:val="16"/>
              </w:rPr>
              <w:t xml:space="preserve">170 543 000 000 </w:t>
            </w:r>
          </w:p>
        </w:tc>
      </w:tr>
      <w:tr w:rsidR="00B07FC0" w:rsidRPr="007C250E" w14:paraId="0C1B71BD" w14:textId="77777777" w:rsidTr="00433C4E">
        <w:trPr>
          <w:trHeight w:val="300"/>
        </w:trPr>
        <w:tc>
          <w:tcPr>
            <w:tcW w:w="416" w:type="dxa"/>
            <w:tcBorders>
              <w:top w:val="nil"/>
              <w:left w:val="single" w:sz="8" w:space="0" w:color="auto"/>
              <w:bottom w:val="single" w:sz="8" w:space="0" w:color="auto"/>
              <w:right w:val="nil"/>
            </w:tcBorders>
            <w:shd w:val="clear" w:color="000000" w:fill="F2F2F2"/>
            <w:vAlign w:val="center"/>
            <w:hideMark/>
          </w:tcPr>
          <w:p w14:paraId="77DBDAF4" w14:textId="77777777" w:rsidR="00B07FC0" w:rsidRPr="007C250E" w:rsidRDefault="00B07FC0" w:rsidP="00433C4E">
            <w:pPr>
              <w:jc w:val="both"/>
              <w:rPr>
                <w:noProof/>
                <w:sz w:val="16"/>
                <w:szCs w:val="16"/>
              </w:rPr>
            </w:pPr>
            <w:r>
              <w:rPr>
                <w:noProof/>
                <w:sz w:val="16"/>
              </w:rPr>
              <w:t xml:space="preserve"> </w:t>
            </w:r>
          </w:p>
        </w:tc>
        <w:tc>
          <w:tcPr>
            <w:tcW w:w="2551" w:type="dxa"/>
            <w:tcBorders>
              <w:top w:val="nil"/>
              <w:left w:val="nil"/>
              <w:bottom w:val="single" w:sz="8" w:space="0" w:color="auto"/>
              <w:right w:val="single" w:sz="8" w:space="0" w:color="auto"/>
            </w:tcBorders>
            <w:shd w:val="clear" w:color="000000" w:fill="F2F2F2"/>
            <w:vAlign w:val="center"/>
            <w:hideMark/>
          </w:tcPr>
          <w:p w14:paraId="486BABD7" w14:textId="77777777" w:rsidR="00B07FC0" w:rsidRPr="00B07FC0" w:rsidRDefault="00B07FC0" w:rsidP="00433C4E">
            <w:pPr>
              <w:jc w:val="right"/>
              <w:rPr>
                <w:b/>
                <w:bCs/>
                <w:i/>
                <w:iCs/>
                <w:noProof/>
                <w:sz w:val="16"/>
                <w:szCs w:val="16"/>
                <w:lang w:val="pt-PT"/>
              </w:rPr>
            </w:pPr>
            <w:r w:rsidRPr="00B07FC0">
              <w:rPr>
                <w:b/>
                <w:i/>
                <w:noProof/>
                <w:sz w:val="16"/>
                <w:lang w:val="pt-PT"/>
              </w:rPr>
              <w:t>Dos quais, a título do Instrumento de Flexibilidade</w:t>
            </w:r>
          </w:p>
        </w:tc>
        <w:tc>
          <w:tcPr>
            <w:tcW w:w="1276" w:type="dxa"/>
            <w:tcBorders>
              <w:top w:val="nil"/>
              <w:left w:val="nil"/>
              <w:bottom w:val="single" w:sz="8" w:space="0" w:color="auto"/>
              <w:right w:val="single" w:sz="8" w:space="0" w:color="auto"/>
            </w:tcBorders>
            <w:shd w:val="clear" w:color="000000" w:fill="F2F2F2"/>
            <w:vAlign w:val="center"/>
            <w:hideMark/>
          </w:tcPr>
          <w:p w14:paraId="65AC31D7" w14:textId="77777777" w:rsidR="00B07FC0" w:rsidRPr="007C250E" w:rsidRDefault="00B07FC0" w:rsidP="00433C4E">
            <w:pPr>
              <w:jc w:val="right"/>
              <w:rPr>
                <w:b/>
                <w:bCs/>
                <w:i/>
                <w:iCs/>
                <w:noProof/>
                <w:sz w:val="16"/>
                <w:szCs w:val="16"/>
              </w:rPr>
            </w:pPr>
            <w:r>
              <w:rPr>
                <w:b/>
                <w:i/>
                <w:noProof/>
                <w:sz w:val="16"/>
              </w:rPr>
              <w:t>1 635 528 875</w:t>
            </w:r>
          </w:p>
        </w:tc>
        <w:tc>
          <w:tcPr>
            <w:tcW w:w="1276" w:type="dxa"/>
            <w:tcBorders>
              <w:top w:val="nil"/>
              <w:left w:val="nil"/>
              <w:bottom w:val="single" w:sz="8" w:space="0" w:color="auto"/>
              <w:right w:val="single" w:sz="8" w:space="0" w:color="auto"/>
            </w:tcBorders>
            <w:shd w:val="clear" w:color="000000" w:fill="F2F2F2"/>
            <w:vAlign w:val="center"/>
            <w:hideMark/>
          </w:tcPr>
          <w:p w14:paraId="1A010409" w14:textId="77777777" w:rsidR="00B07FC0" w:rsidRPr="007C250E" w:rsidRDefault="00B07FC0" w:rsidP="00433C4E">
            <w:pPr>
              <w:jc w:val="right"/>
              <w:rPr>
                <w:b/>
                <w:bCs/>
                <w:i/>
                <w:iCs/>
                <w:noProof/>
                <w:sz w:val="16"/>
                <w:szCs w:val="16"/>
              </w:rPr>
            </w:pPr>
            <w:r>
              <w:rPr>
                <w:b/>
                <w:i/>
                <w:noProof/>
                <w:sz w:val="16"/>
              </w:rPr>
              <w:t>1 747 272 316</w:t>
            </w:r>
          </w:p>
        </w:tc>
        <w:tc>
          <w:tcPr>
            <w:tcW w:w="1134" w:type="dxa"/>
            <w:tcBorders>
              <w:top w:val="nil"/>
              <w:left w:val="nil"/>
              <w:bottom w:val="single" w:sz="8" w:space="0" w:color="auto"/>
              <w:right w:val="single" w:sz="8" w:space="0" w:color="auto"/>
            </w:tcBorders>
            <w:shd w:val="clear" w:color="000000" w:fill="F2F2F2"/>
            <w:vAlign w:val="center"/>
            <w:hideMark/>
          </w:tcPr>
          <w:p w14:paraId="34049B92" w14:textId="77777777" w:rsidR="00B07FC0" w:rsidRPr="007C250E" w:rsidRDefault="00B07FC0" w:rsidP="00433C4E">
            <w:pPr>
              <w:jc w:val="right"/>
              <w:rPr>
                <w:b/>
                <w:bCs/>
                <w:i/>
                <w:iCs/>
                <w:noProof/>
                <w:sz w:val="16"/>
                <w:szCs w:val="16"/>
              </w:rPr>
            </w:pPr>
            <w:r>
              <w:rPr>
                <w:b/>
                <w:i/>
                <w:noProof/>
                <w:sz w:val="16"/>
              </w:rPr>
              <w:t xml:space="preserve"> </w:t>
            </w:r>
          </w:p>
        </w:tc>
        <w:tc>
          <w:tcPr>
            <w:tcW w:w="1134" w:type="dxa"/>
            <w:tcBorders>
              <w:top w:val="nil"/>
              <w:left w:val="nil"/>
              <w:bottom w:val="single" w:sz="8" w:space="0" w:color="auto"/>
              <w:right w:val="single" w:sz="8" w:space="0" w:color="auto"/>
            </w:tcBorders>
            <w:shd w:val="clear" w:color="000000" w:fill="F2F2F2"/>
            <w:vAlign w:val="center"/>
            <w:hideMark/>
          </w:tcPr>
          <w:p w14:paraId="2FD102C3" w14:textId="77777777" w:rsidR="00B07FC0" w:rsidRPr="007C250E" w:rsidRDefault="00B07FC0" w:rsidP="00433C4E">
            <w:pPr>
              <w:jc w:val="right"/>
              <w:rPr>
                <w:b/>
                <w:bCs/>
                <w:i/>
                <w:iCs/>
                <w:noProof/>
                <w:sz w:val="16"/>
                <w:szCs w:val="16"/>
              </w:rPr>
            </w:pPr>
            <w:r>
              <w:rPr>
                <w:b/>
                <w:i/>
                <w:noProof/>
                <w:sz w:val="16"/>
              </w:rPr>
              <w:t xml:space="preserve"> </w:t>
            </w:r>
          </w:p>
        </w:tc>
        <w:tc>
          <w:tcPr>
            <w:tcW w:w="1275" w:type="dxa"/>
            <w:tcBorders>
              <w:top w:val="nil"/>
              <w:left w:val="nil"/>
              <w:bottom w:val="single" w:sz="8" w:space="0" w:color="auto"/>
              <w:right w:val="single" w:sz="8" w:space="0" w:color="auto"/>
            </w:tcBorders>
            <w:shd w:val="clear" w:color="000000" w:fill="F2F2F2"/>
            <w:vAlign w:val="center"/>
            <w:hideMark/>
          </w:tcPr>
          <w:p w14:paraId="0063BAB3" w14:textId="77777777" w:rsidR="00B07FC0" w:rsidRPr="007C250E" w:rsidRDefault="00B07FC0" w:rsidP="00433C4E">
            <w:pPr>
              <w:jc w:val="right"/>
              <w:rPr>
                <w:b/>
                <w:bCs/>
                <w:i/>
                <w:iCs/>
                <w:noProof/>
                <w:sz w:val="16"/>
                <w:szCs w:val="16"/>
              </w:rPr>
            </w:pPr>
            <w:r>
              <w:rPr>
                <w:b/>
                <w:i/>
                <w:noProof/>
                <w:sz w:val="16"/>
              </w:rPr>
              <w:t xml:space="preserve">1 635 528 875 </w:t>
            </w:r>
          </w:p>
        </w:tc>
        <w:tc>
          <w:tcPr>
            <w:tcW w:w="1276" w:type="dxa"/>
            <w:tcBorders>
              <w:top w:val="nil"/>
              <w:left w:val="nil"/>
              <w:bottom w:val="single" w:sz="8" w:space="0" w:color="auto"/>
              <w:right w:val="single" w:sz="8" w:space="0" w:color="auto"/>
            </w:tcBorders>
            <w:shd w:val="clear" w:color="000000" w:fill="F2F2F2"/>
            <w:vAlign w:val="center"/>
            <w:hideMark/>
          </w:tcPr>
          <w:p w14:paraId="0CFE1FED" w14:textId="77777777" w:rsidR="00B07FC0" w:rsidRPr="007C250E" w:rsidRDefault="00B07FC0" w:rsidP="00433C4E">
            <w:pPr>
              <w:jc w:val="right"/>
              <w:rPr>
                <w:b/>
                <w:bCs/>
                <w:i/>
                <w:iCs/>
                <w:noProof/>
                <w:sz w:val="16"/>
                <w:szCs w:val="16"/>
              </w:rPr>
            </w:pPr>
            <w:r>
              <w:rPr>
                <w:b/>
                <w:i/>
                <w:noProof/>
                <w:sz w:val="16"/>
              </w:rPr>
              <w:t xml:space="preserve">1 747 272 316 </w:t>
            </w:r>
          </w:p>
        </w:tc>
      </w:tr>
      <w:tr w:rsidR="00B07FC0" w:rsidRPr="007C250E" w14:paraId="65747AB6" w14:textId="77777777" w:rsidTr="00433C4E">
        <w:trPr>
          <w:trHeight w:val="405"/>
        </w:trPr>
        <w:tc>
          <w:tcPr>
            <w:tcW w:w="2967"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14:paraId="13E708B7" w14:textId="77777777" w:rsidR="00B07FC0" w:rsidRPr="00B07FC0" w:rsidRDefault="00B07FC0" w:rsidP="00433C4E">
            <w:pPr>
              <w:jc w:val="right"/>
              <w:rPr>
                <w:b/>
                <w:bCs/>
                <w:noProof/>
                <w:sz w:val="16"/>
                <w:szCs w:val="16"/>
                <w:lang w:val="pt-PT"/>
              </w:rPr>
            </w:pPr>
            <w:r w:rsidRPr="00B07FC0">
              <w:rPr>
                <w:b/>
                <w:noProof/>
                <w:sz w:val="16"/>
                <w:lang w:val="pt-PT"/>
              </w:rPr>
              <w:t>Dos quais, a título do Instrumento de Margem Único (Artigo 11.º, n.º 1, alínea a))</w:t>
            </w:r>
          </w:p>
        </w:tc>
        <w:tc>
          <w:tcPr>
            <w:tcW w:w="1276" w:type="dxa"/>
            <w:tcBorders>
              <w:top w:val="nil"/>
              <w:left w:val="nil"/>
              <w:bottom w:val="single" w:sz="8" w:space="0" w:color="auto"/>
              <w:right w:val="single" w:sz="8" w:space="0" w:color="auto"/>
            </w:tcBorders>
            <w:shd w:val="clear" w:color="000000" w:fill="F2F2F2"/>
            <w:vAlign w:val="center"/>
            <w:hideMark/>
          </w:tcPr>
          <w:p w14:paraId="21460D62" w14:textId="77777777" w:rsidR="00B07FC0" w:rsidRPr="007C250E" w:rsidRDefault="00B07FC0" w:rsidP="00433C4E">
            <w:pPr>
              <w:jc w:val="right"/>
              <w:rPr>
                <w:b/>
                <w:bCs/>
                <w:i/>
                <w:iCs/>
                <w:noProof/>
                <w:sz w:val="16"/>
                <w:szCs w:val="16"/>
              </w:rPr>
            </w:pPr>
            <w:r>
              <w:rPr>
                <w:b/>
                <w:i/>
                <w:noProof/>
                <w:sz w:val="16"/>
              </w:rPr>
              <w:t>549 442 340</w:t>
            </w:r>
          </w:p>
        </w:tc>
        <w:tc>
          <w:tcPr>
            <w:tcW w:w="1276" w:type="dxa"/>
            <w:tcBorders>
              <w:top w:val="nil"/>
              <w:left w:val="nil"/>
              <w:bottom w:val="single" w:sz="8" w:space="0" w:color="auto"/>
              <w:right w:val="single" w:sz="8" w:space="0" w:color="auto"/>
            </w:tcBorders>
            <w:shd w:val="clear" w:color="000000" w:fill="F2F2F2"/>
            <w:vAlign w:val="center"/>
            <w:hideMark/>
          </w:tcPr>
          <w:p w14:paraId="177C1E54" w14:textId="77777777" w:rsidR="00B07FC0" w:rsidRPr="007C250E" w:rsidRDefault="00B07FC0" w:rsidP="00433C4E">
            <w:pPr>
              <w:jc w:val="right"/>
              <w:rPr>
                <w:noProof/>
                <w:sz w:val="16"/>
                <w:szCs w:val="16"/>
              </w:rPr>
            </w:pPr>
            <w:r>
              <w:rPr>
                <w:noProof/>
                <w:sz w:val="16"/>
              </w:rPr>
              <w:t xml:space="preserve"> </w:t>
            </w:r>
          </w:p>
        </w:tc>
        <w:tc>
          <w:tcPr>
            <w:tcW w:w="1134" w:type="dxa"/>
            <w:tcBorders>
              <w:top w:val="nil"/>
              <w:left w:val="nil"/>
              <w:bottom w:val="single" w:sz="8" w:space="0" w:color="auto"/>
              <w:right w:val="single" w:sz="8" w:space="0" w:color="auto"/>
            </w:tcBorders>
            <w:shd w:val="clear" w:color="000000" w:fill="F2F2F2"/>
            <w:vAlign w:val="center"/>
            <w:hideMark/>
          </w:tcPr>
          <w:p w14:paraId="0FA43910" w14:textId="77777777" w:rsidR="00B07FC0" w:rsidRPr="007C250E" w:rsidRDefault="00B07FC0" w:rsidP="00433C4E">
            <w:pPr>
              <w:jc w:val="right"/>
              <w:rPr>
                <w:b/>
                <w:bCs/>
                <w:i/>
                <w:iCs/>
                <w:noProof/>
                <w:sz w:val="16"/>
                <w:szCs w:val="16"/>
              </w:rPr>
            </w:pPr>
            <w:r>
              <w:rPr>
                <w:b/>
                <w:i/>
                <w:noProof/>
                <w:sz w:val="16"/>
              </w:rPr>
              <w:t xml:space="preserve">-67 411 900 </w:t>
            </w:r>
          </w:p>
        </w:tc>
        <w:tc>
          <w:tcPr>
            <w:tcW w:w="1134" w:type="dxa"/>
            <w:tcBorders>
              <w:top w:val="nil"/>
              <w:left w:val="nil"/>
              <w:bottom w:val="single" w:sz="8" w:space="0" w:color="auto"/>
              <w:right w:val="single" w:sz="8" w:space="0" w:color="auto"/>
            </w:tcBorders>
            <w:shd w:val="clear" w:color="000000" w:fill="F2F2F2"/>
            <w:vAlign w:val="center"/>
            <w:hideMark/>
          </w:tcPr>
          <w:p w14:paraId="2A2DC54C" w14:textId="77777777" w:rsidR="00B07FC0" w:rsidRPr="007C250E" w:rsidRDefault="00B07FC0" w:rsidP="00433C4E">
            <w:pPr>
              <w:jc w:val="right"/>
              <w:rPr>
                <w:noProof/>
                <w:sz w:val="16"/>
                <w:szCs w:val="16"/>
              </w:rPr>
            </w:pPr>
            <w:r>
              <w:rPr>
                <w:noProof/>
                <w:sz w:val="16"/>
              </w:rPr>
              <w:t xml:space="preserve"> </w:t>
            </w:r>
          </w:p>
        </w:tc>
        <w:tc>
          <w:tcPr>
            <w:tcW w:w="1275" w:type="dxa"/>
            <w:tcBorders>
              <w:top w:val="nil"/>
              <w:left w:val="nil"/>
              <w:bottom w:val="single" w:sz="8" w:space="0" w:color="auto"/>
              <w:right w:val="single" w:sz="8" w:space="0" w:color="auto"/>
            </w:tcBorders>
            <w:shd w:val="clear" w:color="000000" w:fill="F2F2F2"/>
            <w:vAlign w:val="center"/>
            <w:hideMark/>
          </w:tcPr>
          <w:p w14:paraId="38F6CE13" w14:textId="77777777" w:rsidR="00B07FC0" w:rsidRPr="007C250E" w:rsidRDefault="00B07FC0" w:rsidP="00433C4E">
            <w:pPr>
              <w:jc w:val="right"/>
              <w:rPr>
                <w:b/>
                <w:bCs/>
                <w:i/>
                <w:iCs/>
                <w:noProof/>
                <w:sz w:val="16"/>
                <w:szCs w:val="16"/>
              </w:rPr>
            </w:pPr>
            <w:r>
              <w:rPr>
                <w:b/>
                <w:i/>
                <w:noProof/>
                <w:sz w:val="16"/>
              </w:rPr>
              <w:t xml:space="preserve">482 030 440 </w:t>
            </w:r>
          </w:p>
        </w:tc>
        <w:tc>
          <w:tcPr>
            <w:tcW w:w="1276" w:type="dxa"/>
            <w:tcBorders>
              <w:top w:val="nil"/>
              <w:left w:val="nil"/>
              <w:bottom w:val="single" w:sz="8" w:space="0" w:color="auto"/>
              <w:right w:val="single" w:sz="8" w:space="0" w:color="auto"/>
            </w:tcBorders>
            <w:shd w:val="clear" w:color="000000" w:fill="F2F2F2"/>
            <w:vAlign w:val="center"/>
            <w:hideMark/>
          </w:tcPr>
          <w:p w14:paraId="6F4C8418" w14:textId="77777777" w:rsidR="00B07FC0" w:rsidRPr="007C250E" w:rsidRDefault="00B07FC0" w:rsidP="00433C4E">
            <w:pPr>
              <w:jc w:val="right"/>
              <w:rPr>
                <w:noProof/>
                <w:sz w:val="16"/>
                <w:szCs w:val="16"/>
              </w:rPr>
            </w:pPr>
            <w:r>
              <w:rPr>
                <w:noProof/>
                <w:sz w:val="16"/>
              </w:rPr>
              <w:t xml:space="preserve"> </w:t>
            </w:r>
          </w:p>
        </w:tc>
      </w:tr>
      <w:tr w:rsidR="00B07FC0" w:rsidRPr="00B07FC0" w14:paraId="051C63FA" w14:textId="77777777" w:rsidTr="00433C4E">
        <w:trPr>
          <w:trHeight w:val="510"/>
        </w:trPr>
        <w:tc>
          <w:tcPr>
            <w:tcW w:w="2967"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14:paraId="40948AD5" w14:textId="77777777" w:rsidR="00B07FC0" w:rsidRPr="00B07FC0" w:rsidRDefault="00B07FC0" w:rsidP="00433C4E">
            <w:pPr>
              <w:jc w:val="right"/>
              <w:rPr>
                <w:b/>
                <w:bCs/>
                <w:noProof/>
                <w:color w:val="000000"/>
                <w:sz w:val="16"/>
                <w:szCs w:val="16"/>
                <w:lang w:val="pt-PT"/>
              </w:rPr>
            </w:pPr>
            <w:r w:rsidRPr="00B07FC0">
              <w:rPr>
                <w:b/>
                <w:noProof/>
                <w:color w:val="000000"/>
                <w:sz w:val="16"/>
                <w:lang w:val="pt-PT"/>
              </w:rPr>
              <w:t>dos quais, a título do Instrumento de Margem Único (Artigo 11.º, n.º 1, alínea c))</w:t>
            </w:r>
          </w:p>
        </w:tc>
        <w:tc>
          <w:tcPr>
            <w:tcW w:w="1276" w:type="dxa"/>
            <w:tcBorders>
              <w:top w:val="nil"/>
              <w:left w:val="nil"/>
              <w:bottom w:val="single" w:sz="8" w:space="0" w:color="auto"/>
              <w:right w:val="single" w:sz="8" w:space="0" w:color="auto"/>
            </w:tcBorders>
            <w:shd w:val="clear" w:color="000000" w:fill="F2F2F2"/>
            <w:vAlign w:val="center"/>
            <w:hideMark/>
          </w:tcPr>
          <w:p w14:paraId="1D9EEABE"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c>
          <w:tcPr>
            <w:tcW w:w="1276" w:type="dxa"/>
            <w:tcBorders>
              <w:top w:val="nil"/>
              <w:left w:val="nil"/>
              <w:bottom w:val="single" w:sz="8" w:space="0" w:color="auto"/>
              <w:right w:val="single" w:sz="8" w:space="0" w:color="auto"/>
            </w:tcBorders>
            <w:shd w:val="clear" w:color="000000" w:fill="F2F2F2"/>
            <w:vAlign w:val="center"/>
            <w:hideMark/>
          </w:tcPr>
          <w:p w14:paraId="74A03AEF"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c>
          <w:tcPr>
            <w:tcW w:w="1134" w:type="dxa"/>
            <w:tcBorders>
              <w:top w:val="nil"/>
              <w:left w:val="nil"/>
              <w:bottom w:val="single" w:sz="8" w:space="0" w:color="auto"/>
              <w:right w:val="single" w:sz="8" w:space="0" w:color="auto"/>
            </w:tcBorders>
            <w:shd w:val="clear" w:color="000000" w:fill="F2F2F2"/>
            <w:vAlign w:val="center"/>
            <w:hideMark/>
          </w:tcPr>
          <w:p w14:paraId="4201E0B4"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c>
          <w:tcPr>
            <w:tcW w:w="1134" w:type="dxa"/>
            <w:tcBorders>
              <w:top w:val="nil"/>
              <w:left w:val="nil"/>
              <w:bottom w:val="single" w:sz="8" w:space="0" w:color="auto"/>
              <w:right w:val="single" w:sz="8" w:space="0" w:color="auto"/>
            </w:tcBorders>
            <w:shd w:val="clear" w:color="000000" w:fill="F2F2F2"/>
            <w:vAlign w:val="center"/>
            <w:hideMark/>
          </w:tcPr>
          <w:p w14:paraId="5D163939"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c>
          <w:tcPr>
            <w:tcW w:w="1275" w:type="dxa"/>
            <w:tcBorders>
              <w:top w:val="nil"/>
              <w:left w:val="nil"/>
              <w:bottom w:val="single" w:sz="8" w:space="0" w:color="auto"/>
              <w:right w:val="single" w:sz="8" w:space="0" w:color="auto"/>
            </w:tcBorders>
            <w:shd w:val="clear" w:color="000000" w:fill="F2F2F2"/>
            <w:vAlign w:val="center"/>
            <w:hideMark/>
          </w:tcPr>
          <w:p w14:paraId="389E25C3"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c>
          <w:tcPr>
            <w:tcW w:w="1276" w:type="dxa"/>
            <w:tcBorders>
              <w:top w:val="nil"/>
              <w:left w:val="nil"/>
              <w:bottom w:val="single" w:sz="8" w:space="0" w:color="auto"/>
              <w:right w:val="single" w:sz="8" w:space="0" w:color="auto"/>
            </w:tcBorders>
            <w:shd w:val="clear" w:color="000000" w:fill="F2F2F2"/>
            <w:vAlign w:val="center"/>
            <w:hideMark/>
          </w:tcPr>
          <w:p w14:paraId="261B6C74" w14:textId="77777777" w:rsidR="00B07FC0" w:rsidRPr="00B07FC0" w:rsidRDefault="00B07FC0" w:rsidP="00433C4E">
            <w:pPr>
              <w:jc w:val="right"/>
              <w:rPr>
                <w:noProof/>
                <w:color w:val="000000"/>
                <w:sz w:val="16"/>
                <w:szCs w:val="16"/>
                <w:lang w:val="pt-PT"/>
              </w:rPr>
            </w:pPr>
            <w:r w:rsidRPr="00B07FC0">
              <w:rPr>
                <w:noProof/>
                <w:color w:val="000000"/>
                <w:sz w:val="16"/>
                <w:lang w:val="pt-PT"/>
              </w:rPr>
              <w:t xml:space="preserve"> </w:t>
            </w:r>
          </w:p>
        </w:tc>
      </w:tr>
      <w:tr w:rsidR="00B07FC0" w:rsidRPr="007C250E" w14:paraId="350CAF4D" w14:textId="77777777" w:rsidTr="00433C4E">
        <w:trPr>
          <w:trHeight w:val="300"/>
        </w:trPr>
        <w:tc>
          <w:tcPr>
            <w:tcW w:w="416" w:type="dxa"/>
            <w:tcBorders>
              <w:top w:val="nil"/>
              <w:left w:val="single" w:sz="8" w:space="0" w:color="auto"/>
              <w:bottom w:val="single" w:sz="8" w:space="0" w:color="auto"/>
              <w:right w:val="nil"/>
            </w:tcBorders>
            <w:shd w:val="clear" w:color="000000" w:fill="F2F2F2"/>
            <w:vAlign w:val="center"/>
            <w:hideMark/>
          </w:tcPr>
          <w:p w14:paraId="2D342C63" w14:textId="77777777" w:rsidR="00B07FC0" w:rsidRPr="00B07FC0" w:rsidRDefault="00B07FC0" w:rsidP="00433C4E">
            <w:pPr>
              <w:jc w:val="both"/>
              <w:rPr>
                <w:noProof/>
                <w:sz w:val="16"/>
                <w:szCs w:val="16"/>
                <w:lang w:val="pt-PT"/>
              </w:rPr>
            </w:pPr>
            <w:r w:rsidRPr="00B07FC0">
              <w:rPr>
                <w:noProof/>
                <w:sz w:val="16"/>
                <w:lang w:val="pt-PT"/>
              </w:rPr>
              <w:t xml:space="preserve"> </w:t>
            </w:r>
          </w:p>
        </w:tc>
        <w:tc>
          <w:tcPr>
            <w:tcW w:w="2551" w:type="dxa"/>
            <w:tcBorders>
              <w:top w:val="nil"/>
              <w:left w:val="nil"/>
              <w:bottom w:val="single" w:sz="8" w:space="0" w:color="auto"/>
              <w:right w:val="single" w:sz="8" w:space="0" w:color="auto"/>
            </w:tcBorders>
            <w:shd w:val="clear" w:color="000000" w:fill="F2F2F2"/>
            <w:vAlign w:val="center"/>
            <w:hideMark/>
          </w:tcPr>
          <w:p w14:paraId="45979F24" w14:textId="77777777" w:rsidR="00B07FC0" w:rsidRPr="007C250E" w:rsidRDefault="00B07FC0" w:rsidP="00433C4E">
            <w:pPr>
              <w:jc w:val="right"/>
              <w:rPr>
                <w:b/>
                <w:bCs/>
                <w:i/>
                <w:iCs/>
                <w:noProof/>
                <w:sz w:val="16"/>
                <w:szCs w:val="16"/>
              </w:rPr>
            </w:pPr>
            <w:r>
              <w:rPr>
                <w:b/>
                <w:i/>
                <w:noProof/>
                <w:sz w:val="16"/>
              </w:rPr>
              <w:t>Margem</w:t>
            </w:r>
          </w:p>
        </w:tc>
        <w:tc>
          <w:tcPr>
            <w:tcW w:w="1276" w:type="dxa"/>
            <w:tcBorders>
              <w:top w:val="nil"/>
              <w:left w:val="nil"/>
              <w:bottom w:val="single" w:sz="8" w:space="0" w:color="auto"/>
              <w:right w:val="single" w:sz="8" w:space="0" w:color="auto"/>
            </w:tcBorders>
            <w:shd w:val="clear" w:color="000000" w:fill="F2F2F2"/>
            <w:vAlign w:val="center"/>
            <w:hideMark/>
          </w:tcPr>
          <w:p w14:paraId="64C1055D" w14:textId="77777777" w:rsidR="00B07FC0" w:rsidRPr="007C250E" w:rsidRDefault="00B07FC0" w:rsidP="00433C4E">
            <w:pPr>
              <w:jc w:val="right"/>
              <w:rPr>
                <w:b/>
                <w:bCs/>
                <w:i/>
                <w:iCs/>
                <w:noProof/>
                <w:sz w:val="16"/>
                <w:szCs w:val="16"/>
              </w:rPr>
            </w:pPr>
            <w:r>
              <w:rPr>
                <w:b/>
                <w:i/>
                <w:noProof/>
                <w:sz w:val="16"/>
              </w:rPr>
              <w:t>367 854 887</w:t>
            </w:r>
          </w:p>
        </w:tc>
        <w:tc>
          <w:tcPr>
            <w:tcW w:w="1276" w:type="dxa"/>
            <w:tcBorders>
              <w:top w:val="nil"/>
              <w:left w:val="nil"/>
              <w:bottom w:val="single" w:sz="8" w:space="0" w:color="auto"/>
              <w:right w:val="single" w:sz="8" w:space="0" w:color="auto"/>
            </w:tcBorders>
            <w:shd w:val="clear" w:color="000000" w:fill="F2F2F2"/>
            <w:vAlign w:val="center"/>
            <w:hideMark/>
          </w:tcPr>
          <w:p w14:paraId="5BF7A018" w14:textId="77777777" w:rsidR="00B07FC0" w:rsidRPr="007C250E" w:rsidRDefault="00B07FC0" w:rsidP="00433C4E">
            <w:pPr>
              <w:jc w:val="right"/>
              <w:rPr>
                <w:b/>
                <w:bCs/>
                <w:i/>
                <w:iCs/>
                <w:noProof/>
                <w:sz w:val="16"/>
                <w:szCs w:val="16"/>
              </w:rPr>
            </w:pPr>
            <w:r>
              <w:rPr>
                <w:b/>
                <w:i/>
                <w:noProof/>
                <w:sz w:val="16"/>
              </w:rPr>
              <w:t>30 608 289 300</w:t>
            </w:r>
          </w:p>
        </w:tc>
        <w:tc>
          <w:tcPr>
            <w:tcW w:w="1134" w:type="dxa"/>
            <w:tcBorders>
              <w:top w:val="nil"/>
              <w:left w:val="nil"/>
              <w:bottom w:val="single" w:sz="8" w:space="0" w:color="auto"/>
              <w:right w:val="single" w:sz="8" w:space="0" w:color="auto"/>
            </w:tcBorders>
            <w:shd w:val="clear" w:color="000000" w:fill="F2F2F2"/>
            <w:vAlign w:val="center"/>
            <w:hideMark/>
          </w:tcPr>
          <w:p w14:paraId="45C5945B" w14:textId="77777777" w:rsidR="00B07FC0" w:rsidRPr="007C250E" w:rsidRDefault="00B07FC0" w:rsidP="00433C4E">
            <w:pPr>
              <w:jc w:val="right"/>
              <w:rPr>
                <w:b/>
                <w:bCs/>
                <w:i/>
                <w:iCs/>
                <w:noProof/>
                <w:sz w:val="16"/>
                <w:szCs w:val="16"/>
              </w:rPr>
            </w:pPr>
            <w:r>
              <w:rPr>
                <w:b/>
                <w:i/>
                <w:noProof/>
                <w:sz w:val="16"/>
              </w:rPr>
              <w:t xml:space="preserve"> </w:t>
            </w:r>
          </w:p>
        </w:tc>
        <w:tc>
          <w:tcPr>
            <w:tcW w:w="1134" w:type="dxa"/>
            <w:tcBorders>
              <w:top w:val="nil"/>
              <w:left w:val="nil"/>
              <w:bottom w:val="single" w:sz="8" w:space="0" w:color="auto"/>
              <w:right w:val="single" w:sz="8" w:space="0" w:color="auto"/>
            </w:tcBorders>
            <w:shd w:val="clear" w:color="000000" w:fill="F2F2F2"/>
            <w:vAlign w:val="center"/>
            <w:hideMark/>
          </w:tcPr>
          <w:p w14:paraId="47D94684" w14:textId="77777777" w:rsidR="00B07FC0" w:rsidRPr="007C250E" w:rsidRDefault="00B07FC0" w:rsidP="00433C4E">
            <w:pPr>
              <w:jc w:val="right"/>
              <w:rPr>
                <w:b/>
                <w:bCs/>
                <w:i/>
                <w:iCs/>
                <w:noProof/>
                <w:sz w:val="16"/>
                <w:szCs w:val="16"/>
              </w:rPr>
            </w:pPr>
            <w:r>
              <w:rPr>
                <w:b/>
                <w:i/>
                <w:noProof/>
                <w:sz w:val="16"/>
              </w:rPr>
              <w:t xml:space="preserve">67 411 900 </w:t>
            </w:r>
          </w:p>
        </w:tc>
        <w:tc>
          <w:tcPr>
            <w:tcW w:w="1275" w:type="dxa"/>
            <w:tcBorders>
              <w:top w:val="nil"/>
              <w:left w:val="nil"/>
              <w:bottom w:val="single" w:sz="8" w:space="0" w:color="auto"/>
              <w:right w:val="single" w:sz="8" w:space="0" w:color="auto"/>
            </w:tcBorders>
            <w:shd w:val="clear" w:color="000000" w:fill="F2F2F2"/>
            <w:vAlign w:val="center"/>
            <w:hideMark/>
          </w:tcPr>
          <w:p w14:paraId="75731F86" w14:textId="77777777" w:rsidR="00B07FC0" w:rsidRPr="007C250E" w:rsidRDefault="00B07FC0" w:rsidP="00433C4E">
            <w:pPr>
              <w:jc w:val="right"/>
              <w:rPr>
                <w:b/>
                <w:bCs/>
                <w:i/>
                <w:iCs/>
                <w:noProof/>
                <w:sz w:val="16"/>
                <w:szCs w:val="16"/>
              </w:rPr>
            </w:pPr>
            <w:r>
              <w:rPr>
                <w:b/>
                <w:i/>
                <w:noProof/>
                <w:sz w:val="16"/>
              </w:rPr>
              <w:t xml:space="preserve">367 854 887 </w:t>
            </w:r>
          </w:p>
        </w:tc>
        <w:tc>
          <w:tcPr>
            <w:tcW w:w="1276" w:type="dxa"/>
            <w:tcBorders>
              <w:top w:val="nil"/>
              <w:left w:val="nil"/>
              <w:bottom w:val="single" w:sz="8" w:space="0" w:color="auto"/>
              <w:right w:val="single" w:sz="8" w:space="0" w:color="auto"/>
            </w:tcBorders>
            <w:shd w:val="clear" w:color="000000" w:fill="F2F2F2"/>
            <w:vAlign w:val="center"/>
            <w:hideMark/>
          </w:tcPr>
          <w:p w14:paraId="5C8D5542" w14:textId="77777777" w:rsidR="00B07FC0" w:rsidRPr="007C250E" w:rsidRDefault="00B07FC0" w:rsidP="00433C4E">
            <w:pPr>
              <w:jc w:val="right"/>
              <w:rPr>
                <w:b/>
                <w:bCs/>
                <w:i/>
                <w:iCs/>
                <w:noProof/>
                <w:sz w:val="16"/>
                <w:szCs w:val="16"/>
              </w:rPr>
            </w:pPr>
            <w:r>
              <w:rPr>
                <w:b/>
                <w:i/>
                <w:noProof/>
                <w:sz w:val="16"/>
              </w:rPr>
              <w:t xml:space="preserve">30 675 701 200 </w:t>
            </w:r>
          </w:p>
        </w:tc>
      </w:tr>
      <w:tr w:rsidR="00B07FC0" w:rsidRPr="007C250E" w14:paraId="667C5955" w14:textId="77777777" w:rsidTr="00433C4E">
        <w:trPr>
          <w:trHeight w:val="300"/>
        </w:trPr>
        <w:tc>
          <w:tcPr>
            <w:tcW w:w="2967" w:type="dxa"/>
            <w:gridSpan w:val="2"/>
            <w:tcBorders>
              <w:top w:val="single" w:sz="8" w:space="0" w:color="auto"/>
              <w:left w:val="single" w:sz="8" w:space="0" w:color="auto"/>
              <w:bottom w:val="single" w:sz="8" w:space="0" w:color="auto"/>
              <w:right w:val="single" w:sz="8" w:space="0" w:color="000000"/>
            </w:tcBorders>
            <w:shd w:val="clear" w:color="000000" w:fill="BFBFBF"/>
            <w:vAlign w:val="center"/>
            <w:hideMark/>
          </w:tcPr>
          <w:p w14:paraId="42ADED25" w14:textId="77777777" w:rsidR="00B07FC0" w:rsidRPr="007C250E" w:rsidRDefault="00B07FC0" w:rsidP="00433C4E">
            <w:pPr>
              <w:jc w:val="right"/>
              <w:rPr>
                <w:b/>
                <w:bCs/>
                <w:noProof/>
                <w:sz w:val="16"/>
                <w:szCs w:val="16"/>
              </w:rPr>
            </w:pPr>
            <w:r>
              <w:rPr>
                <w:b/>
                <w:noProof/>
                <w:sz w:val="16"/>
              </w:rPr>
              <w:t>Dotações em % do RNB</w:t>
            </w:r>
          </w:p>
        </w:tc>
        <w:tc>
          <w:tcPr>
            <w:tcW w:w="1276" w:type="dxa"/>
            <w:tcBorders>
              <w:top w:val="nil"/>
              <w:left w:val="nil"/>
              <w:bottom w:val="single" w:sz="8" w:space="0" w:color="auto"/>
              <w:right w:val="single" w:sz="8" w:space="0" w:color="auto"/>
            </w:tcBorders>
            <w:shd w:val="clear" w:color="000000" w:fill="BFBFBF"/>
            <w:vAlign w:val="center"/>
            <w:hideMark/>
          </w:tcPr>
          <w:p w14:paraId="256F8BEB" w14:textId="77777777" w:rsidR="00B07FC0" w:rsidRPr="007C250E" w:rsidRDefault="00B07FC0" w:rsidP="00433C4E">
            <w:pPr>
              <w:jc w:val="right"/>
              <w:rPr>
                <w:b/>
                <w:bCs/>
                <w:noProof/>
                <w:sz w:val="16"/>
                <w:szCs w:val="16"/>
              </w:rPr>
            </w:pPr>
            <w:r>
              <w:rPr>
                <w:b/>
                <w:noProof/>
                <w:sz w:val="16"/>
              </w:rPr>
              <w:t>1,06 %</w:t>
            </w:r>
          </w:p>
        </w:tc>
        <w:tc>
          <w:tcPr>
            <w:tcW w:w="1276" w:type="dxa"/>
            <w:tcBorders>
              <w:top w:val="nil"/>
              <w:left w:val="nil"/>
              <w:bottom w:val="single" w:sz="8" w:space="0" w:color="auto"/>
              <w:right w:val="single" w:sz="8" w:space="0" w:color="auto"/>
            </w:tcBorders>
            <w:shd w:val="clear" w:color="000000" w:fill="BFBFBF"/>
            <w:vAlign w:val="center"/>
            <w:hideMark/>
          </w:tcPr>
          <w:p w14:paraId="43578A4A" w14:textId="77777777" w:rsidR="00B07FC0" w:rsidRPr="007C250E" w:rsidRDefault="00B07FC0" w:rsidP="00433C4E">
            <w:pPr>
              <w:jc w:val="right"/>
              <w:rPr>
                <w:b/>
                <w:bCs/>
                <w:noProof/>
                <w:sz w:val="16"/>
                <w:szCs w:val="16"/>
              </w:rPr>
            </w:pPr>
            <w:r>
              <w:rPr>
                <w:b/>
                <w:noProof/>
                <w:sz w:val="16"/>
              </w:rPr>
              <w:t>0,80 %</w:t>
            </w:r>
          </w:p>
        </w:tc>
        <w:tc>
          <w:tcPr>
            <w:tcW w:w="1134" w:type="dxa"/>
            <w:tcBorders>
              <w:top w:val="nil"/>
              <w:left w:val="nil"/>
              <w:bottom w:val="single" w:sz="8" w:space="0" w:color="auto"/>
              <w:right w:val="single" w:sz="8" w:space="0" w:color="auto"/>
            </w:tcBorders>
            <w:shd w:val="clear" w:color="000000" w:fill="BFBFBF"/>
            <w:vAlign w:val="center"/>
            <w:hideMark/>
          </w:tcPr>
          <w:p w14:paraId="10612382" w14:textId="77777777" w:rsidR="00B07FC0" w:rsidRPr="007C250E" w:rsidRDefault="00B07FC0" w:rsidP="00433C4E">
            <w:pPr>
              <w:jc w:val="right"/>
              <w:rPr>
                <w:b/>
                <w:bCs/>
                <w:noProof/>
                <w:sz w:val="16"/>
                <w:szCs w:val="16"/>
              </w:rPr>
            </w:pPr>
            <w:r>
              <w:rPr>
                <w:b/>
                <w:noProof/>
                <w:sz w:val="16"/>
              </w:rPr>
              <w:t>0,00 %</w:t>
            </w:r>
          </w:p>
        </w:tc>
        <w:tc>
          <w:tcPr>
            <w:tcW w:w="1134" w:type="dxa"/>
            <w:tcBorders>
              <w:top w:val="nil"/>
              <w:left w:val="nil"/>
              <w:bottom w:val="single" w:sz="8" w:space="0" w:color="auto"/>
              <w:right w:val="single" w:sz="8" w:space="0" w:color="auto"/>
            </w:tcBorders>
            <w:shd w:val="clear" w:color="000000" w:fill="BFBFBF"/>
            <w:vAlign w:val="center"/>
            <w:hideMark/>
          </w:tcPr>
          <w:p w14:paraId="799BF7E8" w14:textId="77777777" w:rsidR="00B07FC0" w:rsidRPr="007C250E" w:rsidRDefault="00B07FC0" w:rsidP="00433C4E">
            <w:pPr>
              <w:jc w:val="right"/>
              <w:rPr>
                <w:b/>
                <w:bCs/>
                <w:noProof/>
                <w:sz w:val="16"/>
                <w:szCs w:val="16"/>
              </w:rPr>
            </w:pPr>
            <w:r>
              <w:rPr>
                <w:b/>
                <w:noProof/>
                <w:sz w:val="16"/>
              </w:rPr>
              <w:t>0,00 %</w:t>
            </w:r>
          </w:p>
        </w:tc>
        <w:tc>
          <w:tcPr>
            <w:tcW w:w="1275" w:type="dxa"/>
            <w:tcBorders>
              <w:top w:val="nil"/>
              <w:left w:val="nil"/>
              <w:bottom w:val="single" w:sz="8" w:space="0" w:color="auto"/>
              <w:right w:val="single" w:sz="8" w:space="0" w:color="auto"/>
            </w:tcBorders>
            <w:shd w:val="clear" w:color="000000" w:fill="BFBFBF"/>
            <w:vAlign w:val="center"/>
            <w:hideMark/>
          </w:tcPr>
          <w:p w14:paraId="6F827CA2" w14:textId="77777777" w:rsidR="00B07FC0" w:rsidRPr="007C250E" w:rsidRDefault="00B07FC0" w:rsidP="00433C4E">
            <w:pPr>
              <w:jc w:val="right"/>
              <w:rPr>
                <w:b/>
                <w:bCs/>
                <w:noProof/>
                <w:sz w:val="16"/>
                <w:szCs w:val="16"/>
              </w:rPr>
            </w:pPr>
            <w:r>
              <w:rPr>
                <w:b/>
                <w:noProof/>
                <w:sz w:val="16"/>
              </w:rPr>
              <w:t>1,06 %</w:t>
            </w:r>
          </w:p>
        </w:tc>
        <w:tc>
          <w:tcPr>
            <w:tcW w:w="1276" w:type="dxa"/>
            <w:tcBorders>
              <w:top w:val="nil"/>
              <w:left w:val="nil"/>
              <w:bottom w:val="single" w:sz="8" w:space="0" w:color="auto"/>
              <w:right w:val="single" w:sz="8" w:space="0" w:color="auto"/>
            </w:tcBorders>
            <w:shd w:val="clear" w:color="000000" w:fill="BFBFBF"/>
            <w:vAlign w:val="center"/>
            <w:hideMark/>
          </w:tcPr>
          <w:p w14:paraId="7BF44EB4" w14:textId="77777777" w:rsidR="00B07FC0" w:rsidRPr="007C250E" w:rsidRDefault="00B07FC0" w:rsidP="00433C4E">
            <w:pPr>
              <w:jc w:val="right"/>
              <w:rPr>
                <w:b/>
                <w:bCs/>
                <w:noProof/>
                <w:sz w:val="16"/>
                <w:szCs w:val="16"/>
              </w:rPr>
            </w:pPr>
            <w:r>
              <w:rPr>
                <w:b/>
                <w:noProof/>
                <w:sz w:val="16"/>
              </w:rPr>
              <w:t>0,80 %</w:t>
            </w:r>
          </w:p>
        </w:tc>
      </w:tr>
      <w:tr w:rsidR="00B07FC0" w:rsidRPr="007C250E" w14:paraId="13FC7068" w14:textId="77777777" w:rsidTr="00433C4E">
        <w:trPr>
          <w:trHeight w:val="300"/>
        </w:trPr>
        <w:tc>
          <w:tcPr>
            <w:tcW w:w="416" w:type="dxa"/>
            <w:tcBorders>
              <w:top w:val="nil"/>
              <w:left w:val="single" w:sz="8" w:space="0" w:color="auto"/>
              <w:bottom w:val="single" w:sz="8" w:space="0" w:color="auto"/>
              <w:right w:val="nil"/>
            </w:tcBorders>
            <w:shd w:val="clear" w:color="000000" w:fill="D9D9D9"/>
            <w:vAlign w:val="center"/>
            <w:hideMark/>
          </w:tcPr>
          <w:p w14:paraId="4B7BFB27" w14:textId="77777777" w:rsidR="00B07FC0" w:rsidRPr="007C250E" w:rsidRDefault="00B07FC0" w:rsidP="00433C4E">
            <w:pPr>
              <w:jc w:val="both"/>
              <w:rPr>
                <w:noProof/>
                <w:sz w:val="16"/>
                <w:szCs w:val="16"/>
              </w:rPr>
            </w:pPr>
            <w:r>
              <w:rPr>
                <w:noProof/>
                <w:sz w:val="16"/>
              </w:rPr>
              <w:t xml:space="preserve"> </w:t>
            </w:r>
          </w:p>
        </w:tc>
        <w:tc>
          <w:tcPr>
            <w:tcW w:w="2551" w:type="dxa"/>
            <w:tcBorders>
              <w:top w:val="nil"/>
              <w:left w:val="nil"/>
              <w:bottom w:val="single" w:sz="8" w:space="0" w:color="auto"/>
              <w:right w:val="single" w:sz="8" w:space="0" w:color="auto"/>
            </w:tcBorders>
            <w:shd w:val="clear" w:color="000000" w:fill="D9D9D9"/>
            <w:vAlign w:val="center"/>
            <w:hideMark/>
          </w:tcPr>
          <w:p w14:paraId="6E5EE8DF" w14:textId="77777777" w:rsidR="00B07FC0" w:rsidRPr="007C250E" w:rsidRDefault="00B07FC0" w:rsidP="00433C4E">
            <w:pPr>
              <w:jc w:val="right"/>
              <w:rPr>
                <w:b/>
                <w:bCs/>
                <w:noProof/>
                <w:sz w:val="16"/>
                <w:szCs w:val="16"/>
              </w:rPr>
            </w:pPr>
            <w:r>
              <w:rPr>
                <w:b/>
                <w:noProof/>
                <w:sz w:val="16"/>
              </w:rPr>
              <w:t>Instrumentos especiais temáticos</w:t>
            </w:r>
          </w:p>
        </w:tc>
        <w:tc>
          <w:tcPr>
            <w:tcW w:w="1276" w:type="dxa"/>
            <w:tcBorders>
              <w:top w:val="nil"/>
              <w:left w:val="nil"/>
              <w:bottom w:val="single" w:sz="8" w:space="0" w:color="auto"/>
              <w:right w:val="single" w:sz="8" w:space="0" w:color="auto"/>
            </w:tcBorders>
            <w:shd w:val="clear" w:color="000000" w:fill="D9D9D9"/>
            <w:vAlign w:val="center"/>
            <w:hideMark/>
          </w:tcPr>
          <w:p w14:paraId="4A18ADD2" w14:textId="77777777" w:rsidR="00B07FC0" w:rsidRPr="007C250E" w:rsidRDefault="00B07FC0" w:rsidP="00433C4E">
            <w:pPr>
              <w:jc w:val="right"/>
              <w:rPr>
                <w:b/>
                <w:bCs/>
                <w:noProof/>
                <w:sz w:val="16"/>
                <w:szCs w:val="16"/>
              </w:rPr>
            </w:pPr>
            <w:r>
              <w:rPr>
                <w:b/>
                <w:noProof/>
                <w:sz w:val="16"/>
              </w:rPr>
              <w:t>1 560 861 211</w:t>
            </w:r>
          </w:p>
        </w:tc>
        <w:tc>
          <w:tcPr>
            <w:tcW w:w="1276" w:type="dxa"/>
            <w:tcBorders>
              <w:top w:val="nil"/>
              <w:left w:val="nil"/>
              <w:bottom w:val="single" w:sz="8" w:space="0" w:color="auto"/>
              <w:right w:val="single" w:sz="8" w:space="0" w:color="auto"/>
            </w:tcBorders>
            <w:shd w:val="clear" w:color="000000" w:fill="D9D9D9"/>
            <w:vAlign w:val="center"/>
            <w:hideMark/>
          </w:tcPr>
          <w:p w14:paraId="2FD1200A" w14:textId="77777777" w:rsidR="00B07FC0" w:rsidRPr="007C250E" w:rsidRDefault="00B07FC0" w:rsidP="00433C4E">
            <w:pPr>
              <w:jc w:val="right"/>
              <w:rPr>
                <w:b/>
                <w:bCs/>
                <w:noProof/>
                <w:sz w:val="16"/>
                <w:szCs w:val="16"/>
              </w:rPr>
            </w:pPr>
            <w:r>
              <w:rPr>
                <w:b/>
                <w:noProof/>
                <w:sz w:val="16"/>
              </w:rPr>
              <w:t>1 371 395 001</w:t>
            </w:r>
          </w:p>
        </w:tc>
        <w:tc>
          <w:tcPr>
            <w:tcW w:w="1134" w:type="dxa"/>
            <w:tcBorders>
              <w:top w:val="nil"/>
              <w:left w:val="nil"/>
              <w:bottom w:val="single" w:sz="8" w:space="0" w:color="auto"/>
              <w:right w:val="single" w:sz="8" w:space="0" w:color="auto"/>
            </w:tcBorders>
            <w:shd w:val="clear" w:color="000000" w:fill="D9D9D9"/>
            <w:vAlign w:val="center"/>
            <w:hideMark/>
          </w:tcPr>
          <w:p w14:paraId="04C6F5CE" w14:textId="77777777" w:rsidR="00B07FC0" w:rsidRPr="007C250E" w:rsidRDefault="00B07FC0" w:rsidP="00433C4E">
            <w:pPr>
              <w:jc w:val="right"/>
              <w:rPr>
                <w:b/>
                <w:bCs/>
                <w:noProof/>
                <w:sz w:val="16"/>
                <w:szCs w:val="16"/>
              </w:rPr>
            </w:pPr>
            <w:r>
              <w:rPr>
                <w:b/>
                <w:noProof/>
                <w:sz w:val="16"/>
              </w:rPr>
              <w:t xml:space="preserve"> </w:t>
            </w:r>
          </w:p>
        </w:tc>
        <w:tc>
          <w:tcPr>
            <w:tcW w:w="1134" w:type="dxa"/>
            <w:tcBorders>
              <w:top w:val="nil"/>
              <w:left w:val="nil"/>
              <w:bottom w:val="single" w:sz="8" w:space="0" w:color="auto"/>
              <w:right w:val="single" w:sz="8" w:space="0" w:color="auto"/>
            </w:tcBorders>
            <w:shd w:val="clear" w:color="000000" w:fill="D9D9D9"/>
            <w:vAlign w:val="center"/>
            <w:hideMark/>
          </w:tcPr>
          <w:p w14:paraId="5FD08EF7" w14:textId="77777777" w:rsidR="00B07FC0" w:rsidRPr="007C250E" w:rsidRDefault="00B07FC0" w:rsidP="00433C4E">
            <w:pPr>
              <w:jc w:val="right"/>
              <w:rPr>
                <w:b/>
                <w:bCs/>
                <w:noProof/>
                <w:sz w:val="16"/>
                <w:szCs w:val="16"/>
              </w:rPr>
            </w:pPr>
            <w:r>
              <w:rPr>
                <w:b/>
                <w:noProof/>
                <w:sz w:val="16"/>
              </w:rPr>
              <w:t xml:space="preserve"> </w:t>
            </w:r>
          </w:p>
        </w:tc>
        <w:tc>
          <w:tcPr>
            <w:tcW w:w="1275" w:type="dxa"/>
            <w:tcBorders>
              <w:top w:val="nil"/>
              <w:left w:val="nil"/>
              <w:bottom w:val="single" w:sz="8" w:space="0" w:color="auto"/>
              <w:right w:val="single" w:sz="8" w:space="0" w:color="auto"/>
            </w:tcBorders>
            <w:shd w:val="clear" w:color="000000" w:fill="D9D9D9"/>
            <w:vAlign w:val="center"/>
            <w:hideMark/>
          </w:tcPr>
          <w:p w14:paraId="5F097D3C" w14:textId="77777777" w:rsidR="00B07FC0" w:rsidRPr="007C250E" w:rsidRDefault="00B07FC0" w:rsidP="00433C4E">
            <w:pPr>
              <w:jc w:val="right"/>
              <w:rPr>
                <w:b/>
                <w:bCs/>
                <w:noProof/>
                <w:sz w:val="16"/>
                <w:szCs w:val="16"/>
              </w:rPr>
            </w:pPr>
            <w:r>
              <w:rPr>
                <w:b/>
                <w:noProof/>
                <w:sz w:val="16"/>
              </w:rPr>
              <w:t xml:space="preserve">1 560 861 211 </w:t>
            </w:r>
          </w:p>
        </w:tc>
        <w:tc>
          <w:tcPr>
            <w:tcW w:w="1276" w:type="dxa"/>
            <w:tcBorders>
              <w:top w:val="nil"/>
              <w:left w:val="nil"/>
              <w:bottom w:val="single" w:sz="8" w:space="0" w:color="auto"/>
              <w:right w:val="single" w:sz="8" w:space="0" w:color="auto"/>
            </w:tcBorders>
            <w:shd w:val="clear" w:color="000000" w:fill="D9D9D9"/>
            <w:vAlign w:val="center"/>
            <w:hideMark/>
          </w:tcPr>
          <w:p w14:paraId="0A164908" w14:textId="77777777" w:rsidR="00B07FC0" w:rsidRPr="007C250E" w:rsidRDefault="00B07FC0" w:rsidP="00433C4E">
            <w:pPr>
              <w:jc w:val="right"/>
              <w:rPr>
                <w:b/>
                <w:bCs/>
                <w:noProof/>
                <w:sz w:val="16"/>
                <w:szCs w:val="16"/>
              </w:rPr>
            </w:pPr>
            <w:r>
              <w:rPr>
                <w:b/>
                <w:noProof/>
                <w:sz w:val="16"/>
              </w:rPr>
              <w:t xml:space="preserve">1 371 395 001 </w:t>
            </w:r>
          </w:p>
        </w:tc>
      </w:tr>
      <w:tr w:rsidR="00B07FC0" w:rsidRPr="007C250E" w14:paraId="2B5D7788" w14:textId="77777777" w:rsidTr="00433C4E">
        <w:trPr>
          <w:trHeight w:val="300"/>
        </w:trPr>
        <w:tc>
          <w:tcPr>
            <w:tcW w:w="416" w:type="dxa"/>
            <w:tcBorders>
              <w:top w:val="nil"/>
              <w:left w:val="single" w:sz="8" w:space="0" w:color="auto"/>
              <w:bottom w:val="single" w:sz="8" w:space="0" w:color="auto"/>
              <w:right w:val="nil"/>
            </w:tcBorders>
            <w:shd w:val="clear" w:color="auto" w:fill="auto"/>
            <w:vAlign w:val="center"/>
            <w:hideMark/>
          </w:tcPr>
          <w:p w14:paraId="5670F79C" w14:textId="77777777" w:rsidR="00B07FC0" w:rsidRPr="007C250E" w:rsidRDefault="00B07FC0" w:rsidP="00433C4E">
            <w:pPr>
              <w:jc w:val="both"/>
              <w:rPr>
                <w:noProof/>
                <w:sz w:val="16"/>
                <w:szCs w:val="16"/>
              </w:rPr>
            </w:pPr>
            <w:r>
              <w:rPr>
                <w:noProof/>
                <w:sz w:val="16"/>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46D7ED7E" w14:textId="77777777" w:rsidR="00B07FC0" w:rsidRPr="00B07FC0" w:rsidRDefault="00B07FC0" w:rsidP="00433C4E">
            <w:pPr>
              <w:jc w:val="right"/>
              <w:rPr>
                <w:i/>
                <w:iCs/>
                <w:noProof/>
                <w:sz w:val="16"/>
                <w:szCs w:val="16"/>
                <w:lang w:val="pt-PT"/>
              </w:rPr>
            </w:pPr>
            <w:r w:rsidRPr="00B07FC0">
              <w:rPr>
                <w:i/>
                <w:noProof/>
                <w:sz w:val="16"/>
                <w:lang w:val="pt-PT"/>
              </w:rPr>
              <w:t>Reserva para a Solidariedade e as Ajudas de Emergência (RSAE)</w:t>
            </w:r>
          </w:p>
        </w:tc>
        <w:tc>
          <w:tcPr>
            <w:tcW w:w="1276" w:type="dxa"/>
            <w:tcBorders>
              <w:top w:val="nil"/>
              <w:left w:val="nil"/>
              <w:bottom w:val="single" w:sz="8" w:space="0" w:color="auto"/>
              <w:right w:val="single" w:sz="8" w:space="0" w:color="auto"/>
            </w:tcBorders>
            <w:shd w:val="clear" w:color="auto" w:fill="auto"/>
            <w:vAlign w:val="center"/>
            <w:hideMark/>
          </w:tcPr>
          <w:p w14:paraId="64BEE219" w14:textId="77777777" w:rsidR="00B07FC0" w:rsidRPr="007C250E" w:rsidRDefault="00B07FC0" w:rsidP="00433C4E">
            <w:pPr>
              <w:jc w:val="right"/>
              <w:rPr>
                <w:i/>
                <w:iCs/>
                <w:noProof/>
                <w:sz w:val="16"/>
                <w:szCs w:val="16"/>
              </w:rPr>
            </w:pPr>
            <w:r>
              <w:rPr>
                <w:i/>
                <w:noProof/>
                <w:sz w:val="16"/>
              </w:rPr>
              <w:t>1 351 395 001</w:t>
            </w:r>
          </w:p>
        </w:tc>
        <w:tc>
          <w:tcPr>
            <w:tcW w:w="1276" w:type="dxa"/>
            <w:tcBorders>
              <w:top w:val="nil"/>
              <w:left w:val="nil"/>
              <w:bottom w:val="single" w:sz="8" w:space="0" w:color="auto"/>
              <w:right w:val="single" w:sz="8" w:space="0" w:color="auto"/>
            </w:tcBorders>
            <w:shd w:val="clear" w:color="auto" w:fill="auto"/>
            <w:vAlign w:val="center"/>
            <w:hideMark/>
          </w:tcPr>
          <w:p w14:paraId="09F4C56F" w14:textId="77777777" w:rsidR="00B07FC0" w:rsidRPr="007C250E" w:rsidRDefault="00B07FC0" w:rsidP="00433C4E">
            <w:pPr>
              <w:jc w:val="right"/>
              <w:rPr>
                <w:i/>
                <w:iCs/>
                <w:noProof/>
                <w:sz w:val="16"/>
                <w:szCs w:val="16"/>
              </w:rPr>
            </w:pPr>
            <w:r>
              <w:rPr>
                <w:i/>
                <w:noProof/>
                <w:sz w:val="16"/>
              </w:rPr>
              <w:t>1 351 395 001</w:t>
            </w:r>
          </w:p>
        </w:tc>
        <w:tc>
          <w:tcPr>
            <w:tcW w:w="1134" w:type="dxa"/>
            <w:tcBorders>
              <w:top w:val="nil"/>
              <w:left w:val="nil"/>
              <w:bottom w:val="single" w:sz="8" w:space="0" w:color="auto"/>
              <w:right w:val="single" w:sz="8" w:space="0" w:color="auto"/>
            </w:tcBorders>
            <w:shd w:val="clear" w:color="auto" w:fill="auto"/>
            <w:vAlign w:val="center"/>
            <w:hideMark/>
          </w:tcPr>
          <w:p w14:paraId="0E46D977" w14:textId="77777777" w:rsidR="00B07FC0" w:rsidRPr="007C250E" w:rsidRDefault="00B07FC0" w:rsidP="00433C4E">
            <w:pPr>
              <w:jc w:val="right"/>
              <w:rPr>
                <w:i/>
                <w:iCs/>
                <w:noProof/>
                <w:sz w:val="16"/>
                <w:szCs w:val="16"/>
              </w:rPr>
            </w:pPr>
            <w:r>
              <w:rPr>
                <w:i/>
                <w:noProof/>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F116F2A" w14:textId="77777777" w:rsidR="00B07FC0" w:rsidRPr="007C250E" w:rsidRDefault="00B07FC0" w:rsidP="00433C4E">
            <w:pPr>
              <w:jc w:val="right"/>
              <w:rPr>
                <w:i/>
                <w:iCs/>
                <w:noProof/>
                <w:sz w:val="16"/>
                <w:szCs w:val="16"/>
              </w:rPr>
            </w:pPr>
            <w:r>
              <w:rPr>
                <w:i/>
                <w:noProof/>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6AE27C4A" w14:textId="77777777" w:rsidR="00B07FC0" w:rsidRPr="007C250E" w:rsidRDefault="00B07FC0" w:rsidP="00433C4E">
            <w:pPr>
              <w:jc w:val="right"/>
              <w:rPr>
                <w:i/>
                <w:iCs/>
                <w:noProof/>
                <w:sz w:val="16"/>
                <w:szCs w:val="16"/>
              </w:rPr>
            </w:pPr>
            <w:r>
              <w:rPr>
                <w:i/>
                <w:noProof/>
                <w:sz w:val="16"/>
              </w:rPr>
              <w:t xml:space="preserve">1 351 395 001 </w:t>
            </w:r>
          </w:p>
        </w:tc>
        <w:tc>
          <w:tcPr>
            <w:tcW w:w="1276" w:type="dxa"/>
            <w:tcBorders>
              <w:top w:val="nil"/>
              <w:left w:val="nil"/>
              <w:bottom w:val="single" w:sz="8" w:space="0" w:color="auto"/>
              <w:right w:val="single" w:sz="8" w:space="0" w:color="auto"/>
            </w:tcBorders>
            <w:shd w:val="clear" w:color="auto" w:fill="auto"/>
            <w:vAlign w:val="center"/>
            <w:hideMark/>
          </w:tcPr>
          <w:p w14:paraId="0DC72184" w14:textId="77777777" w:rsidR="00B07FC0" w:rsidRPr="007C250E" w:rsidRDefault="00B07FC0" w:rsidP="00433C4E">
            <w:pPr>
              <w:jc w:val="right"/>
              <w:rPr>
                <w:i/>
                <w:iCs/>
                <w:noProof/>
                <w:sz w:val="16"/>
                <w:szCs w:val="16"/>
              </w:rPr>
            </w:pPr>
            <w:r>
              <w:rPr>
                <w:i/>
                <w:noProof/>
                <w:sz w:val="16"/>
              </w:rPr>
              <w:t xml:space="preserve">1 351 395 001 </w:t>
            </w:r>
          </w:p>
        </w:tc>
      </w:tr>
      <w:tr w:rsidR="00B07FC0" w:rsidRPr="007C250E" w14:paraId="2FD0B40D" w14:textId="77777777" w:rsidTr="00433C4E">
        <w:trPr>
          <w:trHeight w:val="430"/>
        </w:trPr>
        <w:tc>
          <w:tcPr>
            <w:tcW w:w="416" w:type="dxa"/>
            <w:tcBorders>
              <w:top w:val="nil"/>
              <w:left w:val="single" w:sz="8" w:space="0" w:color="auto"/>
              <w:bottom w:val="single" w:sz="8" w:space="0" w:color="auto"/>
              <w:right w:val="nil"/>
            </w:tcBorders>
            <w:shd w:val="clear" w:color="auto" w:fill="auto"/>
            <w:vAlign w:val="center"/>
            <w:hideMark/>
          </w:tcPr>
          <w:p w14:paraId="3BBF672F" w14:textId="77777777" w:rsidR="00B07FC0" w:rsidRPr="007C250E" w:rsidRDefault="00B07FC0" w:rsidP="00433C4E">
            <w:pPr>
              <w:jc w:val="both"/>
              <w:rPr>
                <w:noProof/>
                <w:color w:val="000000"/>
                <w:sz w:val="16"/>
                <w:szCs w:val="16"/>
              </w:rPr>
            </w:pPr>
            <w:r>
              <w:rPr>
                <w:noProof/>
                <w:color w:val="000000"/>
                <w:sz w:val="16"/>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38E65A8E" w14:textId="77777777" w:rsidR="00B07FC0" w:rsidRPr="00B07FC0" w:rsidRDefault="00B07FC0" w:rsidP="00433C4E">
            <w:pPr>
              <w:jc w:val="right"/>
              <w:rPr>
                <w:i/>
                <w:iCs/>
                <w:noProof/>
                <w:color w:val="000000"/>
                <w:sz w:val="16"/>
                <w:szCs w:val="16"/>
                <w:lang w:val="pt-PT"/>
              </w:rPr>
            </w:pPr>
            <w:r w:rsidRPr="00B07FC0">
              <w:rPr>
                <w:i/>
                <w:noProof/>
                <w:color w:val="000000"/>
                <w:sz w:val="16"/>
                <w:lang w:val="pt-PT"/>
              </w:rPr>
              <w:t>Fundo Europeu de Ajustamento à Globalização (FEG)</w:t>
            </w:r>
          </w:p>
        </w:tc>
        <w:tc>
          <w:tcPr>
            <w:tcW w:w="1276" w:type="dxa"/>
            <w:tcBorders>
              <w:top w:val="nil"/>
              <w:left w:val="nil"/>
              <w:bottom w:val="single" w:sz="8" w:space="0" w:color="auto"/>
              <w:right w:val="single" w:sz="8" w:space="0" w:color="auto"/>
            </w:tcBorders>
            <w:shd w:val="clear" w:color="auto" w:fill="auto"/>
            <w:vAlign w:val="center"/>
            <w:hideMark/>
          </w:tcPr>
          <w:p w14:paraId="782CC350" w14:textId="77777777" w:rsidR="00B07FC0" w:rsidRPr="007C250E" w:rsidRDefault="00B07FC0" w:rsidP="00433C4E">
            <w:pPr>
              <w:jc w:val="right"/>
              <w:rPr>
                <w:i/>
                <w:iCs/>
                <w:noProof/>
                <w:color w:val="000000"/>
                <w:sz w:val="16"/>
                <w:szCs w:val="16"/>
              </w:rPr>
            </w:pPr>
            <w:r>
              <w:rPr>
                <w:i/>
                <w:noProof/>
                <w:color w:val="000000"/>
                <w:sz w:val="16"/>
              </w:rPr>
              <w:t>209 466 210</w:t>
            </w:r>
          </w:p>
        </w:tc>
        <w:tc>
          <w:tcPr>
            <w:tcW w:w="1276" w:type="dxa"/>
            <w:tcBorders>
              <w:top w:val="nil"/>
              <w:left w:val="nil"/>
              <w:bottom w:val="single" w:sz="8" w:space="0" w:color="auto"/>
              <w:right w:val="single" w:sz="8" w:space="0" w:color="auto"/>
            </w:tcBorders>
            <w:shd w:val="clear" w:color="auto" w:fill="auto"/>
            <w:vAlign w:val="center"/>
            <w:hideMark/>
          </w:tcPr>
          <w:p w14:paraId="684DCA13" w14:textId="77777777" w:rsidR="00B07FC0" w:rsidRPr="007C250E" w:rsidRDefault="00B07FC0" w:rsidP="00433C4E">
            <w:pPr>
              <w:jc w:val="right"/>
              <w:rPr>
                <w:i/>
                <w:iCs/>
                <w:noProof/>
                <w:color w:val="000000"/>
                <w:sz w:val="16"/>
                <w:szCs w:val="16"/>
              </w:rPr>
            </w:pPr>
            <w:r>
              <w:rPr>
                <w:i/>
                <w:noProof/>
                <w:color w:val="000000"/>
                <w:sz w:val="16"/>
              </w:rPr>
              <w:t>20 000 000</w:t>
            </w:r>
          </w:p>
        </w:tc>
        <w:tc>
          <w:tcPr>
            <w:tcW w:w="1134" w:type="dxa"/>
            <w:tcBorders>
              <w:top w:val="nil"/>
              <w:left w:val="nil"/>
              <w:bottom w:val="single" w:sz="8" w:space="0" w:color="auto"/>
              <w:right w:val="single" w:sz="8" w:space="0" w:color="auto"/>
            </w:tcBorders>
            <w:shd w:val="clear" w:color="auto" w:fill="auto"/>
            <w:vAlign w:val="center"/>
            <w:hideMark/>
          </w:tcPr>
          <w:p w14:paraId="0B4E180B" w14:textId="77777777" w:rsidR="00B07FC0" w:rsidRPr="007C250E" w:rsidRDefault="00B07FC0" w:rsidP="00433C4E">
            <w:pPr>
              <w:jc w:val="right"/>
              <w:rPr>
                <w:i/>
                <w:iCs/>
                <w:noProof/>
                <w:color w:val="000000"/>
                <w:sz w:val="16"/>
                <w:szCs w:val="16"/>
              </w:rPr>
            </w:pPr>
            <w:r>
              <w:rPr>
                <w:i/>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DFD0901" w14:textId="77777777" w:rsidR="00B07FC0" w:rsidRPr="007C250E" w:rsidRDefault="00B07FC0" w:rsidP="00433C4E">
            <w:pPr>
              <w:jc w:val="right"/>
              <w:rPr>
                <w:i/>
                <w:iCs/>
                <w:noProof/>
                <w:color w:val="000000"/>
                <w:sz w:val="16"/>
                <w:szCs w:val="16"/>
              </w:rPr>
            </w:pPr>
            <w:r>
              <w:rPr>
                <w:i/>
                <w:noProof/>
                <w:color w:val="000000"/>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7F4F4F3D" w14:textId="77777777" w:rsidR="00B07FC0" w:rsidRPr="007C250E" w:rsidRDefault="00B07FC0" w:rsidP="00433C4E">
            <w:pPr>
              <w:jc w:val="right"/>
              <w:rPr>
                <w:i/>
                <w:iCs/>
                <w:noProof/>
                <w:color w:val="000000"/>
                <w:sz w:val="16"/>
                <w:szCs w:val="16"/>
              </w:rPr>
            </w:pPr>
            <w:r>
              <w:rPr>
                <w:i/>
                <w:noProof/>
                <w:color w:val="000000"/>
                <w:sz w:val="16"/>
              </w:rPr>
              <w:t xml:space="preserve">209 466 210 </w:t>
            </w:r>
          </w:p>
        </w:tc>
        <w:tc>
          <w:tcPr>
            <w:tcW w:w="1276" w:type="dxa"/>
            <w:tcBorders>
              <w:top w:val="nil"/>
              <w:left w:val="nil"/>
              <w:bottom w:val="single" w:sz="8" w:space="0" w:color="auto"/>
              <w:right w:val="single" w:sz="8" w:space="0" w:color="auto"/>
            </w:tcBorders>
            <w:shd w:val="clear" w:color="auto" w:fill="auto"/>
            <w:vAlign w:val="center"/>
            <w:hideMark/>
          </w:tcPr>
          <w:p w14:paraId="209FDC3C" w14:textId="77777777" w:rsidR="00B07FC0" w:rsidRPr="007C250E" w:rsidRDefault="00B07FC0" w:rsidP="00433C4E">
            <w:pPr>
              <w:jc w:val="right"/>
              <w:rPr>
                <w:i/>
                <w:iCs/>
                <w:noProof/>
                <w:color w:val="000000"/>
                <w:sz w:val="16"/>
                <w:szCs w:val="16"/>
              </w:rPr>
            </w:pPr>
            <w:r>
              <w:rPr>
                <w:i/>
                <w:noProof/>
                <w:color w:val="000000"/>
                <w:sz w:val="16"/>
              </w:rPr>
              <w:t xml:space="preserve">20 000 000 </w:t>
            </w:r>
          </w:p>
        </w:tc>
      </w:tr>
      <w:tr w:rsidR="00B07FC0" w:rsidRPr="007C250E" w14:paraId="40F64EEC" w14:textId="77777777" w:rsidTr="00433C4E">
        <w:trPr>
          <w:trHeight w:val="300"/>
        </w:trPr>
        <w:tc>
          <w:tcPr>
            <w:tcW w:w="416" w:type="dxa"/>
            <w:tcBorders>
              <w:top w:val="nil"/>
              <w:left w:val="single" w:sz="8" w:space="0" w:color="auto"/>
              <w:bottom w:val="single" w:sz="8" w:space="0" w:color="auto"/>
              <w:right w:val="nil"/>
            </w:tcBorders>
            <w:shd w:val="clear" w:color="auto" w:fill="auto"/>
            <w:vAlign w:val="center"/>
            <w:hideMark/>
          </w:tcPr>
          <w:p w14:paraId="749830C9" w14:textId="77777777" w:rsidR="00B07FC0" w:rsidRPr="007C250E" w:rsidRDefault="00B07FC0" w:rsidP="00433C4E">
            <w:pPr>
              <w:jc w:val="both"/>
              <w:rPr>
                <w:noProof/>
                <w:color w:val="000000"/>
                <w:sz w:val="16"/>
                <w:szCs w:val="16"/>
              </w:rPr>
            </w:pPr>
            <w:r>
              <w:rPr>
                <w:noProof/>
                <w:color w:val="000000"/>
                <w:sz w:val="16"/>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0D94759A" w14:textId="77777777" w:rsidR="00B07FC0" w:rsidRPr="00B07FC0" w:rsidRDefault="00B07FC0" w:rsidP="00433C4E">
            <w:pPr>
              <w:jc w:val="right"/>
              <w:rPr>
                <w:i/>
                <w:iCs/>
                <w:noProof/>
                <w:color w:val="000000"/>
                <w:sz w:val="16"/>
                <w:szCs w:val="16"/>
                <w:lang w:val="pt-PT"/>
              </w:rPr>
            </w:pPr>
            <w:r w:rsidRPr="00B07FC0">
              <w:rPr>
                <w:i/>
                <w:noProof/>
                <w:color w:val="000000"/>
                <w:sz w:val="16"/>
                <w:lang w:val="pt-PT"/>
              </w:rPr>
              <w:t>Reserva de Ajustamento ao Brexit (RAB)</w:t>
            </w:r>
          </w:p>
        </w:tc>
        <w:tc>
          <w:tcPr>
            <w:tcW w:w="1276" w:type="dxa"/>
            <w:tcBorders>
              <w:top w:val="nil"/>
              <w:left w:val="nil"/>
              <w:bottom w:val="single" w:sz="8" w:space="0" w:color="auto"/>
              <w:right w:val="single" w:sz="8" w:space="0" w:color="auto"/>
            </w:tcBorders>
            <w:shd w:val="clear" w:color="auto" w:fill="auto"/>
            <w:vAlign w:val="center"/>
            <w:hideMark/>
          </w:tcPr>
          <w:p w14:paraId="13703BB0" w14:textId="77777777" w:rsidR="00B07FC0" w:rsidRPr="007C250E" w:rsidRDefault="00B07FC0" w:rsidP="00433C4E">
            <w:pPr>
              <w:jc w:val="right"/>
              <w:rPr>
                <w:i/>
                <w:iCs/>
                <w:noProof/>
                <w:color w:val="000000"/>
                <w:sz w:val="16"/>
                <w:szCs w:val="16"/>
              </w:rPr>
            </w:pPr>
            <w:r>
              <w:rPr>
                <w:i/>
                <w:noProof/>
                <w:color w:val="000000"/>
                <w:sz w:val="16"/>
              </w:rPr>
              <w:t>p.m.</w:t>
            </w:r>
          </w:p>
        </w:tc>
        <w:tc>
          <w:tcPr>
            <w:tcW w:w="1276" w:type="dxa"/>
            <w:tcBorders>
              <w:top w:val="nil"/>
              <w:left w:val="nil"/>
              <w:bottom w:val="single" w:sz="8" w:space="0" w:color="auto"/>
              <w:right w:val="single" w:sz="8" w:space="0" w:color="auto"/>
            </w:tcBorders>
            <w:shd w:val="clear" w:color="auto" w:fill="auto"/>
            <w:vAlign w:val="center"/>
            <w:hideMark/>
          </w:tcPr>
          <w:p w14:paraId="53AE7EE4" w14:textId="77777777" w:rsidR="00B07FC0" w:rsidRPr="007C250E" w:rsidRDefault="00B07FC0" w:rsidP="00433C4E">
            <w:pPr>
              <w:jc w:val="right"/>
              <w:rPr>
                <w:i/>
                <w:iCs/>
                <w:noProof/>
                <w:color w:val="000000"/>
                <w:sz w:val="16"/>
                <w:szCs w:val="16"/>
              </w:rPr>
            </w:pPr>
            <w:r>
              <w:rPr>
                <w:i/>
                <w:noProof/>
                <w:color w:val="000000"/>
                <w:sz w:val="16"/>
              </w:rPr>
              <w:t>p.m.</w:t>
            </w:r>
          </w:p>
        </w:tc>
        <w:tc>
          <w:tcPr>
            <w:tcW w:w="1134" w:type="dxa"/>
            <w:tcBorders>
              <w:top w:val="nil"/>
              <w:left w:val="nil"/>
              <w:bottom w:val="single" w:sz="8" w:space="0" w:color="auto"/>
              <w:right w:val="single" w:sz="8" w:space="0" w:color="auto"/>
            </w:tcBorders>
            <w:shd w:val="clear" w:color="auto" w:fill="auto"/>
            <w:vAlign w:val="center"/>
            <w:hideMark/>
          </w:tcPr>
          <w:p w14:paraId="6846D441" w14:textId="77777777" w:rsidR="00B07FC0" w:rsidRPr="007C250E" w:rsidRDefault="00B07FC0" w:rsidP="00433C4E">
            <w:pPr>
              <w:jc w:val="right"/>
              <w:rPr>
                <w:i/>
                <w:iCs/>
                <w:noProof/>
                <w:color w:val="000000"/>
                <w:sz w:val="16"/>
                <w:szCs w:val="16"/>
              </w:rPr>
            </w:pPr>
            <w:r>
              <w:rPr>
                <w:i/>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049C33E" w14:textId="77777777" w:rsidR="00B07FC0" w:rsidRPr="007C250E" w:rsidRDefault="00B07FC0" w:rsidP="00433C4E">
            <w:pPr>
              <w:jc w:val="right"/>
              <w:rPr>
                <w:i/>
                <w:iCs/>
                <w:noProof/>
                <w:color w:val="000000"/>
                <w:sz w:val="16"/>
                <w:szCs w:val="16"/>
              </w:rPr>
            </w:pPr>
            <w:r>
              <w:rPr>
                <w:i/>
                <w:noProof/>
                <w:color w:val="000000"/>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28D3DE24" w14:textId="77777777" w:rsidR="00B07FC0" w:rsidRPr="007C250E" w:rsidRDefault="00B07FC0" w:rsidP="00433C4E">
            <w:pPr>
              <w:jc w:val="right"/>
              <w:rPr>
                <w:i/>
                <w:iCs/>
                <w:noProof/>
                <w:color w:val="000000"/>
                <w:sz w:val="16"/>
                <w:szCs w:val="16"/>
              </w:rPr>
            </w:pPr>
            <w:r>
              <w:rPr>
                <w:i/>
                <w:noProof/>
                <w:color w:val="000000"/>
                <w:sz w:val="16"/>
              </w:rPr>
              <w:t>p.m.</w:t>
            </w:r>
          </w:p>
        </w:tc>
        <w:tc>
          <w:tcPr>
            <w:tcW w:w="1276" w:type="dxa"/>
            <w:tcBorders>
              <w:top w:val="nil"/>
              <w:left w:val="nil"/>
              <w:bottom w:val="single" w:sz="8" w:space="0" w:color="auto"/>
              <w:right w:val="single" w:sz="8" w:space="0" w:color="auto"/>
            </w:tcBorders>
            <w:shd w:val="clear" w:color="auto" w:fill="auto"/>
            <w:vAlign w:val="center"/>
            <w:hideMark/>
          </w:tcPr>
          <w:p w14:paraId="62FDE2E5" w14:textId="77777777" w:rsidR="00B07FC0" w:rsidRPr="007C250E" w:rsidRDefault="00B07FC0" w:rsidP="00433C4E">
            <w:pPr>
              <w:jc w:val="right"/>
              <w:rPr>
                <w:i/>
                <w:iCs/>
                <w:noProof/>
                <w:color w:val="000000"/>
                <w:sz w:val="16"/>
                <w:szCs w:val="16"/>
              </w:rPr>
            </w:pPr>
            <w:r>
              <w:rPr>
                <w:i/>
                <w:noProof/>
                <w:color w:val="000000"/>
                <w:sz w:val="16"/>
              </w:rPr>
              <w:t>p.m.</w:t>
            </w:r>
          </w:p>
        </w:tc>
      </w:tr>
      <w:tr w:rsidR="00B07FC0" w:rsidRPr="007C250E" w14:paraId="1E25BBF9" w14:textId="77777777" w:rsidTr="00433C4E">
        <w:trPr>
          <w:trHeight w:val="300"/>
        </w:trPr>
        <w:tc>
          <w:tcPr>
            <w:tcW w:w="2967" w:type="dxa"/>
            <w:gridSpan w:val="2"/>
            <w:tcBorders>
              <w:top w:val="single" w:sz="8" w:space="0" w:color="auto"/>
              <w:left w:val="single" w:sz="8" w:space="0" w:color="auto"/>
              <w:bottom w:val="single" w:sz="8" w:space="0" w:color="auto"/>
              <w:right w:val="single" w:sz="8" w:space="0" w:color="000000"/>
            </w:tcBorders>
            <w:shd w:val="clear" w:color="000000" w:fill="BFBFBF"/>
            <w:vAlign w:val="center"/>
            <w:hideMark/>
          </w:tcPr>
          <w:p w14:paraId="443E8482" w14:textId="77777777" w:rsidR="00B07FC0" w:rsidRPr="007C250E" w:rsidRDefault="00B07FC0" w:rsidP="00433C4E">
            <w:pPr>
              <w:jc w:val="right"/>
              <w:rPr>
                <w:b/>
                <w:bCs/>
                <w:noProof/>
                <w:sz w:val="16"/>
                <w:szCs w:val="16"/>
              </w:rPr>
            </w:pPr>
            <w:r>
              <w:rPr>
                <w:b/>
                <w:noProof/>
                <w:sz w:val="16"/>
              </w:rPr>
              <w:t xml:space="preserve">Dotações totais </w:t>
            </w:r>
          </w:p>
        </w:tc>
        <w:tc>
          <w:tcPr>
            <w:tcW w:w="1276" w:type="dxa"/>
            <w:tcBorders>
              <w:top w:val="nil"/>
              <w:left w:val="nil"/>
              <w:bottom w:val="single" w:sz="8" w:space="0" w:color="auto"/>
              <w:right w:val="single" w:sz="8" w:space="0" w:color="auto"/>
            </w:tcBorders>
            <w:shd w:val="clear" w:color="000000" w:fill="BFBFBF"/>
            <w:vAlign w:val="center"/>
            <w:hideMark/>
          </w:tcPr>
          <w:p w14:paraId="2D6E41B9" w14:textId="77777777" w:rsidR="00B07FC0" w:rsidRPr="007C250E" w:rsidRDefault="00B07FC0" w:rsidP="00433C4E">
            <w:pPr>
              <w:jc w:val="right"/>
              <w:rPr>
                <w:b/>
                <w:bCs/>
                <w:noProof/>
                <w:sz w:val="16"/>
                <w:szCs w:val="16"/>
              </w:rPr>
            </w:pPr>
            <w:r>
              <w:rPr>
                <w:b/>
                <w:noProof/>
                <w:sz w:val="16"/>
              </w:rPr>
              <w:t>189 340 977 539</w:t>
            </w:r>
          </w:p>
        </w:tc>
        <w:tc>
          <w:tcPr>
            <w:tcW w:w="1276" w:type="dxa"/>
            <w:tcBorders>
              <w:top w:val="nil"/>
              <w:left w:val="nil"/>
              <w:bottom w:val="single" w:sz="8" w:space="0" w:color="auto"/>
              <w:right w:val="single" w:sz="8" w:space="0" w:color="auto"/>
            </w:tcBorders>
            <w:shd w:val="clear" w:color="000000" w:fill="BFBFBF"/>
            <w:vAlign w:val="center"/>
            <w:hideMark/>
          </w:tcPr>
          <w:p w14:paraId="79DC2F85" w14:textId="77777777" w:rsidR="00B07FC0" w:rsidRPr="007C250E" w:rsidRDefault="00B07FC0" w:rsidP="00433C4E">
            <w:pPr>
              <w:jc w:val="right"/>
              <w:rPr>
                <w:b/>
                <w:bCs/>
                <w:noProof/>
                <w:sz w:val="16"/>
                <w:szCs w:val="16"/>
              </w:rPr>
            </w:pPr>
            <w:r>
              <w:rPr>
                <w:b/>
                <w:noProof/>
                <w:sz w:val="16"/>
              </w:rPr>
              <w:t>143 053 378 017</w:t>
            </w:r>
          </w:p>
        </w:tc>
        <w:tc>
          <w:tcPr>
            <w:tcW w:w="1134" w:type="dxa"/>
            <w:tcBorders>
              <w:top w:val="nil"/>
              <w:left w:val="nil"/>
              <w:bottom w:val="single" w:sz="8" w:space="0" w:color="auto"/>
              <w:right w:val="single" w:sz="8" w:space="0" w:color="auto"/>
            </w:tcBorders>
            <w:shd w:val="clear" w:color="000000" w:fill="BFBFBF"/>
            <w:vAlign w:val="center"/>
            <w:hideMark/>
          </w:tcPr>
          <w:p w14:paraId="0F17EEF1" w14:textId="77777777" w:rsidR="00B07FC0" w:rsidRPr="007C250E" w:rsidRDefault="00B07FC0" w:rsidP="00433C4E">
            <w:pPr>
              <w:jc w:val="right"/>
              <w:rPr>
                <w:b/>
                <w:bCs/>
                <w:noProof/>
                <w:sz w:val="16"/>
                <w:szCs w:val="16"/>
              </w:rPr>
            </w:pPr>
            <w:r>
              <w:rPr>
                <w:b/>
                <w:noProof/>
                <w:sz w:val="16"/>
              </w:rPr>
              <w:t xml:space="preserve">-67 411 900 </w:t>
            </w:r>
          </w:p>
        </w:tc>
        <w:tc>
          <w:tcPr>
            <w:tcW w:w="1134" w:type="dxa"/>
            <w:tcBorders>
              <w:top w:val="nil"/>
              <w:left w:val="nil"/>
              <w:bottom w:val="single" w:sz="8" w:space="0" w:color="auto"/>
              <w:right w:val="single" w:sz="8" w:space="0" w:color="auto"/>
            </w:tcBorders>
            <w:shd w:val="clear" w:color="000000" w:fill="BFBFBF"/>
            <w:vAlign w:val="center"/>
            <w:hideMark/>
          </w:tcPr>
          <w:p w14:paraId="24363D23" w14:textId="77777777" w:rsidR="00B07FC0" w:rsidRPr="007C250E" w:rsidRDefault="00B07FC0" w:rsidP="00433C4E">
            <w:pPr>
              <w:jc w:val="right"/>
              <w:rPr>
                <w:b/>
                <w:bCs/>
                <w:noProof/>
                <w:sz w:val="16"/>
                <w:szCs w:val="16"/>
              </w:rPr>
            </w:pPr>
            <w:r>
              <w:rPr>
                <w:b/>
                <w:noProof/>
                <w:sz w:val="16"/>
              </w:rPr>
              <w:t xml:space="preserve">-67 411 900 </w:t>
            </w:r>
          </w:p>
        </w:tc>
        <w:tc>
          <w:tcPr>
            <w:tcW w:w="1275" w:type="dxa"/>
            <w:tcBorders>
              <w:top w:val="nil"/>
              <w:left w:val="nil"/>
              <w:bottom w:val="single" w:sz="8" w:space="0" w:color="auto"/>
              <w:right w:val="single" w:sz="8" w:space="0" w:color="auto"/>
            </w:tcBorders>
            <w:shd w:val="clear" w:color="000000" w:fill="BFBFBF"/>
            <w:vAlign w:val="center"/>
            <w:hideMark/>
          </w:tcPr>
          <w:p w14:paraId="4FD43A49" w14:textId="77777777" w:rsidR="00B07FC0" w:rsidRPr="007C250E" w:rsidRDefault="00B07FC0" w:rsidP="00433C4E">
            <w:pPr>
              <w:jc w:val="right"/>
              <w:rPr>
                <w:b/>
                <w:bCs/>
                <w:noProof/>
                <w:sz w:val="16"/>
                <w:szCs w:val="16"/>
              </w:rPr>
            </w:pPr>
            <w:r>
              <w:rPr>
                <w:b/>
                <w:noProof/>
                <w:sz w:val="16"/>
              </w:rPr>
              <w:t xml:space="preserve">189 273 565 639 </w:t>
            </w:r>
          </w:p>
        </w:tc>
        <w:tc>
          <w:tcPr>
            <w:tcW w:w="1276" w:type="dxa"/>
            <w:tcBorders>
              <w:top w:val="nil"/>
              <w:left w:val="nil"/>
              <w:bottom w:val="single" w:sz="8" w:space="0" w:color="auto"/>
              <w:right w:val="single" w:sz="8" w:space="0" w:color="auto"/>
            </w:tcBorders>
            <w:shd w:val="clear" w:color="000000" w:fill="BFBFBF"/>
            <w:vAlign w:val="center"/>
            <w:hideMark/>
          </w:tcPr>
          <w:p w14:paraId="1BCCE2CE" w14:textId="77777777" w:rsidR="00B07FC0" w:rsidRPr="007C250E" w:rsidRDefault="00B07FC0" w:rsidP="00433C4E">
            <w:pPr>
              <w:jc w:val="right"/>
              <w:rPr>
                <w:b/>
                <w:bCs/>
                <w:noProof/>
                <w:sz w:val="16"/>
                <w:szCs w:val="16"/>
              </w:rPr>
            </w:pPr>
            <w:r>
              <w:rPr>
                <w:b/>
                <w:noProof/>
                <w:sz w:val="16"/>
              </w:rPr>
              <w:t xml:space="preserve">142 985 966 117 </w:t>
            </w:r>
          </w:p>
        </w:tc>
      </w:tr>
    </w:tbl>
    <w:p w14:paraId="28A90FB5" w14:textId="77777777" w:rsidR="00B07FC0" w:rsidRDefault="00B07FC0" w:rsidP="00B07FC0">
      <w:pPr>
        <w:pStyle w:val="Text1"/>
        <w:ind w:left="0"/>
        <w:rPr>
          <w:noProof/>
        </w:rPr>
      </w:pPr>
    </w:p>
    <w:p w14:paraId="78CC5AD5" w14:textId="77777777" w:rsidR="00B07FC0" w:rsidRPr="00051699" w:rsidRDefault="00B07FC0" w:rsidP="00B07FC0">
      <w:pPr>
        <w:pStyle w:val="Text1"/>
        <w:ind w:left="0"/>
        <w:rPr>
          <w:noProof/>
        </w:rPr>
      </w:pPr>
    </w:p>
    <w:p w14:paraId="09F6DAB8" w14:textId="6432CD50" w:rsidR="00051699" w:rsidRPr="00051699" w:rsidRDefault="00051699" w:rsidP="00B07FC0">
      <w:pPr>
        <w:rPr>
          <w:noProof/>
        </w:rPr>
      </w:pPr>
    </w:p>
    <w:sectPr w:rsidR="00051699" w:rsidRPr="00051699" w:rsidSect="00263D8F">
      <w:headerReference w:type="even" r:id="rId25"/>
      <w:headerReference w:type="default" r:id="rId26"/>
      <w:footerReference w:type="even" r:id="rId27"/>
      <w:footerReference w:type="default" r:id="rId28"/>
      <w:headerReference w:type="first" r:id="rId29"/>
      <w:footerReference w:type="first" r:id="rId30"/>
      <w:pgSz w:w="11907" w:h="16839"/>
      <w:pgMar w:top="720" w:right="1021" w:bottom="600" w:left="1021" w:header="280" w:footer="2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0C40C2" w14:textId="77777777" w:rsidR="00D724E0" w:rsidRDefault="00D724E0">
      <w:r>
        <w:separator/>
      </w:r>
    </w:p>
  </w:endnote>
  <w:endnote w:type="continuationSeparator" w:id="0">
    <w:p w14:paraId="557E970C" w14:textId="77777777" w:rsidR="00D724E0" w:rsidRDefault="00D724E0">
      <w:r>
        <w:continuationSeparator/>
      </w:r>
    </w:p>
  </w:endnote>
  <w:endnote w:type="continuationNotice" w:id="1">
    <w:p w14:paraId="5D9F1408" w14:textId="77777777" w:rsidR="00D724E0" w:rsidRDefault="00D724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KOJOD P+ Adv T T 5843c 571">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A0E4F" w14:textId="1E17A594" w:rsidR="00B07FC0" w:rsidRPr="009D18A0" w:rsidRDefault="00B07FC0" w:rsidP="009D18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F5A5A" w14:textId="77E183D1" w:rsidR="00B07FC0" w:rsidRPr="009D18A0" w:rsidRDefault="009D18A0" w:rsidP="009D18A0">
    <w:pPr>
      <w:pStyle w:val="FooterCoverPage"/>
      <w:rPr>
        <w:rFonts w:ascii="Arial" w:hAnsi="Arial" w:cs="Arial"/>
        <w:b/>
        <w:sz w:val="48"/>
      </w:rPr>
    </w:pPr>
    <w:r w:rsidRPr="009D18A0">
      <w:rPr>
        <w:rFonts w:ascii="Arial" w:hAnsi="Arial" w:cs="Arial"/>
        <w:b/>
        <w:sz w:val="48"/>
      </w:rPr>
      <w:t>PT</w:t>
    </w:r>
    <w:r w:rsidRPr="009D18A0">
      <w:rPr>
        <w:rFonts w:ascii="Arial" w:hAnsi="Arial" w:cs="Arial"/>
        <w:b/>
        <w:sz w:val="48"/>
      </w:rPr>
      <w:tab/>
    </w:r>
    <w:r w:rsidRPr="009D18A0">
      <w:rPr>
        <w:rFonts w:ascii="Arial" w:hAnsi="Arial" w:cs="Arial"/>
        <w:b/>
        <w:sz w:val="48"/>
      </w:rPr>
      <w:tab/>
    </w:r>
    <w:r w:rsidRPr="009D18A0">
      <w:tab/>
    </w:r>
    <w:r w:rsidRPr="009D18A0">
      <w:rPr>
        <w:rFonts w:ascii="Arial" w:hAnsi="Arial" w:cs="Arial"/>
        <w:b/>
        <w:sz w:val="48"/>
      </w:rPr>
      <w:t>PT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DBFBF" w14:textId="77777777" w:rsidR="009D18A0" w:rsidRPr="009D18A0" w:rsidRDefault="009D18A0" w:rsidP="009D18A0">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8E493" w14:textId="77777777" w:rsidR="00B07FC0" w:rsidRPr="00E40411" w:rsidRDefault="00B07FC0" w:rsidP="00E40411">
    <w:pPr>
      <w:pStyle w:val="FooterCoverPage"/>
      <w:rPr>
        <w:rFonts w:ascii="Arial" w:hAnsi="Arial" w:cs="Arial"/>
        <w:b/>
        <w:sz w:val="48"/>
      </w:rPr>
    </w:pPr>
    <w:r w:rsidRPr="00E40411">
      <w:rPr>
        <w:rFonts w:ascii="Arial" w:hAnsi="Arial" w:cs="Arial"/>
        <w:b/>
        <w:sz w:val="48"/>
      </w:rPr>
      <w:t>EN</w:t>
    </w:r>
    <w:r w:rsidRPr="00E40411">
      <w:rPr>
        <w:rFonts w:ascii="Arial" w:hAnsi="Arial" w:cs="Arial"/>
        <w:b/>
        <w:sz w:val="48"/>
      </w:rPr>
      <w:tab/>
    </w:r>
    <w:r w:rsidRPr="00E40411">
      <w:rPr>
        <w:rFonts w:ascii="Arial" w:hAnsi="Arial" w:cs="Arial"/>
        <w:b/>
        <w:sz w:val="48"/>
      </w:rPr>
      <w:tab/>
    </w:r>
    <w:r w:rsidRPr="00E40411">
      <w:tab/>
    </w:r>
    <w:r w:rsidRPr="00E40411">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8A376" w14:textId="4D06BCC4" w:rsidR="00B07FC0" w:rsidRPr="00263D8F" w:rsidRDefault="00B07FC0" w:rsidP="00263D8F">
    <w:pPr>
      <w:pStyle w:val="Footer"/>
      <w:rPr>
        <w:rFonts w:ascii="Arial" w:hAnsi="Arial" w:cs="Arial"/>
        <w:b/>
        <w:sz w:val="48"/>
      </w:rPr>
    </w:pPr>
    <w:r w:rsidRPr="00263D8F">
      <w:rPr>
        <w:rFonts w:ascii="Arial" w:hAnsi="Arial" w:cs="Arial"/>
        <w:b/>
        <w:sz w:val="48"/>
      </w:rPr>
      <w:t>EN</w:t>
    </w:r>
    <w:r w:rsidRPr="00263D8F">
      <w:rPr>
        <w:rFonts w:ascii="Arial" w:hAnsi="Arial" w:cs="Arial"/>
        <w:b/>
        <w:sz w:val="48"/>
      </w:rPr>
      <w:tab/>
    </w:r>
    <w:r>
      <w:fldChar w:fldCharType="begin"/>
    </w:r>
    <w:r>
      <w:instrText xml:space="preserve"> PAGE  \* MERGEFORMAT </w:instrText>
    </w:r>
    <w:r>
      <w:fldChar w:fldCharType="separate"/>
    </w:r>
    <w:r w:rsidR="009D18A0">
      <w:rPr>
        <w:noProof/>
      </w:rPr>
      <w:t>1</w:t>
    </w:r>
    <w:r>
      <w:fldChar w:fldCharType="end"/>
    </w:r>
    <w:r>
      <w:tab/>
    </w:r>
    <w:r w:rsidRPr="00263D8F">
      <w:tab/>
    </w:r>
    <w:r w:rsidRPr="00263D8F">
      <w:rPr>
        <w:rFonts w:ascii="Arial" w:hAnsi="Arial" w:cs="Arial"/>
        <w:b/>
        <w:sz w:val="48"/>
      </w:rPr>
      <w:t>EN</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A3555" w14:textId="77777777" w:rsidR="00B07FC0" w:rsidRPr="00263D8F" w:rsidRDefault="00B07FC0" w:rsidP="00263D8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4036A" w14:textId="77777777" w:rsidR="00B07FC0" w:rsidRPr="00E40411" w:rsidRDefault="00B07FC0" w:rsidP="00E40411">
    <w:pPr>
      <w:pStyle w:val="FooterCoverPage"/>
      <w:rPr>
        <w:rFonts w:ascii="Arial" w:hAnsi="Arial" w:cs="Arial"/>
        <w:b/>
        <w:sz w:val="48"/>
      </w:rPr>
    </w:pPr>
    <w:r w:rsidRPr="00E40411">
      <w:rPr>
        <w:rFonts w:ascii="Arial" w:hAnsi="Arial" w:cs="Arial"/>
        <w:b/>
        <w:sz w:val="48"/>
      </w:rPr>
      <w:t>EN</w:t>
    </w:r>
    <w:r w:rsidRPr="00E40411">
      <w:rPr>
        <w:rFonts w:ascii="Arial" w:hAnsi="Arial" w:cs="Arial"/>
        <w:b/>
        <w:sz w:val="48"/>
      </w:rPr>
      <w:tab/>
    </w:r>
    <w:r w:rsidRPr="00E40411">
      <w:rPr>
        <w:rFonts w:ascii="Arial" w:hAnsi="Arial" w:cs="Arial"/>
        <w:b/>
        <w:sz w:val="48"/>
      </w:rPr>
      <w:tab/>
    </w:r>
    <w:r w:rsidRPr="00E40411">
      <w:tab/>
    </w:r>
    <w:r w:rsidRPr="00E40411">
      <w:rPr>
        <w:rFonts w:ascii="Arial" w:hAnsi="Arial" w:cs="Arial"/>
        <w:b/>
        <w:sz w:val="48"/>
      </w:rPr>
      <w:t>EN</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DEC8F" w14:textId="29C06A44" w:rsidR="00B07FC0" w:rsidRPr="00263D8F" w:rsidRDefault="00B07FC0" w:rsidP="00263D8F">
    <w:pPr>
      <w:pStyle w:val="Footer"/>
      <w:rPr>
        <w:rFonts w:ascii="Arial" w:hAnsi="Arial" w:cs="Arial"/>
        <w:b/>
        <w:sz w:val="48"/>
      </w:rPr>
    </w:pPr>
    <w:r w:rsidRPr="00263D8F">
      <w:rPr>
        <w:rFonts w:ascii="Arial" w:hAnsi="Arial" w:cs="Arial"/>
        <w:b/>
        <w:sz w:val="48"/>
      </w:rPr>
      <w:t>EN</w:t>
    </w:r>
    <w:r w:rsidRPr="00263D8F">
      <w:rPr>
        <w:rFonts w:ascii="Arial" w:hAnsi="Arial" w:cs="Arial"/>
        <w:b/>
        <w:sz w:val="48"/>
      </w:rPr>
      <w:tab/>
    </w:r>
    <w:r>
      <w:fldChar w:fldCharType="begin"/>
    </w:r>
    <w:r>
      <w:instrText xml:space="preserve"> PAGE  \* MERGEFORMAT </w:instrText>
    </w:r>
    <w:r>
      <w:fldChar w:fldCharType="separate"/>
    </w:r>
    <w:r w:rsidR="009D18A0">
      <w:rPr>
        <w:noProof/>
      </w:rPr>
      <w:t>13</w:t>
    </w:r>
    <w:r>
      <w:fldChar w:fldCharType="end"/>
    </w:r>
    <w:r>
      <w:tab/>
    </w:r>
    <w:r w:rsidRPr="00263D8F">
      <w:tab/>
    </w:r>
    <w:r w:rsidRPr="00263D8F">
      <w:rPr>
        <w:rFonts w:ascii="Arial" w:hAnsi="Arial" w:cs="Arial"/>
        <w:b/>
        <w:sz w:val="48"/>
      </w:rPr>
      <w:t>EN</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5AFEF" w14:textId="77777777" w:rsidR="00B07FC0" w:rsidRPr="00263D8F" w:rsidRDefault="00B07FC0" w:rsidP="00263D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DACDB6" w14:textId="77777777" w:rsidR="00D724E0" w:rsidRDefault="00D724E0">
      <w:r>
        <w:separator/>
      </w:r>
    </w:p>
  </w:footnote>
  <w:footnote w:type="continuationSeparator" w:id="0">
    <w:p w14:paraId="1D3D15BE" w14:textId="77777777" w:rsidR="00D724E0" w:rsidRDefault="00D724E0">
      <w:r>
        <w:continuationSeparator/>
      </w:r>
    </w:p>
  </w:footnote>
  <w:footnote w:type="continuationNotice" w:id="1">
    <w:p w14:paraId="4FF0A3B4" w14:textId="77777777" w:rsidR="00D724E0" w:rsidRDefault="00D724E0"/>
  </w:footnote>
  <w:footnote w:id="2">
    <w:p w14:paraId="52C5938A" w14:textId="77777777" w:rsidR="00B07FC0" w:rsidRPr="00B07FC0" w:rsidRDefault="00B07FC0" w:rsidP="00B07FC0">
      <w:pPr>
        <w:pStyle w:val="FootnoteText"/>
        <w:rPr>
          <w:lang w:val="pt-PT"/>
        </w:rPr>
      </w:pPr>
      <w:r>
        <w:rPr>
          <w:rStyle w:val="FootnoteReference"/>
        </w:rPr>
        <w:footnoteRef/>
      </w:r>
      <w:r w:rsidRPr="00B07FC0">
        <w:rPr>
          <w:lang w:val="pt-PT"/>
        </w:rPr>
        <w:t xml:space="preserve"> Decisão (UE, Euratom) 2020/2053 do Conselho, de 14 de dezembro de 2020, relativa ao sistema de recursos próprios da União Europeia e que revoga a Decisão 2014/335/UE, Euratom (JO L 424 de 15.12.2020).</w:t>
      </w:r>
    </w:p>
  </w:footnote>
  <w:footnote w:id="3">
    <w:p w14:paraId="00BA0036" w14:textId="77777777" w:rsidR="00B07FC0" w:rsidRPr="00B07FC0" w:rsidRDefault="00B07FC0" w:rsidP="00B07FC0">
      <w:pPr>
        <w:pStyle w:val="FootnoteText"/>
        <w:rPr>
          <w:lang w:val="pt-PT"/>
        </w:rPr>
      </w:pPr>
      <w:r>
        <w:rPr>
          <w:rStyle w:val="FootnoteReference"/>
        </w:rPr>
        <w:footnoteRef/>
      </w:r>
      <w:r w:rsidRPr="00B07FC0">
        <w:rPr>
          <w:lang w:val="pt-PT"/>
        </w:rPr>
        <w:t xml:space="preserve"> JO L 193 de 30.7.2018, p. 1.</w:t>
      </w:r>
    </w:p>
  </w:footnote>
  <w:footnote w:id="4">
    <w:p w14:paraId="7AA6BA61" w14:textId="77777777" w:rsidR="00B07FC0" w:rsidRPr="00B07FC0" w:rsidRDefault="00B07FC0" w:rsidP="00B07FC0">
      <w:pPr>
        <w:pStyle w:val="FootnoteText"/>
        <w:rPr>
          <w:lang w:val="pt-PT"/>
        </w:rPr>
      </w:pPr>
      <w:r>
        <w:rPr>
          <w:rStyle w:val="FootnoteReference"/>
        </w:rPr>
        <w:footnoteRef/>
      </w:r>
      <w:r w:rsidRPr="00B07FC0">
        <w:rPr>
          <w:lang w:val="pt-PT"/>
        </w:rPr>
        <w:t xml:space="preserve"> COM(2023) 300 final de 5.7.2023.</w:t>
      </w:r>
    </w:p>
  </w:footnote>
  <w:footnote w:id="5">
    <w:p w14:paraId="6949263B" w14:textId="77777777" w:rsidR="00B07FC0" w:rsidRPr="00B07FC0" w:rsidRDefault="00B07FC0" w:rsidP="00B07FC0">
      <w:pPr>
        <w:pStyle w:val="FootnoteText"/>
        <w:rPr>
          <w:lang w:val="pt-PT"/>
        </w:rPr>
      </w:pPr>
      <w:r>
        <w:rPr>
          <w:rStyle w:val="FootnoteReference"/>
        </w:rPr>
        <w:footnoteRef/>
      </w:r>
      <w:r w:rsidRPr="00B07FC0">
        <w:rPr>
          <w:lang w:val="pt-PT"/>
        </w:rPr>
        <w:t xml:space="preserve"> Regulamento (UE) 2021/1060 do Parlamento Europeu e do Conselho, de 24 de junho de 2021, que estabelece disposições comuns relativas ao Fundo Europeu de Desenvolvimento Regional, ao Fundo Social Europeu Mais, ao Fundo de Coesão, ao Fundo para uma Transição Justa e ao Fundo Europeu dos Assuntos Marítimos, das Pescas e da Aquicultura e regras financeiras aplicáveis a esses fundos e ao Fundo para o Asilo, a Migração e a Integração, ao Fundo para a Segurança Interna e ao Instrumento de Apoio Financeiro à Gestão das Fronteiras e à Política de Vistos (JO L 231 de 30.6.2021, p. 159).</w:t>
      </w:r>
    </w:p>
  </w:footnote>
  <w:footnote w:id="6">
    <w:p w14:paraId="364C88B7" w14:textId="77777777" w:rsidR="00B07FC0" w:rsidRPr="00B07FC0" w:rsidRDefault="00B07FC0" w:rsidP="00B07FC0">
      <w:pPr>
        <w:pStyle w:val="FootnoteText"/>
        <w:rPr>
          <w:lang w:val="pt-PT"/>
        </w:rPr>
      </w:pPr>
      <w:r>
        <w:rPr>
          <w:rStyle w:val="FootnoteReference"/>
        </w:rPr>
        <w:footnoteRef/>
      </w:r>
      <w:r w:rsidRPr="00B07FC0">
        <w:rPr>
          <w:lang w:val="pt-PT"/>
        </w:rPr>
        <w:t xml:space="preserve"> O montante das necessidades corresponde a novas dotações de 40 602,1 milhões de EUR, acrescidas de 848,5 milhões de EUR de receitas afetadas.</w:t>
      </w:r>
    </w:p>
  </w:footnote>
  <w:footnote w:id="7">
    <w:p w14:paraId="3125A1CF" w14:textId="77777777" w:rsidR="00B07FC0" w:rsidRPr="00B07FC0" w:rsidRDefault="00B07FC0" w:rsidP="00B07FC0">
      <w:pPr>
        <w:pStyle w:val="FootnoteText"/>
        <w:rPr>
          <w:lang w:val="pt-PT"/>
        </w:rPr>
      </w:pPr>
      <w:r>
        <w:rPr>
          <w:rStyle w:val="FootnoteReference"/>
        </w:rPr>
        <w:footnoteRef/>
      </w:r>
      <w:r w:rsidRPr="00B07FC0">
        <w:rPr>
          <w:lang w:val="pt-PT"/>
        </w:rPr>
        <w:t xml:space="preserve"> Regulamento (UE) 2021/2116 do Parlamento Europeu e do Conselho, de 2 de dezembro de 2021, relativo ao financiamento, à gestão e ao acompanhamento da política agrícola comum e que revoga o Regulamento (UE) n.º 1306/2013 (JO L 435 de 6.12.2021, p. 187).</w:t>
      </w:r>
    </w:p>
  </w:footnote>
  <w:footnote w:id="8">
    <w:p w14:paraId="0BBD4710" w14:textId="77777777" w:rsidR="00B07FC0" w:rsidRPr="00B07FC0" w:rsidRDefault="00B07FC0" w:rsidP="00B07FC0">
      <w:pPr>
        <w:pStyle w:val="FootnoteText"/>
        <w:rPr>
          <w:lang w:val="pt-PT"/>
        </w:rPr>
      </w:pPr>
      <w:r>
        <w:rPr>
          <w:rStyle w:val="FootnoteReference"/>
        </w:rPr>
        <w:footnoteRef/>
      </w:r>
      <w:r w:rsidRPr="00B07FC0">
        <w:rPr>
          <w:lang w:val="pt-PT"/>
        </w:rPr>
        <w:t xml:space="preserve"> Acordo Interinstitucional entre o Parlamento Europeu, o Conselho da União Europeia e a Comissão Europeia sobre a disciplina orçamental, a cooperação em matéria orçamental e a boa gestão financeira, bem como sobre os novos recursos próprios, incluindo um roteiro para a introdução de novos recursos próprios (JO L 433 de 20.12.2020, p. 28).</w:t>
      </w:r>
    </w:p>
  </w:footnote>
  <w:footnote w:id="9">
    <w:p w14:paraId="775BE183" w14:textId="77777777" w:rsidR="00B07FC0" w:rsidRPr="00B07FC0" w:rsidRDefault="00B07FC0" w:rsidP="00B07FC0">
      <w:pPr>
        <w:pStyle w:val="FootnoteText"/>
        <w:rPr>
          <w:lang w:val="pt-PT"/>
        </w:rPr>
      </w:pPr>
      <w:r>
        <w:rPr>
          <w:rStyle w:val="FootnoteReference"/>
        </w:rPr>
        <w:footnoteRef/>
      </w:r>
      <w:r w:rsidRPr="00B07FC0">
        <w:rPr>
          <w:lang w:val="pt-PT"/>
        </w:rPr>
        <w:t xml:space="preserve"> COM(2023) 530.</w:t>
      </w:r>
    </w:p>
  </w:footnote>
  <w:footnote w:id="10">
    <w:p w14:paraId="1AE76158" w14:textId="77777777" w:rsidR="00B07FC0" w:rsidRPr="00B07FC0" w:rsidRDefault="00B07FC0" w:rsidP="00B07FC0">
      <w:pPr>
        <w:pStyle w:val="FootnoteText"/>
        <w:rPr>
          <w:lang w:val="pt-PT"/>
        </w:rPr>
      </w:pPr>
      <w:r>
        <w:rPr>
          <w:rStyle w:val="FootnoteReference"/>
        </w:rPr>
        <w:footnoteRef/>
      </w:r>
      <w:r w:rsidRPr="00B07FC0">
        <w:rPr>
          <w:lang w:val="pt-PT"/>
        </w:rPr>
        <w:t xml:space="preserve"> COM(2022) 658.</w:t>
      </w:r>
    </w:p>
  </w:footnote>
  <w:footnote w:id="11">
    <w:p w14:paraId="398E1F19" w14:textId="77777777" w:rsidR="00B07FC0" w:rsidRPr="00B07FC0" w:rsidRDefault="00B07FC0" w:rsidP="00B07FC0">
      <w:pPr>
        <w:pStyle w:val="FootnoteText"/>
        <w:rPr>
          <w:lang w:val="pt-PT"/>
        </w:rPr>
      </w:pPr>
      <w:r>
        <w:rPr>
          <w:rStyle w:val="FootnoteReference"/>
        </w:rPr>
        <w:footnoteRef/>
      </w:r>
      <w:r w:rsidRPr="00B07FC0">
        <w:rPr>
          <w:lang w:val="pt-PT"/>
        </w:rPr>
        <w:t xml:space="preserve"> COM(2021) 561.</w:t>
      </w:r>
    </w:p>
  </w:footnote>
  <w:footnote w:id="12">
    <w:p w14:paraId="1C4BC96B" w14:textId="77777777" w:rsidR="00B07FC0" w:rsidRPr="00B07FC0" w:rsidRDefault="00B07FC0" w:rsidP="00B07FC0">
      <w:pPr>
        <w:pStyle w:val="FootnoteText"/>
        <w:rPr>
          <w:lang w:val="pt-PT"/>
        </w:rPr>
      </w:pPr>
      <w:r>
        <w:rPr>
          <w:rStyle w:val="FootnoteReference"/>
        </w:rPr>
        <w:footnoteRef/>
      </w:r>
      <w:r w:rsidRPr="00B07FC0">
        <w:rPr>
          <w:lang w:val="pt-PT"/>
        </w:rPr>
        <w:t xml:space="preserve"> JO L 234 de 22.9.2023, p. 48.</w:t>
      </w:r>
    </w:p>
  </w:footnote>
  <w:footnote w:id="13">
    <w:p w14:paraId="227ABE5A" w14:textId="77777777" w:rsidR="00B07FC0" w:rsidRPr="00B07FC0" w:rsidRDefault="00B07FC0" w:rsidP="00B07FC0">
      <w:pPr>
        <w:pStyle w:val="FootnoteText"/>
        <w:rPr>
          <w:lang w:val="pt-PT"/>
        </w:rPr>
      </w:pPr>
      <w:r>
        <w:rPr>
          <w:rStyle w:val="FootnoteReference"/>
        </w:rPr>
        <w:footnoteRef/>
      </w:r>
      <w:r w:rsidRPr="00B07FC0">
        <w:rPr>
          <w:lang w:val="pt-PT"/>
        </w:rPr>
        <w:t xml:space="preserve"> COM(2021) 725.</w:t>
      </w:r>
    </w:p>
  </w:footnote>
  <w:footnote w:id="14">
    <w:p w14:paraId="59E54A2D" w14:textId="77777777" w:rsidR="00B07FC0" w:rsidRPr="00B07FC0" w:rsidRDefault="00B07FC0" w:rsidP="00B07FC0">
      <w:pPr>
        <w:pStyle w:val="FootnoteText"/>
        <w:rPr>
          <w:lang w:val="pt-PT"/>
        </w:rPr>
      </w:pPr>
      <w:r>
        <w:rPr>
          <w:rStyle w:val="FootnoteReference"/>
        </w:rPr>
        <w:footnoteRef/>
      </w:r>
      <w:r w:rsidRPr="00B07FC0">
        <w:rPr>
          <w:lang w:val="pt-PT"/>
        </w:rPr>
        <w:t xml:space="preserve"> COM(2023) 3269.</w:t>
      </w:r>
    </w:p>
  </w:footnote>
  <w:footnote w:id="15">
    <w:p w14:paraId="4C5B8520" w14:textId="77777777" w:rsidR="00B07FC0" w:rsidRPr="00B07FC0" w:rsidRDefault="00B07FC0" w:rsidP="00B07FC0">
      <w:pPr>
        <w:pStyle w:val="FootnoteText"/>
        <w:rPr>
          <w:lang w:val="pt-PT"/>
        </w:rPr>
      </w:pPr>
      <w:r>
        <w:rPr>
          <w:rStyle w:val="FootnoteReference"/>
        </w:rPr>
        <w:footnoteRef/>
      </w:r>
      <w:r w:rsidRPr="00B07FC0">
        <w:rPr>
          <w:lang w:val="pt-PT"/>
        </w:rPr>
        <w:t xml:space="preserve"> COM(2023) 5001 final de 11.7.2023.</w:t>
      </w:r>
    </w:p>
  </w:footnote>
  <w:footnote w:id="16">
    <w:p w14:paraId="6E0F023A" w14:textId="77777777" w:rsidR="00B07FC0" w:rsidRPr="00B07FC0" w:rsidRDefault="00B07FC0" w:rsidP="00B07FC0">
      <w:pPr>
        <w:pStyle w:val="FootnoteText"/>
        <w:rPr>
          <w:lang w:val="pt-PT"/>
        </w:rPr>
      </w:pPr>
      <w:r>
        <w:rPr>
          <w:rStyle w:val="FootnoteReference"/>
        </w:rPr>
        <w:footnoteRef/>
      </w:r>
      <w:r w:rsidRPr="00B07FC0">
        <w:rPr>
          <w:lang w:val="pt-PT"/>
        </w:rPr>
        <w:t xml:space="preserve"> Regulamento (UE) 2023/1525 do Parlamento Europeu e do Conselho, de 20 de julho de 2023, sobre o apoio à produção de munições (ASAP) (JO L 185 de 24.7.2023, p. 7).</w:t>
      </w:r>
    </w:p>
  </w:footnote>
  <w:footnote w:id="17">
    <w:p w14:paraId="50D55099" w14:textId="77777777" w:rsidR="00B07FC0" w:rsidRPr="00B07FC0" w:rsidRDefault="00B07FC0" w:rsidP="00B07FC0">
      <w:pPr>
        <w:pStyle w:val="FootnoteText"/>
        <w:rPr>
          <w:lang w:val="pt-PT"/>
        </w:rPr>
      </w:pPr>
      <w:r>
        <w:rPr>
          <w:rStyle w:val="FootnoteReference"/>
        </w:rPr>
        <w:footnoteRef/>
      </w:r>
      <w:r w:rsidRPr="00B07FC0">
        <w:rPr>
          <w:lang w:val="pt-PT"/>
        </w:rPr>
        <w:t xml:space="preserve"> Regulamento (UE) 2023/xxx do Parlamento Europeu e do Conselho, de xx de setembro de 2023, relativo à criação do instrumento de curto prazo para a contratação pública colaborativa no setor da defesa (JO L xxx de xx.10.2023, p. xxx).</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2C90DE" w14:textId="77777777" w:rsidR="009D18A0" w:rsidRPr="009D18A0" w:rsidRDefault="009D18A0" w:rsidP="009D18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E62E6" w14:textId="77777777" w:rsidR="009D18A0" w:rsidRPr="009D18A0" w:rsidRDefault="009D18A0" w:rsidP="009D18A0">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8FA29" w14:textId="77777777" w:rsidR="009D18A0" w:rsidRPr="009D18A0" w:rsidRDefault="009D18A0" w:rsidP="009D18A0">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E76F1" w14:textId="77777777" w:rsidR="00B07FC0" w:rsidRDefault="00B07FC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E3367" w14:textId="77777777" w:rsidR="00B07FC0" w:rsidRDefault="00B07FC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9F496" w14:textId="77777777" w:rsidR="00B07FC0" w:rsidRDefault="00B07FC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FF89B" w14:textId="77777777" w:rsidR="00B07FC0" w:rsidRDefault="00B07FC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EBFF9" w14:textId="77777777" w:rsidR="00B07FC0" w:rsidRDefault="00B07FC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FBBF7" w14:textId="77777777" w:rsidR="00B07FC0" w:rsidRDefault="00B07F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50F2A9A2"/>
    <w:lvl w:ilvl="0">
      <w:start w:val="1"/>
      <w:numFmt w:val="bullet"/>
      <w:pStyle w:val="ListBullet3"/>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1D769E46"/>
    <w:lvl w:ilvl="0">
      <w:start w:val="1"/>
      <w:numFmt w:val="bullet"/>
      <w:pStyle w:val="ListNumber5"/>
      <w:lvlText w:val=""/>
      <w:lvlJc w:val="left"/>
      <w:pPr>
        <w:tabs>
          <w:tab w:val="num" w:pos="360"/>
        </w:tabs>
        <w:ind w:left="360" w:hanging="360"/>
      </w:pPr>
      <w:rPr>
        <w:rFonts w:ascii="Symbol" w:hAnsi="Symbol" w:hint="default"/>
      </w:rPr>
    </w:lvl>
  </w:abstractNum>
  <w:abstractNum w:abstractNumId="2" w15:restartNumberingAfterBreak="0">
    <w:nsid w:val="01095784"/>
    <w:multiLevelType w:val="hybridMultilevel"/>
    <w:tmpl w:val="F32EC4C8"/>
    <w:lvl w:ilvl="0" w:tplc="425C582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CA57DC"/>
    <w:multiLevelType w:val="hybridMultilevel"/>
    <w:tmpl w:val="B042469C"/>
    <w:lvl w:ilvl="0" w:tplc="4872AB7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2970122"/>
    <w:multiLevelType w:val="hybridMultilevel"/>
    <w:tmpl w:val="FADC51DA"/>
    <w:lvl w:ilvl="0" w:tplc="A86A583A">
      <w:start w:val="4"/>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2D319D6"/>
    <w:multiLevelType w:val="hybridMultilevel"/>
    <w:tmpl w:val="96060D4C"/>
    <w:lvl w:ilvl="0" w:tplc="08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6EC579"/>
    <w:multiLevelType w:val="hybridMultilevel"/>
    <w:tmpl w:val="341EC514"/>
    <w:lvl w:ilvl="0" w:tplc="4B2AD822">
      <w:start w:val="1"/>
      <w:numFmt w:val="bullet"/>
      <w:lvlText w:val="-"/>
      <w:lvlJc w:val="left"/>
      <w:pPr>
        <w:ind w:left="720" w:hanging="360"/>
      </w:pPr>
      <w:rPr>
        <w:rFonts w:ascii="Calibri" w:hAnsi="Calibri" w:hint="default"/>
      </w:rPr>
    </w:lvl>
    <w:lvl w:ilvl="1" w:tplc="11FE8378">
      <w:start w:val="1"/>
      <w:numFmt w:val="bullet"/>
      <w:lvlText w:val="o"/>
      <w:lvlJc w:val="left"/>
      <w:pPr>
        <w:ind w:left="1440" w:hanging="360"/>
      </w:pPr>
      <w:rPr>
        <w:rFonts w:ascii="Courier New" w:hAnsi="Courier New" w:hint="default"/>
      </w:rPr>
    </w:lvl>
    <w:lvl w:ilvl="2" w:tplc="00843BF2">
      <w:start w:val="1"/>
      <w:numFmt w:val="bullet"/>
      <w:lvlText w:val=""/>
      <w:lvlJc w:val="left"/>
      <w:pPr>
        <w:ind w:left="2160" w:hanging="360"/>
      </w:pPr>
      <w:rPr>
        <w:rFonts w:ascii="Wingdings" w:hAnsi="Wingdings" w:hint="default"/>
      </w:rPr>
    </w:lvl>
    <w:lvl w:ilvl="3" w:tplc="17BC0858">
      <w:start w:val="1"/>
      <w:numFmt w:val="bullet"/>
      <w:lvlText w:val=""/>
      <w:lvlJc w:val="left"/>
      <w:pPr>
        <w:ind w:left="2880" w:hanging="360"/>
      </w:pPr>
      <w:rPr>
        <w:rFonts w:ascii="Symbol" w:hAnsi="Symbol" w:hint="default"/>
      </w:rPr>
    </w:lvl>
    <w:lvl w:ilvl="4" w:tplc="93941D6C">
      <w:start w:val="1"/>
      <w:numFmt w:val="bullet"/>
      <w:lvlText w:val="o"/>
      <w:lvlJc w:val="left"/>
      <w:pPr>
        <w:ind w:left="3600" w:hanging="360"/>
      </w:pPr>
      <w:rPr>
        <w:rFonts w:ascii="Courier New" w:hAnsi="Courier New" w:hint="default"/>
      </w:rPr>
    </w:lvl>
    <w:lvl w:ilvl="5" w:tplc="2410015C">
      <w:start w:val="1"/>
      <w:numFmt w:val="bullet"/>
      <w:lvlText w:val=""/>
      <w:lvlJc w:val="left"/>
      <w:pPr>
        <w:ind w:left="4320" w:hanging="360"/>
      </w:pPr>
      <w:rPr>
        <w:rFonts w:ascii="Wingdings" w:hAnsi="Wingdings" w:hint="default"/>
      </w:rPr>
    </w:lvl>
    <w:lvl w:ilvl="6" w:tplc="A8265C1A">
      <w:start w:val="1"/>
      <w:numFmt w:val="bullet"/>
      <w:lvlText w:val=""/>
      <w:lvlJc w:val="left"/>
      <w:pPr>
        <w:ind w:left="5040" w:hanging="360"/>
      </w:pPr>
      <w:rPr>
        <w:rFonts w:ascii="Symbol" w:hAnsi="Symbol" w:hint="default"/>
      </w:rPr>
    </w:lvl>
    <w:lvl w:ilvl="7" w:tplc="E13E9088">
      <w:start w:val="1"/>
      <w:numFmt w:val="bullet"/>
      <w:lvlText w:val="o"/>
      <w:lvlJc w:val="left"/>
      <w:pPr>
        <w:ind w:left="5760" w:hanging="360"/>
      </w:pPr>
      <w:rPr>
        <w:rFonts w:ascii="Courier New" w:hAnsi="Courier New" w:hint="default"/>
      </w:rPr>
    </w:lvl>
    <w:lvl w:ilvl="8" w:tplc="28605BC2">
      <w:start w:val="1"/>
      <w:numFmt w:val="bullet"/>
      <w:lvlText w:val=""/>
      <w:lvlJc w:val="left"/>
      <w:pPr>
        <w:ind w:left="6480" w:hanging="360"/>
      </w:pPr>
      <w:rPr>
        <w:rFonts w:ascii="Wingdings" w:hAnsi="Wingdings" w:hint="default"/>
      </w:rPr>
    </w:lvl>
  </w:abstractNum>
  <w:abstractNum w:abstractNumId="7" w15:restartNumberingAfterBreak="0">
    <w:nsid w:val="1207441D"/>
    <w:multiLevelType w:val="hybridMultilevel"/>
    <w:tmpl w:val="A74C796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8" w15:restartNumberingAfterBreak="0">
    <w:nsid w:val="135C5869"/>
    <w:multiLevelType w:val="hybridMultilevel"/>
    <w:tmpl w:val="4A4818D4"/>
    <w:lvl w:ilvl="0" w:tplc="D6785FC4">
      <w:start w:val="7"/>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E41085"/>
    <w:multiLevelType w:val="hybridMultilevel"/>
    <w:tmpl w:val="0846A4DA"/>
    <w:lvl w:ilvl="0" w:tplc="8A36BA8C">
      <w:numFmt w:val="bullet"/>
      <w:lvlText w:val=""/>
      <w:lvlJc w:val="left"/>
      <w:pPr>
        <w:ind w:left="360" w:hanging="360"/>
      </w:pPr>
      <w:rPr>
        <w:rFonts w:ascii="Symbol" w:eastAsia="Times New Roman" w:hAnsi="Symbol"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4FA63AA"/>
    <w:multiLevelType w:val="multilevel"/>
    <w:tmpl w:val="D1402846"/>
    <w:lvl w:ilvl="0">
      <w:start w:val="2"/>
      <w:numFmt w:val="decimal"/>
      <w:lvlText w:val="%1"/>
      <w:lvlJc w:val="left"/>
      <w:pPr>
        <w:ind w:left="432" w:hanging="432"/>
      </w:pPr>
      <w:rPr>
        <w:rFonts w:cs="Times New Roman" w:hint="default"/>
      </w:rPr>
    </w:lvl>
    <w:lvl w:ilvl="1">
      <w:start w:val="3"/>
      <w:numFmt w:val="decimal"/>
      <w:pStyle w:val="Style2"/>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1" w15:restartNumberingAfterBreak="0">
    <w:nsid w:val="187029EA"/>
    <w:multiLevelType w:val="hybridMultilevel"/>
    <w:tmpl w:val="5FD8616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2"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13" w15:restartNumberingAfterBreak="0">
    <w:nsid w:val="1BC50770"/>
    <w:multiLevelType w:val="hybridMultilevel"/>
    <w:tmpl w:val="1A92C23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4965A5"/>
    <w:multiLevelType w:val="hybridMultilevel"/>
    <w:tmpl w:val="2B909A32"/>
    <w:lvl w:ilvl="0" w:tplc="02EC6D92">
      <w:start w:val="1"/>
      <w:numFmt w:val="decimal"/>
      <w:pStyle w:val="Style3"/>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CC1F1F"/>
    <w:multiLevelType w:val="hybridMultilevel"/>
    <w:tmpl w:val="19CCFD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17" w15:restartNumberingAfterBreak="0">
    <w:nsid w:val="2F911729"/>
    <w:multiLevelType w:val="multilevel"/>
    <w:tmpl w:val="EA30B106"/>
    <w:lvl w:ilvl="0">
      <w:start w:val="1"/>
      <w:numFmt w:val="decimal"/>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FC13EA4"/>
    <w:multiLevelType w:val="hybridMultilevel"/>
    <w:tmpl w:val="9E047EF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2D7658"/>
    <w:multiLevelType w:val="hybridMultilevel"/>
    <w:tmpl w:val="BEE25C58"/>
    <w:lvl w:ilvl="0" w:tplc="0CD24B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A52C4F"/>
    <w:multiLevelType w:val="singleLevel"/>
    <w:tmpl w:val="CEFC5A24"/>
    <w:lvl w:ilvl="0">
      <w:start w:val="1"/>
      <w:numFmt w:val="bullet"/>
      <w:lvlRestart w:val="0"/>
      <w:pStyle w:val="Tiret0"/>
      <w:lvlText w:val="–"/>
      <w:lvlJc w:val="left"/>
      <w:pPr>
        <w:tabs>
          <w:tab w:val="num" w:pos="850"/>
        </w:tabs>
        <w:ind w:left="850" w:hanging="850"/>
      </w:pPr>
    </w:lvl>
  </w:abstractNum>
  <w:abstractNum w:abstractNumId="21" w15:restartNumberingAfterBreak="0">
    <w:nsid w:val="37D64D9A"/>
    <w:multiLevelType w:val="hybridMultilevel"/>
    <w:tmpl w:val="5A2C9B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C6546C"/>
    <w:multiLevelType w:val="hybridMultilevel"/>
    <w:tmpl w:val="F99676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3A7730C4"/>
    <w:multiLevelType w:val="singleLevel"/>
    <w:tmpl w:val="0809000F"/>
    <w:lvl w:ilvl="0">
      <w:start w:val="1"/>
      <w:numFmt w:val="decimal"/>
      <w:pStyle w:val="ManualHeading2"/>
      <w:lvlText w:val="%1."/>
      <w:lvlJc w:val="left"/>
      <w:pPr>
        <w:ind w:left="720" w:hanging="360"/>
      </w:pPr>
    </w:lvl>
  </w:abstractNum>
  <w:abstractNum w:abstractNumId="24" w15:restartNumberingAfterBreak="0">
    <w:nsid w:val="444B45B2"/>
    <w:multiLevelType w:val="hybridMultilevel"/>
    <w:tmpl w:val="82BCD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E50426"/>
    <w:multiLevelType w:val="hybridMultilevel"/>
    <w:tmpl w:val="A1AA6990"/>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843E64"/>
    <w:multiLevelType w:val="hybridMultilevel"/>
    <w:tmpl w:val="B2063506"/>
    <w:lvl w:ilvl="0" w:tplc="0809000F">
      <w:start w:val="1"/>
      <w:numFmt w:val="decimal"/>
      <w:lvlText w:val="%1."/>
      <w:lvlJc w:val="left"/>
      <w:pPr>
        <w:ind w:left="360" w:hanging="360"/>
      </w:pPr>
      <w:rPr>
        <w:rFonts w:cs="Times New Roman"/>
      </w:rPr>
    </w:lvl>
    <w:lvl w:ilvl="1" w:tplc="08090001">
      <w:start w:val="1"/>
      <w:numFmt w:val="bullet"/>
      <w:lvlText w:val=""/>
      <w:lvlJc w:val="left"/>
      <w:pPr>
        <w:ind w:left="1080" w:hanging="360"/>
      </w:pPr>
      <w:rPr>
        <w:rFonts w:ascii="Symbol" w:hAnsi="Symbol" w:hint="default"/>
      </w:rPr>
    </w:lvl>
    <w:lvl w:ilvl="2" w:tplc="EC16C19A">
      <w:numFmt w:val="bullet"/>
      <w:lvlText w:val="•"/>
      <w:lvlJc w:val="left"/>
      <w:pPr>
        <w:ind w:left="2340" w:hanging="720"/>
      </w:pPr>
      <w:rPr>
        <w:rFonts w:ascii="Times New Roman" w:eastAsia="Times New Roman" w:hAnsi="Times New Roman" w:cs="Times New Roman" w:hint="default"/>
      </w:rPr>
    </w:lvl>
    <w:lvl w:ilvl="3" w:tplc="AC466752">
      <w:start w:val="19"/>
      <w:numFmt w:val="bullet"/>
      <w:lvlText w:val="-"/>
      <w:lvlJc w:val="left"/>
      <w:pPr>
        <w:ind w:left="2520" w:hanging="360"/>
      </w:pPr>
      <w:rPr>
        <w:rFonts w:ascii="Times New Roman" w:eastAsia="Times New Roman" w:hAnsi="Times New Roman" w:cs="Times New Roman" w:hint="default"/>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7" w15:restartNumberingAfterBreak="0">
    <w:nsid w:val="514B7CB1"/>
    <w:multiLevelType w:val="hybridMultilevel"/>
    <w:tmpl w:val="0712B7FA"/>
    <w:lvl w:ilvl="0" w:tplc="001ED2D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41C7C56"/>
    <w:multiLevelType w:val="hybridMultilevel"/>
    <w:tmpl w:val="64B869A6"/>
    <w:lvl w:ilvl="0" w:tplc="8A36BA8C">
      <w:numFmt w:val="bullet"/>
      <w:lvlText w:val=""/>
      <w:lvlJc w:val="left"/>
      <w:pPr>
        <w:ind w:left="360" w:hanging="360"/>
      </w:pPr>
      <w:rPr>
        <w:rFonts w:ascii="Symbol" w:eastAsia="Times New Roman" w:hAnsi="Symbol" w:hint="default"/>
      </w:rPr>
    </w:lvl>
    <w:lvl w:ilvl="1" w:tplc="08090005">
      <w:start w:val="1"/>
      <w:numFmt w:val="bullet"/>
      <w:lvlText w:val=""/>
      <w:lvlJc w:val="left"/>
      <w:pPr>
        <w:ind w:left="1080" w:hanging="360"/>
      </w:pPr>
      <w:rPr>
        <w:rFonts w:ascii="Wingdings" w:hAnsi="Wingdings" w:hint="default"/>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9" w15:restartNumberingAfterBreak="0">
    <w:nsid w:val="567D37AB"/>
    <w:multiLevelType w:val="hybridMultilevel"/>
    <w:tmpl w:val="AF54D8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6C7646D"/>
    <w:multiLevelType w:val="hybridMultilevel"/>
    <w:tmpl w:val="FEDAA060"/>
    <w:lvl w:ilvl="0" w:tplc="A0EE637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282356"/>
    <w:multiLevelType w:val="hybridMultilevel"/>
    <w:tmpl w:val="9F4EF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5A2513"/>
    <w:multiLevelType w:val="hybridMultilevel"/>
    <w:tmpl w:val="3C1C7B8A"/>
    <w:lvl w:ilvl="0" w:tplc="48D688C0">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8C3B69"/>
    <w:multiLevelType w:val="multilevel"/>
    <w:tmpl w:val="9B14DAA8"/>
    <w:lvl w:ilvl="0">
      <w:start w:val="1"/>
      <w:numFmt w:val="decimal"/>
      <w:lvlRestart w:val="0"/>
      <w:pStyle w:val="ListNumber"/>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4" w15:restartNumberingAfterBreak="0">
    <w:nsid w:val="5FC72DE3"/>
    <w:multiLevelType w:val="hybridMultilevel"/>
    <w:tmpl w:val="288017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3BABCA9"/>
    <w:multiLevelType w:val="hybridMultilevel"/>
    <w:tmpl w:val="A22CF100"/>
    <w:lvl w:ilvl="0" w:tplc="2B721E66">
      <w:start w:val="1"/>
      <w:numFmt w:val="bullet"/>
      <w:lvlText w:val=""/>
      <w:lvlJc w:val="left"/>
      <w:pPr>
        <w:ind w:left="720" w:hanging="360"/>
      </w:pPr>
      <w:rPr>
        <w:rFonts w:ascii="Symbol" w:hAnsi="Symbol" w:hint="default"/>
      </w:rPr>
    </w:lvl>
    <w:lvl w:ilvl="1" w:tplc="7C5E7F0C">
      <w:start w:val="1"/>
      <w:numFmt w:val="bullet"/>
      <w:lvlText w:val="o"/>
      <w:lvlJc w:val="left"/>
      <w:pPr>
        <w:ind w:left="1440" w:hanging="360"/>
      </w:pPr>
      <w:rPr>
        <w:rFonts w:ascii="Courier New" w:hAnsi="Courier New" w:hint="default"/>
      </w:rPr>
    </w:lvl>
    <w:lvl w:ilvl="2" w:tplc="80360974">
      <w:start w:val="1"/>
      <w:numFmt w:val="bullet"/>
      <w:lvlText w:val=""/>
      <w:lvlJc w:val="left"/>
      <w:pPr>
        <w:ind w:left="2160" w:hanging="360"/>
      </w:pPr>
      <w:rPr>
        <w:rFonts w:ascii="Wingdings" w:hAnsi="Wingdings" w:hint="default"/>
      </w:rPr>
    </w:lvl>
    <w:lvl w:ilvl="3" w:tplc="EF122ED4">
      <w:start w:val="1"/>
      <w:numFmt w:val="bullet"/>
      <w:lvlText w:val=""/>
      <w:lvlJc w:val="left"/>
      <w:pPr>
        <w:ind w:left="2880" w:hanging="360"/>
      </w:pPr>
      <w:rPr>
        <w:rFonts w:ascii="Symbol" w:hAnsi="Symbol" w:hint="default"/>
      </w:rPr>
    </w:lvl>
    <w:lvl w:ilvl="4" w:tplc="0B482660">
      <w:start w:val="1"/>
      <w:numFmt w:val="bullet"/>
      <w:lvlText w:val="o"/>
      <w:lvlJc w:val="left"/>
      <w:pPr>
        <w:ind w:left="3600" w:hanging="360"/>
      </w:pPr>
      <w:rPr>
        <w:rFonts w:ascii="Courier New" w:hAnsi="Courier New" w:hint="default"/>
      </w:rPr>
    </w:lvl>
    <w:lvl w:ilvl="5" w:tplc="8EF0FF26">
      <w:start w:val="1"/>
      <w:numFmt w:val="bullet"/>
      <w:lvlText w:val=""/>
      <w:lvlJc w:val="left"/>
      <w:pPr>
        <w:ind w:left="4320" w:hanging="360"/>
      </w:pPr>
      <w:rPr>
        <w:rFonts w:ascii="Wingdings" w:hAnsi="Wingdings" w:hint="default"/>
      </w:rPr>
    </w:lvl>
    <w:lvl w:ilvl="6" w:tplc="DB78150A">
      <w:start w:val="1"/>
      <w:numFmt w:val="bullet"/>
      <w:lvlText w:val=""/>
      <w:lvlJc w:val="left"/>
      <w:pPr>
        <w:ind w:left="5040" w:hanging="360"/>
      </w:pPr>
      <w:rPr>
        <w:rFonts w:ascii="Symbol" w:hAnsi="Symbol" w:hint="default"/>
      </w:rPr>
    </w:lvl>
    <w:lvl w:ilvl="7" w:tplc="6A12AA84">
      <w:start w:val="1"/>
      <w:numFmt w:val="bullet"/>
      <w:lvlText w:val="o"/>
      <w:lvlJc w:val="left"/>
      <w:pPr>
        <w:ind w:left="5760" w:hanging="360"/>
      </w:pPr>
      <w:rPr>
        <w:rFonts w:ascii="Courier New" w:hAnsi="Courier New" w:hint="default"/>
      </w:rPr>
    </w:lvl>
    <w:lvl w:ilvl="8" w:tplc="26AA8C94">
      <w:start w:val="1"/>
      <w:numFmt w:val="bullet"/>
      <w:lvlText w:val=""/>
      <w:lvlJc w:val="left"/>
      <w:pPr>
        <w:ind w:left="6480" w:hanging="360"/>
      </w:pPr>
      <w:rPr>
        <w:rFonts w:ascii="Wingdings" w:hAnsi="Wingdings" w:hint="default"/>
      </w:rPr>
    </w:lvl>
  </w:abstractNum>
  <w:abstractNum w:abstractNumId="36" w15:restartNumberingAfterBreak="0">
    <w:nsid w:val="652A49C2"/>
    <w:multiLevelType w:val="hybridMultilevel"/>
    <w:tmpl w:val="B9AA5FFC"/>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7" w15:restartNumberingAfterBreak="0">
    <w:nsid w:val="65A07CBB"/>
    <w:multiLevelType w:val="hybridMultilevel"/>
    <w:tmpl w:val="D0281760"/>
    <w:lvl w:ilvl="0" w:tplc="4872AB7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4872AB78">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BD3EEE"/>
    <w:multiLevelType w:val="hybridMultilevel"/>
    <w:tmpl w:val="F9E805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40" w15:restartNumberingAfterBreak="0">
    <w:nsid w:val="6D2B5511"/>
    <w:multiLevelType w:val="singleLevel"/>
    <w:tmpl w:val="74A09970"/>
    <w:name w:val="Heading__2"/>
    <w:lvl w:ilvl="0">
      <w:start w:val="1"/>
      <w:numFmt w:val="bullet"/>
      <w:lvlRestart w:val="0"/>
      <w:pStyle w:val="ListBullet"/>
      <w:lvlText w:val=""/>
      <w:lvlJc w:val="left"/>
      <w:pPr>
        <w:tabs>
          <w:tab w:val="num" w:pos="283"/>
        </w:tabs>
        <w:ind w:left="283" w:hanging="283"/>
      </w:pPr>
      <w:rPr>
        <w:rFonts w:ascii="Symbol" w:hAnsi="Symbol" w:hint="default"/>
      </w:rPr>
    </w:lvl>
  </w:abstractNum>
  <w:abstractNum w:abstractNumId="41" w15:restartNumberingAfterBreak="0">
    <w:nsid w:val="6DD8544D"/>
    <w:multiLevelType w:val="hybridMultilevel"/>
    <w:tmpl w:val="8952B6A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42" w15:restartNumberingAfterBreak="0">
    <w:nsid w:val="7A5E3354"/>
    <w:multiLevelType w:val="hybridMultilevel"/>
    <w:tmpl w:val="C02002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7A694F3E"/>
    <w:multiLevelType w:val="hybridMultilevel"/>
    <w:tmpl w:val="66C627DA"/>
    <w:lvl w:ilvl="0" w:tplc="4872AB7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5D20EB"/>
    <w:multiLevelType w:val="hybridMultilevel"/>
    <w:tmpl w:val="1F8EF210"/>
    <w:lvl w:ilvl="0" w:tplc="001ED2D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E2822CD"/>
    <w:multiLevelType w:val="hybridMultilevel"/>
    <w:tmpl w:val="94E81EF4"/>
    <w:lvl w:ilvl="0" w:tplc="E3E8BBB2">
      <w:start w:val="1"/>
      <w:numFmt w:val="bullet"/>
      <w:lvlText w:val=""/>
      <w:lvlJc w:val="left"/>
      <w:pPr>
        <w:ind w:left="720" w:hanging="360"/>
      </w:pPr>
      <w:rPr>
        <w:rFonts w:ascii="Symbol" w:hAnsi="Symbol" w:hint="default"/>
      </w:rPr>
    </w:lvl>
    <w:lvl w:ilvl="1" w:tplc="40184F24">
      <w:start w:val="1"/>
      <w:numFmt w:val="bullet"/>
      <w:lvlText w:val=""/>
      <w:lvlJc w:val="left"/>
      <w:pPr>
        <w:ind w:left="1440" w:hanging="360"/>
      </w:pPr>
      <w:rPr>
        <w:rFonts w:ascii="Symbol" w:hAnsi="Symbol" w:hint="default"/>
      </w:rPr>
    </w:lvl>
    <w:lvl w:ilvl="2" w:tplc="A72AA860">
      <w:start w:val="1"/>
      <w:numFmt w:val="bullet"/>
      <w:lvlText w:val=""/>
      <w:lvlJc w:val="left"/>
      <w:pPr>
        <w:ind w:left="2160" w:hanging="360"/>
      </w:pPr>
      <w:rPr>
        <w:rFonts w:ascii="Wingdings" w:hAnsi="Wingdings" w:hint="default"/>
      </w:rPr>
    </w:lvl>
    <w:lvl w:ilvl="3" w:tplc="ECA4EC2C">
      <w:start w:val="1"/>
      <w:numFmt w:val="bullet"/>
      <w:lvlText w:val=""/>
      <w:lvlJc w:val="left"/>
      <w:pPr>
        <w:ind w:left="2880" w:hanging="360"/>
      </w:pPr>
      <w:rPr>
        <w:rFonts w:ascii="Symbol" w:hAnsi="Symbol" w:hint="default"/>
      </w:rPr>
    </w:lvl>
    <w:lvl w:ilvl="4" w:tplc="DA1022D2">
      <w:start w:val="1"/>
      <w:numFmt w:val="bullet"/>
      <w:lvlText w:val="o"/>
      <w:lvlJc w:val="left"/>
      <w:pPr>
        <w:ind w:left="3600" w:hanging="360"/>
      </w:pPr>
      <w:rPr>
        <w:rFonts w:ascii="Courier New" w:hAnsi="Courier New" w:hint="default"/>
      </w:rPr>
    </w:lvl>
    <w:lvl w:ilvl="5" w:tplc="16E6B8AA">
      <w:start w:val="1"/>
      <w:numFmt w:val="bullet"/>
      <w:lvlText w:val=""/>
      <w:lvlJc w:val="left"/>
      <w:pPr>
        <w:ind w:left="4320" w:hanging="360"/>
      </w:pPr>
      <w:rPr>
        <w:rFonts w:ascii="Wingdings" w:hAnsi="Wingdings" w:hint="default"/>
      </w:rPr>
    </w:lvl>
    <w:lvl w:ilvl="6" w:tplc="063437B2">
      <w:start w:val="1"/>
      <w:numFmt w:val="bullet"/>
      <w:lvlText w:val=""/>
      <w:lvlJc w:val="left"/>
      <w:pPr>
        <w:ind w:left="5040" w:hanging="360"/>
      </w:pPr>
      <w:rPr>
        <w:rFonts w:ascii="Symbol" w:hAnsi="Symbol" w:hint="default"/>
      </w:rPr>
    </w:lvl>
    <w:lvl w:ilvl="7" w:tplc="2092C87E">
      <w:start w:val="1"/>
      <w:numFmt w:val="bullet"/>
      <w:lvlText w:val="o"/>
      <w:lvlJc w:val="left"/>
      <w:pPr>
        <w:ind w:left="5760" w:hanging="360"/>
      </w:pPr>
      <w:rPr>
        <w:rFonts w:ascii="Courier New" w:hAnsi="Courier New" w:hint="default"/>
      </w:rPr>
    </w:lvl>
    <w:lvl w:ilvl="8" w:tplc="25A0F88C">
      <w:start w:val="1"/>
      <w:numFmt w:val="bullet"/>
      <w:lvlText w:val=""/>
      <w:lvlJc w:val="left"/>
      <w:pPr>
        <w:ind w:left="6480" w:hanging="360"/>
      </w:pPr>
      <w:rPr>
        <w:rFonts w:ascii="Wingdings" w:hAnsi="Wingdings" w:hint="default"/>
      </w:rPr>
    </w:lvl>
  </w:abstractNum>
  <w:abstractNum w:abstractNumId="46" w15:restartNumberingAfterBreak="0">
    <w:nsid w:val="7F071480"/>
    <w:multiLevelType w:val="hybridMultilevel"/>
    <w:tmpl w:val="7D00E074"/>
    <w:lvl w:ilvl="0" w:tplc="12F6CE44">
      <w:start w:val="1"/>
      <w:numFmt w:val="bullet"/>
      <w:lvlText w:val="-"/>
      <w:lvlJc w:val="left"/>
      <w:pPr>
        <w:ind w:left="720" w:hanging="360"/>
      </w:pPr>
      <w:rPr>
        <w:rFonts w:ascii="Times New Roman" w:eastAsia="Times New Roman" w:hAnsi="Times New Roman"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6"/>
  </w:num>
  <w:num w:numId="2">
    <w:abstractNumId w:val="35"/>
  </w:num>
  <w:num w:numId="3">
    <w:abstractNumId w:val="45"/>
  </w:num>
  <w:num w:numId="4">
    <w:abstractNumId w:val="1"/>
  </w:num>
  <w:num w:numId="5">
    <w:abstractNumId w:val="0"/>
  </w:num>
  <w:num w:numId="6">
    <w:abstractNumId w:val="20"/>
  </w:num>
  <w:num w:numId="7">
    <w:abstractNumId w:val="40"/>
  </w:num>
  <w:num w:numId="8">
    <w:abstractNumId w:val="23"/>
  </w:num>
  <w:num w:numId="9">
    <w:abstractNumId w:val="16"/>
  </w:num>
  <w:num w:numId="10">
    <w:abstractNumId w:val="33"/>
  </w:num>
  <w:num w:numId="11">
    <w:abstractNumId w:val="12"/>
  </w:num>
  <w:num w:numId="12">
    <w:abstractNumId w:val="39"/>
  </w:num>
  <w:num w:numId="13">
    <w:abstractNumId w:val="28"/>
  </w:num>
  <w:num w:numId="14">
    <w:abstractNumId w:val="26"/>
  </w:num>
  <w:num w:numId="15">
    <w:abstractNumId w:val="14"/>
  </w:num>
  <w:num w:numId="16">
    <w:abstractNumId w:val="10"/>
  </w:num>
  <w:num w:numId="17">
    <w:abstractNumId w:val="3"/>
  </w:num>
  <w:num w:numId="18">
    <w:abstractNumId w:val="37"/>
  </w:num>
  <w:num w:numId="19">
    <w:abstractNumId w:val="43"/>
  </w:num>
  <w:num w:numId="20">
    <w:abstractNumId w:val="17"/>
  </w:num>
  <w:num w:numId="21">
    <w:abstractNumId w:val="18"/>
  </w:num>
  <w:num w:numId="22">
    <w:abstractNumId w:val="31"/>
  </w:num>
  <w:num w:numId="23">
    <w:abstractNumId w:val="13"/>
  </w:num>
  <w:num w:numId="24">
    <w:abstractNumId w:val="41"/>
  </w:num>
  <w:num w:numId="25">
    <w:abstractNumId w:val="27"/>
  </w:num>
  <w:num w:numId="26">
    <w:abstractNumId w:val="44"/>
  </w:num>
  <w:num w:numId="27">
    <w:abstractNumId w:val="32"/>
  </w:num>
  <w:num w:numId="28">
    <w:abstractNumId w:val="21"/>
  </w:num>
  <w:num w:numId="29">
    <w:abstractNumId w:val="25"/>
  </w:num>
  <w:num w:numId="30">
    <w:abstractNumId w:val="42"/>
  </w:num>
  <w:num w:numId="31">
    <w:abstractNumId w:val="5"/>
  </w:num>
  <w:num w:numId="32">
    <w:abstractNumId w:val="24"/>
  </w:num>
  <w:num w:numId="33">
    <w:abstractNumId w:val="9"/>
  </w:num>
  <w:num w:numId="34">
    <w:abstractNumId w:val="29"/>
  </w:num>
  <w:num w:numId="35">
    <w:abstractNumId w:val="34"/>
  </w:num>
  <w:num w:numId="36">
    <w:abstractNumId w:val="15"/>
  </w:num>
  <w:num w:numId="37">
    <w:abstractNumId w:val="21"/>
  </w:num>
  <w:num w:numId="38">
    <w:abstractNumId w:val="2"/>
  </w:num>
  <w:num w:numId="39">
    <w:abstractNumId w:val="38"/>
  </w:num>
  <w:num w:numId="40">
    <w:abstractNumId w:val="8"/>
  </w:num>
  <w:num w:numId="41">
    <w:abstractNumId w:val="4"/>
  </w:num>
  <w:num w:numId="42">
    <w:abstractNumId w:val="19"/>
  </w:num>
  <w:num w:numId="43">
    <w:abstractNumId w:val="11"/>
  </w:num>
  <w:num w:numId="44">
    <w:abstractNumId w:val="7"/>
  </w:num>
  <w:num w:numId="45">
    <w:abstractNumId w:val="36"/>
  </w:num>
  <w:num w:numId="46">
    <w:abstractNumId w:val="46"/>
  </w:num>
  <w:num w:numId="47">
    <w:abstractNumId w:val="30"/>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DateAndTime/>
  <w:hideSpellingErrors/>
  <w:hideGrammaticalErrors/>
  <w:activeWritingStyle w:appName="MSWord" w:lang="en-US" w:vendorID="64" w:dllVersion="0" w:nlCheck="1" w:checkStyle="0"/>
  <w:activeWritingStyle w:appName="MSWord" w:lang="en-GB" w:vendorID="64" w:dllVersion="0" w:nlCheck="1" w:checkStyle="0"/>
  <w:activeWritingStyle w:appName="MSWord" w:lang="en-IE" w:vendorID="64" w:dllVersion="0" w:nlCheck="1" w:checkStyle="0"/>
  <w:activeWritingStyle w:appName="MSWord" w:lang="de-DE" w:vendorID="64" w:dllVersion="0" w:nlCheck="1" w:checkStyle="0"/>
  <w:activeWritingStyle w:appName="MSWord" w:lang="fr-BE" w:vendorID="64" w:dllVersion="0" w:nlCheck="1" w:checkStyle="0"/>
  <w:activeWritingStyle w:appName="MSWord" w:lang="pt-PT" w:vendorID="64" w:dllVersion="0"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233FF183-0445-4B25-83BE-B15D132996DD"/>
    <w:docVar w:name="LW_COVERPAGE_TYPE" w:val="1"/>
    <w:docVar w:name="LW_CROSSREFERENCE" w:val="&lt;UNUSED&gt;"/>
    <w:docVar w:name="LW_DocType" w:val="NORMAL"/>
    <w:docVar w:name="LW_EMISSION" w:val="9.10.2023"/>
    <w:docVar w:name="LW_EMISSION_ISODATE" w:val="2023-10-09"/>
    <w:docVar w:name="LW_EMISSION_LOCATION" w:val="BRX"/>
    <w:docVar w:name="LW_EMISSION_PREFIX" w:val="Bruxelas, "/>
    <w:docVar w:name="LW_EMISSION_SUFFIX" w:val=" "/>
    <w:docVar w:name="LW_ID_DOCTYPE_NONLW" w:val="CP-032"/>
    <w:docVar w:name="LW_INTERETEEE.CP" w:val="&lt;UNUSED&gt;"/>
    <w:docVar w:name="LW_LANGUE" w:val="PT"/>
    <w:docVar w:name="LW_LEVEL_OF_SENSITIVITY" w:val="Standard treatment"/>
    <w:docVar w:name="LW_NOM.INST" w:val="COMISSÃO EUROPEIA"/>
    <w:docVar w:name="LW_NOM.INST_JOINTDOC" w:val="&lt;EMPTY&gt;"/>
    <w:docVar w:name="LW_PART_NBR" w:val="1"/>
    <w:docVar w:name="LW_PART_NBR_TOTAL" w:val="1"/>
    <w:docVar w:name="LW_REF.II.NEW.CP" w:val="BUD"/>
    <w:docVar w:name="LW_REF.II.NEW.CP_NUMBER" w:val="0264"/>
    <w:docVar w:name="LW_REF.II.NEW.CP_YEAR" w:val="2023"/>
    <w:docVar w:name="LW_REF.INST.NEW" w:val="COM"/>
    <w:docVar w:name="LW_REF.INST.NEW_ADOPTED" w:val="final"/>
    <w:docVar w:name="LW_REF.INST.NEW_TEXT" w:val="(2023) 531"/>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 w:val="Proposta de"/>
    <w:docVar w:name="LW_STATUT.CP" w:val="Proposta de"/>
    <w:docVar w:name="LW_SUPERTITRE" w:val="&lt;UNUSED&gt;"/>
    <w:docVar w:name="LW_TITRE.OBJ.CP" w:val="_x000d__x000d__x000d__x000d__x000d__x000d__x000b__x000d__x000d__x000d__x000d__x000d__x000d__x000b_Atualização das necessidades estimadas para as despesas agrícolas_x000d__x000d__x000d__x000d__x000d__x000d__x000b_Outros ajustamentos e atualizações técnicas_x000d__x000d__x000d__x000d__x000d__x000d__x000d__x000d__x000d__x000d__x000d__x000d__x000d__x000d__x000d__x000d__x000b__x000d__x000d__x000d__x000d__x000d__x000d__x000d__x000d__x000d__x000d__x000d__x000d__x000d__x000d__x000d__x000d__x000d__x000d__x000d__x000d__x000d__x000d__x000d__x000d__x000d__x000d__x000d__x000d__x000d__x000d__x000d__x000d__x000d__x000d__x000d__x000d__x000b_"/>
    <w:docVar w:name="LW_TYPE.DOC.CP" w:val="CARTA RETIFICATIVA N.º 1 DO PROJETO DE ORÇAMENTO GERAL DA UNIÃO EUROPEIA PARA O EXERCÍCIO DE 2024 "/>
    <w:docVar w:name="LwApiVersions" w:val="LW4CoDe 1.23.2.0; LW 8.0, Build 20211117"/>
  </w:docVars>
  <w:rsids>
    <w:rsidRoot w:val="00F16A2C"/>
    <w:rsid w:val="000021D2"/>
    <w:rsid w:val="000021DB"/>
    <w:rsid w:val="0000370B"/>
    <w:rsid w:val="00003C40"/>
    <w:rsid w:val="00006417"/>
    <w:rsid w:val="0001163F"/>
    <w:rsid w:val="00014F4E"/>
    <w:rsid w:val="000207FE"/>
    <w:rsid w:val="00026858"/>
    <w:rsid w:val="00030032"/>
    <w:rsid w:val="000419B1"/>
    <w:rsid w:val="00044A30"/>
    <w:rsid w:val="000450E6"/>
    <w:rsid w:val="00050A38"/>
    <w:rsid w:val="0005117B"/>
    <w:rsid w:val="00051699"/>
    <w:rsid w:val="0005272B"/>
    <w:rsid w:val="00052CAC"/>
    <w:rsid w:val="00057A60"/>
    <w:rsid w:val="000606DB"/>
    <w:rsid w:val="000643FD"/>
    <w:rsid w:val="00064DFF"/>
    <w:rsid w:val="00065129"/>
    <w:rsid w:val="00065236"/>
    <w:rsid w:val="000659FD"/>
    <w:rsid w:val="00066630"/>
    <w:rsid w:val="0006798C"/>
    <w:rsid w:val="000703D6"/>
    <w:rsid w:val="00072B63"/>
    <w:rsid w:val="00073B71"/>
    <w:rsid w:val="00073D61"/>
    <w:rsid w:val="0007482B"/>
    <w:rsid w:val="00075223"/>
    <w:rsid w:val="000752BE"/>
    <w:rsid w:val="0007752A"/>
    <w:rsid w:val="0008039F"/>
    <w:rsid w:val="00080752"/>
    <w:rsid w:val="00081FCA"/>
    <w:rsid w:val="00081FE2"/>
    <w:rsid w:val="00084EBF"/>
    <w:rsid w:val="0008687A"/>
    <w:rsid w:val="00086A47"/>
    <w:rsid w:val="00086CB5"/>
    <w:rsid w:val="00090A31"/>
    <w:rsid w:val="000915CF"/>
    <w:rsid w:val="000926DE"/>
    <w:rsid w:val="00093092"/>
    <w:rsid w:val="00093D12"/>
    <w:rsid w:val="000952EB"/>
    <w:rsid w:val="00095349"/>
    <w:rsid w:val="00095929"/>
    <w:rsid w:val="0009703D"/>
    <w:rsid w:val="000A37D8"/>
    <w:rsid w:val="000A4F6E"/>
    <w:rsid w:val="000A6B17"/>
    <w:rsid w:val="000A7804"/>
    <w:rsid w:val="000B158E"/>
    <w:rsid w:val="000B16A6"/>
    <w:rsid w:val="000B4BB6"/>
    <w:rsid w:val="000B68FB"/>
    <w:rsid w:val="000C0DF5"/>
    <w:rsid w:val="000C0FFA"/>
    <w:rsid w:val="000C1C2A"/>
    <w:rsid w:val="000C2E8F"/>
    <w:rsid w:val="000C3AD9"/>
    <w:rsid w:val="000C3D34"/>
    <w:rsid w:val="000C3D6E"/>
    <w:rsid w:val="000C458F"/>
    <w:rsid w:val="000C71E1"/>
    <w:rsid w:val="000C78A2"/>
    <w:rsid w:val="000D2EDA"/>
    <w:rsid w:val="000D61C4"/>
    <w:rsid w:val="000E30AE"/>
    <w:rsid w:val="000F7C19"/>
    <w:rsid w:val="001020C9"/>
    <w:rsid w:val="0010586A"/>
    <w:rsid w:val="00105922"/>
    <w:rsid w:val="001071C0"/>
    <w:rsid w:val="00110CE6"/>
    <w:rsid w:val="00111CB9"/>
    <w:rsid w:val="00111FC1"/>
    <w:rsid w:val="001125A7"/>
    <w:rsid w:val="001126AC"/>
    <w:rsid w:val="00116B66"/>
    <w:rsid w:val="00116DF1"/>
    <w:rsid w:val="00117A16"/>
    <w:rsid w:val="00122FD9"/>
    <w:rsid w:val="00124551"/>
    <w:rsid w:val="001257B4"/>
    <w:rsid w:val="001261A4"/>
    <w:rsid w:val="00130CFB"/>
    <w:rsid w:val="0013139D"/>
    <w:rsid w:val="00133966"/>
    <w:rsid w:val="001353A2"/>
    <w:rsid w:val="00145AC5"/>
    <w:rsid w:val="00150240"/>
    <w:rsid w:val="00155AE2"/>
    <w:rsid w:val="00156A63"/>
    <w:rsid w:val="00157146"/>
    <w:rsid w:val="00157606"/>
    <w:rsid w:val="00161297"/>
    <w:rsid w:val="00161B9A"/>
    <w:rsid w:val="00161E47"/>
    <w:rsid w:val="0016372D"/>
    <w:rsid w:val="00170F75"/>
    <w:rsid w:val="001710E0"/>
    <w:rsid w:val="001723B8"/>
    <w:rsid w:val="00172E43"/>
    <w:rsid w:val="00177282"/>
    <w:rsid w:val="001779BA"/>
    <w:rsid w:val="00177D43"/>
    <w:rsid w:val="00180F53"/>
    <w:rsid w:val="0018658D"/>
    <w:rsid w:val="00186823"/>
    <w:rsid w:val="00187037"/>
    <w:rsid w:val="0019020C"/>
    <w:rsid w:val="00192698"/>
    <w:rsid w:val="00194C35"/>
    <w:rsid w:val="001952FD"/>
    <w:rsid w:val="001971B7"/>
    <w:rsid w:val="0019773C"/>
    <w:rsid w:val="00197ED9"/>
    <w:rsid w:val="001A0BA8"/>
    <w:rsid w:val="001A555B"/>
    <w:rsid w:val="001B008E"/>
    <w:rsid w:val="001B00A9"/>
    <w:rsid w:val="001B078E"/>
    <w:rsid w:val="001B1187"/>
    <w:rsid w:val="001B3F30"/>
    <w:rsid w:val="001B6BCF"/>
    <w:rsid w:val="001B703E"/>
    <w:rsid w:val="001C5EFE"/>
    <w:rsid w:val="001C62B6"/>
    <w:rsid w:val="001C75A9"/>
    <w:rsid w:val="001C7E8A"/>
    <w:rsid w:val="001D1D1B"/>
    <w:rsid w:val="001D1F52"/>
    <w:rsid w:val="001D42D1"/>
    <w:rsid w:val="001D5B14"/>
    <w:rsid w:val="001E41EB"/>
    <w:rsid w:val="001E54E6"/>
    <w:rsid w:val="001F00C2"/>
    <w:rsid w:val="001F54AE"/>
    <w:rsid w:val="0020371C"/>
    <w:rsid w:val="00205233"/>
    <w:rsid w:val="002065F4"/>
    <w:rsid w:val="00206E01"/>
    <w:rsid w:val="00211DE0"/>
    <w:rsid w:val="00211EBD"/>
    <w:rsid w:val="002138F1"/>
    <w:rsid w:val="002160DC"/>
    <w:rsid w:val="00220F4E"/>
    <w:rsid w:val="00222FCF"/>
    <w:rsid w:val="00225DBC"/>
    <w:rsid w:val="00226B8A"/>
    <w:rsid w:val="002271B9"/>
    <w:rsid w:val="00230883"/>
    <w:rsid w:val="00230E0D"/>
    <w:rsid w:val="00233A5B"/>
    <w:rsid w:val="00233DA5"/>
    <w:rsid w:val="00237B7B"/>
    <w:rsid w:val="00240300"/>
    <w:rsid w:val="002405E1"/>
    <w:rsid w:val="00240D8D"/>
    <w:rsid w:val="002413C0"/>
    <w:rsid w:val="00242D25"/>
    <w:rsid w:val="002446ED"/>
    <w:rsid w:val="002472ED"/>
    <w:rsid w:val="00247678"/>
    <w:rsid w:val="00250776"/>
    <w:rsid w:val="00252798"/>
    <w:rsid w:val="0025430B"/>
    <w:rsid w:val="00255AE7"/>
    <w:rsid w:val="0026117B"/>
    <w:rsid w:val="00261775"/>
    <w:rsid w:val="00261D99"/>
    <w:rsid w:val="002622F7"/>
    <w:rsid w:val="00265904"/>
    <w:rsid w:val="00270FDF"/>
    <w:rsid w:val="00271B42"/>
    <w:rsid w:val="00272E4A"/>
    <w:rsid w:val="002737C7"/>
    <w:rsid w:val="002743D0"/>
    <w:rsid w:val="00275E54"/>
    <w:rsid w:val="00281095"/>
    <w:rsid w:val="002816C8"/>
    <w:rsid w:val="00283473"/>
    <w:rsid w:val="00283989"/>
    <w:rsid w:val="00295C22"/>
    <w:rsid w:val="002A0116"/>
    <w:rsid w:val="002A0F20"/>
    <w:rsid w:val="002A1136"/>
    <w:rsid w:val="002A20B6"/>
    <w:rsid w:val="002A3A8A"/>
    <w:rsid w:val="002A7100"/>
    <w:rsid w:val="002B2C5E"/>
    <w:rsid w:val="002B3D05"/>
    <w:rsid w:val="002B4E0A"/>
    <w:rsid w:val="002B67DA"/>
    <w:rsid w:val="002B70BF"/>
    <w:rsid w:val="002B740C"/>
    <w:rsid w:val="002BA14C"/>
    <w:rsid w:val="002C01DA"/>
    <w:rsid w:val="002C208E"/>
    <w:rsid w:val="002C2FEE"/>
    <w:rsid w:val="002C66CA"/>
    <w:rsid w:val="002C73BB"/>
    <w:rsid w:val="002C7AD5"/>
    <w:rsid w:val="002C7BFD"/>
    <w:rsid w:val="002D2B00"/>
    <w:rsid w:val="002D46D4"/>
    <w:rsid w:val="002D50F4"/>
    <w:rsid w:val="002D5315"/>
    <w:rsid w:val="002D609D"/>
    <w:rsid w:val="002D6500"/>
    <w:rsid w:val="002D7308"/>
    <w:rsid w:val="002D7BD6"/>
    <w:rsid w:val="002D7D49"/>
    <w:rsid w:val="002D7F35"/>
    <w:rsid w:val="002E1916"/>
    <w:rsid w:val="002E1BAB"/>
    <w:rsid w:val="002E2A76"/>
    <w:rsid w:val="002F11D3"/>
    <w:rsid w:val="002F3EAA"/>
    <w:rsid w:val="002F42CE"/>
    <w:rsid w:val="002F646E"/>
    <w:rsid w:val="002F688D"/>
    <w:rsid w:val="002F6E1D"/>
    <w:rsid w:val="00302615"/>
    <w:rsid w:val="00302630"/>
    <w:rsid w:val="003035C1"/>
    <w:rsid w:val="00303B6D"/>
    <w:rsid w:val="00304099"/>
    <w:rsid w:val="0030596F"/>
    <w:rsid w:val="003122A5"/>
    <w:rsid w:val="00315456"/>
    <w:rsid w:val="0032069C"/>
    <w:rsid w:val="00323469"/>
    <w:rsid w:val="00327D25"/>
    <w:rsid w:val="003310D0"/>
    <w:rsid w:val="003312D8"/>
    <w:rsid w:val="003315B1"/>
    <w:rsid w:val="00333862"/>
    <w:rsid w:val="0033501E"/>
    <w:rsid w:val="0033509E"/>
    <w:rsid w:val="003351D3"/>
    <w:rsid w:val="003352FC"/>
    <w:rsid w:val="00337640"/>
    <w:rsid w:val="003403E7"/>
    <w:rsid w:val="00343D17"/>
    <w:rsid w:val="00344BA2"/>
    <w:rsid w:val="00344CA7"/>
    <w:rsid w:val="0035336E"/>
    <w:rsid w:val="00353584"/>
    <w:rsid w:val="003554C4"/>
    <w:rsid w:val="00355521"/>
    <w:rsid w:val="003559DD"/>
    <w:rsid w:val="00355BA7"/>
    <w:rsid w:val="00356AE4"/>
    <w:rsid w:val="003571DF"/>
    <w:rsid w:val="00357691"/>
    <w:rsid w:val="00357735"/>
    <w:rsid w:val="0036064B"/>
    <w:rsid w:val="00361148"/>
    <w:rsid w:val="00361370"/>
    <w:rsid w:val="00364419"/>
    <w:rsid w:val="00367511"/>
    <w:rsid w:val="00373892"/>
    <w:rsid w:val="0037557F"/>
    <w:rsid w:val="00376050"/>
    <w:rsid w:val="00376B81"/>
    <w:rsid w:val="00382315"/>
    <w:rsid w:val="003857D4"/>
    <w:rsid w:val="003858A0"/>
    <w:rsid w:val="00390A75"/>
    <w:rsid w:val="003916EF"/>
    <w:rsid w:val="0039347A"/>
    <w:rsid w:val="003965F0"/>
    <w:rsid w:val="00396BE7"/>
    <w:rsid w:val="00396D3F"/>
    <w:rsid w:val="003A16BD"/>
    <w:rsid w:val="003A23AB"/>
    <w:rsid w:val="003A4305"/>
    <w:rsid w:val="003A4D7E"/>
    <w:rsid w:val="003A5EE8"/>
    <w:rsid w:val="003A933C"/>
    <w:rsid w:val="003B0A7D"/>
    <w:rsid w:val="003B1EF5"/>
    <w:rsid w:val="003B3DDF"/>
    <w:rsid w:val="003B6069"/>
    <w:rsid w:val="003C1D20"/>
    <w:rsid w:val="003C2B6E"/>
    <w:rsid w:val="003C3928"/>
    <w:rsid w:val="003C3ABB"/>
    <w:rsid w:val="003C5CED"/>
    <w:rsid w:val="003C67A0"/>
    <w:rsid w:val="003C69E2"/>
    <w:rsid w:val="003C7099"/>
    <w:rsid w:val="003D0708"/>
    <w:rsid w:val="003D1294"/>
    <w:rsid w:val="003D1689"/>
    <w:rsid w:val="003D1FCB"/>
    <w:rsid w:val="003D69E3"/>
    <w:rsid w:val="003D701A"/>
    <w:rsid w:val="003D7AFB"/>
    <w:rsid w:val="003E2E3F"/>
    <w:rsid w:val="003E7E99"/>
    <w:rsid w:val="003F133E"/>
    <w:rsid w:val="003F2CAA"/>
    <w:rsid w:val="003F3AC6"/>
    <w:rsid w:val="003F3E56"/>
    <w:rsid w:val="003F50DE"/>
    <w:rsid w:val="00400018"/>
    <w:rsid w:val="00401D9E"/>
    <w:rsid w:val="00402058"/>
    <w:rsid w:val="004040F5"/>
    <w:rsid w:val="0040740F"/>
    <w:rsid w:val="00407D5E"/>
    <w:rsid w:val="00407DE3"/>
    <w:rsid w:val="004100EC"/>
    <w:rsid w:val="004109E1"/>
    <w:rsid w:val="00411C9A"/>
    <w:rsid w:val="00417957"/>
    <w:rsid w:val="00417B19"/>
    <w:rsid w:val="00424419"/>
    <w:rsid w:val="0042591E"/>
    <w:rsid w:val="00426B0D"/>
    <w:rsid w:val="00431D29"/>
    <w:rsid w:val="00441153"/>
    <w:rsid w:val="004429BC"/>
    <w:rsid w:val="00442F48"/>
    <w:rsid w:val="004449F6"/>
    <w:rsid w:val="0044551C"/>
    <w:rsid w:val="00447708"/>
    <w:rsid w:val="00452739"/>
    <w:rsid w:val="0045283A"/>
    <w:rsid w:val="004541D5"/>
    <w:rsid w:val="00455CC8"/>
    <w:rsid w:val="00457AD8"/>
    <w:rsid w:val="0046075E"/>
    <w:rsid w:val="004622E3"/>
    <w:rsid w:val="0046251B"/>
    <w:rsid w:val="00467DEB"/>
    <w:rsid w:val="00470871"/>
    <w:rsid w:val="004716ED"/>
    <w:rsid w:val="00471C23"/>
    <w:rsid w:val="00472CCE"/>
    <w:rsid w:val="00473886"/>
    <w:rsid w:val="00473D7D"/>
    <w:rsid w:val="004744BE"/>
    <w:rsid w:val="00474E31"/>
    <w:rsid w:val="00477D38"/>
    <w:rsid w:val="004806AE"/>
    <w:rsid w:val="004806B3"/>
    <w:rsid w:val="00480745"/>
    <w:rsid w:val="004822C2"/>
    <w:rsid w:val="0049540B"/>
    <w:rsid w:val="00496492"/>
    <w:rsid w:val="00497388"/>
    <w:rsid w:val="0049753C"/>
    <w:rsid w:val="004A2856"/>
    <w:rsid w:val="004A664F"/>
    <w:rsid w:val="004A7383"/>
    <w:rsid w:val="004B0188"/>
    <w:rsid w:val="004B18C8"/>
    <w:rsid w:val="004B2BDF"/>
    <w:rsid w:val="004B6CA6"/>
    <w:rsid w:val="004B78F6"/>
    <w:rsid w:val="004C0346"/>
    <w:rsid w:val="004C502E"/>
    <w:rsid w:val="004C6BAD"/>
    <w:rsid w:val="004C6FAA"/>
    <w:rsid w:val="004D133B"/>
    <w:rsid w:val="004D1EAE"/>
    <w:rsid w:val="004D23EC"/>
    <w:rsid w:val="004D3807"/>
    <w:rsid w:val="004D7EB0"/>
    <w:rsid w:val="004D9C96"/>
    <w:rsid w:val="004E411F"/>
    <w:rsid w:val="004ECFF9"/>
    <w:rsid w:val="004F0302"/>
    <w:rsid w:val="004F46E5"/>
    <w:rsid w:val="004F6DFA"/>
    <w:rsid w:val="00500176"/>
    <w:rsid w:val="0050119C"/>
    <w:rsid w:val="00503A1A"/>
    <w:rsid w:val="00503B01"/>
    <w:rsid w:val="005059F6"/>
    <w:rsid w:val="0050638B"/>
    <w:rsid w:val="005066BD"/>
    <w:rsid w:val="00512D22"/>
    <w:rsid w:val="00512EEA"/>
    <w:rsid w:val="0051781E"/>
    <w:rsid w:val="00517BB1"/>
    <w:rsid w:val="005214C9"/>
    <w:rsid w:val="00523C1A"/>
    <w:rsid w:val="00527204"/>
    <w:rsid w:val="005304B5"/>
    <w:rsid w:val="00531E89"/>
    <w:rsid w:val="00537A0B"/>
    <w:rsid w:val="00540959"/>
    <w:rsid w:val="00541E36"/>
    <w:rsid w:val="0054378C"/>
    <w:rsid w:val="0054648B"/>
    <w:rsid w:val="00547982"/>
    <w:rsid w:val="00550A8E"/>
    <w:rsid w:val="00551C71"/>
    <w:rsid w:val="00552382"/>
    <w:rsid w:val="00561596"/>
    <w:rsid w:val="005668BF"/>
    <w:rsid w:val="00570CF2"/>
    <w:rsid w:val="0057464E"/>
    <w:rsid w:val="00576F5C"/>
    <w:rsid w:val="005771EA"/>
    <w:rsid w:val="00581633"/>
    <w:rsid w:val="00586908"/>
    <w:rsid w:val="00586E76"/>
    <w:rsid w:val="005902A4"/>
    <w:rsid w:val="0059043C"/>
    <w:rsid w:val="00590FDA"/>
    <w:rsid w:val="00592F5F"/>
    <w:rsid w:val="005A0538"/>
    <w:rsid w:val="005A42B8"/>
    <w:rsid w:val="005B4468"/>
    <w:rsid w:val="005B6975"/>
    <w:rsid w:val="005B750B"/>
    <w:rsid w:val="005C47FF"/>
    <w:rsid w:val="005C52BB"/>
    <w:rsid w:val="005C7B4B"/>
    <w:rsid w:val="005C7F42"/>
    <w:rsid w:val="005D0C2A"/>
    <w:rsid w:val="005D0CE1"/>
    <w:rsid w:val="005D2CA2"/>
    <w:rsid w:val="005E04CC"/>
    <w:rsid w:val="005E3317"/>
    <w:rsid w:val="005E581E"/>
    <w:rsid w:val="005F66B5"/>
    <w:rsid w:val="005F6C3A"/>
    <w:rsid w:val="005F6FAE"/>
    <w:rsid w:val="005F741B"/>
    <w:rsid w:val="00602C73"/>
    <w:rsid w:val="00604723"/>
    <w:rsid w:val="006061CE"/>
    <w:rsid w:val="00606979"/>
    <w:rsid w:val="00606BE2"/>
    <w:rsid w:val="00606CE1"/>
    <w:rsid w:val="00607769"/>
    <w:rsid w:val="00613A75"/>
    <w:rsid w:val="0061418C"/>
    <w:rsid w:val="006149BE"/>
    <w:rsid w:val="00616245"/>
    <w:rsid w:val="00616946"/>
    <w:rsid w:val="00616B21"/>
    <w:rsid w:val="006213DC"/>
    <w:rsid w:val="00621B88"/>
    <w:rsid w:val="00623995"/>
    <w:rsid w:val="00623D9A"/>
    <w:rsid w:val="00624532"/>
    <w:rsid w:val="00626434"/>
    <w:rsid w:val="00627F80"/>
    <w:rsid w:val="006309F9"/>
    <w:rsid w:val="006330B6"/>
    <w:rsid w:val="006331DE"/>
    <w:rsid w:val="0063392D"/>
    <w:rsid w:val="00633C14"/>
    <w:rsid w:val="00634480"/>
    <w:rsid w:val="00635F70"/>
    <w:rsid w:val="006374B1"/>
    <w:rsid w:val="00637B3E"/>
    <w:rsid w:val="00640037"/>
    <w:rsid w:val="0064182A"/>
    <w:rsid w:val="006421CB"/>
    <w:rsid w:val="00642EB5"/>
    <w:rsid w:val="006437CE"/>
    <w:rsid w:val="00644EFB"/>
    <w:rsid w:val="00645B31"/>
    <w:rsid w:val="00651C06"/>
    <w:rsid w:val="00652994"/>
    <w:rsid w:val="0065402B"/>
    <w:rsid w:val="006541A4"/>
    <w:rsid w:val="00654A41"/>
    <w:rsid w:val="00655863"/>
    <w:rsid w:val="00661D8F"/>
    <w:rsid w:val="00664F63"/>
    <w:rsid w:val="006673A3"/>
    <w:rsid w:val="00667956"/>
    <w:rsid w:val="0067299E"/>
    <w:rsid w:val="0067326B"/>
    <w:rsid w:val="00673461"/>
    <w:rsid w:val="006744B3"/>
    <w:rsid w:val="00677082"/>
    <w:rsid w:val="00680B0F"/>
    <w:rsid w:val="0068221C"/>
    <w:rsid w:val="006836D1"/>
    <w:rsid w:val="00683759"/>
    <w:rsid w:val="006905BB"/>
    <w:rsid w:val="00691E12"/>
    <w:rsid w:val="00692727"/>
    <w:rsid w:val="006932EB"/>
    <w:rsid w:val="00693CF6"/>
    <w:rsid w:val="00693F87"/>
    <w:rsid w:val="00694813"/>
    <w:rsid w:val="0069651A"/>
    <w:rsid w:val="006A0C74"/>
    <w:rsid w:val="006A0EF2"/>
    <w:rsid w:val="006A38A0"/>
    <w:rsid w:val="006A5DD7"/>
    <w:rsid w:val="006A5FF9"/>
    <w:rsid w:val="006A761F"/>
    <w:rsid w:val="006B0763"/>
    <w:rsid w:val="006B11F0"/>
    <w:rsid w:val="006B2308"/>
    <w:rsid w:val="006B2E92"/>
    <w:rsid w:val="006B4D89"/>
    <w:rsid w:val="006B4F8E"/>
    <w:rsid w:val="006B6ED6"/>
    <w:rsid w:val="006B72F4"/>
    <w:rsid w:val="006C054C"/>
    <w:rsid w:val="006C1A41"/>
    <w:rsid w:val="006C27D4"/>
    <w:rsid w:val="006C2A81"/>
    <w:rsid w:val="006C3D8D"/>
    <w:rsid w:val="006C40E7"/>
    <w:rsid w:val="006C496D"/>
    <w:rsid w:val="006C5427"/>
    <w:rsid w:val="006C7C01"/>
    <w:rsid w:val="006D3C83"/>
    <w:rsid w:val="006E4534"/>
    <w:rsid w:val="006E5D56"/>
    <w:rsid w:val="006E6664"/>
    <w:rsid w:val="006E6788"/>
    <w:rsid w:val="006F0BB3"/>
    <w:rsid w:val="006F67F7"/>
    <w:rsid w:val="00701032"/>
    <w:rsid w:val="0070132B"/>
    <w:rsid w:val="00703452"/>
    <w:rsid w:val="007036B6"/>
    <w:rsid w:val="007057B5"/>
    <w:rsid w:val="0071291A"/>
    <w:rsid w:val="0071582C"/>
    <w:rsid w:val="007203FB"/>
    <w:rsid w:val="00720760"/>
    <w:rsid w:val="00720EBF"/>
    <w:rsid w:val="007237A2"/>
    <w:rsid w:val="007255FC"/>
    <w:rsid w:val="007263F5"/>
    <w:rsid w:val="00731F37"/>
    <w:rsid w:val="00732ABF"/>
    <w:rsid w:val="007337D4"/>
    <w:rsid w:val="00734F18"/>
    <w:rsid w:val="00736D0A"/>
    <w:rsid w:val="007400AF"/>
    <w:rsid w:val="0074198B"/>
    <w:rsid w:val="00743F35"/>
    <w:rsid w:val="00745676"/>
    <w:rsid w:val="00745F60"/>
    <w:rsid w:val="0074715E"/>
    <w:rsid w:val="0074EC27"/>
    <w:rsid w:val="00751738"/>
    <w:rsid w:val="00752EB1"/>
    <w:rsid w:val="0075333A"/>
    <w:rsid w:val="00761196"/>
    <w:rsid w:val="0076791C"/>
    <w:rsid w:val="00767D1A"/>
    <w:rsid w:val="00773030"/>
    <w:rsid w:val="007749EA"/>
    <w:rsid w:val="0077646D"/>
    <w:rsid w:val="00776796"/>
    <w:rsid w:val="007835F8"/>
    <w:rsid w:val="00786B94"/>
    <w:rsid w:val="007874EB"/>
    <w:rsid w:val="00787651"/>
    <w:rsid w:val="00787A96"/>
    <w:rsid w:val="007900F7"/>
    <w:rsid w:val="00792BB1"/>
    <w:rsid w:val="00793CC9"/>
    <w:rsid w:val="00794A31"/>
    <w:rsid w:val="00795AE0"/>
    <w:rsid w:val="007A1984"/>
    <w:rsid w:val="007A46D7"/>
    <w:rsid w:val="007A52CE"/>
    <w:rsid w:val="007A71BE"/>
    <w:rsid w:val="007A7792"/>
    <w:rsid w:val="007A7F64"/>
    <w:rsid w:val="007B1749"/>
    <w:rsid w:val="007B2110"/>
    <w:rsid w:val="007B3725"/>
    <w:rsid w:val="007B5A72"/>
    <w:rsid w:val="007B6579"/>
    <w:rsid w:val="007B766F"/>
    <w:rsid w:val="007B7E96"/>
    <w:rsid w:val="007C0D4D"/>
    <w:rsid w:val="007C250E"/>
    <w:rsid w:val="007C2671"/>
    <w:rsid w:val="007C323B"/>
    <w:rsid w:val="007C4977"/>
    <w:rsid w:val="007C5EB8"/>
    <w:rsid w:val="007C64C6"/>
    <w:rsid w:val="007C6FCA"/>
    <w:rsid w:val="007D2F92"/>
    <w:rsid w:val="007E28AC"/>
    <w:rsid w:val="007E358B"/>
    <w:rsid w:val="007E3726"/>
    <w:rsid w:val="007E3966"/>
    <w:rsid w:val="007E7CEC"/>
    <w:rsid w:val="007F030D"/>
    <w:rsid w:val="007F19BA"/>
    <w:rsid w:val="007F4F5E"/>
    <w:rsid w:val="007F6135"/>
    <w:rsid w:val="007F6D9C"/>
    <w:rsid w:val="007F797F"/>
    <w:rsid w:val="0080074B"/>
    <w:rsid w:val="00801B52"/>
    <w:rsid w:val="00802CB9"/>
    <w:rsid w:val="0080413D"/>
    <w:rsid w:val="008045D1"/>
    <w:rsid w:val="00805267"/>
    <w:rsid w:val="008079B7"/>
    <w:rsid w:val="0081068A"/>
    <w:rsid w:val="00812269"/>
    <w:rsid w:val="00816722"/>
    <w:rsid w:val="00820D2D"/>
    <w:rsid w:val="00822765"/>
    <w:rsid w:val="00822EA2"/>
    <w:rsid w:val="00822F3B"/>
    <w:rsid w:val="0082325A"/>
    <w:rsid w:val="00823F15"/>
    <w:rsid w:val="008254CA"/>
    <w:rsid w:val="008257E0"/>
    <w:rsid w:val="00834274"/>
    <w:rsid w:val="008354F0"/>
    <w:rsid w:val="008404F5"/>
    <w:rsid w:val="008405AA"/>
    <w:rsid w:val="008466D4"/>
    <w:rsid w:val="00850597"/>
    <w:rsid w:val="0085191B"/>
    <w:rsid w:val="00854A71"/>
    <w:rsid w:val="00855868"/>
    <w:rsid w:val="00860CB8"/>
    <w:rsid w:val="00864C13"/>
    <w:rsid w:val="00865008"/>
    <w:rsid w:val="008651FD"/>
    <w:rsid w:val="00865BAC"/>
    <w:rsid w:val="0086631C"/>
    <w:rsid w:val="00871FC9"/>
    <w:rsid w:val="0087372C"/>
    <w:rsid w:val="0088443B"/>
    <w:rsid w:val="0088512E"/>
    <w:rsid w:val="0088570C"/>
    <w:rsid w:val="00885900"/>
    <w:rsid w:val="00891B34"/>
    <w:rsid w:val="00892A65"/>
    <w:rsid w:val="00893156"/>
    <w:rsid w:val="00896A42"/>
    <w:rsid w:val="008A03CD"/>
    <w:rsid w:val="008A0891"/>
    <w:rsid w:val="008A0E01"/>
    <w:rsid w:val="008A1947"/>
    <w:rsid w:val="008A1996"/>
    <w:rsid w:val="008A35B9"/>
    <w:rsid w:val="008A5400"/>
    <w:rsid w:val="008A65AC"/>
    <w:rsid w:val="008A7077"/>
    <w:rsid w:val="008A7B5E"/>
    <w:rsid w:val="008C201F"/>
    <w:rsid w:val="008C6F10"/>
    <w:rsid w:val="008D1976"/>
    <w:rsid w:val="008D3404"/>
    <w:rsid w:val="008D5E06"/>
    <w:rsid w:val="008D620F"/>
    <w:rsid w:val="008D7BFA"/>
    <w:rsid w:val="008E2393"/>
    <w:rsid w:val="008E3B96"/>
    <w:rsid w:val="008E517B"/>
    <w:rsid w:val="008E58EF"/>
    <w:rsid w:val="008E6052"/>
    <w:rsid w:val="008E70D4"/>
    <w:rsid w:val="008E7EED"/>
    <w:rsid w:val="008F0E7D"/>
    <w:rsid w:val="008F25EE"/>
    <w:rsid w:val="008F3918"/>
    <w:rsid w:val="008F4551"/>
    <w:rsid w:val="008F73B8"/>
    <w:rsid w:val="00902A43"/>
    <w:rsid w:val="00904BE0"/>
    <w:rsid w:val="00906950"/>
    <w:rsid w:val="009143EB"/>
    <w:rsid w:val="009166F2"/>
    <w:rsid w:val="00916A55"/>
    <w:rsid w:val="00917581"/>
    <w:rsid w:val="009221D8"/>
    <w:rsid w:val="009230A8"/>
    <w:rsid w:val="009241D9"/>
    <w:rsid w:val="009243EF"/>
    <w:rsid w:val="00924C52"/>
    <w:rsid w:val="00927A4E"/>
    <w:rsid w:val="00930EAA"/>
    <w:rsid w:val="00936046"/>
    <w:rsid w:val="00937B4C"/>
    <w:rsid w:val="00940D22"/>
    <w:rsid w:val="0094206F"/>
    <w:rsid w:val="009432A9"/>
    <w:rsid w:val="00944A14"/>
    <w:rsid w:val="00947BC9"/>
    <w:rsid w:val="00950AAE"/>
    <w:rsid w:val="00954119"/>
    <w:rsid w:val="009541AA"/>
    <w:rsid w:val="00955022"/>
    <w:rsid w:val="009562DE"/>
    <w:rsid w:val="00957675"/>
    <w:rsid w:val="009634A9"/>
    <w:rsid w:val="00963BE4"/>
    <w:rsid w:val="00972AB6"/>
    <w:rsid w:val="00973B35"/>
    <w:rsid w:val="009742EB"/>
    <w:rsid w:val="00975F43"/>
    <w:rsid w:val="00976166"/>
    <w:rsid w:val="00980316"/>
    <w:rsid w:val="00980B32"/>
    <w:rsid w:val="00981DC6"/>
    <w:rsid w:val="00985E5C"/>
    <w:rsid w:val="0098711B"/>
    <w:rsid w:val="0098795E"/>
    <w:rsid w:val="00992170"/>
    <w:rsid w:val="00992339"/>
    <w:rsid w:val="00992897"/>
    <w:rsid w:val="009937AD"/>
    <w:rsid w:val="00994278"/>
    <w:rsid w:val="00994AA7"/>
    <w:rsid w:val="00997F9B"/>
    <w:rsid w:val="009A0A41"/>
    <w:rsid w:val="009A0CDA"/>
    <w:rsid w:val="009A3A3F"/>
    <w:rsid w:val="009A4E89"/>
    <w:rsid w:val="009A5A3A"/>
    <w:rsid w:val="009B0115"/>
    <w:rsid w:val="009B0781"/>
    <w:rsid w:val="009B0783"/>
    <w:rsid w:val="009B1526"/>
    <w:rsid w:val="009C4246"/>
    <w:rsid w:val="009C564E"/>
    <w:rsid w:val="009C70DE"/>
    <w:rsid w:val="009C728B"/>
    <w:rsid w:val="009D0FB6"/>
    <w:rsid w:val="009D18A0"/>
    <w:rsid w:val="009D3DD6"/>
    <w:rsid w:val="009D4921"/>
    <w:rsid w:val="009D7190"/>
    <w:rsid w:val="009E039A"/>
    <w:rsid w:val="009E0B7E"/>
    <w:rsid w:val="009E13E9"/>
    <w:rsid w:val="009E1BAC"/>
    <w:rsid w:val="009E2F2A"/>
    <w:rsid w:val="009E57D2"/>
    <w:rsid w:val="009E5A5A"/>
    <w:rsid w:val="009E6FA6"/>
    <w:rsid w:val="009E788A"/>
    <w:rsid w:val="009F24FE"/>
    <w:rsid w:val="009F34DA"/>
    <w:rsid w:val="009F7122"/>
    <w:rsid w:val="00A009A4"/>
    <w:rsid w:val="00A02662"/>
    <w:rsid w:val="00A02C0B"/>
    <w:rsid w:val="00A03E2B"/>
    <w:rsid w:val="00A04C82"/>
    <w:rsid w:val="00A10B94"/>
    <w:rsid w:val="00A118C0"/>
    <w:rsid w:val="00A16167"/>
    <w:rsid w:val="00A16843"/>
    <w:rsid w:val="00A16896"/>
    <w:rsid w:val="00A17006"/>
    <w:rsid w:val="00A17B63"/>
    <w:rsid w:val="00A17BB5"/>
    <w:rsid w:val="00A214D1"/>
    <w:rsid w:val="00A21AD3"/>
    <w:rsid w:val="00A22909"/>
    <w:rsid w:val="00A263F6"/>
    <w:rsid w:val="00A267C2"/>
    <w:rsid w:val="00A30DF9"/>
    <w:rsid w:val="00A311A8"/>
    <w:rsid w:val="00A31970"/>
    <w:rsid w:val="00A31FD6"/>
    <w:rsid w:val="00A33EAA"/>
    <w:rsid w:val="00A35DF6"/>
    <w:rsid w:val="00A40F99"/>
    <w:rsid w:val="00A438F9"/>
    <w:rsid w:val="00A44C99"/>
    <w:rsid w:val="00A508DC"/>
    <w:rsid w:val="00A511D9"/>
    <w:rsid w:val="00A53D2A"/>
    <w:rsid w:val="00A53DD0"/>
    <w:rsid w:val="00A56A11"/>
    <w:rsid w:val="00A56E91"/>
    <w:rsid w:val="00A57D93"/>
    <w:rsid w:val="00A633BC"/>
    <w:rsid w:val="00A64517"/>
    <w:rsid w:val="00A66D4A"/>
    <w:rsid w:val="00A72E48"/>
    <w:rsid w:val="00A730E9"/>
    <w:rsid w:val="00A77627"/>
    <w:rsid w:val="00A81691"/>
    <w:rsid w:val="00A828EF"/>
    <w:rsid w:val="00A83110"/>
    <w:rsid w:val="00A840BD"/>
    <w:rsid w:val="00A844BC"/>
    <w:rsid w:val="00A868BD"/>
    <w:rsid w:val="00A8760B"/>
    <w:rsid w:val="00A950C8"/>
    <w:rsid w:val="00A96E4E"/>
    <w:rsid w:val="00AA05E2"/>
    <w:rsid w:val="00AA16E4"/>
    <w:rsid w:val="00AA6580"/>
    <w:rsid w:val="00AB4280"/>
    <w:rsid w:val="00AB4644"/>
    <w:rsid w:val="00AB642E"/>
    <w:rsid w:val="00AC36D7"/>
    <w:rsid w:val="00AC3F01"/>
    <w:rsid w:val="00AC512A"/>
    <w:rsid w:val="00AC5785"/>
    <w:rsid w:val="00AD0E19"/>
    <w:rsid w:val="00AD1124"/>
    <w:rsid w:val="00AD39E9"/>
    <w:rsid w:val="00AD4B6C"/>
    <w:rsid w:val="00AE360C"/>
    <w:rsid w:val="00AE38D2"/>
    <w:rsid w:val="00AE4EF6"/>
    <w:rsid w:val="00AF0BB8"/>
    <w:rsid w:val="00AF22C6"/>
    <w:rsid w:val="00AF453A"/>
    <w:rsid w:val="00AF5A08"/>
    <w:rsid w:val="00AF6A6E"/>
    <w:rsid w:val="00B007E0"/>
    <w:rsid w:val="00B02B18"/>
    <w:rsid w:val="00B0407D"/>
    <w:rsid w:val="00B043AF"/>
    <w:rsid w:val="00B05016"/>
    <w:rsid w:val="00B06360"/>
    <w:rsid w:val="00B07FC0"/>
    <w:rsid w:val="00B11BC8"/>
    <w:rsid w:val="00B131F5"/>
    <w:rsid w:val="00B22938"/>
    <w:rsid w:val="00B25119"/>
    <w:rsid w:val="00B3028A"/>
    <w:rsid w:val="00B30908"/>
    <w:rsid w:val="00B36146"/>
    <w:rsid w:val="00B36A8D"/>
    <w:rsid w:val="00B36DDF"/>
    <w:rsid w:val="00B37189"/>
    <w:rsid w:val="00B37587"/>
    <w:rsid w:val="00B4528B"/>
    <w:rsid w:val="00B46397"/>
    <w:rsid w:val="00B51B81"/>
    <w:rsid w:val="00B5316E"/>
    <w:rsid w:val="00B54B1C"/>
    <w:rsid w:val="00B55191"/>
    <w:rsid w:val="00B56810"/>
    <w:rsid w:val="00B6103B"/>
    <w:rsid w:val="00B61405"/>
    <w:rsid w:val="00B61417"/>
    <w:rsid w:val="00B616D6"/>
    <w:rsid w:val="00B6401C"/>
    <w:rsid w:val="00B70FD5"/>
    <w:rsid w:val="00B73A23"/>
    <w:rsid w:val="00B76801"/>
    <w:rsid w:val="00B77829"/>
    <w:rsid w:val="00B77C02"/>
    <w:rsid w:val="00B8090B"/>
    <w:rsid w:val="00B819C2"/>
    <w:rsid w:val="00B81E6A"/>
    <w:rsid w:val="00B82141"/>
    <w:rsid w:val="00B829C0"/>
    <w:rsid w:val="00B86671"/>
    <w:rsid w:val="00B90A73"/>
    <w:rsid w:val="00B91496"/>
    <w:rsid w:val="00B9287A"/>
    <w:rsid w:val="00B93602"/>
    <w:rsid w:val="00B9486C"/>
    <w:rsid w:val="00B97432"/>
    <w:rsid w:val="00BA114A"/>
    <w:rsid w:val="00BA1522"/>
    <w:rsid w:val="00BA18AA"/>
    <w:rsid w:val="00BA1B3D"/>
    <w:rsid w:val="00BA496C"/>
    <w:rsid w:val="00BA4BE0"/>
    <w:rsid w:val="00BA5E5A"/>
    <w:rsid w:val="00BB062C"/>
    <w:rsid w:val="00BB2004"/>
    <w:rsid w:val="00BB3ECD"/>
    <w:rsid w:val="00BB3EFF"/>
    <w:rsid w:val="00BB59FE"/>
    <w:rsid w:val="00BB5E3B"/>
    <w:rsid w:val="00BB6C5E"/>
    <w:rsid w:val="00BC36A5"/>
    <w:rsid w:val="00BC3C6A"/>
    <w:rsid w:val="00BC4579"/>
    <w:rsid w:val="00BC6233"/>
    <w:rsid w:val="00BD054A"/>
    <w:rsid w:val="00BD3288"/>
    <w:rsid w:val="00BD4680"/>
    <w:rsid w:val="00BD4BAB"/>
    <w:rsid w:val="00BD65FD"/>
    <w:rsid w:val="00BD6EB3"/>
    <w:rsid w:val="00BD6EB7"/>
    <w:rsid w:val="00BE1988"/>
    <w:rsid w:val="00BE2EF7"/>
    <w:rsid w:val="00BE60F7"/>
    <w:rsid w:val="00BF21DF"/>
    <w:rsid w:val="00BF30DC"/>
    <w:rsid w:val="00BF417E"/>
    <w:rsid w:val="00BF746E"/>
    <w:rsid w:val="00C00315"/>
    <w:rsid w:val="00C00EFB"/>
    <w:rsid w:val="00C05FF5"/>
    <w:rsid w:val="00C10E84"/>
    <w:rsid w:val="00C11608"/>
    <w:rsid w:val="00C12C25"/>
    <w:rsid w:val="00C165E3"/>
    <w:rsid w:val="00C259EB"/>
    <w:rsid w:val="00C26F56"/>
    <w:rsid w:val="00C33E34"/>
    <w:rsid w:val="00C402D8"/>
    <w:rsid w:val="00C40A78"/>
    <w:rsid w:val="00C42CFD"/>
    <w:rsid w:val="00C42DB3"/>
    <w:rsid w:val="00C446CD"/>
    <w:rsid w:val="00C46426"/>
    <w:rsid w:val="00C469F7"/>
    <w:rsid w:val="00C4793A"/>
    <w:rsid w:val="00C5239E"/>
    <w:rsid w:val="00C53EE7"/>
    <w:rsid w:val="00C573BA"/>
    <w:rsid w:val="00C64097"/>
    <w:rsid w:val="00C6472F"/>
    <w:rsid w:val="00C64F65"/>
    <w:rsid w:val="00C65E7B"/>
    <w:rsid w:val="00C67D3A"/>
    <w:rsid w:val="00C738D3"/>
    <w:rsid w:val="00C754E2"/>
    <w:rsid w:val="00C76E94"/>
    <w:rsid w:val="00C84140"/>
    <w:rsid w:val="00C841BA"/>
    <w:rsid w:val="00C84646"/>
    <w:rsid w:val="00C84886"/>
    <w:rsid w:val="00C875EC"/>
    <w:rsid w:val="00C91094"/>
    <w:rsid w:val="00C92271"/>
    <w:rsid w:val="00C927E4"/>
    <w:rsid w:val="00C94B68"/>
    <w:rsid w:val="00CA2E62"/>
    <w:rsid w:val="00CA3898"/>
    <w:rsid w:val="00CA5062"/>
    <w:rsid w:val="00CA6CA7"/>
    <w:rsid w:val="00CB2DE4"/>
    <w:rsid w:val="00CB4AD3"/>
    <w:rsid w:val="00CB6DAB"/>
    <w:rsid w:val="00CB8406"/>
    <w:rsid w:val="00CC2F4E"/>
    <w:rsid w:val="00CC37FB"/>
    <w:rsid w:val="00CC4617"/>
    <w:rsid w:val="00CC5C80"/>
    <w:rsid w:val="00CC6269"/>
    <w:rsid w:val="00CD1FAB"/>
    <w:rsid w:val="00CD35E9"/>
    <w:rsid w:val="00CD41C6"/>
    <w:rsid w:val="00CD4322"/>
    <w:rsid w:val="00CD5471"/>
    <w:rsid w:val="00CD5E8A"/>
    <w:rsid w:val="00CD6D1F"/>
    <w:rsid w:val="00CE031D"/>
    <w:rsid w:val="00CE177D"/>
    <w:rsid w:val="00CE204A"/>
    <w:rsid w:val="00CE55E0"/>
    <w:rsid w:val="00CF3200"/>
    <w:rsid w:val="00CF3235"/>
    <w:rsid w:val="00D00662"/>
    <w:rsid w:val="00D03235"/>
    <w:rsid w:val="00D063D3"/>
    <w:rsid w:val="00D06E83"/>
    <w:rsid w:val="00D12D62"/>
    <w:rsid w:val="00D13272"/>
    <w:rsid w:val="00D13FBD"/>
    <w:rsid w:val="00D14002"/>
    <w:rsid w:val="00D15F6B"/>
    <w:rsid w:val="00D24592"/>
    <w:rsid w:val="00D24FDA"/>
    <w:rsid w:val="00D2654D"/>
    <w:rsid w:val="00D3040C"/>
    <w:rsid w:val="00D319DA"/>
    <w:rsid w:val="00D3275B"/>
    <w:rsid w:val="00D32765"/>
    <w:rsid w:val="00D33183"/>
    <w:rsid w:val="00D34739"/>
    <w:rsid w:val="00D34D72"/>
    <w:rsid w:val="00D34FFE"/>
    <w:rsid w:val="00D3546A"/>
    <w:rsid w:val="00D42542"/>
    <w:rsid w:val="00D4355D"/>
    <w:rsid w:val="00D43B80"/>
    <w:rsid w:val="00D44D94"/>
    <w:rsid w:val="00D44E9B"/>
    <w:rsid w:val="00D52E96"/>
    <w:rsid w:val="00D56F0E"/>
    <w:rsid w:val="00D63527"/>
    <w:rsid w:val="00D6390A"/>
    <w:rsid w:val="00D64ABF"/>
    <w:rsid w:val="00D65358"/>
    <w:rsid w:val="00D6716A"/>
    <w:rsid w:val="00D67C5B"/>
    <w:rsid w:val="00D724E0"/>
    <w:rsid w:val="00D74388"/>
    <w:rsid w:val="00D74A60"/>
    <w:rsid w:val="00D81682"/>
    <w:rsid w:val="00D82E31"/>
    <w:rsid w:val="00D83413"/>
    <w:rsid w:val="00D90420"/>
    <w:rsid w:val="00D90C31"/>
    <w:rsid w:val="00D91051"/>
    <w:rsid w:val="00D976D6"/>
    <w:rsid w:val="00DA09DF"/>
    <w:rsid w:val="00DA2641"/>
    <w:rsid w:val="00DB1C5B"/>
    <w:rsid w:val="00DB4DB6"/>
    <w:rsid w:val="00DB7AB5"/>
    <w:rsid w:val="00DC270F"/>
    <w:rsid w:val="00DD0674"/>
    <w:rsid w:val="00DD0D51"/>
    <w:rsid w:val="00DD242E"/>
    <w:rsid w:val="00DE098F"/>
    <w:rsid w:val="00DE127E"/>
    <w:rsid w:val="00DE27F5"/>
    <w:rsid w:val="00DF0FD8"/>
    <w:rsid w:val="00DF1D9A"/>
    <w:rsid w:val="00DF1F83"/>
    <w:rsid w:val="00E00182"/>
    <w:rsid w:val="00E004CC"/>
    <w:rsid w:val="00E008AB"/>
    <w:rsid w:val="00E02EB3"/>
    <w:rsid w:val="00E03F8F"/>
    <w:rsid w:val="00E0423C"/>
    <w:rsid w:val="00E077DB"/>
    <w:rsid w:val="00E10CA6"/>
    <w:rsid w:val="00E10F7E"/>
    <w:rsid w:val="00E11339"/>
    <w:rsid w:val="00E13B52"/>
    <w:rsid w:val="00E171EE"/>
    <w:rsid w:val="00E21EFB"/>
    <w:rsid w:val="00E22054"/>
    <w:rsid w:val="00E22C23"/>
    <w:rsid w:val="00E25BDD"/>
    <w:rsid w:val="00E26325"/>
    <w:rsid w:val="00E26AB5"/>
    <w:rsid w:val="00E276E6"/>
    <w:rsid w:val="00E303C8"/>
    <w:rsid w:val="00E3329E"/>
    <w:rsid w:val="00E360A6"/>
    <w:rsid w:val="00E36165"/>
    <w:rsid w:val="00E40411"/>
    <w:rsid w:val="00E4041D"/>
    <w:rsid w:val="00E40699"/>
    <w:rsid w:val="00E429EA"/>
    <w:rsid w:val="00E43703"/>
    <w:rsid w:val="00E448B7"/>
    <w:rsid w:val="00E451BB"/>
    <w:rsid w:val="00E46539"/>
    <w:rsid w:val="00E46757"/>
    <w:rsid w:val="00E46882"/>
    <w:rsid w:val="00E5131D"/>
    <w:rsid w:val="00E52B37"/>
    <w:rsid w:val="00E566D6"/>
    <w:rsid w:val="00E573FF"/>
    <w:rsid w:val="00E57726"/>
    <w:rsid w:val="00E605F5"/>
    <w:rsid w:val="00E62F3F"/>
    <w:rsid w:val="00E642EF"/>
    <w:rsid w:val="00E66336"/>
    <w:rsid w:val="00E70941"/>
    <w:rsid w:val="00E710D1"/>
    <w:rsid w:val="00E73C77"/>
    <w:rsid w:val="00E8031C"/>
    <w:rsid w:val="00E80588"/>
    <w:rsid w:val="00E805BF"/>
    <w:rsid w:val="00E81D21"/>
    <w:rsid w:val="00E8516E"/>
    <w:rsid w:val="00E90CD3"/>
    <w:rsid w:val="00E90F44"/>
    <w:rsid w:val="00E92A5B"/>
    <w:rsid w:val="00E96513"/>
    <w:rsid w:val="00EA1272"/>
    <w:rsid w:val="00EA2321"/>
    <w:rsid w:val="00EA3798"/>
    <w:rsid w:val="00EA4621"/>
    <w:rsid w:val="00EA4E41"/>
    <w:rsid w:val="00EA6007"/>
    <w:rsid w:val="00EA7FE6"/>
    <w:rsid w:val="00EB267F"/>
    <w:rsid w:val="00EB319A"/>
    <w:rsid w:val="00EB45F9"/>
    <w:rsid w:val="00EB5E50"/>
    <w:rsid w:val="00EB65FD"/>
    <w:rsid w:val="00EB664E"/>
    <w:rsid w:val="00EC7DDD"/>
    <w:rsid w:val="00ED0521"/>
    <w:rsid w:val="00ED0B1D"/>
    <w:rsid w:val="00ED1745"/>
    <w:rsid w:val="00ED239E"/>
    <w:rsid w:val="00ED588D"/>
    <w:rsid w:val="00EE05B4"/>
    <w:rsid w:val="00EE2CC0"/>
    <w:rsid w:val="00EE4EBB"/>
    <w:rsid w:val="00EE5FA8"/>
    <w:rsid w:val="00EE6679"/>
    <w:rsid w:val="00EF04CB"/>
    <w:rsid w:val="00EF46D4"/>
    <w:rsid w:val="00EF7068"/>
    <w:rsid w:val="00F03CB9"/>
    <w:rsid w:val="00F05039"/>
    <w:rsid w:val="00F057ED"/>
    <w:rsid w:val="00F0655D"/>
    <w:rsid w:val="00F0663A"/>
    <w:rsid w:val="00F127CA"/>
    <w:rsid w:val="00F13893"/>
    <w:rsid w:val="00F13A0E"/>
    <w:rsid w:val="00F13C61"/>
    <w:rsid w:val="00F16840"/>
    <w:rsid w:val="00F16A2C"/>
    <w:rsid w:val="00F20819"/>
    <w:rsid w:val="00F2240F"/>
    <w:rsid w:val="00F2484B"/>
    <w:rsid w:val="00F250EB"/>
    <w:rsid w:val="00F2536F"/>
    <w:rsid w:val="00F26260"/>
    <w:rsid w:val="00F3092E"/>
    <w:rsid w:val="00F35E95"/>
    <w:rsid w:val="00F42CC3"/>
    <w:rsid w:val="00F43ADB"/>
    <w:rsid w:val="00F4578F"/>
    <w:rsid w:val="00F462FA"/>
    <w:rsid w:val="00F477AC"/>
    <w:rsid w:val="00F47E3B"/>
    <w:rsid w:val="00F51C90"/>
    <w:rsid w:val="00F53486"/>
    <w:rsid w:val="00F53B37"/>
    <w:rsid w:val="00F541D6"/>
    <w:rsid w:val="00F5433D"/>
    <w:rsid w:val="00F56CB9"/>
    <w:rsid w:val="00F601C2"/>
    <w:rsid w:val="00F61271"/>
    <w:rsid w:val="00F62018"/>
    <w:rsid w:val="00F65157"/>
    <w:rsid w:val="00F65574"/>
    <w:rsid w:val="00F65969"/>
    <w:rsid w:val="00F67932"/>
    <w:rsid w:val="00F7055F"/>
    <w:rsid w:val="00F709BB"/>
    <w:rsid w:val="00F726A3"/>
    <w:rsid w:val="00F73DE6"/>
    <w:rsid w:val="00F83B58"/>
    <w:rsid w:val="00F8450F"/>
    <w:rsid w:val="00FA05BA"/>
    <w:rsid w:val="00FA0837"/>
    <w:rsid w:val="00FA0D79"/>
    <w:rsid w:val="00FA1D46"/>
    <w:rsid w:val="00FA1FA4"/>
    <w:rsid w:val="00FA29C9"/>
    <w:rsid w:val="00FA3589"/>
    <w:rsid w:val="00FA3E0E"/>
    <w:rsid w:val="00FA5633"/>
    <w:rsid w:val="00FA79CB"/>
    <w:rsid w:val="00FB6948"/>
    <w:rsid w:val="00FC2ABC"/>
    <w:rsid w:val="00FC5287"/>
    <w:rsid w:val="00FC6193"/>
    <w:rsid w:val="00FE11B3"/>
    <w:rsid w:val="00FE62DD"/>
    <w:rsid w:val="00FE6B63"/>
    <w:rsid w:val="00FE6F9A"/>
    <w:rsid w:val="00FE7A53"/>
    <w:rsid w:val="00FE7AB1"/>
    <w:rsid w:val="00FF1D72"/>
    <w:rsid w:val="00FF3200"/>
    <w:rsid w:val="011456CE"/>
    <w:rsid w:val="01396536"/>
    <w:rsid w:val="0145F27D"/>
    <w:rsid w:val="016BB1FB"/>
    <w:rsid w:val="016C03CB"/>
    <w:rsid w:val="0186F263"/>
    <w:rsid w:val="0199877D"/>
    <w:rsid w:val="01B62F9B"/>
    <w:rsid w:val="01B7CC79"/>
    <w:rsid w:val="01E376E5"/>
    <w:rsid w:val="022400B5"/>
    <w:rsid w:val="022E8991"/>
    <w:rsid w:val="024D4C3D"/>
    <w:rsid w:val="02527990"/>
    <w:rsid w:val="025E6ED7"/>
    <w:rsid w:val="02861EA2"/>
    <w:rsid w:val="02938117"/>
    <w:rsid w:val="02D53597"/>
    <w:rsid w:val="030D300D"/>
    <w:rsid w:val="032C5B0E"/>
    <w:rsid w:val="033F85B5"/>
    <w:rsid w:val="037F4746"/>
    <w:rsid w:val="03AC450B"/>
    <w:rsid w:val="0439ECEC"/>
    <w:rsid w:val="04408042"/>
    <w:rsid w:val="0497FE8A"/>
    <w:rsid w:val="04BCE560"/>
    <w:rsid w:val="04BE9325"/>
    <w:rsid w:val="05357565"/>
    <w:rsid w:val="0543FE8F"/>
    <w:rsid w:val="057F8E22"/>
    <w:rsid w:val="058609B1"/>
    <w:rsid w:val="05869899"/>
    <w:rsid w:val="059B402D"/>
    <w:rsid w:val="05B08BB5"/>
    <w:rsid w:val="05BFAFBC"/>
    <w:rsid w:val="05E8338C"/>
    <w:rsid w:val="062A4107"/>
    <w:rsid w:val="064C7490"/>
    <w:rsid w:val="06830A8F"/>
    <w:rsid w:val="06B9D413"/>
    <w:rsid w:val="06F92691"/>
    <w:rsid w:val="0705CB14"/>
    <w:rsid w:val="07240CEA"/>
    <w:rsid w:val="0726A507"/>
    <w:rsid w:val="074BBE01"/>
    <w:rsid w:val="07537183"/>
    <w:rsid w:val="07C6FB15"/>
    <w:rsid w:val="07DFA06B"/>
    <w:rsid w:val="07F44138"/>
    <w:rsid w:val="07FEB601"/>
    <w:rsid w:val="080E3E67"/>
    <w:rsid w:val="0823AC78"/>
    <w:rsid w:val="0837FEAB"/>
    <w:rsid w:val="083A59E5"/>
    <w:rsid w:val="08606A72"/>
    <w:rsid w:val="088B8FE6"/>
    <w:rsid w:val="088C173F"/>
    <w:rsid w:val="088D067E"/>
    <w:rsid w:val="08F7FAD3"/>
    <w:rsid w:val="08F95127"/>
    <w:rsid w:val="0946043E"/>
    <w:rsid w:val="097E4B27"/>
    <w:rsid w:val="09E7935C"/>
    <w:rsid w:val="09ED1247"/>
    <w:rsid w:val="09EE88CA"/>
    <w:rsid w:val="09F3D1C8"/>
    <w:rsid w:val="09F59103"/>
    <w:rsid w:val="0A11578E"/>
    <w:rsid w:val="0A12C0C7"/>
    <w:rsid w:val="0A23038D"/>
    <w:rsid w:val="0A25AB03"/>
    <w:rsid w:val="0A85BBA8"/>
    <w:rsid w:val="0A9B42DE"/>
    <w:rsid w:val="0AC6E42A"/>
    <w:rsid w:val="0AD6D7CE"/>
    <w:rsid w:val="0B1CF7D1"/>
    <w:rsid w:val="0BC330A8"/>
    <w:rsid w:val="0BCC5AB0"/>
    <w:rsid w:val="0BEDC36E"/>
    <w:rsid w:val="0BF6F360"/>
    <w:rsid w:val="0C0FFF42"/>
    <w:rsid w:val="0C27114A"/>
    <w:rsid w:val="0C46B896"/>
    <w:rsid w:val="0C819FC6"/>
    <w:rsid w:val="0CB29B57"/>
    <w:rsid w:val="0CB80BAB"/>
    <w:rsid w:val="0CE1B6DC"/>
    <w:rsid w:val="0CF88118"/>
    <w:rsid w:val="0D1839C2"/>
    <w:rsid w:val="0D2CA9EF"/>
    <w:rsid w:val="0D34CBD3"/>
    <w:rsid w:val="0D36473E"/>
    <w:rsid w:val="0D48FBA9"/>
    <w:rsid w:val="0D4F185A"/>
    <w:rsid w:val="0D5F0109"/>
    <w:rsid w:val="0D6077A1"/>
    <w:rsid w:val="0D674F10"/>
    <w:rsid w:val="0D726D17"/>
    <w:rsid w:val="0D8D0D6B"/>
    <w:rsid w:val="0DEC76C1"/>
    <w:rsid w:val="0E11043F"/>
    <w:rsid w:val="0E129749"/>
    <w:rsid w:val="0E1D5E8B"/>
    <w:rsid w:val="0E390450"/>
    <w:rsid w:val="0E549893"/>
    <w:rsid w:val="0E7B66EA"/>
    <w:rsid w:val="0EA2D5B2"/>
    <w:rsid w:val="0EB4F42E"/>
    <w:rsid w:val="0F189C30"/>
    <w:rsid w:val="0F725FC0"/>
    <w:rsid w:val="0F9E292C"/>
    <w:rsid w:val="0FA541E5"/>
    <w:rsid w:val="0FAACC05"/>
    <w:rsid w:val="0FB3325D"/>
    <w:rsid w:val="0FEAA2E6"/>
    <w:rsid w:val="10237D51"/>
    <w:rsid w:val="102C436D"/>
    <w:rsid w:val="10307F70"/>
    <w:rsid w:val="104D7F90"/>
    <w:rsid w:val="10981863"/>
    <w:rsid w:val="109CC77D"/>
    <w:rsid w:val="10A6CD47"/>
    <w:rsid w:val="10B46C91"/>
    <w:rsid w:val="10DC3E61"/>
    <w:rsid w:val="10EE1DBA"/>
    <w:rsid w:val="10EE7557"/>
    <w:rsid w:val="1131430C"/>
    <w:rsid w:val="115C00EC"/>
    <w:rsid w:val="115D55A1"/>
    <w:rsid w:val="1183EDD0"/>
    <w:rsid w:val="118C3955"/>
    <w:rsid w:val="11A19F37"/>
    <w:rsid w:val="12471803"/>
    <w:rsid w:val="124BF344"/>
    <w:rsid w:val="124CBAEA"/>
    <w:rsid w:val="125CD364"/>
    <w:rsid w:val="12795C9E"/>
    <w:rsid w:val="127BAF31"/>
    <w:rsid w:val="1281C268"/>
    <w:rsid w:val="128A45B8"/>
    <w:rsid w:val="12C1FF23"/>
    <w:rsid w:val="12C84443"/>
    <w:rsid w:val="131FBE31"/>
    <w:rsid w:val="132C9659"/>
    <w:rsid w:val="1379A865"/>
    <w:rsid w:val="13A775A4"/>
    <w:rsid w:val="13B5AEBE"/>
    <w:rsid w:val="13E5DFEB"/>
    <w:rsid w:val="14491887"/>
    <w:rsid w:val="144E2240"/>
    <w:rsid w:val="147774B2"/>
    <w:rsid w:val="14AAB1BA"/>
    <w:rsid w:val="14C113A0"/>
    <w:rsid w:val="14CE2387"/>
    <w:rsid w:val="151083AB"/>
    <w:rsid w:val="152CDE7E"/>
    <w:rsid w:val="1545E117"/>
    <w:rsid w:val="154A86AC"/>
    <w:rsid w:val="15529B54"/>
    <w:rsid w:val="156AB075"/>
    <w:rsid w:val="156CD814"/>
    <w:rsid w:val="156EB557"/>
    <w:rsid w:val="1614C8E7"/>
    <w:rsid w:val="1675AB5F"/>
    <w:rsid w:val="16837382"/>
    <w:rsid w:val="16992EB4"/>
    <w:rsid w:val="16A624F2"/>
    <w:rsid w:val="16C6C9FE"/>
    <w:rsid w:val="16C8B1CF"/>
    <w:rsid w:val="16DC15BE"/>
    <w:rsid w:val="16E925E0"/>
    <w:rsid w:val="16FC666B"/>
    <w:rsid w:val="17A040D9"/>
    <w:rsid w:val="17AC8B6D"/>
    <w:rsid w:val="17B13221"/>
    <w:rsid w:val="17B31151"/>
    <w:rsid w:val="17B3AC3D"/>
    <w:rsid w:val="18261E48"/>
    <w:rsid w:val="185033E8"/>
    <w:rsid w:val="18713498"/>
    <w:rsid w:val="188BBDB8"/>
    <w:rsid w:val="18BB34C8"/>
    <w:rsid w:val="18C06A8B"/>
    <w:rsid w:val="18F741FC"/>
    <w:rsid w:val="190055CE"/>
    <w:rsid w:val="19033CBA"/>
    <w:rsid w:val="1918112F"/>
    <w:rsid w:val="19700A9A"/>
    <w:rsid w:val="19D0CF76"/>
    <w:rsid w:val="19EC670B"/>
    <w:rsid w:val="1A49CFC4"/>
    <w:rsid w:val="1A69F84A"/>
    <w:rsid w:val="1AB1DC84"/>
    <w:rsid w:val="1ABB5C5F"/>
    <w:rsid w:val="1AC4222F"/>
    <w:rsid w:val="1ADDBAC6"/>
    <w:rsid w:val="1AE6EA7C"/>
    <w:rsid w:val="1B2B2E15"/>
    <w:rsid w:val="1B3FE50C"/>
    <w:rsid w:val="1B6F5353"/>
    <w:rsid w:val="1B6FEBB8"/>
    <w:rsid w:val="1B7F50E9"/>
    <w:rsid w:val="1B90EC3F"/>
    <w:rsid w:val="1BD56840"/>
    <w:rsid w:val="1C20E9EC"/>
    <w:rsid w:val="1C8562F2"/>
    <w:rsid w:val="1CF57DDE"/>
    <w:rsid w:val="1D0D50BF"/>
    <w:rsid w:val="1D2831B9"/>
    <w:rsid w:val="1D4B5742"/>
    <w:rsid w:val="1D53B583"/>
    <w:rsid w:val="1D8861D7"/>
    <w:rsid w:val="1DA2BAC4"/>
    <w:rsid w:val="1DA47D03"/>
    <w:rsid w:val="1DB9DEE2"/>
    <w:rsid w:val="1E0BE5A3"/>
    <w:rsid w:val="1E0EB510"/>
    <w:rsid w:val="1E155B88"/>
    <w:rsid w:val="1E5FB02B"/>
    <w:rsid w:val="1ECE4926"/>
    <w:rsid w:val="1ECEA6CC"/>
    <w:rsid w:val="1F1B1A32"/>
    <w:rsid w:val="1F1C6DAD"/>
    <w:rsid w:val="1F769B10"/>
    <w:rsid w:val="1FAC90BF"/>
    <w:rsid w:val="1FEB8FCA"/>
    <w:rsid w:val="1FFEB83C"/>
    <w:rsid w:val="20062EBF"/>
    <w:rsid w:val="202282ED"/>
    <w:rsid w:val="202CCDDF"/>
    <w:rsid w:val="2032B5C5"/>
    <w:rsid w:val="204E9643"/>
    <w:rsid w:val="20C7685E"/>
    <w:rsid w:val="212A0614"/>
    <w:rsid w:val="2148AD3F"/>
    <w:rsid w:val="2175B029"/>
    <w:rsid w:val="217C56B1"/>
    <w:rsid w:val="21977753"/>
    <w:rsid w:val="21A089A6"/>
    <w:rsid w:val="21CF4A0D"/>
    <w:rsid w:val="21D331FD"/>
    <w:rsid w:val="220670A0"/>
    <w:rsid w:val="220F5BD4"/>
    <w:rsid w:val="222C986B"/>
    <w:rsid w:val="222D585C"/>
    <w:rsid w:val="223610AF"/>
    <w:rsid w:val="228314EE"/>
    <w:rsid w:val="22C811D2"/>
    <w:rsid w:val="22D6C940"/>
    <w:rsid w:val="22DA39CF"/>
    <w:rsid w:val="22DC9A8C"/>
    <w:rsid w:val="22FE18C3"/>
    <w:rsid w:val="23051493"/>
    <w:rsid w:val="231C9EEF"/>
    <w:rsid w:val="2352B0B8"/>
    <w:rsid w:val="235DFBBB"/>
    <w:rsid w:val="237F037D"/>
    <w:rsid w:val="2391F0CE"/>
    <w:rsid w:val="23A0D111"/>
    <w:rsid w:val="23C928BD"/>
    <w:rsid w:val="242FDED3"/>
    <w:rsid w:val="2457F613"/>
    <w:rsid w:val="24611D41"/>
    <w:rsid w:val="24749FE0"/>
    <w:rsid w:val="2485E6E9"/>
    <w:rsid w:val="24BA0D20"/>
    <w:rsid w:val="24ED0A74"/>
    <w:rsid w:val="251AFF69"/>
    <w:rsid w:val="2530AD16"/>
    <w:rsid w:val="2545BF19"/>
    <w:rsid w:val="25618494"/>
    <w:rsid w:val="2561E23F"/>
    <w:rsid w:val="256E0A9F"/>
    <w:rsid w:val="25707279"/>
    <w:rsid w:val="25A22EF3"/>
    <w:rsid w:val="25A2AF51"/>
    <w:rsid w:val="25C21054"/>
    <w:rsid w:val="263CB555"/>
    <w:rsid w:val="267A5EA9"/>
    <w:rsid w:val="26A86602"/>
    <w:rsid w:val="26B6CFCA"/>
    <w:rsid w:val="26E6EC19"/>
    <w:rsid w:val="272FDFAF"/>
    <w:rsid w:val="27CAC93A"/>
    <w:rsid w:val="28195BE3"/>
    <w:rsid w:val="2839D24B"/>
    <w:rsid w:val="283D0277"/>
    <w:rsid w:val="28D92E15"/>
    <w:rsid w:val="28F3F429"/>
    <w:rsid w:val="29239D62"/>
    <w:rsid w:val="29527C55"/>
    <w:rsid w:val="296FAF6F"/>
    <w:rsid w:val="297BF036"/>
    <w:rsid w:val="29A8089F"/>
    <w:rsid w:val="29DC6244"/>
    <w:rsid w:val="2A537C34"/>
    <w:rsid w:val="2A9A4090"/>
    <w:rsid w:val="2A9E6B80"/>
    <w:rsid w:val="2AA05328"/>
    <w:rsid w:val="2AE8BAC8"/>
    <w:rsid w:val="2B366034"/>
    <w:rsid w:val="2B39A4BA"/>
    <w:rsid w:val="2B40E6BD"/>
    <w:rsid w:val="2B765A1B"/>
    <w:rsid w:val="2B8105E6"/>
    <w:rsid w:val="2B965D03"/>
    <w:rsid w:val="2BAE90E1"/>
    <w:rsid w:val="2BC68BA0"/>
    <w:rsid w:val="2BF014B3"/>
    <w:rsid w:val="2C2873C8"/>
    <w:rsid w:val="2CBCED46"/>
    <w:rsid w:val="2D34308A"/>
    <w:rsid w:val="2D8AE78D"/>
    <w:rsid w:val="2DBFAA5C"/>
    <w:rsid w:val="2DE336AD"/>
    <w:rsid w:val="2DF4259A"/>
    <w:rsid w:val="2E1F214F"/>
    <w:rsid w:val="2E3D50AB"/>
    <w:rsid w:val="2E41C349"/>
    <w:rsid w:val="2E428E43"/>
    <w:rsid w:val="2E4CBAD6"/>
    <w:rsid w:val="2E590281"/>
    <w:rsid w:val="2EB36D4F"/>
    <w:rsid w:val="2EFE2C62"/>
    <w:rsid w:val="2FAE2756"/>
    <w:rsid w:val="2FF23812"/>
    <w:rsid w:val="2FF964FE"/>
    <w:rsid w:val="30252B30"/>
    <w:rsid w:val="309885D2"/>
    <w:rsid w:val="30BC3402"/>
    <w:rsid w:val="30F2AA2A"/>
    <w:rsid w:val="31293CDE"/>
    <w:rsid w:val="31461D48"/>
    <w:rsid w:val="31503B7B"/>
    <w:rsid w:val="315F0342"/>
    <w:rsid w:val="316B7A3E"/>
    <w:rsid w:val="318E6B04"/>
    <w:rsid w:val="31A18004"/>
    <w:rsid w:val="31DB1845"/>
    <w:rsid w:val="31DBBE21"/>
    <w:rsid w:val="320A4822"/>
    <w:rsid w:val="32294D12"/>
    <w:rsid w:val="32382361"/>
    <w:rsid w:val="32407051"/>
    <w:rsid w:val="32C3D85A"/>
    <w:rsid w:val="33075969"/>
    <w:rsid w:val="33086A5F"/>
    <w:rsid w:val="330F86C5"/>
    <w:rsid w:val="333D5065"/>
    <w:rsid w:val="333EAD6B"/>
    <w:rsid w:val="337BA8A0"/>
    <w:rsid w:val="33A72296"/>
    <w:rsid w:val="33C93D85"/>
    <w:rsid w:val="33D08A68"/>
    <w:rsid w:val="33D192A6"/>
    <w:rsid w:val="33D3F3C2"/>
    <w:rsid w:val="3415C383"/>
    <w:rsid w:val="341DD457"/>
    <w:rsid w:val="344B8E74"/>
    <w:rsid w:val="34646FF0"/>
    <w:rsid w:val="34BBDE7F"/>
    <w:rsid w:val="35331289"/>
    <w:rsid w:val="35563228"/>
    <w:rsid w:val="35603980"/>
    <w:rsid w:val="3586CEE6"/>
    <w:rsid w:val="358B1BB4"/>
    <w:rsid w:val="35A8C063"/>
    <w:rsid w:val="36400B21"/>
    <w:rsid w:val="36AB7AA3"/>
    <w:rsid w:val="36B1267D"/>
    <w:rsid w:val="36BFAD83"/>
    <w:rsid w:val="36D0B62A"/>
    <w:rsid w:val="370B9484"/>
    <w:rsid w:val="37179ADB"/>
    <w:rsid w:val="373BD0FF"/>
    <w:rsid w:val="376B4E1A"/>
    <w:rsid w:val="37827916"/>
    <w:rsid w:val="3794E551"/>
    <w:rsid w:val="37A91B19"/>
    <w:rsid w:val="37B3DA59"/>
    <w:rsid w:val="37C9DC9A"/>
    <w:rsid w:val="380E035C"/>
    <w:rsid w:val="3815F41C"/>
    <w:rsid w:val="384ADE17"/>
    <w:rsid w:val="3854F019"/>
    <w:rsid w:val="386960FC"/>
    <w:rsid w:val="38A7D4CA"/>
    <w:rsid w:val="39636E44"/>
    <w:rsid w:val="396F889D"/>
    <w:rsid w:val="399C17FB"/>
    <w:rsid w:val="3A0693B4"/>
    <w:rsid w:val="3A148AA2"/>
    <w:rsid w:val="3A2D8CAE"/>
    <w:rsid w:val="3A4DD87E"/>
    <w:rsid w:val="3A5AC356"/>
    <w:rsid w:val="3A653EDC"/>
    <w:rsid w:val="3A8DE60C"/>
    <w:rsid w:val="3AD90BC3"/>
    <w:rsid w:val="3AF5299A"/>
    <w:rsid w:val="3AF701DC"/>
    <w:rsid w:val="3B159343"/>
    <w:rsid w:val="3B2383D0"/>
    <w:rsid w:val="3B31FF72"/>
    <w:rsid w:val="3B3A5D45"/>
    <w:rsid w:val="3B4ED1A8"/>
    <w:rsid w:val="3B68B3A7"/>
    <w:rsid w:val="3BCA939E"/>
    <w:rsid w:val="3C28992E"/>
    <w:rsid w:val="3C32DFCA"/>
    <w:rsid w:val="3C4FC1FB"/>
    <w:rsid w:val="3C5AAA16"/>
    <w:rsid w:val="3C6CAADA"/>
    <w:rsid w:val="3C7FE073"/>
    <w:rsid w:val="3CCEC11F"/>
    <w:rsid w:val="3CD91B3D"/>
    <w:rsid w:val="3D3AB29E"/>
    <w:rsid w:val="3D98475E"/>
    <w:rsid w:val="3D9CB539"/>
    <w:rsid w:val="3DC4934F"/>
    <w:rsid w:val="3DEBBD63"/>
    <w:rsid w:val="3E0A9DDF"/>
    <w:rsid w:val="3E2BCD1B"/>
    <w:rsid w:val="3E930B06"/>
    <w:rsid w:val="3EABFD7F"/>
    <w:rsid w:val="3EAD0A23"/>
    <w:rsid w:val="3EBE6341"/>
    <w:rsid w:val="3ED344BF"/>
    <w:rsid w:val="3EE4C160"/>
    <w:rsid w:val="3EFF326F"/>
    <w:rsid w:val="3F07A49A"/>
    <w:rsid w:val="3F20DB1B"/>
    <w:rsid w:val="3F615159"/>
    <w:rsid w:val="3FAF94B2"/>
    <w:rsid w:val="3FCDC50A"/>
    <w:rsid w:val="3FEBE2AA"/>
    <w:rsid w:val="40069C2E"/>
    <w:rsid w:val="40ABF569"/>
    <w:rsid w:val="40DC20C2"/>
    <w:rsid w:val="40F2F70F"/>
    <w:rsid w:val="411295F7"/>
    <w:rsid w:val="418D9465"/>
    <w:rsid w:val="420131DB"/>
    <w:rsid w:val="420746F8"/>
    <w:rsid w:val="421368D1"/>
    <w:rsid w:val="428255DA"/>
    <w:rsid w:val="42918777"/>
    <w:rsid w:val="4298B6CC"/>
    <w:rsid w:val="42ADA089"/>
    <w:rsid w:val="42EA40D1"/>
    <w:rsid w:val="42F39EC9"/>
    <w:rsid w:val="42F7BF03"/>
    <w:rsid w:val="4302925A"/>
    <w:rsid w:val="43591474"/>
    <w:rsid w:val="43ABC0D8"/>
    <w:rsid w:val="43D4AF29"/>
    <w:rsid w:val="43E418B9"/>
    <w:rsid w:val="43F7247E"/>
    <w:rsid w:val="441B11EA"/>
    <w:rsid w:val="442359C5"/>
    <w:rsid w:val="4441AA46"/>
    <w:rsid w:val="444E5E78"/>
    <w:rsid w:val="445882F9"/>
    <w:rsid w:val="44664734"/>
    <w:rsid w:val="44684ADB"/>
    <w:rsid w:val="44803770"/>
    <w:rsid w:val="44A0CE2D"/>
    <w:rsid w:val="44A8A575"/>
    <w:rsid w:val="44A983FA"/>
    <w:rsid w:val="44AF1A1B"/>
    <w:rsid w:val="44DB8442"/>
    <w:rsid w:val="44EFF09A"/>
    <w:rsid w:val="4509C2A3"/>
    <w:rsid w:val="450A002B"/>
    <w:rsid w:val="4519A419"/>
    <w:rsid w:val="451FAA40"/>
    <w:rsid w:val="4531E136"/>
    <w:rsid w:val="45367C60"/>
    <w:rsid w:val="453B3E46"/>
    <w:rsid w:val="457256D9"/>
    <w:rsid w:val="458DD573"/>
    <w:rsid w:val="45AD5777"/>
    <w:rsid w:val="45BD0A65"/>
    <w:rsid w:val="45D9FB97"/>
    <w:rsid w:val="45E8CA2E"/>
    <w:rsid w:val="45FECE78"/>
    <w:rsid w:val="46024E10"/>
    <w:rsid w:val="461A41E1"/>
    <w:rsid w:val="4624A80A"/>
    <w:rsid w:val="462F0A0A"/>
    <w:rsid w:val="46759644"/>
    <w:rsid w:val="467BFDE9"/>
    <w:rsid w:val="4683B33B"/>
    <w:rsid w:val="468DC33E"/>
    <w:rsid w:val="46C891A9"/>
    <w:rsid w:val="46D097DE"/>
    <w:rsid w:val="46DAA8F0"/>
    <w:rsid w:val="46E89F1C"/>
    <w:rsid w:val="46F07C8A"/>
    <w:rsid w:val="47674952"/>
    <w:rsid w:val="4779BA60"/>
    <w:rsid w:val="47C06BD6"/>
    <w:rsid w:val="47C0786B"/>
    <w:rsid w:val="47F97539"/>
    <w:rsid w:val="47FCEF9E"/>
    <w:rsid w:val="483BB298"/>
    <w:rsid w:val="483CDA95"/>
    <w:rsid w:val="486981F8"/>
    <w:rsid w:val="487BA684"/>
    <w:rsid w:val="487E840B"/>
    <w:rsid w:val="488964FB"/>
    <w:rsid w:val="488BC640"/>
    <w:rsid w:val="48B1F3A9"/>
    <w:rsid w:val="48C53453"/>
    <w:rsid w:val="48C6EA5C"/>
    <w:rsid w:val="48D49BAC"/>
    <w:rsid w:val="48F452D5"/>
    <w:rsid w:val="492FD398"/>
    <w:rsid w:val="49414BD8"/>
    <w:rsid w:val="495CA285"/>
    <w:rsid w:val="49D3361E"/>
    <w:rsid w:val="49D9229D"/>
    <w:rsid w:val="4A481E39"/>
    <w:rsid w:val="4A499AF5"/>
    <w:rsid w:val="4A614696"/>
    <w:rsid w:val="4A67CEC4"/>
    <w:rsid w:val="4A89EDFA"/>
    <w:rsid w:val="4AA04FE0"/>
    <w:rsid w:val="4AC0A825"/>
    <w:rsid w:val="4AF8192D"/>
    <w:rsid w:val="4B3BDD8D"/>
    <w:rsid w:val="4B3E9489"/>
    <w:rsid w:val="4B7BF8A3"/>
    <w:rsid w:val="4BE3EE9A"/>
    <w:rsid w:val="4BFA66A2"/>
    <w:rsid w:val="4C32209C"/>
    <w:rsid w:val="4C5A59E8"/>
    <w:rsid w:val="4C740935"/>
    <w:rsid w:val="4C99109D"/>
    <w:rsid w:val="4CC2A56B"/>
    <w:rsid w:val="4CD50C6A"/>
    <w:rsid w:val="4D0E59A3"/>
    <w:rsid w:val="4D1C5F58"/>
    <w:rsid w:val="4D593E8C"/>
    <w:rsid w:val="4DB9D72F"/>
    <w:rsid w:val="4DBE819F"/>
    <w:rsid w:val="4DD46591"/>
    <w:rsid w:val="4DEA22EB"/>
    <w:rsid w:val="4DF73254"/>
    <w:rsid w:val="4E1550DF"/>
    <w:rsid w:val="4E169192"/>
    <w:rsid w:val="4E1B626A"/>
    <w:rsid w:val="4E1FE13C"/>
    <w:rsid w:val="4E30AF93"/>
    <w:rsid w:val="4E4508FA"/>
    <w:rsid w:val="4E4FE8E7"/>
    <w:rsid w:val="4E9EB0FB"/>
    <w:rsid w:val="4EA292C6"/>
    <w:rsid w:val="4EEE375E"/>
    <w:rsid w:val="4F16E28A"/>
    <w:rsid w:val="4F220C0F"/>
    <w:rsid w:val="4F7670AE"/>
    <w:rsid w:val="4FAB9C4B"/>
    <w:rsid w:val="4FCA5ACB"/>
    <w:rsid w:val="5026246F"/>
    <w:rsid w:val="50364169"/>
    <w:rsid w:val="50950D5D"/>
    <w:rsid w:val="50DDFFCF"/>
    <w:rsid w:val="511E41CF"/>
    <w:rsid w:val="5129061C"/>
    <w:rsid w:val="5147DF30"/>
    <w:rsid w:val="5166E454"/>
    <w:rsid w:val="51F841F9"/>
    <w:rsid w:val="52112148"/>
    <w:rsid w:val="5213F17E"/>
    <w:rsid w:val="5216F7A6"/>
    <w:rsid w:val="5223D8CF"/>
    <w:rsid w:val="526C86BA"/>
    <w:rsid w:val="52BABC24"/>
    <w:rsid w:val="53524BD6"/>
    <w:rsid w:val="53747F01"/>
    <w:rsid w:val="53970157"/>
    <w:rsid w:val="53B2C807"/>
    <w:rsid w:val="53C1EB08"/>
    <w:rsid w:val="53C46B75"/>
    <w:rsid w:val="543521FD"/>
    <w:rsid w:val="547D7E1A"/>
    <w:rsid w:val="547F72B1"/>
    <w:rsid w:val="549FF792"/>
    <w:rsid w:val="54EB1548"/>
    <w:rsid w:val="54F99592"/>
    <w:rsid w:val="55270001"/>
    <w:rsid w:val="5618E73A"/>
    <w:rsid w:val="56369C17"/>
    <w:rsid w:val="5640617C"/>
    <w:rsid w:val="5652C7B3"/>
    <w:rsid w:val="568C7122"/>
    <w:rsid w:val="56CF0F9C"/>
    <w:rsid w:val="57053CB7"/>
    <w:rsid w:val="572E8EC7"/>
    <w:rsid w:val="5759878A"/>
    <w:rsid w:val="57AD19A4"/>
    <w:rsid w:val="57B6E85E"/>
    <w:rsid w:val="57BE147A"/>
    <w:rsid w:val="58200A05"/>
    <w:rsid w:val="58532180"/>
    <w:rsid w:val="586FCD5F"/>
    <w:rsid w:val="589542BA"/>
    <w:rsid w:val="5899A69D"/>
    <w:rsid w:val="589B884D"/>
    <w:rsid w:val="58B10715"/>
    <w:rsid w:val="58C152EF"/>
    <w:rsid w:val="58CC5CC8"/>
    <w:rsid w:val="58CCDD9C"/>
    <w:rsid w:val="58DA5BE5"/>
    <w:rsid w:val="58DFF2A8"/>
    <w:rsid w:val="596131BF"/>
    <w:rsid w:val="596DB7A3"/>
    <w:rsid w:val="598A6875"/>
    <w:rsid w:val="59AB1E4D"/>
    <w:rsid w:val="59B3B2AD"/>
    <w:rsid w:val="59C3B29B"/>
    <w:rsid w:val="59D6EB7E"/>
    <w:rsid w:val="59E32D8C"/>
    <w:rsid w:val="5A1FBFA0"/>
    <w:rsid w:val="5A26EFEE"/>
    <w:rsid w:val="5AC0737F"/>
    <w:rsid w:val="5AD53050"/>
    <w:rsid w:val="5B000847"/>
    <w:rsid w:val="5B29E279"/>
    <w:rsid w:val="5B8D06D9"/>
    <w:rsid w:val="5B8D9665"/>
    <w:rsid w:val="5B9CC03A"/>
    <w:rsid w:val="5BAE9245"/>
    <w:rsid w:val="5BBAA30E"/>
    <w:rsid w:val="5BEFEA46"/>
    <w:rsid w:val="5C03C2EB"/>
    <w:rsid w:val="5C3B8426"/>
    <w:rsid w:val="5C4519AA"/>
    <w:rsid w:val="5C54AC83"/>
    <w:rsid w:val="5C6CB703"/>
    <w:rsid w:val="5C893853"/>
    <w:rsid w:val="5C98D281"/>
    <w:rsid w:val="5CAB0977"/>
    <w:rsid w:val="5CBB0760"/>
    <w:rsid w:val="5CD9D409"/>
    <w:rsid w:val="5D09A752"/>
    <w:rsid w:val="5D2C61A7"/>
    <w:rsid w:val="5D7AFF7F"/>
    <w:rsid w:val="5DB7EC5B"/>
    <w:rsid w:val="5DB92E59"/>
    <w:rsid w:val="5DBFCB70"/>
    <w:rsid w:val="5DE51F57"/>
    <w:rsid w:val="5E050FEC"/>
    <w:rsid w:val="5E18AED1"/>
    <w:rsid w:val="5E1FE57C"/>
    <w:rsid w:val="5EB41308"/>
    <w:rsid w:val="5EBC69F8"/>
    <w:rsid w:val="5ECB7579"/>
    <w:rsid w:val="5ED28D23"/>
    <w:rsid w:val="5EFDD592"/>
    <w:rsid w:val="5F253AE6"/>
    <w:rsid w:val="5F2B1850"/>
    <w:rsid w:val="5F849D74"/>
    <w:rsid w:val="5F8F7916"/>
    <w:rsid w:val="5FAD2393"/>
    <w:rsid w:val="5FCE1D06"/>
    <w:rsid w:val="5FF94195"/>
    <w:rsid w:val="5FFC9473"/>
    <w:rsid w:val="600DE2C8"/>
    <w:rsid w:val="603BFC75"/>
    <w:rsid w:val="606088F2"/>
    <w:rsid w:val="6063657D"/>
    <w:rsid w:val="607CCB8B"/>
    <w:rsid w:val="60966F1E"/>
    <w:rsid w:val="60A9695B"/>
    <w:rsid w:val="60B2672E"/>
    <w:rsid w:val="60B45434"/>
    <w:rsid w:val="60C286A3"/>
    <w:rsid w:val="60FF662A"/>
    <w:rsid w:val="610D7EB1"/>
    <w:rsid w:val="611AE57F"/>
    <w:rsid w:val="6163494D"/>
    <w:rsid w:val="6169ED67"/>
    <w:rsid w:val="617BFE16"/>
    <w:rsid w:val="617DACBA"/>
    <w:rsid w:val="61B4BBEE"/>
    <w:rsid w:val="61CDFA10"/>
    <w:rsid w:val="61F6C1C3"/>
    <w:rsid w:val="6225F23E"/>
    <w:rsid w:val="62853F3C"/>
    <w:rsid w:val="62910F56"/>
    <w:rsid w:val="62944BC1"/>
    <w:rsid w:val="629F4870"/>
    <w:rsid w:val="62CDC26F"/>
    <w:rsid w:val="62CFE736"/>
    <w:rsid w:val="63D7DD1B"/>
    <w:rsid w:val="645D219D"/>
    <w:rsid w:val="646A0E3D"/>
    <w:rsid w:val="6477B9BD"/>
    <w:rsid w:val="64A6B238"/>
    <w:rsid w:val="64B5C27B"/>
    <w:rsid w:val="64CC609C"/>
    <w:rsid w:val="64EC6A97"/>
    <w:rsid w:val="6516BD3A"/>
    <w:rsid w:val="6558B734"/>
    <w:rsid w:val="6559EA42"/>
    <w:rsid w:val="658564B0"/>
    <w:rsid w:val="6593A1CE"/>
    <w:rsid w:val="65A3F936"/>
    <w:rsid w:val="65C3D6F8"/>
    <w:rsid w:val="660C25DC"/>
    <w:rsid w:val="666D8EF4"/>
    <w:rsid w:val="66985DAD"/>
    <w:rsid w:val="66D0C150"/>
    <w:rsid w:val="66E137BA"/>
    <w:rsid w:val="66EEA484"/>
    <w:rsid w:val="6717F8DF"/>
    <w:rsid w:val="672E9157"/>
    <w:rsid w:val="67ABF07A"/>
    <w:rsid w:val="69126422"/>
    <w:rsid w:val="69306CDA"/>
    <w:rsid w:val="69576784"/>
    <w:rsid w:val="69B17A07"/>
    <w:rsid w:val="69EB5555"/>
    <w:rsid w:val="6A0E750A"/>
    <w:rsid w:val="6A23AAB0"/>
    <w:rsid w:val="6A8A9366"/>
    <w:rsid w:val="6AEC53CD"/>
    <w:rsid w:val="6B2EBF40"/>
    <w:rsid w:val="6B31E6B5"/>
    <w:rsid w:val="6B4CCE49"/>
    <w:rsid w:val="6B583CD5"/>
    <w:rsid w:val="6B7535B2"/>
    <w:rsid w:val="6B9D1A70"/>
    <w:rsid w:val="6BCCF629"/>
    <w:rsid w:val="6C13A29E"/>
    <w:rsid w:val="6C148ED7"/>
    <w:rsid w:val="6C27D180"/>
    <w:rsid w:val="6C4C4526"/>
    <w:rsid w:val="6C52E058"/>
    <w:rsid w:val="6C613058"/>
    <w:rsid w:val="6D0F752F"/>
    <w:rsid w:val="6D1783FA"/>
    <w:rsid w:val="6D9CB4C4"/>
    <w:rsid w:val="6E04574F"/>
    <w:rsid w:val="6E246B29"/>
    <w:rsid w:val="6E3C0B10"/>
    <w:rsid w:val="6E7B9B09"/>
    <w:rsid w:val="6E8B4686"/>
    <w:rsid w:val="6EB5C1FC"/>
    <w:rsid w:val="6EC05746"/>
    <w:rsid w:val="6F2D5960"/>
    <w:rsid w:val="6F4C2F99"/>
    <w:rsid w:val="6F50DA85"/>
    <w:rsid w:val="6F61EEBF"/>
    <w:rsid w:val="6F8656A5"/>
    <w:rsid w:val="70250717"/>
    <w:rsid w:val="7048A6D5"/>
    <w:rsid w:val="704E5325"/>
    <w:rsid w:val="705E034E"/>
    <w:rsid w:val="707A9A51"/>
    <w:rsid w:val="70963402"/>
    <w:rsid w:val="709D44CD"/>
    <w:rsid w:val="70C929C1"/>
    <w:rsid w:val="70D803C3"/>
    <w:rsid w:val="70EBE2CA"/>
    <w:rsid w:val="711EDA5C"/>
    <w:rsid w:val="718DBB1B"/>
    <w:rsid w:val="7197FAEE"/>
    <w:rsid w:val="7209F0A1"/>
    <w:rsid w:val="722E9FF6"/>
    <w:rsid w:val="7260AA70"/>
    <w:rsid w:val="72B0BCAE"/>
    <w:rsid w:val="72E3C030"/>
    <w:rsid w:val="7326066D"/>
    <w:rsid w:val="73537772"/>
    <w:rsid w:val="7368ACAA"/>
    <w:rsid w:val="739B8B1F"/>
    <w:rsid w:val="73BF19B6"/>
    <w:rsid w:val="73C70AF3"/>
    <w:rsid w:val="73DE4D73"/>
    <w:rsid w:val="73EB0828"/>
    <w:rsid w:val="73F56BA6"/>
    <w:rsid w:val="744D7164"/>
    <w:rsid w:val="7467D7C2"/>
    <w:rsid w:val="747AF664"/>
    <w:rsid w:val="74906229"/>
    <w:rsid w:val="74E6BFF4"/>
    <w:rsid w:val="7517EC3F"/>
    <w:rsid w:val="752B39BF"/>
    <w:rsid w:val="760077BC"/>
    <w:rsid w:val="7603CA18"/>
    <w:rsid w:val="7620B92B"/>
    <w:rsid w:val="76338631"/>
    <w:rsid w:val="765AFFA0"/>
    <w:rsid w:val="76855812"/>
    <w:rsid w:val="769054CF"/>
    <w:rsid w:val="76D20290"/>
    <w:rsid w:val="76DBD801"/>
    <w:rsid w:val="771788D1"/>
    <w:rsid w:val="777358AA"/>
    <w:rsid w:val="77CD7AFA"/>
    <w:rsid w:val="77D1AACC"/>
    <w:rsid w:val="77D59C42"/>
    <w:rsid w:val="782C68E5"/>
    <w:rsid w:val="78516579"/>
    <w:rsid w:val="7859CDB8"/>
    <w:rsid w:val="787260D3"/>
    <w:rsid w:val="787D6DBD"/>
    <w:rsid w:val="78840BCB"/>
    <w:rsid w:val="78B8F6B1"/>
    <w:rsid w:val="78CC4388"/>
    <w:rsid w:val="78E315A8"/>
    <w:rsid w:val="78F03C0F"/>
    <w:rsid w:val="78F33182"/>
    <w:rsid w:val="796B26F3"/>
    <w:rsid w:val="79FB78F3"/>
    <w:rsid w:val="7A2398AC"/>
    <w:rsid w:val="7A8231EA"/>
    <w:rsid w:val="7B3CE8E5"/>
    <w:rsid w:val="7B42E594"/>
    <w:rsid w:val="7B522781"/>
    <w:rsid w:val="7B6D11B3"/>
    <w:rsid w:val="7BAA427A"/>
    <w:rsid w:val="7BBACD77"/>
    <w:rsid w:val="7BF06329"/>
    <w:rsid w:val="7C0DE2C4"/>
    <w:rsid w:val="7C1AB66A"/>
    <w:rsid w:val="7C436430"/>
    <w:rsid w:val="7C5519F2"/>
    <w:rsid w:val="7CB6E016"/>
    <w:rsid w:val="7CC2C818"/>
    <w:rsid w:val="7CE49C19"/>
    <w:rsid w:val="7CEFDFBD"/>
    <w:rsid w:val="7D0514E6"/>
    <w:rsid w:val="7D08E214"/>
    <w:rsid w:val="7D275A46"/>
    <w:rsid w:val="7D9FB4AB"/>
    <w:rsid w:val="7E394463"/>
    <w:rsid w:val="7E4BAFA0"/>
    <w:rsid w:val="7E4FE816"/>
    <w:rsid w:val="7E5634E8"/>
    <w:rsid w:val="7E8A6C86"/>
    <w:rsid w:val="7E8B8A18"/>
    <w:rsid w:val="7E9E801C"/>
    <w:rsid w:val="7EB027E0"/>
    <w:rsid w:val="7EBC0C28"/>
    <w:rsid w:val="7EE8F678"/>
    <w:rsid w:val="7F85D1A5"/>
    <w:rsid w:val="7F8DC785"/>
    <w:rsid w:val="7F99B3C0"/>
    <w:rsid w:val="7FC6B2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74DE19D"/>
  <w15:docId w15:val="{88BF1E2A-04A5-4FF1-BC82-8B621103A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43FD"/>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autoRedefine/>
    <w:uiPriority w:val="99"/>
    <w:qFormat/>
    <w:pPr>
      <w:keepNext/>
      <w:spacing w:before="240" w:after="120"/>
      <w:outlineLvl w:val="0"/>
    </w:pPr>
    <w:rPr>
      <w:rFonts w:ascii="Arial" w:hAnsi="Arial" w:cs="Arial"/>
      <w:b/>
      <w:bCs/>
      <w:kern w:val="32"/>
      <w:sz w:val="32"/>
      <w:szCs w:val="32"/>
    </w:rPr>
  </w:style>
  <w:style w:type="paragraph" w:styleId="Heading2">
    <w:name w:val="heading 2"/>
    <w:basedOn w:val="Normal"/>
    <w:next w:val="Normal"/>
    <w:link w:val="Heading2Char"/>
    <w:autoRedefine/>
    <w:uiPriority w:val="99"/>
    <w:qFormat/>
    <w:pPr>
      <w:keepNext/>
      <w:spacing w:before="240" w:after="120"/>
      <w:ind w:left="720" w:hanging="720"/>
      <w:outlineLvl w:val="1"/>
    </w:pPr>
    <w:rPr>
      <w:rFonts w:ascii="Arial" w:hAnsi="Arial" w:cs="Arial"/>
      <w:b/>
      <w:bCs/>
      <w:i/>
      <w:iCs/>
      <w:sz w:val="28"/>
      <w:szCs w:val="28"/>
    </w:rPr>
  </w:style>
  <w:style w:type="paragraph" w:styleId="Heading3">
    <w:name w:val="heading 3"/>
    <w:basedOn w:val="Normal"/>
    <w:next w:val="Normal"/>
    <w:link w:val="Heading3Char"/>
    <w:autoRedefine/>
    <w:uiPriority w:val="99"/>
    <w:qFormat/>
    <w:pPr>
      <w:keepNext/>
      <w:numPr>
        <w:ilvl w:val="2"/>
      </w:numPr>
      <w:tabs>
        <w:tab w:val="num" w:pos="850"/>
      </w:tabs>
      <w:spacing w:before="120" w:after="120"/>
      <w:ind w:left="850" w:hanging="850"/>
      <w:jc w:val="both"/>
      <w:outlineLvl w:val="2"/>
    </w:pPr>
    <w:rPr>
      <w:rFonts w:ascii="Arial" w:hAnsi="Arial" w:cs="Arial"/>
      <w:b/>
      <w:bCs/>
      <w:i/>
      <w:sz w:val="26"/>
      <w:szCs w:val="26"/>
    </w:rPr>
  </w:style>
  <w:style w:type="paragraph" w:styleId="Heading4">
    <w:name w:val="heading 4"/>
    <w:basedOn w:val="Normal"/>
    <w:next w:val="Normal"/>
    <w:link w:val="Heading4Char"/>
    <w:uiPriority w:val="99"/>
    <w:qFormat/>
    <w:pPr>
      <w:keepNext/>
      <w:numPr>
        <w:ilvl w:val="3"/>
      </w:numPr>
      <w:tabs>
        <w:tab w:val="num" w:pos="1030"/>
      </w:tabs>
      <w:spacing w:before="120" w:after="120"/>
      <w:ind w:left="1030" w:hanging="850"/>
      <w:jc w:val="both"/>
      <w:outlineLvl w:val="3"/>
    </w:pPr>
    <w:rPr>
      <w:b/>
      <w:bCs/>
      <w:szCs w:val="28"/>
      <w:lang w:eastAsia="de-D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uiPriority w:val="99"/>
    <w:rPr>
      <w:rFonts w:ascii="Arial" w:eastAsia="Times New Roman" w:hAnsi="Arial" w:cs="Arial"/>
      <w:b/>
      <w:bCs/>
      <w:i/>
      <w:iCs/>
      <w:sz w:val="28"/>
      <w:szCs w:val="28"/>
      <w:lang w:eastAsia="en-GB"/>
    </w:rPr>
  </w:style>
  <w:style w:type="character" w:customStyle="1" w:styleId="Heading3Char">
    <w:name w:val="Heading 3 Char"/>
    <w:basedOn w:val="DefaultParagraphFont"/>
    <w:link w:val="Heading3"/>
    <w:uiPriority w:val="99"/>
    <w:rPr>
      <w:rFonts w:ascii="Arial" w:eastAsia="Times New Roman" w:hAnsi="Arial" w:cs="Arial"/>
      <w:b/>
      <w:bCs/>
      <w:i/>
      <w:sz w:val="26"/>
      <w:szCs w:val="26"/>
      <w:lang w:eastAsia="en-GB"/>
    </w:rPr>
  </w:style>
  <w:style w:type="character" w:customStyle="1" w:styleId="Heading4Char">
    <w:name w:val="Heading 4 Char"/>
    <w:basedOn w:val="DefaultParagraphFont"/>
    <w:link w:val="Heading4"/>
    <w:uiPriority w:val="99"/>
    <w:rPr>
      <w:rFonts w:ascii="Times New Roman" w:eastAsia="Times New Roman" w:hAnsi="Times New Roman" w:cs="Times New Roman"/>
      <w:b/>
      <w:bCs/>
      <w:sz w:val="24"/>
      <w:szCs w:val="28"/>
      <w:lang w:eastAsia="de-DE"/>
    </w:rPr>
  </w:style>
  <w:style w:type="paragraph" w:styleId="Footer">
    <w:name w:val="footer"/>
    <w:basedOn w:val="Normal"/>
    <w:link w:val="FooterChar"/>
    <w:uiPriority w:val="99"/>
    <w:unhideWhenUsed/>
    <w:pPr>
      <w:tabs>
        <w:tab w:val="center" w:pos="4535"/>
        <w:tab w:val="right" w:pos="9071"/>
        <w:tab w:val="right" w:pos="9921"/>
      </w:tabs>
      <w:spacing w:before="360"/>
      <w:ind w:left="-850" w:right="-850"/>
    </w:pPr>
    <w:rPr>
      <w:rFonts w:eastAsiaTheme="minorHAnsi"/>
      <w:szCs w:val="22"/>
      <w:lang w:eastAsia="en-US"/>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styleId="FootnoteText">
    <w:name w:val="footnote text"/>
    <w:aliases w:val="Footnote Text Char1 Char,Footnote Text Char Char Char,Footnote Text Char1 Char Char Char,Footnote Text Char Char Char Char Char,Footnote Text Char1 Char1 Char,Footnote Text Char Char Char1 Char,Char Char Char Char Char Char,Char Char Char"/>
    <w:basedOn w:val="Normal"/>
    <w:link w:val="FootnoteTextChar"/>
    <w:uiPriority w:val="99"/>
    <w:qFormat/>
    <w:pPr>
      <w:ind w:left="720" w:hanging="720"/>
      <w:jc w:val="both"/>
    </w:pPr>
    <w:rPr>
      <w:sz w:val="20"/>
      <w:szCs w:val="20"/>
      <w:lang w:val="de-DE" w:eastAsia="de-DE"/>
    </w:rPr>
  </w:style>
  <w:style w:type="character" w:customStyle="1" w:styleId="FootnoteTextChar">
    <w:name w:val="Footnote Text Char"/>
    <w:aliases w:val="Footnote Text Char1 Char Char,Footnote Text Char Char Char Char,Footnote Text Char1 Char Char Char Char,Footnote Text Char Char Char Char Char Char,Footnote Text Char1 Char1 Char Char,Footnote Text Char Char Char1 Char Char"/>
    <w:basedOn w:val="DefaultParagraphFont"/>
    <w:link w:val="FootnoteText"/>
    <w:uiPriority w:val="99"/>
    <w:rPr>
      <w:rFonts w:ascii="Times New Roman" w:eastAsia="Times New Roman" w:hAnsi="Times New Roman" w:cs="Times New Roman"/>
      <w:sz w:val="20"/>
      <w:szCs w:val="20"/>
      <w:lang w:val="de-DE" w:eastAsia="de-DE"/>
    </w:rPr>
  </w:style>
  <w:style w:type="paragraph" w:styleId="TOC1">
    <w:name w:val="toc 1"/>
    <w:basedOn w:val="Normal"/>
    <w:next w:val="Normal"/>
    <w:uiPriority w:val="39"/>
    <w:pPr>
      <w:spacing w:before="120" w:after="120"/>
    </w:pPr>
    <w:rPr>
      <w:b/>
      <w:bCs/>
      <w:caps/>
      <w:sz w:val="20"/>
      <w:szCs w:val="20"/>
    </w:rPr>
  </w:style>
  <w:style w:type="character" w:styleId="FootnoteReference">
    <w:name w:val="footnote reference"/>
    <w:aliases w:val="stylish,Footnote Reference Superscript,BVI fnr,Footnote symbol,Footnote symboFußnotenzeichen,Footnote sign,Footnote Reference Number,E FNZ,-E Fußnotenzeichen,Footnote#,Footnote,Times 10 Point,Exposant 3 Point,Ref,de nota al pie,SUPER"/>
    <w:basedOn w:val="DefaultParagraphFont"/>
    <w:uiPriority w:val="99"/>
    <w:qFormat/>
    <w:rPr>
      <w:rFonts w:cs="Times New Roman"/>
      <w:vertAlign w:val="superscript"/>
    </w:rPr>
  </w:style>
  <w:style w:type="paragraph" w:customStyle="1" w:styleId="Text1">
    <w:name w:val="Text 1"/>
    <w:basedOn w:val="Normal"/>
    <w:qFormat/>
    <w:pPr>
      <w:spacing w:before="120" w:after="120"/>
      <w:ind w:left="850"/>
      <w:jc w:val="both"/>
    </w:pPr>
    <w:rPr>
      <w:lang w:eastAsia="de-DE"/>
    </w:rPr>
  </w:style>
  <w:style w:type="paragraph" w:customStyle="1" w:styleId="Tiret0">
    <w:name w:val="Tiret 0"/>
    <w:basedOn w:val="Normal"/>
    <w:uiPriority w:val="99"/>
    <w:pPr>
      <w:numPr>
        <w:numId w:val="6"/>
      </w:numPr>
      <w:spacing w:before="120" w:after="120"/>
      <w:jc w:val="both"/>
    </w:pPr>
    <w:rPr>
      <w:lang w:eastAsia="de-DE"/>
    </w:rPr>
  </w:style>
  <w:style w:type="paragraph" w:customStyle="1" w:styleId="ManualHeading1">
    <w:name w:val="Manual Heading 1"/>
    <w:basedOn w:val="Normal"/>
    <w:next w:val="Text1"/>
    <w:pPr>
      <w:keepNext/>
      <w:tabs>
        <w:tab w:val="left" w:pos="850"/>
      </w:tabs>
      <w:spacing w:before="360" w:after="120"/>
      <w:ind w:left="850" w:hanging="850"/>
      <w:jc w:val="both"/>
      <w:outlineLvl w:val="0"/>
    </w:pPr>
    <w:rPr>
      <w:b/>
      <w:smallCaps/>
      <w:lang w:eastAsia="de-DE"/>
    </w:rPr>
  </w:style>
  <w:style w:type="paragraph" w:customStyle="1" w:styleId="ManualHeading2">
    <w:name w:val="Manual Heading 2"/>
    <w:basedOn w:val="Normal"/>
    <w:next w:val="Normal"/>
    <w:pPr>
      <w:keepNext/>
      <w:numPr>
        <w:numId w:val="8"/>
      </w:numPr>
      <w:spacing w:before="360" w:after="120"/>
      <w:jc w:val="both"/>
      <w:outlineLvl w:val="1"/>
    </w:pPr>
    <w:rPr>
      <w:b/>
      <w:noProof/>
      <w:lang w:eastAsia="en-US"/>
    </w:rPr>
  </w:style>
  <w:style w:type="paragraph" w:customStyle="1" w:styleId="ListDash">
    <w:name w:val="List Dash"/>
    <w:basedOn w:val="Normal"/>
    <w:link w:val="ListDashChar"/>
    <w:uiPriority w:val="99"/>
    <w:pPr>
      <w:spacing w:before="120" w:after="120"/>
      <w:jc w:val="both"/>
    </w:pPr>
    <w:rPr>
      <w:szCs w:val="20"/>
      <w:lang w:val="de-DE" w:eastAsia="de-DE"/>
    </w:rPr>
  </w:style>
  <w:style w:type="paragraph" w:styleId="TOCHeading">
    <w:name w:val="TOC Heading"/>
    <w:basedOn w:val="Normal"/>
    <w:next w:val="Normal"/>
    <w:uiPriority w:val="99"/>
    <w:qFormat/>
    <w:pPr>
      <w:spacing w:before="120" w:after="240"/>
      <w:jc w:val="center"/>
    </w:pPr>
    <w:rPr>
      <w:b/>
      <w:sz w:val="28"/>
      <w:lang w:eastAsia="de-DE"/>
    </w:rPr>
  </w:style>
  <w:style w:type="paragraph" w:customStyle="1" w:styleId="Prliminairetitre">
    <w:name w:val="Préliminaire titre"/>
    <w:basedOn w:val="Normal"/>
    <w:next w:val="Normal"/>
    <w:uiPriority w:val="99"/>
    <w:pPr>
      <w:spacing w:before="360" w:after="360"/>
      <w:jc w:val="center"/>
    </w:pPr>
    <w:rPr>
      <w:b/>
      <w:lang w:eastAsia="de-DE"/>
    </w:rPr>
  </w:style>
  <w:style w:type="paragraph" w:customStyle="1" w:styleId="Prliminairetype">
    <w:name w:val="Préliminaire type"/>
    <w:basedOn w:val="Normal"/>
    <w:next w:val="Normal"/>
    <w:uiPriority w:val="99"/>
    <w:pPr>
      <w:spacing w:before="360"/>
      <w:jc w:val="center"/>
    </w:pPr>
    <w:rPr>
      <w:b/>
      <w:lang w:eastAsia="de-DE"/>
    </w:rPr>
  </w:style>
  <w:style w:type="character" w:styleId="Hyperlink">
    <w:name w:val="Hyperlink"/>
    <w:basedOn w:val="DefaultParagraphFont"/>
    <w:uiPriority w:val="99"/>
    <w:rPr>
      <w:rFonts w:cs="Times New Roman"/>
      <w:color w:val="0000FF"/>
      <w:u w:val="single"/>
    </w:rPr>
  </w:style>
  <w:style w:type="character" w:customStyle="1" w:styleId="Marker">
    <w:name w:val="Marker"/>
    <w:uiPriority w:val="99"/>
    <w:rPr>
      <w:color w:val="0000FF"/>
      <w:shd w:val="clear" w:color="auto" w:fill="auto"/>
    </w:rPr>
  </w:style>
  <w:style w:type="paragraph" w:customStyle="1" w:styleId="Pagedecouverture">
    <w:name w:val="Page de couverture"/>
    <w:basedOn w:val="Normal"/>
    <w:next w:val="Normal"/>
    <w:uiPriority w:val="99"/>
    <w:pPr>
      <w:spacing w:before="120" w:after="120"/>
      <w:jc w:val="both"/>
    </w:pPr>
    <w:rPr>
      <w:lang w:eastAsia="en-US"/>
    </w:rPr>
  </w:style>
  <w:style w:type="paragraph" w:styleId="Header">
    <w:name w:val="header"/>
    <w:basedOn w:val="Normal"/>
    <w:link w:val="HeaderChar"/>
    <w:uiPriority w:val="99"/>
    <w:unhideWhenUsed/>
    <w:pPr>
      <w:tabs>
        <w:tab w:val="center" w:pos="4535"/>
        <w:tab w:val="right" w:pos="9071"/>
      </w:tabs>
      <w:spacing w:after="120"/>
      <w:jc w:val="both"/>
    </w:pPr>
    <w:rPr>
      <w:rFonts w:eastAsiaTheme="minorHAnsi"/>
      <w:szCs w:val="22"/>
      <w:lang w:eastAsia="en-US"/>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customStyle="1" w:styleId="FooterCoverPage">
    <w:name w:val="Footer Cover Page"/>
    <w:basedOn w:val="Normal"/>
    <w:uiPriority w:val="99"/>
    <w:pPr>
      <w:tabs>
        <w:tab w:val="center" w:pos="4535"/>
        <w:tab w:val="right" w:pos="9071"/>
        <w:tab w:val="right" w:pos="9921"/>
      </w:tabs>
      <w:spacing w:before="360"/>
      <w:ind w:left="-850" w:right="-850"/>
    </w:pPr>
  </w:style>
  <w:style w:type="paragraph" w:customStyle="1" w:styleId="HeaderCoverPage">
    <w:name w:val="Header Cover Page"/>
    <w:basedOn w:val="Normal"/>
    <w:uiPriority w:val="99"/>
    <w:pPr>
      <w:tabs>
        <w:tab w:val="center" w:pos="4535"/>
        <w:tab w:val="right" w:pos="9071"/>
      </w:tabs>
      <w:spacing w:after="120"/>
      <w:jc w:val="both"/>
    </w:pPr>
  </w:style>
  <w:style w:type="paragraph" w:styleId="TOC2">
    <w:name w:val="toc 2"/>
    <w:basedOn w:val="Normal"/>
    <w:next w:val="Normal"/>
    <w:autoRedefine/>
    <w:uiPriority w:val="39"/>
    <w:rsid w:val="00F43ADB"/>
    <w:pPr>
      <w:tabs>
        <w:tab w:val="left" w:pos="720"/>
        <w:tab w:val="right" w:leader="dot" w:pos="9061"/>
      </w:tabs>
      <w:spacing w:before="20" w:after="20"/>
      <w:ind w:left="709" w:hanging="469"/>
    </w:pPr>
    <w:rPr>
      <w:smallCaps/>
      <w:sz w:val="20"/>
      <w:szCs w:val="20"/>
    </w:rPr>
  </w:style>
  <w:style w:type="paragraph" w:styleId="TOC3">
    <w:name w:val="toc 3"/>
    <w:basedOn w:val="Normal"/>
    <w:next w:val="Normal"/>
    <w:autoRedefine/>
    <w:uiPriority w:val="39"/>
    <w:pPr>
      <w:tabs>
        <w:tab w:val="left" w:pos="1200"/>
        <w:tab w:val="right" w:leader="dot" w:pos="9061"/>
      </w:tabs>
      <w:ind w:left="1276" w:hanging="796"/>
    </w:pPr>
    <w:rPr>
      <w:i/>
      <w:iCs/>
      <w:sz w:val="20"/>
      <w:szCs w:val="20"/>
    </w:rPr>
  </w:style>
  <w:style w:type="paragraph" w:styleId="TOC4">
    <w:name w:val="toc 4"/>
    <w:basedOn w:val="Normal"/>
    <w:next w:val="Normal"/>
    <w:autoRedefine/>
    <w:uiPriority w:val="99"/>
    <w:semiHidden/>
    <w:pPr>
      <w:ind w:left="720"/>
    </w:pPr>
    <w:rPr>
      <w:sz w:val="18"/>
      <w:szCs w:val="18"/>
    </w:rPr>
  </w:style>
  <w:style w:type="paragraph" w:styleId="TOC5">
    <w:name w:val="toc 5"/>
    <w:basedOn w:val="Normal"/>
    <w:next w:val="Normal"/>
    <w:autoRedefine/>
    <w:uiPriority w:val="99"/>
    <w:semiHidden/>
    <w:pPr>
      <w:ind w:left="960"/>
    </w:pPr>
    <w:rPr>
      <w:sz w:val="18"/>
      <w:szCs w:val="18"/>
    </w:rPr>
  </w:style>
  <w:style w:type="paragraph" w:styleId="TOC6">
    <w:name w:val="toc 6"/>
    <w:basedOn w:val="Normal"/>
    <w:next w:val="Normal"/>
    <w:autoRedefine/>
    <w:uiPriority w:val="99"/>
    <w:semiHidden/>
    <w:pPr>
      <w:ind w:left="1200"/>
    </w:pPr>
    <w:rPr>
      <w:sz w:val="18"/>
      <w:szCs w:val="18"/>
    </w:rPr>
  </w:style>
  <w:style w:type="paragraph" w:styleId="TOC7">
    <w:name w:val="toc 7"/>
    <w:basedOn w:val="Normal"/>
    <w:next w:val="Normal"/>
    <w:autoRedefine/>
    <w:uiPriority w:val="99"/>
    <w:semiHidden/>
    <w:pPr>
      <w:ind w:left="1440"/>
    </w:pPr>
    <w:rPr>
      <w:sz w:val="18"/>
      <w:szCs w:val="18"/>
    </w:rPr>
  </w:style>
  <w:style w:type="paragraph" w:styleId="TOC8">
    <w:name w:val="toc 8"/>
    <w:basedOn w:val="Normal"/>
    <w:next w:val="Normal"/>
    <w:autoRedefine/>
    <w:uiPriority w:val="99"/>
    <w:semiHidden/>
    <w:pPr>
      <w:ind w:left="1680"/>
    </w:pPr>
    <w:rPr>
      <w:sz w:val="18"/>
      <w:szCs w:val="18"/>
    </w:rPr>
  </w:style>
  <w:style w:type="paragraph" w:styleId="TOC9">
    <w:name w:val="toc 9"/>
    <w:basedOn w:val="Normal"/>
    <w:next w:val="Normal"/>
    <w:autoRedefine/>
    <w:uiPriority w:val="99"/>
    <w:semiHidden/>
    <w:pPr>
      <w:ind w:left="1920"/>
    </w:pPr>
    <w:rPr>
      <w:sz w:val="18"/>
      <w:szCs w:val="18"/>
    </w:rPr>
  </w:style>
  <w:style w:type="paragraph" w:styleId="ListBullet">
    <w:name w:val="List Bullet"/>
    <w:basedOn w:val="Normal"/>
    <w:uiPriority w:val="99"/>
    <w:pPr>
      <w:numPr>
        <w:numId w:val="7"/>
      </w:numPr>
      <w:spacing w:before="120" w:after="120"/>
      <w:jc w:val="both"/>
    </w:pPr>
    <w:rPr>
      <w:lang w:eastAsia="de-DE"/>
    </w:rPr>
  </w:style>
  <w:style w:type="paragraph" w:customStyle="1" w:styleId="ListDash2">
    <w:name w:val="List Dash 2"/>
    <w:basedOn w:val="Normal"/>
    <w:uiPriority w:val="99"/>
    <w:pPr>
      <w:tabs>
        <w:tab w:val="num" w:pos="1134"/>
      </w:tabs>
      <w:spacing w:before="120" w:after="120"/>
      <w:ind w:left="1134" w:hanging="283"/>
      <w:jc w:val="both"/>
    </w:pPr>
    <w:rPr>
      <w:lang w:eastAsia="de-DE"/>
    </w:rPr>
  </w:style>
  <w:style w:type="paragraph" w:customStyle="1" w:styleId="ListBullet1">
    <w:name w:val="List Bullet 1"/>
    <w:basedOn w:val="Text1"/>
    <w:uiPriority w:val="99"/>
    <w:pPr>
      <w:tabs>
        <w:tab w:val="num" w:pos="765"/>
      </w:tabs>
      <w:spacing w:before="0" w:after="240"/>
      <w:ind w:left="765" w:hanging="283"/>
    </w:pPr>
    <w:rPr>
      <w:szCs w:val="20"/>
      <w:lang w:eastAsia="en-US"/>
    </w:rPr>
  </w:style>
  <w:style w:type="paragraph" w:styleId="ListBullet2">
    <w:name w:val="List Bullet 2"/>
    <w:basedOn w:val="Normal"/>
    <w:uiPriority w:val="99"/>
    <w:pPr>
      <w:numPr>
        <w:numId w:val="9"/>
      </w:numPr>
      <w:spacing w:after="240"/>
      <w:jc w:val="both"/>
    </w:pPr>
    <w:rPr>
      <w:szCs w:val="20"/>
      <w:lang w:eastAsia="en-US"/>
    </w:rPr>
  </w:style>
  <w:style w:type="table" w:styleId="TableGrid">
    <w:name w:val="Table Grid"/>
    <w:basedOn w:val="TableNormal"/>
    <w:uiPriority w:val="99"/>
    <w:pPr>
      <w:spacing w:after="0" w:line="240" w:lineRule="auto"/>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rPr>
      <w:rFonts w:cs="Times New Roman"/>
      <w:color w:val="800080"/>
      <w:u w:val="single"/>
    </w:rPr>
  </w:style>
  <w:style w:type="paragraph" w:customStyle="1" w:styleId="Typedudocument">
    <w:name w:val="Type du document"/>
    <w:basedOn w:val="Normal"/>
    <w:next w:val="Titreobjet"/>
    <w:uiPriority w:val="99"/>
    <w:pPr>
      <w:spacing w:before="360"/>
      <w:jc w:val="center"/>
    </w:pPr>
    <w:rPr>
      <w:b/>
      <w:lang w:eastAsia="en-US"/>
    </w:rPr>
  </w:style>
  <w:style w:type="paragraph" w:customStyle="1" w:styleId="Titreobjet">
    <w:name w:val="Titre objet"/>
    <w:basedOn w:val="Normal"/>
    <w:next w:val="Normal"/>
    <w:pPr>
      <w:spacing w:before="360" w:after="360"/>
      <w:jc w:val="center"/>
    </w:pPr>
    <w:rPr>
      <w:rFonts w:eastAsiaTheme="minorHAnsi"/>
      <w:b/>
      <w:szCs w:val="22"/>
      <w:lang w:eastAsia="en-US"/>
    </w:rPr>
  </w:style>
  <w:style w:type="character" w:styleId="Emphasis">
    <w:name w:val="Emphasis"/>
    <w:basedOn w:val="DefaultParagraphFont"/>
    <w:uiPriority w:val="20"/>
    <w:qFormat/>
    <w:rPr>
      <w:rFonts w:cs="Times New Roman"/>
      <w:i/>
    </w:rPr>
  </w:style>
  <w:style w:type="paragraph" w:styleId="NormalWeb">
    <w:name w:val="Normal (Web)"/>
    <w:basedOn w:val="Normal"/>
    <w:uiPriority w:val="99"/>
    <w:pPr>
      <w:spacing w:before="100" w:beforeAutospacing="1" w:after="100" w:afterAutospacing="1"/>
    </w:pPr>
  </w:style>
  <w:style w:type="paragraph" w:customStyle="1" w:styleId="Text2">
    <w:name w:val="Text 2"/>
    <w:basedOn w:val="Normal"/>
    <w:uiPriority w:val="99"/>
    <w:pPr>
      <w:spacing w:before="120" w:after="120"/>
      <w:ind w:left="850"/>
      <w:jc w:val="both"/>
    </w:pPr>
    <w:rPr>
      <w:lang w:eastAsia="en-US"/>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en-GB"/>
    </w:rPr>
  </w:style>
  <w:style w:type="paragraph" w:styleId="ListNumber">
    <w:name w:val="List Number"/>
    <w:basedOn w:val="Normal"/>
    <w:uiPriority w:val="99"/>
    <w:pPr>
      <w:numPr>
        <w:numId w:val="10"/>
      </w:numPr>
      <w:spacing w:before="120" w:after="120"/>
      <w:jc w:val="both"/>
    </w:pPr>
    <w:rPr>
      <w:lang w:eastAsia="de-DE"/>
    </w:rPr>
  </w:style>
  <w:style w:type="paragraph" w:customStyle="1" w:styleId="ListNumberLevel2">
    <w:name w:val="List Number (Level 2)"/>
    <w:basedOn w:val="Normal"/>
    <w:uiPriority w:val="99"/>
    <w:pPr>
      <w:numPr>
        <w:ilvl w:val="1"/>
        <w:numId w:val="10"/>
      </w:numPr>
      <w:spacing w:before="120" w:after="120"/>
      <w:jc w:val="both"/>
    </w:pPr>
    <w:rPr>
      <w:lang w:eastAsia="de-DE"/>
    </w:rPr>
  </w:style>
  <w:style w:type="paragraph" w:customStyle="1" w:styleId="ListNumberLevel3">
    <w:name w:val="List Number (Level 3)"/>
    <w:basedOn w:val="Normal"/>
    <w:uiPriority w:val="99"/>
    <w:pPr>
      <w:numPr>
        <w:ilvl w:val="2"/>
        <w:numId w:val="10"/>
      </w:numPr>
      <w:spacing w:before="120" w:after="120"/>
      <w:jc w:val="both"/>
    </w:pPr>
    <w:rPr>
      <w:lang w:eastAsia="de-DE"/>
    </w:rPr>
  </w:style>
  <w:style w:type="paragraph" w:customStyle="1" w:styleId="ListNumberLevel4">
    <w:name w:val="List Number (Level 4)"/>
    <w:basedOn w:val="Normal"/>
    <w:uiPriority w:val="99"/>
    <w:pPr>
      <w:numPr>
        <w:ilvl w:val="3"/>
        <w:numId w:val="10"/>
      </w:numPr>
      <w:spacing w:before="120" w:after="120"/>
      <w:jc w:val="both"/>
    </w:pPr>
    <w:rPr>
      <w:lang w:eastAsia="de-DE"/>
    </w:rPr>
  </w:style>
  <w:style w:type="character" w:customStyle="1" w:styleId="ListDashChar">
    <w:name w:val="List Dash Char"/>
    <w:link w:val="ListDash"/>
    <w:uiPriority w:val="99"/>
    <w:locked/>
    <w:rPr>
      <w:rFonts w:ascii="Times New Roman" w:eastAsia="Times New Roman" w:hAnsi="Times New Roman" w:cs="Times New Roman"/>
      <w:sz w:val="24"/>
      <w:szCs w:val="20"/>
      <w:lang w:val="de-DE" w:eastAsia="de-DE"/>
    </w:rPr>
  </w:style>
  <w:style w:type="paragraph" w:customStyle="1" w:styleId="StyleManualHeading2Italic">
    <w:name w:val="Style Manual Heading 2 + Italic"/>
    <w:basedOn w:val="ManualHeading2"/>
    <w:autoRedefine/>
    <w:uiPriority w:val="99"/>
    <w:pPr>
      <w:numPr>
        <w:numId w:val="0"/>
      </w:numPr>
      <w:spacing w:before="160" w:after="160"/>
    </w:pPr>
    <w:rPr>
      <w:bCs/>
      <w:i/>
      <w:iCs/>
    </w:rPr>
  </w:style>
  <w:style w:type="paragraph" w:customStyle="1" w:styleId="NormalCentered">
    <w:name w:val="Normal Centered"/>
    <w:basedOn w:val="Normal"/>
    <w:uiPriority w:val="99"/>
    <w:pPr>
      <w:spacing w:before="120" w:after="120"/>
      <w:jc w:val="center"/>
    </w:pPr>
    <w:rPr>
      <w:lang w:eastAsia="de-DE"/>
    </w:rPr>
  </w:style>
  <w:style w:type="paragraph" w:customStyle="1" w:styleId="NormalRight">
    <w:name w:val="Normal Right"/>
    <w:basedOn w:val="Normal"/>
    <w:uiPriority w:val="99"/>
    <w:pPr>
      <w:spacing w:before="120" w:after="120"/>
      <w:jc w:val="right"/>
    </w:pPr>
    <w:rPr>
      <w:lang w:eastAsia="de-DE"/>
    </w:rPr>
  </w:style>
  <w:style w:type="paragraph" w:customStyle="1" w:styleId="NormalLeft">
    <w:name w:val="Normal Left"/>
    <w:basedOn w:val="Normal"/>
    <w:uiPriority w:val="99"/>
    <w:pPr>
      <w:spacing w:before="120" w:after="120"/>
    </w:p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4"/>
      <w:lang w:eastAsia="en-GB"/>
    </w:rPr>
  </w:style>
  <w:style w:type="paragraph" w:customStyle="1" w:styleId="Statut">
    <w:name w:val="Statut"/>
    <w:basedOn w:val="Normal"/>
    <w:next w:val="Typedudocument"/>
    <w:uiPriority w:val="99"/>
    <w:pPr>
      <w:spacing w:before="360"/>
      <w:jc w:val="center"/>
    </w:pPr>
    <w:rPr>
      <w:szCs w:val="22"/>
      <w:lang w:eastAsia="en-US"/>
    </w:rPr>
  </w:style>
  <w:style w:type="paragraph" w:customStyle="1" w:styleId="Footnoter">
    <w:name w:val="Footnote r"/>
    <w:basedOn w:val="Normal"/>
    <w:uiPriority w:val="99"/>
    <w:pPr>
      <w:shd w:val="clear" w:color="auto" w:fill="F2F8FB"/>
      <w:spacing w:before="100" w:beforeAutospacing="1" w:after="100" w:afterAutospacing="1"/>
    </w:pPr>
    <w:rPr>
      <w:szCs w:val="22"/>
    </w:rPr>
  </w:style>
  <w:style w:type="character" w:customStyle="1" w:styleId="hps">
    <w:name w:val="hps"/>
    <w:uiPriority w:val="99"/>
  </w:style>
  <w:style w:type="paragraph" w:customStyle="1" w:styleId="Point0number">
    <w:name w:val="Point 0 (number)"/>
    <w:basedOn w:val="Normal"/>
    <w:uiPriority w:val="99"/>
    <w:pPr>
      <w:numPr>
        <w:numId w:val="11"/>
      </w:numPr>
      <w:spacing w:before="120" w:after="120"/>
      <w:jc w:val="both"/>
    </w:pPr>
    <w:rPr>
      <w:szCs w:val="22"/>
    </w:rPr>
  </w:style>
  <w:style w:type="paragraph" w:customStyle="1" w:styleId="Point1number">
    <w:name w:val="Point 1 (number)"/>
    <w:basedOn w:val="Normal"/>
    <w:uiPriority w:val="99"/>
    <w:pPr>
      <w:numPr>
        <w:ilvl w:val="2"/>
        <w:numId w:val="11"/>
      </w:numPr>
      <w:spacing w:before="120" w:after="120"/>
      <w:jc w:val="both"/>
    </w:pPr>
    <w:rPr>
      <w:szCs w:val="22"/>
    </w:rPr>
  </w:style>
  <w:style w:type="paragraph" w:customStyle="1" w:styleId="Point2number">
    <w:name w:val="Point 2 (number)"/>
    <w:basedOn w:val="Normal"/>
    <w:uiPriority w:val="99"/>
    <w:pPr>
      <w:numPr>
        <w:ilvl w:val="4"/>
        <w:numId w:val="11"/>
      </w:numPr>
      <w:spacing w:before="120" w:after="120"/>
      <w:jc w:val="both"/>
    </w:pPr>
    <w:rPr>
      <w:szCs w:val="22"/>
    </w:rPr>
  </w:style>
  <w:style w:type="paragraph" w:customStyle="1" w:styleId="Point3number">
    <w:name w:val="Point 3 (number)"/>
    <w:basedOn w:val="Normal"/>
    <w:uiPriority w:val="99"/>
    <w:pPr>
      <w:numPr>
        <w:ilvl w:val="6"/>
        <w:numId w:val="11"/>
      </w:numPr>
      <w:spacing w:before="120" w:after="120"/>
      <w:jc w:val="both"/>
    </w:pPr>
    <w:rPr>
      <w:szCs w:val="22"/>
    </w:rPr>
  </w:style>
  <w:style w:type="paragraph" w:customStyle="1" w:styleId="Point0letter">
    <w:name w:val="Point 0 (letter)"/>
    <w:basedOn w:val="Normal"/>
    <w:uiPriority w:val="99"/>
    <w:pPr>
      <w:numPr>
        <w:ilvl w:val="1"/>
        <w:numId w:val="11"/>
      </w:numPr>
      <w:spacing w:before="120" w:after="120"/>
      <w:jc w:val="both"/>
    </w:pPr>
    <w:rPr>
      <w:szCs w:val="22"/>
    </w:rPr>
  </w:style>
  <w:style w:type="paragraph" w:customStyle="1" w:styleId="Point1letter">
    <w:name w:val="Point 1 (letter)"/>
    <w:basedOn w:val="Normal"/>
    <w:uiPriority w:val="99"/>
    <w:pPr>
      <w:numPr>
        <w:ilvl w:val="3"/>
        <w:numId w:val="11"/>
      </w:numPr>
      <w:spacing w:before="120" w:after="120"/>
      <w:jc w:val="both"/>
    </w:pPr>
    <w:rPr>
      <w:szCs w:val="22"/>
    </w:rPr>
  </w:style>
  <w:style w:type="paragraph" w:customStyle="1" w:styleId="Point2letter">
    <w:name w:val="Point 2 (letter)"/>
    <w:basedOn w:val="Normal"/>
    <w:uiPriority w:val="99"/>
    <w:pPr>
      <w:numPr>
        <w:ilvl w:val="5"/>
        <w:numId w:val="11"/>
      </w:numPr>
      <w:spacing w:before="120" w:after="120"/>
      <w:jc w:val="both"/>
    </w:pPr>
    <w:rPr>
      <w:szCs w:val="22"/>
    </w:rPr>
  </w:style>
  <w:style w:type="paragraph" w:customStyle="1" w:styleId="Point3letter">
    <w:name w:val="Point 3 (letter)"/>
    <w:basedOn w:val="Normal"/>
    <w:uiPriority w:val="99"/>
    <w:pPr>
      <w:numPr>
        <w:ilvl w:val="7"/>
        <w:numId w:val="11"/>
      </w:numPr>
      <w:spacing w:before="120" w:after="120"/>
      <w:jc w:val="both"/>
    </w:pPr>
    <w:rPr>
      <w:szCs w:val="22"/>
    </w:rPr>
  </w:style>
  <w:style w:type="paragraph" w:customStyle="1" w:styleId="Point4letter">
    <w:name w:val="Point 4 (letter)"/>
    <w:basedOn w:val="Normal"/>
    <w:uiPriority w:val="99"/>
    <w:pPr>
      <w:numPr>
        <w:ilvl w:val="8"/>
        <w:numId w:val="11"/>
      </w:numPr>
      <w:spacing w:before="120" w:after="120"/>
      <w:jc w:val="both"/>
    </w:pPr>
    <w:rPr>
      <w:szCs w:val="22"/>
    </w:rPr>
  </w:style>
  <w:style w:type="paragraph" w:customStyle="1" w:styleId="Tiret2">
    <w:name w:val="Tiret 2"/>
    <w:basedOn w:val="Normal"/>
    <w:uiPriority w:val="99"/>
    <w:pPr>
      <w:numPr>
        <w:numId w:val="12"/>
      </w:numPr>
      <w:spacing w:before="120" w:after="120"/>
      <w:jc w:val="both"/>
    </w:pPr>
    <w:rPr>
      <w:szCs w:val="22"/>
    </w:r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
    <w:basedOn w:val="Normal"/>
    <w:link w:val="ListParagraphChar"/>
    <w:uiPriority w:val="34"/>
    <w:qFormat/>
    <w:pPr>
      <w:spacing w:after="200" w:line="276" w:lineRule="auto"/>
      <w:ind w:left="720"/>
      <w:contextualSpacing/>
    </w:pPr>
    <w:rPr>
      <w:rFonts w:ascii="Calibri" w:eastAsia="MS Mincho" w:hAnsi="Calibri"/>
      <w:sz w:val="22"/>
      <w:szCs w:val="20"/>
      <w:lang w:val="de-DE" w:eastAsia="de-DE"/>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qFormat/>
    <w:locked/>
    <w:rPr>
      <w:rFonts w:ascii="Calibri" w:eastAsia="MS Mincho" w:hAnsi="Calibri" w:cs="Times New Roman"/>
      <w:szCs w:val="20"/>
      <w:lang w:val="de-DE" w:eastAsia="de-DE"/>
    </w:rPr>
  </w:style>
  <w:style w:type="character" w:styleId="CommentReference">
    <w:name w:val="annotation reference"/>
    <w:basedOn w:val="DefaultParagraphFont"/>
    <w:uiPriority w:val="99"/>
    <w:rPr>
      <w:rFonts w:cs="Times New Roman"/>
      <w:sz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rPr>
      <w:b/>
      <w:bCs/>
      <w:lang w:val="de-DE" w:eastAsia="de-DE"/>
    </w:rPr>
  </w:style>
  <w:style w:type="character" w:customStyle="1" w:styleId="CommentSubjectChar">
    <w:name w:val="Comment Subject Char"/>
    <w:basedOn w:val="CommentTextChar"/>
    <w:link w:val="CommentSubject"/>
    <w:uiPriority w:val="99"/>
    <w:rPr>
      <w:rFonts w:ascii="Times New Roman" w:eastAsia="Times New Roman" w:hAnsi="Times New Roman" w:cs="Times New Roman"/>
      <w:b/>
      <w:bCs/>
      <w:sz w:val="20"/>
      <w:szCs w:val="20"/>
      <w:lang w:val="de-DE" w:eastAsia="de-DE"/>
    </w:rPr>
  </w:style>
  <w:style w:type="paragraph" w:styleId="ListNumber5">
    <w:name w:val="List Number 5"/>
    <w:basedOn w:val="Normal"/>
    <w:uiPriority w:val="99"/>
    <w:pPr>
      <w:numPr>
        <w:numId w:val="4"/>
      </w:numPr>
      <w:tabs>
        <w:tab w:val="clear" w:pos="360"/>
        <w:tab w:val="num" w:pos="1492"/>
      </w:tabs>
      <w:ind w:left="1492"/>
      <w:contextualSpacing/>
    </w:pPr>
  </w:style>
  <w:style w:type="character" w:styleId="Strong">
    <w:name w:val="Strong"/>
    <w:basedOn w:val="DefaultParagraphFont"/>
    <w:uiPriority w:val="99"/>
    <w:qFormat/>
    <w:rPr>
      <w:rFonts w:cs="Times New Roman"/>
      <w:b/>
      <w:bCs/>
    </w:rPr>
  </w:style>
  <w:style w:type="paragraph" w:styleId="ListBullet3">
    <w:name w:val="List Bullet 3"/>
    <w:basedOn w:val="Normal"/>
    <w:uiPriority w:val="99"/>
    <w:pPr>
      <w:numPr>
        <w:numId w:val="5"/>
      </w:numPr>
      <w:tabs>
        <w:tab w:val="clear" w:pos="643"/>
        <w:tab w:val="num" w:pos="926"/>
      </w:tabs>
      <w:spacing w:before="120" w:after="120"/>
      <w:ind w:left="926"/>
      <w:contextualSpacing/>
      <w:jc w:val="both"/>
    </w:pPr>
    <w:rPr>
      <w:szCs w:val="22"/>
    </w:rPr>
  </w:style>
  <w:style w:type="paragraph" w:customStyle="1" w:styleId="Default">
    <w:name w:val="Default"/>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customStyle="1" w:styleId="ManualHeading3">
    <w:name w:val="Manual Heading 3"/>
    <w:basedOn w:val="Normal"/>
    <w:next w:val="Normal"/>
    <w:uiPriority w:val="99"/>
    <w:pPr>
      <w:keepNext/>
      <w:tabs>
        <w:tab w:val="left" w:pos="850"/>
      </w:tabs>
      <w:spacing w:before="120" w:after="120"/>
      <w:ind w:left="850" w:hanging="850"/>
      <w:jc w:val="both"/>
      <w:outlineLvl w:val="2"/>
    </w:pPr>
    <w:rPr>
      <w:i/>
      <w:lang w:eastAsia="en-US"/>
    </w:rPr>
  </w:style>
  <w:style w:type="paragraph" w:customStyle="1" w:styleId="Style1">
    <w:name w:val="Style1"/>
    <w:basedOn w:val="ManualHeading1"/>
    <w:autoRedefine/>
    <w:qFormat/>
    <w:pPr>
      <w:ind w:left="720" w:hanging="360"/>
    </w:pPr>
    <w:rPr>
      <w:noProof/>
    </w:rPr>
  </w:style>
  <w:style w:type="paragraph" w:customStyle="1" w:styleId="Style2">
    <w:name w:val="Style2"/>
    <w:basedOn w:val="ManualHeading2"/>
    <w:autoRedefine/>
    <w:qFormat/>
    <w:pPr>
      <w:numPr>
        <w:ilvl w:val="1"/>
        <w:numId w:val="16"/>
      </w:numPr>
    </w:pPr>
  </w:style>
  <w:style w:type="paragraph" w:customStyle="1" w:styleId="Style3">
    <w:name w:val="Style3"/>
    <w:basedOn w:val="ManualHeading1"/>
    <w:autoRedefine/>
    <w:qFormat/>
    <w:pPr>
      <w:numPr>
        <w:numId w:val="15"/>
      </w:numPr>
    </w:pPr>
    <w:rPr>
      <w:noProof/>
    </w:rPr>
  </w:style>
  <w:style w:type="paragraph" w:customStyle="1" w:styleId="CM1">
    <w:name w:val="CM1"/>
    <w:basedOn w:val="Default"/>
    <w:next w:val="Default"/>
    <w:uiPriority w:val="99"/>
    <w:rPr>
      <w:rFonts w:ascii="KOJOD P+ Adv T T 5843c 571" w:hAnsi="KOJOD P+ Adv T T 5843c 571"/>
      <w:color w:val="auto"/>
      <w:lang w:eastAsia="de-DE"/>
    </w:rPr>
  </w:style>
  <w:style w:type="paragraph" w:customStyle="1" w:styleId="CM3">
    <w:name w:val="CM3"/>
    <w:basedOn w:val="Default"/>
    <w:next w:val="Default"/>
    <w:uiPriority w:val="99"/>
    <w:rPr>
      <w:rFonts w:ascii="KOJOD P+ Adv T T 5843c 571" w:hAnsi="KOJOD P+ Adv T T 5843c 571"/>
      <w:color w:val="auto"/>
      <w:lang w:eastAsia="de-DE"/>
    </w:rPr>
  </w:style>
  <w:style w:type="table" w:customStyle="1" w:styleId="TableGrid1">
    <w:name w:val="Table Grid1"/>
    <w:basedOn w:val="TableNormal"/>
    <w:next w:val="Table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objetPagedecouverture">
    <w:name w:val="Titre objet (Page de couverture)"/>
    <w:basedOn w:val="Titreobjet"/>
    <w:next w:val="Normal"/>
  </w:style>
  <w:style w:type="paragraph" w:customStyle="1" w:styleId="Declassification">
    <w:name w:val="Declassification"/>
    <w:basedOn w:val="Normal"/>
    <w:next w:val="Normal"/>
    <w:pPr>
      <w:jc w:val="both"/>
    </w:pPr>
    <w:rPr>
      <w:rFonts w:eastAsiaTheme="minorHAnsi"/>
      <w:szCs w:val="22"/>
      <w:lang w:eastAsia="en-US"/>
    </w:rPr>
  </w:style>
  <w:style w:type="paragraph" w:customStyle="1" w:styleId="HeaderLandscape">
    <w:name w:val="HeaderLandscape"/>
    <w:basedOn w:val="Normal"/>
    <w:pPr>
      <w:tabs>
        <w:tab w:val="center" w:pos="7285"/>
        <w:tab w:val="right" w:pos="14003"/>
      </w:tabs>
      <w:spacing w:after="120"/>
      <w:jc w:val="both"/>
    </w:pPr>
    <w:rPr>
      <w:rFonts w:eastAsiaTheme="minorHAnsi"/>
      <w:szCs w:val="22"/>
      <w:lang w:eastAsia="en-US"/>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paragraph" w:customStyle="1" w:styleId="FooterLandscape">
    <w:name w:val="FooterLandscape"/>
    <w:basedOn w:val="Normal"/>
    <w:pPr>
      <w:tabs>
        <w:tab w:val="center" w:pos="7285"/>
        <w:tab w:val="center" w:pos="10913"/>
        <w:tab w:val="right" w:pos="15137"/>
      </w:tabs>
      <w:spacing w:before="360"/>
      <w:ind w:left="-567" w:right="-567"/>
    </w:pPr>
    <w:rPr>
      <w:rFonts w:eastAsiaTheme="minorHAnsi"/>
      <w:szCs w:val="22"/>
      <w:lang w:eastAsia="en-US"/>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character" w:customStyle="1" w:styleId="st">
    <w:name w:val="st"/>
    <w:basedOn w:val="DefaultParagraphFont"/>
  </w:style>
  <w:style w:type="paragraph" w:customStyle="1" w:styleId="HeaderSensitivityRight">
    <w:name w:val="Header Sensitivity Right"/>
    <w:basedOn w:val="Normal"/>
    <w:link w:val="HeaderSensitivityRightChar"/>
    <w:pPr>
      <w:spacing w:after="120"/>
      <w:jc w:val="right"/>
    </w:pPr>
    <w:rPr>
      <w:sz w:val="28"/>
    </w:rPr>
  </w:style>
  <w:style w:type="character" w:customStyle="1" w:styleId="HeaderSensitivityRightChar">
    <w:name w:val="Header Sensitivity Right Char"/>
    <w:basedOn w:val="DefaultParagraphFont"/>
    <w:link w:val="HeaderSensitivityRight"/>
    <w:rPr>
      <w:rFonts w:ascii="Times New Roman" w:eastAsia="Times New Roman" w:hAnsi="Times New Roman" w:cs="Times New Roman"/>
      <w:sz w:val="28"/>
      <w:szCs w:val="24"/>
      <w:lang w:eastAsia="en-GB"/>
    </w:rPr>
  </w:style>
  <w:style w:type="character" w:customStyle="1" w:styleId="acopre">
    <w:name w:val="acopre"/>
    <w:basedOn w:val="DefaultParagraphFont"/>
  </w:style>
  <w:style w:type="table" w:customStyle="1" w:styleId="GridTable1Light-Accent11">
    <w:name w:val="Grid Table 1 Light - Accent 11"/>
    <w:basedOn w:val="TableNormal"/>
    <w:uiPriority w:val="4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EndnoteText">
    <w:name w:val="endnote text"/>
    <w:basedOn w:val="Normal"/>
    <w:link w:val="EndnoteTextChar"/>
    <w:uiPriority w:val="99"/>
    <w:semiHidden/>
    <w:unhideWhenUsed/>
    <w:rsid w:val="00C94B68"/>
    <w:rPr>
      <w:sz w:val="20"/>
      <w:szCs w:val="20"/>
    </w:rPr>
  </w:style>
  <w:style w:type="character" w:customStyle="1" w:styleId="EndnoteTextChar">
    <w:name w:val="Endnote Text Char"/>
    <w:basedOn w:val="DefaultParagraphFont"/>
    <w:link w:val="EndnoteText"/>
    <w:uiPriority w:val="99"/>
    <w:semiHidden/>
    <w:rsid w:val="00C94B68"/>
    <w:rPr>
      <w:rFonts w:ascii="Times New Roman" w:eastAsia="Times New Roman" w:hAnsi="Times New Roman" w:cs="Times New Roman"/>
      <w:sz w:val="20"/>
      <w:szCs w:val="20"/>
      <w:lang w:eastAsia="en-GB"/>
    </w:rPr>
  </w:style>
  <w:style w:type="character" w:styleId="EndnoteReference">
    <w:name w:val="endnote reference"/>
    <w:basedOn w:val="DefaultParagraphFont"/>
    <w:uiPriority w:val="99"/>
    <w:semiHidden/>
    <w:unhideWhenUsed/>
    <w:rsid w:val="00C94B68"/>
    <w:rPr>
      <w:vertAlign w:val="superscript"/>
    </w:rPr>
  </w:style>
  <w:style w:type="paragraph" w:customStyle="1" w:styleId="msonormal0">
    <w:name w:val="msonormal"/>
    <w:basedOn w:val="Normal"/>
    <w:rsid w:val="00761196"/>
    <w:pPr>
      <w:spacing w:before="100" w:beforeAutospacing="1" w:after="100" w:afterAutospacing="1"/>
    </w:pPr>
    <w:rPr>
      <w:lang w:val="en-IE" w:eastAsia="en-IE"/>
    </w:rPr>
  </w:style>
  <w:style w:type="paragraph" w:customStyle="1" w:styleId="font5">
    <w:name w:val="font5"/>
    <w:basedOn w:val="Normal"/>
    <w:rsid w:val="00761196"/>
    <w:pPr>
      <w:spacing w:before="100" w:beforeAutospacing="1" w:after="100" w:afterAutospacing="1"/>
    </w:pPr>
    <w:rPr>
      <w:rFonts w:ascii="Tahoma" w:hAnsi="Tahoma" w:cs="Tahoma"/>
      <w:color w:val="000000"/>
      <w:sz w:val="18"/>
      <w:szCs w:val="18"/>
      <w:lang w:val="en-IE" w:eastAsia="en-IE"/>
    </w:rPr>
  </w:style>
  <w:style w:type="paragraph" w:customStyle="1" w:styleId="font6">
    <w:name w:val="font6"/>
    <w:basedOn w:val="Normal"/>
    <w:rsid w:val="00761196"/>
    <w:pPr>
      <w:spacing w:before="100" w:beforeAutospacing="1" w:after="100" w:afterAutospacing="1"/>
    </w:pPr>
    <w:rPr>
      <w:rFonts w:ascii="Tahoma" w:hAnsi="Tahoma" w:cs="Tahoma"/>
      <w:b/>
      <w:bCs/>
      <w:color w:val="000000"/>
      <w:sz w:val="18"/>
      <w:szCs w:val="18"/>
      <w:lang w:val="en-IE" w:eastAsia="en-IE"/>
    </w:rPr>
  </w:style>
  <w:style w:type="paragraph" w:customStyle="1" w:styleId="xl65">
    <w:name w:val="xl65"/>
    <w:basedOn w:val="Normal"/>
    <w:rsid w:val="00761196"/>
    <w:pPr>
      <w:pBdr>
        <w:left w:val="single" w:sz="8" w:space="0" w:color="auto"/>
        <w:bottom w:val="single" w:sz="8" w:space="0" w:color="auto"/>
      </w:pBdr>
      <w:shd w:val="clear" w:color="000000" w:fill="D9D9D9"/>
      <w:spacing w:before="100" w:beforeAutospacing="1" w:after="100" w:afterAutospacing="1"/>
      <w:jc w:val="both"/>
      <w:textAlignment w:val="center"/>
    </w:pPr>
    <w:rPr>
      <w:b/>
      <w:bCs/>
      <w:color w:val="000000"/>
      <w:sz w:val="16"/>
      <w:szCs w:val="16"/>
      <w:lang w:val="en-IE" w:eastAsia="en-IE"/>
    </w:rPr>
  </w:style>
  <w:style w:type="paragraph" w:customStyle="1" w:styleId="xl66">
    <w:name w:val="xl66"/>
    <w:basedOn w:val="Normal"/>
    <w:rsid w:val="00761196"/>
    <w:pPr>
      <w:pBdr>
        <w:bottom w:val="single" w:sz="8" w:space="0" w:color="auto"/>
        <w:right w:val="single" w:sz="8" w:space="0" w:color="auto"/>
      </w:pBdr>
      <w:shd w:val="clear" w:color="000000" w:fill="D9D9D9"/>
      <w:spacing w:before="100" w:beforeAutospacing="1" w:after="100" w:afterAutospacing="1"/>
      <w:jc w:val="both"/>
      <w:textAlignment w:val="center"/>
    </w:pPr>
    <w:rPr>
      <w:b/>
      <w:bCs/>
      <w:color w:val="000000"/>
      <w:sz w:val="16"/>
      <w:szCs w:val="16"/>
      <w:lang w:val="en-IE" w:eastAsia="en-IE"/>
    </w:rPr>
  </w:style>
  <w:style w:type="paragraph" w:customStyle="1" w:styleId="xl67">
    <w:name w:val="xl67"/>
    <w:basedOn w:val="Normal"/>
    <w:rsid w:val="00761196"/>
    <w:pPr>
      <w:pBdr>
        <w:bottom w:val="single" w:sz="8" w:space="0" w:color="auto"/>
        <w:right w:val="single" w:sz="8" w:space="0" w:color="auto"/>
      </w:pBdr>
      <w:shd w:val="clear" w:color="000000" w:fill="D9D9D9"/>
      <w:spacing w:before="100" w:beforeAutospacing="1" w:after="100" w:afterAutospacing="1"/>
      <w:jc w:val="right"/>
      <w:textAlignment w:val="center"/>
    </w:pPr>
    <w:rPr>
      <w:b/>
      <w:bCs/>
      <w:color w:val="000000"/>
      <w:sz w:val="16"/>
      <w:szCs w:val="16"/>
      <w:lang w:val="en-IE" w:eastAsia="en-IE"/>
    </w:rPr>
  </w:style>
  <w:style w:type="paragraph" w:customStyle="1" w:styleId="xl68">
    <w:name w:val="xl68"/>
    <w:basedOn w:val="Normal"/>
    <w:rsid w:val="00761196"/>
    <w:pPr>
      <w:pBdr>
        <w:left w:val="single" w:sz="8" w:space="0" w:color="auto"/>
        <w:bottom w:val="single" w:sz="8" w:space="0" w:color="auto"/>
      </w:pBdr>
      <w:spacing w:before="100" w:beforeAutospacing="1" w:after="100" w:afterAutospacing="1"/>
      <w:jc w:val="both"/>
      <w:textAlignment w:val="center"/>
    </w:pPr>
    <w:rPr>
      <w:sz w:val="16"/>
      <w:szCs w:val="16"/>
      <w:lang w:val="en-IE" w:eastAsia="en-IE"/>
    </w:rPr>
  </w:style>
  <w:style w:type="paragraph" w:customStyle="1" w:styleId="xl69">
    <w:name w:val="xl69"/>
    <w:basedOn w:val="Normal"/>
    <w:rsid w:val="00761196"/>
    <w:pPr>
      <w:pBdr>
        <w:bottom w:val="single" w:sz="8" w:space="0" w:color="auto"/>
        <w:right w:val="single" w:sz="8" w:space="0" w:color="auto"/>
      </w:pBdr>
      <w:spacing w:before="100" w:beforeAutospacing="1" w:after="100" w:afterAutospacing="1"/>
      <w:jc w:val="right"/>
      <w:textAlignment w:val="center"/>
    </w:pPr>
    <w:rPr>
      <w:b/>
      <w:bCs/>
      <w:sz w:val="16"/>
      <w:szCs w:val="16"/>
      <w:lang w:val="en-IE" w:eastAsia="en-IE"/>
    </w:rPr>
  </w:style>
  <w:style w:type="paragraph" w:customStyle="1" w:styleId="xl70">
    <w:name w:val="xl70"/>
    <w:basedOn w:val="Normal"/>
    <w:rsid w:val="00761196"/>
    <w:pPr>
      <w:pBdr>
        <w:bottom w:val="single" w:sz="8" w:space="0" w:color="auto"/>
        <w:right w:val="single" w:sz="8" w:space="0" w:color="auto"/>
      </w:pBdr>
      <w:spacing w:before="100" w:beforeAutospacing="1" w:after="100" w:afterAutospacing="1"/>
      <w:jc w:val="right"/>
      <w:textAlignment w:val="center"/>
    </w:pPr>
    <w:rPr>
      <w:i/>
      <w:iCs/>
      <w:sz w:val="16"/>
      <w:szCs w:val="16"/>
      <w:lang w:val="en-IE" w:eastAsia="en-IE"/>
    </w:rPr>
  </w:style>
  <w:style w:type="paragraph" w:customStyle="1" w:styleId="xl71">
    <w:name w:val="xl71"/>
    <w:basedOn w:val="Normal"/>
    <w:rsid w:val="00761196"/>
    <w:pPr>
      <w:pBdr>
        <w:left w:val="single" w:sz="8" w:space="0" w:color="auto"/>
        <w:bottom w:val="single" w:sz="8" w:space="0" w:color="auto"/>
      </w:pBdr>
      <w:shd w:val="clear" w:color="000000" w:fill="F2F2F2"/>
      <w:spacing w:before="100" w:beforeAutospacing="1" w:after="100" w:afterAutospacing="1"/>
      <w:jc w:val="both"/>
      <w:textAlignment w:val="center"/>
    </w:pPr>
    <w:rPr>
      <w:sz w:val="16"/>
      <w:szCs w:val="16"/>
      <w:lang w:val="en-IE" w:eastAsia="en-IE"/>
    </w:rPr>
  </w:style>
  <w:style w:type="paragraph" w:customStyle="1" w:styleId="xl72">
    <w:name w:val="xl72"/>
    <w:basedOn w:val="Normal"/>
    <w:rsid w:val="00761196"/>
    <w:pPr>
      <w:pBdr>
        <w:bottom w:val="single" w:sz="8" w:space="0" w:color="auto"/>
        <w:right w:val="single" w:sz="8" w:space="0" w:color="auto"/>
      </w:pBdr>
      <w:shd w:val="clear" w:color="000000" w:fill="F2F2F2"/>
      <w:spacing w:before="100" w:beforeAutospacing="1" w:after="100" w:afterAutospacing="1"/>
      <w:textAlignment w:val="center"/>
    </w:pPr>
    <w:rPr>
      <w:color w:val="000000"/>
      <w:sz w:val="16"/>
      <w:szCs w:val="16"/>
      <w:lang w:val="en-IE" w:eastAsia="en-IE"/>
    </w:rPr>
  </w:style>
  <w:style w:type="paragraph" w:customStyle="1" w:styleId="xl73">
    <w:name w:val="xl73"/>
    <w:basedOn w:val="Normal"/>
    <w:rsid w:val="00761196"/>
    <w:pPr>
      <w:pBdr>
        <w:bottom w:val="single" w:sz="8" w:space="0" w:color="auto"/>
        <w:right w:val="single" w:sz="8" w:space="0" w:color="auto"/>
      </w:pBdr>
      <w:shd w:val="clear" w:color="000000" w:fill="F2F2F2"/>
      <w:spacing w:before="100" w:beforeAutospacing="1" w:after="100" w:afterAutospacing="1"/>
      <w:jc w:val="right"/>
      <w:textAlignment w:val="center"/>
    </w:pPr>
    <w:rPr>
      <w:color w:val="000000"/>
      <w:sz w:val="16"/>
      <w:szCs w:val="16"/>
      <w:lang w:val="en-IE" w:eastAsia="en-IE"/>
    </w:rPr>
  </w:style>
  <w:style w:type="paragraph" w:customStyle="1" w:styleId="xl74">
    <w:name w:val="xl74"/>
    <w:basedOn w:val="Normal"/>
    <w:rsid w:val="00761196"/>
    <w:pPr>
      <w:pBdr>
        <w:bottom w:val="single" w:sz="8" w:space="0" w:color="auto"/>
        <w:right w:val="single" w:sz="8" w:space="0" w:color="auto"/>
      </w:pBdr>
      <w:spacing w:before="100" w:beforeAutospacing="1" w:after="100" w:afterAutospacing="1"/>
      <w:jc w:val="right"/>
      <w:textAlignment w:val="center"/>
    </w:pPr>
    <w:rPr>
      <w:i/>
      <w:iCs/>
      <w:sz w:val="16"/>
      <w:szCs w:val="16"/>
      <w:lang w:val="en-IE" w:eastAsia="en-IE"/>
    </w:rPr>
  </w:style>
  <w:style w:type="paragraph" w:customStyle="1" w:styleId="xl75">
    <w:name w:val="xl75"/>
    <w:basedOn w:val="Normal"/>
    <w:rsid w:val="00761196"/>
    <w:pPr>
      <w:pBdr>
        <w:left w:val="single" w:sz="8" w:space="0" w:color="auto"/>
        <w:bottom w:val="single" w:sz="8" w:space="0" w:color="auto"/>
      </w:pBdr>
      <w:shd w:val="clear" w:color="000000" w:fill="D9D9D9"/>
      <w:spacing w:before="100" w:beforeAutospacing="1" w:after="100" w:afterAutospacing="1"/>
      <w:jc w:val="both"/>
      <w:textAlignment w:val="center"/>
    </w:pPr>
    <w:rPr>
      <w:color w:val="000000"/>
      <w:sz w:val="16"/>
      <w:szCs w:val="16"/>
      <w:lang w:val="en-IE" w:eastAsia="en-IE"/>
    </w:rPr>
  </w:style>
  <w:style w:type="paragraph" w:customStyle="1" w:styleId="xl76">
    <w:name w:val="xl76"/>
    <w:basedOn w:val="Normal"/>
    <w:rsid w:val="00761196"/>
    <w:pPr>
      <w:pBdr>
        <w:bottom w:val="single" w:sz="8" w:space="0" w:color="auto"/>
        <w:right w:val="single" w:sz="8" w:space="0" w:color="auto"/>
      </w:pBdr>
      <w:shd w:val="clear" w:color="000000" w:fill="D9D9D9"/>
      <w:spacing w:before="100" w:beforeAutospacing="1" w:after="100" w:afterAutospacing="1"/>
      <w:jc w:val="both"/>
      <w:textAlignment w:val="center"/>
    </w:pPr>
    <w:rPr>
      <w:color w:val="000000"/>
      <w:sz w:val="16"/>
      <w:szCs w:val="16"/>
      <w:lang w:val="en-IE" w:eastAsia="en-IE"/>
    </w:rPr>
  </w:style>
  <w:style w:type="paragraph" w:customStyle="1" w:styleId="xl77">
    <w:name w:val="xl77"/>
    <w:basedOn w:val="Normal"/>
    <w:rsid w:val="00761196"/>
    <w:pPr>
      <w:pBdr>
        <w:bottom w:val="single" w:sz="8" w:space="0" w:color="auto"/>
        <w:right w:val="single" w:sz="8" w:space="0" w:color="auto"/>
      </w:pBdr>
      <w:shd w:val="clear" w:color="000000" w:fill="D9D9D9"/>
      <w:spacing w:before="100" w:beforeAutospacing="1" w:after="100" w:afterAutospacing="1"/>
      <w:jc w:val="right"/>
      <w:textAlignment w:val="center"/>
    </w:pPr>
    <w:rPr>
      <w:color w:val="000000"/>
      <w:sz w:val="16"/>
      <w:szCs w:val="16"/>
      <w:lang w:val="en-IE" w:eastAsia="en-IE"/>
    </w:rPr>
  </w:style>
  <w:style w:type="paragraph" w:customStyle="1" w:styleId="xl78">
    <w:name w:val="xl78"/>
    <w:basedOn w:val="Normal"/>
    <w:rsid w:val="00761196"/>
    <w:pPr>
      <w:pBdr>
        <w:left w:val="single" w:sz="8" w:space="0" w:color="auto"/>
        <w:bottom w:val="single" w:sz="8" w:space="0" w:color="auto"/>
      </w:pBdr>
      <w:shd w:val="clear" w:color="000000" w:fill="D9D9D9"/>
      <w:spacing w:before="100" w:beforeAutospacing="1" w:after="100" w:afterAutospacing="1"/>
      <w:jc w:val="both"/>
      <w:textAlignment w:val="center"/>
    </w:pPr>
    <w:rPr>
      <w:sz w:val="16"/>
      <w:szCs w:val="16"/>
      <w:lang w:val="en-IE" w:eastAsia="en-IE"/>
    </w:rPr>
  </w:style>
  <w:style w:type="paragraph" w:customStyle="1" w:styleId="xl79">
    <w:name w:val="xl79"/>
    <w:basedOn w:val="Normal"/>
    <w:rsid w:val="00761196"/>
    <w:pPr>
      <w:pBdr>
        <w:bottom w:val="single" w:sz="8" w:space="0" w:color="auto"/>
        <w:right w:val="single" w:sz="8" w:space="0" w:color="auto"/>
      </w:pBdr>
      <w:spacing w:before="100" w:beforeAutospacing="1" w:after="100" w:afterAutospacing="1"/>
      <w:jc w:val="right"/>
      <w:textAlignment w:val="center"/>
    </w:pPr>
    <w:rPr>
      <w:b/>
      <w:bCs/>
      <w:i/>
      <w:iCs/>
      <w:sz w:val="16"/>
      <w:szCs w:val="16"/>
      <w:lang w:val="en-IE" w:eastAsia="en-IE"/>
    </w:rPr>
  </w:style>
  <w:style w:type="paragraph" w:customStyle="1" w:styleId="xl80">
    <w:name w:val="xl80"/>
    <w:basedOn w:val="Normal"/>
    <w:rsid w:val="00761196"/>
    <w:pPr>
      <w:pBdr>
        <w:left w:val="single" w:sz="8" w:space="0" w:color="auto"/>
        <w:bottom w:val="single" w:sz="8" w:space="0" w:color="auto"/>
      </w:pBdr>
      <w:shd w:val="clear" w:color="000000" w:fill="FFFFFF"/>
      <w:spacing w:before="100" w:beforeAutospacing="1" w:after="100" w:afterAutospacing="1"/>
      <w:jc w:val="both"/>
      <w:textAlignment w:val="center"/>
    </w:pPr>
    <w:rPr>
      <w:sz w:val="16"/>
      <w:szCs w:val="16"/>
      <w:lang w:val="en-IE" w:eastAsia="en-IE"/>
    </w:rPr>
  </w:style>
  <w:style w:type="paragraph" w:customStyle="1" w:styleId="xl81">
    <w:name w:val="xl81"/>
    <w:basedOn w:val="Normal"/>
    <w:rsid w:val="00761196"/>
    <w:pPr>
      <w:pBdr>
        <w:bottom w:val="single" w:sz="8" w:space="0" w:color="auto"/>
        <w:right w:val="single" w:sz="8" w:space="0" w:color="auto"/>
      </w:pBdr>
      <w:shd w:val="clear" w:color="000000" w:fill="FFFFFF"/>
      <w:spacing w:before="100" w:beforeAutospacing="1" w:after="100" w:afterAutospacing="1"/>
      <w:jc w:val="right"/>
      <w:textAlignment w:val="center"/>
    </w:pPr>
    <w:rPr>
      <w:i/>
      <w:iCs/>
      <w:color w:val="000000"/>
      <w:sz w:val="16"/>
      <w:szCs w:val="16"/>
      <w:lang w:val="en-IE" w:eastAsia="en-IE"/>
    </w:rPr>
  </w:style>
  <w:style w:type="paragraph" w:customStyle="1" w:styleId="xl82">
    <w:name w:val="xl82"/>
    <w:basedOn w:val="Normal"/>
    <w:rsid w:val="00761196"/>
    <w:pPr>
      <w:pBdr>
        <w:bottom w:val="single" w:sz="8" w:space="0" w:color="auto"/>
        <w:right w:val="single" w:sz="8" w:space="0" w:color="auto"/>
      </w:pBdr>
      <w:shd w:val="clear" w:color="000000" w:fill="FFFFFF"/>
      <w:spacing w:before="100" w:beforeAutospacing="1" w:after="100" w:afterAutospacing="1"/>
      <w:jc w:val="right"/>
      <w:textAlignment w:val="center"/>
    </w:pPr>
    <w:rPr>
      <w:i/>
      <w:iCs/>
      <w:color w:val="000000"/>
      <w:sz w:val="16"/>
      <w:szCs w:val="16"/>
      <w:lang w:val="en-IE" w:eastAsia="en-IE"/>
    </w:rPr>
  </w:style>
  <w:style w:type="paragraph" w:customStyle="1" w:styleId="xl83">
    <w:name w:val="xl83"/>
    <w:basedOn w:val="Normal"/>
    <w:rsid w:val="00761196"/>
    <w:pPr>
      <w:pBdr>
        <w:bottom w:val="single" w:sz="8" w:space="0" w:color="auto"/>
        <w:right w:val="single" w:sz="8" w:space="0" w:color="auto"/>
      </w:pBdr>
      <w:spacing w:before="100" w:beforeAutospacing="1" w:after="100" w:afterAutospacing="1"/>
      <w:jc w:val="right"/>
      <w:textAlignment w:val="center"/>
    </w:pPr>
    <w:rPr>
      <w:sz w:val="16"/>
      <w:szCs w:val="16"/>
      <w:lang w:val="en-IE" w:eastAsia="en-IE"/>
    </w:rPr>
  </w:style>
  <w:style w:type="paragraph" w:customStyle="1" w:styleId="xl84">
    <w:name w:val="xl84"/>
    <w:basedOn w:val="Normal"/>
    <w:rsid w:val="00761196"/>
    <w:pPr>
      <w:pBdr>
        <w:bottom w:val="single" w:sz="8" w:space="0" w:color="auto"/>
        <w:right w:val="single" w:sz="8" w:space="0" w:color="auto"/>
      </w:pBdr>
      <w:shd w:val="clear" w:color="000000" w:fill="F2F2F2"/>
      <w:spacing w:before="100" w:beforeAutospacing="1" w:after="100" w:afterAutospacing="1"/>
      <w:jc w:val="right"/>
      <w:textAlignment w:val="center"/>
    </w:pPr>
    <w:rPr>
      <w:sz w:val="16"/>
      <w:szCs w:val="16"/>
      <w:lang w:val="en-IE" w:eastAsia="en-IE"/>
    </w:rPr>
  </w:style>
  <w:style w:type="paragraph" w:customStyle="1" w:styleId="xl85">
    <w:name w:val="xl85"/>
    <w:basedOn w:val="Normal"/>
    <w:rsid w:val="00761196"/>
    <w:pPr>
      <w:pBdr>
        <w:left w:val="single" w:sz="8" w:space="0" w:color="auto"/>
        <w:bottom w:val="single" w:sz="8" w:space="0" w:color="auto"/>
      </w:pBdr>
      <w:spacing w:before="100" w:beforeAutospacing="1" w:after="100" w:afterAutospacing="1"/>
      <w:jc w:val="both"/>
      <w:textAlignment w:val="center"/>
    </w:pPr>
    <w:rPr>
      <w:sz w:val="16"/>
      <w:szCs w:val="16"/>
      <w:lang w:val="en-IE" w:eastAsia="en-IE"/>
    </w:rPr>
  </w:style>
  <w:style w:type="paragraph" w:customStyle="1" w:styleId="xl86">
    <w:name w:val="xl86"/>
    <w:basedOn w:val="Normal"/>
    <w:rsid w:val="00761196"/>
    <w:pPr>
      <w:spacing w:before="100" w:beforeAutospacing="1" w:after="100" w:afterAutospacing="1"/>
    </w:pPr>
    <w:rPr>
      <w:color w:val="FF0000"/>
      <w:lang w:val="en-IE" w:eastAsia="en-IE"/>
    </w:rPr>
  </w:style>
  <w:style w:type="paragraph" w:customStyle="1" w:styleId="xl87">
    <w:name w:val="xl87"/>
    <w:basedOn w:val="Normal"/>
    <w:rsid w:val="00761196"/>
    <w:pPr>
      <w:pBdr>
        <w:bottom w:val="single" w:sz="8" w:space="0" w:color="auto"/>
        <w:right w:val="single" w:sz="8" w:space="0" w:color="auto"/>
      </w:pBdr>
      <w:shd w:val="clear" w:color="000000" w:fill="D9D9D9"/>
      <w:spacing w:before="100" w:beforeAutospacing="1" w:after="100" w:afterAutospacing="1"/>
      <w:jc w:val="right"/>
      <w:textAlignment w:val="center"/>
    </w:pPr>
    <w:rPr>
      <w:b/>
      <w:bCs/>
      <w:sz w:val="16"/>
      <w:szCs w:val="16"/>
      <w:lang w:val="en-IE" w:eastAsia="en-IE"/>
    </w:rPr>
  </w:style>
  <w:style w:type="paragraph" w:customStyle="1" w:styleId="xl88">
    <w:name w:val="xl88"/>
    <w:basedOn w:val="Normal"/>
    <w:rsid w:val="00761196"/>
    <w:pPr>
      <w:pBdr>
        <w:bottom w:val="single" w:sz="8" w:space="0" w:color="auto"/>
        <w:right w:val="single" w:sz="8" w:space="0" w:color="auto"/>
      </w:pBdr>
      <w:spacing w:before="100" w:beforeAutospacing="1" w:after="100" w:afterAutospacing="1"/>
      <w:jc w:val="right"/>
      <w:textAlignment w:val="center"/>
    </w:pPr>
    <w:rPr>
      <w:sz w:val="16"/>
      <w:szCs w:val="16"/>
      <w:lang w:val="en-IE" w:eastAsia="en-IE"/>
    </w:rPr>
  </w:style>
  <w:style w:type="paragraph" w:customStyle="1" w:styleId="xl89">
    <w:name w:val="xl89"/>
    <w:basedOn w:val="Normal"/>
    <w:rsid w:val="00761196"/>
    <w:pPr>
      <w:pBdr>
        <w:bottom w:val="single" w:sz="8" w:space="0" w:color="auto"/>
        <w:right w:val="single" w:sz="8" w:space="0" w:color="auto"/>
      </w:pBdr>
      <w:spacing w:before="100" w:beforeAutospacing="1" w:after="100" w:afterAutospacing="1"/>
      <w:jc w:val="right"/>
      <w:textAlignment w:val="center"/>
    </w:pPr>
    <w:rPr>
      <w:i/>
      <w:iCs/>
      <w:sz w:val="16"/>
      <w:szCs w:val="16"/>
      <w:lang w:val="en-IE" w:eastAsia="en-IE"/>
    </w:rPr>
  </w:style>
  <w:style w:type="paragraph" w:customStyle="1" w:styleId="xl90">
    <w:name w:val="xl90"/>
    <w:basedOn w:val="Normal"/>
    <w:rsid w:val="00761196"/>
    <w:pPr>
      <w:pBdr>
        <w:bottom w:val="single" w:sz="8" w:space="0" w:color="auto"/>
        <w:right w:val="single" w:sz="8" w:space="0" w:color="auto"/>
      </w:pBdr>
      <w:shd w:val="clear" w:color="000000" w:fill="F2F2F2"/>
      <w:spacing w:before="100" w:beforeAutospacing="1" w:after="100" w:afterAutospacing="1"/>
      <w:jc w:val="right"/>
      <w:textAlignment w:val="center"/>
    </w:pPr>
    <w:rPr>
      <w:sz w:val="16"/>
      <w:szCs w:val="16"/>
      <w:lang w:val="en-IE" w:eastAsia="en-IE"/>
    </w:rPr>
  </w:style>
  <w:style w:type="paragraph" w:customStyle="1" w:styleId="xl91">
    <w:name w:val="xl91"/>
    <w:basedOn w:val="Normal"/>
    <w:rsid w:val="00761196"/>
    <w:pPr>
      <w:pBdr>
        <w:bottom w:val="single" w:sz="8" w:space="0" w:color="auto"/>
        <w:right w:val="single" w:sz="8" w:space="0" w:color="auto"/>
      </w:pBdr>
      <w:spacing w:before="100" w:beforeAutospacing="1" w:after="100" w:afterAutospacing="1"/>
      <w:jc w:val="right"/>
      <w:textAlignment w:val="center"/>
    </w:pPr>
    <w:rPr>
      <w:i/>
      <w:iCs/>
      <w:sz w:val="16"/>
      <w:szCs w:val="16"/>
      <w:lang w:val="en-IE" w:eastAsia="en-IE"/>
    </w:rPr>
  </w:style>
  <w:style w:type="paragraph" w:customStyle="1" w:styleId="xl92">
    <w:name w:val="xl92"/>
    <w:basedOn w:val="Normal"/>
    <w:rsid w:val="00761196"/>
    <w:pPr>
      <w:pBdr>
        <w:bottom w:val="single" w:sz="8" w:space="0" w:color="auto"/>
        <w:right w:val="single" w:sz="8" w:space="0" w:color="auto"/>
      </w:pBdr>
      <w:shd w:val="clear" w:color="000000" w:fill="D9D9D9"/>
      <w:spacing w:before="100" w:beforeAutospacing="1" w:after="100" w:afterAutospacing="1"/>
      <w:jc w:val="right"/>
      <w:textAlignment w:val="center"/>
    </w:pPr>
    <w:rPr>
      <w:sz w:val="16"/>
      <w:szCs w:val="16"/>
      <w:lang w:val="en-IE" w:eastAsia="en-IE"/>
    </w:rPr>
  </w:style>
  <w:style w:type="paragraph" w:customStyle="1" w:styleId="xl93">
    <w:name w:val="xl93"/>
    <w:basedOn w:val="Normal"/>
    <w:rsid w:val="00761196"/>
    <w:pPr>
      <w:pBdr>
        <w:bottom w:val="single" w:sz="8" w:space="0" w:color="auto"/>
        <w:right w:val="single" w:sz="8" w:space="0" w:color="auto"/>
      </w:pBdr>
      <w:shd w:val="clear" w:color="000000" w:fill="BFBFBF"/>
      <w:spacing w:before="100" w:beforeAutospacing="1" w:after="100" w:afterAutospacing="1"/>
      <w:jc w:val="right"/>
      <w:textAlignment w:val="center"/>
    </w:pPr>
    <w:rPr>
      <w:b/>
      <w:bCs/>
      <w:sz w:val="16"/>
      <w:szCs w:val="16"/>
      <w:lang w:val="en-IE" w:eastAsia="en-IE"/>
    </w:rPr>
  </w:style>
  <w:style w:type="paragraph" w:customStyle="1" w:styleId="xl94">
    <w:name w:val="xl94"/>
    <w:basedOn w:val="Normal"/>
    <w:rsid w:val="00761196"/>
    <w:pPr>
      <w:pBdr>
        <w:bottom w:val="single" w:sz="8" w:space="0" w:color="auto"/>
        <w:right w:val="single" w:sz="8" w:space="0" w:color="auto"/>
      </w:pBdr>
      <w:shd w:val="clear" w:color="000000" w:fill="F2F2F2"/>
      <w:spacing w:before="100" w:beforeAutospacing="1" w:after="100" w:afterAutospacing="1"/>
      <w:jc w:val="right"/>
      <w:textAlignment w:val="center"/>
    </w:pPr>
    <w:rPr>
      <w:b/>
      <w:bCs/>
      <w:i/>
      <w:iCs/>
      <w:sz w:val="16"/>
      <w:szCs w:val="16"/>
      <w:lang w:val="en-IE" w:eastAsia="en-IE"/>
    </w:rPr>
  </w:style>
  <w:style w:type="paragraph" w:customStyle="1" w:styleId="xl95">
    <w:name w:val="xl95"/>
    <w:basedOn w:val="Normal"/>
    <w:rsid w:val="00761196"/>
    <w:pPr>
      <w:pBdr>
        <w:bottom w:val="single" w:sz="8" w:space="0" w:color="auto"/>
        <w:right w:val="single" w:sz="8" w:space="0" w:color="auto"/>
      </w:pBdr>
      <w:shd w:val="clear" w:color="000000" w:fill="F2F2F2"/>
      <w:spacing w:before="100" w:beforeAutospacing="1" w:after="100" w:afterAutospacing="1"/>
      <w:jc w:val="right"/>
      <w:textAlignment w:val="center"/>
    </w:pPr>
    <w:rPr>
      <w:sz w:val="16"/>
      <w:szCs w:val="16"/>
      <w:lang w:val="en-IE" w:eastAsia="en-IE"/>
    </w:rPr>
  </w:style>
  <w:style w:type="paragraph" w:customStyle="1" w:styleId="xl96">
    <w:name w:val="xl96"/>
    <w:basedOn w:val="Normal"/>
    <w:rsid w:val="00761196"/>
    <w:pPr>
      <w:pBdr>
        <w:bottom w:val="single" w:sz="8" w:space="0" w:color="auto"/>
        <w:right w:val="single" w:sz="8" w:space="0" w:color="auto"/>
      </w:pBdr>
      <w:shd w:val="clear" w:color="000000" w:fill="BFBFBF"/>
      <w:spacing w:before="100" w:beforeAutospacing="1" w:after="100" w:afterAutospacing="1"/>
      <w:jc w:val="right"/>
      <w:textAlignment w:val="center"/>
    </w:pPr>
    <w:rPr>
      <w:b/>
      <w:bCs/>
      <w:sz w:val="16"/>
      <w:szCs w:val="16"/>
      <w:lang w:val="en-IE" w:eastAsia="en-IE"/>
    </w:rPr>
  </w:style>
  <w:style w:type="paragraph" w:customStyle="1" w:styleId="xl97">
    <w:name w:val="xl97"/>
    <w:basedOn w:val="Normal"/>
    <w:rsid w:val="00761196"/>
    <w:pPr>
      <w:spacing w:before="100" w:beforeAutospacing="1" w:after="100" w:afterAutospacing="1"/>
    </w:pPr>
    <w:rPr>
      <w:lang w:val="en-IE" w:eastAsia="en-IE"/>
    </w:rPr>
  </w:style>
  <w:style w:type="paragraph" w:customStyle="1" w:styleId="xl98">
    <w:name w:val="xl98"/>
    <w:basedOn w:val="Normal"/>
    <w:rsid w:val="00761196"/>
    <w:pPr>
      <w:pBdr>
        <w:bottom w:val="single" w:sz="8" w:space="0" w:color="auto"/>
        <w:right w:val="single" w:sz="8" w:space="0" w:color="auto"/>
      </w:pBdr>
      <w:shd w:val="clear" w:color="000000" w:fill="D9D9D9"/>
      <w:spacing w:before="100" w:beforeAutospacing="1" w:after="100" w:afterAutospacing="1"/>
      <w:jc w:val="right"/>
      <w:textAlignment w:val="center"/>
    </w:pPr>
    <w:rPr>
      <w:b/>
      <w:bCs/>
      <w:sz w:val="16"/>
      <w:szCs w:val="16"/>
      <w:lang w:val="en-IE" w:eastAsia="en-IE"/>
    </w:rPr>
  </w:style>
  <w:style w:type="paragraph" w:customStyle="1" w:styleId="xl99">
    <w:name w:val="xl99"/>
    <w:basedOn w:val="Normal"/>
    <w:rsid w:val="00761196"/>
    <w:pPr>
      <w:pBdr>
        <w:top w:val="single" w:sz="8" w:space="0" w:color="auto"/>
        <w:bottom w:val="single" w:sz="8" w:space="0" w:color="auto"/>
        <w:right w:val="single" w:sz="8" w:space="0" w:color="auto"/>
      </w:pBdr>
      <w:shd w:val="clear" w:color="000000" w:fill="D9D9D9"/>
      <w:spacing w:before="100" w:beforeAutospacing="1" w:after="100" w:afterAutospacing="1"/>
      <w:jc w:val="right"/>
      <w:textAlignment w:val="center"/>
    </w:pPr>
    <w:rPr>
      <w:b/>
      <w:bCs/>
      <w:sz w:val="16"/>
      <w:szCs w:val="16"/>
      <w:lang w:val="en-IE" w:eastAsia="en-IE"/>
    </w:rPr>
  </w:style>
  <w:style w:type="paragraph" w:customStyle="1" w:styleId="xl100">
    <w:name w:val="xl100"/>
    <w:basedOn w:val="Normal"/>
    <w:rsid w:val="00761196"/>
    <w:pPr>
      <w:pBdr>
        <w:top w:val="single" w:sz="8" w:space="0" w:color="auto"/>
        <w:left w:val="single" w:sz="8" w:space="0" w:color="auto"/>
        <w:bottom w:val="single" w:sz="8" w:space="0" w:color="auto"/>
      </w:pBdr>
      <w:shd w:val="clear" w:color="000000" w:fill="D9D9D9"/>
      <w:spacing w:before="100" w:beforeAutospacing="1" w:after="100" w:afterAutospacing="1"/>
      <w:jc w:val="both"/>
      <w:textAlignment w:val="center"/>
    </w:pPr>
    <w:rPr>
      <w:b/>
      <w:bCs/>
      <w:sz w:val="16"/>
      <w:szCs w:val="16"/>
      <w:lang w:val="en-IE" w:eastAsia="en-IE"/>
    </w:rPr>
  </w:style>
  <w:style w:type="paragraph" w:customStyle="1" w:styleId="xl101">
    <w:name w:val="xl101"/>
    <w:basedOn w:val="Normal"/>
    <w:rsid w:val="00761196"/>
    <w:pPr>
      <w:pBdr>
        <w:top w:val="single" w:sz="8" w:space="0" w:color="auto"/>
        <w:bottom w:val="single" w:sz="8" w:space="0" w:color="auto"/>
        <w:right w:val="single" w:sz="8" w:space="0" w:color="auto"/>
      </w:pBdr>
      <w:shd w:val="clear" w:color="000000" w:fill="D9D9D9"/>
      <w:spacing w:before="100" w:beforeAutospacing="1" w:after="100" w:afterAutospacing="1"/>
      <w:jc w:val="both"/>
      <w:textAlignment w:val="center"/>
    </w:pPr>
    <w:rPr>
      <w:b/>
      <w:bCs/>
      <w:sz w:val="16"/>
      <w:szCs w:val="16"/>
      <w:lang w:val="en-IE" w:eastAsia="en-IE"/>
    </w:rPr>
  </w:style>
  <w:style w:type="paragraph" w:customStyle="1" w:styleId="xl102">
    <w:name w:val="xl102"/>
    <w:basedOn w:val="Normal"/>
    <w:rsid w:val="00761196"/>
    <w:pPr>
      <w:pBdr>
        <w:left w:val="single" w:sz="8" w:space="0" w:color="auto"/>
        <w:bottom w:val="single" w:sz="8" w:space="0" w:color="auto"/>
      </w:pBdr>
      <w:shd w:val="clear" w:color="000000" w:fill="F2F2F2"/>
      <w:spacing w:before="100" w:beforeAutospacing="1" w:after="100" w:afterAutospacing="1"/>
      <w:jc w:val="both"/>
      <w:textAlignment w:val="center"/>
    </w:pPr>
    <w:rPr>
      <w:sz w:val="16"/>
      <w:szCs w:val="16"/>
      <w:lang w:val="en-IE" w:eastAsia="en-IE"/>
    </w:rPr>
  </w:style>
  <w:style w:type="paragraph" w:customStyle="1" w:styleId="xl103">
    <w:name w:val="xl103"/>
    <w:basedOn w:val="Normal"/>
    <w:rsid w:val="00761196"/>
    <w:pPr>
      <w:pBdr>
        <w:bottom w:val="single" w:sz="8" w:space="0" w:color="auto"/>
        <w:right w:val="single" w:sz="8" w:space="0" w:color="auto"/>
      </w:pBdr>
      <w:shd w:val="clear" w:color="000000" w:fill="F2F2F2"/>
      <w:spacing w:before="100" w:beforeAutospacing="1" w:after="100" w:afterAutospacing="1"/>
      <w:textAlignment w:val="center"/>
    </w:pPr>
    <w:rPr>
      <w:sz w:val="16"/>
      <w:szCs w:val="16"/>
      <w:lang w:val="en-IE" w:eastAsia="en-IE"/>
    </w:rPr>
  </w:style>
  <w:style w:type="paragraph" w:customStyle="1" w:styleId="xl104">
    <w:name w:val="xl104"/>
    <w:basedOn w:val="Normal"/>
    <w:rsid w:val="00761196"/>
    <w:pPr>
      <w:pBdr>
        <w:left w:val="single" w:sz="8" w:space="0" w:color="auto"/>
        <w:bottom w:val="single" w:sz="8" w:space="0" w:color="auto"/>
      </w:pBdr>
      <w:shd w:val="clear" w:color="000000" w:fill="D9D9D9"/>
      <w:spacing w:before="100" w:beforeAutospacing="1" w:after="100" w:afterAutospacing="1"/>
      <w:jc w:val="both"/>
      <w:textAlignment w:val="center"/>
    </w:pPr>
    <w:rPr>
      <w:b/>
      <w:bCs/>
      <w:sz w:val="16"/>
      <w:szCs w:val="16"/>
      <w:lang w:val="en-IE" w:eastAsia="en-IE"/>
    </w:rPr>
  </w:style>
  <w:style w:type="paragraph" w:customStyle="1" w:styleId="xl105">
    <w:name w:val="xl105"/>
    <w:basedOn w:val="Normal"/>
    <w:rsid w:val="00761196"/>
    <w:pPr>
      <w:pBdr>
        <w:bottom w:val="single" w:sz="8" w:space="0" w:color="auto"/>
        <w:right w:val="single" w:sz="8" w:space="0" w:color="auto"/>
      </w:pBdr>
      <w:shd w:val="clear" w:color="000000" w:fill="D9D9D9"/>
      <w:spacing w:before="100" w:beforeAutospacing="1" w:after="100" w:afterAutospacing="1"/>
      <w:jc w:val="both"/>
      <w:textAlignment w:val="center"/>
    </w:pPr>
    <w:rPr>
      <w:b/>
      <w:bCs/>
      <w:sz w:val="16"/>
      <w:szCs w:val="16"/>
      <w:lang w:val="en-IE" w:eastAsia="en-IE"/>
    </w:rPr>
  </w:style>
  <w:style w:type="paragraph" w:customStyle="1" w:styleId="xl106">
    <w:name w:val="xl106"/>
    <w:basedOn w:val="Normal"/>
    <w:rsid w:val="00761196"/>
    <w:pPr>
      <w:pBdr>
        <w:bottom w:val="single" w:sz="8" w:space="0" w:color="auto"/>
        <w:right w:val="single" w:sz="8" w:space="0" w:color="auto"/>
      </w:pBdr>
      <w:spacing w:before="100" w:beforeAutospacing="1" w:after="100" w:afterAutospacing="1"/>
      <w:jc w:val="right"/>
      <w:textAlignment w:val="center"/>
    </w:pPr>
    <w:rPr>
      <w:b/>
      <w:bCs/>
      <w:sz w:val="16"/>
      <w:szCs w:val="16"/>
      <w:lang w:val="en-IE" w:eastAsia="en-IE"/>
    </w:rPr>
  </w:style>
  <w:style w:type="paragraph" w:customStyle="1" w:styleId="xl107">
    <w:name w:val="xl107"/>
    <w:basedOn w:val="Normal"/>
    <w:rsid w:val="00761196"/>
    <w:pPr>
      <w:pBdr>
        <w:left w:val="single" w:sz="8" w:space="0" w:color="auto"/>
        <w:bottom w:val="single" w:sz="8" w:space="0" w:color="auto"/>
      </w:pBdr>
      <w:shd w:val="clear" w:color="000000" w:fill="D9D9D9"/>
      <w:spacing w:before="100" w:beforeAutospacing="1" w:after="100" w:afterAutospacing="1"/>
      <w:jc w:val="both"/>
      <w:textAlignment w:val="center"/>
    </w:pPr>
    <w:rPr>
      <w:sz w:val="16"/>
      <w:szCs w:val="16"/>
      <w:lang w:val="en-IE" w:eastAsia="en-IE"/>
    </w:rPr>
  </w:style>
  <w:style w:type="paragraph" w:customStyle="1" w:styleId="xl108">
    <w:name w:val="xl108"/>
    <w:basedOn w:val="Normal"/>
    <w:rsid w:val="00761196"/>
    <w:pPr>
      <w:pBdr>
        <w:bottom w:val="single" w:sz="8" w:space="0" w:color="auto"/>
        <w:right w:val="single" w:sz="8" w:space="0" w:color="auto"/>
      </w:pBdr>
      <w:shd w:val="clear" w:color="000000" w:fill="D9D9D9"/>
      <w:spacing w:before="100" w:beforeAutospacing="1" w:after="100" w:afterAutospacing="1"/>
      <w:jc w:val="both"/>
      <w:textAlignment w:val="center"/>
    </w:pPr>
    <w:rPr>
      <w:sz w:val="16"/>
      <w:szCs w:val="16"/>
      <w:lang w:val="en-IE" w:eastAsia="en-IE"/>
    </w:rPr>
  </w:style>
  <w:style w:type="paragraph" w:customStyle="1" w:styleId="xl109">
    <w:name w:val="xl109"/>
    <w:basedOn w:val="Normal"/>
    <w:rsid w:val="00761196"/>
    <w:pPr>
      <w:pBdr>
        <w:bottom w:val="single" w:sz="8" w:space="0" w:color="auto"/>
        <w:right w:val="single" w:sz="8" w:space="0" w:color="auto"/>
      </w:pBdr>
      <w:spacing w:before="100" w:beforeAutospacing="1" w:after="100" w:afterAutospacing="1"/>
      <w:jc w:val="right"/>
      <w:textAlignment w:val="center"/>
    </w:pPr>
    <w:rPr>
      <w:b/>
      <w:bCs/>
      <w:i/>
      <w:iCs/>
      <w:sz w:val="16"/>
      <w:szCs w:val="16"/>
      <w:lang w:val="en-IE" w:eastAsia="en-IE"/>
    </w:rPr>
  </w:style>
  <w:style w:type="paragraph" w:customStyle="1" w:styleId="xl110">
    <w:name w:val="xl110"/>
    <w:basedOn w:val="Normal"/>
    <w:rsid w:val="00761196"/>
    <w:pPr>
      <w:pBdr>
        <w:bottom w:val="single" w:sz="8" w:space="0" w:color="auto"/>
        <w:right w:val="single" w:sz="8" w:space="0" w:color="auto"/>
      </w:pBdr>
      <w:shd w:val="clear" w:color="000000" w:fill="F2F2F2"/>
      <w:spacing w:before="100" w:beforeAutospacing="1" w:after="100" w:afterAutospacing="1"/>
      <w:jc w:val="right"/>
      <w:textAlignment w:val="center"/>
    </w:pPr>
    <w:rPr>
      <w:b/>
      <w:bCs/>
      <w:i/>
      <w:iCs/>
      <w:sz w:val="16"/>
      <w:szCs w:val="16"/>
      <w:lang w:val="en-IE" w:eastAsia="en-IE"/>
    </w:rPr>
  </w:style>
  <w:style w:type="paragraph" w:customStyle="1" w:styleId="xl111">
    <w:name w:val="xl111"/>
    <w:basedOn w:val="Normal"/>
    <w:rsid w:val="00761196"/>
    <w:pPr>
      <w:pBdr>
        <w:left w:val="single" w:sz="8" w:space="0" w:color="auto"/>
        <w:bottom w:val="single" w:sz="8" w:space="0" w:color="auto"/>
      </w:pBdr>
      <w:shd w:val="clear" w:color="000000" w:fill="BFBFBF"/>
      <w:spacing w:before="100" w:beforeAutospacing="1" w:after="100" w:afterAutospacing="1"/>
      <w:jc w:val="both"/>
      <w:textAlignment w:val="center"/>
    </w:pPr>
    <w:rPr>
      <w:sz w:val="16"/>
      <w:szCs w:val="16"/>
      <w:lang w:val="en-IE" w:eastAsia="en-IE"/>
    </w:rPr>
  </w:style>
  <w:style w:type="paragraph" w:customStyle="1" w:styleId="xl112">
    <w:name w:val="xl112"/>
    <w:basedOn w:val="Normal"/>
    <w:rsid w:val="00761196"/>
    <w:pPr>
      <w:pBdr>
        <w:bottom w:val="single" w:sz="8" w:space="0" w:color="auto"/>
        <w:right w:val="single" w:sz="8" w:space="0" w:color="auto"/>
      </w:pBdr>
      <w:shd w:val="clear" w:color="000000" w:fill="BFBFBF"/>
      <w:spacing w:before="100" w:beforeAutospacing="1" w:after="100" w:afterAutospacing="1"/>
      <w:jc w:val="both"/>
      <w:textAlignment w:val="center"/>
    </w:pPr>
    <w:rPr>
      <w:sz w:val="16"/>
      <w:szCs w:val="16"/>
      <w:lang w:val="en-IE" w:eastAsia="en-IE"/>
    </w:rPr>
  </w:style>
  <w:style w:type="paragraph" w:customStyle="1" w:styleId="xl113">
    <w:name w:val="xl113"/>
    <w:basedOn w:val="Normal"/>
    <w:rsid w:val="00761196"/>
    <w:pPr>
      <w:pBdr>
        <w:top w:val="single" w:sz="8" w:space="0" w:color="auto"/>
        <w:left w:val="single" w:sz="8" w:space="0" w:color="auto"/>
        <w:bottom w:val="single" w:sz="8" w:space="0" w:color="auto"/>
      </w:pBdr>
      <w:shd w:val="clear" w:color="000000" w:fill="BFBFBF"/>
      <w:spacing w:before="100" w:beforeAutospacing="1" w:after="100" w:afterAutospacing="1"/>
      <w:jc w:val="center"/>
      <w:textAlignment w:val="center"/>
    </w:pPr>
    <w:rPr>
      <w:b/>
      <w:bCs/>
      <w:sz w:val="20"/>
      <w:szCs w:val="20"/>
      <w:lang w:val="en-IE" w:eastAsia="en-IE"/>
    </w:rPr>
  </w:style>
  <w:style w:type="paragraph" w:customStyle="1" w:styleId="xl114">
    <w:name w:val="xl114"/>
    <w:basedOn w:val="Normal"/>
    <w:rsid w:val="00761196"/>
    <w:pPr>
      <w:pBdr>
        <w:top w:val="single" w:sz="8" w:space="0" w:color="auto"/>
        <w:bottom w:val="single" w:sz="8" w:space="0" w:color="auto"/>
        <w:right w:val="single" w:sz="8" w:space="0" w:color="auto"/>
      </w:pBdr>
      <w:shd w:val="clear" w:color="000000" w:fill="BFBFBF"/>
      <w:spacing w:before="100" w:beforeAutospacing="1" w:after="100" w:afterAutospacing="1"/>
      <w:jc w:val="center"/>
      <w:textAlignment w:val="center"/>
    </w:pPr>
    <w:rPr>
      <w:b/>
      <w:bCs/>
      <w:sz w:val="20"/>
      <w:szCs w:val="20"/>
      <w:lang w:val="en-IE" w:eastAsia="en-IE"/>
    </w:rPr>
  </w:style>
  <w:style w:type="paragraph" w:customStyle="1" w:styleId="xl115">
    <w:name w:val="xl115"/>
    <w:basedOn w:val="Normal"/>
    <w:rsid w:val="00761196"/>
    <w:pPr>
      <w:pBdr>
        <w:top w:val="single" w:sz="8" w:space="0" w:color="auto"/>
        <w:left w:val="single" w:sz="8" w:space="0" w:color="auto"/>
        <w:bottom w:val="single" w:sz="8" w:space="0" w:color="auto"/>
      </w:pBdr>
      <w:shd w:val="clear" w:color="000000" w:fill="F2F2F2"/>
      <w:spacing w:before="100" w:beforeAutospacing="1" w:after="100" w:afterAutospacing="1"/>
      <w:jc w:val="right"/>
      <w:textAlignment w:val="center"/>
    </w:pPr>
    <w:rPr>
      <w:b/>
      <w:bCs/>
      <w:color w:val="000000"/>
      <w:sz w:val="16"/>
      <w:szCs w:val="16"/>
      <w:lang w:val="en-IE" w:eastAsia="en-IE"/>
    </w:rPr>
  </w:style>
  <w:style w:type="paragraph" w:customStyle="1" w:styleId="xl116">
    <w:name w:val="xl116"/>
    <w:basedOn w:val="Normal"/>
    <w:rsid w:val="00761196"/>
    <w:pPr>
      <w:pBdr>
        <w:top w:val="single" w:sz="8" w:space="0" w:color="auto"/>
        <w:bottom w:val="single" w:sz="8" w:space="0" w:color="auto"/>
        <w:right w:val="single" w:sz="8" w:space="0" w:color="auto"/>
      </w:pBdr>
      <w:shd w:val="clear" w:color="000000" w:fill="F2F2F2"/>
      <w:spacing w:before="100" w:beforeAutospacing="1" w:after="100" w:afterAutospacing="1"/>
      <w:jc w:val="right"/>
      <w:textAlignment w:val="center"/>
    </w:pPr>
    <w:rPr>
      <w:b/>
      <w:bCs/>
      <w:color w:val="000000"/>
      <w:sz w:val="16"/>
      <w:szCs w:val="16"/>
      <w:lang w:val="en-IE" w:eastAsia="en-IE"/>
    </w:rPr>
  </w:style>
  <w:style w:type="paragraph" w:customStyle="1" w:styleId="xl117">
    <w:name w:val="xl117"/>
    <w:basedOn w:val="Normal"/>
    <w:rsid w:val="00761196"/>
    <w:pPr>
      <w:pBdr>
        <w:top w:val="single" w:sz="8" w:space="0" w:color="auto"/>
        <w:left w:val="single" w:sz="8" w:space="0" w:color="auto"/>
        <w:bottom w:val="single" w:sz="8" w:space="0" w:color="auto"/>
      </w:pBdr>
      <w:shd w:val="clear" w:color="000000" w:fill="BFBFBF"/>
      <w:spacing w:before="100" w:beforeAutospacing="1" w:after="100" w:afterAutospacing="1"/>
      <w:jc w:val="right"/>
      <w:textAlignment w:val="center"/>
    </w:pPr>
    <w:rPr>
      <w:b/>
      <w:bCs/>
      <w:sz w:val="16"/>
      <w:szCs w:val="16"/>
      <w:lang w:val="en-IE" w:eastAsia="en-IE"/>
    </w:rPr>
  </w:style>
  <w:style w:type="paragraph" w:customStyle="1" w:styleId="xl118">
    <w:name w:val="xl118"/>
    <w:basedOn w:val="Normal"/>
    <w:rsid w:val="00761196"/>
    <w:pPr>
      <w:pBdr>
        <w:top w:val="single" w:sz="8" w:space="0" w:color="auto"/>
        <w:bottom w:val="single" w:sz="8" w:space="0" w:color="auto"/>
        <w:right w:val="single" w:sz="8" w:space="0" w:color="auto"/>
      </w:pBdr>
      <w:shd w:val="clear" w:color="000000" w:fill="BFBFBF"/>
      <w:spacing w:before="100" w:beforeAutospacing="1" w:after="100" w:afterAutospacing="1"/>
      <w:jc w:val="right"/>
      <w:textAlignment w:val="center"/>
    </w:pPr>
    <w:rPr>
      <w:b/>
      <w:bCs/>
      <w:sz w:val="16"/>
      <w:szCs w:val="16"/>
      <w:lang w:val="en-IE" w:eastAsia="en-IE"/>
    </w:rPr>
  </w:style>
  <w:style w:type="paragraph" w:customStyle="1" w:styleId="xl119">
    <w:name w:val="xl119"/>
    <w:basedOn w:val="Normal"/>
    <w:rsid w:val="00761196"/>
    <w:pPr>
      <w:pBdr>
        <w:top w:val="single" w:sz="8" w:space="0" w:color="auto"/>
        <w:left w:val="single" w:sz="8" w:space="0" w:color="auto"/>
        <w:bottom w:val="single" w:sz="8" w:space="0" w:color="auto"/>
      </w:pBdr>
      <w:spacing w:before="100" w:beforeAutospacing="1" w:after="100" w:afterAutospacing="1"/>
      <w:jc w:val="right"/>
      <w:textAlignment w:val="center"/>
    </w:pPr>
    <w:rPr>
      <w:b/>
      <w:bCs/>
      <w:i/>
      <w:iCs/>
      <w:sz w:val="16"/>
      <w:szCs w:val="16"/>
      <w:lang w:val="en-IE" w:eastAsia="en-IE"/>
    </w:rPr>
  </w:style>
  <w:style w:type="paragraph" w:customStyle="1" w:styleId="xl120">
    <w:name w:val="xl120"/>
    <w:basedOn w:val="Normal"/>
    <w:rsid w:val="00761196"/>
    <w:pPr>
      <w:pBdr>
        <w:top w:val="single" w:sz="8" w:space="0" w:color="auto"/>
        <w:bottom w:val="single" w:sz="8" w:space="0" w:color="auto"/>
        <w:right w:val="single" w:sz="8" w:space="0" w:color="auto"/>
      </w:pBdr>
      <w:spacing w:before="100" w:beforeAutospacing="1" w:after="100" w:afterAutospacing="1"/>
      <w:jc w:val="right"/>
      <w:textAlignment w:val="center"/>
    </w:pPr>
    <w:rPr>
      <w:b/>
      <w:bCs/>
      <w:i/>
      <w:iCs/>
      <w:sz w:val="16"/>
      <w:szCs w:val="16"/>
      <w:lang w:val="en-IE" w:eastAsia="en-IE"/>
    </w:rPr>
  </w:style>
  <w:style w:type="paragraph" w:customStyle="1" w:styleId="xl121">
    <w:name w:val="xl121"/>
    <w:basedOn w:val="Normal"/>
    <w:rsid w:val="00761196"/>
    <w:pPr>
      <w:pBdr>
        <w:top w:val="single" w:sz="8" w:space="0" w:color="auto"/>
        <w:left w:val="single" w:sz="8" w:space="0" w:color="auto"/>
        <w:bottom w:val="single" w:sz="8" w:space="0" w:color="auto"/>
      </w:pBdr>
      <w:spacing w:before="100" w:beforeAutospacing="1" w:after="100" w:afterAutospacing="1"/>
      <w:jc w:val="right"/>
      <w:textAlignment w:val="center"/>
    </w:pPr>
    <w:rPr>
      <w:b/>
      <w:bCs/>
      <w:i/>
      <w:iCs/>
      <w:sz w:val="16"/>
      <w:szCs w:val="16"/>
      <w:lang w:val="en-IE" w:eastAsia="en-IE"/>
    </w:rPr>
  </w:style>
  <w:style w:type="paragraph" w:customStyle="1" w:styleId="xl122">
    <w:name w:val="xl122"/>
    <w:basedOn w:val="Normal"/>
    <w:rsid w:val="00761196"/>
    <w:pPr>
      <w:pBdr>
        <w:top w:val="single" w:sz="8" w:space="0" w:color="auto"/>
        <w:bottom w:val="single" w:sz="8" w:space="0" w:color="auto"/>
        <w:right w:val="single" w:sz="8" w:space="0" w:color="auto"/>
      </w:pBdr>
      <w:spacing w:before="100" w:beforeAutospacing="1" w:after="100" w:afterAutospacing="1"/>
      <w:jc w:val="right"/>
      <w:textAlignment w:val="center"/>
    </w:pPr>
    <w:rPr>
      <w:b/>
      <w:bCs/>
      <w:i/>
      <w:iCs/>
      <w:sz w:val="16"/>
      <w:szCs w:val="16"/>
      <w:lang w:val="en-IE" w:eastAsia="en-IE"/>
    </w:rPr>
  </w:style>
  <w:style w:type="paragraph" w:customStyle="1" w:styleId="xl123">
    <w:name w:val="xl123"/>
    <w:basedOn w:val="Normal"/>
    <w:rsid w:val="00761196"/>
    <w:pPr>
      <w:pBdr>
        <w:top w:val="single" w:sz="8" w:space="0" w:color="auto"/>
        <w:left w:val="single" w:sz="8" w:space="0" w:color="auto"/>
        <w:bottom w:val="single" w:sz="8" w:space="0" w:color="auto"/>
      </w:pBdr>
      <w:shd w:val="clear" w:color="000000" w:fill="F2F2F2"/>
      <w:spacing w:before="100" w:beforeAutospacing="1" w:after="100" w:afterAutospacing="1"/>
      <w:jc w:val="right"/>
      <w:textAlignment w:val="center"/>
    </w:pPr>
    <w:rPr>
      <w:b/>
      <w:bCs/>
      <w:sz w:val="16"/>
      <w:szCs w:val="16"/>
      <w:lang w:val="en-IE" w:eastAsia="en-IE"/>
    </w:rPr>
  </w:style>
  <w:style w:type="paragraph" w:customStyle="1" w:styleId="xl124">
    <w:name w:val="xl124"/>
    <w:basedOn w:val="Normal"/>
    <w:rsid w:val="00761196"/>
    <w:pPr>
      <w:pBdr>
        <w:top w:val="single" w:sz="8" w:space="0" w:color="auto"/>
        <w:bottom w:val="single" w:sz="8" w:space="0" w:color="auto"/>
        <w:right w:val="single" w:sz="8" w:space="0" w:color="auto"/>
      </w:pBdr>
      <w:shd w:val="clear" w:color="000000" w:fill="F2F2F2"/>
      <w:spacing w:before="100" w:beforeAutospacing="1" w:after="100" w:afterAutospacing="1"/>
      <w:jc w:val="right"/>
      <w:textAlignment w:val="center"/>
    </w:pPr>
    <w:rPr>
      <w:b/>
      <w:bCs/>
      <w:sz w:val="16"/>
      <w:szCs w:val="16"/>
      <w:lang w:val="en-IE" w:eastAsia="en-IE"/>
    </w:rPr>
  </w:style>
  <w:style w:type="paragraph" w:customStyle="1" w:styleId="xl125">
    <w:name w:val="xl125"/>
    <w:basedOn w:val="Normal"/>
    <w:rsid w:val="00761196"/>
    <w:pPr>
      <w:pBdr>
        <w:top w:val="single" w:sz="8" w:space="0" w:color="auto"/>
        <w:left w:val="single" w:sz="8" w:space="0" w:color="auto"/>
        <w:bottom w:val="single" w:sz="8" w:space="0" w:color="auto"/>
      </w:pBdr>
      <w:spacing w:before="100" w:beforeAutospacing="1" w:after="100" w:afterAutospacing="1"/>
      <w:jc w:val="right"/>
      <w:textAlignment w:val="center"/>
    </w:pPr>
    <w:rPr>
      <w:b/>
      <w:bCs/>
      <w:sz w:val="16"/>
      <w:szCs w:val="16"/>
      <w:lang w:val="en-IE" w:eastAsia="en-IE"/>
    </w:rPr>
  </w:style>
  <w:style w:type="paragraph" w:customStyle="1" w:styleId="xl126">
    <w:name w:val="xl126"/>
    <w:basedOn w:val="Normal"/>
    <w:rsid w:val="00761196"/>
    <w:pPr>
      <w:pBdr>
        <w:top w:val="single" w:sz="8" w:space="0" w:color="auto"/>
        <w:bottom w:val="single" w:sz="8" w:space="0" w:color="auto"/>
        <w:right w:val="single" w:sz="8" w:space="0" w:color="auto"/>
      </w:pBdr>
      <w:spacing w:before="100" w:beforeAutospacing="1" w:after="100" w:afterAutospacing="1"/>
      <w:jc w:val="right"/>
      <w:textAlignment w:val="center"/>
    </w:pPr>
    <w:rPr>
      <w:b/>
      <w:bCs/>
      <w:sz w:val="16"/>
      <w:szCs w:val="16"/>
      <w:lang w:val="en-IE" w:eastAsia="en-IE"/>
    </w:rPr>
  </w:style>
  <w:style w:type="paragraph" w:customStyle="1" w:styleId="xl127">
    <w:name w:val="xl127"/>
    <w:basedOn w:val="Normal"/>
    <w:rsid w:val="00761196"/>
    <w:pPr>
      <w:pBdr>
        <w:bottom w:val="single" w:sz="8" w:space="0" w:color="auto"/>
        <w:right w:val="single" w:sz="8" w:space="0" w:color="auto"/>
      </w:pBdr>
      <w:spacing w:before="100" w:beforeAutospacing="1" w:after="100" w:afterAutospacing="1"/>
      <w:jc w:val="right"/>
      <w:textAlignment w:val="center"/>
    </w:pPr>
    <w:rPr>
      <w:i/>
      <w:iCs/>
      <w:sz w:val="16"/>
      <w:szCs w:val="16"/>
      <w:lang w:val="en-IE" w:eastAsia="en-IE"/>
    </w:rPr>
  </w:style>
  <w:style w:type="paragraph" w:customStyle="1" w:styleId="xl128">
    <w:name w:val="xl128"/>
    <w:basedOn w:val="Normal"/>
    <w:rsid w:val="00761196"/>
    <w:pPr>
      <w:pBdr>
        <w:bottom w:val="single" w:sz="8" w:space="0" w:color="auto"/>
        <w:right w:val="single" w:sz="8" w:space="0" w:color="auto"/>
      </w:pBdr>
      <w:spacing w:before="100" w:beforeAutospacing="1" w:after="100" w:afterAutospacing="1"/>
      <w:jc w:val="right"/>
      <w:textAlignment w:val="center"/>
    </w:pPr>
    <w:rPr>
      <w:i/>
      <w:iCs/>
      <w:sz w:val="16"/>
      <w:szCs w:val="16"/>
      <w:lang w:val="en-IE" w:eastAsia="en-IE"/>
    </w:rPr>
  </w:style>
  <w:style w:type="paragraph" w:customStyle="1" w:styleId="xl129">
    <w:name w:val="xl129"/>
    <w:basedOn w:val="Normal"/>
    <w:rsid w:val="00761196"/>
    <w:pPr>
      <w:pBdr>
        <w:bottom w:val="single" w:sz="8" w:space="0" w:color="auto"/>
        <w:right w:val="single" w:sz="8" w:space="0" w:color="auto"/>
      </w:pBdr>
      <w:shd w:val="clear" w:color="000000" w:fill="F2F2F2"/>
      <w:spacing w:before="100" w:beforeAutospacing="1" w:after="100" w:afterAutospacing="1"/>
      <w:jc w:val="right"/>
      <w:textAlignment w:val="center"/>
    </w:pPr>
    <w:rPr>
      <w:sz w:val="16"/>
      <w:szCs w:val="16"/>
      <w:lang w:val="en-IE" w:eastAsia="en-IE"/>
    </w:rPr>
  </w:style>
  <w:style w:type="paragraph" w:customStyle="1" w:styleId="xl130">
    <w:name w:val="xl130"/>
    <w:basedOn w:val="Normal"/>
    <w:rsid w:val="00761196"/>
    <w:pPr>
      <w:pBdr>
        <w:bottom w:val="single" w:sz="8" w:space="0" w:color="auto"/>
        <w:right w:val="single" w:sz="8" w:space="0" w:color="auto"/>
      </w:pBdr>
      <w:shd w:val="clear" w:color="000000" w:fill="F2F2F2"/>
      <w:spacing w:before="100" w:beforeAutospacing="1" w:after="100" w:afterAutospacing="1"/>
      <w:jc w:val="right"/>
      <w:textAlignment w:val="center"/>
    </w:pPr>
    <w:rPr>
      <w:color w:val="000000"/>
      <w:sz w:val="16"/>
      <w:szCs w:val="16"/>
      <w:lang w:val="en-IE" w:eastAsia="en-IE"/>
    </w:rPr>
  </w:style>
  <w:style w:type="paragraph" w:customStyle="1" w:styleId="xl131">
    <w:name w:val="xl131"/>
    <w:basedOn w:val="Normal"/>
    <w:rsid w:val="00761196"/>
    <w:pPr>
      <w:pBdr>
        <w:top w:val="single" w:sz="8" w:space="0" w:color="auto"/>
        <w:bottom w:val="single" w:sz="8" w:space="0" w:color="auto"/>
        <w:right w:val="single" w:sz="8" w:space="0" w:color="auto"/>
      </w:pBdr>
      <w:shd w:val="clear" w:color="000000" w:fill="D9D9D9"/>
      <w:spacing w:before="100" w:beforeAutospacing="1" w:after="100" w:afterAutospacing="1"/>
      <w:jc w:val="right"/>
      <w:textAlignment w:val="center"/>
    </w:pPr>
    <w:rPr>
      <w:b/>
      <w:bCs/>
      <w:sz w:val="16"/>
      <w:szCs w:val="16"/>
      <w:lang w:val="en-IE" w:eastAsia="en-IE"/>
    </w:rPr>
  </w:style>
  <w:style w:type="paragraph" w:customStyle="1" w:styleId="xl132">
    <w:name w:val="xl132"/>
    <w:basedOn w:val="Normal"/>
    <w:rsid w:val="00761196"/>
    <w:pPr>
      <w:pBdr>
        <w:bottom w:val="single" w:sz="8" w:space="0" w:color="auto"/>
        <w:right w:val="single" w:sz="8" w:space="0" w:color="auto"/>
      </w:pBdr>
      <w:spacing w:before="100" w:beforeAutospacing="1" w:after="100" w:afterAutospacing="1"/>
      <w:jc w:val="right"/>
      <w:textAlignment w:val="center"/>
    </w:pPr>
    <w:rPr>
      <w:sz w:val="16"/>
      <w:szCs w:val="16"/>
      <w:lang w:val="en-IE" w:eastAsia="en-IE"/>
    </w:rPr>
  </w:style>
  <w:style w:type="paragraph" w:customStyle="1" w:styleId="xl133">
    <w:name w:val="xl133"/>
    <w:basedOn w:val="Normal"/>
    <w:rsid w:val="00761196"/>
    <w:pPr>
      <w:pBdr>
        <w:bottom w:val="single" w:sz="8" w:space="0" w:color="auto"/>
        <w:right w:val="single" w:sz="8" w:space="0" w:color="auto"/>
      </w:pBdr>
      <w:spacing w:before="100" w:beforeAutospacing="1" w:after="100" w:afterAutospacing="1"/>
      <w:jc w:val="right"/>
      <w:textAlignment w:val="center"/>
    </w:pPr>
    <w:rPr>
      <w:i/>
      <w:iCs/>
      <w:sz w:val="16"/>
      <w:szCs w:val="16"/>
      <w:lang w:val="en-IE" w:eastAsia="en-IE"/>
    </w:rPr>
  </w:style>
  <w:style w:type="paragraph" w:customStyle="1" w:styleId="xl134">
    <w:name w:val="xl134"/>
    <w:basedOn w:val="Normal"/>
    <w:rsid w:val="00761196"/>
    <w:pPr>
      <w:pBdr>
        <w:bottom w:val="single" w:sz="8" w:space="0" w:color="auto"/>
        <w:right w:val="single" w:sz="8" w:space="0" w:color="auto"/>
      </w:pBdr>
      <w:spacing w:before="100" w:beforeAutospacing="1" w:after="100" w:afterAutospacing="1"/>
      <w:jc w:val="right"/>
      <w:textAlignment w:val="center"/>
    </w:pPr>
    <w:rPr>
      <w:sz w:val="16"/>
      <w:szCs w:val="16"/>
      <w:lang w:val="en-IE" w:eastAsia="en-IE"/>
    </w:rPr>
  </w:style>
  <w:style w:type="paragraph" w:customStyle="1" w:styleId="xl135">
    <w:name w:val="xl135"/>
    <w:basedOn w:val="Normal"/>
    <w:rsid w:val="00761196"/>
    <w:pPr>
      <w:pBdr>
        <w:bottom w:val="single" w:sz="8" w:space="0" w:color="auto"/>
        <w:right w:val="single" w:sz="8" w:space="0" w:color="auto"/>
      </w:pBdr>
      <w:spacing w:before="100" w:beforeAutospacing="1" w:after="100" w:afterAutospacing="1"/>
      <w:jc w:val="right"/>
      <w:textAlignment w:val="center"/>
    </w:pPr>
    <w:rPr>
      <w:i/>
      <w:iCs/>
      <w:sz w:val="16"/>
      <w:szCs w:val="16"/>
      <w:lang w:val="en-IE" w:eastAsia="en-IE"/>
    </w:rPr>
  </w:style>
  <w:style w:type="paragraph" w:customStyle="1" w:styleId="xl136">
    <w:name w:val="xl136"/>
    <w:basedOn w:val="Normal"/>
    <w:rsid w:val="00761196"/>
    <w:pPr>
      <w:pBdr>
        <w:bottom w:val="single" w:sz="8" w:space="0" w:color="auto"/>
        <w:right w:val="single" w:sz="8" w:space="0" w:color="auto"/>
      </w:pBdr>
      <w:shd w:val="clear" w:color="000000" w:fill="D9D9D9"/>
      <w:spacing w:before="100" w:beforeAutospacing="1" w:after="100" w:afterAutospacing="1"/>
      <w:jc w:val="right"/>
      <w:textAlignment w:val="center"/>
    </w:pPr>
    <w:rPr>
      <w:b/>
      <w:bCs/>
      <w:sz w:val="16"/>
      <w:szCs w:val="16"/>
      <w:lang w:val="en-IE" w:eastAsia="en-IE"/>
    </w:rPr>
  </w:style>
  <w:style w:type="paragraph" w:customStyle="1" w:styleId="xl137">
    <w:name w:val="xl137"/>
    <w:basedOn w:val="Normal"/>
    <w:rsid w:val="00761196"/>
    <w:pPr>
      <w:pBdr>
        <w:bottom w:val="single" w:sz="8" w:space="0" w:color="auto"/>
        <w:right w:val="single" w:sz="8" w:space="0" w:color="auto"/>
      </w:pBdr>
      <w:shd w:val="clear" w:color="000000" w:fill="D9D9D9"/>
      <w:spacing w:before="100" w:beforeAutospacing="1" w:after="100" w:afterAutospacing="1"/>
      <w:jc w:val="right"/>
      <w:textAlignment w:val="center"/>
    </w:pPr>
    <w:rPr>
      <w:color w:val="000000"/>
      <w:sz w:val="16"/>
      <w:szCs w:val="16"/>
      <w:lang w:val="en-IE" w:eastAsia="en-IE"/>
    </w:rPr>
  </w:style>
  <w:style w:type="paragraph" w:customStyle="1" w:styleId="xl138">
    <w:name w:val="xl138"/>
    <w:basedOn w:val="Normal"/>
    <w:rsid w:val="00761196"/>
    <w:pPr>
      <w:pBdr>
        <w:bottom w:val="single" w:sz="8" w:space="0" w:color="auto"/>
        <w:right w:val="single" w:sz="8" w:space="0" w:color="auto"/>
      </w:pBdr>
      <w:shd w:val="clear" w:color="000000" w:fill="D9D9D9"/>
      <w:spacing w:before="100" w:beforeAutospacing="1" w:after="100" w:afterAutospacing="1"/>
      <w:jc w:val="right"/>
      <w:textAlignment w:val="center"/>
    </w:pPr>
    <w:rPr>
      <w:sz w:val="16"/>
      <w:szCs w:val="16"/>
      <w:lang w:val="en-IE" w:eastAsia="en-IE"/>
    </w:rPr>
  </w:style>
  <w:style w:type="paragraph" w:customStyle="1" w:styleId="xl139">
    <w:name w:val="xl139"/>
    <w:basedOn w:val="Normal"/>
    <w:rsid w:val="00761196"/>
    <w:pPr>
      <w:pBdr>
        <w:bottom w:val="single" w:sz="8" w:space="0" w:color="auto"/>
        <w:right w:val="single" w:sz="8" w:space="0" w:color="auto"/>
      </w:pBdr>
      <w:shd w:val="clear" w:color="000000" w:fill="D9D9D9"/>
      <w:spacing w:before="100" w:beforeAutospacing="1" w:after="100" w:afterAutospacing="1"/>
      <w:jc w:val="right"/>
      <w:textAlignment w:val="center"/>
    </w:pPr>
    <w:rPr>
      <w:b/>
      <w:bCs/>
      <w:color w:val="000000"/>
      <w:sz w:val="16"/>
      <w:szCs w:val="16"/>
      <w:lang w:val="en-IE" w:eastAsia="en-IE"/>
    </w:rPr>
  </w:style>
  <w:style w:type="paragraph" w:customStyle="1" w:styleId="xl140">
    <w:name w:val="xl140"/>
    <w:basedOn w:val="Normal"/>
    <w:rsid w:val="00761196"/>
    <w:pPr>
      <w:pBdr>
        <w:bottom w:val="single" w:sz="8" w:space="0" w:color="auto"/>
        <w:right w:val="single" w:sz="8" w:space="0" w:color="auto"/>
      </w:pBdr>
      <w:shd w:val="clear" w:color="000000" w:fill="F2F2F2"/>
      <w:spacing w:before="100" w:beforeAutospacing="1" w:after="100" w:afterAutospacing="1"/>
      <w:jc w:val="right"/>
      <w:textAlignment w:val="center"/>
    </w:pPr>
    <w:rPr>
      <w:sz w:val="16"/>
      <w:szCs w:val="16"/>
      <w:lang w:val="en-IE" w:eastAsia="en-IE"/>
    </w:rPr>
  </w:style>
  <w:style w:type="paragraph" w:customStyle="1" w:styleId="xl141">
    <w:name w:val="xl141"/>
    <w:basedOn w:val="Normal"/>
    <w:rsid w:val="00761196"/>
    <w:pPr>
      <w:pBdr>
        <w:bottom w:val="single" w:sz="8" w:space="0" w:color="auto"/>
        <w:right w:val="single" w:sz="8" w:space="0" w:color="auto"/>
      </w:pBdr>
      <w:shd w:val="clear" w:color="000000" w:fill="F2F2F2"/>
      <w:spacing w:before="100" w:beforeAutospacing="1" w:after="100" w:afterAutospacing="1"/>
      <w:jc w:val="right"/>
      <w:textAlignment w:val="center"/>
    </w:pPr>
    <w:rPr>
      <w:color w:val="000000"/>
      <w:sz w:val="16"/>
      <w:szCs w:val="16"/>
      <w:lang w:val="en-IE" w:eastAsia="en-IE"/>
    </w:rPr>
  </w:style>
  <w:style w:type="paragraph" w:customStyle="1" w:styleId="xl142">
    <w:name w:val="xl142"/>
    <w:basedOn w:val="Normal"/>
    <w:rsid w:val="00761196"/>
    <w:pPr>
      <w:pBdr>
        <w:bottom w:val="single" w:sz="8" w:space="0" w:color="auto"/>
        <w:right w:val="single" w:sz="8" w:space="0" w:color="auto"/>
      </w:pBdr>
      <w:shd w:val="clear" w:color="000000" w:fill="FFFFFF"/>
      <w:spacing w:before="100" w:beforeAutospacing="1" w:after="100" w:afterAutospacing="1"/>
      <w:jc w:val="right"/>
      <w:textAlignment w:val="center"/>
    </w:pPr>
    <w:rPr>
      <w:i/>
      <w:iCs/>
      <w:color w:val="000000"/>
      <w:sz w:val="16"/>
      <w:szCs w:val="16"/>
      <w:lang w:val="en-IE" w:eastAsia="en-IE"/>
    </w:rPr>
  </w:style>
  <w:style w:type="paragraph" w:customStyle="1" w:styleId="xl143">
    <w:name w:val="xl143"/>
    <w:basedOn w:val="Normal"/>
    <w:rsid w:val="00761196"/>
    <w:pPr>
      <w:pBdr>
        <w:bottom w:val="single" w:sz="8" w:space="0" w:color="auto"/>
        <w:right w:val="single" w:sz="8" w:space="0" w:color="auto"/>
      </w:pBdr>
      <w:shd w:val="clear" w:color="000000" w:fill="BFBFBF"/>
      <w:spacing w:before="100" w:beforeAutospacing="1" w:after="100" w:afterAutospacing="1"/>
      <w:jc w:val="right"/>
      <w:textAlignment w:val="center"/>
    </w:pPr>
    <w:rPr>
      <w:b/>
      <w:bCs/>
      <w:sz w:val="16"/>
      <w:szCs w:val="16"/>
      <w:lang w:val="en-IE" w:eastAsia="en-IE"/>
    </w:rPr>
  </w:style>
  <w:style w:type="paragraph" w:customStyle="1" w:styleId="xl144">
    <w:name w:val="xl144"/>
    <w:basedOn w:val="Normal"/>
    <w:rsid w:val="00761196"/>
    <w:pPr>
      <w:pBdr>
        <w:bottom w:val="single" w:sz="8" w:space="0" w:color="auto"/>
        <w:right w:val="single" w:sz="8" w:space="0" w:color="auto"/>
      </w:pBdr>
      <w:shd w:val="clear" w:color="000000" w:fill="F2F2F2"/>
      <w:spacing w:before="100" w:beforeAutospacing="1" w:after="100" w:afterAutospacing="1"/>
      <w:jc w:val="right"/>
      <w:textAlignment w:val="center"/>
    </w:pPr>
    <w:rPr>
      <w:b/>
      <w:bCs/>
      <w:i/>
      <w:iCs/>
      <w:sz w:val="16"/>
      <w:szCs w:val="16"/>
      <w:lang w:val="en-IE" w:eastAsia="en-IE"/>
    </w:rPr>
  </w:style>
  <w:style w:type="paragraph" w:customStyle="1" w:styleId="xl145">
    <w:name w:val="xl145"/>
    <w:basedOn w:val="Normal"/>
    <w:rsid w:val="00761196"/>
    <w:pPr>
      <w:pBdr>
        <w:bottom w:val="single" w:sz="8" w:space="0" w:color="auto"/>
        <w:right w:val="single" w:sz="8" w:space="0" w:color="auto"/>
      </w:pBdr>
      <w:shd w:val="clear" w:color="000000" w:fill="F2F2F2"/>
      <w:spacing w:before="100" w:beforeAutospacing="1" w:after="100" w:afterAutospacing="1"/>
      <w:jc w:val="right"/>
      <w:textAlignment w:val="center"/>
    </w:pPr>
    <w:rPr>
      <w:sz w:val="16"/>
      <w:szCs w:val="16"/>
      <w:lang w:val="en-IE" w:eastAsia="en-IE"/>
    </w:rPr>
  </w:style>
  <w:style w:type="paragraph" w:customStyle="1" w:styleId="xl146">
    <w:name w:val="xl146"/>
    <w:basedOn w:val="Normal"/>
    <w:rsid w:val="00761196"/>
    <w:pPr>
      <w:pBdr>
        <w:top w:val="single" w:sz="8" w:space="0" w:color="auto"/>
        <w:left w:val="single" w:sz="8" w:space="0" w:color="auto"/>
      </w:pBdr>
      <w:shd w:val="clear" w:color="000000" w:fill="BFBFBF"/>
      <w:spacing w:before="100" w:beforeAutospacing="1" w:after="100" w:afterAutospacing="1"/>
      <w:jc w:val="both"/>
      <w:textAlignment w:val="center"/>
    </w:pPr>
    <w:rPr>
      <w:sz w:val="16"/>
      <w:szCs w:val="16"/>
      <w:lang w:val="en-IE" w:eastAsia="en-IE"/>
    </w:rPr>
  </w:style>
  <w:style w:type="paragraph" w:customStyle="1" w:styleId="xl147">
    <w:name w:val="xl147"/>
    <w:basedOn w:val="Normal"/>
    <w:rsid w:val="00761196"/>
    <w:pPr>
      <w:pBdr>
        <w:top w:val="single" w:sz="8" w:space="0" w:color="auto"/>
        <w:right w:val="single" w:sz="8" w:space="0" w:color="auto"/>
      </w:pBdr>
      <w:shd w:val="clear" w:color="000000" w:fill="BFBFBF"/>
      <w:spacing w:before="100" w:beforeAutospacing="1" w:after="100" w:afterAutospacing="1"/>
      <w:jc w:val="both"/>
      <w:textAlignment w:val="center"/>
    </w:pPr>
    <w:rPr>
      <w:sz w:val="16"/>
      <w:szCs w:val="16"/>
      <w:lang w:val="en-IE" w:eastAsia="en-IE"/>
    </w:rPr>
  </w:style>
  <w:style w:type="paragraph" w:customStyle="1" w:styleId="xl148">
    <w:name w:val="xl148"/>
    <w:basedOn w:val="Normal"/>
    <w:rsid w:val="00761196"/>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jc w:val="center"/>
      <w:textAlignment w:val="center"/>
    </w:pPr>
    <w:rPr>
      <w:b/>
      <w:bCs/>
      <w:color w:val="000000"/>
      <w:sz w:val="16"/>
      <w:szCs w:val="16"/>
      <w:lang w:val="en-IE" w:eastAsia="en-IE"/>
    </w:rPr>
  </w:style>
  <w:style w:type="paragraph" w:customStyle="1" w:styleId="xl149">
    <w:name w:val="xl149"/>
    <w:basedOn w:val="Normal"/>
    <w:rsid w:val="00761196"/>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jc w:val="center"/>
      <w:textAlignment w:val="center"/>
    </w:pPr>
    <w:rPr>
      <w:b/>
      <w:bCs/>
      <w:sz w:val="16"/>
      <w:szCs w:val="16"/>
      <w:lang w:val="en-IE" w:eastAsia="en-IE"/>
    </w:rPr>
  </w:style>
  <w:style w:type="paragraph" w:customStyle="1" w:styleId="xl63">
    <w:name w:val="xl63"/>
    <w:basedOn w:val="Normal"/>
    <w:rsid w:val="00E0423C"/>
    <w:pPr>
      <w:pBdr>
        <w:left w:val="single" w:sz="8" w:space="0" w:color="auto"/>
        <w:bottom w:val="single" w:sz="8" w:space="0" w:color="auto"/>
      </w:pBdr>
      <w:shd w:val="clear" w:color="000000" w:fill="D9D9D9"/>
      <w:spacing w:before="100" w:beforeAutospacing="1" w:after="100" w:afterAutospacing="1"/>
      <w:jc w:val="both"/>
      <w:textAlignment w:val="center"/>
    </w:pPr>
    <w:rPr>
      <w:b/>
      <w:bCs/>
      <w:color w:val="000000"/>
      <w:sz w:val="16"/>
      <w:szCs w:val="16"/>
      <w:lang w:val="en-IE" w:eastAsia="en-IE"/>
    </w:rPr>
  </w:style>
  <w:style w:type="paragraph" w:customStyle="1" w:styleId="xl64">
    <w:name w:val="xl64"/>
    <w:basedOn w:val="Normal"/>
    <w:rsid w:val="00E0423C"/>
    <w:pPr>
      <w:pBdr>
        <w:bottom w:val="single" w:sz="8" w:space="0" w:color="auto"/>
        <w:right w:val="single" w:sz="8" w:space="0" w:color="auto"/>
      </w:pBdr>
      <w:shd w:val="clear" w:color="000000" w:fill="D9D9D9"/>
      <w:spacing w:before="100" w:beforeAutospacing="1" w:after="100" w:afterAutospacing="1"/>
      <w:jc w:val="both"/>
      <w:textAlignment w:val="center"/>
    </w:pPr>
    <w:rPr>
      <w:b/>
      <w:bCs/>
      <w:color w:val="000000"/>
      <w:sz w:val="16"/>
      <w:szCs w:val="16"/>
      <w:lang w:val="en-IE" w:eastAsia="en-IE"/>
    </w:rPr>
  </w:style>
  <w:style w:type="character" w:customStyle="1" w:styleId="Mention1">
    <w:name w:val="Mention1"/>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80731">
      <w:bodyDiv w:val="1"/>
      <w:marLeft w:val="0"/>
      <w:marRight w:val="0"/>
      <w:marTop w:val="0"/>
      <w:marBottom w:val="0"/>
      <w:divBdr>
        <w:top w:val="none" w:sz="0" w:space="0" w:color="auto"/>
        <w:left w:val="none" w:sz="0" w:space="0" w:color="auto"/>
        <w:bottom w:val="none" w:sz="0" w:space="0" w:color="auto"/>
        <w:right w:val="none" w:sz="0" w:space="0" w:color="auto"/>
      </w:divBdr>
    </w:div>
    <w:div w:id="100801549">
      <w:bodyDiv w:val="1"/>
      <w:marLeft w:val="0"/>
      <w:marRight w:val="0"/>
      <w:marTop w:val="0"/>
      <w:marBottom w:val="0"/>
      <w:divBdr>
        <w:top w:val="none" w:sz="0" w:space="0" w:color="auto"/>
        <w:left w:val="none" w:sz="0" w:space="0" w:color="auto"/>
        <w:bottom w:val="none" w:sz="0" w:space="0" w:color="auto"/>
        <w:right w:val="none" w:sz="0" w:space="0" w:color="auto"/>
      </w:divBdr>
    </w:div>
    <w:div w:id="115678989">
      <w:bodyDiv w:val="1"/>
      <w:marLeft w:val="0"/>
      <w:marRight w:val="0"/>
      <w:marTop w:val="0"/>
      <w:marBottom w:val="0"/>
      <w:divBdr>
        <w:top w:val="none" w:sz="0" w:space="0" w:color="auto"/>
        <w:left w:val="none" w:sz="0" w:space="0" w:color="auto"/>
        <w:bottom w:val="none" w:sz="0" w:space="0" w:color="auto"/>
        <w:right w:val="none" w:sz="0" w:space="0" w:color="auto"/>
      </w:divBdr>
    </w:div>
    <w:div w:id="118183194">
      <w:bodyDiv w:val="1"/>
      <w:marLeft w:val="0"/>
      <w:marRight w:val="0"/>
      <w:marTop w:val="0"/>
      <w:marBottom w:val="0"/>
      <w:divBdr>
        <w:top w:val="none" w:sz="0" w:space="0" w:color="auto"/>
        <w:left w:val="none" w:sz="0" w:space="0" w:color="auto"/>
        <w:bottom w:val="none" w:sz="0" w:space="0" w:color="auto"/>
        <w:right w:val="none" w:sz="0" w:space="0" w:color="auto"/>
      </w:divBdr>
    </w:div>
    <w:div w:id="121971116">
      <w:bodyDiv w:val="1"/>
      <w:marLeft w:val="0"/>
      <w:marRight w:val="0"/>
      <w:marTop w:val="0"/>
      <w:marBottom w:val="0"/>
      <w:divBdr>
        <w:top w:val="none" w:sz="0" w:space="0" w:color="auto"/>
        <w:left w:val="none" w:sz="0" w:space="0" w:color="auto"/>
        <w:bottom w:val="none" w:sz="0" w:space="0" w:color="auto"/>
        <w:right w:val="none" w:sz="0" w:space="0" w:color="auto"/>
      </w:divBdr>
    </w:div>
    <w:div w:id="135994391">
      <w:bodyDiv w:val="1"/>
      <w:marLeft w:val="0"/>
      <w:marRight w:val="0"/>
      <w:marTop w:val="0"/>
      <w:marBottom w:val="0"/>
      <w:divBdr>
        <w:top w:val="none" w:sz="0" w:space="0" w:color="auto"/>
        <w:left w:val="none" w:sz="0" w:space="0" w:color="auto"/>
        <w:bottom w:val="none" w:sz="0" w:space="0" w:color="auto"/>
        <w:right w:val="none" w:sz="0" w:space="0" w:color="auto"/>
      </w:divBdr>
    </w:div>
    <w:div w:id="144780543">
      <w:bodyDiv w:val="1"/>
      <w:marLeft w:val="0"/>
      <w:marRight w:val="0"/>
      <w:marTop w:val="0"/>
      <w:marBottom w:val="0"/>
      <w:divBdr>
        <w:top w:val="none" w:sz="0" w:space="0" w:color="auto"/>
        <w:left w:val="none" w:sz="0" w:space="0" w:color="auto"/>
        <w:bottom w:val="none" w:sz="0" w:space="0" w:color="auto"/>
        <w:right w:val="none" w:sz="0" w:space="0" w:color="auto"/>
      </w:divBdr>
    </w:div>
    <w:div w:id="146629716">
      <w:bodyDiv w:val="1"/>
      <w:marLeft w:val="0"/>
      <w:marRight w:val="0"/>
      <w:marTop w:val="0"/>
      <w:marBottom w:val="0"/>
      <w:divBdr>
        <w:top w:val="none" w:sz="0" w:space="0" w:color="auto"/>
        <w:left w:val="none" w:sz="0" w:space="0" w:color="auto"/>
        <w:bottom w:val="none" w:sz="0" w:space="0" w:color="auto"/>
        <w:right w:val="none" w:sz="0" w:space="0" w:color="auto"/>
      </w:divBdr>
    </w:div>
    <w:div w:id="157774381">
      <w:bodyDiv w:val="1"/>
      <w:marLeft w:val="0"/>
      <w:marRight w:val="0"/>
      <w:marTop w:val="0"/>
      <w:marBottom w:val="0"/>
      <w:divBdr>
        <w:top w:val="none" w:sz="0" w:space="0" w:color="auto"/>
        <w:left w:val="none" w:sz="0" w:space="0" w:color="auto"/>
        <w:bottom w:val="none" w:sz="0" w:space="0" w:color="auto"/>
        <w:right w:val="none" w:sz="0" w:space="0" w:color="auto"/>
      </w:divBdr>
    </w:div>
    <w:div w:id="161823401">
      <w:bodyDiv w:val="1"/>
      <w:marLeft w:val="0"/>
      <w:marRight w:val="0"/>
      <w:marTop w:val="0"/>
      <w:marBottom w:val="0"/>
      <w:divBdr>
        <w:top w:val="none" w:sz="0" w:space="0" w:color="auto"/>
        <w:left w:val="none" w:sz="0" w:space="0" w:color="auto"/>
        <w:bottom w:val="none" w:sz="0" w:space="0" w:color="auto"/>
        <w:right w:val="none" w:sz="0" w:space="0" w:color="auto"/>
      </w:divBdr>
    </w:div>
    <w:div w:id="170419442">
      <w:bodyDiv w:val="1"/>
      <w:marLeft w:val="0"/>
      <w:marRight w:val="0"/>
      <w:marTop w:val="0"/>
      <w:marBottom w:val="0"/>
      <w:divBdr>
        <w:top w:val="none" w:sz="0" w:space="0" w:color="auto"/>
        <w:left w:val="none" w:sz="0" w:space="0" w:color="auto"/>
        <w:bottom w:val="none" w:sz="0" w:space="0" w:color="auto"/>
        <w:right w:val="none" w:sz="0" w:space="0" w:color="auto"/>
      </w:divBdr>
    </w:div>
    <w:div w:id="172570039">
      <w:bodyDiv w:val="1"/>
      <w:marLeft w:val="0"/>
      <w:marRight w:val="0"/>
      <w:marTop w:val="0"/>
      <w:marBottom w:val="0"/>
      <w:divBdr>
        <w:top w:val="none" w:sz="0" w:space="0" w:color="auto"/>
        <w:left w:val="none" w:sz="0" w:space="0" w:color="auto"/>
        <w:bottom w:val="none" w:sz="0" w:space="0" w:color="auto"/>
        <w:right w:val="none" w:sz="0" w:space="0" w:color="auto"/>
      </w:divBdr>
    </w:div>
    <w:div w:id="198906587">
      <w:bodyDiv w:val="1"/>
      <w:marLeft w:val="0"/>
      <w:marRight w:val="0"/>
      <w:marTop w:val="0"/>
      <w:marBottom w:val="0"/>
      <w:divBdr>
        <w:top w:val="none" w:sz="0" w:space="0" w:color="auto"/>
        <w:left w:val="none" w:sz="0" w:space="0" w:color="auto"/>
        <w:bottom w:val="none" w:sz="0" w:space="0" w:color="auto"/>
        <w:right w:val="none" w:sz="0" w:space="0" w:color="auto"/>
      </w:divBdr>
    </w:div>
    <w:div w:id="219633445">
      <w:bodyDiv w:val="1"/>
      <w:marLeft w:val="0"/>
      <w:marRight w:val="0"/>
      <w:marTop w:val="0"/>
      <w:marBottom w:val="0"/>
      <w:divBdr>
        <w:top w:val="none" w:sz="0" w:space="0" w:color="auto"/>
        <w:left w:val="none" w:sz="0" w:space="0" w:color="auto"/>
        <w:bottom w:val="none" w:sz="0" w:space="0" w:color="auto"/>
        <w:right w:val="none" w:sz="0" w:space="0" w:color="auto"/>
      </w:divBdr>
    </w:div>
    <w:div w:id="230769782">
      <w:bodyDiv w:val="1"/>
      <w:marLeft w:val="0"/>
      <w:marRight w:val="0"/>
      <w:marTop w:val="0"/>
      <w:marBottom w:val="0"/>
      <w:divBdr>
        <w:top w:val="none" w:sz="0" w:space="0" w:color="auto"/>
        <w:left w:val="none" w:sz="0" w:space="0" w:color="auto"/>
        <w:bottom w:val="none" w:sz="0" w:space="0" w:color="auto"/>
        <w:right w:val="none" w:sz="0" w:space="0" w:color="auto"/>
      </w:divBdr>
    </w:div>
    <w:div w:id="231743852">
      <w:bodyDiv w:val="1"/>
      <w:marLeft w:val="0"/>
      <w:marRight w:val="0"/>
      <w:marTop w:val="0"/>
      <w:marBottom w:val="0"/>
      <w:divBdr>
        <w:top w:val="none" w:sz="0" w:space="0" w:color="auto"/>
        <w:left w:val="none" w:sz="0" w:space="0" w:color="auto"/>
        <w:bottom w:val="none" w:sz="0" w:space="0" w:color="auto"/>
        <w:right w:val="none" w:sz="0" w:space="0" w:color="auto"/>
      </w:divBdr>
    </w:div>
    <w:div w:id="245501343">
      <w:bodyDiv w:val="1"/>
      <w:marLeft w:val="0"/>
      <w:marRight w:val="0"/>
      <w:marTop w:val="0"/>
      <w:marBottom w:val="0"/>
      <w:divBdr>
        <w:top w:val="none" w:sz="0" w:space="0" w:color="auto"/>
        <w:left w:val="none" w:sz="0" w:space="0" w:color="auto"/>
        <w:bottom w:val="none" w:sz="0" w:space="0" w:color="auto"/>
        <w:right w:val="none" w:sz="0" w:space="0" w:color="auto"/>
      </w:divBdr>
    </w:div>
    <w:div w:id="248538674">
      <w:bodyDiv w:val="1"/>
      <w:marLeft w:val="0"/>
      <w:marRight w:val="0"/>
      <w:marTop w:val="0"/>
      <w:marBottom w:val="0"/>
      <w:divBdr>
        <w:top w:val="none" w:sz="0" w:space="0" w:color="auto"/>
        <w:left w:val="none" w:sz="0" w:space="0" w:color="auto"/>
        <w:bottom w:val="none" w:sz="0" w:space="0" w:color="auto"/>
        <w:right w:val="none" w:sz="0" w:space="0" w:color="auto"/>
      </w:divBdr>
    </w:div>
    <w:div w:id="251937083">
      <w:bodyDiv w:val="1"/>
      <w:marLeft w:val="0"/>
      <w:marRight w:val="0"/>
      <w:marTop w:val="0"/>
      <w:marBottom w:val="0"/>
      <w:divBdr>
        <w:top w:val="none" w:sz="0" w:space="0" w:color="auto"/>
        <w:left w:val="none" w:sz="0" w:space="0" w:color="auto"/>
        <w:bottom w:val="none" w:sz="0" w:space="0" w:color="auto"/>
        <w:right w:val="none" w:sz="0" w:space="0" w:color="auto"/>
      </w:divBdr>
    </w:div>
    <w:div w:id="258220463">
      <w:bodyDiv w:val="1"/>
      <w:marLeft w:val="0"/>
      <w:marRight w:val="0"/>
      <w:marTop w:val="0"/>
      <w:marBottom w:val="0"/>
      <w:divBdr>
        <w:top w:val="none" w:sz="0" w:space="0" w:color="auto"/>
        <w:left w:val="none" w:sz="0" w:space="0" w:color="auto"/>
        <w:bottom w:val="none" w:sz="0" w:space="0" w:color="auto"/>
        <w:right w:val="none" w:sz="0" w:space="0" w:color="auto"/>
      </w:divBdr>
    </w:div>
    <w:div w:id="263734906">
      <w:bodyDiv w:val="1"/>
      <w:marLeft w:val="0"/>
      <w:marRight w:val="0"/>
      <w:marTop w:val="0"/>
      <w:marBottom w:val="0"/>
      <w:divBdr>
        <w:top w:val="none" w:sz="0" w:space="0" w:color="auto"/>
        <w:left w:val="none" w:sz="0" w:space="0" w:color="auto"/>
        <w:bottom w:val="none" w:sz="0" w:space="0" w:color="auto"/>
        <w:right w:val="none" w:sz="0" w:space="0" w:color="auto"/>
      </w:divBdr>
    </w:div>
    <w:div w:id="300575776">
      <w:bodyDiv w:val="1"/>
      <w:marLeft w:val="0"/>
      <w:marRight w:val="0"/>
      <w:marTop w:val="0"/>
      <w:marBottom w:val="0"/>
      <w:divBdr>
        <w:top w:val="none" w:sz="0" w:space="0" w:color="auto"/>
        <w:left w:val="none" w:sz="0" w:space="0" w:color="auto"/>
        <w:bottom w:val="none" w:sz="0" w:space="0" w:color="auto"/>
        <w:right w:val="none" w:sz="0" w:space="0" w:color="auto"/>
      </w:divBdr>
    </w:div>
    <w:div w:id="302198510">
      <w:bodyDiv w:val="1"/>
      <w:marLeft w:val="0"/>
      <w:marRight w:val="0"/>
      <w:marTop w:val="0"/>
      <w:marBottom w:val="0"/>
      <w:divBdr>
        <w:top w:val="none" w:sz="0" w:space="0" w:color="auto"/>
        <w:left w:val="none" w:sz="0" w:space="0" w:color="auto"/>
        <w:bottom w:val="none" w:sz="0" w:space="0" w:color="auto"/>
        <w:right w:val="none" w:sz="0" w:space="0" w:color="auto"/>
      </w:divBdr>
    </w:div>
    <w:div w:id="333267779">
      <w:bodyDiv w:val="1"/>
      <w:marLeft w:val="0"/>
      <w:marRight w:val="0"/>
      <w:marTop w:val="0"/>
      <w:marBottom w:val="0"/>
      <w:divBdr>
        <w:top w:val="none" w:sz="0" w:space="0" w:color="auto"/>
        <w:left w:val="none" w:sz="0" w:space="0" w:color="auto"/>
        <w:bottom w:val="none" w:sz="0" w:space="0" w:color="auto"/>
        <w:right w:val="none" w:sz="0" w:space="0" w:color="auto"/>
      </w:divBdr>
    </w:div>
    <w:div w:id="338000063">
      <w:bodyDiv w:val="1"/>
      <w:marLeft w:val="0"/>
      <w:marRight w:val="0"/>
      <w:marTop w:val="0"/>
      <w:marBottom w:val="0"/>
      <w:divBdr>
        <w:top w:val="none" w:sz="0" w:space="0" w:color="auto"/>
        <w:left w:val="none" w:sz="0" w:space="0" w:color="auto"/>
        <w:bottom w:val="none" w:sz="0" w:space="0" w:color="auto"/>
        <w:right w:val="none" w:sz="0" w:space="0" w:color="auto"/>
      </w:divBdr>
    </w:div>
    <w:div w:id="347146839">
      <w:bodyDiv w:val="1"/>
      <w:marLeft w:val="0"/>
      <w:marRight w:val="0"/>
      <w:marTop w:val="0"/>
      <w:marBottom w:val="0"/>
      <w:divBdr>
        <w:top w:val="none" w:sz="0" w:space="0" w:color="auto"/>
        <w:left w:val="none" w:sz="0" w:space="0" w:color="auto"/>
        <w:bottom w:val="none" w:sz="0" w:space="0" w:color="auto"/>
        <w:right w:val="none" w:sz="0" w:space="0" w:color="auto"/>
      </w:divBdr>
    </w:div>
    <w:div w:id="352000930">
      <w:bodyDiv w:val="1"/>
      <w:marLeft w:val="0"/>
      <w:marRight w:val="0"/>
      <w:marTop w:val="0"/>
      <w:marBottom w:val="0"/>
      <w:divBdr>
        <w:top w:val="none" w:sz="0" w:space="0" w:color="auto"/>
        <w:left w:val="none" w:sz="0" w:space="0" w:color="auto"/>
        <w:bottom w:val="none" w:sz="0" w:space="0" w:color="auto"/>
        <w:right w:val="none" w:sz="0" w:space="0" w:color="auto"/>
      </w:divBdr>
    </w:div>
    <w:div w:id="354353186">
      <w:bodyDiv w:val="1"/>
      <w:marLeft w:val="0"/>
      <w:marRight w:val="0"/>
      <w:marTop w:val="0"/>
      <w:marBottom w:val="0"/>
      <w:divBdr>
        <w:top w:val="none" w:sz="0" w:space="0" w:color="auto"/>
        <w:left w:val="none" w:sz="0" w:space="0" w:color="auto"/>
        <w:bottom w:val="none" w:sz="0" w:space="0" w:color="auto"/>
        <w:right w:val="none" w:sz="0" w:space="0" w:color="auto"/>
      </w:divBdr>
    </w:div>
    <w:div w:id="357051268">
      <w:bodyDiv w:val="1"/>
      <w:marLeft w:val="0"/>
      <w:marRight w:val="0"/>
      <w:marTop w:val="0"/>
      <w:marBottom w:val="0"/>
      <w:divBdr>
        <w:top w:val="none" w:sz="0" w:space="0" w:color="auto"/>
        <w:left w:val="none" w:sz="0" w:space="0" w:color="auto"/>
        <w:bottom w:val="none" w:sz="0" w:space="0" w:color="auto"/>
        <w:right w:val="none" w:sz="0" w:space="0" w:color="auto"/>
      </w:divBdr>
    </w:div>
    <w:div w:id="361790386">
      <w:bodyDiv w:val="1"/>
      <w:marLeft w:val="0"/>
      <w:marRight w:val="0"/>
      <w:marTop w:val="0"/>
      <w:marBottom w:val="0"/>
      <w:divBdr>
        <w:top w:val="none" w:sz="0" w:space="0" w:color="auto"/>
        <w:left w:val="none" w:sz="0" w:space="0" w:color="auto"/>
        <w:bottom w:val="none" w:sz="0" w:space="0" w:color="auto"/>
        <w:right w:val="none" w:sz="0" w:space="0" w:color="auto"/>
      </w:divBdr>
    </w:div>
    <w:div w:id="367877917">
      <w:bodyDiv w:val="1"/>
      <w:marLeft w:val="0"/>
      <w:marRight w:val="0"/>
      <w:marTop w:val="0"/>
      <w:marBottom w:val="0"/>
      <w:divBdr>
        <w:top w:val="none" w:sz="0" w:space="0" w:color="auto"/>
        <w:left w:val="none" w:sz="0" w:space="0" w:color="auto"/>
        <w:bottom w:val="none" w:sz="0" w:space="0" w:color="auto"/>
        <w:right w:val="none" w:sz="0" w:space="0" w:color="auto"/>
      </w:divBdr>
    </w:div>
    <w:div w:id="380905164">
      <w:bodyDiv w:val="1"/>
      <w:marLeft w:val="0"/>
      <w:marRight w:val="0"/>
      <w:marTop w:val="0"/>
      <w:marBottom w:val="0"/>
      <w:divBdr>
        <w:top w:val="none" w:sz="0" w:space="0" w:color="auto"/>
        <w:left w:val="none" w:sz="0" w:space="0" w:color="auto"/>
        <w:bottom w:val="none" w:sz="0" w:space="0" w:color="auto"/>
        <w:right w:val="none" w:sz="0" w:space="0" w:color="auto"/>
      </w:divBdr>
    </w:div>
    <w:div w:id="381052452">
      <w:bodyDiv w:val="1"/>
      <w:marLeft w:val="0"/>
      <w:marRight w:val="0"/>
      <w:marTop w:val="0"/>
      <w:marBottom w:val="0"/>
      <w:divBdr>
        <w:top w:val="none" w:sz="0" w:space="0" w:color="auto"/>
        <w:left w:val="none" w:sz="0" w:space="0" w:color="auto"/>
        <w:bottom w:val="none" w:sz="0" w:space="0" w:color="auto"/>
        <w:right w:val="none" w:sz="0" w:space="0" w:color="auto"/>
      </w:divBdr>
    </w:div>
    <w:div w:id="427698571">
      <w:bodyDiv w:val="1"/>
      <w:marLeft w:val="0"/>
      <w:marRight w:val="0"/>
      <w:marTop w:val="0"/>
      <w:marBottom w:val="0"/>
      <w:divBdr>
        <w:top w:val="none" w:sz="0" w:space="0" w:color="auto"/>
        <w:left w:val="none" w:sz="0" w:space="0" w:color="auto"/>
        <w:bottom w:val="none" w:sz="0" w:space="0" w:color="auto"/>
        <w:right w:val="none" w:sz="0" w:space="0" w:color="auto"/>
      </w:divBdr>
    </w:div>
    <w:div w:id="449472512">
      <w:bodyDiv w:val="1"/>
      <w:marLeft w:val="0"/>
      <w:marRight w:val="0"/>
      <w:marTop w:val="0"/>
      <w:marBottom w:val="0"/>
      <w:divBdr>
        <w:top w:val="none" w:sz="0" w:space="0" w:color="auto"/>
        <w:left w:val="none" w:sz="0" w:space="0" w:color="auto"/>
        <w:bottom w:val="none" w:sz="0" w:space="0" w:color="auto"/>
        <w:right w:val="none" w:sz="0" w:space="0" w:color="auto"/>
      </w:divBdr>
    </w:div>
    <w:div w:id="459958746">
      <w:bodyDiv w:val="1"/>
      <w:marLeft w:val="0"/>
      <w:marRight w:val="0"/>
      <w:marTop w:val="0"/>
      <w:marBottom w:val="0"/>
      <w:divBdr>
        <w:top w:val="none" w:sz="0" w:space="0" w:color="auto"/>
        <w:left w:val="none" w:sz="0" w:space="0" w:color="auto"/>
        <w:bottom w:val="none" w:sz="0" w:space="0" w:color="auto"/>
        <w:right w:val="none" w:sz="0" w:space="0" w:color="auto"/>
      </w:divBdr>
    </w:div>
    <w:div w:id="460655703">
      <w:bodyDiv w:val="1"/>
      <w:marLeft w:val="0"/>
      <w:marRight w:val="0"/>
      <w:marTop w:val="0"/>
      <w:marBottom w:val="0"/>
      <w:divBdr>
        <w:top w:val="none" w:sz="0" w:space="0" w:color="auto"/>
        <w:left w:val="none" w:sz="0" w:space="0" w:color="auto"/>
        <w:bottom w:val="none" w:sz="0" w:space="0" w:color="auto"/>
        <w:right w:val="none" w:sz="0" w:space="0" w:color="auto"/>
      </w:divBdr>
    </w:div>
    <w:div w:id="469246112">
      <w:bodyDiv w:val="1"/>
      <w:marLeft w:val="0"/>
      <w:marRight w:val="0"/>
      <w:marTop w:val="0"/>
      <w:marBottom w:val="0"/>
      <w:divBdr>
        <w:top w:val="none" w:sz="0" w:space="0" w:color="auto"/>
        <w:left w:val="none" w:sz="0" w:space="0" w:color="auto"/>
        <w:bottom w:val="none" w:sz="0" w:space="0" w:color="auto"/>
        <w:right w:val="none" w:sz="0" w:space="0" w:color="auto"/>
      </w:divBdr>
    </w:div>
    <w:div w:id="477767030">
      <w:bodyDiv w:val="1"/>
      <w:marLeft w:val="0"/>
      <w:marRight w:val="0"/>
      <w:marTop w:val="0"/>
      <w:marBottom w:val="0"/>
      <w:divBdr>
        <w:top w:val="none" w:sz="0" w:space="0" w:color="auto"/>
        <w:left w:val="none" w:sz="0" w:space="0" w:color="auto"/>
        <w:bottom w:val="none" w:sz="0" w:space="0" w:color="auto"/>
        <w:right w:val="none" w:sz="0" w:space="0" w:color="auto"/>
      </w:divBdr>
    </w:div>
    <w:div w:id="513302500">
      <w:bodyDiv w:val="1"/>
      <w:marLeft w:val="0"/>
      <w:marRight w:val="0"/>
      <w:marTop w:val="0"/>
      <w:marBottom w:val="0"/>
      <w:divBdr>
        <w:top w:val="none" w:sz="0" w:space="0" w:color="auto"/>
        <w:left w:val="none" w:sz="0" w:space="0" w:color="auto"/>
        <w:bottom w:val="none" w:sz="0" w:space="0" w:color="auto"/>
        <w:right w:val="none" w:sz="0" w:space="0" w:color="auto"/>
      </w:divBdr>
    </w:div>
    <w:div w:id="560868135">
      <w:bodyDiv w:val="1"/>
      <w:marLeft w:val="0"/>
      <w:marRight w:val="0"/>
      <w:marTop w:val="0"/>
      <w:marBottom w:val="0"/>
      <w:divBdr>
        <w:top w:val="none" w:sz="0" w:space="0" w:color="auto"/>
        <w:left w:val="none" w:sz="0" w:space="0" w:color="auto"/>
        <w:bottom w:val="none" w:sz="0" w:space="0" w:color="auto"/>
        <w:right w:val="none" w:sz="0" w:space="0" w:color="auto"/>
      </w:divBdr>
    </w:div>
    <w:div w:id="622808896">
      <w:bodyDiv w:val="1"/>
      <w:marLeft w:val="0"/>
      <w:marRight w:val="0"/>
      <w:marTop w:val="0"/>
      <w:marBottom w:val="0"/>
      <w:divBdr>
        <w:top w:val="none" w:sz="0" w:space="0" w:color="auto"/>
        <w:left w:val="none" w:sz="0" w:space="0" w:color="auto"/>
        <w:bottom w:val="none" w:sz="0" w:space="0" w:color="auto"/>
        <w:right w:val="none" w:sz="0" w:space="0" w:color="auto"/>
      </w:divBdr>
    </w:div>
    <w:div w:id="623778943">
      <w:bodyDiv w:val="1"/>
      <w:marLeft w:val="0"/>
      <w:marRight w:val="0"/>
      <w:marTop w:val="0"/>
      <w:marBottom w:val="0"/>
      <w:divBdr>
        <w:top w:val="none" w:sz="0" w:space="0" w:color="auto"/>
        <w:left w:val="none" w:sz="0" w:space="0" w:color="auto"/>
        <w:bottom w:val="none" w:sz="0" w:space="0" w:color="auto"/>
        <w:right w:val="none" w:sz="0" w:space="0" w:color="auto"/>
      </w:divBdr>
    </w:div>
    <w:div w:id="637994132">
      <w:bodyDiv w:val="1"/>
      <w:marLeft w:val="0"/>
      <w:marRight w:val="0"/>
      <w:marTop w:val="0"/>
      <w:marBottom w:val="0"/>
      <w:divBdr>
        <w:top w:val="none" w:sz="0" w:space="0" w:color="auto"/>
        <w:left w:val="none" w:sz="0" w:space="0" w:color="auto"/>
        <w:bottom w:val="none" w:sz="0" w:space="0" w:color="auto"/>
        <w:right w:val="none" w:sz="0" w:space="0" w:color="auto"/>
      </w:divBdr>
    </w:div>
    <w:div w:id="642539164">
      <w:bodyDiv w:val="1"/>
      <w:marLeft w:val="0"/>
      <w:marRight w:val="0"/>
      <w:marTop w:val="0"/>
      <w:marBottom w:val="0"/>
      <w:divBdr>
        <w:top w:val="none" w:sz="0" w:space="0" w:color="auto"/>
        <w:left w:val="none" w:sz="0" w:space="0" w:color="auto"/>
        <w:bottom w:val="none" w:sz="0" w:space="0" w:color="auto"/>
        <w:right w:val="none" w:sz="0" w:space="0" w:color="auto"/>
      </w:divBdr>
    </w:div>
    <w:div w:id="657423653">
      <w:bodyDiv w:val="1"/>
      <w:marLeft w:val="0"/>
      <w:marRight w:val="0"/>
      <w:marTop w:val="0"/>
      <w:marBottom w:val="0"/>
      <w:divBdr>
        <w:top w:val="none" w:sz="0" w:space="0" w:color="auto"/>
        <w:left w:val="none" w:sz="0" w:space="0" w:color="auto"/>
        <w:bottom w:val="none" w:sz="0" w:space="0" w:color="auto"/>
        <w:right w:val="none" w:sz="0" w:space="0" w:color="auto"/>
      </w:divBdr>
    </w:div>
    <w:div w:id="672298684">
      <w:bodyDiv w:val="1"/>
      <w:marLeft w:val="0"/>
      <w:marRight w:val="0"/>
      <w:marTop w:val="0"/>
      <w:marBottom w:val="0"/>
      <w:divBdr>
        <w:top w:val="none" w:sz="0" w:space="0" w:color="auto"/>
        <w:left w:val="none" w:sz="0" w:space="0" w:color="auto"/>
        <w:bottom w:val="none" w:sz="0" w:space="0" w:color="auto"/>
        <w:right w:val="none" w:sz="0" w:space="0" w:color="auto"/>
      </w:divBdr>
    </w:div>
    <w:div w:id="697702338">
      <w:bodyDiv w:val="1"/>
      <w:marLeft w:val="0"/>
      <w:marRight w:val="0"/>
      <w:marTop w:val="0"/>
      <w:marBottom w:val="0"/>
      <w:divBdr>
        <w:top w:val="none" w:sz="0" w:space="0" w:color="auto"/>
        <w:left w:val="none" w:sz="0" w:space="0" w:color="auto"/>
        <w:bottom w:val="none" w:sz="0" w:space="0" w:color="auto"/>
        <w:right w:val="none" w:sz="0" w:space="0" w:color="auto"/>
      </w:divBdr>
    </w:div>
    <w:div w:id="700017239">
      <w:bodyDiv w:val="1"/>
      <w:marLeft w:val="0"/>
      <w:marRight w:val="0"/>
      <w:marTop w:val="0"/>
      <w:marBottom w:val="0"/>
      <w:divBdr>
        <w:top w:val="none" w:sz="0" w:space="0" w:color="auto"/>
        <w:left w:val="none" w:sz="0" w:space="0" w:color="auto"/>
        <w:bottom w:val="none" w:sz="0" w:space="0" w:color="auto"/>
        <w:right w:val="none" w:sz="0" w:space="0" w:color="auto"/>
      </w:divBdr>
    </w:div>
    <w:div w:id="705300457">
      <w:bodyDiv w:val="1"/>
      <w:marLeft w:val="0"/>
      <w:marRight w:val="0"/>
      <w:marTop w:val="0"/>
      <w:marBottom w:val="0"/>
      <w:divBdr>
        <w:top w:val="none" w:sz="0" w:space="0" w:color="auto"/>
        <w:left w:val="none" w:sz="0" w:space="0" w:color="auto"/>
        <w:bottom w:val="none" w:sz="0" w:space="0" w:color="auto"/>
        <w:right w:val="none" w:sz="0" w:space="0" w:color="auto"/>
      </w:divBdr>
    </w:div>
    <w:div w:id="707684414">
      <w:bodyDiv w:val="1"/>
      <w:marLeft w:val="0"/>
      <w:marRight w:val="0"/>
      <w:marTop w:val="0"/>
      <w:marBottom w:val="0"/>
      <w:divBdr>
        <w:top w:val="none" w:sz="0" w:space="0" w:color="auto"/>
        <w:left w:val="none" w:sz="0" w:space="0" w:color="auto"/>
        <w:bottom w:val="none" w:sz="0" w:space="0" w:color="auto"/>
        <w:right w:val="none" w:sz="0" w:space="0" w:color="auto"/>
      </w:divBdr>
    </w:div>
    <w:div w:id="709764095">
      <w:bodyDiv w:val="1"/>
      <w:marLeft w:val="0"/>
      <w:marRight w:val="0"/>
      <w:marTop w:val="0"/>
      <w:marBottom w:val="0"/>
      <w:divBdr>
        <w:top w:val="none" w:sz="0" w:space="0" w:color="auto"/>
        <w:left w:val="none" w:sz="0" w:space="0" w:color="auto"/>
        <w:bottom w:val="none" w:sz="0" w:space="0" w:color="auto"/>
        <w:right w:val="none" w:sz="0" w:space="0" w:color="auto"/>
      </w:divBdr>
    </w:div>
    <w:div w:id="722605391">
      <w:bodyDiv w:val="1"/>
      <w:marLeft w:val="0"/>
      <w:marRight w:val="0"/>
      <w:marTop w:val="0"/>
      <w:marBottom w:val="0"/>
      <w:divBdr>
        <w:top w:val="none" w:sz="0" w:space="0" w:color="auto"/>
        <w:left w:val="none" w:sz="0" w:space="0" w:color="auto"/>
        <w:bottom w:val="none" w:sz="0" w:space="0" w:color="auto"/>
        <w:right w:val="none" w:sz="0" w:space="0" w:color="auto"/>
      </w:divBdr>
    </w:div>
    <w:div w:id="730542169">
      <w:bodyDiv w:val="1"/>
      <w:marLeft w:val="0"/>
      <w:marRight w:val="0"/>
      <w:marTop w:val="0"/>
      <w:marBottom w:val="0"/>
      <w:divBdr>
        <w:top w:val="none" w:sz="0" w:space="0" w:color="auto"/>
        <w:left w:val="none" w:sz="0" w:space="0" w:color="auto"/>
        <w:bottom w:val="none" w:sz="0" w:space="0" w:color="auto"/>
        <w:right w:val="none" w:sz="0" w:space="0" w:color="auto"/>
      </w:divBdr>
    </w:div>
    <w:div w:id="746926844">
      <w:bodyDiv w:val="1"/>
      <w:marLeft w:val="0"/>
      <w:marRight w:val="0"/>
      <w:marTop w:val="0"/>
      <w:marBottom w:val="0"/>
      <w:divBdr>
        <w:top w:val="none" w:sz="0" w:space="0" w:color="auto"/>
        <w:left w:val="none" w:sz="0" w:space="0" w:color="auto"/>
        <w:bottom w:val="none" w:sz="0" w:space="0" w:color="auto"/>
        <w:right w:val="none" w:sz="0" w:space="0" w:color="auto"/>
      </w:divBdr>
    </w:div>
    <w:div w:id="749043347">
      <w:bodyDiv w:val="1"/>
      <w:marLeft w:val="0"/>
      <w:marRight w:val="0"/>
      <w:marTop w:val="0"/>
      <w:marBottom w:val="0"/>
      <w:divBdr>
        <w:top w:val="none" w:sz="0" w:space="0" w:color="auto"/>
        <w:left w:val="none" w:sz="0" w:space="0" w:color="auto"/>
        <w:bottom w:val="none" w:sz="0" w:space="0" w:color="auto"/>
        <w:right w:val="none" w:sz="0" w:space="0" w:color="auto"/>
      </w:divBdr>
    </w:div>
    <w:div w:id="779687320">
      <w:bodyDiv w:val="1"/>
      <w:marLeft w:val="0"/>
      <w:marRight w:val="0"/>
      <w:marTop w:val="0"/>
      <w:marBottom w:val="0"/>
      <w:divBdr>
        <w:top w:val="none" w:sz="0" w:space="0" w:color="auto"/>
        <w:left w:val="none" w:sz="0" w:space="0" w:color="auto"/>
        <w:bottom w:val="none" w:sz="0" w:space="0" w:color="auto"/>
        <w:right w:val="none" w:sz="0" w:space="0" w:color="auto"/>
      </w:divBdr>
    </w:div>
    <w:div w:id="781613614">
      <w:bodyDiv w:val="1"/>
      <w:marLeft w:val="0"/>
      <w:marRight w:val="0"/>
      <w:marTop w:val="0"/>
      <w:marBottom w:val="0"/>
      <w:divBdr>
        <w:top w:val="none" w:sz="0" w:space="0" w:color="auto"/>
        <w:left w:val="none" w:sz="0" w:space="0" w:color="auto"/>
        <w:bottom w:val="none" w:sz="0" w:space="0" w:color="auto"/>
        <w:right w:val="none" w:sz="0" w:space="0" w:color="auto"/>
      </w:divBdr>
    </w:div>
    <w:div w:id="783036941">
      <w:bodyDiv w:val="1"/>
      <w:marLeft w:val="0"/>
      <w:marRight w:val="0"/>
      <w:marTop w:val="0"/>
      <w:marBottom w:val="0"/>
      <w:divBdr>
        <w:top w:val="none" w:sz="0" w:space="0" w:color="auto"/>
        <w:left w:val="none" w:sz="0" w:space="0" w:color="auto"/>
        <w:bottom w:val="none" w:sz="0" w:space="0" w:color="auto"/>
        <w:right w:val="none" w:sz="0" w:space="0" w:color="auto"/>
      </w:divBdr>
    </w:div>
    <w:div w:id="797182144">
      <w:bodyDiv w:val="1"/>
      <w:marLeft w:val="0"/>
      <w:marRight w:val="0"/>
      <w:marTop w:val="0"/>
      <w:marBottom w:val="0"/>
      <w:divBdr>
        <w:top w:val="none" w:sz="0" w:space="0" w:color="auto"/>
        <w:left w:val="none" w:sz="0" w:space="0" w:color="auto"/>
        <w:bottom w:val="none" w:sz="0" w:space="0" w:color="auto"/>
        <w:right w:val="none" w:sz="0" w:space="0" w:color="auto"/>
      </w:divBdr>
    </w:div>
    <w:div w:id="803549771">
      <w:bodyDiv w:val="1"/>
      <w:marLeft w:val="0"/>
      <w:marRight w:val="0"/>
      <w:marTop w:val="0"/>
      <w:marBottom w:val="0"/>
      <w:divBdr>
        <w:top w:val="none" w:sz="0" w:space="0" w:color="auto"/>
        <w:left w:val="none" w:sz="0" w:space="0" w:color="auto"/>
        <w:bottom w:val="none" w:sz="0" w:space="0" w:color="auto"/>
        <w:right w:val="none" w:sz="0" w:space="0" w:color="auto"/>
      </w:divBdr>
    </w:div>
    <w:div w:id="815728302">
      <w:bodyDiv w:val="1"/>
      <w:marLeft w:val="0"/>
      <w:marRight w:val="0"/>
      <w:marTop w:val="0"/>
      <w:marBottom w:val="0"/>
      <w:divBdr>
        <w:top w:val="none" w:sz="0" w:space="0" w:color="auto"/>
        <w:left w:val="none" w:sz="0" w:space="0" w:color="auto"/>
        <w:bottom w:val="none" w:sz="0" w:space="0" w:color="auto"/>
        <w:right w:val="none" w:sz="0" w:space="0" w:color="auto"/>
      </w:divBdr>
    </w:div>
    <w:div w:id="883835045">
      <w:bodyDiv w:val="1"/>
      <w:marLeft w:val="0"/>
      <w:marRight w:val="0"/>
      <w:marTop w:val="0"/>
      <w:marBottom w:val="0"/>
      <w:divBdr>
        <w:top w:val="none" w:sz="0" w:space="0" w:color="auto"/>
        <w:left w:val="none" w:sz="0" w:space="0" w:color="auto"/>
        <w:bottom w:val="none" w:sz="0" w:space="0" w:color="auto"/>
        <w:right w:val="none" w:sz="0" w:space="0" w:color="auto"/>
      </w:divBdr>
    </w:div>
    <w:div w:id="895968351">
      <w:bodyDiv w:val="1"/>
      <w:marLeft w:val="0"/>
      <w:marRight w:val="0"/>
      <w:marTop w:val="0"/>
      <w:marBottom w:val="0"/>
      <w:divBdr>
        <w:top w:val="none" w:sz="0" w:space="0" w:color="auto"/>
        <w:left w:val="none" w:sz="0" w:space="0" w:color="auto"/>
        <w:bottom w:val="none" w:sz="0" w:space="0" w:color="auto"/>
        <w:right w:val="none" w:sz="0" w:space="0" w:color="auto"/>
      </w:divBdr>
    </w:div>
    <w:div w:id="927928244">
      <w:bodyDiv w:val="1"/>
      <w:marLeft w:val="0"/>
      <w:marRight w:val="0"/>
      <w:marTop w:val="0"/>
      <w:marBottom w:val="0"/>
      <w:divBdr>
        <w:top w:val="none" w:sz="0" w:space="0" w:color="auto"/>
        <w:left w:val="none" w:sz="0" w:space="0" w:color="auto"/>
        <w:bottom w:val="none" w:sz="0" w:space="0" w:color="auto"/>
        <w:right w:val="none" w:sz="0" w:space="0" w:color="auto"/>
      </w:divBdr>
    </w:div>
    <w:div w:id="944733297">
      <w:bodyDiv w:val="1"/>
      <w:marLeft w:val="0"/>
      <w:marRight w:val="0"/>
      <w:marTop w:val="0"/>
      <w:marBottom w:val="0"/>
      <w:divBdr>
        <w:top w:val="none" w:sz="0" w:space="0" w:color="auto"/>
        <w:left w:val="none" w:sz="0" w:space="0" w:color="auto"/>
        <w:bottom w:val="none" w:sz="0" w:space="0" w:color="auto"/>
        <w:right w:val="none" w:sz="0" w:space="0" w:color="auto"/>
      </w:divBdr>
    </w:div>
    <w:div w:id="950741565">
      <w:bodyDiv w:val="1"/>
      <w:marLeft w:val="0"/>
      <w:marRight w:val="0"/>
      <w:marTop w:val="0"/>
      <w:marBottom w:val="0"/>
      <w:divBdr>
        <w:top w:val="none" w:sz="0" w:space="0" w:color="auto"/>
        <w:left w:val="none" w:sz="0" w:space="0" w:color="auto"/>
        <w:bottom w:val="none" w:sz="0" w:space="0" w:color="auto"/>
        <w:right w:val="none" w:sz="0" w:space="0" w:color="auto"/>
      </w:divBdr>
    </w:div>
    <w:div w:id="962880849">
      <w:bodyDiv w:val="1"/>
      <w:marLeft w:val="0"/>
      <w:marRight w:val="0"/>
      <w:marTop w:val="0"/>
      <w:marBottom w:val="0"/>
      <w:divBdr>
        <w:top w:val="none" w:sz="0" w:space="0" w:color="auto"/>
        <w:left w:val="none" w:sz="0" w:space="0" w:color="auto"/>
        <w:bottom w:val="none" w:sz="0" w:space="0" w:color="auto"/>
        <w:right w:val="none" w:sz="0" w:space="0" w:color="auto"/>
      </w:divBdr>
    </w:div>
    <w:div w:id="972829013">
      <w:bodyDiv w:val="1"/>
      <w:marLeft w:val="0"/>
      <w:marRight w:val="0"/>
      <w:marTop w:val="0"/>
      <w:marBottom w:val="0"/>
      <w:divBdr>
        <w:top w:val="none" w:sz="0" w:space="0" w:color="auto"/>
        <w:left w:val="none" w:sz="0" w:space="0" w:color="auto"/>
        <w:bottom w:val="none" w:sz="0" w:space="0" w:color="auto"/>
        <w:right w:val="none" w:sz="0" w:space="0" w:color="auto"/>
      </w:divBdr>
    </w:div>
    <w:div w:id="988560726">
      <w:bodyDiv w:val="1"/>
      <w:marLeft w:val="0"/>
      <w:marRight w:val="0"/>
      <w:marTop w:val="0"/>
      <w:marBottom w:val="0"/>
      <w:divBdr>
        <w:top w:val="none" w:sz="0" w:space="0" w:color="auto"/>
        <w:left w:val="none" w:sz="0" w:space="0" w:color="auto"/>
        <w:bottom w:val="none" w:sz="0" w:space="0" w:color="auto"/>
        <w:right w:val="none" w:sz="0" w:space="0" w:color="auto"/>
      </w:divBdr>
    </w:div>
    <w:div w:id="997461037">
      <w:bodyDiv w:val="1"/>
      <w:marLeft w:val="0"/>
      <w:marRight w:val="0"/>
      <w:marTop w:val="0"/>
      <w:marBottom w:val="0"/>
      <w:divBdr>
        <w:top w:val="none" w:sz="0" w:space="0" w:color="auto"/>
        <w:left w:val="none" w:sz="0" w:space="0" w:color="auto"/>
        <w:bottom w:val="none" w:sz="0" w:space="0" w:color="auto"/>
        <w:right w:val="none" w:sz="0" w:space="0" w:color="auto"/>
      </w:divBdr>
    </w:div>
    <w:div w:id="1024482620">
      <w:bodyDiv w:val="1"/>
      <w:marLeft w:val="0"/>
      <w:marRight w:val="0"/>
      <w:marTop w:val="0"/>
      <w:marBottom w:val="0"/>
      <w:divBdr>
        <w:top w:val="none" w:sz="0" w:space="0" w:color="auto"/>
        <w:left w:val="none" w:sz="0" w:space="0" w:color="auto"/>
        <w:bottom w:val="none" w:sz="0" w:space="0" w:color="auto"/>
        <w:right w:val="none" w:sz="0" w:space="0" w:color="auto"/>
      </w:divBdr>
    </w:div>
    <w:div w:id="1047218506">
      <w:bodyDiv w:val="1"/>
      <w:marLeft w:val="0"/>
      <w:marRight w:val="0"/>
      <w:marTop w:val="0"/>
      <w:marBottom w:val="0"/>
      <w:divBdr>
        <w:top w:val="none" w:sz="0" w:space="0" w:color="auto"/>
        <w:left w:val="none" w:sz="0" w:space="0" w:color="auto"/>
        <w:bottom w:val="none" w:sz="0" w:space="0" w:color="auto"/>
        <w:right w:val="none" w:sz="0" w:space="0" w:color="auto"/>
      </w:divBdr>
    </w:div>
    <w:div w:id="1063262624">
      <w:bodyDiv w:val="1"/>
      <w:marLeft w:val="0"/>
      <w:marRight w:val="0"/>
      <w:marTop w:val="0"/>
      <w:marBottom w:val="0"/>
      <w:divBdr>
        <w:top w:val="none" w:sz="0" w:space="0" w:color="auto"/>
        <w:left w:val="none" w:sz="0" w:space="0" w:color="auto"/>
        <w:bottom w:val="none" w:sz="0" w:space="0" w:color="auto"/>
        <w:right w:val="none" w:sz="0" w:space="0" w:color="auto"/>
      </w:divBdr>
    </w:div>
    <w:div w:id="1092118226">
      <w:bodyDiv w:val="1"/>
      <w:marLeft w:val="0"/>
      <w:marRight w:val="0"/>
      <w:marTop w:val="0"/>
      <w:marBottom w:val="0"/>
      <w:divBdr>
        <w:top w:val="none" w:sz="0" w:space="0" w:color="auto"/>
        <w:left w:val="none" w:sz="0" w:space="0" w:color="auto"/>
        <w:bottom w:val="none" w:sz="0" w:space="0" w:color="auto"/>
        <w:right w:val="none" w:sz="0" w:space="0" w:color="auto"/>
      </w:divBdr>
    </w:div>
    <w:div w:id="1137458779">
      <w:bodyDiv w:val="1"/>
      <w:marLeft w:val="0"/>
      <w:marRight w:val="0"/>
      <w:marTop w:val="0"/>
      <w:marBottom w:val="0"/>
      <w:divBdr>
        <w:top w:val="none" w:sz="0" w:space="0" w:color="auto"/>
        <w:left w:val="none" w:sz="0" w:space="0" w:color="auto"/>
        <w:bottom w:val="none" w:sz="0" w:space="0" w:color="auto"/>
        <w:right w:val="none" w:sz="0" w:space="0" w:color="auto"/>
      </w:divBdr>
    </w:div>
    <w:div w:id="1166870647">
      <w:bodyDiv w:val="1"/>
      <w:marLeft w:val="0"/>
      <w:marRight w:val="0"/>
      <w:marTop w:val="0"/>
      <w:marBottom w:val="0"/>
      <w:divBdr>
        <w:top w:val="none" w:sz="0" w:space="0" w:color="auto"/>
        <w:left w:val="none" w:sz="0" w:space="0" w:color="auto"/>
        <w:bottom w:val="none" w:sz="0" w:space="0" w:color="auto"/>
        <w:right w:val="none" w:sz="0" w:space="0" w:color="auto"/>
      </w:divBdr>
      <w:divsChild>
        <w:div w:id="1197425566">
          <w:marLeft w:val="0"/>
          <w:marRight w:val="0"/>
          <w:marTop w:val="0"/>
          <w:marBottom w:val="0"/>
          <w:divBdr>
            <w:top w:val="none" w:sz="0" w:space="0" w:color="auto"/>
            <w:left w:val="none" w:sz="0" w:space="0" w:color="auto"/>
            <w:bottom w:val="none" w:sz="0" w:space="0" w:color="auto"/>
            <w:right w:val="none" w:sz="0" w:space="0" w:color="auto"/>
          </w:divBdr>
          <w:divsChild>
            <w:div w:id="319162477">
              <w:marLeft w:val="0"/>
              <w:marRight w:val="0"/>
              <w:marTop w:val="0"/>
              <w:marBottom w:val="0"/>
              <w:divBdr>
                <w:top w:val="none" w:sz="0" w:space="0" w:color="auto"/>
                <w:left w:val="none" w:sz="0" w:space="0" w:color="auto"/>
                <w:bottom w:val="none" w:sz="0" w:space="0" w:color="auto"/>
                <w:right w:val="none" w:sz="0" w:space="0" w:color="auto"/>
              </w:divBdr>
              <w:divsChild>
                <w:div w:id="4780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502622">
      <w:bodyDiv w:val="1"/>
      <w:marLeft w:val="0"/>
      <w:marRight w:val="0"/>
      <w:marTop w:val="0"/>
      <w:marBottom w:val="0"/>
      <w:divBdr>
        <w:top w:val="none" w:sz="0" w:space="0" w:color="auto"/>
        <w:left w:val="none" w:sz="0" w:space="0" w:color="auto"/>
        <w:bottom w:val="none" w:sz="0" w:space="0" w:color="auto"/>
        <w:right w:val="none" w:sz="0" w:space="0" w:color="auto"/>
      </w:divBdr>
      <w:divsChild>
        <w:div w:id="1517381040">
          <w:marLeft w:val="0"/>
          <w:marRight w:val="0"/>
          <w:marTop w:val="0"/>
          <w:marBottom w:val="0"/>
          <w:divBdr>
            <w:top w:val="none" w:sz="0" w:space="0" w:color="auto"/>
            <w:left w:val="none" w:sz="0" w:space="0" w:color="auto"/>
            <w:bottom w:val="none" w:sz="0" w:space="0" w:color="auto"/>
            <w:right w:val="none" w:sz="0" w:space="0" w:color="auto"/>
          </w:divBdr>
          <w:divsChild>
            <w:div w:id="178029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781074">
      <w:bodyDiv w:val="1"/>
      <w:marLeft w:val="0"/>
      <w:marRight w:val="0"/>
      <w:marTop w:val="0"/>
      <w:marBottom w:val="0"/>
      <w:divBdr>
        <w:top w:val="none" w:sz="0" w:space="0" w:color="auto"/>
        <w:left w:val="none" w:sz="0" w:space="0" w:color="auto"/>
        <w:bottom w:val="none" w:sz="0" w:space="0" w:color="auto"/>
        <w:right w:val="none" w:sz="0" w:space="0" w:color="auto"/>
      </w:divBdr>
    </w:div>
    <w:div w:id="1185435934">
      <w:bodyDiv w:val="1"/>
      <w:marLeft w:val="0"/>
      <w:marRight w:val="0"/>
      <w:marTop w:val="0"/>
      <w:marBottom w:val="0"/>
      <w:divBdr>
        <w:top w:val="none" w:sz="0" w:space="0" w:color="auto"/>
        <w:left w:val="none" w:sz="0" w:space="0" w:color="auto"/>
        <w:bottom w:val="none" w:sz="0" w:space="0" w:color="auto"/>
        <w:right w:val="none" w:sz="0" w:space="0" w:color="auto"/>
      </w:divBdr>
    </w:div>
    <w:div w:id="1191987678">
      <w:bodyDiv w:val="1"/>
      <w:marLeft w:val="0"/>
      <w:marRight w:val="0"/>
      <w:marTop w:val="0"/>
      <w:marBottom w:val="0"/>
      <w:divBdr>
        <w:top w:val="none" w:sz="0" w:space="0" w:color="auto"/>
        <w:left w:val="none" w:sz="0" w:space="0" w:color="auto"/>
        <w:bottom w:val="none" w:sz="0" w:space="0" w:color="auto"/>
        <w:right w:val="none" w:sz="0" w:space="0" w:color="auto"/>
      </w:divBdr>
    </w:div>
    <w:div w:id="1192955474">
      <w:bodyDiv w:val="1"/>
      <w:marLeft w:val="0"/>
      <w:marRight w:val="0"/>
      <w:marTop w:val="0"/>
      <w:marBottom w:val="0"/>
      <w:divBdr>
        <w:top w:val="none" w:sz="0" w:space="0" w:color="auto"/>
        <w:left w:val="none" w:sz="0" w:space="0" w:color="auto"/>
        <w:bottom w:val="none" w:sz="0" w:space="0" w:color="auto"/>
        <w:right w:val="none" w:sz="0" w:space="0" w:color="auto"/>
      </w:divBdr>
    </w:div>
    <w:div w:id="1206794049">
      <w:bodyDiv w:val="1"/>
      <w:marLeft w:val="0"/>
      <w:marRight w:val="0"/>
      <w:marTop w:val="0"/>
      <w:marBottom w:val="0"/>
      <w:divBdr>
        <w:top w:val="none" w:sz="0" w:space="0" w:color="auto"/>
        <w:left w:val="none" w:sz="0" w:space="0" w:color="auto"/>
        <w:bottom w:val="none" w:sz="0" w:space="0" w:color="auto"/>
        <w:right w:val="none" w:sz="0" w:space="0" w:color="auto"/>
      </w:divBdr>
    </w:div>
    <w:div w:id="1215234627">
      <w:bodyDiv w:val="1"/>
      <w:marLeft w:val="0"/>
      <w:marRight w:val="0"/>
      <w:marTop w:val="0"/>
      <w:marBottom w:val="0"/>
      <w:divBdr>
        <w:top w:val="none" w:sz="0" w:space="0" w:color="auto"/>
        <w:left w:val="none" w:sz="0" w:space="0" w:color="auto"/>
        <w:bottom w:val="none" w:sz="0" w:space="0" w:color="auto"/>
        <w:right w:val="none" w:sz="0" w:space="0" w:color="auto"/>
      </w:divBdr>
    </w:div>
    <w:div w:id="1215895553">
      <w:bodyDiv w:val="1"/>
      <w:marLeft w:val="0"/>
      <w:marRight w:val="0"/>
      <w:marTop w:val="0"/>
      <w:marBottom w:val="0"/>
      <w:divBdr>
        <w:top w:val="none" w:sz="0" w:space="0" w:color="auto"/>
        <w:left w:val="none" w:sz="0" w:space="0" w:color="auto"/>
        <w:bottom w:val="none" w:sz="0" w:space="0" w:color="auto"/>
        <w:right w:val="none" w:sz="0" w:space="0" w:color="auto"/>
      </w:divBdr>
    </w:div>
    <w:div w:id="1229656472">
      <w:bodyDiv w:val="1"/>
      <w:marLeft w:val="0"/>
      <w:marRight w:val="0"/>
      <w:marTop w:val="0"/>
      <w:marBottom w:val="0"/>
      <w:divBdr>
        <w:top w:val="none" w:sz="0" w:space="0" w:color="auto"/>
        <w:left w:val="none" w:sz="0" w:space="0" w:color="auto"/>
        <w:bottom w:val="none" w:sz="0" w:space="0" w:color="auto"/>
        <w:right w:val="none" w:sz="0" w:space="0" w:color="auto"/>
      </w:divBdr>
    </w:div>
    <w:div w:id="1253706765">
      <w:bodyDiv w:val="1"/>
      <w:marLeft w:val="0"/>
      <w:marRight w:val="0"/>
      <w:marTop w:val="0"/>
      <w:marBottom w:val="0"/>
      <w:divBdr>
        <w:top w:val="none" w:sz="0" w:space="0" w:color="auto"/>
        <w:left w:val="none" w:sz="0" w:space="0" w:color="auto"/>
        <w:bottom w:val="none" w:sz="0" w:space="0" w:color="auto"/>
        <w:right w:val="none" w:sz="0" w:space="0" w:color="auto"/>
      </w:divBdr>
    </w:div>
    <w:div w:id="1263294929">
      <w:bodyDiv w:val="1"/>
      <w:marLeft w:val="0"/>
      <w:marRight w:val="0"/>
      <w:marTop w:val="0"/>
      <w:marBottom w:val="0"/>
      <w:divBdr>
        <w:top w:val="none" w:sz="0" w:space="0" w:color="auto"/>
        <w:left w:val="none" w:sz="0" w:space="0" w:color="auto"/>
        <w:bottom w:val="none" w:sz="0" w:space="0" w:color="auto"/>
        <w:right w:val="none" w:sz="0" w:space="0" w:color="auto"/>
      </w:divBdr>
    </w:div>
    <w:div w:id="1278565576">
      <w:bodyDiv w:val="1"/>
      <w:marLeft w:val="0"/>
      <w:marRight w:val="0"/>
      <w:marTop w:val="0"/>
      <w:marBottom w:val="0"/>
      <w:divBdr>
        <w:top w:val="none" w:sz="0" w:space="0" w:color="auto"/>
        <w:left w:val="none" w:sz="0" w:space="0" w:color="auto"/>
        <w:bottom w:val="none" w:sz="0" w:space="0" w:color="auto"/>
        <w:right w:val="none" w:sz="0" w:space="0" w:color="auto"/>
      </w:divBdr>
    </w:div>
    <w:div w:id="1289629196">
      <w:bodyDiv w:val="1"/>
      <w:marLeft w:val="0"/>
      <w:marRight w:val="0"/>
      <w:marTop w:val="0"/>
      <w:marBottom w:val="0"/>
      <w:divBdr>
        <w:top w:val="none" w:sz="0" w:space="0" w:color="auto"/>
        <w:left w:val="none" w:sz="0" w:space="0" w:color="auto"/>
        <w:bottom w:val="none" w:sz="0" w:space="0" w:color="auto"/>
        <w:right w:val="none" w:sz="0" w:space="0" w:color="auto"/>
      </w:divBdr>
    </w:div>
    <w:div w:id="1296181019">
      <w:bodyDiv w:val="1"/>
      <w:marLeft w:val="0"/>
      <w:marRight w:val="0"/>
      <w:marTop w:val="0"/>
      <w:marBottom w:val="0"/>
      <w:divBdr>
        <w:top w:val="none" w:sz="0" w:space="0" w:color="auto"/>
        <w:left w:val="none" w:sz="0" w:space="0" w:color="auto"/>
        <w:bottom w:val="none" w:sz="0" w:space="0" w:color="auto"/>
        <w:right w:val="none" w:sz="0" w:space="0" w:color="auto"/>
      </w:divBdr>
    </w:div>
    <w:div w:id="1297561529">
      <w:bodyDiv w:val="1"/>
      <w:marLeft w:val="0"/>
      <w:marRight w:val="0"/>
      <w:marTop w:val="0"/>
      <w:marBottom w:val="0"/>
      <w:divBdr>
        <w:top w:val="none" w:sz="0" w:space="0" w:color="auto"/>
        <w:left w:val="none" w:sz="0" w:space="0" w:color="auto"/>
        <w:bottom w:val="none" w:sz="0" w:space="0" w:color="auto"/>
        <w:right w:val="none" w:sz="0" w:space="0" w:color="auto"/>
      </w:divBdr>
    </w:div>
    <w:div w:id="1306819201">
      <w:bodyDiv w:val="1"/>
      <w:marLeft w:val="0"/>
      <w:marRight w:val="0"/>
      <w:marTop w:val="0"/>
      <w:marBottom w:val="0"/>
      <w:divBdr>
        <w:top w:val="none" w:sz="0" w:space="0" w:color="auto"/>
        <w:left w:val="none" w:sz="0" w:space="0" w:color="auto"/>
        <w:bottom w:val="none" w:sz="0" w:space="0" w:color="auto"/>
        <w:right w:val="none" w:sz="0" w:space="0" w:color="auto"/>
      </w:divBdr>
    </w:div>
    <w:div w:id="1331983426">
      <w:bodyDiv w:val="1"/>
      <w:marLeft w:val="0"/>
      <w:marRight w:val="0"/>
      <w:marTop w:val="0"/>
      <w:marBottom w:val="0"/>
      <w:divBdr>
        <w:top w:val="none" w:sz="0" w:space="0" w:color="auto"/>
        <w:left w:val="none" w:sz="0" w:space="0" w:color="auto"/>
        <w:bottom w:val="none" w:sz="0" w:space="0" w:color="auto"/>
        <w:right w:val="none" w:sz="0" w:space="0" w:color="auto"/>
      </w:divBdr>
    </w:div>
    <w:div w:id="1358695405">
      <w:bodyDiv w:val="1"/>
      <w:marLeft w:val="0"/>
      <w:marRight w:val="0"/>
      <w:marTop w:val="0"/>
      <w:marBottom w:val="0"/>
      <w:divBdr>
        <w:top w:val="none" w:sz="0" w:space="0" w:color="auto"/>
        <w:left w:val="none" w:sz="0" w:space="0" w:color="auto"/>
        <w:bottom w:val="none" w:sz="0" w:space="0" w:color="auto"/>
        <w:right w:val="none" w:sz="0" w:space="0" w:color="auto"/>
      </w:divBdr>
    </w:div>
    <w:div w:id="1379205867">
      <w:bodyDiv w:val="1"/>
      <w:marLeft w:val="0"/>
      <w:marRight w:val="0"/>
      <w:marTop w:val="0"/>
      <w:marBottom w:val="0"/>
      <w:divBdr>
        <w:top w:val="none" w:sz="0" w:space="0" w:color="auto"/>
        <w:left w:val="none" w:sz="0" w:space="0" w:color="auto"/>
        <w:bottom w:val="none" w:sz="0" w:space="0" w:color="auto"/>
        <w:right w:val="none" w:sz="0" w:space="0" w:color="auto"/>
      </w:divBdr>
    </w:div>
    <w:div w:id="1406411229">
      <w:bodyDiv w:val="1"/>
      <w:marLeft w:val="0"/>
      <w:marRight w:val="0"/>
      <w:marTop w:val="0"/>
      <w:marBottom w:val="0"/>
      <w:divBdr>
        <w:top w:val="none" w:sz="0" w:space="0" w:color="auto"/>
        <w:left w:val="none" w:sz="0" w:space="0" w:color="auto"/>
        <w:bottom w:val="none" w:sz="0" w:space="0" w:color="auto"/>
        <w:right w:val="none" w:sz="0" w:space="0" w:color="auto"/>
      </w:divBdr>
    </w:div>
    <w:div w:id="1419904572">
      <w:bodyDiv w:val="1"/>
      <w:marLeft w:val="0"/>
      <w:marRight w:val="0"/>
      <w:marTop w:val="0"/>
      <w:marBottom w:val="0"/>
      <w:divBdr>
        <w:top w:val="none" w:sz="0" w:space="0" w:color="auto"/>
        <w:left w:val="none" w:sz="0" w:space="0" w:color="auto"/>
        <w:bottom w:val="none" w:sz="0" w:space="0" w:color="auto"/>
        <w:right w:val="none" w:sz="0" w:space="0" w:color="auto"/>
      </w:divBdr>
    </w:div>
    <w:div w:id="1424834332">
      <w:bodyDiv w:val="1"/>
      <w:marLeft w:val="0"/>
      <w:marRight w:val="0"/>
      <w:marTop w:val="0"/>
      <w:marBottom w:val="0"/>
      <w:divBdr>
        <w:top w:val="none" w:sz="0" w:space="0" w:color="auto"/>
        <w:left w:val="none" w:sz="0" w:space="0" w:color="auto"/>
        <w:bottom w:val="none" w:sz="0" w:space="0" w:color="auto"/>
        <w:right w:val="none" w:sz="0" w:space="0" w:color="auto"/>
      </w:divBdr>
    </w:div>
    <w:div w:id="1431271280">
      <w:bodyDiv w:val="1"/>
      <w:marLeft w:val="0"/>
      <w:marRight w:val="0"/>
      <w:marTop w:val="0"/>
      <w:marBottom w:val="0"/>
      <w:divBdr>
        <w:top w:val="none" w:sz="0" w:space="0" w:color="auto"/>
        <w:left w:val="none" w:sz="0" w:space="0" w:color="auto"/>
        <w:bottom w:val="none" w:sz="0" w:space="0" w:color="auto"/>
        <w:right w:val="none" w:sz="0" w:space="0" w:color="auto"/>
      </w:divBdr>
    </w:div>
    <w:div w:id="1445613035">
      <w:bodyDiv w:val="1"/>
      <w:marLeft w:val="0"/>
      <w:marRight w:val="0"/>
      <w:marTop w:val="0"/>
      <w:marBottom w:val="0"/>
      <w:divBdr>
        <w:top w:val="none" w:sz="0" w:space="0" w:color="auto"/>
        <w:left w:val="none" w:sz="0" w:space="0" w:color="auto"/>
        <w:bottom w:val="none" w:sz="0" w:space="0" w:color="auto"/>
        <w:right w:val="none" w:sz="0" w:space="0" w:color="auto"/>
      </w:divBdr>
    </w:div>
    <w:div w:id="1460490682">
      <w:bodyDiv w:val="1"/>
      <w:marLeft w:val="0"/>
      <w:marRight w:val="0"/>
      <w:marTop w:val="0"/>
      <w:marBottom w:val="0"/>
      <w:divBdr>
        <w:top w:val="none" w:sz="0" w:space="0" w:color="auto"/>
        <w:left w:val="none" w:sz="0" w:space="0" w:color="auto"/>
        <w:bottom w:val="none" w:sz="0" w:space="0" w:color="auto"/>
        <w:right w:val="none" w:sz="0" w:space="0" w:color="auto"/>
      </w:divBdr>
    </w:div>
    <w:div w:id="1465656486">
      <w:bodyDiv w:val="1"/>
      <w:marLeft w:val="0"/>
      <w:marRight w:val="0"/>
      <w:marTop w:val="0"/>
      <w:marBottom w:val="0"/>
      <w:divBdr>
        <w:top w:val="none" w:sz="0" w:space="0" w:color="auto"/>
        <w:left w:val="none" w:sz="0" w:space="0" w:color="auto"/>
        <w:bottom w:val="none" w:sz="0" w:space="0" w:color="auto"/>
        <w:right w:val="none" w:sz="0" w:space="0" w:color="auto"/>
      </w:divBdr>
    </w:div>
    <w:div w:id="1475760442">
      <w:bodyDiv w:val="1"/>
      <w:marLeft w:val="0"/>
      <w:marRight w:val="0"/>
      <w:marTop w:val="0"/>
      <w:marBottom w:val="0"/>
      <w:divBdr>
        <w:top w:val="none" w:sz="0" w:space="0" w:color="auto"/>
        <w:left w:val="none" w:sz="0" w:space="0" w:color="auto"/>
        <w:bottom w:val="none" w:sz="0" w:space="0" w:color="auto"/>
        <w:right w:val="none" w:sz="0" w:space="0" w:color="auto"/>
      </w:divBdr>
    </w:div>
    <w:div w:id="1480154110">
      <w:bodyDiv w:val="1"/>
      <w:marLeft w:val="0"/>
      <w:marRight w:val="0"/>
      <w:marTop w:val="0"/>
      <w:marBottom w:val="0"/>
      <w:divBdr>
        <w:top w:val="none" w:sz="0" w:space="0" w:color="auto"/>
        <w:left w:val="none" w:sz="0" w:space="0" w:color="auto"/>
        <w:bottom w:val="none" w:sz="0" w:space="0" w:color="auto"/>
        <w:right w:val="none" w:sz="0" w:space="0" w:color="auto"/>
      </w:divBdr>
    </w:div>
    <w:div w:id="1482384682">
      <w:bodyDiv w:val="1"/>
      <w:marLeft w:val="0"/>
      <w:marRight w:val="0"/>
      <w:marTop w:val="0"/>
      <w:marBottom w:val="0"/>
      <w:divBdr>
        <w:top w:val="none" w:sz="0" w:space="0" w:color="auto"/>
        <w:left w:val="none" w:sz="0" w:space="0" w:color="auto"/>
        <w:bottom w:val="none" w:sz="0" w:space="0" w:color="auto"/>
        <w:right w:val="none" w:sz="0" w:space="0" w:color="auto"/>
      </w:divBdr>
    </w:div>
    <w:div w:id="1485122562">
      <w:bodyDiv w:val="1"/>
      <w:marLeft w:val="0"/>
      <w:marRight w:val="0"/>
      <w:marTop w:val="0"/>
      <w:marBottom w:val="0"/>
      <w:divBdr>
        <w:top w:val="none" w:sz="0" w:space="0" w:color="auto"/>
        <w:left w:val="none" w:sz="0" w:space="0" w:color="auto"/>
        <w:bottom w:val="none" w:sz="0" w:space="0" w:color="auto"/>
        <w:right w:val="none" w:sz="0" w:space="0" w:color="auto"/>
      </w:divBdr>
    </w:div>
    <w:div w:id="1496140486">
      <w:bodyDiv w:val="1"/>
      <w:marLeft w:val="0"/>
      <w:marRight w:val="0"/>
      <w:marTop w:val="0"/>
      <w:marBottom w:val="0"/>
      <w:divBdr>
        <w:top w:val="none" w:sz="0" w:space="0" w:color="auto"/>
        <w:left w:val="none" w:sz="0" w:space="0" w:color="auto"/>
        <w:bottom w:val="none" w:sz="0" w:space="0" w:color="auto"/>
        <w:right w:val="none" w:sz="0" w:space="0" w:color="auto"/>
      </w:divBdr>
    </w:div>
    <w:div w:id="1498837865">
      <w:bodyDiv w:val="1"/>
      <w:marLeft w:val="0"/>
      <w:marRight w:val="0"/>
      <w:marTop w:val="0"/>
      <w:marBottom w:val="0"/>
      <w:divBdr>
        <w:top w:val="none" w:sz="0" w:space="0" w:color="auto"/>
        <w:left w:val="none" w:sz="0" w:space="0" w:color="auto"/>
        <w:bottom w:val="none" w:sz="0" w:space="0" w:color="auto"/>
        <w:right w:val="none" w:sz="0" w:space="0" w:color="auto"/>
      </w:divBdr>
    </w:div>
    <w:div w:id="1498888538">
      <w:bodyDiv w:val="1"/>
      <w:marLeft w:val="0"/>
      <w:marRight w:val="0"/>
      <w:marTop w:val="0"/>
      <w:marBottom w:val="0"/>
      <w:divBdr>
        <w:top w:val="none" w:sz="0" w:space="0" w:color="auto"/>
        <w:left w:val="none" w:sz="0" w:space="0" w:color="auto"/>
        <w:bottom w:val="none" w:sz="0" w:space="0" w:color="auto"/>
        <w:right w:val="none" w:sz="0" w:space="0" w:color="auto"/>
      </w:divBdr>
    </w:div>
    <w:div w:id="1510487881">
      <w:bodyDiv w:val="1"/>
      <w:marLeft w:val="0"/>
      <w:marRight w:val="0"/>
      <w:marTop w:val="0"/>
      <w:marBottom w:val="0"/>
      <w:divBdr>
        <w:top w:val="none" w:sz="0" w:space="0" w:color="auto"/>
        <w:left w:val="none" w:sz="0" w:space="0" w:color="auto"/>
        <w:bottom w:val="none" w:sz="0" w:space="0" w:color="auto"/>
        <w:right w:val="none" w:sz="0" w:space="0" w:color="auto"/>
      </w:divBdr>
    </w:div>
    <w:div w:id="1516723175">
      <w:bodyDiv w:val="1"/>
      <w:marLeft w:val="0"/>
      <w:marRight w:val="0"/>
      <w:marTop w:val="0"/>
      <w:marBottom w:val="0"/>
      <w:divBdr>
        <w:top w:val="none" w:sz="0" w:space="0" w:color="auto"/>
        <w:left w:val="none" w:sz="0" w:space="0" w:color="auto"/>
        <w:bottom w:val="none" w:sz="0" w:space="0" w:color="auto"/>
        <w:right w:val="none" w:sz="0" w:space="0" w:color="auto"/>
      </w:divBdr>
    </w:div>
    <w:div w:id="1545487842">
      <w:bodyDiv w:val="1"/>
      <w:marLeft w:val="0"/>
      <w:marRight w:val="0"/>
      <w:marTop w:val="0"/>
      <w:marBottom w:val="0"/>
      <w:divBdr>
        <w:top w:val="none" w:sz="0" w:space="0" w:color="auto"/>
        <w:left w:val="none" w:sz="0" w:space="0" w:color="auto"/>
        <w:bottom w:val="none" w:sz="0" w:space="0" w:color="auto"/>
        <w:right w:val="none" w:sz="0" w:space="0" w:color="auto"/>
      </w:divBdr>
    </w:div>
    <w:div w:id="1546135753">
      <w:bodyDiv w:val="1"/>
      <w:marLeft w:val="0"/>
      <w:marRight w:val="0"/>
      <w:marTop w:val="0"/>
      <w:marBottom w:val="0"/>
      <w:divBdr>
        <w:top w:val="none" w:sz="0" w:space="0" w:color="auto"/>
        <w:left w:val="none" w:sz="0" w:space="0" w:color="auto"/>
        <w:bottom w:val="none" w:sz="0" w:space="0" w:color="auto"/>
        <w:right w:val="none" w:sz="0" w:space="0" w:color="auto"/>
      </w:divBdr>
    </w:div>
    <w:div w:id="1550799911">
      <w:bodyDiv w:val="1"/>
      <w:marLeft w:val="0"/>
      <w:marRight w:val="0"/>
      <w:marTop w:val="0"/>
      <w:marBottom w:val="0"/>
      <w:divBdr>
        <w:top w:val="none" w:sz="0" w:space="0" w:color="auto"/>
        <w:left w:val="none" w:sz="0" w:space="0" w:color="auto"/>
        <w:bottom w:val="none" w:sz="0" w:space="0" w:color="auto"/>
        <w:right w:val="none" w:sz="0" w:space="0" w:color="auto"/>
      </w:divBdr>
    </w:div>
    <w:div w:id="1552889078">
      <w:bodyDiv w:val="1"/>
      <w:marLeft w:val="0"/>
      <w:marRight w:val="0"/>
      <w:marTop w:val="0"/>
      <w:marBottom w:val="0"/>
      <w:divBdr>
        <w:top w:val="none" w:sz="0" w:space="0" w:color="auto"/>
        <w:left w:val="none" w:sz="0" w:space="0" w:color="auto"/>
        <w:bottom w:val="none" w:sz="0" w:space="0" w:color="auto"/>
        <w:right w:val="none" w:sz="0" w:space="0" w:color="auto"/>
      </w:divBdr>
    </w:div>
    <w:div w:id="1561596928">
      <w:bodyDiv w:val="1"/>
      <w:marLeft w:val="0"/>
      <w:marRight w:val="0"/>
      <w:marTop w:val="0"/>
      <w:marBottom w:val="0"/>
      <w:divBdr>
        <w:top w:val="none" w:sz="0" w:space="0" w:color="auto"/>
        <w:left w:val="none" w:sz="0" w:space="0" w:color="auto"/>
        <w:bottom w:val="none" w:sz="0" w:space="0" w:color="auto"/>
        <w:right w:val="none" w:sz="0" w:space="0" w:color="auto"/>
      </w:divBdr>
    </w:div>
    <w:div w:id="1572733826">
      <w:bodyDiv w:val="1"/>
      <w:marLeft w:val="0"/>
      <w:marRight w:val="0"/>
      <w:marTop w:val="0"/>
      <w:marBottom w:val="0"/>
      <w:divBdr>
        <w:top w:val="none" w:sz="0" w:space="0" w:color="auto"/>
        <w:left w:val="none" w:sz="0" w:space="0" w:color="auto"/>
        <w:bottom w:val="none" w:sz="0" w:space="0" w:color="auto"/>
        <w:right w:val="none" w:sz="0" w:space="0" w:color="auto"/>
      </w:divBdr>
    </w:div>
    <w:div w:id="1601059119">
      <w:bodyDiv w:val="1"/>
      <w:marLeft w:val="0"/>
      <w:marRight w:val="0"/>
      <w:marTop w:val="0"/>
      <w:marBottom w:val="0"/>
      <w:divBdr>
        <w:top w:val="none" w:sz="0" w:space="0" w:color="auto"/>
        <w:left w:val="none" w:sz="0" w:space="0" w:color="auto"/>
        <w:bottom w:val="none" w:sz="0" w:space="0" w:color="auto"/>
        <w:right w:val="none" w:sz="0" w:space="0" w:color="auto"/>
      </w:divBdr>
    </w:div>
    <w:div w:id="1629896554">
      <w:bodyDiv w:val="1"/>
      <w:marLeft w:val="0"/>
      <w:marRight w:val="0"/>
      <w:marTop w:val="0"/>
      <w:marBottom w:val="0"/>
      <w:divBdr>
        <w:top w:val="none" w:sz="0" w:space="0" w:color="auto"/>
        <w:left w:val="none" w:sz="0" w:space="0" w:color="auto"/>
        <w:bottom w:val="none" w:sz="0" w:space="0" w:color="auto"/>
        <w:right w:val="none" w:sz="0" w:space="0" w:color="auto"/>
      </w:divBdr>
    </w:div>
    <w:div w:id="1637024089">
      <w:bodyDiv w:val="1"/>
      <w:marLeft w:val="0"/>
      <w:marRight w:val="0"/>
      <w:marTop w:val="0"/>
      <w:marBottom w:val="0"/>
      <w:divBdr>
        <w:top w:val="none" w:sz="0" w:space="0" w:color="auto"/>
        <w:left w:val="none" w:sz="0" w:space="0" w:color="auto"/>
        <w:bottom w:val="none" w:sz="0" w:space="0" w:color="auto"/>
        <w:right w:val="none" w:sz="0" w:space="0" w:color="auto"/>
      </w:divBdr>
    </w:div>
    <w:div w:id="1644115864">
      <w:bodyDiv w:val="1"/>
      <w:marLeft w:val="0"/>
      <w:marRight w:val="0"/>
      <w:marTop w:val="0"/>
      <w:marBottom w:val="0"/>
      <w:divBdr>
        <w:top w:val="none" w:sz="0" w:space="0" w:color="auto"/>
        <w:left w:val="none" w:sz="0" w:space="0" w:color="auto"/>
        <w:bottom w:val="none" w:sz="0" w:space="0" w:color="auto"/>
        <w:right w:val="none" w:sz="0" w:space="0" w:color="auto"/>
      </w:divBdr>
    </w:div>
    <w:div w:id="1647272341">
      <w:bodyDiv w:val="1"/>
      <w:marLeft w:val="0"/>
      <w:marRight w:val="0"/>
      <w:marTop w:val="0"/>
      <w:marBottom w:val="0"/>
      <w:divBdr>
        <w:top w:val="none" w:sz="0" w:space="0" w:color="auto"/>
        <w:left w:val="none" w:sz="0" w:space="0" w:color="auto"/>
        <w:bottom w:val="none" w:sz="0" w:space="0" w:color="auto"/>
        <w:right w:val="none" w:sz="0" w:space="0" w:color="auto"/>
      </w:divBdr>
    </w:div>
    <w:div w:id="1651179692">
      <w:bodyDiv w:val="1"/>
      <w:marLeft w:val="0"/>
      <w:marRight w:val="0"/>
      <w:marTop w:val="0"/>
      <w:marBottom w:val="0"/>
      <w:divBdr>
        <w:top w:val="none" w:sz="0" w:space="0" w:color="auto"/>
        <w:left w:val="none" w:sz="0" w:space="0" w:color="auto"/>
        <w:bottom w:val="none" w:sz="0" w:space="0" w:color="auto"/>
        <w:right w:val="none" w:sz="0" w:space="0" w:color="auto"/>
      </w:divBdr>
    </w:div>
    <w:div w:id="1687826205">
      <w:bodyDiv w:val="1"/>
      <w:marLeft w:val="0"/>
      <w:marRight w:val="0"/>
      <w:marTop w:val="0"/>
      <w:marBottom w:val="0"/>
      <w:divBdr>
        <w:top w:val="none" w:sz="0" w:space="0" w:color="auto"/>
        <w:left w:val="none" w:sz="0" w:space="0" w:color="auto"/>
        <w:bottom w:val="none" w:sz="0" w:space="0" w:color="auto"/>
        <w:right w:val="none" w:sz="0" w:space="0" w:color="auto"/>
      </w:divBdr>
    </w:div>
    <w:div w:id="1693649028">
      <w:bodyDiv w:val="1"/>
      <w:marLeft w:val="0"/>
      <w:marRight w:val="0"/>
      <w:marTop w:val="0"/>
      <w:marBottom w:val="0"/>
      <w:divBdr>
        <w:top w:val="none" w:sz="0" w:space="0" w:color="auto"/>
        <w:left w:val="none" w:sz="0" w:space="0" w:color="auto"/>
        <w:bottom w:val="none" w:sz="0" w:space="0" w:color="auto"/>
        <w:right w:val="none" w:sz="0" w:space="0" w:color="auto"/>
      </w:divBdr>
    </w:div>
    <w:div w:id="1705519963">
      <w:bodyDiv w:val="1"/>
      <w:marLeft w:val="0"/>
      <w:marRight w:val="0"/>
      <w:marTop w:val="0"/>
      <w:marBottom w:val="0"/>
      <w:divBdr>
        <w:top w:val="none" w:sz="0" w:space="0" w:color="auto"/>
        <w:left w:val="none" w:sz="0" w:space="0" w:color="auto"/>
        <w:bottom w:val="none" w:sz="0" w:space="0" w:color="auto"/>
        <w:right w:val="none" w:sz="0" w:space="0" w:color="auto"/>
      </w:divBdr>
    </w:div>
    <w:div w:id="1715537719">
      <w:bodyDiv w:val="1"/>
      <w:marLeft w:val="0"/>
      <w:marRight w:val="0"/>
      <w:marTop w:val="0"/>
      <w:marBottom w:val="0"/>
      <w:divBdr>
        <w:top w:val="none" w:sz="0" w:space="0" w:color="auto"/>
        <w:left w:val="none" w:sz="0" w:space="0" w:color="auto"/>
        <w:bottom w:val="none" w:sz="0" w:space="0" w:color="auto"/>
        <w:right w:val="none" w:sz="0" w:space="0" w:color="auto"/>
      </w:divBdr>
    </w:div>
    <w:div w:id="1725833797">
      <w:bodyDiv w:val="1"/>
      <w:marLeft w:val="0"/>
      <w:marRight w:val="0"/>
      <w:marTop w:val="0"/>
      <w:marBottom w:val="0"/>
      <w:divBdr>
        <w:top w:val="none" w:sz="0" w:space="0" w:color="auto"/>
        <w:left w:val="none" w:sz="0" w:space="0" w:color="auto"/>
        <w:bottom w:val="none" w:sz="0" w:space="0" w:color="auto"/>
        <w:right w:val="none" w:sz="0" w:space="0" w:color="auto"/>
      </w:divBdr>
    </w:div>
    <w:div w:id="1729183599">
      <w:bodyDiv w:val="1"/>
      <w:marLeft w:val="0"/>
      <w:marRight w:val="0"/>
      <w:marTop w:val="0"/>
      <w:marBottom w:val="0"/>
      <w:divBdr>
        <w:top w:val="none" w:sz="0" w:space="0" w:color="auto"/>
        <w:left w:val="none" w:sz="0" w:space="0" w:color="auto"/>
        <w:bottom w:val="none" w:sz="0" w:space="0" w:color="auto"/>
        <w:right w:val="none" w:sz="0" w:space="0" w:color="auto"/>
      </w:divBdr>
    </w:div>
    <w:div w:id="1738285337">
      <w:bodyDiv w:val="1"/>
      <w:marLeft w:val="0"/>
      <w:marRight w:val="0"/>
      <w:marTop w:val="0"/>
      <w:marBottom w:val="0"/>
      <w:divBdr>
        <w:top w:val="none" w:sz="0" w:space="0" w:color="auto"/>
        <w:left w:val="none" w:sz="0" w:space="0" w:color="auto"/>
        <w:bottom w:val="none" w:sz="0" w:space="0" w:color="auto"/>
        <w:right w:val="none" w:sz="0" w:space="0" w:color="auto"/>
      </w:divBdr>
    </w:div>
    <w:div w:id="1764379179">
      <w:bodyDiv w:val="1"/>
      <w:marLeft w:val="0"/>
      <w:marRight w:val="0"/>
      <w:marTop w:val="0"/>
      <w:marBottom w:val="0"/>
      <w:divBdr>
        <w:top w:val="none" w:sz="0" w:space="0" w:color="auto"/>
        <w:left w:val="none" w:sz="0" w:space="0" w:color="auto"/>
        <w:bottom w:val="none" w:sz="0" w:space="0" w:color="auto"/>
        <w:right w:val="none" w:sz="0" w:space="0" w:color="auto"/>
      </w:divBdr>
    </w:div>
    <w:div w:id="1780686599">
      <w:bodyDiv w:val="1"/>
      <w:marLeft w:val="0"/>
      <w:marRight w:val="0"/>
      <w:marTop w:val="0"/>
      <w:marBottom w:val="0"/>
      <w:divBdr>
        <w:top w:val="none" w:sz="0" w:space="0" w:color="auto"/>
        <w:left w:val="none" w:sz="0" w:space="0" w:color="auto"/>
        <w:bottom w:val="none" w:sz="0" w:space="0" w:color="auto"/>
        <w:right w:val="none" w:sz="0" w:space="0" w:color="auto"/>
      </w:divBdr>
    </w:div>
    <w:div w:id="1786845937">
      <w:bodyDiv w:val="1"/>
      <w:marLeft w:val="0"/>
      <w:marRight w:val="0"/>
      <w:marTop w:val="0"/>
      <w:marBottom w:val="0"/>
      <w:divBdr>
        <w:top w:val="none" w:sz="0" w:space="0" w:color="auto"/>
        <w:left w:val="none" w:sz="0" w:space="0" w:color="auto"/>
        <w:bottom w:val="none" w:sz="0" w:space="0" w:color="auto"/>
        <w:right w:val="none" w:sz="0" w:space="0" w:color="auto"/>
      </w:divBdr>
    </w:div>
    <w:div w:id="1809398168">
      <w:bodyDiv w:val="1"/>
      <w:marLeft w:val="0"/>
      <w:marRight w:val="0"/>
      <w:marTop w:val="0"/>
      <w:marBottom w:val="0"/>
      <w:divBdr>
        <w:top w:val="none" w:sz="0" w:space="0" w:color="auto"/>
        <w:left w:val="none" w:sz="0" w:space="0" w:color="auto"/>
        <w:bottom w:val="none" w:sz="0" w:space="0" w:color="auto"/>
        <w:right w:val="none" w:sz="0" w:space="0" w:color="auto"/>
      </w:divBdr>
    </w:div>
    <w:div w:id="1810438150">
      <w:bodyDiv w:val="1"/>
      <w:marLeft w:val="0"/>
      <w:marRight w:val="0"/>
      <w:marTop w:val="0"/>
      <w:marBottom w:val="0"/>
      <w:divBdr>
        <w:top w:val="none" w:sz="0" w:space="0" w:color="auto"/>
        <w:left w:val="none" w:sz="0" w:space="0" w:color="auto"/>
        <w:bottom w:val="none" w:sz="0" w:space="0" w:color="auto"/>
        <w:right w:val="none" w:sz="0" w:space="0" w:color="auto"/>
      </w:divBdr>
    </w:div>
    <w:div w:id="1816413424">
      <w:bodyDiv w:val="1"/>
      <w:marLeft w:val="0"/>
      <w:marRight w:val="0"/>
      <w:marTop w:val="0"/>
      <w:marBottom w:val="0"/>
      <w:divBdr>
        <w:top w:val="none" w:sz="0" w:space="0" w:color="auto"/>
        <w:left w:val="none" w:sz="0" w:space="0" w:color="auto"/>
        <w:bottom w:val="none" w:sz="0" w:space="0" w:color="auto"/>
        <w:right w:val="none" w:sz="0" w:space="0" w:color="auto"/>
      </w:divBdr>
    </w:div>
    <w:div w:id="1832721176">
      <w:bodyDiv w:val="1"/>
      <w:marLeft w:val="0"/>
      <w:marRight w:val="0"/>
      <w:marTop w:val="0"/>
      <w:marBottom w:val="0"/>
      <w:divBdr>
        <w:top w:val="none" w:sz="0" w:space="0" w:color="auto"/>
        <w:left w:val="none" w:sz="0" w:space="0" w:color="auto"/>
        <w:bottom w:val="none" w:sz="0" w:space="0" w:color="auto"/>
        <w:right w:val="none" w:sz="0" w:space="0" w:color="auto"/>
      </w:divBdr>
    </w:div>
    <w:div w:id="1839732316">
      <w:bodyDiv w:val="1"/>
      <w:marLeft w:val="0"/>
      <w:marRight w:val="0"/>
      <w:marTop w:val="0"/>
      <w:marBottom w:val="0"/>
      <w:divBdr>
        <w:top w:val="none" w:sz="0" w:space="0" w:color="auto"/>
        <w:left w:val="none" w:sz="0" w:space="0" w:color="auto"/>
        <w:bottom w:val="none" w:sz="0" w:space="0" w:color="auto"/>
        <w:right w:val="none" w:sz="0" w:space="0" w:color="auto"/>
      </w:divBdr>
    </w:div>
    <w:div w:id="1848403290">
      <w:bodyDiv w:val="1"/>
      <w:marLeft w:val="0"/>
      <w:marRight w:val="0"/>
      <w:marTop w:val="0"/>
      <w:marBottom w:val="0"/>
      <w:divBdr>
        <w:top w:val="none" w:sz="0" w:space="0" w:color="auto"/>
        <w:left w:val="none" w:sz="0" w:space="0" w:color="auto"/>
        <w:bottom w:val="none" w:sz="0" w:space="0" w:color="auto"/>
        <w:right w:val="none" w:sz="0" w:space="0" w:color="auto"/>
      </w:divBdr>
    </w:div>
    <w:div w:id="1849755493">
      <w:bodyDiv w:val="1"/>
      <w:marLeft w:val="0"/>
      <w:marRight w:val="0"/>
      <w:marTop w:val="0"/>
      <w:marBottom w:val="0"/>
      <w:divBdr>
        <w:top w:val="none" w:sz="0" w:space="0" w:color="auto"/>
        <w:left w:val="none" w:sz="0" w:space="0" w:color="auto"/>
        <w:bottom w:val="none" w:sz="0" w:space="0" w:color="auto"/>
        <w:right w:val="none" w:sz="0" w:space="0" w:color="auto"/>
      </w:divBdr>
    </w:div>
    <w:div w:id="1873612693">
      <w:bodyDiv w:val="1"/>
      <w:marLeft w:val="0"/>
      <w:marRight w:val="0"/>
      <w:marTop w:val="0"/>
      <w:marBottom w:val="0"/>
      <w:divBdr>
        <w:top w:val="none" w:sz="0" w:space="0" w:color="auto"/>
        <w:left w:val="none" w:sz="0" w:space="0" w:color="auto"/>
        <w:bottom w:val="none" w:sz="0" w:space="0" w:color="auto"/>
        <w:right w:val="none" w:sz="0" w:space="0" w:color="auto"/>
      </w:divBdr>
    </w:div>
    <w:div w:id="1897084572">
      <w:bodyDiv w:val="1"/>
      <w:marLeft w:val="0"/>
      <w:marRight w:val="0"/>
      <w:marTop w:val="0"/>
      <w:marBottom w:val="0"/>
      <w:divBdr>
        <w:top w:val="none" w:sz="0" w:space="0" w:color="auto"/>
        <w:left w:val="none" w:sz="0" w:space="0" w:color="auto"/>
        <w:bottom w:val="none" w:sz="0" w:space="0" w:color="auto"/>
        <w:right w:val="none" w:sz="0" w:space="0" w:color="auto"/>
      </w:divBdr>
    </w:div>
    <w:div w:id="1923637665">
      <w:bodyDiv w:val="1"/>
      <w:marLeft w:val="0"/>
      <w:marRight w:val="0"/>
      <w:marTop w:val="0"/>
      <w:marBottom w:val="0"/>
      <w:divBdr>
        <w:top w:val="none" w:sz="0" w:space="0" w:color="auto"/>
        <w:left w:val="none" w:sz="0" w:space="0" w:color="auto"/>
        <w:bottom w:val="none" w:sz="0" w:space="0" w:color="auto"/>
        <w:right w:val="none" w:sz="0" w:space="0" w:color="auto"/>
      </w:divBdr>
    </w:div>
    <w:div w:id="1942377828">
      <w:bodyDiv w:val="1"/>
      <w:marLeft w:val="0"/>
      <w:marRight w:val="0"/>
      <w:marTop w:val="0"/>
      <w:marBottom w:val="0"/>
      <w:divBdr>
        <w:top w:val="none" w:sz="0" w:space="0" w:color="auto"/>
        <w:left w:val="none" w:sz="0" w:space="0" w:color="auto"/>
        <w:bottom w:val="none" w:sz="0" w:space="0" w:color="auto"/>
        <w:right w:val="none" w:sz="0" w:space="0" w:color="auto"/>
      </w:divBdr>
    </w:div>
    <w:div w:id="1961449543">
      <w:bodyDiv w:val="1"/>
      <w:marLeft w:val="0"/>
      <w:marRight w:val="0"/>
      <w:marTop w:val="0"/>
      <w:marBottom w:val="0"/>
      <w:divBdr>
        <w:top w:val="none" w:sz="0" w:space="0" w:color="auto"/>
        <w:left w:val="none" w:sz="0" w:space="0" w:color="auto"/>
        <w:bottom w:val="none" w:sz="0" w:space="0" w:color="auto"/>
        <w:right w:val="none" w:sz="0" w:space="0" w:color="auto"/>
      </w:divBdr>
    </w:div>
    <w:div w:id="1972981541">
      <w:bodyDiv w:val="1"/>
      <w:marLeft w:val="0"/>
      <w:marRight w:val="0"/>
      <w:marTop w:val="0"/>
      <w:marBottom w:val="0"/>
      <w:divBdr>
        <w:top w:val="none" w:sz="0" w:space="0" w:color="auto"/>
        <w:left w:val="none" w:sz="0" w:space="0" w:color="auto"/>
        <w:bottom w:val="none" w:sz="0" w:space="0" w:color="auto"/>
        <w:right w:val="none" w:sz="0" w:space="0" w:color="auto"/>
      </w:divBdr>
    </w:div>
    <w:div w:id="1977298352">
      <w:bodyDiv w:val="1"/>
      <w:marLeft w:val="0"/>
      <w:marRight w:val="0"/>
      <w:marTop w:val="0"/>
      <w:marBottom w:val="0"/>
      <w:divBdr>
        <w:top w:val="none" w:sz="0" w:space="0" w:color="auto"/>
        <w:left w:val="none" w:sz="0" w:space="0" w:color="auto"/>
        <w:bottom w:val="none" w:sz="0" w:space="0" w:color="auto"/>
        <w:right w:val="none" w:sz="0" w:space="0" w:color="auto"/>
      </w:divBdr>
    </w:div>
    <w:div w:id="1978298225">
      <w:bodyDiv w:val="1"/>
      <w:marLeft w:val="0"/>
      <w:marRight w:val="0"/>
      <w:marTop w:val="0"/>
      <w:marBottom w:val="0"/>
      <w:divBdr>
        <w:top w:val="none" w:sz="0" w:space="0" w:color="auto"/>
        <w:left w:val="none" w:sz="0" w:space="0" w:color="auto"/>
        <w:bottom w:val="none" w:sz="0" w:space="0" w:color="auto"/>
        <w:right w:val="none" w:sz="0" w:space="0" w:color="auto"/>
      </w:divBdr>
    </w:div>
    <w:div w:id="1981686913">
      <w:bodyDiv w:val="1"/>
      <w:marLeft w:val="0"/>
      <w:marRight w:val="0"/>
      <w:marTop w:val="0"/>
      <w:marBottom w:val="0"/>
      <w:divBdr>
        <w:top w:val="none" w:sz="0" w:space="0" w:color="auto"/>
        <w:left w:val="none" w:sz="0" w:space="0" w:color="auto"/>
        <w:bottom w:val="none" w:sz="0" w:space="0" w:color="auto"/>
        <w:right w:val="none" w:sz="0" w:space="0" w:color="auto"/>
      </w:divBdr>
    </w:div>
    <w:div w:id="1981837707">
      <w:bodyDiv w:val="1"/>
      <w:marLeft w:val="0"/>
      <w:marRight w:val="0"/>
      <w:marTop w:val="0"/>
      <w:marBottom w:val="0"/>
      <w:divBdr>
        <w:top w:val="none" w:sz="0" w:space="0" w:color="auto"/>
        <w:left w:val="none" w:sz="0" w:space="0" w:color="auto"/>
        <w:bottom w:val="none" w:sz="0" w:space="0" w:color="auto"/>
        <w:right w:val="none" w:sz="0" w:space="0" w:color="auto"/>
      </w:divBdr>
    </w:div>
    <w:div w:id="1991903758">
      <w:bodyDiv w:val="1"/>
      <w:marLeft w:val="0"/>
      <w:marRight w:val="0"/>
      <w:marTop w:val="0"/>
      <w:marBottom w:val="0"/>
      <w:divBdr>
        <w:top w:val="none" w:sz="0" w:space="0" w:color="auto"/>
        <w:left w:val="none" w:sz="0" w:space="0" w:color="auto"/>
        <w:bottom w:val="none" w:sz="0" w:space="0" w:color="auto"/>
        <w:right w:val="none" w:sz="0" w:space="0" w:color="auto"/>
      </w:divBdr>
    </w:div>
    <w:div w:id="1997492637">
      <w:bodyDiv w:val="1"/>
      <w:marLeft w:val="0"/>
      <w:marRight w:val="0"/>
      <w:marTop w:val="0"/>
      <w:marBottom w:val="0"/>
      <w:divBdr>
        <w:top w:val="none" w:sz="0" w:space="0" w:color="auto"/>
        <w:left w:val="none" w:sz="0" w:space="0" w:color="auto"/>
        <w:bottom w:val="none" w:sz="0" w:space="0" w:color="auto"/>
        <w:right w:val="none" w:sz="0" w:space="0" w:color="auto"/>
      </w:divBdr>
    </w:div>
    <w:div w:id="2000159158">
      <w:bodyDiv w:val="1"/>
      <w:marLeft w:val="0"/>
      <w:marRight w:val="0"/>
      <w:marTop w:val="0"/>
      <w:marBottom w:val="0"/>
      <w:divBdr>
        <w:top w:val="none" w:sz="0" w:space="0" w:color="auto"/>
        <w:left w:val="none" w:sz="0" w:space="0" w:color="auto"/>
        <w:bottom w:val="none" w:sz="0" w:space="0" w:color="auto"/>
        <w:right w:val="none" w:sz="0" w:space="0" w:color="auto"/>
      </w:divBdr>
    </w:div>
    <w:div w:id="2022048808">
      <w:bodyDiv w:val="1"/>
      <w:marLeft w:val="0"/>
      <w:marRight w:val="0"/>
      <w:marTop w:val="0"/>
      <w:marBottom w:val="0"/>
      <w:divBdr>
        <w:top w:val="none" w:sz="0" w:space="0" w:color="auto"/>
        <w:left w:val="none" w:sz="0" w:space="0" w:color="auto"/>
        <w:bottom w:val="none" w:sz="0" w:space="0" w:color="auto"/>
        <w:right w:val="none" w:sz="0" w:space="0" w:color="auto"/>
      </w:divBdr>
    </w:div>
    <w:div w:id="2031832290">
      <w:bodyDiv w:val="1"/>
      <w:marLeft w:val="0"/>
      <w:marRight w:val="0"/>
      <w:marTop w:val="0"/>
      <w:marBottom w:val="0"/>
      <w:divBdr>
        <w:top w:val="none" w:sz="0" w:space="0" w:color="auto"/>
        <w:left w:val="none" w:sz="0" w:space="0" w:color="auto"/>
        <w:bottom w:val="none" w:sz="0" w:space="0" w:color="auto"/>
        <w:right w:val="none" w:sz="0" w:space="0" w:color="auto"/>
      </w:divBdr>
    </w:div>
    <w:div w:id="2049329771">
      <w:bodyDiv w:val="1"/>
      <w:marLeft w:val="0"/>
      <w:marRight w:val="0"/>
      <w:marTop w:val="0"/>
      <w:marBottom w:val="0"/>
      <w:divBdr>
        <w:top w:val="none" w:sz="0" w:space="0" w:color="auto"/>
        <w:left w:val="none" w:sz="0" w:space="0" w:color="auto"/>
        <w:bottom w:val="none" w:sz="0" w:space="0" w:color="auto"/>
        <w:right w:val="none" w:sz="0" w:space="0" w:color="auto"/>
      </w:divBdr>
    </w:div>
    <w:div w:id="2058359187">
      <w:bodyDiv w:val="1"/>
      <w:marLeft w:val="0"/>
      <w:marRight w:val="0"/>
      <w:marTop w:val="0"/>
      <w:marBottom w:val="0"/>
      <w:divBdr>
        <w:top w:val="none" w:sz="0" w:space="0" w:color="auto"/>
        <w:left w:val="none" w:sz="0" w:space="0" w:color="auto"/>
        <w:bottom w:val="none" w:sz="0" w:space="0" w:color="auto"/>
        <w:right w:val="none" w:sz="0" w:space="0" w:color="auto"/>
      </w:divBdr>
    </w:div>
    <w:div w:id="2076196347">
      <w:bodyDiv w:val="1"/>
      <w:marLeft w:val="0"/>
      <w:marRight w:val="0"/>
      <w:marTop w:val="0"/>
      <w:marBottom w:val="0"/>
      <w:divBdr>
        <w:top w:val="none" w:sz="0" w:space="0" w:color="auto"/>
        <w:left w:val="none" w:sz="0" w:space="0" w:color="auto"/>
        <w:bottom w:val="none" w:sz="0" w:space="0" w:color="auto"/>
        <w:right w:val="none" w:sz="0" w:space="0" w:color="auto"/>
      </w:divBdr>
    </w:div>
    <w:div w:id="2090762236">
      <w:bodyDiv w:val="1"/>
      <w:marLeft w:val="0"/>
      <w:marRight w:val="0"/>
      <w:marTop w:val="0"/>
      <w:marBottom w:val="0"/>
      <w:divBdr>
        <w:top w:val="none" w:sz="0" w:space="0" w:color="auto"/>
        <w:left w:val="none" w:sz="0" w:space="0" w:color="auto"/>
        <w:bottom w:val="none" w:sz="0" w:space="0" w:color="auto"/>
        <w:right w:val="none" w:sz="0" w:space="0" w:color="auto"/>
      </w:divBdr>
    </w:div>
    <w:div w:id="2095786129">
      <w:bodyDiv w:val="1"/>
      <w:marLeft w:val="0"/>
      <w:marRight w:val="0"/>
      <w:marTop w:val="0"/>
      <w:marBottom w:val="0"/>
      <w:divBdr>
        <w:top w:val="none" w:sz="0" w:space="0" w:color="auto"/>
        <w:left w:val="none" w:sz="0" w:space="0" w:color="auto"/>
        <w:bottom w:val="none" w:sz="0" w:space="0" w:color="auto"/>
        <w:right w:val="none" w:sz="0" w:space="0" w:color="auto"/>
      </w:divBdr>
    </w:div>
    <w:div w:id="2096856546">
      <w:bodyDiv w:val="1"/>
      <w:marLeft w:val="0"/>
      <w:marRight w:val="0"/>
      <w:marTop w:val="0"/>
      <w:marBottom w:val="0"/>
      <w:divBdr>
        <w:top w:val="none" w:sz="0" w:space="0" w:color="auto"/>
        <w:left w:val="none" w:sz="0" w:space="0" w:color="auto"/>
        <w:bottom w:val="none" w:sz="0" w:space="0" w:color="auto"/>
        <w:right w:val="none" w:sz="0" w:space="0" w:color="auto"/>
      </w:divBdr>
    </w:div>
    <w:div w:id="2100325624">
      <w:bodyDiv w:val="1"/>
      <w:marLeft w:val="0"/>
      <w:marRight w:val="0"/>
      <w:marTop w:val="0"/>
      <w:marBottom w:val="0"/>
      <w:divBdr>
        <w:top w:val="none" w:sz="0" w:space="0" w:color="auto"/>
        <w:left w:val="none" w:sz="0" w:space="0" w:color="auto"/>
        <w:bottom w:val="none" w:sz="0" w:space="0" w:color="auto"/>
        <w:right w:val="none" w:sz="0" w:space="0" w:color="auto"/>
      </w:divBdr>
    </w:div>
    <w:div w:id="2117208286">
      <w:bodyDiv w:val="1"/>
      <w:marLeft w:val="0"/>
      <w:marRight w:val="0"/>
      <w:marTop w:val="0"/>
      <w:marBottom w:val="0"/>
      <w:divBdr>
        <w:top w:val="none" w:sz="0" w:space="0" w:color="auto"/>
        <w:left w:val="none" w:sz="0" w:space="0" w:color="auto"/>
        <w:bottom w:val="none" w:sz="0" w:space="0" w:color="auto"/>
        <w:right w:val="none" w:sz="0" w:space="0" w:color="auto"/>
      </w:divBdr>
    </w:div>
    <w:div w:id="2117477312">
      <w:bodyDiv w:val="1"/>
      <w:marLeft w:val="0"/>
      <w:marRight w:val="0"/>
      <w:marTop w:val="0"/>
      <w:marBottom w:val="0"/>
      <w:divBdr>
        <w:top w:val="none" w:sz="0" w:space="0" w:color="auto"/>
        <w:left w:val="none" w:sz="0" w:space="0" w:color="auto"/>
        <w:bottom w:val="none" w:sz="0" w:space="0" w:color="auto"/>
        <w:right w:val="none" w:sz="0" w:space="0" w:color="auto"/>
      </w:divBdr>
    </w:div>
    <w:div w:id="2146727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eur-lex.europa.eu/budget/www/index-pt.htm" TargetMode="Externa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7.xml"/><Relationship Id="rId33"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6.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oter" Target="footer9.xml"/></Relationships>
</file>

<file path=word/documenttasks/documenttasks1.xml><?xml version="1.0" encoding="utf-8"?>
<t:Tasks xmlns:t="http://schemas.microsoft.com/office/tasks/2019/documenttasks" xmlns:oel="http://schemas.microsoft.com/office/2019/extlst">
  <t:Task id="{C5025165-BF64-47A0-A84D-FEB16D0ED423}">
    <t:Anchor>
      <t:Comment id="753012541"/>
    </t:Anchor>
    <t:History>
      <t:Event id="{F79FE02A-338C-4614-B7D1-9586B262355F}" time="2023-09-11T15:17:40.351Z">
        <t:Attribution userId="S::francesco.bonanomi@ec.europa.eu::a2e356af-e8c1-4d65-96e9-8f24c3c1833e" userProvider="AD" userName="BONANOMI Francesco (BUDG)"/>
        <t:Anchor>
          <t:Comment id="687149150"/>
        </t:Anchor>
        <t:Create/>
      </t:Event>
      <t:Event id="{82338177-A392-4DDD-99F1-E4EFC6D92FBA}" time="2023-09-11T15:17:40.351Z">
        <t:Attribution userId="S::francesco.bonanomi@ec.europa.eu::a2e356af-e8c1-4d65-96e9-8f24c3c1833e" userProvider="AD" userName="BONANOMI Francesco (BUDG)"/>
        <t:Anchor>
          <t:Comment id="687149150"/>
        </t:Anchor>
        <t:Assign userId="S::Jeremie.VIAILLY@ec.europa.eu::26a1d493-d36c-480b-93a3-320a36bd0fee" userProvider="AD" userName="VIAILLY Jeremie (BUDG)"/>
      </t:Event>
      <t:Event id="{E46F3AC7-2AC8-4EC6-8EEB-FB13067884A1}" time="2023-09-11T15:17:40.351Z">
        <t:Attribution userId="S::francesco.bonanomi@ec.europa.eu::a2e356af-e8c1-4d65-96e9-8f24c3c1833e" userProvider="AD" userName="BONANOMI Francesco (BUDG)"/>
        <t:Anchor>
          <t:Comment id="687149150"/>
        </t:Anchor>
        <t:SetTitle title="@VIAILLY Jeremie (BUDG) Jérémie, what do you think? For us (InvestEU etc) it was rather a matter for simplification but maybe for HE is OK like Atanas proposes it."/>
      </t:Event>
      <t:Event id="{E6D336BB-9B61-4E8B-88AE-2C184C88B592}" time="2023-09-13T08:40:49.225Z">
        <t:Attribution userId="S::jeremie.viailly@ec.europa.eu::26a1d493-d36c-480b-93a3-320a36bd0fee" userProvider="AD" userName="VIAILLY Jeremie (BUDG)"/>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ep xmlns="cdf19970-b5ad-4197-8b86-34b0870b43f7">amending_letter_1</Step>
    <DocType xmlns="cdf19970-b5ad-4197-8b86-34b0870b43f7">Report</DocType>
    <FreeText xmlns="cdf19970-b5ad-4197-8b86-34b0870b43f7" xsi:nil="true"/>
    <Author0 xmlns="cdf19970-b5ad-4197-8b86-34b0870b43f7">
      <UserInfo>
        <DisplayName>SAIL Etienne (BUDG)</DisplayName>
        <AccountId>12</AccountId>
        <AccountType/>
      </UserInfo>
    </Author0>
    <Year xmlns="cdf19970-b5ad-4197-8b86-34b0870b43f7">2024</Year>
    <FolderCode xmlns="cdf19970-b5ad-4197-8b86-34b0870b43f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7D9014476DED49B5A9ADBFCD58139D" ma:contentTypeVersion="8" ma:contentTypeDescription="Create a new document." ma:contentTypeScope="" ma:versionID="5c3a585ad91be72390332a1247289d1d">
  <xsd:schema xmlns:xsd="http://www.w3.org/2001/XMLSchema" xmlns:xs="http://www.w3.org/2001/XMLSchema" xmlns:p="http://schemas.microsoft.com/office/2006/metadata/properties" xmlns:ns2="cdf19970-b5ad-4197-8b86-34b0870b43f7" targetNamespace="http://schemas.microsoft.com/office/2006/metadata/properties" ma:root="true" ma:fieldsID="669d2a59ef20f03eaed17bac64da4fd4" ns2:_="">
    <xsd:import namespace="cdf19970-b5ad-4197-8b86-34b0870b43f7"/>
    <xsd:element name="properties">
      <xsd:complexType>
        <xsd:sequence>
          <xsd:element name="documentManagement">
            <xsd:complexType>
              <xsd:all>
                <xsd:element ref="ns2:Author0"/>
                <xsd:element ref="ns2:Year"/>
                <xsd:element ref="ns2:Step"/>
                <xsd:element ref="ns2:DocType"/>
                <xsd:element ref="ns2:FreeText" minOccurs="0"/>
                <xsd:element ref="ns2:FolderCode"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f19970-b5ad-4197-8b86-34b0870b43f7" elementFormDefault="qualified">
    <xsd:import namespace="http://schemas.microsoft.com/office/2006/documentManagement/types"/>
    <xsd:import namespace="http://schemas.microsoft.com/office/infopath/2007/PartnerControls"/>
    <xsd:element name="Author0" ma:index="8" ma:displayName="Author" ma:list="UserInfo" ma:SearchPeopleOnly="false" ma:SharePointGroup="0" ma:internalName="Author0"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Year" ma:index="9" ma:displayName="Year" ma:format="Dropdown" ma:internalName="Year">
      <xsd:simpleType>
        <xsd:restriction base="dms:Choice">
          <xsd:enumeration value="2020"/>
          <xsd:enumeration value="2021"/>
          <xsd:enumeration value="2022"/>
          <xsd:enumeration value="2023"/>
          <xsd:enumeration value="2024"/>
          <xsd:enumeration value="2025"/>
          <xsd:enumeration value="2026"/>
          <xsd:enumeration value="2027"/>
        </xsd:restriction>
      </xsd:simpleType>
    </xsd:element>
    <xsd:element name="Step" ma:index="10" ma:displayName="Step" ma:format="Dropdown" ma:internalName="Step">
      <xsd:simpleType>
        <xsd:restriction base="dms:Choice">
          <xsd:enumeration value="dab_01"/>
          <xsd:enumeration value="dab_02"/>
          <xsd:enumeration value="dab_03"/>
          <xsd:enumeration value="dab_04"/>
          <xsd:enumeration value="dab_05"/>
          <xsd:enumeration value="dab_06"/>
          <xsd:enumeration value="dab_07"/>
          <xsd:enumeration value="dab_08"/>
          <xsd:enumeration value="dab_09"/>
          <xsd:enumeration value="dab_10"/>
          <xsd:enumeration value="hearings"/>
          <xsd:enumeration value="draft_budget_1"/>
          <xsd:enumeration value="parliament_1"/>
          <xsd:enumeration value="council_1"/>
          <xsd:enumeration value="amending_letter_1"/>
          <xsd:enumeration value="amending_letter_2"/>
          <xsd:enumeration value="draft_budget_2"/>
          <xsd:enumeration value="parliament_2"/>
          <xsd:enumeration value="council_2"/>
          <xsd:enumeration value="budget"/>
          <xsd:enumeration value="tufp"/>
          <xsd:enumeration value="other"/>
        </xsd:restriction>
      </xsd:simpleType>
    </xsd:element>
    <xsd:element name="DocType" ma:index="11" ma:displayName="DocType" ma:format="Dropdown" ma:internalName="DocType">
      <xsd:simpleType>
        <xsd:restriction base="dms:Choice">
          <xsd:enumeration value="Report"/>
          <xsd:enumeration value="Presentation"/>
          <xsd:enumeration value="Spreadsheet"/>
          <xsd:enumeration value="Other"/>
        </xsd:restriction>
      </xsd:simpleType>
    </xsd:element>
    <xsd:element name="FreeText" ma:index="12" nillable="true" ma:displayName="FreeText" ma:internalName="FreeText">
      <xsd:simpleType>
        <xsd:restriction base="dms:Text">
          <xsd:maxLength value="255"/>
        </xsd:restriction>
      </xsd:simpleType>
    </xsd:element>
    <xsd:element name="FolderCode" ma:index="13" nillable="true" ma:displayName="FolderCode" ma:internalName="FolderCode">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11443-88C5-4253-9C21-197A7DEA5E1E}">
  <ds:schemaRefs>
    <ds:schemaRef ds:uri="http://schemas.microsoft.com/sharepoint/v3/contenttype/forms"/>
  </ds:schemaRefs>
</ds:datastoreItem>
</file>

<file path=customXml/itemProps2.xml><?xml version="1.0" encoding="utf-8"?>
<ds:datastoreItem xmlns:ds="http://schemas.openxmlformats.org/officeDocument/2006/customXml" ds:itemID="{DF843907-64B4-4AEA-96E0-87CE585B63DE}">
  <ds:schemaRefs>
    <ds:schemaRef ds:uri="http://schemas.microsoft.com/office/2006/metadata/properties"/>
    <ds:schemaRef ds:uri="http://schemas.microsoft.com/office/infopath/2007/PartnerControls"/>
    <ds:schemaRef ds:uri="cdf19970-b5ad-4197-8b86-34b0870b43f7"/>
  </ds:schemaRefs>
</ds:datastoreItem>
</file>

<file path=customXml/itemProps3.xml><?xml version="1.0" encoding="utf-8"?>
<ds:datastoreItem xmlns:ds="http://schemas.openxmlformats.org/officeDocument/2006/customXml" ds:itemID="{F27B3A9A-72D0-4430-A4F6-CAB7F4047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f19970-b5ad-4197-8b86-34b0870b43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C8C9E8-6453-4AD8-A0EB-6DE9D6B31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6070</Words>
  <Characters>29139</Characters>
  <Application>Microsoft Office Word</Application>
  <DocSecurity>0</DocSecurity>
  <Lines>1533</Lines>
  <Paragraphs>838</Paragraphs>
  <ScaleCrop>false</ScaleCrop>
  <HeadingPairs>
    <vt:vector size="2" baseType="variant">
      <vt:variant>
        <vt:lpstr>Title</vt:lpstr>
      </vt:variant>
      <vt:variant>
        <vt:i4>1</vt:i4>
      </vt:variant>
    </vt:vector>
  </HeadingPairs>
  <TitlesOfParts>
    <vt:vector size="1" baseType="lpstr">
      <vt:lpstr>Explanatory Memorandum</vt:lpstr>
    </vt:vector>
  </TitlesOfParts>
  <Manager/>
  <Company/>
  <LinksUpToDate>false</LinksUpToDate>
  <CharactersWithSpaces>34371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subject>Amending Letter 1</dc:subject>
  <dc:creator/>
  <cp:keywords/>
  <dc:description/>
  <cp:lastModifiedBy/>
  <cp:revision>27</cp:revision>
  <cp:lastPrinted>2023-09-20T06:07:00Z</cp:lastPrinted>
  <dcterms:created xsi:type="dcterms:W3CDTF">2023-10-18T17:13:00Z</dcterms:created>
  <dcterms:modified xsi:type="dcterms:W3CDTF">2023-10-20T09:40:00Z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reated using">
    <vt:lpwstr>LW 6.0.1, Build 20180503</vt:lpwstr>
  </property>
  <property fmtid="{D5CDD505-2E9C-101B-9397-08002B2CF9AE}" pid="7" name="CPTemplateID">
    <vt:lpwstr>CP-032</vt:lpwstr>
  </property>
  <property fmtid="{D5CDD505-2E9C-101B-9397-08002B2CF9AE}" pid="8" name="_dlc_DocIdItemGuid">
    <vt:lpwstr>a6fba76c-7919-4b47-9f56-93c39888659a</vt:lpwstr>
  </property>
  <property fmtid="{D5CDD505-2E9C-101B-9397-08002B2CF9AE}" pid="9" name="_LW_INVALIDATED__LW_INVALIDATED__LW_INVALIDATED__LW_INVALIDATED__LW_INVALIDATED__LW_INVALIDATED__LW_INVALIDATED__LW_INVALIDATED__LW_INVALIDATED__LW_INVALIDATED_ContentTypeId">
    <vt:lpwstr>0x010100258AA79CEB83498886A3A08681123250005B26C1F49889DF4FB58022634B30FA7100ED1E91EEBF4B8B45A53D14591E83EDB5</vt:lpwstr>
  </property>
  <property fmtid="{D5CDD505-2E9C-101B-9397-08002B2CF9AE}" pid="10" name="MSIP_Label_6bd9ddd1-4d20-43f6-abfa-fc3c07406f94_Enabled">
    <vt:lpwstr>true</vt:lpwstr>
  </property>
  <property fmtid="{D5CDD505-2E9C-101B-9397-08002B2CF9AE}" pid="11" name="MSIP_Label_6bd9ddd1-4d20-43f6-abfa-fc3c07406f94_SetDate">
    <vt:lpwstr>2022-07-27T13:02:25Z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8026fe53-ad11-4692-804b-f509ddb786aa</vt:lpwstr>
  </property>
  <property fmtid="{D5CDD505-2E9C-101B-9397-08002B2CF9AE}" pid="16" name="MSIP_Label_6bd9ddd1-4d20-43f6-abfa-fc3c07406f94_ContentBits">
    <vt:lpwstr>0</vt:lpwstr>
  </property>
  <property fmtid="{D5CDD505-2E9C-101B-9397-08002B2CF9AE}" pid="17" name="ContentTypeId">
    <vt:lpwstr>0x010100DA7D9014476DED49B5A9ADBFCD58139D</vt:lpwstr>
  </property>
  <property fmtid="{D5CDD505-2E9C-101B-9397-08002B2CF9AE}" pid="18" name="Last edited using">
    <vt:lpwstr>LW 9.0, Build 20230317</vt:lpwstr>
  </property>
  <property name="OP_sanitized" fmtid="{D5CDD505-2E9C-101B-9397-08002B2CF9AE}" pid="19">
    <vt:lpwstr>True</vt:lpwstr>
  </property>
</Properties>
</file>