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E2378" w14:textId="147A001F" w:rsidR="005F4EDC" w:rsidRPr="004D53CF" w:rsidRDefault="00AC0C28" w:rsidP="00AC0C28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27152C1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2" type="#_x0000_t75" alt="F14C8703-288F-41CC-A917-0547EBB26378" style="width:455.25pt;height:296.25pt">
            <v:imagedata r:id="rId8" o:title=""/>
          </v:shape>
        </w:pict>
      </w:r>
    </w:p>
    <w:bookmarkEnd w:id="0"/>
    <w:p w14:paraId="39B73C1F" w14:textId="77777777" w:rsidR="005F4EDC" w:rsidRPr="004D53CF" w:rsidRDefault="005F4EDC" w:rsidP="005F4EDC">
      <w:pPr>
        <w:rPr>
          <w:rFonts w:ascii="Times New Roman" w:hAnsi="Times New Roman" w:cs="Times New Roman"/>
          <w:noProof/>
          <w:sz w:val="24"/>
          <w:szCs w:val="24"/>
        </w:rPr>
        <w:sectPr w:rsidR="005F4EDC" w:rsidRPr="004D53CF" w:rsidSect="00AC0C2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7255ED8A" w14:textId="77777777" w:rsidR="00A70417" w:rsidRPr="004D53CF" w:rsidRDefault="00A70417" w:rsidP="00D61044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noProof/>
          <w:sz w:val="24"/>
          <w:szCs w:val="24"/>
          <w:u w:val="single"/>
        </w:rPr>
      </w:pPr>
      <w:bookmarkStart w:id="1" w:name="_Hlk138074336"/>
      <w:bookmarkStart w:id="2" w:name="_GoBack"/>
      <w:bookmarkEnd w:id="2"/>
      <w:r>
        <w:rPr>
          <w:rFonts w:ascii="Times New Roman" w:hAnsi="Times New Roman"/>
          <w:b/>
          <w:noProof/>
          <w:sz w:val="24"/>
          <w:u w:val="single"/>
        </w:rPr>
        <w:lastRenderedPageBreak/>
        <w:t>Introdução</w:t>
      </w:r>
    </w:p>
    <w:p w14:paraId="24452DFD" w14:textId="341BE5E0" w:rsidR="00E944E2" w:rsidRDefault="00A70417" w:rsidP="003A3563">
      <w:pPr>
        <w:spacing w:after="12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As Regras-Modelo Mundiais contra a Erosão da Base Tributável (regras-modelo GloBE) relativas ao Pilar Dois da declaração de outubro de 2021 do Quadro Inclusivo sobre a erosão da base tributável e a transferência de lucros (Quadro Inclusivo sobre a BEPS)</w:t>
      </w:r>
      <w:r>
        <w:rPr>
          <w:rStyle w:val="FootnoteReference"/>
          <w:rFonts w:ascii="Times New Roman" w:hAnsi="Times New Roman" w:cs="Times New Roman"/>
          <w:noProof/>
          <w:sz w:val="24"/>
          <w:szCs w:val="24"/>
          <w:lang w:val="en-IE"/>
        </w:rPr>
        <w:footnoteReference w:id="1"/>
      </w:r>
      <w:r>
        <w:rPr>
          <w:rFonts w:ascii="Times New Roman" w:hAnsi="Times New Roman"/>
          <w:noProof/>
          <w:sz w:val="24"/>
        </w:rPr>
        <w:t xml:space="preserve"> foram aprovadas em 14 de dezembro de 2021 e publicadas pela Organização de Cooperação e de Desenvolvimento Económicos (OCDE) em 20 de dezembro de 2021</w:t>
      </w:r>
      <w:r>
        <w:rPr>
          <w:rStyle w:val="FootnoteReference"/>
          <w:rFonts w:ascii="Times New Roman" w:hAnsi="Times New Roman" w:cs="Times New Roman"/>
          <w:noProof/>
          <w:sz w:val="24"/>
          <w:szCs w:val="24"/>
          <w:lang w:val="en-IE"/>
        </w:rPr>
        <w:footnoteReference w:id="2"/>
      </w:r>
      <w:r>
        <w:rPr>
          <w:rFonts w:ascii="Times New Roman" w:hAnsi="Times New Roman"/>
          <w:noProof/>
          <w:sz w:val="24"/>
        </w:rPr>
        <w:t xml:space="preserve">. A OCDE encontra-se atualmente a finalizar os trabalhos técnicos sobre determinados aspetos das orientações administrativas (incluindo a salvaguarda aplicável ao imposto complementar nacional qualificado mínimo, a salvaguarda transitória aplicável à regra dos lucros subtributados e a declaração de informação GloBE) e tenciona concluí-los até julho de 2023. </w:t>
      </w:r>
    </w:p>
    <w:p w14:paraId="5A1E6612" w14:textId="0B0667AB" w:rsidR="00F173FE" w:rsidRDefault="00A70417" w:rsidP="00D61044">
      <w:pPr>
        <w:spacing w:after="12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As regras-modelo GloBE relativas ao Pilar Dois foram transpostas para o direito da UE através da Diretiva relativa à garantia de um nível mínimo mundial de tributação para os grupos de empresas multinacionais e grandes grupos nacionais na União, de 15 de dezembro de 2022 (Diretiva Pilar Dois)</w:t>
      </w:r>
      <w:r>
        <w:rPr>
          <w:rStyle w:val="FootnoteReference"/>
          <w:rFonts w:ascii="Times New Roman" w:hAnsi="Times New Roman" w:cs="Times New Roman"/>
          <w:noProof/>
          <w:sz w:val="24"/>
          <w:szCs w:val="24"/>
          <w:lang w:val="en-IE"/>
        </w:rPr>
        <w:footnoteReference w:id="3"/>
      </w:r>
      <w:r>
        <w:rPr>
          <w:noProof/>
        </w:rPr>
        <w:t>.</w:t>
      </w:r>
      <w:r>
        <w:rPr>
          <w:rFonts w:ascii="Times New Roman" w:hAnsi="Times New Roman"/>
          <w:noProof/>
          <w:sz w:val="24"/>
        </w:rPr>
        <w:t xml:space="preserve"> O artigo 57.º da Diretiva Pilar Dois exige que a Comissão apresente ao Conselho, até 30 de junho de 2023, um relatório sobre a aplicação do Pilar Um da declaração de outubro de 2021. Este relatório apresenta uma breve avaliação do ponto da situação das negociações sobre o Pilar Um que decorrem na OCDE. Uma vez que os trabalhos relativos ao Pilar Um ainda estão em curso ao nível da OCDE, o relatório apresenta uma avaliação da aplicação do Pilar Um à data da sua redação.</w:t>
      </w:r>
    </w:p>
    <w:p w14:paraId="3926B519" w14:textId="77777777" w:rsidR="00882246" w:rsidRPr="009132D3" w:rsidRDefault="00882246" w:rsidP="00D61044">
      <w:pPr>
        <w:spacing w:after="120"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</w:p>
    <w:bookmarkEnd w:id="1"/>
    <w:p w14:paraId="30EF2438" w14:textId="77777777" w:rsidR="004D53CF" w:rsidRPr="004D53CF" w:rsidRDefault="004D53CF" w:rsidP="00D61044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</w:pPr>
      <w:r>
        <w:rPr>
          <w:rFonts w:ascii="Times New Roman" w:hAnsi="Times New Roman"/>
          <w:b/>
          <w:noProof/>
          <w:sz w:val="24"/>
          <w:u w:val="single"/>
        </w:rPr>
        <w:t>Avaliação da aplicação do Pilar Um</w:t>
      </w:r>
    </w:p>
    <w:p w14:paraId="28F5C999" w14:textId="214C5B4D" w:rsidR="00EE7E30" w:rsidRDefault="00882246" w:rsidP="00D61044">
      <w:pPr>
        <w:spacing w:after="12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O Pilar Um é constituído por duas componentes principais</w:t>
      </w:r>
      <w:r>
        <w:rPr>
          <w:rFonts w:ascii="Times New Roman" w:hAnsi="Times New Roman" w:cs="Times New Roman"/>
          <w:noProof/>
          <w:sz w:val="24"/>
          <w:szCs w:val="24"/>
          <w:vertAlign w:val="superscript"/>
          <w:lang w:val="en-IE"/>
        </w:rPr>
        <w:footnoteReference w:id="4"/>
      </w:r>
      <w:r>
        <w:rPr>
          <w:rFonts w:ascii="Times New Roman" w:hAnsi="Times New Roman"/>
          <w:noProof/>
          <w:sz w:val="24"/>
        </w:rPr>
        <w:t>. O montante A</w:t>
      </w:r>
      <w:r w:rsidR="00D62815">
        <w:rPr>
          <w:rFonts w:ascii="Times New Roman" w:hAnsi="Times New Roman"/>
          <w:noProof/>
          <w:sz w:val="24"/>
        </w:rPr>
        <w:t xml:space="preserve"> (</w:t>
      </w:r>
      <w:r w:rsidR="00D62815" w:rsidRPr="00D62815">
        <w:rPr>
          <w:rFonts w:ascii="Times New Roman" w:hAnsi="Times New Roman"/>
          <w:i/>
          <w:iCs/>
          <w:noProof/>
          <w:sz w:val="24"/>
        </w:rPr>
        <w:t>Amount A</w:t>
      </w:r>
      <w:r w:rsidR="00D62815">
        <w:rPr>
          <w:rFonts w:ascii="Times New Roman" w:hAnsi="Times New Roman"/>
          <w:noProof/>
          <w:sz w:val="24"/>
        </w:rPr>
        <w:t>)</w:t>
      </w:r>
      <w:r>
        <w:rPr>
          <w:rFonts w:ascii="Times New Roman" w:hAnsi="Times New Roman"/>
          <w:noProof/>
          <w:sz w:val="24"/>
        </w:rPr>
        <w:t xml:space="preserve"> proporciona às jurisdições de mercado um novo direito de tributação sobre uma parte dos lucros residuais</w:t>
      </w:r>
      <w:r>
        <w:rPr>
          <w:rStyle w:val="FootnoteReference"/>
          <w:rFonts w:ascii="Times New Roman" w:hAnsi="Times New Roman" w:cs="Times New Roman"/>
          <w:noProof/>
          <w:sz w:val="24"/>
          <w:szCs w:val="24"/>
          <w:lang w:val="en-IE"/>
        </w:rPr>
        <w:footnoteReference w:id="5"/>
      </w:r>
      <w:r>
        <w:rPr>
          <w:rFonts w:ascii="Times New Roman" w:hAnsi="Times New Roman"/>
          <w:noProof/>
          <w:sz w:val="24"/>
        </w:rPr>
        <w:t xml:space="preserve"> das maiores e mais rentáveis empresas multinacionais do mundo. O montante B</w:t>
      </w:r>
      <w:r w:rsidR="00D62815">
        <w:rPr>
          <w:rFonts w:ascii="Times New Roman" w:hAnsi="Times New Roman"/>
          <w:noProof/>
          <w:sz w:val="24"/>
        </w:rPr>
        <w:t xml:space="preserve"> (</w:t>
      </w:r>
      <w:r w:rsidR="00D62815" w:rsidRPr="00D62815">
        <w:rPr>
          <w:rFonts w:ascii="Times New Roman" w:hAnsi="Times New Roman"/>
          <w:i/>
          <w:iCs/>
          <w:noProof/>
          <w:sz w:val="24"/>
        </w:rPr>
        <w:t>Amount B</w:t>
      </w:r>
      <w:r w:rsidR="00D62815">
        <w:rPr>
          <w:rFonts w:ascii="Times New Roman" w:hAnsi="Times New Roman"/>
          <w:noProof/>
          <w:sz w:val="24"/>
        </w:rPr>
        <w:t>)</w:t>
      </w:r>
      <w:r>
        <w:rPr>
          <w:rFonts w:ascii="Times New Roman" w:hAnsi="Times New Roman"/>
          <w:noProof/>
          <w:sz w:val="24"/>
        </w:rPr>
        <w:t xml:space="preserve"> visa simplificar e racionalizar a aplicação do princípio de plena concorrência às atividades de comercialização e de distribuição de referência a nível nacional</w:t>
      </w:r>
      <w:r>
        <w:rPr>
          <w:rStyle w:val="FootnoteReference"/>
          <w:rFonts w:ascii="Times New Roman" w:hAnsi="Times New Roman" w:cs="Times New Roman"/>
          <w:noProof/>
          <w:sz w:val="24"/>
          <w:szCs w:val="24"/>
          <w:lang w:val="en-IE"/>
        </w:rPr>
        <w:footnoteReference w:id="6"/>
      </w:r>
      <w:r>
        <w:rPr>
          <w:rFonts w:ascii="Times New Roman" w:hAnsi="Times New Roman"/>
          <w:noProof/>
          <w:sz w:val="24"/>
        </w:rPr>
        <w:t xml:space="preserve">. </w:t>
      </w:r>
    </w:p>
    <w:p w14:paraId="38B3DA92" w14:textId="29A9E4EF" w:rsidR="004D53CF" w:rsidRPr="004D53CF" w:rsidRDefault="00A70417" w:rsidP="00882246">
      <w:pPr>
        <w:spacing w:after="12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O Quadro Inclusivo sobre a BEPS delineou o acordo sobre os elementos fundamentais do montante A, tal como refletido na declaração de outubro de 2021. O referido quadro mandatou o Grupo de Missão para a Economia Digital para avançar com os trabalhos técnicos. O relatório intercalar de julho de 2022 sobre o montante A do Pilar Um</w:t>
      </w:r>
      <w:r>
        <w:rPr>
          <w:rStyle w:val="FootnoteReference"/>
          <w:rFonts w:ascii="Times New Roman" w:hAnsi="Times New Roman" w:cs="Times New Roman"/>
          <w:noProof/>
          <w:sz w:val="24"/>
          <w:szCs w:val="24"/>
          <w:lang w:val="en-IE"/>
        </w:rPr>
        <w:footnoteReference w:id="7"/>
      </w:r>
      <w:r>
        <w:rPr>
          <w:rFonts w:ascii="Times New Roman" w:hAnsi="Times New Roman"/>
          <w:noProof/>
          <w:sz w:val="24"/>
        </w:rPr>
        <w:t xml:space="preserve"> identificou os seguintes elementos fundamentais do Montante A: </w:t>
      </w:r>
    </w:p>
    <w:p w14:paraId="66D4F3C5" w14:textId="32F82275" w:rsidR="004D53CF" w:rsidRPr="004D53CF" w:rsidRDefault="00465B50" w:rsidP="00D61044">
      <w:pPr>
        <w:pStyle w:val="ListParagraph"/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as regras de âmbito de aplicação, que contêm limiares destinados a garantir que o </w:t>
      </w:r>
      <w:r w:rsidR="00217168">
        <w:rPr>
          <w:rFonts w:ascii="Times New Roman" w:hAnsi="Times New Roman"/>
          <w:noProof/>
          <w:sz w:val="24"/>
        </w:rPr>
        <w:t>m</w:t>
      </w:r>
      <w:r>
        <w:rPr>
          <w:rFonts w:ascii="Times New Roman" w:hAnsi="Times New Roman"/>
          <w:noProof/>
          <w:sz w:val="24"/>
        </w:rPr>
        <w:t>ontante A apenas se aplica a grupos grandes e altamente rentáveis. Estas regras excluem do âmbito de aplicação do montante A as receitas e os lucros das atividades extrativas e dos serviços financeiros regulamentados;</w:t>
      </w:r>
    </w:p>
    <w:p w14:paraId="1298B984" w14:textId="730F53C8" w:rsidR="004D53CF" w:rsidRPr="004D53CF" w:rsidRDefault="00465B50" w:rsidP="00D61044">
      <w:pPr>
        <w:pStyle w:val="ListParagraph"/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uma relação de finalidade específica que identifica as jurisdições elegíveis para o montante A, bem como regras pormenorizadas em matéria de identificação das fontes de receitas que prevejam uma metodologia para determinar o local em que são geradas as receitas de um grupo;</w:t>
      </w:r>
    </w:p>
    <w:p w14:paraId="0811B47B" w14:textId="0D248406" w:rsidR="004D53CF" w:rsidRPr="004D53CF" w:rsidRDefault="00465B50" w:rsidP="00D61044">
      <w:pPr>
        <w:pStyle w:val="ListParagraph"/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as regras relativas à matéria coletável, que preveem as etapas para calcular os lucros (ou</w:t>
      </w:r>
      <w:r w:rsidR="00217168">
        <w:rPr>
          <w:rFonts w:ascii="Times New Roman" w:hAnsi="Times New Roman"/>
          <w:noProof/>
          <w:sz w:val="24"/>
        </w:rPr>
        <w:t> </w:t>
      </w:r>
      <w:r>
        <w:rPr>
          <w:rFonts w:ascii="Times New Roman" w:hAnsi="Times New Roman"/>
          <w:noProof/>
          <w:sz w:val="24"/>
        </w:rPr>
        <w:t>prejuízos) de um grupo que serão utilizadas para efeitos de cálculo do montante A;</w:t>
      </w:r>
    </w:p>
    <w:p w14:paraId="2A4576A7" w14:textId="411F6EB2" w:rsidR="004D53CF" w:rsidRPr="004D53CF" w:rsidRDefault="00465B50" w:rsidP="00D61044">
      <w:pPr>
        <w:pStyle w:val="ListParagraph"/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as regras de distribuição dos lucros baseadas numa fórmula que afeta 25 % dos lucros de um grupo que excedam os 10 % de rentabilidade das receitas do grupo às jurisdições de mercado elegíveis, e que tem em conta a salvaguarda aplicável à comercialização e à distribuição para as jurisdições de mercado que dispõem de direitos de tributação existentes sobre os lucros residuais do grupo;</w:t>
      </w:r>
    </w:p>
    <w:p w14:paraId="45E59F56" w14:textId="042981CE" w:rsidR="004D53CF" w:rsidRPr="004D53CF" w:rsidRDefault="00465B50" w:rsidP="00D61044">
      <w:pPr>
        <w:pStyle w:val="ListParagraph"/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as regras destinadas a eliminar qualquer dupla tributação decorrente da sobreposição do montante A ao atual sistema de distribuição dos lucros; </w:t>
      </w:r>
    </w:p>
    <w:p w14:paraId="151E88B3" w14:textId="4765741B" w:rsidR="004D53CF" w:rsidRPr="004D53CF" w:rsidRDefault="00465B50" w:rsidP="00D61044">
      <w:pPr>
        <w:pStyle w:val="ListParagraph"/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e um processo de segurança fiscal para as novas regras relativas ao montante A e quaisquer questões conexas. </w:t>
      </w:r>
    </w:p>
    <w:p w14:paraId="4F6F086D" w14:textId="0679F818" w:rsidR="004D53CF" w:rsidRPr="004D53CF" w:rsidRDefault="004D53CF" w:rsidP="00882246">
      <w:pPr>
        <w:spacing w:after="12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O Secretariado da OCDE está a transpor para disposições a incluir numa Convenção Multilateral (CML) e numa exposição de motivos as regras relativas ao montante A já consideradas aceitáveis pelos membros do Grupo de Missão para a Economia Digital. A CML estabelecerá as obrigações jurídicas das partes no sentido de aplicarem o montante A de forma coordenada e coerente. A exposição de motivos incluirá observações às regras da CML e interpretações destas. </w:t>
      </w:r>
    </w:p>
    <w:p w14:paraId="71A32FC9" w14:textId="52474A0C" w:rsidR="004D53CF" w:rsidRPr="004D53CF" w:rsidRDefault="004D53CF" w:rsidP="00882246">
      <w:pPr>
        <w:spacing w:after="12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Os trabalhos técnicos do Grupo de Missão para a Economia Digital ainda não est</w:t>
      </w:r>
      <w:r w:rsidR="00217168">
        <w:rPr>
          <w:rFonts w:ascii="Times New Roman" w:hAnsi="Times New Roman"/>
          <w:noProof/>
          <w:sz w:val="24"/>
        </w:rPr>
        <w:t>ão</w:t>
      </w:r>
      <w:r>
        <w:rPr>
          <w:rFonts w:ascii="Times New Roman" w:hAnsi="Times New Roman"/>
          <w:noProof/>
          <w:sz w:val="24"/>
        </w:rPr>
        <w:t xml:space="preserve"> concluído</w:t>
      </w:r>
      <w:r w:rsidR="00217168">
        <w:rPr>
          <w:rFonts w:ascii="Times New Roman" w:hAnsi="Times New Roman"/>
          <w:noProof/>
          <w:sz w:val="24"/>
        </w:rPr>
        <w:t>s</w:t>
      </w:r>
      <w:r>
        <w:rPr>
          <w:rFonts w:ascii="Times New Roman" w:hAnsi="Times New Roman"/>
          <w:noProof/>
          <w:sz w:val="24"/>
        </w:rPr>
        <w:t xml:space="preserve">. Foram programadas várias reuniões nas próximas semanas. Os elementos da CML ainda em discussão incluem: a eliminação da dupla tributação, a </w:t>
      </w:r>
      <w:r w:rsidR="00217168" w:rsidRPr="00217168">
        <w:rPr>
          <w:rFonts w:ascii="Times New Roman" w:hAnsi="Times New Roman"/>
          <w:noProof/>
          <w:sz w:val="24"/>
        </w:rPr>
        <w:t>salvaguarda aplicável à</w:t>
      </w:r>
      <w:r>
        <w:rPr>
          <w:rFonts w:ascii="Times New Roman" w:hAnsi="Times New Roman"/>
          <w:noProof/>
          <w:sz w:val="24"/>
        </w:rPr>
        <w:t xml:space="preserve"> comercialização e à distribuição e o tratamento das retenções na fonte, o congelamento e o desmantelamento dos impostos sobre os serviços digitais e outras medidas unilaterais semelhantes pertinentes, a aplicação de uma isenção autónoma para as empresas nacionais e a exclusão relativa às receitas estáveis, bem como a condição de entrada em vigor. </w:t>
      </w:r>
    </w:p>
    <w:p w14:paraId="1CDB37E6" w14:textId="4A26CF7D" w:rsidR="006B121A" w:rsidRDefault="004D53CF" w:rsidP="00882246">
      <w:pPr>
        <w:spacing w:after="12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O Secretariado da OCDE pretende concluir os trabalhos técnicos até 10-12 de julho de 2023 e apresentar o pacote composto pela CML e pela exposição de motivos. Tendo em conta que as jurisdições necessitam de mais tempo, por razões de ordem interna, antes de assinarem a CML, prevê-se que a cerimónia de assinatura da CML tenha lugar no final de 2023. </w:t>
      </w:r>
    </w:p>
    <w:p w14:paraId="2C7F2BF6" w14:textId="6562D55C" w:rsidR="00AC45C7" w:rsidRDefault="0099225C" w:rsidP="000863FE">
      <w:pPr>
        <w:pStyle w:val="ListParagraph"/>
        <w:spacing w:after="60" w:line="240" w:lineRule="auto"/>
        <w:ind w:left="0"/>
        <w:contextualSpacing w:val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O Secretariado da OCDE prevê igualmente que se chegue a acordo preliminar, em julho, sobre os principais elementos do montante B sujeitos a uma fase de validação a realizar até ao final de 2023. Em especial, a OCDE pretende chegar a acordo sobre os seguintes elementos do montante B:</w:t>
      </w:r>
    </w:p>
    <w:p w14:paraId="25C63970" w14:textId="5AE8EE77" w:rsidR="00AC45C7" w:rsidRPr="00AC45C7" w:rsidRDefault="007B5DBD" w:rsidP="00D61044">
      <w:pPr>
        <w:pStyle w:val="ListParagraph"/>
        <w:numPr>
          <w:ilvl w:val="0"/>
          <w:numId w:val="3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o âmbito de aplicação, com trabalhos adicionais a realizar até ao final do ano a fim de melhor definir a lista de atividades excluídas e a adequação da metodologia de fixação de preços para os bens digitais;</w:t>
      </w:r>
    </w:p>
    <w:p w14:paraId="40963296" w14:textId="35112F8F" w:rsidR="00AC45C7" w:rsidRPr="00AC45C7" w:rsidRDefault="00465B50" w:rsidP="00D61044">
      <w:pPr>
        <w:pStyle w:val="ListParagraph"/>
        <w:numPr>
          <w:ilvl w:val="0"/>
          <w:numId w:val="3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a abertura de uma fase de validação do quadro de fixação de preços que decorrerá até ao final do ano e que implicará o lançamento de uma nova consulta pública;</w:t>
      </w:r>
    </w:p>
    <w:p w14:paraId="5D1F8779" w14:textId="6F5A631A" w:rsidR="00AC45C7" w:rsidRPr="00AC45C7" w:rsidRDefault="0076465D" w:rsidP="00D61044">
      <w:pPr>
        <w:pStyle w:val="ListParagraph"/>
        <w:numPr>
          <w:ilvl w:val="0"/>
          <w:numId w:val="3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um quadro de aplicação que reconheça a inclusão do montante B nas Orientações da OCDE em matéria de preços de transferência em janeiro de 2024 e o reexame do montante B após três anos de aplicação.</w:t>
      </w:r>
    </w:p>
    <w:p w14:paraId="0F9099FE" w14:textId="77777777" w:rsidR="00882246" w:rsidRPr="009132D3" w:rsidRDefault="00882246" w:rsidP="00D61044">
      <w:pPr>
        <w:spacing w:after="12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39E0E28F" w14:textId="77777777" w:rsidR="004D53CF" w:rsidRPr="004D53CF" w:rsidRDefault="004D53CF" w:rsidP="00D61044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</w:pPr>
      <w:r>
        <w:rPr>
          <w:rFonts w:ascii="Times New Roman" w:hAnsi="Times New Roman"/>
          <w:b/>
          <w:noProof/>
          <w:sz w:val="24"/>
          <w:u w:val="single"/>
        </w:rPr>
        <w:t xml:space="preserve">Conclusão </w:t>
      </w:r>
    </w:p>
    <w:p w14:paraId="053884A1" w14:textId="23E6F698" w:rsidR="004D53CF" w:rsidRPr="004D53CF" w:rsidRDefault="004D53CF" w:rsidP="00D61044">
      <w:pPr>
        <w:spacing w:after="120"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A Comissão congratula-se com os grandes esforços e os progressos realizados até à data e insta todos os participantes a envidarem um esforço final para chegar a acordo sobre a CML com vista à aplicação do Pilar Um. A Comissão apoia firmemente a intenção do Secretariado da OCDE de finalizar a CML e a exposição de motivos e apresentar o pacote em julho de 2023, a fim de garantir que a CML possa ser assinada o mais rapidamente possível. A CML proporciona uma janela de oportunidade para que se chegue a um acordo histórico no domínio da fiscalidade internacional e para que se concluam os trabalhos relativos à solução de dois pilares constante da declaração de outubro de 2021. A Comissão fará tudo o que estiver ao seu alcance para assegurar uma aplicação atempada e coerente do Pilar Um a nível da UE.</w:t>
      </w:r>
    </w:p>
    <w:sectPr w:rsidR="004D53CF" w:rsidRPr="004D53CF" w:rsidSect="005F4ED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26FEEB" w14:textId="77777777" w:rsidR="000B2AD8" w:rsidRDefault="000B2AD8" w:rsidP="005F4EDC">
      <w:pPr>
        <w:spacing w:after="0" w:line="240" w:lineRule="auto"/>
      </w:pPr>
      <w:r>
        <w:separator/>
      </w:r>
    </w:p>
  </w:endnote>
  <w:endnote w:type="continuationSeparator" w:id="0">
    <w:p w14:paraId="2251F10A" w14:textId="77777777" w:rsidR="000B2AD8" w:rsidRDefault="000B2AD8" w:rsidP="005F4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02E64" w14:textId="49A91A87" w:rsidR="009132D3" w:rsidRPr="00AC0C28" w:rsidRDefault="009132D3" w:rsidP="00AC0C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8ED196" w14:textId="12E4BA68" w:rsidR="009132D3" w:rsidRPr="00AC0C28" w:rsidRDefault="00AC0C28" w:rsidP="00AC0C28">
    <w:pPr>
      <w:pStyle w:val="FooterCoverPage"/>
      <w:rPr>
        <w:rFonts w:ascii="Arial" w:hAnsi="Arial" w:cs="Arial"/>
        <w:b/>
        <w:sz w:val="48"/>
      </w:rPr>
    </w:pPr>
    <w:r w:rsidRPr="00AC0C28">
      <w:rPr>
        <w:rFonts w:ascii="Arial" w:hAnsi="Arial" w:cs="Arial"/>
        <w:b/>
        <w:sz w:val="48"/>
      </w:rPr>
      <w:t>PT</w:t>
    </w:r>
    <w:r w:rsidRPr="00AC0C28">
      <w:rPr>
        <w:rFonts w:ascii="Arial" w:hAnsi="Arial" w:cs="Arial"/>
        <w:b/>
        <w:sz w:val="48"/>
      </w:rPr>
      <w:tab/>
    </w:r>
    <w:r w:rsidRPr="00AC0C28">
      <w:rPr>
        <w:rFonts w:ascii="Arial" w:hAnsi="Arial" w:cs="Arial"/>
        <w:b/>
        <w:sz w:val="48"/>
      </w:rPr>
      <w:tab/>
    </w:r>
    <w:r w:rsidRPr="00AC0C28">
      <w:tab/>
    </w:r>
    <w:r w:rsidRPr="00AC0C28">
      <w:rPr>
        <w:rFonts w:ascii="Arial" w:hAnsi="Arial" w:cs="Arial"/>
        <w:b/>
        <w:sz w:val="48"/>
      </w:rPr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01E3E3" w14:textId="77777777" w:rsidR="00AC0C28" w:rsidRPr="00AC0C28" w:rsidRDefault="00AC0C28" w:rsidP="00AC0C28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8510B0" w14:textId="77777777" w:rsidR="005F4EDC" w:rsidRDefault="005F4EDC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82434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8FE55B" w14:textId="46D765D4" w:rsidR="008D716F" w:rsidRDefault="008D716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0C28">
          <w:rPr>
            <w:noProof/>
          </w:rPr>
          <w:t>1</w:t>
        </w:r>
        <w:r>
          <w:fldChar w:fldCharType="end"/>
        </w:r>
      </w:p>
    </w:sdtContent>
  </w:sdt>
  <w:p w14:paraId="35FBBFAC" w14:textId="77777777" w:rsidR="005F4EDC" w:rsidRDefault="005F4EDC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A08F8" w14:textId="77777777" w:rsidR="005F4EDC" w:rsidRDefault="005F4E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EBE7B0" w14:textId="77777777" w:rsidR="000B2AD8" w:rsidRDefault="000B2AD8" w:rsidP="005F4EDC">
      <w:pPr>
        <w:spacing w:after="0" w:line="240" w:lineRule="auto"/>
      </w:pPr>
      <w:r>
        <w:separator/>
      </w:r>
    </w:p>
  </w:footnote>
  <w:footnote w:type="continuationSeparator" w:id="0">
    <w:p w14:paraId="2FF17FFC" w14:textId="77777777" w:rsidR="000B2AD8" w:rsidRDefault="000B2AD8" w:rsidP="005F4EDC">
      <w:pPr>
        <w:spacing w:after="0" w:line="240" w:lineRule="auto"/>
      </w:pPr>
      <w:r>
        <w:continuationSeparator/>
      </w:r>
    </w:p>
  </w:footnote>
  <w:footnote w:id="1">
    <w:p w14:paraId="2A9FA5FC" w14:textId="08D07D9F" w:rsidR="003A3563" w:rsidRPr="00D45AF0" w:rsidRDefault="003A356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/>
        </w:rPr>
        <w:t>https://www.oecd.org/tax/beps/statement-on-a-two-pillar-solution-to-address-the-tax-challenges-arising-from-the-digitalisation-of-the-economy-october-2021.htm</w:t>
      </w:r>
    </w:p>
  </w:footnote>
  <w:footnote w:id="2">
    <w:p w14:paraId="08832328" w14:textId="77777777" w:rsidR="00A70417" w:rsidRPr="00D45AF0" w:rsidRDefault="00A70417" w:rsidP="00A70417">
      <w:pPr>
        <w:pStyle w:val="FootnoteText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 w:cs="Times New Roman"/>
        </w:rPr>
        <w:footnoteRef/>
      </w:r>
      <w:r>
        <w:rPr>
          <w:rFonts w:ascii="Times New Roman" w:hAnsi="Times New Roman"/>
        </w:rPr>
        <w:t xml:space="preserve"> https://www.oecd-ilibrary.org/docserver/782bac33-en.pdf?expires=1686754557&amp;id=id&amp;accname=oid031827&amp;checksum=CA2158A15A6D3578CA5F47F381F39C5D</w:t>
      </w:r>
    </w:p>
  </w:footnote>
  <w:footnote w:id="3">
    <w:p w14:paraId="29E8779F" w14:textId="1F33C1B3" w:rsidR="00A70417" w:rsidRPr="00EE7E30" w:rsidRDefault="00A70417" w:rsidP="00EE7E30">
      <w:pPr>
        <w:pStyle w:val="FootnoteText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 w:cs="Times New Roman"/>
        </w:rPr>
        <w:footnoteRef/>
      </w:r>
      <w:r>
        <w:rPr>
          <w:rFonts w:ascii="Times New Roman" w:hAnsi="Times New Roman"/>
        </w:rPr>
        <w:t xml:space="preserve"> Diretiva (UE) 2022/2523 do Conselho, de 15 de dezembro de 2022, relativa à garantia de um nível mínimo mundial de tributação para os grupos de empresas multinacionais e grandes grupos nacionais na União (JO L 328 de 22.12.2022, p. 1).</w:t>
      </w:r>
    </w:p>
  </w:footnote>
  <w:footnote w:id="4">
    <w:p w14:paraId="7843B26B" w14:textId="5ED30354" w:rsidR="00EE7E30" w:rsidRPr="00EE7E30" w:rsidRDefault="00EE7E30" w:rsidP="00EE7E30">
      <w:pPr>
        <w:pStyle w:val="FootnoteText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 w:cs="Times New Roman"/>
        </w:rPr>
        <w:footnoteRef/>
      </w:r>
      <w:r>
        <w:rPr>
          <w:rFonts w:ascii="Times New Roman" w:hAnsi="Times New Roman"/>
        </w:rPr>
        <w:t xml:space="preserve"> Para mais informações, consultar o plano relativo ao Pilar Um: https://www.oecd-ilibrary.org/docserver/beba0634-en.pdf?expires=1686754864&amp;id=id&amp;accname=oid031827&amp;checksum=514DF17DC29D8C2C6CFFDE643BFC3A6D</w:t>
      </w:r>
    </w:p>
  </w:footnote>
  <w:footnote w:id="5">
    <w:p w14:paraId="5820A9C8" w14:textId="2A3649DC" w:rsidR="00EE7E30" w:rsidRPr="00D61044" w:rsidRDefault="00EE7E30" w:rsidP="00D61044">
      <w:pPr>
        <w:pStyle w:val="FootnoteText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 w:cs="Times New Roman"/>
        </w:rPr>
        <w:footnoteRef/>
      </w:r>
      <w:r>
        <w:rPr>
          <w:rFonts w:ascii="Times New Roman" w:hAnsi="Times New Roman"/>
        </w:rPr>
        <w:t xml:space="preserve"> Para efeitos do montante A, o lucro residual do grupo é definido como o lucro que excede o limiar de rentabilidade de 10 % da rendibilidade líquida das vendas do grupo.</w:t>
      </w:r>
    </w:p>
  </w:footnote>
  <w:footnote w:id="6">
    <w:p w14:paraId="781E41AF" w14:textId="7FBC55A2" w:rsidR="00EE7E30" w:rsidRDefault="00EE7E30" w:rsidP="00D61044">
      <w:pPr>
        <w:pStyle w:val="FootnoteText"/>
        <w:jc w:val="both"/>
      </w:pPr>
      <w:r>
        <w:rPr>
          <w:rStyle w:val="FootnoteReference"/>
          <w:rFonts w:ascii="Times New Roman" w:hAnsi="Times New Roman" w:cs="Times New Roman"/>
        </w:rPr>
        <w:footnoteRef/>
      </w:r>
      <w:r>
        <w:rPr>
          <w:rFonts w:ascii="Times New Roman" w:hAnsi="Times New Roman"/>
        </w:rPr>
        <w:t xml:space="preserve"> O princípio de plena concorrência é a norma internacional acordada pelos países membros da OCDE para determinar os preços de transferência para efeitos fiscais.</w:t>
      </w:r>
    </w:p>
  </w:footnote>
  <w:footnote w:id="7">
    <w:p w14:paraId="59508F25" w14:textId="77777777" w:rsidR="004D53CF" w:rsidRPr="004D53CF" w:rsidRDefault="004D53CF" w:rsidP="004D53CF">
      <w:pPr>
        <w:pStyle w:val="FootnoteText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 w:cs="Times New Roman"/>
        </w:rPr>
        <w:footnoteRef/>
      </w:r>
      <w:r>
        <w:rPr>
          <w:rFonts w:ascii="Times New Roman" w:hAnsi="Times New Roman"/>
        </w:rPr>
        <w:t xml:space="preserve"> https://www.oecd.org/tax/beps/progress-report-on-amount-a-of-pillar-one-july-2022.pdf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C8E6C" w14:textId="77777777" w:rsidR="00AC0C28" w:rsidRPr="00AC0C28" w:rsidRDefault="00AC0C28" w:rsidP="00AC0C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0BD746" w14:textId="77777777" w:rsidR="00AC0C28" w:rsidRPr="00AC0C28" w:rsidRDefault="00AC0C28" w:rsidP="00AC0C28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C78FA2" w14:textId="77777777" w:rsidR="00AC0C28" w:rsidRPr="00AC0C28" w:rsidRDefault="00AC0C28" w:rsidP="00AC0C28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2FA2C" w14:textId="77777777" w:rsidR="005F4EDC" w:rsidRDefault="005F4ED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7A233D" w14:textId="77777777" w:rsidR="005F4EDC" w:rsidRDefault="005F4EDC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8BD38" w14:textId="77777777" w:rsidR="005F4EDC" w:rsidRDefault="005F4E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0334D2"/>
    <w:multiLevelType w:val="hybridMultilevel"/>
    <w:tmpl w:val="71E0398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C45864"/>
    <w:multiLevelType w:val="hybridMultilevel"/>
    <w:tmpl w:val="6E40F0EE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2742B39"/>
    <w:multiLevelType w:val="hybridMultilevel"/>
    <w:tmpl w:val="CE7E72D0"/>
    <w:lvl w:ilvl="0" w:tplc="229886F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ocStatus" w:val="Green"/>
    <w:docVar w:name="LW_CORRIGENDUM" w:val="&lt;UNUSED&gt;"/>
    <w:docVar w:name="LW_COVERPAGE_EXISTS" w:val="True"/>
    <w:docVar w:name="LW_COVERPAGE_GUID" w:val="F14C8703-288F-41CC-A917-0547EBB26378"/>
    <w:docVar w:name="LW_COVERPAGE_TYPE" w:val="1"/>
    <w:docVar w:name="LW_CROSSREFERENCE" w:val="&lt;UNUSED&gt;"/>
    <w:docVar w:name="LW_DocType" w:val="NORMAL"/>
    <w:docVar w:name="LW_EMISSION" w:val="30.6.2023"/>
    <w:docVar w:name="LW_EMISSION_ISODATE" w:val="2023-06-30"/>
    <w:docVar w:name="LW_EMISSION_LOCATION" w:val="BRX"/>
    <w:docVar w:name="LW_EMISSION_PREFIX" w:val="Bruxelas, "/>
    <w:docVar w:name="LW_EMISSION_SUFFIX" w:val=" "/>
    <w:docVar w:name="LW_ID_DOCTYPE_NONLW" w:val="CP-004"/>
    <w:docVar w:name="LW_LANGUE" w:val="PT"/>
    <w:docVar w:name="LW_LEVEL_OF_SENSITIVITY" w:val="Standard treatment"/>
    <w:docVar w:name="LW_NOM.INST" w:val="COMISSÃO EUROPEIA"/>
    <w:docVar w:name="LW_NOM.INST_JOINTDOC" w:val="&lt;EMPTY&gt;"/>
    <w:docVar w:name="LW_PART_NBR" w:val="1"/>
    <w:docVar w:name="LW_PART_NBR_TOTAL" w:val="1"/>
    <w:docVar w:name="LW_REF.INST.NEW" w:val="COM"/>
    <w:docVar w:name="LW_REF.INST.NEW_ADOPTED" w:val="final"/>
    <w:docVar w:name="LW_REF.INST.NEW_TEXT" w:val="(2023) 377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Relatório Intercalar sobre o Pilar Um"/>
    <w:docVar w:name="LW_TYPE.DOC.CP" w:val="RELATÓRIO DA COMISSÃO AO CONSELHO"/>
    <w:docVar w:name="LwApiVersions" w:val="LW4CoDe 1.23.2.0; LW 8.0, Build 20211117"/>
  </w:docVars>
  <w:rsids>
    <w:rsidRoot w:val="005F4EDC"/>
    <w:rsid w:val="00013458"/>
    <w:rsid w:val="000456A5"/>
    <w:rsid w:val="000475D9"/>
    <w:rsid w:val="000863FE"/>
    <w:rsid w:val="000871E7"/>
    <w:rsid w:val="00090A54"/>
    <w:rsid w:val="00091231"/>
    <w:rsid w:val="00096B08"/>
    <w:rsid w:val="000A2472"/>
    <w:rsid w:val="000B018D"/>
    <w:rsid w:val="000B2AD8"/>
    <w:rsid w:val="000B40D6"/>
    <w:rsid w:val="000C67A0"/>
    <w:rsid w:val="000D27CB"/>
    <w:rsid w:val="000D7DA3"/>
    <w:rsid w:val="001125EE"/>
    <w:rsid w:val="00125152"/>
    <w:rsid w:val="001352CF"/>
    <w:rsid w:val="00150AAC"/>
    <w:rsid w:val="00154630"/>
    <w:rsid w:val="00157A95"/>
    <w:rsid w:val="00186E79"/>
    <w:rsid w:val="001952F8"/>
    <w:rsid w:val="00197B3F"/>
    <w:rsid w:val="0021323F"/>
    <w:rsid w:val="00217168"/>
    <w:rsid w:val="00245995"/>
    <w:rsid w:val="002515C8"/>
    <w:rsid w:val="0026582E"/>
    <w:rsid w:val="002F7861"/>
    <w:rsid w:val="00302B15"/>
    <w:rsid w:val="00311264"/>
    <w:rsid w:val="00313DAD"/>
    <w:rsid w:val="00336DFC"/>
    <w:rsid w:val="003456D7"/>
    <w:rsid w:val="00356554"/>
    <w:rsid w:val="0037330B"/>
    <w:rsid w:val="00376CBA"/>
    <w:rsid w:val="003774C9"/>
    <w:rsid w:val="003A3563"/>
    <w:rsid w:val="003A4FD3"/>
    <w:rsid w:val="003C7E8A"/>
    <w:rsid w:val="003E14EB"/>
    <w:rsid w:val="003E5E29"/>
    <w:rsid w:val="003F70CF"/>
    <w:rsid w:val="004021CD"/>
    <w:rsid w:val="004555DE"/>
    <w:rsid w:val="00465B50"/>
    <w:rsid w:val="004722A7"/>
    <w:rsid w:val="00473C77"/>
    <w:rsid w:val="00497EFF"/>
    <w:rsid w:val="004D00F5"/>
    <w:rsid w:val="004D53CF"/>
    <w:rsid w:val="00513685"/>
    <w:rsid w:val="00532AA2"/>
    <w:rsid w:val="005711BB"/>
    <w:rsid w:val="00595248"/>
    <w:rsid w:val="005A61C1"/>
    <w:rsid w:val="005F4EDC"/>
    <w:rsid w:val="00601FF2"/>
    <w:rsid w:val="00603E9D"/>
    <w:rsid w:val="00634CC5"/>
    <w:rsid w:val="00653985"/>
    <w:rsid w:val="006564F2"/>
    <w:rsid w:val="00665A76"/>
    <w:rsid w:val="006B121A"/>
    <w:rsid w:val="006B37BA"/>
    <w:rsid w:val="006D142B"/>
    <w:rsid w:val="00707582"/>
    <w:rsid w:val="00715C44"/>
    <w:rsid w:val="0076465D"/>
    <w:rsid w:val="00782A7A"/>
    <w:rsid w:val="007936B2"/>
    <w:rsid w:val="007A3D87"/>
    <w:rsid w:val="007B5DBD"/>
    <w:rsid w:val="007F2DF9"/>
    <w:rsid w:val="008215C1"/>
    <w:rsid w:val="0085753E"/>
    <w:rsid w:val="008725EA"/>
    <w:rsid w:val="00882246"/>
    <w:rsid w:val="008A1707"/>
    <w:rsid w:val="008D716F"/>
    <w:rsid w:val="009132D3"/>
    <w:rsid w:val="00945F87"/>
    <w:rsid w:val="00966E42"/>
    <w:rsid w:val="00990C31"/>
    <w:rsid w:val="0099225C"/>
    <w:rsid w:val="00997D8B"/>
    <w:rsid w:val="009A7700"/>
    <w:rsid w:val="009C4B93"/>
    <w:rsid w:val="009D54C5"/>
    <w:rsid w:val="00A63C3E"/>
    <w:rsid w:val="00A64D66"/>
    <w:rsid w:val="00A70417"/>
    <w:rsid w:val="00A76290"/>
    <w:rsid w:val="00AC0C28"/>
    <w:rsid w:val="00AC3704"/>
    <w:rsid w:val="00AC45C7"/>
    <w:rsid w:val="00B20A50"/>
    <w:rsid w:val="00B24435"/>
    <w:rsid w:val="00B36C0F"/>
    <w:rsid w:val="00B4032E"/>
    <w:rsid w:val="00B643A6"/>
    <w:rsid w:val="00B86F68"/>
    <w:rsid w:val="00B92181"/>
    <w:rsid w:val="00BA5BDC"/>
    <w:rsid w:val="00BF451B"/>
    <w:rsid w:val="00C07749"/>
    <w:rsid w:val="00C564C3"/>
    <w:rsid w:val="00C566AF"/>
    <w:rsid w:val="00C75955"/>
    <w:rsid w:val="00C76719"/>
    <w:rsid w:val="00CD29F6"/>
    <w:rsid w:val="00CD36CE"/>
    <w:rsid w:val="00D022EB"/>
    <w:rsid w:val="00D45AF0"/>
    <w:rsid w:val="00D61044"/>
    <w:rsid w:val="00D62815"/>
    <w:rsid w:val="00D65A7B"/>
    <w:rsid w:val="00D67F3D"/>
    <w:rsid w:val="00D856A7"/>
    <w:rsid w:val="00DA015A"/>
    <w:rsid w:val="00DF1261"/>
    <w:rsid w:val="00DF19B1"/>
    <w:rsid w:val="00E46968"/>
    <w:rsid w:val="00E51163"/>
    <w:rsid w:val="00E65F48"/>
    <w:rsid w:val="00E944E2"/>
    <w:rsid w:val="00EA632B"/>
    <w:rsid w:val="00EC7C14"/>
    <w:rsid w:val="00ED088F"/>
    <w:rsid w:val="00EE5060"/>
    <w:rsid w:val="00EE7E30"/>
    <w:rsid w:val="00F02DDC"/>
    <w:rsid w:val="00F173FE"/>
    <w:rsid w:val="00F177AD"/>
    <w:rsid w:val="00F20B90"/>
    <w:rsid w:val="00F404BE"/>
    <w:rsid w:val="00F60582"/>
    <w:rsid w:val="00F63AF4"/>
    <w:rsid w:val="00F65BCF"/>
    <w:rsid w:val="00F74769"/>
    <w:rsid w:val="00F94B6C"/>
    <w:rsid w:val="00FB47FA"/>
    <w:rsid w:val="00FB59E1"/>
    <w:rsid w:val="00FD1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869967E"/>
  <w15:chartTrackingRefBased/>
  <w15:docId w15:val="{F911F10B-10EE-44B1-AB40-EE031619F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r">
    <w:name w:val="Marker"/>
    <w:basedOn w:val="DefaultParagraphFont"/>
    <w:rsid w:val="005F4EDC"/>
    <w:rPr>
      <w:color w:val="0000FF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rsid w:val="005F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4EDC"/>
  </w:style>
  <w:style w:type="paragraph" w:styleId="Footer">
    <w:name w:val="footer"/>
    <w:basedOn w:val="Normal"/>
    <w:link w:val="FooterChar"/>
    <w:uiPriority w:val="99"/>
    <w:unhideWhenUsed/>
    <w:rsid w:val="005F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4EDC"/>
  </w:style>
  <w:style w:type="paragraph" w:customStyle="1" w:styleId="Pagedecouverture">
    <w:name w:val="Page de couverture"/>
    <w:basedOn w:val="Normal"/>
    <w:next w:val="Normal"/>
    <w:rsid w:val="005F4EDC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FooterCoverPage">
    <w:name w:val="Footer Cover Page"/>
    <w:basedOn w:val="Normal"/>
    <w:link w:val="FooterCoverPageChar"/>
    <w:rsid w:val="005F4EDC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sid w:val="005F4EDC"/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"/>
    <w:link w:val="FooterSensitivityChar"/>
    <w:rsid w:val="005F4ED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sid w:val="005F4EDC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rsid w:val="005F4EDC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sid w:val="005F4EDC"/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"/>
    <w:link w:val="HeaderSensitivityChar"/>
    <w:rsid w:val="005F4ED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sid w:val="005F4EDC"/>
    <w:rPr>
      <w:rFonts w:ascii="Times New Roman" w:hAnsi="Times New Roman" w:cs="Times New Roman"/>
      <w:b/>
      <w:sz w:val="32"/>
    </w:rPr>
  </w:style>
  <w:style w:type="paragraph" w:customStyle="1" w:styleId="HeaderSensitivityRight">
    <w:name w:val="Header Sensitivity Right"/>
    <w:basedOn w:val="Normal"/>
    <w:link w:val="HeaderSensitivityRightChar"/>
    <w:rsid w:val="005F4EDC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5F4EDC"/>
    <w:rPr>
      <w:rFonts w:ascii="Times New Roman" w:hAnsi="Times New Roman" w:cs="Times New Roman"/>
      <w:sz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53CF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53CF"/>
    <w:rPr>
      <w:sz w:val="20"/>
      <w:szCs w:val="20"/>
      <w:lang w:val="pt-PT"/>
    </w:rPr>
  </w:style>
  <w:style w:type="paragraph" w:styleId="ListParagraph">
    <w:name w:val="List Paragraph"/>
    <w:basedOn w:val="Normal"/>
    <w:uiPriority w:val="34"/>
    <w:qFormat/>
    <w:rsid w:val="004D53CF"/>
    <w:pPr>
      <w:spacing w:after="160" w:line="259" w:lineRule="auto"/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D53C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53CF"/>
    <w:rPr>
      <w:sz w:val="20"/>
      <w:szCs w:val="20"/>
      <w:lang w:val="pt-PT"/>
    </w:rPr>
  </w:style>
  <w:style w:type="character" w:styleId="FootnoteReference">
    <w:name w:val="footnote reference"/>
    <w:basedOn w:val="DefaultParagraphFont"/>
    <w:uiPriority w:val="99"/>
    <w:semiHidden/>
    <w:unhideWhenUsed/>
    <w:rsid w:val="004D53C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B2443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4435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4435"/>
    <w:rPr>
      <w:b/>
      <w:bCs/>
      <w:sz w:val="20"/>
      <w:szCs w:val="20"/>
      <w:lang w:val="pt-PT"/>
    </w:rPr>
  </w:style>
  <w:style w:type="paragraph" w:styleId="Revision">
    <w:name w:val="Revision"/>
    <w:hidden/>
    <w:uiPriority w:val="99"/>
    <w:semiHidden/>
    <w:rsid w:val="00EE50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6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AAE8C-76B7-482A-AC1E-38691D7A1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1136</Words>
  <Characters>5761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30</cp:revision>
  <dcterms:created xsi:type="dcterms:W3CDTF">2023-06-27T13:15:00Z</dcterms:created>
  <dcterms:modified xsi:type="dcterms:W3CDTF">2023-06-30T04:25:00Z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2023-06-14T15:23:09Z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7b09caf3-d394-4fa2-9f81-f7cacc3e4f2d</vt:lpwstr>
  </property>
  <property fmtid="{D5CDD505-2E9C-101B-9397-08002B2CF9AE}" pid="8" name="MSIP_Label_6bd9ddd1-4d20-43f6-abfa-fc3c07406f94_ContentBits">
    <vt:lpwstr>0</vt:lpwstr>
  </property>
  <property fmtid="{D5CDD505-2E9C-101B-9397-08002B2CF9AE}" pid="9" name="Level of sensitivity">
    <vt:lpwstr>Standard treatment</vt:lpwstr>
  </property>
  <property fmtid="{D5CDD505-2E9C-101B-9397-08002B2CF9AE}" pid="10" name="Part">
    <vt:lpwstr>1</vt:lpwstr>
  </property>
  <property fmtid="{D5CDD505-2E9C-101B-9397-08002B2CF9AE}" pid="11" name="Total parts">
    <vt:lpwstr>1</vt:lpwstr>
  </property>
  <property fmtid="{D5CDD505-2E9C-101B-9397-08002B2CF9AE}" pid="12" name="DocStatus">
    <vt:lpwstr>Green</vt:lpwstr>
  </property>
  <property fmtid="{D5CDD505-2E9C-101B-9397-08002B2CF9AE}" pid="13" name="CPTemplateID">
    <vt:lpwstr>CP-004</vt:lpwstr>
  </property>
  <property fmtid="{D5CDD505-2E9C-101B-9397-08002B2CF9AE}" pid="14" name="Last edited using">
    <vt:lpwstr>LW 9.0, Build 20230317</vt:lpwstr>
  </property>
  <property fmtid="{D5CDD505-2E9C-101B-9397-08002B2CF9AE}" pid="15" name="Created using">
    <vt:lpwstr>LW 9.0, Build 20230317</vt:lpwstr>
  </property>
  <property name="OP_sanitized" fmtid="{D5CDD505-2E9C-101B-9397-08002B2CF9AE}" pid="16">
    <vt:lpwstr>True</vt:lpwstr>
  </property>
</Properties>
</file>