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AC6" w:rsidRPr="008D7FB4" w:rsidRDefault="00973735" w:rsidP="0097373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6C6F49B-CAEC-405F-BFD9-696CE078E607" style="width:455.25pt;height:369.75pt">
            <v:imagedata r:id="rId11" o:title=""/>
          </v:shape>
        </w:pict>
      </w:r>
    </w:p>
    <w:p w:rsidR="00252AC6" w:rsidRPr="008D7FB4" w:rsidRDefault="00252AC6" w:rsidP="00252AC6">
      <w:pPr>
        <w:rPr>
          <w:noProof/>
        </w:rPr>
        <w:sectPr w:rsidR="00252AC6" w:rsidRPr="008D7FB4" w:rsidSect="00973735">
          <w:footerReference w:type="default" r:id="rId12"/>
          <w:pgSz w:w="11907" w:h="16839"/>
          <w:pgMar w:top="1134" w:right="1417" w:bottom="1134" w:left="1417" w:header="709" w:footer="709" w:gutter="0"/>
          <w:pgNumType w:start="0"/>
          <w:cols w:space="720"/>
          <w:docGrid w:linePitch="360"/>
        </w:sectPr>
      </w:pPr>
    </w:p>
    <w:p w:rsidR="00252AC6" w:rsidRPr="008D7FB4" w:rsidRDefault="00252AC6" w:rsidP="00F060F9">
      <w:pPr>
        <w:pStyle w:val="Exposdesmotifstitre"/>
        <w:rPr>
          <w:noProof/>
        </w:rPr>
      </w:pPr>
      <w:bookmarkStart w:id="0" w:name="_GoBack"/>
      <w:bookmarkEnd w:id="0"/>
      <w:r w:rsidRPr="008D7FB4">
        <w:rPr>
          <w:noProof/>
        </w:rPr>
        <w:lastRenderedPageBreak/>
        <w:t>EXPOSIÇÃO DE MOTIVOS</w:t>
      </w:r>
    </w:p>
    <w:p w:rsidR="00252AC6" w:rsidRPr="008D7FB4" w:rsidRDefault="00252AC6" w:rsidP="00252AC6">
      <w:pPr>
        <w:pStyle w:val="ManualHeading1"/>
        <w:rPr>
          <w:noProof/>
        </w:rPr>
      </w:pPr>
      <w:r w:rsidRPr="008D7FB4">
        <w:rPr>
          <w:noProof/>
        </w:rPr>
        <w:t>CONTEXTO DA PROPOSTA</w:t>
      </w:r>
    </w:p>
    <w:p w:rsidR="00252AC6" w:rsidRPr="008D7FB4" w:rsidRDefault="007C298D" w:rsidP="007C298D">
      <w:pPr>
        <w:pStyle w:val="ManualNumPar1"/>
        <w:rPr>
          <w:noProof/>
        </w:rPr>
      </w:pPr>
      <w:r w:rsidRPr="007C298D">
        <w:t>1.</w:t>
      </w:r>
      <w:r w:rsidRPr="007C298D">
        <w:tab/>
      </w:r>
      <w:r w:rsidR="00252AC6" w:rsidRPr="008D7FB4">
        <w:rPr>
          <w:noProof/>
        </w:rPr>
        <w:t>As regras aplicáveis às contribuições financeiras do Fundo Europeu de Ajustamento à Globalização a favor dos Trabalhadores Despedidos (FEG) estão estabelecidas no Regulamento (UE) 2021/691 do Parlamento Europeu e do Conselho de 28 de abril de 2021 relativo ao Fundo Europeu de Ajustamento à Globalização a favor dos Trabalhadores Despedidos (FEG) e que revoga o Regulamento (UE) n.º 1309/2013</w:t>
      </w:r>
      <w:r w:rsidR="00252AC6" w:rsidRPr="008D7FB4">
        <w:rPr>
          <w:rStyle w:val="FootnoteReference"/>
          <w:noProof/>
        </w:rPr>
        <w:footnoteReference w:id="1"/>
      </w:r>
      <w:r w:rsidR="00252AC6" w:rsidRPr="008D7FB4">
        <w:rPr>
          <w:noProof/>
        </w:rPr>
        <w:t xml:space="preserve"> («Regulamento FEG»).</w:t>
      </w:r>
    </w:p>
    <w:p w:rsidR="00252AC6" w:rsidRPr="008D7FB4" w:rsidRDefault="007C298D" w:rsidP="007C298D">
      <w:pPr>
        <w:pStyle w:val="ManualNumPar1"/>
        <w:rPr>
          <w:noProof/>
        </w:rPr>
      </w:pPr>
      <w:r w:rsidRPr="007C298D">
        <w:t>2.</w:t>
      </w:r>
      <w:r w:rsidRPr="007C298D">
        <w:tab/>
      </w:r>
      <w:r w:rsidR="00252AC6" w:rsidRPr="008D7FB4">
        <w:rPr>
          <w:noProof/>
        </w:rPr>
        <w:t>Em 15 de julho de 2021, a Itália apresentou a candidatura EGF/</w:t>
      </w:r>
      <w:bookmarkStart w:id="1" w:name="EGF_Ref_Year"/>
      <w:r w:rsidR="00252AC6" w:rsidRPr="008D7FB4">
        <w:rPr>
          <w:noProof/>
        </w:rPr>
        <w:t>2021</w:t>
      </w:r>
      <w:bookmarkEnd w:id="1"/>
      <w:r w:rsidR="00252AC6" w:rsidRPr="008D7FB4">
        <w:rPr>
          <w:noProof/>
        </w:rPr>
        <w:t>/</w:t>
      </w:r>
      <w:bookmarkStart w:id="2" w:name="EGF_Ref_CaseNumber"/>
      <w:r w:rsidR="00252AC6" w:rsidRPr="008D7FB4">
        <w:rPr>
          <w:noProof/>
        </w:rPr>
        <w:t>002</w:t>
      </w:r>
      <w:bookmarkEnd w:id="2"/>
      <w:r w:rsidR="00252AC6" w:rsidRPr="008D7FB4">
        <w:rPr>
          <w:noProof/>
        </w:rPr>
        <w:t xml:space="preserve"> </w:t>
      </w:r>
      <w:bookmarkStart w:id="3" w:name="MS_Code"/>
      <w:r w:rsidR="00252AC6" w:rsidRPr="008D7FB4">
        <w:rPr>
          <w:noProof/>
        </w:rPr>
        <w:t>IT</w:t>
      </w:r>
      <w:bookmarkEnd w:id="3"/>
      <w:r w:rsidR="00252AC6" w:rsidRPr="008D7FB4">
        <w:rPr>
          <w:noProof/>
        </w:rPr>
        <w:t>/</w:t>
      </w:r>
      <w:bookmarkStart w:id="4" w:name="EGF_Ref_CaseName"/>
      <w:r w:rsidR="00252AC6" w:rsidRPr="008D7FB4">
        <w:rPr>
          <w:noProof/>
        </w:rPr>
        <w:t>Air Italy</w:t>
      </w:r>
      <w:bookmarkEnd w:id="4"/>
      <w:r w:rsidR="00252AC6" w:rsidRPr="008D7FB4">
        <w:rPr>
          <w:noProof/>
        </w:rPr>
        <w:t xml:space="preserve"> a uma candidatura financeira do FEG, na sequência de despedimentos na empresa </w:t>
      </w:r>
      <w:bookmarkStart w:id="5" w:name="PrimEnterprise_Name"/>
      <w:r w:rsidR="00252AC6" w:rsidRPr="008D7FB4">
        <w:rPr>
          <w:noProof/>
        </w:rPr>
        <w:t>Air Italy SpA</w:t>
      </w:r>
      <w:bookmarkEnd w:id="5"/>
      <w:r w:rsidR="00252AC6" w:rsidRPr="008D7FB4">
        <w:rPr>
          <w:noProof/>
        </w:rPr>
        <w:t xml:space="preserve">, em </w:t>
      </w:r>
      <w:bookmarkStart w:id="6" w:name="MS_Name"/>
      <w:r w:rsidR="00252AC6" w:rsidRPr="008D7FB4">
        <w:rPr>
          <w:noProof/>
        </w:rPr>
        <w:t>Itália</w:t>
      </w:r>
      <w:bookmarkEnd w:id="6"/>
      <w:r w:rsidR="00252AC6" w:rsidRPr="008D7FB4">
        <w:rPr>
          <w:noProof/>
        </w:rPr>
        <w:t>.</w:t>
      </w:r>
    </w:p>
    <w:p w:rsidR="00252AC6" w:rsidRPr="008D7FB4" w:rsidRDefault="007C298D" w:rsidP="007C298D">
      <w:pPr>
        <w:pStyle w:val="ManualNumPar1"/>
        <w:rPr>
          <w:noProof/>
        </w:rPr>
      </w:pPr>
      <w:r w:rsidRPr="007C298D">
        <w:t>3.</w:t>
      </w:r>
      <w:r w:rsidRPr="007C298D">
        <w:tab/>
      </w:r>
      <w:r w:rsidR="00252AC6" w:rsidRPr="008D7FB4">
        <w:rPr>
          <w:noProof/>
        </w:rPr>
        <w:t xml:space="preserve">Após avaliação dessa candidatura, a Comissão concluiu que, em conformidade com todas as disposições aplicáveis do Regulamento FEG, estão reunidas as condições para a concessão de uma contribuição financeira ao abrigo desse regulamento. </w:t>
      </w:r>
    </w:p>
    <w:p w:rsidR="00252AC6" w:rsidRPr="008D7FB4" w:rsidRDefault="00252AC6" w:rsidP="00252AC6">
      <w:pPr>
        <w:pStyle w:val="ManualHeading1"/>
        <w:rPr>
          <w:noProof/>
        </w:rPr>
      </w:pPr>
      <w:r w:rsidRPr="008D7FB4">
        <w:rPr>
          <w:noProof/>
        </w:rPr>
        <w:t>SÍNTESE DA CANDIDATURA</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252AC6" w:rsidRPr="008D7FB4" w:rsidTr="00F060F9">
        <w:tc>
          <w:tcPr>
            <w:tcW w:w="4908" w:type="dxa"/>
            <w:shd w:val="clear" w:color="auto" w:fill="auto"/>
          </w:tcPr>
          <w:p w:rsidR="00252AC6" w:rsidRPr="008D7FB4" w:rsidRDefault="00252AC6" w:rsidP="00F060F9">
            <w:pPr>
              <w:spacing w:before="60" w:after="60"/>
              <w:jc w:val="left"/>
              <w:rPr>
                <w:rFonts w:eastAsia="Calibri"/>
                <w:noProof/>
              </w:rPr>
            </w:pPr>
            <w:r w:rsidRPr="008D7FB4">
              <w:rPr>
                <w:noProof/>
              </w:rPr>
              <w:t>Candidatura ao FEG</w:t>
            </w:r>
          </w:p>
        </w:tc>
        <w:tc>
          <w:tcPr>
            <w:tcW w:w="4379" w:type="dxa"/>
            <w:shd w:val="clear" w:color="auto" w:fill="auto"/>
          </w:tcPr>
          <w:p w:rsidR="00252AC6" w:rsidRPr="008D7FB4" w:rsidRDefault="00252AC6" w:rsidP="003E2FCF">
            <w:pPr>
              <w:spacing w:before="60" w:after="60"/>
              <w:ind w:rightChars="192" w:right="461"/>
              <w:jc w:val="left"/>
              <w:rPr>
                <w:rFonts w:eastAsia="Calibri"/>
                <w:noProof/>
              </w:rPr>
            </w:pPr>
            <w:r w:rsidRPr="008D7FB4">
              <w:rPr>
                <w:noProof/>
              </w:rPr>
              <w:t>EGF/2021/002 IT/Air Italy</w:t>
            </w:r>
          </w:p>
        </w:tc>
      </w:tr>
      <w:tr w:rsidR="00252AC6" w:rsidRPr="008D7FB4" w:rsidTr="00F060F9">
        <w:tc>
          <w:tcPr>
            <w:tcW w:w="4908" w:type="dxa"/>
            <w:shd w:val="clear" w:color="auto" w:fill="auto"/>
          </w:tcPr>
          <w:p w:rsidR="00252AC6" w:rsidRPr="008D7FB4" w:rsidRDefault="00252AC6" w:rsidP="00F060F9">
            <w:pPr>
              <w:spacing w:before="60" w:after="60"/>
              <w:jc w:val="left"/>
              <w:rPr>
                <w:rFonts w:eastAsia="Calibri"/>
                <w:noProof/>
              </w:rPr>
            </w:pPr>
            <w:r w:rsidRPr="008D7FB4">
              <w:rPr>
                <w:noProof/>
              </w:rPr>
              <w:t>Estado-Membro</w:t>
            </w:r>
          </w:p>
        </w:tc>
        <w:tc>
          <w:tcPr>
            <w:tcW w:w="4379" w:type="dxa"/>
            <w:shd w:val="clear" w:color="auto" w:fill="auto"/>
          </w:tcPr>
          <w:p w:rsidR="00252AC6" w:rsidRPr="008D7FB4" w:rsidRDefault="003E2FCF" w:rsidP="003E2FCF">
            <w:pPr>
              <w:spacing w:before="60" w:after="60"/>
              <w:ind w:rightChars="192" w:right="461"/>
              <w:jc w:val="left"/>
              <w:rPr>
                <w:rFonts w:eastAsia="Calibri"/>
                <w:noProof/>
              </w:rPr>
            </w:pPr>
            <w:r w:rsidRPr="008D7FB4">
              <w:rPr>
                <w:noProof/>
              </w:rPr>
              <w:t>Itália</w:t>
            </w:r>
          </w:p>
        </w:tc>
      </w:tr>
      <w:tr w:rsidR="00252AC6" w:rsidRPr="008D7FB4" w:rsidTr="00F060F9">
        <w:tc>
          <w:tcPr>
            <w:tcW w:w="4908" w:type="dxa"/>
            <w:tcBorders>
              <w:bottom w:val="single"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Região(ões) em causa (nível NUTS</w:t>
            </w:r>
            <w:r w:rsidRPr="008D7FB4">
              <w:rPr>
                <w:rStyle w:val="FootnoteReference"/>
                <w:noProof/>
              </w:rPr>
              <w:footnoteReference w:id="2"/>
            </w:r>
            <w:r w:rsidRPr="008D7FB4">
              <w:rPr>
                <w:noProof/>
              </w:rPr>
              <w:t xml:space="preserve"> 2)</w:t>
            </w:r>
          </w:p>
        </w:tc>
        <w:tc>
          <w:tcPr>
            <w:tcW w:w="4379" w:type="dxa"/>
            <w:tcBorders>
              <w:bottom w:val="single" w:sz="4" w:space="0" w:color="auto"/>
            </w:tcBorders>
            <w:shd w:val="clear" w:color="auto" w:fill="auto"/>
          </w:tcPr>
          <w:p w:rsidR="00252AC6" w:rsidRPr="008D7FB4" w:rsidRDefault="003E2FCF" w:rsidP="003E2FCF">
            <w:pPr>
              <w:spacing w:before="0" w:after="0"/>
              <w:ind w:rightChars="192" w:right="461"/>
              <w:jc w:val="left"/>
              <w:rPr>
                <w:noProof/>
                <w:szCs w:val="24"/>
              </w:rPr>
            </w:pPr>
            <w:bookmarkStart w:id="7" w:name="Region_1_Name"/>
            <w:r w:rsidRPr="008D7FB4">
              <w:rPr>
                <w:noProof/>
              </w:rPr>
              <w:t>Sardegna</w:t>
            </w:r>
            <w:bookmarkEnd w:id="7"/>
            <w:r w:rsidRPr="008D7FB4">
              <w:rPr>
                <w:noProof/>
              </w:rPr>
              <w:t xml:space="preserve"> (ITG2)</w:t>
            </w:r>
          </w:p>
        </w:tc>
      </w:tr>
      <w:tr w:rsidR="00252AC6" w:rsidRPr="008D7FB4" w:rsidTr="00F060F9">
        <w:tc>
          <w:tcPr>
            <w:tcW w:w="4908" w:type="dxa"/>
            <w:tcBorders>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Data de apresentação da candidatura</w:t>
            </w:r>
          </w:p>
        </w:tc>
        <w:tc>
          <w:tcPr>
            <w:tcW w:w="4379" w:type="dxa"/>
            <w:tcBorders>
              <w:bottom w:val="dotted" w:sz="4" w:space="0" w:color="auto"/>
            </w:tcBorders>
            <w:shd w:val="clear" w:color="auto" w:fill="auto"/>
          </w:tcPr>
          <w:p w:rsidR="00252AC6" w:rsidRPr="008D7FB4" w:rsidRDefault="003E2FCF" w:rsidP="003E2FCF">
            <w:pPr>
              <w:spacing w:before="60" w:after="60"/>
              <w:ind w:rightChars="192" w:right="461"/>
              <w:jc w:val="left"/>
              <w:rPr>
                <w:rFonts w:eastAsia="Calibri"/>
                <w:noProof/>
              </w:rPr>
            </w:pPr>
            <w:r w:rsidRPr="008D7FB4">
              <w:rPr>
                <w:noProof/>
              </w:rPr>
              <w:t>15 de julho de 2021</w:t>
            </w:r>
          </w:p>
        </w:tc>
      </w:tr>
      <w:tr w:rsidR="00252AC6" w:rsidRPr="008D7FB4" w:rsidTr="00F060F9">
        <w:tc>
          <w:tcPr>
            <w:tcW w:w="4908" w:type="dxa"/>
            <w:tcBorders>
              <w:top w:val="dotted" w:sz="4" w:space="0" w:color="auto"/>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Data do aviso de receção da candidatura</w:t>
            </w:r>
          </w:p>
        </w:tc>
        <w:tc>
          <w:tcPr>
            <w:tcW w:w="4379" w:type="dxa"/>
            <w:tcBorders>
              <w:top w:val="dotted" w:sz="4" w:space="0" w:color="auto"/>
              <w:bottom w:val="dotted" w:sz="4" w:space="0" w:color="auto"/>
            </w:tcBorders>
            <w:shd w:val="clear" w:color="auto" w:fill="auto"/>
          </w:tcPr>
          <w:p w:rsidR="00252AC6" w:rsidRPr="008D7FB4" w:rsidRDefault="004222E2" w:rsidP="00103DB1">
            <w:pPr>
              <w:spacing w:before="60" w:after="60"/>
              <w:ind w:rightChars="192" w:right="461"/>
              <w:jc w:val="left"/>
              <w:rPr>
                <w:rFonts w:eastAsia="Calibri"/>
                <w:noProof/>
              </w:rPr>
            </w:pPr>
            <w:r w:rsidRPr="008D7FB4">
              <w:rPr>
                <w:noProof/>
              </w:rPr>
              <w:t>29 de julho de 2021</w:t>
            </w:r>
          </w:p>
        </w:tc>
      </w:tr>
      <w:tr w:rsidR="00252AC6" w:rsidRPr="008D7FB4" w:rsidTr="00F060F9">
        <w:tc>
          <w:tcPr>
            <w:tcW w:w="4908" w:type="dxa"/>
            <w:tcBorders>
              <w:top w:val="dotted" w:sz="4" w:space="0" w:color="auto"/>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Data do pedido de informações complementares</w:t>
            </w:r>
          </w:p>
        </w:tc>
        <w:tc>
          <w:tcPr>
            <w:tcW w:w="4379" w:type="dxa"/>
            <w:tcBorders>
              <w:top w:val="dotted" w:sz="4" w:space="0" w:color="auto"/>
              <w:bottom w:val="dotted" w:sz="4" w:space="0" w:color="auto"/>
            </w:tcBorders>
            <w:shd w:val="clear" w:color="auto" w:fill="auto"/>
          </w:tcPr>
          <w:p w:rsidR="00252AC6" w:rsidRPr="008D7FB4" w:rsidRDefault="005C6A33" w:rsidP="003E2FCF">
            <w:pPr>
              <w:spacing w:before="60" w:after="60"/>
              <w:ind w:rightChars="192" w:right="461"/>
              <w:jc w:val="left"/>
              <w:rPr>
                <w:rFonts w:eastAsia="Calibri"/>
                <w:noProof/>
              </w:rPr>
            </w:pPr>
            <w:r w:rsidRPr="008D7FB4">
              <w:rPr>
                <w:noProof/>
              </w:rPr>
              <w:t>29 de julho de 2021</w:t>
            </w:r>
          </w:p>
        </w:tc>
      </w:tr>
      <w:tr w:rsidR="00252AC6" w:rsidRPr="008D7FB4" w:rsidTr="00F060F9">
        <w:tc>
          <w:tcPr>
            <w:tcW w:w="4908" w:type="dxa"/>
            <w:tcBorders>
              <w:top w:val="dotted" w:sz="4" w:space="0" w:color="auto"/>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Prazo para a apresentação de informações complementares</w:t>
            </w:r>
          </w:p>
        </w:tc>
        <w:tc>
          <w:tcPr>
            <w:tcW w:w="4379" w:type="dxa"/>
            <w:tcBorders>
              <w:top w:val="dotted" w:sz="4" w:space="0" w:color="auto"/>
              <w:bottom w:val="dotted" w:sz="4" w:space="0" w:color="auto"/>
            </w:tcBorders>
            <w:shd w:val="clear" w:color="auto" w:fill="auto"/>
          </w:tcPr>
          <w:p w:rsidR="00252AC6" w:rsidRPr="008D7FB4" w:rsidRDefault="00103DB1" w:rsidP="00103DB1">
            <w:pPr>
              <w:spacing w:before="60" w:after="60"/>
              <w:ind w:rightChars="192" w:right="461"/>
              <w:jc w:val="left"/>
              <w:rPr>
                <w:rFonts w:eastAsia="Calibri"/>
                <w:noProof/>
              </w:rPr>
            </w:pPr>
            <w:r w:rsidRPr="008D7FB4">
              <w:rPr>
                <w:noProof/>
              </w:rPr>
              <w:t>19 de agosto de 2021</w:t>
            </w:r>
          </w:p>
        </w:tc>
      </w:tr>
      <w:tr w:rsidR="00252AC6" w:rsidRPr="008D7FB4" w:rsidTr="00F060F9">
        <w:tc>
          <w:tcPr>
            <w:tcW w:w="4908" w:type="dxa"/>
            <w:tcBorders>
              <w:top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Prazo para a conclusão da avaliação</w:t>
            </w:r>
          </w:p>
        </w:tc>
        <w:tc>
          <w:tcPr>
            <w:tcW w:w="4379" w:type="dxa"/>
            <w:tcBorders>
              <w:top w:val="dotted" w:sz="4" w:space="0" w:color="auto"/>
            </w:tcBorders>
            <w:shd w:val="clear" w:color="auto" w:fill="auto"/>
          </w:tcPr>
          <w:p w:rsidR="00252AC6" w:rsidRPr="008D7FB4" w:rsidRDefault="00103DB1" w:rsidP="00103DB1">
            <w:pPr>
              <w:spacing w:before="60" w:after="60"/>
              <w:ind w:rightChars="192" w:right="461"/>
              <w:jc w:val="left"/>
              <w:rPr>
                <w:rFonts w:eastAsia="Calibri"/>
                <w:noProof/>
              </w:rPr>
            </w:pPr>
            <w:r w:rsidRPr="008D7FB4">
              <w:rPr>
                <w:noProof/>
              </w:rPr>
              <w:t>29 de outubro de 2021</w:t>
            </w:r>
          </w:p>
        </w:tc>
      </w:tr>
      <w:tr w:rsidR="00252AC6" w:rsidRPr="008D7FB4" w:rsidTr="00F060F9">
        <w:tc>
          <w:tcPr>
            <w:tcW w:w="4908" w:type="dxa"/>
            <w:shd w:val="clear" w:color="auto" w:fill="auto"/>
          </w:tcPr>
          <w:p w:rsidR="00252AC6" w:rsidRPr="008D7FB4" w:rsidRDefault="00252AC6" w:rsidP="00F060F9">
            <w:pPr>
              <w:spacing w:before="60" w:after="60"/>
              <w:jc w:val="left"/>
              <w:rPr>
                <w:rFonts w:eastAsia="Calibri"/>
                <w:noProof/>
              </w:rPr>
            </w:pPr>
            <w:r w:rsidRPr="008D7FB4">
              <w:rPr>
                <w:noProof/>
              </w:rPr>
              <w:t>Critério de intervenção</w:t>
            </w:r>
          </w:p>
        </w:tc>
        <w:tc>
          <w:tcPr>
            <w:tcW w:w="4379" w:type="dxa"/>
            <w:shd w:val="clear" w:color="auto" w:fill="auto"/>
          </w:tcPr>
          <w:p w:rsidR="00252AC6" w:rsidRPr="008D7FB4" w:rsidRDefault="00252AC6" w:rsidP="003E2FCF">
            <w:pPr>
              <w:spacing w:before="60" w:after="60"/>
              <w:ind w:rightChars="192" w:right="461"/>
              <w:jc w:val="left"/>
              <w:rPr>
                <w:rFonts w:eastAsia="Calibri"/>
                <w:noProof/>
              </w:rPr>
            </w:pPr>
            <w:r w:rsidRPr="008D7FB4">
              <w:rPr>
                <w:noProof/>
              </w:rPr>
              <w:t>Artigo 4.º, n.º 2, alínea a), do Regulamento FEG</w:t>
            </w:r>
          </w:p>
        </w:tc>
      </w:tr>
      <w:tr w:rsidR="00252AC6" w:rsidRPr="008D7FB4" w:rsidTr="00F060F9">
        <w:tc>
          <w:tcPr>
            <w:tcW w:w="4908" w:type="dxa"/>
            <w:tcBorders>
              <w:top w:val="single" w:sz="4" w:space="0" w:color="auto"/>
              <w:bottom w:val="single" w:sz="4" w:space="0" w:color="auto"/>
              <w:right w:val="single"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br w:type="page"/>
              <w:t>Empresa principal</w:t>
            </w:r>
          </w:p>
        </w:tc>
        <w:tc>
          <w:tcPr>
            <w:tcW w:w="4379" w:type="dxa"/>
            <w:tcBorders>
              <w:top w:val="single" w:sz="4" w:space="0" w:color="auto"/>
              <w:left w:val="single" w:sz="4" w:space="0" w:color="auto"/>
              <w:bottom w:val="single" w:sz="4" w:space="0" w:color="auto"/>
            </w:tcBorders>
            <w:shd w:val="clear" w:color="auto" w:fill="auto"/>
          </w:tcPr>
          <w:p w:rsidR="00252AC6" w:rsidRPr="008D7FB4" w:rsidRDefault="00EF69EB" w:rsidP="00EF69EB">
            <w:pPr>
              <w:spacing w:before="60" w:after="60"/>
              <w:ind w:rightChars="192" w:right="461"/>
              <w:jc w:val="left"/>
              <w:rPr>
                <w:noProof/>
                <w:szCs w:val="24"/>
              </w:rPr>
            </w:pPr>
            <w:r w:rsidRPr="008D7FB4">
              <w:rPr>
                <w:noProof/>
              </w:rPr>
              <w:t>Air Italy SpA</w:t>
            </w:r>
          </w:p>
        </w:tc>
      </w:tr>
      <w:tr w:rsidR="00252AC6" w:rsidRPr="008D7FB4" w:rsidTr="00F060F9">
        <w:tc>
          <w:tcPr>
            <w:tcW w:w="4908" w:type="dxa"/>
            <w:tcBorders>
              <w:top w:val="single" w:sz="4" w:space="0" w:color="auto"/>
              <w:bottom w:val="single" w:sz="4" w:space="0" w:color="auto"/>
              <w:right w:val="single"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br w:type="page"/>
              <w:t>Número de empresas afetadas</w:t>
            </w:r>
          </w:p>
        </w:tc>
        <w:tc>
          <w:tcPr>
            <w:tcW w:w="4379" w:type="dxa"/>
            <w:tcBorders>
              <w:top w:val="single" w:sz="4" w:space="0" w:color="auto"/>
              <w:left w:val="single" w:sz="4" w:space="0" w:color="auto"/>
              <w:bottom w:val="single" w:sz="4" w:space="0" w:color="auto"/>
            </w:tcBorders>
            <w:shd w:val="clear" w:color="auto" w:fill="auto"/>
          </w:tcPr>
          <w:p w:rsidR="00252AC6" w:rsidRPr="008D7FB4" w:rsidRDefault="003E2FCF" w:rsidP="003E2FCF">
            <w:pPr>
              <w:spacing w:before="60" w:after="60"/>
              <w:ind w:rightChars="192" w:right="461"/>
              <w:jc w:val="left"/>
              <w:rPr>
                <w:noProof/>
                <w:szCs w:val="24"/>
              </w:rPr>
            </w:pPr>
            <w:r w:rsidRPr="008D7FB4">
              <w:rPr>
                <w:noProof/>
              </w:rPr>
              <w:t>1</w:t>
            </w:r>
          </w:p>
        </w:tc>
      </w:tr>
      <w:tr w:rsidR="00252AC6" w:rsidRPr="008D7FB4" w:rsidTr="00F060F9">
        <w:tc>
          <w:tcPr>
            <w:tcW w:w="4908" w:type="dxa"/>
            <w:shd w:val="clear" w:color="auto" w:fill="auto"/>
          </w:tcPr>
          <w:p w:rsidR="00252AC6" w:rsidRPr="008D7FB4" w:rsidRDefault="00EF69EB" w:rsidP="00F060F9">
            <w:pPr>
              <w:spacing w:before="60" w:after="60"/>
              <w:jc w:val="left"/>
              <w:rPr>
                <w:rFonts w:eastAsia="Calibri"/>
                <w:noProof/>
              </w:rPr>
            </w:pPr>
            <w:r w:rsidRPr="008D7FB4">
              <w:rPr>
                <w:noProof/>
              </w:rPr>
              <w:t>Setor de atividade económica</w:t>
            </w:r>
          </w:p>
          <w:p w:rsidR="00252AC6" w:rsidRPr="008D7FB4" w:rsidRDefault="00252AC6" w:rsidP="00BB0146">
            <w:pPr>
              <w:spacing w:before="60" w:after="60"/>
              <w:jc w:val="left"/>
              <w:rPr>
                <w:rFonts w:eastAsia="Calibri"/>
                <w:noProof/>
              </w:rPr>
            </w:pPr>
            <w:r w:rsidRPr="008D7FB4">
              <w:rPr>
                <w:noProof/>
              </w:rPr>
              <w:t>(Divisão da NACE Revisão 2)</w:t>
            </w:r>
            <w:r w:rsidRPr="008D7FB4">
              <w:rPr>
                <w:rStyle w:val="FootnoteReference"/>
                <w:noProof/>
                <w:szCs w:val="24"/>
              </w:rPr>
              <w:footnoteReference w:id="3"/>
            </w:r>
          </w:p>
        </w:tc>
        <w:tc>
          <w:tcPr>
            <w:tcW w:w="4379" w:type="dxa"/>
            <w:shd w:val="clear" w:color="auto" w:fill="auto"/>
          </w:tcPr>
          <w:p w:rsidR="00252AC6" w:rsidRPr="008D7FB4" w:rsidRDefault="00252AC6" w:rsidP="00EF69EB">
            <w:pPr>
              <w:spacing w:before="60" w:after="60"/>
              <w:ind w:rightChars="192" w:right="461"/>
              <w:jc w:val="left"/>
              <w:rPr>
                <w:rFonts w:eastAsia="Calibri"/>
                <w:noProof/>
              </w:rPr>
            </w:pPr>
            <w:r w:rsidRPr="008D7FB4">
              <w:rPr>
                <w:noProof/>
              </w:rPr>
              <w:t>Divisão 51 (Transportes aéreos)</w:t>
            </w:r>
          </w:p>
        </w:tc>
      </w:tr>
      <w:tr w:rsidR="00252AC6" w:rsidRPr="008D7FB4" w:rsidTr="00F060F9">
        <w:tc>
          <w:tcPr>
            <w:tcW w:w="4908" w:type="dxa"/>
            <w:tcBorders>
              <w:bottom w:val="single" w:sz="4" w:space="0" w:color="auto"/>
            </w:tcBorders>
            <w:shd w:val="clear" w:color="auto" w:fill="auto"/>
          </w:tcPr>
          <w:p w:rsidR="00252AC6" w:rsidRPr="008D7FB4" w:rsidRDefault="003E2FCF" w:rsidP="003E2FCF">
            <w:pPr>
              <w:spacing w:before="60" w:after="60"/>
              <w:jc w:val="left"/>
              <w:rPr>
                <w:rFonts w:eastAsia="Calibri"/>
                <w:noProof/>
              </w:rPr>
            </w:pPr>
            <w:r w:rsidRPr="008D7FB4">
              <w:rPr>
                <w:noProof/>
              </w:rPr>
              <w:t>Período de referência (quatro meses):</w:t>
            </w:r>
          </w:p>
        </w:tc>
        <w:tc>
          <w:tcPr>
            <w:tcW w:w="4379" w:type="dxa"/>
            <w:tcBorders>
              <w:bottom w:val="single" w:sz="4" w:space="0" w:color="auto"/>
            </w:tcBorders>
            <w:shd w:val="clear" w:color="auto" w:fill="auto"/>
          </w:tcPr>
          <w:p w:rsidR="00252AC6" w:rsidRPr="008D7FB4" w:rsidRDefault="003E2FCF" w:rsidP="003E2FCF">
            <w:pPr>
              <w:spacing w:before="60" w:after="60"/>
              <w:ind w:rightChars="192" w:right="461"/>
              <w:jc w:val="left"/>
              <w:rPr>
                <w:rFonts w:eastAsia="Calibri"/>
                <w:noProof/>
              </w:rPr>
            </w:pPr>
            <w:r w:rsidRPr="008D7FB4">
              <w:rPr>
                <w:noProof/>
              </w:rPr>
              <w:t>1 de setembro de 2020 – 1 de janeiro de 2021</w:t>
            </w:r>
          </w:p>
        </w:tc>
      </w:tr>
      <w:tr w:rsidR="00252AC6" w:rsidRPr="008D7FB4" w:rsidTr="00F060F9">
        <w:tc>
          <w:tcPr>
            <w:tcW w:w="4908" w:type="dxa"/>
            <w:tcBorders>
              <w:bottom w:val="dotted" w:sz="4" w:space="0" w:color="auto"/>
            </w:tcBorders>
            <w:shd w:val="clear" w:color="auto" w:fill="auto"/>
          </w:tcPr>
          <w:p w:rsidR="00252AC6" w:rsidRPr="008D7FB4" w:rsidRDefault="00252AC6" w:rsidP="00730D6A">
            <w:pPr>
              <w:spacing w:before="60" w:after="60"/>
              <w:jc w:val="left"/>
              <w:rPr>
                <w:rFonts w:eastAsia="Calibri"/>
                <w:noProof/>
                <w:highlight w:val="magenta"/>
              </w:rPr>
            </w:pPr>
            <w:r w:rsidRPr="008D7FB4">
              <w:rPr>
                <w:noProof/>
              </w:rPr>
              <w:t>Número de despedimentos durante o período de referência (</w:t>
            </w:r>
            <w:r w:rsidRPr="008D7FB4">
              <w:rPr>
                <w:i/>
                <w:iCs/>
                <w:noProof/>
              </w:rPr>
              <w:t>a</w:t>
            </w:r>
            <w:r w:rsidRPr="008D7FB4">
              <w:rPr>
                <w:noProof/>
              </w:rPr>
              <w:t>)</w:t>
            </w:r>
          </w:p>
        </w:tc>
        <w:tc>
          <w:tcPr>
            <w:tcW w:w="4379" w:type="dxa"/>
            <w:tcBorders>
              <w:bottom w:val="dotted" w:sz="4" w:space="0" w:color="auto"/>
            </w:tcBorders>
            <w:shd w:val="clear" w:color="auto" w:fill="auto"/>
          </w:tcPr>
          <w:p w:rsidR="00252AC6" w:rsidRPr="008D7FB4" w:rsidRDefault="0074349D" w:rsidP="0074349D">
            <w:pPr>
              <w:spacing w:before="60" w:after="60"/>
              <w:ind w:rightChars="192" w:right="461"/>
              <w:jc w:val="left"/>
              <w:rPr>
                <w:rFonts w:eastAsia="Calibri"/>
                <w:noProof/>
                <w:highlight w:val="magenta"/>
              </w:rPr>
            </w:pPr>
            <w:r w:rsidRPr="008D7FB4">
              <w:rPr>
                <w:noProof/>
              </w:rPr>
              <w:t>466</w:t>
            </w:r>
            <w:r w:rsidRPr="008D7FB4">
              <w:rPr>
                <w:rStyle w:val="FootnoteReference"/>
                <w:noProof/>
              </w:rPr>
              <w:footnoteReference w:id="4"/>
            </w:r>
          </w:p>
        </w:tc>
      </w:tr>
      <w:tr w:rsidR="00252AC6" w:rsidRPr="008D7FB4" w:rsidTr="00F060F9">
        <w:tc>
          <w:tcPr>
            <w:tcW w:w="4908" w:type="dxa"/>
            <w:tcBorders>
              <w:top w:val="dotted" w:sz="4" w:space="0" w:color="auto"/>
              <w:bottom w:val="dotted" w:sz="4" w:space="0" w:color="auto"/>
            </w:tcBorders>
            <w:shd w:val="clear" w:color="auto" w:fill="auto"/>
          </w:tcPr>
          <w:p w:rsidR="00252AC6" w:rsidRPr="008D7FB4" w:rsidRDefault="00252AC6" w:rsidP="00F060F9">
            <w:pPr>
              <w:spacing w:before="60" w:after="60"/>
              <w:jc w:val="left"/>
              <w:rPr>
                <w:rFonts w:eastAsia="Calibri"/>
                <w:noProof/>
                <w:highlight w:val="magenta"/>
              </w:rPr>
            </w:pPr>
            <w:r w:rsidRPr="008D7FB4">
              <w:rPr>
                <w:noProof/>
              </w:rPr>
              <w:t>Número de despedimentos antes ou após o período de referência (</w:t>
            </w:r>
            <w:r w:rsidRPr="008D7FB4">
              <w:rPr>
                <w:i/>
                <w:iCs/>
                <w:noProof/>
              </w:rPr>
              <w:t>b</w:t>
            </w:r>
            <w:r w:rsidRPr="008D7FB4">
              <w:rPr>
                <w:noProof/>
              </w:rPr>
              <w:t>)</w:t>
            </w:r>
          </w:p>
        </w:tc>
        <w:tc>
          <w:tcPr>
            <w:tcW w:w="4379" w:type="dxa"/>
            <w:tcBorders>
              <w:top w:val="dotted" w:sz="4" w:space="0" w:color="auto"/>
              <w:bottom w:val="dotted" w:sz="4" w:space="0" w:color="auto"/>
            </w:tcBorders>
            <w:shd w:val="clear" w:color="auto" w:fill="auto"/>
          </w:tcPr>
          <w:p w:rsidR="00252AC6" w:rsidRPr="008D7FB4" w:rsidRDefault="00B457FA" w:rsidP="0074349D">
            <w:pPr>
              <w:spacing w:before="60" w:after="60"/>
              <w:ind w:rightChars="192" w:right="461"/>
              <w:jc w:val="left"/>
              <w:rPr>
                <w:rFonts w:eastAsia="Calibri"/>
                <w:noProof/>
              </w:rPr>
            </w:pPr>
            <w:r w:rsidRPr="008D7FB4">
              <w:rPr>
                <w:noProof/>
              </w:rPr>
              <w:t>145</w:t>
            </w:r>
          </w:p>
        </w:tc>
      </w:tr>
      <w:tr w:rsidR="00252AC6" w:rsidRPr="008D7FB4" w:rsidTr="00F060F9">
        <w:tc>
          <w:tcPr>
            <w:tcW w:w="4908" w:type="dxa"/>
            <w:tcBorders>
              <w:top w:val="dotted" w:sz="4" w:space="0" w:color="auto"/>
              <w:bottom w:val="single" w:sz="4" w:space="0" w:color="auto"/>
            </w:tcBorders>
            <w:shd w:val="clear" w:color="auto" w:fill="auto"/>
          </w:tcPr>
          <w:p w:rsidR="00252AC6" w:rsidRPr="008D7FB4" w:rsidRDefault="00252AC6" w:rsidP="00A60360">
            <w:pPr>
              <w:spacing w:before="60" w:after="60"/>
              <w:jc w:val="left"/>
              <w:rPr>
                <w:rFonts w:eastAsia="Calibri"/>
                <w:noProof/>
              </w:rPr>
            </w:pPr>
            <w:r w:rsidRPr="008D7FB4">
              <w:rPr>
                <w:noProof/>
              </w:rPr>
              <w:t>Número total de despedimentos (</w:t>
            </w:r>
            <w:r w:rsidRPr="008D7FB4">
              <w:rPr>
                <w:i/>
                <w:iCs/>
                <w:noProof/>
              </w:rPr>
              <w:t>a</w:t>
            </w:r>
            <w:r w:rsidRPr="008D7FB4">
              <w:rPr>
                <w:noProof/>
              </w:rPr>
              <w:t xml:space="preserve"> + </w:t>
            </w:r>
            <w:r w:rsidRPr="008D7FB4">
              <w:rPr>
                <w:i/>
                <w:iCs/>
                <w:noProof/>
              </w:rPr>
              <w:t>b</w:t>
            </w:r>
            <w:r w:rsidRPr="008D7FB4">
              <w:rPr>
                <w:noProof/>
              </w:rPr>
              <w:t>)</w:t>
            </w:r>
          </w:p>
        </w:tc>
        <w:tc>
          <w:tcPr>
            <w:tcW w:w="4379" w:type="dxa"/>
            <w:tcBorders>
              <w:top w:val="dotted" w:sz="4" w:space="0" w:color="auto"/>
              <w:bottom w:val="single" w:sz="4" w:space="0" w:color="auto"/>
            </w:tcBorders>
            <w:shd w:val="clear" w:color="auto" w:fill="auto"/>
          </w:tcPr>
          <w:p w:rsidR="00252AC6" w:rsidRPr="008D7FB4" w:rsidRDefault="00B457FA" w:rsidP="0074349D">
            <w:pPr>
              <w:spacing w:before="60" w:after="60"/>
              <w:ind w:rightChars="192" w:right="461"/>
              <w:jc w:val="left"/>
              <w:rPr>
                <w:rFonts w:eastAsia="Calibri"/>
                <w:noProof/>
              </w:rPr>
            </w:pPr>
            <w:r w:rsidRPr="008D7FB4">
              <w:rPr>
                <w:noProof/>
              </w:rPr>
              <w:t>611</w:t>
            </w:r>
          </w:p>
        </w:tc>
      </w:tr>
      <w:tr w:rsidR="00252AC6" w:rsidRPr="008D7FB4" w:rsidTr="00F060F9">
        <w:tc>
          <w:tcPr>
            <w:tcW w:w="4908" w:type="dxa"/>
            <w:tcBorders>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Número total de beneficiários elegíveis</w:t>
            </w:r>
          </w:p>
        </w:tc>
        <w:tc>
          <w:tcPr>
            <w:tcW w:w="4379" w:type="dxa"/>
            <w:tcBorders>
              <w:bottom w:val="dotted" w:sz="4" w:space="0" w:color="auto"/>
            </w:tcBorders>
            <w:shd w:val="clear" w:color="auto" w:fill="auto"/>
          </w:tcPr>
          <w:p w:rsidR="00252AC6" w:rsidRPr="008D7FB4" w:rsidRDefault="00B457FA" w:rsidP="0074349D">
            <w:pPr>
              <w:spacing w:before="60" w:after="60"/>
              <w:ind w:rightChars="192" w:right="461"/>
              <w:jc w:val="left"/>
              <w:rPr>
                <w:rFonts w:eastAsia="Calibri"/>
                <w:noProof/>
              </w:rPr>
            </w:pPr>
            <w:r w:rsidRPr="008D7FB4">
              <w:rPr>
                <w:noProof/>
              </w:rPr>
              <w:t>611</w:t>
            </w:r>
          </w:p>
        </w:tc>
      </w:tr>
      <w:tr w:rsidR="00252AC6" w:rsidRPr="008D7FB4" w:rsidTr="00F060F9">
        <w:tc>
          <w:tcPr>
            <w:tcW w:w="4908" w:type="dxa"/>
            <w:tcBorders>
              <w:top w:val="dotted" w:sz="4" w:space="0" w:color="auto"/>
              <w:bottom w:val="dotted" w:sz="4" w:space="0" w:color="auto"/>
            </w:tcBorders>
            <w:shd w:val="clear" w:color="auto" w:fill="auto"/>
          </w:tcPr>
          <w:p w:rsidR="00252AC6" w:rsidRPr="008D7FB4" w:rsidRDefault="00252AC6" w:rsidP="00F060F9">
            <w:pPr>
              <w:spacing w:before="60" w:after="60"/>
              <w:jc w:val="left"/>
              <w:rPr>
                <w:rFonts w:eastAsia="Calibri"/>
                <w:noProof/>
              </w:rPr>
            </w:pPr>
            <w:r w:rsidRPr="008D7FB4">
              <w:rPr>
                <w:noProof/>
              </w:rPr>
              <w:t>Número total de beneficiários visados</w:t>
            </w:r>
          </w:p>
        </w:tc>
        <w:tc>
          <w:tcPr>
            <w:tcW w:w="4379" w:type="dxa"/>
            <w:tcBorders>
              <w:top w:val="dotted" w:sz="4" w:space="0" w:color="auto"/>
              <w:bottom w:val="dotted" w:sz="4" w:space="0" w:color="auto"/>
            </w:tcBorders>
            <w:shd w:val="clear" w:color="auto" w:fill="auto"/>
          </w:tcPr>
          <w:p w:rsidR="00252AC6" w:rsidRPr="008D7FB4" w:rsidRDefault="00B457FA" w:rsidP="000A5FA0">
            <w:pPr>
              <w:spacing w:before="60" w:after="60"/>
              <w:ind w:rightChars="192" w:right="461"/>
              <w:jc w:val="left"/>
              <w:rPr>
                <w:rFonts w:eastAsia="Calibri"/>
                <w:noProof/>
              </w:rPr>
            </w:pPr>
            <w:r w:rsidRPr="008D7FB4">
              <w:rPr>
                <w:noProof/>
              </w:rPr>
              <w:t>611</w:t>
            </w:r>
          </w:p>
        </w:tc>
      </w:tr>
      <w:tr w:rsidR="00252AC6" w:rsidRPr="008D7FB4" w:rsidTr="00F060F9">
        <w:tc>
          <w:tcPr>
            <w:tcW w:w="4908" w:type="dxa"/>
            <w:tcBorders>
              <w:bottom w:val="dotted" w:sz="4" w:space="0" w:color="auto"/>
            </w:tcBorders>
            <w:shd w:val="clear" w:color="auto" w:fill="auto"/>
            <w:vAlign w:val="center"/>
          </w:tcPr>
          <w:p w:rsidR="00252AC6" w:rsidRPr="008D7FB4" w:rsidRDefault="00252AC6" w:rsidP="00F060F9">
            <w:pPr>
              <w:spacing w:before="0" w:after="0"/>
              <w:jc w:val="left"/>
              <w:rPr>
                <w:noProof/>
              </w:rPr>
            </w:pPr>
            <w:r w:rsidRPr="008D7FB4">
              <w:rPr>
                <w:noProof/>
              </w:rPr>
              <w:t>Orçamento para serviços personalizados (EUR)</w:t>
            </w:r>
          </w:p>
        </w:tc>
        <w:tc>
          <w:tcPr>
            <w:tcW w:w="4379" w:type="dxa"/>
            <w:tcBorders>
              <w:bottom w:val="dotted" w:sz="4" w:space="0" w:color="auto"/>
            </w:tcBorders>
            <w:shd w:val="clear" w:color="auto" w:fill="auto"/>
            <w:vAlign w:val="center"/>
          </w:tcPr>
          <w:p w:rsidR="00252AC6" w:rsidRPr="008D7FB4" w:rsidRDefault="000A5FA0" w:rsidP="000A5FA0">
            <w:pPr>
              <w:spacing w:before="0" w:after="0"/>
              <w:ind w:rightChars="192" w:right="461"/>
              <w:jc w:val="left"/>
              <w:rPr>
                <w:noProof/>
              </w:rPr>
            </w:pPr>
            <w:r w:rsidRPr="008D7FB4">
              <w:rPr>
                <w:noProof/>
              </w:rPr>
              <w:t>4 376 000</w:t>
            </w:r>
          </w:p>
        </w:tc>
      </w:tr>
      <w:tr w:rsidR="00252AC6" w:rsidRPr="008D7FB4" w:rsidTr="00F060F9">
        <w:tc>
          <w:tcPr>
            <w:tcW w:w="4908" w:type="dxa"/>
            <w:tcBorders>
              <w:top w:val="dotted" w:sz="4" w:space="0" w:color="auto"/>
              <w:bottom w:val="dotted" w:sz="4" w:space="0" w:color="auto"/>
            </w:tcBorders>
            <w:shd w:val="clear" w:color="auto" w:fill="auto"/>
            <w:vAlign w:val="center"/>
          </w:tcPr>
          <w:p w:rsidR="00252AC6" w:rsidRPr="008D7FB4" w:rsidRDefault="00252AC6" w:rsidP="00F060F9">
            <w:pPr>
              <w:spacing w:before="0" w:after="0"/>
              <w:jc w:val="left"/>
              <w:rPr>
                <w:noProof/>
              </w:rPr>
            </w:pPr>
            <w:r w:rsidRPr="008D7FB4">
              <w:rPr>
                <w:noProof/>
              </w:rPr>
              <w:t>Orçamento para a execução do FEG</w:t>
            </w:r>
            <w:r w:rsidRPr="008D7FB4">
              <w:rPr>
                <w:rStyle w:val="FootnoteReference"/>
                <w:noProof/>
              </w:rPr>
              <w:footnoteReference w:id="5"/>
            </w:r>
            <w:r w:rsidRPr="008D7FB4">
              <w:rPr>
                <w:noProof/>
              </w:rPr>
              <w:t xml:space="preserve"> (EUR)</w:t>
            </w:r>
          </w:p>
        </w:tc>
        <w:tc>
          <w:tcPr>
            <w:tcW w:w="4379" w:type="dxa"/>
            <w:tcBorders>
              <w:top w:val="dotted" w:sz="4" w:space="0" w:color="auto"/>
              <w:bottom w:val="dotted" w:sz="4" w:space="0" w:color="auto"/>
            </w:tcBorders>
            <w:shd w:val="clear" w:color="auto" w:fill="auto"/>
            <w:vAlign w:val="center"/>
          </w:tcPr>
          <w:p w:rsidR="00252AC6" w:rsidRPr="008D7FB4" w:rsidRDefault="000A5FA0" w:rsidP="000A5FA0">
            <w:pPr>
              <w:spacing w:before="0" w:after="0"/>
              <w:ind w:rightChars="192" w:right="461"/>
              <w:jc w:val="left"/>
              <w:rPr>
                <w:noProof/>
              </w:rPr>
            </w:pPr>
            <w:r w:rsidRPr="008D7FB4">
              <w:rPr>
                <w:noProof/>
                <w:color w:val="FFFFFF" w:themeColor="background1"/>
              </w:rPr>
              <w:t>0</w:t>
            </w:r>
            <w:r w:rsidRPr="008D7FB4">
              <w:rPr>
                <w:noProof/>
              </w:rPr>
              <w:t> 182 400</w:t>
            </w:r>
          </w:p>
        </w:tc>
      </w:tr>
      <w:tr w:rsidR="00252AC6" w:rsidRPr="008D7FB4" w:rsidTr="00F060F9">
        <w:tc>
          <w:tcPr>
            <w:tcW w:w="4908" w:type="dxa"/>
            <w:tcBorders>
              <w:top w:val="dotted" w:sz="4" w:space="0" w:color="auto"/>
              <w:bottom w:val="dotted" w:sz="4" w:space="0" w:color="auto"/>
            </w:tcBorders>
            <w:shd w:val="clear" w:color="auto" w:fill="auto"/>
            <w:vAlign w:val="center"/>
          </w:tcPr>
          <w:p w:rsidR="00252AC6" w:rsidRPr="008D7FB4" w:rsidRDefault="00252AC6" w:rsidP="00F060F9">
            <w:pPr>
              <w:spacing w:before="0" w:after="0"/>
              <w:jc w:val="left"/>
              <w:rPr>
                <w:noProof/>
              </w:rPr>
            </w:pPr>
            <w:r w:rsidRPr="008D7FB4">
              <w:rPr>
                <w:noProof/>
              </w:rPr>
              <w:t>Orçamento total (EUR)</w:t>
            </w:r>
          </w:p>
        </w:tc>
        <w:tc>
          <w:tcPr>
            <w:tcW w:w="4379" w:type="dxa"/>
            <w:tcBorders>
              <w:top w:val="dotted" w:sz="4" w:space="0" w:color="auto"/>
              <w:bottom w:val="dotted" w:sz="4" w:space="0" w:color="auto"/>
            </w:tcBorders>
            <w:shd w:val="clear" w:color="auto" w:fill="auto"/>
            <w:vAlign w:val="center"/>
          </w:tcPr>
          <w:p w:rsidR="00252AC6" w:rsidRPr="008D7FB4" w:rsidRDefault="000A5FA0" w:rsidP="000A5FA0">
            <w:pPr>
              <w:spacing w:before="0" w:after="0"/>
              <w:ind w:rightChars="192" w:right="461"/>
              <w:jc w:val="left"/>
              <w:rPr>
                <w:noProof/>
              </w:rPr>
            </w:pPr>
            <w:r w:rsidRPr="008D7FB4">
              <w:rPr>
                <w:noProof/>
              </w:rPr>
              <w:t>4 558 400</w:t>
            </w:r>
          </w:p>
        </w:tc>
      </w:tr>
      <w:tr w:rsidR="00252AC6" w:rsidRPr="008D7FB4" w:rsidTr="00F060F9">
        <w:tc>
          <w:tcPr>
            <w:tcW w:w="4908" w:type="dxa"/>
            <w:tcBorders>
              <w:top w:val="dotted" w:sz="4" w:space="0" w:color="auto"/>
            </w:tcBorders>
            <w:shd w:val="clear" w:color="auto" w:fill="auto"/>
            <w:vAlign w:val="center"/>
          </w:tcPr>
          <w:p w:rsidR="00252AC6" w:rsidRPr="008D7FB4" w:rsidRDefault="00252AC6" w:rsidP="000A5FA0">
            <w:pPr>
              <w:spacing w:before="0" w:after="0"/>
              <w:jc w:val="left"/>
              <w:rPr>
                <w:noProof/>
              </w:rPr>
            </w:pPr>
            <w:r w:rsidRPr="008D7FB4">
              <w:rPr>
                <w:noProof/>
              </w:rPr>
              <w:t>Contribuição do FEG (85 %) (EUR)</w:t>
            </w:r>
          </w:p>
        </w:tc>
        <w:tc>
          <w:tcPr>
            <w:tcW w:w="4379" w:type="dxa"/>
            <w:tcBorders>
              <w:top w:val="dotted" w:sz="4" w:space="0" w:color="auto"/>
            </w:tcBorders>
            <w:shd w:val="clear" w:color="auto" w:fill="auto"/>
            <w:vAlign w:val="center"/>
          </w:tcPr>
          <w:p w:rsidR="00252AC6" w:rsidRPr="008D7FB4" w:rsidRDefault="000A5FA0" w:rsidP="000A5FA0">
            <w:pPr>
              <w:spacing w:before="0" w:after="0"/>
              <w:ind w:rightChars="192" w:right="461"/>
              <w:jc w:val="left"/>
              <w:rPr>
                <w:noProof/>
              </w:rPr>
            </w:pPr>
            <w:r w:rsidRPr="008D7FB4">
              <w:rPr>
                <w:noProof/>
              </w:rPr>
              <w:t>3 874 640</w:t>
            </w:r>
          </w:p>
        </w:tc>
      </w:tr>
    </w:tbl>
    <w:p w:rsidR="00252AC6" w:rsidRPr="008D7FB4" w:rsidRDefault="00252AC6" w:rsidP="00252AC6">
      <w:pPr>
        <w:pStyle w:val="ManualHeading1"/>
        <w:rPr>
          <w:noProof/>
        </w:rPr>
      </w:pPr>
      <w:r w:rsidRPr="008D7FB4">
        <w:rPr>
          <w:noProof/>
        </w:rPr>
        <w:t>AVALIAÇÃO DA CANDIDATURA</w:t>
      </w:r>
    </w:p>
    <w:p w:rsidR="00252AC6" w:rsidRPr="008D7FB4" w:rsidRDefault="00252AC6" w:rsidP="00252AC6">
      <w:pPr>
        <w:pStyle w:val="ManualHeading2"/>
        <w:rPr>
          <w:noProof/>
        </w:rPr>
      </w:pPr>
      <w:r w:rsidRPr="008D7FB4">
        <w:rPr>
          <w:noProof/>
        </w:rPr>
        <w:t>Procedimento</w:t>
      </w:r>
    </w:p>
    <w:p w:rsidR="00252AC6" w:rsidRPr="008D7FB4" w:rsidRDefault="007C298D" w:rsidP="007C298D">
      <w:pPr>
        <w:pStyle w:val="ManualNumPar1"/>
        <w:rPr>
          <w:noProof/>
        </w:rPr>
      </w:pPr>
      <w:r w:rsidRPr="007C298D">
        <w:t>4.</w:t>
      </w:r>
      <w:r w:rsidRPr="007C298D">
        <w:tab/>
      </w:r>
      <w:r w:rsidR="000A5FA0" w:rsidRPr="008D7FB4">
        <w:rPr>
          <w:noProof/>
        </w:rPr>
        <w:t>Em 15 de julho de 2021, a Itália apresentou a candidatura EGF/2021/002 IT/Air Italy no prazo de 12 semanas a partir da data em que foram cumpridos os critérios de intervenção previstos no artigo 4.º do Regulamento FEG</w:t>
      </w:r>
      <w:r w:rsidR="000A5FA0" w:rsidRPr="008D7FB4">
        <w:rPr>
          <w:rStyle w:val="FootnoteReference"/>
          <w:noProof/>
        </w:rPr>
        <w:footnoteReference w:id="6"/>
      </w:r>
      <w:r w:rsidR="000A5FA0" w:rsidRPr="008D7FB4">
        <w:rPr>
          <w:noProof/>
        </w:rPr>
        <w:t>. A Comissão confirmou a receção da candidatura e pediu informações complementares às autoridades italianas em 29 de julho de 2021. Essas informações foram transmitidas no prazo de quinze dias úteis a contar da data do pedido. O prazo de 50 dias úteis a contar da receção da candidatura completa de que a Comissão dispõe para concluir se a candidatura cumpre as condições para atribuição de uma contribuição financeira termina em 29 de outubro de 2021.</w:t>
      </w:r>
    </w:p>
    <w:p w:rsidR="00252AC6" w:rsidRPr="008D7FB4" w:rsidRDefault="00252AC6" w:rsidP="00252AC6">
      <w:pPr>
        <w:pStyle w:val="ManualHeading2"/>
        <w:rPr>
          <w:noProof/>
        </w:rPr>
      </w:pPr>
      <w:r w:rsidRPr="008D7FB4">
        <w:rPr>
          <w:noProof/>
        </w:rPr>
        <w:t>Elegibilidade da candidatura</w:t>
      </w:r>
    </w:p>
    <w:p w:rsidR="00252AC6" w:rsidRPr="008D7FB4" w:rsidRDefault="00252AC6" w:rsidP="00252AC6">
      <w:pPr>
        <w:pStyle w:val="ManualHeading3"/>
        <w:rPr>
          <w:noProof/>
        </w:rPr>
      </w:pPr>
      <w:r w:rsidRPr="008D7FB4">
        <w:rPr>
          <w:noProof/>
        </w:rPr>
        <w:t>Empresas e beneficiários em causa</w:t>
      </w:r>
    </w:p>
    <w:p w:rsidR="00252AC6" w:rsidRPr="008D7FB4" w:rsidRDefault="007C298D" w:rsidP="007C298D">
      <w:pPr>
        <w:pStyle w:val="ManualNumPar1"/>
        <w:rPr>
          <w:noProof/>
          <w:szCs w:val="24"/>
        </w:rPr>
      </w:pPr>
      <w:r w:rsidRPr="007C298D">
        <w:t>5.</w:t>
      </w:r>
      <w:r w:rsidRPr="007C298D">
        <w:tab/>
      </w:r>
      <w:r w:rsidR="00252AC6" w:rsidRPr="008D7FB4">
        <w:rPr>
          <w:noProof/>
        </w:rPr>
        <w:t>O pedido diz respeito a 466 trabalhadores despedidos cuja atividade cessou na empresa Air Italy SpA. A empresa opera no setor económico classificado na divisão 51 da NACE Rev. 2 (Transportes aéreos). Os despedimentos na Air Italy ocorreram na região NUTS 2 da Sardenha (ITG2).</w:t>
      </w:r>
    </w:p>
    <w:p w:rsidR="00252AC6" w:rsidRPr="008D7FB4" w:rsidRDefault="00252AC6" w:rsidP="00252AC6">
      <w:pPr>
        <w:pStyle w:val="ManualHeading3"/>
        <w:rPr>
          <w:noProof/>
        </w:rPr>
      </w:pPr>
      <w:r w:rsidRPr="008D7FB4">
        <w:rPr>
          <w:noProof/>
        </w:rPr>
        <w:t>Critérios de intervenção</w:t>
      </w:r>
    </w:p>
    <w:p w:rsidR="00252AC6" w:rsidRPr="008D7FB4" w:rsidRDefault="007C298D" w:rsidP="007C298D">
      <w:pPr>
        <w:pStyle w:val="ManualNumPar1"/>
        <w:rPr>
          <w:noProof/>
        </w:rPr>
      </w:pPr>
      <w:r w:rsidRPr="007C298D">
        <w:t>6.</w:t>
      </w:r>
      <w:r w:rsidRPr="007C298D">
        <w:tab/>
      </w:r>
      <w:r w:rsidR="00693E11" w:rsidRPr="008D7FB4">
        <w:rPr>
          <w:noProof/>
        </w:rPr>
        <w:t>As autoridades italianas apresentaram a candidatura ao abrigo do critério de intervenção previsto no artigo 4.º, n.º 2, alínea a), do Regulamento FEG, que condiciona o apoio à cessação da atividade de pelo menos 200 trabalhadores despedidos durante um período de referência de quatro meses, numa empresa de um Estado-Membro.</w:t>
      </w:r>
    </w:p>
    <w:p w:rsidR="00252AC6" w:rsidRPr="008D7FB4" w:rsidRDefault="007C298D" w:rsidP="007C298D">
      <w:pPr>
        <w:pStyle w:val="ManualNumPar1"/>
        <w:rPr>
          <w:noProof/>
        </w:rPr>
      </w:pPr>
      <w:bookmarkStart w:id="8" w:name="_Ref372189348"/>
      <w:r w:rsidRPr="007C298D">
        <w:t>7.</w:t>
      </w:r>
      <w:r w:rsidRPr="007C298D">
        <w:tab/>
      </w:r>
      <w:r w:rsidR="00252AC6" w:rsidRPr="008D7FB4">
        <w:rPr>
          <w:noProof/>
        </w:rPr>
        <w:t xml:space="preserve">O período de referência de quatro meses para a candidatura decorreu de 1 de setembro de 2020 a </w:t>
      </w:r>
      <w:bookmarkEnd w:id="8"/>
      <w:r w:rsidR="00252AC6" w:rsidRPr="008D7FB4">
        <w:rPr>
          <w:noProof/>
        </w:rPr>
        <w:t>1 de janeiro de 2021.</w:t>
      </w:r>
    </w:p>
    <w:p w:rsidR="00252AC6" w:rsidRPr="008D7FB4" w:rsidRDefault="007C298D" w:rsidP="007C298D">
      <w:pPr>
        <w:pStyle w:val="ManualNumPar1"/>
        <w:rPr>
          <w:noProof/>
        </w:rPr>
      </w:pPr>
      <w:r w:rsidRPr="007C298D">
        <w:t>8.</w:t>
      </w:r>
      <w:r w:rsidRPr="007C298D">
        <w:tab/>
      </w:r>
      <w:r w:rsidR="00252AC6" w:rsidRPr="008D7FB4">
        <w:rPr>
          <w:noProof/>
        </w:rPr>
        <w:t xml:space="preserve">Durante o período de referência, foram despedidos 466 trabalhadores da Air Italy. </w:t>
      </w:r>
    </w:p>
    <w:p w:rsidR="00252AC6" w:rsidRPr="008D7FB4" w:rsidRDefault="00252AC6" w:rsidP="00252AC6">
      <w:pPr>
        <w:pStyle w:val="ManualHeading3"/>
        <w:rPr>
          <w:noProof/>
        </w:rPr>
      </w:pPr>
      <w:r w:rsidRPr="008D7FB4">
        <w:rPr>
          <w:noProof/>
        </w:rPr>
        <w:t>Cálculo dos despedimentos e da cessação de atividade</w:t>
      </w:r>
    </w:p>
    <w:p w:rsidR="00252AC6" w:rsidRPr="008D7FB4" w:rsidRDefault="007C298D" w:rsidP="007C298D">
      <w:pPr>
        <w:pStyle w:val="ManualNumPar1"/>
        <w:rPr>
          <w:noProof/>
        </w:rPr>
      </w:pPr>
      <w:r w:rsidRPr="007C298D">
        <w:t>9.</w:t>
      </w:r>
      <w:r w:rsidRPr="007C298D">
        <w:tab/>
      </w:r>
      <w:r w:rsidR="00252AC6" w:rsidRPr="008D7FB4">
        <w:rPr>
          <w:noProof/>
        </w:rPr>
        <w:t>A cessação da atividade de todos os trabalhadores despedidos no período de referência foi calculada a partir da data em que o empregador, nos termos do artigo 3.º, n.º 1, da Diretiva 98/59/CE do Conselho</w:t>
      </w:r>
      <w:r w:rsidR="00252AC6" w:rsidRPr="008D7FB4">
        <w:rPr>
          <w:rStyle w:val="FootnoteReference"/>
          <w:noProof/>
        </w:rPr>
        <w:footnoteReference w:id="7"/>
      </w:r>
      <w:r w:rsidR="00252AC6" w:rsidRPr="008D7FB4">
        <w:rPr>
          <w:noProof/>
        </w:rPr>
        <w:t>, notificou a autoridade pública competente, por escrito, do projeto de despedimento coletivo. As autoridades italianas confirmaram, antes da data da conclusão da avaliação pela Comissão, que estes 466 despedimentos foram efetivamente concretizados.</w:t>
      </w:r>
    </w:p>
    <w:p w:rsidR="00252AC6" w:rsidRPr="008D7FB4" w:rsidRDefault="00252AC6" w:rsidP="00252AC6">
      <w:pPr>
        <w:pStyle w:val="ManualHeading3"/>
        <w:rPr>
          <w:noProof/>
        </w:rPr>
      </w:pPr>
      <w:r w:rsidRPr="008D7FB4">
        <w:rPr>
          <w:noProof/>
        </w:rPr>
        <w:t>Beneficiários elegíveis</w:t>
      </w:r>
    </w:p>
    <w:p w:rsidR="00252AC6" w:rsidRPr="008D7FB4" w:rsidRDefault="007C298D" w:rsidP="007C298D">
      <w:pPr>
        <w:pStyle w:val="ManualNumPar1"/>
        <w:rPr>
          <w:noProof/>
        </w:rPr>
      </w:pPr>
      <w:r w:rsidRPr="007C298D">
        <w:t>10.</w:t>
      </w:r>
      <w:r w:rsidRPr="007C298D">
        <w:tab/>
      </w:r>
      <w:r w:rsidR="00252AC6" w:rsidRPr="008D7FB4">
        <w:rPr>
          <w:noProof/>
        </w:rPr>
        <w:t>Para além dos trabalhadores já referidos, o conjunto dos beneficiários elegíveis inclui 145 trabalhadores despedidos cuja atividade cessou antes ou depois do período de referência de quatro meses. Em conformidade com o artigo 6.º, alínea b), do Regulamento FEG, todos estes trabalhadores cessaram a sua atividade nos seis meses anteriores ao início do período de referência, em 1 de setembro de 2020, e/ou entre o termo do período de referência e o dia anterior à adoção da presente proposta. É possível estabelecer um nexo causal claro com o facto que desencadeou a cessação da atividade dos trabalhadores despedidos durante o período de referência.</w:t>
      </w:r>
    </w:p>
    <w:p w:rsidR="00252AC6" w:rsidRPr="008D7FB4" w:rsidRDefault="007C298D" w:rsidP="007C298D">
      <w:pPr>
        <w:pStyle w:val="ManualNumPar1"/>
        <w:rPr>
          <w:noProof/>
        </w:rPr>
      </w:pPr>
      <w:r w:rsidRPr="007C298D">
        <w:t>11.</w:t>
      </w:r>
      <w:r w:rsidRPr="007C298D">
        <w:tab/>
      </w:r>
      <w:r w:rsidR="00252AC6" w:rsidRPr="008D7FB4">
        <w:rPr>
          <w:noProof/>
        </w:rPr>
        <w:t>O número total de beneficiários elegíveis é, pois, de 611.</w:t>
      </w:r>
    </w:p>
    <w:p w:rsidR="00252AC6" w:rsidRPr="008D7FB4" w:rsidRDefault="00385115" w:rsidP="00252AC6">
      <w:pPr>
        <w:pStyle w:val="ManualHeading3"/>
        <w:rPr>
          <w:noProof/>
        </w:rPr>
      </w:pPr>
      <w:r w:rsidRPr="008D7FB4">
        <w:rPr>
          <w:noProof/>
        </w:rPr>
        <w:t>Descrição dos acontecimentos que conduziram aos despedimentos e à cessação de atividade</w:t>
      </w:r>
    </w:p>
    <w:p w:rsidR="00554D0C" w:rsidRPr="008D7FB4" w:rsidRDefault="007C298D" w:rsidP="007C298D">
      <w:pPr>
        <w:pStyle w:val="ManualNumPar1"/>
        <w:rPr>
          <w:noProof/>
        </w:rPr>
      </w:pPr>
      <w:r w:rsidRPr="007C298D">
        <w:t>12.</w:t>
      </w:r>
      <w:r w:rsidRPr="007C298D">
        <w:tab/>
      </w:r>
      <w:r w:rsidR="00554D0C" w:rsidRPr="008D7FB4">
        <w:rPr>
          <w:noProof/>
        </w:rPr>
        <w:t>Em 1963, foi criada uma companhia aérea privada, designada Alisarda, com o objetivo de impulsionar o desenvolvimento do turismo na Costa Smeralda (Nordeste da Sardenha) que era, na altura, apenas servida por via marítima. Em 1991, a Alisarda alterou o seu nome para Meridiana no quadro de um reposicionamento estratégico no mercado internacional. Na década de 1990, o volume de negócios da Meridiana aumentou anualmente cerca de 10 %, em média. Em 2004, a Meridiana transportou 3,5 milhões de passageiros e entrou em concorrência direta com a Alitalia e a AirOne na rota Milão Linate-Roma Fiumicino, a rota com o tráfego mais elevado em Itália. Em 2006, a Meridiana assumiu as atividades da Eurofly, dando início a um processo de integração que ficou concluído em 2010. A companhia aérea foi rebatizada Meridiana Fly.</w:t>
      </w:r>
    </w:p>
    <w:p w:rsidR="00554D0C" w:rsidRPr="008D7FB4" w:rsidRDefault="007C298D" w:rsidP="007C298D">
      <w:pPr>
        <w:pStyle w:val="ManualNumPar1"/>
        <w:rPr>
          <w:noProof/>
        </w:rPr>
      </w:pPr>
      <w:r w:rsidRPr="007C298D">
        <w:t>13.</w:t>
      </w:r>
      <w:r w:rsidRPr="007C298D">
        <w:tab/>
      </w:r>
      <w:r w:rsidR="00554D0C" w:rsidRPr="008D7FB4">
        <w:rPr>
          <w:noProof/>
        </w:rPr>
        <w:t>Em 2013, a Meridiana Fly adquiriu a Air Italy, uma transportadora aérea criada em 2005 para o transporte aéreo por voos fretados e regulares de curto, médio e longo curso.</w:t>
      </w:r>
    </w:p>
    <w:p w:rsidR="00554D0C" w:rsidRPr="008D7FB4" w:rsidRDefault="007C298D" w:rsidP="007C298D">
      <w:pPr>
        <w:pStyle w:val="ManualNumPar1"/>
        <w:rPr>
          <w:noProof/>
        </w:rPr>
      </w:pPr>
      <w:r w:rsidRPr="007C298D">
        <w:t>14.</w:t>
      </w:r>
      <w:r w:rsidRPr="007C298D">
        <w:tab/>
      </w:r>
      <w:r w:rsidR="00554D0C" w:rsidRPr="008D7FB4">
        <w:rPr>
          <w:noProof/>
        </w:rPr>
        <w:t>Em 2018, as duas companhias fundiram-se para criar a nova Air Italy detida pela AQA Holding</w:t>
      </w:r>
      <w:r w:rsidR="00554D0C" w:rsidRPr="008D7FB4">
        <w:rPr>
          <w:rStyle w:val="FootnoteReference"/>
          <w:noProof/>
        </w:rPr>
        <w:footnoteReference w:id="8"/>
      </w:r>
      <w:r w:rsidR="00554D0C" w:rsidRPr="008D7FB4">
        <w:rPr>
          <w:noProof/>
        </w:rPr>
        <w:t>. A AQA Holding apresentou um plano ambicioso para cobrir uma vasta gama de destinos em Itália e impulsionar os voos intercontinentais a partir da plataforma internacional da companhia aérea, no aeroporto de Milão Malpensa</w:t>
      </w:r>
      <w:r w:rsidR="00554D0C" w:rsidRPr="008D7FB4">
        <w:rPr>
          <w:rStyle w:val="FootnoteReference"/>
          <w:noProof/>
        </w:rPr>
        <w:footnoteReference w:id="9"/>
      </w:r>
      <w:r w:rsidR="00554D0C" w:rsidRPr="008D7FB4">
        <w:rPr>
          <w:noProof/>
        </w:rPr>
        <w:t xml:space="preserve">. </w:t>
      </w:r>
    </w:p>
    <w:p w:rsidR="00357AA1" w:rsidRPr="008D7FB4" w:rsidRDefault="007C298D" w:rsidP="007C298D">
      <w:pPr>
        <w:pStyle w:val="ManualNumPar1"/>
        <w:rPr>
          <w:noProof/>
        </w:rPr>
      </w:pPr>
      <w:r w:rsidRPr="007C298D">
        <w:t>15.</w:t>
      </w:r>
      <w:r w:rsidRPr="007C298D">
        <w:tab/>
      </w:r>
      <w:r w:rsidR="00554D0C" w:rsidRPr="008D7FB4">
        <w:rPr>
          <w:noProof/>
        </w:rPr>
        <w:t>Desde a sua criação, a Air Italy enfrentou vários problemas, designadamente os litígios com a Alitalia sobre rotas entre a Itália continental e a Sardenha</w:t>
      </w:r>
      <w:r w:rsidR="00554D0C" w:rsidRPr="008D7FB4">
        <w:rPr>
          <w:rStyle w:val="FootnoteReference"/>
          <w:noProof/>
        </w:rPr>
        <w:footnoteReference w:id="10"/>
      </w:r>
      <w:r w:rsidR="00554D0C" w:rsidRPr="008D7FB4">
        <w:rPr>
          <w:noProof/>
        </w:rPr>
        <w:t xml:space="preserve"> ou a forte reação da American Airlines, da Delta e da United, que consideraram a Air Italy como uma forma de a Qatar Airways se expandir nos Estados Unidos. Numa carta aberta ao Presidente Trump</w:t>
      </w:r>
      <w:r w:rsidR="00554D0C" w:rsidRPr="008D7FB4">
        <w:rPr>
          <w:rStyle w:val="FootnoteReference"/>
          <w:noProof/>
        </w:rPr>
        <w:footnoteReference w:id="11"/>
      </w:r>
      <w:r w:rsidR="00554D0C" w:rsidRPr="008D7FB4">
        <w:rPr>
          <w:noProof/>
        </w:rPr>
        <w:t>, as três transportadoras solicitaram que a Air Italy fosse impedida de aumentar o número de voos sem escala entre os EUA e a Europa</w:t>
      </w:r>
      <w:r w:rsidR="00554D0C" w:rsidRPr="008D7FB4">
        <w:rPr>
          <w:rStyle w:val="FootnoteReference"/>
          <w:noProof/>
        </w:rPr>
        <w:footnoteReference w:id="12"/>
      </w:r>
      <w:r w:rsidR="00554D0C" w:rsidRPr="008D7FB4">
        <w:rPr>
          <w:noProof/>
        </w:rPr>
        <w:t>. O pedido dificultou o estabelecimento de eventuais parcerias, numa altura em que a Air Italy procurava celebrar os seus primeiros acordos transatlânticos interlinhas e de partilha de códigos</w:t>
      </w:r>
      <w:r w:rsidR="00554D0C" w:rsidRPr="008D7FB4">
        <w:rPr>
          <w:rStyle w:val="FootnoteReference"/>
          <w:noProof/>
        </w:rPr>
        <w:footnoteReference w:id="13"/>
      </w:r>
      <w:r w:rsidR="00554D0C" w:rsidRPr="008D7FB4">
        <w:rPr>
          <w:noProof/>
        </w:rPr>
        <w:t>.</w:t>
      </w:r>
    </w:p>
    <w:p w:rsidR="00554D0C" w:rsidRPr="008D7FB4" w:rsidRDefault="007C298D" w:rsidP="007C298D">
      <w:pPr>
        <w:pStyle w:val="ManualNumPar1"/>
        <w:rPr>
          <w:noProof/>
        </w:rPr>
      </w:pPr>
      <w:r w:rsidRPr="007C298D">
        <w:t>16.</w:t>
      </w:r>
      <w:r w:rsidRPr="007C298D">
        <w:tab/>
      </w:r>
      <w:r w:rsidR="00FC7465" w:rsidRPr="008D7FB4">
        <w:rPr>
          <w:noProof/>
        </w:rPr>
        <w:t>Além disso, a frota cresceu menos rapidamente do que o previsto (em janeiro de 2020, a frota era composta por 11 aeronaves: quatro Airbus A330 e sete Boeing 737). Os três novos Boeing 737 Max adquiridos tiveram de ser imobilizados devido às falhas de segurança constatadas aquando dos trágicos acidentes ocorridos na Indonésia e na Etiópia</w:t>
      </w:r>
      <w:r w:rsidR="00FC7465" w:rsidRPr="008D7FB4">
        <w:rPr>
          <w:rStyle w:val="FootnoteReference"/>
          <w:noProof/>
        </w:rPr>
        <w:footnoteReference w:id="14"/>
      </w:r>
      <w:r w:rsidR="00FC7465" w:rsidRPr="008D7FB4">
        <w:rPr>
          <w:noProof/>
        </w:rPr>
        <w:t>. Algumas rotas foram canceladas pouco depois de terem começado</w:t>
      </w:r>
      <w:r w:rsidR="00FC7465" w:rsidRPr="008D7FB4">
        <w:rPr>
          <w:rStyle w:val="FootnoteReference"/>
          <w:noProof/>
        </w:rPr>
        <w:footnoteReference w:id="15"/>
      </w:r>
      <w:r w:rsidR="00FC7465" w:rsidRPr="008D7FB4">
        <w:rPr>
          <w:noProof/>
        </w:rPr>
        <w:t xml:space="preserve"> e outras foram anunciadas e nunca foram lançadas</w:t>
      </w:r>
      <w:r w:rsidR="00FC7465" w:rsidRPr="008D7FB4">
        <w:rPr>
          <w:rStyle w:val="FootnoteReference"/>
          <w:noProof/>
        </w:rPr>
        <w:footnoteReference w:id="16"/>
      </w:r>
      <w:r w:rsidR="00FC7465" w:rsidRPr="008D7FB4">
        <w:rPr>
          <w:noProof/>
        </w:rPr>
        <w:t>.</w:t>
      </w:r>
    </w:p>
    <w:p w:rsidR="00554D0C" w:rsidRPr="008D7FB4" w:rsidRDefault="007C298D" w:rsidP="007C298D">
      <w:pPr>
        <w:pStyle w:val="ManualNumPar1"/>
        <w:rPr>
          <w:noProof/>
        </w:rPr>
      </w:pPr>
      <w:r w:rsidRPr="007C298D">
        <w:t>17.</w:t>
      </w:r>
      <w:r w:rsidRPr="007C298D">
        <w:tab/>
      </w:r>
      <w:r w:rsidR="00554D0C" w:rsidRPr="008D7FB4">
        <w:rPr>
          <w:noProof/>
        </w:rPr>
        <w:t>Em 2018, o primeiro ano de atividades da Air Italy, as perdas ascenderam a quase 160 milhões de EUR (57 % do volume de negócios). Em 2019, apesar do aumento do volume de negócios (cerca de 330 milhões de EUR), as perdas atingiram 230 milhões de EUR, ou seja, 70 % do volume de negócios</w:t>
      </w:r>
      <w:r w:rsidR="00554D0C" w:rsidRPr="008D7FB4">
        <w:rPr>
          <w:rStyle w:val="FootnoteReference"/>
          <w:noProof/>
        </w:rPr>
        <w:footnoteReference w:id="17"/>
      </w:r>
      <w:r w:rsidR="00554D0C" w:rsidRPr="008D7FB4">
        <w:rPr>
          <w:noProof/>
        </w:rPr>
        <w:t>.</w:t>
      </w:r>
    </w:p>
    <w:p w:rsidR="00554D0C" w:rsidRPr="008D7FB4" w:rsidRDefault="007C298D" w:rsidP="007C298D">
      <w:pPr>
        <w:pStyle w:val="ManualNumPar1"/>
        <w:rPr>
          <w:noProof/>
        </w:rPr>
      </w:pPr>
      <w:r w:rsidRPr="007C298D">
        <w:t>18.</w:t>
      </w:r>
      <w:r w:rsidRPr="007C298D">
        <w:tab/>
      </w:r>
      <w:r w:rsidR="00554D0C" w:rsidRPr="008D7FB4">
        <w:rPr>
          <w:noProof/>
        </w:rPr>
        <w:t>A Air Italy precisava de 200 milhões de EUR para continuar em atividade. A Qatar Airways parecia estar disposta a investir mais, mas uma nova aquisição de ações teria transformado a Qatar Airways no principal acionista e a Air Italy teria perdido a sua licença de companhia aérea da União Europeia</w:t>
      </w:r>
      <w:r w:rsidR="00554D0C" w:rsidRPr="008D7FB4">
        <w:rPr>
          <w:rStyle w:val="FootnoteReference"/>
          <w:noProof/>
        </w:rPr>
        <w:footnoteReference w:id="18"/>
      </w:r>
      <w:r w:rsidR="00554D0C" w:rsidRPr="008D7FB4">
        <w:rPr>
          <w:noProof/>
        </w:rPr>
        <w:t>.</w:t>
      </w:r>
    </w:p>
    <w:p w:rsidR="00554D0C" w:rsidRPr="008D7FB4" w:rsidRDefault="007C298D" w:rsidP="007C298D">
      <w:pPr>
        <w:pStyle w:val="ManualNumPar1"/>
        <w:rPr>
          <w:noProof/>
        </w:rPr>
      </w:pPr>
      <w:r w:rsidRPr="007C298D">
        <w:t>19.</w:t>
      </w:r>
      <w:r w:rsidRPr="007C298D">
        <w:tab/>
      </w:r>
      <w:r w:rsidR="00554D0C" w:rsidRPr="008D7FB4">
        <w:rPr>
          <w:noProof/>
        </w:rPr>
        <w:t>Em 11 de fevereiro de 2020, a Air Italy anunciou que os seus acionistas tinham aprovado uma liquidação voluntária e a anulação de todas as operações a partir de 25 de fevereiro de 2020.</w:t>
      </w:r>
    </w:p>
    <w:p w:rsidR="00252AC6" w:rsidRPr="008D7FB4" w:rsidRDefault="007C298D" w:rsidP="007C298D">
      <w:pPr>
        <w:pStyle w:val="ManualNumPar1"/>
        <w:rPr>
          <w:noProof/>
        </w:rPr>
      </w:pPr>
      <w:r w:rsidRPr="007C298D">
        <w:t>20.</w:t>
      </w:r>
      <w:r w:rsidRPr="007C298D">
        <w:tab/>
      </w:r>
      <w:r w:rsidR="00C24562" w:rsidRPr="008D7FB4">
        <w:rPr>
          <w:noProof/>
        </w:rPr>
        <w:t>Dois dias após a cessação de todas as operações, a Air Italy deu início a um processo de despedimento coletivo de todo o seu pessoal (1 453 trabalhadores). No entanto, o procedimento foi suspenso até setembro de 2020, devido à entrada em vigor do decreto-lei</w:t>
      </w:r>
      <w:r w:rsidR="00C24562" w:rsidRPr="008D7FB4">
        <w:rPr>
          <w:rStyle w:val="FootnoteReference"/>
          <w:noProof/>
        </w:rPr>
        <w:footnoteReference w:id="19"/>
      </w:r>
      <w:r w:rsidR="00C24562" w:rsidRPr="008D7FB4">
        <w:rPr>
          <w:noProof/>
        </w:rPr>
        <w:t xml:space="preserve"> que impede o despedimento de trabalhadores durante os primeiros meses da pandemia.</w:t>
      </w:r>
    </w:p>
    <w:p w:rsidR="007B2347" w:rsidRPr="008D7FB4" w:rsidRDefault="007B2347" w:rsidP="007B2347">
      <w:pPr>
        <w:pStyle w:val="ManualHeading2"/>
        <w:ind w:left="0" w:firstLine="0"/>
        <w:rPr>
          <w:noProof/>
        </w:rPr>
      </w:pPr>
      <w:r w:rsidRPr="008D7FB4">
        <w:rPr>
          <w:noProof/>
        </w:rPr>
        <w:t>Aplicação do Quadro de qualidade da UE para a antecipação da mudança e de processos de reestruturação</w:t>
      </w:r>
    </w:p>
    <w:p w:rsidR="007B2347" w:rsidRPr="008D7FB4" w:rsidRDefault="007C298D" w:rsidP="007C298D">
      <w:pPr>
        <w:pStyle w:val="ManualNumPar1"/>
        <w:rPr>
          <w:noProof/>
        </w:rPr>
      </w:pPr>
      <w:r w:rsidRPr="007C298D">
        <w:t>21.</w:t>
      </w:r>
      <w:r w:rsidRPr="007C298D">
        <w:tab/>
      </w:r>
      <w:r w:rsidR="007B2347" w:rsidRPr="008D7FB4">
        <w:rPr>
          <w:noProof/>
        </w:rPr>
        <w:t xml:space="preserve">Na sua candidatura, a Itália descreveu de que forma foram tidas em conta as recomendações formuladas no Quadro de qualidade da UE para a antecipação da mudança e de processos de reestruturação. As autoridades envolvidas no caso da Air Italy (ministérios do trabalho e da política social, transportes e desenvolvimento económico, juntamente com as autoridades das regiões em causa) tentaram determinar eventuais medidas para evitar os despedimentos coletivos, tais como a identificação de um comprador para a empresa colocada em liquidação em 11 de fevereiro de 2020. </w:t>
      </w:r>
    </w:p>
    <w:p w:rsidR="007B2347" w:rsidRPr="008D7FB4" w:rsidRDefault="007B2347" w:rsidP="007B2347">
      <w:pPr>
        <w:pStyle w:val="Text1"/>
        <w:rPr>
          <w:noProof/>
        </w:rPr>
      </w:pPr>
      <w:r w:rsidRPr="008D7FB4">
        <w:rPr>
          <w:noProof/>
        </w:rPr>
        <w:t>Confrontados com a impossibilidade de evitar o despedimento coletivo na Air Italy, o serviço público regional de emprego e a região da Sardenha tomaram medidas diretas para atingir os objetivos recomendados no QQR em matéria de formação, certificação e reinserção profissional. A ASPAL identificou as medidas mais adequadas para garantir a reinserção profissional dos trabalhadores, proporcionando-lhes competências transferíveis, tais como competências informáticas, linguísticas ou empresariais. Os parceiros sociais participaram plenamente no planeamento das medidas. As empresas locais manifestaram interesse em participar em atividades para fazer corresponder ofertas e pedidos de emprego envolvendo antigos trabalhadores da Air Italy. Durante as reuniões realizadas no âmbito do processo de despedimento coletivo, os sindicatos pediram à Air Italy que considerasse a possibilidade de solicitar o regime especial de integração salarial</w:t>
      </w:r>
      <w:r w:rsidRPr="008D7FB4">
        <w:rPr>
          <w:rStyle w:val="FootnoteReference"/>
          <w:noProof/>
        </w:rPr>
        <w:footnoteReference w:id="20"/>
      </w:r>
      <w:r w:rsidRPr="008D7FB4">
        <w:rPr>
          <w:noProof/>
        </w:rPr>
        <w:t xml:space="preserve"> para atenuar o impacto social da sua decisão de cessar atividades, apoiando simultaneamente a reafetação de trabalhadores despedidos através dos serviços de assistência intensiva à relocalização de trabalhadores</w:t>
      </w:r>
      <w:r w:rsidRPr="008D7FB4">
        <w:rPr>
          <w:rStyle w:val="FootnoteReference"/>
          <w:noProof/>
        </w:rPr>
        <w:footnoteReference w:id="21"/>
      </w:r>
      <w:r w:rsidRPr="008D7FB4">
        <w:rPr>
          <w:noProof/>
        </w:rPr>
        <w:t xml:space="preserve"> ligados ao regime de integração salarial. Todos os trabalhadores puderam beneficiar do regime de integração salarial e dos serviços de assistência à relocalização que lhe estão associados.</w:t>
      </w:r>
    </w:p>
    <w:p w:rsidR="007B2347" w:rsidRPr="008D7FB4" w:rsidRDefault="007C298D" w:rsidP="007C298D">
      <w:pPr>
        <w:pStyle w:val="ManualNumPar1"/>
        <w:rPr>
          <w:noProof/>
        </w:rPr>
      </w:pPr>
      <w:r w:rsidRPr="007C298D">
        <w:t>22.</w:t>
      </w:r>
      <w:r w:rsidRPr="007C298D">
        <w:tab/>
      </w:r>
      <w:r w:rsidR="007B2347" w:rsidRPr="008D7FB4">
        <w:rPr>
          <w:noProof/>
        </w:rPr>
        <w:t>No que diz respeito às atividades de assistência aos trabalhadores despedidos, a Itália comunicou que a medida «informação geral e orientação profissional» já foi aplicada. Quarenta trabalhadores optaram por enveredar pelo trabalho por conta própria. Como contribuição para as medidas implementadas pela Regione Sardegna, a Air Italy prestou apoio (incluindo exames médicos) à renovação de licenças até 30 de junho de 2021. Em maio de 2021, foram realizadas várias formações, nomeadamente em primeiros socorros de reanimação e desfibrilhação (</w:t>
      </w:r>
      <w:r w:rsidR="007B2347" w:rsidRPr="008D7FB4">
        <w:rPr>
          <w:i/>
          <w:iCs/>
          <w:noProof/>
        </w:rPr>
        <w:t>Basic Life Support and Defibrillation</w:t>
      </w:r>
      <w:r w:rsidR="007B2347" w:rsidRPr="008D7FB4">
        <w:rPr>
          <w:noProof/>
        </w:rPr>
        <w:t>) ou a formação recorrente dos pilotos.</w:t>
      </w:r>
    </w:p>
    <w:p w:rsidR="00252AC6" w:rsidRPr="008D7FB4" w:rsidRDefault="00252AC6" w:rsidP="00252AC6">
      <w:pPr>
        <w:pStyle w:val="ManualHeading3"/>
        <w:tabs>
          <w:tab w:val="clear" w:pos="850"/>
          <w:tab w:val="left" w:pos="0"/>
        </w:tabs>
        <w:ind w:left="0" w:firstLine="0"/>
        <w:rPr>
          <w:noProof/>
        </w:rPr>
      </w:pPr>
      <w:r w:rsidRPr="008D7FB4">
        <w:rPr>
          <w:noProof/>
        </w:rPr>
        <w:t>Impacto esperado dos despedimentos na economia local, regional ou nacional e no emprego</w:t>
      </w:r>
    </w:p>
    <w:p w:rsidR="00812402" w:rsidRPr="008D7FB4" w:rsidRDefault="007C298D" w:rsidP="007C298D">
      <w:pPr>
        <w:pStyle w:val="ManualNumPar1"/>
        <w:rPr>
          <w:noProof/>
        </w:rPr>
      </w:pPr>
      <w:r w:rsidRPr="007C298D">
        <w:t>23.</w:t>
      </w:r>
      <w:r w:rsidRPr="007C298D">
        <w:tab/>
      </w:r>
      <w:r w:rsidR="00812402" w:rsidRPr="008D7FB4">
        <w:rPr>
          <w:noProof/>
        </w:rPr>
        <w:t xml:space="preserve">A crise pandémica conduziu a uma deterioração significativa do mercado de trabalho na Sardenha, o qual, devido à insularidade e ao afastamento do continente, tem uma dimensão pequena. </w:t>
      </w:r>
    </w:p>
    <w:p w:rsidR="00812402" w:rsidRPr="008D7FB4" w:rsidRDefault="007C298D" w:rsidP="007C298D">
      <w:pPr>
        <w:pStyle w:val="ManualNumPar1"/>
        <w:rPr>
          <w:noProof/>
        </w:rPr>
      </w:pPr>
      <w:r w:rsidRPr="007C298D">
        <w:t>24.</w:t>
      </w:r>
      <w:r w:rsidRPr="007C298D">
        <w:tab/>
      </w:r>
      <w:r w:rsidR="00812402" w:rsidRPr="008D7FB4">
        <w:rPr>
          <w:noProof/>
        </w:rPr>
        <w:t>O número de pessoas empregadas, que tinha aumentado ao longo de 2018-19, diminuiu acentuadamente em 2020. De acordo com o inquérito do Instituto Nacional de Estatística italiano (ISTAT), o declínio (-4,6 %) foi de 2,6 pontos percentuais (p.p.) superior à média da Itália no seu conjunto (-2,0 %)</w:t>
      </w:r>
      <w:r w:rsidR="00812402" w:rsidRPr="008D7FB4">
        <w:rPr>
          <w:rStyle w:val="FootnoteReference"/>
          <w:noProof/>
        </w:rPr>
        <w:footnoteReference w:id="22"/>
      </w:r>
      <w:r w:rsidR="00812402" w:rsidRPr="008D7FB4">
        <w:rPr>
          <w:noProof/>
        </w:rPr>
        <w:t>.</w:t>
      </w:r>
    </w:p>
    <w:p w:rsidR="00812402" w:rsidRPr="008D7FB4" w:rsidRDefault="007C298D" w:rsidP="007C298D">
      <w:pPr>
        <w:pStyle w:val="ManualNumPar1"/>
        <w:rPr>
          <w:noProof/>
        </w:rPr>
      </w:pPr>
      <w:r w:rsidRPr="007C298D">
        <w:t>25.</w:t>
      </w:r>
      <w:r w:rsidRPr="007C298D">
        <w:tab/>
      </w:r>
      <w:r w:rsidR="00812402" w:rsidRPr="008D7FB4">
        <w:rPr>
          <w:noProof/>
        </w:rPr>
        <w:t>Em 2020, a diferença entre a criação de emprego e a destruição de postos de trabalho foi negativa (-6 000 postos de trabalho), o que representa uma perda de 2,6 postos de trabalho a tempo inteiro por cada 100 trabalhadores. O declínio ficou a dever-se sobretudo à diminuição do turismo, dos serviços de entretenimento e lazer e do transporte marítimo de mercadorias (principalmente transbordo). Pelo contrário, o setor da construção registou uma evolução positiva. A taxa de atividade diminuiu 3,1 p.p. em comparação com 2019, para 60,3 %</w:t>
      </w:r>
      <w:r w:rsidR="00812402" w:rsidRPr="008D7FB4">
        <w:rPr>
          <w:rStyle w:val="FootnoteReference"/>
          <w:noProof/>
        </w:rPr>
        <w:footnoteReference w:id="23"/>
      </w:r>
      <w:r w:rsidR="00812402" w:rsidRPr="008D7FB4">
        <w:rPr>
          <w:noProof/>
        </w:rPr>
        <w:t xml:space="preserve">. </w:t>
      </w:r>
    </w:p>
    <w:p w:rsidR="00812402" w:rsidRPr="008D7FB4" w:rsidRDefault="007C298D" w:rsidP="007C298D">
      <w:pPr>
        <w:pStyle w:val="ManualNumPar1"/>
        <w:rPr>
          <w:noProof/>
        </w:rPr>
      </w:pPr>
      <w:r w:rsidRPr="007C298D">
        <w:t>26.</w:t>
      </w:r>
      <w:r w:rsidRPr="007C298D">
        <w:tab/>
      </w:r>
      <w:r w:rsidR="00812402" w:rsidRPr="008D7FB4">
        <w:rPr>
          <w:noProof/>
        </w:rPr>
        <w:t>No primeiro semestre de 2020, as horas trabalhadas na Sardenha diminuíram quase 20 % em comparação com o mesmo período de 2019. A redução do número de horas trabalhadas não resultou em desemprego graças ao recurso generalizado a regimes de tempo de trabalho reduzido e à entrada em vigor do decreto-lei referido no n.º 20.</w:t>
      </w:r>
    </w:p>
    <w:p w:rsidR="00252AC6" w:rsidRPr="008D7FB4" w:rsidRDefault="007C298D" w:rsidP="007C298D">
      <w:pPr>
        <w:pStyle w:val="ManualNumPar1"/>
        <w:rPr>
          <w:noProof/>
        </w:rPr>
      </w:pPr>
      <w:r w:rsidRPr="007C298D">
        <w:t>27.</w:t>
      </w:r>
      <w:r w:rsidRPr="007C298D">
        <w:tab/>
      </w:r>
      <w:r w:rsidR="00BD7BE6" w:rsidRPr="008D7FB4">
        <w:rPr>
          <w:noProof/>
        </w:rPr>
        <w:t>A economia da Sardenha está a sofrer não só com o impacto negativo dos despedimentos na Air Italy, mas também com os despedimentos na Porto Canale, objeto de outra candidatura ao FEG</w:t>
      </w:r>
      <w:r w:rsidR="00BD7BE6" w:rsidRPr="008D7FB4">
        <w:rPr>
          <w:rStyle w:val="FootnoteReference"/>
          <w:noProof/>
        </w:rPr>
        <w:footnoteReference w:id="24"/>
      </w:r>
      <w:r w:rsidR="00BD7BE6" w:rsidRPr="008D7FB4">
        <w:rPr>
          <w:noProof/>
        </w:rPr>
        <w:t>. No contexto geral de emprego e de uma situação ainda frágil no setor dos transportes aéreos, os trabalhadores despedidos da Air Italy irão precisar de apoio acrescido para superar o problema da pequena dimensão do mercado de trabalho sardo e encontrar novos postos de trabalho.</w:t>
      </w:r>
    </w:p>
    <w:p w:rsidR="00252AC6" w:rsidRPr="008D7FB4" w:rsidRDefault="00252AC6" w:rsidP="00252AC6">
      <w:pPr>
        <w:pStyle w:val="ManualHeading2"/>
        <w:rPr>
          <w:noProof/>
        </w:rPr>
      </w:pPr>
      <w:r w:rsidRPr="008D7FB4">
        <w:rPr>
          <w:noProof/>
        </w:rPr>
        <w:t>Beneficiários visados e ações propostas</w:t>
      </w:r>
    </w:p>
    <w:p w:rsidR="00252AC6" w:rsidRPr="008D7FB4" w:rsidRDefault="00252AC6" w:rsidP="00252AC6">
      <w:pPr>
        <w:pStyle w:val="ManualHeading3"/>
        <w:rPr>
          <w:noProof/>
        </w:rPr>
      </w:pPr>
      <w:r w:rsidRPr="008D7FB4">
        <w:rPr>
          <w:noProof/>
        </w:rPr>
        <w:t>Beneficiários visados</w:t>
      </w:r>
    </w:p>
    <w:p w:rsidR="00252AC6" w:rsidRPr="008D7FB4" w:rsidRDefault="007C298D" w:rsidP="007C298D">
      <w:pPr>
        <w:pStyle w:val="ManualNumPar1"/>
        <w:rPr>
          <w:noProof/>
        </w:rPr>
      </w:pPr>
      <w:r w:rsidRPr="007C298D">
        <w:t>28.</w:t>
      </w:r>
      <w:r w:rsidRPr="007C298D">
        <w:tab/>
      </w:r>
      <w:r w:rsidR="00252AC6" w:rsidRPr="008D7FB4">
        <w:rPr>
          <w:noProof/>
        </w:rPr>
        <w:t>Estima-se que venham a participar nas medidas 611 trabalhadores despedidos. A repartição dos trabalhadores por género, grupo etário e nível de habilitações é a seguinte:</w:t>
      </w:r>
    </w:p>
    <w:tbl>
      <w:tblPr>
        <w:tblW w:w="0" w:type="auto"/>
        <w:jc w:val="center"/>
        <w:tblLook w:val="04A0" w:firstRow="1" w:lastRow="0" w:firstColumn="1" w:lastColumn="0" w:noHBand="0" w:noVBand="1"/>
      </w:tblPr>
      <w:tblGrid>
        <w:gridCol w:w="1496"/>
        <w:gridCol w:w="2063"/>
        <w:gridCol w:w="1176"/>
        <w:gridCol w:w="1176"/>
      </w:tblGrid>
      <w:tr w:rsidR="00252AC6" w:rsidRPr="008D7FB4" w:rsidTr="00F060F9">
        <w:trPr>
          <w:jc w:val="center"/>
        </w:trPr>
        <w:tc>
          <w:tcPr>
            <w:tcW w:w="3559" w:type="dxa"/>
            <w:gridSpan w:val="2"/>
            <w:tcBorders>
              <w:top w:val="single" w:sz="4" w:space="0" w:color="auto"/>
              <w:left w:val="nil"/>
              <w:bottom w:val="single" w:sz="4" w:space="0" w:color="auto"/>
              <w:right w:val="nil"/>
            </w:tcBorders>
            <w:hideMark/>
          </w:tcPr>
          <w:p w:rsidR="00252AC6" w:rsidRPr="008D7FB4" w:rsidRDefault="00252AC6" w:rsidP="00F060F9">
            <w:pPr>
              <w:spacing w:before="60" w:after="60"/>
              <w:jc w:val="center"/>
              <w:rPr>
                <w:noProof/>
              </w:rPr>
            </w:pPr>
            <w:r w:rsidRPr="008D7FB4">
              <w:rPr>
                <w:noProof/>
              </w:rPr>
              <w:t>Categoria</w:t>
            </w:r>
          </w:p>
        </w:tc>
        <w:tc>
          <w:tcPr>
            <w:tcW w:w="2352" w:type="dxa"/>
            <w:gridSpan w:val="2"/>
            <w:tcBorders>
              <w:top w:val="single" w:sz="4" w:space="0" w:color="auto"/>
              <w:left w:val="nil"/>
              <w:bottom w:val="single" w:sz="4" w:space="0" w:color="auto"/>
              <w:right w:val="nil"/>
            </w:tcBorders>
            <w:hideMark/>
          </w:tcPr>
          <w:p w:rsidR="00252AC6" w:rsidRPr="008D7FB4" w:rsidRDefault="00252AC6" w:rsidP="00C3711A">
            <w:pPr>
              <w:spacing w:before="60" w:after="60"/>
              <w:jc w:val="center"/>
              <w:rPr>
                <w:noProof/>
              </w:rPr>
            </w:pPr>
            <w:r w:rsidRPr="008D7FB4">
              <w:rPr>
                <w:noProof/>
              </w:rPr>
              <w:t>Número de beneficiários visados</w:t>
            </w:r>
          </w:p>
        </w:tc>
      </w:tr>
      <w:tr w:rsidR="00252AC6" w:rsidRPr="008D7FB4" w:rsidTr="007244BC">
        <w:trPr>
          <w:jc w:val="center"/>
        </w:trPr>
        <w:tc>
          <w:tcPr>
            <w:tcW w:w="1496" w:type="dxa"/>
            <w:tcBorders>
              <w:top w:val="single" w:sz="4" w:space="0" w:color="auto"/>
              <w:left w:val="nil"/>
              <w:right w:val="nil"/>
            </w:tcBorders>
            <w:hideMark/>
          </w:tcPr>
          <w:p w:rsidR="00252AC6" w:rsidRPr="008D7FB4" w:rsidRDefault="00CC3C30" w:rsidP="00F060F9">
            <w:pPr>
              <w:spacing w:before="60" w:after="60"/>
              <w:rPr>
                <w:noProof/>
              </w:rPr>
            </w:pPr>
            <w:r w:rsidRPr="008D7FB4">
              <w:rPr>
                <w:noProof/>
              </w:rPr>
              <w:t>Género:</w:t>
            </w:r>
          </w:p>
        </w:tc>
        <w:tc>
          <w:tcPr>
            <w:tcW w:w="2063" w:type="dxa"/>
            <w:tcBorders>
              <w:top w:val="single" w:sz="4" w:space="0" w:color="auto"/>
              <w:left w:val="nil"/>
              <w:right w:val="nil"/>
            </w:tcBorders>
            <w:hideMark/>
          </w:tcPr>
          <w:p w:rsidR="00252AC6" w:rsidRPr="008D7FB4" w:rsidRDefault="00252AC6" w:rsidP="00F060F9">
            <w:pPr>
              <w:spacing w:before="60" w:after="60"/>
              <w:rPr>
                <w:noProof/>
              </w:rPr>
            </w:pPr>
            <w:r w:rsidRPr="008D7FB4">
              <w:rPr>
                <w:noProof/>
              </w:rPr>
              <w:t>Homens:</w:t>
            </w:r>
          </w:p>
        </w:tc>
        <w:tc>
          <w:tcPr>
            <w:tcW w:w="1176" w:type="dxa"/>
            <w:tcBorders>
              <w:top w:val="single" w:sz="4" w:space="0" w:color="auto"/>
              <w:left w:val="nil"/>
              <w:right w:val="nil"/>
            </w:tcBorders>
            <w:hideMark/>
          </w:tcPr>
          <w:p w:rsidR="00252AC6" w:rsidRPr="008D7FB4" w:rsidRDefault="00F563C1" w:rsidP="00732A9E">
            <w:pPr>
              <w:spacing w:before="60" w:after="60"/>
              <w:jc w:val="right"/>
              <w:rPr>
                <w:noProof/>
              </w:rPr>
            </w:pPr>
            <w:r w:rsidRPr="008D7FB4">
              <w:rPr>
                <w:noProof/>
              </w:rPr>
              <w:t>317</w:t>
            </w:r>
          </w:p>
        </w:tc>
        <w:tc>
          <w:tcPr>
            <w:tcW w:w="1176" w:type="dxa"/>
            <w:tcBorders>
              <w:top w:val="single" w:sz="4" w:space="0" w:color="auto"/>
              <w:left w:val="nil"/>
              <w:right w:val="nil"/>
            </w:tcBorders>
            <w:hideMark/>
          </w:tcPr>
          <w:p w:rsidR="00252AC6" w:rsidRPr="008D7FB4" w:rsidRDefault="00252AC6" w:rsidP="00732A9E">
            <w:pPr>
              <w:spacing w:before="60" w:after="60"/>
              <w:jc w:val="right"/>
              <w:rPr>
                <w:noProof/>
              </w:rPr>
            </w:pPr>
            <w:r w:rsidRPr="008D7FB4">
              <w:rPr>
                <w:noProof/>
              </w:rPr>
              <w:t>(51,89 %)</w:t>
            </w:r>
          </w:p>
        </w:tc>
      </w:tr>
      <w:tr w:rsidR="00CC3C30" w:rsidRPr="008D7FB4" w:rsidTr="007244BC">
        <w:trPr>
          <w:jc w:val="center"/>
        </w:trPr>
        <w:tc>
          <w:tcPr>
            <w:tcW w:w="1496" w:type="dxa"/>
            <w:tcBorders>
              <w:top w:val="nil"/>
              <w:left w:val="nil"/>
              <w:right w:val="nil"/>
            </w:tcBorders>
          </w:tcPr>
          <w:p w:rsidR="00CC3C30" w:rsidRPr="008D7FB4" w:rsidRDefault="00CC3C30" w:rsidP="00CC3C30">
            <w:pPr>
              <w:spacing w:before="60" w:after="60"/>
              <w:rPr>
                <w:noProof/>
              </w:rPr>
            </w:pPr>
          </w:p>
        </w:tc>
        <w:tc>
          <w:tcPr>
            <w:tcW w:w="2063" w:type="dxa"/>
            <w:tcBorders>
              <w:top w:val="nil"/>
              <w:left w:val="nil"/>
              <w:right w:val="nil"/>
            </w:tcBorders>
          </w:tcPr>
          <w:p w:rsidR="00CC3C30" w:rsidRPr="008D7FB4" w:rsidRDefault="00CC3C30" w:rsidP="00CC3C30">
            <w:pPr>
              <w:spacing w:before="60" w:after="60"/>
              <w:rPr>
                <w:rFonts w:eastAsia="Calibri"/>
                <w:noProof/>
              </w:rPr>
            </w:pPr>
            <w:r w:rsidRPr="008D7FB4">
              <w:rPr>
                <w:noProof/>
              </w:rPr>
              <w:t>Mulheres:</w:t>
            </w:r>
          </w:p>
        </w:tc>
        <w:tc>
          <w:tcPr>
            <w:tcW w:w="1176" w:type="dxa"/>
          </w:tcPr>
          <w:p w:rsidR="00CC3C30" w:rsidRPr="008D7FB4" w:rsidRDefault="00F563C1" w:rsidP="00732A9E">
            <w:pPr>
              <w:spacing w:before="60" w:after="60"/>
              <w:jc w:val="right"/>
              <w:rPr>
                <w:noProof/>
              </w:rPr>
            </w:pPr>
            <w:r w:rsidRPr="008D7FB4">
              <w:rPr>
                <w:noProof/>
              </w:rPr>
              <w:t>294</w:t>
            </w:r>
          </w:p>
        </w:tc>
        <w:tc>
          <w:tcPr>
            <w:tcW w:w="1176" w:type="dxa"/>
          </w:tcPr>
          <w:p w:rsidR="00CC3C30" w:rsidRPr="008D7FB4" w:rsidRDefault="00CC3C30" w:rsidP="00732A9E">
            <w:pPr>
              <w:spacing w:before="60" w:after="60"/>
              <w:jc w:val="right"/>
              <w:rPr>
                <w:rFonts w:eastAsia="Calibri"/>
                <w:noProof/>
              </w:rPr>
            </w:pPr>
            <w:r w:rsidRPr="008D7FB4">
              <w:rPr>
                <w:noProof/>
              </w:rPr>
              <w:t>(48,11 %)</w:t>
            </w:r>
          </w:p>
        </w:tc>
      </w:tr>
      <w:tr w:rsidR="00CC3C30" w:rsidRPr="008D7FB4" w:rsidTr="007244BC">
        <w:trPr>
          <w:jc w:val="center"/>
        </w:trPr>
        <w:tc>
          <w:tcPr>
            <w:tcW w:w="1496" w:type="dxa"/>
            <w:tcBorders>
              <w:left w:val="nil"/>
              <w:bottom w:val="single" w:sz="4" w:space="0" w:color="auto"/>
              <w:right w:val="nil"/>
            </w:tcBorders>
          </w:tcPr>
          <w:p w:rsidR="00CC3C30" w:rsidRPr="008D7FB4" w:rsidRDefault="00CC3C30" w:rsidP="00CC3C30">
            <w:pPr>
              <w:spacing w:before="60" w:after="60"/>
              <w:rPr>
                <w:noProof/>
              </w:rPr>
            </w:pPr>
          </w:p>
        </w:tc>
        <w:tc>
          <w:tcPr>
            <w:tcW w:w="2063" w:type="dxa"/>
            <w:tcBorders>
              <w:left w:val="nil"/>
              <w:bottom w:val="single" w:sz="4" w:space="0" w:color="auto"/>
              <w:right w:val="nil"/>
            </w:tcBorders>
          </w:tcPr>
          <w:p w:rsidR="00CC3C30" w:rsidRPr="008D7FB4" w:rsidRDefault="00CC3C30" w:rsidP="00CC3C30">
            <w:pPr>
              <w:spacing w:before="60" w:after="60"/>
              <w:rPr>
                <w:noProof/>
              </w:rPr>
            </w:pPr>
            <w:r w:rsidRPr="008D7FB4">
              <w:rPr>
                <w:noProof/>
              </w:rPr>
              <w:t>Pessoas não binárias</w:t>
            </w:r>
          </w:p>
        </w:tc>
        <w:tc>
          <w:tcPr>
            <w:tcW w:w="1176" w:type="dxa"/>
            <w:tcBorders>
              <w:bottom w:val="single" w:sz="4" w:space="0" w:color="auto"/>
            </w:tcBorders>
            <w:hideMark/>
          </w:tcPr>
          <w:p w:rsidR="00CC3C30" w:rsidRPr="008D7FB4" w:rsidRDefault="00732A9E" w:rsidP="00732A9E">
            <w:pPr>
              <w:spacing w:before="60" w:after="60"/>
              <w:jc w:val="right"/>
              <w:rPr>
                <w:noProof/>
              </w:rPr>
            </w:pPr>
            <w:r w:rsidRPr="008D7FB4">
              <w:rPr>
                <w:noProof/>
              </w:rPr>
              <w:t>0</w:t>
            </w:r>
          </w:p>
        </w:tc>
        <w:tc>
          <w:tcPr>
            <w:tcW w:w="1176" w:type="dxa"/>
            <w:tcBorders>
              <w:bottom w:val="single" w:sz="4" w:space="0" w:color="auto"/>
            </w:tcBorders>
            <w:hideMark/>
          </w:tcPr>
          <w:p w:rsidR="00CC3C30" w:rsidRPr="008D7FB4" w:rsidRDefault="00CC3C30" w:rsidP="00732A9E">
            <w:pPr>
              <w:spacing w:before="60" w:after="60"/>
              <w:jc w:val="right"/>
              <w:rPr>
                <w:noProof/>
              </w:rPr>
            </w:pPr>
            <w:r w:rsidRPr="008D7FB4">
              <w:rPr>
                <w:noProof/>
              </w:rPr>
              <w:t>(0,0 %)</w:t>
            </w:r>
          </w:p>
        </w:tc>
      </w:tr>
      <w:tr w:rsidR="00CC3C30" w:rsidRPr="008D7FB4" w:rsidTr="00F060F9">
        <w:trPr>
          <w:jc w:val="center"/>
        </w:trPr>
        <w:tc>
          <w:tcPr>
            <w:tcW w:w="1496" w:type="dxa"/>
            <w:tcBorders>
              <w:top w:val="single" w:sz="4" w:space="0" w:color="auto"/>
              <w:left w:val="nil"/>
              <w:bottom w:val="nil"/>
              <w:right w:val="nil"/>
            </w:tcBorders>
            <w:hideMark/>
          </w:tcPr>
          <w:p w:rsidR="00CC3C30" w:rsidRPr="008D7FB4" w:rsidRDefault="00CC3C30" w:rsidP="00CC3C30">
            <w:pPr>
              <w:spacing w:before="60" w:after="60"/>
              <w:rPr>
                <w:noProof/>
              </w:rPr>
            </w:pPr>
            <w:r w:rsidRPr="008D7FB4">
              <w:rPr>
                <w:noProof/>
              </w:rPr>
              <w:t>Grupo etário:</w:t>
            </w:r>
          </w:p>
        </w:tc>
        <w:tc>
          <w:tcPr>
            <w:tcW w:w="2063" w:type="dxa"/>
            <w:tcBorders>
              <w:top w:val="single" w:sz="4" w:space="0" w:color="auto"/>
              <w:left w:val="nil"/>
              <w:bottom w:val="nil"/>
              <w:right w:val="nil"/>
            </w:tcBorders>
            <w:hideMark/>
          </w:tcPr>
          <w:p w:rsidR="00CC3C30" w:rsidRPr="008D7FB4" w:rsidRDefault="001812CD" w:rsidP="001812CD">
            <w:pPr>
              <w:spacing w:before="60" w:after="60"/>
              <w:rPr>
                <w:noProof/>
              </w:rPr>
            </w:pPr>
            <w:r w:rsidRPr="008D7FB4">
              <w:rPr>
                <w:noProof/>
              </w:rPr>
              <w:t>Com menos de 30 anos:</w:t>
            </w:r>
          </w:p>
        </w:tc>
        <w:tc>
          <w:tcPr>
            <w:tcW w:w="1176" w:type="dxa"/>
            <w:tcBorders>
              <w:top w:val="single" w:sz="4" w:space="0" w:color="auto"/>
            </w:tcBorders>
            <w:hideMark/>
          </w:tcPr>
          <w:p w:rsidR="00CC3C30" w:rsidRPr="008D7FB4" w:rsidRDefault="00732A9E" w:rsidP="00732A9E">
            <w:pPr>
              <w:spacing w:before="60" w:after="60"/>
              <w:jc w:val="right"/>
              <w:rPr>
                <w:noProof/>
              </w:rPr>
            </w:pPr>
            <w:r w:rsidRPr="008D7FB4">
              <w:rPr>
                <w:noProof/>
              </w:rPr>
              <w:t>0</w:t>
            </w:r>
          </w:p>
        </w:tc>
        <w:tc>
          <w:tcPr>
            <w:tcW w:w="1176" w:type="dxa"/>
            <w:tcBorders>
              <w:top w:val="single" w:sz="4" w:space="0" w:color="auto"/>
            </w:tcBorders>
            <w:hideMark/>
          </w:tcPr>
          <w:p w:rsidR="00CC3C30" w:rsidRPr="008D7FB4" w:rsidRDefault="00CC3C30" w:rsidP="00732A9E">
            <w:pPr>
              <w:spacing w:before="60" w:after="60"/>
              <w:jc w:val="right"/>
              <w:rPr>
                <w:noProof/>
              </w:rPr>
            </w:pPr>
            <w:r w:rsidRPr="008D7FB4">
              <w:rPr>
                <w:noProof/>
              </w:rPr>
              <w:t>(0,0 %)</w:t>
            </w:r>
          </w:p>
        </w:tc>
      </w:tr>
      <w:tr w:rsidR="00CC3C30" w:rsidRPr="008D7FB4" w:rsidTr="00F060F9">
        <w:trPr>
          <w:jc w:val="center"/>
        </w:trPr>
        <w:tc>
          <w:tcPr>
            <w:tcW w:w="1496" w:type="dxa"/>
          </w:tcPr>
          <w:p w:rsidR="00CC3C30" w:rsidRPr="008D7FB4" w:rsidRDefault="00CC3C30" w:rsidP="00CC3C30">
            <w:pPr>
              <w:spacing w:before="60" w:after="60"/>
              <w:rPr>
                <w:noProof/>
              </w:rPr>
            </w:pPr>
          </w:p>
        </w:tc>
        <w:tc>
          <w:tcPr>
            <w:tcW w:w="2063" w:type="dxa"/>
            <w:hideMark/>
          </w:tcPr>
          <w:p w:rsidR="00CC3C30" w:rsidRPr="008D7FB4" w:rsidRDefault="00CC3C30" w:rsidP="00CC3C30">
            <w:pPr>
              <w:spacing w:before="60" w:after="60"/>
              <w:rPr>
                <w:noProof/>
              </w:rPr>
            </w:pPr>
            <w:r w:rsidRPr="008D7FB4">
              <w:rPr>
                <w:noProof/>
              </w:rPr>
              <w:t>30-54 anos:</w:t>
            </w:r>
          </w:p>
        </w:tc>
        <w:tc>
          <w:tcPr>
            <w:tcW w:w="1176" w:type="dxa"/>
            <w:hideMark/>
          </w:tcPr>
          <w:p w:rsidR="00CC3C30" w:rsidRPr="008D7FB4" w:rsidRDefault="00F563C1" w:rsidP="00732A9E">
            <w:pPr>
              <w:spacing w:before="60" w:after="60"/>
              <w:jc w:val="right"/>
              <w:rPr>
                <w:noProof/>
              </w:rPr>
            </w:pPr>
            <w:r w:rsidRPr="008D7FB4">
              <w:rPr>
                <w:noProof/>
              </w:rPr>
              <w:t>423</w:t>
            </w:r>
          </w:p>
        </w:tc>
        <w:tc>
          <w:tcPr>
            <w:tcW w:w="1176" w:type="dxa"/>
            <w:hideMark/>
          </w:tcPr>
          <w:p w:rsidR="00CC3C30" w:rsidRPr="008D7FB4" w:rsidRDefault="00CC3C30" w:rsidP="00732A9E">
            <w:pPr>
              <w:spacing w:before="60" w:after="60"/>
              <w:jc w:val="right"/>
              <w:rPr>
                <w:noProof/>
              </w:rPr>
            </w:pPr>
            <w:r w:rsidRPr="008D7FB4">
              <w:rPr>
                <w:noProof/>
              </w:rPr>
              <w:t>(69,23 %)</w:t>
            </w:r>
          </w:p>
        </w:tc>
      </w:tr>
      <w:tr w:rsidR="00CC3C30" w:rsidRPr="008D7FB4" w:rsidTr="007244BC">
        <w:trPr>
          <w:jc w:val="center"/>
        </w:trPr>
        <w:tc>
          <w:tcPr>
            <w:tcW w:w="1496" w:type="dxa"/>
          </w:tcPr>
          <w:p w:rsidR="00CC3C30" w:rsidRPr="008D7FB4" w:rsidRDefault="00CC3C30" w:rsidP="00CC3C30">
            <w:pPr>
              <w:spacing w:before="60" w:after="60"/>
              <w:rPr>
                <w:noProof/>
              </w:rPr>
            </w:pPr>
          </w:p>
        </w:tc>
        <w:tc>
          <w:tcPr>
            <w:tcW w:w="2063" w:type="dxa"/>
            <w:hideMark/>
          </w:tcPr>
          <w:p w:rsidR="00CC3C30" w:rsidRPr="008D7FB4" w:rsidRDefault="005E38AF" w:rsidP="005E38AF">
            <w:pPr>
              <w:spacing w:before="60" w:after="60"/>
              <w:jc w:val="left"/>
              <w:rPr>
                <w:noProof/>
              </w:rPr>
            </w:pPr>
            <w:r w:rsidRPr="008D7FB4">
              <w:rPr>
                <w:noProof/>
              </w:rPr>
              <w:t>Mais de 54 anos:</w:t>
            </w:r>
          </w:p>
        </w:tc>
        <w:tc>
          <w:tcPr>
            <w:tcW w:w="1176" w:type="dxa"/>
            <w:hideMark/>
          </w:tcPr>
          <w:p w:rsidR="00CC3C30" w:rsidRPr="008D7FB4" w:rsidRDefault="00F563C1" w:rsidP="00732A9E">
            <w:pPr>
              <w:spacing w:before="60" w:after="60"/>
              <w:jc w:val="right"/>
              <w:rPr>
                <w:noProof/>
              </w:rPr>
            </w:pPr>
            <w:r w:rsidRPr="008D7FB4">
              <w:rPr>
                <w:noProof/>
              </w:rPr>
              <w:t>188</w:t>
            </w:r>
          </w:p>
        </w:tc>
        <w:tc>
          <w:tcPr>
            <w:tcW w:w="1176" w:type="dxa"/>
            <w:hideMark/>
          </w:tcPr>
          <w:p w:rsidR="00CC3C30" w:rsidRPr="008D7FB4" w:rsidRDefault="00CC3C30" w:rsidP="00732A9E">
            <w:pPr>
              <w:spacing w:before="60" w:after="60"/>
              <w:jc w:val="right"/>
              <w:rPr>
                <w:noProof/>
              </w:rPr>
            </w:pPr>
            <w:r w:rsidRPr="008D7FB4">
              <w:rPr>
                <w:noProof/>
              </w:rPr>
              <w:t>(30,77 %)</w:t>
            </w:r>
          </w:p>
        </w:tc>
      </w:tr>
      <w:tr w:rsidR="005C2354" w:rsidRPr="008D7FB4" w:rsidTr="007244BC">
        <w:trPr>
          <w:jc w:val="center"/>
        </w:trPr>
        <w:tc>
          <w:tcPr>
            <w:tcW w:w="1496" w:type="dxa"/>
            <w:tcBorders>
              <w:top w:val="single" w:sz="4" w:space="0" w:color="auto"/>
              <w:left w:val="nil"/>
              <w:bottom w:val="nil"/>
              <w:right w:val="nil"/>
            </w:tcBorders>
          </w:tcPr>
          <w:p w:rsidR="005C2354" w:rsidRPr="008D7FB4" w:rsidRDefault="005C2354" w:rsidP="005C2354">
            <w:pPr>
              <w:spacing w:before="60" w:after="60"/>
              <w:rPr>
                <w:noProof/>
              </w:rPr>
            </w:pPr>
            <w:r w:rsidRPr="008D7FB4">
              <w:rPr>
                <w:noProof/>
              </w:rPr>
              <w:t>Nível de instrução</w:t>
            </w:r>
          </w:p>
        </w:tc>
        <w:tc>
          <w:tcPr>
            <w:tcW w:w="2063" w:type="dxa"/>
            <w:tcBorders>
              <w:top w:val="single" w:sz="4" w:space="0" w:color="auto"/>
              <w:left w:val="nil"/>
              <w:bottom w:val="nil"/>
              <w:right w:val="nil"/>
            </w:tcBorders>
          </w:tcPr>
          <w:p w:rsidR="005C2354" w:rsidRPr="008D7FB4" w:rsidRDefault="005C2354" w:rsidP="005C2354">
            <w:pPr>
              <w:spacing w:before="60" w:after="60"/>
              <w:rPr>
                <w:noProof/>
              </w:rPr>
            </w:pPr>
            <w:r w:rsidRPr="008D7FB4">
              <w:rPr>
                <w:noProof/>
              </w:rPr>
              <w:t>Ensino secundário inferior ou menos</w:t>
            </w:r>
            <w:r w:rsidRPr="008D7FB4">
              <w:rPr>
                <w:rStyle w:val="FootnoteReference"/>
                <w:noProof/>
              </w:rPr>
              <w:footnoteReference w:id="25"/>
            </w:r>
            <w:r w:rsidRPr="008D7FB4">
              <w:rPr>
                <w:noProof/>
              </w:rPr>
              <w:t xml:space="preserve"> </w:t>
            </w:r>
          </w:p>
        </w:tc>
        <w:tc>
          <w:tcPr>
            <w:tcW w:w="1176" w:type="dxa"/>
            <w:tcBorders>
              <w:top w:val="single" w:sz="4" w:space="0" w:color="auto"/>
              <w:left w:val="nil"/>
              <w:bottom w:val="nil"/>
              <w:right w:val="nil"/>
            </w:tcBorders>
          </w:tcPr>
          <w:p w:rsidR="005C2354" w:rsidRPr="008D7FB4" w:rsidRDefault="00F563C1" w:rsidP="00732A9E">
            <w:pPr>
              <w:spacing w:before="60" w:after="60"/>
              <w:jc w:val="right"/>
              <w:rPr>
                <w:noProof/>
              </w:rPr>
            </w:pPr>
            <w:r w:rsidRPr="008D7FB4">
              <w:rPr>
                <w:noProof/>
              </w:rPr>
              <w:t>6</w:t>
            </w:r>
          </w:p>
        </w:tc>
        <w:tc>
          <w:tcPr>
            <w:tcW w:w="1176" w:type="dxa"/>
            <w:tcBorders>
              <w:top w:val="single" w:sz="4" w:space="0" w:color="auto"/>
              <w:left w:val="nil"/>
              <w:bottom w:val="nil"/>
              <w:right w:val="nil"/>
            </w:tcBorders>
          </w:tcPr>
          <w:p w:rsidR="005C2354" w:rsidRPr="008D7FB4" w:rsidRDefault="005C2354" w:rsidP="00732A9E">
            <w:pPr>
              <w:spacing w:before="60" w:after="60"/>
              <w:jc w:val="right"/>
              <w:rPr>
                <w:rFonts w:eastAsia="Calibri"/>
                <w:noProof/>
              </w:rPr>
            </w:pPr>
            <w:r w:rsidRPr="008D7FB4">
              <w:rPr>
                <w:noProof/>
              </w:rPr>
              <w:t>(1,0 %)</w:t>
            </w:r>
          </w:p>
        </w:tc>
      </w:tr>
      <w:tr w:rsidR="005C2354" w:rsidRPr="008D7FB4" w:rsidTr="007244BC">
        <w:trPr>
          <w:jc w:val="center"/>
        </w:trPr>
        <w:tc>
          <w:tcPr>
            <w:tcW w:w="1496" w:type="dxa"/>
            <w:tcBorders>
              <w:top w:val="nil"/>
              <w:left w:val="nil"/>
              <w:right w:val="nil"/>
            </w:tcBorders>
          </w:tcPr>
          <w:p w:rsidR="005C2354" w:rsidRPr="008D7FB4" w:rsidRDefault="005C2354" w:rsidP="005C2354">
            <w:pPr>
              <w:spacing w:before="60" w:after="60"/>
              <w:rPr>
                <w:noProof/>
              </w:rPr>
            </w:pPr>
          </w:p>
        </w:tc>
        <w:tc>
          <w:tcPr>
            <w:tcW w:w="2063" w:type="dxa"/>
            <w:tcBorders>
              <w:top w:val="nil"/>
              <w:left w:val="nil"/>
              <w:right w:val="nil"/>
            </w:tcBorders>
          </w:tcPr>
          <w:p w:rsidR="005C2354" w:rsidRPr="008D7FB4" w:rsidRDefault="005C2354" w:rsidP="005C2354">
            <w:pPr>
              <w:spacing w:before="60" w:after="60"/>
              <w:rPr>
                <w:noProof/>
              </w:rPr>
            </w:pPr>
            <w:r w:rsidRPr="008D7FB4">
              <w:rPr>
                <w:noProof/>
              </w:rPr>
              <w:t>Ensino secundário</w:t>
            </w:r>
            <w:r w:rsidRPr="008D7FB4">
              <w:rPr>
                <w:rStyle w:val="FootnoteReference"/>
                <w:noProof/>
              </w:rPr>
              <w:footnoteReference w:id="26"/>
            </w:r>
            <w:r w:rsidRPr="008D7FB4">
              <w:rPr>
                <w:noProof/>
              </w:rPr>
              <w:t xml:space="preserve"> ou pós-secundário</w:t>
            </w:r>
            <w:r w:rsidRPr="008D7FB4">
              <w:rPr>
                <w:rStyle w:val="FootnoteReference"/>
                <w:noProof/>
              </w:rPr>
              <w:footnoteReference w:id="27"/>
            </w:r>
          </w:p>
        </w:tc>
        <w:tc>
          <w:tcPr>
            <w:tcW w:w="1176" w:type="dxa"/>
            <w:tcBorders>
              <w:top w:val="nil"/>
              <w:left w:val="nil"/>
              <w:right w:val="nil"/>
            </w:tcBorders>
          </w:tcPr>
          <w:p w:rsidR="005C2354" w:rsidRPr="008D7FB4" w:rsidRDefault="00F563C1" w:rsidP="00732A9E">
            <w:pPr>
              <w:spacing w:before="60" w:after="60"/>
              <w:jc w:val="right"/>
              <w:rPr>
                <w:noProof/>
              </w:rPr>
            </w:pPr>
            <w:r w:rsidRPr="008D7FB4">
              <w:rPr>
                <w:noProof/>
              </w:rPr>
              <w:t>570</w:t>
            </w:r>
          </w:p>
        </w:tc>
        <w:tc>
          <w:tcPr>
            <w:tcW w:w="1176" w:type="dxa"/>
            <w:tcBorders>
              <w:top w:val="nil"/>
              <w:left w:val="nil"/>
              <w:right w:val="nil"/>
            </w:tcBorders>
          </w:tcPr>
          <w:p w:rsidR="005C2354" w:rsidRPr="008D7FB4" w:rsidRDefault="005C2354" w:rsidP="00732A9E">
            <w:pPr>
              <w:spacing w:before="60" w:after="60"/>
              <w:jc w:val="right"/>
              <w:rPr>
                <w:rFonts w:eastAsia="Calibri"/>
                <w:noProof/>
              </w:rPr>
            </w:pPr>
            <w:r w:rsidRPr="008D7FB4">
              <w:rPr>
                <w:noProof/>
              </w:rPr>
              <w:t>(93,3 %)</w:t>
            </w:r>
          </w:p>
        </w:tc>
      </w:tr>
      <w:tr w:rsidR="005C2354" w:rsidRPr="008D7FB4" w:rsidTr="007244BC">
        <w:trPr>
          <w:jc w:val="center"/>
        </w:trPr>
        <w:tc>
          <w:tcPr>
            <w:tcW w:w="1496" w:type="dxa"/>
            <w:tcBorders>
              <w:top w:val="nil"/>
              <w:left w:val="nil"/>
              <w:bottom w:val="single" w:sz="4" w:space="0" w:color="auto"/>
              <w:right w:val="nil"/>
            </w:tcBorders>
          </w:tcPr>
          <w:p w:rsidR="005C2354" w:rsidRPr="008D7FB4" w:rsidRDefault="005C2354" w:rsidP="005C2354">
            <w:pPr>
              <w:spacing w:before="60" w:after="60"/>
              <w:rPr>
                <w:noProof/>
              </w:rPr>
            </w:pPr>
          </w:p>
        </w:tc>
        <w:tc>
          <w:tcPr>
            <w:tcW w:w="2063" w:type="dxa"/>
            <w:tcBorders>
              <w:top w:val="nil"/>
              <w:left w:val="nil"/>
              <w:bottom w:val="single" w:sz="4" w:space="0" w:color="auto"/>
              <w:right w:val="nil"/>
            </w:tcBorders>
          </w:tcPr>
          <w:p w:rsidR="005C2354" w:rsidRPr="008D7FB4" w:rsidRDefault="005C2354" w:rsidP="005C2354">
            <w:pPr>
              <w:spacing w:before="60" w:after="60"/>
              <w:rPr>
                <w:noProof/>
              </w:rPr>
            </w:pPr>
            <w:r w:rsidRPr="008D7FB4">
              <w:rPr>
                <w:noProof/>
              </w:rPr>
              <w:t>Ensino superior</w:t>
            </w:r>
            <w:r w:rsidRPr="008D7FB4">
              <w:rPr>
                <w:rStyle w:val="FootnoteReference"/>
                <w:noProof/>
              </w:rPr>
              <w:footnoteReference w:id="28"/>
            </w:r>
          </w:p>
        </w:tc>
        <w:tc>
          <w:tcPr>
            <w:tcW w:w="1176" w:type="dxa"/>
            <w:tcBorders>
              <w:top w:val="nil"/>
              <w:left w:val="nil"/>
              <w:bottom w:val="single" w:sz="4" w:space="0" w:color="auto"/>
              <w:right w:val="nil"/>
            </w:tcBorders>
          </w:tcPr>
          <w:p w:rsidR="005C2354" w:rsidRPr="008D7FB4" w:rsidRDefault="00F563C1" w:rsidP="00732A9E">
            <w:pPr>
              <w:spacing w:before="60" w:after="60"/>
              <w:jc w:val="right"/>
              <w:rPr>
                <w:noProof/>
              </w:rPr>
            </w:pPr>
            <w:r w:rsidRPr="008D7FB4">
              <w:rPr>
                <w:noProof/>
              </w:rPr>
              <w:t>35</w:t>
            </w:r>
          </w:p>
        </w:tc>
        <w:tc>
          <w:tcPr>
            <w:tcW w:w="1176" w:type="dxa"/>
            <w:tcBorders>
              <w:top w:val="nil"/>
              <w:left w:val="nil"/>
              <w:bottom w:val="single" w:sz="4" w:space="0" w:color="auto"/>
              <w:right w:val="nil"/>
            </w:tcBorders>
          </w:tcPr>
          <w:p w:rsidR="005C2354" w:rsidRPr="008D7FB4" w:rsidRDefault="005C2354" w:rsidP="00732A9E">
            <w:pPr>
              <w:spacing w:before="60" w:after="60"/>
              <w:jc w:val="right"/>
              <w:rPr>
                <w:rFonts w:eastAsia="Calibri"/>
                <w:noProof/>
              </w:rPr>
            </w:pPr>
            <w:r w:rsidRPr="008D7FB4">
              <w:rPr>
                <w:noProof/>
              </w:rPr>
              <w:t>(5,7 %)</w:t>
            </w:r>
          </w:p>
        </w:tc>
      </w:tr>
    </w:tbl>
    <w:p w:rsidR="00252AC6" w:rsidRPr="008D7FB4" w:rsidRDefault="005772B3" w:rsidP="005772B3">
      <w:pPr>
        <w:pStyle w:val="ManualHeading3"/>
        <w:spacing w:before="360"/>
        <w:rPr>
          <w:noProof/>
          <w:u w:val="single"/>
        </w:rPr>
      </w:pPr>
      <w:r w:rsidRPr="008D7FB4">
        <w:rPr>
          <w:noProof/>
        </w:rPr>
        <w:t>Medidas propostas</w:t>
      </w:r>
    </w:p>
    <w:p w:rsidR="00252AC6" w:rsidRPr="008D7FB4" w:rsidRDefault="007C298D" w:rsidP="007C298D">
      <w:pPr>
        <w:pStyle w:val="ManualNumPar1"/>
        <w:rPr>
          <w:noProof/>
        </w:rPr>
      </w:pPr>
      <w:bookmarkStart w:id="9" w:name="_Ref372214239"/>
      <w:r w:rsidRPr="007C298D">
        <w:t>29.</w:t>
      </w:r>
      <w:r w:rsidRPr="007C298D">
        <w:tab/>
      </w:r>
      <w:r w:rsidR="00252AC6" w:rsidRPr="008D7FB4">
        <w:rPr>
          <w:noProof/>
        </w:rPr>
        <w:t xml:space="preserve">Os serviços personalizados a prestar aos trabalhadores despedidos consistem nas medidas a seguir descritas: </w:t>
      </w:r>
      <w:bookmarkEnd w:id="9"/>
    </w:p>
    <w:p w:rsidR="00252AC6" w:rsidRPr="008D7FB4" w:rsidRDefault="00B157BC" w:rsidP="00392AD0">
      <w:pPr>
        <w:pStyle w:val="Tiret1"/>
        <w:numPr>
          <w:ilvl w:val="0"/>
          <w:numId w:val="11"/>
        </w:numPr>
        <w:rPr>
          <w:noProof/>
        </w:rPr>
      </w:pPr>
      <w:r w:rsidRPr="008D7FB4">
        <w:rPr>
          <w:noProof/>
          <w:u w:val="single"/>
        </w:rPr>
        <w:t>Informação geral e orientação profissional</w:t>
      </w:r>
      <w:r w:rsidRPr="008D7FB4">
        <w:rPr>
          <w:noProof/>
        </w:rPr>
        <w:t>: após terem sido fornecidas informações gerais sobre as medidas disponíveis, é prestada orientação profissional (incluindo a definição de perfis) a todos os trabalhadores. A definição de perfis visa promover um processo de sensibilização pessoal destinado a identificar áreas de interesse, aptidões, capacidades e competências, bem como aspetos que seja necessário melhorar. O resultado deste processo será o percurso personalizado do trabalhador para a reintegração no mercado de trabalho.</w:t>
      </w:r>
    </w:p>
    <w:p w:rsidR="00323068" w:rsidRPr="008D7FB4" w:rsidRDefault="00B157BC" w:rsidP="00B157BC">
      <w:pPr>
        <w:pStyle w:val="Tiret1"/>
        <w:rPr>
          <w:noProof/>
        </w:rPr>
      </w:pPr>
      <w:r w:rsidRPr="008D7FB4">
        <w:rPr>
          <w:noProof/>
        </w:rPr>
        <w:t xml:space="preserve">A </w:t>
      </w:r>
      <w:r w:rsidRPr="008D7FB4">
        <w:rPr>
          <w:noProof/>
          <w:u w:val="single"/>
        </w:rPr>
        <w:t>assistência à procura de emprego</w:t>
      </w:r>
      <w:r w:rsidRPr="008D7FB4">
        <w:rPr>
          <w:noProof/>
        </w:rPr>
        <w:t xml:space="preserve"> inclui a procura ativa de oportunidades de emprego a nível local e regional e ajuda com a correspondência entre a oferta e a procura de empregos.</w:t>
      </w:r>
    </w:p>
    <w:p w:rsidR="00220861" w:rsidRPr="008D7FB4" w:rsidRDefault="00323068" w:rsidP="00220861">
      <w:pPr>
        <w:pStyle w:val="Tiret1"/>
        <w:rPr>
          <w:noProof/>
        </w:rPr>
      </w:pPr>
      <w:r w:rsidRPr="008D7FB4">
        <w:rPr>
          <w:noProof/>
          <w:u w:val="single"/>
        </w:rPr>
        <w:t>Formação</w:t>
      </w:r>
      <w:r w:rsidRPr="008D7FB4">
        <w:rPr>
          <w:noProof/>
        </w:rPr>
        <w:t>: para evitar a degradação dos respetivos perfis profissionais, os pilotos, os assistentes de voo e os técnicos de manutenção de aeronaves seguirão a formação necessária para manter as suas licenças. Os trabalhadores selecionados para uma oferta de emprego na sequência da correspondência entre ofertas e pedidos de emprego receberão formação para colmatar qualquer escassez de competências identificada pelo potencial empregador. Será dada prioridade aos grupos de trabalhadores mais vulneráveis, em especial aqueles com mais de 55 anos de idade. A formação incidirá na economia verde, na economia azul</w:t>
      </w:r>
      <w:r w:rsidRPr="008D7FB4">
        <w:rPr>
          <w:rStyle w:val="FootnoteReference"/>
          <w:noProof/>
        </w:rPr>
        <w:footnoteReference w:id="29"/>
      </w:r>
      <w:r w:rsidRPr="008D7FB4">
        <w:rPr>
          <w:noProof/>
        </w:rPr>
        <w:t>, nos serviços pessoais, nos serviços sociais e de saúde, na promoção do património cultural e nas atividades culturais. As formações em competências digitais (até 90 horas) e em qualificações profissionais incluídas nos catálogos nacionais ou regionais fazem também parte da oferta de formação</w:t>
      </w:r>
      <w:r w:rsidRPr="008D7FB4">
        <w:rPr>
          <w:rStyle w:val="jlqj4b"/>
          <w:noProof/>
        </w:rPr>
        <w:t>.</w:t>
      </w:r>
    </w:p>
    <w:p w:rsidR="00D07B66" w:rsidRPr="008D7FB4" w:rsidRDefault="00D07B66" w:rsidP="00D07B66">
      <w:pPr>
        <w:pStyle w:val="Tiret1"/>
        <w:rPr>
          <w:noProof/>
        </w:rPr>
      </w:pPr>
      <w:r w:rsidRPr="008D7FB4">
        <w:rPr>
          <w:noProof/>
          <w:u w:val="single"/>
        </w:rPr>
        <w:t>Apoio à criação de empresas</w:t>
      </w:r>
      <w:r w:rsidRPr="008D7FB4">
        <w:rPr>
          <w:noProof/>
        </w:rPr>
        <w:t>: os trabalhadores interessados em trabalhar por conta própria participam em sessões de tutoria individuais ou em grupo, que podem abranger o planeamento, a realização de estudos de viabilidade, a preparação de planos de negócios, ajuda com a identificação de possibilidades de financiamento, etc. A ferramenta para as competências empresariais WeRentrepreneur</w:t>
      </w:r>
      <w:r w:rsidRPr="008D7FB4">
        <w:rPr>
          <w:rStyle w:val="FootnoteReference"/>
          <w:noProof/>
        </w:rPr>
        <w:footnoteReference w:id="30"/>
      </w:r>
      <w:r w:rsidRPr="008D7FB4">
        <w:rPr>
          <w:noProof/>
        </w:rPr>
        <w:t xml:space="preserve"> estará ao seu dispor. </w:t>
      </w:r>
    </w:p>
    <w:p w:rsidR="00474E68" w:rsidRPr="008D7FB4" w:rsidRDefault="00474E68" w:rsidP="00474E68">
      <w:pPr>
        <w:pStyle w:val="Tiret1"/>
        <w:rPr>
          <w:noProof/>
        </w:rPr>
      </w:pPr>
      <w:r w:rsidRPr="008D7FB4">
        <w:rPr>
          <w:noProof/>
          <w:u w:val="single"/>
        </w:rPr>
        <w:t>Contribuição para a criação de uma empresa</w:t>
      </w:r>
      <w:r w:rsidRPr="008D7FB4">
        <w:rPr>
          <w:noProof/>
        </w:rPr>
        <w:t>: os beneficiários que criem uma empresa ou iniciem uma atividade independente recebem uma contribuição máxima de 22 000 EUR cada, para os ajudar a suportar os custos do arranque.</w:t>
      </w:r>
    </w:p>
    <w:p w:rsidR="003736CE" w:rsidRPr="008D7FB4" w:rsidRDefault="00BC7C54" w:rsidP="00E9108B">
      <w:pPr>
        <w:pStyle w:val="Tiret1"/>
        <w:rPr>
          <w:noProof/>
        </w:rPr>
      </w:pPr>
      <w:r w:rsidRPr="008D7FB4">
        <w:rPr>
          <w:noProof/>
          <w:u w:val="single"/>
        </w:rPr>
        <w:t>Incentivos e contribuição para custos específicos</w:t>
      </w:r>
      <w:r w:rsidRPr="008D7FB4">
        <w:rPr>
          <w:noProof/>
        </w:rPr>
        <w:t>: 1) incentivos à contratação. As empresas que contratem antigos trabalhadores da Air Italy receberão 3 500 EUR por contrato permanente a tempo inteiro e 1 500 EUR por contratos a termo certo; 2) reembolso das despesas de mobilidade. Para apoiar a mobilidade geográfica dos trabalhadores em caso de reinserção profissional numa empresa de uma região diferente ou a uma distância igual ou superior a 200 km do local de residência do trabalhador, está previsto um reembolso das despesas com a mudança</w:t>
      </w:r>
      <w:r w:rsidRPr="008D7FB4">
        <w:rPr>
          <w:rStyle w:val="FootnoteReference"/>
          <w:noProof/>
        </w:rPr>
        <w:footnoteReference w:id="31"/>
      </w:r>
      <w:r w:rsidRPr="008D7FB4">
        <w:rPr>
          <w:noProof/>
        </w:rPr>
        <w:t>; 3) contribuição para as despesas de alojamento e de viagem incorridas com a participação em ações de formação relacionadas com licenças</w:t>
      </w:r>
      <w:r w:rsidRPr="008D7FB4">
        <w:rPr>
          <w:rStyle w:val="FootnoteReference"/>
          <w:noProof/>
        </w:rPr>
        <w:footnoteReference w:id="32"/>
      </w:r>
      <w:r w:rsidRPr="008D7FB4">
        <w:rPr>
          <w:noProof/>
        </w:rPr>
        <w:t>; 4) subsídio de procura de emprego. Os trabalhadores receberão o equivalente a um dia do subsídio de subsistência italiano «CIGS»</w:t>
      </w:r>
      <w:r w:rsidRPr="008D7FB4">
        <w:rPr>
          <w:rStyle w:val="FootnoteReference"/>
          <w:noProof/>
        </w:rPr>
        <w:footnoteReference w:id="33"/>
      </w:r>
      <w:r w:rsidRPr="008D7FB4">
        <w:rPr>
          <w:noProof/>
        </w:rPr>
        <w:t xml:space="preserve"> por cada dia de participação.</w:t>
      </w:r>
    </w:p>
    <w:p w:rsidR="009B02BF" w:rsidRPr="008D7FB4" w:rsidRDefault="007C298D" w:rsidP="007C298D">
      <w:pPr>
        <w:pStyle w:val="ManualNumPar1"/>
        <w:rPr>
          <w:noProof/>
        </w:rPr>
      </w:pPr>
      <w:r w:rsidRPr="007C298D">
        <w:t>30.</w:t>
      </w:r>
      <w:r w:rsidRPr="007C298D">
        <w:tab/>
      </w:r>
      <w:r w:rsidR="00FD75C1" w:rsidRPr="008D7FB4">
        <w:rPr>
          <w:noProof/>
        </w:rPr>
        <w:t>As medidas foram previstas em conformidade com a estratégia nacional italiana para o desenvolvimento sustentável (SNSvS)</w:t>
      </w:r>
      <w:r w:rsidR="00FD75C1" w:rsidRPr="008D7FB4">
        <w:rPr>
          <w:rStyle w:val="FootnoteReference"/>
          <w:noProof/>
        </w:rPr>
        <w:footnoteReference w:id="34"/>
      </w:r>
      <w:r w:rsidR="00FD75C1" w:rsidRPr="008D7FB4">
        <w:rPr>
          <w:noProof/>
        </w:rPr>
        <w:t xml:space="preserve">. A formação em competências digitais (formação informática geral de nível médio, segurança informática e Web) permite a aquisição das competências necessárias na era digital e numa economia eficiente em termos de recursos, em conformidade com o artigo 7.º, n.º 2, do Regulamento FEG. </w:t>
      </w:r>
    </w:p>
    <w:p w:rsidR="006C785D" w:rsidRPr="008D7FB4" w:rsidRDefault="007C298D" w:rsidP="007C298D">
      <w:pPr>
        <w:pStyle w:val="ManualNumPar1"/>
        <w:rPr>
          <w:noProof/>
        </w:rPr>
      </w:pPr>
      <w:bookmarkStart w:id="10" w:name="_Ref372214242"/>
      <w:r w:rsidRPr="007C298D">
        <w:t>31.</w:t>
      </w:r>
      <w:r w:rsidRPr="007C298D">
        <w:tab/>
      </w:r>
      <w:r w:rsidR="006C785D" w:rsidRPr="008D7FB4">
        <w:rPr>
          <w:noProof/>
        </w:rPr>
        <w:t>O pacote coordenado de serviços personalizados é composto por medidas ativas do mercado de trabalho que se enquadram nas ações elegíveis definidas no artigo 7.º do Regulamento FEG. Os serviços propostos não substituem as medidas passivas de proteção social.</w:t>
      </w:r>
    </w:p>
    <w:p w:rsidR="00252AC6" w:rsidRPr="008D7FB4" w:rsidRDefault="007C298D" w:rsidP="007C298D">
      <w:pPr>
        <w:pStyle w:val="ManualNumPar1"/>
        <w:rPr>
          <w:noProof/>
        </w:rPr>
      </w:pPr>
      <w:r w:rsidRPr="007C298D">
        <w:t>32.</w:t>
      </w:r>
      <w:r w:rsidRPr="007C298D">
        <w:tab/>
      </w:r>
      <w:r w:rsidR="0040358B" w:rsidRPr="008D7FB4">
        <w:rPr>
          <w:noProof/>
        </w:rPr>
        <w:t>As autoridades italianas forneceram as informações exigidas sobre as medidas que as empresas têm de empreender por força da legislação nacional ou das convenções coletivas e confirmaram que a contribuição financeira do FEG não irá substituir nenhuma dessas medidas.</w:t>
      </w:r>
      <w:bookmarkEnd w:id="10"/>
    </w:p>
    <w:p w:rsidR="00252AC6" w:rsidRPr="008D7FB4" w:rsidRDefault="00252AC6" w:rsidP="00252AC6">
      <w:pPr>
        <w:pStyle w:val="ManualHeading3"/>
        <w:rPr>
          <w:noProof/>
        </w:rPr>
      </w:pPr>
      <w:r w:rsidRPr="008D7FB4">
        <w:rPr>
          <w:noProof/>
        </w:rPr>
        <w:t>Orçamento estimado</w:t>
      </w:r>
    </w:p>
    <w:p w:rsidR="00252AC6" w:rsidRPr="008D7FB4" w:rsidRDefault="007C298D" w:rsidP="007C298D">
      <w:pPr>
        <w:pStyle w:val="ManualNumPar1"/>
        <w:rPr>
          <w:noProof/>
        </w:rPr>
      </w:pPr>
      <w:r w:rsidRPr="007C298D">
        <w:t>33.</w:t>
      </w:r>
      <w:r w:rsidRPr="007C298D">
        <w:tab/>
      </w:r>
      <w:r w:rsidR="00252AC6" w:rsidRPr="008D7FB4">
        <w:rPr>
          <w:noProof/>
        </w:rPr>
        <w:t>O total dos custos estimados é de 4 558 400 EUR, incluindo despesas com serviços personalizados no valor de 4 376 000 EUR euros e despesas com atividades de preparação, gestão, informação e publicidade, controlo e elaboração de relatórios, no valor de 182 400 EUR.</w:t>
      </w:r>
    </w:p>
    <w:p w:rsidR="00252AC6" w:rsidRPr="008D7FB4" w:rsidRDefault="007C298D" w:rsidP="007C298D">
      <w:pPr>
        <w:pStyle w:val="ManualNumPar1"/>
        <w:rPr>
          <w:noProof/>
        </w:rPr>
      </w:pPr>
      <w:bookmarkStart w:id="11" w:name="_Ref372550770"/>
      <w:r w:rsidRPr="007C298D">
        <w:t>34.</w:t>
      </w:r>
      <w:r w:rsidRPr="007C298D">
        <w:tab/>
      </w:r>
      <w:r w:rsidR="00252AC6" w:rsidRPr="008D7FB4">
        <w:rPr>
          <w:noProof/>
        </w:rPr>
        <w:t>A contribuição financeira total solicitada ao FEG ascende a 3 874 640 EUR (85 % dos custos totais).</w:t>
      </w:r>
      <w:bookmarkEnd w:id="11"/>
    </w:p>
    <w:p w:rsidR="004A0F40" w:rsidRPr="008D7FB4" w:rsidRDefault="007C298D" w:rsidP="007C298D">
      <w:pPr>
        <w:pStyle w:val="ManualNumPar1"/>
        <w:rPr>
          <w:noProof/>
        </w:rPr>
      </w:pPr>
      <w:r w:rsidRPr="007C298D">
        <w:t>35.</w:t>
      </w:r>
      <w:r w:rsidRPr="007C298D">
        <w:tab/>
      </w:r>
      <w:r w:rsidR="004B6A76" w:rsidRPr="008D7FB4">
        <w:rPr>
          <w:noProof/>
        </w:rPr>
        <w:t>O pré-financiamento e o cofinanciamento nacionais são assegurados pela Regione Sardegna.</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252AC6" w:rsidRPr="008D7FB4" w:rsidTr="00F060F9">
        <w:tc>
          <w:tcPr>
            <w:tcW w:w="4644" w:type="dxa"/>
            <w:shd w:val="clear" w:color="auto" w:fill="auto"/>
            <w:vAlign w:val="center"/>
          </w:tcPr>
          <w:p w:rsidR="00252AC6" w:rsidRPr="008D7FB4" w:rsidRDefault="00E10E70" w:rsidP="00F060F9">
            <w:pPr>
              <w:spacing w:before="60" w:after="60"/>
              <w:jc w:val="center"/>
              <w:rPr>
                <w:rFonts w:eastAsia="Times New Roman"/>
                <w:noProof/>
                <w:sz w:val="22"/>
              </w:rPr>
            </w:pPr>
            <w:r w:rsidRPr="008D7FB4">
              <w:rPr>
                <w:noProof/>
                <w:sz w:val="22"/>
              </w:rPr>
              <w:t>Medidas</w:t>
            </w:r>
          </w:p>
        </w:tc>
        <w:tc>
          <w:tcPr>
            <w:tcW w:w="1548" w:type="dxa"/>
            <w:shd w:val="clear" w:color="auto" w:fill="auto"/>
            <w:vAlign w:val="center"/>
          </w:tcPr>
          <w:p w:rsidR="00252AC6" w:rsidRPr="008D7FB4" w:rsidRDefault="00252AC6" w:rsidP="00F060F9">
            <w:pPr>
              <w:spacing w:before="60" w:after="60"/>
              <w:jc w:val="center"/>
              <w:rPr>
                <w:rFonts w:eastAsia="Times New Roman"/>
                <w:noProof/>
                <w:sz w:val="22"/>
              </w:rPr>
            </w:pPr>
            <w:r w:rsidRPr="008D7FB4">
              <w:rPr>
                <w:noProof/>
                <w:sz w:val="22"/>
              </w:rPr>
              <w:t>Número estimado de participantes</w:t>
            </w:r>
          </w:p>
        </w:tc>
        <w:tc>
          <w:tcPr>
            <w:tcW w:w="1548" w:type="dxa"/>
            <w:shd w:val="clear" w:color="auto" w:fill="auto"/>
            <w:vAlign w:val="center"/>
          </w:tcPr>
          <w:p w:rsidR="00252AC6" w:rsidRPr="008D7FB4" w:rsidRDefault="00252AC6" w:rsidP="00F060F9">
            <w:pPr>
              <w:spacing w:before="60" w:after="60"/>
              <w:jc w:val="center"/>
              <w:rPr>
                <w:rFonts w:eastAsia="Times New Roman"/>
                <w:noProof/>
                <w:sz w:val="22"/>
              </w:rPr>
            </w:pPr>
            <w:r w:rsidRPr="008D7FB4">
              <w:rPr>
                <w:noProof/>
                <w:sz w:val="22"/>
              </w:rPr>
              <w:t>Custo estimado por participante</w:t>
            </w:r>
            <w:r w:rsidRPr="008D7FB4">
              <w:rPr>
                <w:noProof/>
              </w:rPr>
              <w:t xml:space="preserve"> </w:t>
            </w:r>
            <w:r w:rsidRPr="008D7FB4">
              <w:rPr>
                <w:noProof/>
              </w:rPr>
              <w:br/>
            </w:r>
            <w:r w:rsidRPr="008D7FB4">
              <w:rPr>
                <w:i/>
                <w:noProof/>
                <w:sz w:val="22"/>
              </w:rPr>
              <w:t>(EUR)</w:t>
            </w:r>
            <w:r w:rsidRPr="008D7FB4">
              <w:rPr>
                <w:rStyle w:val="FootnoteReference"/>
                <w:rFonts w:eastAsia="Times New Roman"/>
                <w:i/>
                <w:noProof/>
                <w:sz w:val="22"/>
              </w:rPr>
              <w:footnoteReference w:id="35"/>
            </w:r>
          </w:p>
        </w:tc>
        <w:tc>
          <w:tcPr>
            <w:tcW w:w="1548" w:type="dxa"/>
            <w:shd w:val="clear" w:color="auto" w:fill="auto"/>
            <w:vAlign w:val="center"/>
          </w:tcPr>
          <w:p w:rsidR="00252AC6" w:rsidRPr="008D7FB4" w:rsidRDefault="00252AC6" w:rsidP="00F060F9">
            <w:pPr>
              <w:spacing w:before="60" w:after="60"/>
              <w:jc w:val="center"/>
              <w:rPr>
                <w:rFonts w:eastAsia="Times New Roman"/>
                <w:noProof/>
                <w:sz w:val="22"/>
              </w:rPr>
            </w:pPr>
            <w:r w:rsidRPr="008D7FB4">
              <w:rPr>
                <w:noProof/>
                <w:sz w:val="22"/>
              </w:rPr>
              <w:t>Custos totais estimados</w:t>
            </w:r>
          </w:p>
          <w:p w:rsidR="00252AC6" w:rsidRPr="008D7FB4" w:rsidRDefault="00252AC6" w:rsidP="00F060F9">
            <w:pPr>
              <w:spacing w:before="60" w:after="60"/>
              <w:jc w:val="center"/>
              <w:rPr>
                <w:rFonts w:eastAsia="Times New Roman"/>
                <w:noProof/>
                <w:sz w:val="22"/>
              </w:rPr>
            </w:pPr>
            <w:r w:rsidRPr="008D7FB4">
              <w:rPr>
                <w:i/>
                <w:noProof/>
                <w:sz w:val="22"/>
              </w:rPr>
              <w:t>(EUR)</w:t>
            </w:r>
            <w:r w:rsidRPr="008D7FB4">
              <w:rPr>
                <w:rStyle w:val="FootnoteReference"/>
                <w:rFonts w:eastAsia="Times New Roman"/>
                <w:i/>
                <w:noProof/>
                <w:sz w:val="22"/>
              </w:rPr>
              <w:footnoteReference w:id="36"/>
            </w:r>
            <w:r w:rsidRPr="008D7FB4">
              <w:rPr>
                <w:i/>
                <w:noProof/>
                <w:sz w:val="22"/>
              </w:rPr>
              <w:t xml:space="preserve"> </w:t>
            </w:r>
          </w:p>
        </w:tc>
      </w:tr>
      <w:tr w:rsidR="00252AC6" w:rsidRPr="008D7FB4" w:rsidTr="00F060F9">
        <w:tc>
          <w:tcPr>
            <w:tcW w:w="9288" w:type="dxa"/>
            <w:gridSpan w:val="4"/>
            <w:shd w:val="clear" w:color="auto" w:fill="auto"/>
          </w:tcPr>
          <w:p w:rsidR="00252AC6" w:rsidRPr="008D7FB4" w:rsidRDefault="00252AC6" w:rsidP="00CD31A0">
            <w:pPr>
              <w:spacing w:before="60" w:after="60"/>
              <w:jc w:val="left"/>
              <w:rPr>
                <w:rFonts w:eastAsia="Times New Roman"/>
                <w:noProof/>
                <w:sz w:val="22"/>
              </w:rPr>
            </w:pPr>
            <w:r w:rsidRPr="008D7FB4">
              <w:rPr>
                <w:noProof/>
                <w:sz w:val="22"/>
              </w:rPr>
              <w:t>Serviços personalizados [medidas ao abrigo do artigo 7.º, n.º 2, alínea a), do Regulamento FEG]</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417CCE" w:rsidP="00417CCE">
            <w:pPr>
              <w:spacing w:before="60" w:after="60"/>
              <w:jc w:val="left"/>
              <w:rPr>
                <w:noProof/>
              </w:rPr>
            </w:pPr>
            <w:r w:rsidRPr="008D7FB4">
              <w:rPr>
                <w:noProof/>
              </w:rPr>
              <w:t xml:space="preserve">Informação geral e orientação profissional </w:t>
            </w:r>
            <w:r w:rsidRPr="008D7FB4">
              <w:rPr>
                <w:noProof/>
              </w:rPr>
              <w:br/>
              <w:t>(</w:t>
            </w:r>
            <w:r w:rsidRPr="008D7FB4">
              <w:rPr>
                <w:i/>
                <w:noProof/>
              </w:rPr>
              <w:t>Presa in carico e orientamento)</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417CCE">
            <w:pPr>
              <w:spacing w:before="60" w:after="60"/>
              <w:jc w:val="center"/>
              <w:rPr>
                <w:noProof/>
              </w:rPr>
            </w:pPr>
            <w:r w:rsidRPr="008D7FB4">
              <w:rPr>
                <w:noProof/>
              </w:rPr>
              <w:t>611</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417CCE">
            <w:pPr>
              <w:spacing w:before="60" w:after="60"/>
              <w:jc w:val="center"/>
              <w:rPr>
                <w:noProof/>
              </w:rPr>
            </w:pPr>
            <w:r w:rsidRPr="008D7FB4">
              <w:rPr>
                <w:noProof/>
              </w:rPr>
              <w:t>327</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417CCE" w:rsidP="00417CCE">
            <w:pPr>
              <w:spacing w:before="60" w:after="60"/>
              <w:jc w:val="center"/>
              <w:rPr>
                <w:noProof/>
              </w:rPr>
            </w:pPr>
            <w:r w:rsidRPr="008D7FB4">
              <w:rPr>
                <w:noProof/>
              </w:rPr>
              <w:t>200 000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417CCE" w:rsidP="00417CCE">
            <w:pPr>
              <w:spacing w:before="60" w:after="60"/>
              <w:jc w:val="left"/>
              <w:rPr>
                <w:noProof/>
              </w:rPr>
            </w:pPr>
            <w:r w:rsidRPr="008D7FB4">
              <w:rPr>
                <w:noProof/>
              </w:rPr>
              <w:t xml:space="preserve">Assistência na procura de emprego </w:t>
            </w:r>
            <w:r w:rsidRPr="008D7FB4">
              <w:rPr>
                <w:noProof/>
              </w:rPr>
              <w:br/>
              <w:t>(</w:t>
            </w:r>
            <w:r w:rsidRPr="008D7FB4">
              <w:rPr>
                <w:i/>
                <w:noProof/>
              </w:rPr>
              <w:t>Assistenza alla ricerca e servizi di accompagnamento al lavoro)</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E21267">
            <w:pPr>
              <w:spacing w:before="60" w:after="60"/>
              <w:jc w:val="center"/>
              <w:rPr>
                <w:noProof/>
              </w:rPr>
            </w:pPr>
            <w:r w:rsidRPr="008D7FB4">
              <w:rPr>
                <w:noProof/>
              </w:rPr>
              <w:t>569</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E21267">
            <w:pPr>
              <w:spacing w:before="60" w:after="60"/>
              <w:jc w:val="center"/>
              <w:rPr>
                <w:noProof/>
              </w:rPr>
            </w:pPr>
            <w:r w:rsidRPr="008D7FB4">
              <w:rPr>
                <w:noProof/>
              </w:rPr>
              <w:t>439</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E21267" w:rsidP="00E21267">
            <w:pPr>
              <w:spacing w:before="60" w:after="60"/>
              <w:jc w:val="center"/>
              <w:rPr>
                <w:noProof/>
              </w:rPr>
            </w:pPr>
            <w:r w:rsidRPr="008D7FB4">
              <w:rPr>
                <w:noProof/>
              </w:rPr>
              <w:t>250 000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E21267" w:rsidP="00E21267">
            <w:pPr>
              <w:spacing w:before="60" w:after="60"/>
              <w:jc w:val="left"/>
              <w:rPr>
                <w:noProof/>
              </w:rPr>
            </w:pPr>
            <w:r w:rsidRPr="008D7FB4">
              <w:rPr>
                <w:noProof/>
              </w:rPr>
              <w:t xml:space="preserve">Formação </w:t>
            </w:r>
            <w:r w:rsidRPr="008D7FB4">
              <w:rPr>
                <w:noProof/>
              </w:rPr>
              <w:br/>
              <w:t>(</w:t>
            </w:r>
            <w:r w:rsidRPr="008D7FB4">
              <w:rPr>
                <w:i/>
                <w:noProof/>
              </w:rPr>
              <w:t>Formazione e riqualificazione professionale. Vale formativo especialista)</w:t>
            </w:r>
            <w:r w:rsidRPr="008D7FB4">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E87D9C">
            <w:pPr>
              <w:spacing w:before="60" w:after="60"/>
              <w:jc w:val="center"/>
              <w:rPr>
                <w:noProof/>
              </w:rPr>
            </w:pPr>
            <w:r w:rsidRPr="008D7FB4">
              <w:rPr>
                <w:noProof/>
              </w:rPr>
              <w:t>611</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036969" w:rsidP="00E87D9C">
            <w:pPr>
              <w:spacing w:before="60" w:after="60"/>
              <w:jc w:val="center"/>
              <w:rPr>
                <w:noProof/>
              </w:rPr>
            </w:pPr>
            <w:r w:rsidRPr="008D7FB4">
              <w:rPr>
                <w:noProof/>
              </w:rPr>
              <w:t>2455</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E87D9C" w:rsidP="00E87D9C">
            <w:pPr>
              <w:spacing w:before="60" w:after="60"/>
              <w:jc w:val="center"/>
              <w:rPr>
                <w:noProof/>
              </w:rPr>
            </w:pPr>
            <w:r w:rsidRPr="008D7FB4">
              <w:rPr>
                <w:noProof/>
              </w:rPr>
              <w:t>1 500 000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E87D9C" w:rsidP="00E87D9C">
            <w:pPr>
              <w:spacing w:before="60" w:after="60"/>
              <w:jc w:val="left"/>
              <w:rPr>
                <w:noProof/>
              </w:rPr>
            </w:pPr>
            <w:r w:rsidRPr="008D7FB4">
              <w:rPr>
                <w:noProof/>
              </w:rPr>
              <w:t xml:space="preserve">Apoio à criação de empresas </w:t>
            </w:r>
            <w:r w:rsidRPr="008D7FB4">
              <w:rPr>
                <w:noProof/>
              </w:rPr>
              <w:br/>
              <w:t>(</w:t>
            </w:r>
            <w:r w:rsidRPr="008D7FB4">
              <w:rPr>
                <w:i/>
                <w:noProof/>
              </w:rPr>
              <w:t>Assistenza all’autoimprenditorialità)</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4D52B2" w:rsidP="008D1498">
            <w:pPr>
              <w:spacing w:before="60" w:after="60"/>
              <w:jc w:val="center"/>
              <w:rPr>
                <w:noProof/>
              </w:rPr>
            </w:pPr>
            <w:r w:rsidRPr="008D7FB4">
              <w:rPr>
                <w:noProof/>
              </w:rPr>
              <w:t>42</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4D52B2" w:rsidP="008D1498">
            <w:pPr>
              <w:spacing w:before="60" w:after="60"/>
              <w:jc w:val="center"/>
              <w:rPr>
                <w:noProof/>
              </w:rPr>
            </w:pPr>
            <w:r w:rsidRPr="008D7FB4">
              <w:rPr>
                <w:noProof/>
              </w:rPr>
              <w:t>500</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8D1498" w:rsidP="008D1498">
            <w:pPr>
              <w:spacing w:before="60" w:after="60"/>
              <w:jc w:val="center"/>
              <w:rPr>
                <w:noProof/>
              </w:rPr>
            </w:pPr>
            <w:r w:rsidRPr="008D7FB4">
              <w:rPr>
                <w:noProof/>
              </w:rPr>
              <w:t>21 000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8D1498" w:rsidP="008D1498">
            <w:pPr>
              <w:spacing w:before="60" w:after="60"/>
              <w:jc w:val="left"/>
              <w:rPr>
                <w:noProof/>
              </w:rPr>
            </w:pPr>
            <w:r w:rsidRPr="008D7FB4">
              <w:rPr>
                <w:noProof/>
              </w:rPr>
              <w:t xml:space="preserve">Contribuição para a criação de uma empresa </w:t>
            </w:r>
            <w:r w:rsidRPr="008D7FB4">
              <w:rPr>
                <w:noProof/>
              </w:rPr>
              <w:br/>
              <w:t>(</w:t>
            </w:r>
            <w:r w:rsidRPr="008D7FB4">
              <w:rPr>
                <w:i/>
                <w:noProof/>
              </w:rPr>
              <w:t>Bonus per la creazione di un'impresa)</w:t>
            </w:r>
            <w:r w:rsidRPr="008D7FB4">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4D52B2" w:rsidP="00061473">
            <w:pPr>
              <w:spacing w:before="60" w:after="60"/>
              <w:jc w:val="center"/>
              <w:rPr>
                <w:noProof/>
              </w:rPr>
            </w:pPr>
            <w:r w:rsidRPr="008D7FB4">
              <w:rPr>
                <w:noProof/>
              </w:rPr>
              <w:t>42</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642C29" w:rsidP="00061473">
            <w:pPr>
              <w:spacing w:before="60" w:after="60"/>
              <w:jc w:val="center"/>
              <w:rPr>
                <w:noProof/>
              </w:rPr>
            </w:pPr>
            <w:r w:rsidRPr="008D7FB4">
              <w:rPr>
                <w:noProof/>
              </w:rPr>
              <w:t>20 952</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061473" w:rsidP="00061473">
            <w:pPr>
              <w:spacing w:before="60" w:after="60"/>
              <w:jc w:val="center"/>
              <w:rPr>
                <w:noProof/>
              </w:rPr>
            </w:pPr>
            <w:r w:rsidRPr="008D7FB4">
              <w:rPr>
                <w:noProof/>
              </w:rPr>
              <w:t>880 000</w:t>
            </w:r>
          </w:p>
        </w:tc>
      </w:tr>
      <w:tr w:rsidR="00252AC6" w:rsidRPr="008D7FB4" w:rsidTr="00F060F9">
        <w:trPr>
          <w:trHeight w:val="398"/>
        </w:trPr>
        <w:tc>
          <w:tcPr>
            <w:tcW w:w="4644" w:type="dxa"/>
            <w:vMerge w:val="restart"/>
            <w:shd w:val="clear" w:color="auto" w:fill="auto"/>
            <w:vAlign w:val="center"/>
          </w:tcPr>
          <w:p w:rsidR="00252AC6" w:rsidRPr="008D7FB4" w:rsidRDefault="00252AC6" w:rsidP="00F060F9">
            <w:pPr>
              <w:spacing w:before="60" w:after="60"/>
              <w:jc w:val="right"/>
              <w:rPr>
                <w:rFonts w:eastAsia="Times New Roman"/>
                <w:noProof/>
                <w:sz w:val="22"/>
              </w:rPr>
            </w:pPr>
            <w:r w:rsidRPr="008D7FB4">
              <w:rPr>
                <w:noProof/>
                <w:sz w:val="22"/>
              </w:rPr>
              <w:t>Subtotal (a):</w:t>
            </w:r>
          </w:p>
          <w:p w:rsidR="00252AC6" w:rsidRPr="008D7FB4" w:rsidRDefault="00252AC6" w:rsidP="00F060F9">
            <w:pPr>
              <w:spacing w:before="60" w:after="60"/>
              <w:jc w:val="right"/>
              <w:rPr>
                <w:rFonts w:eastAsia="Times New Roman"/>
                <w:noProof/>
                <w:sz w:val="22"/>
              </w:rPr>
            </w:pPr>
            <w:r w:rsidRPr="008D7FB4">
              <w:rPr>
                <w:noProof/>
                <w:sz w:val="22"/>
              </w:rPr>
              <w:t xml:space="preserve">Percentagem do pacote de serviços personalizados </w:t>
            </w:r>
          </w:p>
        </w:tc>
        <w:tc>
          <w:tcPr>
            <w:tcW w:w="3096" w:type="dxa"/>
            <w:gridSpan w:val="2"/>
            <w:vMerge w:val="restart"/>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tcBorders>
              <w:bottom w:val="nil"/>
            </w:tcBorders>
            <w:shd w:val="clear" w:color="auto" w:fill="auto"/>
            <w:vAlign w:val="center"/>
          </w:tcPr>
          <w:p w:rsidR="00252AC6" w:rsidRPr="008D7FB4" w:rsidRDefault="001C0466" w:rsidP="001C0466">
            <w:pPr>
              <w:spacing w:before="60" w:after="60"/>
              <w:jc w:val="center"/>
              <w:rPr>
                <w:rFonts w:eastAsia="Times New Roman"/>
                <w:noProof/>
                <w:sz w:val="22"/>
              </w:rPr>
            </w:pPr>
            <w:r w:rsidRPr="008D7FB4">
              <w:rPr>
                <w:noProof/>
              </w:rPr>
              <w:t>2 851 000</w:t>
            </w:r>
          </w:p>
        </w:tc>
      </w:tr>
      <w:tr w:rsidR="00252AC6" w:rsidRPr="008D7FB4" w:rsidTr="00F060F9">
        <w:trPr>
          <w:trHeight w:val="397"/>
        </w:trPr>
        <w:tc>
          <w:tcPr>
            <w:tcW w:w="4644" w:type="dxa"/>
            <w:vMerge/>
            <w:shd w:val="clear" w:color="auto" w:fill="auto"/>
            <w:vAlign w:val="center"/>
          </w:tcPr>
          <w:p w:rsidR="00252AC6" w:rsidRPr="008D7FB4" w:rsidRDefault="00252AC6" w:rsidP="00F060F9">
            <w:pPr>
              <w:spacing w:before="60" w:after="60"/>
              <w:jc w:val="right"/>
              <w:rPr>
                <w:rFonts w:eastAsia="Times New Roman"/>
                <w:noProof/>
                <w:sz w:val="22"/>
              </w:rPr>
            </w:pPr>
          </w:p>
        </w:tc>
        <w:tc>
          <w:tcPr>
            <w:tcW w:w="3096" w:type="dxa"/>
            <w:gridSpan w:val="2"/>
            <w:vMerge/>
            <w:shd w:val="clear" w:color="auto" w:fill="D9D9D9"/>
            <w:vAlign w:val="center"/>
          </w:tcPr>
          <w:p w:rsidR="00252AC6" w:rsidRPr="008D7FB4" w:rsidRDefault="00252AC6" w:rsidP="00F060F9">
            <w:pPr>
              <w:spacing w:before="60" w:after="60"/>
              <w:jc w:val="center"/>
              <w:rPr>
                <w:rFonts w:eastAsia="Times New Roman"/>
                <w:noProof/>
                <w:sz w:val="22"/>
              </w:rPr>
            </w:pPr>
          </w:p>
        </w:tc>
        <w:tc>
          <w:tcPr>
            <w:tcW w:w="1548" w:type="dxa"/>
            <w:tcBorders>
              <w:top w:val="nil"/>
            </w:tcBorders>
            <w:shd w:val="clear" w:color="auto" w:fill="auto"/>
            <w:vAlign w:val="center"/>
          </w:tcPr>
          <w:p w:rsidR="00252AC6" w:rsidRPr="008D7FB4" w:rsidRDefault="00252AC6" w:rsidP="001C0466">
            <w:pPr>
              <w:spacing w:before="60" w:after="60"/>
              <w:jc w:val="center"/>
              <w:rPr>
                <w:rFonts w:eastAsia="Times New Roman"/>
                <w:noProof/>
                <w:sz w:val="22"/>
              </w:rPr>
            </w:pPr>
            <w:r w:rsidRPr="008D7FB4">
              <w:rPr>
                <w:noProof/>
                <w:sz w:val="22"/>
              </w:rPr>
              <w:t>(</w:t>
            </w:r>
            <w:r w:rsidRPr="008D7FB4">
              <w:rPr>
                <w:noProof/>
              </w:rPr>
              <w:t xml:space="preserve">65,15 </w:t>
            </w:r>
            <w:r w:rsidRPr="008D7FB4">
              <w:rPr>
                <w:noProof/>
                <w:sz w:val="22"/>
              </w:rPr>
              <w:t>%)</w:t>
            </w:r>
          </w:p>
        </w:tc>
      </w:tr>
      <w:tr w:rsidR="00252AC6" w:rsidRPr="008D7FB4" w:rsidTr="00F060F9">
        <w:tc>
          <w:tcPr>
            <w:tcW w:w="9288" w:type="dxa"/>
            <w:gridSpan w:val="4"/>
            <w:shd w:val="clear" w:color="auto" w:fill="auto"/>
            <w:vAlign w:val="center"/>
          </w:tcPr>
          <w:p w:rsidR="00252AC6" w:rsidRPr="008D7FB4" w:rsidRDefault="00252AC6" w:rsidP="008516EA">
            <w:pPr>
              <w:spacing w:before="60" w:after="60"/>
              <w:jc w:val="left"/>
              <w:rPr>
                <w:noProof/>
                <w:sz w:val="22"/>
              </w:rPr>
            </w:pPr>
            <w:r w:rsidRPr="008D7FB4">
              <w:rPr>
                <w:noProof/>
                <w:sz w:val="22"/>
              </w:rPr>
              <w:t>Subsídios e incentivos [medidas ao abrigo do artigo 7.º, n.º 2, alínea b), do Regulamento FEG]</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DD6E7C" w:rsidP="00F65C8A">
            <w:pPr>
              <w:spacing w:before="60" w:after="60"/>
              <w:jc w:val="left"/>
              <w:rPr>
                <w:noProof/>
              </w:rPr>
            </w:pPr>
            <w:r w:rsidRPr="008D7FB4">
              <w:rPr>
                <w:noProof/>
              </w:rPr>
              <w:t xml:space="preserve">Incentivos à contratação </w:t>
            </w:r>
            <w:r w:rsidRPr="008D7FB4">
              <w:rPr>
                <w:noProof/>
              </w:rPr>
              <w:br/>
              <w:t>(</w:t>
            </w:r>
            <w:r w:rsidRPr="008D7FB4">
              <w:rPr>
                <w:i/>
                <w:noProof/>
              </w:rPr>
              <w:t>Incentivo all’assunzione)</w:t>
            </w:r>
            <w:r w:rsidRPr="008D7FB4">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2 500</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1C0466" w:rsidP="001C0466">
            <w:pPr>
              <w:spacing w:before="60" w:after="60"/>
              <w:jc w:val="center"/>
              <w:rPr>
                <w:noProof/>
              </w:rPr>
            </w:pPr>
            <w:r w:rsidRPr="008D7FB4">
              <w:rPr>
                <w:noProof/>
              </w:rPr>
              <w:t>1 000 000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DD6E7C" w:rsidP="00DD6E7C">
            <w:pPr>
              <w:spacing w:before="60" w:after="60"/>
              <w:jc w:val="left"/>
              <w:rPr>
                <w:noProof/>
              </w:rPr>
            </w:pPr>
            <w:r w:rsidRPr="008D7FB4">
              <w:rPr>
                <w:noProof/>
              </w:rPr>
              <w:t xml:space="preserve">Reembolso das despesas de mobilidade </w:t>
            </w:r>
            <w:r w:rsidRPr="008D7FB4">
              <w:rPr>
                <w:noProof/>
              </w:rPr>
              <w:br/>
              <w:t>(</w:t>
            </w:r>
            <w:r w:rsidRPr="008D7FB4">
              <w:rPr>
                <w:i/>
                <w:noProof/>
              </w:rPr>
              <w:t>Bonus per la mobilità territoriale)</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1 500</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1C0466" w:rsidP="001C0466">
            <w:pPr>
              <w:spacing w:before="60" w:after="60"/>
              <w:jc w:val="center"/>
              <w:rPr>
                <w:noProof/>
              </w:rPr>
            </w:pPr>
            <w:r w:rsidRPr="008D7FB4">
              <w:rPr>
                <w:noProof/>
              </w:rPr>
              <w:t>150 000</w:t>
            </w:r>
          </w:p>
        </w:tc>
      </w:tr>
      <w:tr w:rsidR="00252AC6" w:rsidRPr="008D7FB4" w:rsidTr="00F060F9">
        <w:trPr>
          <w:trHeight w:val="802"/>
        </w:trPr>
        <w:tc>
          <w:tcPr>
            <w:tcW w:w="4644" w:type="dxa"/>
            <w:tcBorders>
              <w:top w:val="single" w:sz="4" w:space="0" w:color="auto"/>
              <w:left w:val="nil"/>
              <w:bottom w:val="single" w:sz="4" w:space="0" w:color="auto"/>
              <w:right w:val="single" w:sz="4" w:space="0" w:color="auto"/>
            </w:tcBorders>
            <w:vAlign w:val="center"/>
            <w:hideMark/>
          </w:tcPr>
          <w:p w:rsidR="00252AC6" w:rsidRPr="008D7FB4" w:rsidRDefault="00DD6E7C" w:rsidP="00DD6E7C">
            <w:pPr>
              <w:spacing w:before="60" w:after="60"/>
              <w:jc w:val="left"/>
              <w:rPr>
                <w:noProof/>
              </w:rPr>
            </w:pPr>
            <w:r w:rsidRPr="008D7FB4">
              <w:rPr>
                <w:noProof/>
              </w:rPr>
              <w:t xml:space="preserve">Alojamento e deslocações em formação </w:t>
            </w:r>
            <w:r w:rsidRPr="008D7FB4">
              <w:rPr>
                <w:noProof/>
              </w:rPr>
              <w:br/>
              <w:t>(</w:t>
            </w:r>
            <w:r w:rsidRPr="008D7FB4">
              <w:rPr>
                <w:i/>
                <w:noProof/>
              </w:rPr>
              <w:t>Contributo per le spese di formazione:  viaggi  e pernottamenti)</w:t>
            </w:r>
            <w:r w:rsidRPr="008D7FB4">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221</w:t>
            </w:r>
          </w:p>
        </w:tc>
        <w:tc>
          <w:tcPr>
            <w:tcW w:w="1548" w:type="dxa"/>
            <w:tcBorders>
              <w:top w:val="single" w:sz="4" w:space="0" w:color="auto"/>
              <w:left w:val="single" w:sz="4" w:space="0" w:color="auto"/>
              <w:bottom w:val="single" w:sz="4" w:space="0" w:color="auto"/>
              <w:right w:val="single" w:sz="4" w:space="0" w:color="auto"/>
            </w:tcBorders>
            <w:vAlign w:val="center"/>
            <w:hideMark/>
          </w:tcPr>
          <w:p w:rsidR="00252AC6" w:rsidRPr="008D7FB4" w:rsidRDefault="001C0466" w:rsidP="001C0466">
            <w:pPr>
              <w:spacing w:before="60" w:after="60"/>
              <w:jc w:val="center"/>
              <w:rPr>
                <w:noProof/>
              </w:rPr>
            </w:pPr>
            <w:r w:rsidRPr="008D7FB4">
              <w:rPr>
                <w:noProof/>
              </w:rPr>
              <w:t>339</w:t>
            </w:r>
          </w:p>
        </w:tc>
        <w:tc>
          <w:tcPr>
            <w:tcW w:w="1548" w:type="dxa"/>
            <w:tcBorders>
              <w:top w:val="single" w:sz="4" w:space="0" w:color="auto"/>
              <w:left w:val="single" w:sz="4" w:space="0" w:color="auto"/>
              <w:bottom w:val="single" w:sz="4" w:space="0" w:color="auto"/>
              <w:right w:val="nil"/>
            </w:tcBorders>
            <w:vAlign w:val="center"/>
            <w:hideMark/>
          </w:tcPr>
          <w:p w:rsidR="00252AC6" w:rsidRPr="008D7FB4" w:rsidRDefault="001C0466" w:rsidP="001C0466">
            <w:pPr>
              <w:spacing w:before="60" w:after="60"/>
              <w:jc w:val="center"/>
              <w:rPr>
                <w:noProof/>
              </w:rPr>
            </w:pPr>
            <w:r w:rsidRPr="008D7FB4">
              <w:rPr>
                <w:noProof/>
              </w:rPr>
              <w:t>75 000</w:t>
            </w:r>
          </w:p>
        </w:tc>
      </w:tr>
      <w:tr w:rsidR="00DD6E7C" w:rsidRPr="008D7FB4" w:rsidTr="003D4F6C">
        <w:trPr>
          <w:trHeight w:val="802"/>
        </w:trPr>
        <w:tc>
          <w:tcPr>
            <w:tcW w:w="4644" w:type="dxa"/>
            <w:tcBorders>
              <w:top w:val="single" w:sz="4" w:space="0" w:color="auto"/>
              <w:left w:val="nil"/>
              <w:bottom w:val="single" w:sz="4" w:space="0" w:color="auto"/>
              <w:right w:val="single" w:sz="4" w:space="0" w:color="auto"/>
            </w:tcBorders>
            <w:vAlign w:val="center"/>
            <w:hideMark/>
          </w:tcPr>
          <w:p w:rsidR="00DD6E7C" w:rsidRPr="008D7FB4" w:rsidRDefault="00DD6E7C" w:rsidP="003D4F6C">
            <w:pPr>
              <w:spacing w:before="60" w:after="60"/>
              <w:jc w:val="left"/>
              <w:rPr>
                <w:noProof/>
              </w:rPr>
            </w:pPr>
            <w:r w:rsidRPr="008D7FB4">
              <w:rPr>
                <w:noProof/>
              </w:rPr>
              <w:t xml:space="preserve">Subsídio de procura de emprego </w:t>
            </w:r>
            <w:r w:rsidRPr="008D7FB4">
              <w:rPr>
                <w:noProof/>
              </w:rPr>
              <w:br/>
              <w:t>(</w:t>
            </w:r>
            <w:r w:rsidRPr="008D7FB4">
              <w:rPr>
                <w:i/>
                <w:noProof/>
              </w:rPr>
              <w:t xml:space="preserve">Indennità CIGS) </w:t>
            </w:r>
            <w:r w:rsidRPr="008D7FB4">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DD6E7C" w:rsidRPr="008D7FB4" w:rsidRDefault="004D52B2" w:rsidP="001C0466">
            <w:pPr>
              <w:spacing w:before="60" w:after="60"/>
              <w:jc w:val="center"/>
              <w:rPr>
                <w:noProof/>
              </w:rPr>
            </w:pPr>
            <w:r w:rsidRPr="008D7FB4">
              <w:rPr>
                <w:noProof/>
              </w:rPr>
              <w:t>611</w:t>
            </w:r>
          </w:p>
        </w:tc>
        <w:tc>
          <w:tcPr>
            <w:tcW w:w="1548" w:type="dxa"/>
            <w:tcBorders>
              <w:top w:val="single" w:sz="4" w:space="0" w:color="auto"/>
              <w:left w:val="single" w:sz="4" w:space="0" w:color="auto"/>
              <w:bottom w:val="single" w:sz="4" w:space="0" w:color="auto"/>
              <w:right w:val="single" w:sz="4" w:space="0" w:color="auto"/>
            </w:tcBorders>
            <w:vAlign w:val="center"/>
            <w:hideMark/>
          </w:tcPr>
          <w:p w:rsidR="00DD6E7C" w:rsidRPr="008D7FB4" w:rsidRDefault="004D52B2" w:rsidP="001C0466">
            <w:pPr>
              <w:spacing w:before="60" w:after="60"/>
              <w:jc w:val="center"/>
              <w:rPr>
                <w:noProof/>
              </w:rPr>
            </w:pPr>
            <w:r w:rsidRPr="008D7FB4">
              <w:rPr>
                <w:noProof/>
              </w:rPr>
              <w:t>491</w:t>
            </w:r>
          </w:p>
        </w:tc>
        <w:tc>
          <w:tcPr>
            <w:tcW w:w="1548" w:type="dxa"/>
            <w:tcBorders>
              <w:top w:val="single" w:sz="4" w:space="0" w:color="auto"/>
              <w:left w:val="single" w:sz="4" w:space="0" w:color="auto"/>
              <w:bottom w:val="single" w:sz="4" w:space="0" w:color="auto"/>
              <w:right w:val="nil"/>
            </w:tcBorders>
            <w:vAlign w:val="center"/>
            <w:hideMark/>
          </w:tcPr>
          <w:p w:rsidR="00DD6E7C" w:rsidRPr="008D7FB4" w:rsidRDefault="001C0466" w:rsidP="001C0466">
            <w:pPr>
              <w:spacing w:before="60" w:after="60"/>
              <w:jc w:val="center"/>
              <w:rPr>
                <w:noProof/>
              </w:rPr>
            </w:pPr>
            <w:r w:rsidRPr="008D7FB4">
              <w:rPr>
                <w:noProof/>
              </w:rPr>
              <w:t>300 000</w:t>
            </w:r>
          </w:p>
        </w:tc>
      </w:tr>
      <w:tr w:rsidR="00252AC6" w:rsidRPr="008D7FB4" w:rsidTr="00F060F9">
        <w:trPr>
          <w:trHeight w:val="203"/>
        </w:trPr>
        <w:tc>
          <w:tcPr>
            <w:tcW w:w="4644" w:type="dxa"/>
            <w:vMerge w:val="restart"/>
            <w:shd w:val="clear" w:color="auto" w:fill="auto"/>
            <w:vAlign w:val="center"/>
          </w:tcPr>
          <w:p w:rsidR="00DD6E7C" w:rsidRPr="008D7FB4" w:rsidRDefault="00DD6E7C" w:rsidP="00F060F9">
            <w:pPr>
              <w:spacing w:before="60" w:after="60"/>
              <w:jc w:val="right"/>
              <w:rPr>
                <w:rFonts w:eastAsia="Times New Roman"/>
                <w:noProof/>
                <w:sz w:val="22"/>
              </w:rPr>
            </w:pPr>
          </w:p>
          <w:p w:rsidR="00252AC6" w:rsidRPr="008D7FB4" w:rsidRDefault="00252AC6" w:rsidP="00F060F9">
            <w:pPr>
              <w:spacing w:before="60" w:after="60"/>
              <w:jc w:val="right"/>
              <w:rPr>
                <w:rFonts w:eastAsia="Times New Roman"/>
                <w:noProof/>
                <w:sz w:val="22"/>
              </w:rPr>
            </w:pPr>
            <w:r w:rsidRPr="008D7FB4">
              <w:rPr>
                <w:noProof/>
                <w:sz w:val="22"/>
              </w:rPr>
              <w:t>Subtotal (b):</w:t>
            </w:r>
          </w:p>
          <w:p w:rsidR="00252AC6" w:rsidRPr="008D7FB4" w:rsidRDefault="00252AC6" w:rsidP="00F060F9">
            <w:pPr>
              <w:spacing w:before="60" w:after="60"/>
              <w:jc w:val="right"/>
              <w:rPr>
                <w:rFonts w:eastAsia="Times New Roman"/>
                <w:noProof/>
                <w:sz w:val="22"/>
              </w:rPr>
            </w:pPr>
            <w:r w:rsidRPr="008D7FB4">
              <w:rPr>
                <w:noProof/>
                <w:sz w:val="22"/>
              </w:rPr>
              <w:t>Percentagem do pacote de serviços personalizados:</w:t>
            </w:r>
          </w:p>
        </w:tc>
        <w:tc>
          <w:tcPr>
            <w:tcW w:w="3096" w:type="dxa"/>
            <w:gridSpan w:val="2"/>
            <w:vMerge w:val="restart"/>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tcBorders>
              <w:bottom w:val="nil"/>
            </w:tcBorders>
            <w:shd w:val="clear" w:color="auto" w:fill="auto"/>
            <w:vAlign w:val="center"/>
          </w:tcPr>
          <w:p w:rsidR="00252AC6" w:rsidRPr="008D7FB4" w:rsidRDefault="00DD6E7C" w:rsidP="00DD6E7C">
            <w:pPr>
              <w:spacing w:before="60" w:after="60"/>
              <w:jc w:val="center"/>
              <w:rPr>
                <w:rFonts w:eastAsia="Times New Roman"/>
                <w:noProof/>
                <w:sz w:val="22"/>
              </w:rPr>
            </w:pPr>
            <w:r w:rsidRPr="008D7FB4">
              <w:rPr>
                <w:noProof/>
              </w:rPr>
              <w:t>1 525 000</w:t>
            </w:r>
          </w:p>
        </w:tc>
      </w:tr>
      <w:tr w:rsidR="00252AC6" w:rsidRPr="008D7FB4" w:rsidTr="00F060F9">
        <w:trPr>
          <w:trHeight w:val="202"/>
        </w:trPr>
        <w:tc>
          <w:tcPr>
            <w:tcW w:w="4644" w:type="dxa"/>
            <w:vMerge/>
            <w:shd w:val="clear" w:color="auto" w:fill="auto"/>
            <w:vAlign w:val="center"/>
          </w:tcPr>
          <w:p w:rsidR="00252AC6" w:rsidRPr="008D7FB4" w:rsidRDefault="00252AC6" w:rsidP="00F060F9">
            <w:pPr>
              <w:spacing w:before="60" w:after="60"/>
              <w:jc w:val="right"/>
              <w:rPr>
                <w:rFonts w:eastAsia="Times New Roman"/>
                <w:noProof/>
                <w:sz w:val="22"/>
              </w:rPr>
            </w:pPr>
          </w:p>
        </w:tc>
        <w:tc>
          <w:tcPr>
            <w:tcW w:w="3096" w:type="dxa"/>
            <w:gridSpan w:val="2"/>
            <w:vMerge/>
            <w:shd w:val="clear" w:color="auto" w:fill="D9D9D9"/>
            <w:vAlign w:val="center"/>
          </w:tcPr>
          <w:p w:rsidR="00252AC6" w:rsidRPr="008D7FB4" w:rsidRDefault="00252AC6" w:rsidP="00F060F9">
            <w:pPr>
              <w:spacing w:before="60" w:after="60"/>
              <w:jc w:val="center"/>
              <w:rPr>
                <w:rFonts w:eastAsia="Times New Roman"/>
                <w:noProof/>
                <w:sz w:val="22"/>
              </w:rPr>
            </w:pPr>
          </w:p>
        </w:tc>
        <w:tc>
          <w:tcPr>
            <w:tcW w:w="1548" w:type="dxa"/>
            <w:tcBorders>
              <w:top w:val="nil"/>
            </w:tcBorders>
            <w:shd w:val="clear" w:color="auto" w:fill="auto"/>
            <w:vAlign w:val="center"/>
          </w:tcPr>
          <w:p w:rsidR="00252AC6" w:rsidRPr="008D7FB4" w:rsidRDefault="00252AC6" w:rsidP="00DD6E7C">
            <w:pPr>
              <w:spacing w:before="60" w:after="60"/>
              <w:jc w:val="center"/>
              <w:rPr>
                <w:rFonts w:eastAsia="Times New Roman"/>
                <w:noProof/>
                <w:sz w:val="22"/>
              </w:rPr>
            </w:pPr>
            <w:r w:rsidRPr="008D7FB4">
              <w:rPr>
                <w:noProof/>
                <w:sz w:val="22"/>
              </w:rPr>
              <w:t>(</w:t>
            </w:r>
            <w:r w:rsidRPr="008D7FB4">
              <w:rPr>
                <w:noProof/>
              </w:rPr>
              <w:t xml:space="preserve">34,85 </w:t>
            </w:r>
            <w:r w:rsidRPr="008D7FB4">
              <w:rPr>
                <w:noProof/>
                <w:sz w:val="22"/>
              </w:rPr>
              <w:t>%)</w:t>
            </w:r>
          </w:p>
        </w:tc>
      </w:tr>
      <w:tr w:rsidR="00252AC6" w:rsidRPr="008D7FB4" w:rsidTr="00F060F9">
        <w:tc>
          <w:tcPr>
            <w:tcW w:w="9288" w:type="dxa"/>
            <w:gridSpan w:val="4"/>
            <w:shd w:val="clear" w:color="auto" w:fill="auto"/>
            <w:vAlign w:val="center"/>
          </w:tcPr>
          <w:p w:rsidR="00252AC6" w:rsidRPr="008D7FB4" w:rsidRDefault="004E7AB0" w:rsidP="00CD31A0">
            <w:pPr>
              <w:spacing w:before="60" w:after="60"/>
              <w:jc w:val="left"/>
              <w:rPr>
                <w:rFonts w:eastAsia="Times New Roman"/>
                <w:noProof/>
                <w:sz w:val="22"/>
              </w:rPr>
            </w:pPr>
            <w:r w:rsidRPr="008D7FB4">
              <w:rPr>
                <w:noProof/>
                <w:sz w:val="22"/>
              </w:rPr>
              <w:t>Atividades ao abrigo do artigo 7.º, n.º 5, do Regulamento FEG</w:t>
            </w:r>
          </w:p>
        </w:tc>
      </w:tr>
      <w:tr w:rsidR="00252AC6" w:rsidRPr="008D7FB4" w:rsidTr="00F060F9">
        <w:tc>
          <w:tcPr>
            <w:tcW w:w="4644" w:type="dxa"/>
            <w:shd w:val="clear" w:color="auto" w:fill="auto"/>
          </w:tcPr>
          <w:p w:rsidR="00252AC6" w:rsidRPr="008D7FB4" w:rsidRDefault="00252AC6" w:rsidP="00F060F9">
            <w:pPr>
              <w:spacing w:before="60" w:after="60"/>
              <w:ind w:left="284"/>
              <w:jc w:val="left"/>
              <w:rPr>
                <w:rFonts w:eastAsia="Times New Roman"/>
                <w:noProof/>
                <w:sz w:val="22"/>
              </w:rPr>
            </w:pPr>
            <w:r w:rsidRPr="008D7FB4">
              <w:rPr>
                <w:noProof/>
                <w:sz w:val="22"/>
              </w:rPr>
              <w:t>1. Atividades de preparação</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shd w:val="clear" w:color="auto" w:fill="auto"/>
          </w:tcPr>
          <w:p w:rsidR="00252AC6" w:rsidRPr="008D7FB4" w:rsidRDefault="001C0466" w:rsidP="001C0466">
            <w:pPr>
              <w:spacing w:before="60" w:after="60"/>
              <w:jc w:val="center"/>
              <w:rPr>
                <w:rFonts w:eastAsia="Times New Roman"/>
                <w:noProof/>
                <w:sz w:val="22"/>
              </w:rPr>
            </w:pPr>
            <w:r w:rsidRPr="008D7FB4">
              <w:rPr>
                <w:noProof/>
              </w:rPr>
              <w:t>65 000</w:t>
            </w:r>
          </w:p>
        </w:tc>
      </w:tr>
      <w:tr w:rsidR="00252AC6" w:rsidRPr="008D7FB4" w:rsidTr="00F060F9">
        <w:tc>
          <w:tcPr>
            <w:tcW w:w="4644" w:type="dxa"/>
            <w:shd w:val="clear" w:color="auto" w:fill="auto"/>
          </w:tcPr>
          <w:p w:rsidR="00252AC6" w:rsidRPr="008D7FB4" w:rsidRDefault="00252AC6" w:rsidP="00F060F9">
            <w:pPr>
              <w:spacing w:before="60" w:after="60"/>
              <w:ind w:left="284"/>
              <w:jc w:val="left"/>
              <w:rPr>
                <w:rFonts w:eastAsia="Times New Roman"/>
                <w:noProof/>
                <w:sz w:val="22"/>
              </w:rPr>
            </w:pPr>
            <w:r w:rsidRPr="008D7FB4">
              <w:rPr>
                <w:noProof/>
                <w:sz w:val="22"/>
              </w:rPr>
              <w:t>2. Gestão</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shd w:val="clear" w:color="auto" w:fill="auto"/>
          </w:tcPr>
          <w:p w:rsidR="00252AC6" w:rsidRPr="008D7FB4" w:rsidRDefault="001C0466" w:rsidP="001C0466">
            <w:pPr>
              <w:spacing w:before="60" w:after="60"/>
              <w:jc w:val="center"/>
              <w:rPr>
                <w:rFonts w:eastAsia="Times New Roman"/>
                <w:noProof/>
                <w:sz w:val="22"/>
              </w:rPr>
            </w:pPr>
            <w:r w:rsidRPr="008D7FB4">
              <w:rPr>
                <w:noProof/>
              </w:rPr>
              <w:t>60 000</w:t>
            </w:r>
          </w:p>
        </w:tc>
      </w:tr>
      <w:tr w:rsidR="00252AC6" w:rsidRPr="008D7FB4" w:rsidTr="00F060F9">
        <w:tc>
          <w:tcPr>
            <w:tcW w:w="4644" w:type="dxa"/>
            <w:shd w:val="clear" w:color="auto" w:fill="auto"/>
          </w:tcPr>
          <w:p w:rsidR="00252AC6" w:rsidRPr="008D7FB4" w:rsidRDefault="00252AC6" w:rsidP="00F060F9">
            <w:pPr>
              <w:spacing w:before="60" w:after="60"/>
              <w:ind w:left="284"/>
              <w:jc w:val="left"/>
              <w:rPr>
                <w:rFonts w:eastAsia="Times New Roman"/>
                <w:noProof/>
                <w:sz w:val="22"/>
              </w:rPr>
            </w:pPr>
            <w:r w:rsidRPr="008D7FB4">
              <w:rPr>
                <w:noProof/>
                <w:sz w:val="22"/>
              </w:rPr>
              <w:t>3. Informação e publicidade</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shd w:val="clear" w:color="auto" w:fill="auto"/>
          </w:tcPr>
          <w:p w:rsidR="00252AC6" w:rsidRPr="008D7FB4" w:rsidRDefault="001C0466" w:rsidP="001C0466">
            <w:pPr>
              <w:spacing w:before="60" w:after="60"/>
              <w:jc w:val="center"/>
              <w:rPr>
                <w:rFonts w:eastAsia="Times New Roman"/>
                <w:noProof/>
                <w:sz w:val="22"/>
              </w:rPr>
            </w:pPr>
            <w:r w:rsidRPr="008D7FB4">
              <w:rPr>
                <w:noProof/>
              </w:rPr>
              <w:t>8 000</w:t>
            </w:r>
          </w:p>
        </w:tc>
      </w:tr>
      <w:tr w:rsidR="00252AC6" w:rsidRPr="008D7FB4" w:rsidTr="00F060F9">
        <w:tc>
          <w:tcPr>
            <w:tcW w:w="4644" w:type="dxa"/>
            <w:shd w:val="clear" w:color="auto" w:fill="auto"/>
          </w:tcPr>
          <w:p w:rsidR="00252AC6" w:rsidRPr="008D7FB4" w:rsidRDefault="00252AC6" w:rsidP="00F060F9">
            <w:pPr>
              <w:spacing w:before="60" w:after="60"/>
              <w:ind w:left="284"/>
              <w:jc w:val="left"/>
              <w:rPr>
                <w:rFonts w:eastAsia="Times New Roman"/>
                <w:noProof/>
                <w:sz w:val="22"/>
              </w:rPr>
            </w:pPr>
            <w:r w:rsidRPr="008D7FB4">
              <w:rPr>
                <w:noProof/>
                <w:sz w:val="22"/>
              </w:rPr>
              <w:t>4. Controlo e elaboração de relatórios</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tcBorders>
              <w:bottom w:val="single" w:sz="4" w:space="0" w:color="auto"/>
            </w:tcBorders>
            <w:shd w:val="clear" w:color="auto" w:fill="auto"/>
          </w:tcPr>
          <w:p w:rsidR="00252AC6" w:rsidRPr="008D7FB4" w:rsidRDefault="001C0466" w:rsidP="001C0466">
            <w:pPr>
              <w:spacing w:before="60" w:after="60"/>
              <w:jc w:val="center"/>
              <w:rPr>
                <w:rFonts w:eastAsia="Times New Roman"/>
                <w:noProof/>
                <w:sz w:val="22"/>
              </w:rPr>
            </w:pPr>
            <w:r w:rsidRPr="008D7FB4">
              <w:rPr>
                <w:noProof/>
              </w:rPr>
              <w:t>49 400</w:t>
            </w:r>
          </w:p>
        </w:tc>
      </w:tr>
      <w:tr w:rsidR="00252AC6" w:rsidRPr="008D7FB4" w:rsidTr="00F060F9">
        <w:trPr>
          <w:trHeight w:val="203"/>
        </w:trPr>
        <w:tc>
          <w:tcPr>
            <w:tcW w:w="4644" w:type="dxa"/>
            <w:vMerge w:val="restart"/>
            <w:shd w:val="clear" w:color="auto" w:fill="auto"/>
            <w:vAlign w:val="center"/>
          </w:tcPr>
          <w:p w:rsidR="00252AC6" w:rsidRPr="008D7FB4" w:rsidRDefault="00252AC6" w:rsidP="00F060F9">
            <w:pPr>
              <w:spacing w:before="60" w:after="60"/>
              <w:jc w:val="right"/>
              <w:rPr>
                <w:rFonts w:eastAsia="Times New Roman"/>
                <w:noProof/>
                <w:sz w:val="22"/>
              </w:rPr>
            </w:pPr>
            <w:r w:rsidRPr="008D7FB4">
              <w:rPr>
                <w:noProof/>
                <w:sz w:val="22"/>
              </w:rPr>
              <w:t>Subtotal (c):</w:t>
            </w:r>
          </w:p>
          <w:p w:rsidR="00252AC6" w:rsidRPr="008D7FB4" w:rsidRDefault="00252AC6" w:rsidP="00F060F9">
            <w:pPr>
              <w:spacing w:before="60" w:after="60"/>
              <w:jc w:val="right"/>
              <w:rPr>
                <w:rFonts w:eastAsia="Times New Roman"/>
                <w:noProof/>
                <w:sz w:val="22"/>
              </w:rPr>
            </w:pPr>
            <w:r w:rsidRPr="008D7FB4">
              <w:rPr>
                <w:noProof/>
                <w:sz w:val="22"/>
              </w:rPr>
              <w:t>Percentagem dos custos totais:</w:t>
            </w:r>
          </w:p>
        </w:tc>
        <w:tc>
          <w:tcPr>
            <w:tcW w:w="3096" w:type="dxa"/>
            <w:gridSpan w:val="2"/>
            <w:vMerge w:val="restart"/>
            <w:shd w:val="clear" w:color="auto" w:fill="D9D9D9"/>
            <w:vAlign w:val="center"/>
          </w:tcPr>
          <w:p w:rsidR="00252AC6" w:rsidRPr="008D7FB4" w:rsidRDefault="00252AC6" w:rsidP="00F060F9">
            <w:pPr>
              <w:spacing w:before="0" w:after="0"/>
              <w:jc w:val="center"/>
              <w:rPr>
                <w:rFonts w:eastAsia="Times New Roman"/>
                <w:noProof/>
                <w:sz w:val="22"/>
              </w:rPr>
            </w:pPr>
            <w:r w:rsidRPr="008D7FB4">
              <w:rPr>
                <w:noProof/>
                <w:sz w:val="22"/>
              </w:rPr>
              <w:t>—</w:t>
            </w:r>
          </w:p>
        </w:tc>
        <w:tc>
          <w:tcPr>
            <w:tcW w:w="1548" w:type="dxa"/>
            <w:tcBorders>
              <w:bottom w:val="nil"/>
            </w:tcBorders>
            <w:shd w:val="clear" w:color="auto" w:fill="auto"/>
            <w:vAlign w:val="center"/>
          </w:tcPr>
          <w:p w:rsidR="00252AC6" w:rsidRPr="008D7FB4" w:rsidRDefault="001C0466" w:rsidP="001C0466">
            <w:pPr>
              <w:spacing w:before="60" w:after="60"/>
              <w:jc w:val="center"/>
              <w:rPr>
                <w:rFonts w:eastAsia="Times New Roman"/>
                <w:noProof/>
                <w:sz w:val="22"/>
              </w:rPr>
            </w:pPr>
            <w:r w:rsidRPr="008D7FB4">
              <w:rPr>
                <w:noProof/>
              </w:rPr>
              <w:t>182 400</w:t>
            </w:r>
          </w:p>
        </w:tc>
      </w:tr>
      <w:tr w:rsidR="00252AC6" w:rsidRPr="008D7FB4" w:rsidTr="00F060F9">
        <w:trPr>
          <w:trHeight w:val="202"/>
        </w:trPr>
        <w:tc>
          <w:tcPr>
            <w:tcW w:w="4644" w:type="dxa"/>
            <w:vMerge/>
            <w:shd w:val="clear" w:color="auto" w:fill="auto"/>
          </w:tcPr>
          <w:p w:rsidR="00252AC6" w:rsidRPr="008D7FB4" w:rsidRDefault="00252AC6" w:rsidP="00F060F9">
            <w:pPr>
              <w:spacing w:before="0" w:after="0"/>
              <w:jc w:val="right"/>
              <w:rPr>
                <w:rFonts w:eastAsia="Times New Roman"/>
                <w:noProof/>
                <w:sz w:val="22"/>
              </w:rPr>
            </w:pPr>
          </w:p>
        </w:tc>
        <w:tc>
          <w:tcPr>
            <w:tcW w:w="3096" w:type="dxa"/>
            <w:gridSpan w:val="2"/>
            <w:vMerge/>
            <w:shd w:val="clear" w:color="auto" w:fill="D9D9D9"/>
            <w:vAlign w:val="center"/>
          </w:tcPr>
          <w:p w:rsidR="00252AC6" w:rsidRPr="008D7FB4" w:rsidRDefault="00252AC6" w:rsidP="00F060F9">
            <w:pPr>
              <w:spacing w:before="0" w:after="0"/>
              <w:jc w:val="center"/>
              <w:rPr>
                <w:rFonts w:eastAsia="Times New Roman"/>
                <w:noProof/>
                <w:sz w:val="22"/>
              </w:rPr>
            </w:pPr>
          </w:p>
        </w:tc>
        <w:tc>
          <w:tcPr>
            <w:tcW w:w="1548" w:type="dxa"/>
            <w:tcBorders>
              <w:top w:val="nil"/>
            </w:tcBorders>
            <w:shd w:val="clear" w:color="auto" w:fill="auto"/>
            <w:vAlign w:val="center"/>
          </w:tcPr>
          <w:p w:rsidR="00252AC6" w:rsidRPr="008D7FB4" w:rsidRDefault="00252AC6" w:rsidP="001C0466">
            <w:pPr>
              <w:spacing w:before="60" w:after="60"/>
              <w:jc w:val="center"/>
              <w:rPr>
                <w:rFonts w:eastAsia="Times New Roman"/>
                <w:noProof/>
                <w:sz w:val="22"/>
              </w:rPr>
            </w:pPr>
            <w:r w:rsidRPr="008D7FB4">
              <w:rPr>
                <w:noProof/>
                <w:sz w:val="22"/>
              </w:rPr>
              <w:t>(</w:t>
            </w:r>
            <w:r w:rsidRPr="008D7FB4">
              <w:rPr>
                <w:noProof/>
              </w:rPr>
              <w:t xml:space="preserve">4,00 </w:t>
            </w:r>
            <w:r w:rsidRPr="008D7FB4">
              <w:rPr>
                <w:noProof/>
                <w:sz w:val="22"/>
              </w:rPr>
              <w:t>%)</w:t>
            </w:r>
          </w:p>
        </w:tc>
      </w:tr>
      <w:tr w:rsidR="00252AC6" w:rsidRPr="008D7FB4" w:rsidTr="00F060F9">
        <w:tc>
          <w:tcPr>
            <w:tcW w:w="4644" w:type="dxa"/>
            <w:shd w:val="clear" w:color="auto" w:fill="auto"/>
          </w:tcPr>
          <w:p w:rsidR="00252AC6" w:rsidRPr="008D7FB4" w:rsidRDefault="00252AC6" w:rsidP="00F060F9">
            <w:pPr>
              <w:spacing w:before="60" w:after="60"/>
              <w:jc w:val="left"/>
              <w:rPr>
                <w:rFonts w:eastAsia="Times New Roman"/>
                <w:noProof/>
                <w:sz w:val="22"/>
              </w:rPr>
            </w:pPr>
            <w:r w:rsidRPr="008D7FB4">
              <w:rPr>
                <w:noProof/>
                <w:sz w:val="22"/>
              </w:rPr>
              <w:t>Custos totais (a + b + c):</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shd w:val="clear" w:color="auto" w:fill="auto"/>
          </w:tcPr>
          <w:p w:rsidR="00252AC6" w:rsidRPr="008D7FB4" w:rsidRDefault="001C0466" w:rsidP="001C0466">
            <w:pPr>
              <w:spacing w:before="60" w:after="60"/>
              <w:jc w:val="center"/>
              <w:rPr>
                <w:noProof/>
                <w:sz w:val="22"/>
              </w:rPr>
            </w:pPr>
            <w:r w:rsidRPr="008D7FB4">
              <w:rPr>
                <w:noProof/>
              </w:rPr>
              <w:t>4 558 400</w:t>
            </w:r>
          </w:p>
        </w:tc>
      </w:tr>
      <w:tr w:rsidR="00252AC6" w:rsidRPr="008D7FB4" w:rsidTr="00F060F9">
        <w:tc>
          <w:tcPr>
            <w:tcW w:w="4644" w:type="dxa"/>
            <w:shd w:val="clear" w:color="auto" w:fill="auto"/>
          </w:tcPr>
          <w:p w:rsidR="00252AC6" w:rsidRPr="008D7FB4" w:rsidRDefault="00252AC6" w:rsidP="006E328A">
            <w:pPr>
              <w:spacing w:before="60" w:after="60"/>
              <w:jc w:val="left"/>
              <w:rPr>
                <w:rFonts w:eastAsia="Times New Roman"/>
                <w:noProof/>
                <w:sz w:val="22"/>
              </w:rPr>
            </w:pPr>
            <w:r w:rsidRPr="008D7FB4">
              <w:rPr>
                <w:noProof/>
              </w:rPr>
              <w:t>Contribuição do FEG (85 % dos custos totais)</w:t>
            </w:r>
          </w:p>
        </w:tc>
        <w:tc>
          <w:tcPr>
            <w:tcW w:w="3096" w:type="dxa"/>
            <w:gridSpan w:val="2"/>
            <w:shd w:val="clear" w:color="auto" w:fill="D9D9D9"/>
            <w:vAlign w:val="center"/>
          </w:tcPr>
          <w:p w:rsidR="00252AC6" w:rsidRPr="008D7FB4" w:rsidRDefault="00252AC6" w:rsidP="00F060F9">
            <w:pPr>
              <w:spacing w:before="60" w:after="60"/>
              <w:jc w:val="center"/>
              <w:rPr>
                <w:rFonts w:eastAsia="Times New Roman"/>
                <w:noProof/>
                <w:sz w:val="22"/>
              </w:rPr>
            </w:pPr>
            <w:r w:rsidRPr="008D7FB4">
              <w:rPr>
                <w:noProof/>
                <w:sz w:val="22"/>
              </w:rPr>
              <w:t>—</w:t>
            </w:r>
          </w:p>
        </w:tc>
        <w:tc>
          <w:tcPr>
            <w:tcW w:w="1548" w:type="dxa"/>
            <w:shd w:val="clear" w:color="auto" w:fill="auto"/>
          </w:tcPr>
          <w:p w:rsidR="00252AC6" w:rsidRPr="008D7FB4" w:rsidRDefault="006E328A" w:rsidP="006E328A">
            <w:pPr>
              <w:spacing w:before="60" w:after="60"/>
              <w:jc w:val="center"/>
              <w:rPr>
                <w:rFonts w:eastAsia="Times New Roman"/>
                <w:noProof/>
                <w:sz w:val="22"/>
              </w:rPr>
            </w:pPr>
            <w:r w:rsidRPr="008D7FB4">
              <w:rPr>
                <w:noProof/>
              </w:rPr>
              <w:t>3 874 640</w:t>
            </w:r>
          </w:p>
        </w:tc>
      </w:tr>
    </w:tbl>
    <w:p w:rsidR="00252AC6" w:rsidRPr="008D7FB4" w:rsidRDefault="007C298D" w:rsidP="007C298D">
      <w:pPr>
        <w:pStyle w:val="ManualNumPar1"/>
        <w:rPr>
          <w:noProof/>
          <w:szCs w:val="20"/>
        </w:rPr>
      </w:pPr>
      <w:r w:rsidRPr="007C298D">
        <w:t>36.</w:t>
      </w:r>
      <w:r w:rsidRPr="007C298D">
        <w:tab/>
      </w:r>
      <w:r w:rsidR="004E7AB0" w:rsidRPr="008D7FB4">
        <w:rPr>
          <w:noProof/>
        </w:rPr>
        <w:t>Os custos das medidas identificadas no quadro acima como medidas abrangidas pelo artigo 7.º, n.º 2, alínea b), do Regulamento FEG não excedem 35 % dos custos totais do pacote coordenado de serviços personalizados. A Itália confirmou que estas medidas dependem da participação ativa dos beneficiários visados em atividades de procura de emprego e formação.</w:t>
      </w:r>
    </w:p>
    <w:p w:rsidR="00252AC6" w:rsidRPr="008D7FB4" w:rsidRDefault="007C298D" w:rsidP="007C298D">
      <w:pPr>
        <w:pStyle w:val="ManualNumPar1"/>
        <w:rPr>
          <w:noProof/>
        </w:rPr>
      </w:pPr>
      <w:r w:rsidRPr="007C298D">
        <w:t>37.</w:t>
      </w:r>
      <w:r w:rsidRPr="007C298D">
        <w:tab/>
      </w:r>
      <w:r w:rsidR="00C96965" w:rsidRPr="008D7FB4">
        <w:rPr>
          <w:noProof/>
        </w:rPr>
        <w:t>As autoridades italianas confirmaram que os custos dos investimentos para a atividade por conta própria, a criação de empresas e a aquisição de empresas pelos trabalhadores não excederá 22 000 EUR por beneficiário.</w:t>
      </w:r>
    </w:p>
    <w:p w:rsidR="00252AC6" w:rsidRPr="008D7FB4" w:rsidRDefault="00252AC6" w:rsidP="00252AC6">
      <w:pPr>
        <w:pStyle w:val="ManualHeading3"/>
        <w:rPr>
          <w:noProof/>
        </w:rPr>
      </w:pPr>
      <w:r w:rsidRPr="008D7FB4">
        <w:rPr>
          <w:noProof/>
        </w:rPr>
        <w:t>Período de elegibilidade das despesas</w:t>
      </w:r>
    </w:p>
    <w:p w:rsidR="009D0554" w:rsidRPr="008D7FB4" w:rsidRDefault="007C298D" w:rsidP="007C298D">
      <w:pPr>
        <w:pStyle w:val="ManualNumPar1"/>
        <w:rPr>
          <w:noProof/>
        </w:rPr>
      </w:pPr>
      <w:r w:rsidRPr="007C298D">
        <w:t>38.</w:t>
      </w:r>
      <w:r w:rsidRPr="007C298D">
        <w:tab/>
      </w:r>
      <w:r w:rsidR="0040358B" w:rsidRPr="008D7FB4">
        <w:rPr>
          <w:noProof/>
        </w:rPr>
        <w:t>As autoridades italianas deram início à prestação de serviços personalizados aos beneficiários visados em 4 de novembro de 2020. As despesas relativas às medidas serão, por conseguinte, elegíveis para uma contribuição financeira do FEG de 4 de novembro de 2020 até 24 meses após a data de entrada em vigor da decisão de financiamento.</w:t>
      </w:r>
    </w:p>
    <w:p w:rsidR="00252AC6" w:rsidRPr="008D7FB4" w:rsidRDefault="007C298D" w:rsidP="007C298D">
      <w:pPr>
        <w:pStyle w:val="ManualNumPar1"/>
        <w:rPr>
          <w:noProof/>
        </w:rPr>
      </w:pPr>
      <w:r w:rsidRPr="007C298D">
        <w:t>39.</w:t>
      </w:r>
      <w:r w:rsidRPr="007C298D">
        <w:tab/>
      </w:r>
      <w:r w:rsidR="005A0030" w:rsidRPr="008D7FB4">
        <w:rPr>
          <w:noProof/>
        </w:rPr>
        <w:t xml:space="preserve">As autoridades italianas iniciaram as despesas administrativas relativas à execução do FEG em 4 de novembro de 2020. Consequentemente, as despesas relativas às atividades de preparação, gestão, informação e publicidade, controlo e elaboração de relatórios serão elegíveis para uma contribuição financeira do FEG de 4 de novembro de 2020 até 31 meses após a data de entrada em vigor da decisão de financiamento. </w:t>
      </w:r>
    </w:p>
    <w:p w:rsidR="0077617B" w:rsidRPr="008D7FB4" w:rsidRDefault="0077617B" w:rsidP="00C3298B">
      <w:pPr>
        <w:pStyle w:val="ManualHeading3"/>
        <w:ind w:left="0" w:firstLine="0"/>
        <w:rPr>
          <w:noProof/>
        </w:rPr>
      </w:pPr>
      <w:r w:rsidRPr="008D7FB4">
        <w:rPr>
          <w:noProof/>
        </w:rPr>
        <w:t>Complementaridade com as ações financiadas pelos fundos nacionais ou da União</w:t>
      </w:r>
    </w:p>
    <w:p w:rsidR="0085112C" w:rsidRPr="008D7FB4" w:rsidRDefault="007C298D" w:rsidP="007C298D">
      <w:pPr>
        <w:pStyle w:val="ManualNumPar1"/>
        <w:rPr>
          <w:noProof/>
        </w:rPr>
      </w:pPr>
      <w:r w:rsidRPr="007C298D">
        <w:t>40.</w:t>
      </w:r>
      <w:r w:rsidRPr="007C298D">
        <w:tab/>
      </w:r>
      <w:r w:rsidR="0085112C" w:rsidRPr="008D7FB4">
        <w:rPr>
          <w:noProof/>
        </w:rPr>
        <w:t>As autoridades italianas indicaram que as medidas específicas acima descritas que beneficiam de contribuições financeiras do FEG não receberão contribuição financeira de outros instrumentos financeiros da União.</w:t>
      </w:r>
    </w:p>
    <w:p w:rsidR="0085112C" w:rsidRPr="008D7FB4" w:rsidRDefault="007C298D" w:rsidP="007C298D">
      <w:pPr>
        <w:pStyle w:val="ManualNumPar1"/>
        <w:rPr>
          <w:noProof/>
        </w:rPr>
      </w:pPr>
      <w:r w:rsidRPr="007C298D">
        <w:t>41.</w:t>
      </w:r>
      <w:r w:rsidRPr="007C298D">
        <w:tab/>
      </w:r>
      <w:r w:rsidR="0085112C" w:rsidRPr="008D7FB4">
        <w:rPr>
          <w:noProof/>
        </w:rPr>
        <w:t>O pacote coordenado de serviços personalizados complementa as medidas financiadas por outros fundos nacionais ou da UE, como o serviço de assistência à relocalização associado ao regime de integração salarial, ou o apoio à renovação de licenças facultado pela Air Italy.</w:t>
      </w:r>
    </w:p>
    <w:p w:rsidR="00252AC6" w:rsidRPr="008D7FB4" w:rsidRDefault="0045016D" w:rsidP="00252AC6">
      <w:pPr>
        <w:pStyle w:val="ManualHeading3"/>
        <w:tabs>
          <w:tab w:val="clear" w:pos="850"/>
          <w:tab w:val="left" w:pos="0"/>
        </w:tabs>
        <w:ind w:left="0" w:firstLine="0"/>
        <w:rPr>
          <w:noProof/>
          <w:u w:val="single"/>
        </w:rPr>
      </w:pPr>
      <w:r w:rsidRPr="008D7FB4">
        <w:rPr>
          <w:noProof/>
        </w:rPr>
        <w:t>Consulta dos beneficiários visados, dos seus representantes ou dos parceiros sociais, bem como das autoridades locais e regionais</w:t>
      </w:r>
    </w:p>
    <w:p w:rsidR="00252AC6" w:rsidRPr="008D7FB4" w:rsidRDefault="007C298D" w:rsidP="007C298D">
      <w:pPr>
        <w:pStyle w:val="ManualNumPar1"/>
        <w:rPr>
          <w:noProof/>
        </w:rPr>
      </w:pPr>
      <w:r w:rsidRPr="007C298D">
        <w:t>42.</w:t>
      </w:r>
      <w:r w:rsidRPr="007C298D">
        <w:tab/>
      </w:r>
      <w:r w:rsidR="00B008CF" w:rsidRPr="008D7FB4">
        <w:rPr>
          <w:noProof/>
        </w:rPr>
        <w:t>Em 6 de novembro de 2020, a Regione Sardegna e a ASPAL reuniram-se por videoconferência com a Air Italy e os sindicatos pertinentes</w:t>
      </w:r>
      <w:r w:rsidR="00B008CF" w:rsidRPr="008D7FB4">
        <w:rPr>
          <w:rStyle w:val="FootnoteReference"/>
          <w:noProof/>
        </w:rPr>
        <w:footnoteReference w:id="37"/>
      </w:r>
      <w:r w:rsidR="00B008CF" w:rsidRPr="008D7FB4">
        <w:rPr>
          <w:noProof/>
        </w:rPr>
        <w:t xml:space="preserve"> para debater o pacote de medidas previsto para promover a reafetação dos trabalhadores despedidos da Air Italy.</w:t>
      </w:r>
    </w:p>
    <w:p w:rsidR="00252AC6" w:rsidRPr="008D7FB4" w:rsidRDefault="00252AC6" w:rsidP="00252AC6">
      <w:pPr>
        <w:pStyle w:val="ManualHeading2"/>
        <w:rPr>
          <w:noProof/>
        </w:rPr>
      </w:pPr>
      <w:r w:rsidRPr="008D7FB4">
        <w:rPr>
          <w:noProof/>
        </w:rPr>
        <w:t>Sistemas de gestão e de controlo</w:t>
      </w:r>
    </w:p>
    <w:p w:rsidR="00252AC6" w:rsidRPr="008D7FB4" w:rsidRDefault="007C298D" w:rsidP="007C298D">
      <w:pPr>
        <w:pStyle w:val="ManualNumPar1"/>
        <w:rPr>
          <w:noProof/>
        </w:rPr>
      </w:pPr>
      <w:r w:rsidRPr="007C298D">
        <w:t>43.</w:t>
      </w:r>
      <w:r w:rsidRPr="007C298D">
        <w:tab/>
      </w:r>
      <w:r w:rsidR="00252AC6" w:rsidRPr="008D7FB4">
        <w:rPr>
          <w:noProof/>
        </w:rPr>
        <w:t>A candidatura contém uma descrição pormenorizada dos sistemas de gestão e de controlo, que especifica as responsabilidades dos organismos envolvidos. A Itália comunicou à Comissão que a contribuição financeira do FEG será gerida pela Agenzia Nazionale per le Politiche Attive del Lavoro (ANPAL)</w:t>
      </w:r>
      <w:r w:rsidR="00252AC6" w:rsidRPr="008D7FB4">
        <w:rPr>
          <w:rStyle w:val="FootnoteReference"/>
          <w:noProof/>
        </w:rPr>
        <w:footnoteReference w:id="38"/>
      </w:r>
      <w:r w:rsidR="00252AC6" w:rsidRPr="008D7FB4">
        <w:rPr>
          <w:noProof/>
        </w:rPr>
        <w:t xml:space="preserve"> do seguinte modo: a ANPAL — Divisione IV funcionará como autoridade de gestão e a ANPAL — Divisione VI será a autoridade de certificação. O Ministero del Lavoro e delle politiche sociali-MLPS — Segretariato Generale atuará como autoridade de auditoria. A ASPAL será o organismo intermediário para a autoridade de gestão.</w:t>
      </w:r>
    </w:p>
    <w:p w:rsidR="00252AC6" w:rsidRPr="008D7FB4" w:rsidRDefault="00252AC6" w:rsidP="00252AC6">
      <w:pPr>
        <w:pStyle w:val="ManualHeading2"/>
        <w:rPr>
          <w:noProof/>
        </w:rPr>
      </w:pPr>
      <w:r w:rsidRPr="008D7FB4">
        <w:rPr>
          <w:noProof/>
        </w:rPr>
        <w:t>Compromissos assumidos pelo Estado-Membro em questão</w:t>
      </w:r>
    </w:p>
    <w:p w:rsidR="00252AC6" w:rsidRPr="008D7FB4" w:rsidRDefault="007C298D" w:rsidP="007C298D">
      <w:pPr>
        <w:pStyle w:val="ManualNumPar1"/>
        <w:rPr>
          <w:noProof/>
        </w:rPr>
      </w:pPr>
      <w:r w:rsidRPr="007C298D">
        <w:t>44.</w:t>
      </w:r>
      <w:r w:rsidRPr="007C298D">
        <w:tab/>
      </w:r>
      <w:r w:rsidR="00A52AB2" w:rsidRPr="008D7FB4">
        <w:rPr>
          <w:noProof/>
        </w:rPr>
        <w:t xml:space="preserve">As autoridades italianas prestaram todas as garantias necessárias no que respeita ao seguinte: </w:t>
      </w:r>
    </w:p>
    <w:p w:rsidR="00252AC6" w:rsidRPr="008D7FB4" w:rsidRDefault="00252AC6" w:rsidP="00252AC6">
      <w:pPr>
        <w:pStyle w:val="Tiret1"/>
        <w:rPr>
          <w:noProof/>
        </w:rPr>
      </w:pPr>
      <w:r w:rsidRPr="008D7FB4">
        <w:rPr>
          <w:noProof/>
        </w:rPr>
        <w:t>serão respeitados os princípios da igualdade de tratamento e da não discriminação no acesso às medidas propostas e na sua execução,</w:t>
      </w:r>
    </w:p>
    <w:p w:rsidR="00252AC6" w:rsidRPr="008D7FB4" w:rsidRDefault="00252AC6" w:rsidP="00252AC6">
      <w:pPr>
        <w:pStyle w:val="Tiret1"/>
        <w:rPr>
          <w:noProof/>
        </w:rPr>
      </w:pPr>
      <w:r w:rsidRPr="008D7FB4">
        <w:rPr>
          <w:noProof/>
        </w:rPr>
        <w:t>foram cumpridos os requisitos definidos na legislação nacional e da UE em matéria de despedimentos coletivos,</w:t>
      </w:r>
    </w:p>
    <w:p w:rsidR="00252AC6" w:rsidRPr="008D7FB4" w:rsidRDefault="00252AC6" w:rsidP="007D38CD">
      <w:pPr>
        <w:pStyle w:val="Tiret1"/>
        <w:rPr>
          <w:noProof/>
        </w:rPr>
      </w:pPr>
      <w:r w:rsidRPr="008D7FB4">
        <w:rPr>
          <w:noProof/>
        </w:rPr>
        <w:t>será evitado qualquer duplo financiamento,</w:t>
      </w:r>
    </w:p>
    <w:p w:rsidR="00252AC6" w:rsidRPr="008D7FB4" w:rsidRDefault="00252AC6" w:rsidP="00252AC6">
      <w:pPr>
        <w:pStyle w:val="Tiret1"/>
        <w:rPr>
          <w:noProof/>
        </w:rPr>
      </w:pPr>
      <w:r w:rsidRPr="008D7FB4">
        <w:rPr>
          <w:noProof/>
        </w:rPr>
        <w:t>a contribuição financeira do FEG cumprirá as regras processuais e materiais da União em matéria de auxílios estatais.</w:t>
      </w:r>
    </w:p>
    <w:p w:rsidR="00252AC6" w:rsidRPr="008D7FB4" w:rsidRDefault="00252AC6" w:rsidP="00252AC6">
      <w:pPr>
        <w:pStyle w:val="ManualHeading1"/>
        <w:rPr>
          <w:noProof/>
        </w:rPr>
      </w:pPr>
      <w:r w:rsidRPr="008D7FB4">
        <w:rPr>
          <w:noProof/>
        </w:rPr>
        <w:t>INCIDÊNCIA ORÇAMENTAL</w:t>
      </w:r>
    </w:p>
    <w:p w:rsidR="00252AC6" w:rsidRPr="008D7FB4" w:rsidRDefault="00252AC6" w:rsidP="00252AC6">
      <w:pPr>
        <w:pStyle w:val="ManualHeading2"/>
        <w:rPr>
          <w:noProof/>
        </w:rPr>
      </w:pPr>
      <w:r w:rsidRPr="008D7FB4">
        <w:rPr>
          <w:noProof/>
        </w:rPr>
        <w:t>Proposta orçamental</w:t>
      </w:r>
    </w:p>
    <w:p w:rsidR="00252AC6" w:rsidRPr="008D7FB4" w:rsidRDefault="007C298D" w:rsidP="007C298D">
      <w:pPr>
        <w:pStyle w:val="ManualNumPar1"/>
        <w:rPr>
          <w:noProof/>
        </w:rPr>
      </w:pPr>
      <w:r w:rsidRPr="007C298D">
        <w:t>45.</w:t>
      </w:r>
      <w:r w:rsidRPr="007C298D">
        <w:tab/>
      </w:r>
      <w:r w:rsidR="00252AC6" w:rsidRPr="008D7FB4">
        <w:rPr>
          <w:noProof/>
        </w:rPr>
        <w:t>A intervenção do FEG não pode exceder o montante máximo anual de 186 milhões de EUR (preços de 2018), conforme disposto no artigo 8.º do Regulamento (UE, Euratom) 2020/2093 do Conselho, de 17 de dezembro de 2020, que estabelece o quadro financeiro plurianual para o período de 2021 a 2027</w:t>
      </w:r>
      <w:r w:rsidR="00252AC6" w:rsidRPr="008D7FB4">
        <w:rPr>
          <w:rStyle w:val="FootnoteReference"/>
          <w:noProof/>
        </w:rPr>
        <w:footnoteReference w:id="39"/>
      </w:r>
      <w:r w:rsidR="00252AC6" w:rsidRPr="008D7FB4">
        <w:rPr>
          <w:noProof/>
        </w:rPr>
        <w:t>.</w:t>
      </w:r>
    </w:p>
    <w:p w:rsidR="00252AC6" w:rsidRPr="008D7FB4" w:rsidRDefault="007C298D" w:rsidP="007C298D">
      <w:pPr>
        <w:pStyle w:val="ManualNumPar1"/>
        <w:rPr>
          <w:rFonts w:eastAsia="Calibri"/>
          <w:noProof/>
        </w:rPr>
      </w:pPr>
      <w:r w:rsidRPr="007C298D">
        <w:t>46.</w:t>
      </w:r>
      <w:r w:rsidRPr="007C298D">
        <w:tab/>
      </w:r>
      <w:r w:rsidR="00252AC6" w:rsidRPr="008D7FB4">
        <w:rPr>
          <w:noProof/>
        </w:rPr>
        <w:t>Tendo examinado a candidatura no que diz respeito às condições estabelecidas no artigo 13.º, n.</w:t>
      </w:r>
      <w:r w:rsidR="00252AC6" w:rsidRPr="008D7FB4">
        <w:rPr>
          <w:noProof/>
          <w:vertAlign w:val="superscript"/>
        </w:rPr>
        <w:t>os</w:t>
      </w:r>
      <w:r w:rsidR="00252AC6" w:rsidRPr="008D7FB4">
        <w:rPr>
          <w:noProof/>
        </w:rPr>
        <w:t xml:space="preserve"> 1 e 2, do Regulamento FEG e tendo em conta o número de beneficiários visados, as medidas propostas e os custos estimados, a Comissão propõe a mobilização do FEG no montante de 3 874 640 EUR, o correspondente a 85 % dos custos totais das medidas propostas, a fim de conceder uma contribuição financeira em resposta à candidatura.</w:t>
      </w:r>
    </w:p>
    <w:p w:rsidR="00252AC6" w:rsidRPr="008D7FB4" w:rsidRDefault="007C298D" w:rsidP="007C298D">
      <w:pPr>
        <w:pStyle w:val="ManualNumPar1"/>
        <w:rPr>
          <w:rFonts w:eastAsia="Times New Roman"/>
          <w:noProof/>
        </w:rPr>
      </w:pPr>
      <w:r w:rsidRPr="007C298D">
        <w:t>47.</w:t>
      </w:r>
      <w:r w:rsidRPr="007C298D">
        <w:tab/>
      </w:r>
      <w:r w:rsidR="00252AC6" w:rsidRPr="008D7FB4">
        <w:rPr>
          <w:noProof/>
        </w:rPr>
        <w:t>A decisão proposta relativa à mobilização do FEG será adotada conjuntamente pelo Parlamento Europeu e o Conselho, em conformidade com o ponto 9 do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00252AC6" w:rsidRPr="008D7FB4">
        <w:rPr>
          <w:rStyle w:val="FootnoteReference"/>
          <w:noProof/>
        </w:rPr>
        <w:footnoteReference w:id="40"/>
      </w:r>
      <w:r w:rsidR="00252AC6" w:rsidRPr="008D7FB4">
        <w:rPr>
          <w:noProof/>
        </w:rPr>
        <w:t>.</w:t>
      </w:r>
    </w:p>
    <w:p w:rsidR="00252AC6" w:rsidRPr="008D7FB4" w:rsidRDefault="00252AC6" w:rsidP="00252AC6">
      <w:pPr>
        <w:pStyle w:val="ManualHeading2"/>
        <w:rPr>
          <w:noProof/>
        </w:rPr>
      </w:pPr>
      <w:r w:rsidRPr="008D7FB4">
        <w:rPr>
          <w:noProof/>
        </w:rPr>
        <w:t>Atos relacionados</w:t>
      </w:r>
    </w:p>
    <w:p w:rsidR="00E544E0" w:rsidRPr="008D7FB4" w:rsidRDefault="007C298D" w:rsidP="007C298D">
      <w:pPr>
        <w:pStyle w:val="ManualNumPar1"/>
        <w:rPr>
          <w:noProof/>
        </w:rPr>
      </w:pPr>
      <w:r w:rsidRPr="007C298D">
        <w:t>48.</w:t>
      </w:r>
      <w:r w:rsidRPr="007C298D">
        <w:tab/>
      </w:r>
      <w:r w:rsidR="00252AC6" w:rsidRPr="008D7FB4">
        <w:rPr>
          <w:noProof/>
        </w:rPr>
        <w:t>Ao mesmo tempo que apresenta a sua proposta de decisão relativa à mobilização do FEG, a Comissão apresenta ao Parlamento Europeu e ao Conselho uma proposta de transferência de 3 874 640 EUR para a rubrica orçamental relevante.</w:t>
      </w:r>
    </w:p>
    <w:p w:rsidR="00BB42D9" w:rsidRPr="008D7FB4" w:rsidRDefault="007C298D" w:rsidP="007C298D">
      <w:pPr>
        <w:pStyle w:val="ManualNumPar1"/>
        <w:rPr>
          <w:noProof/>
        </w:rPr>
      </w:pPr>
      <w:r w:rsidRPr="007C298D">
        <w:t>49.</w:t>
      </w:r>
      <w:r w:rsidRPr="007C298D">
        <w:tab/>
      </w:r>
      <w:r w:rsidR="00BB42D9" w:rsidRPr="008D7FB4">
        <w:rPr>
          <w:noProof/>
        </w:rPr>
        <w:t>Ao mesmo tempo que adotou a presente proposta de decisão relativa à mobilização do FEG, a Comissão adotou uma decisão relativa a uma contribuição financeira que constitui uma decisão de financiamento na aceção do artigo 110.º do Regulamento Financeiro</w:t>
      </w:r>
      <w:r w:rsidR="00BB42D9" w:rsidRPr="008D7FB4">
        <w:rPr>
          <w:rStyle w:val="FootnoteReference"/>
          <w:noProof/>
        </w:rPr>
        <w:footnoteReference w:id="41"/>
      </w:r>
      <w:r w:rsidR="00BB42D9" w:rsidRPr="008D7FB4">
        <w:rPr>
          <w:noProof/>
        </w:rPr>
        <w:t>. Essa decisão de financiamento entra em vigor na data em que a Comissão for notificada da aprovação da transferência orçamental pelo Parlamento Europeu e pelo Conselho.</w:t>
      </w:r>
    </w:p>
    <w:p w:rsidR="00252AC6" w:rsidRPr="008D7FB4" w:rsidRDefault="00252AC6" w:rsidP="00252AC6">
      <w:pPr>
        <w:rPr>
          <w:noProof/>
        </w:rPr>
        <w:sectPr w:rsidR="00252AC6" w:rsidRPr="008D7FB4" w:rsidSect="00973735">
          <w:footerReference w:type="default" r:id="rId13"/>
          <w:footerReference w:type="first" r:id="rId14"/>
          <w:pgSz w:w="11907" w:h="16839"/>
          <w:pgMar w:top="1134" w:right="1417" w:bottom="1134" w:left="1417" w:header="709" w:footer="709" w:gutter="0"/>
          <w:pgNumType w:start="1"/>
          <w:cols w:space="708"/>
          <w:docGrid w:linePitch="360"/>
        </w:sectPr>
      </w:pPr>
    </w:p>
    <w:p w:rsidR="00027CB9" w:rsidRDefault="00027CB9" w:rsidP="00027CB9">
      <w:pPr>
        <w:pStyle w:val="Rfrenceinterinstitutionnelle"/>
        <w:rPr>
          <w:noProof/>
        </w:rPr>
      </w:pPr>
      <w:r w:rsidRPr="00027CB9">
        <w:t>2021/0338 (BUD)</w:t>
      </w:r>
    </w:p>
    <w:p w:rsidR="00252AC6" w:rsidRPr="008D7FB4" w:rsidRDefault="008D7FB4" w:rsidP="008D7FB4">
      <w:pPr>
        <w:pStyle w:val="Statut"/>
        <w:rPr>
          <w:noProof/>
        </w:rPr>
      </w:pPr>
      <w:r w:rsidRPr="008D7FB4">
        <w:rPr>
          <w:noProof/>
        </w:rPr>
        <w:t>Proposta de</w:t>
      </w:r>
    </w:p>
    <w:p w:rsidR="00252AC6" w:rsidRPr="008D7FB4" w:rsidRDefault="008D7FB4" w:rsidP="008D7FB4">
      <w:pPr>
        <w:pStyle w:val="Typedudocument"/>
        <w:rPr>
          <w:noProof/>
        </w:rPr>
      </w:pPr>
      <w:r w:rsidRPr="008D7FB4">
        <w:rPr>
          <w:noProof/>
        </w:rPr>
        <w:t>DECISÃO DO PARLAMENTO EUROPEU E DO CONSELHO</w:t>
      </w:r>
    </w:p>
    <w:p w:rsidR="00252AC6" w:rsidRPr="008D7FB4" w:rsidRDefault="008D7FB4" w:rsidP="008D7FB4">
      <w:pPr>
        <w:pStyle w:val="Titreobjet"/>
        <w:rPr>
          <w:noProof/>
        </w:rPr>
      </w:pPr>
      <w:r w:rsidRPr="008D7FB4">
        <w:rPr>
          <w:noProof/>
        </w:rPr>
        <w:t>relativa à mobilização do Fundo Europeu de Ajustamento à Globalização a favor dos Trabalhadores Despedidos (FEG) na sequência de uma candidatura de Itália — EGF/2021/002 IT Air Italy</w:t>
      </w:r>
    </w:p>
    <w:p w:rsidR="00252AC6" w:rsidRPr="008D7FB4" w:rsidRDefault="00252AC6" w:rsidP="00252AC6">
      <w:pPr>
        <w:pStyle w:val="Institutionquiagit"/>
        <w:rPr>
          <w:noProof/>
        </w:rPr>
      </w:pPr>
      <w:r w:rsidRPr="008D7FB4">
        <w:rPr>
          <w:noProof/>
        </w:rPr>
        <w:t>O PARLAMENTO EUROPEU E O CONSELHO DA UNIÃO EUROPEIA,</w:t>
      </w:r>
    </w:p>
    <w:p w:rsidR="00252AC6" w:rsidRPr="008D7FB4" w:rsidRDefault="00252AC6" w:rsidP="00252AC6">
      <w:pPr>
        <w:rPr>
          <w:noProof/>
        </w:rPr>
      </w:pPr>
      <w:r w:rsidRPr="008D7FB4">
        <w:rPr>
          <w:noProof/>
        </w:rPr>
        <w:t>Tendo em conta o Tratado sobre o Funcionamento da União Europeia,</w:t>
      </w:r>
    </w:p>
    <w:p w:rsidR="00252AC6" w:rsidRPr="008D7FB4" w:rsidRDefault="00252AC6" w:rsidP="00252AC6">
      <w:pPr>
        <w:rPr>
          <w:noProof/>
        </w:rPr>
      </w:pPr>
      <w:r w:rsidRPr="008D7FB4">
        <w:rPr>
          <w:noProof/>
        </w:rPr>
        <w:t>Tendo em conta o Regulamento (UE) 2021/691 do Parlamento Europeu e do Conselho de 28 de abril de 2021 relativo ao Fundo Europeu de Ajustamento à Globalização a favor dos Trabalhadores Despedidos (FEG) e que revoga o Regulamento (UE) n.º 1309/2013</w:t>
      </w:r>
      <w:r w:rsidRPr="008D7FB4">
        <w:rPr>
          <w:rStyle w:val="FootnoteReference"/>
          <w:noProof/>
        </w:rPr>
        <w:footnoteReference w:id="42"/>
      </w:r>
      <w:r w:rsidRPr="008D7FB4">
        <w:rPr>
          <w:noProof/>
        </w:rPr>
        <w:t>, nomeadamente o artigo 15.º, n.º 1,</w:t>
      </w:r>
    </w:p>
    <w:p w:rsidR="00252AC6" w:rsidRPr="008D7FB4" w:rsidRDefault="00252AC6" w:rsidP="00252AC6">
      <w:pPr>
        <w:rPr>
          <w:noProof/>
        </w:rPr>
      </w:pPr>
      <w:r w:rsidRPr="008D7FB4">
        <w:rPr>
          <w:noProof/>
        </w:rPr>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8D7FB4">
        <w:rPr>
          <w:rStyle w:val="FootnoteReference"/>
          <w:noProof/>
        </w:rPr>
        <w:footnoteReference w:id="43"/>
      </w:r>
      <w:r w:rsidRPr="008D7FB4">
        <w:rPr>
          <w:noProof/>
        </w:rPr>
        <w:t>, em especial o ponto 9,</w:t>
      </w:r>
    </w:p>
    <w:p w:rsidR="00252AC6" w:rsidRPr="008D7FB4" w:rsidRDefault="00252AC6" w:rsidP="00252AC6">
      <w:pPr>
        <w:rPr>
          <w:noProof/>
        </w:rPr>
      </w:pPr>
      <w:r w:rsidRPr="008D7FB4">
        <w:rPr>
          <w:noProof/>
        </w:rPr>
        <w:t>Tendo em conta a proposta da Comissão Europeia,</w:t>
      </w:r>
    </w:p>
    <w:p w:rsidR="00252AC6" w:rsidRPr="008D7FB4" w:rsidRDefault="00252AC6" w:rsidP="00252AC6">
      <w:pPr>
        <w:rPr>
          <w:noProof/>
        </w:rPr>
      </w:pPr>
      <w:r w:rsidRPr="008D7FB4">
        <w:rPr>
          <w:noProof/>
        </w:rPr>
        <w:t>Considerando o seguinte:</w:t>
      </w:r>
    </w:p>
    <w:p w:rsidR="00252AC6" w:rsidRPr="008D7FB4" w:rsidRDefault="007C298D" w:rsidP="007C298D">
      <w:pPr>
        <w:pStyle w:val="ManualConsidrant"/>
        <w:rPr>
          <w:noProof/>
        </w:rPr>
      </w:pPr>
      <w:r w:rsidRPr="007C298D">
        <w:t>(1)</w:t>
      </w:r>
      <w:r w:rsidRPr="007C298D">
        <w:tab/>
      </w:r>
      <w:r w:rsidR="00252AC6" w:rsidRPr="008D7FB4">
        <w:rPr>
          <w:noProof/>
        </w:rPr>
        <w:t xml:space="preserve">O Fundo Europeu de Ajustamento à Globalização a favor dos Trabalhadores Despedidos (FEG) visa demonstrar solidariedade e promover o emprego digno e sustentável na União, prestando apoio aos trabalhadores despedidos e aos trabalhadores independentes cuja atividade tenha cessado em caso de grandes processos de reestruturação e ajudando-os a regressar a um emprego digno e sustentável o mais rapidamente possível. </w:t>
      </w:r>
    </w:p>
    <w:p w:rsidR="00252AC6" w:rsidRPr="008D7FB4" w:rsidRDefault="007C298D" w:rsidP="007C298D">
      <w:pPr>
        <w:pStyle w:val="ManualConsidrant"/>
        <w:rPr>
          <w:noProof/>
        </w:rPr>
      </w:pPr>
      <w:r w:rsidRPr="007C298D">
        <w:t>(2)</w:t>
      </w:r>
      <w:r w:rsidRPr="007C298D">
        <w:tab/>
      </w:r>
      <w:r w:rsidR="00252AC6" w:rsidRPr="008D7FB4">
        <w:rPr>
          <w:noProof/>
        </w:rPr>
        <w:t>A intervenção do FEG não deve exceder o montante máximo anual de 186 milhões de EUR (preços de 2018), conforme disposto no artigo 8.º do Regulamento (UE, Euratom) 2020/2093 do Conselho</w:t>
      </w:r>
      <w:r w:rsidR="00252AC6" w:rsidRPr="008D7FB4">
        <w:rPr>
          <w:rStyle w:val="FootnoteReference"/>
          <w:noProof/>
        </w:rPr>
        <w:footnoteReference w:id="44"/>
      </w:r>
      <w:r w:rsidR="00252AC6" w:rsidRPr="008D7FB4">
        <w:rPr>
          <w:noProof/>
        </w:rPr>
        <w:t>.</w:t>
      </w:r>
    </w:p>
    <w:p w:rsidR="00252AC6" w:rsidRPr="008D7FB4" w:rsidRDefault="007C298D" w:rsidP="007C298D">
      <w:pPr>
        <w:pStyle w:val="ManualConsidrant"/>
        <w:rPr>
          <w:noProof/>
        </w:rPr>
      </w:pPr>
      <w:r w:rsidRPr="007C298D">
        <w:t>(3)</w:t>
      </w:r>
      <w:r w:rsidRPr="007C298D">
        <w:tab/>
      </w:r>
      <w:r w:rsidR="00252AC6" w:rsidRPr="008D7FB4">
        <w:rPr>
          <w:noProof/>
        </w:rPr>
        <w:t>Em 15 de julho de 2021, a Itália apresentou uma candidatura à mobilização do FEG em relação ao despedimento de trabalhadores da empresa Air Italy SpA, em Itália. A candidatura foi complementada por informações adicionais, transmitidas em conformidade com o artigo 8.º, n.º 5, do Regulamento (UE) 2021/691. A candidatura respeita os requisitos para a determinação de uma contribuição financeira do FEG previstos no artigo 13.º do Regulamento (UE) 2021/691.</w:t>
      </w:r>
    </w:p>
    <w:p w:rsidR="00252AC6" w:rsidRPr="008D7FB4" w:rsidRDefault="007C298D" w:rsidP="007C298D">
      <w:pPr>
        <w:pStyle w:val="ManualConsidrant"/>
        <w:rPr>
          <w:noProof/>
        </w:rPr>
      </w:pPr>
      <w:r w:rsidRPr="007C298D">
        <w:t>(4)</w:t>
      </w:r>
      <w:r w:rsidRPr="007C298D">
        <w:tab/>
      </w:r>
      <w:r w:rsidR="00252AC6" w:rsidRPr="008D7FB4">
        <w:rPr>
          <w:noProof/>
        </w:rPr>
        <w:t>O FEG deverá, por conseguinte, ser mobilizado a fim de conceder uma contribuição financeira no montante de 3 874 640 EUR em resposta à candidatura apresentada pela Itália.</w:t>
      </w:r>
    </w:p>
    <w:p w:rsidR="00252AC6" w:rsidRPr="008D7FB4" w:rsidRDefault="007C298D" w:rsidP="007C298D">
      <w:pPr>
        <w:pStyle w:val="ManualConsidrant"/>
        <w:rPr>
          <w:noProof/>
        </w:rPr>
      </w:pPr>
      <w:r w:rsidRPr="007C298D">
        <w:t>(5)</w:t>
      </w:r>
      <w:r w:rsidRPr="007C298D">
        <w:tab/>
      </w:r>
      <w:r w:rsidR="00252AC6" w:rsidRPr="008D7FB4">
        <w:rPr>
          <w:noProof/>
        </w:rPr>
        <w:t>A fim de reduzir ao mínimo o tempo necessário para a mobilização do FEG, a presente decisão deve ser aplicável a partir da data da sua adoção,</w:t>
      </w:r>
    </w:p>
    <w:p w:rsidR="00252AC6" w:rsidRPr="008D7FB4" w:rsidRDefault="00252AC6" w:rsidP="00252AC6">
      <w:pPr>
        <w:pStyle w:val="Formuledadoption"/>
        <w:rPr>
          <w:noProof/>
        </w:rPr>
      </w:pPr>
      <w:r w:rsidRPr="008D7FB4">
        <w:rPr>
          <w:noProof/>
        </w:rPr>
        <w:t xml:space="preserve">ADOTOU A PRESENTE DECISÃO: </w:t>
      </w:r>
    </w:p>
    <w:p w:rsidR="00252AC6" w:rsidRPr="008D7FB4" w:rsidRDefault="00252AC6" w:rsidP="00252AC6">
      <w:pPr>
        <w:pStyle w:val="Titrearticle"/>
        <w:rPr>
          <w:noProof/>
        </w:rPr>
      </w:pPr>
      <w:r w:rsidRPr="008D7FB4">
        <w:rPr>
          <w:noProof/>
        </w:rPr>
        <w:t>Artigo 1.º</w:t>
      </w:r>
    </w:p>
    <w:p w:rsidR="00252AC6" w:rsidRPr="008D7FB4" w:rsidRDefault="00252AC6" w:rsidP="00252AC6">
      <w:pPr>
        <w:rPr>
          <w:noProof/>
        </w:rPr>
      </w:pPr>
      <w:r w:rsidRPr="008D7FB4">
        <w:rPr>
          <w:noProof/>
        </w:rPr>
        <w:t>No quadro do orçamento geral da União Europeia para o exercício de 2021, é mobilizada a quantia de 3 874 640 EUR em dotações de autorização e de pagamento ao abrigo do Fundo Europeu de Ajustamento à Globalização a favor dos Trabalhadores Despedidos.</w:t>
      </w:r>
    </w:p>
    <w:p w:rsidR="00252AC6" w:rsidRPr="008D7FB4" w:rsidRDefault="00252AC6" w:rsidP="00CB4720">
      <w:pPr>
        <w:pStyle w:val="Titrearticle"/>
        <w:rPr>
          <w:noProof/>
        </w:rPr>
      </w:pPr>
      <w:r w:rsidRPr="008D7FB4">
        <w:rPr>
          <w:noProof/>
        </w:rPr>
        <w:t>Artigo 2.º</w:t>
      </w:r>
    </w:p>
    <w:p w:rsidR="00252AC6" w:rsidRPr="008D7FB4" w:rsidRDefault="00252AC6" w:rsidP="00252AC6">
      <w:pPr>
        <w:keepNext/>
        <w:keepLines/>
        <w:rPr>
          <w:noProof/>
        </w:rPr>
      </w:pPr>
      <w:r w:rsidRPr="008D7FB4">
        <w:rPr>
          <w:noProof/>
        </w:rPr>
        <w:t xml:space="preserve">A presente Decisão entra em vigor no dia da sua publicação no Jornal Oficial da União Europeia. É aplicável a partir de </w:t>
      </w:r>
      <w:r w:rsidRPr="008D7FB4">
        <w:rPr>
          <w:noProof/>
          <w:color w:val="FF0000"/>
        </w:rPr>
        <w:t>[a data da sua adoção]</w:t>
      </w:r>
      <w:r w:rsidRPr="008D7FB4">
        <w:rPr>
          <w:rStyle w:val="FootnoteReference"/>
          <w:noProof/>
          <w:color w:val="FF0000"/>
        </w:rPr>
        <w:footnoteReference w:customMarkFollows="1" w:id="45"/>
        <w:sym w:font="Symbol" w:char="F02A"/>
      </w:r>
      <w:r w:rsidRPr="008D7FB4">
        <w:rPr>
          <w:noProof/>
        </w:rPr>
        <w:t>.</w:t>
      </w:r>
    </w:p>
    <w:p w:rsidR="00252AC6" w:rsidRPr="008D7FB4" w:rsidRDefault="0070363A" w:rsidP="00CB4720">
      <w:pPr>
        <w:pStyle w:val="Fait"/>
        <w:rPr>
          <w:noProof/>
        </w:rPr>
      </w:pPr>
      <w:r w:rsidRPr="0070363A">
        <w:t>Feito em Bruxelas, em</w:t>
      </w:r>
    </w:p>
    <w:p w:rsidR="00252AC6" w:rsidRPr="008D7FB4" w:rsidRDefault="00252AC6" w:rsidP="00CB4720">
      <w:pPr>
        <w:pStyle w:val="Institutionquisigne"/>
        <w:rPr>
          <w:noProof/>
        </w:rPr>
      </w:pPr>
      <w:r w:rsidRPr="008D7FB4">
        <w:rPr>
          <w:noProof/>
        </w:rPr>
        <w:t>Pelo Parlamento Europeu</w:t>
      </w:r>
      <w:r w:rsidRPr="008D7FB4">
        <w:rPr>
          <w:noProof/>
        </w:rPr>
        <w:tab/>
        <w:t>Pelo Conselho</w:t>
      </w:r>
    </w:p>
    <w:p w:rsidR="00252AC6" w:rsidRPr="008D7FB4" w:rsidRDefault="00252AC6" w:rsidP="00252AC6">
      <w:pPr>
        <w:pStyle w:val="Personnequisigne"/>
        <w:rPr>
          <w:noProof/>
        </w:rPr>
      </w:pPr>
      <w:r w:rsidRPr="008D7FB4">
        <w:rPr>
          <w:noProof/>
        </w:rPr>
        <w:t>O Presidente</w:t>
      </w:r>
      <w:r w:rsidRPr="008D7FB4">
        <w:rPr>
          <w:noProof/>
        </w:rPr>
        <w:tab/>
        <w:t xml:space="preserve">O Presidente </w:t>
      </w:r>
      <w:r w:rsidRPr="008D7FB4">
        <w:rPr>
          <w:noProof/>
        </w:rPr>
        <w:br/>
      </w:r>
    </w:p>
    <w:sectPr w:rsidR="00252AC6" w:rsidRPr="008D7FB4" w:rsidSect="0097373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D21" w:rsidRDefault="00FC0D21" w:rsidP="00252AC6">
      <w:pPr>
        <w:spacing w:before="0" w:after="0"/>
      </w:pPr>
      <w:r>
        <w:separator/>
      </w:r>
    </w:p>
  </w:endnote>
  <w:endnote w:type="continuationSeparator" w:id="0">
    <w:p w:rsidR="00FC0D21" w:rsidRDefault="00FC0D21" w:rsidP="00252AC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AAF" w:rsidRPr="00973735" w:rsidRDefault="00973735" w:rsidP="00973735">
    <w:pPr>
      <w:pStyle w:val="Footer"/>
      <w:rPr>
        <w:rFonts w:ascii="Arial" w:hAnsi="Arial" w:cs="Arial"/>
        <w:b/>
        <w:sz w:val="48"/>
      </w:rPr>
    </w:pPr>
    <w:r w:rsidRPr="00973735">
      <w:rPr>
        <w:rFonts w:ascii="Arial" w:hAnsi="Arial" w:cs="Arial"/>
        <w:b/>
        <w:sz w:val="48"/>
      </w:rPr>
      <w:t>PT</w:t>
    </w:r>
    <w:r w:rsidRPr="00973735">
      <w:rPr>
        <w:rFonts w:ascii="Arial" w:hAnsi="Arial" w:cs="Arial"/>
        <w:b/>
        <w:sz w:val="48"/>
      </w:rPr>
      <w:tab/>
    </w:r>
    <w:r w:rsidRPr="00973735">
      <w:rPr>
        <w:rFonts w:ascii="Arial" w:hAnsi="Arial" w:cs="Arial"/>
        <w:b/>
        <w:sz w:val="48"/>
      </w:rPr>
      <w:tab/>
    </w:r>
    <w:r w:rsidRPr="00973735">
      <w:tab/>
    </w:r>
    <w:r w:rsidRPr="00973735">
      <w:rPr>
        <w:rFonts w:ascii="Arial" w:hAnsi="Arial" w:cs="Arial"/>
        <w:b/>
        <w:sz w:val="48"/>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735" w:rsidRPr="00973735" w:rsidRDefault="00973735" w:rsidP="00973735">
    <w:pPr>
      <w:pStyle w:val="Footer"/>
      <w:rPr>
        <w:rFonts w:ascii="Arial" w:hAnsi="Arial" w:cs="Arial"/>
        <w:b/>
        <w:sz w:val="48"/>
      </w:rPr>
    </w:pPr>
    <w:r w:rsidRPr="00973735">
      <w:rPr>
        <w:rFonts w:ascii="Arial" w:hAnsi="Arial" w:cs="Arial"/>
        <w:b/>
        <w:sz w:val="48"/>
      </w:rPr>
      <w:t>PT</w:t>
    </w:r>
    <w:r w:rsidRPr="00973735">
      <w:rPr>
        <w:rFonts w:ascii="Arial" w:hAnsi="Arial" w:cs="Arial"/>
        <w:b/>
        <w:sz w:val="48"/>
      </w:rPr>
      <w:tab/>
    </w:r>
    <w:r>
      <w:fldChar w:fldCharType="begin"/>
    </w:r>
    <w:r>
      <w:instrText xml:space="preserve"> PAGE  \* MERGEFORMAT </w:instrText>
    </w:r>
    <w:r>
      <w:fldChar w:fldCharType="separate"/>
    </w:r>
    <w:r w:rsidR="00CB4720">
      <w:rPr>
        <w:noProof/>
      </w:rPr>
      <w:t>13</w:t>
    </w:r>
    <w:r>
      <w:fldChar w:fldCharType="end"/>
    </w:r>
    <w:r>
      <w:tab/>
    </w:r>
    <w:r w:rsidRPr="00973735">
      <w:tab/>
    </w:r>
    <w:r w:rsidRPr="00973735">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735" w:rsidRPr="00973735" w:rsidRDefault="00973735" w:rsidP="0097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D21" w:rsidRDefault="00FC0D21" w:rsidP="00252AC6">
      <w:pPr>
        <w:spacing w:before="0" w:after="0"/>
      </w:pPr>
      <w:r>
        <w:separator/>
      </w:r>
    </w:p>
  </w:footnote>
  <w:footnote w:type="continuationSeparator" w:id="0">
    <w:p w:rsidR="00FC0D21" w:rsidRDefault="00FC0D21" w:rsidP="00252AC6">
      <w:pPr>
        <w:spacing w:before="0" w:after="0"/>
      </w:pPr>
      <w:r>
        <w:continuationSeparator/>
      </w:r>
    </w:p>
  </w:footnote>
  <w:footnote w:id="1">
    <w:p w:rsidR="00445AAF" w:rsidRPr="00BE109D" w:rsidRDefault="00445AAF" w:rsidP="00252AC6">
      <w:pPr>
        <w:pStyle w:val="FootnoteText"/>
      </w:pPr>
      <w:r w:rsidRPr="0038339D">
        <w:rPr>
          <w:rStyle w:val="FootnoteReference"/>
        </w:rPr>
        <w:footnoteRef/>
      </w:r>
      <w:r w:rsidR="0038339D">
        <w:tab/>
      </w:r>
      <w:r>
        <w:t>JO L 153 de 3.5.2021, p. 48.</w:t>
      </w:r>
    </w:p>
  </w:footnote>
  <w:footnote w:id="2">
    <w:p w:rsidR="00445AAF" w:rsidRPr="002308DE" w:rsidRDefault="00445AAF" w:rsidP="00252AC6">
      <w:pPr>
        <w:pStyle w:val="FootnoteText"/>
      </w:pPr>
      <w:r w:rsidRPr="0038339D">
        <w:rPr>
          <w:rStyle w:val="FootnoteReference"/>
        </w:rPr>
        <w:footnoteRef/>
      </w:r>
      <w:r w:rsidR="0038339D">
        <w:tab/>
      </w:r>
      <w:r>
        <w:t>Regulamento Delegado (UE) 2019/1755 da Comissão de 8 de agosto de 2019 que altera os anexos do Regulamento (CE) n.º 1059/2003 do Parlamento Europeu e do Conselho relativo à instituição de uma Nomenclatura Comum das Unidades Territoriais Estatísticas (NUTS). JO L 270 de 24.10.2019, p. 1.</w:t>
      </w:r>
    </w:p>
  </w:footnote>
  <w:footnote w:id="3">
    <w:p w:rsidR="00445AAF" w:rsidRPr="00A50D50" w:rsidRDefault="00445AAF" w:rsidP="00252AC6">
      <w:pPr>
        <w:pStyle w:val="FootnoteText"/>
      </w:pPr>
      <w:r w:rsidRPr="0038339D">
        <w:rPr>
          <w:rStyle w:val="FootnoteReference"/>
        </w:rPr>
        <w:footnoteRef/>
      </w:r>
      <w:r w:rsidR="0038339D">
        <w:tab/>
      </w:r>
      <w:r>
        <w:t>JO L 393 de 30.12.2006, p. 1.</w:t>
      </w:r>
    </w:p>
  </w:footnote>
  <w:footnote w:id="4">
    <w:p w:rsidR="00445AAF" w:rsidRPr="003E2FCF" w:rsidRDefault="00445AAF">
      <w:pPr>
        <w:pStyle w:val="FootnoteText"/>
      </w:pPr>
      <w:r w:rsidRPr="0038339D">
        <w:rPr>
          <w:rStyle w:val="FootnoteReference"/>
        </w:rPr>
        <w:footnoteRef/>
      </w:r>
      <w:r w:rsidR="0038339D">
        <w:tab/>
      </w:r>
      <w:r>
        <w:t>O número de despedimentos durante o período de referência, e antes ou após esse período, diz apenas respeito aos trabalhadores despedidos da Air Italy localizados na Sardenha.</w:t>
      </w:r>
    </w:p>
  </w:footnote>
  <w:footnote w:id="5">
    <w:p w:rsidR="00445AAF" w:rsidRPr="00A50D50" w:rsidRDefault="00445AAF" w:rsidP="00252AC6">
      <w:pPr>
        <w:pStyle w:val="FootnoteText"/>
      </w:pPr>
      <w:r w:rsidRPr="0038339D">
        <w:rPr>
          <w:rStyle w:val="FootnoteReference"/>
        </w:rPr>
        <w:footnoteRef/>
      </w:r>
      <w:r w:rsidR="0038339D">
        <w:tab/>
      </w:r>
      <w:r>
        <w:t>Nos termos do artigo 7.º, n.º 5, do Regulamento (UE) 2021/691.</w:t>
      </w:r>
    </w:p>
  </w:footnote>
  <w:footnote w:id="6">
    <w:p w:rsidR="00445AAF" w:rsidRPr="00916B8D" w:rsidRDefault="00445AAF">
      <w:pPr>
        <w:pStyle w:val="FootnoteText"/>
      </w:pPr>
      <w:r w:rsidRPr="0038339D">
        <w:rPr>
          <w:rStyle w:val="FootnoteReference"/>
        </w:rPr>
        <w:footnoteRef/>
      </w:r>
      <w:r w:rsidR="0038339D">
        <w:tab/>
      </w:r>
      <w:r>
        <w:t>O prazo de 12 semanas foi suspenso entre 1 de janeiro de 2021 e 3 de maio de 2021, em conformidade com o artigo 8.º, n.º 2, do Regulamento (UE) 2021/691.</w:t>
      </w:r>
    </w:p>
  </w:footnote>
  <w:footnote w:id="7">
    <w:p w:rsidR="00445AAF" w:rsidRPr="00A63605" w:rsidRDefault="00445AAF" w:rsidP="00252AC6">
      <w:pPr>
        <w:pStyle w:val="FootnoteText"/>
      </w:pPr>
      <w:r w:rsidRPr="0038339D">
        <w:rPr>
          <w:rStyle w:val="FootnoteReference"/>
        </w:rPr>
        <w:footnoteRef/>
      </w:r>
      <w:r w:rsidR="0038339D">
        <w:tab/>
      </w:r>
      <w:r>
        <w:t>Diretiva 98/59/CE do Conselho, de 20 de julho de 1998, relativa à aproximação das legislações dos Estados-Membros respeitantes aos despedimentos coletivos (JO L 225 de 12.8.1998, p. 16).</w:t>
      </w:r>
    </w:p>
  </w:footnote>
  <w:footnote w:id="8">
    <w:p w:rsidR="00445AAF" w:rsidRPr="005C330D" w:rsidRDefault="00445AAF">
      <w:pPr>
        <w:pStyle w:val="FootnoteText"/>
      </w:pPr>
      <w:r w:rsidRPr="0038339D">
        <w:rPr>
          <w:rStyle w:val="FootnoteReference"/>
        </w:rPr>
        <w:footnoteRef/>
      </w:r>
      <w:r w:rsidR="0038339D">
        <w:tab/>
      </w:r>
      <w:r>
        <w:t>Os acionistas da AQA Holding são a Alisarda, com 51 % das ações, e a Qatar Airways, com 49 %. Alisarda é um grupo industrial que detém igualmente a maioria das ações do aeroporto de Olbia.</w:t>
      </w:r>
    </w:p>
  </w:footnote>
  <w:footnote w:id="9">
    <w:p w:rsidR="00445AAF" w:rsidRPr="005958C3" w:rsidRDefault="00445AAF">
      <w:pPr>
        <w:pStyle w:val="FootnoteText"/>
      </w:pPr>
      <w:r>
        <w:rPr>
          <w:rStyle w:val="FootnoteReference"/>
        </w:rPr>
        <w:footnoteRef/>
      </w:r>
      <w:r>
        <w:tab/>
      </w:r>
      <w:hyperlink r:id="rId1" w:history="1">
        <w:r>
          <w:rPr>
            <w:rStyle w:val="Hyperlink"/>
          </w:rPr>
          <w:t>https://www.ilsole24ore.com/art/air-italy-quel-piano-ambizioso-qatar-airways-mai-decollato-ACS5ggIB</w:t>
        </w:r>
      </w:hyperlink>
    </w:p>
  </w:footnote>
  <w:footnote w:id="10">
    <w:p w:rsidR="00445AAF" w:rsidRPr="00F505A0" w:rsidRDefault="00445AAF" w:rsidP="00357AA1">
      <w:pPr>
        <w:pStyle w:val="FootnoteText"/>
      </w:pPr>
      <w:r>
        <w:rPr>
          <w:rStyle w:val="FootnoteReference"/>
        </w:rPr>
        <w:footnoteRef/>
      </w:r>
      <w:r>
        <w:tab/>
      </w:r>
      <w:hyperlink r:id="rId2" w:anchor=":~:text=Sotto%20il%20peso%20di%20un,ricaviper%20circa%20309%2C5%20milion" w:history="1">
        <w:r>
          <w:rPr>
            <w:rStyle w:val="Hyperlink"/>
          </w:rPr>
          <w:t>www.quifinanza.it/soldi/air-italy</w:t>
        </w:r>
      </w:hyperlink>
    </w:p>
  </w:footnote>
  <w:footnote w:id="11">
    <w:p w:rsidR="00445AAF" w:rsidRPr="00BC1842" w:rsidRDefault="00445AAF">
      <w:pPr>
        <w:pStyle w:val="FootnoteText"/>
      </w:pPr>
      <w:r>
        <w:rPr>
          <w:rStyle w:val="FootnoteReference"/>
        </w:rPr>
        <w:footnoteRef/>
      </w:r>
      <w:r>
        <w:tab/>
      </w:r>
      <w:hyperlink r:id="rId3" w:history="1">
        <w:r>
          <w:rPr>
            <w:rStyle w:val="Hyperlink"/>
          </w:rPr>
          <w:t>https://www.politico.com/f/?id=0000016a-26c5-d80c-a7ea-7fc56fae0000</w:t>
        </w:r>
      </w:hyperlink>
    </w:p>
  </w:footnote>
  <w:footnote w:id="12">
    <w:p w:rsidR="00445AAF" w:rsidRPr="00852A21" w:rsidRDefault="00445AAF">
      <w:pPr>
        <w:pStyle w:val="FootnoteText"/>
      </w:pPr>
      <w:r>
        <w:rPr>
          <w:rStyle w:val="FootnoteReference"/>
        </w:rPr>
        <w:footnoteRef/>
      </w:r>
      <w:r>
        <w:tab/>
      </w:r>
      <w:hyperlink r:id="rId4" w:history="1">
        <w:r>
          <w:rPr>
            <w:rStyle w:val="Hyperlink"/>
          </w:rPr>
          <w:t>https://www.inc.com/bill-murphy-jr/american-delta-united-airlines-just-begged-president-trump-to-do-1-very-big-thing-for-them-was-asking-for-this-brilliant-or-insane.html</w:t>
        </w:r>
      </w:hyperlink>
    </w:p>
  </w:footnote>
  <w:footnote w:id="13">
    <w:p w:rsidR="00445AAF" w:rsidRPr="0005769A" w:rsidRDefault="00445AAF">
      <w:pPr>
        <w:pStyle w:val="FootnoteText"/>
      </w:pPr>
      <w:r>
        <w:rPr>
          <w:rStyle w:val="FootnoteReference"/>
        </w:rPr>
        <w:footnoteRef/>
      </w:r>
      <w:r>
        <w:tab/>
      </w:r>
      <w:hyperlink r:id="rId5" w:history="1">
        <w:r>
          <w:rPr>
            <w:rStyle w:val="Hyperlink"/>
          </w:rPr>
          <w:t>https://www.flightglobal.com/strategy/why-did-air-italy-fail/136685.article</w:t>
        </w:r>
      </w:hyperlink>
    </w:p>
  </w:footnote>
  <w:footnote w:id="14">
    <w:p w:rsidR="00445AAF" w:rsidRPr="002C6B48" w:rsidRDefault="00445AAF">
      <w:pPr>
        <w:pStyle w:val="FootnoteText"/>
      </w:pPr>
      <w:r>
        <w:rPr>
          <w:rStyle w:val="FootnoteReference"/>
        </w:rPr>
        <w:footnoteRef/>
      </w:r>
      <w:r>
        <w:tab/>
      </w:r>
      <w:hyperlink r:id="rId6" w:anchor=":~:text=Sotto%20il%20peso%20di%20un,ricaviper%20circa%20309%2C5%20milion" w:history="1">
        <w:r>
          <w:rPr>
            <w:rStyle w:val="Hyperlink"/>
          </w:rPr>
          <w:t>www.quifinanza.it/soldi/air-italy</w:t>
        </w:r>
      </w:hyperlink>
      <w:r>
        <w:t xml:space="preserve"> </w:t>
      </w:r>
    </w:p>
  </w:footnote>
  <w:footnote w:id="15">
    <w:p w:rsidR="000C06FB" w:rsidRPr="000C06FB" w:rsidRDefault="000C06FB">
      <w:pPr>
        <w:pStyle w:val="FootnoteText"/>
      </w:pPr>
      <w:r w:rsidRPr="0038339D">
        <w:rPr>
          <w:rStyle w:val="FootnoteReference"/>
        </w:rPr>
        <w:footnoteRef/>
      </w:r>
      <w:r w:rsidR="0038339D">
        <w:tab/>
      </w:r>
      <w:r>
        <w:t>As rotas Milão-Banguecoque e Milão-Deli terminaram no final de março de 2019.</w:t>
      </w:r>
    </w:p>
  </w:footnote>
  <w:footnote w:id="16">
    <w:p w:rsidR="000C06FB" w:rsidRPr="000C06FB" w:rsidRDefault="000C06FB">
      <w:pPr>
        <w:pStyle w:val="FootnoteText"/>
      </w:pPr>
      <w:r w:rsidRPr="0038339D">
        <w:rPr>
          <w:rStyle w:val="FootnoteReference"/>
        </w:rPr>
        <w:footnoteRef/>
      </w:r>
      <w:r w:rsidR="0038339D">
        <w:tab/>
      </w:r>
      <w:r>
        <w:t>A rota Milão-Chicago, anunciada em dezembro de 2018 com uma data prevista para o início de março de 2019, nunca foi lançada.</w:t>
      </w:r>
    </w:p>
  </w:footnote>
  <w:footnote w:id="17">
    <w:p w:rsidR="00445AAF" w:rsidRPr="00B10E72" w:rsidRDefault="00445AAF">
      <w:pPr>
        <w:pStyle w:val="FootnoteText"/>
      </w:pPr>
      <w:r>
        <w:rPr>
          <w:rStyle w:val="FootnoteReference"/>
        </w:rPr>
        <w:footnoteRef/>
      </w:r>
      <w:r>
        <w:tab/>
      </w:r>
      <w:hyperlink r:id="rId7" w:history="1">
        <w:r>
          <w:rPr>
            <w:rStyle w:val="Hyperlink"/>
          </w:rPr>
          <w:t>https://www.ilsole24ore.com/art/air-italy-quel-piano-ambizioso-qatar-airways-mai-decollato-ACS5ggIB</w:t>
        </w:r>
      </w:hyperlink>
    </w:p>
  </w:footnote>
  <w:footnote w:id="18">
    <w:p w:rsidR="00445AAF" w:rsidRPr="00D43C5C" w:rsidRDefault="00445AAF">
      <w:pPr>
        <w:pStyle w:val="FootnoteText"/>
      </w:pPr>
      <w:r>
        <w:rPr>
          <w:rStyle w:val="FootnoteReference"/>
        </w:rPr>
        <w:footnoteRef/>
      </w:r>
      <w:r>
        <w:tab/>
      </w:r>
      <w:hyperlink r:id="rId8" w:anchor=":~:text=Sotto%20il%20peso%20di%20un,ricaviper%20circa%20309%2C5%20milion" w:history="1">
        <w:r>
          <w:rPr>
            <w:rStyle w:val="Hyperlink"/>
          </w:rPr>
          <w:t>www.quifinanza.it/soldi/air-italy</w:t>
        </w:r>
      </w:hyperlink>
      <w:r>
        <w:t xml:space="preserve"> </w:t>
      </w:r>
    </w:p>
  </w:footnote>
  <w:footnote w:id="19">
    <w:p w:rsidR="00445AAF" w:rsidRPr="00E11D06" w:rsidRDefault="00445AAF">
      <w:pPr>
        <w:pStyle w:val="FootnoteText"/>
      </w:pPr>
      <w:r>
        <w:rPr>
          <w:rStyle w:val="FootnoteReference"/>
        </w:rPr>
        <w:footnoteRef/>
      </w:r>
      <w:r>
        <w:tab/>
      </w:r>
      <w:hyperlink r:id="rId9" w:history="1">
        <w:r>
          <w:rPr>
            <w:rStyle w:val="Hyperlink"/>
          </w:rPr>
          <w:t>Decreto Legge 17 marzo 2020, n.18. art. 46</w:t>
        </w:r>
      </w:hyperlink>
      <w:r>
        <w:t xml:space="preserve"> </w:t>
      </w:r>
    </w:p>
  </w:footnote>
  <w:footnote w:id="20">
    <w:p w:rsidR="007B2347" w:rsidRPr="00FC385B" w:rsidRDefault="007B2347" w:rsidP="007B2347">
      <w:pPr>
        <w:pStyle w:val="FootnoteText"/>
      </w:pPr>
      <w:r w:rsidRPr="0038339D">
        <w:rPr>
          <w:rStyle w:val="FootnoteReference"/>
        </w:rPr>
        <w:footnoteRef/>
      </w:r>
      <w:r w:rsidR="0038339D">
        <w:tab/>
      </w:r>
      <w:r>
        <w:t>O regime especial de integração salarial a que se refere o artigo 94.º do Decreto-Lei n.º 18/2020.</w:t>
      </w:r>
    </w:p>
  </w:footnote>
  <w:footnote w:id="21">
    <w:p w:rsidR="007B2347" w:rsidRPr="004B6A76" w:rsidRDefault="007B2347" w:rsidP="007B2347">
      <w:pPr>
        <w:pStyle w:val="FootnoteText"/>
      </w:pPr>
      <w:r>
        <w:rPr>
          <w:rStyle w:val="FootnoteReference"/>
        </w:rPr>
        <w:footnoteRef/>
      </w:r>
      <w:r>
        <w:tab/>
        <w:t>Assegno di ricollocazione-CIGS.</w:t>
      </w:r>
    </w:p>
  </w:footnote>
  <w:footnote w:id="22">
    <w:p w:rsidR="00445AAF" w:rsidRPr="004E7AB0" w:rsidRDefault="00445AAF" w:rsidP="00812402">
      <w:pPr>
        <w:pStyle w:val="FootnoteText"/>
      </w:pPr>
      <w:r>
        <w:rPr>
          <w:rStyle w:val="FootnoteReference"/>
        </w:rPr>
        <w:footnoteRef/>
      </w:r>
      <w:r>
        <w:tab/>
        <w:t xml:space="preserve">Banca d’Italia. </w:t>
      </w:r>
      <w:hyperlink r:id="rId10" w:history="1">
        <w:r>
          <w:rPr>
            <w:rStyle w:val="Hyperlink"/>
          </w:rPr>
          <w:t>L'economia della Sardegna.</w:t>
        </w:r>
      </w:hyperlink>
      <w:hyperlink r:id="rId11" w:history="1">
        <w:r>
          <w:rPr>
            <w:rStyle w:val="Hyperlink"/>
          </w:rPr>
          <w:t xml:space="preserve"> Rapporto annuale, giugno 2021</w:t>
        </w:r>
      </w:hyperlink>
      <w:r>
        <w:t>.</w:t>
      </w:r>
    </w:p>
  </w:footnote>
  <w:footnote w:id="23">
    <w:p w:rsidR="00445AAF" w:rsidRPr="004E7AB0" w:rsidRDefault="00445AAF">
      <w:pPr>
        <w:pStyle w:val="FootnoteText"/>
      </w:pPr>
      <w:r>
        <w:rPr>
          <w:rStyle w:val="FootnoteReference"/>
        </w:rPr>
        <w:footnoteRef/>
      </w:r>
      <w:r>
        <w:tab/>
        <w:t>Ibid.</w:t>
      </w:r>
    </w:p>
  </w:footnote>
  <w:footnote w:id="24">
    <w:p w:rsidR="00445AAF" w:rsidRPr="008E4911" w:rsidRDefault="00445AAF">
      <w:pPr>
        <w:pStyle w:val="FootnoteText"/>
      </w:pPr>
      <w:r>
        <w:rPr>
          <w:rStyle w:val="FootnoteReference"/>
        </w:rPr>
        <w:footnoteRef/>
      </w:r>
      <w:r>
        <w:tab/>
        <w:t>EGF/2021/004 IT / Porto Canale. COM(2021) 935.</w:t>
      </w:r>
    </w:p>
  </w:footnote>
  <w:footnote w:id="25">
    <w:p w:rsidR="00445AAF" w:rsidRPr="008D7FB4" w:rsidRDefault="00445AAF">
      <w:pPr>
        <w:pStyle w:val="FootnoteText"/>
        <w:rPr>
          <w:lang w:val="fr-BE"/>
        </w:rPr>
      </w:pPr>
      <w:r w:rsidRPr="0038339D">
        <w:rPr>
          <w:rStyle w:val="FootnoteReference"/>
        </w:rPr>
        <w:footnoteRef/>
      </w:r>
      <w:r w:rsidR="0038339D">
        <w:rPr>
          <w:lang w:val="fr-BE"/>
        </w:rPr>
        <w:tab/>
      </w:r>
      <w:r w:rsidRPr="008D7FB4">
        <w:rPr>
          <w:lang w:val="fr-BE"/>
        </w:rPr>
        <w:t>CITE 0-2</w:t>
      </w:r>
    </w:p>
  </w:footnote>
  <w:footnote w:id="26">
    <w:p w:rsidR="00445AAF" w:rsidRPr="008D7FB4" w:rsidRDefault="00445AAF">
      <w:pPr>
        <w:pStyle w:val="FootnoteText"/>
        <w:rPr>
          <w:lang w:val="fr-BE"/>
        </w:rPr>
      </w:pPr>
      <w:r w:rsidRPr="0038339D">
        <w:rPr>
          <w:rStyle w:val="FootnoteReference"/>
        </w:rPr>
        <w:footnoteRef/>
      </w:r>
      <w:r w:rsidR="0038339D">
        <w:rPr>
          <w:lang w:val="fr-BE"/>
        </w:rPr>
        <w:tab/>
      </w:r>
      <w:r w:rsidRPr="008D7FB4">
        <w:rPr>
          <w:lang w:val="fr-BE"/>
        </w:rPr>
        <w:t>CITE 3</w:t>
      </w:r>
    </w:p>
  </w:footnote>
  <w:footnote w:id="27">
    <w:p w:rsidR="00445AAF" w:rsidRPr="008D7FB4" w:rsidRDefault="00445AAF">
      <w:pPr>
        <w:pStyle w:val="FootnoteText"/>
        <w:rPr>
          <w:lang w:val="fr-BE"/>
        </w:rPr>
      </w:pPr>
      <w:r w:rsidRPr="0038339D">
        <w:rPr>
          <w:rStyle w:val="FootnoteReference"/>
        </w:rPr>
        <w:footnoteRef/>
      </w:r>
      <w:r w:rsidR="0038339D">
        <w:rPr>
          <w:lang w:val="fr-BE"/>
        </w:rPr>
        <w:tab/>
      </w:r>
      <w:r w:rsidRPr="008D7FB4">
        <w:rPr>
          <w:lang w:val="fr-BE"/>
        </w:rPr>
        <w:t>CITE 4</w:t>
      </w:r>
    </w:p>
  </w:footnote>
  <w:footnote w:id="28">
    <w:p w:rsidR="00445AAF" w:rsidRPr="008D7FB4" w:rsidRDefault="00445AAF">
      <w:pPr>
        <w:pStyle w:val="FootnoteText"/>
        <w:rPr>
          <w:lang w:val="fr-BE"/>
        </w:rPr>
      </w:pPr>
      <w:r w:rsidRPr="0038339D">
        <w:rPr>
          <w:rStyle w:val="FootnoteReference"/>
        </w:rPr>
        <w:footnoteRef/>
      </w:r>
      <w:r w:rsidR="0038339D">
        <w:rPr>
          <w:lang w:val="fr-BE"/>
        </w:rPr>
        <w:tab/>
      </w:r>
      <w:r w:rsidRPr="008D7FB4">
        <w:rPr>
          <w:lang w:val="fr-BE"/>
        </w:rPr>
        <w:t>CITE 5-8</w:t>
      </w:r>
    </w:p>
  </w:footnote>
  <w:footnote w:id="29">
    <w:p w:rsidR="00445AAF" w:rsidRPr="008D7FB4" w:rsidRDefault="00445AAF">
      <w:pPr>
        <w:pStyle w:val="FootnoteText"/>
        <w:rPr>
          <w:lang w:val="fr-BE"/>
        </w:rPr>
      </w:pPr>
      <w:r>
        <w:rPr>
          <w:rStyle w:val="FootnoteReference"/>
        </w:rPr>
        <w:footnoteRef/>
      </w:r>
      <w:r w:rsidRPr="008D7FB4">
        <w:rPr>
          <w:lang w:val="fr-BE"/>
        </w:rPr>
        <w:tab/>
      </w:r>
      <w:hyperlink r:id="rId12" w:history="1">
        <w:r w:rsidRPr="008D7FB4">
          <w:rPr>
            <w:rStyle w:val="Hyperlink"/>
            <w:lang w:val="fr-BE"/>
          </w:rPr>
          <w:t>https://ec.europa.eu/oceans-and-fisheries/ocean/blue-economy/sustainable-blue-economy_en</w:t>
        </w:r>
      </w:hyperlink>
    </w:p>
  </w:footnote>
  <w:footnote w:id="30">
    <w:p w:rsidR="00445AAF" w:rsidRPr="004E7AB0" w:rsidRDefault="00445AAF">
      <w:pPr>
        <w:pStyle w:val="FootnoteText"/>
      </w:pPr>
      <w:r>
        <w:rPr>
          <w:rStyle w:val="FootnoteReference"/>
        </w:rPr>
        <w:footnoteRef/>
      </w:r>
      <w:r>
        <w:tab/>
      </w:r>
      <w:hyperlink r:id="rId13" w:history="1">
        <w:r>
          <w:rPr>
            <w:rStyle w:val="Hyperlink"/>
          </w:rPr>
          <w:t>www.werentrepreneur.com</w:t>
        </w:r>
      </w:hyperlink>
    </w:p>
  </w:footnote>
  <w:footnote w:id="31">
    <w:p w:rsidR="00445AAF" w:rsidRPr="00791BC9" w:rsidRDefault="00445AAF">
      <w:pPr>
        <w:pStyle w:val="FootnoteText"/>
      </w:pPr>
      <w:r w:rsidRPr="0038339D">
        <w:rPr>
          <w:rStyle w:val="FootnoteReference"/>
        </w:rPr>
        <w:footnoteRef/>
      </w:r>
      <w:r w:rsidR="0038339D">
        <w:tab/>
      </w:r>
      <w:r>
        <w:t>1 500 EUR em média.</w:t>
      </w:r>
    </w:p>
  </w:footnote>
  <w:footnote w:id="32">
    <w:p w:rsidR="00445AAF" w:rsidRPr="00791BC9" w:rsidRDefault="00445AAF">
      <w:pPr>
        <w:pStyle w:val="FootnoteText"/>
      </w:pPr>
      <w:r w:rsidRPr="0038339D">
        <w:rPr>
          <w:rStyle w:val="FootnoteReference"/>
        </w:rPr>
        <w:footnoteRef/>
      </w:r>
      <w:r w:rsidR="0038339D">
        <w:tab/>
      </w:r>
      <w:r>
        <w:t>350 EUR em média.</w:t>
      </w:r>
    </w:p>
  </w:footnote>
  <w:footnote w:id="33">
    <w:p w:rsidR="00445AAF" w:rsidRPr="00791BC9" w:rsidRDefault="00445AAF">
      <w:pPr>
        <w:pStyle w:val="FootnoteText"/>
      </w:pPr>
      <w:r w:rsidRPr="0038339D">
        <w:rPr>
          <w:rStyle w:val="FootnoteReference"/>
        </w:rPr>
        <w:footnoteRef/>
      </w:r>
      <w:r w:rsidR="0038339D">
        <w:tab/>
      </w:r>
      <w:r>
        <w:t>O CIGS é um regime ao abrigo do direito italiano, constituído por uma prestação financeira paga pelo Istituto Nazionale della Previdenza Sociale-INPS (Instituto Nacional da Segurança Social) a trabalhadores que estão suspensos das suas funções laborais ou que sofreram uma redução do seu horário de trabalho.</w:t>
      </w:r>
    </w:p>
  </w:footnote>
  <w:footnote w:id="34">
    <w:p w:rsidR="00445AAF" w:rsidRPr="00FD75C1" w:rsidRDefault="00445AAF">
      <w:pPr>
        <w:pStyle w:val="FootnoteText"/>
      </w:pPr>
      <w:r>
        <w:rPr>
          <w:rStyle w:val="FootnoteReference"/>
        </w:rPr>
        <w:footnoteRef/>
      </w:r>
      <w:r>
        <w:tab/>
      </w:r>
      <w:hyperlink r:id="rId14" w:history="1">
        <w:r>
          <w:rPr>
            <w:rStyle w:val="Hyperlink"/>
          </w:rPr>
          <w:t>Strategia Nazionale per lo Sviluppo sostenibile (SNSvS)</w:t>
        </w:r>
      </w:hyperlink>
    </w:p>
  </w:footnote>
  <w:footnote w:id="35">
    <w:p w:rsidR="00445AAF" w:rsidRPr="00A31F0E" w:rsidRDefault="00445AAF">
      <w:pPr>
        <w:pStyle w:val="FootnoteText"/>
      </w:pPr>
      <w:r w:rsidRPr="0038339D">
        <w:rPr>
          <w:rStyle w:val="FootnoteReference"/>
        </w:rPr>
        <w:footnoteRef/>
      </w:r>
      <w:r w:rsidR="0038339D">
        <w:tab/>
      </w:r>
      <w:r>
        <w:t>A fim de evitar casas decimais, as estimativas dos custos por trabalhador foram arredondadas. Contudo, o arredondamento não tem impacto no custo total de cada medida, o qual corresponde ao que foi indicado na candidatura apresentada pela Itália.</w:t>
      </w:r>
    </w:p>
  </w:footnote>
  <w:footnote w:id="36">
    <w:p w:rsidR="00445AAF" w:rsidRPr="002060F6" w:rsidRDefault="00445AAF">
      <w:pPr>
        <w:pStyle w:val="FootnoteText"/>
      </w:pPr>
      <w:r w:rsidRPr="0038339D">
        <w:rPr>
          <w:rStyle w:val="FootnoteReference"/>
        </w:rPr>
        <w:footnoteRef/>
      </w:r>
      <w:r w:rsidR="0038339D">
        <w:tab/>
      </w:r>
      <w:r>
        <w:t>Os totais não correspondem devido a arredondamentos.</w:t>
      </w:r>
    </w:p>
  </w:footnote>
  <w:footnote w:id="37">
    <w:p w:rsidR="00445AAF" w:rsidRPr="00B008CF" w:rsidRDefault="00445AAF">
      <w:pPr>
        <w:pStyle w:val="FootnoteText"/>
      </w:pPr>
      <w:r w:rsidRPr="0038339D">
        <w:rPr>
          <w:rStyle w:val="FootnoteReference"/>
        </w:rPr>
        <w:footnoteRef/>
      </w:r>
      <w:r w:rsidR="0038339D">
        <w:tab/>
      </w:r>
      <w:r>
        <w:t>Federazione Italiana Lavoratori Trasporti- Confederazione Generale Italiana del Lavoro (FILT-CGIL), Federazione Italiana Trasporti-Confederazione Italiana Sindacati Lavoratori (FIT-CISL), Unione Italiana del Lavoro (UIL) — trasporti; e Unione Generale del Lavoro (UGL) - transporto aereo.</w:t>
      </w:r>
    </w:p>
  </w:footnote>
  <w:footnote w:id="38">
    <w:p w:rsidR="00445AAF" w:rsidRPr="003F3BED" w:rsidRDefault="00445AAF">
      <w:pPr>
        <w:pStyle w:val="FootnoteText"/>
      </w:pPr>
      <w:r w:rsidRPr="0038339D">
        <w:rPr>
          <w:rStyle w:val="FootnoteReference"/>
        </w:rPr>
        <w:footnoteRef/>
      </w:r>
      <w:r w:rsidR="0038339D">
        <w:tab/>
      </w:r>
      <w:r>
        <w:t>Agenzia Nazionale per le Politiche Attive del Lavoro (ANPAL), agência nacional italiana para as políticas ativas de emprego.</w:t>
      </w:r>
    </w:p>
  </w:footnote>
  <w:footnote w:id="39">
    <w:p w:rsidR="00445AAF" w:rsidRDefault="00445AAF" w:rsidP="00252AC6">
      <w:pPr>
        <w:pStyle w:val="FootnoteText"/>
      </w:pPr>
      <w:r w:rsidRPr="0038339D">
        <w:rPr>
          <w:rStyle w:val="FootnoteReference"/>
        </w:rPr>
        <w:footnoteRef/>
      </w:r>
      <w:r w:rsidR="0038339D">
        <w:tab/>
      </w:r>
      <w:r>
        <w:t>JO L 433I de 22.12.2020, p. 11.</w:t>
      </w:r>
    </w:p>
  </w:footnote>
  <w:footnote w:id="40">
    <w:p w:rsidR="00445AAF" w:rsidRDefault="00445AAF" w:rsidP="00252AC6">
      <w:pPr>
        <w:pStyle w:val="FootnoteText"/>
      </w:pPr>
      <w:r w:rsidRPr="0038339D">
        <w:rPr>
          <w:rStyle w:val="FootnoteReference"/>
        </w:rPr>
        <w:footnoteRef/>
      </w:r>
      <w:r w:rsidR="0038339D">
        <w:tab/>
      </w:r>
      <w:r>
        <w:t>JO L 433I de 22.12.2020, p. 29.</w:t>
      </w:r>
    </w:p>
  </w:footnote>
  <w:footnote w:id="41">
    <w:p w:rsidR="00445AAF" w:rsidRPr="00E76684" w:rsidRDefault="00445AAF">
      <w:pPr>
        <w:pStyle w:val="FootnoteText"/>
      </w:pPr>
      <w:r w:rsidRPr="0038339D">
        <w:rPr>
          <w:rStyle w:val="FootnoteReference"/>
        </w:rPr>
        <w:footnoteRef/>
      </w:r>
      <w:r w:rsidR="0038339D">
        <w:tab/>
      </w:r>
      <w:r>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 (JO L 193 de 30.7.2018, p. 1).</w:t>
      </w:r>
    </w:p>
  </w:footnote>
  <w:footnote w:id="42">
    <w:p w:rsidR="00445AAF" w:rsidRDefault="00445AAF" w:rsidP="00252AC6">
      <w:pPr>
        <w:pStyle w:val="FootnoteText"/>
      </w:pPr>
      <w:r w:rsidRPr="0038339D">
        <w:rPr>
          <w:rStyle w:val="FootnoteReference"/>
        </w:rPr>
        <w:footnoteRef/>
      </w:r>
      <w:r w:rsidR="0038339D">
        <w:tab/>
      </w:r>
      <w:r>
        <w:t>JO L 153 de 3.5.2021, p. 48.</w:t>
      </w:r>
    </w:p>
  </w:footnote>
  <w:footnote w:id="43">
    <w:p w:rsidR="00445AAF" w:rsidRPr="00973296" w:rsidRDefault="00445AAF">
      <w:pPr>
        <w:pStyle w:val="FootnoteText"/>
      </w:pPr>
      <w:r w:rsidRPr="0038339D">
        <w:rPr>
          <w:rStyle w:val="FootnoteReference"/>
        </w:rPr>
        <w:footnoteRef/>
      </w:r>
      <w:r w:rsidR="0038339D">
        <w:tab/>
      </w:r>
      <w:r>
        <w:t>JO L 433I de 22.12.2020, p. 29.</w:t>
      </w:r>
    </w:p>
  </w:footnote>
  <w:footnote w:id="44">
    <w:p w:rsidR="00445AAF" w:rsidRPr="009F7C73" w:rsidRDefault="00445AAF" w:rsidP="00252AC6">
      <w:pPr>
        <w:pStyle w:val="FootnoteText"/>
      </w:pPr>
      <w:r w:rsidRPr="0038339D">
        <w:rPr>
          <w:rStyle w:val="FootnoteReference"/>
        </w:rPr>
        <w:footnoteRef/>
      </w:r>
      <w:r w:rsidR="0038339D">
        <w:tab/>
      </w:r>
      <w:r>
        <w:t>Regulamento (UE, Euratom) 2020/2093 do Conselho de 17 de dezembro de 2020 que estabelece o quadro financeiro plurianual para o período de 2021 a 2027 (JO L 433I de 22.12.2020, p. 11).</w:t>
      </w:r>
    </w:p>
  </w:footnote>
  <w:footnote w:id="45">
    <w:p w:rsidR="00445AAF" w:rsidRPr="00855ED0" w:rsidRDefault="00445AAF" w:rsidP="00252AC6">
      <w:pPr>
        <w:pStyle w:val="FootnoteText"/>
        <w:rPr>
          <w:color w:val="FF0000"/>
        </w:rPr>
      </w:pPr>
      <w:r>
        <w:rPr>
          <w:rStyle w:val="FootnoteReference"/>
          <w:color w:val="FF0000"/>
        </w:rPr>
        <w:sym w:font="Symbol" w:char="F02A"/>
      </w:r>
      <w:r>
        <w:rPr>
          <w:color w:val="FF0000"/>
        </w:rPr>
        <w:t xml:space="preserve"> </w:t>
      </w:r>
      <w:r>
        <w:tab/>
      </w:r>
      <w:r>
        <w:rPr>
          <w:color w:val="FF0000"/>
        </w:rPr>
        <w:t>Data a inserir pelo Parlamento antes da publicação no JO.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2"/>
    <w:lvlOverride w:ilvl="0">
      <w:startOverride w:val="1"/>
    </w:lvlOverride>
  </w:num>
  <w:num w:numId="12">
    <w:abstractNumId w:val="19"/>
  </w:num>
  <w:num w:numId="13">
    <w:abstractNumId w:val="12"/>
  </w:num>
  <w:num w:numId="14">
    <w:abstractNumId w:val="21"/>
  </w:num>
  <w:num w:numId="15">
    <w:abstractNumId w:val="11"/>
  </w:num>
  <w:num w:numId="16">
    <w:abstractNumId w:val="13"/>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1-10-22 14:58:17"/>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4"/>
    <w:docVar w:name="DQCResult_ModifiedMarkers" w:val="0;0"/>
    <w:docVar w:name="DQCResult_ModifiedNumbering" w:val="0;0"/>
    <w:docVar w:name="DQCResult_Objects" w:val="0;0"/>
    <w:docVar w:name="DQCResult_Sections" w:val="0;1"/>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6C6F49B-CAEC-405F-BFD9-696CE078E607"/>
    <w:docVar w:name="LW_COVERPAGE_TYPE" w:val="1"/>
    <w:docVar w:name="LW_CROSSREFERENCE" w:val="&lt;UNUSED&gt;"/>
    <w:docVar w:name="LW_DocType" w:val="COM"/>
    <w:docVar w:name="LW_EMISSION" w:val="28.10.2021"/>
    <w:docVar w:name="LW_EMISSION_ISODATE" w:val="2021-10-28"/>
    <w:docVar w:name="LW_EMISSION_LOCATION" w:val="BRX"/>
    <w:docVar w:name="LW_EMISSION_PREFIX" w:val="Bruxela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PT"/>
    <w:docVar w:name="LW_LEVEL_OF_SENSITIVITY" w:val="Standard treatment"/>
    <w:docVar w:name="LW_NOM.INST" w:val="COMISSÃO EUROPEIA"/>
    <w:docVar w:name="LW_NOM.INST_JOINTDOC" w:val="&lt;EMPTY&gt;"/>
    <w:docVar w:name="LW_PART_NBR" w:val="1"/>
    <w:docVar w:name="LW_PART_NBR_TOTAL" w:val="1"/>
    <w:docVar w:name="LW_REF.II.NEW.CP" w:val="BUD"/>
    <w:docVar w:name="LW_REF.II.NEW.CP_NUMBER" w:val="0338"/>
    <w:docVar w:name="LW_REF.II.NEW.CP_YEAR" w:val="2021"/>
    <w:docVar w:name="LW_REF.INST.NEW" w:val="COM"/>
    <w:docVar w:name="LW_REF.INST.NEW_ADOPTED" w:val="final"/>
    <w:docVar w:name="LW_REF.INST.NEW_TEXT" w:val="(2021) 9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e"/>
    <w:docVar w:name="LW_SUPERTITRE" w:val="&lt;UNUSED&gt;"/>
    <w:docVar w:name="LW_TITRE.OBJ.CP" w:val="relativa à mobilização do Fundo Europeu de Ajustamento à Globalização a favor dos Trabalhadores Despedidos (FEG) na sequência de uma candidatura de Itália \u8212? EGF/2021/002 IT Air Italy"/>
    <w:docVar w:name="LW_TYPE.DOC.CP" w:val="DECISÃO DO PARLAMENTO EUROPEU E DO CONSELHO"/>
    <w:docVar w:name="LwApiVersions" w:val="LW4CoDe 1.23.1.0; LW 8.0, Build 20210728"/>
  </w:docVars>
  <w:rsids>
    <w:rsidRoot w:val="00252AC6"/>
    <w:rsid w:val="00015E03"/>
    <w:rsid w:val="0002157E"/>
    <w:rsid w:val="00023616"/>
    <w:rsid w:val="00024BB3"/>
    <w:rsid w:val="00026650"/>
    <w:rsid w:val="00027CB9"/>
    <w:rsid w:val="00036969"/>
    <w:rsid w:val="00041AD9"/>
    <w:rsid w:val="00044ABE"/>
    <w:rsid w:val="00051EF8"/>
    <w:rsid w:val="0005769A"/>
    <w:rsid w:val="00057D89"/>
    <w:rsid w:val="00061473"/>
    <w:rsid w:val="00063967"/>
    <w:rsid w:val="00070D05"/>
    <w:rsid w:val="00080511"/>
    <w:rsid w:val="00082463"/>
    <w:rsid w:val="0008396E"/>
    <w:rsid w:val="000A5FA0"/>
    <w:rsid w:val="000B6003"/>
    <w:rsid w:val="000C06FB"/>
    <w:rsid w:val="000C63EB"/>
    <w:rsid w:val="000C6684"/>
    <w:rsid w:val="000D005E"/>
    <w:rsid w:val="000F4693"/>
    <w:rsid w:val="00103DB1"/>
    <w:rsid w:val="001079A1"/>
    <w:rsid w:val="0011596D"/>
    <w:rsid w:val="001238D6"/>
    <w:rsid w:val="00131DEF"/>
    <w:rsid w:val="00134AA1"/>
    <w:rsid w:val="00136567"/>
    <w:rsid w:val="0014229A"/>
    <w:rsid w:val="00144D8E"/>
    <w:rsid w:val="00146330"/>
    <w:rsid w:val="001535C9"/>
    <w:rsid w:val="0015510F"/>
    <w:rsid w:val="00176D5E"/>
    <w:rsid w:val="00180D01"/>
    <w:rsid w:val="001812CD"/>
    <w:rsid w:val="0018200F"/>
    <w:rsid w:val="00184022"/>
    <w:rsid w:val="001921C1"/>
    <w:rsid w:val="00194681"/>
    <w:rsid w:val="001C0466"/>
    <w:rsid w:val="001D5080"/>
    <w:rsid w:val="001D5AB0"/>
    <w:rsid w:val="001E164F"/>
    <w:rsid w:val="001E172A"/>
    <w:rsid w:val="001E7EC1"/>
    <w:rsid w:val="001F775E"/>
    <w:rsid w:val="00200B1B"/>
    <w:rsid w:val="002060F6"/>
    <w:rsid w:val="0022049A"/>
    <w:rsid w:val="00220861"/>
    <w:rsid w:val="00224842"/>
    <w:rsid w:val="00240810"/>
    <w:rsid w:val="00241545"/>
    <w:rsid w:val="00242D98"/>
    <w:rsid w:val="00252AC6"/>
    <w:rsid w:val="00257B85"/>
    <w:rsid w:val="00260E7C"/>
    <w:rsid w:val="0026281E"/>
    <w:rsid w:val="00270339"/>
    <w:rsid w:val="00270F9D"/>
    <w:rsid w:val="002730F1"/>
    <w:rsid w:val="00273FB5"/>
    <w:rsid w:val="00275C6C"/>
    <w:rsid w:val="00284DA4"/>
    <w:rsid w:val="00287879"/>
    <w:rsid w:val="00295349"/>
    <w:rsid w:val="002972F8"/>
    <w:rsid w:val="002A1B48"/>
    <w:rsid w:val="002A629A"/>
    <w:rsid w:val="002C0C3E"/>
    <w:rsid w:val="002C51B9"/>
    <w:rsid w:val="002C6B48"/>
    <w:rsid w:val="002D54B9"/>
    <w:rsid w:val="002E476B"/>
    <w:rsid w:val="002F548F"/>
    <w:rsid w:val="00303932"/>
    <w:rsid w:val="0030754E"/>
    <w:rsid w:val="0031720F"/>
    <w:rsid w:val="00323068"/>
    <w:rsid w:val="00326558"/>
    <w:rsid w:val="00346336"/>
    <w:rsid w:val="00352527"/>
    <w:rsid w:val="00357AA1"/>
    <w:rsid w:val="00363956"/>
    <w:rsid w:val="00364494"/>
    <w:rsid w:val="003736CE"/>
    <w:rsid w:val="0038339D"/>
    <w:rsid w:val="00385115"/>
    <w:rsid w:val="003908B4"/>
    <w:rsid w:val="00392AD0"/>
    <w:rsid w:val="00394D96"/>
    <w:rsid w:val="00394EE8"/>
    <w:rsid w:val="003D4B00"/>
    <w:rsid w:val="003D4F6C"/>
    <w:rsid w:val="003E2FCF"/>
    <w:rsid w:val="003E43BA"/>
    <w:rsid w:val="003F3BED"/>
    <w:rsid w:val="003F7D76"/>
    <w:rsid w:val="0040358B"/>
    <w:rsid w:val="00417CCE"/>
    <w:rsid w:val="004222E2"/>
    <w:rsid w:val="004344F2"/>
    <w:rsid w:val="00434B1C"/>
    <w:rsid w:val="00436F16"/>
    <w:rsid w:val="00437A0E"/>
    <w:rsid w:val="00445AAF"/>
    <w:rsid w:val="0045016D"/>
    <w:rsid w:val="004545BE"/>
    <w:rsid w:val="00474E68"/>
    <w:rsid w:val="00487AB3"/>
    <w:rsid w:val="00487B8A"/>
    <w:rsid w:val="004960B2"/>
    <w:rsid w:val="004A0D82"/>
    <w:rsid w:val="004A0F40"/>
    <w:rsid w:val="004A2FEA"/>
    <w:rsid w:val="004B1AEE"/>
    <w:rsid w:val="004B6520"/>
    <w:rsid w:val="004B6A76"/>
    <w:rsid w:val="004B6D21"/>
    <w:rsid w:val="004C2419"/>
    <w:rsid w:val="004D0CA9"/>
    <w:rsid w:val="004D52B2"/>
    <w:rsid w:val="004E06AF"/>
    <w:rsid w:val="004E1902"/>
    <w:rsid w:val="004E7AB0"/>
    <w:rsid w:val="00502763"/>
    <w:rsid w:val="00510966"/>
    <w:rsid w:val="00520D12"/>
    <w:rsid w:val="00526399"/>
    <w:rsid w:val="00532CC9"/>
    <w:rsid w:val="005361AC"/>
    <w:rsid w:val="005526C6"/>
    <w:rsid w:val="00554D0C"/>
    <w:rsid w:val="00574187"/>
    <w:rsid w:val="005772B3"/>
    <w:rsid w:val="00583B50"/>
    <w:rsid w:val="00586434"/>
    <w:rsid w:val="005874F7"/>
    <w:rsid w:val="005907AE"/>
    <w:rsid w:val="005958C3"/>
    <w:rsid w:val="00596708"/>
    <w:rsid w:val="005977D1"/>
    <w:rsid w:val="00597B96"/>
    <w:rsid w:val="005A0030"/>
    <w:rsid w:val="005C2354"/>
    <w:rsid w:val="005C330D"/>
    <w:rsid w:val="005C56DA"/>
    <w:rsid w:val="005C6A33"/>
    <w:rsid w:val="005D27EC"/>
    <w:rsid w:val="005E38AF"/>
    <w:rsid w:val="005E5F91"/>
    <w:rsid w:val="005F0673"/>
    <w:rsid w:val="005F1581"/>
    <w:rsid w:val="005F4BA8"/>
    <w:rsid w:val="00607C51"/>
    <w:rsid w:val="006118E7"/>
    <w:rsid w:val="006142E2"/>
    <w:rsid w:val="0063277E"/>
    <w:rsid w:val="00640DB0"/>
    <w:rsid w:val="00642C29"/>
    <w:rsid w:val="006453C8"/>
    <w:rsid w:val="00653CE3"/>
    <w:rsid w:val="00654D9F"/>
    <w:rsid w:val="00654E57"/>
    <w:rsid w:val="00670327"/>
    <w:rsid w:val="006840BE"/>
    <w:rsid w:val="00690002"/>
    <w:rsid w:val="00692006"/>
    <w:rsid w:val="00693E11"/>
    <w:rsid w:val="006A7E6B"/>
    <w:rsid w:val="006B332E"/>
    <w:rsid w:val="006B794B"/>
    <w:rsid w:val="006C785D"/>
    <w:rsid w:val="006D2E11"/>
    <w:rsid w:val="006D4891"/>
    <w:rsid w:val="006E328A"/>
    <w:rsid w:val="006F2B86"/>
    <w:rsid w:val="0070363A"/>
    <w:rsid w:val="00705A36"/>
    <w:rsid w:val="007114DB"/>
    <w:rsid w:val="007244BC"/>
    <w:rsid w:val="00730B61"/>
    <w:rsid w:val="00730D6A"/>
    <w:rsid w:val="00732A9E"/>
    <w:rsid w:val="00736932"/>
    <w:rsid w:val="0074349D"/>
    <w:rsid w:val="00745A1E"/>
    <w:rsid w:val="00754B53"/>
    <w:rsid w:val="0076036C"/>
    <w:rsid w:val="00760BD0"/>
    <w:rsid w:val="00771E89"/>
    <w:rsid w:val="00772C02"/>
    <w:rsid w:val="00774F5C"/>
    <w:rsid w:val="00775F53"/>
    <w:rsid w:val="0077617B"/>
    <w:rsid w:val="00776B06"/>
    <w:rsid w:val="00782F45"/>
    <w:rsid w:val="00791B77"/>
    <w:rsid w:val="00791BC9"/>
    <w:rsid w:val="007A1250"/>
    <w:rsid w:val="007A28AF"/>
    <w:rsid w:val="007B2347"/>
    <w:rsid w:val="007B4A2B"/>
    <w:rsid w:val="007C298D"/>
    <w:rsid w:val="007D178B"/>
    <w:rsid w:val="007D38CD"/>
    <w:rsid w:val="007E107D"/>
    <w:rsid w:val="007E34E3"/>
    <w:rsid w:val="007E36CC"/>
    <w:rsid w:val="007E5A76"/>
    <w:rsid w:val="007F0AF3"/>
    <w:rsid w:val="007F4F49"/>
    <w:rsid w:val="00801A94"/>
    <w:rsid w:val="00805CF8"/>
    <w:rsid w:val="00812402"/>
    <w:rsid w:val="00820B6C"/>
    <w:rsid w:val="008238DD"/>
    <w:rsid w:val="00827942"/>
    <w:rsid w:val="00830AA3"/>
    <w:rsid w:val="00832112"/>
    <w:rsid w:val="00837CA1"/>
    <w:rsid w:val="00841B6E"/>
    <w:rsid w:val="008458A5"/>
    <w:rsid w:val="0085112C"/>
    <w:rsid w:val="008516EA"/>
    <w:rsid w:val="00852A21"/>
    <w:rsid w:val="0085302A"/>
    <w:rsid w:val="00856A5A"/>
    <w:rsid w:val="00871484"/>
    <w:rsid w:val="00877878"/>
    <w:rsid w:val="00882211"/>
    <w:rsid w:val="00886F23"/>
    <w:rsid w:val="0089528F"/>
    <w:rsid w:val="0089670E"/>
    <w:rsid w:val="008C42F1"/>
    <w:rsid w:val="008D1498"/>
    <w:rsid w:val="008D7FB4"/>
    <w:rsid w:val="008E0323"/>
    <w:rsid w:val="008E4333"/>
    <w:rsid w:val="008E4911"/>
    <w:rsid w:val="008F07E4"/>
    <w:rsid w:val="008F75F5"/>
    <w:rsid w:val="00903318"/>
    <w:rsid w:val="00912797"/>
    <w:rsid w:val="00916B8D"/>
    <w:rsid w:val="00933C1A"/>
    <w:rsid w:val="00953263"/>
    <w:rsid w:val="0095386D"/>
    <w:rsid w:val="00956F9D"/>
    <w:rsid w:val="00973290"/>
    <w:rsid w:val="00973296"/>
    <w:rsid w:val="00973735"/>
    <w:rsid w:val="0098522C"/>
    <w:rsid w:val="009B02BF"/>
    <w:rsid w:val="009B6F39"/>
    <w:rsid w:val="009C0B2E"/>
    <w:rsid w:val="009D0554"/>
    <w:rsid w:val="009D6A3D"/>
    <w:rsid w:val="00A03A3C"/>
    <w:rsid w:val="00A068B0"/>
    <w:rsid w:val="00A108B1"/>
    <w:rsid w:val="00A115E6"/>
    <w:rsid w:val="00A131BF"/>
    <w:rsid w:val="00A21589"/>
    <w:rsid w:val="00A222CD"/>
    <w:rsid w:val="00A31F0E"/>
    <w:rsid w:val="00A37C20"/>
    <w:rsid w:val="00A50D24"/>
    <w:rsid w:val="00A52AB2"/>
    <w:rsid w:val="00A54DB0"/>
    <w:rsid w:val="00A60360"/>
    <w:rsid w:val="00AD120E"/>
    <w:rsid w:val="00B008CF"/>
    <w:rsid w:val="00B02DED"/>
    <w:rsid w:val="00B05929"/>
    <w:rsid w:val="00B10E72"/>
    <w:rsid w:val="00B157BC"/>
    <w:rsid w:val="00B179E6"/>
    <w:rsid w:val="00B226A0"/>
    <w:rsid w:val="00B2710F"/>
    <w:rsid w:val="00B457FA"/>
    <w:rsid w:val="00B46294"/>
    <w:rsid w:val="00B5137F"/>
    <w:rsid w:val="00B51C3E"/>
    <w:rsid w:val="00B53575"/>
    <w:rsid w:val="00B5456E"/>
    <w:rsid w:val="00B619F9"/>
    <w:rsid w:val="00B62966"/>
    <w:rsid w:val="00B63126"/>
    <w:rsid w:val="00B64D66"/>
    <w:rsid w:val="00B6657B"/>
    <w:rsid w:val="00BA751F"/>
    <w:rsid w:val="00BB0146"/>
    <w:rsid w:val="00BB344B"/>
    <w:rsid w:val="00BB42D9"/>
    <w:rsid w:val="00BC1842"/>
    <w:rsid w:val="00BC55F7"/>
    <w:rsid w:val="00BC7C54"/>
    <w:rsid w:val="00BD3524"/>
    <w:rsid w:val="00BD3840"/>
    <w:rsid w:val="00BD7BE6"/>
    <w:rsid w:val="00BE3619"/>
    <w:rsid w:val="00BF70F0"/>
    <w:rsid w:val="00C12F04"/>
    <w:rsid w:val="00C13A8D"/>
    <w:rsid w:val="00C24562"/>
    <w:rsid w:val="00C267A9"/>
    <w:rsid w:val="00C3298B"/>
    <w:rsid w:val="00C33F19"/>
    <w:rsid w:val="00C36E0D"/>
    <w:rsid w:val="00C370E1"/>
    <w:rsid w:val="00C3711A"/>
    <w:rsid w:val="00C403D6"/>
    <w:rsid w:val="00C4200C"/>
    <w:rsid w:val="00C463F8"/>
    <w:rsid w:val="00C501F7"/>
    <w:rsid w:val="00C56BFD"/>
    <w:rsid w:val="00C65AB3"/>
    <w:rsid w:val="00C71DD8"/>
    <w:rsid w:val="00C86320"/>
    <w:rsid w:val="00C94123"/>
    <w:rsid w:val="00C96965"/>
    <w:rsid w:val="00CB4720"/>
    <w:rsid w:val="00CC3C30"/>
    <w:rsid w:val="00CC51E3"/>
    <w:rsid w:val="00CD1222"/>
    <w:rsid w:val="00CD31A0"/>
    <w:rsid w:val="00D030F8"/>
    <w:rsid w:val="00D056C1"/>
    <w:rsid w:val="00D07412"/>
    <w:rsid w:val="00D07810"/>
    <w:rsid w:val="00D07B66"/>
    <w:rsid w:val="00D15BFB"/>
    <w:rsid w:val="00D435B5"/>
    <w:rsid w:val="00D43C5C"/>
    <w:rsid w:val="00D462AD"/>
    <w:rsid w:val="00D504BC"/>
    <w:rsid w:val="00D568C1"/>
    <w:rsid w:val="00D605C2"/>
    <w:rsid w:val="00D65972"/>
    <w:rsid w:val="00D749FE"/>
    <w:rsid w:val="00D76D49"/>
    <w:rsid w:val="00D83556"/>
    <w:rsid w:val="00D84271"/>
    <w:rsid w:val="00D955AC"/>
    <w:rsid w:val="00D95DB6"/>
    <w:rsid w:val="00D96980"/>
    <w:rsid w:val="00D97A28"/>
    <w:rsid w:val="00DA7448"/>
    <w:rsid w:val="00DB0594"/>
    <w:rsid w:val="00DD5142"/>
    <w:rsid w:val="00DD6E7C"/>
    <w:rsid w:val="00DE23F5"/>
    <w:rsid w:val="00DE2F56"/>
    <w:rsid w:val="00DF1957"/>
    <w:rsid w:val="00DF5AEA"/>
    <w:rsid w:val="00E03E8C"/>
    <w:rsid w:val="00E05F84"/>
    <w:rsid w:val="00E10E70"/>
    <w:rsid w:val="00E11D06"/>
    <w:rsid w:val="00E1244E"/>
    <w:rsid w:val="00E15271"/>
    <w:rsid w:val="00E15AC6"/>
    <w:rsid w:val="00E15E2B"/>
    <w:rsid w:val="00E17589"/>
    <w:rsid w:val="00E17A15"/>
    <w:rsid w:val="00E21267"/>
    <w:rsid w:val="00E4612E"/>
    <w:rsid w:val="00E544E0"/>
    <w:rsid w:val="00E57CEF"/>
    <w:rsid w:val="00E71A64"/>
    <w:rsid w:val="00E76684"/>
    <w:rsid w:val="00E80F80"/>
    <w:rsid w:val="00E87D9C"/>
    <w:rsid w:val="00E9108B"/>
    <w:rsid w:val="00EB0C88"/>
    <w:rsid w:val="00EB3D4D"/>
    <w:rsid w:val="00EC5F6E"/>
    <w:rsid w:val="00ED0339"/>
    <w:rsid w:val="00EE32C0"/>
    <w:rsid w:val="00EE4DD7"/>
    <w:rsid w:val="00EF380A"/>
    <w:rsid w:val="00EF69EB"/>
    <w:rsid w:val="00EF6A05"/>
    <w:rsid w:val="00F05228"/>
    <w:rsid w:val="00F060F9"/>
    <w:rsid w:val="00F10C20"/>
    <w:rsid w:val="00F1740E"/>
    <w:rsid w:val="00F241B3"/>
    <w:rsid w:val="00F2673F"/>
    <w:rsid w:val="00F3399C"/>
    <w:rsid w:val="00F35A96"/>
    <w:rsid w:val="00F4144E"/>
    <w:rsid w:val="00F43B03"/>
    <w:rsid w:val="00F505A0"/>
    <w:rsid w:val="00F505B1"/>
    <w:rsid w:val="00F51BCD"/>
    <w:rsid w:val="00F563C1"/>
    <w:rsid w:val="00F63776"/>
    <w:rsid w:val="00F64E81"/>
    <w:rsid w:val="00F65C8A"/>
    <w:rsid w:val="00F73DDE"/>
    <w:rsid w:val="00F767E9"/>
    <w:rsid w:val="00F8118B"/>
    <w:rsid w:val="00F81FFB"/>
    <w:rsid w:val="00F84EB0"/>
    <w:rsid w:val="00F86C51"/>
    <w:rsid w:val="00F93C61"/>
    <w:rsid w:val="00FA1DB4"/>
    <w:rsid w:val="00FA2F02"/>
    <w:rsid w:val="00FB2371"/>
    <w:rsid w:val="00FB3635"/>
    <w:rsid w:val="00FB3AB6"/>
    <w:rsid w:val="00FC0D21"/>
    <w:rsid w:val="00FC3569"/>
    <w:rsid w:val="00FC385B"/>
    <w:rsid w:val="00FC7465"/>
    <w:rsid w:val="00FD75C1"/>
    <w:rsid w:val="00FE1CE4"/>
    <w:rsid w:val="00FE5DE3"/>
    <w:rsid w:val="00FF1C12"/>
    <w:rsid w:val="00FF56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D28939C-0469-4D8F-BD77-41492AA6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rsid w:val="009B7138"/>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FE1CE4"/>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FE1CE4"/>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FE1CE4"/>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52AC6"/>
    <w:pPr>
      <w:numPr>
        <w:numId w:val="1"/>
      </w:numPr>
      <w:contextualSpacing/>
    </w:pPr>
  </w:style>
  <w:style w:type="paragraph" w:styleId="ListBullet2">
    <w:name w:val="List Bullet 2"/>
    <w:basedOn w:val="Normal"/>
    <w:uiPriority w:val="99"/>
    <w:semiHidden/>
    <w:unhideWhenUsed/>
    <w:rsid w:val="00252AC6"/>
    <w:pPr>
      <w:numPr>
        <w:numId w:val="2"/>
      </w:numPr>
      <w:contextualSpacing/>
    </w:pPr>
  </w:style>
  <w:style w:type="paragraph" w:styleId="ListBullet3">
    <w:name w:val="List Bullet 3"/>
    <w:basedOn w:val="Normal"/>
    <w:uiPriority w:val="99"/>
    <w:semiHidden/>
    <w:unhideWhenUsed/>
    <w:rsid w:val="00252AC6"/>
    <w:pPr>
      <w:numPr>
        <w:numId w:val="3"/>
      </w:numPr>
      <w:contextualSpacing/>
    </w:pPr>
  </w:style>
  <w:style w:type="paragraph" w:styleId="ListBullet4">
    <w:name w:val="List Bullet 4"/>
    <w:basedOn w:val="Normal"/>
    <w:uiPriority w:val="99"/>
    <w:semiHidden/>
    <w:unhideWhenUsed/>
    <w:rsid w:val="00252AC6"/>
    <w:pPr>
      <w:numPr>
        <w:numId w:val="4"/>
      </w:numPr>
      <w:contextualSpacing/>
    </w:pPr>
  </w:style>
  <w:style w:type="paragraph" w:styleId="BalloonText">
    <w:name w:val="Balloon Text"/>
    <w:basedOn w:val="Normal"/>
    <w:link w:val="BalloonTextChar"/>
    <w:uiPriority w:val="99"/>
    <w:semiHidden/>
    <w:unhideWhenUsed/>
    <w:rsid w:val="00252AC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AC6"/>
    <w:rPr>
      <w:rFonts w:ascii="Tahoma" w:hAnsi="Tahoma" w:cs="Tahoma"/>
      <w:sz w:val="16"/>
      <w:szCs w:val="16"/>
      <w:lang w:val="pt-PT"/>
    </w:rPr>
  </w:style>
  <w:style w:type="character" w:styleId="CommentReference">
    <w:name w:val="annotation reference"/>
    <w:basedOn w:val="DefaultParagraphFont"/>
    <w:uiPriority w:val="99"/>
    <w:semiHidden/>
    <w:unhideWhenUsed/>
    <w:rsid w:val="00252AC6"/>
    <w:rPr>
      <w:sz w:val="16"/>
      <w:szCs w:val="16"/>
    </w:rPr>
  </w:style>
  <w:style w:type="paragraph" w:styleId="CommentText">
    <w:name w:val="annotation text"/>
    <w:basedOn w:val="Normal"/>
    <w:link w:val="CommentTextChar"/>
    <w:uiPriority w:val="99"/>
    <w:unhideWhenUsed/>
    <w:rsid w:val="00252AC6"/>
    <w:rPr>
      <w:sz w:val="20"/>
      <w:szCs w:val="20"/>
    </w:rPr>
  </w:style>
  <w:style w:type="character" w:customStyle="1" w:styleId="CommentTextChar">
    <w:name w:val="Comment Text Char"/>
    <w:basedOn w:val="DefaultParagraphFont"/>
    <w:link w:val="CommentText"/>
    <w:uiPriority w:val="99"/>
    <w:rsid w:val="00252AC6"/>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sid w:val="00252AC6"/>
    <w:rPr>
      <w:b/>
      <w:bCs/>
    </w:rPr>
  </w:style>
  <w:style w:type="character" w:customStyle="1" w:styleId="CommentSubjectChar">
    <w:name w:val="Comment Subject Char"/>
    <w:basedOn w:val="CommentTextChar"/>
    <w:link w:val="CommentSubject"/>
    <w:uiPriority w:val="99"/>
    <w:semiHidden/>
    <w:rsid w:val="00252AC6"/>
    <w:rPr>
      <w:rFonts w:ascii="Times New Roman" w:hAnsi="Times New Roman" w:cs="Times New Roman"/>
      <w:b/>
      <w:bCs/>
      <w:sz w:val="20"/>
      <w:szCs w:val="20"/>
      <w:lang w:val="pt-PT"/>
    </w:rPr>
  </w:style>
  <w:style w:type="paragraph" w:styleId="Revision">
    <w:name w:val="Revision"/>
    <w:hidden/>
    <w:uiPriority w:val="99"/>
    <w:semiHidden/>
    <w:rsid w:val="00252AC6"/>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252AC6"/>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252AC6"/>
    <w:pPr>
      <w:spacing w:after="0"/>
    </w:pPr>
  </w:style>
  <w:style w:type="paragraph" w:styleId="ListNumber">
    <w:name w:val="List Number"/>
    <w:basedOn w:val="Normal"/>
    <w:uiPriority w:val="99"/>
    <w:semiHidden/>
    <w:unhideWhenUsed/>
    <w:rsid w:val="00252AC6"/>
    <w:pPr>
      <w:numPr>
        <w:numId w:val="7"/>
      </w:numPr>
      <w:contextualSpacing/>
    </w:pPr>
  </w:style>
  <w:style w:type="paragraph" w:styleId="ListNumber2">
    <w:name w:val="List Number 2"/>
    <w:basedOn w:val="Normal"/>
    <w:uiPriority w:val="99"/>
    <w:semiHidden/>
    <w:unhideWhenUsed/>
    <w:rsid w:val="00252AC6"/>
    <w:pPr>
      <w:numPr>
        <w:numId w:val="8"/>
      </w:numPr>
      <w:contextualSpacing/>
    </w:pPr>
  </w:style>
  <w:style w:type="paragraph" w:styleId="ListNumber3">
    <w:name w:val="List Number 3"/>
    <w:basedOn w:val="Normal"/>
    <w:uiPriority w:val="99"/>
    <w:semiHidden/>
    <w:unhideWhenUsed/>
    <w:rsid w:val="00252AC6"/>
    <w:pPr>
      <w:numPr>
        <w:numId w:val="9"/>
      </w:numPr>
      <w:contextualSpacing/>
    </w:pPr>
  </w:style>
  <w:style w:type="paragraph" w:styleId="ListNumber4">
    <w:name w:val="List Number 4"/>
    <w:basedOn w:val="Normal"/>
    <w:uiPriority w:val="99"/>
    <w:semiHidden/>
    <w:unhideWhenUsed/>
    <w:rsid w:val="00252AC6"/>
    <w:pPr>
      <w:numPr>
        <w:numId w:val="10"/>
      </w:numPr>
      <w:contextualSpacing/>
    </w:pPr>
  </w:style>
  <w:style w:type="character" w:styleId="Hyperlink">
    <w:name w:val="Hyperlink"/>
    <w:basedOn w:val="DefaultParagraphFont"/>
    <w:uiPriority w:val="99"/>
    <w:unhideWhenUsed/>
    <w:rsid w:val="00252AC6"/>
    <w:rPr>
      <w:color w:val="0000FF" w:themeColor="hyperlink"/>
      <w:u w:val="single"/>
    </w:rPr>
  </w:style>
  <w:style w:type="paragraph" w:customStyle="1" w:styleId="Sous-titreobjet">
    <w:name w:val="Sous-titre objet"/>
    <w:basedOn w:val="Normal"/>
    <w:rsid w:val="00252AC6"/>
    <w:pPr>
      <w:spacing w:before="0" w:after="0"/>
      <w:jc w:val="center"/>
    </w:pPr>
    <w:rPr>
      <w:b/>
    </w:rPr>
  </w:style>
  <w:style w:type="paragraph" w:customStyle="1" w:styleId="Sous-titreobjetPagedecouverture">
    <w:name w:val="Sous-titre objet (Page de couverture)"/>
    <w:basedOn w:val="Sous-titreobjet"/>
    <w:rsid w:val="00252AC6"/>
  </w:style>
  <w:style w:type="character" w:customStyle="1" w:styleId="viiyi">
    <w:name w:val="viiyi"/>
    <w:basedOn w:val="DefaultParagraphFont"/>
    <w:rsid w:val="00772C02"/>
  </w:style>
  <w:style w:type="character" w:customStyle="1" w:styleId="jlqj4b">
    <w:name w:val="jlqj4b"/>
    <w:basedOn w:val="DefaultParagraphFont"/>
    <w:rsid w:val="00772C02"/>
  </w:style>
  <w:style w:type="character" w:styleId="FollowedHyperlink">
    <w:name w:val="FollowedHyperlink"/>
    <w:basedOn w:val="DefaultParagraphFont"/>
    <w:uiPriority w:val="99"/>
    <w:semiHidden/>
    <w:unhideWhenUsed/>
    <w:rsid w:val="00D84271"/>
    <w:rPr>
      <w:color w:val="800080" w:themeColor="followedHyperlink"/>
      <w:u w:val="single"/>
    </w:rPr>
  </w:style>
  <w:style w:type="paragraph" w:customStyle="1" w:styleId="oj-normal">
    <w:name w:val="oj-normal"/>
    <w:basedOn w:val="Normal"/>
    <w:rsid w:val="00C4200C"/>
    <w:pPr>
      <w:spacing w:before="100" w:beforeAutospacing="1" w:after="100" w:afterAutospacing="1"/>
      <w:jc w:val="left"/>
    </w:pPr>
    <w:rPr>
      <w:rFonts w:eastAsia="Times New Roman"/>
      <w:szCs w:val="24"/>
      <w:lang w:eastAsia="en-GB"/>
    </w:rPr>
  </w:style>
  <w:style w:type="paragraph" w:styleId="Header">
    <w:name w:val="header"/>
    <w:basedOn w:val="Normal"/>
    <w:link w:val="HeaderChar"/>
    <w:uiPriority w:val="99"/>
    <w:unhideWhenUsed/>
    <w:rsid w:val="00973735"/>
    <w:pPr>
      <w:tabs>
        <w:tab w:val="center" w:pos="4535"/>
        <w:tab w:val="right" w:pos="9071"/>
      </w:tabs>
      <w:spacing w:before="0"/>
    </w:pPr>
  </w:style>
  <w:style w:type="character" w:customStyle="1" w:styleId="HeaderChar">
    <w:name w:val="Header Char"/>
    <w:basedOn w:val="DefaultParagraphFont"/>
    <w:link w:val="Header"/>
    <w:uiPriority w:val="99"/>
    <w:rsid w:val="00973735"/>
    <w:rPr>
      <w:rFonts w:ascii="Times New Roman" w:hAnsi="Times New Roman" w:cs="Times New Roman"/>
      <w:sz w:val="24"/>
      <w:lang w:val="pt-PT"/>
    </w:rPr>
  </w:style>
  <w:style w:type="paragraph" w:styleId="Footer">
    <w:name w:val="footer"/>
    <w:basedOn w:val="Normal"/>
    <w:link w:val="FooterChar"/>
    <w:uiPriority w:val="99"/>
    <w:unhideWhenUsed/>
    <w:rsid w:val="0097373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73735"/>
    <w:rPr>
      <w:rFonts w:ascii="Times New Roman" w:hAnsi="Times New Roman" w:cs="Times New Roman"/>
      <w:sz w:val="24"/>
      <w:lang w:val="pt-PT"/>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973735"/>
    <w:pPr>
      <w:tabs>
        <w:tab w:val="center" w:pos="7285"/>
        <w:tab w:val="right" w:pos="14003"/>
      </w:tabs>
      <w:spacing w:before="0"/>
    </w:pPr>
  </w:style>
  <w:style w:type="paragraph" w:customStyle="1" w:styleId="FooterLandscape">
    <w:name w:val="FooterLandscape"/>
    <w:basedOn w:val="Normal"/>
    <w:rsid w:val="0097373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97373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3735"/>
    <w:pPr>
      <w:spacing w:before="0"/>
      <w:jc w:val="right"/>
    </w:pPr>
    <w:rPr>
      <w:sz w:val="28"/>
    </w:rPr>
  </w:style>
  <w:style w:type="paragraph" w:customStyle="1" w:styleId="FooterSensitivity">
    <w:name w:val="Footer Sensitivity"/>
    <w:basedOn w:val="Normal"/>
    <w:rsid w:val="0097373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2"/>
      </w:numPr>
    </w:pPr>
  </w:style>
  <w:style w:type="paragraph" w:customStyle="1" w:styleId="Tiret1">
    <w:name w:val="Tiret 1"/>
    <w:basedOn w:val="Point1"/>
    <w:rsid w:val="009B7138"/>
    <w:pPr>
      <w:numPr>
        <w:numId w:val="13"/>
      </w:numPr>
    </w:pPr>
  </w:style>
  <w:style w:type="paragraph" w:customStyle="1" w:styleId="Tiret2">
    <w:name w:val="Tiret 2"/>
    <w:basedOn w:val="Point2"/>
    <w:rsid w:val="009B7138"/>
    <w:pPr>
      <w:numPr>
        <w:numId w:val="14"/>
      </w:numPr>
    </w:pPr>
  </w:style>
  <w:style w:type="paragraph" w:customStyle="1" w:styleId="Tiret3">
    <w:name w:val="Tiret 3"/>
    <w:basedOn w:val="Point3"/>
    <w:rsid w:val="009B7138"/>
    <w:pPr>
      <w:numPr>
        <w:numId w:val="15"/>
      </w:numPr>
    </w:pPr>
  </w:style>
  <w:style w:type="paragraph" w:customStyle="1" w:styleId="Tiret4">
    <w:name w:val="Tiret 4"/>
    <w:basedOn w:val="Point4"/>
    <w:rsid w:val="009B7138"/>
    <w:pPr>
      <w:numPr>
        <w:numId w:val="16"/>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2"/>
      </w:numPr>
    </w:pPr>
  </w:style>
  <w:style w:type="paragraph" w:customStyle="1" w:styleId="NumPar2">
    <w:name w:val="NumPar 2"/>
    <w:basedOn w:val="Normal"/>
    <w:next w:val="Text1"/>
    <w:rsid w:val="009B7138"/>
    <w:pPr>
      <w:numPr>
        <w:ilvl w:val="1"/>
        <w:numId w:val="32"/>
      </w:numPr>
    </w:pPr>
  </w:style>
  <w:style w:type="paragraph" w:customStyle="1" w:styleId="NumPar3">
    <w:name w:val="NumPar 3"/>
    <w:basedOn w:val="Normal"/>
    <w:next w:val="Text1"/>
    <w:rsid w:val="009B7138"/>
    <w:pPr>
      <w:numPr>
        <w:ilvl w:val="2"/>
        <w:numId w:val="32"/>
      </w:numPr>
    </w:pPr>
  </w:style>
  <w:style w:type="paragraph" w:customStyle="1" w:styleId="NumPar4">
    <w:name w:val="NumPar 4"/>
    <w:basedOn w:val="Normal"/>
    <w:next w:val="Text1"/>
    <w:rsid w:val="009B7138"/>
    <w:pPr>
      <w:numPr>
        <w:ilvl w:val="3"/>
        <w:numId w:val="32"/>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19"/>
      </w:numPr>
    </w:pPr>
  </w:style>
  <w:style w:type="paragraph" w:customStyle="1" w:styleId="Point1number">
    <w:name w:val="Point 1 (number)"/>
    <w:basedOn w:val="Normal"/>
    <w:rsid w:val="009B7138"/>
    <w:pPr>
      <w:numPr>
        <w:ilvl w:val="2"/>
        <w:numId w:val="19"/>
      </w:numPr>
    </w:pPr>
  </w:style>
  <w:style w:type="paragraph" w:customStyle="1" w:styleId="Point2number">
    <w:name w:val="Point 2 (number)"/>
    <w:basedOn w:val="Normal"/>
    <w:rsid w:val="009B7138"/>
    <w:pPr>
      <w:numPr>
        <w:ilvl w:val="4"/>
        <w:numId w:val="19"/>
      </w:numPr>
    </w:pPr>
  </w:style>
  <w:style w:type="paragraph" w:customStyle="1" w:styleId="Point3number">
    <w:name w:val="Point 3 (number)"/>
    <w:basedOn w:val="Normal"/>
    <w:rsid w:val="009B7138"/>
    <w:pPr>
      <w:numPr>
        <w:ilvl w:val="6"/>
        <w:numId w:val="19"/>
      </w:numPr>
    </w:pPr>
  </w:style>
  <w:style w:type="paragraph" w:customStyle="1" w:styleId="Point0letter">
    <w:name w:val="Point 0 (letter)"/>
    <w:basedOn w:val="Normal"/>
    <w:rsid w:val="009B7138"/>
    <w:pPr>
      <w:numPr>
        <w:ilvl w:val="1"/>
        <w:numId w:val="19"/>
      </w:numPr>
    </w:pPr>
  </w:style>
  <w:style w:type="paragraph" w:customStyle="1" w:styleId="Point1letter">
    <w:name w:val="Point 1 (letter)"/>
    <w:basedOn w:val="Normal"/>
    <w:rsid w:val="009B7138"/>
    <w:pPr>
      <w:numPr>
        <w:ilvl w:val="3"/>
        <w:numId w:val="19"/>
      </w:numPr>
    </w:pPr>
  </w:style>
  <w:style w:type="paragraph" w:customStyle="1" w:styleId="Point2letter">
    <w:name w:val="Point 2 (letter)"/>
    <w:basedOn w:val="Normal"/>
    <w:rsid w:val="009B7138"/>
    <w:pPr>
      <w:numPr>
        <w:ilvl w:val="5"/>
        <w:numId w:val="19"/>
      </w:numPr>
    </w:pPr>
  </w:style>
  <w:style w:type="paragraph" w:customStyle="1" w:styleId="Point3letter">
    <w:name w:val="Point 3 (letter)"/>
    <w:basedOn w:val="Normal"/>
    <w:rsid w:val="009B7138"/>
    <w:pPr>
      <w:numPr>
        <w:ilvl w:val="7"/>
        <w:numId w:val="19"/>
      </w:numPr>
    </w:pPr>
  </w:style>
  <w:style w:type="paragraph" w:customStyle="1" w:styleId="Point4letter">
    <w:name w:val="Point 4 (letter)"/>
    <w:basedOn w:val="Normal"/>
    <w:rsid w:val="009B7138"/>
    <w:pPr>
      <w:numPr>
        <w:ilvl w:val="8"/>
        <w:numId w:val="19"/>
      </w:numPr>
    </w:pPr>
  </w:style>
  <w:style w:type="paragraph" w:customStyle="1" w:styleId="Bullet0">
    <w:name w:val="Bullet 0"/>
    <w:basedOn w:val="Normal"/>
    <w:rsid w:val="009B7138"/>
    <w:pPr>
      <w:numPr>
        <w:numId w:val="20"/>
      </w:numPr>
    </w:pPr>
  </w:style>
  <w:style w:type="paragraph" w:customStyle="1" w:styleId="Bullet1">
    <w:name w:val="Bullet 1"/>
    <w:basedOn w:val="Normal"/>
    <w:rsid w:val="009B7138"/>
    <w:pPr>
      <w:numPr>
        <w:numId w:val="21"/>
      </w:numPr>
    </w:pPr>
  </w:style>
  <w:style w:type="paragraph" w:customStyle="1" w:styleId="Bullet2">
    <w:name w:val="Bullet 2"/>
    <w:basedOn w:val="Normal"/>
    <w:rsid w:val="009B7138"/>
    <w:pPr>
      <w:numPr>
        <w:numId w:val="22"/>
      </w:numPr>
    </w:pPr>
  </w:style>
  <w:style w:type="paragraph" w:customStyle="1" w:styleId="Bullet3">
    <w:name w:val="Bullet 3"/>
    <w:basedOn w:val="Normal"/>
    <w:rsid w:val="009B7138"/>
    <w:pPr>
      <w:numPr>
        <w:numId w:val="23"/>
      </w:numPr>
    </w:pPr>
  </w:style>
  <w:style w:type="paragraph" w:customStyle="1" w:styleId="Bullet4">
    <w:name w:val="Bullet 4"/>
    <w:basedOn w:val="Normal"/>
    <w:rsid w:val="009B7138"/>
    <w:pPr>
      <w:numPr>
        <w:numId w:val="24"/>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25"/>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FE1CE4"/>
    <w:rPr>
      <w:rFonts w:ascii="Times New Roman" w:eastAsiaTheme="majorEastAsia" w:hAnsi="Times New Roman" w:cs="Times New Roman"/>
      <w:sz w:val="24"/>
      <w:lang w:val="pt-PT"/>
    </w:rPr>
  </w:style>
  <w:style w:type="character" w:customStyle="1" w:styleId="Heading6Char">
    <w:name w:val="Heading 6 Char"/>
    <w:basedOn w:val="DefaultParagraphFont"/>
    <w:link w:val="Heading6"/>
    <w:uiPriority w:val="9"/>
    <w:semiHidden/>
    <w:rsid w:val="00FE1CE4"/>
    <w:rPr>
      <w:rFonts w:ascii="Times New Roman" w:eastAsiaTheme="majorEastAsia" w:hAnsi="Times New Roman" w:cs="Times New Roman"/>
      <w:iCs/>
      <w:sz w:val="24"/>
      <w:lang w:val="pt-PT"/>
    </w:rPr>
  </w:style>
  <w:style w:type="character" w:customStyle="1" w:styleId="Heading7Char">
    <w:name w:val="Heading 7 Char"/>
    <w:basedOn w:val="DefaultParagraphFont"/>
    <w:link w:val="Heading7"/>
    <w:uiPriority w:val="9"/>
    <w:semiHidden/>
    <w:rsid w:val="00FE1CE4"/>
    <w:rPr>
      <w:rFonts w:ascii="Times New Roman" w:eastAsiaTheme="majorEastAsia" w:hAnsi="Times New Roman" w:cs="Times New Roman"/>
      <w:iCs/>
      <w:sz w:val="24"/>
      <w:lang w:val="pt-PT"/>
    </w:rPr>
  </w:style>
  <w:style w:type="paragraph" w:customStyle="1" w:styleId="ManualHeading5">
    <w:name w:val="Manual Heading 5"/>
    <w:basedOn w:val="Normal"/>
    <w:next w:val="Text2"/>
    <w:rsid w:val="00FE1CE4"/>
    <w:pPr>
      <w:keepNext/>
      <w:tabs>
        <w:tab w:val="left" w:pos="1417"/>
      </w:tabs>
      <w:ind w:left="1417" w:hanging="1417"/>
      <w:outlineLvl w:val="4"/>
    </w:pPr>
  </w:style>
  <w:style w:type="paragraph" w:customStyle="1" w:styleId="ManualHeading6">
    <w:name w:val="Manual Heading 6"/>
    <w:basedOn w:val="Normal"/>
    <w:next w:val="Text2"/>
    <w:rsid w:val="00FE1CE4"/>
    <w:pPr>
      <w:keepNext/>
      <w:tabs>
        <w:tab w:val="left" w:pos="1417"/>
      </w:tabs>
      <w:ind w:left="1417" w:hanging="1417"/>
      <w:outlineLvl w:val="5"/>
    </w:pPr>
  </w:style>
  <w:style w:type="paragraph" w:customStyle="1" w:styleId="ManualHeading7">
    <w:name w:val="Manual Heading 7"/>
    <w:basedOn w:val="Normal"/>
    <w:next w:val="Text2"/>
    <w:rsid w:val="00FE1CE4"/>
    <w:pPr>
      <w:keepNext/>
      <w:tabs>
        <w:tab w:val="left" w:pos="1417"/>
      </w:tabs>
      <w:ind w:left="1417" w:hanging="1417"/>
      <w:outlineLvl w:val="6"/>
    </w:pPr>
  </w:style>
  <w:style w:type="paragraph" w:customStyle="1" w:styleId="Text5">
    <w:name w:val="Text 5"/>
    <w:basedOn w:val="Normal"/>
    <w:rsid w:val="00FE1CE4"/>
    <w:pPr>
      <w:ind w:left="3118"/>
    </w:pPr>
  </w:style>
  <w:style w:type="paragraph" w:customStyle="1" w:styleId="Text6">
    <w:name w:val="Text 6"/>
    <w:basedOn w:val="Normal"/>
    <w:rsid w:val="00FE1CE4"/>
    <w:pPr>
      <w:ind w:left="3685"/>
    </w:pPr>
  </w:style>
  <w:style w:type="paragraph" w:customStyle="1" w:styleId="Point5">
    <w:name w:val="Point 5"/>
    <w:basedOn w:val="Normal"/>
    <w:rsid w:val="00FE1CE4"/>
    <w:pPr>
      <w:ind w:left="3685" w:hanging="567"/>
    </w:pPr>
  </w:style>
  <w:style w:type="paragraph" w:customStyle="1" w:styleId="Tiret5">
    <w:name w:val="Tiret 5"/>
    <w:basedOn w:val="Point5"/>
    <w:rsid w:val="00FE1CE4"/>
    <w:pPr>
      <w:numPr>
        <w:numId w:val="29"/>
      </w:numPr>
    </w:pPr>
  </w:style>
  <w:style w:type="paragraph" w:customStyle="1" w:styleId="NumPar5">
    <w:name w:val="NumPar 5"/>
    <w:basedOn w:val="Normal"/>
    <w:next w:val="Text2"/>
    <w:rsid w:val="00FE1CE4"/>
    <w:pPr>
      <w:numPr>
        <w:ilvl w:val="4"/>
        <w:numId w:val="32"/>
      </w:numPr>
    </w:pPr>
  </w:style>
  <w:style w:type="paragraph" w:customStyle="1" w:styleId="NumPar6">
    <w:name w:val="NumPar 6"/>
    <w:basedOn w:val="Normal"/>
    <w:next w:val="Text2"/>
    <w:rsid w:val="00FE1CE4"/>
    <w:pPr>
      <w:numPr>
        <w:ilvl w:val="5"/>
        <w:numId w:val="32"/>
      </w:numPr>
    </w:pPr>
  </w:style>
  <w:style w:type="paragraph" w:customStyle="1" w:styleId="NumPar7">
    <w:name w:val="NumPar 7"/>
    <w:basedOn w:val="Normal"/>
    <w:next w:val="Text2"/>
    <w:rsid w:val="00FE1CE4"/>
    <w:pPr>
      <w:numPr>
        <w:ilvl w:val="6"/>
        <w:numId w:val="32"/>
      </w:numPr>
    </w:pPr>
  </w:style>
  <w:style w:type="paragraph" w:customStyle="1" w:styleId="ManualNumPar5">
    <w:name w:val="Manual NumPar 5"/>
    <w:basedOn w:val="Normal"/>
    <w:next w:val="Text2"/>
    <w:rsid w:val="00FE1CE4"/>
    <w:pPr>
      <w:ind w:left="1417" w:hanging="1417"/>
    </w:pPr>
  </w:style>
  <w:style w:type="paragraph" w:customStyle="1" w:styleId="ManualNumPar6">
    <w:name w:val="Manual NumPar 6"/>
    <w:basedOn w:val="Normal"/>
    <w:next w:val="Text2"/>
    <w:rsid w:val="00FE1CE4"/>
    <w:pPr>
      <w:ind w:left="1417" w:hanging="1417"/>
    </w:pPr>
  </w:style>
  <w:style w:type="paragraph" w:customStyle="1" w:styleId="ManualNumPar7">
    <w:name w:val="Manual NumPar 7"/>
    <w:basedOn w:val="Normal"/>
    <w:next w:val="Text2"/>
    <w:rsid w:val="00FE1CE4"/>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26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quifinanza.it/soldi/air-italy-le-cause-del-fallimento-e-come-ottenere-il-rimborso/351381/" TargetMode="External"/><Relationship Id="rId13" Type="http://schemas.openxmlformats.org/officeDocument/2006/relationships/hyperlink" Target="http://www.werentrepreneur.com" TargetMode="External"/><Relationship Id="rId3" Type="http://schemas.openxmlformats.org/officeDocument/2006/relationships/hyperlink" Target="https://www.politico.com/f/?id=0000016a-26c5-d80c-a7ea-7fc56fae0000" TargetMode="External"/><Relationship Id="rId7" Type="http://schemas.openxmlformats.org/officeDocument/2006/relationships/hyperlink" Target="https://www.ilsole24ore.com/art/air-italy-quel-piano-ambizioso-qatar-airways-mai-decollato-ACS5ggIB" TargetMode="External"/><Relationship Id="rId12" Type="http://schemas.openxmlformats.org/officeDocument/2006/relationships/hyperlink" Target="https://ec.europa.eu/oceans-and-fisheries/ocean/blue-economy/sustainable-blue-economy_en" TargetMode="External"/><Relationship Id="rId2" Type="http://schemas.openxmlformats.org/officeDocument/2006/relationships/hyperlink" Target="https://quifinanza.it/soldi/air-italy-le-cause-del-fallimento-e-come-ottenere-il-rimborso/351381/" TargetMode="External"/><Relationship Id="rId1" Type="http://schemas.openxmlformats.org/officeDocument/2006/relationships/hyperlink" Target="https://www.ilsole24ore.com/art/air-italy-quel-piano-ambizioso-qatar-airways-mai-decollato-ACS5ggIB" TargetMode="External"/><Relationship Id="rId6" Type="http://schemas.openxmlformats.org/officeDocument/2006/relationships/hyperlink" Target="https://quifinanza.it/soldi/air-italy-le-cause-del-fallimento-e-come-ottenere-il-rimborso/351381/" TargetMode="External"/><Relationship Id="rId11" Type="http://schemas.openxmlformats.org/officeDocument/2006/relationships/hyperlink" Target="https://www.bancaditalia.it/pubblicazioni/economie-regionali/2021/2021-0020/index.html" TargetMode="External"/><Relationship Id="rId5" Type="http://schemas.openxmlformats.org/officeDocument/2006/relationships/hyperlink" Target="https://www.flightglobal.com/strategy/why-did-air-italy-fail/136685.article" TargetMode="External"/><Relationship Id="rId10" Type="http://schemas.openxmlformats.org/officeDocument/2006/relationships/hyperlink" Target="https://www.bancaditalia.it/pubblicazioni/economie-regionali/2021/2021-0020/index.html" TargetMode="External"/><Relationship Id="rId4" Type="http://schemas.openxmlformats.org/officeDocument/2006/relationships/hyperlink" Target="https://www.inc.com/bill-murphy-jr/american-delta-united-airlines-just-begged-president-trump-to-do-1-very-big-thing-for-them-was-asking-for-this-brilliant-or-insane.html" TargetMode="External"/><Relationship Id="rId9" Type="http://schemas.openxmlformats.org/officeDocument/2006/relationships/hyperlink" Target="https://www.lavoro.gov.it/documenti-e-norme/normative/Documents/2020/DECRETO-LEGGE-17-marzo-2020-n-18-Cura-Italia.pdf" TargetMode="External"/><Relationship Id="rId14" Type="http://schemas.openxmlformats.org/officeDocument/2006/relationships/hyperlink" Target="https://www.mite.gov.it/sites/default/files/archivio_immagini/Galletti/Comunicati/snsvs_ottobre201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8bbf505-73b7-42a7-9437-c7a2be47f6a1">EN</EC_Collab_DocumentLanguage>
    <EC_Collab_Status xmlns="e8bbf505-73b7-42a7-9437-c7a2be47f6a1">Not Started</EC_Collab_Status>
    <EC_Collab_Reference xmlns="e8bbf505-73b7-42a7-9437-c7a2be47f6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00471E0E84FDE40A394C615C9CF850C" ma:contentTypeVersion="0" ma:contentTypeDescription="Create a new document in this library." ma:contentTypeScope="" ma:versionID="ec3f874474660a385341d0a3ef868793">
  <xsd:schema xmlns:xsd="http://www.w3.org/2001/XMLSchema" xmlns:xs="http://www.w3.org/2001/XMLSchema" xmlns:p="http://schemas.microsoft.com/office/2006/metadata/properties" xmlns:ns2="http://schemas.microsoft.com/sharepoint/v3/fields" xmlns:ns3="e8bbf505-73b7-42a7-9437-c7a2be47f6a1" targetNamespace="http://schemas.microsoft.com/office/2006/metadata/properties" ma:root="true" ma:fieldsID="8000eaa638cf87e4708861a8efc484ca" ns2:_="" ns3:_="">
    <xsd:import namespace="http://schemas.microsoft.com/sharepoint/v3/fields"/>
    <xsd:import namespace="e8bbf505-73b7-42a7-9437-c7a2be47f6a1"/>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8bbf505-73b7-42a7-9437-c7a2be47f6a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AB1D3-B198-48D2-AAD4-F61916C577F4}">
  <ds:schemaRefs>
    <ds:schemaRef ds:uri="http://schemas.microsoft.com/sharepoint/v3/contenttype/forms"/>
  </ds:schemaRefs>
</ds:datastoreItem>
</file>

<file path=customXml/itemProps2.xml><?xml version="1.0" encoding="utf-8"?>
<ds:datastoreItem xmlns:ds="http://schemas.openxmlformats.org/officeDocument/2006/customXml" ds:itemID="{9269A9DF-4396-4BB7-A50A-4421CA6D0B8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e8bbf505-73b7-42a7-9437-c7a2be47f6a1"/>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4A3E3581-D9CB-4AC6-944A-5677CF349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8bbf505-73b7-42a7-9437-c7a2be47f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570F80-1D82-408B-AAD3-C073BBE49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14</Pages>
  <Words>4533</Words>
  <Characters>24210</Characters>
  <Application>Microsoft Office Word</Application>
  <DocSecurity>0</DocSecurity>
  <Lines>590</Lines>
  <Paragraphs>299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35</cp:revision>
  <dcterms:created xsi:type="dcterms:W3CDTF">2021-10-20T08:23:00Z</dcterms:created>
  <dcterms:modified xsi:type="dcterms:W3CDTF">2021-10-22T12:58:00Z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7.0.1, Build 20200226</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0x010100258AA79CEB83498886A3A0868112325000100471E0E84FDE40A394C615C9CF850C</vt:lpwstr>
  </property>
  <property fmtid="{D5CDD505-2E9C-101B-9397-08002B2CF9AE}" pid="11" name="DQCStatus">
    <vt:lpwstr>Green (DQC version 03)</vt:lpwstr>
  </property>
  <property name="OP_sanitized" fmtid="{D5CDD505-2E9C-101B-9397-08002B2CF9AE}" pid="12">
    <vt:lpwstr>True</vt:lpwstr>
  </property>
</Properties>
</file>