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033D1" w14:textId="1439C8CF" w:rsidR="00014DC9" w:rsidRPr="00D5365A" w:rsidRDefault="000C1203" w:rsidP="000C1203">
      <w:pPr>
        <w:pStyle w:val="Pagedecouverture"/>
        <w:rPr>
          <w:noProof/>
        </w:rPr>
      </w:pPr>
      <w:bookmarkStart w:id="0" w:name="LW_BM_COVERPAGE"/>
      <w:r>
        <w:rPr>
          <w:noProof/>
        </w:rPr>
        <w:pict w14:anchorId="4A1A1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EF2344EE-A144-4E6B-9D04-90CB09B5FFA8" style="width:455.25pt;height:336.75pt">
            <v:imagedata r:id="rId15" o:title=""/>
          </v:shape>
        </w:pict>
      </w:r>
    </w:p>
    <w:bookmarkEnd w:id="0"/>
    <w:p w14:paraId="5F70AECB" w14:textId="77777777" w:rsidR="00014DC9" w:rsidRPr="00D5365A" w:rsidRDefault="00014DC9" w:rsidP="00231AB2">
      <w:pPr>
        <w:rPr>
          <w:noProof/>
          <w:color w:val="000000"/>
          <w:szCs w:val="24"/>
        </w:rPr>
        <w:sectPr w:rsidR="00014DC9" w:rsidRPr="00D5365A" w:rsidSect="000C1203">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26"/>
        </w:sectPr>
      </w:pPr>
    </w:p>
    <w:p w14:paraId="00EE81BC" w14:textId="509C7C86" w:rsidR="0081136C" w:rsidRPr="00D5365A" w:rsidRDefault="0081136C" w:rsidP="00C676EB">
      <w:pPr>
        <w:pStyle w:val="Heading1"/>
        <w:spacing w:after="120"/>
        <w:rPr>
          <w:noProof/>
          <w:color w:val="000000"/>
          <w:szCs w:val="24"/>
        </w:rPr>
      </w:pPr>
      <w:bookmarkStart w:id="1" w:name="_Toc31382540"/>
      <w:bookmarkStart w:id="2" w:name="_GoBack"/>
      <w:bookmarkEnd w:id="1"/>
      <w:bookmarkEnd w:id="2"/>
      <w:r>
        <w:rPr>
          <w:noProof/>
          <w:color w:val="000000"/>
          <w:szCs w:val="24"/>
        </w:rPr>
        <w:lastRenderedPageBreak/>
        <w:t>Introdução</w:t>
      </w:r>
    </w:p>
    <w:p w14:paraId="5706545C" w14:textId="5461C9AE" w:rsidR="000E1C2D" w:rsidRDefault="004D0916" w:rsidP="00C676EB">
      <w:pPr>
        <w:pStyle w:val="Text1"/>
        <w:spacing w:after="120"/>
        <w:ind w:left="0"/>
        <w:rPr>
          <w:noProof/>
        </w:rPr>
      </w:pPr>
      <w:r>
        <w:rPr>
          <w:noProof/>
          <w:color w:val="000000"/>
          <w:szCs w:val="24"/>
        </w:rPr>
        <w:t>Em 15 de março de 2017, o Parlamento Europeu e o Conselho adotaram a Diretiva (UE) 2017/541 relativa à luta contra o terrorismo</w:t>
      </w:r>
      <w:r>
        <w:rPr>
          <w:rStyle w:val="FootnoteReference"/>
          <w:noProof/>
          <w:color w:val="000000"/>
          <w:szCs w:val="24"/>
        </w:rPr>
        <w:footnoteReference w:id="1"/>
      </w:r>
      <w:r>
        <w:rPr>
          <w:noProof/>
          <w:color w:val="000000"/>
          <w:szCs w:val="24"/>
        </w:rPr>
        <w:t>. A</w:t>
      </w:r>
      <w:r w:rsidR="00F67BB6">
        <w:rPr>
          <w:noProof/>
          <w:color w:val="000000"/>
          <w:szCs w:val="24"/>
        </w:rPr>
        <w:t xml:space="preserve"> </w:t>
      </w:r>
      <w:r w:rsidR="002F3004">
        <w:rPr>
          <w:noProof/>
          <w:color w:val="000000"/>
          <w:szCs w:val="24"/>
        </w:rPr>
        <w:t>D</w:t>
      </w:r>
      <w:r>
        <w:rPr>
          <w:noProof/>
          <w:color w:val="000000"/>
          <w:szCs w:val="24"/>
        </w:rPr>
        <w:t>iretiva substitui</w:t>
      </w:r>
      <w:r w:rsidR="002F3004">
        <w:rPr>
          <w:noProof/>
          <w:color w:val="000000"/>
          <w:szCs w:val="24"/>
        </w:rPr>
        <w:t>u</w:t>
      </w:r>
      <w:r>
        <w:rPr>
          <w:noProof/>
          <w:color w:val="000000"/>
          <w:szCs w:val="24"/>
        </w:rPr>
        <w:t xml:space="preserve"> a Decisão</w:t>
      </w:r>
      <w:r w:rsidR="002F3004">
        <w:rPr>
          <w:noProof/>
          <w:color w:val="000000"/>
          <w:szCs w:val="24"/>
        </w:rPr>
        <w:noBreakHyphen/>
      </w:r>
      <w:r>
        <w:rPr>
          <w:noProof/>
          <w:color w:val="000000"/>
          <w:szCs w:val="24"/>
        </w:rPr>
        <w:t>Quadro 2002/475/JAI</w:t>
      </w:r>
      <w:r>
        <w:rPr>
          <w:rStyle w:val="FootnoteReference"/>
          <w:noProof/>
          <w:color w:val="000000"/>
          <w:szCs w:val="24"/>
        </w:rPr>
        <w:footnoteReference w:id="2"/>
      </w:r>
      <w:r>
        <w:rPr>
          <w:noProof/>
          <w:color w:val="000000"/>
          <w:szCs w:val="24"/>
        </w:rPr>
        <w:t xml:space="preserve"> e foi adotada para reforçar o regime jurídico da UE</w:t>
      </w:r>
      <w:r w:rsidR="002F3004">
        <w:rPr>
          <w:noProof/>
          <w:color w:val="000000"/>
          <w:szCs w:val="24"/>
        </w:rPr>
        <w:t xml:space="preserve"> graças a</w:t>
      </w:r>
      <w:r>
        <w:rPr>
          <w:noProof/>
          <w:color w:val="000000"/>
          <w:szCs w:val="24"/>
        </w:rPr>
        <w:t xml:space="preserve">o alargamento dos crimes </w:t>
      </w:r>
      <w:r w:rsidR="000E1C2D">
        <w:rPr>
          <w:noProof/>
          <w:color w:val="000000"/>
          <w:szCs w:val="24"/>
        </w:rPr>
        <w:t xml:space="preserve">relacionados com o terrorismo, </w:t>
      </w:r>
      <w:r>
        <w:rPr>
          <w:noProof/>
          <w:color w:val="000000"/>
          <w:szCs w:val="24"/>
        </w:rPr>
        <w:t>disponibiliza</w:t>
      </w:r>
      <w:r w:rsidR="000E1C2D">
        <w:rPr>
          <w:noProof/>
          <w:color w:val="000000"/>
          <w:szCs w:val="24"/>
        </w:rPr>
        <w:t>r</w:t>
      </w:r>
      <w:r>
        <w:rPr>
          <w:noProof/>
          <w:color w:val="000000"/>
          <w:szCs w:val="24"/>
        </w:rPr>
        <w:t xml:space="preserve"> à polícia e aos procuradores ferramentas para prevenir e combater crimes terroristas e responder melhor às necessidades específicas das vítimas do terrorismo. Relativamente aos Estados-Membros vinculados pela Diretiva</w:t>
      </w:r>
      <w:r>
        <w:rPr>
          <w:rStyle w:val="FootnoteReference"/>
          <w:noProof/>
          <w:color w:val="000000"/>
          <w:szCs w:val="24"/>
        </w:rPr>
        <w:footnoteReference w:id="3"/>
      </w:r>
      <w:r>
        <w:rPr>
          <w:noProof/>
          <w:color w:val="000000"/>
          <w:szCs w:val="24"/>
        </w:rPr>
        <w:t xml:space="preserve">, </w:t>
      </w:r>
      <w:r w:rsidR="002F3004">
        <w:rPr>
          <w:noProof/>
          <w:color w:val="000000"/>
          <w:szCs w:val="24"/>
        </w:rPr>
        <w:t xml:space="preserve">a mesma </w:t>
      </w:r>
      <w:r>
        <w:rPr>
          <w:noProof/>
          <w:color w:val="000000"/>
          <w:szCs w:val="24"/>
        </w:rPr>
        <w:t>estabelece definições harmonizadas de infrações terroristas</w:t>
      </w:r>
      <w:r w:rsidR="002F3004">
        <w:rPr>
          <w:noProof/>
          <w:color w:val="000000"/>
          <w:szCs w:val="24"/>
        </w:rPr>
        <w:t>,</w:t>
      </w:r>
      <w:r>
        <w:rPr>
          <w:noProof/>
          <w:color w:val="000000"/>
          <w:szCs w:val="24"/>
        </w:rPr>
        <w:t xml:space="preserve"> e normas mínimas relativas às sanções passíveis de ser aplicadas, infrações relacionadas com grupos terroristas e infrações relacionadas com atividades terroristas. Serve de quadro de referência para a cooperação e o intercâmbio de informações entre as autoridades nacionais. Uma base comum na UE previne também a existência de lacunas jurídicas suscetíveis de ser</w:t>
      </w:r>
      <w:r w:rsidR="002F3004">
        <w:rPr>
          <w:noProof/>
          <w:color w:val="000000"/>
          <w:szCs w:val="24"/>
        </w:rPr>
        <w:t>em</w:t>
      </w:r>
      <w:r>
        <w:rPr>
          <w:noProof/>
          <w:color w:val="000000"/>
          <w:szCs w:val="24"/>
        </w:rPr>
        <w:t xml:space="preserve"> exploradas por terroristas. Os</w:t>
      </w:r>
      <w:r w:rsidR="002F3004">
        <w:rPr>
          <w:noProof/>
          <w:color w:val="000000"/>
          <w:szCs w:val="24"/>
        </w:rPr>
        <w:t> </w:t>
      </w:r>
      <w:r>
        <w:rPr>
          <w:noProof/>
          <w:color w:val="000000"/>
          <w:szCs w:val="24"/>
        </w:rPr>
        <w:t>recentes acontecimentos no Afeganistão vieram sublinhar uma vez mais a importância de dispor de um quadro sólido para combater o terrorismo, através da repressão penal.</w:t>
      </w:r>
    </w:p>
    <w:p w14:paraId="48491F49" w14:textId="77777777" w:rsidR="00B739AD" w:rsidRDefault="004D0916" w:rsidP="00EB3CDC">
      <w:pPr>
        <w:pStyle w:val="Text1"/>
        <w:ind w:left="0"/>
        <w:rPr>
          <w:noProof/>
          <w:color w:val="000000"/>
          <w:szCs w:val="24"/>
        </w:rPr>
      </w:pPr>
      <w:r>
        <w:rPr>
          <w:noProof/>
          <w:color w:val="000000"/>
          <w:szCs w:val="24"/>
        </w:rPr>
        <w:t>O prazo fixado para a transposição destas normas para o direito nacional terminou em 8</w:t>
      </w:r>
      <w:r w:rsidR="00B739AD">
        <w:rPr>
          <w:noProof/>
          <w:color w:val="000000"/>
          <w:szCs w:val="24"/>
        </w:rPr>
        <w:t> </w:t>
      </w:r>
      <w:r>
        <w:rPr>
          <w:noProof/>
          <w:color w:val="000000"/>
          <w:szCs w:val="24"/>
        </w:rPr>
        <w:t xml:space="preserve">de setembro de 2018. </w:t>
      </w:r>
      <w:r>
        <w:rPr>
          <w:noProof/>
          <w:color w:val="000000"/>
          <w:szCs w:val="24"/>
          <w:shd w:val="clear" w:color="auto" w:fill="FFFFFF"/>
        </w:rPr>
        <w:t>Em setembro de 2020, a Comissão concluiu</w:t>
      </w:r>
      <w:r>
        <w:rPr>
          <w:noProof/>
          <w:color w:val="000000"/>
          <w:szCs w:val="24"/>
        </w:rPr>
        <w:t xml:space="preserve"> que a transposição da Diretiva tinha reforçado consideravelmente a justiça penal dos Estados-Membros no que se refere à prevenção do terrorismo e aos direitos reconhecidos às vítimas</w:t>
      </w:r>
      <w:r>
        <w:rPr>
          <w:rStyle w:val="FootnoteReference"/>
          <w:noProof/>
          <w:color w:val="000000"/>
          <w:szCs w:val="24"/>
        </w:rPr>
        <w:footnoteReference w:id="4"/>
      </w:r>
      <w:r>
        <w:rPr>
          <w:noProof/>
          <w:color w:val="000000"/>
          <w:szCs w:val="24"/>
        </w:rPr>
        <w:t>. Deparou</w:t>
      </w:r>
      <w:r w:rsidR="00B739AD">
        <w:rPr>
          <w:noProof/>
          <w:color w:val="000000"/>
          <w:szCs w:val="24"/>
        </w:rPr>
        <w:noBreakHyphen/>
      </w:r>
      <w:r>
        <w:rPr>
          <w:noProof/>
          <w:color w:val="000000"/>
          <w:szCs w:val="24"/>
        </w:rPr>
        <w:t>se, contudo, com vários problemas de transposição (ver ponto</w:t>
      </w:r>
      <w:r w:rsidR="00B739AD">
        <w:rPr>
          <w:noProof/>
          <w:color w:val="000000"/>
          <w:szCs w:val="24"/>
        </w:rPr>
        <w:t xml:space="preserve"> 2</w:t>
      </w:r>
      <w:r>
        <w:rPr>
          <w:noProof/>
          <w:color w:val="000000"/>
          <w:szCs w:val="24"/>
        </w:rPr>
        <w:t>).</w:t>
      </w:r>
    </w:p>
    <w:p w14:paraId="623B6E55" w14:textId="5E10A6A1" w:rsidR="00B15FCB" w:rsidRDefault="004D0916" w:rsidP="00EB3CDC">
      <w:pPr>
        <w:pStyle w:val="Text1"/>
        <w:ind w:left="0"/>
        <w:rPr>
          <w:noProof/>
        </w:rPr>
      </w:pPr>
      <w:r>
        <w:rPr>
          <w:noProof/>
        </w:rPr>
        <w:t xml:space="preserve">O artigo 29.º, n.º 2, da Diretiva requer que a Comissão apresente ao Parlamento Europeu e ao Conselho um relatório sobre </w:t>
      </w:r>
      <w:r>
        <w:rPr>
          <w:noProof/>
          <w:shd w:val="clear" w:color="auto" w:fill="FFFFFF"/>
        </w:rPr>
        <w:t>o valor acrescentado da Diretiva quanto à luta contra o terrorismo</w:t>
      </w:r>
      <w:r>
        <w:rPr>
          <w:noProof/>
        </w:rPr>
        <w:t>.</w:t>
      </w:r>
      <w:r>
        <w:rPr>
          <w:noProof/>
          <w:shd w:val="clear" w:color="auto" w:fill="FFFFFF"/>
        </w:rPr>
        <w:t xml:space="preserve"> </w:t>
      </w:r>
      <w:r w:rsidR="00500779">
        <w:rPr>
          <w:noProof/>
          <w:shd w:val="clear" w:color="auto" w:fill="FFFFFF"/>
        </w:rPr>
        <w:t>Esse</w:t>
      </w:r>
      <w:r>
        <w:rPr>
          <w:noProof/>
          <w:shd w:val="clear" w:color="auto" w:fill="FFFFFF"/>
        </w:rPr>
        <w:t xml:space="preserve"> relatório </w:t>
      </w:r>
      <w:r w:rsidR="00500779">
        <w:rPr>
          <w:noProof/>
          <w:shd w:val="clear" w:color="auto" w:fill="FFFFFF"/>
        </w:rPr>
        <w:t xml:space="preserve">deve </w:t>
      </w:r>
      <w:r>
        <w:rPr>
          <w:noProof/>
          <w:shd w:val="clear" w:color="auto" w:fill="FFFFFF"/>
        </w:rPr>
        <w:t>abrange</w:t>
      </w:r>
      <w:r w:rsidR="00500779">
        <w:rPr>
          <w:noProof/>
          <w:shd w:val="clear" w:color="auto" w:fill="FFFFFF"/>
        </w:rPr>
        <w:t xml:space="preserve">r igualmente </w:t>
      </w:r>
      <w:r>
        <w:rPr>
          <w:noProof/>
          <w:shd w:val="clear" w:color="auto" w:fill="FFFFFF"/>
        </w:rPr>
        <w:t>o impacto da Diretiva nos direitos e liberdades fundamentais, incluindo a não discriminação, o Estado de Direito e o nível de proteção e assistência prestado às vítimas do terrorismo. Em conformidade com as Orientações sobre Legislar Melhor</w:t>
      </w:r>
      <w:r>
        <w:rPr>
          <w:rStyle w:val="FootnoteReference"/>
          <w:noProof/>
          <w:color w:val="000000"/>
          <w:szCs w:val="24"/>
          <w:shd w:val="clear" w:color="auto" w:fill="FFFFFF"/>
        </w:rPr>
        <w:footnoteReference w:id="5"/>
      </w:r>
      <w:r>
        <w:rPr>
          <w:noProof/>
          <w:shd w:val="clear" w:color="auto" w:fill="FFFFFF"/>
        </w:rPr>
        <w:t xml:space="preserve">, a Comissão aproveitou igualmente a oportunidade para avaliar a Diretiva em termos de pertinência, eficácia, eficiência, coerência e valor acrescentado para a UE. </w:t>
      </w:r>
      <w:r>
        <w:rPr>
          <w:noProof/>
        </w:rPr>
        <w:t xml:space="preserve">Estes critérios de avaliação são utilizados a partir da data de entrada em vigor da Diretiva (20 de abril de 2017) e até junho de 2021. Uma vez que a Comissão apresentou a sua proposta para a Diretiva em 2015, é este o ponto de referência utilizado para </w:t>
      </w:r>
      <w:r w:rsidR="00B15FCB">
        <w:rPr>
          <w:noProof/>
        </w:rPr>
        <w:t>avaliar a situação inicial.</w:t>
      </w:r>
    </w:p>
    <w:p w14:paraId="411ADF86" w14:textId="7079E7D8" w:rsidR="00770B4B" w:rsidRPr="00D5365A" w:rsidRDefault="004D0916" w:rsidP="00EB3CDC">
      <w:pPr>
        <w:pStyle w:val="Text1"/>
        <w:ind w:left="0"/>
        <w:rPr>
          <w:noProof/>
          <w:shd w:val="clear" w:color="auto" w:fill="FFFFFF"/>
        </w:rPr>
      </w:pPr>
      <w:r>
        <w:rPr>
          <w:noProof/>
          <w:shd w:val="clear" w:color="auto" w:fill="FFFFFF"/>
        </w:rPr>
        <w:t xml:space="preserve">As conclusões pormenorizadas da avaliação, bem como a metodologia usada, são apresentadas num documento de trabalho dos serviços da Comissão. </w:t>
      </w:r>
      <w:r>
        <w:rPr>
          <w:noProof/>
        </w:rPr>
        <w:t xml:space="preserve">O Comité de Controlo da Regulamentação foi consultado sobre o </w:t>
      </w:r>
      <w:r>
        <w:rPr>
          <w:noProof/>
          <w:shd w:val="clear" w:color="auto" w:fill="FFFFFF"/>
        </w:rPr>
        <w:t>documento de trabalho dos serviços da Comissão</w:t>
      </w:r>
      <w:r>
        <w:rPr>
          <w:noProof/>
        </w:rPr>
        <w:t xml:space="preserve"> em 14 de julho de 2021. Em 16 de julho de 2021, emitiu um parecer positivo com recomendações de melhorias, que foram utilizadas para rever o documento. </w:t>
      </w:r>
      <w:r>
        <w:rPr>
          <w:noProof/>
          <w:shd w:val="clear" w:color="auto" w:fill="FFFFFF"/>
        </w:rPr>
        <w:t>As principais conclusões da avaliação encontram-se resumidas no ponto 3 do presente relatório. Em 1 de julho de 2021</w:t>
      </w:r>
      <w:r>
        <w:rPr>
          <w:noProof/>
        </w:rPr>
        <w:t>, a Comissão organizou um seminário específico com os Estados-Membros para discutir os próximos passos, no qual participaram igualmente a Europol, a Eurojust e o gabinete do Coordenador da Luta Antiterrorista da UE.</w:t>
      </w:r>
    </w:p>
    <w:p w14:paraId="4F498351" w14:textId="590839B3" w:rsidR="00770B4B" w:rsidRPr="00D5365A" w:rsidRDefault="00770B4B" w:rsidP="00E92E66">
      <w:pPr>
        <w:pStyle w:val="Heading1"/>
        <w:spacing w:after="0"/>
        <w:rPr>
          <w:noProof/>
          <w:color w:val="000000"/>
          <w:szCs w:val="24"/>
        </w:rPr>
      </w:pPr>
      <w:r>
        <w:rPr>
          <w:noProof/>
          <w:color w:val="000000"/>
          <w:szCs w:val="24"/>
        </w:rPr>
        <w:t>Contexto</w:t>
      </w:r>
    </w:p>
    <w:p w14:paraId="35824ABD" w14:textId="77777777" w:rsidR="00B15FCB" w:rsidRDefault="00B15FCB" w:rsidP="00770B4B">
      <w:pPr>
        <w:pStyle w:val="BodyText"/>
        <w:rPr>
          <w:noProof/>
          <w:color w:val="000000"/>
          <w:szCs w:val="24"/>
        </w:rPr>
      </w:pPr>
    </w:p>
    <w:p w14:paraId="1D6ECDF6" w14:textId="094670E2" w:rsidR="004B33D0" w:rsidRDefault="00770B4B" w:rsidP="00770B4B">
      <w:pPr>
        <w:pStyle w:val="BodyText"/>
        <w:rPr>
          <w:noProof/>
          <w:color w:val="000000"/>
          <w:szCs w:val="24"/>
        </w:rPr>
      </w:pPr>
      <w:r>
        <w:rPr>
          <w:noProof/>
          <w:color w:val="000000"/>
          <w:szCs w:val="24"/>
        </w:rPr>
        <w:t>A Diretiva</w:t>
      </w:r>
      <w:r w:rsidR="005129F0">
        <w:rPr>
          <w:noProof/>
          <w:color w:val="000000"/>
          <w:szCs w:val="24"/>
        </w:rPr>
        <w:t xml:space="preserve"> </w:t>
      </w:r>
      <w:r>
        <w:rPr>
          <w:noProof/>
          <w:color w:val="000000"/>
          <w:szCs w:val="24"/>
          <w:shd w:val="clear" w:color="auto" w:fill="FFFFFF"/>
        </w:rPr>
        <w:t xml:space="preserve">é a pedra angular da resposta dada </w:t>
      </w:r>
      <w:r w:rsidR="005129F0">
        <w:rPr>
          <w:noProof/>
          <w:color w:val="000000"/>
          <w:szCs w:val="24"/>
          <w:shd w:val="clear" w:color="auto" w:fill="FFFFFF"/>
        </w:rPr>
        <w:t>a</w:t>
      </w:r>
      <w:r>
        <w:rPr>
          <w:noProof/>
          <w:color w:val="000000"/>
          <w:szCs w:val="24"/>
          <w:shd w:val="clear" w:color="auto" w:fill="FFFFFF"/>
        </w:rPr>
        <w:t>o terrorismo pelos sistemas de justiça penal dos Estados-Membros</w:t>
      </w:r>
      <w:r>
        <w:rPr>
          <w:noProof/>
          <w:color w:val="000000"/>
          <w:szCs w:val="24"/>
        </w:rPr>
        <w:t>.</w:t>
      </w:r>
      <w:r>
        <w:rPr>
          <w:noProof/>
          <w:color w:val="000000"/>
          <w:szCs w:val="24"/>
          <w:shd w:val="clear" w:color="auto" w:fill="FFFFFF"/>
        </w:rPr>
        <w:t xml:space="preserve"> Introduz um regime ju</w:t>
      </w:r>
      <w:r w:rsidR="005129F0">
        <w:rPr>
          <w:noProof/>
          <w:color w:val="000000"/>
          <w:szCs w:val="24"/>
          <w:shd w:val="clear" w:color="auto" w:fill="FFFFFF"/>
        </w:rPr>
        <w:t>rídico comum a todos os Estados</w:t>
      </w:r>
      <w:r w:rsidR="005129F0">
        <w:rPr>
          <w:noProof/>
          <w:color w:val="000000"/>
          <w:szCs w:val="24"/>
          <w:shd w:val="clear" w:color="auto" w:fill="FFFFFF"/>
        </w:rPr>
        <w:noBreakHyphen/>
      </w:r>
      <w:r>
        <w:rPr>
          <w:noProof/>
          <w:color w:val="000000"/>
          <w:szCs w:val="24"/>
          <w:shd w:val="clear" w:color="auto" w:fill="FFFFFF"/>
        </w:rPr>
        <w:t xml:space="preserve">Membros e serve de quadro de referência para o intercâmbio de informações e a cooperação. </w:t>
      </w:r>
      <w:r>
        <w:rPr>
          <w:noProof/>
          <w:color w:val="000000"/>
          <w:szCs w:val="24"/>
        </w:rPr>
        <w:t>Entre</w:t>
      </w:r>
      <w:r w:rsidR="00175CA4">
        <w:rPr>
          <w:noProof/>
          <w:color w:val="000000"/>
          <w:szCs w:val="24"/>
        </w:rPr>
        <w:t> </w:t>
      </w:r>
      <w:r>
        <w:rPr>
          <w:noProof/>
          <w:color w:val="000000"/>
          <w:szCs w:val="24"/>
        </w:rPr>
        <w:t>outros objetivos, foi adotada para ter em conta a evolução da ameaça terrorista na UE e cumprir obrigações legais da UE e dos Estados-Membros por força do direito internacional</w:t>
      </w:r>
      <w:r>
        <w:rPr>
          <w:rStyle w:val="FootnoteReference"/>
          <w:noProof/>
          <w:color w:val="000000"/>
          <w:szCs w:val="24"/>
        </w:rPr>
        <w:footnoteReference w:id="6"/>
      </w:r>
      <w:r>
        <w:rPr>
          <w:noProof/>
          <w:color w:val="000000"/>
          <w:szCs w:val="24"/>
        </w:rPr>
        <w:t>, nomeadamente no que respeita ao fenómeno dos combatentes terroristas estrangeiros e ao financiamento do terrorismo. Inicialmente, a Comissão planeava realizar uma avaliação de impacto em 2015 e, caso se justificasse, apresentar uma proposta legislativa em 2016. Uma série de atentados terroristas cometidos em França, na Bélgica, na Dinamarca e na Alemanha vieram sublinhar, contudo, a necessidade de agir sem demora. Por conseguinte, dada a urgência na sua adoção, não foi realizada qualquer avaliação do impacto da Diretiva, tendo a proposta da Comissão sido publicada em 2 de dezembro de 2015.</w:t>
      </w:r>
    </w:p>
    <w:p w14:paraId="3AFE7BD1" w14:textId="2FE71F8C" w:rsidR="00770B4B" w:rsidRPr="00D5365A" w:rsidRDefault="00770B4B" w:rsidP="00770B4B">
      <w:pPr>
        <w:pStyle w:val="BodyText"/>
        <w:rPr>
          <w:noProof/>
          <w:color w:val="000000"/>
          <w:szCs w:val="24"/>
          <w:shd w:val="clear" w:color="auto" w:fill="FFFFFF"/>
        </w:rPr>
      </w:pPr>
      <w:r>
        <w:rPr>
          <w:noProof/>
          <w:color w:val="000000"/>
          <w:szCs w:val="24"/>
        </w:rPr>
        <w:t>O objetivo geral da Diretiva é combater o terrorismo através do direito penal. Mais</w:t>
      </w:r>
      <w:r w:rsidR="00175CA4">
        <w:rPr>
          <w:noProof/>
          <w:color w:val="000000"/>
          <w:szCs w:val="24"/>
        </w:rPr>
        <w:t> </w:t>
      </w:r>
      <w:r>
        <w:rPr>
          <w:noProof/>
          <w:color w:val="000000"/>
          <w:szCs w:val="24"/>
        </w:rPr>
        <w:t>especificamente, visa:</w:t>
      </w:r>
    </w:p>
    <w:p w14:paraId="4FE0DEF6" w14:textId="77777777" w:rsidR="00770B4B" w:rsidRPr="00D5365A" w:rsidRDefault="00770B4B" w:rsidP="00770B4B">
      <w:pPr>
        <w:pStyle w:val="ListParagraph"/>
        <w:numPr>
          <w:ilvl w:val="0"/>
          <w:numId w:val="32"/>
        </w:numPr>
        <w:contextualSpacing w:val="0"/>
        <w:rPr>
          <w:noProof/>
          <w:color w:val="000000"/>
          <w:sz w:val="24"/>
          <w:szCs w:val="24"/>
        </w:rPr>
      </w:pPr>
      <w:r>
        <w:rPr>
          <w:noProof/>
          <w:color w:val="000000"/>
          <w:sz w:val="24"/>
          <w:szCs w:val="24"/>
        </w:rPr>
        <w:t>Aproximar a definição de infrações terroristas, infrações relacionadas com grupos terroristas e infrações relacionadas com atividades terroristas, servindo de quadro de referência para o intercâmbio de informações e a cooperação entre as autoridades nacionais competentes;</w:t>
      </w:r>
    </w:p>
    <w:p w14:paraId="00D65BA3" w14:textId="062E6FC7" w:rsidR="00770B4B" w:rsidRPr="00D5365A" w:rsidRDefault="00770B4B" w:rsidP="00770B4B">
      <w:pPr>
        <w:pStyle w:val="ListParagraph"/>
        <w:numPr>
          <w:ilvl w:val="0"/>
          <w:numId w:val="32"/>
        </w:numPr>
        <w:contextualSpacing w:val="0"/>
        <w:rPr>
          <w:noProof/>
          <w:color w:val="000000"/>
          <w:sz w:val="24"/>
          <w:szCs w:val="24"/>
        </w:rPr>
      </w:pPr>
      <w:r>
        <w:rPr>
          <w:noProof/>
          <w:color w:val="000000"/>
          <w:sz w:val="24"/>
          <w:szCs w:val="24"/>
        </w:rPr>
        <w:t>Estabelecer regras mínimas relativas à definição das infrações penais e das sanções em matéria de infrações terroristas, infrações relacionadas com grupos terroristas e infrações relacionadas com as atividades terroristas; e</w:t>
      </w:r>
    </w:p>
    <w:p w14:paraId="4A1A508D" w14:textId="77777777" w:rsidR="004B33D0" w:rsidRPr="004B33D0" w:rsidRDefault="00770B4B" w:rsidP="00E92E66">
      <w:pPr>
        <w:pStyle w:val="ListParagraph"/>
        <w:numPr>
          <w:ilvl w:val="0"/>
          <w:numId w:val="32"/>
        </w:numPr>
        <w:contextualSpacing w:val="0"/>
        <w:rPr>
          <w:noProof/>
          <w:color w:val="000000"/>
          <w:sz w:val="24"/>
          <w:szCs w:val="24"/>
        </w:rPr>
      </w:pPr>
      <w:r>
        <w:rPr>
          <w:noProof/>
          <w:color w:val="000000"/>
          <w:sz w:val="24"/>
          <w:szCs w:val="24"/>
        </w:rPr>
        <w:t>Reforçar as medidas de proteção, apoio e assistência às vítimas do terrorismo.</w:t>
      </w:r>
    </w:p>
    <w:p w14:paraId="017D2416" w14:textId="26FC51E2" w:rsidR="00770B4B" w:rsidRPr="00D5365A" w:rsidRDefault="00770B4B" w:rsidP="004B33D0">
      <w:pPr>
        <w:pStyle w:val="Normal1"/>
        <w:rPr>
          <w:noProof/>
        </w:rPr>
      </w:pPr>
    </w:p>
    <w:p w14:paraId="67C19758" w14:textId="22B2FEBA" w:rsidR="00B730AB" w:rsidRPr="00D5365A" w:rsidRDefault="00B730AB" w:rsidP="00B730AB">
      <w:pPr>
        <w:pStyle w:val="Text1"/>
        <w:ind w:left="0"/>
        <w:rPr>
          <w:noProof/>
          <w:color w:val="000000"/>
          <w:szCs w:val="24"/>
        </w:rPr>
      </w:pPr>
      <w:r>
        <w:rPr>
          <w:noProof/>
          <w:color w:val="000000"/>
          <w:szCs w:val="24"/>
        </w:rPr>
        <w:t>Em 2020, a Comissão avaliou a transposição da Diretiva e publicou um relatório</w:t>
      </w:r>
      <w:r>
        <w:rPr>
          <w:rStyle w:val="FootnoteReference"/>
          <w:noProof/>
          <w:color w:val="000000"/>
          <w:szCs w:val="24"/>
        </w:rPr>
        <w:footnoteReference w:id="7"/>
      </w:r>
      <w:r>
        <w:rPr>
          <w:noProof/>
          <w:color w:val="000000"/>
          <w:szCs w:val="24"/>
        </w:rPr>
        <w:t xml:space="preserve"> em que identificava várias insuficiências, tendo concluído que o seu funcionamento poderia ser reforçado mediante a correta transposição a nível nacional. Conforme mencionado no ponto 1, o relatório sobre a transposição identificou vários problemas, nomeadamente:</w:t>
      </w:r>
    </w:p>
    <w:p w14:paraId="3C076C4D" w14:textId="77777777" w:rsidR="002E133A" w:rsidRPr="00D5365A" w:rsidRDefault="002E133A" w:rsidP="002E133A">
      <w:pPr>
        <w:pStyle w:val="ListBullet"/>
        <w:rPr>
          <w:noProof/>
          <w:color w:val="000000"/>
          <w:szCs w:val="24"/>
        </w:rPr>
      </w:pPr>
      <w:r>
        <w:rPr>
          <w:noProof/>
          <w:color w:val="000000"/>
          <w:szCs w:val="24"/>
        </w:rPr>
        <w:t>A transposição incompleta ou incorreta de uma ou mais infrações terroristas enunciadas no artigo 3.º da Diretiva, designadamente a não qualificação das infrações enumeradas como infrações terroristas, o que tem impacto na transposição de várias outras disposições;</w:t>
      </w:r>
    </w:p>
    <w:p w14:paraId="03D2A5F6" w14:textId="77777777" w:rsidR="002E133A" w:rsidRPr="00D5365A" w:rsidRDefault="002E133A" w:rsidP="002E133A">
      <w:pPr>
        <w:pStyle w:val="ListBullet"/>
        <w:rPr>
          <w:noProof/>
          <w:color w:val="000000"/>
          <w:szCs w:val="24"/>
        </w:rPr>
      </w:pPr>
      <w:r>
        <w:rPr>
          <w:noProof/>
          <w:color w:val="000000"/>
          <w:szCs w:val="24"/>
        </w:rPr>
        <w:t>A não transposição do elemento «contribuir para a sua prática» que consta dos artigos 6.º, 7.º, 8.º, 9.º e 11.º da Diretiva;</w:t>
      </w:r>
    </w:p>
    <w:p w14:paraId="433575A1" w14:textId="77777777" w:rsidR="002E133A" w:rsidRPr="00D5365A" w:rsidRDefault="002E133A" w:rsidP="002E133A">
      <w:pPr>
        <w:pStyle w:val="ListBullet"/>
        <w:rPr>
          <w:noProof/>
          <w:color w:val="000000"/>
          <w:szCs w:val="24"/>
        </w:rPr>
      </w:pPr>
      <w:r>
        <w:rPr>
          <w:noProof/>
          <w:color w:val="000000"/>
          <w:szCs w:val="24"/>
        </w:rPr>
        <w:t>A transposição incompleta ou incorreta do artigo 9.º, relativo a deslocações para fins de terrorismo, e do artigo 11.º, relativo ao financiamento do terrorismo, duas das novas disposições introduzidas pela Diretiva; e</w:t>
      </w:r>
    </w:p>
    <w:p w14:paraId="74EE8238" w14:textId="77777777" w:rsidR="002E133A" w:rsidRPr="00D5365A" w:rsidRDefault="002E133A" w:rsidP="002E133A">
      <w:pPr>
        <w:pStyle w:val="ListBullet"/>
        <w:rPr>
          <w:noProof/>
          <w:color w:val="000000"/>
          <w:szCs w:val="24"/>
        </w:rPr>
      </w:pPr>
      <w:r>
        <w:rPr>
          <w:noProof/>
          <w:color w:val="000000"/>
          <w:szCs w:val="24"/>
        </w:rPr>
        <w:t>Lacunas na transposição das disposições específicas relativas às vítimas do terrorismo.</w:t>
      </w:r>
    </w:p>
    <w:p w14:paraId="01AA0BDF" w14:textId="4024195F" w:rsidR="00B730AB" w:rsidRPr="00D5365A" w:rsidRDefault="00B730AB" w:rsidP="00B730AB">
      <w:pPr>
        <w:pStyle w:val="ListBullet"/>
        <w:numPr>
          <w:ilvl w:val="0"/>
          <w:numId w:val="0"/>
        </w:numPr>
        <w:rPr>
          <w:noProof/>
        </w:rPr>
      </w:pPr>
      <w:r>
        <w:rPr>
          <w:noProof/>
        </w:rPr>
        <w:t>A presente avaliação efetua uma análise mais abrangente sobre o funcionamento da Diretiva, para além da mera transposição. A metodologia utilizada combina investigação documental e investigação de campo. Foi consultado um vasto leque de partes interessadas, nomeadamente as autoridades nacionais responsáveis pela aplicação da Diretiva, várias direções-gerais da Comissão, o Serviço Europeu para a Ação Externa, a Agência dos Direitos Fundamentais da União Europeia (FRA), a Agência da União Europeia para a Cooperação Policial (Europol), a Agência Europeia para a Cooperação Judiciária Penal (Eurojust) e a sociedade civil, incluindo as organizações de direitos humanos, o mundo académico, grupos de reflexão e o público em geral. Foi elaborado um estudo de avaliação externa para apoiar a avaliação (a seguir designado «estudo</w:t>
      </w:r>
      <w:r w:rsidR="00175CA4">
        <w:rPr>
          <w:noProof/>
        </w:rPr>
        <w:t> </w:t>
      </w:r>
      <w:r>
        <w:rPr>
          <w:noProof/>
        </w:rPr>
        <w:t xml:space="preserve">externo»). </w:t>
      </w:r>
      <w:r>
        <w:rPr>
          <w:noProof/>
          <w:color w:val="000000"/>
          <w:szCs w:val="24"/>
        </w:rPr>
        <w:t xml:space="preserve">Esse estudo foi realizado pela ICF Consulting Services Limited, na sequência de um convite à apresentação de propostas para prestação de serviços no âmbito de um contrato-quadro. A avaliação foi realizada através de métodos mistos, com base na triangulação de várias fontes. </w:t>
      </w:r>
      <w:r>
        <w:rPr>
          <w:noProof/>
        </w:rPr>
        <w:t>Além disso, por pedido da Comissão de abril de 2021, a FRA apresentou à Comissão o seu contributo quanto ao impacto da Diretiva em termos de direitos e liberdades fundamentais. Para ess</w:t>
      </w:r>
      <w:r w:rsidR="00F67BB6">
        <w:rPr>
          <w:noProof/>
        </w:rPr>
        <w:t>e efeito, a FRA entrevistou 107 </w:t>
      </w:r>
      <w:r>
        <w:rPr>
          <w:noProof/>
        </w:rPr>
        <w:t>profissionais (advogados de defesa, juízes e juízes de instrução, autoridades policiais, magistrados do Ministério Público, ONG e mundo académico). No outono de 2021, será publicado um relatório mais detalhado com as principais conclusões e os pareceres da FRA. A Eurojust deu um contributo sobre as disposições da Diretiva utilizada nas ações penais e condenações mais recentes. A Comissão solicitou que esse contributo tivesse em conta a informação disponibilizada pelos Estados-Membros nos termos da Decisão 2005/671/JAI, como exigido pelo artigo 29.º, n.º 2 da Diretiva. Por último, por iniciativa própria, o Comité Económico e Social Europeu realizou uma avaliação independente da Diretiva e elaborou um relatório de informação, que também foi utilizado na presente avaliação</w:t>
      </w:r>
      <w:r>
        <w:rPr>
          <w:rStyle w:val="FootnoteReference"/>
          <w:noProof/>
          <w:color w:val="000000"/>
          <w:szCs w:val="24"/>
        </w:rPr>
        <w:footnoteReference w:id="8"/>
      </w:r>
      <w:r w:rsidR="00C676EB">
        <w:rPr>
          <w:noProof/>
        </w:rPr>
        <w:t>.</w:t>
      </w:r>
    </w:p>
    <w:p w14:paraId="1E7691A0" w14:textId="300873A6" w:rsidR="00A83436" w:rsidRPr="00D5365A" w:rsidRDefault="00AB2B7C" w:rsidP="00E92E66">
      <w:pPr>
        <w:pStyle w:val="Heading1"/>
        <w:spacing w:before="0" w:after="0"/>
        <w:rPr>
          <w:noProof/>
          <w:color w:val="000000"/>
          <w:szCs w:val="24"/>
        </w:rPr>
      </w:pPr>
      <w:r>
        <w:rPr>
          <w:noProof/>
          <w:color w:val="000000"/>
          <w:szCs w:val="24"/>
        </w:rPr>
        <w:t>Principais conclusões</w:t>
      </w:r>
    </w:p>
    <w:p w14:paraId="30A6B82A" w14:textId="77777777" w:rsidR="00B15FCB" w:rsidRDefault="00B15FCB" w:rsidP="00E92E66">
      <w:pPr>
        <w:pStyle w:val="BodyText"/>
        <w:rPr>
          <w:noProof/>
          <w:color w:val="000000"/>
          <w:szCs w:val="24"/>
        </w:rPr>
      </w:pPr>
    </w:p>
    <w:p w14:paraId="7052A5DD" w14:textId="02020728" w:rsidR="00ED4F23" w:rsidRPr="00D5365A" w:rsidRDefault="00C05BA4" w:rsidP="00E92E66">
      <w:pPr>
        <w:pStyle w:val="BodyText"/>
        <w:rPr>
          <w:b/>
          <w:noProof/>
          <w:color w:val="000000"/>
          <w:szCs w:val="24"/>
          <w:u w:val="single"/>
        </w:rPr>
      </w:pPr>
      <w:r>
        <w:rPr>
          <w:noProof/>
          <w:color w:val="000000"/>
          <w:szCs w:val="24"/>
        </w:rPr>
        <w:t>De um modo geral, o funcionamento da Diretiva foi avaliado positivamente. A Diretiva funcionou corretamente e alcançou largamente os seus objetivos. Mais especificamente, com base nas fontes supramencionadas, a avaliação concluiu que:</w:t>
      </w:r>
    </w:p>
    <w:p w14:paraId="2DB21389" w14:textId="35766C3E" w:rsidR="00ED4F23" w:rsidRPr="00D5365A" w:rsidRDefault="00ED4F23" w:rsidP="00231AB2">
      <w:pPr>
        <w:pStyle w:val="ListParagraph"/>
        <w:numPr>
          <w:ilvl w:val="0"/>
          <w:numId w:val="33"/>
        </w:numPr>
        <w:spacing w:after="240"/>
        <w:contextualSpacing w:val="0"/>
        <w:rPr>
          <w:noProof/>
          <w:color w:val="000000"/>
          <w:sz w:val="24"/>
          <w:szCs w:val="24"/>
        </w:rPr>
      </w:pPr>
      <w:r>
        <w:rPr>
          <w:noProof/>
          <w:color w:val="000000"/>
          <w:sz w:val="24"/>
          <w:szCs w:val="24"/>
        </w:rPr>
        <w:t>O âmbito e as definições da Diretiva, bem como as suas regras mínimas, são em geral extremamente pertinentes. A avaliação concluiu igualmente que a Diretiva deverá permanecer relevante nos próximos anos,</w:t>
      </w:r>
    </w:p>
    <w:p w14:paraId="23A4392D" w14:textId="15F97E09" w:rsidR="00ED4F23" w:rsidRPr="00D5365A" w:rsidRDefault="00ED4F23" w:rsidP="00231AB2">
      <w:pPr>
        <w:pStyle w:val="ListParagraph"/>
        <w:numPr>
          <w:ilvl w:val="0"/>
          <w:numId w:val="33"/>
        </w:numPr>
        <w:spacing w:after="240"/>
        <w:contextualSpacing w:val="0"/>
        <w:rPr>
          <w:noProof/>
          <w:color w:val="000000"/>
          <w:sz w:val="24"/>
          <w:szCs w:val="24"/>
        </w:rPr>
      </w:pPr>
      <w:r>
        <w:rPr>
          <w:noProof/>
          <w:color w:val="000000"/>
          <w:sz w:val="24"/>
          <w:szCs w:val="24"/>
        </w:rPr>
        <w:t>tendo alcançado os seus objetivos de forma satisfatória. Existem, contudo, fatores que limitam a sua eficácia, nomeadamente no que diz respeito à luta contra o terrorismo de extrema-direita.</w:t>
      </w:r>
    </w:p>
    <w:p w14:paraId="6E3234FB" w14:textId="2D64524E" w:rsidR="00ED4F23" w:rsidRPr="00D5365A" w:rsidRDefault="00ED4F23" w:rsidP="00231AB2">
      <w:pPr>
        <w:pStyle w:val="ListParagraph"/>
        <w:numPr>
          <w:ilvl w:val="0"/>
          <w:numId w:val="33"/>
        </w:numPr>
        <w:spacing w:after="240"/>
        <w:contextualSpacing w:val="0"/>
        <w:rPr>
          <w:noProof/>
          <w:color w:val="000000"/>
          <w:sz w:val="24"/>
          <w:szCs w:val="24"/>
        </w:rPr>
      </w:pPr>
      <w:r>
        <w:rPr>
          <w:noProof/>
          <w:color w:val="000000"/>
          <w:sz w:val="24"/>
          <w:szCs w:val="24"/>
        </w:rPr>
        <w:t>Não existem provas conclusivas sobre os custos exatos para alcançar os seus resultados. No entanto, os custos associados à sua aplicação parecem ser baixos, tendo a maioria dos consultados indicado que a Diretiva introduziu algumas melhorias ou melhorias significativas, nomeadamente o reforço da cl</w:t>
      </w:r>
      <w:r w:rsidR="00F67BB6">
        <w:rPr>
          <w:noProof/>
          <w:color w:val="000000"/>
          <w:sz w:val="24"/>
          <w:szCs w:val="24"/>
        </w:rPr>
        <w:t>areza jurídica e da cooperação.</w:t>
      </w:r>
    </w:p>
    <w:p w14:paraId="172785E2" w14:textId="31C7CE36" w:rsidR="00ED4F23" w:rsidRPr="00D5365A" w:rsidRDefault="00ED4F23" w:rsidP="00231AB2">
      <w:pPr>
        <w:pStyle w:val="ListParagraph"/>
        <w:numPr>
          <w:ilvl w:val="0"/>
          <w:numId w:val="33"/>
        </w:numPr>
        <w:spacing w:after="240"/>
        <w:contextualSpacing w:val="0"/>
        <w:rPr>
          <w:noProof/>
          <w:color w:val="000000"/>
          <w:sz w:val="24"/>
          <w:szCs w:val="24"/>
        </w:rPr>
      </w:pPr>
      <w:r>
        <w:rPr>
          <w:noProof/>
          <w:color w:val="000000"/>
          <w:sz w:val="24"/>
          <w:szCs w:val="24"/>
        </w:rPr>
        <w:t>No geral, a Diretiva é coerente internamente. A avaliação concluiu igualmente que a Diretiva é amplamente coerente com outras intervenções relevantes, a nível nacional, da UE e internacional.</w:t>
      </w:r>
    </w:p>
    <w:p w14:paraId="6247FCF3" w14:textId="713DD0C2" w:rsidR="00ED4F23" w:rsidRPr="00B730AB" w:rsidRDefault="00ED4F23" w:rsidP="00B730AB">
      <w:pPr>
        <w:pStyle w:val="ListParagraph"/>
        <w:numPr>
          <w:ilvl w:val="0"/>
          <w:numId w:val="33"/>
        </w:numPr>
        <w:spacing w:after="240"/>
        <w:contextualSpacing w:val="0"/>
        <w:rPr>
          <w:noProof/>
          <w:color w:val="000000"/>
          <w:sz w:val="24"/>
          <w:szCs w:val="24"/>
        </w:rPr>
      </w:pPr>
      <w:r>
        <w:rPr>
          <w:noProof/>
          <w:color w:val="000000"/>
          <w:sz w:val="24"/>
          <w:szCs w:val="24"/>
        </w:rPr>
        <w:t>Em termos de valor acrescentado para a UE, a avaliação concluiu que a Diretiva gerou valor acrescentado para além do que poderia ter sido alcançado unilateralmente pelos Estados-Membros ou a nível internacional. Proporcionou igualmente valor acrescentado comparativamente com a Decisão-Quadro. Ofereceu um claro valor acrescentado na luta contra o terrorismo. Relativamente aos artigos sobre os direitos das vítimas do terrorismo (artigos 24.º a 26.º), no que se refere ao respetivo valor acrescentado para a UE, as opiniões dos intervenientes são ligeiramente mais divergentes, apesar de a avaliação ser positiva no geral.</w:t>
      </w:r>
    </w:p>
    <w:p w14:paraId="7EBFEBE9" w14:textId="2A24B1E2" w:rsidR="00ED4F23" w:rsidRPr="00D5365A" w:rsidRDefault="00ED4F23" w:rsidP="00231AB2">
      <w:pPr>
        <w:pStyle w:val="ListParagraph"/>
        <w:numPr>
          <w:ilvl w:val="0"/>
          <w:numId w:val="33"/>
        </w:numPr>
        <w:spacing w:after="240"/>
        <w:contextualSpacing w:val="0"/>
        <w:rPr>
          <w:noProof/>
          <w:color w:val="000000"/>
          <w:sz w:val="24"/>
          <w:szCs w:val="24"/>
        </w:rPr>
      </w:pPr>
      <w:r>
        <w:rPr>
          <w:noProof/>
          <w:color w:val="000000"/>
          <w:sz w:val="24"/>
          <w:szCs w:val="24"/>
        </w:rPr>
        <w:t>Embora a Diretiva tenha tido impacto nos direitos e liberdades fundamentais, essas limitações cumprem amplamente os requisitos de necessidade e proporcionalidade. Globalmente, a maioria dos intervenientes consultados para o estudo externo consideraram que a aplicação da Diretiva não suscitou problemas do ponto de vista dos direitos fundamentais. No entanto, foram identificadas algumas questões suscetíveis de criar tensão com os requisitos de necessidade e proporcionalidade, dos quais alguns estão associados diretamente ao âmbito de aplicação da Diretiva, enquanto outros apenas estão associados indiretamente (por</w:t>
      </w:r>
      <w:r w:rsidR="00175CA4">
        <w:rPr>
          <w:noProof/>
          <w:color w:val="000000"/>
          <w:sz w:val="24"/>
          <w:szCs w:val="24"/>
        </w:rPr>
        <w:t> </w:t>
      </w:r>
      <w:r>
        <w:rPr>
          <w:noProof/>
          <w:color w:val="000000"/>
          <w:sz w:val="24"/>
          <w:szCs w:val="24"/>
        </w:rPr>
        <w:t>exemplo, os direitos processuais dos suspeitos de terrorismo). Apesar das medidas de salvaguarda implementadas nos Estados-Membros para impedir a discriminação, alguns intervenientes criticaram as medidas de combate ao terrorismo, incluindo as abrangidas pela Diretiva, por poderem ter efeitos adversos para grupos com risco acrescido de serem confrontad</w:t>
      </w:r>
      <w:r w:rsidR="005129F0">
        <w:rPr>
          <w:noProof/>
          <w:color w:val="000000"/>
          <w:sz w:val="24"/>
          <w:szCs w:val="24"/>
        </w:rPr>
        <w:t>os com discriminação e racismo.</w:t>
      </w:r>
    </w:p>
    <w:p w14:paraId="23CA5098" w14:textId="415C0E9C" w:rsidR="00ED4F23" w:rsidRPr="00D5365A" w:rsidRDefault="00B730AB" w:rsidP="00231AB2">
      <w:pPr>
        <w:pStyle w:val="ListParagraph"/>
        <w:numPr>
          <w:ilvl w:val="0"/>
          <w:numId w:val="33"/>
        </w:numPr>
        <w:spacing w:after="240"/>
        <w:contextualSpacing w:val="0"/>
        <w:rPr>
          <w:noProof/>
          <w:color w:val="000000"/>
          <w:sz w:val="24"/>
          <w:szCs w:val="24"/>
        </w:rPr>
      </w:pPr>
      <w:r>
        <w:rPr>
          <w:noProof/>
          <w:color w:val="000000"/>
          <w:sz w:val="24"/>
          <w:szCs w:val="24"/>
        </w:rPr>
        <w:t>Do mesmo modo, a Diretiva teve um impacto limitado no Estado de direito e, de um modo geral, não gerou problemas a este respeito. Foram expressas, contudo, algumas preocupações quanto ao processo de adoção da Diretiva (sem avaliação de impacto) e à sua clareza jurídica, bem como à obtenção de prova de intenção terrorista e previsibilidade, e impacto sobre atividades l</w:t>
      </w:r>
      <w:r w:rsidR="00CD2BC2">
        <w:rPr>
          <w:noProof/>
          <w:color w:val="000000"/>
          <w:sz w:val="24"/>
          <w:szCs w:val="24"/>
        </w:rPr>
        <w:t>í</w:t>
      </w:r>
      <w:r>
        <w:rPr>
          <w:noProof/>
          <w:color w:val="000000"/>
          <w:sz w:val="24"/>
          <w:szCs w:val="24"/>
        </w:rPr>
        <w:t>citas. Apesar destas preocupações, o impacto negativo geral destas que</w:t>
      </w:r>
      <w:r w:rsidR="005129F0">
        <w:rPr>
          <w:noProof/>
          <w:color w:val="000000"/>
          <w:sz w:val="24"/>
          <w:szCs w:val="24"/>
        </w:rPr>
        <w:t>stões foi considerado limitado.</w:t>
      </w:r>
    </w:p>
    <w:p w14:paraId="23828FF1" w14:textId="68A36C03" w:rsidR="00ED4F23" w:rsidRPr="00D5365A" w:rsidRDefault="00ED4F23" w:rsidP="00231AB2">
      <w:pPr>
        <w:pStyle w:val="ListParagraph"/>
        <w:numPr>
          <w:ilvl w:val="0"/>
          <w:numId w:val="33"/>
        </w:numPr>
        <w:spacing w:after="240"/>
        <w:contextualSpacing w:val="0"/>
        <w:rPr>
          <w:noProof/>
          <w:color w:val="000000"/>
          <w:sz w:val="24"/>
          <w:szCs w:val="24"/>
        </w:rPr>
      </w:pPr>
      <w:r>
        <w:rPr>
          <w:noProof/>
          <w:color w:val="000000"/>
          <w:sz w:val="24"/>
          <w:szCs w:val="24"/>
        </w:rPr>
        <w:t>Globalmente, a Diretiva exerceu um impacto positivo no nível de assistência e proteção prestado às vítimas de terrorismo. As obrigações previstas nos artigos 24.º a 26.º resultaram na adoção de medidas relativas à proteção, apoio e direitos das vítimas do terrorismo em muitos Estados-Membros. No entanto, na aplicação prática destes artigos, vários intervenientes identificaram questões relacionadas com a prestação de assistência e proteção a vítimas transnacionais. Estas questões relacionadas com a aplicação prática reduzem o impacto positivo geral da Diretiva no nível de assistência e proteção prestado às vítimas do terrorismo.</w:t>
      </w:r>
    </w:p>
    <w:p w14:paraId="62D8D748" w14:textId="10236C98" w:rsidR="00ED4F23" w:rsidRPr="00D5365A" w:rsidRDefault="00C05BA4" w:rsidP="00231AB2">
      <w:pPr>
        <w:rPr>
          <w:noProof/>
          <w:color w:val="000000"/>
          <w:szCs w:val="24"/>
        </w:rPr>
      </w:pPr>
      <w:r>
        <w:rPr>
          <w:noProof/>
          <w:color w:val="000000"/>
          <w:szCs w:val="24"/>
        </w:rPr>
        <w:t>Apesar da avaliação positiva global, algumas questões têm limitado o funcionamento da Diretiva.</w:t>
      </w:r>
    </w:p>
    <w:p w14:paraId="0F7E9B78" w14:textId="77777777" w:rsidR="00A93659" w:rsidRDefault="00ED4F23" w:rsidP="00231AB2">
      <w:pPr>
        <w:rPr>
          <w:noProof/>
          <w:color w:val="000000"/>
          <w:szCs w:val="24"/>
        </w:rPr>
      </w:pPr>
      <w:r>
        <w:rPr>
          <w:noProof/>
          <w:color w:val="000000"/>
          <w:szCs w:val="24"/>
        </w:rPr>
        <w:t xml:space="preserve">Em primeiro lugar, vários juízes e autoridades nacionais assinalaram </w:t>
      </w:r>
      <w:r>
        <w:rPr>
          <w:b/>
          <w:noProof/>
          <w:color w:val="000000"/>
          <w:szCs w:val="24"/>
        </w:rPr>
        <w:t>dificuldades em fazer prova da intenção terrorista</w:t>
      </w:r>
      <w:r>
        <w:rPr>
          <w:noProof/>
          <w:color w:val="000000"/>
          <w:szCs w:val="24"/>
        </w:rPr>
        <w:t>. A intenção é um elemento importante das disposições da Diretiva. O principal problema diz respeito às circunstâncias factuais e não à necessidade de maior clarificação do termo «ato intencional» previsto na Diretiva. Mais especificamente, as questões prendem-se maioritariamente com a recolha de provas, especialmente se quando estas se encontrem fora do território nacional, uma circunstância comum no quadro da Diretiva. Do mesmo modo, relativamente às infrações de deslocações para fins de terrorismo (artigos 9.º e 10.º), as autoridades nacionais e os representantes do poder judicial e os procuradores identificaram dificuldades em estabelecer o elemento subjetivo de intenção terrorista, para além de que a recolha de elementos para provar essa intenção é difícil na prática.</w:t>
      </w:r>
    </w:p>
    <w:p w14:paraId="448FAFBB" w14:textId="77777777" w:rsidR="00A93659" w:rsidRDefault="00ED4F23" w:rsidP="00231AB2">
      <w:pPr>
        <w:rPr>
          <w:noProof/>
          <w:color w:val="000000"/>
          <w:szCs w:val="24"/>
        </w:rPr>
      </w:pPr>
      <w:r>
        <w:rPr>
          <w:noProof/>
          <w:color w:val="000000"/>
          <w:szCs w:val="24"/>
        </w:rPr>
        <w:t xml:space="preserve">Existem ainda indicações de que embora a Diretiva seja aplicável a todas as formas de terrorismo, na realidade alguns Estados-Membros consideram ser </w:t>
      </w:r>
      <w:r>
        <w:rPr>
          <w:b/>
          <w:noProof/>
          <w:color w:val="000000"/>
          <w:szCs w:val="24"/>
        </w:rPr>
        <w:t>problemático classificar atos violentos de extrema-direita como atos de terrorismo</w:t>
      </w:r>
      <w:r>
        <w:rPr>
          <w:noProof/>
          <w:color w:val="000000"/>
          <w:szCs w:val="24"/>
        </w:rPr>
        <w:t>. A Eurojust facilitou as discussões com os Estados-Membros para identificar os problemas concretos. Abordar esta questão é importante não só para reforçar a eficácia da Diretiva, mas também para garantir que é aplicada de forma não discriminatória. A questão mais recorrente diz respeito à dificuldade em provar a intenção terrorista de uma ação realizada por um grupo de extrema-direita ou um terrorista isolado. A falta de informações probatórias que provem a intenção terrorista, que é um requisito na Diretiva e nas legislações nacionais para que um ato possa ser qualificado como infração terrorista, foi identificada como um dos principais obstáculos para utilizar a legislação contra o terrorismo na investigação e repressão penal de crimes cometidos pela extrema</w:t>
      </w:r>
      <w:r w:rsidR="00175CA4">
        <w:rPr>
          <w:noProof/>
          <w:color w:val="000000"/>
          <w:szCs w:val="24"/>
        </w:rPr>
        <w:noBreakHyphen/>
      </w:r>
      <w:r>
        <w:rPr>
          <w:noProof/>
          <w:color w:val="000000"/>
          <w:szCs w:val="24"/>
        </w:rPr>
        <w:t>direita.</w:t>
      </w:r>
    </w:p>
    <w:p w14:paraId="43605DD5" w14:textId="77777777" w:rsidR="005129F0" w:rsidRDefault="00ED4F23" w:rsidP="00231AB2">
      <w:pPr>
        <w:rPr>
          <w:noProof/>
        </w:rPr>
      </w:pPr>
      <w:r>
        <w:rPr>
          <w:noProof/>
          <w:color w:val="000000"/>
          <w:szCs w:val="24"/>
        </w:rPr>
        <w:t>Outro desafio identificado pelos profissionais da justiça que participaram em seminários da Eurojust diz respeito às particularidades da violência da extrema-direita. Os grupos e movimentos que defendem pontos de vista e ideologia de extrema-direita caracterizam-se pela heterogeneidade dos seus apoiantes e seguidores, por inúmeras interligações entre as organizações atuais e os grupos extremistas há muito existentes e pela variedade de potenciais alvos. Neste contexto de ideologias diversas e linhas esbatidas entre movimentos, as autoridades judiciais podem ter dificuldade em ponderar intentar um processo judicial por participação nas atividades de um grupo terrorista, que requer que possa ser estabelecida uma ligação clara entre o suspeito e a organização.</w:t>
      </w:r>
    </w:p>
    <w:p w14:paraId="4EB43149" w14:textId="0B3AB086" w:rsidR="00A93659" w:rsidRDefault="00ED4F23" w:rsidP="00231AB2">
      <w:pPr>
        <w:rPr>
          <w:noProof/>
          <w:color w:val="000000"/>
          <w:szCs w:val="24"/>
        </w:rPr>
      </w:pPr>
      <w:r>
        <w:rPr>
          <w:noProof/>
          <w:color w:val="000000"/>
          <w:szCs w:val="24"/>
        </w:rPr>
        <w:t xml:space="preserve">A avaliação identificou algumas </w:t>
      </w:r>
      <w:r>
        <w:rPr>
          <w:b/>
          <w:noProof/>
          <w:color w:val="000000"/>
          <w:szCs w:val="24"/>
        </w:rPr>
        <w:t>disposições que poderiam beneficiar de uma clarificação</w:t>
      </w:r>
      <w:r>
        <w:rPr>
          <w:noProof/>
          <w:color w:val="000000"/>
          <w:szCs w:val="24"/>
        </w:rPr>
        <w:t>. Por exemplo, no que diz respeito a infrações terroristas (artigo 3.º), alguns Estados-Membros identificaram dificuldades na definição de critérios para estabelecer que os atos «sejam suscetíveis de afetar gravemente um país ou uma organização internacional» (artigo 3.º, n.º 1). Além disso, vários intervenientes salientaram que a definição de grupo terrorista na Diretiva não tem em consideração a natureza dinâmica e a flexibilização da estrutura dos grupos terroristas. Relativamente à estrutura destes grupos, segundo vários intervenientes, a definição na Diretiva presume um determinado grau de organização que não corresponde muitas vezes à realidade. Os interessados registaram primeiramente uma falta de clareza no nível de participação exigido no grupo terrorista e a forma como tal participação é definida.</w:t>
      </w:r>
    </w:p>
    <w:p w14:paraId="13A8EF46" w14:textId="7AF04681" w:rsidR="00ED4F23" w:rsidRPr="00D5365A" w:rsidRDefault="00ED4F23" w:rsidP="00231AB2">
      <w:pPr>
        <w:rPr>
          <w:noProof/>
          <w:color w:val="000000"/>
          <w:szCs w:val="24"/>
        </w:rPr>
      </w:pPr>
      <w:r>
        <w:rPr>
          <w:noProof/>
          <w:color w:val="000000"/>
          <w:szCs w:val="24"/>
        </w:rPr>
        <w:t xml:space="preserve">Apesar do impacto globalmente positivo da Diretiva na </w:t>
      </w:r>
      <w:r>
        <w:rPr>
          <w:b/>
          <w:noProof/>
          <w:color w:val="000000"/>
          <w:szCs w:val="24"/>
        </w:rPr>
        <w:t>assistência e proteção das vítimas do terrorismo</w:t>
      </w:r>
      <w:r>
        <w:rPr>
          <w:noProof/>
          <w:color w:val="000000"/>
          <w:szCs w:val="24"/>
        </w:rPr>
        <w:t>, foram identificados alguns problemas. A situação difícil das vítimas transnacionais do terrorismo é particularmente evidente ao longo da avaliação. Essas vítimas carecem de uma cooperação rápida e adequada entre os Estados-Membros. No entanto, alguns obstáculos dificultam a eficácia dessa cooperação e coordenação. Por</w:t>
      </w:r>
      <w:r w:rsidR="00175CA4">
        <w:rPr>
          <w:noProof/>
          <w:color w:val="000000"/>
          <w:szCs w:val="24"/>
        </w:rPr>
        <w:t> </w:t>
      </w:r>
      <w:r>
        <w:rPr>
          <w:noProof/>
          <w:color w:val="000000"/>
          <w:szCs w:val="24"/>
        </w:rPr>
        <w:t>exemplo, nem todos os Estados-Membros designaram pontos de contacto únicos, já solicitados nas conclusões do Conselho em 2018</w:t>
      </w:r>
      <w:r>
        <w:rPr>
          <w:rStyle w:val="FootnoteReference"/>
          <w:noProof/>
          <w:color w:val="000000"/>
          <w:szCs w:val="24"/>
        </w:rPr>
        <w:footnoteReference w:id="9"/>
      </w:r>
      <w:r>
        <w:rPr>
          <w:noProof/>
          <w:color w:val="000000"/>
          <w:szCs w:val="24"/>
        </w:rPr>
        <w:t xml:space="preserve"> e que facilitariam significativamente a aplicação do artigo 26.º da Diretiva. Além disso, não existe uma ferramenta segura para o intercâmbio de informações em situações individuais, tanto na sequência de ataques terroristas como durante o acompanhamento a longo prazo. Tais questões reduzem o impacto positivo da Diretiva no nível de assistência e proteção prestado às vítimas do terrorismo. Globalmente, a Diretiva teve um impacto menor do que o previsto no que se refere à proteção e assistência prestada às vítimas do terrorismo, e em partic</w:t>
      </w:r>
      <w:r w:rsidR="00A93659">
        <w:rPr>
          <w:noProof/>
          <w:color w:val="000000"/>
          <w:szCs w:val="24"/>
        </w:rPr>
        <w:t>ular às vítimas transnacionais.</w:t>
      </w:r>
    </w:p>
    <w:p w14:paraId="52F00BD9" w14:textId="0E1A8E6E" w:rsidR="004D0916" w:rsidRDefault="00337268" w:rsidP="00F67BB6">
      <w:pPr>
        <w:pStyle w:val="Heading1"/>
        <w:spacing w:before="120" w:after="120"/>
        <w:rPr>
          <w:noProof/>
          <w:color w:val="000000"/>
          <w:szCs w:val="24"/>
        </w:rPr>
      </w:pPr>
      <w:r>
        <w:rPr>
          <w:noProof/>
          <w:color w:val="000000"/>
          <w:szCs w:val="24"/>
        </w:rPr>
        <w:t>Conclus</w:t>
      </w:r>
      <w:r w:rsidR="005129F0">
        <w:rPr>
          <w:noProof/>
          <w:color w:val="000000"/>
          <w:szCs w:val="24"/>
        </w:rPr>
        <w:t>ões e medidas de acompanhamento</w:t>
      </w:r>
    </w:p>
    <w:p w14:paraId="67A93D02" w14:textId="77777777" w:rsidR="00A93659" w:rsidRDefault="002E133A" w:rsidP="00F67BB6">
      <w:pPr>
        <w:pStyle w:val="Text1"/>
        <w:spacing w:before="120" w:after="120"/>
        <w:ind w:left="0"/>
        <w:rPr>
          <w:rStyle w:val="Strong"/>
          <w:b w:val="0"/>
          <w:noProof/>
          <w:color w:val="000000"/>
          <w:szCs w:val="24"/>
        </w:rPr>
      </w:pPr>
      <w:r>
        <w:rPr>
          <w:noProof/>
          <w:color w:val="000000"/>
          <w:szCs w:val="24"/>
        </w:rPr>
        <w:t>Conforme referido no ponto 2, a Comissão identificou, no seu relatório de 2020, algumas lacunas quanto à transposição da Diretiva</w:t>
      </w:r>
      <w:r>
        <w:rPr>
          <w:rStyle w:val="FootnoteReference"/>
          <w:noProof/>
          <w:color w:val="000000"/>
          <w:szCs w:val="24"/>
        </w:rPr>
        <w:footnoteReference w:id="10"/>
      </w:r>
      <w:r>
        <w:rPr>
          <w:noProof/>
          <w:color w:val="000000"/>
          <w:szCs w:val="24"/>
        </w:rPr>
        <w:t xml:space="preserve">, </w:t>
      </w:r>
      <w:r>
        <w:rPr>
          <w:noProof/>
        </w:rPr>
        <w:t xml:space="preserve">tendo estado a avaliar a transposição da Diretiva para o direito nacional. Caso sejam identificados problemas de conformidade e o direito nacional não for plenamente conforme com a Diretiva, a Comissão poderá dar início a </w:t>
      </w:r>
      <w:r>
        <w:rPr>
          <w:b/>
          <w:noProof/>
        </w:rPr>
        <w:t>processos por infração</w:t>
      </w:r>
      <w:r>
        <w:rPr>
          <w:noProof/>
        </w:rPr>
        <w:t xml:space="preserve">. A Comissão iniciou este processo em junho de 2021, quando deu início a processos por infração contra quatro Estados-Membros, instando-os a </w:t>
      </w:r>
      <w:r>
        <w:rPr>
          <w:rStyle w:val="Strong"/>
          <w:b w:val="0"/>
          <w:noProof/>
          <w:color w:val="000000"/>
          <w:szCs w:val="24"/>
        </w:rPr>
        <w:t>assegurarem a transposição correta da Diretiva</w:t>
      </w:r>
      <w:r>
        <w:rPr>
          <w:noProof/>
        </w:rPr>
        <w:t>.</w:t>
      </w:r>
      <w:r>
        <w:rPr>
          <w:rStyle w:val="Strong"/>
          <w:b w:val="0"/>
          <w:noProof/>
          <w:color w:val="000000"/>
          <w:szCs w:val="24"/>
        </w:rPr>
        <w:t xml:space="preserve"> Em julho de 2021, a Comissão iniciou novos processos por infração contra cinco Estados-Membros. Em setembro de 2021, iniciou processos por infração contra quatro outros Estados-Membros.</w:t>
      </w:r>
    </w:p>
    <w:p w14:paraId="1C91718B" w14:textId="5B1E428E" w:rsidR="00C407F6" w:rsidRDefault="002E133A" w:rsidP="00C407F6">
      <w:pPr>
        <w:pStyle w:val="Text1"/>
        <w:ind w:left="0"/>
        <w:rPr>
          <w:rStyle w:val="Strong"/>
          <w:noProof/>
          <w:color w:val="000000"/>
          <w:szCs w:val="24"/>
        </w:rPr>
      </w:pPr>
      <w:r>
        <w:rPr>
          <w:rStyle w:val="Strong"/>
          <w:b w:val="0"/>
          <w:noProof/>
          <w:color w:val="000000"/>
          <w:szCs w:val="24"/>
        </w:rPr>
        <w:t>Para além das conclusões do relatório sobre a transposição, a avaliação identificou questões que poderão ser atenuadas pelas medidas a seguir referidas.</w:t>
      </w:r>
    </w:p>
    <w:p w14:paraId="12BD9174" w14:textId="330B89A5" w:rsidR="00C407F6" w:rsidRPr="00C407F6" w:rsidRDefault="00C407F6" w:rsidP="00C407F6">
      <w:pPr>
        <w:pStyle w:val="Heading2"/>
        <w:rPr>
          <w:rStyle w:val="Strong"/>
          <w:b/>
          <w:noProof/>
          <w:color w:val="000000"/>
          <w:szCs w:val="24"/>
        </w:rPr>
      </w:pPr>
      <w:r>
        <w:rPr>
          <w:rStyle w:val="Strong"/>
          <w:b/>
          <w:noProof/>
          <w:color w:val="000000"/>
          <w:szCs w:val="24"/>
        </w:rPr>
        <w:t>Intenção terrorista e obtenção de provas</w:t>
      </w:r>
    </w:p>
    <w:p w14:paraId="0D81CC36" w14:textId="549E8E94" w:rsidR="00C407F6" w:rsidRDefault="00C407F6" w:rsidP="00C407F6">
      <w:pPr>
        <w:pStyle w:val="Text1"/>
        <w:ind w:left="0"/>
        <w:rPr>
          <w:i/>
          <w:noProof/>
          <w:szCs w:val="24"/>
        </w:rPr>
      </w:pPr>
      <w:r>
        <w:rPr>
          <w:rStyle w:val="Strong"/>
          <w:b w:val="0"/>
          <w:noProof/>
          <w:color w:val="000000"/>
          <w:szCs w:val="24"/>
        </w:rPr>
        <w:t>O primeiro desafio refere-se às dificuldades</w:t>
      </w:r>
      <w:r>
        <w:rPr>
          <w:noProof/>
        </w:rPr>
        <w:t xml:space="preserve"> identificadas em provar a intenção terrorista. Tal deve-se em larga medida à dificuldade em obter provas, especialmente quando estas se situam fora do território nacional, uma circunstância comum neste contexto. Para as questões relacionadas com a obtenção de provas fora do território nacional, e em especial em áreas de conflito, a Comissão e o SEAE </w:t>
      </w:r>
      <w:r>
        <w:rPr>
          <w:b/>
          <w:noProof/>
          <w:szCs w:val="24"/>
        </w:rPr>
        <w:t>prestam apoio à utilização da informação do campo de batalha pelos Estados-Membros</w:t>
      </w:r>
      <w:r>
        <w:rPr>
          <w:noProof/>
        </w:rPr>
        <w:t xml:space="preserve"> para identificar, detetar e promover ações contra combatentes terroristas estrangeiros retornados, mediante o estabelecimento de melhores práticas, o intercâmbio de informações e o financiamento de projetos. Além</w:t>
      </w:r>
      <w:r w:rsidR="00175CA4">
        <w:rPr>
          <w:noProof/>
        </w:rPr>
        <w:t> </w:t>
      </w:r>
      <w:r>
        <w:rPr>
          <w:noProof/>
        </w:rPr>
        <w:t>disso, em setembro de 2020, a Eurojust publicou um memorando sobre as provas obtidas no campo de batalha</w:t>
      </w:r>
      <w:r>
        <w:rPr>
          <w:rStyle w:val="FootnoteReference"/>
          <w:noProof/>
          <w:color w:val="000000"/>
          <w:szCs w:val="24"/>
        </w:rPr>
        <w:footnoteReference w:id="11"/>
      </w:r>
      <w:r>
        <w:rPr>
          <w:noProof/>
        </w:rPr>
        <w:t>. O memorando relata as experiências na utilização de provas obtidas no campo de batalha em processos penais. Aborda igualmente os desafios identificados e as formas de os superar, bem como as medidas preconizadas para reforçar o intercâmbio de informações. A Comissão encoraja os Estados-Membros a utilizarem plenamente a informação reunida no memorando. Do mesmo modo, a Comissão apela aos Estados-Membros para que tirem pleno partido do relatório da Rede Genocídio sobre ações penais cumulativas de combatentes terroristas estrangeiros pelos crimes internacionais mais graves e infrações relacionadas com terrorismo</w:t>
      </w:r>
      <w:r>
        <w:rPr>
          <w:rStyle w:val="FootnoteReference"/>
          <w:noProof/>
          <w:color w:val="000000"/>
        </w:rPr>
        <w:footnoteReference w:id="12"/>
      </w:r>
      <w:r>
        <w:rPr>
          <w:noProof/>
        </w:rPr>
        <w:t>. A Comissão incentiva igualmente os Estados-Membros a utilizarem, se for caso disso, informações do campo de batalha sobre suspeitos de terrorismo, incluindo as recebidas por Estados terceiros de confiança, para a criação de alertas no Sistema de Informação de Schengen e a cruzarem informações do campo de batalha sempre que necessário com outras bases de dados e fontes de informação relevantes (Sistema de Informação de Schengen, registo de identificação dos passageiros, Sistema de Informações Europol, bases de dados da Interpol, EURODAC etc.), em plena consonância com as disposições jurídicas sobre a utilização destas bases de dados e sistemas de informação. A utilização de provas obtidas no campo de batalha pode ser fundamental para garantir que os combatentes terroristas estrangeiros sejam julgados e não se eximam às ações penais devido ao facto de os crimes terem sido cometidos num local onde o acesso às provas seja difícil. É importante salientar que a Diretiva foi adotada para facilitar a luta contra o fenómeno dos combatentes terroristas estrangeiros. Por último, a Comissão solicita aos Estados</w:t>
      </w:r>
      <w:r w:rsidR="00175CA4">
        <w:rPr>
          <w:noProof/>
        </w:rPr>
        <w:noBreakHyphen/>
      </w:r>
      <w:r>
        <w:rPr>
          <w:noProof/>
        </w:rPr>
        <w:t>Membros que utilizem o Registo de Contraterrorismo Europeu na Eurojust para identificar ligações entre processos de contraterrorismo numa fase inicial e procurar o apoio da Eurojust na coordenação de ações penais paralelas.</w:t>
      </w:r>
    </w:p>
    <w:p w14:paraId="5B9663F1" w14:textId="77777777" w:rsidR="000F5B4E" w:rsidRDefault="00D80292" w:rsidP="000F5B4E">
      <w:pPr>
        <w:pStyle w:val="Text1"/>
        <w:ind w:left="0"/>
        <w:rPr>
          <w:noProof/>
          <w:szCs w:val="24"/>
        </w:rPr>
      </w:pPr>
      <w:r>
        <w:rPr>
          <w:noProof/>
        </w:rPr>
        <w:t xml:space="preserve">Importa notar que em dezembro de 2020, a Comissão propôs </w:t>
      </w:r>
      <w:r>
        <w:rPr>
          <w:b/>
          <w:noProof/>
          <w:szCs w:val="24"/>
        </w:rPr>
        <w:t>reforçar o mandato da Europol</w:t>
      </w:r>
      <w:r>
        <w:rPr>
          <w:noProof/>
        </w:rPr>
        <w:t>. Esse reforço permitirá à Europol cooperar de forma mais eficaz com entidades privadas, nomeadamente em situações em que estas detenham informações pertinentes mas tenham dificuldade em identificar os Estados-Membros em causa. Nesses casos, as entidades privadas poderão partilhar as informações relevantes com a Europol, que identificará e informará os Estados-Membros em causa. Tal permitirá proporcionar a esses Estados-Membros acesso a informações úteis para investigações, ações penais, tomada de decisões ou condenação de infrações abrangidas pela Diretiva.</w:t>
      </w:r>
    </w:p>
    <w:p w14:paraId="33850ADD" w14:textId="478DA136" w:rsidR="000F5B4E" w:rsidRDefault="000F5B4E" w:rsidP="00A93659">
      <w:pPr>
        <w:pStyle w:val="Heading2"/>
        <w:rPr>
          <w:noProof/>
        </w:rPr>
      </w:pPr>
      <w:r>
        <w:rPr>
          <w:noProof/>
        </w:rPr>
        <w:t>Reforçar a clareza jurídica</w:t>
      </w:r>
    </w:p>
    <w:p w14:paraId="11FE92DC" w14:textId="4F846E37" w:rsidR="000F5B4E" w:rsidRDefault="000F5B4E" w:rsidP="000F5B4E">
      <w:pPr>
        <w:pStyle w:val="Text1"/>
        <w:ind w:left="0"/>
        <w:rPr>
          <w:b/>
          <w:noProof/>
          <w:szCs w:val="24"/>
        </w:rPr>
      </w:pPr>
      <w:r>
        <w:rPr>
          <w:noProof/>
        </w:rPr>
        <w:t xml:space="preserve">Além disso, alguns dos intervenientes consultados consideraram que algumas disposições da Diretiva poderiam beneficiar de esclarecimentos adicionais sem que seja necessário introduzir alterações jurídicas. O estudo externo recomenda à Comissão que adote orientações não regulamentares para os Estados-Membros quanto à interpretação dos artigos 1.º a 14.º da Diretiva. A necessidade de tais orientações foi discutida com os Estados-Membros no seminário em 1 de julho de 2021, no qual participaram também a Europol, a Eurojust e o gabinete do Coordenador da Luta Antiterrorista da UE. Todos os Estados-Membros que intervieram foram unânimes em considerar que a Diretiva é clara o suficiente e de que não são necessárias orientações não regulamentares. Salientaram também que a interpretação da legislação é uma competência exclusiva do poder judicial. No entanto, a avaliação revelou que certos intervenientes, nomeadamente alguns procuradores e outros membros do poder judicial, consideram que existe margem para clarificar algumas disposições. A Comissão assinala, por conseguinte, que a </w:t>
      </w:r>
      <w:r>
        <w:rPr>
          <w:b/>
          <w:noProof/>
          <w:szCs w:val="24"/>
        </w:rPr>
        <w:t>abertura de processos por infração</w:t>
      </w:r>
      <w:r>
        <w:rPr>
          <w:noProof/>
        </w:rPr>
        <w:t xml:space="preserve"> (como referido supra) contribuirá igualmente para reforçar a clareza jurídica, uma vez que clarifica a interpretação correta da Diretiva. Importa notar que apenas o Tribunal de Justiça da UE (TJUE) dispõe de competência e autoridade para interpretar o dir</w:t>
      </w:r>
      <w:r w:rsidR="005129F0">
        <w:rPr>
          <w:noProof/>
        </w:rPr>
        <w:t>eito da UE.</w:t>
      </w:r>
    </w:p>
    <w:p w14:paraId="6E54BBD7" w14:textId="7E955401" w:rsidR="000F5B4E" w:rsidRDefault="000F5B4E" w:rsidP="00A93659">
      <w:pPr>
        <w:pStyle w:val="Heading2"/>
        <w:rPr>
          <w:noProof/>
        </w:rPr>
      </w:pPr>
      <w:r>
        <w:rPr>
          <w:noProof/>
        </w:rPr>
        <w:t>Prevenir</w:t>
      </w:r>
      <w:r w:rsidR="00A93659">
        <w:rPr>
          <w:noProof/>
        </w:rPr>
        <w:t xml:space="preserve"> a violência da extrema-direita</w:t>
      </w:r>
    </w:p>
    <w:p w14:paraId="43B7109B" w14:textId="7D37FCED" w:rsidR="000F5B4E" w:rsidRDefault="000F5B4E" w:rsidP="000F5B4E">
      <w:pPr>
        <w:pStyle w:val="Text1"/>
        <w:ind w:left="0"/>
        <w:rPr>
          <w:noProof/>
          <w:szCs w:val="24"/>
        </w:rPr>
      </w:pPr>
      <w:r>
        <w:rPr>
          <w:noProof/>
        </w:rPr>
        <w:t>A avaliação permitiu ainda constatar que alguns Estados-Membros têm dificuldade em qualificar atos violentos de extrema-direita como atos de terrorismo. Abordar esta questão é importante não só para reforçar a eficácia da Diretiva, mas também para garantir que a mesma é aplicada de forma não discriminatória. A principal questão recorrente diz respeito à dificuldade em provar a intenção terrorista, em combinação com as particularidades da extrema-direita. Uma melhor utilização dos elementos de prova existentes poderia reduzir parcialmente a dificuldade de provar a intenção terrorista. Tal</w:t>
      </w:r>
      <w:r w:rsidR="00175CA4">
        <w:rPr>
          <w:noProof/>
        </w:rPr>
        <w:t> </w:t>
      </w:r>
      <w:r>
        <w:rPr>
          <w:noProof/>
        </w:rPr>
        <w:t>poderia ser alcançado, por exemplo, mediante o reforço do mandato da Europol, ajudando-a a cooperar mais eficazmente com entidades privadas e a obter informação de entidades privadas que seja útil para os Estados-Membros interessados.</w:t>
      </w:r>
    </w:p>
    <w:p w14:paraId="4665CFF8" w14:textId="51969733" w:rsidR="000F5B4E" w:rsidRDefault="000F5B4E" w:rsidP="000F5B4E">
      <w:pPr>
        <w:pStyle w:val="Text1"/>
        <w:ind w:left="0"/>
        <w:rPr>
          <w:noProof/>
          <w:szCs w:val="24"/>
        </w:rPr>
      </w:pPr>
      <w:r>
        <w:rPr>
          <w:noProof/>
        </w:rPr>
        <w:t>É igualmente necessária uma melhor compreensão da violência da extrema-direita, nomeadamente as especi</w:t>
      </w:r>
      <w:r w:rsidR="005129F0">
        <w:rPr>
          <w:noProof/>
        </w:rPr>
        <w:t>ficidades dos grupos violentos.</w:t>
      </w:r>
    </w:p>
    <w:p w14:paraId="4AE82B18" w14:textId="46F68767" w:rsidR="000F5B4E" w:rsidRDefault="000F5B4E" w:rsidP="000F5B4E">
      <w:pPr>
        <w:pStyle w:val="Text1"/>
        <w:ind w:left="0"/>
        <w:rPr>
          <w:rFonts w:cs="Calibri"/>
          <w:noProof/>
          <w:szCs w:val="24"/>
        </w:rPr>
      </w:pPr>
      <w:r>
        <w:rPr>
          <w:noProof/>
        </w:rPr>
        <w:t xml:space="preserve">A Comissão está a preparar um </w:t>
      </w:r>
      <w:r>
        <w:rPr>
          <w:b/>
          <w:noProof/>
          <w:szCs w:val="24"/>
        </w:rPr>
        <w:t>conjunto de medidas para prevenir atos violentos da extrema-direita nos Estados-Membros</w:t>
      </w:r>
      <w:r>
        <w:rPr>
          <w:noProof/>
        </w:rPr>
        <w:t xml:space="preserve">. Essas medidas serão incluídas num documento de trabalho a partilhar com os Estados-Membros no outono de 2021 e que inclui uma panorâmica dos grupos extremistas violentos e dos símbolos associados a nível nacional. Esse documento visa permitir uma melhor compreensão situacional do fenómeno da violência da extrema-direita na UE e formular recomendações para </w:t>
      </w:r>
      <w:r w:rsidR="005129F0">
        <w:rPr>
          <w:noProof/>
        </w:rPr>
        <w:t>abordagens e atividades comuns.</w:t>
      </w:r>
    </w:p>
    <w:p w14:paraId="47CA14EE" w14:textId="2461D08E" w:rsidR="000F5B4E" w:rsidRDefault="000F5B4E" w:rsidP="000F5B4E">
      <w:pPr>
        <w:pStyle w:val="Text1"/>
        <w:ind w:left="0"/>
        <w:rPr>
          <w:noProof/>
          <w:szCs w:val="24"/>
        </w:rPr>
      </w:pPr>
      <w:r>
        <w:rPr>
          <w:noProof/>
        </w:rPr>
        <w:t>Além disso, o Fórum da UE sobre a Internet, que reúne governos, a Europol e empresas tecnológicas, a fim de combater conteúdos terroristas e extremistas violentos na Internet, tem estado a trabalhar num «</w:t>
      </w:r>
      <w:r>
        <w:rPr>
          <w:b/>
          <w:bCs/>
          <w:noProof/>
          <w:szCs w:val="24"/>
        </w:rPr>
        <w:t>pacote do conhecimento</w:t>
      </w:r>
      <w:r>
        <w:rPr>
          <w:noProof/>
        </w:rPr>
        <w:t>». Este «pacote do conhecimento» consiste numa lista de grupos, símbolos e manifestos extremistas e terroristas de extrema</w:t>
      </w:r>
      <w:r w:rsidR="00175CA4">
        <w:rPr>
          <w:noProof/>
        </w:rPr>
        <w:noBreakHyphen/>
      </w:r>
      <w:r>
        <w:rPr>
          <w:noProof/>
        </w:rPr>
        <w:t>direita e visa fornecer orientações às empresas tecnológicas nos seus esfo</w:t>
      </w:r>
      <w:r w:rsidR="005129F0">
        <w:rPr>
          <w:noProof/>
        </w:rPr>
        <w:t>rços de moderação de conteúdos.</w:t>
      </w:r>
    </w:p>
    <w:p w14:paraId="1E37D307" w14:textId="77777777" w:rsidR="00A93659" w:rsidRDefault="000F5B4E" w:rsidP="000F5B4E">
      <w:pPr>
        <w:pStyle w:val="Text1"/>
        <w:ind w:left="0"/>
        <w:rPr>
          <w:noProof/>
        </w:rPr>
      </w:pPr>
      <w:r>
        <w:rPr>
          <w:noProof/>
        </w:rPr>
        <w:t xml:space="preserve">Todo este trabalho em curso encerra um grande potencial para melhorar a compreensão da violência da extrema-direita e do terrorismo, devendo ser levado mais sistematicamente à atenção das autoridades responsáveis por investigar, intentar processos penais, tomar decisões e julgar os crimes de terrorismo. A Comissão propõe, por conseguinte, que se realize, no final de 2021, uma </w:t>
      </w:r>
      <w:r>
        <w:rPr>
          <w:b/>
          <w:noProof/>
          <w:szCs w:val="24"/>
        </w:rPr>
        <w:t>reunião sobre a aplicação de legislação para prevenir o terrorismo e a violência da extrema-direita</w:t>
      </w:r>
      <w:r>
        <w:rPr>
          <w:noProof/>
        </w:rPr>
        <w:t>. O objetivo dessa reunião, que poderia ser potencialmente organizada como uma reunião da Eurojust, seria reunir diferentes intervenientes que trabalham em questões semelhantes e explorar a possibilidade de uma maior cooperação no futuro.</w:t>
      </w:r>
    </w:p>
    <w:p w14:paraId="7CC702D8" w14:textId="7090E08B" w:rsidR="000F5B4E" w:rsidRDefault="000F5B4E" w:rsidP="004B33D0">
      <w:pPr>
        <w:pStyle w:val="Heading2"/>
        <w:rPr>
          <w:noProof/>
        </w:rPr>
      </w:pPr>
      <w:r>
        <w:rPr>
          <w:noProof/>
        </w:rPr>
        <w:t>Melhor</w:t>
      </w:r>
      <w:r w:rsidR="00760774">
        <w:rPr>
          <w:noProof/>
        </w:rPr>
        <w:t xml:space="preserve">ar a </w:t>
      </w:r>
      <w:r>
        <w:rPr>
          <w:noProof/>
        </w:rPr>
        <w:t xml:space="preserve">proteção e </w:t>
      </w:r>
      <w:r w:rsidR="00760774">
        <w:rPr>
          <w:noProof/>
        </w:rPr>
        <w:t xml:space="preserve">o </w:t>
      </w:r>
      <w:r>
        <w:rPr>
          <w:noProof/>
        </w:rPr>
        <w:t>apoio às vítimas do terr</w:t>
      </w:r>
      <w:r w:rsidR="00760774">
        <w:rPr>
          <w:noProof/>
        </w:rPr>
        <w:t>orismo</w:t>
      </w:r>
    </w:p>
    <w:p w14:paraId="349FB4FE" w14:textId="77777777" w:rsidR="00175CA4" w:rsidRDefault="000F5B4E" w:rsidP="000F5B4E">
      <w:pPr>
        <w:pStyle w:val="Text1"/>
        <w:ind w:left="0"/>
        <w:rPr>
          <w:noProof/>
        </w:rPr>
      </w:pPr>
      <w:r>
        <w:rPr>
          <w:noProof/>
        </w:rPr>
        <w:t>Por último, a avaliação constatou que a Diretiva teve um impacto menor do que o previsto na proteção e assistência prestadas às vítimas do terrorismo, em especial as vítimas transnacionais. A Comissão exorta veementemente os Estados-Membros a designarem pontos de contacto únicos para as vítimas do terrorismo, que já haviam sido solicitados pelo Conselho em 2018</w:t>
      </w:r>
      <w:r>
        <w:rPr>
          <w:rStyle w:val="FootnoteReference"/>
          <w:noProof/>
          <w:color w:val="000000"/>
          <w:szCs w:val="24"/>
        </w:rPr>
        <w:footnoteReference w:id="13"/>
      </w:r>
      <w:r>
        <w:rPr>
          <w:noProof/>
        </w:rPr>
        <w:t>, e que facilitariam significativamente a aplicação do artigo 26.º da Diretiva. Atualmente, 17 dos 25 Estados-Membros abrangidos pela Diretiva já designaram pontos de contacto</w:t>
      </w:r>
      <w:r>
        <w:rPr>
          <w:rStyle w:val="FootnoteReference"/>
          <w:noProof/>
          <w:color w:val="000000"/>
          <w:szCs w:val="24"/>
        </w:rPr>
        <w:footnoteReference w:id="14"/>
      </w:r>
      <w:r>
        <w:rPr>
          <w:noProof/>
        </w:rPr>
        <w:t>. A Rede Europeia dos Direitos das Vítimas (ENVR)</w:t>
      </w:r>
      <w:r>
        <w:rPr>
          <w:rStyle w:val="FootnoteReference"/>
          <w:noProof/>
          <w:szCs w:val="24"/>
        </w:rPr>
        <w:footnoteReference w:id="15"/>
      </w:r>
      <w:r>
        <w:rPr>
          <w:noProof/>
        </w:rPr>
        <w:t xml:space="preserve"> desempenha um papel central na organização da cooperação entre os pontos de contacto únicos. A rede de pontos de contacto únicos está integrada nas estruturas da ENVR. O estudo externo recomenda que a Comissão pondere a possibilidade de impor a obrigação de criar os pontos de contacto únicos.</w:t>
      </w:r>
    </w:p>
    <w:p w14:paraId="319AC236" w14:textId="6666673C" w:rsidR="000F5B4E" w:rsidRDefault="000F5B4E" w:rsidP="000F5B4E">
      <w:pPr>
        <w:pStyle w:val="Text1"/>
        <w:ind w:left="0"/>
        <w:rPr>
          <w:noProof/>
          <w:szCs w:val="24"/>
        </w:rPr>
      </w:pPr>
      <w:r>
        <w:rPr>
          <w:noProof/>
        </w:rPr>
        <w:t>Geralmente, não se trata de questões recentemente identificadas por esta avaliação, existindo já várias iniciativas da UE para reforçar a assistência e proteção prestadas às vítimas do terrorismo. Um ponto importante, listado como uma ação principal na Estratégia da UE sobre os direitos das vítimas (2020-2025)</w:t>
      </w:r>
      <w:r>
        <w:rPr>
          <w:rStyle w:val="FootnoteReference"/>
          <w:noProof/>
          <w:color w:val="000000"/>
          <w:szCs w:val="24"/>
        </w:rPr>
        <w:footnoteReference w:id="16"/>
      </w:r>
      <w:r>
        <w:rPr>
          <w:noProof/>
        </w:rPr>
        <w:t>, é o projeto-piloto de dois anos no Centro Especializado da UE para as Vítimas do Terrorismo</w:t>
      </w:r>
      <w:r>
        <w:rPr>
          <w:rStyle w:val="FootnoteReference"/>
          <w:noProof/>
          <w:color w:val="000000"/>
          <w:szCs w:val="24"/>
        </w:rPr>
        <w:footnoteReference w:id="17"/>
      </w:r>
      <w:r>
        <w:rPr>
          <w:noProof/>
        </w:rPr>
        <w:t>. O referido centro presta assistência aos Estados-Membros na implementação de normas da UE relativas aos direitos das vítimas do terrorismo mediante a elaboração de manuais e a organização de eventos de formação, funcionando como o centro de especialização do nível da UE em todas as questões pertinentes para as vítimas do terrorismo. Mais concretamente, facilita o intercâmbio de informações e conhecimentos entre os Estados-Membros quanto aos direitos das vítimas do terrorismo. O estudo externo recomendou a continuação das atividades do Centro Especializado da UE para as Vítimas do Terrorismo.</w:t>
      </w:r>
    </w:p>
    <w:p w14:paraId="19195581" w14:textId="3455BE7E" w:rsidR="000F5B4E" w:rsidRDefault="000F5B4E" w:rsidP="000F5B4E">
      <w:pPr>
        <w:pStyle w:val="Text1"/>
        <w:ind w:left="0"/>
        <w:rPr>
          <w:noProof/>
          <w:szCs w:val="24"/>
        </w:rPr>
      </w:pPr>
      <w:r>
        <w:rPr>
          <w:noProof/>
        </w:rPr>
        <w:t>O estudo externo identificou ainda a potencial necessidade de se elaborar um documento relativo a todas as obrigações para com as vítimas impostas pela Diretiva Luta contra o Terrorismo e pela Diretiva relativa aos direitos das vítimas</w:t>
      </w:r>
      <w:r>
        <w:rPr>
          <w:rStyle w:val="FootnoteReference"/>
          <w:noProof/>
          <w:szCs w:val="24"/>
        </w:rPr>
        <w:footnoteReference w:id="18"/>
      </w:r>
      <w:r>
        <w:rPr>
          <w:noProof/>
        </w:rPr>
        <w:t>.</w:t>
      </w:r>
      <w:r>
        <w:rPr>
          <w:noProof/>
          <w:color w:val="000000"/>
          <w:szCs w:val="24"/>
        </w:rPr>
        <w:t xml:space="preserve"> </w:t>
      </w:r>
      <w:r>
        <w:rPr>
          <w:noProof/>
        </w:rPr>
        <w:t>Essas orientações devem basear-se no Manual da UE sobre vítimas do terrorismo</w:t>
      </w:r>
      <w:r>
        <w:rPr>
          <w:rStyle w:val="FootnoteReference"/>
          <w:noProof/>
          <w:color w:val="000000"/>
          <w:szCs w:val="24"/>
        </w:rPr>
        <w:footnoteReference w:id="19"/>
      </w:r>
      <w:r>
        <w:rPr>
          <w:noProof/>
        </w:rPr>
        <w:t>, elaborado pelo Centro Especializado da UE para as Vítimas do Terrorismo e publicado pela Comissão em janeiro de 2021</w:t>
      </w:r>
      <w:r>
        <w:rPr>
          <w:rStyle w:val="FootnoteReference"/>
          <w:noProof/>
          <w:color w:val="000000"/>
          <w:szCs w:val="24"/>
        </w:rPr>
        <w:footnoteReference w:id="20"/>
      </w:r>
      <w:r>
        <w:rPr>
          <w:noProof/>
        </w:rPr>
        <w:t>. O estudo externo recomenda igualmente que a Comissão disponibilize orientações sobre, por exemplo, a organização de serviços fúnebres e a identificação e o registo de vítimas na sequência de um ataque. Essas orientações poderão também abranger a interpretação dos dire</w:t>
      </w:r>
      <w:r w:rsidR="00F67BB6">
        <w:rPr>
          <w:noProof/>
        </w:rPr>
        <w:t>itos que assistem às vítimas.</w:t>
      </w:r>
    </w:p>
    <w:p w14:paraId="24A17232" w14:textId="03C49D51" w:rsidR="004B33D0" w:rsidRDefault="000F5B4E" w:rsidP="000F5B4E">
      <w:pPr>
        <w:pStyle w:val="Text1"/>
        <w:ind w:left="0"/>
        <w:rPr>
          <w:noProof/>
        </w:rPr>
      </w:pPr>
      <w:r>
        <w:rPr>
          <w:noProof/>
        </w:rPr>
        <w:t xml:space="preserve">Do mesmo modo, no seminário de 1 de julho de 2021, os Estados-Membros revelaram diferentes necessidades, como a </w:t>
      </w:r>
      <w:r>
        <w:rPr>
          <w:b/>
          <w:noProof/>
          <w:szCs w:val="24"/>
        </w:rPr>
        <w:t>prossecução da exploração de boas práticas e desafios</w:t>
      </w:r>
      <w:r>
        <w:rPr>
          <w:noProof/>
        </w:rPr>
        <w:t xml:space="preserve"> nos diferentes Estados-Membros, a </w:t>
      </w:r>
      <w:r>
        <w:rPr>
          <w:b/>
          <w:noProof/>
          <w:szCs w:val="24"/>
        </w:rPr>
        <w:t>elaboração de um protocolo</w:t>
      </w:r>
      <w:r>
        <w:rPr>
          <w:noProof/>
        </w:rPr>
        <w:t xml:space="preserve"> sobre os passos a tomar após um ataque e o </w:t>
      </w:r>
      <w:r>
        <w:rPr>
          <w:b/>
          <w:noProof/>
          <w:szCs w:val="24"/>
        </w:rPr>
        <w:t>desenvolvimento de uma ferramenta segura</w:t>
      </w:r>
      <w:r>
        <w:rPr>
          <w:noProof/>
        </w:rPr>
        <w:t xml:space="preserve"> para o intercâmbio de informações sobre as vítimas, em plena conformidade com o Regulamento Geral sobre a Proteção de Dados</w:t>
      </w:r>
      <w:r>
        <w:rPr>
          <w:rStyle w:val="FootnoteReference"/>
          <w:noProof/>
          <w:szCs w:val="24"/>
        </w:rPr>
        <w:footnoteReference w:id="21"/>
      </w:r>
      <w:r>
        <w:rPr>
          <w:noProof/>
        </w:rPr>
        <w:t xml:space="preserve"> e a Diretiva sobre a Proteção de Dados na Aplicação da Lei</w:t>
      </w:r>
      <w:r>
        <w:rPr>
          <w:rStyle w:val="FootnoteReference"/>
          <w:noProof/>
          <w:szCs w:val="24"/>
        </w:rPr>
        <w:footnoteReference w:id="22"/>
      </w:r>
      <w:r>
        <w:rPr>
          <w:noProof/>
        </w:rPr>
        <w:t>. Os</w:t>
      </w:r>
      <w:r w:rsidR="008C0247">
        <w:rPr>
          <w:noProof/>
        </w:rPr>
        <w:t xml:space="preserve"> </w:t>
      </w:r>
      <w:r>
        <w:rPr>
          <w:noProof/>
        </w:rPr>
        <w:t>Estados-Membros concordaram igualmente na elevada importância dos pontos de contacto únicos, e na necessidade de organizar regularmente reuniões no, quadro da Rede Europeia dos Direitos das Vítimas. A Comissão irá analisar todas as sugestões apresentadas, incluindo as orientações formuladas, entabulará debates específicos com os diferentes intervenientes e tomar rapidamente medidas concretas para melhorar a situação das vítimas do terrorismo.</w:t>
      </w:r>
    </w:p>
    <w:p w14:paraId="62333A8C" w14:textId="6A102B1A" w:rsidR="007B2A40" w:rsidRPr="00D5365A" w:rsidRDefault="000C1203" w:rsidP="000F5B4E">
      <w:pPr>
        <w:pStyle w:val="Text1"/>
        <w:ind w:left="0"/>
        <w:rPr>
          <w:noProof/>
          <w:szCs w:val="24"/>
        </w:rPr>
      </w:pPr>
      <w:r>
        <w:rPr>
          <w:noProof/>
        </w:rPr>
      </w:r>
      <w:r>
        <w:rPr>
          <w:noProof/>
        </w:rPr>
        <w:pict w14:anchorId="5DDB0593">
          <v:shapetype id="_x0000_t202" coordsize="21600,21600" o:spt="202" path="m,l,21600r21600,l21600,xe">
            <v:stroke joinstyle="miter"/>
            <v:path gradientshapeok="t" o:connecttype="rect"/>
          </v:shapetype>
          <v:shape id="Text Box 2" o:spid="_x0000_s1026" type="#_x0000_t202" style="width:445.1pt;height:445.9pt;visibility:visible;mso-wrap-style:square;mso-left-percent:-10001;mso-top-percent:-10001;mso-position-horizontal:absolute;mso-position-horizontal-relative:char;mso-position-vertical:absolute;mso-position-vertical-relative:line;mso-left-percent:-10001;mso-top-percent:-10001;v-text-anchor:top">
            <v:textbox style="mso-next-textbox:#Text Box 2">
              <w:txbxContent>
                <w:p w14:paraId="5C0FBD57" w14:textId="77777777" w:rsidR="00883C35" w:rsidRPr="00883C35" w:rsidRDefault="00883C35" w:rsidP="00883C35">
                  <w:pPr>
                    <w:rPr>
                      <w:b/>
                      <w:color w:val="000000"/>
                    </w:rPr>
                  </w:pPr>
                  <w:r>
                    <w:rPr>
                      <w:b/>
                      <w:color w:val="000000"/>
                      <w:u w:val="single"/>
                    </w:rPr>
                    <w:t>AÇÕES-CHAVE</w:t>
                  </w:r>
                </w:p>
                <w:p w14:paraId="62DF9775" w14:textId="77777777" w:rsidR="00883C35" w:rsidRPr="00883C35" w:rsidRDefault="00883C35" w:rsidP="00883C35">
                  <w:pPr>
                    <w:spacing w:after="0"/>
                    <w:rPr>
                      <w:b/>
                      <w:color w:val="000000"/>
                    </w:rPr>
                  </w:pPr>
                  <w:r>
                    <w:rPr>
                      <w:b/>
                      <w:color w:val="000000"/>
                    </w:rPr>
                    <w:t>A Comissão irá:</w:t>
                  </w:r>
                </w:p>
                <w:p w14:paraId="36C25013" w14:textId="77777777" w:rsidR="00883C35" w:rsidRPr="00883C35" w:rsidRDefault="00883C35" w:rsidP="00883C35">
                  <w:pPr>
                    <w:pStyle w:val="ListNumber"/>
                    <w:numPr>
                      <w:ilvl w:val="0"/>
                      <w:numId w:val="34"/>
                    </w:numPr>
                    <w:spacing w:after="120"/>
                    <w:rPr>
                      <w:color w:val="000000"/>
                    </w:rPr>
                  </w:pPr>
                  <w:r>
                    <w:rPr>
                      <w:color w:val="000000"/>
                    </w:rPr>
                    <w:t>Continuar a avaliar a transposição da Diretiva e, se for caso disso, iniciar processos por infração, para reforçar a clareza jurídica.</w:t>
                  </w:r>
                </w:p>
                <w:p w14:paraId="5786CA4F" w14:textId="484C50E5" w:rsidR="00883C35" w:rsidRPr="00883C35" w:rsidRDefault="00883C35" w:rsidP="00883C35">
                  <w:pPr>
                    <w:pStyle w:val="ListNumber"/>
                    <w:numPr>
                      <w:ilvl w:val="0"/>
                      <w:numId w:val="34"/>
                    </w:numPr>
                    <w:spacing w:after="120"/>
                    <w:rPr>
                      <w:color w:val="000000"/>
                    </w:rPr>
                  </w:pPr>
                  <w:r>
                    <w:rPr>
                      <w:color w:val="000000"/>
                    </w:rPr>
                    <w:t xml:space="preserve">Continuar a apoiar a utilização da </w:t>
                  </w:r>
                  <w:r>
                    <w:rPr>
                      <w:color w:val="000000"/>
                      <w:szCs w:val="24"/>
                    </w:rPr>
                    <w:t>informação do campo de batalha pelos Estados</w:t>
                  </w:r>
                  <w:r w:rsidR="00175CA4">
                    <w:rPr>
                      <w:color w:val="000000"/>
                      <w:szCs w:val="24"/>
                    </w:rPr>
                    <w:noBreakHyphen/>
                  </w:r>
                  <w:r>
                    <w:rPr>
                      <w:color w:val="000000"/>
                      <w:szCs w:val="24"/>
                    </w:rPr>
                    <w:t>Membros</w:t>
                  </w:r>
                  <w:r>
                    <w:rPr>
                      <w:color w:val="000000"/>
                    </w:rPr>
                    <w:t>.</w:t>
                  </w:r>
                </w:p>
                <w:p w14:paraId="71E8B615" w14:textId="49589921" w:rsidR="00883C35" w:rsidRPr="00883C35" w:rsidRDefault="00883C35" w:rsidP="00883C35">
                  <w:pPr>
                    <w:pStyle w:val="ListNumber"/>
                    <w:numPr>
                      <w:ilvl w:val="0"/>
                      <w:numId w:val="34"/>
                    </w:numPr>
                    <w:spacing w:after="120"/>
                    <w:rPr>
                      <w:color w:val="000000"/>
                      <w:szCs w:val="22"/>
                    </w:rPr>
                  </w:pPr>
                  <w:r>
                    <w:rPr>
                      <w:bCs/>
                      <w:color w:val="000000"/>
                      <w:szCs w:val="24"/>
                    </w:rPr>
                    <w:t>Apresentar</w:t>
                  </w:r>
                  <w:r>
                    <w:rPr>
                      <w:color w:val="000000"/>
                      <w:szCs w:val="24"/>
                    </w:rPr>
                    <w:t xml:space="preserve"> uma panorâmica das ações necessárias para prevenir a violência da extrema-direita nos Estados-Membros.</w:t>
                  </w:r>
                </w:p>
                <w:p w14:paraId="079E2C75" w14:textId="4D92F902" w:rsidR="00883C35" w:rsidRPr="00CB0EFD" w:rsidRDefault="00883C35" w:rsidP="00883C35">
                  <w:pPr>
                    <w:pStyle w:val="ListNumber"/>
                    <w:numPr>
                      <w:ilvl w:val="0"/>
                      <w:numId w:val="34"/>
                    </w:numPr>
                    <w:spacing w:after="120"/>
                    <w:rPr>
                      <w:color w:val="000000"/>
                      <w:szCs w:val="22"/>
                    </w:rPr>
                  </w:pPr>
                  <w:r>
                    <w:rPr>
                      <w:color w:val="000000"/>
                      <w:szCs w:val="24"/>
                    </w:rPr>
                    <w:t>Organizar uma reunião sobre a aplicação de legislação de prevenção do terrorismo e da violência da extrema-direita, reunindo todos os interessados.</w:t>
                  </w:r>
                </w:p>
                <w:p w14:paraId="1A679E91" w14:textId="3E3D8330" w:rsidR="00CB0EFD" w:rsidRPr="00CB0EFD" w:rsidRDefault="00CB0EFD" w:rsidP="00CB0EFD">
                  <w:pPr>
                    <w:pStyle w:val="ListNumber"/>
                    <w:numPr>
                      <w:ilvl w:val="0"/>
                      <w:numId w:val="34"/>
                    </w:numPr>
                    <w:spacing w:after="120"/>
                    <w:rPr>
                      <w:color w:val="000000"/>
                      <w:szCs w:val="22"/>
                    </w:rPr>
                  </w:pPr>
                  <w:r>
                    <w:rPr>
                      <w:color w:val="000000"/>
                      <w:szCs w:val="24"/>
                    </w:rPr>
                    <w:t>Apresentar uma proposta para melhorar a utilização do Registo de Contraterrorismo Europeu na Eurojust, para identificar atempadamente as ligações entre os processos de combate ao terrorismo e solicitar o apoio da Eurojust na coordenação de ações penais paralelas.</w:t>
                  </w:r>
                </w:p>
                <w:p w14:paraId="6F16A163" w14:textId="2015C224" w:rsidR="00883C35" w:rsidRPr="00883C35" w:rsidRDefault="00883C35" w:rsidP="001A16FC">
                  <w:pPr>
                    <w:pStyle w:val="ListNumber"/>
                    <w:numPr>
                      <w:ilvl w:val="0"/>
                      <w:numId w:val="34"/>
                    </w:numPr>
                    <w:spacing w:after="120"/>
                  </w:pPr>
                  <w:r>
                    <w:rPr>
                      <w:color w:val="000000"/>
                      <w:szCs w:val="24"/>
                    </w:rPr>
                    <w:t>Analisar todas as propostas para proteger e apoiar melhor as vítimas do terrorismo e intervir com ações rápidas e precisas para melhorar a sua situação.</w:t>
                  </w:r>
                  <w:r>
                    <w:t xml:space="preserve"> </w:t>
                  </w:r>
                  <w:r>
                    <w:br/>
                  </w:r>
                </w:p>
                <w:p w14:paraId="523A37AB" w14:textId="77777777" w:rsidR="00883C35" w:rsidRPr="00883C35" w:rsidRDefault="00883C35" w:rsidP="00883C35">
                  <w:pPr>
                    <w:spacing w:after="0"/>
                    <w:rPr>
                      <w:b/>
                      <w:color w:val="000000"/>
                    </w:rPr>
                  </w:pPr>
                  <w:r>
                    <w:rPr>
                      <w:b/>
                      <w:color w:val="000000"/>
                    </w:rPr>
                    <w:t>Os Estados-Membros são convidados a:</w:t>
                  </w:r>
                </w:p>
                <w:p w14:paraId="4229CAC3" w14:textId="59CDB337" w:rsidR="00883C35" w:rsidRDefault="00883C35" w:rsidP="00883C35">
                  <w:pPr>
                    <w:pStyle w:val="ListNumber"/>
                    <w:numPr>
                      <w:ilvl w:val="0"/>
                      <w:numId w:val="34"/>
                    </w:numPr>
                    <w:spacing w:after="120"/>
                    <w:rPr>
                      <w:color w:val="000000"/>
                    </w:rPr>
                  </w:pPr>
                  <w:r>
                    <w:rPr>
                      <w:color w:val="000000"/>
                    </w:rPr>
                    <w:t>Tirar partido de todas as fontes de informação existentes, como o memorando da Eurojust sobre informação do campo de batalha e o relatório da Rede Genocídio sobre ações penais cumulativas de combatentes terroristas estrangeiros pelos crimes internacionais mais graves e infrações relacionadas com o terrorismo.</w:t>
                  </w:r>
                </w:p>
                <w:p w14:paraId="43613A18" w14:textId="32871B96" w:rsidR="00883C35" w:rsidRPr="00883C35" w:rsidRDefault="00883C35" w:rsidP="00883C35">
                  <w:pPr>
                    <w:pStyle w:val="ListNumber"/>
                    <w:numPr>
                      <w:ilvl w:val="0"/>
                      <w:numId w:val="34"/>
                    </w:numPr>
                    <w:spacing w:after="120"/>
                    <w:rPr>
                      <w:color w:val="000000"/>
                    </w:rPr>
                  </w:pPr>
                  <w:r>
                    <w:rPr>
                      <w:color w:val="000000"/>
                      <w:szCs w:val="24"/>
                    </w:rPr>
                    <w:t>Efetuar o cruzamento da informação do campo de batalha sobre suspeitos de terrorismo recebida por Estados terceiros de confiança tanto quanto possível com outras bases de dados relevantes e fontes de informação.</w:t>
                  </w:r>
                </w:p>
                <w:p w14:paraId="58547906" w14:textId="7822076D" w:rsidR="00883C35" w:rsidRDefault="00883C35" w:rsidP="00883C35">
                  <w:pPr>
                    <w:pStyle w:val="ListNumber"/>
                    <w:numPr>
                      <w:ilvl w:val="0"/>
                      <w:numId w:val="34"/>
                    </w:numPr>
                    <w:spacing w:after="120"/>
                    <w:rPr>
                      <w:color w:val="000000"/>
                    </w:rPr>
                  </w:pPr>
                  <w:r>
                    <w:rPr>
                      <w:color w:val="000000"/>
                    </w:rPr>
                    <w:t>Criar pontos de contacto únicos para as vítimas do terrorismo, em todos os casos em que estes ainda não existam.</w:t>
                  </w:r>
                </w:p>
                <w:p w14:paraId="4C83E4D8" w14:textId="77777777" w:rsidR="00175CA4" w:rsidRPr="00883C35" w:rsidRDefault="00175CA4" w:rsidP="00175CA4">
                  <w:pPr>
                    <w:pStyle w:val="ListNumber"/>
                    <w:numPr>
                      <w:ilvl w:val="0"/>
                      <w:numId w:val="0"/>
                    </w:numPr>
                    <w:spacing w:after="120"/>
                    <w:ind w:left="709" w:hanging="709"/>
                    <w:rPr>
                      <w:color w:val="000000"/>
                    </w:rPr>
                  </w:pPr>
                </w:p>
              </w:txbxContent>
            </v:textbox>
            <w10:anchorlock/>
          </v:shape>
        </w:pict>
      </w:r>
    </w:p>
    <w:p w14:paraId="57C39537" w14:textId="3B2D20E0" w:rsidR="00B6458C" w:rsidRPr="00D5365A" w:rsidRDefault="00B6458C" w:rsidP="00231AB2">
      <w:pPr>
        <w:rPr>
          <w:noProof/>
          <w:color w:val="000000"/>
          <w:szCs w:val="24"/>
        </w:rPr>
      </w:pPr>
    </w:p>
    <w:sectPr w:rsidR="00B6458C" w:rsidRPr="00D5365A" w:rsidSect="00014DC9">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42A58" w14:textId="77777777" w:rsidR="006973C4" w:rsidRDefault="006973C4">
      <w:pPr>
        <w:spacing w:after="0"/>
      </w:pPr>
      <w:r>
        <w:separator/>
      </w:r>
    </w:p>
  </w:endnote>
  <w:endnote w:type="continuationSeparator" w:id="0">
    <w:p w14:paraId="7BE4CA1E" w14:textId="77777777" w:rsidR="006973C4" w:rsidRDefault="006973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EUAlbertina">
    <w:altName w:val="Times New Roman"/>
    <w:charset w:val="00"/>
    <w:family w:val="auto"/>
    <w:pitch w:val="variable"/>
    <w:sig w:usb0="00000001" w:usb1="1000E0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C0F85" w14:textId="77777777" w:rsidR="000C1203" w:rsidRPr="000C1203" w:rsidRDefault="000C1203" w:rsidP="000C1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52ADE" w14:textId="69496C18" w:rsidR="005D400A" w:rsidRPr="000C1203" w:rsidRDefault="000C1203" w:rsidP="000C1203">
    <w:pPr>
      <w:pStyle w:val="FooterCoverPage"/>
      <w:rPr>
        <w:rFonts w:ascii="Arial" w:hAnsi="Arial" w:cs="Arial"/>
        <w:b/>
        <w:sz w:val="48"/>
      </w:rPr>
    </w:pPr>
    <w:r w:rsidRPr="000C1203">
      <w:rPr>
        <w:rFonts w:ascii="Arial" w:hAnsi="Arial" w:cs="Arial"/>
        <w:b/>
        <w:sz w:val="48"/>
      </w:rPr>
      <w:t>PT</w:t>
    </w:r>
    <w:r w:rsidRPr="000C1203">
      <w:rPr>
        <w:rFonts w:ascii="Arial" w:hAnsi="Arial" w:cs="Arial"/>
        <w:b/>
        <w:sz w:val="48"/>
      </w:rPr>
      <w:tab/>
    </w:r>
    <w:r w:rsidRPr="000C1203">
      <w:rPr>
        <w:rFonts w:ascii="Arial" w:hAnsi="Arial" w:cs="Arial"/>
        <w:b/>
        <w:sz w:val="48"/>
      </w:rPr>
      <w:tab/>
    </w:r>
    <w:r w:rsidRPr="000C1203">
      <w:tab/>
    </w:r>
    <w:r w:rsidRPr="000C1203">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B0FF" w14:textId="77777777" w:rsidR="000C1203" w:rsidRPr="000C1203" w:rsidRDefault="000C1203" w:rsidP="000C120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EB067" w14:textId="77777777" w:rsidR="00B6458C" w:rsidRDefault="00B645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C7959" w14:textId="2107288E" w:rsidR="00B6458C" w:rsidRPr="000D4014" w:rsidRDefault="00B6458C">
    <w:pPr>
      <w:pStyle w:val="Footer"/>
      <w:jc w:val="center"/>
      <w:rPr>
        <w:rFonts w:ascii="Times New Roman" w:hAnsi="Times New Roman"/>
      </w:rPr>
    </w:pPr>
    <w:r>
      <w:rPr>
        <w:rFonts w:ascii="Times New Roman" w:hAnsi="Times New Roman"/>
      </w:rPr>
      <w:fldChar w:fldCharType="begin"/>
    </w:r>
    <w:r w:rsidR="00F67BB6">
      <w:rPr>
        <w:rFonts w:ascii="Times New Roman" w:hAnsi="Times New Roman"/>
      </w:rPr>
      <w:instrText xml:space="preserve"> PAGE</w:instrText>
    </w:r>
    <w:r>
      <w:rPr>
        <w:rFonts w:ascii="Times New Roman" w:hAnsi="Times New Roman"/>
      </w:rPr>
      <w:instrText xml:space="preserve"> \* MERGEFORMAT </w:instrText>
    </w:r>
    <w:r>
      <w:rPr>
        <w:rFonts w:ascii="Times New Roman" w:hAnsi="Times New Roman"/>
      </w:rPr>
      <w:fldChar w:fldCharType="separate"/>
    </w:r>
    <w:r w:rsidR="000C1203">
      <w:rPr>
        <w:rFonts w:ascii="Times New Roman" w:hAnsi="Times New Roman"/>
        <w:noProof/>
      </w:rPr>
      <w:t>3</w:t>
    </w:r>
    <w:r>
      <w:rPr>
        <w:rFonts w:ascii="Times New Roman" w:hAnsi="Times New Roman"/>
      </w:rPr>
      <w:fldChar w:fldCharType="end"/>
    </w:r>
  </w:p>
  <w:p w14:paraId="45182565" w14:textId="77777777" w:rsidR="00B6458C" w:rsidRDefault="00B6458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1E1BA" w14:textId="6CCEFAB5" w:rsidR="00B6458C" w:rsidRPr="00DA5136" w:rsidRDefault="00B6458C">
    <w:pPr>
      <w:pStyle w:val="Footer"/>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0C1203">
      <w:rPr>
        <w:rFonts w:ascii="Times New Roman" w:hAnsi="Times New Roman"/>
        <w:noProof/>
        <w:sz w:val="20"/>
      </w:rPr>
      <w:t>1</w:t>
    </w:r>
    <w:r>
      <w:rPr>
        <w:rFonts w:ascii="Times New Roman" w:hAnsi="Times New Roman"/>
        <w:sz w:val="20"/>
      </w:rPr>
      <w:fldChar w:fldCharType="end"/>
    </w:r>
  </w:p>
  <w:p w14:paraId="591D7775" w14:textId="77777777" w:rsidR="00B6458C" w:rsidRDefault="00B64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7510A" w14:textId="77777777" w:rsidR="006973C4" w:rsidRDefault="006973C4">
      <w:pPr>
        <w:spacing w:after="0"/>
      </w:pPr>
      <w:r>
        <w:separator/>
      </w:r>
    </w:p>
  </w:footnote>
  <w:footnote w:type="continuationSeparator" w:id="0">
    <w:p w14:paraId="3E705ACB" w14:textId="77777777" w:rsidR="006973C4" w:rsidRDefault="006973C4">
      <w:pPr>
        <w:spacing w:after="0"/>
      </w:pPr>
      <w:r>
        <w:continuationSeparator/>
      </w:r>
    </w:p>
  </w:footnote>
  <w:footnote w:id="1">
    <w:p w14:paraId="4AF9F67D" w14:textId="44A009DE" w:rsidR="00B6458C" w:rsidRPr="00D95A51" w:rsidRDefault="00B6458C" w:rsidP="004B33D0">
      <w:pPr>
        <w:pStyle w:val="FootnoteText"/>
        <w:spacing w:after="0"/>
        <w:ind w:left="720" w:hanging="720"/>
        <w:rPr>
          <w:color w:val="000000"/>
        </w:rPr>
      </w:pPr>
      <w:r>
        <w:rPr>
          <w:rStyle w:val="FootnoteReference"/>
          <w:color w:val="000000"/>
        </w:rPr>
        <w:footnoteRef/>
      </w:r>
      <w:r>
        <w:rPr>
          <w:color w:val="000000"/>
        </w:rPr>
        <w:t xml:space="preserve"> </w:t>
      </w:r>
      <w:r w:rsidR="004B33D0">
        <w:rPr>
          <w:color w:val="000000"/>
        </w:rPr>
        <w:tab/>
      </w:r>
      <w:r>
        <w:rPr>
          <w:color w:val="000000"/>
        </w:rPr>
        <w:t>Diretiva (UE) 2017/541, de 15 de março de 2017, relativa à luta contra o terrorismo (JO L 88 de 15.3.2017, p. 6).</w:t>
      </w:r>
    </w:p>
  </w:footnote>
  <w:footnote w:id="2">
    <w:p w14:paraId="727200BC" w14:textId="1F0DB040" w:rsidR="00B6458C" w:rsidRPr="00D95A51" w:rsidRDefault="00B6458C" w:rsidP="004B33D0">
      <w:pPr>
        <w:pStyle w:val="FootnoteText"/>
        <w:spacing w:after="0"/>
        <w:ind w:left="720" w:hanging="720"/>
        <w:rPr>
          <w:color w:val="000000"/>
        </w:rPr>
      </w:pPr>
      <w:r>
        <w:rPr>
          <w:rStyle w:val="FootnoteReference"/>
          <w:color w:val="000000"/>
        </w:rPr>
        <w:footnoteRef/>
      </w:r>
      <w:r>
        <w:t xml:space="preserve"> </w:t>
      </w:r>
      <w:r w:rsidR="004B33D0">
        <w:tab/>
      </w:r>
      <w:r>
        <w:rPr>
          <w:color w:val="000000"/>
        </w:rPr>
        <w:t>Decisão-Quadro 2002/475/JAI do Conselho, de 13 de junho de 2002, relativa à luta contra o terrorismo (JO L 164 de 13.6.2002, p. 3).</w:t>
      </w:r>
    </w:p>
  </w:footnote>
  <w:footnote w:id="3">
    <w:p w14:paraId="75323D5E" w14:textId="21F486DB" w:rsidR="00B6458C" w:rsidRPr="00D95A51" w:rsidRDefault="00B6458C" w:rsidP="00770B4B">
      <w:pPr>
        <w:pStyle w:val="FootnoteText"/>
        <w:spacing w:after="0"/>
        <w:ind w:left="0" w:firstLine="0"/>
        <w:rPr>
          <w:color w:val="000000"/>
        </w:rPr>
      </w:pPr>
      <w:r>
        <w:rPr>
          <w:rStyle w:val="FootnoteReference"/>
          <w:color w:val="000000"/>
        </w:rPr>
        <w:footnoteRef/>
      </w:r>
      <w:r>
        <w:t xml:space="preserve"> </w:t>
      </w:r>
      <w:r w:rsidR="004B33D0">
        <w:tab/>
      </w:r>
      <w:r>
        <w:rPr>
          <w:color w:val="000000"/>
        </w:rPr>
        <w:t>Todos os Estados-Membros da UE, com exc</w:t>
      </w:r>
      <w:r w:rsidR="004B33D0">
        <w:rPr>
          <w:color w:val="000000"/>
        </w:rPr>
        <w:t>eção da Dinamarca e da Irlanda.</w:t>
      </w:r>
    </w:p>
  </w:footnote>
  <w:footnote w:id="4">
    <w:p w14:paraId="0EC3C272" w14:textId="28B262A5" w:rsidR="00B6458C" w:rsidRPr="00D30941" w:rsidRDefault="00B6458C" w:rsidP="00696773">
      <w:pPr>
        <w:pStyle w:val="FootnoteText"/>
        <w:spacing w:after="0"/>
        <w:ind w:left="720" w:hanging="720"/>
      </w:pPr>
      <w:r>
        <w:rPr>
          <w:rStyle w:val="FootnoteReference"/>
        </w:rPr>
        <w:footnoteRef/>
      </w:r>
      <w:r>
        <w:t xml:space="preserve"> </w:t>
      </w:r>
      <w:r w:rsidR="004B33D0">
        <w:tab/>
      </w:r>
      <w:r>
        <w:rPr>
          <w:color w:val="000000"/>
        </w:rPr>
        <w:t>COM (2020) 619 final de 30.9.2020.</w:t>
      </w:r>
    </w:p>
  </w:footnote>
  <w:footnote w:id="5">
    <w:p w14:paraId="20A16591" w14:textId="099C9DE6" w:rsidR="00B6458C" w:rsidRPr="00231AB2" w:rsidRDefault="00B6458C" w:rsidP="00696773">
      <w:pPr>
        <w:pStyle w:val="FootnoteText"/>
        <w:spacing w:after="0"/>
        <w:ind w:left="720" w:hanging="720"/>
      </w:pPr>
      <w:r>
        <w:rPr>
          <w:rStyle w:val="FootnoteReference"/>
        </w:rPr>
        <w:footnoteRef/>
      </w:r>
      <w:r>
        <w:t xml:space="preserve"> </w:t>
      </w:r>
      <w:r w:rsidR="004B33D0">
        <w:tab/>
      </w:r>
      <w:r>
        <w:t>SWD(2017) 350, de 7.7.2017.</w:t>
      </w:r>
    </w:p>
  </w:footnote>
  <w:footnote w:id="6">
    <w:p w14:paraId="53C97832" w14:textId="078D382C" w:rsidR="00B6458C" w:rsidRPr="00D95A51" w:rsidRDefault="00B6458C" w:rsidP="00696773">
      <w:pPr>
        <w:pStyle w:val="FootnoteText"/>
        <w:spacing w:after="0"/>
        <w:ind w:left="720" w:hanging="720"/>
        <w:rPr>
          <w:color w:val="000000"/>
        </w:rPr>
      </w:pPr>
      <w:r>
        <w:rPr>
          <w:rStyle w:val="FootnoteReference"/>
          <w:color w:val="000000"/>
        </w:rPr>
        <w:footnoteRef/>
      </w:r>
      <w:r>
        <w:t xml:space="preserve"> </w:t>
      </w:r>
      <w:r w:rsidR="00696773">
        <w:tab/>
      </w:r>
      <w:r>
        <w:rPr>
          <w:color w:val="000000"/>
        </w:rPr>
        <w:t>Em particular, as obrigações relativas a combatentes terroristas estrangeiros e ao financiamento do terrorismo: a Resolução n.º 2178, adotada pelo Conselho de Segurança das Nações Unidas relativa aos combatentes terroristas estrangeiros (2014), o Protocolo Adicional à Convenção do Conselho da Europa para a Prevenção do Terrorismo (2015) e as normas do Grupo de Ação Financeira em matéria de financiamento do terrorismo.</w:t>
      </w:r>
    </w:p>
  </w:footnote>
  <w:footnote w:id="7">
    <w:p w14:paraId="08D7E81C" w14:textId="76CA5DB6" w:rsidR="00B730AB" w:rsidRPr="00D95A51" w:rsidRDefault="00B730AB" w:rsidP="00696773">
      <w:pPr>
        <w:pStyle w:val="FootnoteText"/>
        <w:spacing w:after="0"/>
        <w:ind w:left="720" w:hanging="720"/>
      </w:pPr>
      <w:r>
        <w:rPr>
          <w:rStyle w:val="FootnoteReference"/>
        </w:rPr>
        <w:footnoteRef/>
      </w:r>
      <w:r>
        <w:t xml:space="preserve"> </w:t>
      </w:r>
      <w:r w:rsidR="00696773">
        <w:tab/>
      </w:r>
      <w:r>
        <w:rPr>
          <w:color w:val="000000"/>
        </w:rPr>
        <w:t>COM (2020) 619 final de 30.9.2020.</w:t>
      </w:r>
    </w:p>
  </w:footnote>
  <w:footnote w:id="8">
    <w:p w14:paraId="6057FD32" w14:textId="38717F50" w:rsidR="00B730AB" w:rsidRPr="00D95A51" w:rsidRDefault="00B730AB" w:rsidP="00F67BB6">
      <w:pPr>
        <w:pStyle w:val="FootnoteText"/>
        <w:spacing w:after="0"/>
        <w:ind w:left="720" w:hanging="720"/>
        <w:rPr>
          <w:color w:val="000000"/>
        </w:rPr>
      </w:pPr>
      <w:r>
        <w:rPr>
          <w:rStyle w:val="FootnoteReference"/>
          <w:color w:val="000000"/>
        </w:rPr>
        <w:footnoteRef/>
      </w:r>
      <w:r>
        <w:rPr>
          <w:color w:val="000000"/>
        </w:rPr>
        <w:t xml:space="preserve"> </w:t>
      </w:r>
      <w:r w:rsidR="00F67BB6">
        <w:rPr>
          <w:color w:val="000000"/>
        </w:rPr>
        <w:tab/>
      </w:r>
      <w:r>
        <w:rPr>
          <w:color w:val="000000"/>
        </w:rPr>
        <w:t>Comité Económico e Social Europeu, Relatório de informação, Avaliação da Diretiva Luta contra o Terrorismo, SOC/675, 2021.</w:t>
      </w:r>
    </w:p>
  </w:footnote>
  <w:footnote w:id="9">
    <w:p w14:paraId="1F2BFDA1" w14:textId="5B3B86BA" w:rsidR="00B6458C" w:rsidRPr="00D95A51" w:rsidRDefault="00B6458C" w:rsidP="005129F0">
      <w:pPr>
        <w:pStyle w:val="FootnoteText"/>
        <w:spacing w:after="0"/>
        <w:ind w:left="720" w:hanging="720"/>
        <w:rPr>
          <w:color w:val="000000"/>
        </w:rPr>
      </w:pPr>
      <w:r>
        <w:rPr>
          <w:rStyle w:val="FootnoteReference"/>
          <w:color w:val="000000"/>
        </w:rPr>
        <w:footnoteRef/>
      </w:r>
      <w:r>
        <w:rPr>
          <w:color w:val="000000"/>
        </w:rPr>
        <w:t xml:space="preserve"> </w:t>
      </w:r>
      <w:r w:rsidR="005129F0">
        <w:rPr>
          <w:color w:val="000000"/>
        </w:rPr>
        <w:tab/>
      </w:r>
      <w:r>
        <w:rPr>
          <w:color w:val="000000"/>
        </w:rPr>
        <w:t>As conclusões do Conselho sobre as vítimas do terrorismo de 2018 (9719/18) instam os Estados</w:t>
      </w:r>
      <w:r w:rsidR="00175CA4">
        <w:rPr>
          <w:color w:val="000000"/>
        </w:rPr>
        <w:noBreakHyphen/>
      </w:r>
      <w:r>
        <w:rPr>
          <w:color w:val="000000"/>
        </w:rPr>
        <w:t>Membros a criar um ponto único de contacto nacional para as vítimas do terrorismo. Este apelo foi reiterado nas conclusões do Conselho sobre os direitos das vítimas de 2019 (2019/C 422/05).</w:t>
      </w:r>
    </w:p>
  </w:footnote>
  <w:footnote w:id="10">
    <w:p w14:paraId="75ADD397" w14:textId="2B8423BF" w:rsidR="00B6458C" w:rsidRPr="00D95A51" w:rsidRDefault="00B6458C" w:rsidP="005129F0">
      <w:pPr>
        <w:pStyle w:val="FootnoteText"/>
        <w:spacing w:after="0"/>
        <w:ind w:left="720" w:hanging="720"/>
      </w:pPr>
      <w:r>
        <w:rPr>
          <w:rStyle w:val="FootnoteReference"/>
        </w:rPr>
        <w:footnoteRef/>
      </w:r>
      <w:r>
        <w:t xml:space="preserve"> </w:t>
      </w:r>
      <w:r w:rsidR="005129F0">
        <w:tab/>
      </w:r>
      <w:r>
        <w:rPr>
          <w:color w:val="000000"/>
        </w:rPr>
        <w:t>COM (2020) 619 final de 30.9.2020.</w:t>
      </w:r>
    </w:p>
  </w:footnote>
  <w:footnote w:id="11">
    <w:p w14:paraId="702392A3" w14:textId="6BFA2D9C" w:rsidR="00C407F6" w:rsidRPr="00EE453A" w:rsidRDefault="00C407F6" w:rsidP="005129F0">
      <w:pPr>
        <w:pStyle w:val="FootnoteText"/>
        <w:spacing w:after="0"/>
        <w:ind w:left="720" w:hanging="720"/>
      </w:pPr>
      <w:r>
        <w:rPr>
          <w:rStyle w:val="FootnoteReference"/>
        </w:rPr>
        <w:footnoteRef/>
      </w:r>
      <w:r>
        <w:t xml:space="preserve"> </w:t>
      </w:r>
      <w:r w:rsidR="005129F0">
        <w:tab/>
      </w:r>
      <w:hyperlink r:id="rId1" w:history="1">
        <w:r>
          <w:rPr>
            <w:rStyle w:val="Hyperlink"/>
          </w:rPr>
          <w:t>Memorando da Eurojust sobre as provas obtidas no campo de batalha| |</w:t>
        </w:r>
      </w:hyperlink>
      <w:hyperlink r:id="rId2" w:history="1">
        <w:r>
          <w:rPr>
            <w:rStyle w:val="Hyperlink"/>
          </w:rPr>
          <w:t xml:space="preserve"> Eurojust |</w:t>
        </w:r>
      </w:hyperlink>
      <w:hyperlink r:id="rId3" w:history="1">
        <w:r>
          <w:rPr>
            <w:rStyle w:val="Hyperlink"/>
          </w:rPr>
          <w:t xml:space="preserve"> Agência Europeia para a Cooperação Judiciária Penal (europa.eu)</w:t>
        </w:r>
      </w:hyperlink>
    </w:p>
  </w:footnote>
  <w:footnote w:id="12">
    <w:p w14:paraId="1FBD72EC" w14:textId="0E4B39F5" w:rsidR="00C407F6" w:rsidRPr="00096C29" w:rsidRDefault="00C407F6" w:rsidP="005129F0">
      <w:pPr>
        <w:pStyle w:val="FootnoteText"/>
        <w:spacing w:after="0"/>
        <w:ind w:left="720" w:hanging="720"/>
      </w:pPr>
      <w:r>
        <w:rPr>
          <w:rStyle w:val="FootnoteReference"/>
        </w:rPr>
        <w:footnoteRef/>
      </w:r>
      <w:r>
        <w:t xml:space="preserve"> </w:t>
      </w:r>
      <w:r w:rsidR="005129F0">
        <w:tab/>
      </w:r>
      <w:hyperlink r:id="rId4" w:history="1">
        <w:r>
          <w:rPr>
            <w:rStyle w:val="Hyperlink"/>
          </w:rPr>
          <w:t>«Cumulative prosecution of foreign terrorist fighters for core international crimes and terrorism-related offences» [Ações penais cumulativas de combatentes terroristas estrangeiros pelos crimes internacionais mais graves e infrações relacionadas com terrorismo] |</w:t>
        </w:r>
      </w:hyperlink>
      <w:hyperlink r:id="rId5" w:history="1">
        <w:r>
          <w:rPr>
            <w:rStyle w:val="Hyperlink"/>
          </w:rPr>
          <w:t xml:space="preserve"> Eurojust |</w:t>
        </w:r>
      </w:hyperlink>
      <w:hyperlink r:id="rId6" w:history="1">
        <w:r>
          <w:rPr>
            <w:rStyle w:val="Hyperlink"/>
          </w:rPr>
          <w:t xml:space="preserve"> Agência Europeia para a Cooperação Judiciária Penal (europa.eu)</w:t>
        </w:r>
      </w:hyperlink>
    </w:p>
  </w:footnote>
  <w:footnote w:id="13">
    <w:p w14:paraId="195BCFB7" w14:textId="007CF22D" w:rsidR="000F5B4E" w:rsidRPr="00D95A51" w:rsidRDefault="000F5B4E" w:rsidP="005129F0">
      <w:pPr>
        <w:pStyle w:val="FootnoteText"/>
        <w:spacing w:after="0"/>
        <w:ind w:left="720" w:hanging="720"/>
        <w:rPr>
          <w:color w:val="000000"/>
        </w:rPr>
      </w:pPr>
      <w:r>
        <w:rPr>
          <w:rStyle w:val="FootnoteReference"/>
          <w:color w:val="000000"/>
        </w:rPr>
        <w:footnoteRef/>
      </w:r>
      <w:r>
        <w:rPr>
          <w:color w:val="000000"/>
        </w:rPr>
        <w:t xml:space="preserve"> </w:t>
      </w:r>
      <w:r w:rsidR="005129F0">
        <w:rPr>
          <w:color w:val="000000"/>
        </w:rPr>
        <w:tab/>
      </w:r>
      <w:r>
        <w:rPr>
          <w:color w:val="000000"/>
        </w:rPr>
        <w:t>As conclusões do Conselho sobre as vítimas do terrorismo de 2018 (9719/18) instam os Estados</w:t>
      </w:r>
      <w:r w:rsidR="00175CA4">
        <w:rPr>
          <w:color w:val="000000"/>
        </w:rPr>
        <w:noBreakHyphen/>
      </w:r>
      <w:r>
        <w:rPr>
          <w:color w:val="000000"/>
        </w:rPr>
        <w:t>Membros a criar um ponto único de contacto nacional para as vítimas do terrorismo. Este apelo foi reiterado nas conclusões do Conselho sobre os direitos das vítimas de 2019 (2019/C 422/05).</w:t>
      </w:r>
    </w:p>
  </w:footnote>
  <w:footnote w:id="14">
    <w:p w14:paraId="723C6F6D" w14:textId="28A73074" w:rsidR="000F5B4E" w:rsidRPr="008D24FB" w:rsidRDefault="000F5B4E" w:rsidP="005129F0">
      <w:pPr>
        <w:pStyle w:val="FootnoteText"/>
        <w:spacing w:after="0"/>
        <w:ind w:left="720" w:hanging="720"/>
      </w:pPr>
      <w:r>
        <w:rPr>
          <w:rStyle w:val="FootnoteReference"/>
          <w:color w:val="000000"/>
        </w:rPr>
        <w:footnoteRef/>
      </w:r>
      <w:r>
        <w:rPr>
          <w:color w:val="000000"/>
        </w:rPr>
        <w:t xml:space="preserve"> </w:t>
      </w:r>
      <w:r w:rsidR="005129F0">
        <w:rPr>
          <w:color w:val="000000"/>
        </w:rPr>
        <w:tab/>
      </w:r>
      <w:r>
        <w:rPr>
          <w:color w:val="000000"/>
        </w:rPr>
        <w:t>Alemanha, Bélgica, Bulgária, Chéquia, Croácia, Eslováquia, Espanha, Estónia, França, Grécia, Itália, Letónia, Lituânia, Luxemburgo, Países Baixos, Portugal e Suécia.</w:t>
      </w:r>
    </w:p>
  </w:footnote>
  <w:footnote w:id="15">
    <w:p w14:paraId="138BA189" w14:textId="4658B4A4" w:rsidR="000F5B4E" w:rsidRDefault="000F5B4E" w:rsidP="005129F0">
      <w:pPr>
        <w:pStyle w:val="FootnoteText"/>
        <w:spacing w:after="0"/>
        <w:ind w:left="720" w:hanging="720"/>
      </w:pPr>
      <w:r>
        <w:rPr>
          <w:rStyle w:val="FootnoteReference"/>
        </w:rPr>
        <w:footnoteRef/>
      </w:r>
      <w:r>
        <w:t xml:space="preserve"> </w:t>
      </w:r>
      <w:r w:rsidR="005129F0">
        <w:tab/>
      </w:r>
      <w:r>
        <w:t xml:space="preserve">A Rede Europeia dos Direitos das Vítimas (ENVR) disponibiliza um fórum de peritos nacionais criado ao abrigo de uma subvenção da UE que procede ao intercâmbio de melhores práticas e debate os direitos das vítimas, incluindo os direitos de vítimas do terrorismo. Para mais informações: </w:t>
      </w:r>
      <w:hyperlink r:id="rId7" w:history="1">
        <w:r>
          <w:rPr>
            <w:rStyle w:val="Hyperlink"/>
          </w:rPr>
          <w:t>https://envr.eu/</w:t>
        </w:r>
      </w:hyperlink>
      <w:r w:rsidR="005129F0">
        <w:t>.</w:t>
      </w:r>
    </w:p>
  </w:footnote>
  <w:footnote w:id="16">
    <w:p w14:paraId="54A4AEB9" w14:textId="21C4D8D1" w:rsidR="000F5B4E" w:rsidRPr="00C61378" w:rsidRDefault="000F5B4E" w:rsidP="005129F0">
      <w:pPr>
        <w:pStyle w:val="FootnoteText"/>
        <w:spacing w:after="0"/>
        <w:ind w:left="720" w:hanging="720"/>
      </w:pPr>
      <w:r>
        <w:rPr>
          <w:rStyle w:val="FootnoteReference"/>
        </w:rPr>
        <w:footnoteRef/>
      </w:r>
      <w:r>
        <w:t xml:space="preserve"> </w:t>
      </w:r>
      <w:r w:rsidR="005129F0">
        <w:tab/>
      </w:r>
      <w:r>
        <w:rPr>
          <w:color w:val="000000"/>
        </w:rPr>
        <w:t>Comunicação da Comissão - Estratégia da UE sobre os direitos das vítimas, (2020-2025), COM(2020) 258 final, 24.6.2020.</w:t>
      </w:r>
    </w:p>
  </w:footnote>
  <w:footnote w:id="17">
    <w:p w14:paraId="4CCFCC1E" w14:textId="3B29FA15" w:rsidR="000F5B4E" w:rsidRDefault="000F5B4E" w:rsidP="005129F0">
      <w:pPr>
        <w:pStyle w:val="FootnoteText"/>
        <w:spacing w:after="0"/>
        <w:ind w:left="720" w:hanging="720"/>
      </w:pPr>
      <w:r>
        <w:rPr>
          <w:rStyle w:val="FootnoteReference"/>
        </w:rPr>
        <w:footnoteRef/>
      </w:r>
      <w:r>
        <w:t xml:space="preserve"> </w:t>
      </w:r>
      <w:r w:rsidR="005129F0">
        <w:tab/>
      </w:r>
      <w:hyperlink r:id="rId8" w:history="1">
        <w:r w:rsidR="005129F0" w:rsidRPr="003B03EF">
          <w:rPr>
            <w:rStyle w:val="Hyperlink"/>
          </w:rPr>
          <w:t>https://ec.europa.eu/info/policies/justice-and-fundamental-rights/criminal-justice/protecting-victims-rights/eu-centre-expertise-victims-terrorism_en</w:t>
        </w:r>
      </w:hyperlink>
    </w:p>
  </w:footnote>
  <w:footnote w:id="18">
    <w:p w14:paraId="1B4694C4" w14:textId="4A89FC01" w:rsidR="006C18C0" w:rsidRPr="00EB3CDC" w:rsidRDefault="006C18C0" w:rsidP="005129F0">
      <w:pPr>
        <w:pStyle w:val="FootnoteText"/>
        <w:spacing w:after="0"/>
        <w:ind w:left="720" w:hanging="720"/>
      </w:pPr>
      <w:r>
        <w:rPr>
          <w:rStyle w:val="FootnoteReference"/>
        </w:rPr>
        <w:footnoteRef/>
      </w:r>
      <w:r>
        <w:t xml:space="preserve"> </w:t>
      </w:r>
      <w:r w:rsidR="005129F0">
        <w:tab/>
      </w:r>
      <w:r>
        <w:rPr>
          <w:color w:val="000000"/>
        </w:rPr>
        <w:t>Diretiva 2012/29/UE, JO L 315 de 4.4.2012.</w:t>
      </w:r>
    </w:p>
  </w:footnote>
  <w:footnote w:id="19">
    <w:p w14:paraId="5AD67DBA" w14:textId="36CACF15" w:rsidR="000F5B4E" w:rsidRPr="00EB3CDC" w:rsidRDefault="000F5B4E" w:rsidP="005129F0">
      <w:pPr>
        <w:pStyle w:val="FootnoteText"/>
        <w:spacing w:after="0"/>
        <w:ind w:left="720" w:hanging="720"/>
      </w:pPr>
      <w:r>
        <w:rPr>
          <w:rStyle w:val="FootnoteReference"/>
        </w:rPr>
        <w:footnoteRef/>
      </w:r>
      <w:r>
        <w:t xml:space="preserve"> </w:t>
      </w:r>
      <w:r w:rsidR="005129F0">
        <w:tab/>
      </w:r>
      <w:hyperlink r:id="rId9" w:anchor="documents" w:history="1">
        <w:r w:rsidR="005129F0" w:rsidRPr="003B03EF">
          <w:rPr>
            <w:rStyle w:val="Hyperlink"/>
          </w:rPr>
          <w:t>https://ec.europa.eu/info/policies/justice-and-fundamental-rights/criminal-justice/protecting-victims-rights/eu-centre-expertise-victims-terrorism_en#documents</w:t>
        </w:r>
      </w:hyperlink>
      <w:r>
        <w:t xml:space="preserve"> </w:t>
      </w:r>
    </w:p>
  </w:footnote>
  <w:footnote w:id="20">
    <w:p w14:paraId="71A238CF" w14:textId="387F7BFF" w:rsidR="000F5B4E" w:rsidRPr="007E7E4E" w:rsidRDefault="000F5B4E" w:rsidP="005129F0">
      <w:pPr>
        <w:pStyle w:val="FootnoteText"/>
        <w:spacing w:after="0"/>
        <w:ind w:left="720" w:hanging="720"/>
        <w:rPr>
          <w:color w:val="000000"/>
        </w:rPr>
      </w:pPr>
      <w:r>
        <w:rPr>
          <w:rStyle w:val="FootnoteReference"/>
        </w:rPr>
        <w:footnoteRef/>
      </w:r>
      <w:r>
        <w:t xml:space="preserve"> </w:t>
      </w:r>
      <w:r w:rsidR="005129F0">
        <w:tab/>
      </w:r>
      <w:r>
        <w:rPr>
          <w:color w:val="000000"/>
        </w:rPr>
        <w:t>Além disso, o Centro da UE irá elaborar um manual nacional sobre os direitos das vítimas do terrorismo pa</w:t>
      </w:r>
      <w:r w:rsidR="00B15FCB">
        <w:rPr>
          <w:color w:val="000000"/>
        </w:rPr>
        <w:t>ra cada Estado-Membro da UE.</w:t>
      </w:r>
    </w:p>
  </w:footnote>
  <w:footnote w:id="21">
    <w:p w14:paraId="50ABC48C" w14:textId="47DC359E" w:rsidR="006C18C0" w:rsidRPr="006C18C0" w:rsidRDefault="006C18C0" w:rsidP="005129F0">
      <w:pPr>
        <w:pStyle w:val="FootnoteText"/>
        <w:spacing w:after="0"/>
        <w:ind w:left="720" w:hanging="720"/>
      </w:pPr>
      <w:r>
        <w:rPr>
          <w:rStyle w:val="FootnoteReference"/>
        </w:rPr>
        <w:footnoteRef/>
      </w:r>
      <w:r>
        <w:t xml:space="preserve"> </w:t>
      </w:r>
      <w:r w:rsidR="005129F0">
        <w:tab/>
      </w:r>
      <w:r>
        <w:t>Regulamento (UE) 2016/679, JO L 119 de 4.5.2016.</w:t>
      </w:r>
    </w:p>
  </w:footnote>
  <w:footnote w:id="22">
    <w:p w14:paraId="2E429AD7" w14:textId="78BA9486" w:rsidR="006C18C0" w:rsidRPr="006C18C0" w:rsidRDefault="006C18C0" w:rsidP="005129F0">
      <w:pPr>
        <w:pStyle w:val="FootnoteText"/>
        <w:spacing w:after="0"/>
        <w:ind w:left="720" w:hanging="720"/>
      </w:pPr>
      <w:r>
        <w:rPr>
          <w:rStyle w:val="FootnoteReference"/>
        </w:rPr>
        <w:footnoteRef/>
      </w:r>
      <w:r>
        <w:t xml:space="preserve"> </w:t>
      </w:r>
      <w:r w:rsidR="005129F0">
        <w:tab/>
      </w:r>
      <w:r>
        <w:t>Diretiva (UE) 2016/680, JO L 119 de 4.5.2016.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AB557" w14:textId="77777777" w:rsidR="000C1203" w:rsidRPr="000C1203" w:rsidRDefault="000C1203" w:rsidP="000C1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48561" w14:textId="77777777" w:rsidR="000C1203" w:rsidRPr="000C1203" w:rsidRDefault="000C1203" w:rsidP="000C120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65415" w14:textId="77777777" w:rsidR="000C1203" w:rsidRPr="000C1203" w:rsidRDefault="000C1203" w:rsidP="000C120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50A62" w14:textId="77777777" w:rsidR="00B6458C" w:rsidRDefault="00B645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C3D86" w14:textId="77777777" w:rsidR="00B6458C" w:rsidRDefault="00B645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27618" w14:textId="77777777" w:rsidR="00B6458C" w:rsidRDefault="00B6458C">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215"/>
        </w:tabs>
        <w:ind w:left="215"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515CACC8"/>
    <w:lvl w:ilvl="0">
      <w:start w:val="1"/>
      <w:numFmt w:val="decimal"/>
      <w:lvlText w:val="%1."/>
      <w:lvlJc w:val="left"/>
      <w:pPr>
        <w:tabs>
          <w:tab w:val="num" w:pos="360"/>
        </w:tabs>
        <w:ind w:left="360" w:hanging="360"/>
      </w:pPr>
    </w:lvl>
  </w:abstractNum>
  <w:abstractNum w:abstractNumId="3" w15:restartNumberingAfterBreak="0">
    <w:nsid w:val="03877CEF"/>
    <w:multiLevelType w:val="hybridMultilevel"/>
    <w:tmpl w:val="4B4E7D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B414C2D"/>
    <w:multiLevelType w:val="hybridMultilevel"/>
    <w:tmpl w:val="4AC62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441444"/>
    <w:multiLevelType w:val="hybridMultilevel"/>
    <w:tmpl w:val="4DFE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B9B16D0"/>
    <w:multiLevelType w:val="hybridMultilevel"/>
    <w:tmpl w:val="D29EABE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1"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2" w15:restartNumberingAfterBreak="0">
    <w:nsid w:val="2F213086"/>
    <w:multiLevelType w:val="hybridMultilevel"/>
    <w:tmpl w:val="A6F0C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F70111"/>
    <w:multiLevelType w:val="hybridMultilevel"/>
    <w:tmpl w:val="10CE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01475"/>
    <w:multiLevelType w:val="multilevel"/>
    <w:tmpl w:val="AB4856C2"/>
    <w:styleLink w:val="NumbLstBTBullet"/>
    <w:lvl w:ilvl="0">
      <w:start w:val="1"/>
      <w:numFmt w:val="bullet"/>
      <w:lvlText w:val=""/>
      <w:lvlJc w:val="left"/>
      <w:pPr>
        <w:tabs>
          <w:tab w:val="num" w:pos="623"/>
        </w:tabs>
        <w:ind w:left="623" w:hanging="340"/>
      </w:pPr>
      <w:rPr>
        <w:rFonts w:ascii="Symbol" w:hAnsi="Symbol" w:hint="default"/>
        <w:color w:val="auto"/>
      </w:rPr>
    </w:lvl>
    <w:lvl w:ilvl="1">
      <w:start w:val="1"/>
      <w:numFmt w:val="bullet"/>
      <w:lvlText w:val="–"/>
      <w:lvlJc w:val="left"/>
      <w:pPr>
        <w:tabs>
          <w:tab w:val="num" w:pos="1531"/>
        </w:tabs>
        <w:ind w:left="1531" w:hanging="340"/>
      </w:pPr>
      <w:rPr>
        <w:rFonts w:ascii="Arial" w:hAnsi="Arial" w:hint="default"/>
        <w:color w:val="auto"/>
      </w:rPr>
    </w:lvl>
    <w:lvl w:ilvl="2">
      <w:start w:val="1"/>
      <w:numFmt w:val="bullet"/>
      <w:lvlText w:val="○"/>
      <w:lvlJc w:val="left"/>
      <w:pPr>
        <w:tabs>
          <w:tab w:val="num" w:pos="1871"/>
        </w:tabs>
        <w:ind w:left="1871" w:hanging="340"/>
      </w:pPr>
      <w:rPr>
        <w:rFonts w:ascii="Arial" w:hAnsi="Arial" w:hint="default"/>
        <w:color w:val="auto"/>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1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3DFB019F"/>
    <w:multiLevelType w:val="hybridMultilevel"/>
    <w:tmpl w:val="039E20B4"/>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834357"/>
    <w:multiLevelType w:val="hybridMultilevel"/>
    <w:tmpl w:val="3184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3F4C02"/>
    <w:multiLevelType w:val="hybridMultilevel"/>
    <w:tmpl w:val="ECAC4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A432656"/>
    <w:multiLevelType w:val="multilevel"/>
    <w:tmpl w:val="C2025B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rPr>
        <w:b/>
        <w:i w:val="0"/>
      </w:r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F425961"/>
    <w:multiLevelType w:val="hybridMultilevel"/>
    <w:tmpl w:val="685AC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705B2B"/>
    <w:multiLevelType w:val="hybridMultilevel"/>
    <w:tmpl w:val="7BC6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2C0B7F"/>
    <w:multiLevelType w:val="hybridMultilevel"/>
    <w:tmpl w:val="C92C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1" w15:restartNumberingAfterBreak="0">
    <w:nsid w:val="67A2034B"/>
    <w:multiLevelType w:val="hybridMultilevel"/>
    <w:tmpl w:val="E1040D04"/>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3" w15:restartNumberingAfterBreak="0">
    <w:nsid w:val="6F167B64"/>
    <w:multiLevelType w:val="hybridMultilevel"/>
    <w:tmpl w:val="28E2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13783D"/>
    <w:multiLevelType w:val="hybridMultilevel"/>
    <w:tmpl w:val="06FE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3"/>
  </w:num>
  <w:num w:numId="4">
    <w:abstractNumId w:val="27"/>
  </w:num>
  <w:num w:numId="5">
    <w:abstractNumId w:val="15"/>
  </w:num>
  <w:num w:numId="6">
    <w:abstractNumId w:val="11"/>
  </w:num>
  <w:num w:numId="7">
    <w:abstractNumId w:val="6"/>
  </w:num>
  <w:num w:numId="8">
    <w:abstractNumId w:val="5"/>
  </w:num>
  <w:num w:numId="9">
    <w:abstractNumId w:val="28"/>
  </w:num>
  <w:num w:numId="10">
    <w:abstractNumId w:val="30"/>
  </w:num>
  <w:num w:numId="11">
    <w:abstractNumId w:val="29"/>
  </w:num>
  <w:num w:numId="12">
    <w:abstractNumId w:val="32"/>
  </w:num>
  <w:num w:numId="13">
    <w:abstractNumId w:val="9"/>
  </w:num>
  <w:num w:numId="14">
    <w:abstractNumId w:val="18"/>
  </w:num>
  <w:num w:numId="15">
    <w:abstractNumId w:val="21"/>
  </w:num>
  <w:num w:numId="16">
    <w:abstractNumId w:val="20"/>
  </w:num>
  <w:num w:numId="17">
    <w:abstractNumId w:val="4"/>
  </w:num>
  <w:num w:numId="18">
    <w:abstractNumId w:val="22"/>
  </w:num>
  <w:num w:numId="19">
    <w:abstractNumId w:val="24"/>
  </w:num>
  <w:num w:numId="20">
    <w:abstractNumId w:val="17"/>
  </w:num>
  <w:num w:numId="21">
    <w:abstractNumId w:val="19"/>
  </w:num>
  <w:num w:numId="22">
    <w:abstractNumId w:val="25"/>
  </w:num>
  <w:num w:numId="23">
    <w:abstractNumId w:val="8"/>
  </w:num>
  <w:num w:numId="24">
    <w:abstractNumId w:val="33"/>
  </w:num>
  <w:num w:numId="25">
    <w:abstractNumId w:val="26"/>
  </w:num>
  <w:num w:numId="26">
    <w:abstractNumId w:val="34"/>
  </w:num>
  <w:num w:numId="27">
    <w:abstractNumId w:val="10"/>
  </w:num>
  <w:num w:numId="28">
    <w:abstractNumId w:val="3"/>
  </w:num>
  <w:num w:numId="29">
    <w:abstractNumId w:val="31"/>
  </w:num>
  <w:num w:numId="30">
    <w:abstractNumId w:val="23"/>
  </w:num>
  <w:num w:numId="31">
    <w:abstractNumId w:val="7"/>
  </w:num>
  <w:num w:numId="32">
    <w:abstractNumId w:val="14"/>
  </w:num>
  <w:num w:numId="33">
    <w:abstractNumId w:val="16"/>
  </w:num>
  <w:num w:numId="34">
    <w:abstractNumId w:val="13"/>
  </w:num>
  <w:num w:numId="35">
    <w:abstractNumId w:val="12"/>
  </w:num>
  <w:num w:numId="36">
    <w:abstractNumId w:val="2"/>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nl-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de-DE" w:vendorID="64" w:dllVersion="131078" w:nlCheck="1" w:checkStyle="0"/>
  <w:activeWritingStyle w:appName="MSWord" w:lang="fr-B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Status" w:val="Green"/>
    <w:docVar w:name="LW_CORRIGENDUM" w:val="&lt;UNUSED&gt;"/>
    <w:docVar w:name="LW_COVERPAGE_EXISTS" w:val="True"/>
    <w:docVar w:name="LW_COVERPAGE_GUID" w:val="EF2344EE-A144-4E6B-9D04-90CB09B5FFA8"/>
    <w:docVar w:name="LW_COVERPAGE_TYPE" w:val="1"/>
    <w:docVar w:name="LW_CROSSREFERENCE" w:val="{SWD(2021) 324 final}"/>
    <w:docVar w:name="LW_DocType" w:val="NOT"/>
    <w:docVar w:name="LW_EMISSION" w:val="18.11.2021"/>
    <w:docVar w:name="LW_EMISSION_ISODATE" w:val="2021-11-18"/>
    <w:docVar w:name="LW_EMISSION_LOCATION" w:val="BRX"/>
    <w:docVar w:name="LW_EMISSION_PREFIX" w:val="Bruxelas, "/>
    <w:docVar w:name="LW_EMISSION_SUFFIX" w:val=" "/>
    <w:docVar w:name="LW_ID_DOCTYPE_NONLW" w:val="CP-006"/>
    <w:docVar w:name="LW_LANGUE" w:val="PT"/>
    <w:docVar w:name="LW_LEVEL_OF_SENSITIVITY" w:val="Standard treatmen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21) 7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nos termos do artigo 29.º, n.º 2, da Diretiva (UE) 2017/541 do Parlamento Europeu e do Conselho, de 15 de março de 2017, relativa à luta contra o terrorismo e que substitui a Decisão-Quadro 2002/475/JAI do Conselho e altera a Decisão 2005/671/JAI do Conselho"/>
    <w:docVar w:name="LW_TYPE.DOC.CP" w:val="RELATÓRIO DA COMISSÃO AO PARLAMENTO EUROPEU E AO CONSELHO"/>
    <w:docVar w:name="LwApiVersions" w:val="LW4CoDe 1.23.1.0; LW 8.0, Build 20210728"/>
  </w:docVars>
  <w:rsids>
    <w:rsidRoot w:val="00CB0844"/>
    <w:rsid w:val="00000190"/>
    <w:rsid w:val="00000B2B"/>
    <w:rsid w:val="00000B98"/>
    <w:rsid w:val="000024C2"/>
    <w:rsid w:val="00002AD2"/>
    <w:rsid w:val="00004C96"/>
    <w:rsid w:val="00006C0A"/>
    <w:rsid w:val="00010194"/>
    <w:rsid w:val="00010A40"/>
    <w:rsid w:val="0001122A"/>
    <w:rsid w:val="00011A7E"/>
    <w:rsid w:val="00012DB7"/>
    <w:rsid w:val="0001481A"/>
    <w:rsid w:val="00014DC9"/>
    <w:rsid w:val="00014FF6"/>
    <w:rsid w:val="00020279"/>
    <w:rsid w:val="0002084E"/>
    <w:rsid w:val="00020F12"/>
    <w:rsid w:val="000211FD"/>
    <w:rsid w:val="00022254"/>
    <w:rsid w:val="00022272"/>
    <w:rsid w:val="00022D41"/>
    <w:rsid w:val="00023252"/>
    <w:rsid w:val="000247FB"/>
    <w:rsid w:val="00025BC6"/>
    <w:rsid w:val="00026BCC"/>
    <w:rsid w:val="000317B4"/>
    <w:rsid w:val="00031D43"/>
    <w:rsid w:val="000338CE"/>
    <w:rsid w:val="000340B1"/>
    <w:rsid w:val="00034A72"/>
    <w:rsid w:val="000378EB"/>
    <w:rsid w:val="00042719"/>
    <w:rsid w:val="00042E38"/>
    <w:rsid w:val="0004519A"/>
    <w:rsid w:val="00045FA3"/>
    <w:rsid w:val="0004657F"/>
    <w:rsid w:val="0004680B"/>
    <w:rsid w:val="00046FD9"/>
    <w:rsid w:val="00050DBB"/>
    <w:rsid w:val="00051D17"/>
    <w:rsid w:val="00053C7C"/>
    <w:rsid w:val="000540A3"/>
    <w:rsid w:val="00055385"/>
    <w:rsid w:val="000556FE"/>
    <w:rsid w:val="00055B90"/>
    <w:rsid w:val="0005619E"/>
    <w:rsid w:val="00060A58"/>
    <w:rsid w:val="00060B7F"/>
    <w:rsid w:val="000642A1"/>
    <w:rsid w:val="000649C6"/>
    <w:rsid w:val="000653C4"/>
    <w:rsid w:val="000666AD"/>
    <w:rsid w:val="00071B2D"/>
    <w:rsid w:val="00072188"/>
    <w:rsid w:val="000721DD"/>
    <w:rsid w:val="00072968"/>
    <w:rsid w:val="0007308F"/>
    <w:rsid w:val="00073241"/>
    <w:rsid w:val="00076054"/>
    <w:rsid w:val="00076858"/>
    <w:rsid w:val="00077251"/>
    <w:rsid w:val="00077977"/>
    <w:rsid w:val="00077B08"/>
    <w:rsid w:val="00082372"/>
    <w:rsid w:val="000830C6"/>
    <w:rsid w:val="00085B5A"/>
    <w:rsid w:val="0008679A"/>
    <w:rsid w:val="000873AD"/>
    <w:rsid w:val="00092DEA"/>
    <w:rsid w:val="00093360"/>
    <w:rsid w:val="00093E92"/>
    <w:rsid w:val="00094EA5"/>
    <w:rsid w:val="0009670B"/>
    <w:rsid w:val="00096C29"/>
    <w:rsid w:val="000A13AC"/>
    <w:rsid w:val="000A33C6"/>
    <w:rsid w:val="000A3A05"/>
    <w:rsid w:val="000A5689"/>
    <w:rsid w:val="000A6AE2"/>
    <w:rsid w:val="000A6D7F"/>
    <w:rsid w:val="000A6DF5"/>
    <w:rsid w:val="000B2CE1"/>
    <w:rsid w:val="000B3569"/>
    <w:rsid w:val="000B3F44"/>
    <w:rsid w:val="000B4B62"/>
    <w:rsid w:val="000B5F38"/>
    <w:rsid w:val="000B6367"/>
    <w:rsid w:val="000B7F40"/>
    <w:rsid w:val="000B7FFE"/>
    <w:rsid w:val="000C1203"/>
    <w:rsid w:val="000C12D2"/>
    <w:rsid w:val="000C73FD"/>
    <w:rsid w:val="000D02BF"/>
    <w:rsid w:val="000D085D"/>
    <w:rsid w:val="000D2E9D"/>
    <w:rsid w:val="000D3493"/>
    <w:rsid w:val="000D3B6F"/>
    <w:rsid w:val="000D4014"/>
    <w:rsid w:val="000D4026"/>
    <w:rsid w:val="000D4664"/>
    <w:rsid w:val="000D5BB5"/>
    <w:rsid w:val="000D6334"/>
    <w:rsid w:val="000D6BFA"/>
    <w:rsid w:val="000D7EA0"/>
    <w:rsid w:val="000E0143"/>
    <w:rsid w:val="000E1188"/>
    <w:rsid w:val="000E16FB"/>
    <w:rsid w:val="000E1C2D"/>
    <w:rsid w:val="000E1D24"/>
    <w:rsid w:val="000E265F"/>
    <w:rsid w:val="000E2F8F"/>
    <w:rsid w:val="000E3151"/>
    <w:rsid w:val="000E683B"/>
    <w:rsid w:val="000E702C"/>
    <w:rsid w:val="000E714C"/>
    <w:rsid w:val="000E7CC4"/>
    <w:rsid w:val="000F1604"/>
    <w:rsid w:val="000F1C20"/>
    <w:rsid w:val="000F2F44"/>
    <w:rsid w:val="000F4F39"/>
    <w:rsid w:val="000F5B4E"/>
    <w:rsid w:val="000F7414"/>
    <w:rsid w:val="000F79C1"/>
    <w:rsid w:val="000F7B70"/>
    <w:rsid w:val="00103D43"/>
    <w:rsid w:val="00103FCF"/>
    <w:rsid w:val="00110568"/>
    <w:rsid w:val="001105D4"/>
    <w:rsid w:val="00110A01"/>
    <w:rsid w:val="00111644"/>
    <w:rsid w:val="00113736"/>
    <w:rsid w:val="001142B8"/>
    <w:rsid w:val="00116189"/>
    <w:rsid w:val="001168B9"/>
    <w:rsid w:val="0012079B"/>
    <w:rsid w:val="00120F98"/>
    <w:rsid w:val="00121800"/>
    <w:rsid w:val="00121B68"/>
    <w:rsid w:val="001222E9"/>
    <w:rsid w:val="00125518"/>
    <w:rsid w:val="0012677E"/>
    <w:rsid w:val="001301D3"/>
    <w:rsid w:val="00130E31"/>
    <w:rsid w:val="00132150"/>
    <w:rsid w:val="00132516"/>
    <w:rsid w:val="001325A8"/>
    <w:rsid w:val="00133EBA"/>
    <w:rsid w:val="00134D84"/>
    <w:rsid w:val="00136BE1"/>
    <w:rsid w:val="00137640"/>
    <w:rsid w:val="00137CC6"/>
    <w:rsid w:val="00141855"/>
    <w:rsid w:val="00141E43"/>
    <w:rsid w:val="00142F40"/>
    <w:rsid w:val="001434F0"/>
    <w:rsid w:val="001501D6"/>
    <w:rsid w:val="0015149D"/>
    <w:rsid w:val="0015199C"/>
    <w:rsid w:val="00154D00"/>
    <w:rsid w:val="00155317"/>
    <w:rsid w:val="00155447"/>
    <w:rsid w:val="00156622"/>
    <w:rsid w:val="0015711B"/>
    <w:rsid w:val="001572F1"/>
    <w:rsid w:val="00157610"/>
    <w:rsid w:val="001603FE"/>
    <w:rsid w:val="00161976"/>
    <w:rsid w:val="00162285"/>
    <w:rsid w:val="001622F8"/>
    <w:rsid w:val="001624E7"/>
    <w:rsid w:val="00163DBC"/>
    <w:rsid w:val="001643FA"/>
    <w:rsid w:val="001645C1"/>
    <w:rsid w:val="00164743"/>
    <w:rsid w:val="00164CE5"/>
    <w:rsid w:val="00165183"/>
    <w:rsid w:val="00166538"/>
    <w:rsid w:val="00166661"/>
    <w:rsid w:val="001704CB"/>
    <w:rsid w:val="001712BE"/>
    <w:rsid w:val="00171A7B"/>
    <w:rsid w:val="00174212"/>
    <w:rsid w:val="00175CA4"/>
    <w:rsid w:val="00176AA5"/>
    <w:rsid w:val="00177E99"/>
    <w:rsid w:val="00180447"/>
    <w:rsid w:val="00180E45"/>
    <w:rsid w:val="00181884"/>
    <w:rsid w:val="0018250F"/>
    <w:rsid w:val="00182555"/>
    <w:rsid w:val="00182EE5"/>
    <w:rsid w:val="00183F7E"/>
    <w:rsid w:val="00184475"/>
    <w:rsid w:val="00184E2B"/>
    <w:rsid w:val="00185A30"/>
    <w:rsid w:val="00186BEB"/>
    <w:rsid w:val="00186DD0"/>
    <w:rsid w:val="00187A3C"/>
    <w:rsid w:val="00193DD1"/>
    <w:rsid w:val="00195BED"/>
    <w:rsid w:val="001A0300"/>
    <w:rsid w:val="001A078A"/>
    <w:rsid w:val="001A16FC"/>
    <w:rsid w:val="001A4816"/>
    <w:rsid w:val="001B00B7"/>
    <w:rsid w:val="001B0796"/>
    <w:rsid w:val="001B20D6"/>
    <w:rsid w:val="001B2FB0"/>
    <w:rsid w:val="001B446B"/>
    <w:rsid w:val="001B69A0"/>
    <w:rsid w:val="001C0778"/>
    <w:rsid w:val="001C14D5"/>
    <w:rsid w:val="001C2F76"/>
    <w:rsid w:val="001C3AC4"/>
    <w:rsid w:val="001C3DCC"/>
    <w:rsid w:val="001C56A7"/>
    <w:rsid w:val="001C76ED"/>
    <w:rsid w:val="001C7F1D"/>
    <w:rsid w:val="001D1B09"/>
    <w:rsid w:val="001D2249"/>
    <w:rsid w:val="001D24B3"/>
    <w:rsid w:val="001D2E48"/>
    <w:rsid w:val="001D318B"/>
    <w:rsid w:val="001D42AF"/>
    <w:rsid w:val="001D5075"/>
    <w:rsid w:val="001D76D1"/>
    <w:rsid w:val="001E0338"/>
    <w:rsid w:val="001E06C5"/>
    <w:rsid w:val="001E0B03"/>
    <w:rsid w:val="001E0E3B"/>
    <w:rsid w:val="001E3A85"/>
    <w:rsid w:val="001F04D4"/>
    <w:rsid w:val="001F0680"/>
    <w:rsid w:val="001F15B2"/>
    <w:rsid w:val="001F165C"/>
    <w:rsid w:val="001F2BEB"/>
    <w:rsid w:val="001F2CB0"/>
    <w:rsid w:val="001F623E"/>
    <w:rsid w:val="001F641B"/>
    <w:rsid w:val="001F7111"/>
    <w:rsid w:val="001F7AA3"/>
    <w:rsid w:val="001F7F8D"/>
    <w:rsid w:val="001F7FCF"/>
    <w:rsid w:val="00200791"/>
    <w:rsid w:val="00201CBC"/>
    <w:rsid w:val="00204193"/>
    <w:rsid w:val="00204A78"/>
    <w:rsid w:val="002057D0"/>
    <w:rsid w:val="00205B3E"/>
    <w:rsid w:val="00206429"/>
    <w:rsid w:val="0020714A"/>
    <w:rsid w:val="00210D87"/>
    <w:rsid w:val="00211012"/>
    <w:rsid w:val="00213074"/>
    <w:rsid w:val="002141AD"/>
    <w:rsid w:val="00215874"/>
    <w:rsid w:val="002233C7"/>
    <w:rsid w:val="0022435D"/>
    <w:rsid w:val="00224D22"/>
    <w:rsid w:val="00225C80"/>
    <w:rsid w:val="002264F2"/>
    <w:rsid w:val="00227240"/>
    <w:rsid w:val="00227684"/>
    <w:rsid w:val="00227A03"/>
    <w:rsid w:val="00231AB2"/>
    <w:rsid w:val="00234950"/>
    <w:rsid w:val="00236B9B"/>
    <w:rsid w:val="00237286"/>
    <w:rsid w:val="00237CAD"/>
    <w:rsid w:val="0024122F"/>
    <w:rsid w:val="00242FB2"/>
    <w:rsid w:val="0024486E"/>
    <w:rsid w:val="00244D32"/>
    <w:rsid w:val="0024509D"/>
    <w:rsid w:val="002476A4"/>
    <w:rsid w:val="0025082C"/>
    <w:rsid w:val="00250BBE"/>
    <w:rsid w:val="002518CC"/>
    <w:rsid w:val="00253BAD"/>
    <w:rsid w:val="00254559"/>
    <w:rsid w:val="002554CF"/>
    <w:rsid w:val="00255F4A"/>
    <w:rsid w:val="00256375"/>
    <w:rsid w:val="00261317"/>
    <w:rsid w:val="00262C7C"/>
    <w:rsid w:val="002648D3"/>
    <w:rsid w:val="00265A11"/>
    <w:rsid w:val="00267E2B"/>
    <w:rsid w:val="00267F18"/>
    <w:rsid w:val="00271D5D"/>
    <w:rsid w:val="00271F31"/>
    <w:rsid w:val="00272928"/>
    <w:rsid w:val="002750E7"/>
    <w:rsid w:val="002751DF"/>
    <w:rsid w:val="00277F1C"/>
    <w:rsid w:val="0028022C"/>
    <w:rsid w:val="00280BA3"/>
    <w:rsid w:val="0028211C"/>
    <w:rsid w:val="00282A81"/>
    <w:rsid w:val="002830DD"/>
    <w:rsid w:val="0028341E"/>
    <w:rsid w:val="002839F2"/>
    <w:rsid w:val="00283A95"/>
    <w:rsid w:val="00286392"/>
    <w:rsid w:val="00291534"/>
    <w:rsid w:val="00292773"/>
    <w:rsid w:val="00293463"/>
    <w:rsid w:val="00294292"/>
    <w:rsid w:val="00294EC6"/>
    <w:rsid w:val="00295627"/>
    <w:rsid w:val="00297D42"/>
    <w:rsid w:val="002A08C0"/>
    <w:rsid w:val="002A1EF8"/>
    <w:rsid w:val="002A3612"/>
    <w:rsid w:val="002A6FB2"/>
    <w:rsid w:val="002A71BE"/>
    <w:rsid w:val="002A7B52"/>
    <w:rsid w:val="002B03EB"/>
    <w:rsid w:val="002B07C0"/>
    <w:rsid w:val="002B1A91"/>
    <w:rsid w:val="002B217F"/>
    <w:rsid w:val="002B4462"/>
    <w:rsid w:val="002B483E"/>
    <w:rsid w:val="002B5826"/>
    <w:rsid w:val="002B6FB3"/>
    <w:rsid w:val="002B7321"/>
    <w:rsid w:val="002C04FE"/>
    <w:rsid w:val="002C0C84"/>
    <w:rsid w:val="002C186E"/>
    <w:rsid w:val="002C2220"/>
    <w:rsid w:val="002C352E"/>
    <w:rsid w:val="002C648A"/>
    <w:rsid w:val="002C79F6"/>
    <w:rsid w:val="002C7A8C"/>
    <w:rsid w:val="002C7D05"/>
    <w:rsid w:val="002D03F2"/>
    <w:rsid w:val="002D2795"/>
    <w:rsid w:val="002D2E98"/>
    <w:rsid w:val="002D38CB"/>
    <w:rsid w:val="002D6752"/>
    <w:rsid w:val="002D6D92"/>
    <w:rsid w:val="002D70B9"/>
    <w:rsid w:val="002D7588"/>
    <w:rsid w:val="002D7E2F"/>
    <w:rsid w:val="002E0164"/>
    <w:rsid w:val="002E0B8B"/>
    <w:rsid w:val="002E133A"/>
    <w:rsid w:val="002E156E"/>
    <w:rsid w:val="002E2321"/>
    <w:rsid w:val="002E3CFF"/>
    <w:rsid w:val="002E45C0"/>
    <w:rsid w:val="002E549D"/>
    <w:rsid w:val="002E5765"/>
    <w:rsid w:val="002E60C9"/>
    <w:rsid w:val="002E65B1"/>
    <w:rsid w:val="002E6B15"/>
    <w:rsid w:val="002E78ED"/>
    <w:rsid w:val="002F030C"/>
    <w:rsid w:val="002F08D8"/>
    <w:rsid w:val="002F0DA2"/>
    <w:rsid w:val="002F1855"/>
    <w:rsid w:val="002F2925"/>
    <w:rsid w:val="002F2ECF"/>
    <w:rsid w:val="002F3004"/>
    <w:rsid w:val="002F36E5"/>
    <w:rsid w:val="002F3CAF"/>
    <w:rsid w:val="002F4CB5"/>
    <w:rsid w:val="002F6CCA"/>
    <w:rsid w:val="002F77E1"/>
    <w:rsid w:val="00302F23"/>
    <w:rsid w:val="00303923"/>
    <w:rsid w:val="00303EBD"/>
    <w:rsid w:val="003050FB"/>
    <w:rsid w:val="00305CA1"/>
    <w:rsid w:val="0030674C"/>
    <w:rsid w:val="00306A6A"/>
    <w:rsid w:val="0030770B"/>
    <w:rsid w:val="00307BB8"/>
    <w:rsid w:val="00310DAE"/>
    <w:rsid w:val="00311546"/>
    <w:rsid w:val="00314211"/>
    <w:rsid w:val="00315572"/>
    <w:rsid w:val="00320F8A"/>
    <w:rsid w:val="003212E4"/>
    <w:rsid w:val="00323558"/>
    <w:rsid w:val="00323D66"/>
    <w:rsid w:val="00324DB3"/>
    <w:rsid w:val="00325545"/>
    <w:rsid w:val="003274EC"/>
    <w:rsid w:val="00330CE9"/>
    <w:rsid w:val="0033179B"/>
    <w:rsid w:val="00331A00"/>
    <w:rsid w:val="00332BDA"/>
    <w:rsid w:val="003335FB"/>
    <w:rsid w:val="00333763"/>
    <w:rsid w:val="00333A29"/>
    <w:rsid w:val="00335B3C"/>
    <w:rsid w:val="00335B40"/>
    <w:rsid w:val="003363B1"/>
    <w:rsid w:val="00337268"/>
    <w:rsid w:val="0033738F"/>
    <w:rsid w:val="00337595"/>
    <w:rsid w:val="0034128B"/>
    <w:rsid w:val="0034265A"/>
    <w:rsid w:val="003440EF"/>
    <w:rsid w:val="003443EA"/>
    <w:rsid w:val="00346409"/>
    <w:rsid w:val="003464B4"/>
    <w:rsid w:val="003467CA"/>
    <w:rsid w:val="003473CE"/>
    <w:rsid w:val="00347DBF"/>
    <w:rsid w:val="00350924"/>
    <w:rsid w:val="00350EFF"/>
    <w:rsid w:val="003521EC"/>
    <w:rsid w:val="00352EFE"/>
    <w:rsid w:val="00353A3B"/>
    <w:rsid w:val="00353B63"/>
    <w:rsid w:val="003574E4"/>
    <w:rsid w:val="003577EA"/>
    <w:rsid w:val="0036059E"/>
    <w:rsid w:val="0036070B"/>
    <w:rsid w:val="00361666"/>
    <w:rsid w:val="00362CCD"/>
    <w:rsid w:val="003637E2"/>
    <w:rsid w:val="00363F93"/>
    <w:rsid w:val="00363FE2"/>
    <w:rsid w:val="0036455F"/>
    <w:rsid w:val="00365A8F"/>
    <w:rsid w:val="00372046"/>
    <w:rsid w:val="00372CA6"/>
    <w:rsid w:val="00374184"/>
    <w:rsid w:val="00374B02"/>
    <w:rsid w:val="00377778"/>
    <w:rsid w:val="003817B6"/>
    <w:rsid w:val="00381E1A"/>
    <w:rsid w:val="00382355"/>
    <w:rsid w:val="0038498C"/>
    <w:rsid w:val="00384AE7"/>
    <w:rsid w:val="003862BF"/>
    <w:rsid w:val="00387819"/>
    <w:rsid w:val="00387DAC"/>
    <w:rsid w:val="00390712"/>
    <w:rsid w:val="0039384F"/>
    <w:rsid w:val="00393D04"/>
    <w:rsid w:val="0039561D"/>
    <w:rsid w:val="003963CE"/>
    <w:rsid w:val="00396C6B"/>
    <w:rsid w:val="00397B24"/>
    <w:rsid w:val="003A198B"/>
    <w:rsid w:val="003A493B"/>
    <w:rsid w:val="003A50EA"/>
    <w:rsid w:val="003B05BB"/>
    <w:rsid w:val="003B1111"/>
    <w:rsid w:val="003B1C96"/>
    <w:rsid w:val="003B2CDF"/>
    <w:rsid w:val="003B40B0"/>
    <w:rsid w:val="003B47A9"/>
    <w:rsid w:val="003B4EBE"/>
    <w:rsid w:val="003B57BA"/>
    <w:rsid w:val="003B58F1"/>
    <w:rsid w:val="003B6BA7"/>
    <w:rsid w:val="003B6E2F"/>
    <w:rsid w:val="003B7D97"/>
    <w:rsid w:val="003C41A2"/>
    <w:rsid w:val="003C6280"/>
    <w:rsid w:val="003C6B1E"/>
    <w:rsid w:val="003C6EF5"/>
    <w:rsid w:val="003C7AA5"/>
    <w:rsid w:val="003D3EFE"/>
    <w:rsid w:val="003D4035"/>
    <w:rsid w:val="003D4160"/>
    <w:rsid w:val="003D45DA"/>
    <w:rsid w:val="003D4FA9"/>
    <w:rsid w:val="003D7030"/>
    <w:rsid w:val="003D7B04"/>
    <w:rsid w:val="003E1A15"/>
    <w:rsid w:val="003E2310"/>
    <w:rsid w:val="003E2E34"/>
    <w:rsid w:val="003E303C"/>
    <w:rsid w:val="003E32CF"/>
    <w:rsid w:val="003E3BD3"/>
    <w:rsid w:val="003E59C1"/>
    <w:rsid w:val="003E6406"/>
    <w:rsid w:val="003E7D0A"/>
    <w:rsid w:val="003F1172"/>
    <w:rsid w:val="003F14F3"/>
    <w:rsid w:val="003F2524"/>
    <w:rsid w:val="003F2917"/>
    <w:rsid w:val="003F2C45"/>
    <w:rsid w:val="003F3D31"/>
    <w:rsid w:val="003F42EF"/>
    <w:rsid w:val="003F4D21"/>
    <w:rsid w:val="003F57FE"/>
    <w:rsid w:val="003F616F"/>
    <w:rsid w:val="004012F7"/>
    <w:rsid w:val="0040196F"/>
    <w:rsid w:val="0040319A"/>
    <w:rsid w:val="00403B51"/>
    <w:rsid w:val="0040471C"/>
    <w:rsid w:val="00405E76"/>
    <w:rsid w:val="004062D0"/>
    <w:rsid w:val="004063C0"/>
    <w:rsid w:val="00410432"/>
    <w:rsid w:val="004106FE"/>
    <w:rsid w:val="00410BDE"/>
    <w:rsid w:val="00410EE4"/>
    <w:rsid w:val="004143A4"/>
    <w:rsid w:val="0041556A"/>
    <w:rsid w:val="004162D6"/>
    <w:rsid w:val="00416939"/>
    <w:rsid w:val="004175D5"/>
    <w:rsid w:val="004230F2"/>
    <w:rsid w:val="00423D0B"/>
    <w:rsid w:val="00423E53"/>
    <w:rsid w:val="0042756E"/>
    <w:rsid w:val="00427992"/>
    <w:rsid w:val="00427A51"/>
    <w:rsid w:val="00430DAF"/>
    <w:rsid w:val="0043191B"/>
    <w:rsid w:val="00434152"/>
    <w:rsid w:val="00435E7D"/>
    <w:rsid w:val="004363D4"/>
    <w:rsid w:val="00437017"/>
    <w:rsid w:val="004375F8"/>
    <w:rsid w:val="004405F1"/>
    <w:rsid w:val="00442554"/>
    <w:rsid w:val="00444A94"/>
    <w:rsid w:val="004453CF"/>
    <w:rsid w:val="00446A62"/>
    <w:rsid w:val="0044709C"/>
    <w:rsid w:val="00451E6E"/>
    <w:rsid w:val="0045282E"/>
    <w:rsid w:val="0045379F"/>
    <w:rsid w:val="00453FBE"/>
    <w:rsid w:val="0045681C"/>
    <w:rsid w:val="0045743A"/>
    <w:rsid w:val="00457CC7"/>
    <w:rsid w:val="00460E1F"/>
    <w:rsid w:val="00461175"/>
    <w:rsid w:val="00461939"/>
    <w:rsid w:val="00462075"/>
    <w:rsid w:val="0046237A"/>
    <w:rsid w:val="004627F5"/>
    <w:rsid w:val="00462A76"/>
    <w:rsid w:val="0046310A"/>
    <w:rsid w:val="0046324D"/>
    <w:rsid w:val="00464E97"/>
    <w:rsid w:val="004663C3"/>
    <w:rsid w:val="00471527"/>
    <w:rsid w:val="004718B7"/>
    <w:rsid w:val="00471A90"/>
    <w:rsid w:val="00474799"/>
    <w:rsid w:val="00474AB2"/>
    <w:rsid w:val="00474F65"/>
    <w:rsid w:val="004754CC"/>
    <w:rsid w:val="004755EF"/>
    <w:rsid w:val="00475F51"/>
    <w:rsid w:val="004763A1"/>
    <w:rsid w:val="0047669A"/>
    <w:rsid w:val="00482853"/>
    <w:rsid w:val="00482A9E"/>
    <w:rsid w:val="00482D4B"/>
    <w:rsid w:val="0048329F"/>
    <w:rsid w:val="0048371D"/>
    <w:rsid w:val="00483B18"/>
    <w:rsid w:val="00483DB1"/>
    <w:rsid w:val="004857F3"/>
    <w:rsid w:val="00485FA8"/>
    <w:rsid w:val="00486102"/>
    <w:rsid w:val="004865D9"/>
    <w:rsid w:val="00486B32"/>
    <w:rsid w:val="00486EFF"/>
    <w:rsid w:val="0048736F"/>
    <w:rsid w:val="00490A89"/>
    <w:rsid w:val="00490E9B"/>
    <w:rsid w:val="0049171A"/>
    <w:rsid w:val="004928D6"/>
    <w:rsid w:val="0049335E"/>
    <w:rsid w:val="004937B2"/>
    <w:rsid w:val="00494456"/>
    <w:rsid w:val="00495216"/>
    <w:rsid w:val="00495B10"/>
    <w:rsid w:val="004978B9"/>
    <w:rsid w:val="004A17EB"/>
    <w:rsid w:val="004A1BD1"/>
    <w:rsid w:val="004A3AF9"/>
    <w:rsid w:val="004A3D41"/>
    <w:rsid w:val="004A4826"/>
    <w:rsid w:val="004A5278"/>
    <w:rsid w:val="004A5597"/>
    <w:rsid w:val="004A5A5F"/>
    <w:rsid w:val="004A6BAA"/>
    <w:rsid w:val="004A6CCE"/>
    <w:rsid w:val="004A74D8"/>
    <w:rsid w:val="004B09B0"/>
    <w:rsid w:val="004B10F2"/>
    <w:rsid w:val="004B1C39"/>
    <w:rsid w:val="004B2AC6"/>
    <w:rsid w:val="004B33D0"/>
    <w:rsid w:val="004B3A99"/>
    <w:rsid w:val="004B6347"/>
    <w:rsid w:val="004B798E"/>
    <w:rsid w:val="004C2EAD"/>
    <w:rsid w:val="004C2EB1"/>
    <w:rsid w:val="004C363C"/>
    <w:rsid w:val="004C39F3"/>
    <w:rsid w:val="004C4F43"/>
    <w:rsid w:val="004C6CEF"/>
    <w:rsid w:val="004D08CF"/>
    <w:rsid w:val="004D0916"/>
    <w:rsid w:val="004D3020"/>
    <w:rsid w:val="004D4343"/>
    <w:rsid w:val="004D4576"/>
    <w:rsid w:val="004D56C9"/>
    <w:rsid w:val="004D71CF"/>
    <w:rsid w:val="004D7718"/>
    <w:rsid w:val="004D7D13"/>
    <w:rsid w:val="004D7FC9"/>
    <w:rsid w:val="004E1522"/>
    <w:rsid w:val="004E1826"/>
    <w:rsid w:val="004E67AB"/>
    <w:rsid w:val="004F074A"/>
    <w:rsid w:val="004F3098"/>
    <w:rsid w:val="004F41C9"/>
    <w:rsid w:val="004F6135"/>
    <w:rsid w:val="004F6719"/>
    <w:rsid w:val="004F6C75"/>
    <w:rsid w:val="00500779"/>
    <w:rsid w:val="00503B80"/>
    <w:rsid w:val="00503DB3"/>
    <w:rsid w:val="00504327"/>
    <w:rsid w:val="005049A5"/>
    <w:rsid w:val="005050F2"/>
    <w:rsid w:val="00507135"/>
    <w:rsid w:val="00507CD4"/>
    <w:rsid w:val="00510C06"/>
    <w:rsid w:val="00511CC7"/>
    <w:rsid w:val="005129F0"/>
    <w:rsid w:val="0051378A"/>
    <w:rsid w:val="005137DD"/>
    <w:rsid w:val="00513907"/>
    <w:rsid w:val="00514F9E"/>
    <w:rsid w:val="005160DD"/>
    <w:rsid w:val="00517D54"/>
    <w:rsid w:val="00520918"/>
    <w:rsid w:val="005216BB"/>
    <w:rsid w:val="0052329A"/>
    <w:rsid w:val="0052360C"/>
    <w:rsid w:val="00524164"/>
    <w:rsid w:val="00524438"/>
    <w:rsid w:val="005244D6"/>
    <w:rsid w:val="005254DB"/>
    <w:rsid w:val="005255F8"/>
    <w:rsid w:val="0052619E"/>
    <w:rsid w:val="005328E7"/>
    <w:rsid w:val="00532C03"/>
    <w:rsid w:val="005336EA"/>
    <w:rsid w:val="00536CF8"/>
    <w:rsid w:val="005371C5"/>
    <w:rsid w:val="005379AB"/>
    <w:rsid w:val="00540C19"/>
    <w:rsid w:val="00541319"/>
    <w:rsid w:val="00541498"/>
    <w:rsid w:val="0054210D"/>
    <w:rsid w:val="005429B8"/>
    <w:rsid w:val="00542A38"/>
    <w:rsid w:val="0054445C"/>
    <w:rsid w:val="00545FE7"/>
    <w:rsid w:val="00547A88"/>
    <w:rsid w:val="0055099F"/>
    <w:rsid w:val="00552803"/>
    <w:rsid w:val="0055530B"/>
    <w:rsid w:val="0055672C"/>
    <w:rsid w:val="0055683A"/>
    <w:rsid w:val="0056289D"/>
    <w:rsid w:val="00562AA4"/>
    <w:rsid w:val="00562D2A"/>
    <w:rsid w:val="00563A06"/>
    <w:rsid w:val="00564936"/>
    <w:rsid w:val="00564D89"/>
    <w:rsid w:val="00565778"/>
    <w:rsid w:val="00566707"/>
    <w:rsid w:val="00566E00"/>
    <w:rsid w:val="00567389"/>
    <w:rsid w:val="005678E8"/>
    <w:rsid w:val="00567B07"/>
    <w:rsid w:val="0057059E"/>
    <w:rsid w:val="0057226B"/>
    <w:rsid w:val="0057232B"/>
    <w:rsid w:val="005737D2"/>
    <w:rsid w:val="00574072"/>
    <w:rsid w:val="005742A5"/>
    <w:rsid w:val="00574617"/>
    <w:rsid w:val="005757B7"/>
    <w:rsid w:val="00575A93"/>
    <w:rsid w:val="0057718C"/>
    <w:rsid w:val="0057782F"/>
    <w:rsid w:val="005801C3"/>
    <w:rsid w:val="00580B7F"/>
    <w:rsid w:val="00582E37"/>
    <w:rsid w:val="00587FEF"/>
    <w:rsid w:val="00590347"/>
    <w:rsid w:val="005918B8"/>
    <w:rsid w:val="005929F1"/>
    <w:rsid w:val="005943CF"/>
    <w:rsid w:val="005955E4"/>
    <w:rsid w:val="00595ABA"/>
    <w:rsid w:val="00595E9C"/>
    <w:rsid w:val="005975F0"/>
    <w:rsid w:val="00597701"/>
    <w:rsid w:val="00597966"/>
    <w:rsid w:val="00597972"/>
    <w:rsid w:val="005A13BE"/>
    <w:rsid w:val="005A1C62"/>
    <w:rsid w:val="005A2E4A"/>
    <w:rsid w:val="005A2E82"/>
    <w:rsid w:val="005A665D"/>
    <w:rsid w:val="005A69B1"/>
    <w:rsid w:val="005A6A5A"/>
    <w:rsid w:val="005A7EC1"/>
    <w:rsid w:val="005B22F9"/>
    <w:rsid w:val="005B532A"/>
    <w:rsid w:val="005B7681"/>
    <w:rsid w:val="005C05ED"/>
    <w:rsid w:val="005C104A"/>
    <w:rsid w:val="005C293C"/>
    <w:rsid w:val="005C4D44"/>
    <w:rsid w:val="005C4F86"/>
    <w:rsid w:val="005C625B"/>
    <w:rsid w:val="005D219C"/>
    <w:rsid w:val="005D3665"/>
    <w:rsid w:val="005D400A"/>
    <w:rsid w:val="005D5EE4"/>
    <w:rsid w:val="005D76FD"/>
    <w:rsid w:val="005D7C6F"/>
    <w:rsid w:val="005E0EBC"/>
    <w:rsid w:val="005E0ED6"/>
    <w:rsid w:val="005E17E4"/>
    <w:rsid w:val="005E2C27"/>
    <w:rsid w:val="005E37F5"/>
    <w:rsid w:val="005E4919"/>
    <w:rsid w:val="005E5071"/>
    <w:rsid w:val="005E7A13"/>
    <w:rsid w:val="005F0E0C"/>
    <w:rsid w:val="005F16EA"/>
    <w:rsid w:val="005F1999"/>
    <w:rsid w:val="005F1FCF"/>
    <w:rsid w:val="005F477A"/>
    <w:rsid w:val="005F579F"/>
    <w:rsid w:val="005F5AC7"/>
    <w:rsid w:val="005F6167"/>
    <w:rsid w:val="005F671D"/>
    <w:rsid w:val="005F6E8F"/>
    <w:rsid w:val="005F722C"/>
    <w:rsid w:val="00600B9E"/>
    <w:rsid w:val="00600DE9"/>
    <w:rsid w:val="00601C0A"/>
    <w:rsid w:val="00601C8F"/>
    <w:rsid w:val="0060274B"/>
    <w:rsid w:val="00602F56"/>
    <w:rsid w:val="00603698"/>
    <w:rsid w:val="0060378C"/>
    <w:rsid w:val="00603A70"/>
    <w:rsid w:val="00603D21"/>
    <w:rsid w:val="00604023"/>
    <w:rsid w:val="0060668C"/>
    <w:rsid w:val="00606D70"/>
    <w:rsid w:val="00607015"/>
    <w:rsid w:val="006117B9"/>
    <w:rsid w:val="0061243B"/>
    <w:rsid w:val="00612BE2"/>
    <w:rsid w:val="00613120"/>
    <w:rsid w:val="00615F46"/>
    <w:rsid w:val="00620180"/>
    <w:rsid w:val="00620407"/>
    <w:rsid w:val="0062042F"/>
    <w:rsid w:val="00620456"/>
    <w:rsid w:val="0062299A"/>
    <w:rsid w:val="00623A16"/>
    <w:rsid w:val="00624B5F"/>
    <w:rsid w:val="00624E3C"/>
    <w:rsid w:val="006255ED"/>
    <w:rsid w:val="006257CA"/>
    <w:rsid w:val="00625BBF"/>
    <w:rsid w:val="00626B1F"/>
    <w:rsid w:val="006274EB"/>
    <w:rsid w:val="006309BD"/>
    <w:rsid w:val="00632036"/>
    <w:rsid w:val="006329E7"/>
    <w:rsid w:val="0063313F"/>
    <w:rsid w:val="00633DC7"/>
    <w:rsid w:val="006350C9"/>
    <w:rsid w:val="006353FA"/>
    <w:rsid w:val="0063584A"/>
    <w:rsid w:val="00636A17"/>
    <w:rsid w:val="00636A7B"/>
    <w:rsid w:val="00637714"/>
    <w:rsid w:val="00637AE0"/>
    <w:rsid w:val="00642241"/>
    <w:rsid w:val="006430DB"/>
    <w:rsid w:val="0064371C"/>
    <w:rsid w:val="00643C8E"/>
    <w:rsid w:val="00643DA4"/>
    <w:rsid w:val="00643DDF"/>
    <w:rsid w:val="00644947"/>
    <w:rsid w:val="0064589A"/>
    <w:rsid w:val="00646051"/>
    <w:rsid w:val="006515D3"/>
    <w:rsid w:val="00651AB5"/>
    <w:rsid w:val="00651C76"/>
    <w:rsid w:val="00651DB4"/>
    <w:rsid w:val="00652DEF"/>
    <w:rsid w:val="00655350"/>
    <w:rsid w:val="00660A6C"/>
    <w:rsid w:val="00660E43"/>
    <w:rsid w:val="00661269"/>
    <w:rsid w:val="00661C3B"/>
    <w:rsid w:val="00667BC8"/>
    <w:rsid w:val="00671D5C"/>
    <w:rsid w:val="006741CD"/>
    <w:rsid w:val="00674552"/>
    <w:rsid w:val="00675607"/>
    <w:rsid w:val="00675D20"/>
    <w:rsid w:val="00677733"/>
    <w:rsid w:val="00677860"/>
    <w:rsid w:val="00681347"/>
    <w:rsid w:val="00681B9C"/>
    <w:rsid w:val="0068277B"/>
    <w:rsid w:val="00682A41"/>
    <w:rsid w:val="00682C00"/>
    <w:rsid w:val="00683432"/>
    <w:rsid w:val="006844C1"/>
    <w:rsid w:val="006863D9"/>
    <w:rsid w:val="006875D6"/>
    <w:rsid w:val="00690663"/>
    <w:rsid w:val="00693978"/>
    <w:rsid w:val="00693B2D"/>
    <w:rsid w:val="006945E3"/>
    <w:rsid w:val="0069497B"/>
    <w:rsid w:val="006954DD"/>
    <w:rsid w:val="00695F50"/>
    <w:rsid w:val="00696773"/>
    <w:rsid w:val="006973C4"/>
    <w:rsid w:val="00697448"/>
    <w:rsid w:val="00697C3C"/>
    <w:rsid w:val="006A20DD"/>
    <w:rsid w:val="006A30D1"/>
    <w:rsid w:val="006A3B38"/>
    <w:rsid w:val="006A42C5"/>
    <w:rsid w:val="006A4474"/>
    <w:rsid w:val="006A4783"/>
    <w:rsid w:val="006A5E63"/>
    <w:rsid w:val="006A6A4C"/>
    <w:rsid w:val="006B0881"/>
    <w:rsid w:val="006B1D61"/>
    <w:rsid w:val="006B40F4"/>
    <w:rsid w:val="006B72F5"/>
    <w:rsid w:val="006B7DD8"/>
    <w:rsid w:val="006C045F"/>
    <w:rsid w:val="006C18C0"/>
    <w:rsid w:val="006C268F"/>
    <w:rsid w:val="006C2EBD"/>
    <w:rsid w:val="006C3B43"/>
    <w:rsid w:val="006C3DF9"/>
    <w:rsid w:val="006C5D97"/>
    <w:rsid w:val="006C6B35"/>
    <w:rsid w:val="006C7194"/>
    <w:rsid w:val="006C74B8"/>
    <w:rsid w:val="006D0063"/>
    <w:rsid w:val="006D24B5"/>
    <w:rsid w:val="006D317C"/>
    <w:rsid w:val="006D3952"/>
    <w:rsid w:val="006E0851"/>
    <w:rsid w:val="006E096B"/>
    <w:rsid w:val="006E10DB"/>
    <w:rsid w:val="006E1ECB"/>
    <w:rsid w:val="006E274D"/>
    <w:rsid w:val="006E343F"/>
    <w:rsid w:val="006E5E0C"/>
    <w:rsid w:val="006E7FAA"/>
    <w:rsid w:val="006F1836"/>
    <w:rsid w:val="006F2408"/>
    <w:rsid w:val="006F64B8"/>
    <w:rsid w:val="006F7F32"/>
    <w:rsid w:val="007009BC"/>
    <w:rsid w:val="00701177"/>
    <w:rsid w:val="00701393"/>
    <w:rsid w:val="00701D82"/>
    <w:rsid w:val="0070264F"/>
    <w:rsid w:val="0070380E"/>
    <w:rsid w:val="007046D0"/>
    <w:rsid w:val="00705014"/>
    <w:rsid w:val="00705FF3"/>
    <w:rsid w:val="00707B38"/>
    <w:rsid w:val="0071051B"/>
    <w:rsid w:val="007113A7"/>
    <w:rsid w:val="00711711"/>
    <w:rsid w:val="00711F30"/>
    <w:rsid w:val="00712CD9"/>
    <w:rsid w:val="00713A08"/>
    <w:rsid w:val="007151EB"/>
    <w:rsid w:val="0071668A"/>
    <w:rsid w:val="00716B48"/>
    <w:rsid w:val="00720E36"/>
    <w:rsid w:val="007215B6"/>
    <w:rsid w:val="0072262E"/>
    <w:rsid w:val="00723FC3"/>
    <w:rsid w:val="007243CF"/>
    <w:rsid w:val="007250DA"/>
    <w:rsid w:val="00725620"/>
    <w:rsid w:val="00726047"/>
    <w:rsid w:val="0072668B"/>
    <w:rsid w:val="00727B34"/>
    <w:rsid w:val="007301A2"/>
    <w:rsid w:val="00730C68"/>
    <w:rsid w:val="007319C6"/>
    <w:rsid w:val="00731B04"/>
    <w:rsid w:val="00731FA7"/>
    <w:rsid w:val="00733C58"/>
    <w:rsid w:val="00733EC8"/>
    <w:rsid w:val="007366A4"/>
    <w:rsid w:val="0073780F"/>
    <w:rsid w:val="00737BAC"/>
    <w:rsid w:val="007412C4"/>
    <w:rsid w:val="0074148E"/>
    <w:rsid w:val="007417BC"/>
    <w:rsid w:val="0074384F"/>
    <w:rsid w:val="00743C34"/>
    <w:rsid w:val="00744091"/>
    <w:rsid w:val="00745171"/>
    <w:rsid w:val="00747D86"/>
    <w:rsid w:val="00752E60"/>
    <w:rsid w:val="007545D0"/>
    <w:rsid w:val="0075623E"/>
    <w:rsid w:val="00760774"/>
    <w:rsid w:val="00761623"/>
    <w:rsid w:val="00761777"/>
    <w:rsid w:val="007619B6"/>
    <w:rsid w:val="00761D21"/>
    <w:rsid w:val="007624CD"/>
    <w:rsid w:val="007641DF"/>
    <w:rsid w:val="00764467"/>
    <w:rsid w:val="007644D6"/>
    <w:rsid w:val="0076533E"/>
    <w:rsid w:val="00766239"/>
    <w:rsid w:val="00767490"/>
    <w:rsid w:val="00770203"/>
    <w:rsid w:val="00770B4B"/>
    <w:rsid w:val="00770D24"/>
    <w:rsid w:val="0077391D"/>
    <w:rsid w:val="00775A44"/>
    <w:rsid w:val="00776921"/>
    <w:rsid w:val="00776E55"/>
    <w:rsid w:val="0077716F"/>
    <w:rsid w:val="007773B9"/>
    <w:rsid w:val="00777536"/>
    <w:rsid w:val="00777A13"/>
    <w:rsid w:val="00780709"/>
    <w:rsid w:val="00780725"/>
    <w:rsid w:val="00780E56"/>
    <w:rsid w:val="00781D24"/>
    <w:rsid w:val="007820D2"/>
    <w:rsid w:val="00783041"/>
    <w:rsid w:val="007831B7"/>
    <w:rsid w:val="00783E7A"/>
    <w:rsid w:val="00784256"/>
    <w:rsid w:val="00785FFB"/>
    <w:rsid w:val="00787239"/>
    <w:rsid w:val="00790104"/>
    <w:rsid w:val="007903A3"/>
    <w:rsid w:val="0079098A"/>
    <w:rsid w:val="0079167F"/>
    <w:rsid w:val="0079508A"/>
    <w:rsid w:val="00795BCD"/>
    <w:rsid w:val="00795D7D"/>
    <w:rsid w:val="007972A1"/>
    <w:rsid w:val="007A145A"/>
    <w:rsid w:val="007A230A"/>
    <w:rsid w:val="007A2775"/>
    <w:rsid w:val="007A5720"/>
    <w:rsid w:val="007A5A39"/>
    <w:rsid w:val="007A5C67"/>
    <w:rsid w:val="007A5D51"/>
    <w:rsid w:val="007A67F7"/>
    <w:rsid w:val="007B17AF"/>
    <w:rsid w:val="007B1F10"/>
    <w:rsid w:val="007B2A40"/>
    <w:rsid w:val="007B2AAA"/>
    <w:rsid w:val="007B4D84"/>
    <w:rsid w:val="007B5F17"/>
    <w:rsid w:val="007B66D1"/>
    <w:rsid w:val="007C1E9E"/>
    <w:rsid w:val="007C2B70"/>
    <w:rsid w:val="007C2E00"/>
    <w:rsid w:val="007C2FD1"/>
    <w:rsid w:val="007C360B"/>
    <w:rsid w:val="007C3D1B"/>
    <w:rsid w:val="007C41D0"/>
    <w:rsid w:val="007C48AF"/>
    <w:rsid w:val="007C7047"/>
    <w:rsid w:val="007C7B03"/>
    <w:rsid w:val="007D21EF"/>
    <w:rsid w:val="007D2451"/>
    <w:rsid w:val="007D2C5A"/>
    <w:rsid w:val="007D34E9"/>
    <w:rsid w:val="007D5086"/>
    <w:rsid w:val="007D5CDA"/>
    <w:rsid w:val="007D73D6"/>
    <w:rsid w:val="007D7742"/>
    <w:rsid w:val="007D7B8D"/>
    <w:rsid w:val="007E09EB"/>
    <w:rsid w:val="007E1AC5"/>
    <w:rsid w:val="007E2106"/>
    <w:rsid w:val="007E241E"/>
    <w:rsid w:val="007E2874"/>
    <w:rsid w:val="007E28E0"/>
    <w:rsid w:val="007E4091"/>
    <w:rsid w:val="007E48D7"/>
    <w:rsid w:val="007E60C6"/>
    <w:rsid w:val="007E6606"/>
    <w:rsid w:val="007E71B2"/>
    <w:rsid w:val="007E7E4E"/>
    <w:rsid w:val="007F14A7"/>
    <w:rsid w:val="007F1FDC"/>
    <w:rsid w:val="007F2C7D"/>
    <w:rsid w:val="007F3C53"/>
    <w:rsid w:val="007F4065"/>
    <w:rsid w:val="007F5F57"/>
    <w:rsid w:val="007F7124"/>
    <w:rsid w:val="007F7B99"/>
    <w:rsid w:val="008022A8"/>
    <w:rsid w:val="00802D2E"/>
    <w:rsid w:val="0080551C"/>
    <w:rsid w:val="008065F4"/>
    <w:rsid w:val="0080697E"/>
    <w:rsid w:val="00806985"/>
    <w:rsid w:val="0081136C"/>
    <w:rsid w:val="008123FF"/>
    <w:rsid w:val="008137FA"/>
    <w:rsid w:val="00814EE6"/>
    <w:rsid w:val="008157D6"/>
    <w:rsid w:val="008177D2"/>
    <w:rsid w:val="00817C32"/>
    <w:rsid w:val="00817CE7"/>
    <w:rsid w:val="00820E2F"/>
    <w:rsid w:val="00824C23"/>
    <w:rsid w:val="00825E74"/>
    <w:rsid w:val="00827184"/>
    <w:rsid w:val="008272E7"/>
    <w:rsid w:val="008275D7"/>
    <w:rsid w:val="00827F89"/>
    <w:rsid w:val="00831214"/>
    <w:rsid w:val="00832482"/>
    <w:rsid w:val="00833591"/>
    <w:rsid w:val="008344A7"/>
    <w:rsid w:val="00834791"/>
    <w:rsid w:val="008352C1"/>
    <w:rsid w:val="00836749"/>
    <w:rsid w:val="00837568"/>
    <w:rsid w:val="0084192D"/>
    <w:rsid w:val="00842A00"/>
    <w:rsid w:val="008437E5"/>
    <w:rsid w:val="00843B61"/>
    <w:rsid w:val="00845628"/>
    <w:rsid w:val="008500B6"/>
    <w:rsid w:val="008501C5"/>
    <w:rsid w:val="00851A11"/>
    <w:rsid w:val="00851D36"/>
    <w:rsid w:val="008524D4"/>
    <w:rsid w:val="0085388F"/>
    <w:rsid w:val="00853D1C"/>
    <w:rsid w:val="00854417"/>
    <w:rsid w:val="00854BD7"/>
    <w:rsid w:val="00855B21"/>
    <w:rsid w:val="0085639C"/>
    <w:rsid w:val="008572DF"/>
    <w:rsid w:val="00857BFD"/>
    <w:rsid w:val="00860399"/>
    <w:rsid w:val="00860E0D"/>
    <w:rsid w:val="00861078"/>
    <w:rsid w:val="00861CAE"/>
    <w:rsid w:val="0086205D"/>
    <w:rsid w:val="00862F84"/>
    <w:rsid w:val="008632C5"/>
    <w:rsid w:val="008642FE"/>
    <w:rsid w:val="00864E98"/>
    <w:rsid w:val="008658A8"/>
    <w:rsid w:val="00870497"/>
    <w:rsid w:val="008705D6"/>
    <w:rsid w:val="00870E41"/>
    <w:rsid w:val="00873B6D"/>
    <w:rsid w:val="00874521"/>
    <w:rsid w:val="00875CE1"/>
    <w:rsid w:val="008760D0"/>
    <w:rsid w:val="00877F4C"/>
    <w:rsid w:val="008811B4"/>
    <w:rsid w:val="008828F3"/>
    <w:rsid w:val="00882CD4"/>
    <w:rsid w:val="00883C35"/>
    <w:rsid w:val="0088441B"/>
    <w:rsid w:val="00885A3B"/>
    <w:rsid w:val="00885ACE"/>
    <w:rsid w:val="00887205"/>
    <w:rsid w:val="00890172"/>
    <w:rsid w:val="00892422"/>
    <w:rsid w:val="00892777"/>
    <w:rsid w:val="00892A55"/>
    <w:rsid w:val="00892DCE"/>
    <w:rsid w:val="00893113"/>
    <w:rsid w:val="00893358"/>
    <w:rsid w:val="00894FAD"/>
    <w:rsid w:val="008954AA"/>
    <w:rsid w:val="00895643"/>
    <w:rsid w:val="00895795"/>
    <w:rsid w:val="00896C7B"/>
    <w:rsid w:val="00896D75"/>
    <w:rsid w:val="008977E4"/>
    <w:rsid w:val="008A27FD"/>
    <w:rsid w:val="008A34B6"/>
    <w:rsid w:val="008A3C31"/>
    <w:rsid w:val="008A535D"/>
    <w:rsid w:val="008A5B67"/>
    <w:rsid w:val="008A5C01"/>
    <w:rsid w:val="008A5EE6"/>
    <w:rsid w:val="008B0E5A"/>
    <w:rsid w:val="008B1FB4"/>
    <w:rsid w:val="008B4AC3"/>
    <w:rsid w:val="008B52D9"/>
    <w:rsid w:val="008B5E96"/>
    <w:rsid w:val="008B7E6F"/>
    <w:rsid w:val="008C0247"/>
    <w:rsid w:val="008C0A4C"/>
    <w:rsid w:val="008C0F7C"/>
    <w:rsid w:val="008C0FA4"/>
    <w:rsid w:val="008C12F1"/>
    <w:rsid w:val="008C24FF"/>
    <w:rsid w:val="008C26C4"/>
    <w:rsid w:val="008C2DEF"/>
    <w:rsid w:val="008C3D25"/>
    <w:rsid w:val="008C5317"/>
    <w:rsid w:val="008D2196"/>
    <w:rsid w:val="008D24FB"/>
    <w:rsid w:val="008D2B1A"/>
    <w:rsid w:val="008D2FC4"/>
    <w:rsid w:val="008D542D"/>
    <w:rsid w:val="008D5816"/>
    <w:rsid w:val="008D6A8B"/>
    <w:rsid w:val="008E14C4"/>
    <w:rsid w:val="008E1A8D"/>
    <w:rsid w:val="008E2531"/>
    <w:rsid w:val="008E25A6"/>
    <w:rsid w:val="008E25E7"/>
    <w:rsid w:val="008E26E6"/>
    <w:rsid w:val="008E34A0"/>
    <w:rsid w:val="008E6786"/>
    <w:rsid w:val="008E68D5"/>
    <w:rsid w:val="008E698B"/>
    <w:rsid w:val="008E7594"/>
    <w:rsid w:val="008E781C"/>
    <w:rsid w:val="008E7B17"/>
    <w:rsid w:val="008E7D1C"/>
    <w:rsid w:val="008F2124"/>
    <w:rsid w:val="008F2C19"/>
    <w:rsid w:val="008F5954"/>
    <w:rsid w:val="008F6F83"/>
    <w:rsid w:val="008F70A2"/>
    <w:rsid w:val="008F7300"/>
    <w:rsid w:val="00900289"/>
    <w:rsid w:val="00900A33"/>
    <w:rsid w:val="00901AFB"/>
    <w:rsid w:val="009020C4"/>
    <w:rsid w:val="0090406C"/>
    <w:rsid w:val="009040BB"/>
    <w:rsid w:val="009043DD"/>
    <w:rsid w:val="00906CE9"/>
    <w:rsid w:val="00907122"/>
    <w:rsid w:val="009101A1"/>
    <w:rsid w:val="0091204A"/>
    <w:rsid w:val="009149C1"/>
    <w:rsid w:val="00914B03"/>
    <w:rsid w:val="00916508"/>
    <w:rsid w:val="009166A3"/>
    <w:rsid w:val="00916D17"/>
    <w:rsid w:val="00917263"/>
    <w:rsid w:val="009212D8"/>
    <w:rsid w:val="0092198F"/>
    <w:rsid w:val="00921F81"/>
    <w:rsid w:val="00922C23"/>
    <w:rsid w:val="0092373C"/>
    <w:rsid w:val="00923B06"/>
    <w:rsid w:val="00924547"/>
    <w:rsid w:val="00924C6D"/>
    <w:rsid w:val="00924C92"/>
    <w:rsid w:val="00925C63"/>
    <w:rsid w:val="00926DC7"/>
    <w:rsid w:val="00930B93"/>
    <w:rsid w:val="00931B7D"/>
    <w:rsid w:val="009326EF"/>
    <w:rsid w:val="0093392A"/>
    <w:rsid w:val="00933D79"/>
    <w:rsid w:val="009344D5"/>
    <w:rsid w:val="00934F90"/>
    <w:rsid w:val="00935386"/>
    <w:rsid w:val="00936CAB"/>
    <w:rsid w:val="009377C9"/>
    <w:rsid w:val="009378A4"/>
    <w:rsid w:val="00937973"/>
    <w:rsid w:val="00940264"/>
    <w:rsid w:val="009407AA"/>
    <w:rsid w:val="00941D8F"/>
    <w:rsid w:val="0094258C"/>
    <w:rsid w:val="00942E18"/>
    <w:rsid w:val="00944B2E"/>
    <w:rsid w:val="00947A94"/>
    <w:rsid w:val="009500D8"/>
    <w:rsid w:val="00950998"/>
    <w:rsid w:val="00951510"/>
    <w:rsid w:val="00952CA2"/>
    <w:rsid w:val="00954261"/>
    <w:rsid w:val="00954325"/>
    <w:rsid w:val="009559E7"/>
    <w:rsid w:val="00957DA2"/>
    <w:rsid w:val="00962B79"/>
    <w:rsid w:val="00962D31"/>
    <w:rsid w:val="0096337F"/>
    <w:rsid w:val="00964B7E"/>
    <w:rsid w:val="00965C76"/>
    <w:rsid w:val="00966301"/>
    <w:rsid w:val="00966859"/>
    <w:rsid w:val="00967A03"/>
    <w:rsid w:val="009703E8"/>
    <w:rsid w:val="009706A9"/>
    <w:rsid w:val="0097185D"/>
    <w:rsid w:val="00971D87"/>
    <w:rsid w:val="009726F7"/>
    <w:rsid w:val="00972C16"/>
    <w:rsid w:val="00973D1C"/>
    <w:rsid w:val="0097525B"/>
    <w:rsid w:val="00975845"/>
    <w:rsid w:val="00975A74"/>
    <w:rsid w:val="009772B1"/>
    <w:rsid w:val="009828E8"/>
    <w:rsid w:val="00982B3B"/>
    <w:rsid w:val="00982FDD"/>
    <w:rsid w:val="0098390F"/>
    <w:rsid w:val="00984F8E"/>
    <w:rsid w:val="00985EC5"/>
    <w:rsid w:val="00986845"/>
    <w:rsid w:val="00987391"/>
    <w:rsid w:val="00990B84"/>
    <w:rsid w:val="00990CF6"/>
    <w:rsid w:val="009921FE"/>
    <w:rsid w:val="0099423E"/>
    <w:rsid w:val="00995137"/>
    <w:rsid w:val="009969E8"/>
    <w:rsid w:val="0099765E"/>
    <w:rsid w:val="009977E2"/>
    <w:rsid w:val="00997D19"/>
    <w:rsid w:val="009A2CB6"/>
    <w:rsid w:val="009A35AA"/>
    <w:rsid w:val="009A41F8"/>
    <w:rsid w:val="009A439B"/>
    <w:rsid w:val="009A4B24"/>
    <w:rsid w:val="009A4D40"/>
    <w:rsid w:val="009A62B1"/>
    <w:rsid w:val="009A7EBB"/>
    <w:rsid w:val="009B145F"/>
    <w:rsid w:val="009B14B9"/>
    <w:rsid w:val="009B1530"/>
    <w:rsid w:val="009B1764"/>
    <w:rsid w:val="009B1AC8"/>
    <w:rsid w:val="009B3158"/>
    <w:rsid w:val="009B5478"/>
    <w:rsid w:val="009C16B0"/>
    <w:rsid w:val="009C1739"/>
    <w:rsid w:val="009C17EF"/>
    <w:rsid w:val="009C389B"/>
    <w:rsid w:val="009C42BA"/>
    <w:rsid w:val="009C4B43"/>
    <w:rsid w:val="009C4FFA"/>
    <w:rsid w:val="009D05C3"/>
    <w:rsid w:val="009D0A90"/>
    <w:rsid w:val="009D0E69"/>
    <w:rsid w:val="009D112A"/>
    <w:rsid w:val="009D1FAF"/>
    <w:rsid w:val="009D347F"/>
    <w:rsid w:val="009D440F"/>
    <w:rsid w:val="009D6A48"/>
    <w:rsid w:val="009D6E83"/>
    <w:rsid w:val="009E005C"/>
    <w:rsid w:val="009E177B"/>
    <w:rsid w:val="009E1B24"/>
    <w:rsid w:val="009E1D20"/>
    <w:rsid w:val="009E3678"/>
    <w:rsid w:val="009E43FA"/>
    <w:rsid w:val="009E5FCE"/>
    <w:rsid w:val="009E64E8"/>
    <w:rsid w:val="009F0D3F"/>
    <w:rsid w:val="009F19B6"/>
    <w:rsid w:val="009F33C9"/>
    <w:rsid w:val="009F590C"/>
    <w:rsid w:val="009F5E9E"/>
    <w:rsid w:val="009F600A"/>
    <w:rsid w:val="009F6685"/>
    <w:rsid w:val="009F7A71"/>
    <w:rsid w:val="00A01591"/>
    <w:rsid w:val="00A01D42"/>
    <w:rsid w:val="00A027E6"/>
    <w:rsid w:val="00A0404D"/>
    <w:rsid w:val="00A041E3"/>
    <w:rsid w:val="00A07C5C"/>
    <w:rsid w:val="00A07F2B"/>
    <w:rsid w:val="00A1169C"/>
    <w:rsid w:val="00A118EE"/>
    <w:rsid w:val="00A12276"/>
    <w:rsid w:val="00A12422"/>
    <w:rsid w:val="00A129D9"/>
    <w:rsid w:val="00A1302B"/>
    <w:rsid w:val="00A13048"/>
    <w:rsid w:val="00A1372A"/>
    <w:rsid w:val="00A13733"/>
    <w:rsid w:val="00A13946"/>
    <w:rsid w:val="00A140D5"/>
    <w:rsid w:val="00A14BC9"/>
    <w:rsid w:val="00A162CC"/>
    <w:rsid w:val="00A166E8"/>
    <w:rsid w:val="00A20035"/>
    <w:rsid w:val="00A21984"/>
    <w:rsid w:val="00A220C9"/>
    <w:rsid w:val="00A226E8"/>
    <w:rsid w:val="00A239B9"/>
    <w:rsid w:val="00A23C6A"/>
    <w:rsid w:val="00A24075"/>
    <w:rsid w:val="00A240BD"/>
    <w:rsid w:val="00A2432C"/>
    <w:rsid w:val="00A244F3"/>
    <w:rsid w:val="00A24970"/>
    <w:rsid w:val="00A253CD"/>
    <w:rsid w:val="00A25C6A"/>
    <w:rsid w:val="00A262E5"/>
    <w:rsid w:val="00A277E4"/>
    <w:rsid w:val="00A32450"/>
    <w:rsid w:val="00A32C9A"/>
    <w:rsid w:val="00A32E46"/>
    <w:rsid w:val="00A34133"/>
    <w:rsid w:val="00A35419"/>
    <w:rsid w:val="00A3575A"/>
    <w:rsid w:val="00A35FB6"/>
    <w:rsid w:val="00A36509"/>
    <w:rsid w:val="00A366FC"/>
    <w:rsid w:val="00A36D17"/>
    <w:rsid w:val="00A37DF2"/>
    <w:rsid w:val="00A405E6"/>
    <w:rsid w:val="00A40694"/>
    <w:rsid w:val="00A40F67"/>
    <w:rsid w:val="00A47596"/>
    <w:rsid w:val="00A4770E"/>
    <w:rsid w:val="00A504FA"/>
    <w:rsid w:val="00A50F94"/>
    <w:rsid w:val="00A51C32"/>
    <w:rsid w:val="00A52313"/>
    <w:rsid w:val="00A52A46"/>
    <w:rsid w:val="00A551BD"/>
    <w:rsid w:val="00A558D9"/>
    <w:rsid w:val="00A55C94"/>
    <w:rsid w:val="00A563A0"/>
    <w:rsid w:val="00A60236"/>
    <w:rsid w:val="00A618F4"/>
    <w:rsid w:val="00A6217D"/>
    <w:rsid w:val="00A6269A"/>
    <w:rsid w:val="00A63865"/>
    <w:rsid w:val="00A663A4"/>
    <w:rsid w:val="00A66A8D"/>
    <w:rsid w:val="00A677A5"/>
    <w:rsid w:val="00A67A6D"/>
    <w:rsid w:val="00A702A5"/>
    <w:rsid w:val="00A709F5"/>
    <w:rsid w:val="00A744EE"/>
    <w:rsid w:val="00A74834"/>
    <w:rsid w:val="00A753E3"/>
    <w:rsid w:val="00A75F2B"/>
    <w:rsid w:val="00A766F4"/>
    <w:rsid w:val="00A76932"/>
    <w:rsid w:val="00A77BF2"/>
    <w:rsid w:val="00A77DC4"/>
    <w:rsid w:val="00A80D7B"/>
    <w:rsid w:val="00A819B1"/>
    <w:rsid w:val="00A82F4E"/>
    <w:rsid w:val="00A83436"/>
    <w:rsid w:val="00A836F1"/>
    <w:rsid w:val="00A83E64"/>
    <w:rsid w:val="00A84D05"/>
    <w:rsid w:val="00A86B52"/>
    <w:rsid w:val="00A86D42"/>
    <w:rsid w:val="00A877B2"/>
    <w:rsid w:val="00A924C4"/>
    <w:rsid w:val="00A92BC4"/>
    <w:rsid w:val="00A93659"/>
    <w:rsid w:val="00A949C4"/>
    <w:rsid w:val="00A95CBB"/>
    <w:rsid w:val="00A96055"/>
    <w:rsid w:val="00A9674B"/>
    <w:rsid w:val="00A96A40"/>
    <w:rsid w:val="00AA085B"/>
    <w:rsid w:val="00AA105D"/>
    <w:rsid w:val="00AA367C"/>
    <w:rsid w:val="00AA3E6D"/>
    <w:rsid w:val="00AA4A00"/>
    <w:rsid w:val="00AA54F3"/>
    <w:rsid w:val="00AA57AB"/>
    <w:rsid w:val="00AA59A6"/>
    <w:rsid w:val="00AA69BF"/>
    <w:rsid w:val="00AA6D45"/>
    <w:rsid w:val="00AA7613"/>
    <w:rsid w:val="00AB0324"/>
    <w:rsid w:val="00AB10C5"/>
    <w:rsid w:val="00AB194C"/>
    <w:rsid w:val="00AB2B7C"/>
    <w:rsid w:val="00AB41F4"/>
    <w:rsid w:val="00AB48DA"/>
    <w:rsid w:val="00AB5056"/>
    <w:rsid w:val="00AB581C"/>
    <w:rsid w:val="00AB7FE8"/>
    <w:rsid w:val="00AC13F1"/>
    <w:rsid w:val="00AC1702"/>
    <w:rsid w:val="00AC2F5D"/>
    <w:rsid w:val="00AC4A63"/>
    <w:rsid w:val="00AC570D"/>
    <w:rsid w:val="00AC5C62"/>
    <w:rsid w:val="00AC6355"/>
    <w:rsid w:val="00AC65B2"/>
    <w:rsid w:val="00AC685F"/>
    <w:rsid w:val="00AC71CD"/>
    <w:rsid w:val="00AC7439"/>
    <w:rsid w:val="00AD0474"/>
    <w:rsid w:val="00AD0E3D"/>
    <w:rsid w:val="00AD2796"/>
    <w:rsid w:val="00AD2A5B"/>
    <w:rsid w:val="00AD2E20"/>
    <w:rsid w:val="00AD477A"/>
    <w:rsid w:val="00AD5CBC"/>
    <w:rsid w:val="00AD624C"/>
    <w:rsid w:val="00AD68B0"/>
    <w:rsid w:val="00AE1C2B"/>
    <w:rsid w:val="00AE2B52"/>
    <w:rsid w:val="00AE2C14"/>
    <w:rsid w:val="00AE4B2A"/>
    <w:rsid w:val="00AE4C48"/>
    <w:rsid w:val="00AE553C"/>
    <w:rsid w:val="00AE66A6"/>
    <w:rsid w:val="00AE6741"/>
    <w:rsid w:val="00AE6A5D"/>
    <w:rsid w:val="00AE7363"/>
    <w:rsid w:val="00AE75A9"/>
    <w:rsid w:val="00AE79C0"/>
    <w:rsid w:val="00AF0192"/>
    <w:rsid w:val="00AF1822"/>
    <w:rsid w:val="00AF455F"/>
    <w:rsid w:val="00AF633B"/>
    <w:rsid w:val="00AF6E5B"/>
    <w:rsid w:val="00AF74F6"/>
    <w:rsid w:val="00AF78C2"/>
    <w:rsid w:val="00B0034F"/>
    <w:rsid w:val="00B008F8"/>
    <w:rsid w:val="00B01B1B"/>
    <w:rsid w:val="00B020AE"/>
    <w:rsid w:val="00B02E93"/>
    <w:rsid w:val="00B0404D"/>
    <w:rsid w:val="00B04645"/>
    <w:rsid w:val="00B05DA7"/>
    <w:rsid w:val="00B068CA"/>
    <w:rsid w:val="00B10347"/>
    <w:rsid w:val="00B10A1C"/>
    <w:rsid w:val="00B10BBB"/>
    <w:rsid w:val="00B10DD5"/>
    <w:rsid w:val="00B10F12"/>
    <w:rsid w:val="00B119B8"/>
    <w:rsid w:val="00B12544"/>
    <w:rsid w:val="00B12637"/>
    <w:rsid w:val="00B12A59"/>
    <w:rsid w:val="00B157EE"/>
    <w:rsid w:val="00B15BBE"/>
    <w:rsid w:val="00B15FCB"/>
    <w:rsid w:val="00B1699B"/>
    <w:rsid w:val="00B178E6"/>
    <w:rsid w:val="00B2028D"/>
    <w:rsid w:val="00B205EB"/>
    <w:rsid w:val="00B206F0"/>
    <w:rsid w:val="00B20E5D"/>
    <w:rsid w:val="00B21AB9"/>
    <w:rsid w:val="00B21F4B"/>
    <w:rsid w:val="00B23B30"/>
    <w:rsid w:val="00B24524"/>
    <w:rsid w:val="00B24A1D"/>
    <w:rsid w:val="00B270AD"/>
    <w:rsid w:val="00B2711C"/>
    <w:rsid w:val="00B3170D"/>
    <w:rsid w:val="00B31F31"/>
    <w:rsid w:val="00B323EC"/>
    <w:rsid w:val="00B33E5E"/>
    <w:rsid w:val="00B34F71"/>
    <w:rsid w:val="00B37C9B"/>
    <w:rsid w:val="00B43FF6"/>
    <w:rsid w:val="00B47F8A"/>
    <w:rsid w:val="00B50026"/>
    <w:rsid w:val="00B51439"/>
    <w:rsid w:val="00B51AF7"/>
    <w:rsid w:val="00B525B3"/>
    <w:rsid w:val="00B53A28"/>
    <w:rsid w:val="00B54A69"/>
    <w:rsid w:val="00B5516D"/>
    <w:rsid w:val="00B562C3"/>
    <w:rsid w:val="00B5693D"/>
    <w:rsid w:val="00B5716D"/>
    <w:rsid w:val="00B60856"/>
    <w:rsid w:val="00B611F8"/>
    <w:rsid w:val="00B61D3F"/>
    <w:rsid w:val="00B62D32"/>
    <w:rsid w:val="00B6458C"/>
    <w:rsid w:val="00B64A56"/>
    <w:rsid w:val="00B709F1"/>
    <w:rsid w:val="00B70B4D"/>
    <w:rsid w:val="00B712C7"/>
    <w:rsid w:val="00B730AB"/>
    <w:rsid w:val="00B73908"/>
    <w:rsid w:val="00B739AD"/>
    <w:rsid w:val="00B757B9"/>
    <w:rsid w:val="00B76969"/>
    <w:rsid w:val="00B76DD8"/>
    <w:rsid w:val="00B77412"/>
    <w:rsid w:val="00B8089B"/>
    <w:rsid w:val="00B81893"/>
    <w:rsid w:val="00B8263B"/>
    <w:rsid w:val="00B8265F"/>
    <w:rsid w:val="00B82C9F"/>
    <w:rsid w:val="00B83BCB"/>
    <w:rsid w:val="00B84EC9"/>
    <w:rsid w:val="00B850EA"/>
    <w:rsid w:val="00B86216"/>
    <w:rsid w:val="00B86285"/>
    <w:rsid w:val="00B87CBF"/>
    <w:rsid w:val="00B909F8"/>
    <w:rsid w:val="00B92BB7"/>
    <w:rsid w:val="00B93299"/>
    <w:rsid w:val="00B93F86"/>
    <w:rsid w:val="00B9459D"/>
    <w:rsid w:val="00B9495C"/>
    <w:rsid w:val="00B94A6B"/>
    <w:rsid w:val="00B9575F"/>
    <w:rsid w:val="00B95E45"/>
    <w:rsid w:val="00BA06F7"/>
    <w:rsid w:val="00BA0F99"/>
    <w:rsid w:val="00BA211C"/>
    <w:rsid w:val="00BA24D2"/>
    <w:rsid w:val="00BA29AC"/>
    <w:rsid w:val="00BA2B40"/>
    <w:rsid w:val="00BA2BF7"/>
    <w:rsid w:val="00BA36E3"/>
    <w:rsid w:val="00BA630E"/>
    <w:rsid w:val="00BA677B"/>
    <w:rsid w:val="00BB1C65"/>
    <w:rsid w:val="00BB26AF"/>
    <w:rsid w:val="00BB2D2E"/>
    <w:rsid w:val="00BB318D"/>
    <w:rsid w:val="00BB352B"/>
    <w:rsid w:val="00BB47E4"/>
    <w:rsid w:val="00BB540C"/>
    <w:rsid w:val="00BB7191"/>
    <w:rsid w:val="00BC22F0"/>
    <w:rsid w:val="00BC3DFE"/>
    <w:rsid w:val="00BC42E4"/>
    <w:rsid w:val="00BC467D"/>
    <w:rsid w:val="00BC56AC"/>
    <w:rsid w:val="00BC57A9"/>
    <w:rsid w:val="00BC6672"/>
    <w:rsid w:val="00BC6A23"/>
    <w:rsid w:val="00BC782F"/>
    <w:rsid w:val="00BD179E"/>
    <w:rsid w:val="00BD17EF"/>
    <w:rsid w:val="00BD288C"/>
    <w:rsid w:val="00BD2B90"/>
    <w:rsid w:val="00BD2D39"/>
    <w:rsid w:val="00BD4850"/>
    <w:rsid w:val="00BD6A17"/>
    <w:rsid w:val="00BD6AB4"/>
    <w:rsid w:val="00BE1640"/>
    <w:rsid w:val="00BE16FB"/>
    <w:rsid w:val="00BE201D"/>
    <w:rsid w:val="00BE2210"/>
    <w:rsid w:val="00BE25F3"/>
    <w:rsid w:val="00BE2DEE"/>
    <w:rsid w:val="00BE3162"/>
    <w:rsid w:val="00BE3451"/>
    <w:rsid w:val="00BE3F05"/>
    <w:rsid w:val="00BE4661"/>
    <w:rsid w:val="00BE552D"/>
    <w:rsid w:val="00BE58EA"/>
    <w:rsid w:val="00BE5CDF"/>
    <w:rsid w:val="00BE6D03"/>
    <w:rsid w:val="00BE70FB"/>
    <w:rsid w:val="00BE7B0C"/>
    <w:rsid w:val="00BF18E3"/>
    <w:rsid w:val="00BF295E"/>
    <w:rsid w:val="00BF39F8"/>
    <w:rsid w:val="00BF3E28"/>
    <w:rsid w:val="00BF436A"/>
    <w:rsid w:val="00BF6F2C"/>
    <w:rsid w:val="00BF753A"/>
    <w:rsid w:val="00C001AA"/>
    <w:rsid w:val="00C00497"/>
    <w:rsid w:val="00C00BE5"/>
    <w:rsid w:val="00C01FD7"/>
    <w:rsid w:val="00C0235A"/>
    <w:rsid w:val="00C025B9"/>
    <w:rsid w:val="00C0270A"/>
    <w:rsid w:val="00C02A1A"/>
    <w:rsid w:val="00C036B3"/>
    <w:rsid w:val="00C054D8"/>
    <w:rsid w:val="00C05BA4"/>
    <w:rsid w:val="00C10D10"/>
    <w:rsid w:val="00C118AA"/>
    <w:rsid w:val="00C12856"/>
    <w:rsid w:val="00C13432"/>
    <w:rsid w:val="00C166FF"/>
    <w:rsid w:val="00C1676D"/>
    <w:rsid w:val="00C16D2E"/>
    <w:rsid w:val="00C2115D"/>
    <w:rsid w:val="00C2138E"/>
    <w:rsid w:val="00C21657"/>
    <w:rsid w:val="00C22002"/>
    <w:rsid w:val="00C22D64"/>
    <w:rsid w:val="00C233A2"/>
    <w:rsid w:val="00C23C91"/>
    <w:rsid w:val="00C2452E"/>
    <w:rsid w:val="00C26432"/>
    <w:rsid w:val="00C30B59"/>
    <w:rsid w:val="00C312A7"/>
    <w:rsid w:val="00C31F89"/>
    <w:rsid w:val="00C349FE"/>
    <w:rsid w:val="00C3577D"/>
    <w:rsid w:val="00C363AF"/>
    <w:rsid w:val="00C36581"/>
    <w:rsid w:val="00C37BF8"/>
    <w:rsid w:val="00C407F6"/>
    <w:rsid w:val="00C40B93"/>
    <w:rsid w:val="00C44770"/>
    <w:rsid w:val="00C450BB"/>
    <w:rsid w:val="00C463AE"/>
    <w:rsid w:val="00C464B4"/>
    <w:rsid w:val="00C465CC"/>
    <w:rsid w:val="00C4672F"/>
    <w:rsid w:val="00C51306"/>
    <w:rsid w:val="00C51E79"/>
    <w:rsid w:val="00C51FA6"/>
    <w:rsid w:val="00C52DBB"/>
    <w:rsid w:val="00C531B8"/>
    <w:rsid w:val="00C574E6"/>
    <w:rsid w:val="00C633B2"/>
    <w:rsid w:val="00C6410D"/>
    <w:rsid w:val="00C66F2B"/>
    <w:rsid w:val="00C673A2"/>
    <w:rsid w:val="00C673B8"/>
    <w:rsid w:val="00C6764A"/>
    <w:rsid w:val="00C676EB"/>
    <w:rsid w:val="00C67807"/>
    <w:rsid w:val="00C706F8"/>
    <w:rsid w:val="00C711A4"/>
    <w:rsid w:val="00C71A56"/>
    <w:rsid w:val="00C721F5"/>
    <w:rsid w:val="00C72727"/>
    <w:rsid w:val="00C72A23"/>
    <w:rsid w:val="00C734C0"/>
    <w:rsid w:val="00C73CA4"/>
    <w:rsid w:val="00C8079C"/>
    <w:rsid w:val="00C81A48"/>
    <w:rsid w:val="00C82249"/>
    <w:rsid w:val="00C8246C"/>
    <w:rsid w:val="00C8419A"/>
    <w:rsid w:val="00C85071"/>
    <w:rsid w:val="00C867C4"/>
    <w:rsid w:val="00C86C29"/>
    <w:rsid w:val="00C87D6D"/>
    <w:rsid w:val="00C92F04"/>
    <w:rsid w:val="00C94CA3"/>
    <w:rsid w:val="00CA0154"/>
    <w:rsid w:val="00CA0BE1"/>
    <w:rsid w:val="00CA15A9"/>
    <w:rsid w:val="00CA4FAB"/>
    <w:rsid w:val="00CA52FF"/>
    <w:rsid w:val="00CA56A9"/>
    <w:rsid w:val="00CA5D88"/>
    <w:rsid w:val="00CA5E54"/>
    <w:rsid w:val="00CA748E"/>
    <w:rsid w:val="00CB03A5"/>
    <w:rsid w:val="00CB0844"/>
    <w:rsid w:val="00CB0C45"/>
    <w:rsid w:val="00CB0EFD"/>
    <w:rsid w:val="00CB1447"/>
    <w:rsid w:val="00CB1E04"/>
    <w:rsid w:val="00CB2B1D"/>
    <w:rsid w:val="00CB3164"/>
    <w:rsid w:val="00CB3C06"/>
    <w:rsid w:val="00CB4BD0"/>
    <w:rsid w:val="00CB6DAC"/>
    <w:rsid w:val="00CB7DDE"/>
    <w:rsid w:val="00CC027D"/>
    <w:rsid w:val="00CC2BAC"/>
    <w:rsid w:val="00CC40AA"/>
    <w:rsid w:val="00CC5052"/>
    <w:rsid w:val="00CC6873"/>
    <w:rsid w:val="00CC6B6D"/>
    <w:rsid w:val="00CC7FE6"/>
    <w:rsid w:val="00CD00F4"/>
    <w:rsid w:val="00CD0158"/>
    <w:rsid w:val="00CD09D1"/>
    <w:rsid w:val="00CD0F2B"/>
    <w:rsid w:val="00CD2BC2"/>
    <w:rsid w:val="00CD2EA7"/>
    <w:rsid w:val="00CD301C"/>
    <w:rsid w:val="00CD3595"/>
    <w:rsid w:val="00CD3E52"/>
    <w:rsid w:val="00CD3E61"/>
    <w:rsid w:val="00CD4911"/>
    <w:rsid w:val="00CD5CFE"/>
    <w:rsid w:val="00CD6979"/>
    <w:rsid w:val="00CD762B"/>
    <w:rsid w:val="00CD7704"/>
    <w:rsid w:val="00CE08C6"/>
    <w:rsid w:val="00CE21EB"/>
    <w:rsid w:val="00CE2B50"/>
    <w:rsid w:val="00CE5D9A"/>
    <w:rsid w:val="00CE6C77"/>
    <w:rsid w:val="00CE7320"/>
    <w:rsid w:val="00CE75FD"/>
    <w:rsid w:val="00CE7DAE"/>
    <w:rsid w:val="00CF04AB"/>
    <w:rsid w:val="00CF0B1F"/>
    <w:rsid w:val="00CF1023"/>
    <w:rsid w:val="00CF3CA5"/>
    <w:rsid w:val="00CF4F04"/>
    <w:rsid w:val="00CF4F49"/>
    <w:rsid w:val="00CF67DE"/>
    <w:rsid w:val="00D009B9"/>
    <w:rsid w:val="00D02B45"/>
    <w:rsid w:val="00D03A42"/>
    <w:rsid w:val="00D056F3"/>
    <w:rsid w:val="00D06147"/>
    <w:rsid w:val="00D0676D"/>
    <w:rsid w:val="00D06DCE"/>
    <w:rsid w:val="00D07B4A"/>
    <w:rsid w:val="00D12017"/>
    <w:rsid w:val="00D128AA"/>
    <w:rsid w:val="00D14DC2"/>
    <w:rsid w:val="00D150F6"/>
    <w:rsid w:val="00D15B19"/>
    <w:rsid w:val="00D16494"/>
    <w:rsid w:val="00D165CB"/>
    <w:rsid w:val="00D17CC1"/>
    <w:rsid w:val="00D214DB"/>
    <w:rsid w:val="00D22D7B"/>
    <w:rsid w:val="00D23B15"/>
    <w:rsid w:val="00D24170"/>
    <w:rsid w:val="00D25204"/>
    <w:rsid w:val="00D302BE"/>
    <w:rsid w:val="00D30941"/>
    <w:rsid w:val="00D31E45"/>
    <w:rsid w:val="00D32CA7"/>
    <w:rsid w:val="00D33E57"/>
    <w:rsid w:val="00D3440D"/>
    <w:rsid w:val="00D34F90"/>
    <w:rsid w:val="00D35E1F"/>
    <w:rsid w:val="00D36D48"/>
    <w:rsid w:val="00D371BD"/>
    <w:rsid w:val="00D408EB"/>
    <w:rsid w:val="00D4178B"/>
    <w:rsid w:val="00D418B4"/>
    <w:rsid w:val="00D4267A"/>
    <w:rsid w:val="00D42748"/>
    <w:rsid w:val="00D42F6A"/>
    <w:rsid w:val="00D453B9"/>
    <w:rsid w:val="00D46B9A"/>
    <w:rsid w:val="00D46DED"/>
    <w:rsid w:val="00D46F49"/>
    <w:rsid w:val="00D4728A"/>
    <w:rsid w:val="00D51E4D"/>
    <w:rsid w:val="00D52055"/>
    <w:rsid w:val="00D535A7"/>
    <w:rsid w:val="00D5365A"/>
    <w:rsid w:val="00D55261"/>
    <w:rsid w:val="00D552AB"/>
    <w:rsid w:val="00D552F5"/>
    <w:rsid w:val="00D55956"/>
    <w:rsid w:val="00D57F59"/>
    <w:rsid w:val="00D609C6"/>
    <w:rsid w:val="00D61B51"/>
    <w:rsid w:val="00D620D9"/>
    <w:rsid w:val="00D6266E"/>
    <w:rsid w:val="00D62AA3"/>
    <w:rsid w:val="00D63393"/>
    <w:rsid w:val="00D6655B"/>
    <w:rsid w:val="00D67AE3"/>
    <w:rsid w:val="00D7086C"/>
    <w:rsid w:val="00D7117A"/>
    <w:rsid w:val="00D73C0B"/>
    <w:rsid w:val="00D74C18"/>
    <w:rsid w:val="00D75532"/>
    <w:rsid w:val="00D76DF7"/>
    <w:rsid w:val="00D77A9A"/>
    <w:rsid w:val="00D80292"/>
    <w:rsid w:val="00D809FA"/>
    <w:rsid w:val="00D80CB6"/>
    <w:rsid w:val="00D81683"/>
    <w:rsid w:val="00D82F32"/>
    <w:rsid w:val="00D83B9B"/>
    <w:rsid w:val="00D84075"/>
    <w:rsid w:val="00D852FD"/>
    <w:rsid w:val="00D85D3E"/>
    <w:rsid w:val="00D912FD"/>
    <w:rsid w:val="00D9212C"/>
    <w:rsid w:val="00D93AB3"/>
    <w:rsid w:val="00D95A51"/>
    <w:rsid w:val="00DA1445"/>
    <w:rsid w:val="00DA3850"/>
    <w:rsid w:val="00DA3A62"/>
    <w:rsid w:val="00DA3B2F"/>
    <w:rsid w:val="00DA3B83"/>
    <w:rsid w:val="00DA4098"/>
    <w:rsid w:val="00DA4284"/>
    <w:rsid w:val="00DA49B2"/>
    <w:rsid w:val="00DA5136"/>
    <w:rsid w:val="00DA68B1"/>
    <w:rsid w:val="00DA6BD8"/>
    <w:rsid w:val="00DB00B5"/>
    <w:rsid w:val="00DB03AB"/>
    <w:rsid w:val="00DB0D47"/>
    <w:rsid w:val="00DB2B8A"/>
    <w:rsid w:val="00DB2C98"/>
    <w:rsid w:val="00DB33BE"/>
    <w:rsid w:val="00DB3900"/>
    <w:rsid w:val="00DB525A"/>
    <w:rsid w:val="00DB5745"/>
    <w:rsid w:val="00DB5F57"/>
    <w:rsid w:val="00DB6511"/>
    <w:rsid w:val="00DC0325"/>
    <w:rsid w:val="00DC1387"/>
    <w:rsid w:val="00DC158C"/>
    <w:rsid w:val="00DC232F"/>
    <w:rsid w:val="00DC437C"/>
    <w:rsid w:val="00DD0D78"/>
    <w:rsid w:val="00DD23A1"/>
    <w:rsid w:val="00DD2B00"/>
    <w:rsid w:val="00DD4E22"/>
    <w:rsid w:val="00DD65EE"/>
    <w:rsid w:val="00DE02E5"/>
    <w:rsid w:val="00DE0E46"/>
    <w:rsid w:val="00DE1126"/>
    <w:rsid w:val="00DE3102"/>
    <w:rsid w:val="00DE3887"/>
    <w:rsid w:val="00DE3F27"/>
    <w:rsid w:val="00DE4046"/>
    <w:rsid w:val="00DE494F"/>
    <w:rsid w:val="00DE4A6F"/>
    <w:rsid w:val="00DE4FE9"/>
    <w:rsid w:val="00DE533A"/>
    <w:rsid w:val="00DE5B46"/>
    <w:rsid w:val="00DE5EFC"/>
    <w:rsid w:val="00DE60B3"/>
    <w:rsid w:val="00DE6273"/>
    <w:rsid w:val="00DE70B5"/>
    <w:rsid w:val="00DF18B9"/>
    <w:rsid w:val="00DF4106"/>
    <w:rsid w:val="00DF4191"/>
    <w:rsid w:val="00DF6E54"/>
    <w:rsid w:val="00DF7450"/>
    <w:rsid w:val="00DF7BC8"/>
    <w:rsid w:val="00E00644"/>
    <w:rsid w:val="00E02137"/>
    <w:rsid w:val="00E02E6D"/>
    <w:rsid w:val="00E02F59"/>
    <w:rsid w:val="00E044BF"/>
    <w:rsid w:val="00E055C7"/>
    <w:rsid w:val="00E070F9"/>
    <w:rsid w:val="00E077DC"/>
    <w:rsid w:val="00E10D3A"/>
    <w:rsid w:val="00E1179D"/>
    <w:rsid w:val="00E11BAF"/>
    <w:rsid w:val="00E11E97"/>
    <w:rsid w:val="00E13EB8"/>
    <w:rsid w:val="00E162C4"/>
    <w:rsid w:val="00E17411"/>
    <w:rsid w:val="00E17FA5"/>
    <w:rsid w:val="00E20449"/>
    <w:rsid w:val="00E22A59"/>
    <w:rsid w:val="00E24F7D"/>
    <w:rsid w:val="00E26D38"/>
    <w:rsid w:val="00E32D88"/>
    <w:rsid w:val="00E32FAF"/>
    <w:rsid w:val="00E33133"/>
    <w:rsid w:val="00E33582"/>
    <w:rsid w:val="00E33EF8"/>
    <w:rsid w:val="00E3529B"/>
    <w:rsid w:val="00E362B4"/>
    <w:rsid w:val="00E37123"/>
    <w:rsid w:val="00E37655"/>
    <w:rsid w:val="00E42993"/>
    <w:rsid w:val="00E42DD9"/>
    <w:rsid w:val="00E435B5"/>
    <w:rsid w:val="00E44C6E"/>
    <w:rsid w:val="00E454D7"/>
    <w:rsid w:val="00E4557C"/>
    <w:rsid w:val="00E46EF6"/>
    <w:rsid w:val="00E50657"/>
    <w:rsid w:val="00E526F9"/>
    <w:rsid w:val="00E53898"/>
    <w:rsid w:val="00E53EB1"/>
    <w:rsid w:val="00E5732B"/>
    <w:rsid w:val="00E577A5"/>
    <w:rsid w:val="00E608A5"/>
    <w:rsid w:val="00E60F39"/>
    <w:rsid w:val="00E6386B"/>
    <w:rsid w:val="00E63A53"/>
    <w:rsid w:val="00E63AB4"/>
    <w:rsid w:val="00E643F5"/>
    <w:rsid w:val="00E6473F"/>
    <w:rsid w:val="00E656BD"/>
    <w:rsid w:val="00E657D5"/>
    <w:rsid w:val="00E657F4"/>
    <w:rsid w:val="00E6676B"/>
    <w:rsid w:val="00E7342A"/>
    <w:rsid w:val="00E73887"/>
    <w:rsid w:val="00E73BDC"/>
    <w:rsid w:val="00E759C7"/>
    <w:rsid w:val="00E81FDF"/>
    <w:rsid w:val="00E83650"/>
    <w:rsid w:val="00E838E5"/>
    <w:rsid w:val="00E83F2A"/>
    <w:rsid w:val="00E84414"/>
    <w:rsid w:val="00E8447E"/>
    <w:rsid w:val="00E85248"/>
    <w:rsid w:val="00E867B8"/>
    <w:rsid w:val="00E86FB6"/>
    <w:rsid w:val="00E876C6"/>
    <w:rsid w:val="00E87C78"/>
    <w:rsid w:val="00E910DF"/>
    <w:rsid w:val="00E912A3"/>
    <w:rsid w:val="00E9187E"/>
    <w:rsid w:val="00E92E66"/>
    <w:rsid w:val="00E959B7"/>
    <w:rsid w:val="00E960B2"/>
    <w:rsid w:val="00E97D30"/>
    <w:rsid w:val="00E97D39"/>
    <w:rsid w:val="00EA15BF"/>
    <w:rsid w:val="00EA2F20"/>
    <w:rsid w:val="00EA45FD"/>
    <w:rsid w:val="00EA4C5C"/>
    <w:rsid w:val="00EA4D88"/>
    <w:rsid w:val="00EA521D"/>
    <w:rsid w:val="00EA6452"/>
    <w:rsid w:val="00EB0C02"/>
    <w:rsid w:val="00EB1357"/>
    <w:rsid w:val="00EB30A5"/>
    <w:rsid w:val="00EB3933"/>
    <w:rsid w:val="00EB3CDC"/>
    <w:rsid w:val="00EB5075"/>
    <w:rsid w:val="00EB605B"/>
    <w:rsid w:val="00EB690D"/>
    <w:rsid w:val="00EC029E"/>
    <w:rsid w:val="00EC0D56"/>
    <w:rsid w:val="00EC27BA"/>
    <w:rsid w:val="00EC3122"/>
    <w:rsid w:val="00EC4841"/>
    <w:rsid w:val="00EC6096"/>
    <w:rsid w:val="00EC69BF"/>
    <w:rsid w:val="00EC7FAB"/>
    <w:rsid w:val="00ED046D"/>
    <w:rsid w:val="00ED0AFC"/>
    <w:rsid w:val="00ED11AF"/>
    <w:rsid w:val="00ED1D6A"/>
    <w:rsid w:val="00ED32D3"/>
    <w:rsid w:val="00ED366D"/>
    <w:rsid w:val="00ED49E9"/>
    <w:rsid w:val="00ED4F23"/>
    <w:rsid w:val="00ED50CB"/>
    <w:rsid w:val="00ED5FA2"/>
    <w:rsid w:val="00ED71E3"/>
    <w:rsid w:val="00ED7BCD"/>
    <w:rsid w:val="00ED7F43"/>
    <w:rsid w:val="00EE1EF5"/>
    <w:rsid w:val="00EE2537"/>
    <w:rsid w:val="00EE3647"/>
    <w:rsid w:val="00EE385B"/>
    <w:rsid w:val="00EE453A"/>
    <w:rsid w:val="00EE5053"/>
    <w:rsid w:val="00EE67D3"/>
    <w:rsid w:val="00EE760B"/>
    <w:rsid w:val="00EF0096"/>
    <w:rsid w:val="00EF09E6"/>
    <w:rsid w:val="00EF179D"/>
    <w:rsid w:val="00EF2982"/>
    <w:rsid w:val="00EF3FAE"/>
    <w:rsid w:val="00EF4AD4"/>
    <w:rsid w:val="00EF4C8B"/>
    <w:rsid w:val="00EF58E7"/>
    <w:rsid w:val="00EF5E4A"/>
    <w:rsid w:val="00EF6491"/>
    <w:rsid w:val="00EF71A6"/>
    <w:rsid w:val="00EF78F8"/>
    <w:rsid w:val="00F000D7"/>
    <w:rsid w:val="00F010A1"/>
    <w:rsid w:val="00F0110B"/>
    <w:rsid w:val="00F0165B"/>
    <w:rsid w:val="00F04D44"/>
    <w:rsid w:val="00F06923"/>
    <w:rsid w:val="00F10468"/>
    <w:rsid w:val="00F10C86"/>
    <w:rsid w:val="00F11CCA"/>
    <w:rsid w:val="00F1228B"/>
    <w:rsid w:val="00F12A8F"/>
    <w:rsid w:val="00F1785F"/>
    <w:rsid w:val="00F20472"/>
    <w:rsid w:val="00F206EE"/>
    <w:rsid w:val="00F20E75"/>
    <w:rsid w:val="00F21BE4"/>
    <w:rsid w:val="00F2406E"/>
    <w:rsid w:val="00F24B10"/>
    <w:rsid w:val="00F24D33"/>
    <w:rsid w:val="00F269D9"/>
    <w:rsid w:val="00F3405B"/>
    <w:rsid w:val="00F347F6"/>
    <w:rsid w:val="00F34D23"/>
    <w:rsid w:val="00F378D8"/>
    <w:rsid w:val="00F40C9B"/>
    <w:rsid w:val="00F417F1"/>
    <w:rsid w:val="00F41958"/>
    <w:rsid w:val="00F42D1B"/>
    <w:rsid w:val="00F42E0C"/>
    <w:rsid w:val="00F435C1"/>
    <w:rsid w:val="00F4384A"/>
    <w:rsid w:val="00F465B9"/>
    <w:rsid w:val="00F53062"/>
    <w:rsid w:val="00F5315E"/>
    <w:rsid w:val="00F534AD"/>
    <w:rsid w:val="00F547EC"/>
    <w:rsid w:val="00F5691F"/>
    <w:rsid w:val="00F61153"/>
    <w:rsid w:val="00F6236F"/>
    <w:rsid w:val="00F63310"/>
    <w:rsid w:val="00F67BB6"/>
    <w:rsid w:val="00F73FA3"/>
    <w:rsid w:val="00F740A2"/>
    <w:rsid w:val="00F75371"/>
    <w:rsid w:val="00F7592D"/>
    <w:rsid w:val="00F759D8"/>
    <w:rsid w:val="00F75D00"/>
    <w:rsid w:val="00F75DD9"/>
    <w:rsid w:val="00F75EEF"/>
    <w:rsid w:val="00F76140"/>
    <w:rsid w:val="00F77211"/>
    <w:rsid w:val="00F83F7E"/>
    <w:rsid w:val="00F85932"/>
    <w:rsid w:val="00F85AE8"/>
    <w:rsid w:val="00F8650B"/>
    <w:rsid w:val="00F90ED1"/>
    <w:rsid w:val="00F90F76"/>
    <w:rsid w:val="00F92539"/>
    <w:rsid w:val="00F935FF"/>
    <w:rsid w:val="00F955D9"/>
    <w:rsid w:val="00F96364"/>
    <w:rsid w:val="00F96D20"/>
    <w:rsid w:val="00FA18FA"/>
    <w:rsid w:val="00FA192D"/>
    <w:rsid w:val="00FA311F"/>
    <w:rsid w:val="00FA3B31"/>
    <w:rsid w:val="00FA3BA3"/>
    <w:rsid w:val="00FA47CB"/>
    <w:rsid w:val="00FA6326"/>
    <w:rsid w:val="00FA6546"/>
    <w:rsid w:val="00FB0122"/>
    <w:rsid w:val="00FB0E60"/>
    <w:rsid w:val="00FB1D1E"/>
    <w:rsid w:val="00FB3738"/>
    <w:rsid w:val="00FB5A43"/>
    <w:rsid w:val="00FB72DB"/>
    <w:rsid w:val="00FB737C"/>
    <w:rsid w:val="00FC063C"/>
    <w:rsid w:val="00FC12F2"/>
    <w:rsid w:val="00FC1436"/>
    <w:rsid w:val="00FC15C2"/>
    <w:rsid w:val="00FC1818"/>
    <w:rsid w:val="00FC2303"/>
    <w:rsid w:val="00FC3B80"/>
    <w:rsid w:val="00FC41D3"/>
    <w:rsid w:val="00FC6894"/>
    <w:rsid w:val="00FD2DC5"/>
    <w:rsid w:val="00FD3BE5"/>
    <w:rsid w:val="00FD48FB"/>
    <w:rsid w:val="00FD4A24"/>
    <w:rsid w:val="00FD636E"/>
    <w:rsid w:val="00FD6614"/>
    <w:rsid w:val="00FD6889"/>
    <w:rsid w:val="00FD797A"/>
    <w:rsid w:val="00FE0F61"/>
    <w:rsid w:val="00FE1A95"/>
    <w:rsid w:val="00FE37A6"/>
    <w:rsid w:val="00FE5D11"/>
    <w:rsid w:val="00FE6664"/>
    <w:rsid w:val="00FF134D"/>
    <w:rsid w:val="00FF4BB9"/>
    <w:rsid w:val="00FF58FB"/>
    <w:rsid w:val="00FF73C6"/>
    <w:rsid w:val="00FF7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2D60984"/>
  <w15:chartTrackingRefBased/>
  <w15:docId w15:val="{1712F304-5A51-4B2C-B880-67BB4FE7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29"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2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29"/>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CB0844"/>
    <w:rPr>
      <w:rFonts w:ascii="Arial" w:hAnsi="Arial"/>
      <w:sz w:val="16"/>
      <w:lang w:eastAsia="en-US"/>
    </w:rPr>
  </w:style>
  <w:style w:type="character" w:customStyle="1" w:styleId="DateChar">
    <w:name w:val="Date Char"/>
    <w:link w:val="Date"/>
    <w:uiPriority w:val="99"/>
    <w:rsid w:val="00CB0844"/>
    <w:rPr>
      <w:sz w:val="24"/>
      <w:lang w:eastAsia="en-US"/>
    </w:rPr>
  </w:style>
  <w:style w:type="paragraph" w:customStyle="1" w:styleId="ZCom">
    <w:name w:val="Z_Com"/>
    <w:basedOn w:val="Normal"/>
    <w:next w:val="ZDGName"/>
    <w:link w:val="ZComChar"/>
    <w:uiPriority w:val="99"/>
    <w:rsid w:val="00CB0844"/>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CB0844"/>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sid w:val="00CB0844"/>
    <w:rPr>
      <w:sz w:val="24"/>
      <w:lang w:eastAsia="en-US"/>
    </w:rPr>
  </w:style>
  <w:style w:type="character" w:styleId="Hyperlink">
    <w:name w:val="Hyperlink"/>
    <w:uiPriority w:val="99"/>
    <w:unhideWhenUsed/>
    <w:rsid w:val="00CB0844"/>
    <w:rPr>
      <w:color w:val="0000FF"/>
      <w:u w:val="single"/>
    </w:rPr>
  </w:style>
  <w:style w:type="paragraph" w:styleId="BalloonText">
    <w:name w:val="Balloon Text"/>
    <w:basedOn w:val="Normal"/>
    <w:link w:val="BalloonTextChar"/>
    <w:uiPriority w:val="99"/>
    <w:semiHidden/>
    <w:unhideWhenUsed/>
    <w:rsid w:val="00E5732B"/>
    <w:pPr>
      <w:spacing w:after="0"/>
    </w:pPr>
    <w:rPr>
      <w:rFonts w:ascii="Tahoma" w:hAnsi="Tahoma"/>
      <w:sz w:val="16"/>
      <w:szCs w:val="16"/>
    </w:rPr>
  </w:style>
  <w:style w:type="character" w:customStyle="1" w:styleId="BalloonTextChar">
    <w:name w:val="Balloon Text Char"/>
    <w:link w:val="BalloonText"/>
    <w:uiPriority w:val="99"/>
    <w:semiHidden/>
    <w:rsid w:val="00E5732B"/>
    <w:rPr>
      <w:rFonts w:ascii="Tahoma" w:hAnsi="Tahoma" w:cs="Tahoma"/>
      <w:sz w:val="16"/>
      <w:szCs w:val="16"/>
      <w:lang w:val="pt-PT" w:eastAsia="en-US"/>
    </w:rPr>
  </w:style>
  <w:style w:type="character" w:customStyle="1" w:styleId="Heading2Char">
    <w:name w:val="Heading 2 Char"/>
    <w:link w:val="Heading2"/>
    <w:rsid w:val="00BB2D2E"/>
    <w:rPr>
      <w:b/>
      <w:sz w:val="24"/>
      <w:lang w:val="pt-PT" w:eastAsia="en-US"/>
    </w:rPr>
  </w:style>
  <w:style w:type="character" w:styleId="FootnoteReference">
    <w:name w:val="footnote reference"/>
    <w:aliases w:val="SUPERS,Footnote Reference Superscript,BVI fnr,Footnote symbol,Footnote symboFußnotenzeichen,Footnote sign,Footnote Reference text,Footnote, BVI fnr,Footnote Reference/,footnote ref,FR,Fußnotenzeichen diss neu,Times 10 Point,callout,Re"/>
    <w:link w:val="Odwo0142anieprzypisu"/>
    <w:uiPriority w:val="99"/>
    <w:unhideWhenUsed/>
    <w:qFormat/>
    <w:rsid w:val="00954261"/>
    <w:rPr>
      <w:vertAlign w:val="superscript"/>
    </w:rPr>
  </w:style>
  <w:style w:type="character" w:customStyle="1" w:styleId="normal10">
    <w:name w:val="normal10"/>
    <w:rsid w:val="005A2E4A"/>
  </w:style>
  <w:style w:type="character" w:styleId="EndnoteReference">
    <w:name w:val="endnote reference"/>
    <w:uiPriority w:val="99"/>
    <w:semiHidden/>
    <w:unhideWhenUsed/>
    <w:rsid w:val="004175D5"/>
    <w:rPr>
      <w:vertAlign w:val="superscript"/>
    </w:rPr>
  </w:style>
  <w:style w:type="character" w:styleId="CommentReference">
    <w:name w:val="annotation reference"/>
    <w:uiPriority w:val="29"/>
    <w:unhideWhenUsed/>
    <w:rsid w:val="002B4462"/>
    <w:rPr>
      <w:sz w:val="16"/>
      <w:szCs w:val="16"/>
    </w:rPr>
  </w:style>
  <w:style w:type="paragraph" w:styleId="CommentSubject">
    <w:name w:val="annotation subject"/>
    <w:basedOn w:val="CommentText"/>
    <w:next w:val="CommentText"/>
    <w:link w:val="CommentSubjectChar"/>
    <w:uiPriority w:val="99"/>
    <w:semiHidden/>
    <w:unhideWhenUsed/>
    <w:rsid w:val="002B4462"/>
    <w:rPr>
      <w:b/>
      <w:bCs/>
    </w:rPr>
  </w:style>
  <w:style w:type="character" w:customStyle="1" w:styleId="CommentTextChar">
    <w:name w:val="Comment Text Char"/>
    <w:link w:val="CommentText"/>
    <w:uiPriority w:val="29"/>
    <w:rsid w:val="002B4462"/>
    <w:rPr>
      <w:lang w:eastAsia="en-US"/>
    </w:rPr>
  </w:style>
  <w:style w:type="character" w:customStyle="1" w:styleId="CommentSubjectChar">
    <w:name w:val="Comment Subject Char"/>
    <w:link w:val="CommentSubject"/>
    <w:uiPriority w:val="99"/>
    <w:semiHidden/>
    <w:rsid w:val="002B4462"/>
    <w:rPr>
      <w:b/>
      <w:bCs/>
      <w:lang w:eastAsia="en-US"/>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link w:val="FootnoteText"/>
    <w:uiPriority w:val="99"/>
    <w:qFormat/>
    <w:rsid w:val="008B52D9"/>
    <w:rPr>
      <w:lang w:eastAsia="en-US"/>
    </w:rPr>
  </w:style>
  <w:style w:type="paragraph" w:customStyle="1" w:styleId="Titreobjet">
    <w:name w:val="Titre objet"/>
    <w:basedOn w:val="Normal"/>
    <w:next w:val="Normal"/>
    <w:rsid w:val="002554CF"/>
    <w:pPr>
      <w:spacing w:before="360" w:after="360"/>
      <w:jc w:val="center"/>
    </w:pPr>
    <w:rPr>
      <w:b/>
      <w:szCs w:val="24"/>
    </w:rPr>
  </w:style>
  <w:style w:type="paragraph" w:customStyle="1" w:styleId="Typedudocument">
    <w:name w:val="Type du document"/>
    <w:basedOn w:val="Normal"/>
    <w:next w:val="Titreobjet"/>
    <w:rsid w:val="002554CF"/>
    <w:pPr>
      <w:spacing w:before="360" w:after="0"/>
      <w:jc w:val="center"/>
    </w:pPr>
    <w:rPr>
      <w:b/>
      <w:szCs w:val="24"/>
    </w:rPr>
  </w:style>
  <w:style w:type="paragraph" w:customStyle="1" w:styleId="Odwo0142anieprzypisu">
    <w:name w:val="Odwo&lt;0142&gt;anie przypisu"/>
    <w:aliases w:val="SUPER,BVI fnr Char1 Char,fr"/>
    <w:basedOn w:val="Normal"/>
    <w:link w:val="FootnoteReference"/>
    <w:uiPriority w:val="99"/>
    <w:rsid w:val="00971D87"/>
    <w:pPr>
      <w:spacing w:before="120" w:after="160" w:line="240" w:lineRule="exact"/>
    </w:pPr>
    <w:rPr>
      <w:sz w:val="20"/>
      <w:vertAlign w:val="superscript"/>
      <w:lang w:eastAsia="en-GB"/>
    </w:rPr>
  </w:style>
  <w:style w:type="paragraph" w:styleId="ListParagraph">
    <w:name w:val="List Paragraph"/>
    <w:aliases w:val="Heading 2_sj,List Paragraph1,Numbered Para 1,Dot pt,No Spacing1,List Paragraph Char Char Char,Indicator Text,Bullet 1,Bullet Points,MAIN CONTENT,List Paragraph12,F5 List Paragraph,Reference list,Source,Lijstalinea,BTBullet1,Bullet1,b1"/>
    <w:basedOn w:val="Normal"/>
    <w:link w:val="ListParagraphChar"/>
    <w:uiPriority w:val="34"/>
    <w:qFormat/>
    <w:rsid w:val="003B40B0"/>
    <w:pPr>
      <w:spacing w:after="0"/>
      <w:ind w:left="720"/>
      <w:contextualSpacing/>
    </w:pPr>
    <w:rPr>
      <w:sz w:val="22"/>
      <w:lang w:eastAsia="fr-FR"/>
    </w:rPr>
  </w:style>
  <w:style w:type="character" w:customStyle="1" w:styleId="ListParagraphChar">
    <w:name w:val="List Paragraph Char"/>
    <w:aliases w:val="Heading 2_sj Char,List Paragraph1 Char,Numbered Para 1 Char,Dot pt Char,No Spacing1 Char,List Paragraph Char Char Char Char,Indicator Text Char,Bullet 1 Char,Bullet Points Char,MAIN CONTENT Char,List Paragraph12 Char,Source Char"/>
    <w:link w:val="ListParagraph"/>
    <w:uiPriority w:val="34"/>
    <w:qFormat/>
    <w:rsid w:val="003B40B0"/>
    <w:rPr>
      <w:sz w:val="22"/>
      <w:lang w:eastAsia="fr-FR"/>
    </w:rPr>
  </w:style>
  <w:style w:type="table" w:styleId="TableGrid">
    <w:name w:val="Table Grid"/>
    <w:basedOn w:val="TableNormal"/>
    <w:uiPriority w:val="39"/>
    <w:rsid w:val="00DD23A1"/>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10C86"/>
    <w:rPr>
      <w:i/>
      <w:sz w:val="24"/>
      <w:lang w:eastAsia="en-US"/>
    </w:rPr>
  </w:style>
  <w:style w:type="paragraph" w:customStyle="1" w:styleId="xmsonormal">
    <w:name w:val="x_msonormal"/>
    <w:basedOn w:val="Normal"/>
    <w:rsid w:val="00042719"/>
    <w:pPr>
      <w:spacing w:after="0"/>
      <w:jc w:val="left"/>
    </w:pPr>
    <w:rPr>
      <w:rFonts w:ascii="Calibri" w:eastAsia="Calibri" w:hAnsi="Calibri" w:cs="Calibri"/>
      <w:sz w:val="22"/>
      <w:szCs w:val="22"/>
      <w:lang w:eastAsia="en-GB"/>
    </w:rPr>
  </w:style>
  <w:style w:type="paragraph" w:customStyle="1" w:styleId="ti-art">
    <w:name w:val="ti-art"/>
    <w:basedOn w:val="Normal"/>
    <w:rsid w:val="00042719"/>
    <w:pPr>
      <w:spacing w:before="100" w:beforeAutospacing="1" w:after="100" w:afterAutospacing="1"/>
      <w:jc w:val="left"/>
    </w:pPr>
    <w:rPr>
      <w:szCs w:val="24"/>
      <w:lang w:eastAsia="nl-BE"/>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rsid w:val="00745171"/>
    <w:pPr>
      <w:spacing w:before="60" w:after="160" w:line="240" w:lineRule="exact"/>
    </w:pPr>
    <w:rPr>
      <w:rFonts w:ascii="Calibri" w:eastAsia="Calibri" w:hAnsi="Calibri"/>
      <w:sz w:val="22"/>
      <w:szCs w:val="22"/>
      <w:vertAlign w:val="superscript"/>
    </w:rPr>
  </w:style>
  <w:style w:type="paragraph" w:customStyle="1" w:styleId="text20">
    <w:name w:val="text2"/>
    <w:basedOn w:val="Normal"/>
    <w:rsid w:val="003D4035"/>
    <w:pPr>
      <w:spacing w:before="100" w:beforeAutospacing="1" w:after="100" w:afterAutospacing="1"/>
      <w:jc w:val="left"/>
    </w:pPr>
    <w:rPr>
      <w:szCs w:val="24"/>
      <w:lang w:eastAsia="en-IE"/>
    </w:rPr>
  </w:style>
  <w:style w:type="character" w:customStyle="1" w:styleId="footnotereference0">
    <w:name w:val="footnotereference"/>
    <w:rsid w:val="003D4035"/>
  </w:style>
  <w:style w:type="paragraph" w:customStyle="1" w:styleId="Normal1">
    <w:name w:val="Normal1"/>
    <w:basedOn w:val="Normal"/>
    <w:rsid w:val="0052329A"/>
    <w:pPr>
      <w:spacing w:before="100" w:beforeAutospacing="1" w:after="100" w:afterAutospacing="1"/>
      <w:jc w:val="left"/>
    </w:pPr>
    <w:rPr>
      <w:szCs w:val="24"/>
      <w:lang w:eastAsia="en-IE"/>
    </w:rPr>
  </w:style>
  <w:style w:type="character" w:customStyle="1" w:styleId="funotenanker">
    <w:name w:val="funotenanker"/>
    <w:rsid w:val="0052329A"/>
  </w:style>
  <w:style w:type="character" w:customStyle="1" w:styleId="BodyPlaceholderText">
    <w:name w:val="BodyPlaceholderText"/>
    <w:uiPriority w:val="1"/>
    <w:semiHidden/>
    <w:rsid w:val="009040BB"/>
    <w:rPr>
      <w:color w:val="3366CC"/>
    </w:rPr>
  </w:style>
  <w:style w:type="character" w:styleId="PlaceholderText">
    <w:name w:val="Placeholder Text"/>
    <w:uiPriority w:val="99"/>
    <w:semiHidden/>
    <w:rsid w:val="009040BB"/>
    <w:rPr>
      <w:color w:val="808080"/>
    </w:rPr>
  </w:style>
  <w:style w:type="paragraph" w:customStyle="1" w:styleId="CM1">
    <w:name w:val="CM1"/>
    <w:basedOn w:val="Normal"/>
    <w:next w:val="Normal"/>
    <w:uiPriority w:val="99"/>
    <w:rsid w:val="00E37655"/>
    <w:pPr>
      <w:autoSpaceDE w:val="0"/>
      <w:autoSpaceDN w:val="0"/>
      <w:adjustRightInd w:val="0"/>
      <w:spacing w:after="0"/>
      <w:jc w:val="left"/>
    </w:pPr>
    <w:rPr>
      <w:rFonts w:ascii="EUAlbertina" w:hAnsi="EUAlbertina"/>
      <w:szCs w:val="24"/>
      <w:lang w:eastAsia="en-GB"/>
    </w:rPr>
  </w:style>
  <w:style w:type="paragraph" w:styleId="Revision">
    <w:name w:val="Revision"/>
    <w:hidden/>
    <w:uiPriority w:val="99"/>
    <w:semiHidden/>
    <w:rsid w:val="0028211C"/>
    <w:rPr>
      <w:sz w:val="24"/>
      <w:lang w:eastAsia="en-US"/>
    </w:rPr>
  </w:style>
  <w:style w:type="character" w:customStyle="1" w:styleId="Marker">
    <w:name w:val="Marker"/>
    <w:rsid w:val="00014DC9"/>
    <w:rPr>
      <w:color w:val="0000FF"/>
      <w:shd w:val="clear" w:color="auto" w:fill="auto"/>
    </w:rPr>
  </w:style>
  <w:style w:type="paragraph" w:customStyle="1" w:styleId="Pagedecouverture">
    <w:name w:val="Page de couverture"/>
    <w:basedOn w:val="Normal"/>
    <w:next w:val="Normal"/>
    <w:rsid w:val="00014DC9"/>
    <w:pPr>
      <w:spacing w:after="0"/>
    </w:pPr>
    <w:rPr>
      <w:rFonts w:eastAsia="Calibri"/>
      <w:szCs w:val="22"/>
    </w:rPr>
  </w:style>
  <w:style w:type="paragraph" w:customStyle="1" w:styleId="FooterCoverPage">
    <w:name w:val="Footer Cover Page"/>
    <w:basedOn w:val="Normal"/>
    <w:link w:val="FooterCoverPageChar"/>
    <w:rsid w:val="00014DC9"/>
    <w:pPr>
      <w:tabs>
        <w:tab w:val="center" w:pos="4535"/>
        <w:tab w:val="right" w:pos="9071"/>
        <w:tab w:val="right" w:pos="9921"/>
      </w:tabs>
      <w:spacing w:before="360" w:after="0"/>
      <w:ind w:left="-850" w:right="-850"/>
      <w:jc w:val="left"/>
    </w:pPr>
  </w:style>
  <w:style w:type="character" w:customStyle="1" w:styleId="ZComChar">
    <w:name w:val="Z_Com Char"/>
    <w:link w:val="ZCom"/>
    <w:uiPriority w:val="99"/>
    <w:rsid w:val="00014DC9"/>
    <w:rPr>
      <w:rFonts w:ascii="Arial" w:hAnsi="Arial" w:cs="Arial"/>
      <w:sz w:val="24"/>
      <w:szCs w:val="24"/>
    </w:rPr>
  </w:style>
  <w:style w:type="character" w:customStyle="1" w:styleId="FooterCoverPageChar">
    <w:name w:val="Footer Cover Page Char"/>
    <w:link w:val="FooterCoverPage"/>
    <w:rsid w:val="00014DC9"/>
    <w:rPr>
      <w:sz w:val="24"/>
      <w:lang w:eastAsia="en-US"/>
    </w:rPr>
  </w:style>
  <w:style w:type="paragraph" w:customStyle="1" w:styleId="FooterSensitivity">
    <w:name w:val="Footer Sensitivity"/>
    <w:basedOn w:val="Normal"/>
    <w:link w:val="FooterSensitivityChar"/>
    <w:rsid w:val="00014DC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link w:val="FooterSensitivity"/>
    <w:rsid w:val="00014DC9"/>
    <w:rPr>
      <w:b/>
      <w:sz w:val="32"/>
      <w:lang w:eastAsia="en-US"/>
    </w:rPr>
  </w:style>
  <w:style w:type="paragraph" w:customStyle="1" w:styleId="HeaderCoverPage">
    <w:name w:val="Header Cover Page"/>
    <w:basedOn w:val="Normal"/>
    <w:link w:val="HeaderCoverPageChar"/>
    <w:rsid w:val="00014DC9"/>
    <w:pPr>
      <w:tabs>
        <w:tab w:val="center" w:pos="4535"/>
        <w:tab w:val="right" w:pos="9071"/>
      </w:tabs>
      <w:spacing w:after="120"/>
    </w:pPr>
  </w:style>
  <w:style w:type="character" w:customStyle="1" w:styleId="HeaderCoverPageChar">
    <w:name w:val="Header Cover Page Char"/>
    <w:link w:val="HeaderCoverPage"/>
    <w:rsid w:val="00014DC9"/>
    <w:rPr>
      <w:sz w:val="24"/>
      <w:lang w:eastAsia="en-US"/>
    </w:rPr>
  </w:style>
  <w:style w:type="paragraph" w:customStyle="1" w:styleId="HeaderSensitivity">
    <w:name w:val="Header Sensitivity"/>
    <w:basedOn w:val="Normal"/>
    <w:link w:val="HeaderSensitivityChar"/>
    <w:rsid w:val="00014DC9"/>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link w:val="HeaderSensitivity"/>
    <w:rsid w:val="00014DC9"/>
    <w:rPr>
      <w:b/>
      <w:sz w:val="32"/>
      <w:lang w:eastAsia="en-US"/>
    </w:rPr>
  </w:style>
  <w:style w:type="paragraph" w:customStyle="1" w:styleId="HeaderSensitivityRight">
    <w:name w:val="Header Sensitivity Right"/>
    <w:basedOn w:val="Normal"/>
    <w:link w:val="HeaderSensitivityRightChar"/>
    <w:rsid w:val="00014DC9"/>
    <w:pPr>
      <w:spacing w:after="120"/>
      <w:jc w:val="right"/>
    </w:pPr>
    <w:rPr>
      <w:sz w:val="28"/>
    </w:rPr>
  </w:style>
  <w:style w:type="character" w:customStyle="1" w:styleId="HeaderSensitivityRightChar">
    <w:name w:val="Header Sensitivity Right Char"/>
    <w:link w:val="HeaderSensitivityRight"/>
    <w:rsid w:val="00014DC9"/>
    <w:rPr>
      <w:sz w:val="28"/>
      <w:lang w:eastAsia="en-US"/>
    </w:rPr>
  </w:style>
  <w:style w:type="paragraph" w:customStyle="1" w:styleId="BVIfnrCarCarCarCarCharCharCharCharCar">
    <w:name w:val="BVI fnr Car Car Car Car Char Char Char Char Car"/>
    <w:aliases w:val="BVI fnr Car Car Car Car Char Char Car,BVI fnr Car Car Car Car Char Char Char Char Char Char Char Char Char Car, BVI fnr Car Car Car Car Char Char Car"/>
    <w:basedOn w:val="Normal"/>
    <w:uiPriority w:val="99"/>
    <w:rsid w:val="004D0916"/>
    <w:pPr>
      <w:spacing w:after="160" w:line="240" w:lineRule="exact"/>
      <w:jc w:val="left"/>
    </w:pPr>
    <w:rPr>
      <w:rFonts w:ascii="Calibri" w:eastAsia="Calibri" w:hAnsi="Calibri"/>
      <w:sz w:val="20"/>
      <w:szCs w:val="22"/>
      <w:vertAlign w:val="superscript"/>
    </w:rPr>
  </w:style>
  <w:style w:type="paragraph" w:customStyle="1" w:styleId="BTBullet2">
    <w:name w:val="BTBullet2"/>
    <w:aliases w:val="Bullet 2,Bullet2"/>
    <w:basedOn w:val="Normal"/>
    <w:uiPriority w:val="10"/>
    <w:qFormat/>
    <w:rsid w:val="00B24A1D"/>
    <w:pPr>
      <w:tabs>
        <w:tab w:val="num" w:pos="1360"/>
      </w:tabs>
      <w:spacing w:after="0" w:line="260" w:lineRule="atLeast"/>
      <w:ind w:left="1360" w:hanging="283"/>
      <w:jc w:val="left"/>
    </w:pPr>
    <w:rPr>
      <w:rFonts w:ascii="Arial" w:eastAsia="Calibri" w:hAnsi="Arial"/>
      <w:sz w:val="22"/>
      <w:szCs w:val="24"/>
    </w:rPr>
  </w:style>
  <w:style w:type="paragraph" w:customStyle="1" w:styleId="BTBullet3">
    <w:name w:val="BTBullet3"/>
    <w:aliases w:val="Bullet 3,Bullet3"/>
    <w:basedOn w:val="Normal"/>
    <w:uiPriority w:val="10"/>
    <w:qFormat/>
    <w:rsid w:val="00B24A1D"/>
    <w:pPr>
      <w:tabs>
        <w:tab w:val="num" w:pos="1360"/>
      </w:tabs>
      <w:spacing w:after="0" w:line="260" w:lineRule="atLeast"/>
      <w:ind w:left="1360" w:hanging="283"/>
      <w:jc w:val="left"/>
    </w:pPr>
    <w:rPr>
      <w:rFonts w:ascii="Arial" w:eastAsia="Calibri" w:hAnsi="Arial"/>
      <w:sz w:val="22"/>
      <w:szCs w:val="24"/>
    </w:rPr>
  </w:style>
  <w:style w:type="numbering" w:customStyle="1" w:styleId="NumbLstBTBullet">
    <w:name w:val="NumbLstBTBullet"/>
    <w:aliases w:val="Bullets,NumbLstBullet"/>
    <w:uiPriority w:val="99"/>
    <w:rsid w:val="00B24A1D"/>
    <w:pPr>
      <w:numPr>
        <w:numId w:val="32"/>
      </w:numPr>
    </w:pPr>
  </w:style>
  <w:style w:type="character" w:customStyle="1" w:styleId="BTBullet1Znak">
    <w:name w:val="BTBullet1 Znak"/>
    <w:uiPriority w:val="9"/>
    <w:locked/>
    <w:rsid w:val="00B24A1D"/>
    <w:rPr>
      <w:rFonts w:ascii="Arial" w:hAnsi="Arial" w:cs="Times New Roman"/>
      <w:szCs w:val="24"/>
    </w:rPr>
  </w:style>
  <w:style w:type="character" w:styleId="Strong">
    <w:name w:val="Strong"/>
    <w:uiPriority w:val="22"/>
    <w:qFormat/>
    <w:rsid w:val="00C167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14446290">
      <w:bodyDiv w:val="1"/>
      <w:marLeft w:val="0"/>
      <w:marRight w:val="0"/>
      <w:marTop w:val="0"/>
      <w:marBottom w:val="0"/>
      <w:divBdr>
        <w:top w:val="none" w:sz="0" w:space="0" w:color="auto"/>
        <w:left w:val="none" w:sz="0" w:space="0" w:color="auto"/>
        <w:bottom w:val="none" w:sz="0" w:space="0" w:color="auto"/>
        <w:right w:val="none" w:sz="0" w:space="0" w:color="auto"/>
      </w:divBdr>
      <w:divsChild>
        <w:div w:id="226649475">
          <w:marLeft w:val="547"/>
          <w:marRight w:val="0"/>
          <w:marTop w:val="115"/>
          <w:marBottom w:val="0"/>
          <w:divBdr>
            <w:top w:val="none" w:sz="0" w:space="0" w:color="auto"/>
            <w:left w:val="none" w:sz="0" w:space="0" w:color="auto"/>
            <w:bottom w:val="none" w:sz="0" w:space="0" w:color="auto"/>
            <w:right w:val="none" w:sz="0" w:space="0" w:color="auto"/>
          </w:divBdr>
        </w:div>
        <w:div w:id="666130792">
          <w:marLeft w:val="547"/>
          <w:marRight w:val="0"/>
          <w:marTop w:val="115"/>
          <w:marBottom w:val="0"/>
          <w:divBdr>
            <w:top w:val="none" w:sz="0" w:space="0" w:color="auto"/>
            <w:left w:val="none" w:sz="0" w:space="0" w:color="auto"/>
            <w:bottom w:val="none" w:sz="0" w:space="0" w:color="auto"/>
            <w:right w:val="none" w:sz="0" w:space="0" w:color="auto"/>
          </w:divBdr>
        </w:div>
        <w:div w:id="1163282441">
          <w:marLeft w:val="547"/>
          <w:marRight w:val="0"/>
          <w:marTop w:val="115"/>
          <w:marBottom w:val="0"/>
          <w:divBdr>
            <w:top w:val="none" w:sz="0" w:space="0" w:color="auto"/>
            <w:left w:val="none" w:sz="0" w:space="0" w:color="auto"/>
            <w:bottom w:val="none" w:sz="0" w:space="0" w:color="auto"/>
            <w:right w:val="none" w:sz="0" w:space="0" w:color="auto"/>
          </w:divBdr>
        </w:div>
        <w:div w:id="1165318108">
          <w:marLeft w:val="547"/>
          <w:marRight w:val="0"/>
          <w:marTop w:val="115"/>
          <w:marBottom w:val="0"/>
          <w:divBdr>
            <w:top w:val="none" w:sz="0" w:space="0" w:color="auto"/>
            <w:left w:val="none" w:sz="0" w:space="0" w:color="auto"/>
            <w:bottom w:val="none" w:sz="0" w:space="0" w:color="auto"/>
            <w:right w:val="none" w:sz="0" w:space="0" w:color="auto"/>
          </w:divBdr>
        </w:div>
        <w:div w:id="1237671210">
          <w:marLeft w:val="547"/>
          <w:marRight w:val="0"/>
          <w:marTop w:val="115"/>
          <w:marBottom w:val="0"/>
          <w:divBdr>
            <w:top w:val="none" w:sz="0" w:space="0" w:color="auto"/>
            <w:left w:val="none" w:sz="0" w:space="0" w:color="auto"/>
            <w:bottom w:val="none" w:sz="0" w:space="0" w:color="auto"/>
            <w:right w:val="none" w:sz="0" w:space="0" w:color="auto"/>
          </w:divBdr>
        </w:div>
      </w:divsChild>
    </w:div>
    <w:div w:id="167983220">
      <w:bodyDiv w:val="1"/>
      <w:marLeft w:val="0"/>
      <w:marRight w:val="0"/>
      <w:marTop w:val="0"/>
      <w:marBottom w:val="0"/>
      <w:divBdr>
        <w:top w:val="none" w:sz="0" w:space="0" w:color="auto"/>
        <w:left w:val="none" w:sz="0" w:space="0" w:color="auto"/>
        <w:bottom w:val="none" w:sz="0" w:space="0" w:color="auto"/>
        <w:right w:val="none" w:sz="0" w:space="0" w:color="auto"/>
      </w:divBdr>
    </w:div>
    <w:div w:id="197737964">
      <w:bodyDiv w:val="1"/>
      <w:marLeft w:val="0"/>
      <w:marRight w:val="0"/>
      <w:marTop w:val="0"/>
      <w:marBottom w:val="0"/>
      <w:divBdr>
        <w:top w:val="none" w:sz="0" w:space="0" w:color="auto"/>
        <w:left w:val="none" w:sz="0" w:space="0" w:color="auto"/>
        <w:bottom w:val="none" w:sz="0" w:space="0" w:color="auto"/>
        <w:right w:val="none" w:sz="0" w:space="0" w:color="auto"/>
      </w:divBdr>
    </w:div>
    <w:div w:id="443814845">
      <w:bodyDiv w:val="1"/>
      <w:marLeft w:val="0"/>
      <w:marRight w:val="0"/>
      <w:marTop w:val="0"/>
      <w:marBottom w:val="0"/>
      <w:divBdr>
        <w:top w:val="none" w:sz="0" w:space="0" w:color="auto"/>
        <w:left w:val="none" w:sz="0" w:space="0" w:color="auto"/>
        <w:bottom w:val="none" w:sz="0" w:space="0" w:color="auto"/>
        <w:right w:val="none" w:sz="0" w:space="0" w:color="auto"/>
      </w:divBdr>
    </w:div>
    <w:div w:id="856508327">
      <w:bodyDiv w:val="1"/>
      <w:marLeft w:val="0"/>
      <w:marRight w:val="0"/>
      <w:marTop w:val="0"/>
      <w:marBottom w:val="0"/>
      <w:divBdr>
        <w:top w:val="none" w:sz="0" w:space="0" w:color="auto"/>
        <w:left w:val="none" w:sz="0" w:space="0" w:color="auto"/>
        <w:bottom w:val="none" w:sz="0" w:space="0" w:color="auto"/>
        <w:right w:val="none" w:sz="0" w:space="0" w:color="auto"/>
      </w:divBdr>
    </w:div>
    <w:div w:id="1259874969">
      <w:bodyDiv w:val="1"/>
      <w:marLeft w:val="0"/>
      <w:marRight w:val="0"/>
      <w:marTop w:val="0"/>
      <w:marBottom w:val="0"/>
      <w:divBdr>
        <w:top w:val="none" w:sz="0" w:space="0" w:color="auto"/>
        <w:left w:val="none" w:sz="0" w:space="0" w:color="auto"/>
        <w:bottom w:val="none" w:sz="0" w:space="0" w:color="auto"/>
        <w:right w:val="none" w:sz="0" w:space="0" w:color="auto"/>
      </w:divBdr>
    </w:div>
    <w:div w:id="1371684675">
      <w:bodyDiv w:val="1"/>
      <w:marLeft w:val="0"/>
      <w:marRight w:val="0"/>
      <w:marTop w:val="0"/>
      <w:marBottom w:val="0"/>
      <w:divBdr>
        <w:top w:val="none" w:sz="0" w:space="0" w:color="auto"/>
        <w:left w:val="none" w:sz="0" w:space="0" w:color="auto"/>
        <w:bottom w:val="none" w:sz="0" w:space="0" w:color="auto"/>
        <w:right w:val="none" w:sz="0" w:space="0" w:color="auto"/>
      </w:divBdr>
    </w:div>
    <w:div w:id="1469124365">
      <w:bodyDiv w:val="1"/>
      <w:marLeft w:val="0"/>
      <w:marRight w:val="0"/>
      <w:marTop w:val="0"/>
      <w:marBottom w:val="0"/>
      <w:divBdr>
        <w:top w:val="none" w:sz="0" w:space="0" w:color="auto"/>
        <w:left w:val="none" w:sz="0" w:space="0" w:color="auto"/>
        <w:bottom w:val="none" w:sz="0" w:space="0" w:color="auto"/>
        <w:right w:val="none" w:sz="0" w:space="0" w:color="auto"/>
      </w:divBdr>
    </w:div>
    <w:div w:id="1493835834">
      <w:bodyDiv w:val="1"/>
      <w:marLeft w:val="0"/>
      <w:marRight w:val="0"/>
      <w:marTop w:val="0"/>
      <w:marBottom w:val="0"/>
      <w:divBdr>
        <w:top w:val="none" w:sz="0" w:space="0" w:color="auto"/>
        <w:left w:val="none" w:sz="0" w:space="0" w:color="auto"/>
        <w:bottom w:val="none" w:sz="0" w:space="0" w:color="auto"/>
        <w:right w:val="none" w:sz="0" w:space="0" w:color="auto"/>
      </w:divBdr>
    </w:div>
    <w:div w:id="1628974091">
      <w:bodyDiv w:val="1"/>
      <w:marLeft w:val="0"/>
      <w:marRight w:val="0"/>
      <w:marTop w:val="0"/>
      <w:marBottom w:val="0"/>
      <w:divBdr>
        <w:top w:val="none" w:sz="0" w:space="0" w:color="auto"/>
        <w:left w:val="none" w:sz="0" w:space="0" w:color="auto"/>
        <w:bottom w:val="none" w:sz="0" w:space="0" w:color="auto"/>
        <w:right w:val="none" w:sz="0" w:space="0" w:color="auto"/>
      </w:divBdr>
      <w:divsChild>
        <w:div w:id="1190946692">
          <w:marLeft w:val="547"/>
          <w:marRight w:val="0"/>
          <w:marTop w:val="115"/>
          <w:marBottom w:val="0"/>
          <w:divBdr>
            <w:top w:val="none" w:sz="0" w:space="0" w:color="auto"/>
            <w:left w:val="none" w:sz="0" w:space="0" w:color="auto"/>
            <w:bottom w:val="none" w:sz="0" w:space="0" w:color="auto"/>
            <w:right w:val="none" w:sz="0" w:space="0" w:color="auto"/>
          </w:divBdr>
        </w:div>
      </w:divsChild>
    </w:div>
    <w:div w:id="1668752217">
      <w:bodyDiv w:val="1"/>
      <w:marLeft w:val="0"/>
      <w:marRight w:val="0"/>
      <w:marTop w:val="0"/>
      <w:marBottom w:val="0"/>
      <w:divBdr>
        <w:top w:val="none" w:sz="0" w:space="0" w:color="auto"/>
        <w:left w:val="none" w:sz="0" w:space="0" w:color="auto"/>
        <w:bottom w:val="none" w:sz="0" w:space="0" w:color="auto"/>
        <w:right w:val="none" w:sz="0" w:space="0" w:color="auto"/>
      </w:divBdr>
    </w:div>
    <w:div w:id="1772971351">
      <w:bodyDiv w:val="1"/>
      <w:marLeft w:val="0"/>
      <w:marRight w:val="0"/>
      <w:marTop w:val="0"/>
      <w:marBottom w:val="0"/>
      <w:divBdr>
        <w:top w:val="none" w:sz="0" w:space="0" w:color="auto"/>
        <w:left w:val="none" w:sz="0" w:space="0" w:color="auto"/>
        <w:bottom w:val="none" w:sz="0" w:space="0" w:color="auto"/>
        <w:right w:val="none" w:sz="0" w:space="0" w:color="auto"/>
      </w:divBdr>
    </w:div>
    <w:div w:id="1783957984">
      <w:bodyDiv w:val="1"/>
      <w:marLeft w:val="0"/>
      <w:marRight w:val="0"/>
      <w:marTop w:val="0"/>
      <w:marBottom w:val="0"/>
      <w:divBdr>
        <w:top w:val="none" w:sz="0" w:space="0" w:color="auto"/>
        <w:left w:val="none" w:sz="0" w:space="0" w:color="auto"/>
        <w:bottom w:val="none" w:sz="0" w:space="0" w:color="auto"/>
        <w:right w:val="none" w:sz="0" w:space="0" w:color="auto"/>
      </w:divBdr>
    </w:div>
    <w:div w:id="1806965556">
      <w:bodyDiv w:val="1"/>
      <w:marLeft w:val="0"/>
      <w:marRight w:val="0"/>
      <w:marTop w:val="0"/>
      <w:marBottom w:val="0"/>
      <w:divBdr>
        <w:top w:val="none" w:sz="0" w:space="0" w:color="auto"/>
        <w:left w:val="none" w:sz="0" w:space="0" w:color="auto"/>
        <w:bottom w:val="none" w:sz="0" w:space="0" w:color="auto"/>
        <w:right w:val="none" w:sz="0" w:space="0" w:color="auto"/>
      </w:divBdr>
    </w:div>
    <w:div w:id="203673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policies/justice-and-fundamental-rights/criminal-justice/protecting-victims-rights/eu-centre-expertise-victims-terrorism_en" TargetMode="External"/><Relationship Id="rId3" Type="http://schemas.openxmlformats.org/officeDocument/2006/relationships/hyperlink" Target="https://www.eurojust.europa.eu/eurojust-memorandum-battlefield-evidence-0" TargetMode="External"/><Relationship Id="rId7" Type="http://schemas.openxmlformats.org/officeDocument/2006/relationships/hyperlink" Target="https://envr.eu/" TargetMode="External"/><Relationship Id="rId2" Type="http://schemas.openxmlformats.org/officeDocument/2006/relationships/hyperlink" Target="https://www.eurojust.europa.eu/eurojust-memorandum-battlefield-evidence-0" TargetMode="External"/><Relationship Id="rId1" Type="http://schemas.openxmlformats.org/officeDocument/2006/relationships/hyperlink" Target="https://www.eurojust.europa.eu/eurojust-memorandum-battlefield-evidence-0" TargetMode="External"/><Relationship Id="rId6" Type="http://schemas.openxmlformats.org/officeDocument/2006/relationships/hyperlink" Target="https://www.eurojust.europa.eu/cumulative-prosecution-foreign-terrorist-fighters-core-international-crimes-terrorism-related" TargetMode="External"/><Relationship Id="rId5" Type="http://schemas.openxmlformats.org/officeDocument/2006/relationships/hyperlink" Target="https://www.eurojust.europa.eu/cumulative-prosecution-foreign-terrorist-fighters-core-international-crimes-terrorism-related" TargetMode="External"/><Relationship Id="rId4" Type="http://schemas.openxmlformats.org/officeDocument/2006/relationships/hyperlink" Target="https://www.eurojust.europa.eu/cumulative-prosecution-foreign-terrorist-fighters-core-international-crimes-terrorism-related" TargetMode="External"/><Relationship Id="rId9" Type="http://schemas.openxmlformats.org/officeDocument/2006/relationships/hyperlink" Target="https://ec.europa.eu/info/policies/justice-and-fundamental-rights/criminal-justice/protecting-victims-rights/eu-centre-expertise-victims-terrorism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EurolookProperties>
  <ProductCustomizationId/>
  <Created>
    <Version>4.6</Version>
    <Date>2019-12-02T16:56:53</Date>
    <Language>EN</Language>
    <Note/>
  </Created>
  <Edited>
    <Version>10.0.42447.0</Version>
    <Date>2021-11-09T17:42:57</Date>
  </Edited>
  <DocumentModel>
    <Id>0b054141-88b1-4efb-8c91-2905cb0bed6c</Id>
    <Name>Note</Name>
  </DocumentModel>
  <DocumentDate/>
  <DocumentVersion/>
  <CompatibilityMode>Eurolook4X</CompatibilityMode>
</EurolookProperties>
</file>

<file path=customXml/item4.xml><?xml version="1.0" encoding="utf-8"?>
<Author Role="Creator">
  <Id>1f04a8ca-0313-4cbb-9e7a-923131b7c7a7</Id>
  <Names>
    <Latin>
      <FirstName>Tobias</FirstName>
      <LastName>Maassen</LastName>
    </Latin>
    <Greek>
      <FirstName/>
      <LastName/>
    </Greek>
    <Cyrillic>
      <FirstName/>
      <LastName/>
    </Cyrillic>
    <DocumentScript>
      <FirstName>Tobias</FirstName>
      <LastName>Maassen</LastName>
      <FullName>Tobias Maassen</FullName>
    </DocumentScript>
  </Names>
  <Initials>TM</Initials>
  <Gender>m</Gender>
  <Email>Tobias.MAASSEN@ec.europa.eu</Email>
  <Service>HOME.D.5</Service>
  <Function ADCode="" ShowInSignature="true" ShowInHeader="false" HeaderText=""/>
  <WebAddress/>
  <InheritedWebAddress>WebAddress</InheritedWebAddress>
  <OrgaEntity1>
    <Id>4f5cd6b8-7bd3-4018-a3f4-3fb44adfff9a</Id>
    <LogicalLevel>1</LogicalLevel>
    <Name>HOME</Name>
    <HeadLine1>DIRECTORATE-GENERAL FOR MIGRATION AND HOME AFFAIRS</HeadLine1>
    <HeadLine2/>
    <PrimaryAddressId>f03b5801-04c9-4931-aa17-c6d6c70bc579</PrimaryAddressId>
    <SecondaryAddressId/>
    <WebAddress>WebAddress</WebAddress>
    <InheritedWebAddress>WebAddress</InheritedWebAddress>
    <ShowInHeader>true</ShowInHeader>
  </OrgaEntity1>
  <OrgaEntity2>
    <Id>da7363ad-03b1-4a06-a0b4-ab3d44a2ae84</Id>
    <LogicalLevel>2</LogicalLevel>
    <Name>HOME.D</Name>
    <HeadLine1>Directorate D: Law Enforcement and Security</HeadLine1>
    <HeadLine2/>
    <PrimaryAddressId>f03b5801-04c9-4931-aa17-c6d6c70bc579</PrimaryAddressId>
    <SecondaryAddressId/>
    <WebAddress/>
    <InheritedWebAddress>WebAddress</InheritedWebAddress>
    <ShowInHeader>true</ShowInHeader>
  </OrgaEntity2>
  <OrgaEntity3>
    <Id>f8fbe6e4-0a6d-44ca-9458-de9f2a8f500d</Id>
    <LogicalLevel>3</LogicalLevel>
    <Name>HOME.D.5</Name>
    <HeadLine1>Unit D.5 : Organised crime and drugs policy</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+32 229-97812</Phone>
    <Office>LX46 04/134</Office>
  </MainWorkplace>
  <Workplaces>
    <Workplace IsMain="false">
      <AddressId>1264fb81-f6bb-475e-9f9d-a937d3be6ee2</AddressId>
      <Fax/>
      <Phone/>
      <Office/>
    </Workplace>
    <Workplace IsMain="true">
      <AddressId>f03b5801-04c9-4931-aa17-c6d6c70bc579</AddressId>
      <Fax/>
      <Phone>+32 229-97812</Phone>
      <Office>LX46 04/134</Office>
    </Workplace>
  </Workplaces>
</Author>
</file>

<file path=customXml/item5.xml><?xml version="1.0" encoding="utf-8"?>
<Texts>
  <SecurityPharma>Pharma Investigations</SecurityPharma>
  <MarkingUntilText>UNTIL</MarkingUntilText>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NoteCopy>c.c.:</NoteCopy>
  <FooterOffice>Office:</FooterOffice>
  <SecurityOlafInvestigations>OLAF Investigations</SecurityOlafInvestigations>
  <NoteReference>Ref.:</NoteReference>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Handling instructions for SENSITIVE information are given at </SensitiveHandling>
  <SensitiveFootnoteHyperlink>{field:HYPERLINK "https://europa.eu/!db43PX" |https://europa.eu/!db43PX}</SensitiveFootnoteHyperlink>
  <NoteFile>Note for the File</NoteFile>
  <SecurityOlafSpecialHandling>OLAF Investigations</SecurityOlafSpecialHandling>
  <NoteParticipants>Participants:</NoteParticipants>
  <ClimaSensitive>CLIMA</ClimaSensitive>
  <CourtProceduralDocuments>Court Procedural Documents</CourtProceduralDocuments>
  <NoteParticipant>Participant:</NoteParticipant>
  <EconomyFinanceHandling>{field:HYPERLINK "https://myintracomm.ec.europa.eu/corp/security/EN/newDS3/SensitiveInformation/Pages/SPECIAL-HANDLING-INFORMATION-DG-ECFIN.aspx?ln=en" |https://www.europa.eu/handling_instructions}</EconomyFinanceHandling>
  <OrgaRoot>EUROPEAN COMMISSION</OrgaRoot>
  <NoteCopies>c.c.:</NoteCopies>
  <NoteSubject>Subject:</NoteSubjec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NoteEnclosure>Enclosure:</NoteEnclosure>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NoteHead>Note for the attention of</NoteHead>
  <SecurityEtsCritical>ETS Critical</SecurityEtsCritical>
  <SecurityCompSpecial>COMP</SecurityCompSpecial>
  <EmbargoUnlimited>Embargo (Unlimited)</EmbargoUnlimited>
  <SecurityPharmaSpecial>Pharma Investigations</SecurityPharmaSpecial>
  <TOCHeading>Table of Contents</TOCHeading>
  <AddressFooterBrussels>Commission européenne/Europese Commissie, 1049 Bruxelles/Brussel, BELGIQUE/BELGIË - Tel. +32 22991111</AddressFooterBrussels>
  <ETSLimited>ETS Joint Procurement</ETSLimited>
  <SecurityIasOperations>IAS Operations</SecurityIasOperations>
  <FooterPhone>Tel. direct line</FooterPhone>
  <SecuritySecurityMatter>Security Matter</SecuritySecurityMatter>
  <NoteEnclosures>Enclosures:</NoteEnclosures>
  <SecurityMedicalSecret>Medical Secret</SecurityMedicalSecret>
  <Contacts>Contacts:</Contacts>
  <SecurityEmbargo>EMBARGO UNTIL</SecurityEmbargo>
  <DateFormatShort>dd/MM/yyyy</DateFormatShort>
  <DateFormatLong>d MMMM yyyy</DateFormatLong>
</Texts>
</file>

<file path=customXml/item6.xml><?xml version="1.0" encoding="utf-8"?>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2995F81D53A584A8E770EAAB1E4D1CB" ma:contentTypeVersion="0" ma:contentTypeDescription="Create a new document." ma:contentTypeScope="" ma:versionID="b823c682c30428ae3aa86af4dcfae5b6">
  <xsd:schema xmlns:xsd="http://www.w3.org/2001/XMLSchema" xmlns:xs="http://www.w3.org/2001/XMLSchema" xmlns:p="http://schemas.microsoft.com/office/2006/metadata/properties" targetNamespace="http://schemas.microsoft.com/office/2006/metadata/properties" ma:root="true" ma:fieldsID="fe81611f7c05a01094934b1a4cf76d8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D11DE-DCA7-4A6A-AE53-AE2A99921AB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B1F26BD-0790-4081-93E6-9F57D2221769}">
  <ds:schemaRefs>
    <ds:schemaRef ds:uri="http://schemas.microsoft.com/office/2006/metadata/longProperties"/>
  </ds:schemaRefs>
</ds:datastoreItem>
</file>

<file path=customXml/itemProps3.xml><?xml version="1.0" encoding="utf-8"?>
<ds:datastoreItem xmlns:ds="http://schemas.openxmlformats.org/officeDocument/2006/customXml" ds:itemID="{630EA91A-79AE-47B6-9206-AC8DD7BB2A3B}">
  <ds:schemaRefs/>
</ds:datastoreItem>
</file>

<file path=customXml/itemProps4.xml><?xml version="1.0" encoding="utf-8"?>
<ds:datastoreItem xmlns:ds="http://schemas.openxmlformats.org/officeDocument/2006/customXml" ds:itemID="{97BB8A74-53BE-4173-AC31-83FF293079EC}">
  <ds:schemaRefs/>
</ds:datastoreItem>
</file>

<file path=customXml/itemProps5.xml><?xml version="1.0" encoding="utf-8"?>
<ds:datastoreItem xmlns:ds="http://schemas.openxmlformats.org/officeDocument/2006/customXml" ds:itemID="{AFC260EF-0868-457D-989E-938F1374684B}">
  <ds:schemaRefs/>
</ds:datastoreItem>
</file>

<file path=customXml/itemProps6.xml><?xml version="1.0" encoding="utf-8"?>
<ds:datastoreItem xmlns:ds="http://schemas.openxmlformats.org/officeDocument/2006/customXml" ds:itemID="{47311A91-00E6-437B-9D83-DDFDD599C1E0}">
  <ds:schemaRefs>
    <ds:schemaRef ds:uri="http://schemas.microsoft.com/sharepoint/v3/contenttype/forms"/>
  </ds:schemaRefs>
</ds:datastoreItem>
</file>

<file path=customXml/itemProps7.xml><?xml version="1.0" encoding="utf-8"?>
<ds:datastoreItem xmlns:ds="http://schemas.openxmlformats.org/officeDocument/2006/customXml" ds:itemID="{4BCDCE78-5252-48D0-9715-16D93CB8F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8.xml><?xml version="1.0" encoding="utf-8"?>
<ds:datastoreItem xmlns:ds="http://schemas.openxmlformats.org/officeDocument/2006/customXml" ds:itemID="{4A46FDAB-A055-4417-97C7-013289FB8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4273</Words>
  <Characters>24742</Characters>
  <Application>Microsoft Office Word</Application>
  <DocSecurity>0</DocSecurity>
  <PresentationFormat>Microsoft Word 14.0</PresentationFormat>
  <Lines>380</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EL4</cp:keywords>
  <cp:lastModifiedBy/>
  <cp:revision>47</cp:revision>
  <cp:lastPrinted>2021-07-08T12:41:00Z</cp:lastPrinted>
  <dcterms:created xsi:type="dcterms:W3CDTF">2021-11-03T11:12:00Z</dcterms:created>
  <dcterms:modified xsi:type="dcterms:W3CDTF">2021-11-11T08:25:00Z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7.0.1, Build 20190916</vt:lpwstr>
  </property>
  <property fmtid="{D5CDD505-2E9C-101B-9397-08002B2CF9AE}" pid="3" name="Last edited using">
    <vt:lpwstr>LW 7.0.1, Build 20200226</vt:lpwstr>
  </property>
  <property fmtid="{D5CDD505-2E9C-101B-9397-08002B2CF9AE}" pid="4" name="Language">
    <vt:lpwstr>EN</vt:lpwstr>
  </property>
  <property fmtid="{D5CDD505-2E9C-101B-9397-08002B2CF9AE}" pid="5" name="IsMyDocuments">
    <vt:lpwstr>1</vt:lpwstr>
  </property>
  <property fmtid="{D5CDD505-2E9C-101B-9397-08002B2CF9AE}" pid="6" name="Level of sensitivity">
    <vt:lpwstr>Standard treatment</vt:lpwstr>
  </property>
  <property fmtid="{D5CDD505-2E9C-101B-9397-08002B2CF9AE}" pid="7" name="Part">
    <vt:lpwstr>1</vt:lpwstr>
  </property>
  <property fmtid="{D5CDD505-2E9C-101B-9397-08002B2CF9AE}" pid="8" name="Total parts">
    <vt:lpwstr>1</vt:lpwstr>
  </property>
  <property fmtid="{D5CDD505-2E9C-101B-9397-08002B2CF9AE}" pid="9" name="DocStatus">
    <vt:lpwstr>Green</vt:lpwstr>
  </property>
  <property fmtid="{D5CDD505-2E9C-101B-9397-08002B2CF9AE}" pid="10" name="CPTemplateID">
    <vt:lpwstr>CP-006</vt:lpwstr>
  </property>
  <property fmtid="{D5CDD505-2E9C-101B-9397-08002B2CF9AE}" pid="11" name="_LW_INVALIDATED__LW_INVALIDATED__LW_INVALIDATED__LW_INVALIDATED__LW_INVALIDATED__LW_INVALIDATED__LW_INVALIDATED_TemplateVersion">
    <vt:lpwstr>4.6.2.4290</vt:lpwstr>
  </property>
  <property fmtid="{D5CDD505-2E9C-101B-9397-08002B2CF9AE}" pid="12" name="_LW_INVALIDATED__LW_INVALIDATED__LW_INVALIDATED__LW_INVALIDATED__LW_INVALIDATED__LW_INVALIDATED__LW_INVALIDATED_EurolookVersion">
    <vt:lpwstr>4.6</vt:lpwstr>
  </property>
  <property fmtid="{D5CDD505-2E9C-101B-9397-08002B2CF9AE}" pid="13" name="_LW_INVALIDATED__LW_INVALIDATED__LW_INVALIDATED__LW_INVALIDATED__LW_INVALIDATED__LW_INVALIDATED__LW_INVALIDATED_DocID_EU">
    <vt:lpwstr> </vt:lpwstr>
  </property>
  <property fmtid="{D5CDD505-2E9C-101B-9397-08002B2CF9AE}" pid="14" name="_LW_INVALIDATED__LW_INVALIDATED__LW_INVALIDATED__LW_INVALIDATED__LW_INVALIDATED__LW_INVALIDATED__LW_INVALIDATED_ELDocType">
    <vt:lpwstr>not.dot</vt:lpwstr>
  </property>
  <property fmtid="{D5CDD505-2E9C-101B-9397-08002B2CF9AE}" pid="15" name="_LW_INVALIDATED__LW_INVALIDATED__LW_INVALIDATED__LW_INVALIDATED__LW_INVALIDATED__LW_INVALIDATED__LW_INVALIDATED_Formatting">
    <vt:lpwstr>4.1</vt:lpwstr>
  </property>
  <property fmtid="{D5CDD505-2E9C-101B-9397-08002B2CF9AE}" pid="16" name="_LW_INVALIDATED__LW_INVALIDATED__LW_INVALIDATED__LW_INVALIDATED__LW_INVALIDATED__LW_INVALIDATED__LW_INVALIDATED_EL_Author">
    <vt:lpwstr>Sebastiano TINE</vt:lpwstr>
  </property>
  <property fmtid="{D5CDD505-2E9C-101B-9397-08002B2CF9AE}" pid="17" name="_LW_INVALIDATED__LW_INVALIDATED__LW_INVALIDATED__LW_INVALIDATED__LW_INVALIDATED__LW_INVALIDATED__LW_INVALIDATED_Type">
    <vt:lpwstr>Eurolook Note &amp; Letter</vt:lpwstr>
  </property>
  <property fmtid="{D5CDD505-2E9C-101B-9397-08002B2CF9AE}" pid="18" name="_LW_INVALIDATED__LW_INVALIDATED__LW_INVALIDATED__LW_INVALIDATED__LW_INVALIDATED__LW_INVALIDATED__LW_INVALIDATED_EL_Language">
    <vt:lpwstr>EN</vt:lpwstr>
  </property>
  <property name="OP_sanitized" fmtid="{D5CDD505-2E9C-101B-9397-08002B2CF9AE}" pid="19">
    <vt:lpwstr>True</vt:lpwstr>
  </property>
</Properties>
</file>