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alt="F20C5F35-B243-4D19-BA0C-AC87E0BB3AB1" style="width:455.5pt;height:355.6pt">
            <v:imagedata r:id="rId12" o:title=""/>
          </v:shape>
        </w:pict>
      </w:r>
    </w:p>
    <w:p>
      <w:pPr>
        <w:rPr>
          <w:noProof/>
        </w:rPr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</w:p>
    <w:p>
      <w:pPr>
        <w:rPr>
          <w:noProof/>
        </w:rPr>
      </w:pPr>
    </w:p>
    <w:p>
      <w:pPr>
        <w:pStyle w:val="Statut"/>
        <w:rPr>
          <w:noProof/>
        </w:rPr>
      </w:pPr>
      <w:r>
        <w:rPr>
          <w:noProof/>
        </w:rPr>
        <w:t>Recomendação de</w:t>
      </w:r>
    </w:p>
    <w:p>
      <w:pPr>
        <w:pStyle w:val="Typedudocument"/>
        <w:rPr>
          <w:noProof/>
        </w:rPr>
      </w:pPr>
      <w:r>
        <w:rPr>
          <w:noProof/>
        </w:rPr>
        <w:t>RECOMENDAÇÃO DO CONSELHO</w:t>
      </w:r>
    </w:p>
    <w:p>
      <w:pPr>
        <w:pStyle w:val="Titreobjet"/>
        <w:rPr>
          <w:noProof/>
        </w:rPr>
      </w:pPr>
      <w:r>
        <w:rPr>
          <w:noProof/>
        </w:rPr>
        <w:t>que emite um parecer do Conselho sobre o Programa de Convergência de 2021 da Roménia</w:t>
      </w:r>
    </w:p>
    <w:p>
      <w:pPr>
        <w:pStyle w:val="Institutionquiagit"/>
        <w:rPr>
          <w:noProof/>
        </w:rPr>
      </w:pPr>
      <w:r>
        <w:rPr>
          <w:noProof/>
        </w:rPr>
        <w:t>O CONSELHO DA UNIÃO EUROPEIA,</w:t>
      </w:r>
    </w:p>
    <w:p>
      <w:pPr>
        <w:rPr>
          <w:noProof/>
          <w:szCs w:val="24"/>
        </w:rPr>
      </w:pPr>
      <w:r>
        <w:rPr>
          <w:noProof/>
        </w:rPr>
        <w:t>Tendo em conta o Tratado sobre o Funcionamento da União Europeia,</w:t>
      </w:r>
    </w:p>
    <w:p>
      <w:pPr>
        <w:rPr>
          <w:noProof/>
          <w:szCs w:val="24"/>
        </w:rPr>
      </w:pPr>
      <w:r>
        <w:rPr>
          <w:noProof/>
        </w:rPr>
        <w:t>Tendo em conta o Regulamento (CE) n.º 1466/97 do Conselho, de 7 de julho de 1997, relativo ao reforço da supervisão das situações orçamentais e à supervisão e coordenação das políticas económicas</w:t>
      </w:r>
      <w:r>
        <w:rPr>
          <w:rStyle w:val="FootnoteReference"/>
          <w:noProof/>
        </w:rPr>
        <w:footnoteReference w:id="2"/>
      </w:r>
      <w:r>
        <w:rPr>
          <w:noProof/>
        </w:rPr>
        <w:t>, nomeadamente o artigo 9.º, n.º 2,</w:t>
      </w:r>
    </w:p>
    <w:p>
      <w:pPr>
        <w:rPr>
          <w:noProof/>
          <w:szCs w:val="24"/>
        </w:rPr>
      </w:pPr>
      <w:r>
        <w:rPr>
          <w:noProof/>
        </w:rPr>
        <w:t>Tendo em conta a recomendação da Comissão Europeia,</w:t>
      </w:r>
    </w:p>
    <w:p>
      <w:pPr>
        <w:rPr>
          <w:noProof/>
          <w:szCs w:val="24"/>
        </w:rPr>
      </w:pPr>
      <w:r>
        <w:rPr>
          <w:noProof/>
        </w:rPr>
        <w:t>Tendo em conta as resoluções do Parlamento Europeu,</w:t>
      </w:r>
    </w:p>
    <w:p>
      <w:pPr>
        <w:rPr>
          <w:noProof/>
          <w:szCs w:val="24"/>
          <w:highlight w:val="yellow"/>
        </w:rPr>
      </w:pPr>
      <w:r>
        <w:rPr>
          <w:noProof/>
        </w:rPr>
        <w:t>Após consulta do Comité Económico e Financeiro,</w:t>
      </w:r>
    </w:p>
    <w:p>
      <w:pPr>
        <w:rPr>
          <w:noProof/>
          <w:szCs w:val="24"/>
        </w:rPr>
      </w:pPr>
      <w:r>
        <w:rPr>
          <w:noProof/>
        </w:rPr>
        <w:t>Considerando o seguinte: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Em 20 de março de 2020, a Comissão adotou uma comunicação sobre a ativação da cláusula de derrogação de âmbito geral</w:t>
      </w:r>
      <w:r>
        <w:rPr>
          <w:rStyle w:val="FootnoteReference"/>
          <w:noProof/>
        </w:rPr>
        <w:footnoteReference w:id="3"/>
      </w:r>
      <w:r>
        <w:rPr>
          <w:noProof/>
        </w:rPr>
        <w:t xml:space="preserve"> do Pacto de Estabilidade e Crescimento</w:t>
      </w:r>
      <w:r>
        <w:rPr>
          <w:rStyle w:val="FootnoteReference"/>
          <w:noProof/>
        </w:rPr>
        <w:footnoteReference w:id="4"/>
      </w:r>
      <w:r>
        <w:rPr>
          <w:noProof/>
        </w:rPr>
        <w:t>. Nela, a Comissão considerou que, tendo em conta a grave recessão económica prevista em resultado do surto de COVID-19, as condições para a ativação da cláusula de derrogação de âmbito geral se encontravam preenchidas. Em 23 de março de 2020, os ministros das finanças dos Estados-Membros manifestaram o seu acordo com esta apreciação da Comissão. A cláusula de derrogação de âmbito geral conferiu aos Estados-Membros flexibilidade orçamental para lidar com a crise, facilitando a coordenação das políticas orçamentais em períodos de grave recessão económica. A sua ativação autoriza um desvio temporário relativamente à trajetória de ajustamento em direção ao objetivo orçamental de médio prazo de cada Estado-Membro, desde que tal não ponha em risco a sustentabilidade orçamental no médio prazo. Em 17 de setembro de 2020, na sua estratégia anual para o crescimento sustentável, a Comissão anunciou que a cláusula de derrogação de âmbito geral continuaria a vigorar em 2021</w:t>
      </w:r>
      <w:r>
        <w:rPr>
          <w:rStyle w:val="FootnoteReference"/>
          <w:noProof/>
        </w:rPr>
        <w:footnoteReference w:id="5"/>
      </w:r>
      <w:r>
        <w:rPr>
          <w:noProof/>
        </w:rPr>
        <w:t xml:space="preserve">. </w:t>
      </w:r>
    </w:p>
    <w:p>
      <w:pPr>
        <w:pStyle w:val="ManualConsidrant"/>
        <w:rPr>
          <w:noProof/>
        </w:rPr>
      </w:pPr>
      <w:r>
        <w:lastRenderedPageBreak/>
        <w:t>(2)</w:t>
      </w:r>
      <w:r>
        <w:tab/>
      </w:r>
      <w:r>
        <w:rPr>
          <w:noProof/>
        </w:rPr>
        <w:t>Em 3 de abril de 2020, o Conselho adotou a Decisão (UE) 2020/509</w:t>
      </w:r>
      <w:r>
        <w:rPr>
          <w:rStyle w:val="FootnoteReference"/>
          <w:noProof/>
        </w:rPr>
        <w:footnoteReference w:id="6"/>
      </w:r>
      <w:r>
        <w:rPr>
          <w:noProof/>
        </w:rPr>
        <w:t>, constatando que existia uma situação de défice excessivo na Roménia devido ao incumprimento do critério do défice em 2019. Esta constatação baseou-se nos objetivos orçamentais atualizados apresentados pelo Governo romeno, tendo a subsequente publicação do défice das administrações públicas registado, de 4,3 % do PIB, confirmado esse incumprimento. A superação do valor de referência de 3 % do PIB previsto no Tratado resultou de uma persistente acumulação de desequilíbrios orçamentais devido à prossecução de uma política orçamental expansionista desde 2016, num período de forte crescimento económico. Em 3 de abril de 2020, o Conselho emitiu igualmente uma recomendação</w:t>
      </w:r>
      <w:r>
        <w:rPr>
          <w:rStyle w:val="FootnoteReference"/>
          <w:noProof/>
        </w:rPr>
        <w:footnoteReference w:id="7"/>
      </w:r>
      <w:r>
        <w:rPr>
          <w:noProof/>
        </w:rPr>
        <w:t xml:space="preserve"> com vista a pôr termo à situação de défice orçamental excessivo na Roménia até 2022, o mais tardar.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Em 20 de julho de 2020, o Conselho recomendou que a Roménia</w:t>
      </w:r>
      <w:r>
        <w:rPr>
          <w:rStyle w:val="FootnoteReference"/>
          <w:noProof/>
        </w:rPr>
        <w:footnoteReference w:id="8"/>
      </w:r>
      <w:r>
        <w:rPr>
          <w:noProof/>
          <w:vertAlign w:val="superscript"/>
        </w:rPr>
        <w:t xml:space="preserve"> </w:t>
      </w:r>
      <w:r>
        <w:rPr>
          <w:noProof/>
        </w:rPr>
        <w:t xml:space="preserve">prosseguisse políticas orçamentais em sintonia com a recomendação do Conselho de 3 de abril de 2020, adotando simultaneamente todas as medidas necessárias para combater eficazmente a pandemia, sustentar a economia e apoiar a recuperação subsequente. </w:t>
      </w:r>
    </w:p>
    <w:p>
      <w:pPr>
        <w:pStyle w:val="ManualConsidrant"/>
        <w:rPr>
          <w:noProof/>
          <w:szCs w:val="24"/>
        </w:rPr>
      </w:pPr>
      <w:r>
        <w:t>(4)</w:t>
      </w:r>
      <w:r>
        <w:tab/>
      </w:r>
      <w:r>
        <w:rPr>
          <w:noProof/>
        </w:rPr>
        <w:t>O instrumento Next Generation EU, incluindo o Mecanismo de Recuperação e Resiliência, assegurará uma recuperação sustentável, inclusiva e justa. O Regulamento (UE) 2021/241, que cria o Mecanismo de Recuperação e Resiliência</w:t>
      </w:r>
      <w:r>
        <w:rPr>
          <w:rStyle w:val="FootnoteReference"/>
          <w:noProof/>
          <w:szCs w:val="24"/>
        </w:rPr>
        <w:footnoteReference w:id="9"/>
      </w:r>
      <w:r>
        <w:rPr>
          <w:noProof/>
        </w:rPr>
        <w:t xml:space="preserve">, entrou em vigor em 19 de fevereiro de 2021. Este mecanismo prestará apoio financeiro à execução de reformas e investimentos, correspondendo a um estímulo orçamental financiado pela UE. Contribuirá para a recuperação económica, para a realização de reformas e investimentos sustentáveis e favoráveis ao crescimento, nomeadamente para promover as transições ecológica e digital, e reforçará a resiliência e o crescimento potencial das economias. Por sua vez, ajudará também as finanças públicas a regressar a situações mais favoráveis no curto prazo e contribuirá para reforçar a sustentabilidade das finanças públicas, o crescimento e a criação de emprego no médio e longo prazos. 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>Em 3 de março de 2021, a Comissão adotou uma comunicação na qual estabeleceu novas orientações estratégicas para facilitar a coordenação das políticas orçamentais e a elaboração dos Programas de Estabilidade e de Convergência dos Estados-Membros</w:t>
      </w:r>
      <w:r>
        <w:rPr>
          <w:rStyle w:val="FootnoteReference"/>
          <w:noProof/>
          <w:szCs w:val="24"/>
        </w:rPr>
        <w:footnoteReference w:id="10"/>
      </w:r>
      <w:r>
        <w:rPr>
          <w:noProof/>
        </w:rPr>
        <w:t>. A Comunicação anunciava também o parecer da Comissão no sentido de que a eventual decisão sobre a desativação ou a continuação da aplicação da cláusula de derrogação de âmbito geral deveria ser tomada no quadro de uma avaliação global da situação da economia, com o nível da atividade económica na UE ou na área do euro, quando comparado com os níveis anteriores à crise (final de 2019), a servir como critério quantitativo fundamental. Com base nas suas previsões da primavera de 2021, a Comissão considerou em 2 de junho que estavam reunidas as condições para continuar a aplicar a cláusula de derrogação de âmbito geral em 2022 e para a desativar a partir de 2023. As situações específicas de cada país continuarão a ser tidas em conta após a desativação da cláusula de derrogação de âmbito geral</w:t>
      </w:r>
      <w:r>
        <w:rPr>
          <w:rStyle w:val="FootnoteReference"/>
          <w:noProof/>
        </w:rPr>
        <w:footnoteReference w:id="11"/>
      </w:r>
      <w:r>
        <w:rPr>
          <w:noProof/>
        </w:rPr>
        <w:t>.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 xml:space="preserve">Em 5 de maio de 2021, a Roménia apresentou o seu Programa de Convergência de 2021, fora do prazo estabelecido no artigo 8.º do Regulamento (CE) n.º 1466/97. 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>Em 2020, com base nos dados validados pelo Eurostat, o défice das administrações públicas da Roménia foi de 9,2 % do PIB, enquanto a dívida das administrações públicas aumentou para 47,3 % do PIB. A variação anual do saldo orçamental primário cifrou-se em -3,6 % do PIB, incluindo as medidas orçamentais discricionárias equivalentes a 1,5 % do PIB em apoio da economia e o funcionamento dos estabilizadores automáticos. A Roménia disponibilizou igualmente apoios à liquidez das empresas e das famílias (nomeadamente por via de garantias e do diferimento de impostos, que não têm um impacto orçamental direto e imediato), estimados em 1,4 % do PIB.</w:t>
      </w:r>
    </w:p>
    <w:p>
      <w:pPr>
        <w:pStyle w:val="ManualConsidrant"/>
        <w:rPr>
          <w:noProof/>
          <w:szCs w:val="24"/>
        </w:rPr>
      </w:pPr>
      <w:r>
        <w:t>(8)</w:t>
      </w:r>
      <w:r>
        <w:tab/>
      </w:r>
      <w:r>
        <w:rPr>
          <w:noProof/>
        </w:rPr>
        <w:t xml:space="preserve">O cenário macroeconómico subjacente às projeções orçamentais é realista para 2021 e 2022. De acordo com o Programa de Convergência, o PIB real deverá crescer 5,0 % em 2021 e 4,8 % em 2022. Em ambos os anos, prevê-se que o crescimento seja principalmente impulsionado pela procura interna, com um forte crescimento do consumo e do investimento. Nas suas previsões da primavera de 2021, a Comissão projeta que o crescimento da Roménia excederá o previsto no Programa de Convergência, atingindo 5,1 % em 2021 e 4,9 % em 2022, igualmente impulsionado pela procura interna. </w:t>
      </w:r>
    </w:p>
    <w:p>
      <w:pPr>
        <w:pStyle w:val="ManualConsidrant"/>
        <w:rPr>
          <w:noProof/>
          <w:szCs w:val="24"/>
        </w:rPr>
      </w:pPr>
      <w:r>
        <w:t>(9)</w:t>
      </w:r>
      <w:r>
        <w:tab/>
      </w:r>
      <w:r>
        <w:rPr>
          <w:noProof/>
        </w:rPr>
        <w:t xml:space="preserve">No seu Programa de Convergência de 2021, o Governo romeno prevê uma redução do défice das administrações públicas, que passará de 9,2 % do PIB em 2020 para 8 % do PIB em 2021, enquanto o rácio da dívida deverá aumentar para 50,8 % do PIB em 2021. De acordo com o programa, a variação do saldo orçamental primário em 2021, face ao nível registado antes da crise (2019), deverá cifrar-se em 3,3 % do PIB, o que reflete as medidas orçamentais discricionárias equivalentes a 1,5 % do PIB em apoio da economia e o funcionamento dos estabilizadores automáticos. Estas projeções estão em consonância com as previsões da Comissão da primavera de 2021.  </w:t>
      </w:r>
    </w:p>
    <w:p>
      <w:pPr>
        <w:pStyle w:val="ManualConsidrant"/>
        <w:rPr>
          <w:noProof/>
        </w:rPr>
      </w:pPr>
      <w:r>
        <w:t>(10)</w:t>
      </w:r>
      <w:r>
        <w:tab/>
      </w:r>
      <w:r>
        <w:rPr>
          <w:noProof/>
        </w:rPr>
        <w:t>Em resposta à pandemia de COVID-19 e à recessão económica a ela associada, a Roménia adotou medidas orçamentais para reforçar a capacidade do seu sistema de saúde, conter a pandemia e aliviar a pressão que recaiu sobre as pessoas e os setores que foram particularmente afetados. Esta vigorosa resposta estratégica amorteceu os efeitos da contração do PIB, o que limitou por sua vez o aumento da dívida e do défice públicos. As medidas adotadas pela Roménia em 2020 e 2021 foram conformes com a recomendação do Conselho de 20 de julho de 2020. As medidas discricionárias adotadas pelo Governo romeno em 2020 e 2021 são temporárias ou foram acompanhadas de medidas compensatórias equivalentes. Ao mesmo tempo, verificou-se um impacto orçamental contínuo das medidas expansionistas adotadas antes da pandemia. Estas medidas incluíram, entre outras, aumentos das pensões e de outras despesas sociais, bem como desagravamentos fiscais.</w:t>
      </w:r>
    </w:p>
    <w:p>
      <w:pPr>
        <w:pStyle w:val="ManualConsidrant"/>
        <w:rPr>
          <w:noProof/>
        </w:rPr>
      </w:pPr>
      <w:r>
        <w:t>(11)</w:t>
      </w:r>
      <w:r>
        <w:tab/>
      </w:r>
      <w:r>
        <w:rPr>
          <w:noProof/>
        </w:rPr>
        <w:t xml:space="preserve">O Programa de Convergência de 2021 pressupõe a execução de investimentos e reformas financiados por subvenções no quadro do Mecanismo de Recuperação e Resiliência equivalentes a 0,1 % do PIB em 2021, a 0,6 % do PIB em 2022, a 1,2 % do PIB em 2023, a 1,2 % do PIB em 2024, a 0,9 % do PIB em 2025 e a 0,9 % do PIB em 2026. O programa pressupõe também que os empréstimos a conceder no quadro do Mecanismo de Recuperação e Resiliência ascendam a 2,3 % do PIB em 2025 e a 2,5 % do PIB em 2026. As previsões da Comissão da primavera só incluem as subvenções nas suas projeções orçamentais, uma vez que o Programa de Convergência pressupõe que os empréstimos só começarão a ser concedidos findo o período abrangido por essas previsões da primavera de 2021. </w:t>
      </w:r>
    </w:p>
    <w:p>
      <w:pPr>
        <w:pStyle w:val="ManualConsidrant"/>
        <w:rPr>
          <w:noProof/>
        </w:rPr>
      </w:pPr>
      <w:r>
        <w:t>(12)</w:t>
      </w:r>
      <w:r>
        <w:tab/>
      </w:r>
      <w:r>
        <w:rPr>
          <w:noProof/>
        </w:rPr>
        <w:t xml:space="preserve">A fim de avaliar a orientação global da política orçamental na atual conjuntura, as transferências significativas a partir do orçamento da UE (nomeadamente através do Mecanismo de Recuperação e Resiliência) devem ser incluídas no valor agregado das despesas em causa. </w:t>
      </w:r>
    </w:p>
    <w:p>
      <w:pPr>
        <w:pStyle w:val="Text1"/>
        <w:ind w:left="720"/>
        <w:rPr>
          <w:noProof/>
        </w:rPr>
      </w:pPr>
      <w:r>
        <w:rPr>
          <w:noProof/>
        </w:rPr>
        <w:t xml:space="preserve">Por conseguinte, a orientação da política orçamental é então aferida pela variação das despesas primárias (líquidas de medidas discricionárias em matéria de receitas e excluindo as medidas de emergência temporárias relacionadas com a crise), incluindo as despesas financiadas por subvenções no âmbito do Mecanismo de Recuperação e Resiliência e por outros fundos da UE. </w:t>
      </w:r>
    </w:p>
    <w:p>
      <w:pPr>
        <w:pStyle w:val="Text1"/>
        <w:ind w:left="720"/>
        <w:rPr>
          <w:noProof/>
        </w:rPr>
      </w:pPr>
      <w:r>
        <w:rPr>
          <w:noProof/>
        </w:rPr>
        <w:t>Transcendendo a orientação global da política orçamental, a análise visa igualmente avaliar se a política orçamental nacional é prudente e se a sua composição é conducente a uma recuperação sustentável e coerente com as transições ecológica e digital. Por esse motivo, é prestada especial atenção à evolução das despesas correntes primárias e dos investimentos financiados a nível nacional.</w:t>
      </w:r>
    </w:p>
    <w:p>
      <w:pPr>
        <w:pStyle w:val="ManualConsidrant"/>
        <w:rPr>
          <w:noProof/>
        </w:rPr>
      </w:pPr>
      <w:r>
        <w:t>(13)</w:t>
      </w:r>
      <w:r>
        <w:tab/>
      </w:r>
      <w:r>
        <w:rPr>
          <w:noProof/>
        </w:rPr>
        <w:t xml:space="preserve">As previsões incluídas no Programa de Convergência de 2021 da Roménia apontam para que o défice das administrações públicas diminua para 6,2 % do PIB em 2022, devido principalmente à descontinuação das medidas de apoio temporário adotadas em 2020 e 2021. O rácio da dívida das administrações públicas deverá aumentar para 52,9 % do PIB em 2022. Estas projeções são mais favoráveis do que as previsões da Comissão da primavera de 2021. </w:t>
      </w:r>
    </w:p>
    <w:p>
      <w:pPr>
        <w:pStyle w:val="Text1"/>
        <w:ind w:left="720"/>
        <w:rPr>
          <w:noProof/>
        </w:rPr>
      </w:pPr>
      <w:r>
        <w:rPr>
          <w:noProof/>
        </w:rPr>
        <w:t>De acordo com estas últimas, a orientação global da política orçamental, tal como definida acima – incluindo também o impacto na procura agregada em 2022 do investimento financiado tanto pelos orçamentos nacionais como pelo orçamento da UE, nomeadamente através do Mecanismo de Recuperação e Resiliência – é estimada em -0,5 % do PIB</w:t>
      </w:r>
      <w:r>
        <w:rPr>
          <w:rStyle w:val="FootnoteReference"/>
          <w:noProof/>
        </w:rPr>
        <w:footnoteReference w:id="12"/>
      </w:r>
      <w:r>
        <w:rPr>
          <w:noProof/>
        </w:rPr>
        <w:t>. A contribuição positiva das despesas financiadas por subvenções do Mecanismo de Recuperação e Resiliência e outros fundos da UE deverá, de acordo com as projeções, aumentar 0,4 pontos percentuais do PIB. A contribuição do investimento financiado a nível nacional</w:t>
      </w:r>
      <w:r>
        <w:rPr>
          <w:noProof/>
          <w:color w:val="FF0000"/>
        </w:rPr>
        <w:t xml:space="preserve"> </w:t>
      </w:r>
      <w:r>
        <w:rPr>
          <w:noProof/>
        </w:rPr>
        <w:t>deverá ter um efeito expansionista equivalente a 0,1 ponto percentual do PIB</w:t>
      </w:r>
      <w:r>
        <w:rPr>
          <w:rStyle w:val="FootnoteReference"/>
          <w:noProof/>
          <w:lang w:eastAsia="en-GB"/>
        </w:rPr>
        <w:footnoteReference w:id="13"/>
      </w:r>
      <w:r>
        <w:rPr>
          <w:noProof/>
        </w:rPr>
        <w:t xml:space="preserve">. A contribuição das despesas correntes primárias (líquidas de medidas discricionárias em matéria de receitas) financiadas a nível nacional deverá ser neutra. </w:t>
      </w:r>
    </w:p>
    <w:p>
      <w:pPr>
        <w:pStyle w:val="ManualConsidrant"/>
        <w:rPr>
          <w:noProof/>
        </w:rPr>
      </w:pPr>
      <w:r>
        <w:t>(14)</w:t>
      </w:r>
      <w:r>
        <w:tab/>
      </w:r>
      <w:r>
        <w:rPr>
          <w:noProof/>
        </w:rPr>
        <w:t>De acordo com os planos orçamentais de médio prazo incluídos no programa, o défice das administrações públicas deverá diminuir, passando de 4,4 % em 2023 para 2,9 % do PIB em 2024. O défice das administrações públicas deverá assim deixar de exceder 3 % do PIB em 2024.</w:t>
      </w:r>
    </w:p>
    <w:p>
      <w:pPr>
        <w:pStyle w:val="Text1"/>
        <w:ind w:left="720"/>
        <w:rPr>
          <w:noProof/>
        </w:rPr>
      </w:pPr>
      <w:r>
        <w:rPr>
          <w:noProof/>
        </w:rPr>
        <w:t>De acordo com o programa, a orientação global da política orçamental – incluindo também o impacto na procura agregada do investimento financiado tanto pelos orçamentos nacionais como pelo orçamento da UE, nomeadamente através do Mecanismo de Recuperação e Resiliência – é estimada em 0,6 % do PIB em 2023 e 2024, em termos médios. A contribuição positiva das despesas financiadas por subvenções do Mecanismo de Recuperação e Resiliência e outros fundos da UE deverá, de acordo com as projeções, aumentar 0,2 pontos percentuais do PIB. A contribuição do investimento financiado a nível nacional</w:t>
      </w:r>
      <w:r>
        <w:rPr>
          <w:noProof/>
          <w:color w:val="FF0000"/>
        </w:rPr>
        <w:t xml:space="preserve"> </w:t>
      </w:r>
      <w:r>
        <w:rPr>
          <w:noProof/>
        </w:rPr>
        <w:t>deverá ter um efeito contracionista equivalente a 0,1 ponto percentual do PIB</w:t>
      </w:r>
      <w:r>
        <w:rPr>
          <w:rStyle w:val="FootnoteReference"/>
          <w:rFonts w:eastAsia="Times New Roman"/>
          <w:noProof/>
          <w:szCs w:val="24"/>
          <w:lang w:eastAsia="en-GB"/>
        </w:rPr>
        <w:footnoteReference w:id="14"/>
      </w:r>
      <w:r>
        <w:rPr>
          <w:noProof/>
        </w:rPr>
        <w:t>. A contribuição das despesas correntes primárias (líquidas de medidas discricionárias em matéria de receitas) financiadas a nível nacional deverá ter um efeito contracionista equivalente a 0,8 pontos percentuais do PIB.</w:t>
      </w:r>
    </w:p>
    <w:p>
      <w:pPr>
        <w:pStyle w:val="Text1"/>
        <w:ind w:left="720"/>
        <w:rPr>
          <w:noProof/>
        </w:rPr>
      </w:pPr>
      <w:r>
        <w:rPr>
          <w:noProof/>
        </w:rPr>
        <w:t>A atual estimativa da média de 10 anos do crescimento potencial nominal corresponde a 5¾ %</w:t>
      </w:r>
      <w:r>
        <w:rPr>
          <w:rStyle w:val="FootnoteReference"/>
          <w:noProof/>
        </w:rPr>
        <w:footnoteReference w:id="15"/>
      </w:r>
      <w:r>
        <w:rPr>
          <w:noProof/>
        </w:rPr>
        <w:t>. Esta estimativa não inclui, contudo, o impacto das reformas integradas no plano de recuperação e resiliência e que poderão impulsionar o crescimento económico potencial da Roménia.</w:t>
      </w:r>
    </w:p>
    <w:p>
      <w:pPr>
        <w:pStyle w:val="ManualConsidrant"/>
        <w:rPr>
          <w:noProof/>
        </w:rPr>
      </w:pPr>
      <w:r>
        <w:t>(15)</w:t>
      </w:r>
      <w:r>
        <w:tab/>
      </w:r>
      <w:r>
        <w:rPr>
          <w:noProof/>
        </w:rPr>
        <w:t>O rácio da dívida das administrações públicas deverá aumentar de 53,3 % do PIB em 2023 para 52,4 % do PIB em 2024. À luz da trajetória de aumento da dívida, que deverá ser particularmente rápido no médio prazo, devido principalmente ao elevado défice previsto em 2022, bem como a condições de financiamento desfavoráveis em comparação com outros países da UE, considera-se que a Roménia enfrenta riscos elevados em matéria de sustentabilidade orçamental no médio prazo, de acordo com a mais recente análise da sustentabilidade da dívida</w:t>
      </w:r>
      <w:r>
        <w:rPr>
          <w:rStyle w:val="FootnoteReference"/>
          <w:noProof/>
          <w:lang w:eastAsia="en-GB"/>
        </w:rPr>
        <w:footnoteReference w:id="16"/>
      </w:r>
      <w:r>
        <w:rPr>
          <w:noProof/>
        </w:rPr>
        <w:t>.</w:t>
      </w:r>
    </w:p>
    <w:p>
      <w:pPr>
        <w:pStyle w:val="ManualConsidrant"/>
        <w:rPr>
          <w:noProof/>
          <w:szCs w:val="24"/>
        </w:rPr>
      </w:pPr>
      <w:r>
        <w:t>(16)</w:t>
      </w:r>
      <w:r>
        <w:tab/>
      </w:r>
      <w:r>
        <w:rPr>
          <w:noProof/>
        </w:rPr>
        <w:t>Em 2 de junho de 2021, a Comissão recomendou uma Recomendação do Conselho com vista a pôr termo à situação de défice excessivo na Roménia até 2024. De acordo com essa recomendação, a Roménia deverá atingir um défice nominal das administrações públicas equivalente a 8,0 % do PIB em 2021, a 6,2 % do PIB em 2022, a 4,4 % do PIB em 2023 e a 2,9 % do PIB em 2024, o que permitirá uma taxa de crescimento nominal da despesa pública primária líquida de 3,4 % em 2021, de 1,3 % em 2022, de 0,9 % em 2023 e de 0,0 % em 2024. Daí decorre um ajustamento estrutural anual de 0,7 % do PIB em 2021, 1,8 % do PIB em 2022, 1,7 % do PIB em 2023 e 1,5 % do PIB em 2024.</w:t>
      </w:r>
    </w:p>
    <w:p>
      <w:pPr>
        <w:pStyle w:val="Text1"/>
        <w:ind w:left="720"/>
        <w:rPr>
          <w:noProof/>
          <w:szCs w:val="24"/>
        </w:rPr>
      </w:pPr>
      <w:r>
        <w:rPr>
          <w:noProof/>
        </w:rPr>
        <w:t xml:space="preserve">O Conselho avaliou o Programa de Convergência de 2021 e o seguimento dado pela Roménia à Recomendação do Conselho de 20 de julho de 2020, </w:t>
      </w:r>
    </w:p>
    <w:p>
      <w:pPr>
        <w:pStyle w:val="Formuledadoption"/>
        <w:rPr>
          <w:noProof/>
          <w:szCs w:val="24"/>
        </w:rPr>
      </w:pPr>
      <w:r>
        <w:rPr>
          <w:noProof/>
          <w:szCs w:val="24"/>
          <w:shd w:val="clear" w:color="auto" w:fill="FFFFFF"/>
        </w:rPr>
        <w:t>RECOMENDA QUE A ROMÉNIA DEVE:</w:t>
      </w:r>
      <w:r>
        <w:rPr>
          <w:noProof/>
        </w:rPr>
        <w:t xml:space="preserve"> </w:t>
      </w:r>
    </w:p>
    <w:p>
      <w:pPr>
        <w:pStyle w:val="ManualNumPar1"/>
        <w:keepNext/>
        <w:keepLines/>
        <w:rPr>
          <w:noProof/>
        </w:rPr>
      </w:pPr>
      <w:r>
        <w:t>1.</w:t>
      </w:r>
      <w:r>
        <w:tab/>
      </w:r>
      <w:r>
        <w:rPr>
          <w:noProof/>
        </w:rPr>
        <w:t>Prosseguir políticas orçamentais em sintonia com a recomendação do Conselho nos termos do artigo 126.º, n.º 7, do Tratado, de [XX de junho de 2021].</w:t>
      </w:r>
    </w:p>
    <w:p>
      <w:pPr>
        <w:pStyle w:val="Fait"/>
        <w:rPr>
          <w:noProof/>
        </w:rPr>
      </w:pPr>
      <w:r>
        <w:t>Feito em Bruxelas, em</w:t>
      </w:r>
    </w:p>
    <w:p>
      <w:pPr>
        <w:pStyle w:val="Institutionquisigne"/>
        <w:rPr>
          <w:noProof/>
        </w:rPr>
      </w:pPr>
      <w:r>
        <w:rPr>
          <w:noProof/>
        </w:rPr>
        <w:tab/>
        <w:t>Pelo Conselho</w:t>
      </w:r>
    </w:p>
    <w:p>
      <w:pPr>
        <w:pStyle w:val="Personnequisigne"/>
        <w:rPr>
          <w:noProof/>
        </w:rPr>
      </w:pPr>
      <w:r>
        <w:rPr>
          <w:noProof/>
        </w:rPr>
        <w:tab/>
        <w:t>O Presidente</w:t>
      </w:r>
    </w:p>
    <w:sectPr>
      <w:footerReference w:type="default" r:id="rId19"/>
      <w:footerReference w:type="first" r:id="rId20"/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  <w:endnote w:type="continuationNotice" w:id="1">
    <w:p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PT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6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PT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type="continuationNotice" w:id="1">
    <w:p>
      <w:pPr>
        <w:spacing w:before="0" w:after="0"/>
      </w:pPr>
    </w:p>
  </w:footnote>
  <w:footnote w:id="2">
    <w:p>
      <w:pPr>
        <w:pStyle w:val="Footnote"/>
      </w:pPr>
      <w:r>
        <w:rPr>
          <w:rStyle w:val="FootnoteReference"/>
        </w:rPr>
        <w:footnoteRef/>
      </w:r>
      <w:r>
        <w:tab/>
        <w:t>JO L 209 de 2.8.1997, p. 1.</w:t>
      </w:r>
    </w:p>
  </w:footnote>
  <w:footnote w:id="3">
    <w:p>
      <w:pPr>
        <w:pStyle w:val="Footnote"/>
      </w:pPr>
      <w:r>
        <w:rPr>
          <w:rStyle w:val="FootnoteReference"/>
        </w:rPr>
        <w:footnoteRef/>
      </w:r>
      <w:r>
        <w:tab/>
        <w:t>A cláusula, como enunciada no artigo 5.º, n.º 1, no artigo 6.º, n.º 3, no artigo 9.º, n.º 1, e no artigo 10.º, n.º 3, do Regulamento (CE) n.º 1466/97 e no artigo 3.º, n.º 5, e no artigo 5.º, n.º 2, do Regulamento (CE) n.º 1467/97, facilita a coordenação das políticas orçamentais em períodos de recessão económica grave.</w:t>
      </w:r>
    </w:p>
  </w:footnote>
  <w:footnote w:id="4">
    <w:p>
      <w:pPr>
        <w:pStyle w:val="Footnote"/>
      </w:pPr>
      <w:r>
        <w:rPr>
          <w:rStyle w:val="FootnoteReference"/>
        </w:rPr>
        <w:footnoteRef/>
      </w:r>
      <w:r>
        <w:tab/>
        <w:t>Comunicação da Comissão ao Conselho sobre a ativação da cláusula de derrogação de âmbito geral do Pacto de Estabilidade e Crescimento, COM(2020) 123 final de 20.3.2020.</w:t>
      </w:r>
    </w:p>
  </w:footnote>
  <w:footnote w:id="5">
    <w:p>
      <w:pPr>
        <w:pStyle w:val="Footnote"/>
        <w:rPr>
          <w:rStyle w:val="FootnoteReference"/>
        </w:rPr>
      </w:pPr>
      <w:r>
        <w:rPr>
          <w:rStyle w:val="FootnoteReference"/>
        </w:rPr>
        <w:footnoteRef/>
      </w:r>
      <w:r>
        <w:tab/>
        <w:t>Comunicação da Comissão — Estratégia Anual para o Crescimento Sustentável 2021, COM(2020) 575 final de 17.9.2020.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ab/>
        <w:t>Decisão (UE) 2020/509 do Conselho, de 3 de abril de 2020, sobre a existência de um défice excessivo na Roménia, JO L 110 de 8.4.2020, p. 58.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ab/>
        <w:t>Recomendação do Conselho, de 3 de abril de 2020, com vista a pôr termo à situação de défice orçamental excessivo na Roménia, JO C 116 de 8.4.2020, p. 1.</w:t>
      </w:r>
    </w:p>
  </w:footnote>
  <w:footnote w:id="8">
    <w:p>
      <w:pPr>
        <w:pStyle w:val="Footnote"/>
      </w:pPr>
      <w:r>
        <w:rPr>
          <w:rStyle w:val="FootnoteReference"/>
        </w:rPr>
        <w:footnoteRef/>
      </w:r>
      <w:r>
        <w:tab/>
        <w:t>Recomendação do Conselho, de 20 de julho de 2020, relativa ao Programa Nacional de Reformas da Roménia para 2020 e que emite um parecer do Conselho sobre o Programa de Convergência da Roménia para 2020, JO C 282 de 26.8.2020, p. 149.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ab/>
      </w:r>
      <w:hyperlink r:id="rId1" w:history="1">
        <w:r>
          <w:rPr>
            <w:rStyle w:val="Hyperlink"/>
          </w:rPr>
          <w:t>JO</w:t>
        </w:r>
      </w:hyperlink>
      <w:r>
        <w:rPr>
          <w:rStyle w:val="Hyperlink"/>
        </w:rPr>
        <w:t xml:space="preserve"> L 57 de 18.2.2021, p. 17.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ab/>
        <w:t>Comunicação da Comissão ao Conselho — Um ano após o início do surto de COVID-19: resposta em termos de política orçamental, COM(2021) 105 final de 3.3.2021.</w:t>
      </w:r>
    </w:p>
  </w:footnote>
  <w:footnote w:id="11">
    <w:p>
      <w:pPr>
        <w:pStyle w:val="Footnote"/>
      </w:pPr>
      <w:r>
        <w:rPr>
          <w:rStyle w:val="FootnoteReference"/>
        </w:rPr>
        <w:footnoteRef/>
      </w:r>
      <w:r>
        <w:tab/>
        <w:t>Comunicação da Comissão – Coordenação das políticas económicas em 2021: superar a COVID-19, apoiar a recuperação e modernizar a nossa economia, COM(2021) 500 final de 2.6.2021.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ab/>
        <w:t>Um sinal negativo do indicador significa que o crescimento das despesas primárias é superior ao crescimento económico de médio prazo, o que revela uma política orçamental expansionista.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ab/>
        <w:t>A contribuição das outras despesas de capital financiadas a nível nacional deverá, de acordo com as projeções, ser neutra.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ab/>
        <w:t>A contribuição das outras despesas de capital financiadas a nível nacional deverá, de acordo com as projeções, ser neutra.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ab/>
        <w:t xml:space="preserve">Estimado pela Comissão, de acordo com a metodologia acordada em comum. 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ab/>
        <w:t>Ver o documento de trabalho dos serviços da Comissão – Anexo estatístico que apresenta os dados de referência relevantes para a avaliação dos Programas de Estabilidade e de Convergência de 2021.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F854404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6D681A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AFBC419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064047B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8C0B6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6F9649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6BAE72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793C5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2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2"/>
  </w:num>
  <w:num w:numId="13">
    <w:abstractNumId w:val="21"/>
  </w:num>
  <w:num w:numId="14">
    <w:abstractNumId w:val="11"/>
  </w:num>
  <w:num w:numId="15">
    <w:abstractNumId w:val="13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19"/>
  </w:num>
  <w:num w:numId="26">
    <w:abstractNumId w:val="12"/>
  </w:num>
  <w:num w:numId="27">
    <w:abstractNumId w:val="21"/>
  </w:num>
  <w:num w:numId="28">
    <w:abstractNumId w:val="11"/>
  </w:num>
  <w:num w:numId="29">
    <w:abstractNumId w:val="13"/>
  </w:num>
  <w:num w:numId="30">
    <w:abstractNumId w:val="14"/>
  </w:num>
  <w:num w:numId="31">
    <w:abstractNumId w:val="9"/>
  </w:num>
  <w:num w:numId="32">
    <w:abstractNumId w:val="20"/>
  </w:num>
  <w:num w:numId="33">
    <w:abstractNumId w:val="8"/>
  </w:num>
  <w:num w:numId="34">
    <w:abstractNumId w:val="15"/>
  </w:num>
  <w:num w:numId="35">
    <w:abstractNumId w:val="17"/>
  </w:num>
  <w:num w:numId="36">
    <w:abstractNumId w:val="18"/>
  </w:num>
  <w:num w:numId="37">
    <w:abstractNumId w:val="10"/>
  </w:num>
  <w:num w:numId="38">
    <w:abstractNumId w:val="16"/>
  </w:num>
  <w:num w:numId="39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attachedTemplate r:id="rId1"/>
  <w:defaultTabStop w:val="720"/>
  <w:hyphenationZone w:val="425"/>
  <w:characterSpacingControl w:val="doNotCompress"/>
  <w:hdrShapeDefaults>
    <o:shapedefaults v:ext="edit" spidmax="45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1-06-07 14:50:38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6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"/>
    <w:docVar w:name="DQCResult_UnknownFonts" w:val="0;0"/>
    <w:docVar w:name="DQCResult_UnknownStyles" w:val="0;6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F20C5F35-B243-4D19-BA0C-AC87E0BB3AB1"/>
    <w:docVar w:name="LW_COVERPAGE_TYPE" w:val="1"/>
    <w:docVar w:name="LW_CROSSREFERENCE" w:val="{SWD(2021) 501 final}"/>
    <w:docVar w:name="LW_DocType" w:val="COM"/>
    <w:docVar w:name="LW_EMISSION" w:val="2.6.2021"/>
    <w:docVar w:name="LW_EMISSION_ISODATE" w:val="2021-06-02"/>
    <w:docVar w:name="LW_EMISSION_LOCATION" w:val="BRX"/>
    <w:docVar w:name="LW_EMISSION_PREFIX" w:val="Bruxelas, "/>
    <w:docVar w:name="LW_EMISSION_SUFFIX" w:val=" "/>
    <w:docVar w:name="LW_ID_DOCMODEL" w:val="SG-002"/>
    <w:docVar w:name="LW_ID_DOCSIGNATURE" w:val="SG-002"/>
    <w:docVar w:name="LW_ID_DOCSTRUCTURE" w:val="COM/PL/ORG/NOEEA"/>
    <w:docVar w:name="LW_ID_DOCTYPE" w:val="SG-002"/>
    <w:docVar w:name="LW_ID_EXP.MOTIFS.NEW" w:val="EM_PL_"/>
    <w:docVar w:name="LW_ID_STATUT" w:val="SG-002"/>
    <w:docVar w:name="LW_LANGUE" w:val="PT"/>
    <w:docVar w:name="LW_LEVEL_OF_SENSITIVITY" w:val="Standard treatment"/>
    <w:docVar w:name="LW_NOM.INST" w:val="COMISSÃO EUROPEIA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21"/>
    <w:docVar w:name="LW_REF.INST.NEW" w:val="COM"/>
    <w:docVar w:name="LW_REF.INST.NEW_ADOPTED" w:val="final"/>
    <w:docVar w:name="LW_REF.INST.NEW_TEXT" w:val="(2021) 523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" w:val="Recomendação de"/>
    <w:docVar w:name="LW_STATUT.CP" w:val="Recomendação de"/>
    <w:docVar w:name="LW_SUPERTITRE" w:val="&lt;UNUSED&gt;"/>
    <w:docVar w:name="LW_TITRE.OBJ" w:val="que emite um parecer do Conselho sobre o Programa de Convergência de 2021 da Roménia"/>
    <w:docVar w:name="LW_TITRE.OBJ.CP" w:val="que emite um parecer do Conselho sobre o Programa de Convergência de 2021 da Roménia"/>
    <w:docVar w:name="LW_TYPE.DOC" w:val="RECOMENDAÇÃO DO CONSELHO"/>
    <w:docVar w:name="LW_TYPE.DOC.CP" w:val="RECOMENDAÇÃO DO CONSELHO"/>
    <w:docVar w:name="LwApiVersions" w:val="LW4CoDe 1.23.0.0; LW 8.0, Build 2021011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t-P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">
    <w:name w:val="Footnote"/>
    <w:basedOn w:val="FootnoteText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pt-PT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pt-P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t-P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">
    <w:name w:val="Footnote"/>
    <w:basedOn w:val="FootnoteText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pt-PT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pt-P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s://eur-lex.europa.eu/legal-content/PT/TXT/PDF/?uri=OJ:L:2021:057:FULL&amp;from=EN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E9D7DE77DF5A2B4EB0C521226EC064EC" ma:contentTypeVersion="5" ma:contentTypeDescription="Create a new document in this library." ma:contentTypeScope="" ma:versionID="4485e86f040b1843bf9d453eff301dc4">
  <xsd:schema xmlns:xsd="http://www.w3.org/2001/XMLSchema" xmlns:xs="http://www.w3.org/2001/XMLSchema" xmlns:p="http://schemas.microsoft.com/office/2006/metadata/properties" xmlns:ns3="20006247-9fb6-4782-ae8c-4da93a56682d" targetNamespace="http://schemas.microsoft.com/office/2006/metadata/properties" ma:root="true" ma:fieldsID="9813ffbb515ffa8fe62dbb8bcf9a57e7" ns3:_="">
    <xsd:import namespace="20006247-9fb6-4782-ae8c-4da93a56682d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3:EC_Collab_DocumentLanguage"/>
                <xsd:element ref="ns3:EC_Collab_Status"/>
                <xsd:element ref="ns3:EC_ARES_NUMBER" minOccurs="0"/>
                <xsd:element ref="ns3:EC_ARES_DATE_TRANSFERRED" minOccurs="0"/>
                <xsd:element ref="ns3:EC_ARES_TRANSFERRED_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06247-9fb6-4782-ae8c-4da93a56682d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3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4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EC_ARES_NUMBER" ma:index="15" nillable="true" ma:displayName="Ares Number" ma:format="Hyperlink" ma:internalName="EC_ARES_NUMB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C_ARES_DATE_TRANSFERRED" ma:index="16" nillable="true" ma:displayName="Transferred to ARES" ma:format="DateTime" ma:internalName="EC_ARES_DATE_TRANSFERRED">
      <xsd:simpleType>
        <xsd:restriction base="dms:DateTime"/>
      </xsd:simpleType>
    </xsd:element>
    <xsd:element name="EC_ARES_TRANSFERRED_BY" ma:index="17" nillable="true" ma:displayName="Transferred By" ma:internalName="EC_ARES_TRANSFERRED_B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20006247-9fb6-4782-ae8c-4da93a56682d" xsi:nil="true"/>
    <EC_ARES_TRANSFERRED_BY xmlns="20006247-9fb6-4782-ae8c-4da93a56682d" xsi:nil="true"/>
    <EC_ARES_NUMBER xmlns="20006247-9fb6-4782-ae8c-4da93a56682d">
      <Url xsi:nil="true"/>
      <Description xsi:nil="true"/>
    </EC_ARES_NUMBER>
    <EC_Collab_DocumentLanguage xmlns="20006247-9fb6-4782-ae8c-4da93a56682d">EN</EC_Collab_DocumentLanguage>
    <EC_ARES_DATE_TRANSFERRED xmlns="20006247-9fb6-4782-ae8c-4da93a56682d" xsi:nil="true"/>
    <EC_Collab_Status xmlns="20006247-9fb6-4782-ae8c-4da93a56682d">Not Started</EC_Collab_Status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51D28-56D9-4516-826E-1EEDE3D41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006247-9fb6-4782-ae8c-4da93a5668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9F7EE1-0A5A-4915-BA33-47F3D8D6B3BE}">
  <ds:schemaRefs>
    <ds:schemaRef ds:uri="http://schemas.microsoft.com/office/infopath/2007/PartnerControls"/>
    <ds:schemaRef ds:uri="20006247-9fb6-4782-ae8c-4da93a56682d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359C4F9-B077-407A-97E4-E5BE1AFC62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F5EBDD-DA43-4079-AD38-96156210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</TotalTime>
  <Pages>7</Pages>
  <Words>2274</Words>
  <Characters>11691</Characters>
  <Application>Microsoft Office Word</Application>
  <DocSecurity>0</DocSecurity>
  <Lines>194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40</cp:revision>
  <dcterms:created xsi:type="dcterms:W3CDTF">2021-06-06T11:16:00Z</dcterms:created>
  <dcterms:modified xsi:type="dcterms:W3CDTF">2021-06-07T12:50:00Z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COM/PL/ORG/NOEEA</vt:lpwstr>
  </property>
  <property fmtid="{D5CDD505-2E9C-101B-9397-08002B2CF9AE}" pid="3" name="Version">
    <vt:lpwstr>7.0.9.0</vt:lpwstr>
  </property>
  <property fmtid="{D5CDD505-2E9C-101B-9397-08002B2CF9AE}" pid="4" name="Last edited using">
    <vt:lpwstr>LW 7.0.1, Build 20200226</vt:lpwstr>
  </property>
  <property fmtid="{D5CDD505-2E9C-101B-9397-08002B2CF9AE}" pid="5" name="Created using">
    <vt:lpwstr>LW 7.0.1, Build 20190916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SG-002</vt:lpwstr>
  </property>
  <property fmtid="{D5CDD505-2E9C-101B-9397-08002B2CF9AE}" pid="10" name="ContentTypeId">
    <vt:lpwstr>0x010100258AA79CEB83498886A3A0868112325000E9D7DE77DF5A2B4EB0C521226EC064EC</vt:lpwstr>
  </property>
  <property fmtid="{D5CDD505-2E9C-101B-9397-08002B2CF9AE}" pid="11" name="DQCStatus">
    <vt:lpwstr>Green (DQC version 03)</vt:lpwstr>
  </property>
  <property name="OP_sanitized" fmtid="{D5CDD505-2E9C-101B-9397-08002B2CF9AE}" pid="12">
    <vt:lpwstr>True</vt:lpwstr>
  </property>
</Properties>
</file>