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94626D80-ADDE-49B4-A875-EDB8E1D56884" style="width:450.8pt;height:553.4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pPr>
        <w:pStyle w:val="ListParagraph"/>
        <w:pBdr>
          <w:top w:val="single" w:sz="4" w:space="1" w:color="auto"/>
          <w:left w:val="single" w:sz="4" w:space="4" w:color="auto"/>
          <w:bottom w:val="single" w:sz="4" w:space="9" w:color="auto"/>
          <w:right w:val="single" w:sz="4" w:space="4" w:color="auto"/>
        </w:pBdr>
        <w:spacing w:after="120" w:line="240" w:lineRule="auto"/>
        <w:ind w:left="0"/>
        <w:contextualSpacing w:val="0"/>
        <w:jc w:val="both"/>
        <w:rPr>
          <w:rFonts w:ascii="Times New Roman Bold" w:hAnsi="Times New Roman Bold" w:cs="Times New Roman"/>
          <w:b/>
          <w:smallCaps/>
          <w:noProof/>
          <w:sz w:val="24"/>
          <w:szCs w:val="24"/>
          <w:u w:val="single"/>
        </w:rPr>
      </w:pPr>
      <w:bookmarkStart w:id="1" w:name="_GoBack"/>
      <w:bookmarkEnd w:id="1"/>
      <w:r>
        <w:rPr>
          <w:rFonts w:ascii="Times New Roman Bold" w:hAnsi="Times New Roman Bold"/>
          <w:b/>
          <w:smallCaps/>
          <w:noProof/>
          <w:sz w:val="24"/>
          <w:szCs w:val="24"/>
          <w:u w:val="single"/>
        </w:rPr>
        <w:lastRenderedPageBreak/>
        <w:t>Resumo</w:t>
      </w:r>
    </w:p>
    <w:p>
      <w:pPr>
        <w:pStyle w:val="ListParagraph"/>
        <w:pBdr>
          <w:top w:val="single" w:sz="4" w:space="1" w:color="auto"/>
          <w:left w:val="single" w:sz="4" w:space="4" w:color="auto"/>
          <w:bottom w:val="single" w:sz="4" w:space="9" w:color="auto"/>
          <w:right w:val="single" w:sz="4" w:space="4" w:color="auto"/>
        </w:pBdr>
        <w:spacing w:after="120" w:line="240" w:lineRule="auto"/>
        <w:ind w:left="0"/>
        <w:contextualSpacing w:val="0"/>
        <w:jc w:val="both"/>
        <w:rPr>
          <w:rFonts w:ascii="Times New Roman" w:hAnsi="Times New Roman" w:cs="Times New Roman"/>
          <w:noProof/>
          <w:sz w:val="24"/>
          <w:szCs w:val="24"/>
        </w:rPr>
      </w:pPr>
      <w:r>
        <w:rPr>
          <w:rFonts w:ascii="Times New Roman" w:hAnsi="Times New Roman"/>
          <w:noProof/>
          <w:sz w:val="24"/>
          <w:szCs w:val="24"/>
        </w:rPr>
        <w:t xml:space="preserve">Nos últimos anos, a independência judicial na Hungria tem sido apontada pelas instituições da UE como fonte de preocupação, nomeadamente no procedimento previsto no artigo 7.º, n.º 1, do TUE iniciado pelo Parlamento Europeu. O apelo ao reforço da independência judicial, lançado no contexto do Semestre Europeu, continua sem resposta. Nomeadamente, o Conselho Judicial Nacional independente tem dificuldade em contrabalançar os poderes do presidente do Gabinete Judicial Nacional, responsável pela gestão dos tribunais. Os desenvolvimentos relacionados com o Supremo Tribunal </w:t>
      </w:r>
      <w:r>
        <w:rPr>
          <w:rFonts w:ascii="Times New Roman" w:hAnsi="Times New Roman"/>
          <w:i/>
          <w:noProof/>
          <w:sz w:val="24"/>
          <w:szCs w:val="24"/>
        </w:rPr>
        <w:t>(Kúria)</w:t>
      </w:r>
      <w:r>
        <w:rPr>
          <w:rFonts w:ascii="Times New Roman" w:hAnsi="Times New Roman"/>
          <w:noProof/>
          <w:sz w:val="24"/>
          <w:szCs w:val="24"/>
        </w:rPr>
        <w:t xml:space="preserve"> suscitam também preocupação, nomeadamente a sua decisão de declarar ilegal um pedido de decisão prejudicial apresentado ao Tribunal de Justiça da União Europeia. Novas regras permitem a nomeação, à margem do procedimento normal, de membros do Tribunal Constitucional, eleitos pelo Parlamento, para o Supremo Tribunal e diminuem o grau de exigência dos critérios de elegibilidade para o cargo de presidente do Supremo Tribunal. No que se refere à eficiência e à qualidade, o sistema judicial tem um bom desempenho em termos de duração dos processos e tem um elevado nível de digitalização.</w:t>
      </w:r>
    </w:p>
    <w:p>
      <w:pPr>
        <w:pStyle w:val="ListParagraph"/>
        <w:pBdr>
          <w:top w:val="single" w:sz="4" w:space="1" w:color="auto"/>
          <w:left w:val="single" w:sz="4" w:space="4" w:color="auto"/>
          <w:bottom w:val="single" w:sz="4" w:space="9" w:color="auto"/>
          <w:right w:val="single" w:sz="4" w:space="4" w:color="auto"/>
        </w:pBdr>
        <w:spacing w:after="120" w:line="240" w:lineRule="auto"/>
        <w:ind w:left="0"/>
        <w:contextualSpacing w:val="0"/>
        <w:jc w:val="both"/>
        <w:rPr>
          <w:rFonts w:ascii="Times New Roman" w:hAnsi="Times New Roman" w:cs="Times New Roman"/>
          <w:noProof/>
          <w:sz w:val="24"/>
          <w:szCs w:val="24"/>
        </w:rPr>
      </w:pPr>
      <w:r>
        <w:rPr>
          <w:rFonts w:ascii="Times New Roman" w:hAnsi="Times New Roman"/>
          <w:noProof/>
          <w:sz w:val="24"/>
          <w:szCs w:val="24"/>
        </w:rPr>
        <w:t>O quadro institucional de luta contra a corrupção é partilhado entre diferentes organismos. O funcionamento deficiente dos mecanismos de controlo e as interligações estreitas existentes entre a política e determinadas empresas nacionais favorecem a corrupção. Sempre que surgem alegações graves, há uma falta sistemática de determinação para investigar e julgar casos de corrupção que envolvam altos funcionários ou o seu círculo mais próximo. Esta questão foi levantada no âmbito do Semestre Europeu e pelo GRECO, atenta a falta de empenho em cumprir as suas recomendações. A verificação das declarações de património e interesses pode ser melhorada no que respeita aos controlos sistemáticos e à supervisão independente. Apesar de a regulamentação das atividades dos lóbis estar incompleta, as políticas de prevenção da corrupção centraram-se na integridade na administração pública e nos serviços responsáveis pela aplicação da lei. A limitação da possibilidade de supervisão pelos cidadãos no contexto das restrições à liberdade dos meios de comunicação, um ambiente hostil às organizações da sociedade civil e os novos desafios constantes à aplicação da transparência e do acesso às regras de informação pública, fragilizam ainda mais o quadro de luta contra a corrupção.</w:t>
      </w:r>
    </w:p>
    <w:p>
      <w:pPr>
        <w:pStyle w:val="ListParagraph"/>
        <w:pBdr>
          <w:top w:val="single" w:sz="4" w:space="1" w:color="auto"/>
          <w:left w:val="single" w:sz="4" w:space="4" w:color="auto"/>
          <w:bottom w:val="single" w:sz="4" w:space="9" w:color="auto"/>
          <w:right w:val="single" w:sz="4" w:space="4" w:color="auto"/>
        </w:pBdr>
        <w:spacing w:after="120" w:line="240" w:lineRule="auto"/>
        <w:ind w:left="0"/>
        <w:contextualSpacing w:val="0"/>
        <w:jc w:val="both"/>
        <w:rPr>
          <w:rFonts w:ascii="Times New Roman" w:hAnsi="Times New Roman" w:cs="Times New Roman"/>
          <w:noProof/>
          <w:sz w:val="24"/>
          <w:szCs w:val="24"/>
        </w:rPr>
      </w:pPr>
      <w:r>
        <w:rPr>
          <w:rFonts w:ascii="Times New Roman" w:hAnsi="Times New Roman"/>
          <w:noProof/>
          <w:sz w:val="24"/>
          <w:szCs w:val="24"/>
        </w:rPr>
        <w:t>A independência e a eficácia do Conselho dos Meios de Comunicação estão em risco. A transparência da propriedade dos meios de comunicação não está plenamente garantida. A concentração dos meios de comunicação através da criação do conglomerado da Fundação dos Meios de Comunicação e da Imprensa da Europa Central (KESMA) aumentou os riscos para o pluralismo da comunicação social. Um volume significativo de publicidade institucional canalizado para meios de comunicação pró-governamentais permitiu ao Governo exercer influência política indireta sobre os meios de comunicação. Os meios de comunicação independentes são alvo de uma obstrução e intimidação sistemáticas, enquanto a tendência para a aquisição desses meios suscita ainda maior preocupação.</w:t>
      </w:r>
    </w:p>
    <w:p>
      <w:pPr>
        <w:pStyle w:val="ListParagraph"/>
        <w:pBdr>
          <w:top w:val="single" w:sz="4" w:space="1" w:color="auto"/>
          <w:left w:val="single" w:sz="4" w:space="4" w:color="auto"/>
          <w:bottom w:val="single" w:sz="4" w:space="9" w:color="auto"/>
          <w:right w:val="single" w:sz="4" w:space="4" w:color="auto"/>
        </w:pBdr>
        <w:spacing w:after="240" w:line="240" w:lineRule="auto"/>
        <w:ind w:left="0"/>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A transparência e a qualidade do processo legislativo são uma fonte de preocupações, porquanto as consultas públicas e as avaliações de impacto diminuíram. A nova possibilidade de as autoridades públicas recorrerem de decisões judiciais transitadas em julgado perante o Tribunal Constitucional suscita questões de segurança jurídica. A fragilização de instituições independentes e a crescente pressão sobre a sociedade civil afetam ainda mais o equilíbrio de poderes.</w:t>
      </w:r>
      <w:r>
        <w:rPr>
          <w:rFonts w:ascii="Times New Roman" w:hAnsi="Times New Roman"/>
          <w:noProof/>
        </w:rPr>
        <w:t xml:space="preserve"> </w:t>
      </w:r>
      <w:r>
        <w:rPr>
          <w:rFonts w:ascii="Times New Roman" w:hAnsi="Times New Roman"/>
          <w:noProof/>
          <w:sz w:val="24"/>
          <w:szCs w:val="24"/>
        </w:rPr>
        <w:t>O Tribunal de Justiça considerou que a legislação relativa à transparência das organizações da sociedade civil financiadas a partir do estrangeiro é incompatível com o direito da UE. Estão em preparação as medidas legislativas necessárias para dar cumprimento ao acórdão.</w:t>
      </w:r>
    </w:p>
    <w:p>
      <w:pPr>
        <w:pStyle w:val="ListParagraph"/>
        <w:numPr>
          <w:ilvl w:val="0"/>
          <w:numId w:val="20"/>
        </w:numPr>
        <w:spacing w:after="240"/>
        <w:ind w:left="284" w:hanging="142"/>
        <w:contextualSpacing w:val="0"/>
        <w:rPr>
          <w:rFonts w:ascii="Times New Roman" w:eastAsia="Times New Roman" w:hAnsi="Times New Roman" w:cs="Times New Roman"/>
          <w:b/>
          <w:smallCaps/>
          <w:noProof/>
          <w:sz w:val="24"/>
          <w:szCs w:val="24"/>
          <w:u w:val="single"/>
        </w:rPr>
      </w:pPr>
      <w:r>
        <w:rPr>
          <w:rFonts w:ascii="Times New Roman" w:hAnsi="Times New Roman"/>
          <w:b/>
          <w:smallCaps/>
          <w:noProof/>
          <w:sz w:val="24"/>
          <w:szCs w:val="24"/>
          <w:u w:val="single"/>
        </w:rPr>
        <w:t>Sistema judicial</w:t>
      </w:r>
    </w:p>
    <w:p>
      <w:pPr>
        <w:pStyle w:val="ListParagraph"/>
        <w:tabs>
          <w:tab w:val="left" w:pos="1418"/>
        </w:tabs>
        <w:spacing w:after="240" w:line="240" w:lineRule="auto"/>
        <w:ind w:left="0"/>
        <w:contextualSpacing w:val="0"/>
        <w:jc w:val="both"/>
        <w:rPr>
          <w:rFonts w:ascii="Times New Roman" w:hAnsi="Times New Roman" w:cs="Times New Roman"/>
          <w:noProof/>
          <w:sz w:val="24"/>
          <w:szCs w:val="24"/>
        </w:rPr>
      </w:pPr>
      <w:r>
        <w:rPr>
          <w:rFonts w:ascii="Times New Roman" w:hAnsi="Times New Roman"/>
          <w:noProof/>
          <w:sz w:val="24"/>
          <w:szCs w:val="24"/>
        </w:rPr>
        <w:t xml:space="preserve">A estrutura do sistema judicial húngaro foi moldada pelas alterações constitucionais e pelas reformas judiciais regulares introduzidas a partir 2011. A mais recente reforma foi adotada em dezembro de 2019. A Hungria tem um sistema judicial de quatro níveis. Os 113 tribunais distritais funcionam em primeira instância, enquanto os 20 tribunais regionais apreciam recursos de decisões dos tribunais distritais e determinados processos em primeira instância. Cinco tribunais regionais de recurso apreciam recursos de decisões dos tribunais regionais. A principal função do Supremo Tribunal </w:t>
      </w:r>
      <w:r>
        <w:rPr>
          <w:rFonts w:ascii="Times New Roman" w:hAnsi="Times New Roman"/>
          <w:i/>
          <w:noProof/>
          <w:sz w:val="24"/>
          <w:szCs w:val="24"/>
        </w:rPr>
        <w:t>(Kúria)</w:t>
      </w:r>
      <w:r>
        <w:rPr>
          <w:rFonts w:ascii="Times New Roman" w:hAnsi="Times New Roman"/>
          <w:noProof/>
          <w:sz w:val="24"/>
          <w:szCs w:val="24"/>
        </w:rPr>
        <w:t xml:space="preserve"> é garantir a aplicação uniforme da legislação. O presidente do Gabinete Judicial Nacional (GJN) é um órgão, previsto na Lei Fundamental e nomeado pelo Parlamento, que está encarregado da administração central dos tribunais. O Conselho Judicial Nacional é um órgão independente que, de acordo com a Lei Fundamental, supervisiona o presidente do GJN e participa na administração dos tribunais.</w:t>
      </w:r>
      <w:r>
        <w:rPr>
          <w:rFonts w:ascii="Times New Roman" w:hAnsi="Times New Roman"/>
          <w:noProof/>
        </w:rPr>
        <w:t xml:space="preserve"> </w:t>
      </w:r>
      <w:r>
        <w:rPr>
          <w:rFonts w:ascii="Times New Roman" w:hAnsi="Times New Roman"/>
          <w:noProof/>
          <w:sz w:val="24"/>
          <w:szCs w:val="24"/>
        </w:rPr>
        <w:t>Os juízes são nomeados pelo presidente da República na sequência de uma recomendação do presidente do GJN, com base numa classificação de candidatos estabelecida pelos conselhos da magistratura locais (compostos por juízes eleitos pelos seus pares). O presidente do GJN não pode desviar-se da ordem estabelecida nessa classificação sem o consentimento prévio do Conselho Judicial Nacional. O Tribunal Constitucional não faz parte do sistema judicial e fiscaliza a constitucionalidade das leis e das decisões judiciais. O Ministério Público é uma instituição independente com poderes para investigar e reprimir a criminalidade. A Ordem dos Advogados húngara e as associações regionais de advogados são organismos públicos autónomos que representam os interesses das profissões jurídicas e estabelecem e aplicam normas profissionais, nomeadamente através de medidas disciplinares.</w:t>
      </w:r>
    </w:p>
    <w:p>
      <w:pPr>
        <w:rPr>
          <w:b/>
          <w:noProof/>
          <w:szCs w:val="24"/>
        </w:rPr>
      </w:pPr>
      <w:r>
        <w:rPr>
          <w:b/>
          <w:noProof/>
          <w:szCs w:val="24"/>
        </w:rPr>
        <w:t>Independência</w:t>
      </w:r>
    </w:p>
    <w:p>
      <w:pPr>
        <w:rPr>
          <w:rStyle w:val="Hyperlink"/>
          <w:noProof/>
          <w:color w:val="000000" w:themeColor="text1"/>
          <w:szCs w:val="24"/>
          <w:u w:val="none"/>
        </w:rPr>
      </w:pPr>
      <w:r>
        <w:rPr>
          <w:b/>
          <w:noProof/>
          <w:szCs w:val="24"/>
        </w:rPr>
        <w:t xml:space="preserve">O Conselho Judicial Nacional enfrenta dificuldades em contrabalançar os poderes do presidente do Gabinete Judicial Nacional. A eleição de um novo presidente do Gabinete Judicial Nacional pode abrir caminho a uma cooperação reforçada. </w:t>
      </w:r>
      <w:r>
        <w:rPr>
          <w:noProof/>
        </w:rPr>
        <w:t>O presidente do GJN é eleito pelo Parlamento</w:t>
      </w:r>
      <w:r>
        <w:rPr>
          <w:rStyle w:val="FootnoteReference"/>
          <w:noProof/>
          <w:szCs w:val="24"/>
        </w:rPr>
        <w:footnoteReference w:id="1"/>
      </w:r>
      <w:r>
        <w:rPr>
          <w:noProof/>
        </w:rPr>
        <w:t xml:space="preserve"> e possui amplos poderes relacionados com a administração do sistema judicial. O presidente do GJN trabalha sob a supervisão do </w:t>
      </w:r>
      <w:r>
        <w:rPr>
          <w:rStyle w:val="Hyperlink"/>
          <w:noProof/>
          <w:color w:val="000000" w:themeColor="text1"/>
          <w:u w:val="none"/>
        </w:rPr>
        <w:t>Conselho Judicial Nacional</w:t>
      </w:r>
      <w:r>
        <w:rPr>
          <w:rStyle w:val="FootnoteReference"/>
          <w:noProof/>
          <w:szCs w:val="24"/>
        </w:rPr>
        <w:footnoteReference w:id="2"/>
      </w:r>
      <w:r>
        <w:rPr>
          <w:rStyle w:val="Hyperlink"/>
          <w:noProof/>
          <w:color w:val="000000" w:themeColor="text1"/>
          <w:u w:val="none"/>
        </w:rPr>
        <w:t>.</w:t>
      </w:r>
      <w:r>
        <w:rPr>
          <w:noProof/>
        </w:rPr>
        <w:t xml:space="preserve"> Contudo, o Conselho Judicial Nacional enfrenta </w:t>
      </w:r>
      <w:r>
        <w:rPr>
          <w:rStyle w:val="Hyperlink"/>
          <w:noProof/>
          <w:color w:val="000000" w:themeColor="text1"/>
          <w:szCs w:val="24"/>
          <w:u w:val="none"/>
        </w:rPr>
        <w:t>uma série de limitações estruturais que o impedem de supervisionar eficazmente as ações do presidente do GJN</w:t>
      </w:r>
      <w:r>
        <w:rPr>
          <w:noProof/>
        </w:rPr>
        <w:t>.</w:t>
      </w:r>
      <w:r>
        <w:rPr>
          <w:rStyle w:val="Hyperlink"/>
          <w:noProof/>
          <w:color w:val="000000" w:themeColor="text1"/>
          <w:szCs w:val="24"/>
          <w:u w:val="none"/>
        </w:rPr>
        <w:t xml:space="preserve"> Em especial, não tem o direito de ser consultado sobre propostas legislativas que afetem o sistema judicial</w:t>
      </w:r>
      <w:r>
        <w:rPr>
          <w:rStyle w:val="FootnoteReference"/>
          <w:noProof/>
          <w:color w:val="000000" w:themeColor="text1"/>
          <w:szCs w:val="24"/>
        </w:rPr>
        <w:footnoteReference w:id="3"/>
      </w:r>
      <w:r>
        <w:rPr>
          <w:rStyle w:val="Hyperlink"/>
          <w:noProof/>
          <w:color w:val="000000" w:themeColor="text1"/>
          <w:szCs w:val="24"/>
          <w:u w:val="none"/>
        </w:rPr>
        <w:t>, desempenhando um papel limitado nas nomeações judiciais</w:t>
      </w:r>
      <w:r>
        <w:rPr>
          <w:rStyle w:val="FootnoteReference"/>
          <w:noProof/>
          <w:color w:val="000000" w:themeColor="text1"/>
          <w:szCs w:val="24"/>
        </w:rPr>
        <w:footnoteReference w:id="4"/>
      </w:r>
      <w:r>
        <w:rPr>
          <w:rStyle w:val="Hyperlink"/>
          <w:noProof/>
          <w:color w:val="000000" w:themeColor="text1"/>
          <w:szCs w:val="24"/>
          <w:u w:val="none"/>
        </w:rPr>
        <w:t>, bem como na nomeação de presidentes de tribunais e de outros administradores de tribunais</w:t>
      </w:r>
      <w:r>
        <w:rPr>
          <w:rStyle w:val="FootnoteReference"/>
          <w:noProof/>
          <w:color w:val="000000" w:themeColor="text1"/>
          <w:szCs w:val="24"/>
        </w:rPr>
        <w:footnoteReference w:id="5"/>
      </w:r>
      <w:r>
        <w:rPr>
          <w:rStyle w:val="Hyperlink"/>
          <w:noProof/>
          <w:color w:val="000000" w:themeColor="text1"/>
          <w:szCs w:val="24"/>
          <w:u w:val="none"/>
        </w:rPr>
        <w:t xml:space="preserve">. Além disso, o Conselho Judicial Nacional dispõe de recursos limitados e depende </w:t>
      </w:r>
      <w:r>
        <w:rPr>
          <w:rStyle w:val="Hyperlink"/>
          <w:bCs/>
          <w:noProof/>
          <w:color w:val="000000" w:themeColor="text1"/>
          <w:szCs w:val="24"/>
          <w:u w:val="none"/>
        </w:rPr>
        <w:t>do presidente do GJN para executar o seu orçamento</w:t>
      </w:r>
      <w:r>
        <w:rPr>
          <w:rStyle w:val="FootnoteReference"/>
          <w:bCs/>
          <w:noProof/>
          <w:color w:val="000000" w:themeColor="text1"/>
          <w:szCs w:val="24"/>
        </w:rPr>
        <w:footnoteReference w:id="6"/>
      </w:r>
      <w:r>
        <w:rPr>
          <w:rStyle w:val="Hyperlink"/>
          <w:bCs/>
          <w:noProof/>
          <w:color w:val="000000" w:themeColor="text1"/>
          <w:szCs w:val="24"/>
          <w:u w:val="none"/>
        </w:rPr>
        <w:t>.</w:t>
      </w:r>
      <w:r>
        <w:rPr>
          <w:rStyle w:val="Hyperlink"/>
          <w:noProof/>
          <w:color w:val="000000" w:themeColor="text1"/>
          <w:szCs w:val="24"/>
          <w:u w:val="none"/>
        </w:rPr>
        <w:t xml:space="preserve"> </w:t>
      </w:r>
      <w:r>
        <w:rPr>
          <w:noProof/>
        </w:rPr>
        <w:t>A ausência de controlo efetivo sobre o presidente do GJN aumenta a possibilidade de decisões arbitrárias na administração do sistema judicial</w:t>
      </w:r>
      <w:r>
        <w:rPr>
          <w:rStyle w:val="FootnoteReference"/>
          <w:noProof/>
          <w:szCs w:val="24"/>
        </w:rPr>
        <w:footnoteReference w:id="7"/>
      </w:r>
      <w:r>
        <w:rPr>
          <w:noProof/>
        </w:rPr>
        <w:t xml:space="preserve">. Em particular, o Conselho Judicial Nacional criticou o anterior presidente do GJN por ter violado a lei ao anular os procedimentos de seleção de presidentes de tribunais e ao nomear discricionariamente presidentes interinos de tribunais, sem a aprovação do </w:t>
      </w:r>
      <w:r>
        <w:rPr>
          <w:rStyle w:val="Hyperlink"/>
          <w:noProof/>
          <w:color w:val="000000" w:themeColor="text1"/>
          <w:szCs w:val="24"/>
          <w:u w:val="none"/>
        </w:rPr>
        <w:t>Conselho Judicial Nacional</w:t>
      </w:r>
      <w:r>
        <w:rPr>
          <w:rStyle w:val="FootnoteReference"/>
          <w:noProof/>
          <w:szCs w:val="24"/>
        </w:rPr>
        <w:footnoteReference w:id="8"/>
      </w:r>
      <w:r>
        <w:rPr>
          <w:noProof/>
        </w:rPr>
        <w:t xml:space="preserve">. </w:t>
      </w:r>
      <w:r>
        <w:rPr>
          <w:rStyle w:val="Hyperlink"/>
          <w:bCs/>
          <w:noProof/>
          <w:color w:val="000000" w:themeColor="text1"/>
          <w:szCs w:val="24"/>
          <w:u w:val="none"/>
        </w:rPr>
        <w:t>Esta situação levou o Conselho Judicial Nacional</w:t>
      </w:r>
      <w:r>
        <w:rPr>
          <w:noProof/>
        </w:rPr>
        <w:t xml:space="preserve"> a</w:t>
      </w:r>
      <w:r>
        <w:rPr>
          <w:bCs/>
          <w:noProof/>
        </w:rPr>
        <w:t xml:space="preserve"> solicitar formalmente ao</w:t>
      </w:r>
      <w:r>
        <w:rPr>
          <w:rStyle w:val="Hyperlink"/>
          <w:bCs/>
          <w:noProof/>
          <w:color w:val="000000" w:themeColor="text1"/>
          <w:szCs w:val="24"/>
          <w:u w:val="none"/>
        </w:rPr>
        <w:t xml:space="preserve"> Parlamento a destituição do </w:t>
      </w:r>
      <w:r>
        <w:rPr>
          <w:noProof/>
        </w:rPr>
        <w:t>presidente do GJN</w:t>
      </w:r>
      <w:r>
        <w:rPr>
          <w:rStyle w:val="FootnoteReference"/>
          <w:bCs/>
          <w:noProof/>
          <w:color w:val="000000" w:themeColor="text1"/>
          <w:szCs w:val="24"/>
        </w:rPr>
        <w:footnoteReference w:id="9"/>
      </w:r>
      <w:r>
        <w:rPr>
          <w:rStyle w:val="Hyperlink"/>
          <w:bCs/>
          <w:noProof/>
          <w:color w:val="000000" w:themeColor="text1"/>
          <w:szCs w:val="24"/>
          <w:u w:val="none"/>
        </w:rPr>
        <w:t xml:space="preserve">. A comissão parlamentar competente examinou esse pedido e, em junho de 2019, o Parlamento rejeitou-o. </w:t>
      </w:r>
      <w:r>
        <w:rPr>
          <w:rStyle w:val="Hyperlink"/>
          <w:noProof/>
          <w:color w:val="000000" w:themeColor="text1"/>
          <w:szCs w:val="24"/>
          <w:u w:val="none"/>
        </w:rPr>
        <w:t>Os poderes limitados do Conselho Judicial Nacional e a necessidade de os reforçar foram sublinhados pelo Conselho da Europa</w:t>
      </w:r>
      <w:r>
        <w:rPr>
          <w:rStyle w:val="FootnoteReference"/>
          <w:noProof/>
          <w:szCs w:val="24"/>
        </w:rPr>
        <w:footnoteReference w:id="10"/>
      </w:r>
      <w:r>
        <w:rPr>
          <w:rStyle w:val="Hyperlink"/>
          <w:bCs/>
          <w:noProof/>
          <w:color w:val="000000" w:themeColor="text1"/>
          <w:u w:val="none"/>
        </w:rPr>
        <w:t>, pela Comissão Europeia</w:t>
      </w:r>
      <w:r>
        <w:rPr>
          <w:rStyle w:val="FootnoteReference"/>
          <w:bCs/>
          <w:noProof/>
          <w:color w:val="000000" w:themeColor="text1"/>
          <w:szCs w:val="24"/>
        </w:rPr>
        <w:footnoteReference w:id="11"/>
      </w:r>
      <w:r>
        <w:rPr>
          <w:rStyle w:val="Hyperlink"/>
          <w:bCs/>
          <w:noProof/>
          <w:color w:val="000000" w:themeColor="text1"/>
          <w:u w:val="none"/>
        </w:rPr>
        <w:t xml:space="preserve"> e por partes interessadas</w:t>
      </w:r>
      <w:r>
        <w:rPr>
          <w:rStyle w:val="FootnoteReference"/>
          <w:bCs/>
          <w:noProof/>
          <w:color w:val="000000" w:themeColor="text1"/>
          <w:szCs w:val="24"/>
        </w:rPr>
        <w:footnoteReference w:id="12"/>
      </w:r>
      <w:r>
        <w:rPr>
          <w:rStyle w:val="Hyperlink"/>
          <w:bCs/>
          <w:noProof/>
          <w:color w:val="000000" w:themeColor="text1"/>
          <w:u w:val="none"/>
        </w:rPr>
        <w:t>.</w:t>
      </w:r>
      <w:r>
        <w:rPr>
          <w:rStyle w:val="Hyperlink"/>
          <w:bCs/>
          <w:noProof/>
          <w:color w:val="000000" w:themeColor="text1"/>
          <w:szCs w:val="24"/>
          <w:u w:val="none"/>
        </w:rPr>
        <w:t xml:space="preserve"> </w:t>
      </w:r>
      <w:r>
        <w:rPr>
          <w:noProof/>
        </w:rPr>
        <w:t xml:space="preserve">Em 9 de julho de 2019, no contexto do Semestre Europeu, o Conselho endereçou à Hungria uma recomendação no sentido de </w:t>
      </w:r>
      <w:r>
        <w:rPr>
          <w:i/>
          <w:noProof/>
          <w:szCs w:val="24"/>
        </w:rPr>
        <w:t>«reforçar a independência do poder judicial»</w:t>
      </w:r>
      <w:r>
        <w:rPr>
          <w:noProof/>
        </w:rPr>
        <w:t>, observando que o Conselho Judicial Nacional enfrenta dificuldades crescentes em contrabalançar os poderes do presidente do GJN</w:t>
      </w:r>
      <w:r>
        <w:rPr>
          <w:rStyle w:val="FootnoteReference"/>
          <w:noProof/>
          <w:szCs w:val="24"/>
        </w:rPr>
        <w:footnoteReference w:id="13"/>
      </w:r>
      <w:r>
        <w:rPr>
          <w:noProof/>
        </w:rPr>
        <w:t>. Desde então, não foram tomadas quaisquer medidas legislativas para procurar solucionar estes problemas estruturais. O Conselho Judicial Nacional congratulou-se com a eleição de um novo presidente para o GJN em dezembro de 2019, o que pode abrir caminho a uma cooperação reforçada com o Conselho Judicial Nacional, embora o equilíbrio de poderes só possa ser alcançado com segurança jurídica mediante o reforço legislativo dos poderes do Conselho</w:t>
      </w:r>
      <w:r>
        <w:rPr>
          <w:rStyle w:val="Hyperlink"/>
          <w:noProof/>
          <w:color w:val="000000" w:themeColor="text1"/>
          <w:szCs w:val="24"/>
          <w:u w:val="none"/>
        </w:rPr>
        <w:t>.</w:t>
      </w:r>
    </w:p>
    <w:p>
      <w:pPr>
        <w:rPr>
          <w:noProof/>
          <w:szCs w:val="24"/>
        </w:rPr>
      </w:pPr>
      <w:r>
        <w:rPr>
          <w:b/>
          <w:noProof/>
          <w:szCs w:val="24"/>
        </w:rPr>
        <w:t xml:space="preserve">A perceção da independência judicial é média entre o público em geral e muito baixa entre as empresas, embora os dados mais recentes mostrem algumas melhorias. </w:t>
      </w:r>
      <w:r>
        <w:rPr>
          <w:noProof/>
        </w:rPr>
        <w:t>O nível de independência dos tribunais e juízes é considerado médio (48 % «</w:t>
      </w:r>
      <w:r>
        <w:rPr>
          <w:i/>
          <w:noProof/>
          <w:szCs w:val="24"/>
        </w:rPr>
        <w:t>bastante bom ou muito bom</w:t>
      </w:r>
      <w:r>
        <w:rPr>
          <w:noProof/>
        </w:rPr>
        <w:t>») pela população em geral</w:t>
      </w:r>
      <w:r>
        <w:rPr>
          <w:noProof/>
          <w:szCs w:val="24"/>
          <w:vertAlign w:val="superscript"/>
        </w:rPr>
        <w:footnoteReference w:id="14"/>
      </w:r>
      <w:r>
        <w:rPr>
          <w:noProof/>
        </w:rPr>
        <w:t>, mas muito baixo (26 % «</w:t>
      </w:r>
      <w:r>
        <w:rPr>
          <w:i/>
          <w:noProof/>
          <w:szCs w:val="24"/>
        </w:rPr>
        <w:t>bastante bom ou muito bom</w:t>
      </w:r>
      <w:r>
        <w:rPr>
          <w:noProof/>
        </w:rPr>
        <w:t>») pelas empresas</w:t>
      </w:r>
      <w:r>
        <w:rPr>
          <w:noProof/>
          <w:szCs w:val="24"/>
          <w:vertAlign w:val="superscript"/>
        </w:rPr>
        <w:footnoteReference w:id="15"/>
      </w:r>
      <w:r>
        <w:rPr>
          <w:noProof/>
        </w:rPr>
        <w:t>. Contudo, em 2020, a tendência negativa observada durante vários anos alterou-se, com ambos os indicadores a melhorar</w:t>
      </w:r>
      <w:r>
        <w:rPr>
          <w:rStyle w:val="FootnoteReference"/>
          <w:noProof/>
          <w:szCs w:val="24"/>
        </w:rPr>
        <w:footnoteReference w:id="16"/>
      </w:r>
      <w:r>
        <w:rPr>
          <w:noProof/>
        </w:rPr>
        <w:t>.</w:t>
      </w:r>
    </w:p>
    <w:p>
      <w:pPr>
        <w:rPr>
          <w:noProof/>
          <w:szCs w:val="24"/>
        </w:rPr>
      </w:pPr>
      <w:r>
        <w:rPr>
          <w:b/>
          <w:noProof/>
          <w:szCs w:val="24"/>
        </w:rPr>
        <w:t xml:space="preserve">O </w:t>
      </w:r>
      <w:r>
        <w:rPr>
          <w:b/>
          <w:i/>
          <w:noProof/>
          <w:szCs w:val="24"/>
        </w:rPr>
        <w:t>Kúria</w:t>
      </w:r>
      <w:r>
        <w:rPr>
          <w:b/>
          <w:noProof/>
          <w:szCs w:val="24"/>
        </w:rPr>
        <w:t xml:space="preserve"> declarou ilegal um reenvio prejudicial para o Tribunal de Justiça da União Europeia.</w:t>
      </w:r>
      <w:r>
        <w:rPr>
          <w:noProof/>
        </w:rPr>
        <w:t xml:space="preserve"> Na sequência de um pedido do procurador-geral, em 10 de setembro de 2019, o </w:t>
      </w:r>
      <w:r>
        <w:rPr>
          <w:i/>
          <w:noProof/>
          <w:szCs w:val="24"/>
        </w:rPr>
        <w:t>Kúria</w:t>
      </w:r>
      <w:r>
        <w:rPr>
          <w:noProof/>
        </w:rPr>
        <w:t xml:space="preserve"> proferiu um acórdão</w:t>
      </w:r>
      <w:r>
        <w:rPr>
          <w:rStyle w:val="FootnoteReference"/>
          <w:noProof/>
          <w:szCs w:val="24"/>
        </w:rPr>
        <w:footnoteReference w:id="17"/>
      </w:r>
      <w:r>
        <w:rPr>
          <w:noProof/>
        </w:rPr>
        <w:t xml:space="preserve"> em que considera ilegal um reenvio prejudicial de um juiz de um tribunal distrital para o Tribunal de Justiça, considerando as questões irrelevantes para o caso em apreço. O acórdão do </w:t>
      </w:r>
      <w:r>
        <w:rPr>
          <w:i/>
          <w:noProof/>
          <w:szCs w:val="24"/>
        </w:rPr>
        <w:t>Kúria</w:t>
      </w:r>
      <w:r>
        <w:rPr>
          <w:noProof/>
        </w:rPr>
        <w:t xml:space="preserve"> teve caráter declarativo e não anulou a decisão de submeter o processo ao Tribunal de Justiça</w:t>
      </w:r>
      <w:r>
        <w:rPr>
          <w:rStyle w:val="FootnoteReference"/>
          <w:noProof/>
          <w:szCs w:val="24"/>
        </w:rPr>
        <w:footnoteReference w:id="18"/>
      </w:r>
      <w:r>
        <w:rPr>
          <w:noProof/>
        </w:rPr>
        <w:t>. No entanto, em outubro de 2019, o presidente interino do Tribunal Regional de Budapeste (</w:t>
      </w:r>
      <w:r>
        <w:rPr>
          <w:i/>
          <w:noProof/>
          <w:szCs w:val="24"/>
        </w:rPr>
        <w:t>Fővárosi Törvényszék</w:t>
      </w:r>
      <w:r>
        <w:rPr>
          <w:noProof/>
        </w:rPr>
        <w:t xml:space="preserve">), referindo-se expressamente à decisão do </w:t>
      </w:r>
      <w:r>
        <w:rPr>
          <w:i/>
          <w:noProof/>
          <w:szCs w:val="24"/>
        </w:rPr>
        <w:t>Kúria</w:t>
      </w:r>
      <w:r>
        <w:rPr>
          <w:noProof/>
        </w:rPr>
        <w:t xml:space="preserve">, instaurou um processo disciplinar contra o juiz que decidiu o reenvio prejudicial. Em novembro de 2019, o presidente do tribunal retirou o processo. O facto de o </w:t>
      </w:r>
      <w:r>
        <w:rPr>
          <w:i/>
          <w:noProof/>
          <w:szCs w:val="24"/>
        </w:rPr>
        <w:t>Kúria</w:t>
      </w:r>
      <w:r>
        <w:rPr>
          <w:noProof/>
        </w:rPr>
        <w:t xml:space="preserve"> poder, no contexto de um recurso judicial extraordinário, pronunciar-se sobre a necessidade de reenvios prejudiciais poderá interferir com a possibilidade de os tribunais nacionais submeterem ao Tribunal de Justiça questões de interpretação do direito da União, bem como a possibilidade de darem origem a processos disciplinares</w:t>
      </w:r>
      <w:r>
        <w:rPr>
          <w:rStyle w:val="FootnoteReference"/>
          <w:noProof/>
          <w:szCs w:val="24"/>
        </w:rPr>
        <w:footnoteReference w:id="19"/>
      </w:r>
      <w:r>
        <w:rPr>
          <w:noProof/>
        </w:rPr>
        <w:t>, podem dissuadir os juízes de apresentar pedidos de decisões prejudiciais</w:t>
      </w:r>
      <w:r>
        <w:rPr>
          <w:rStyle w:val="FootnoteReference"/>
          <w:noProof/>
          <w:szCs w:val="24"/>
        </w:rPr>
        <w:footnoteReference w:id="20"/>
      </w:r>
      <w:r>
        <w:rPr>
          <w:noProof/>
        </w:rPr>
        <w:t>.</w:t>
      </w:r>
    </w:p>
    <w:p>
      <w:pPr>
        <w:rPr>
          <w:i/>
          <w:noProof/>
          <w:szCs w:val="24"/>
        </w:rPr>
      </w:pPr>
      <w:r>
        <w:rPr>
          <w:b/>
          <w:noProof/>
          <w:szCs w:val="24"/>
        </w:rPr>
        <w:t>Os juízes e os advogados estão sujeitos a campanhas negativas por parte do dos meios de comunicação</w:t>
      </w:r>
      <w:r>
        <w:rPr>
          <w:rStyle w:val="FootnoteReference"/>
          <w:b/>
          <w:noProof/>
          <w:szCs w:val="24"/>
        </w:rPr>
        <w:footnoteReference w:id="21"/>
      </w:r>
      <w:r>
        <w:rPr>
          <w:b/>
          <w:noProof/>
          <w:szCs w:val="24"/>
        </w:rPr>
        <w:t xml:space="preserve">. </w:t>
      </w:r>
      <w:r>
        <w:rPr>
          <w:noProof/>
        </w:rPr>
        <w:t>Em várias declarações à imprensa realizadas desde janeiro de 2020, o Governo e os meios de comunicação pró-governamentais criticaram determinadas decisões judiciais, incluindo a libertação de presos em liberdade condicional e a atribuição de indemnizações a crianças ciganas segregadas nas escolas</w:t>
      </w:r>
      <w:r>
        <w:rPr>
          <w:rStyle w:val="FootnoteReference"/>
          <w:noProof/>
          <w:szCs w:val="24"/>
        </w:rPr>
        <w:footnoteReference w:id="22"/>
      </w:r>
      <w:r>
        <w:rPr>
          <w:noProof/>
        </w:rPr>
        <w:t xml:space="preserve"> e a reclusos que se queixaram das suas condições de detenção</w:t>
      </w:r>
      <w:r>
        <w:rPr>
          <w:rStyle w:val="FootnoteReference"/>
          <w:noProof/>
          <w:szCs w:val="24"/>
        </w:rPr>
        <w:footnoteReference w:id="23"/>
      </w:r>
      <w:r>
        <w:rPr>
          <w:noProof/>
        </w:rPr>
        <w:t>. Em fevereiro de 2020, o Governo anunciou a intenção de organizar uma «consulta nacional»</w:t>
      </w:r>
      <w:r>
        <w:rPr>
          <w:rStyle w:val="FootnoteReference"/>
          <w:noProof/>
          <w:szCs w:val="24"/>
        </w:rPr>
        <w:footnoteReference w:id="24"/>
      </w:r>
      <w:r>
        <w:rPr>
          <w:noProof/>
        </w:rPr>
        <w:t xml:space="preserve"> sobre estas questões relacionadas com a Justiça. A Ordem dos Advogados</w:t>
      </w:r>
      <w:r>
        <w:rPr>
          <w:rStyle w:val="FootnoteReference"/>
          <w:noProof/>
          <w:szCs w:val="24"/>
        </w:rPr>
        <w:footnoteReference w:id="25"/>
      </w:r>
      <w:r>
        <w:rPr>
          <w:noProof/>
        </w:rPr>
        <w:t>, a associação de juízes</w:t>
      </w:r>
      <w:r>
        <w:rPr>
          <w:rStyle w:val="FootnoteReference"/>
          <w:noProof/>
          <w:szCs w:val="24"/>
        </w:rPr>
        <w:footnoteReference w:id="26"/>
      </w:r>
      <w:r>
        <w:rPr>
          <w:noProof/>
        </w:rPr>
        <w:t xml:space="preserve"> e outras partes interessadas</w:t>
      </w:r>
      <w:r>
        <w:rPr>
          <w:rStyle w:val="FootnoteReference"/>
          <w:noProof/>
          <w:szCs w:val="24"/>
        </w:rPr>
        <w:footnoteReference w:id="27"/>
      </w:r>
      <w:r>
        <w:rPr>
          <w:noProof/>
        </w:rPr>
        <w:t xml:space="preserve"> manifestaram preocupação perante o discurso do Governo, argumentando que este pode minar a confiança da população no sistema judicial. A consulta acabou por ser abandonada. </w:t>
      </w:r>
      <w:r>
        <w:rPr>
          <w:rStyle w:val="Hyperlink"/>
          <w:noProof/>
          <w:color w:val="000000" w:themeColor="text1"/>
          <w:szCs w:val="24"/>
          <w:u w:val="none"/>
        </w:rPr>
        <w:t xml:space="preserve">Em setembro de 2019, no contexto da execução do acórdão do Tribunal Europeu dos Direitos Humanos no processo </w:t>
      </w:r>
      <w:r>
        <w:rPr>
          <w:rStyle w:val="Hyperlink"/>
          <w:i/>
          <w:noProof/>
          <w:color w:val="000000" w:themeColor="text1"/>
          <w:szCs w:val="24"/>
          <w:u w:val="none"/>
        </w:rPr>
        <w:t>Baka/Hungria</w:t>
      </w:r>
      <w:r>
        <w:rPr>
          <w:rStyle w:val="FootnoteReference"/>
          <w:noProof/>
          <w:color w:val="000000" w:themeColor="text1"/>
          <w:szCs w:val="24"/>
        </w:rPr>
        <w:footnoteReference w:id="28"/>
      </w:r>
      <w:r>
        <w:rPr>
          <w:rStyle w:val="Hyperlink"/>
          <w:noProof/>
          <w:color w:val="000000" w:themeColor="text1"/>
          <w:szCs w:val="24"/>
          <w:u w:val="none"/>
        </w:rPr>
        <w:t>, o Comité de Ministros do Conselho da Europa manifestou preocupação em relação ao «efeito inibidor» da liberdade de expressão dos juízes e dos presidentes dos tribunais</w:t>
      </w:r>
      <w:r>
        <w:rPr>
          <w:rStyle w:val="FootnoteReference"/>
          <w:noProof/>
          <w:color w:val="000000" w:themeColor="text1"/>
          <w:szCs w:val="24"/>
        </w:rPr>
        <w:footnoteReference w:id="29"/>
      </w:r>
      <w:r>
        <w:rPr>
          <w:noProof/>
        </w:rPr>
        <w:t>.</w:t>
      </w:r>
    </w:p>
    <w:p>
      <w:pPr>
        <w:rPr>
          <w:noProof/>
          <w:szCs w:val="24"/>
        </w:rPr>
      </w:pPr>
      <w:r>
        <w:rPr>
          <w:b/>
          <w:noProof/>
          <w:szCs w:val="24"/>
        </w:rPr>
        <w:t xml:space="preserve">Foram introduzidas novas regras especiais para as nomeações judiciais para o </w:t>
      </w:r>
      <w:r>
        <w:rPr>
          <w:b/>
          <w:i/>
          <w:noProof/>
          <w:szCs w:val="24"/>
        </w:rPr>
        <w:t>Kúria</w:t>
      </w:r>
      <w:r>
        <w:rPr>
          <w:noProof/>
        </w:rPr>
        <w:t xml:space="preserve">. O número de cargos judiciais no </w:t>
      </w:r>
      <w:r>
        <w:rPr>
          <w:i/>
          <w:noProof/>
          <w:szCs w:val="24"/>
        </w:rPr>
        <w:t>Kúria</w:t>
      </w:r>
      <w:r>
        <w:rPr>
          <w:noProof/>
        </w:rPr>
        <w:t xml:space="preserve"> não é definido na legislação, sendo determinado pelo presidente do GJN</w:t>
      </w:r>
      <w:r>
        <w:rPr>
          <w:rStyle w:val="FootnoteReference"/>
          <w:noProof/>
          <w:szCs w:val="24"/>
        </w:rPr>
        <w:footnoteReference w:id="30"/>
      </w:r>
      <w:r>
        <w:rPr>
          <w:noProof/>
        </w:rPr>
        <w:t xml:space="preserve">. De acordo com o procedimento normal, os juízes são nomeados para o </w:t>
      </w:r>
      <w:r>
        <w:rPr>
          <w:i/>
          <w:noProof/>
          <w:szCs w:val="24"/>
        </w:rPr>
        <w:t>Kúria</w:t>
      </w:r>
      <w:r>
        <w:rPr>
          <w:noProof/>
        </w:rPr>
        <w:t xml:space="preserve"> pelo seu presidente, na sequência de um convite à apresentação de candidaturas, com base num parecer do departamento competente do </w:t>
      </w:r>
      <w:r>
        <w:rPr>
          <w:i/>
          <w:noProof/>
          <w:szCs w:val="24"/>
        </w:rPr>
        <w:t>Kúria</w:t>
      </w:r>
      <w:r>
        <w:rPr>
          <w:noProof/>
        </w:rPr>
        <w:t xml:space="preserve"> e numa avaliação e classificação dos candidatos pelo conselho judicial do </w:t>
      </w:r>
      <w:r>
        <w:rPr>
          <w:i/>
          <w:noProof/>
          <w:szCs w:val="24"/>
        </w:rPr>
        <w:t>Kúria</w:t>
      </w:r>
      <w:r>
        <w:rPr>
          <w:rStyle w:val="FootnoteReference"/>
          <w:noProof/>
          <w:szCs w:val="24"/>
        </w:rPr>
        <w:footnoteReference w:id="31"/>
      </w:r>
      <w:r>
        <w:rPr>
          <w:noProof/>
        </w:rPr>
        <w:t>. Legislação geral introduzida em dezembro de 2019</w:t>
      </w:r>
      <w:r>
        <w:rPr>
          <w:rStyle w:val="FootnoteReference"/>
          <w:noProof/>
          <w:szCs w:val="24"/>
        </w:rPr>
        <w:footnoteReference w:id="32"/>
      </w:r>
      <w:r>
        <w:rPr>
          <w:noProof/>
        </w:rPr>
        <w:t xml:space="preserve"> permite que os membros do Tribunal Constitucional, que são eleitos pelo Parlamento, solicitem a sua nomeação como juízes</w:t>
      </w:r>
      <w:r>
        <w:rPr>
          <w:rStyle w:val="FootnoteReference"/>
          <w:noProof/>
          <w:szCs w:val="24"/>
        </w:rPr>
        <w:footnoteReference w:id="33"/>
      </w:r>
      <w:r>
        <w:rPr>
          <w:noProof/>
        </w:rPr>
        <w:t xml:space="preserve"> sem procedimento de candidatura. Após terem adquirido o estatuto de juiz, os membros do Tribunal Constitucional podem solicitar a nomeação para o </w:t>
      </w:r>
      <w:r>
        <w:rPr>
          <w:i/>
          <w:noProof/>
          <w:szCs w:val="24"/>
        </w:rPr>
        <w:t>Kúria</w:t>
      </w:r>
      <w:r>
        <w:rPr>
          <w:noProof/>
        </w:rPr>
        <w:t xml:space="preserve"> após o termo do seu mandato, não tendo de seguir o procedimento normal de nomeação. Em consequência, na prática, a eleição pelo Parlamento para o Tribunal Constitucional, que não implica a participação num órgão substancialmente baseado no poder judicial, pode, por si só, conduzir à nomeação como juiz do </w:t>
      </w:r>
      <w:r>
        <w:rPr>
          <w:i/>
          <w:noProof/>
        </w:rPr>
        <w:t>Kúria</w:t>
      </w:r>
      <w:r>
        <w:rPr>
          <w:noProof/>
        </w:rPr>
        <w:t>, se o juiz em questão o requerer</w:t>
      </w:r>
      <w:r>
        <w:rPr>
          <w:rStyle w:val="FootnoteReference"/>
          <w:noProof/>
          <w:szCs w:val="24"/>
        </w:rPr>
        <w:footnoteReference w:id="34"/>
      </w:r>
      <w:r>
        <w:rPr>
          <w:rStyle w:val="Bodytext2"/>
          <w:noProof/>
        </w:rPr>
        <w:t>.</w:t>
      </w:r>
      <w:r>
        <w:rPr>
          <w:rStyle w:val="Bodytext2"/>
          <w:noProof/>
          <w:szCs w:val="24"/>
        </w:rPr>
        <w:t xml:space="preserve"> </w:t>
      </w:r>
      <w:r>
        <w:rPr>
          <w:noProof/>
        </w:rPr>
        <w:t xml:space="preserve">Estas alterações legislativas reforçaram de facto o papel do Parlamento nas nomeações judiciais para o </w:t>
      </w:r>
      <w:r>
        <w:rPr>
          <w:i/>
          <w:noProof/>
          <w:szCs w:val="24"/>
        </w:rPr>
        <w:t xml:space="preserve">Kúria. </w:t>
      </w:r>
      <w:r>
        <w:rPr>
          <w:noProof/>
        </w:rPr>
        <w:t xml:space="preserve">Acresce que </w:t>
      </w:r>
      <w:r>
        <w:rPr>
          <w:rStyle w:val="Bodytext2"/>
          <w:noProof/>
          <w:szCs w:val="24"/>
        </w:rPr>
        <w:t xml:space="preserve">o presidente do </w:t>
      </w:r>
      <w:r>
        <w:rPr>
          <w:rStyle w:val="Bodytext2"/>
          <w:i/>
          <w:noProof/>
          <w:szCs w:val="24"/>
        </w:rPr>
        <w:t>Kúria</w:t>
      </w:r>
      <w:r>
        <w:rPr>
          <w:rStyle w:val="Bodytext2"/>
          <w:noProof/>
          <w:szCs w:val="24"/>
        </w:rPr>
        <w:t xml:space="preserve"> é eleito pelo Parlamento, sob proposta do presidente da República, de entre os juízes – não necessariamente do </w:t>
      </w:r>
      <w:r>
        <w:rPr>
          <w:rStyle w:val="Bodytext2"/>
          <w:i/>
          <w:noProof/>
          <w:szCs w:val="24"/>
        </w:rPr>
        <w:t>Kúria</w:t>
      </w:r>
      <w:r>
        <w:rPr>
          <w:rStyle w:val="Bodytext2"/>
          <w:noProof/>
          <w:szCs w:val="24"/>
        </w:rPr>
        <w:t xml:space="preserve"> – com pelo menos cinco anos de experiência como juiz</w:t>
      </w:r>
      <w:r>
        <w:rPr>
          <w:rStyle w:val="FootnoteReference"/>
          <w:noProof/>
          <w:szCs w:val="24"/>
        </w:rPr>
        <w:footnoteReference w:id="35"/>
      </w:r>
      <w:r>
        <w:rPr>
          <w:rStyle w:val="Bodytext2"/>
          <w:noProof/>
          <w:szCs w:val="24"/>
        </w:rPr>
        <w:t xml:space="preserve">. </w:t>
      </w:r>
      <w:r>
        <w:rPr>
          <w:rStyle w:val="Bodytext2"/>
          <w:noProof/>
        </w:rPr>
        <w:t>Desde</w:t>
      </w:r>
      <w:r>
        <w:rPr>
          <w:noProof/>
        </w:rPr>
        <w:t xml:space="preserve"> 1 de janeiro de 2020, as regras de seleção do presidente do </w:t>
      </w:r>
      <w:r>
        <w:rPr>
          <w:i/>
          <w:noProof/>
          <w:szCs w:val="24"/>
        </w:rPr>
        <w:t>Kúria</w:t>
      </w:r>
      <w:r>
        <w:rPr>
          <w:noProof/>
        </w:rPr>
        <w:t xml:space="preserve"> foram igualmente alteradas</w:t>
      </w:r>
      <w:r>
        <w:rPr>
          <w:rStyle w:val="FootnoteReference"/>
          <w:noProof/>
          <w:szCs w:val="24"/>
        </w:rPr>
        <w:footnoteReference w:id="36"/>
      </w:r>
      <w:r>
        <w:rPr>
          <w:noProof/>
        </w:rPr>
        <w:t xml:space="preserve"> e passaram a permitir que o tempo de serviço como referendário sénior</w:t>
      </w:r>
      <w:r>
        <w:rPr>
          <w:rStyle w:val="FootnoteReference"/>
          <w:noProof/>
          <w:szCs w:val="24"/>
        </w:rPr>
        <w:footnoteReference w:id="37"/>
      </w:r>
      <w:r>
        <w:rPr>
          <w:noProof/>
        </w:rPr>
        <w:t xml:space="preserve"> no Tribunal Constitucional ou num tribunal internacional seja tido em conta para o cálculo da «experiência como juiz». Este alargamento dos critérios de elegibilidade aumenta o leque de candidatos que podem ser eleitos para o cargo de presidente do </w:t>
      </w:r>
      <w:r>
        <w:rPr>
          <w:i/>
          <w:noProof/>
          <w:szCs w:val="24"/>
        </w:rPr>
        <w:t>Kúria</w:t>
      </w:r>
      <w:r>
        <w:rPr>
          <w:noProof/>
        </w:rPr>
        <w:t>, bem como o poder discricionário do presidente da República nesta matéria.</w:t>
      </w:r>
    </w:p>
    <w:p>
      <w:pPr>
        <w:rPr>
          <w:b/>
          <w:noProof/>
          <w:szCs w:val="24"/>
        </w:rPr>
      </w:pPr>
      <w:r>
        <w:rPr>
          <w:b/>
          <w:noProof/>
          <w:szCs w:val="24"/>
        </w:rPr>
        <w:t xml:space="preserve">A legislação geral introduziu alterações estruturais no sistema judicial existente, com vista a tornar a justiça administrativa mais rápida e previsível. </w:t>
      </w:r>
      <w:r>
        <w:rPr>
          <w:noProof/>
        </w:rPr>
        <w:t xml:space="preserve">Foram abolidos os tribunais distritais administrativos e de trabalho. A partir de 1 de abril de 2020, os processos administrativos em primeira instância são julgados por oito tribunais regionais designados e todos os recursos ordinários ou extraordinários são apreciados pelo </w:t>
      </w:r>
      <w:r>
        <w:rPr>
          <w:i/>
          <w:noProof/>
          <w:szCs w:val="24"/>
        </w:rPr>
        <w:t>Kúria</w:t>
      </w:r>
      <w:r>
        <w:rPr>
          <w:noProof/>
        </w:rPr>
        <w:t>. Foi abandonado o estabelecimento previsto de um sistema judicial administrativo distinto</w:t>
      </w:r>
      <w:r>
        <w:rPr>
          <w:rStyle w:val="FootnoteReference"/>
          <w:noProof/>
          <w:szCs w:val="24"/>
        </w:rPr>
        <w:footnoteReference w:id="38"/>
      </w:r>
      <w:r>
        <w:rPr>
          <w:noProof/>
        </w:rPr>
        <w:t>.</w:t>
      </w:r>
    </w:p>
    <w:p>
      <w:pPr>
        <w:pStyle w:val="Text2"/>
        <w:ind w:left="0"/>
        <w:rPr>
          <w:noProof/>
        </w:rPr>
      </w:pPr>
      <w:r>
        <w:rPr>
          <w:b/>
          <w:noProof/>
        </w:rPr>
        <w:t>Os salários do sistema judicial foram aumentados em janeiro de 2020, estando em vigor um sistema de bónus.</w:t>
      </w:r>
      <w:r>
        <w:rPr>
          <w:noProof/>
        </w:rPr>
        <w:t xml:space="preserve"> Nos termos da legislação geral, os salários do sistema judicial serão aumentados em 60 % ao longo de um período de três anos. O aumento da remuneração dos juízes é uma evolução positiva, uma vez que os salários dos juízes húngaros eram dos mais baixos da UE</w:t>
      </w:r>
      <w:r>
        <w:rPr>
          <w:rStyle w:val="FootnoteReference"/>
          <w:noProof/>
        </w:rPr>
        <w:footnoteReference w:id="39"/>
      </w:r>
      <w:r>
        <w:rPr>
          <w:noProof/>
        </w:rPr>
        <w:t>. Este aumento contribui para reforçar a independência judicial</w:t>
      </w:r>
      <w:r>
        <w:rPr>
          <w:rStyle w:val="FootnoteReference"/>
          <w:noProof/>
        </w:rPr>
        <w:footnoteReference w:id="40"/>
      </w:r>
      <w:r>
        <w:rPr>
          <w:noProof/>
        </w:rPr>
        <w:t>. No entanto, surgiram preocupações</w:t>
      </w:r>
      <w:r>
        <w:rPr>
          <w:rStyle w:val="FootnoteReference"/>
          <w:noProof/>
        </w:rPr>
        <w:footnoteReference w:id="41"/>
      </w:r>
      <w:r>
        <w:rPr>
          <w:noProof/>
        </w:rPr>
        <w:t xml:space="preserve"> quanto à possibilidade de as autoridades que gerem os tribunais atribuírem bónus</w:t>
      </w:r>
      <w:r>
        <w:rPr>
          <w:rStyle w:val="FootnoteReference"/>
          <w:noProof/>
        </w:rPr>
        <w:footnoteReference w:id="42"/>
      </w:r>
      <w:r>
        <w:rPr>
          <w:noProof/>
        </w:rPr>
        <w:t xml:space="preserve"> aos juízes numa base discricionária, sem critérios objetivos e transparentes</w:t>
      </w:r>
      <w:r>
        <w:rPr>
          <w:rStyle w:val="FootnoteReference"/>
          <w:noProof/>
        </w:rPr>
        <w:footnoteReference w:id="43"/>
      </w:r>
      <w:r>
        <w:rPr>
          <w:noProof/>
        </w:rPr>
        <w:t>. De acordo com o Conselho da Europa, os sistemas que tornem a remuneração de base dos juízes dependente do desempenho devem ser evitados, uma vez que podem criar entraves à independência dos juízes</w:t>
      </w:r>
      <w:r>
        <w:rPr>
          <w:rStyle w:val="FootnoteReference"/>
          <w:noProof/>
        </w:rPr>
        <w:footnoteReference w:id="44"/>
      </w:r>
      <w:r>
        <w:rPr>
          <w:noProof/>
        </w:rPr>
        <w:t>. O impacto de tal sistema na independência do poder judicial é objeto de uma questão prejudicial submetida ao Tribunal de Justiça</w:t>
      </w:r>
      <w:r>
        <w:rPr>
          <w:rStyle w:val="FootnoteReference"/>
          <w:noProof/>
        </w:rPr>
        <w:footnoteReference w:id="45"/>
      </w:r>
      <w:r>
        <w:rPr>
          <w:noProof/>
        </w:rPr>
        <w:t>.</w:t>
      </w:r>
    </w:p>
    <w:p>
      <w:pPr>
        <w:rPr>
          <w:b/>
          <w:noProof/>
          <w:szCs w:val="24"/>
        </w:rPr>
      </w:pPr>
      <w:r>
        <w:rPr>
          <w:rStyle w:val="Hyperlink"/>
          <w:b/>
          <w:noProof/>
          <w:color w:val="000000" w:themeColor="text1"/>
          <w:szCs w:val="24"/>
          <w:u w:val="none"/>
        </w:rPr>
        <w:t xml:space="preserve">Apesar de alguns aspetos relacionados com a organização do Ministério Público terem sido resolvidos, outros continuam a suscitar preocupação. </w:t>
      </w:r>
      <w:r>
        <w:rPr>
          <w:rStyle w:val="Hyperlink"/>
          <w:noProof/>
          <w:color w:val="000000" w:themeColor="text1"/>
          <w:szCs w:val="24"/>
          <w:u w:val="none"/>
        </w:rPr>
        <w:t>Em novembro de 2019, o procurador-geral foi reeleito pelo Parlamento por maioria de dois terços, por um período de nove anos</w:t>
      </w:r>
      <w:r>
        <w:rPr>
          <w:rStyle w:val="FootnoteReference"/>
          <w:noProof/>
          <w:color w:val="000000" w:themeColor="text1"/>
          <w:szCs w:val="24"/>
        </w:rPr>
        <w:footnoteReference w:id="46"/>
      </w:r>
      <w:r>
        <w:rPr>
          <w:rStyle w:val="Hyperlink"/>
          <w:noProof/>
          <w:color w:val="000000" w:themeColor="text1"/>
          <w:szCs w:val="24"/>
          <w:u w:val="none"/>
        </w:rPr>
        <w:t>. O Ministério Público está organizado numa estrutura estritamente hierárquica</w:t>
      </w:r>
      <w:r>
        <w:rPr>
          <w:rStyle w:val="FootnoteReference"/>
          <w:noProof/>
          <w:color w:val="000000" w:themeColor="text1"/>
          <w:szCs w:val="24"/>
        </w:rPr>
        <w:footnoteReference w:id="47"/>
      </w:r>
      <w:r>
        <w:rPr>
          <w:rStyle w:val="Hyperlink"/>
          <w:noProof/>
          <w:color w:val="000000" w:themeColor="text1"/>
          <w:szCs w:val="24"/>
          <w:u w:val="none"/>
        </w:rPr>
        <w:t>. Embora a independência do Ministério Público esteja consagrada na lei</w:t>
      </w:r>
      <w:r>
        <w:rPr>
          <w:rStyle w:val="FootnoteReference"/>
          <w:noProof/>
          <w:color w:val="000000" w:themeColor="text1"/>
          <w:szCs w:val="24"/>
        </w:rPr>
        <w:footnoteReference w:id="48"/>
      </w:r>
      <w:r>
        <w:rPr>
          <w:rStyle w:val="Hyperlink"/>
          <w:noProof/>
          <w:color w:val="000000" w:themeColor="text1"/>
          <w:szCs w:val="24"/>
          <w:u w:val="none"/>
        </w:rPr>
        <w:t>, alguns elementos do quadro jurídico levaram o GRECO a emitir recomendações no sentido de alterar as regras de nomeação do procurador-geral, de forma a salvaguardar o cargo da influência política</w:t>
      </w:r>
      <w:r>
        <w:rPr>
          <w:rStyle w:val="FootnoteReference"/>
          <w:noProof/>
          <w:szCs w:val="24"/>
        </w:rPr>
        <w:footnoteReference w:id="49"/>
      </w:r>
      <w:r>
        <w:rPr>
          <w:rStyle w:val="Hyperlink"/>
          <w:noProof/>
          <w:color w:val="000000" w:themeColor="text1"/>
          <w:szCs w:val="24"/>
          <w:u w:val="none"/>
        </w:rPr>
        <w:t>. O GRECO recomendou igualmente a introdução de critérios rigorosos para orientar e justificar as decisões de retirar processos aos procuradores subordinados, e apelou à revisão da forma como são tratados os processos disciplinares</w:t>
      </w:r>
      <w:r>
        <w:rPr>
          <w:rStyle w:val="FootnoteReference"/>
          <w:noProof/>
          <w:color w:val="000000" w:themeColor="text1"/>
          <w:szCs w:val="24"/>
        </w:rPr>
        <w:footnoteReference w:id="50"/>
      </w:r>
      <w:r>
        <w:rPr>
          <w:rStyle w:val="Hyperlink"/>
          <w:noProof/>
          <w:color w:val="000000" w:themeColor="text1"/>
          <w:szCs w:val="24"/>
          <w:u w:val="none"/>
        </w:rPr>
        <w:t>. Embora a maioria das recomendações do GRECO tenha sido abordada</w:t>
      </w:r>
      <w:r>
        <w:rPr>
          <w:rStyle w:val="FootnoteReference"/>
          <w:noProof/>
          <w:color w:val="000000" w:themeColor="text1"/>
          <w:szCs w:val="24"/>
        </w:rPr>
        <w:footnoteReference w:id="51"/>
      </w:r>
      <w:r>
        <w:rPr>
          <w:rStyle w:val="Hyperlink"/>
          <w:noProof/>
          <w:color w:val="000000" w:themeColor="text1"/>
          <w:szCs w:val="24"/>
          <w:u w:val="none"/>
        </w:rPr>
        <w:t>, a aplicação integral das recomendações pendentes teria também um impacto positivo no quadro da luta contra a corrupção.</w:t>
      </w:r>
    </w:p>
    <w:p>
      <w:pPr>
        <w:rPr>
          <w:b/>
          <w:noProof/>
          <w:szCs w:val="24"/>
        </w:rPr>
      </w:pPr>
      <w:r>
        <w:rPr>
          <w:b/>
          <w:noProof/>
          <w:szCs w:val="24"/>
        </w:rPr>
        <w:t>Qualidade</w:t>
      </w:r>
    </w:p>
    <w:p>
      <w:pPr>
        <w:rPr>
          <w:noProof/>
          <w:szCs w:val="24"/>
        </w:rPr>
      </w:pPr>
      <w:r>
        <w:rPr>
          <w:b/>
          <w:noProof/>
          <w:szCs w:val="24"/>
        </w:rPr>
        <w:t>A digitalização do sistema judicial é globalmente elevada.</w:t>
      </w:r>
      <w:r>
        <w:rPr>
          <w:noProof/>
        </w:rPr>
        <w:t xml:space="preserve"> A Hungria ocupa uma posição muito elevada no que se refere à disponibilidade de meios eletrónicos</w:t>
      </w:r>
      <w:r>
        <w:rPr>
          <w:rStyle w:val="FootnoteReference"/>
          <w:noProof/>
          <w:szCs w:val="24"/>
        </w:rPr>
        <w:footnoteReference w:id="52"/>
      </w:r>
      <w:r>
        <w:rPr>
          <w:noProof/>
        </w:rPr>
        <w:t xml:space="preserve"> para o acesso em linha do público aos acórdãos publicados</w:t>
      </w:r>
      <w:r>
        <w:rPr>
          <w:rStyle w:val="FootnoteReference"/>
          <w:noProof/>
          <w:szCs w:val="24"/>
        </w:rPr>
        <w:footnoteReference w:id="53"/>
      </w:r>
      <w:r>
        <w:rPr>
          <w:noProof/>
        </w:rPr>
        <w:t>. Também apresenta bons resultados no que respeita à produção de decisões judiciais em formato legível por máquina, embora os acórdãos não respeitem modelos formatados de forma a permitir a sua legibilidade por máquina</w:t>
      </w:r>
      <w:r>
        <w:rPr>
          <w:rStyle w:val="FootnoteReference"/>
          <w:noProof/>
          <w:szCs w:val="24"/>
        </w:rPr>
        <w:footnoteReference w:id="54"/>
      </w:r>
      <w:r>
        <w:rPr>
          <w:noProof/>
        </w:rPr>
        <w:t>. Além disso, a Hungria tem muito bons resultados no que se refere à promoção e incentivos à utilização de métodos alternativos de resolução de litígios</w:t>
      </w:r>
      <w:r>
        <w:rPr>
          <w:rStyle w:val="FootnoteReference"/>
          <w:noProof/>
          <w:szCs w:val="24"/>
        </w:rPr>
        <w:footnoteReference w:id="55"/>
      </w:r>
      <w:r>
        <w:rPr>
          <w:noProof/>
        </w:rPr>
        <w:t>. No entanto, as custas judiciais continuam a ser elevadas</w:t>
      </w:r>
      <w:r>
        <w:rPr>
          <w:rStyle w:val="FootnoteReference"/>
          <w:noProof/>
          <w:szCs w:val="24"/>
        </w:rPr>
        <w:footnoteReference w:id="56"/>
      </w:r>
      <w:r>
        <w:rPr>
          <w:noProof/>
        </w:rPr>
        <w:t xml:space="preserve"> e existem preocupações quanto ao nível de inclusividade do regime de apoio judiciário</w:t>
      </w:r>
      <w:r>
        <w:rPr>
          <w:rStyle w:val="FootnoteReference"/>
          <w:noProof/>
          <w:szCs w:val="24"/>
        </w:rPr>
        <w:footnoteReference w:id="57"/>
      </w:r>
      <w:r>
        <w:rPr>
          <w:noProof/>
        </w:rPr>
        <w:t xml:space="preserve">. As medidas governamentais de resposta à pandemia de COVID-19 tiveram impacto no funcionamento dos tribunais. Em 14 de março de 2020, na sequência de uma proposta do presidente do GJN, do presidente do </w:t>
      </w:r>
      <w:r>
        <w:rPr>
          <w:i/>
          <w:noProof/>
          <w:szCs w:val="24"/>
        </w:rPr>
        <w:t>Kúria</w:t>
      </w:r>
      <w:r>
        <w:rPr>
          <w:noProof/>
        </w:rPr>
        <w:t xml:space="preserve"> e do procurador-geral, o Governo ordenou por decreto a suspensão do funcionamento dos tribunais húngaros, com exceção de determinados processos urgentes, por um período de tempo indeterminado</w:t>
      </w:r>
      <w:r>
        <w:rPr>
          <w:rStyle w:val="FootnoteReference"/>
          <w:noProof/>
          <w:szCs w:val="24"/>
        </w:rPr>
        <w:footnoteReference w:id="58"/>
      </w:r>
      <w:r>
        <w:rPr>
          <w:noProof/>
        </w:rPr>
        <w:t>. Contudo, em 30 de março de 2020, este decreto tornou-se ineficaz</w:t>
      </w:r>
      <w:r>
        <w:rPr>
          <w:rStyle w:val="FootnoteReference"/>
          <w:noProof/>
          <w:szCs w:val="24"/>
        </w:rPr>
        <w:footnoteReference w:id="59"/>
      </w:r>
      <w:r>
        <w:rPr>
          <w:noProof/>
        </w:rPr>
        <w:t>. Em 31 de março de 2020, o Governo introduziu alterações às leis processuais destinadas a facilitar o funcionamento do sistema judicial durante o «estado de emergência»</w:t>
      </w:r>
      <w:r>
        <w:rPr>
          <w:rStyle w:val="FootnoteReference"/>
          <w:noProof/>
          <w:szCs w:val="24"/>
        </w:rPr>
        <w:footnoteReference w:id="60"/>
      </w:r>
      <w:r>
        <w:rPr>
          <w:noProof/>
        </w:rPr>
        <w:t>.</w:t>
      </w:r>
    </w:p>
    <w:p>
      <w:pPr>
        <w:rPr>
          <w:b/>
          <w:noProof/>
          <w:szCs w:val="24"/>
        </w:rPr>
      </w:pPr>
      <w:r>
        <w:rPr>
          <w:b/>
          <w:noProof/>
          <w:szCs w:val="24"/>
        </w:rPr>
        <w:t>Eficiência</w:t>
      </w:r>
    </w:p>
    <w:p>
      <w:pPr>
        <w:rPr>
          <w:noProof/>
          <w:szCs w:val="24"/>
        </w:rPr>
      </w:pPr>
      <w:r>
        <w:rPr>
          <w:b/>
          <w:noProof/>
          <w:szCs w:val="24"/>
        </w:rPr>
        <w:t>Nos processos cíveis e administrativos, a eficiência é elevada.</w:t>
      </w:r>
      <w:r>
        <w:rPr>
          <w:noProof/>
        </w:rPr>
        <w:t xml:space="preserve"> De acordo com o Painel de Avaliação da Justiça na UE de 2020, a Hungria tem um desempenho muito bom no que diz respeito ao tempo estimado necessário para resolver processos administrativos em primeira instância e ao número de processos administrativos pendentes nos tribunais de primeira instância</w:t>
      </w:r>
      <w:r>
        <w:rPr>
          <w:rFonts w:eastAsia="Calibri"/>
          <w:noProof/>
          <w:szCs w:val="24"/>
          <w:vertAlign w:val="superscript"/>
        </w:rPr>
        <w:footnoteReference w:id="61"/>
      </w:r>
      <w:r>
        <w:rPr>
          <w:noProof/>
        </w:rPr>
        <w:t>. A Hungria também tem um bom desempenho no que se refere ao tempo estimado necessário para a resolver processos contenciosos em matéria civil e comercial</w:t>
      </w:r>
      <w:r>
        <w:rPr>
          <w:rStyle w:val="FootnoteReference"/>
          <w:rFonts w:eastAsia="Calibri"/>
          <w:noProof/>
          <w:szCs w:val="24"/>
        </w:rPr>
        <w:footnoteReference w:id="62"/>
      </w:r>
      <w:r>
        <w:rPr>
          <w:noProof/>
        </w:rPr>
        <w:t>. Os novos Códigos de Processo Civil</w:t>
      </w:r>
      <w:r>
        <w:rPr>
          <w:rStyle w:val="FootnoteReference"/>
          <w:rFonts w:eastAsia="Calibri"/>
          <w:noProof/>
          <w:szCs w:val="24"/>
        </w:rPr>
        <w:footnoteReference w:id="63"/>
      </w:r>
      <w:r>
        <w:rPr>
          <w:noProof/>
        </w:rPr>
        <w:t>, de Processo Administrativo</w:t>
      </w:r>
      <w:r>
        <w:rPr>
          <w:rStyle w:val="FootnoteReference"/>
          <w:rFonts w:eastAsia="Calibri"/>
          <w:noProof/>
          <w:szCs w:val="24"/>
        </w:rPr>
        <w:footnoteReference w:id="64"/>
      </w:r>
      <w:r>
        <w:rPr>
          <w:noProof/>
        </w:rPr>
        <w:t xml:space="preserve"> e de Processo Penal</w:t>
      </w:r>
      <w:r>
        <w:rPr>
          <w:rStyle w:val="FootnoteReference"/>
          <w:rFonts w:eastAsia="Calibri"/>
          <w:noProof/>
          <w:szCs w:val="24"/>
        </w:rPr>
        <w:footnoteReference w:id="65"/>
      </w:r>
      <w:r>
        <w:rPr>
          <w:noProof/>
        </w:rPr>
        <w:t xml:space="preserve"> entraram em vigor em 2018. Estas novas regras poderão facilitar a audição de processos civis e penais e o controlo jurisdicional das decisões administrativas num prazo razoável</w:t>
      </w:r>
      <w:r>
        <w:rPr>
          <w:rStyle w:val="FootnoteReference"/>
          <w:rFonts w:eastAsia="Calibri"/>
          <w:noProof/>
          <w:szCs w:val="24"/>
        </w:rPr>
        <w:footnoteReference w:id="66"/>
      </w:r>
      <w:r>
        <w:rPr>
          <w:noProof/>
        </w:rPr>
        <w:t>.</w:t>
      </w:r>
    </w:p>
    <w:p>
      <w:pPr>
        <w:rPr>
          <w:rStyle w:val="Hyperlink"/>
          <w:i/>
          <w:noProof/>
          <w:color w:val="000000" w:themeColor="text1"/>
          <w:szCs w:val="24"/>
          <w:u w:val="none"/>
        </w:rPr>
      </w:pPr>
      <w:r>
        <w:rPr>
          <w:b/>
          <w:noProof/>
          <w:szCs w:val="24"/>
        </w:rPr>
        <w:t>Continuam a não existir vias de recurso eficazes para os processos excessivamente morosos.</w:t>
      </w:r>
      <w:r>
        <w:rPr>
          <w:noProof/>
        </w:rPr>
        <w:t xml:space="preserve"> </w:t>
      </w:r>
      <w:r>
        <w:rPr>
          <w:rStyle w:val="Hyperlink"/>
          <w:noProof/>
          <w:color w:val="000000" w:themeColor="text1"/>
          <w:szCs w:val="24"/>
          <w:u w:val="none"/>
        </w:rPr>
        <w:t>A execução do acórdão do Tribunal Europeu dos Direitos Humanos</w:t>
      </w:r>
      <w:r>
        <w:rPr>
          <w:noProof/>
          <w:szCs w:val="24"/>
        </w:rPr>
        <w:t xml:space="preserve"> </w:t>
      </w:r>
      <w:r>
        <w:rPr>
          <w:i/>
          <w:noProof/>
          <w:szCs w:val="24"/>
        </w:rPr>
        <w:t>Gazó/Hungria</w:t>
      </w:r>
      <w:r>
        <w:rPr>
          <w:rStyle w:val="Hyperlink"/>
          <w:noProof/>
          <w:color w:val="000000" w:themeColor="text1"/>
          <w:szCs w:val="24"/>
          <w:u w:val="none"/>
        </w:rPr>
        <w:t xml:space="preserve"> ainda está em curso e a Hungria continua sob supervisão reforçada do Comité de Ministros do Conselho da Europa</w:t>
      </w:r>
      <w:r>
        <w:rPr>
          <w:rStyle w:val="FootnoteReference"/>
          <w:noProof/>
          <w:color w:val="000000" w:themeColor="text1"/>
          <w:szCs w:val="24"/>
        </w:rPr>
        <w:footnoteReference w:id="67"/>
      </w:r>
      <w:r>
        <w:rPr>
          <w:rStyle w:val="Hyperlink"/>
          <w:i/>
          <w:noProof/>
          <w:color w:val="000000" w:themeColor="text1"/>
          <w:szCs w:val="24"/>
          <w:u w:val="none"/>
        </w:rPr>
        <w:t>.</w:t>
      </w:r>
    </w:p>
    <w:p>
      <w:pPr>
        <w:pStyle w:val="ListParagraph"/>
        <w:numPr>
          <w:ilvl w:val="0"/>
          <w:numId w:val="20"/>
        </w:numPr>
        <w:spacing w:after="240"/>
        <w:ind w:left="567" w:hanging="329"/>
        <w:contextualSpacing w:val="0"/>
        <w:rPr>
          <w:rFonts w:ascii="Times New Roman" w:hAnsi="Times New Roman" w:cs="Times New Roman"/>
          <w:b/>
          <w:smallCaps/>
          <w:noProof/>
          <w:sz w:val="24"/>
          <w:u w:val="single"/>
        </w:rPr>
      </w:pPr>
      <w:r>
        <w:rPr>
          <w:rFonts w:ascii="Times New Roman" w:hAnsi="Times New Roman"/>
          <w:b/>
          <w:smallCaps/>
          <w:noProof/>
          <w:sz w:val="24"/>
          <w:u w:val="single"/>
        </w:rPr>
        <w:t>Quadro de combate à corrupção</w:t>
      </w:r>
    </w:p>
    <w:p>
      <w:pPr>
        <w:rPr>
          <w:noProof/>
          <w:szCs w:val="24"/>
        </w:rPr>
      </w:pPr>
      <w:r>
        <w:rPr>
          <w:noProof/>
        </w:rPr>
        <w:t>A competência para prevenir, investigar e julgar crimes de corrupção é partilhada entre diferentes autoridades especializadas. Na Hungria, a coordenação das atividades de luta contra a corrupção é assegurada pelo Serviço Nacional de Proteção (NVSZ) sob a supervisão do Ministério do Interior. A investigação e a repressão da corrupção no setor público são da competência exclusiva da Divisão Central de Investigação da Procuradoria-Geral e de cinco serviços regionais. O Ministério Público é apoiado pelos serviços de investigação da polícia e pelo Serviço Nacional de Proteção. O Serviço Nacional de Auditoria é competente para a gestão financeira dos fundos públicos e para realizar auditorias aos partidos políticos.</w:t>
      </w:r>
    </w:p>
    <w:p>
      <w:pPr>
        <w:rPr>
          <w:noProof/>
          <w:szCs w:val="24"/>
        </w:rPr>
      </w:pPr>
      <w:r>
        <w:rPr>
          <w:b/>
          <w:noProof/>
          <w:szCs w:val="24"/>
        </w:rPr>
        <w:t>No último Índice de Perceção da Corrupção da Transparência Internacional, a Hungria obteve a pontuação de 44/100, tendo ficado classificada em 19.º lugar na União Europeia e em 70.º a nível mundial</w:t>
      </w:r>
      <w:r>
        <w:rPr>
          <w:rStyle w:val="FootnoteReference"/>
          <w:b/>
          <w:noProof/>
          <w:szCs w:val="24"/>
        </w:rPr>
        <w:footnoteReference w:id="68"/>
      </w:r>
      <w:r>
        <w:rPr>
          <w:b/>
          <w:noProof/>
          <w:szCs w:val="24"/>
        </w:rPr>
        <w:t>.</w:t>
      </w:r>
      <w:r>
        <w:rPr>
          <w:noProof/>
        </w:rPr>
        <w:t xml:space="preserve"> Entre os inquiridos húngaros, 87 % consideram que a corrupção é generalizada (média da UE: 71 %) e 32 % consideram que a corrupção afeta a sua vida diária (média da UE: 26 %)</w:t>
      </w:r>
      <w:r>
        <w:rPr>
          <w:rStyle w:val="FootnoteReference"/>
          <w:noProof/>
          <w:szCs w:val="24"/>
        </w:rPr>
        <w:footnoteReference w:id="69"/>
      </w:r>
      <w:r>
        <w:rPr>
          <w:noProof/>
        </w:rPr>
        <w:t>. 80 % das empresas consideram que a corrupção é generalizada (média da UE: 63 %) e 48 % consideram que a corrupção é um obstáculo à atividade empresarial (média da UE: 37 %). 39 % das pessoas consideram ter sido instaurado um número suficiente de ações penais bem sucedidas para dissuadir as pessoas de práticas corruptas (média da UE: 36 %), enquanto 19 % das empresas consideram que as pessoas e as empresas julgadas por subornar um funcionário superior são devidamente punidas (média da UE: 31 %)</w:t>
      </w:r>
      <w:r>
        <w:rPr>
          <w:rStyle w:val="FootnoteReference"/>
          <w:noProof/>
          <w:szCs w:val="24"/>
        </w:rPr>
        <w:footnoteReference w:id="70"/>
      </w:r>
      <w:r>
        <w:rPr>
          <w:noProof/>
        </w:rPr>
        <w:t>.</w:t>
      </w:r>
    </w:p>
    <w:p>
      <w:pPr>
        <w:rPr>
          <w:noProof/>
          <w:szCs w:val="24"/>
        </w:rPr>
      </w:pPr>
      <w:r>
        <w:rPr>
          <w:b/>
          <w:noProof/>
        </w:rPr>
        <w:t>O quadro jurídico-penal de combate à corrupção está, em grande medida, em vigor.</w:t>
      </w:r>
      <w:r>
        <w:rPr>
          <w:b/>
          <w:noProof/>
          <w:szCs w:val="24"/>
        </w:rPr>
        <w:t xml:space="preserve"> </w:t>
      </w:r>
      <w:r>
        <w:rPr>
          <w:noProof/>
        </w:rPr>
        <w:t>O Código Penal inclui as definições de corrupção e delitos conexos e criminaliza diferentes formas de suborno e tráfico de influências, peculato, desvio de fundos públicos e abuso de autoridade pública. Em abril de 2020, foi apresentado um projeto de lei no Parlamento destinado a dar resposta às recomendações formuladas pelo Grupo de Trabalho da OCDE sobre a Corrupção</w:t>
      </w:r>
      <w:r>
        <w:rPr>
          <w:rStyle w:val="FootnoteReference"/>
          <w:noProof/>
          <w:szCs w:val="24"/>
        </w:rPr>
        <w:footnoteReference w:id="71"/>
      </w:r>
      <w:r>
        <w:rPr>
          <w:noProof/>
        </w:rPr>
        <w:t>, nomeadamente a alteração da definição de «funcionário público estrangeiro», a fim de clarificar que inclui funcionários de empresas públicas estrangeiras.</w:t>
      </w:r>
    </w:p>
    <w:p>
      <w:pPr>
        <w:rPr>
          <w:noProof/>
          <w:szCs w:val="24"/>
        </w:rPr>
      </w:pPr>
      <w:r>
        <w:rPr>
          <w:b/>
          <w:noProof/>
        </w:rPr>
        <w:t>As competências em matéria de luta contra a corrupção são partilhadas por diferentes organismos.</w:t>
      </w:r>
      <w:r>
        <w:rPr>
          <w:b/>
          <w:noProof/>
          <w:szCs w:val="24"/>
        </w:rPr>
        <w:t xml:space="preserve"> </w:t>
      </w:r>
      <w:r>
        <w:rPr>
          <w:noProof/>
        </w:rPr>
        <w:t>O Serviço Nacional de Proteção, tutelado pelo Ministério do Interior, é responsável pela coordenação das políticas de luta contra a corrupção. Desde fevereiro de 2019, na sequência de uma revisão do Código de Processo Penal, a investigação e a repressão da corrupção no setor público são da competência exclusiva da Divisão Central de Investigação da Procuradoria-Geral e de cinco serviços regionais. A Divisão investiga casos complexos de corrupção que envolvam pessoas que gozam de imunidade, funcionários públicos estrangeiros, o presidente da República, o primeiro-ministro, membros do Governo e altos funcionários das autoridades de segurança pública. O Ministério Público é apoiado pelos serviços de investigação da polícia e pelo Serviço Nacional de Proteção. O Serviço Nacional de Auditoria também desempenha uma função na aplicação das políticas anticorrupção, nomeadamente através das suas funções de controlo das finanças das instituições públicas e do financiamento dos partidos políticos. O Serviço Nacional de Auditoria realiza ainda inquéritos nacionais regulares sobre a integridade.</w:t>
      </w:r>
    </w:p>
    <w:p>
      <w:pPr>
        <w:rPr>
          <w:noProof/>
          <w:szCs w:val="24"/>
        </w:rPr>
      </w:pPr>
      <w:r>
        <w:rPr>
          <w:b/>
          <w:noProof/>
          <w:szCs w:val="24"/>
        </w:rPr>
        <w:t>Embora, em alguns casos, existam ações penais contra a corrupção de alto nível, estas continuam a ser muito limitadas.</w:t>
      </w:r>
      <w:r>
        <w:rPr>
          <w:noProof/>
        </w:rPr>
        <w:t xml:space="preserve"> No seu Relatório Anual de 2018, a Procuradoria-Geral publicou estatísticas de crimes de corrupção relativas ao período de 2016-2018. De acordo com os dados apresentados, o número de processos registados respeitantes a crimes relacionados com a corrupção aumentou: 984 em 2016, 1 123 em 2017 e 2 046 em 2018. Não obstante, o número de pessoas condenadas manteve-se praticamente inalterado: 250 em 2018, 254 em 2017 e 351 em 2016</w:t>
      </w:r>
      <w:r>
        <w:rPr>
          <w:rStyle w:val="FootnoteReference"/>
          <w:noProof/>
        </w:rPr>
        <w:footnoteReference w:id="72"/>
      </w:r>
      <w:r>
        <w:rPr>
          <w:noProof/>
        </w:rPr>
        <w:t>.</w:t>
      </w:r>
      <w:r>
        <w:rPr>
          <w:b/>
          <w:noProof/>
        </w:rPr>
        <w:t xml:space="preserve"> </w:t>
      </w:r>
      <w:r>
        <w:rPr>
          <w:noProof/>
        </w:rPr>
        <w:t>De acordo com a Procuradoria-Geral, a maior parte dos casos relacionados com a corrupção envolvem funcionários públicos, geralmente das finanças e alfândegas</w:t>
      </w:r>
      <w:r>
        <w:rPr>
          <w:rStyle w:val="FootnoteReference"/>
          <w:noProof/>
          <w:szCs w:val="24"/>
        </w:rPr>
        <w:footnoteReference w:id="73"/>
      </w:r>
      <w:r>
        <w:rPr>
          <w:noProof/>
        </w:rPr>
        <w:t>. O facto de não ter havido ação determinada para instaurar processos judiciais contra a corrupção envolvendo funcionários de alto nível ou o seu círculo imediato foi igualmente abordado no contexto do Semestre Europeu</w:t>
      </w:r>
      <w:r>
        <w:rPr>
          <w:rStyle w:val="FootnoteReference"/>
          <w:noProof/>
          <w:szCs w:val="24"/>
        </w:rPr>
        <w:footnoteReference w:id="74"/>
      </w:r>
      <w:r>
        <w:rPr>
          <w:noProof/>
        </w:rPr>
        <w:t>. Embora o Ministério Público tenha lançado um número limitado de inquéritos relacionados com a corrupção contra membros do Parlamento do partido no poder, não houve, nos últimos anos, quaisquer ações penais contra funcionários governamentais de alto nível.</w:t>
      </w:r>
    </w:p>
    <w:p>
      <w:pPr>
        <w:rPr>
          <w:noProof/>
          <w:szCs w:val="24"/>
        </w:rPr>
      </w:pPr>
      <w:r>
        <w:rPr>
          <w:b/>
          <w:noProof/>
          <w:szCs w:val="24"/>
        </w:rPr>
        <w:t>Na Hungria, as políticas de prevenção da corrupção centraram-se na integridade na administração pública e nos serviços responsáveis pela aplicação da lei.</w:t>
      </w:r>
      <w:r>
        <w:rPr>
          <w:noProof/>
        </w:rPr>
        <w:t xml:space="preserve"> Após o termo do anterior programa de luta contra a corrupção em 2018, em junho de 2020, o Governo adotou</w:t>
      </w:r>
      <w:r>
        <w:rPr>
          <w:rStyle w:val="FootnoteReference"/>
          <w:noProof/>
          <w:szCs w:val="24"/>
        </w:rPr>
        <w:footnoteReference w:id="75"/>
      </w:r>
      <w:r>
        <w:rPr>
          <w:noProof/>
        </w:rPr>
        <w:t xml:space="preserve"> um novo programa que abrange um período de dois anos (2020-2022). A estratégia mantém a tónica na integridade na administração pública, a exemplo dos programas estratégicos anteriores, e prevê ações relacionadas com o reforço da administração eletrónica e com a tomada de decisões automatizada para prevenir a corrupção. Além disso, a estratégia visa o aumento da eficiência das investigações, a avaliação dos riscos de corrupção e do quadro jurídico, bem como a criação de controlos internos na administração pública e o reforço das medidas de integridade. O quadro de integridade confere um papel central aos conselheiros internos para a integridade</w:t>
      </w:r>
      <w:r>
        <w:rPr>
          <w:rStyle w:val="FootnoteReference"/>
          <w:noProof/>
          <w:szCs w:val="24"/>
        </w:rPr>
        <w:footnoteReference w:id="76"/>
      </w:r>
      <w:r>
        <w:rPr>
          <w:noProof/>
        </w:rPr>
        <w:t xml:space="preserve"> das autoridades públicas.</w:t>
      </w:r>
      <w:r>
        <w:rPr>
          <w:b/>
          <w:noProof/>
          <w:szCs w:val="24"/>
        </w:rPr>
        <w:t xml:space="preserve"> </w:t>
      </w:r>
      <w:r>
        <w:rPr>
          <w:noProof/>
        </w:rPr>
        <w:t>Contudo, o quadro estratégico de luta contra a corrupção não inclui ações noutros domínios relevantes para a prevenção da corrupção, como o financiamento dos partidos políticos, as declarações de património ou a regulamentação das atividades dos lóbis e das «portas giratórias». Também não aborda os riscos relacionados com o clientelismo, o favoritismo e o nepotismo na administração pública de alto nível nem os riscos decorrentes da relação entre empresas e políticos. De acordo com o inquérito sobre a integridade de 2019 do Serviço Nacional de Auditoria, apresentam o nível mais elevado de risco de corrupção os órgãos governamentais (50 %), os órgãos de administração local (51 %) e os estabelecimentos de ensino superior (50 %). Durante o período 2015-2019, a Hungria registou o número mais elevado de inquéritos do OLAF (43) encerrados com uma recomendação financeira entre os Estados-Membros</w:t>
      </w:r>
      <w:r>
        <w:rPr>
          <w:rStyle w:val="FootnoteReference"/>
          <w:noProof/>
          <w:szCs w:val="24"/>
        </w:rPr>
        <w:footnoteReference w:id="77"/>
      </w:r>
      <w:r>
        <w:rPr>
          <w:noProof/>
        </w:rPr>
        <w:t>.</w:t>
      </w:r>
    </w:p>
    <w:p>
      <w:pPr>
        <w:rPr>
          <w:noProof/>
          <w:szCs w:val="24"/>
        </w:rPr>
      </w:pPr>
      <w:r>
        <w:rPr>
          <w:b/>
          <w:noProof/>
          <w:szCs w:val="24"/>
        </w:rPr>
        <w:t xml:space="preserve">A verificação das declarações de património e interesses pode ser melhorada </w:t>
      </w:r>
      <w:r>
        <w:rPr>
          <w:b/>
          <w:bCs/>
          <w:noProof/>
        </w:rPr>
        <w:t>no que respeita aos controlos sistemáticos e à supervisão independente.</w:t>
      </w:r>
      <w:r>
        <w:rPr>
          <w:b/>
          <w:noProof/>
          <w:szCs w:val="24"/>
        </w:rPr>
        <w:t xml:space="preserve"> </w:t>
      </w:r>
      <w:r>
        <w:rPr>
          <w:noProof/>
        </w:rPr>
        <w:t>A Hungria tem um sistema de declarações de património abrangente, que exige que os membros do Parlamento, os membros do Governo e os funcionários públicos declarem os seus bens e interesses. As declarações de património e de interesses dos membros do Governo, bem como altos funcionários públicos e deputados estão disponíveis na Internet</w:t>
      </w:r>
      <w:r>
        <w:rPr>
          <w:noProof/>
          <w:szCs w:val="24"/>
          <w:vertAlign w:val="superscript"/>
        </w:rPr>
        <w:footnoteReference w:id="78"/>
      </w:r>
      <w:r>
        <w:rPr>
          <w:noProof/>
        </w:rPr>
        <w:t>. Contudo, a sua verificação não é sistemática, e sim baseada em notificações de suspeitas. A verificação das declarações incumbe à entidade empregadora do funcionário público ou, no caso das declarações dos membros do Parlamento e dos altos funcionários governamentais, à Comissão Parlamentar de Verificação das Imunidades e Poderes. As suspeitas de aumento injustificado de riqueza podem dar origem a um procedimento de verificação conduzido pela Autoridade Tributária e Aduaneira Nacional. Contudo, a Autoridade Tributária só pode dar início a esse procedimento se as autoridades de investigação tiverem aberto investigações criminais, o que deixa pouca margem para verificações independentes. A questão da supervisão e aplicação efetivas das regras de conduta, dos conflitos de interesses e das declarações de património para os membros do Parlamento foi objeto de recomendações do GRECO, cuja aplicação está pendente</w:t>
      </w:r>
      <w:r>
        <w:rPr>
          <w:rStyle w:val="FootnoteReference"/>
          <w:noProof/>
          <w:szCs w:val="24"/>
        </w:rPr>
        <w:footnoteReference w:id="79"/>
      </w:r>
      <w:r>
        <w:rPr>
          <w:noProof/>
        </w:rPr>
        <w:t>.</w:t>
      </w:r>
    </w:p>
    <w:p>
      <w:pPr>
        <w:rPr>
          <w:noProof/>
          <w:szCs w:val="24"/>
        </w:rPr>
      </w:pPr>
      <w:r>
        <w:rPr>
          <w:b/>
          <w:noProof/>
          <w:szCs w:val="24"/>
        </w:rPr>
        <w:t>A regulamentação das atividades dos lóbis na Hungria está incompleta e não há regras em vigor para regular eficazmente as «portas giratórias».</w:t>
      </w:r>
      <w:r>
        <w:rPr>
          <w:noProof/>
        </w:rPr>
        <w:t xml:space="preserve"> A legislação de 2010 relativa aos lóbis foi revista</w:t>
      </w:r>
      <w:r>
        <w:rPr>
          <w:rStyle w:val="FootnoteReference"/>
          <w:noProof/>
          <w:szCs w:val="24"/>
        </w:rPr>
        <w:footnoteReference w:id="80"/>
      </w:r>
      <w:r>
        <w:rPr>
          <w:noProof/>
        </w:rPr>
        <w:t>, tornando obrigatória para os funcionários públicos a divulgação de contactos com os lobistas.</w:t>
      </w:r>
      <w:r>
        <w:rPr>
          <w:b/>
          <w:noProof/>
          <w:szCs w:val="24"/>
        </w:rPr>
        <w:t xml:space="preserve"> </w:t>
      </w:r>
      <w:r>
        <w:rPr>
          <w:noProof/>
        </w:rPr>
        <w:t>Os funcionários públicos são obrigados a informar o seu superior hierárquico por escrito no caso de uma determinada reunião com lobistas comportar riscos para a integridade da organização. O superior hierárquico pode proibir a reunião ou subordinar a sua realização à presença de uma terceira pessoa. Todavia, o decreto aplicável regula apenas determinados aspetos das reuniões entre funcionários públicos e lobistas. Nomeadamente, não prevê o registo obrigatório dos lobistas, ou a obrigação de divulgar ou comunicar os contactos com lobistas a um organismo de controlo independente, ou tão-pouco exige que os funcionários públicos solicitem autorização para estabelecer esses contactos e comuniquem os seus resultados. O GRECO tomou nota da necessidade de melhorar as normas de integridade e adotar um código de conduta para os membros do Parlamento e de assegurar uma supervisão e aplicação eficazes das regras de conduta e dos conflitos de interesses</w:t>
      </w:r>
      <w:r>
        <w:rPr>
          <w:rStyle w:val="FootnoteReference"/>
          <w:noProof/>
          <w:szCs w:val="24"/>
        </w:rPr>
        <w:footnoteReference w:id="81"/>
      </w:r>
      <w:r>
        <w:rPr>
          <w:noProof/>
        </w:rPr>
        <w:t>. A Hungria carece de regulamentação específica em matéria de prevenção das «portas giratórias». Embora tanto o Código do Trabalho</w:t>
      </w:r>
      <w:r>
        <w:rPr>
          <w:rStyle w:val="FootnoteReference"/>
          <w:noProof/>
          <w:szCs w:val="24"/>
        </w:rPr>
        <w:footnoteReference w:id="82"/>
      </w:r>
      <w:r>
        <w:rPr>
          <w:noProof/>
        </w:rPr>
        <w:t xml:space="preserve"> como uma lei especial relativa aos funcionários públicos</w:t>
      </w:r>
      <w:r>
        <w:rPr>
          <w:rStyle w:val="FootnoteReference"/>
          <w:noProof/>
          <w:szCs w:val="24"/>
        </w:rPr>
        <w:footnoteReference w:id="83"/>
      </w:r>
      <w:r>
        <w:rPr>
          <w:noProof/>
        </w:rPr>
        <w:t xml:space="preserve"> contenham cláusulas de confidencialidade, não especificam qualquer período de incompatibilidade</w:t>
      </w:r>
      <w:r>
        <w:rPr>
          <w:rStyle w:val="FootnoteReference"/>
          <w:noProof/>
          <w:szCs w:val="24"/>
        </w:rPr>
        <w:footnoteReference w:id="84"/>
      </w:r>
      <w:r>
        <w:rPr>
          <w:noProof/>
        </w:rPr>
        <w:t>.</w:t>
      </w:r>
    </w:p>
    <w:p>
      <w:pPr>
        <w:pStyle w:val="paragraph"/>
        <w:spacing w:before="0" w:beforeAutospacing="0" w:after="240" w:afterAutospacing="0"/>
        <w:jc w:val="both"/>
        <w:textAlignment w:val="baseline"/>
        <w:rPr>
          <w:rStyle w:val="eop"/>
          <w:noProof/>
        </w:rPr>
      </w:pPr>
      <w:r>
        <w:rPr>
          <w:rStyle w:val="eop"/>
          <w:b/>
          <w:noProof/>
        </w:rPr>
        <w:t>A Hungria dispõe de legislação específica para proteger os denunciantes.</w:t>
      </w:r>
      <w:r>
        <w:rPr>
          <w:rStyle w:val="eop"/>
          <w:noProof/>
        </w:rPr>
        <w:t xml:space="preserve"> A Lei sobre a proteção dos denunciantes</w:t>
      </w:r>
      <w:r>
        <w:rPr>
          <w:rStyle w:val="FootnoteReference"/>
          <w:noProof/>
        </w:rPr>
        <w:footnoteReference w:id="85"/>
      </w:r>
      <w:r>
        <w:rPr>
          <w:rStyle w:val="eop"/>
          <w:noProof/>
        </w:rPr>
        <w:t xml:space="preserve"> permite o anonimato dos autores de denúncias e a apresentação de queixas por via eletrónica, utilizando um canal de comunicação específico, gerido pelo Provedor de Justiça (comissário para os Direitos Fundamentais) (ver secção sobre outras questões institucionais relacionadas com os mecanismos de equilíbrio de poderes em seguida). No entanto, as competências do Provedor de Justiça em relação às denúncias apresentadas ao seu gabinete são limitadas. Na prática, a principal tarefa do Provedor de Justiça consiste em transmitir as denúncias às autoridades competentes. </w:t>
      </w:r>
      <w:r>
        <w:rPr>
          <w:noProof/>
        </w:rPr>
        <w:t xml:space="preserve">Contudo, as denúncias não são transmitidas automaticamente às autoridades responsáveis pela aplicação da lei, sendo antes realizado um inquérito administrativo pelo conselheiro para a integridade da instituição em causa. Os conselheiros para a integridade apresentam diretamente os seus relatórios ao responsável máximo da sua instituição. O </w:t>
      </w:r>
      <w:r>
        <w:rPr>
          <w:rStyle w:val="eop"/>
          <w:noProof/>
        </w:rPr>
        <w:t>Provedor de Justiça pode, mediante pedido ou oficiosamente, verificar se essas autoridades deram seguimento adequado aos relatórios</w:t>
      </w:r>
      <w:r>
        <w:rPr>
          <w:noProof/>
        </w:rPr>
        <w:t>.</w:t>
      </w:r>
      <w:r>
        <w:rPr>
          <w:rStyle w:val="eop"/>
          <w:noProof/>
        </w:rPr>
        <w:t xml:space="preserve"> As divulgações de interesse público são investigadas pelas instituições em causa e a sua resposta, que inclui o resultado da investigação, é carregada num registo eletrónico.</w:t>
      </w:r>
    </w:p>
    <w:p>
      <w:pPr>
        <w:rPr>
          <w:noProof/>
          <w:szCs w:val="24"/>
        </w:rPr>
      </w:pPr>
      <w:r>
        <w:rPr>
          <w:rStyle w:val="normaltextrun"/>
          <w:b/>
          <w:noProof/>
          <w:szCs w:val="24"/>
        </w:rPr>
        <w:t>O financiamento dos partidos na Hungria continua a ser motivo de preocupação.</w:t>
      </w:r>
      <w:r>
        <w:rPr>
          <w:rStyle w:val="normaltextrun"/>
          <w:noProof/>
          <w:szCs w:val="24"/>
        </w:rPr>
        <w:t xml:space="preserve"> O GRECO observou que, embora </w:t>
      </w:r>
      <w:r>
        <w:rPr>
          <w:noProof/>
        </w:rPr>
        <w:t>os registos dos partidos políticos sejam transparentes, as fontes de rendimento dos partidos e a duração dos períodos de campanha eleitoral são pouco claras. Além disso, no que diz respeito aos partidos políticos que recebem subsídios estatais, é necessário dispor de mecanismos de acompanhamento</w:t>
      </w:r>
      <w:r>
        <w:rPr>
          <w:rStyle w:val="FootnoteReference"/>
          <w:noProof/>
          <w:szCs w:val="24"/>
        </w:rPr>
        <w:footnoteReference w:id="86"/>
      </w:r>
      <w:r>
        <w:rPr>
          <w:noProof/>
        </w:rPr>
        <w:t>.</w:t>
      </w:r>
    </w:p>
    <w:p>
      <w:pPr>
        <w:pStyle w:val="ListParagraph"/>
        <w:numPr>
          <w:ilvl w:val="0"/>
          <w:numId w:val="20"/>
        </w:numPr>
        <w:spacing w:after="240"/>
        <w:ind w:left="426" w:hanging="142"/>
        <w:contextualSpacing w:val="0"/>
        <w:rPr>
          <w:rFonts w:ascii="Times New Roman" w:eastAsia="Times New Roman" w:hAnsi="Times New Roman" w:cs="Times New Roman"/>
          <w:b/>
          <w:smallCaps/>
          <w:noProof/>
          <w:sz w:val="24"/>
          <w:szCs w:val="24"/>
          <w:u w:val="single"/>
        </w:rPr>
      </w:pPr>
      <w:r>
        <w:rPr>
          <w:rFonts w:ascii="Times New Roman" w:hAnsi="Times New Roman"/>
          <w:b/>
          <w:smallCaps/>
          <w:noProof/>
          <w:sz w:val="24"/>
          <w:szCs w:val="24"/>
          <w:u w:val="single"/>
        </w:rPr>
        <w:t>Pluralismo dos meios de comunicação</w:t>
      </w:r>
    </w:p>
    <w:p>
      <w:pPr>
        <w:rPr>
          <w:noProof/>
          <w:szCs w:val="24"/>
        </w:rPr>
      </w:pPr>
      <w:r>
        <w:rPr>
          <w:noProof/>
        </w:rPr>
        <w:t>A proteção da liberdade de imprensa e do pluralismo dos meios de comunicação social na Hungria</w:t>
      </w:r>
      <w:r>
        <w:rPr>
          <w:rStyle w:val="FootnoteReference"/>
          <w:noProof/>
          <w:szCs w:val="24"/>
        </w:rPr>
        <w:footnoteReference w:id="87"/>
      </w:r>
      <w:r>
        <w:rPr>
          <w:noProof/>
        </w:rPr>
        <w:t xml:space="preserve"> está prevista na Lei Fundamental</w:t>
      </w:r>
      <w:r>
        <w:rPr>
          <w:rStyle w:val="FootnoteReference"/>
          <w:noProof/>
          <w:szCs w:val="24"/>
        </w:rPr>
        <w:footnoteReference w:id="88"/>
      </w:r>
      <w:r>
        <w:rPr>
          <w:noProof/>
        </w:rPr>
        <w:t>, bem como na legislação setorial (Lei da Comunicação Social</w:t>
      </w:r>
      <w:r>
        <w:rPr>
          <w:rStyle w:val="FootnoteReference"/>
          <w:noProof/>
          <w:szCs w:val="24"/>
        </w:rPr>
        <w:footnoteReference w:id="89"/>
      </w:r>
      <w:r>
        <w:rPr>
          <w:noProof/>
        </w:rPr>
        <w:t xml:space="preserve"> e Lei da Liberdade de Imprensa</w:t>
      </w:r>
      <w:r>
        <w:rPr>
          <w:rStyle w:val="FootnoteReference"/>
          <w:noProof/>
          <w:szCs w:val="24"/>
        </w:rPr>
        <w:footnoteReference w:id="90"/>
      </w:r>
      <w:r>
        <w:rPr>
          <w:noProof/>
        </w:rPr>
        <w:t>). A Lei da Liberdade de Imprensa estipula que a liberdade de imprensa consubstancia a independência em relação ao Estado e a todas e quaisquer organizações e grupos de interesses. O direito de acesso à informação pública é reconhecido pela Lei Fundamental e encontra expressão na Lei da Liberdade de Imprensa</w:t>
      </w:r>
      <w:r>
        <w:rPr>
          <w:rStyle w:val="FootnoteReference"/>
          <w:noProof/>
          <w:szCs w:val="24"/>
        </w:rPr>
        <w:footnoteReference w:id="91"/>
      </w:r>
      <w:r>
        <w:rPr>
          <w:noProof/>
        </w:rPr>
        <w:t>. A Lei da Comunicação Social cria a Autoridade Nacional para os Meios de Comunicação e as Telecomunicações, cujo órgão de decisão é o Conselho da Comunicação Social</w:t>
      </w:r>
      <w:r>
        <w:rPr>
          <w:rStyle w:val="FootnoteReference"/>
          <w:noProof/>
          <w:szCs w:val="24"/>
        </w:rPr>
        <w:footnoteReference w:id="92"/>
      </w:r>
      <w:r>
        <w:rPr>
          <w:noProof/>
        </w:rPr>
        <w:t>.</w:t>
      </w:r>
    </w:p>
    <w:p>
      <w:pPr>
        <w:rPr>
          <w:noProof/>
          <w:szCs w:val="24"/>
        </w:rPr>
      </w:pPr>
      <w:r>
        <w:rPr>
          <w:b/>
          <w:noProof/>
        </w:rPr>
        <w:t>Enquanto a Autoridade para a Comunicação Social dispõe dos recursos adequados, a independência e a eficácia do Conselho da Comunicação Social estão em risco.</w:t>
      </w:r>
      <w:r>
        <w:rPr>
          <w:noProof/>
        </w:rPr>
        <w:t xml:space="preserve"> O Conselho da Comunicação Social é composto por um presidente</w:t>
      </w:r>
      <w:r>
        <w:rPr>
          <w:rStyle w:val="FootnoteReference"/>
          <w:noProof/>
          <w:szCs w:val="24"/>
        </w:rPr>
        <w:footnoteReference w:id="93"/>
      </w:r>
      <w:r>
        <w:rPr>
          <w:noProof/>
        </w:rPr>
        <w:t xml:space="preserve"> e quatro membros eleitos pelo Parlamento. As regras relativas à nomeação estão concebidas de modo a favorecer um consenso político na nomeação dos membros do Conselho da Comunicação Social</w:t>
      </w:r>
      <w:r>
        <w:rPr>
          <w:rStyle w:val="FootnoteReference"/>
          <w:noProof/>
          <w:szCs w:val="24"/>
        </w:rPr>
        <w:footnoteReference w:id="94"/>
      </w:r>
      <w:r>
        <w:rPr>
          <w:noProof/>
        </w:rPr>
        <w:t>. O Monitor do Pluralismo nos Média de 2020 chama a atenção para o facto de, na prática, estas regras não terem impedido o partido no governo de nomear os cinco membros do Conselho da Comunicação Social. O Monitor regista um risco médio (53 %) em termos de independência e eficácia do Conselho da Comunicação Social.</w:t>
      </w:r>
    </w:p>
    <w:p>
      <w:pPr>
        <w:rPr>
          <w:noProof/>
          <w:szCs w:val="24"/>
        </w:rPr>
      </w:pPr>
      <w:r>
        <w:rPr>
          <w:b/>
          <w:noProof/>
          <w:szCs w:val="24"/>
        </w:rPr>
        <w:t xml:space="preserve">O Fórum dos Chefes de Redação da Hungria </w:t>
      </w:r>
      <w:r>
        <w:rPr>
          <w:b/>
          <w:i/>
          <w:noProof/>
          <w:szCs w:val="24"/>
        </w:rPr>
        <w:t>(Főszerkesztők Fóruma)</w:t>
      </w:r>
      <w:r>
        <w:rPr>
          <w:b/>
          <w:noProof/>
          <w:szCs w:val="24"/>
        </w:rPr>
        <w:t xml:space="preserve"> é uma ONG do setor criada em 2012.</w:t>
      </w:r>
      <w:r>
        <w:rPr>
          <w:noProof/>
        </w:rPr>
        <w:t xml:space="preserve"> Reúne os chefes de redação dos principais meios de comunicação eletrónicos, impressos e em linha da Hungria, numa base voluntária. Os seus principais objetivos incluem o reforço da ética no ensino do jornalismo, a elaboração de orientações, a promoção das melhores práticas em jornalismo ético, o aumento da confiança nos meios de comunicação e a definição de procedimentos de autorregulação dos meios de comunicação. Em 2015, o Fórum estabeleceu as normas e os valores éticos do jornalismo, como a imparcialidade, o rigor e regras para a obtenção e o tratamento das informações. Procura promover um jornalismo de qualidade, nomeadamente através da atribuição de prémios a jornalistas.</w:t>
      </w:r>
    </w:p>
    <w:p>
      <w:pPr>
        <w:rPr>
          <w:noProof/>
          <w:szCs w:val="24"/>
        </w:rPr>
      </w:pPr>
      <w:r>
        <w:rPr>
          <w:b/>
          <w:noProof/>
          <w:szCs w:val="24"/>
        </w:rPr>
        <w:t xml:space="preserve">A pluralidade do mercado da comunicação social está seriamente ameaçada na Hungria. </w:t>
      </w:r>
      <w:r>
        <w:rPr>
          <w:noProof/>
        </w:rPr>
        <w:t>Por força de um decreto governamental</w:t>
      </w:r>
      <w:r>
        <w:rPr>
          <w:rStyle w:val="FootnoteReference"/>
          <w:noProof/>
          <w:szCs w:val="24"/>
        </w:rPr>
        <w:footnoteReference w:id="95"/>
      </w:r>
      <w:r>
        <w:rPr>
          <w:noProof/>
        </w:rPr>
        <w:t>, a fusão de mais de 470 meios de comunicação social amigos do Estado através da criação do conglomerado de comunicação «KESMA»</w:t>
      </w:r>
      <w:r>
        <w:rPr>
          <w:rStyle w:val="FootnoteReference"/>
          <w:noProof/>
          <w:szCs w:val="24"/>
        </w:rPr>
        <w:footnoteReference w:id="96"/>
      </w:r>
      <w:r>
        <w:rPr>
          <w:noProof/>
        </w:rPr>
        <w:t>, em novembro de 2018, foi isenta de controlo pela Autoridade da Concorrência</w:t>
      </w:r>
      <w:r>
        <w:rPr>
          <w:rStyle w:val="FootnoteReference"/>
          <w:noProof/>
          <w:szCs w:val="24"/>
        </w:rPr>
        <w:footnoteReference w:id="97"/>
      </w:r>
      <w:r>
        <w:rPr>
          <w:noProof/>
        </w:rPr>
        <w:t xml:space="preserve"> e pela Autoridade para a Comunicação Social</w:t>
      </w:r>
      <w:r>
        <w:rPr>
          <w:rStyle w:val="FootnoteReference"/>
          <w:noProof/>
          <w:szCs w:val="24"/>
        </w:rPr>
        <w:footnoteReference w:id="98"/>
      </w:r>
      <w:r>
        <w:rPr>
          <w:noProof/>
        </w:rPr>
        <w:t>, por ter sido considerada «</w:t>
      </w:r>
      <w:r>
        <w:rPr>
          <w:i/>
          <w:noProof/>
          <w:szCs w:val="24"/>
        </w:rPr>
        <w:t>uma fusão de importância estratégica nacional</w:t>
      </w:r>
      <w:r>
        <w:rPr>
          <w:noProof/>
        </w:rPr>
        <w:t xml:space="preserve">», impedindo assim as autoridades de a fiscalizar. Por decisão de 25 de junho de 2020, o Tribunal Constitucional indeferiu um pedido apresentado por um quarto dos membros do Parlamento que contestava o Decreto Governamental. O Tribunal Constitucional considerou que é prerrogativa única e exclusiva do Governo determinar o que é de «importância estratégica nacional» e que nada na concentração poderia ser entendido como uma ameaça para o pluralismo dos meios de comunicação do país. Um relatório </w:t>
      </w:r>
      <w:r>
        <w:rPr>
          <w:i/>
          <w:noProof/>
          <w:szCs w:val="24"/>
        </w:rPr>
        <w:t>ad hoc</w:t>
      </w:r>
      <w:r>
        <w:rPr>
          <w:rStyle w:val="FootnoteReference"/>
          <w:noProof/>
          <w:szCs w:val="24"/>
        </w:rPr>
        <w:footnoteReference w:id="99"/>
      </w:r>
      <w:r>
        <w:rPr>
          <w:noProof/>
        </w:rPr>
        <w:t xml:space="preserve"> do Centro para o Pluralismo e a Liberdade dos Meios de Comunicação concluiu que «</w:t>
      </w:r>
      <w:r>
        <w:rPr>
          <w:i/>
          <w:noProof/>
          <w:szCs w:val="24"/>
        </w:rPr>
        <w:t>a criação da KESMA por meio da fusão de mais de 470 [...] diferentes meios de comunicação social irá agravar o risco global</w:t>
      </w:r>
      <w:r>
        <w:rPr>
          <w:noProof/>
        </w:rPr>
        <w:t xml:space="preserve">» para o pluralismo dos meios de comunicação social na Hungria em vários indicadores-chave analisados pelo Monitor do Pluralismo nos Média, incluindo as condições de trabalho dos jornalistas, a concentração horizontal e as participações cruzadas nos diversos meios de comunicação social, bem como a atribuição da publicidade institucional. Especificamente, analisando estes desenvolvimentos da perspetiva da independência da autoridade para os meios de comunicação em relação à influência política e/ou económica e da capacidade do Governo de se sobrepor à Autoridade para os Meios de Comunicação, o relatório concluiu que </w:t>
      </w:r>
      <w:r>
        <w:rPr>
          <w:i/>
          <w:noProof/>
          <w:szCs w:val="24"/>
        </w:rPr>
        <w:t>a exclusão total do controlo da Autoridade para os Meios de Comunicação húngara de uma operação importante como a KESMA constitui um elemento de risco adicional</w:t>
      </w:r>
      <w:r>
        <w:rPr>
          <w:noProof/>
        </w:rPr>
        <w:t xml:space="preserve"> para o pluralismo dos meios de comunicação na Hungria. As organizações da liberdade dos meios de comunicação social húngaras e europeias</w:t>
      </w:r>
      <w:r>
        <w:rPr>
          <w:rStyle w:val="FootnoteReference"/>
          <w:noProof/>
          <w:szCs w:val="24"/>
        </w:rPr>
        <w:footnoteReference w:id="100"/>
      </w:r>
      <w:r>
        <w:rPr>
          <w:noProof/>
        </w:rPr>
        <w:t>, bem como a sociedade civil, manifestaram sérias preocupações com o despedimento, em 22 de julho de 2020, do chefe de redação e a subsequente demissão de quase todos os jornalistas</w:t>
      </w:r>
      <w:r>
        <w:rPr>
          <w:rStyle w:val="FootnoteReference"/>
          <w:noProof/>
          <w:szCs w:val="24"/>
        </w:rPr>
        <w:footnoteReference w:id="101"/>
      </w:r>
      <w:r>
        <w:rPr>
          <w:noProof/>
        </w:rPr>
        <w:t xml:space="preserve"> do sítio de comunicação social independente mais lido da Hungria, o </w:t>
      </w:r>
      <w:r>
        <w:rPr>
          <w:i/>
          <w:noProof/>
          <w:szCs w:val="24"/>
        </w:rPr>
        <w:t>Index.hu</w:t>
      </w:r>
      <w:r>
        <w:rPr>
          <w:noProof/>
        </w:rPr>
        <w:t xml:space="preserve">. As preocupações apontam também para o facto de o </w:t>
      </w:r>
      <w:r>
        <w:rPr>
          <w:i/>
          <w:noProof/>
          <w:szCs w:val="24"/>
        </w:rPr>
        <w:t>Index.hu</w:t>
      </w:r>
      <w:r>
        <w:rPr>
          <w:noProof/>
        </w:rPr>
        <w:t xml:space="preserve"> poder seguir um padrão de aquisição económica dos restantes sítios de comunicação social independentes por empresários pró-governamentais, como já se observou no caso do </w:t>
      </w:r>
      <w:r>
        <w:rPr>
          <w:i/>
          <w:noProof/>
          <w:szCs w:val="24"/>
        </w:rPr>
        <w:t>Origo</w:t>
      </w:r>
      <w:r>
        <w:rPr>
          <w:noProof/>
        </w:rPr>
        <w:t>.</w:t>
      </w:r>
    </w:p>
    <w:p>
      <w:pPr>
        <w:rPr>
          <w:noProof/>
          <w:szCs w:val="24"/>
        </w:rPr>
      </w:pPr>
      <w:r>
        <w:rPr>
          <w:b/>
          <w:noProof/>
          <w:szCs w:val="24"/>
        </w:rPr>
        <w:t>A transparência da propriedade dos meios de comunicação não está regulamentada por legislação setorial específica.</w:t>
      </w:r>
      <w:r>
        <w:rPr>
          <w:noProof/>
        </w:rPr>
        <w:t xml:space="preserve"> Os fornecedores de serviços de comunicação social linear devem notificar a Autoridade para a Comunicação Social sobre a sua participação direta ou indireta (ou da sua empresa-mãe) nos fornecedores de serviços de comunicação social</w:t>
      </w:r>
      <w:r>
        <w:rPr>
          <w:rStyle w:val="FootnoteReference"/>
          <w:noProof/>
          <w:szCs w:val="24"/>
        </w:rPr>
        <w:footnoteReference w:id="102"/>
      </w:r>
      <w:r>
        <w:rPr>
          <w:noProof/>
        </w:rPr>
        <w:t>. A Lei da Comunicação Social contém regras pormenorizadas para a prevenção da concentração no mercado dos meios de comunicação social. No entanto, o Observatório do Pluralismo dos Meios de Comunicação Social de 2020 considera que a situação relativa à transparência da propriedade dos meios de comunicação social apresenta um risco elevado (75 %).</w:t>
      </w:r>
    </w:p>
    <w:p>
      <w:pPr>
        <w:rPr>
          <w:noProof/>
          <w:szCs w:val="24"/>
        </w:rPr>
      </w:pPr>
      <w:r>
        <w:rPr>
          <w:b/>
          <w:noProof/>
          <w:szCs w:val="24"/>
        </w:rPr>
        <w:t>A publicidade institucional permite ao Governo exercer influência política indireta sobre os meios de comunicação.</w:t>
      </w:r>
      <w:r>
        <w:rPr>
          <w:noProof/>
        </w:rPr>
        <w:t xml:space="preserve"> De acordo com o Monitor do Pluralismo dos Média, e tal como alegado pelas principais partes interessadas</w:t>
      </w:r>
      <w:r>
        <w:rPr>
          <w:noProof/>
          <w:szCs w:val="24"/>
          <w:vertAlign w:val="superscript"/>
        </w:rPr>
        <w:footnoteReference w:id="103"/>
      </w:r>
      <w:r>
        <w:rPr>
          <w:noProof/>
        </w:rPr>
        <w:t xml:space="preserve">, o maior risco para a liberdade e o pluralismo da comunicação social na Hungria é o da independência política (82 %). O Monitor do Pluralismo dos Média considera que, embora a influência política e o controlo </w:t>
      </w:r>
      <w:r>
        <w:rPr>
          <w:i/>
          <w:noProof/>
          <w:szCs w:val="24"/>
        </w:rPr>
        <w:t>diretos</w:t>
      </w:r>
      <w:r>
        <w:rPr>
          <w:noProof/>
        </w:rPr>
        <w:t xml:space="preserve"> não sejam generalizados, é do conhecimento geral que é exercida influência indireta sobre os meios de comunicação. O conglomerado KESMA supramencionado é considerado o culminar deste processo em termos de meios de comunicação pró-governamentais. Esta situação foi agravada pela inexistência de legislação e de transparência na distribuição da publicidade institucional, o que levou o Monitor do Pluralismo dos Média de 2020 a colocar este indicador no nível de risco mais elevado possível (97 %). O Monitor do Pluralismo dos Média de 2020 salienta o facto de, em 2019, a percentagem de publicidade institucional canalizada para órgãos de comunicação pró-governamentais ter sido de 75 % no mercado da imprensa escrita, 95 % no mercado da televisão, 90 % no mercado das notícias em linha e 90 % no mercado da rádio.</w:t>
      </w:r>
    </w:p>
    <w:p>
      <w:pPr>
        <w:rPr>
          <w:noProof/>
          <w:szCs w:val="24"/>
        </w:rPr>
      </w:pPr>
      <w:r>
        <w:rPr>
          <w:b/>
          <w:noProof/>
          <w:szCs w:val="24"/>
        </w:rPr>
        <w:t>O acesso do público à informação é dificultado.</w:t>
      </w:r>
      <w:r>
        <w:rPr>
          <w:noProof/>
        </w:rPr>
        <w:t xml:space="preserve"> Classificando este domínio como de «baixo risco», o Monitor do Pluralismo dos Média de 2020 salienta que, embora a legislação aplicável seja clara e os tribunais</w:t>
      </w:r>
      <w:r>
        <w:rPr>
          <w:noProof/>
          <w:szCs w:val="24"/>
          <w:vertAlign w:val="superscript"/>
        </w:rPr>
        <w:footnoteReference w:id="104"/>
      </w:r>
      <w:r>
        <w:rPr>
          <w:noProof/>
        </w:rPr>
        <w:t xml:space="preserve"> tendam a conceder acesso à informação aos jornalistas e ao público em geral, os acórdãos que anulam decisões negativas de organismos públicos são frequentemente inaplicáveis na prática</w:t>
      </w:r>
      <w:r>
        <w:rPr>
          <w:noProof/>
          <w:szCs w:val="24"/>
          <w:vertAlign w:val="superscript"/>
        </w:rPr>
        <w:footnoteReference w:id="105"/>
      </w:r>
      <w:r>
        <w:rPr>
          <w:noProof/>
        </w:rPr>
        <w:t>. Em 2016, o Relator Especial das Nações Unidas para os defensores dos direitos humanos recomendou que a Hungria revisse as disposições legislativas relacionadas com a liberdade de informação e a proteção dos dados, a fim de garantir o acesso livre e sem controlo à informação de interesse público</w:t>
      </w:r>
      <w:r>
        <w:rPr>
          <w:noProof/>
          <w:szCs w:val="24"/>
          <w:vertAlign w:val="superscript"/>
        </w:rPr>
        <w:footnoteReference w:id="106"/>
      </w:r>
      <w:r>
        <w:rPr>
          <w:noProof/>
        </w:rPr>
        <w:t>. Esta questão foi igualmente levantada por uma recomendação específica por país no contexto do Semestre Europeu de 2020</w:t>
      </w:r>
      <w:r>
        <w:rPr>
          <w:noProof/>
          <w:szCs w:val="24"/>
          <w:vertAlign w:val="superscript"/>
        </w:rPr>
        <w:footnoteReference w:id="107"/>
      </w:r>
      <w:r>
        <w:rPr>
          <w:noProof/>
        </w:rPr>
        <w:t>. A Lei da Liberdade de Imprensa prevê que qualquer «órgão que desempenhe funções públicas» deve facultar acesso aos dados de interesse público sob o seu controlo sempre que tal lhe seja solicitado, sob reserva das exceções previstas na mesma lei</w:t>
      </w:r>
      <w:r>
        <w:rPr>
          <w:noProof/>
          <w:szCs w:val="24"/>
          <w:vertAlign w:val="superscript"/>
        </w:rPr>
        <w:footnoteReference w:id="108"/>
      </w:r>
      <w:r>
        <w:rPr>
          <w:noProof/>
        </w:rPr>
        <w:t>. Embora a Lei da Liberdade de Imprensa se tenha mantido relativamente estável, continuaram a ser introduzidas noutras leis setoriais alterações fragmentadas, que corroem a transparência global e o quadro de acesso à informação</w:t>
      </w:r>
      <w:r>
        <w:rPr>
          <w:noProof/>
          <w:szCs w:val="24"/>
          <w:vertAlign w:val="superscript"/>
        </w:rPr>
        <w:footnoteReference w:id="109"/>
      </w:r>
      <w:r>
        <w:rPr>
          <w:noProof/>
        </w:rPr>
        <w:t>. Em 2013, a Hungria alterou</w:t>
      </w:r>
      <w:r>
        <w:rPr>
          <w:noProof/>
          <w:szCs w:val="24"/>
          <w:vertAlign w:val="superscript"/>
        </w:rPr>
        <w:footnoteReference w:id="110"/>
      </w:r>
      <w:r>
        <w:rPr>
          <w:noProof/>
        </w:rPr>
        <w:t xml:space="preserve"> a Lei da Liberdade de Imprensa, a fim de evitar pedidos de informação «abusivos». Em 2016, o Governo emitiu um decreto</w:t>
      </w:r>
      <w:r>
        <w:rPr>
          <w:noProof/>
          <w:szCs w:val="24"/>
          <w:vertAlign w:val="superscript"/>
        </w:rPr>
        <w:footnoteReference w:id="111"/>
      </w:r>
      <w:r>
        <w:rPr>
          <w:noProof/>
        </w:rPr>
        <w:t xml:space="preserve"> que autoriza as instituições públicas a exigir o reembolso dos custos incorridos pelos pedidos de acesso à informação pública, caso a resposta ao pedido implique trabalho adicional para a autoridade pública. No que diz respeito ao acesso direto dos jornalistas a eventos públicos, o Monitor do Pluralismo dos Média de 2020 refere que a proibição do acesso dos jornalistas a determinados eventos públicos é um fenómeno cada vez mais frequente.</w:t>
      </w:r>
    </w:p>
    <w:p>
      <w:pPr>
        <w:rPr>
          <w:i/>
          <w:noProof/>
        </w:rPr>
      </w:pPr>
      <w:r>
        <w:rPr>
          <w:b/>
          <w:noProof/>
          <w:szCs w:val="24"/>
        </w:rPr>
        <w:t>Os meios de comunicação independentes enfrentam obstrução e intimidação sistémicas.</w:t>
      </w:r>
      <w:r>
        <w:rPr>
          <w:noProof/>
        </w:rPr>
        <w:t xml:space="preserve"> Segundo a </w:t>
      </w:r>
      <w:r>
        <w:rPr>
          <w:i/>
          <w:noProof/>
          <w:szCs w:val="24"/>
        </w:rPr>
        <w:t>Mérték Media Monitor</w:t>
      </w:r>
      <w:r>
        <w:rPr>
          <w:noProof/>
        </w:rPr>
        <w:t>, com base nas receitas, os meios de comunicação social pró-governamentais controlam cerca de 80 % do mercado dos meios de comunicação social e cobertura dos conteúdos políticos</w:t>
      </w:r>
      <w:r>
        <w:rPr>
          <w:noProof/>
          <w:szCs w:val="24"/>
          <w:vertAlign w:val="superscript"/>
        </w:rPr>
        <w:footnoteReference w:id="112"/>
      </w:r>
      <w:r>
        <w:rPr>
          <w:noProof/>
        </w:rPr>
        <w:t>. A pequena quota de mercado ocupada por órgãos de comunicação independentes é complementada pela obstrução e intimidação sistémicas de jornalistas e órgãos de comunicação independentes. Um estudo realizado pela União das Liberdades Civis da Hungria (TASZ) em 2019 e durante a pandemia de COVID-19 em 2020 aponta para uma «obstrução sistémica do trabalho dos meios de comunicação social independentes», nomeadamente, ignorando as questões da imprensa, limitando o acesso físico dos jornalistas e lançando o descrédito, a estigmatização e a intimidação das fontes</w:t>
      </w:r>
      <w:r>
        <w:rPr>
          <w:rStyle w:val="FootnoteReference"/>
          <w:noProof/>
          <w:szCs w:val="24"/>
        </w:rPr>
        <w:footnoteReference w:id="113"/>
      </w:r>
      <w:r>
        <w:rPr>
          <w:noProof/>
        </w:rPr>
        <w:t>. Não há relatos de ataques físicos a jornalistas e a outros profissionais da comunicação social. Na Hungria, a difamação tem previstas penas de prisão entre as sanções</w:t>
      </w:r>
      <w:r>
        <w:rPr>
          <w:rStyle w:val="FootnoteReference"/>
          <w:noProof/>
          <w:szCs w:val="24"/>
        </w:rPr>
        <w:footnoteReference w:id="114"/>
      </w:r>
      <w:r>
        <w:rPr>
          <w:noProof/>
        </w:rPr>
        <w:t>.Em 2019, a Plataforma do Conselho da Europa para a Promoção da Proteção do Jornalismo e da Segurança dos Jornalistas publicou dois alertas relativos à Hungria sobre as restrições às atividades de jornalistas no Parlamento</w:t>
      </w:r>
      <w:r>
        <w:rPr>
          <w:rStyle w:val="FootnoteReference"/>
          <w:noProof/>
          <w:szCs w:val="24"/>
        </w:rPr>
        <w:footnoteReference w:id="115"/>
      </w:r>
      <w:r>
        <w:rPr>
          <w:noProof/>
        </w:rPr>
        <w:t xml:space="preserve"> e uma campanha de difamação contra dois jornalistas do </w:t>
      </w:r>
      <w:r>
        <w:rPr>
          <w:i/>
          <w:noProof/>
          <w:szCs w:val="24"/>
        </w:rPr>
        <w:t>Index.hu</w:t>
      </w:r>
      <w:r>
        <w:rPr>
          <w:noProof/>
        </w:rPr>
        <w:t xml:space="preserve"> através de meios de comunicação social pró-governamentais, meios de comunicação de extrema-direita e cartazes amplamente considerados antissemitas que surgiram em Budapeste. No mesmo ano, uma revista semanal pró-governamental publicou uma lista de mais de 200 indivíduos, entre os quais vários jornalistas, rotulados como «mercenários» de George Soros. Em 2020, a Plataforma publicou quatro alertas relativos à proibição da distribuição da revista de negócios </w:t>
      </w:r>
      <w:r>
        <w:rPr>
          <w:i/>
          <w:noProof/>
        </w:rPr>
        <w:t>Forbes Hungary</w:t>
      </w:r>
      <w:r>
        <w:rPr>
          <w:rStyle w:val="FootnoteReference"/>
          <w:noProof/>
          <w:szCs w:val="24"/>
        </w:rPr>
        <w:footnoteReference w:id="116"/>
      </w:r>
      <w:r>
        <w:rPr>
          <w:noProof/>
        </w:rPr>
        <w:t>, a instruções do Governo dirigidas aos funcionários dos meios de comunicação social públicos da Hungria no sentido de solicitarem autorização antes de escreverem sobre uma série de assuntos, a uma campanha de ameaças jurídicas e outras e à intimidação contra o cartunista Gábor Pápai após a publicação de um cartoon alegadamente blasfemo e ao projeto de lei (que se tornou Lei</w:t>
      </w:r>
      <w:r>
        <w:rPr>
          <w:rStyle w:val="FootnoteReference"/>
          <w:noProof/>
          <w:szCs w:val="24"/>
        </w:rPr>
        <w:footnoteReference w:id="117"/>
      </w:r>
      <w:r>
        <w:rPr>
          <w:noProof/>
        </w:rPr>
        <w:t xml:space="preserve"> em 30 de março de 2020) que introduziu o delito de divulgação de «informações falsas» sobre a COVID-19 e sanções que podem ir até cinco anos de prisão</w:t>
      </w:r>
      <w:r>
        <w:rPr>
          <w:rStyle w:val="FootnoteReference"/>
          <w:noProof/>
          <w:szCs w:val="24"/>
        </w:rPr>
        <w:footnoteReference w:id="118"/>
      </w:r>
      <w:r>
        <w:rPr>
          <w:noProof/>
        </w:rPr>
        <w:t>. A Hungria respondeu de forma pormenorizada a vários destes alertas. Relativamente à criminalização da emissão ou divulgação de informações falsas relacionadas com a pandemia, a Comissão Europeia declarou que tal suscita preocupações em termos de segurança jurídica e pode ter um efeito inibidor da liberdade de expressão</w:t>
      </w:r>
      <w:r>
        <w:rPr>
          <w:rStyle w:val="FootnoteReference"/>
          <w:noProof/>
          <w:szCs w:val="24"/>
        </w:rPr>
        <w:footnoteReference w:id="119"/>
      </w:r>
      <w:r>
        <w:rPr>
          <w:noProof/>
        </w:rPr>
        <w:t>.</w:t>
      </w:r>
    </w:p>
    <w:p>
      <w:pPr>
        <w:pStyle w:val="ListParagraph"/>
        <w:numPr>
          <w:ilvl w:val="0"/>
          <w:numId w:val="20"/>
        </w:numPr>
        <w:spacing w:after="240"/>
        <w:ind w:left="567" w:hanging="283"/>
        <w:contextualSpacing w:val="0"/>
        <w:rPr>
          <w:rFonts w:ascii="Times New Roman" w:eastAsia="Times New Roman" w:hAnsi="Times New Roman" w:cs="Times New Roman"/>
          <w:b/>
          <w:smallCaps/>
          <w:noProof/>
          <w:sz w:val="24"/>
          <w:szCs w:val="24"/>
          <w:u w:val="single"/>
        </w:rPr>
      </w:pPr>
      <w:r>
        <w:rPr>
          <w:rFonts w:ascii="Times New Roman" w:hAnsi="Times New Roman"/>
          <w:b/>
          <w:smallCaps/>
          <w:noProof/>
          <w:sz w:val="24"/>
          <w:szCs w:val="24"/>
          <w:u w:val="single"/>
        </w:rPr>
        <w:t>Outras questões institucionais relacionadas com o equilíbrio de poderes</w:t>
      </w:r>
    </w:p>
    <w:p>
      <w:pPr>
        <w:shd w:val="clear" w:color="auto" w:fill="FFFFFF" w:themeFill="background1"/>
        <w:autoSpaceDE w:val="0"/>
        <w:autoSpaceDN w:val="0"/>
        <w:adjustRightInd w:val="0"/>
        <w:rPr>
          <w:noProof/>
          <w:szCs w:val="24"/>
        </w:rPr>
      </w:pPr>
      <w:r>
        <w:rPr>
          <w:noProof/>
        </w:rPr>
        <w:t>A Hungria é uma república parlamentar com um Parlamento de câmara única (Assembleia Nacional). O Parlamento, nomeadamente, adota e altera a Lei Fundamental da Hungria</w:t>
      </w:r>
      <w:r>
        <w:rPr>
          <w:rStyle w:val="FootnoteReference"/>
          <w:noProof/>
          <w:szCs w:val="24"/>
        </w:rPr>
        <w:footnoteReference w:id="120"/>
      </w:r>
      <w:r>
        <w:rPr>
          <w:noProof/>
        </w:rPr>
        <w:t>, exerce o legislativo</w:t>
      </w:r>
      <w:r>
        <w:rPr>
          <w:rStyle w:val="FootnoteReference"/>
          <w:noProof/>
          <w:szCs w:val="24"/>
        </w:rPr>
        <w:footnoteReference w:id="121"/>
      </w:r>
      <w:r>
        <w:rPr>
          <w:noProof/>
        </w:rPr>
        <w:t>, elege o Primeiro-Ministro e elege por maioria de dois terços os funcionários públicos mais importantes</w:t>
      </w:r>
      <w:r>
        <w:rPr>
          <w:rStyle w:val="FootnoteReference"/>
          <w:noProof/>
          <w:szCs w:val="24"/>
        </w:rPr>
        <w:footnoteReference w:id="122"/>
      </w:r>
      <w:r>
        <w:rPr>
          <w:noProof/>
        </w:rPr>
        <w:t xml:space="preserve"> do país. O presidente da República é eleito pelo Parlamento. São várias as instituições encarregadas de contrabalançar os poderes legislativo e executivo, incluindo o Tribunal Constitucional, o Serviço Nacional de Auditoria e o Provedor de Justiça (comissário para os Direitos Fundamentais). Além do Governo, do presidente da República e de todas as comissões parlamentares, qualquer membro do Parlamento pode apresentar um projeto de lei</w:t>
      </w:r>
      <w:r>
        <w:rPr>
          <w:rStyle w:val="FootnoteReference"/>
          <w:noProof/>
          <w:szCs w:val="24"/>
        </w:rPr>
        <w:footnoteReference w:id="123"/>
      </w:r>
      <w:r>
        <w:rPr>
          <w:noProof/>
        </w:rPr>
        <w:t>.</w:t>
      </w:r>
    </w:p>
    <w:p>
      <w:pPr>
        <w:shd w:val="clear" w:color="auto" w:fill="FFFFFF" w:themeFill="background1"/>
        <w:autoSpaceDE w:val="0"/>
        <w:autoSpaceDN w:val="0"/>
        <w:adjustRightInd w:val="0"/>
        <w:rPr>
          <w:noProof/>
          <w:szCs w:val="24"/>
        </w:rPr>
      </w:pPr>
      <w:r>
        <w:rPr>
          <w:b/>
          <w:noProof/>
          <w:szCs w:val="24"/>
        </w:rPr>
        <w:t>Diminuiu a realização de consultas públicas e de avaliações de impacto.</w:t>
      </w:r>
      <w:r>
        <w:rPr>
          <w:noProof/>
        </w:rPr>
        <w:t xml:space="preserve"> A legislação húngara prevê a realização obrigatória de consultas públicas, bem como de avaliações de impacto </w:t>
      </w:r>
      <w:r>
        <w:rPr>
          <w:i/>
          <w:noProof/>
          <w:szCs w:val="24"/>
        </w:rPr>
        <w:t>ex ante</w:t>
      </w:r>
      <w:r>
        <w:rPr>
          <w:noProof/>
        </w:rPr>
        <w:t xml:space="preserve"> e </w:t>
      </w:r>
      <w:r>
        <w:rPr>
          <w:i/>
          <w:noProof/>
          <w:szCs w:val="24"/>
        </w:rPr>
        <w:t>ex post</w:t>
      </w:r>
      <w:r>
        <w:rPr>
          <w:rStyle w:val="FootnoteReference"/>
          <w:noProof/>
          <w:szCs w:val="24"/>
        </w:rPr>
        <w:footnoteReference w:id="124"/>
      </w:r>
      <w:r>
        <w:rPr>
          <w:noProof/>
        </w:rPr>
        <w:t xml:space="preserve">. </w:t>
      </w:r>
      <w:r>
        <w:rPr>
          <w:noProof/>
          <w:color w:val="000000"/>
          <w:szCs w:val="24"/>
        </w:rPr>
        <w:t xml:space="preserve">Na prática, as consultas e </w:t>
      </w:r>
      <w:r>
        <w:rPr>
          <w:noProof/>
        </w:rPr>
        <w:t>as avaliações</w:t>
      </w:r>
      <w:r>
        <w:rPr>
          <w:noProof/>
          <w:color w:val="000000"/>
          <w:szCs w:val="24"/>
        </w:rPr>
        <w:t xml:space="preserve"> </w:t>
      </w:r>
      <w:r>
        <w:rPr>
          <w:noProof/>
        </w:rPr>
        <w:t>de impacto são essencialmente formais ou simbólicas</w:t>
      </w:r>
      <w:r>
        <w:rPr>
          <w:rStyle w:val="FootnoteReference"/>
          <w:noProof/>
          <w:szCs w:val="24"/>
        </w:rPr>
        <w:footnoteReference w:id="125"/>
      </w:r>
      <w:r>
        <w:rPr>
          <w:noProof/>
        </w:rPr>
        <w:t>. No contexto do Semestre Europeu, foram expressas preocupações relacionadas com a participação dos parceiros sociais e com a qualidade e a previsibilidade da definição de políticas</w:t>
      </w:r>
      <w:r>
        <w:rPr>
          <w:rStyle w:val="FootnoteReference"/>
          <w:noProof/>
          <w:szCs w:val="24"/>
        </w:rPr>
        <w:footnoteReference w:id="126"/>
      </w:r>
      <w:r>
        <w:rPr>
          <w:noProof/>
        </w:rPr>
        <w:t>. As consultas e as avaliações de impacto foram frequentemente contornadas pela aplicação de procedimentos legislativos especiais, como os procedimentos urgentes ou propostas de lei introduzidas por deputados a título individual, dado que as exigências em termos de consultas e avaliações de impacto só se aplicam às propostas legislativas do Governo</w:t>
      </w:r>
      <w:r>
        <w:rPr>
          <w:rStyle w:val="FootnoteReference"/>
          <w:noProof/>
          <w:szCs w:val="24"/>
        </w:rPr>
        <w:footnoteReference w:id="127"/>
      </w:r>
      <w:r>
        <w:rPr>
          <w:noProof/>
        </w:rPr>
        <w:t>.</w:t>
      </w:r>
    </w:p>
    <w:p>
      <w:pPr>
        <w:rPr>
          <w:rFonts w:eastAsia="Calibri"/>
          <w:noProof/>
          <w:szCs w:val="24"/>
        </w:rPr>
      </w:pPr>
      <w:r>
        <w:rPr>
          <w:b/>
          <w:noProof/>
          <w:szCs w:val="24"/>
        </w:rPr>
        <w:t>Em 11 de março de 2020, o Governo declarou</w:t>
      </w:r>
      <w:r>
        <w:rPr>
          <w:rStyle w:val="FootnoteReference"/>
          <w:rFonts w:eastAsia="Calibri"/>
          <w:b/>
          <w:noProof/>
          <w:szCs w:val="24"/>
        </w:rPr>
        <w:footnoteReference w:id="128"/>
      </w:r>
      <w:r>
        <w:rPr>
          <w:b/>
          <w:noProof/>
          <w:szCs w:val="24"/>
        </w:rPr>
        <w:t xml:space="preserve"> o «estado de emergência»</w:t>
      </w:r>
      <w:r>
        <w:rPr>
          <w:rStyle w:val="FootnoteReference"/>
          <w:rFonts w:eastAsia="Calibri"/>
          <w:b/>
          <w:noProof/>
          <w:szCs w:val="24"/>
        </w:rPr>
        <w:footnoteReference w:id="129"/>
      </w:r>
      <w:r>
        <w:rPr>
          <w:b/>
          <w:noProof/>
          <w:szCs w:val="24"/>
        </w:rPr>
        <w:t xml:space="preserve"> em resposta à pandemia de COVID-19. </w:t>
      </w:r>
      <w:r>
        <w:rPr>
          <w:noProof/>
        </w:rPr>
        <w:t>A duração do «estado de emergência» não foi predefinida e o Governo tinha poder discricionário para o manter ou para lhe pôr termo</w:t>
      </w:r>
      <w:r>
        <w:rPr>
          <w:rStyle w:val="FootnoteReference"/>
          <w:rFonts w:eastAsia="Calibri"/>
          <w:noProof/>
          <w:szCs w:val="24"/>
        </w:rPr>
        <w:footnoteReference w:id="130"/>
      </w:r>
      <w:r>
        <w:rPr>
          <w:noProof/>
        </w:rPr>
        <w:t>. Em 30 de março de 2020, o Parlamento aprovou uma nova lei</w:t>
      </w:r>
      <w:r>
        <w:rPr>
          <w:rStyle w:val="FootnoteReference"/>
          <w:rFonts w:eastAsia="Calibri"/>
          <w:noProof/>
          <w:szCs w:val="24"/>
        </w:rPr>
        <w:footnoteReference w:id="131"/>
      </w:r>
      <w:r>
        <w:rPr>
          <w:noProof/>
        </w:rPr>
        <w:t xml:space="preserve"> que permitia ao Governo revogar qualquer lei por decreto. Os poderes de emergência conferidos afiguravam-se vastos, à luz do efeito combinado de poderes definidos genericamente e da ausência de um prazo claro. Determinadas medidas de emergência tomadas graças a estes poderes suscitaram questões quanto à sua necessidade e proporcionalidade e interferiram nas atividades empresariais e na estabilidade do quadro regulamentar</w:t>
      </w:r>
      <w:r>
        <w:rPr>
          <w:rStyle w:val="FootnoteReference"/>
          <w:rFonts w:eastAsia="Calibri"/>
          <w:noProof/>
          <w:szCs w:val="24"/>
        </w:rPr>
        <w:footnoteReference w:id="132"/>
      </w:r>
      <w:r>
        <w:rPr>
          <w:noProof/>
        </w:rPr>
        <w:t>. Esta questão foi igualmente abordada por uma recomendação específica por país no contexto do Semestre Europeu de 2020</w:t>
      </w:r>
      <w:r>
        <w:rPr>
          <w:rStyle w:val="FootnoteReference"/>
          <w:rFonts w:eastAsia="Calibri"/>
          <w:noProof/>
          <w:szCs w:val="24"/>
        </w:rPr>
        <w:footnoteReference w:id="133"/>
      </w:r>
      <w:r>
        <w:rPr>
          <w:noProof/>
        </w:rPr>
        <w:t>, na qual o Conselho recomendou que a Hungria diligenciasse no sentido de «</w:t>
      </w:r>
      <w:r>
        <w:rPr>
          <w:i/>
          <w:noProof/>
          <w:szCs w:val="24"/>
        </w:rPr>
        <w:t>assegurar que todas as medidas de emergência sejam estritamente proporcionais, limitadas no tempo e conformes às normas europeias e internacionais, e que não interfiram com as atividades empresariais e a estabilidade do ambiente regulamentar»</w:t>
      </w:r>
      <w:r>
        <w:rPr>
          <w:noProof/>
        </w:rPr>
        <w:t>. Em 18 de junho de 2020, o governo pôs termo ao «estado de emergência»</w:t>
      </w:r>
      <w:r>
        <w:rPr>
          <w:rStyle w:val="FootnoteReference"/>
          <w:rFonts w:eastAsia="Calibri"/>
          <w:noProof/>
          <w:szCs w:val="24"/>
        </w:rPr>
        <w:footnoteReference w:id="134"/>
      </w:r>
      <w:r>
        <w:rPr>
          <w:noProof/>
        </w:rPr>
        <w:t xml:space="preserve"> e declarou um «estado de emergência de saúde pública» até 18 de dezembro de 2020</w:t>
      </w:r>
      <w:r>
        <w:rPr>
          <w:rStyle w:val="FootnoteReference"/>
          <w:rFonts w:eastAsia="Calibri"/>
          <w:noProof/>
          <w:szCs w:val="24"/>
        </w:rPr>
        <w:footnoteReference w:id="135"/>
      </w:r>
      <w:r>
        <w:rPr>
          <w:noProof/>
        </w:rPr>
        <w:t>. A aplicabilidade de algumas medidas de emergência foi prorrogada para além do termo do «estado de emergência»</w:t>
      </w:r>
      <w:r>
        <w:rPr>
          <w:rStyle w:val="FootnoteReference"/>
          <w:rFonts w:eastAsia="Calibri"/>
          <w:noProof/>
          <w:szCs w:val="24"/>
        </w:rPr>
        <w:footnoteReference w:id="136"/>
      </w:r>
      <w:r>
        <w:rPr>
          <w:noProof/>
        </w:rPr>
        <w:t>. Algumas medidas de emergência foram contestadas perante o Tribunal Constitucional</w:t>
      </w:r>
      <w:r>
        <w:rPr>
          <w:rStyle w:val="FootnoteReference"/>
          <w:noProof/>
          <w:szCs w:val="24"/>
        </w:rPr>
        <w:footnoteReference w:id="137"/>
      </w:r>
      <w:r>
        <w:rPr>
          <w:noProof/>
        </w:rPr>
        <w:t>. Em julho de 2020, o Tribunal Constitucional rejeitou</w:t>
      </w:r>
      <w:r>
        <w:rPr>
          <w:rStyle w:val="FootnoteReference"/>
          <w:noProof/>
          <w:szCs w:val="24"/>
        </w:rPr>
        <w:footnoteReference w:id="138"/>
      </w:r>
      <w:r>
        <w:rPr>
          <w:noProof/>
        </w:rPr>
        <w:t xml:space="preserve"> uma proposta de revisão de uma medida de emergência</w:t>
      </w:r>
      <w:r>
        <w:rPr>
          <w:rStyle w:val="FootnoteReference"/>
          <w:noProof/>
          <w:szCs w:val="24"/>
        </w:rPr>
        <w:footnoteReference w:id="139"/>
      </w:r>
      <w:r>
        <w:rPr>
          <w:noProof/>
        </w:rPr>
        <w:t xml:space="preserve"> adotada durante o «estado de emergência», invocando não ser competente em matéria fiscal e orçamental</w:t>
      </w:r>
      <w:r>
        <w:rPr>
          <w:rStyle w:val="FootnoteReference"/>
          <w:noProof/>
          <w:szCs w:val="24"/>
        </w:rPr>
        <w:footnoteReference w:id="140"/>
      </w:r>
      <w:r>
        <w:rPr>
          <w:noProof/>
        </w:rPr>
        <w:t>.</w:t>
      </w:r>
    </w:p>
    <w:p>
      <w:pPr>
        <w:rPr>
          <w:noProof/>
          <w:szCs w:val="24"/>
        </w:rPr>
      </w:pPr>
      <w:r>
        <w:rPr>
          <w:b/>
          <w:noProof/>
          <w:szCs w:val="24"/>
        </w:rPr>
        <w:t>Em dezembro de 2019, a legislação geral introduziu novas regras para o procedimento de queixa constitucional.</w:t>
      </w:r>
      <w:r>
        <w:rPr>
          <w:noProof/>
        </w:rPr>
        <w:t xml:space="preserve"> Na sequência desta reforma legislativa, as autoridades administrativas podem contestar perante o Tribunal Constitucional decisões judiciais transitadas em julgado, caso violem os seus direitos e restrinjam os seus poderes nos termos da Lei Fundamental</w:t>
      </w:r>
      <w:r>
        <w:rPr>
          <w:rStyle w:val="FootnoteReference"/>
          <w:noProof/>
          <w:szCs w:val="24"/>
        </w:rPr>
        <w:footnoteReference w:id="141"/>
      </w:r>
      <w:r>
        <w:rPr>
          <w:noProof/>
        </w:rPr>
        <w:t>. Estas disposições processuais suscitam dúvidas quanto ao princípio da segurança jurídica</w:t>
      </w:r>
      <w:r>
        <w:rPr>
          <w:rStyle w:val="FootnoteReference"/>
          <w:noProof/>
          <w:szCs w:val="24"/>
        </w:rPr>
        <w:footnoteReference w:id="142"/>
      </w:r>
      <w:r>
        <w:rPr>
          <w:noProof/>
        </w:rPr>
        <w:t>.</w:t>
      </w:r>
    </w:p>
    <w:p>
      <w:pPr>
        <w:rPr>
          <w:noProof/>
          <w:szCs w:val="24"/>
        </w:rPr>
      </w:pPr>
      <w:r>
        <w:rPr>
          <w:b/>
          <w:noProof/>
          <w:szCs w:val="24"/>
        </w:rPr>
        <w:t>Apesar de o comissário para os Direitos Fundamentais ter sido acreditado com o estatuto «A», a sua nova acreditação foi diferida.</w:t>
      </w:r>
      <w:r>
        <w:rPr>
          <w:noProof/>
        </w:rPr>
        <w:t xml:space="preserve"> Em outubro de 2019, o Subcomité de Acreditação das Nações Unidas (SCA) considerou insuficientes as informações prestadas sobre as medidas adotadas em resposta a uma série de recomendações e preocupações</w:t>
      </w:r>
      <w:r>
        <w:rPr>
          <w:rStyle w:val="FootnoteReference"/>
          <w:noProof/>
          <w:szCs w:val="24"/>
        </w:rPr>
        <w:footnoteReference w:id="143"/>
      </w:r>
      <w:r>
        <w:rPr>
          <w:noProof/>
        </w:rPr>
        <w:t>. O SCA entendeu que o processo de seleção</w:t>
      </w:r>
      <w:r>
        <w:rPr>
          <w:rStyle w:val="FootnoteReference"/>
          <w:noProof/>
          <w:szCs w:val="24"/>
        </w:rPr>
        <w:footnoteReference w:id="144"/>
      </w:r>
      <w:r>
        <w:rPr>
          <w:noProof/>
        </w:rPr>
        <w:t xml:space="preserve"> não é suficientemente aberto e transparente</w:t>
      </w:r>
      <w:r>
        <w:rPr>
          <w:rStyle w:val="FootnoteReference"/>
          <w:noProof/>
          <w:szCs w:val="24"/>
        </w:rPr>
        <w:footnoteReference w:id="145"/>
      </w:r>
      <w:r>
        <w:rPr>
          <w:noProof/>
        </w:rPr>
        <w:t xml:space="preserve">, que as informações prestadas pelo comissário não demonstraram que foram envidados esforços adequados para abordar todos os problemas de direitos humanos e que este não agira de forma a promover e a proteger todos os direitos humanos. Esta conclusão foi ditada, sobretudo, pela posição adotada pelo comissário em relação à Lei relativa às organizações financiadas a partir do estrangeiro (ver </w:t>
      </w:r>
      <w:r>
        <w:rPr>
          <w:i/>
          <w:noProof/>
        </w:rPr>
        <w:t>infra</w:t>
      </w:r>
      <w:r>
        <w:rPr>
          <w:noProof/>
        </w:rPr>
        <w:t>). O SCA recomendou igualmente a defesa de um financiamento adequado. Em maio de 2020, uma nova lei sobre o estatuto e a remuneração do pessoal do comissário</w:t>
      </w:r>
      <w:r>
        <w:rPr>
          <w:rStyle w:val="FootnoteReference"/>
          <w:noProof/>
          <w:szCs w:val="24"/>
        </w:rPr>
        <w:footnoteReference w:id="146"/>
      </w:r>
      <w:r>
        <w:rPr>
          <w:noProof/>
        </w:rPr>
        <w:t xml:space="preserve"> prevê um aumento salarial médio de 30 %. Além disso, em 2020, o comissário assumiu as responsabilidades do Conselho Independente de Queixas da Polícia</w:t>
      </w:r>
      <w:r>
        <w:rPr>
          <w:rStyle w:val="FootnoteReference"/>
          <w:noProof/>
          <w:szCs w:val="24"/>
        </w:rPr>
        <w:footnoteReference w:id="147"/>
      </w:r>
      <w:r>
        <w:rPr>
          <w:noProof/>
        </w:rPr>
        <w:t xml:space="preserve">. Foram expressas preocupações quanto à independência de uma série de </w:t>
      </w:r>
      <w:r>
        <w:rPr>
          <w:noProof/>
          <w:color w:val="000000" w:themeColor="text1"/>
          <w:szCs w:val="24"/>
        </w:rPr>
        <w:t>instituições e à sua capacidade de funcionar como contrapeso dos poderes do Governo</w:t>
      </w:r>
      <w:r>
        <w:rPr>
          <w:rStyle w:val="FootnoteReference"/>
          <w:noProof/>
          <w:color w:val="000000" w:themeColor="text1"/>
          <w:szCs w:val="24"/>
          <w:lang w:eastAsia="fr-FR"/>
        </w:rPr>
        <w:footnoteReference w:id="148"/>
      </w:r>
      <w:r>
        <w:rPr>
          <w:noProof/>
          <w:color w:val="000000" w:themeColor="text1"/>
          <w:szCs w:val="24"/>
        </w:rPr>
        <w:t>.</w:t>
      </w:r>
    </w:p>
    <w:p>
      <w:pPr>
        <w:pStyle w:val="EUPACKNormal"/>
        <w:spacing w:after="240"/>
        <w:ind w:left="0"/>
        <w:rPr>
          <w:rFonts w:eastAsiaTheme="minorHAnsi"/>
          <w:noProof/>
          <w:shd w:val="clear" w:color="auto" w:fill="auto"/>
        </w:rPr>
      </w:pPr>
      <w:r>
        <w:rPr>
          <w:b/>
          <w:noProof/>
        </w:rPr>
        <w:t>A sociedade civil continua a estar sob pressão, especialmente ao assumir uma posição crítica em relação ao Governo.</w:t>
      </w:r>
      <w:r>
        <w:rPr>
          <w:noProof/>
        </w:rPr>
        <w:t xml:space="preserve"> Em junho de 2020, o Tribunal de Justiça considerou que a legislação húngara</w:t>
      </w:r>
      <w:r>
        <w:rPr>
          <w:rStyle w:val="FootnoteReference"/>
          <w:noProof/>
        </w:rPr>
        <w:footnoteReference w:id="149"/>
      </w:r>
      <w:r>
        <w:rPr>
          <w:noProof/>
        </w:rPr>
        <w:t xml:space="preserve"> sobre a transparência das organizações da sociedade civil financiadas a partir do estrangeiro, adotada em junho de 2017, é incompatível com a livre circulação de capitais, bem como com o direito à liberdade de associação e com os direitos à proteção da vida privada e dos dados pessoais consagrados na Carta dos Direitos Fundamentais</w:t>
      </w:r>
      <w:r>
        <w:rPr>
          <w:rStyle w:val="FootnoteReference"/>
          <w:noProof/>
        </w:rPr>
        <w:footnoteReference w:id="150"/>
      </w:r>
      <w:r>
        <w:rPr>
          <w:noProof/>
        </w:rPr>
        <w:t>.</w:t>
      </w:r>
      <w:r>
        <w:rPr>
          <w:b/>
          <w:noProof/>
        </w:rPr>
        <w:t xml:space="preserve"> </w:t>
      </w:r>
      <w:r>
        <w:rPr>
          <w:noProof/>
        </w:rPr>
        <w:t>Estão em preparação as medidas legislativas necessárias para dar cumprimento ao acórdão do Tribunal de Justiça. Em novembro de 2019, a Comissão intentou uma ação junto do Tribunal de Justiça</w:t>
      </w:r>
      <w:r>
        <w:rPr>
          <w:rStyle w:val="FootnoteReference"/>
          <w:noProof/>
        </w:rPr>
        <w:footnoteReference w:id="151"/>
      </w:r>
      <w:r>
        <w:rPr>
          <w:noProof/>
        </w:rPr>
        <w:t xml:space="preserve"> contra a Hungria em relação a um ato legislativo</w:t>
      </w:r>
      <w:r>
        <w:rPr>
          <w:rStyle w:val="FootnoteReference"/>
          <w:noProof/>
        </w:rPr>
        <w:footnoteReference w:id="152"/>
      </w:r>
      <w:r>
        <w:rPr>
          <w:noProof/>
        </w:rPr>
        <w:t xml:space="preserve"> (rotulado «Stop Soros» pelo Governo) que criminalizou a organização da assistência prestada por qualquer pessoa em nome de organizações nacionais, internacionais e não governamentais a pessoas que pretendam apresentar um pedido de asilo. Em junho de 2018, a Comissão de Veneza e a OSCE-ODIHR publicaram um parecer conjunto, no qual concluíam que as disposições examinadas violam o direito à liberdade de associação e de expressão e devem ser revogadas</w:t>
      </w:r>
      <w:r>
        <w:rPr>
          <w:rStyle w:val="FootnoteReference"/>
          <w:noProof/>
        </w:rPr>
        <w:footnoteReference w:id="153"/>
      </w:r>
      <w:r>
        <w:rPr>
          <w:noProof/>
        </w:rPr>
        <w:t>. Uma outra lei, que introduz um imposto especial de 25 % sobre a imigração aplicável ao apoio financeiro a organizações que desenvolvam «atividades de facilitação da imigração», foi igualmente criticada pela Comissão de Veneza e pela OSCE-ODIHR</w:t>
      </w:r>
      <w:r>
        <w:rPr>
          <w:rStyle w:val="FootnoteReference"/>
          <w:noProof/>
        </w:rPr>
        <w:footnoteReference w:id="154"/>
      </w:r>
      <w:r>
        <w:rPr>
          <w:noProof/>
        </w:rPr>
        <w:t>. Acresce que a retórica hostil utilizada pelo Governo e pelos órgãos de comunicação social pró-governamentais constitui um obstáculo a qualquer cooperação construtiva com organizações da sociedade civil. O espaço cívico da Hungria está classificado como «obstruído»</w:t>
      </w:r>
      <w:r>
        <w:rPr>
          <w:rStyle w:val="FootnoteReference"/>
          <w:noProof/>
        </w:rPr>
        <w:footnoteReference w:id="155"/>
      </w:r>
      <w:r>
        <w:rPr>
          <w:noProof/>
        </w:rPr>
        <w:t>. É importante que o quadro jurídico aplicável e o ambiente político e público tenham em conta as recomendações do Conselho da Europa relativas à proteção e à promoção do espaço da sociedade civil</w:t>
      </w:r>
      <w:r>
        <w:rPr>
          <w:rStyle w:val="FootnoteReference"/>
          <w:noProof/>
        </w:rPr>
        <w:footnoteReference w:id="156"/>
      </w:r>
      <w:r>
        <w:rPr>
          <w:noProof/>
        </w:rPr>
        <w:t>.</w:t>
      </w:r>
    </w:p>
    <w:p>
      <w:pPr>
        <w:rPr>
          <w:noProof/>
        </w:rPr>
      </w:pPr>
      <w:r>
        <w:rPr>
          <w:noProof/>
        </w:rPr>
        <w:br w:type="page"/>
      </w:r>
    </w:p>
    <w:p>
      <w:pPr>
        <w:spacing w:after="120"/>
        <w:ind w:left="181" w:hanging="181"/>
        <w:rPr>
          <w:b/>
          <w:noProof/>
          <w:sz w:val="22"/>
          <w:szCs w:val="22"/>
        </w:rPr>
      </w:pPr>
      <w:r>
        <w:rPr>
          <w:b/>
          <w:noProof/>
          <w:sz w:val="22"/>
          <w:szCs w:val="22"/>
        </w:rPr>
        <w:t>Anexo I: Lista de fontes por ordem alfabética*</w:t>
      </w:r>
    </w:p>
    <w:p>
      <w:pPr>
        <w:spacing w:after="120"/>
        <w:ind w:left="181" w:hanging="181"/>
        <w:rPr>
          <w:i/>
          <w:noProof/>
          <w:sz w:val="22"/>
          <w:szCs w:val="22"/>
        </w:rPr>
      </w:pPr>
      <w:r>
        <w:rPr>
          <w:i/>
          <w:noProof/>
          <w:sz w:val="22"/>
          <w:szCs w:val="22"/>
        </w:rPr>
        <w:t>* A lista dos contributos recebidos no contexto da consulta para o Relatório de 2020 sobre o Estado de direito pode ser consultada em (sítio Web da Comissão).</w:t>
      </w:r>
    </w:p>
    <w:p>
      <w:pPr>
        <w:spacing w:after="120"/>
        <w:ind w:left="181" w:hanging="181"/>
        <w:rPr>
          <w:noProof/>
          <w:sz w:val="22"/>
          <w:szCs w:val="22"/>
        </w:rPr>
      </w:pPr>
      <w:r>
        <w:rPr>
          <w:noProof/>
          <w:sz w:val="22"/>
          <w:szCs w:val="22"/>
        </w:rPr>
        <w:t xml:space="preserve">Associação Europeia de Juízes (2019), </w:t>
      </w:r>
      <w:r>
        <w:rPr>
          <w:i/>
          <w:iCs/>
          <w:noProof/>
          <w:sz w:val="22"/>
          <w:szCs w:val="22"/>
        </w:rPr>
        <w:t>Report on the fact-finding mission of the EAJ to Hungary</w:t>
      </w:r>
      <w:r>
        <w:rPr>
          <w:noProof/>
          <w:sz w:val="22"/>
          <w:szCs w:val="22"/>
        </w:rPr>
        <w:t xml:space="preserve">, 3 de maio de 2019. </w:t>
      </w:r>
      <w:hyperlink r:id="rId18" w:history="1">
        <w:r>
          <w:rPr>
            <w:rStyle w:val="Hyperlink"/>
            <w:noProof/>
            <w:sz w:val="22"/>
            <w:szCs w:val="22"/>
          </w:rPr>
          <w:t>https://www.iaj-uim.org/iuw/wp-content/uploads/2019/05/Report-on-the-fact-finding-mission-of-a-delegation-of-the-EAJ-to-Hungary.pdf</w:t>
        </w:r>
      </w:hyperlink>
      <w:r>
        <w:rPr>
          <w:noProof/>
          <w:sz w:val="22"/>
          <w:szCs w:val="22"/>
        </w:rPr>
        <w:t>.</w:t>
      </w:r>
    </w:p>
    <w:p>
      <w:pPr>
        <w:spacing w:after="120"/>
        <w:ind w:left="181" w:hanging="181"/>
        <w:rPr>
          <w:noProof/>
          <w:sz w:val="22"/>
          <w:szCs w:val="22"/>
        </w:rPr>
      </w:pPr>
      <w:r>
        <w:rPr>
          <w:noProof/>
        </w:rPr>
        <w:t xml:space="preserve">Associação Húngara de Juízes (MABIE) (10 de março de 2020), declaração. </w:t>
      </w:r>
      <w:hyperlink r:id="rId19" w:history="1">
        <w:r>
          <w:rPr>
            <w:rStyle w:val="Hyperlink"/>
            <w:noProof/>
            <w:sz w:val="22"/>
            <w:szCs w:val="22"/>
          </w:rPr>
          <w:t>http://mabie.hu/index.php/1526-a-birok-neveben</w:t>
        </w:r>
      </w:hyperlink>
      <w:r>
        <w:rPr>
          <w:noProof/>
          <w:sz w:val="22"/>
          <w:szCs w:val="22"/>
        </w:rPr>
        <w:t>.</w:t>
      </w:r>
    </w:p>
    <w:p>
      <w:pPr>
        <w:spacing w:after="120"/>
        <w:ind w:left="181" w:hanging="181"/>
        <w:rPr>
          <w:noProof/>
          <w:sz w:val="22"/>
          <w:szCs w:val="22"/>
        </w:rPr>
      </w:pPr>
      <w:r>
        <w:rPr>
          <w:noProof/>
          <w:sz w:val="22"/>
          <w:szCs w:val="22"/>
        </w:rPr>
        <w:t xml:space="preserve">Autoridade Nacional para a Proteção de Dados e a Liberdade de Imprensa (2019), </w:t>
      </w:r>
      <w:r>
        <w:rPr>
          <w:i/>
          <w:iCs/>
          <w:noProof/>
          <w:sz w:val="22"/>
          <w:szCs w:val="22"/>
        </w:rPr>
        <w:t>Annual Report of the National Authority for Data Protection and Freedom of Information 2018</w:t>
      </w:r>
      <w:r>
        <w:rPr>
          <w:noProof/>
          <w:sz w:val="22"/>
          <w:szCs w:val="22"/>
        </w:rPr>
        <w:t xml:space="preserve">, Budapeste. </w:t>
      </w:r>
      <w:hyperlink r:id="rId20" w:history="1">
        <w:r>
          <w:rPr>
            <w:rStyle w:val="Hyperlink"/>
            <w:noProof/>
            <w:sz w:val="22"/>
            <w:szCs w:val="22"/>
          </w:rPr>
          <w:t>https://naih.hu/files/NAIH-Annual-report-2018-v190830.pdf</w:t>
        </w:r>
      </w:hyperlink>
      <w:r>
        <w:rPr>
          <w:noProof/>
          <w:sz w:val="22"/>
          <w:szCs w:val="22"/>
        </w:rPr>
        <w:t>.</w:t>
      </w:r>
    </w:p>
    <w:p>
      <w:pPr>
        <w:spacing w:after="120"/>
        <w:ind w:left="181" w:hanging="181"/>
        <w:rPr>
          <w:noProof/>
          <w:sz w:val="22"/>
          <w:szCs w:val="22"/>
        </w:rPr>
      </w:pPr>
      <w:r>
        <w:rPr>
          <w:noProof/>
          <w:sz w:val="22"/>
          <w:szCs w:val="22"/>
        </w:rPr>
        <w:t xml:space="preserve">Bertelsmann Stiftung (2019), </w:t>
      </w:r>
      <w:r>
        <w:rPr>
          <w:i/>
          <w:iCs/>
          <w:noProof/>
          <w:sz w:val="22"/>
          <w:szCs w:val="22"/>
        </w:rPr>
        <w:t>Sustainable Governance Indicators</w:t>
      </w:r>
      <w:r>
        <w:rPr>
          <w:noProof/>
          <w:sz w:val="22"/>
          <w:szCs w:val="22"/>
        </w:rPr>
        <w:t xml:space="preserve">. </w:t>
      </w:r>
      <w:hyperlink r:id="rId21" w:history="1">
        <w:r>
          <w:rPr>
            <w:rStyle w:val="Hyperlink"/>
            <w:noProof/>
            <w:sz w:val="22"/>
            <w:szCs w:val="22"/>
          </w:rPr>
          <w:t>https://www.sgi-network.org/2019/Governance/Executive_Capacity/Evidence-based_Instruments</w:t>
        </w:r>
      </w:hyperlink>
      <w:r>
        <w:rPr>
          <w:noProof/>
          <w:sz w:val="22"/>
          <w:szCs w:val="22"/>
        </w:rPr>
        <w:t>.</w:t>
      </w:r>
    </w:p>
    <w:p>
      <w:pPr>
        <w:spacing w:after="120"/>
        <w:ind w:left="181" w:hanging="181"/>
        <w:rPr>
          <w:noProof/>
          <w:sz w:val="22"/>
          <w:szCs w:val="22"/>
        </w:rPr>
      </w:pPr>
      <w:r>
        <w:rPr>
          <w:noProof/>
          <w:sz w:val="22"/>
          <w:szCs w:val="22"/>
        </w:rPr>
        <w:t xml:space="preserve">Centro para o Pluralismo e a Liberdade dos Meios de Comunicação Social (2019), </w:t>
      </w:r>
      <w:r>
        <w:rPr>
          <w:i/>
          <w:iCs/>
          <w:noProof/>
          <w:sz w:val="22"/>
          <w:szCs w:val="22"/>
        </w:rPr>
        <w:t>Assessing certain recent developments in the Hungarian media market through the prism of the Media Pluralism Monitor.</w:t>
      </w:r>
      <w:r>
        <w:rPr>
          <w:i/>
          <w:iCs/>
          <w:noProof/>
          <w:sz w:val="22"/>
          <w:szCs w:val="22"/>
        </w:rPr>
        <w:tab/>
      </w:r>
      <w:r>
        <w:rPr>
          <w:i/>
          <w:iCs/>
          <w:noProof/>
          <w:sz w:val="22"/>
          <w:szCs w:val="22"/>
        </w:rPr>
        <w:br/>
      </w:r>
      <w:hyperlink r:id="rId22" w:history="1">
        <w:r>
          <w:rPr>
            <w:rStyle w:val="Hyperlink"/>
            <w:noProof/>
            <w:sz w:val="22"/>
            <w:szCs w:val="22"/>
          </w:rPr>
          <w:t>https://op.europa.eu/en/publication-detail/-/publication/79196553-5c39-11ea-8b81-01aa75ed71a1</w:t>
        </w:r>
      </w:hyperlink>
      <w:r>
        <w:rPr>
          <w:noProof/>
          <w:sz w:val="22"/>
          <w:szCs w:val="22"/>
        </w:rPr>
        <w:t>.</w:t>
      </w:r>
      <w:r>
        <w:rPr>
          <w:noProof/>
        </w:rPr>
        <w:cr/>
      </w:r>
    </w:p>
    <w:p>
      <w:pPr>
        <w:spacing w:after="120"/>
        <w:ind w:left="181" w:hanging="181"/>
        <w:rPr>
          <w:noProof/>
          <w:sz w:val="22"/>
          <w:szCs w:val="22"/>
        </w:rPr>
      </w:pPr>
      <w:r>
        <w:rPr>
          <w:noProof/>
          <w:sz w:val="22"/>
          <w:szCs w:val="22"/>
        </w:rPr>
        <w:t>Centro para o Pluralismo e a Liberdade dos Meios de Comunicação Social (2019),</w:t>
      </w:r>
      <w:r>
        <w:rPr>
          <w:noProof/>
        </w:rPr>
        <w:t xml:space="preserve"> </w:t>
      </w:r>
      <w:r>
        <w:rPr>
          <w:i/>
          <w:iCs/>
          <w:noProof/>
        </w:rPr>
        <w:t>Decriminalisation of Defamation</w:t>
      </w:r>
      <w:r>
        <w:rPr>
          <w:noProof/>
        </w:rPr>
        <w:t>.</w:t>
      </w:r>
      <w:r>
        <w:rPr>
          <w:noProof/>
        </w:rPr>
        <w:tab/>
      </w:r>
      <w:r>
        <w:rPr>
          <w:noProof/>
        </w:rPr>
        <w:br/>
      </w:r>
      <w:hyperlink r:id="rId23" w:history="1">
        <w:r>
          <w:rPr>
            <w:rStyle w:val="Hyperlink"/>
            <w:noProof/>
            <w:sz w:val="22"/>
            <w:szCs w:val="22"/>
          </w:rPr>
          <w:t>https://cmpf.eui.eu/wp-content/uploads/2019/01/decriminalisation-of-defamation_Infographic.pdf</w:t>
        </w:r>
      </w:hyperlink>
      <w:r>
        <w:rPr>
          <w:noProof/>
          <w:sz w:val="22"/>
          <w:szCs w:val="22"/>
        </w:rPr>
        <w:t>.</w:t>
      </w:r>
    </w:p>
    <w:p>
      <w:pPr>
        <w:spacing w:after="120"/>
        <w:ind w:left="181" w:hanging="181"/>
        <w:rPr>
          <w:noProof/>
          <w:sz w:val="22"/>
          <w:szCs w:val="22"/>
        </w:rPr>
      </w:pPr>
      <w:r>
        <w:rPr>
          <w:noProof/>
          <w:sz w:val="22"/>
          <w:szCs w:val="22"/>
        </w:rPr>
        <w:t>Centro para o Pluralismo e a Liberdade dos Meios de Comunicação Social (2020),</w:t>
      </w:r>
      <w:r>
        <w:rPr>
          <w:noProof/>
        </w:rPr>
        <w:t xml:space="preserve"> Observatório do Pluralismo dos Meios de Comunicação Social de 2020</w:t>
      </w:r>
      <w:r>
        <w:rPr>
          <w:noProof/>
          <w:sz w:val="22"/>
          <w:szCs w:val="22"/>
        </w:rPr>
        <w:t xml:space="preserve">. </w:t>
      </w:r>
      <w:hyperlink r:id="rId24" w:history="1">
        <w:r>
          <w:rPr>
            <w:rStyle w:val="Hyperlink"/>
            <w:noProof/>
            <w:sz w:val="22"/>
            <w:szCs w:val="22"/>
          </w:rPr>
          <w:t>https://cmpf.eui.eu/media-pluralism-monitor/mpm-2020</w:t>
        </w:r>
      </w:hyperlink>
      <w:r>
        <w:rPr>
          <w:noProof/>
          <w:sz w:val="22"/>
          <w:szCs w:val="22"/>
        </w:rPr>
        <w:t>.</w:t>
      </w:r>
    </w:p>
    <w:p>
      <w:pPr>
        <w:spacing w:after="120"/>
        <w:ind w:left="181" w:hanging="181"/>
        <w:rPr>
          <w:noProof/>
          <w:sz w:val="22"/>
          <w:szCs w:val="22"/>
        </w:rPr>
      </w:pPr>
      <w:r>
        <w:rPr>
          <w:noProof/>
          <w:sz w:val="22"/>
          <w:szCs w:val="22"/>
        </w:rPr>
        <w:t xml:space="preserve">CEPEJ (2018), </w:t>
      </w:r>
      <w:r>
        <w:rPr>
          <w:i/>
          <w:iCs/>
          <w:noProof/>
          <w:sz w:val="22"/>
          <w:szCs w:val="22"/>
        </w:rPr>
        <w:t>European judicial systems - Efficiency and quality of justice, CEPEJ STUDIES</w:t>
      </w:r>
      <w:r>
        <w:rPr>
          <w:noProof/>
          <w:sz w:val="22"/>
          <w:szCs w:val="22"/>
        </w:rPr>
        <w:t xml:space="preserve"> n.º 26, edição de 2018 (dados de 2016).</w:t>
      </w:r>
      <w:hyperlink r:id="rId25" w:history="1">
        <w:r>
          <w:rPr>
            <w:rStyle w:val="Hyperlink"/>
            <w:noProof/>
            <w:sz w:val="22"/>
            <w:szCs w:val="22"/>
          </w:rPr>
          <w:t xml:space="preserve"> https://rm.coe.int/rapport-avec-couv-18-09-2018-en/16808def9c</w:t>
        </w:r>
      </w:hyperlink>
      <w:r>
        <w:rPr>
          <w:noProof/>
          <w:sz w:val="22"/>
          <w:szCs w:val="22"/>
        </w:rPr>
        <w:t>.</w:t>
      </w:r>
    </w:p>
    <w:p>
      <w:pPr>
        <w:spacing w:after="120"/>
        <w:ind w:left="181" w:hanging="181"/>
        <w:rPr>
          <w:noProof/>
          <w:sz w:val="22"/>
          <w:szCs w:val="22"/>
        </w:rPr>
      </w:pPr>
      <w:r>
        <w:rPr>
          <w:noProof/>
          <w:sz w:val="22"/>
          <w:szCs w:val="22"/>
        </w:rPr>
        <w:t>CIVICUS, Monitor de acompanhamento do espaço cívico: Hungria.</w:t>
      </w:r>
      <w:r>
        <w:rPr>
          <w:noProof/>
          <w:sz w:val="22"/>
          <w:szCs w:val="22"/>
        </w:rPr>
        <w:tab/>
      </w:r>
      <w:r>
        <w:rPr>
          <w:noProof/>
          <w:sz w:val="22"/>
          <w:szCs w:val="22"/>
        </w:rPr>
        <w:br/>
      </w:r>
      <w:hyperlink r:id="rId26" w:history="1">
        <w:r>
          <w:rPr>
            <w:rStyle w:val="Hyperlink"/>
            <w:noProof/>
            <w:sz w:val="22"/>
            <w:szCs w:val="22"/>
          </w:rPr>
          <w:t>https://monitor.civicus.org/country/hungary/</w:t>
        </w:r>
      </w:hyperlink>
      <w:r>
        <w:rPr>
          <w:noProof/>
          <w:sz w:val="22"/>
          <w:szCs w:val="22"/>
        </w:rPr>
        <w:t>.</w:t>
      </w:r>
    </w:p>
    <w:p>
      <w:pPr>
        <w:spacing w:after="120"/>
        <w:ind w:left="181" w:hanging="181"/>
        <w:rPr>
          <w:noProof/>
          <w:sz w:val="22"/>
          <w:szCs w:val="22"/>
        </w:rPr>
      </w:pPr>
      <w:r>
        <w:rPr>
          <w:noProof/>
          <w:sz w:val="22"/>
          <w:szCs w:val="22"/>
        </w:rPr>
        <w:t>Comissão Europeia (2020), Painel de Avaliação da Justiça na UE de 2020.</w:t>
      </w:r>
    </w:p>
    <w:p>
      <w:pPr>
        <w:spacing w:after="120"/>
        <w:ind w:left="181" w:hanging="181"/>
        <w:rPr>
          <w:noProof/>
          <w:sz w:val="22"/>
          <w:szCs w:val="22"/>
        </w:rPr>
      </w:pPr>
      <w:r>
        <w:rPr>
          <w:noProof/>
          <w:sz w:val="22"/>
          <w:szCs w:val="22"/>
        </w:rPr>
        <w:t>Comissão Europeia (2020), Relatório do OLAF de 2019.</w:t>
      </w:r>
    </w:p>
    <w:p>
      <w:pPr>
        <w:spacing w:after="120"/>
        <w:ind w:left="181" w:hanging="181"/>
        <w:rPr>
          <w:noProof/>
          <w:sz w:val="22"/>
          <w:szCs w:val="22"/>
        </w:rPr>
      </w:pPr>
      <w:r>
        <w:rPr>
          <w:noProof/>
          <w:sz w:val="22"/>
          <w:szCs w:val="22"/>
        </w:rPr>
        <w:t>Comissão Europeia, Relatório de 2019 relativo à Hungria, SWD(2019) 1016 final.</w:t>
      </w:r>
    </w:p>
    <w:p>
      <w:pPr>
        <w:spacing w:after="120"/>
        <w:ind w:left="181" w:hanging="181"/>
        <w:rPr>
          <w:noProof/>
          <w:sz w:val="22"/>
          <w:szCs w:val="22"/>
        </w:rPr>
      </w:pPr>
      <w:r>
        <w:rPr>
          <w:noProof/>
          <w:sz w:val="22"/>
          <w:szCs w:val="22"/>
        </w:rPr>
        <w:t>Comissão Europeia, Relatório de 2020 relativo à Hungria, SWD(2020) 516 final.</w:t>
      </w:r>
    </w:p>
    <w:p>
      <w:pPr>
        <w:spacing w:after="120"/>
        <w:ind w:left="181" w:hanging="181"/>
        <w:rPr>
          <w:noProof/>
          <w:sz w:val="22"/>
          <w:szCs w:val="22"/>
        </w:rPr>
      </w:pPr>
      <w:r>
        <w:rPr>
          <w:noProof/>
          <w:sz w:val="22"/>
          <w:szCs w:val="22"/>
        </w:rPr>
        <w:t xml:space="preserve">Comissária para os Direitos Humanos do Conselho da Europa (2018), </w:t>
      </w:r>
      <w:r>
        <w:rPr>
          <w:i/>
          <w:iCs/>
          <w:noProof/>
          <w:sz w:val="22"/>
          <w:szCs w:val="22"/>
        </w:rPr>
        <w:t>Commissioner calls on Hungary’s President to return to the Parliament the legislative package on administrative courts</w:t>
      </w:r>
      <w:r>
        <w:rPr>
          <w:noProof/>
          <w:sz w:val="22"/>
          <w:szCs w:val="22"/>
        </w:rPr>
        <w:t xml:space="preserve"> (declaração de 14 de dezembro de 2018). </w:t>
      </w:r>
      <w:hyperlink r:id="rId27" w:history="1">
        <w:r>
          <w:rPr>
            <w:rStyle w:val="Hyperlink"/>
            <w:noProof/>
            <w:sz w:val="22"/>
            <w:szCs w:val="22"/>
          </w:rPr>
          <w:t>https://www.coe.int/en/web/commissioner/-/commissioner-calls-on-hungary-s-president-to-return-to-the-parliament-the-legislative-package-on-administrative-courts.</w:t>
        </w:r>
      </w:hyperlink>
    </w:p>
    <w:p>
      <w:pPr>
        <w:spacing w:after="120"/>
        <w:ind w:left="181" w:hanging="181"/>
        <w:rPr>
          <w:noProof/>
          <w:sz w:val="22"/>
          <w:szCs w:val="22"/>
        </w:rPr>
      </w:pPr>
      <w:r>
        <w:rPr>
          <w:noProof/>
          <w:sz w:val="22"/>
          <w:szCs w:val="22"/>
        </w:rPr>
        <w:t>Comissária para os Direitos Humanos do Conselho da Europa (2019), relatório de Dunja Mijatović na sequência da sua visita à Hungria, de 4 a 8 de fevereiro de 2019, Estrasburgo, 21 de maio de 2019.</w:t>
      </w:r>
      <w:r>
        <w:rPr>
          <w:noProof/>
          <w:sz w:val="22"/>
          <w:szCs w:val="22"/>
        </w:rPr>
        <w:br/>
      </w:r>
      <w:hyperlink r:id="rId28" w:history="1">
        <w:r>
          <w:rPr>
            <w:rStyle w:val="Hyperlink"/>
            <w:noProof/>
            <w:sz w:val="21"/>
            <w:szCs w:val="21"/>
          </w:rPr>
          <w:t>https://rm.coe.int/report-on-the-visit-to-hungary-from-4-to-8-february-2019-by-dunja-mija/1680942f0d</w:t>
        </w:r>
      </w:hyperlink>
      <w:r>
        <w:rPr>
          <w:noProof/>
          <w:sz w:val="22"/>
          <w:szCs w:val="22"/>
        </w:rPr>
        <w:t>.</w:t>
      </w:r>
    </w:p>
    <w:p>
      <w:pPr>
        <w:spacing w:after="120"/>
        <w:ind w:left="181" w:hanging="181"/>
        <w:rPr>
          <w:noProof/>
          <w:sz w:val="22"/>
          <w:szCs w:val="22"/>
        </w:rPr>
      </w:pPr>
      <w:r>
        <w:rPr>
          <w:noProof/>
          <w:sz w:val="22"/>
          <w:szCs w:val="22"/>
        </w:rPr>
        <w:t>Conselho da Europa, Plataforma para promover a proteção do jornalismo e a segurança dos jornalistas.</w:t>
      </w:r>
      <w:r>
        <w:rPr>
          <w:noProof/>
        </w:rPr>
        <w:t xml:space="preserve"> </w:t>
      </w:r>
      <w:hyperlink r:id="rId29" w:history="1">
        <w:r>
          <w:rPr>
            <w:rStyle w:val="Hyperlink"/>
            <w:noProof/>
            <w:sz w:val="22"/>
            <w:szCs w:val="22"/>
          </w:rPr>
          <w:t>https://www.coe.int/en/web/media-freedom/the-platform</w:t>
        </w:r>
      </w:hyperlink>
      <w:r>
        <w:rPr>
          <w:noProof/>
        </w:rPr>
        <w:t>.</w:t>
      </w:r>
    </w:p>
    <w:p>
      <w:pPr>
        <w:spacing w:after="120"/>
        <w:ind w:left="181" w:hanging="181"/>
        <w:rPr>
          <w:noProof/>
          <w:sz w:val="22"/>
          <w:szCs w:val="22"/>
        </w:rPr>
      </w:pPr>
      <w:r>
        <w:rPr>
          <w:noProof/>
          <w:sz w:val="22"/>
          <w:szCs w:val="22"/>
        </w:rPr>
        <w:t xml:space="preserve">Conselho da Europa: Comissão de Veneza (2010), </w:t>
      </w:r>
      <w:r>
        <w:rPr>
          <w:i/>
          <w:iCs/>
          <w:noProof/>
          <w:sz w:val="22"/>
          <w:szCs w:val="22"/>
        </w:rPr>
        <w:t>Report on the Independence of the Judicial System Part I:</w:t>
      </w:r>
      <w:r>
        <w:rPr>
          <w:noProof/>
          <w:sz w:val="22"/>
          <w:szCs w:val="22"/>
        </w:rPr>
        <w:t xml:space="preserve"> </w:t>
      </w:r>
      <w:r>
        <w:rPr>
          <w:i/>
          <w:iCs/>
          <w:noProof/>
          <w:sz w:val="22"/>
          <w:szCs w:val="22"/>
        </w:rPr>
        <w:t>The Independence of Judges</w:t>
      </w:r>
      <w:r>
        <w:rPr>
          <w:noProof/>
          <w:sz w:val="22"/>
          <w:szCs w:val="22"/>
        </w:rPr>
        <w:t>, CDL-AD(2010)004.</w:t>
      </w:r>
    </w:p>
    <w:p>
      <w:pPr>
        <w:spacing w:after="120"/>
        <w:ind w:left="181" w:hanging="181"/>
        <w:rPr>
          <w:noProof/>
          <w:sz w:val="22"/>
          <w:szCs w:val="22"/>
        </w:rPr>
      </w:pPr>
      <w:r>
        <w:rPr>
          <w:noProof/>
          <w:sz w:val="22"/>
          <w:szCs w:val="22"/>
        </w:rPr>
        <w:t xml:space="preserve">Conselho da Europa: Comissão de Veneza (2012), </w:t>
      </w:r>
      <w:r>
        <w:rPr>
          <w:i/>
          <w:iCs/>
          <w:noProof/>
          <w:sz w:val="22"/>
          <w:szCs w:val="22"/>
        </w:rPr>
        <w:t xml:space="preserve">Hungary – Opinion on Act CLXIII of 2011 on the Prosecution Service and Act CLXIV of 2011 on the Status of the Prosecutor General, Prosecutors and other Prosecution Employees and the Prosecution Career of Hungary, </w:t>
      </w:r>
      <w:r>
        <w:rPr>
          <w:iCs/>
          <w:noProof/>
          <w:sz w:val="22"/>
          <w:szCs w:val="22"/>
        </w:rPr>
        <w:t>CDL-AD(2012)008.</w:t>
      </w:r>
    </w:p>
    <w:p>
      <w:pPr>
        <w:spacing w:after="120"/>
        <w:ind w:left="181" w:hanging="181"/>
        <w:rPr>
          <w:noProof/>
          <w:sz w:val="22"/>
          <w:szCs w:val="22"/>
        </w:rPr>
      </w:pPr>
      <w:r>
        <w:rPr>
          <w:noProof/>
          <w:sz w:val="22"/>
          <w:szCs w:val="22"/>
        </w:rPr>
        <w:t xml:space="preserve">Conselho da Europa: Comissão de Veneza (2012), </w:t>
      </w:r>
      <w:r>
        <w:rPr>
          <w:i/>
          <w:iCs/>
          <w:noProof/>
          <w:sz w:val="22"/>
          <w:szCs w:val="22"/>
        </w:rPr>
        <w:t xml:space="preserve">Hungary – Opinion on Act CLI of 2011 on the Constitutional Court of Hungary, </w:t>
      </w:r>
      <w:r>
        <w:rPr>
          <w:iCs/>
          <w:noProof/>
          <w:sz w:val="22"/>
          <w:szCs w:val="22"/>
        </w:rPr>
        <w:t>CDL-AD(2012)009.</w:t>
      </w:r>
    </w:p>
    <w:p>
      <w:pPr>
        <w:spacing w:after="120"/>
        <w:ind w:left="181" w:hanging="181"/>
        <w:rPr>
          <w:noProof/>
          <w:sz w:val="22"/>
          <w:szCs w:val="22"/>
        </w:rPr>
      </w:pPr>
      <w:r>
        <w:rPr>
          <w:noProof/>
          <w:sz w:val="22"/>
          <w:szCs w:val="22"/>
        </w:rPr>
        <w:t xml:space="preserve">Conselho da Europa: Comissão de Veneza (2012), </w:t>
      </w:r>
      <w:r>
        <w:rPr>
          <w:i/>
          <w:iCs/>
          <w:noProof/>
          <w:sz w:val="22"/>
          <w:szCs w:val="22"/>
        </w:rPr>
        <w:t>Hungary – Opinion on Act CLXII of 2011 on the Legal Status and Remuneration of Judges and Act CLXI of 2011 on the Organisation and Administration of Courts of Hungary</w:t>
      </w:r>
      <w:r>
        <w:rPr>
          <w:noProof/>
          <w:sz w:val="22"/>
          <w:szCs w:val="22"/>
        </w:rPr>
        <w:t>, CDL-AD(2012)001.</w:t>
      </w:r>
    </w:p>
    <w:p>
      <w:pPr>
        <w:spacing w:after="120"/>
        <w:ind w:left="181" w:hanging="181"/>
        <w:rPr>
          <w:noProof/>
          <w:sz w:val="22"/>
          <w:szCs w:val="22"/>
        </w:rPr>
      </w:pPr>
      <w:r>
        <w:rPr>
          <w:noProof/>
          <w:sz w:val="22"/>
          <w:szCs w:val="22"/>
        </w:rPr>
        <w:t xml:space="preserve">Conselho da Europa: Comissão de Veneza (2012), </w:t>
      </w:r>
      <w:r>
        <w:rPr>
          <w:i/>
          <w:iCs/>
          <w:noProof/>
          <w:sz w:val="22"/>
          <w:szCs w:val="22"/>
        </w:rPr>
        <w:t>Hungary – Opinion on the Cardinal Acts on the Judiciary that were amended following the adoption of Opinion CDL-AD(2012)001 on Hungary</w:t>
      </w:r>
      <w:r>
        <w:rPr>
          <w:noProof/>
          <w:sz w:val="22"/>
          <w:szCs w:val="22"/>
        </w:rPr>
        <w:t>, CDL-AD(2012)020.</w:t>
      </w:r>
    </w:p>
    <w:p>
      <w:pPr>
        <w:spacing w:after="120"/>
        <w:ind w:left="181" w:hanging="181"/>
        <w:rPr>
          <w:noProof/>
          <w:sz w:val="22"/>
          <w:szCs w:val="22"/>
        </w:rPr>
      </w:pPr>
      <w:r>
        <w:rPr>
          <w:noProof/>
          <w:sz w:val="22"/>
          <w:szCs w:val="22"/>
        </w:rPr>
        <w:t xml:space="preserve">Conselho da Europa: Comissão de Veneza (2015), </w:t>
      </w:r>
      <w:r>
        <w:rPr>
          <w:i/>
          <w:iCs/>
          <w:noProof/>
          <w:sz w:val="22"/>
          <w:szCs w:val="22"/>
        </w:rPr>
        <w:t>Hungary – Opinion on Media Legislation (Act CLXXXV on Media Services and on the Mass Media, Act CIV on the Freedom of the Press, and the Legislation on Taxation of Advertisement Revenues of Mass Media) of Hungary</w:t>
      </w:r>
      <w:r>
        <w:rPr>
          <w:noProof/>
          <w:sz w:val="22"/>
          <w:szCs w:val="22"/>
        </w:rPr>
        <w:t>, CDL</w:t>
      </w:r>
      <w:r>
        <w:rPr>
          <w:noProof/>
          <w:sz w:val="22"/>
          <w:szCs w:val="22"/>
        </w:rPr>
        <w:noBreakHyphen/>
        <w:t>AD(2015)015.</w:t>
      </w:r>
    </w:p>
    <w:p>
      <w:pPr>
        <w:spacing w:after="120"/>
        <w:ind w:left="181" w:hanging="181"/>
        <w:rPr>
          <w:noProof/>
          <w:sz w:val="22"/>
          <w:szCs w:val="22"/>
        </w:rPr>
      </w:pPr>
      <w:r>
        <w:rPr>
          <w:noProof/>
          <w:sz w:val="22"/>
          <w:szCs w:val="22"/>
        </w:rPr>
        <w:t xml:space="preserve">Conselho da Europa: Comissão de Veneza (2017), </w:t>
      </w:r>
      <w:r>
        <w:rPr>
          <w:i/>
          <w:noProof/>
          <w:sz w:val="22"/>
          <w:szCs w:val="22"/>
        </w:rPr>
        <w:t xml:space="preserve">Poland – Opinion on the Draft Act amending the on the National Council of the Judiciary; </w:t>
      </w:r>
      <w:r>
        <w:rPr>
          <w:i/>
          <w:iCs/>
          <w:noProof/>
          <w:sz w:val="22"/>
          <w:szCs w:val="22"/>
        </w:rPr>
        <w:t>on the Draft Act amending the Act on the Supreme Court, proposed by the President of Poland, and on the Act on the Organisation of Ordinary Courts</w:t>
      </w:r>
      <w:r>
        <w:rPr>
          <w:noProof/>
          <w:sz w:val="22"/>
          <w:szCs w:val="22"/>
        </w:rPr>
        <w:t>, CDL</w:t>
      </w:r>
      <w:r>
        <w:rPr>
          <w:noProof/>
          <w:sz w:val="22"/>
          <w:szCs w:val="22"/>
        </w:rPr>
        <w:noBreakHyphen/>
        <w:t>AD(2017)031.</w:t>
      </w:r>
    </w:p>
    <w:p>
      <w:pPr>
        <w:spacing w:after="120"/>
        <w:ind w:left="181" w:hanging="181"/>
        <w:rPr>
          <w:noProof/>
          <w:sz w:val="22"/>
          <w:szCs w:val="22"/>
        </w:rPr>
      </w:pPr>
      <w:r>
        <w:rPr>
          <w:noProof/>
          <w:sz w:val="22"/>
          <w:szCs w:val="22"/>
        </w:rPr>
        <w:t xml:space="preserve">Conselho da Europa: Comissão de Veneza (2019), </w:t>
      </w:r>
      <w:r>
        <w:rPr>
          <w:i/>
          <w:iCs/>
          <w:noProof/>
          <w:sz w:val="22"/>
          <w:szCs w:val="22"/>
        </w:rPr>
        <w:t>Hungary – Opinion on the law on administrative courts and the law on the entry into force of the law on administrative courts and certain transitional rules</w:t>
      </w:r>
      <w:r>
        <w:rPr>
          <w:noProof/>
          <w:sz w:val="22"/>
          <w:szCs w:val="22"/>
        </w:rPr>
        <w:t>, CDL-AD(2019)004.</w:t>
      </w:r>
    </w:p>
    <w:p>
      <w:pPr>
        <w:spacing w:after="120"/>
        <w:ind w:left="181" w:hanging="181"/>
        <w:rPr>
          <w:noProof/>
          <w:sz w:val="22"/>
          <w:szCs w:val="22"/>
        </w:rPr>
      </w:pPr>
      <w:r>
        <w:rPr>
          <w:noProof/>
          <w:sz w:val="22"/>
          <w:szCs w:val="22"/>
        </w:rPr>
        <w:t xml:space="preserve">Conselho da Europa: Comissão de Veneza (2020), </w:t>
      </w:r>
      <w:r>
        <w:rPr>
          <w:i/>
          <w:iCs/>
          <w:noProof/>
          <w:sz w:val="22"/>
          <w:szCs w:val="22"/>
        </w:rPr>
        <w:t>Report – Respect for democracy, human rights and the rule of law during states of emergency:</w:t>
      </w:r>
      <w:r>
        <w:rPr>
          <w:noProof/>
          <w:sz w:val="22"/>
          <w:szCs w:val="22"/>
        </w:rPr>
        <w:t xml:space="preserve"> </w:t>
      </w:r>
      <w:r>
        <w:rPr>
          <w:i/>
          <w:iCs/>
          <w:noProof/>
          <w:sz w:val="22"/>
          <w:szCs w:val="22"/>
        </w:rPr>
        <w:t>reflections - taken note of by the Venice Commission on 19 June 2020 by a written procedure replacing the 123rd plenary session</w:t>
      </w:r>
      <w:r>
        <w:rPr>
          <w:noProof/>
          <w:sz w:val="22"/>
          <w:szCs w:val="22"/>
        </w:rPr>
        <w:t>, CDL-AD(2020)014.</w:t>
      </w:r>
    </w:p>
    <w:p>
      <w:pPr>
        <w:spacing w:after="120"/>
        <w:ind w:left="181" w:hanging="181"/>
        <w:rPr>
          <w:noProof/>
          <w:sz w:val="22"/>
          <w:szCs w:val="22"/>
        </w:rPr>
      </w:pPr>
      <w:r>
        <w:rPr>
          <w:noProof/>
          <w:sz w:val="22"/>
          <w:szCs w:val="22"/>
        </w:rPr>
        <w:t xml:space="preserve">Conselho da Europa: Comissão de Veneza e Organização para a Segurança e a Cooperação na Europa – Gabinete das Instituições Democráticas e dos Direitos Humanos (OSCE-ODIHR) (2018), </w:t>
      </w:r>
      <w:r>
        <w:rPr>
          <w:i/>
          <w:iCs/>
          <w:noProof/>
          <w:sz w:val="22"/>
          <w:szCs w:val="22"/>
        </w:rPr>
        <w:t>Hungary – Joint Opinion on the Provisions of the so-called “Stop Soros” draft Legislative Package which directly affect NGOs (in particular Draft Article 353A of the Criminal Code on Facilitating Illegal Migration)</w:t>
      </w:r>
      <w:r>
        <w:rPr>
          <w:noProof/>
          <w:sz w:val="22"/>
          <w:szCs w:val="22"/>
        </w:rPr>
        <w:t>, CDL-AD(2018)013.</w:t>
      </w:r>
    </w:p>
    <w:p>
      <w:pPr>
        <w:spacing w:after="120"/>
        <w:ind w:left="181" w:hanging="181"/>
        <w:rPr>
          <w:noProof/>
          <w:sz w:val="22"/>
          <w:szCs w:val="22"/>
        </w:rPr>
      </w:pPr>
      <w:r>
        <w:rPr>
          <w:noProof/>
          <w:sz w:val="22"/>
          <w:szCs w:val="22"/>
        </w:rPr>
        <w:t xml:space="preserve">Conselho da Europa: Comissão de Veneza e Organização para a Segurança e a Cooperação na Europa – Gabinete das Instituições Democráticas e dos Direitos Humanos (OSCE-ODIHR) (2018), </w:t>
      </w:r>
      <w:r>
        <w:rPr>
          <w:i/>
          <w:iCs/>
          <w:noProof/>
          <w:sz w:val="22"/>
          <w:szCs w:val="22"/>
        </w:rPr>
        <w:t xml:space="preserve">Hungary – Joint Opinion </w:t>
      </w:r>
      <w:r>
        <w:rPr>
          <w:i/>
          <w:noProof/>
          <w:sz w:val="22"/>
          <w:szCs w:val="22"/>
        </w:rPr>
        <w:t>on Section 253 on the special immigration tax of Act XLI of 20 July 2018 amending certain tax laws and other related laws and on the immigration tax</w:t>
      </w:r>
      <w:r>
        <w:rPr>
          <w:noProof/>
          <w:sz w:val="22"/>
          <w:szCs w:val="22"/>
        </w:rPr>
        <w:t>, CDL</w:t>
      </w:r>
      <w:r>
        <w:rPr>
          <w:noProof/>
          <w:sz w:val="22"/>
          <w:szCs w:val="22"/>
        </w:rPr>
        <w:noBreakHyphen/>
        <w:t>AD(2018)035</w:t>
      </w:r>
      <w:r>
        <w:rPr>
          <w:noProof/>
          <w:sz w:val="22"/>
          <w:szCs w:val="22"/>
        </w:rPr>
        <w:noBreakHyphen/>
        <w:t>e.</w:t>
      </w:r>
    </w:p>
    <w:p>
      <w:pPr>
        <w:spacing w:after="120"/>
        <w:ind w:left="181" w:hanging="181"/>
        <w:rPr>
          <w:noProof/>
          <w:sz w:val="22"/>
          <w:szCs w:val="22"/>
        </w:rPr>
      </w:pPr>
      <w:r>
        <w:rPr>
          <w:noProof/>
          <w:sz w:val="22"/>
          <w:szCs w:val="22"/>
        </w:rPr>
        <w:t>Conselho da Europa: Comité de Ministros (2010), Recomendação CM/Rec(2010)12 do Comité de Ministros aos Estados-Membros relativa aos juízes: independência, eficiência e responsabilidade.</w:t>
      </w:r>
    </w:p>
    <w:p>
      <w:pPr>
        <w:spacing w:after="120"/>
        <w:ind w:left="181" w:hanging="181"/>
        <w:rPr>
          <w:noProof/>
          <w:sz w:val="22"/>
          <w:szCs w:val="22"/>
        </w:rPr>
      </w:pPr>
      <w:r>
        <w:rPr>
          <w:noProof/>
          <w:sz w:val="22"/>
          <w:szCs w:val="22"/>
        </w:rPr>
        <w:t>Conselho da Europa: Comité de Ministros (2018), Recomendação CM/Rec(2018)11 do Comité de Ministros aos Estados-Membros relativa à necessidade de reforçar a proteção e a promoção do espaço da sociedade civil na Europa.</w:t>
      </w:r>
    </w:p>
    <w:p>
      <w:pPr>
        <w:spacing w:after="120"/>
        <w:ind w:left="181" w:hanging="181"/>
        <w:rPr>
          <w:noProof/>
          <w:sz w:val="22"/>
          <w:szCs w:val="22"/>
        </w:rPr>
      </w:pPr>
      <w:r>
        <w:rPr>
          <w:noProof/>
          <w:sz w:val="22"/>
          <w:szCs w:val="22"/>
        </w:rPr>
        <w:t>Conselho da Europa: Comité de Ministros (2020) Resolução intercalar CM/ResDH(2020)180.</w:t>
      </w:r>
    </w:p>
    <w:p>
      <w:pPr>
        <w:spacing w:after="120"/>
        <w:ind w:left="181" w:hanging="181"/>
        <w:rPr>
          <w:noProof/>
          <w:sz w:val="22"/>
          <w:szCs w:val="22"/>
        </w:rPr>
      </w:pPr>
      <w:r>
        <w:rPr>
          <w:noProof/>
          <w:sz w:val="22"/>
          <w:szCs w:val="22"/>
        </w:rPr>
        <w:t>Conselho da Europa: Decisão do Comité de Ministros, de 25 de setembro de 2019, CM/Del/Dec(2019) 1355/H46-11.</w:t>
      </w:r>
    </w:p>
    <w:p>
      <w:pPr>
        <w:spacing w:after="120"/>
        <w:ind w:left="181" w:hanging="181"/>
        <w:rPr>
          <w:noProof/>
          <w:sz w:val="22"/>
          <w:szCs w:val="22"/>
        </w:rPr>
      </w:pPr>
      <w:r>
        <w:rPr>
          <w:noProof/>
          <w:sz w:val="22"/>
          <w:szCs w:val="22"/>
        </w:rPr>
        <w:t>Conselho da União Europeia (2019), Recomendação do Conselho de 9 de julho de 2019, relativa ao Programa Nacional de Reformas da Hungria de 2019 e que emite um parecer do Conselho sobre o Programa de Convergência da Hungria de 2019 (JO C 301 de 5.9.2019).</w:t>
      </w:r>
    </w:p>
    <w:p>
      <w:pPr>
        <w:spacing w:after="120"/>
        <w:ind w:left="181" w:hanging="181"/>
        <w:rPr>
          <w:noProof/>
          <w:sz w:val="22"/>
          <w:szCs w:val="22"/>
        </w:rPr>
      </w:pPr>
      <w:r>
        <w:rPr>
          <w:noProof/>
          <w:sz w:val="22"/>
          <w:szCs w:val="22"/>
        </w:rPr>
        <w:t>Conselho da União Europeia (2020), Recomendação do Conselho, de 20 de julho de 2020, relativa ao Programa Nacional de Reformas da Hungria de 2018 e que emite um parecer do Conselho sobre o Programa de Convergência da Hungria de 2020 (JO C 282 de 26.8.2020, p. 17).</w:t>
      </w:r>
    </w:p>
    <w:p>
      <w:pPr>
        <w:spacing w:after="120"/>
        <w:ind w:left="181" w:hanging="181"/>
        <w:rPr>
          <w:noProof/>
          <w:sz w:val="22"/>
          <w:szCs w:val="22"/>
        </w:rPr>
      </w:pPr>
      <w:r>
        <w:rPr>
          <w:noProof/>
          <w:sz w:val="22"/>
          <w:szCs w:val="22"/>
        </w:rPr>
        <w:t>Direção-Geral da Comunicação (2019), Eurobarómetro Flash n.º 482: atitudes das empresas face à corrupção na UE.</w:t>
      </w:r>
    </w:p>
    <w:p>
      <w:pPr>
        <w:spacing w:after="120"/>
        <w:ind w:left="181" w:hanging="181"/>
        <w:rPr>
          <w:noProof/>
          <w:sz w:val="22"/>
          <w:szCs w:val="22"/>
        </w:rPr>
      </w:pPr>
      <w:r>
        <w:rPr>
          <w:noProof/>
          <w:sz w:val="22"/>
          <w:szCs w:val="22"/>
        </w:rPr>
        <w:t>Direção-Geral da Comunicação (2020), Eurobarómetro Especial n.º 502: Corrupção.</w:t>
      </w:r>
    </w:p>
    <w:p>
      <w:pPr>
        <w:spacing w:after="120"/>
        <w:ind w:left="181" w:hanging="181"/>
        <w:rPr>
          <w:noProof/>
          <w:sz w:val="22"/>
          <w:szCs w:val="22"/>
        </w:rPr>
      </w:pPr>
      <w:r>
        <w:rPr>
          <w:i/>
          <w:noProof/>
          <w:sz w:val="22"/>
          <w:szCs w:val="22"/>
        </w:rPr>
        <w:t>Eötvös Károly Policy Institute</w:t>
      </w:r>
      <w:r>
        <w:rPr>
          <w:noProof/>
          <w:sz w:val="22"/>
          <w:szCs w:val="22"/>
        </w:rPr>
        <w:t xml:space="preserve"> (21 de fevereiro de 2020), declaração. </w:t>
      </w:r>
      <w:hyperlink r:id="rId30" w:history="1">
        <w:r>
          <w:rPr>
            <w:rStyle w:val="Hyperlink"/>
            <w:noProof/>
            <w:sz w:val="22"/>
            <w:szCs w:val="22"/>
          </w:rPr>
          <w:t>http://www.ekint.org/alkotmanyossag/2020-02-21/csend-vagy-kialtas-hallgathatnak-e-a-birak-ha-megtamadjak-a-biroi-fuggetlenseget</w:t>
        </w:r>
      </w:hyperlink>
      <w:r>
        <w:rPr>
          <w:noProof/>
          <w:sz w:val="22"/>
          <w:szCs w:val="22"/>
        </w:rPr>
        <w:t>.</w:t>
      </w:r>
    </w:p>
    <w:p>
      <w:pPr>
        <w:spacing w:after="120"/>
        <w:ind w:left="181" w:hanging="181"/>
        <w:rPr>
          <w:noProof/>
          <w:sz w:val="22"/>
          <w:szCs w:val="22"/>
        </w:rPr>
      </w:pPr>
      <w:r>
        <w:rPr>
          <w:noProof/>
          <w:sz w:val="22"/>
          <w:szCs w:val="22"/>
        </w:rPr>
        <w:t xml:space="preserve">Federação Europeia de Jornalistas (2020), </w:t>
      </w:r>
      <w:r>
        <w:rPr>
          <w:i/>
          <w:iCs/>
          <w:noProof/>
          <w:sz w:val="22"/>
          <w:szCs w:val="22"/>
        </w:rPr>
        <w:t>Hungary media freedom crackdown:</w:t>
      </w:r>
      <w:r>
        <w:rPr>
          <w:noProof/>
          <w:sz w:val="22"/>
          <w:szCs w:val="22"/>
        </w:rPr>
        <w:t xml:space="preserve"> </w:t>
      </w:r>
      <w:r>
        <w:rPr>
          <w:i/>
          <w:iCs/>
          <w:noProof/>
          <w:sz w:val="22"/>
          <w:szCs w:val="22"/>
        </w:rPr>
        <w:t>our letter to EU leaders</w:t>
      </w:r>
      <w:r>
        <w:rPr>
          <w:noProof/>
          <w:sz w:val="22"/>
          <w:szCs w:val="22"/>
        </w:rPr>
        <w:t xml:space="preserve">. </w:t>
      </w:r>
      <w:hyperlink r:id="rId31" w:history="1">
        <w:r>
          <w:rPr>
            <w:rStyle w:val="Hyperlink"/>
            <w:noProof/>
            <w:sz w:val="22"/>
            <w:szCs w:val="22"/>
          </w:rPr>
          <w:t>https://europeanjournalists.org/blog/2020/07/28/hungary-media-freedom-crackdown-our-letter-to-eu-leaders/</w:t>
        </w:r>
      </w:hyperlink>
      <w:r>
        <w:rPr>
          <w:noProof/>
          <w:sz w:val="22"/>
          <w:szCs w:val="22"/>
        </w:rPr>
        <w:t>.</w:t>
      </w:r>
    </w:p>
    <w:p>
      <w:pPr>
        <w:spacing w:after="120"/>
        <w:ind w:left="181" w:hanging="181"/>
        <w:rPr>
          <w:noProof/>
          <w:sz w:val="22"/>
          <w:szCs w:val="22"/>
        </w:rPr>
      </w:pPr>
      <w:r>
        <w:rPr>
          <w:noProof/>
          <w:sz w:val="22"/>
          <w:szCs w:val="22"/>
        </w:rPr>
        <w:t>Governo húngaro (2020), contributo da Hungria para o Relatório de 2020 sobre o Estado de direito.</w:t>
      </w:r>
    </w:p>
    <w:p>
      <w:pPr>
        <w:spacing w:after="120"/>
        <w:ind w:left="181" w:hanging="181"/>
        <w:rPr>
          <w:noProof/>
          <w:sz w:val="22"/>
          <w:szCs w:val="22"/>
        </w:rPr>
      </w:pPr>
      <w:r>
        <w:rPr>
          <w:noProof/>
          <w:sz w:val="22"/>
          <w:szCs w:val="22"/>
        </w:rPr>
        <w:t xml:space="preserve">GRECO (2015), </w:t>
      </w:r>
      <w:r>
        <w:rPr>
          <w:i/>
          <w:iCs/>
          <w:noProof/>
          <w:sz w:val="22"/>
          <w:szCs w:val="22"/>
        </w:rPr>
        <w:t>Fourth Evaluation Round – evaluation report on Hungary on Corruption prevention in respect of members of parliament, judges and prosecutors</w:t>
      </w:r>
      <w:r>
        <w:rPr>
          <w:noProof/>
          <w:sz w:val="22"/>
          <w:szCs w:val="22"/>
        </w:rPr>
        <w:t>.</w:t>
      </w:r>
    </w:p>
    <w:p>
      <w:pPr>
        <w:spacing w:after="120"/>
        <w:ind w:left="181" w:hanging="181"/>
        <w:rPr>
          <w:noProof/>
          <w:sz w:val="22"/>
          <w:szCs w:val="22"/>
        </w:rPr>
      </w:pPr>
      <w:r>
        <w:rPr>
          <w:noProof/>
          <w:sz w:val="22"/>
          <w:szCs w:val="22"/>
        </w:rPr>
        <w:t xml:space="preserve">GRECO (2017), </w:t>
      </w:r>
      <w:r>
        <w:rPr>
          <w:i/>
          <w:iCs/>
          <w:noProof/>
          <w:sz w:val="22"/>
          <w:szCs w:val="22"/>
        </w:rPr>
        <w:t>Third Evaluation Round - Second Addendum to the Second Compliance Report on Hungary on Incriminations (ETS 173 and 191, GPC 2) - Transparency of Party Funding</w:t>
      </w:r>
      <w:r>
        <w:rPr>
          <w:noProof/>
          <w:sz w:val="22"/>
          <w:szCs w:val="22"/>
        </w:rPr>
        <w:t>.</w:t>
      </w:r>
    </w:p>
    <w:p>
      <w:pPr>
        <w:spacing w:after="120"/>
        <w:ind w:left="181" w:hanging="181"/>
        <w:rPr>
          <w:noProof/>
          <w:sz w:val="22"/>
          <w:szCs w:val="22"/>
        </w:rPr>
      </w:pPr>
      <w:r>
        <w:rPr>
          <w:noProof/>
          <w:sz w:val="22"/>
          <w:szCs w:val="22"/>
        </w:rPr>
        <w:t xml:space="preserve">GRECO (2018), </w:t>
      </w:r>
      <w:r>
        <w:rPr>
          <w:i/>
          <w:iCs/>
          <w:noProof/>
          <w:sz w:val="22"/>
          <w:szCs w:val="22"/>
        </w:rPr>
        <w:t>Fourth Evaluation Round – Interim compliance report on Hungary on Corruption prevention in respect of members of parliament, judges and prosecutors</w:t>
      </w:r>
      <w:r>
        <w:rPr>
          <w:noProof/>
          <w:sz w:val="22"/>
          <w:szCs w:val="22"/>
        </w:rPr>
        <w:t>.</w:t>
      </w:r>
    </w:p>
    <w:p>
      <w:pPr>
        <w:spacing w:after="120"/>
        <w:ind w:left="181" w:hanging="181"/>
        <w:rPr>
          <w:noProof/>
          <w:sz w:val="22"/>
          <w:szCs w:val="22"/>
        </w:rPr>
      </w:pPr>
      <w:r>
        <w:rPr>
          <w:noProof/>
          <w:sz w:val="22"/>
          <w:szCs w:val="22"/>
        </w:rPr>
        <w:t xml:space="preserve">GRECO (2019), </w:t>
      </w:r>
      <w:r>
        <w:rPr>
          <w:i/>
          <w:iCs/>
          <w:noProof/>
          <w:sz w:val="22"/>
          <w:szCs w:val="22"/>
        </w:rPr>
        <w:t>Hungary:</w:t>
      </w:r>
      <w:r>
        <w:rPr>
          <w:noProof/>
          <w:sz w:val="22"/>
          <w:szCs w:val="22"/>
        </w:rPr>
        <w:t xml:space="preserve"> </w:t>
      </w:r>
      <w:r>
        <w:rPr>
          <w:i/>
          <w:iCs/>
          <w:noProof/>
          <w:sz w:val="22"/>
          <w:szCs w:val="22"/>
        </w:rPr>
        <w:t>Insufficient progress and lack of transparency hamper fight against corruption</w:t>
      </w:r>
      <w:r>
        <w:rPr>
          <w:noProof/>
          <w:sz w:val="22"/>
          <w:szCs w:val="22"/>
        </w:rPr>
        <w:t xml:space="preserve"> (1 de março de 2019). </w:t>
      </w:r>
      <w:hyperlink r:id="rId32" w:history="1">
        <w:r>
          <w:rPr>
            <w:rStyle w:val="Hyperlink"/>
            <w:noProof/>
            <w:sz w:val="22"/>
            <w:szCs w:val="22"/>
          </w:rPr>
          <w:t>https://www.coe.int/en/web/portal/-/hungary-insufficient-progress-and-lack-of-transparency-hamper-fight-against-corruption</w:t>
        </w:r>
      </w:hyperlink>
      <w:r>
        <w:rPr>
          <w:noProof/>
          <w:sz w:val="22"/>
          <w:szCs w:val="22"/>
        </w:rPr>
        <w:t>.</w:t>
      </w:r>
    </w:p>
    <w:p>
      <w:pPr>
        <w:spacing w:after="120"/>
        <w:ind w:left="181" w:hanging="181"/>
        <w:rPr>
          <w:noProof/>
          <w:sz w:val="22"/>
          <w:szCs w:val="22"/>
        </w:rPr>
      </w:pPr>
      <w:r>
        <w:rPr>
          <w:noProof/>
          <w:sz w:val="22"/>
          <w:szCs w:val="22"/>
        </w:rPr>
        <w:t xml:space="preserve">Human Rights Watch (23 de março de 2020), </w:t>
      </w:r>
      <w:r>
        <w:rPr>
          <w:i/>
          <w:iCs/>
          <w:noProof/>
          <w:sz w:val="22"/>
          <w:szCs w:val="22"/>
        </w:rPr>
        <w:t>Hungary’s Orban Uses Pandemic to Seize Unlimited Power</w:t>
      </w:r>
      <w:r>
        <w:rPr>
          <w:noProof/>
          <w:sz w:val="22"/>
          <w:szCs w:val="22"/>
        </w:rPr>
        <w:t>.</w:t>
      </w:r>
      <w:r>
        <w:rPr>
          <w:noProof/>
          <w:sz w:val="22"/>
          <w:szCs w:val="22"/>
        </w:rPr>
        <w:tab/>
      </w:r>
      <w:r>
        <w:rPr>
          <w:noProof/>
          <w:sz w:val="22"/>
          <w:szCs w:val="22"/>
        </w:rPr>
        <w:br/>
      </w:r>
      <w:hyperlink r:id="rId33" w:history="1">
        <w:r>
          <w:rPr>
            <w:rStyle w:val="Hyperlink"/>
            <w:noProof/>
            <w:sz w:val="22"/>
            <w:szCs w:val="22"/>
          </w:rPr>
          <w:t>https://www.hrw.org/news/2020/03/23/hungarys-orban-uses-pandemic-seize-unlimited-power</w:t>
        </w:r>
      </w:hyperlink>
      <w:r>
        <w:rPr>
          <w:noProof/>
          <w:sz w:val="22"/>
          <w:szCs w:val="22"/>
        </w:rPr>
        <w:t>.</w:t>
      </w:r>
    </w:p>
    <w:p>
      <w:pPr>
        <w:spacing w:after="120"/>
        <w:ind w:left="181" w:hanging="181"/>
        <w:rPr>
          <w:noProof/>
          <w:sz w:val="22"/>
          <w:szCs w:val="22"/>
        </w:rPr>
      </w:pPr>
      <w:r>
        <w:rPr>
          <w:noProof/>
          <w:sz w:val="22"/>
          <w:szCs w:val="22"/>
        </w:rPr>
        <w:t xml:space="preserve">Index.hu (24 de julho de 2020), </w:t>
      </w:r>
      <w:r>
        <w:rPr>
          <w:i/>
          <w:iCs/>
          <w:noProof/>
          <w:sz w:val="22"/>
          <w:szCs w:val="22"/>
        </w:rPr>
        <w:t>Editorial board of Index and more than 70 staff members resign</w:t>
      </w:r>
      <w:r>
        <w:rPr>
          <w:noProof/>
          <w:sz w:val="22"/>
          <w:szCs w:val="22"/>
        </w:rPr>
        <w:t xml:space="preserve">. </w:t>
      </w:r>
      <w:hyperlink r:id="rId34" w:history="1">
        <w:r>
          <w:rPr>
            <w:rStyle w:val="Hyperlink"/>
            <w:noProof/>
            <w:sz w:val="22"/>
            <w:szCs w:val="22"/>
          </w:rPr>
          <w:t>https://index.hu/english/2020/07/24/editorial_board_of_index_resigns</w:t>
        </w:r>
      </w:hyperlink>
      <w:r>
        <w:rPr>
          <w:noProof/>
          <w:sz w:val="22"/>
          <w:szCs w:val="22"/>
        </w:rPr>
        <w:t>.</w:t>
      </w:r>
    </w:p>
    <w:p>
      <w:pPr>
        <w:spacing w:after="120"/>
        <w:ind w:left="181" w:hanging="181"/>
        <w:rPr>
          <w:noProof/>
          <w:sz w:val="22"/>
          <w:szCs w:val="22"/>
        </w:rPr>
      </w:pPr>
      <w:r>
        <w:rPr>
          <w:noProof/>
          <w:sz w:val="22"/>
          <w:szCs w:val="22"/>
        </w:rPr>
        <w:t xml:space="preserve">Instituto de Budapeste, Centro de Investigação da Corrupção de Budapeste (2019), </w:t>
      </w:r>
      <w:r>
        <w:rPr>
          <w:i/>
          <w:iCs/>
          <w:noProof/>
          <w:sz w:val="22"/>
          <w:szCs w:val="22"/>
        </w:rPr>
        <w:t>Transparency and Integrity:</w:t>
      </w:r>
      <w:r>
        <w:rPr>
          <w:noProof/>
          <w:sz w:val="22"/>
          <w:szCs w:val="22"/>
        </w:rPr>
        <w:t xml:space="preserve"> </w:t>
      </w:r>
      <w:r>
        <w:rPr>
          <w:i/>
          <w:iCs/>
          <w:noProof/>
          <w:sz w:val="22"/>
          <w:szCs w:val="22"/>
        </w:rPr>
        <w:t>the Online Presence of Hungarian Municipalities – Analysis of Urban Municiaplities’ websites in Hungary.</w:t>
      </w:r>
      <w:r>
        <w:rPr>
          <w:noProof/>
          <w:sz w:val="22"/>
          <w:szCs w:val="22"/>
        </w:rPr>
        <w:t xml:space="preserve"> </w:t>
      </w:r>
      <w:hyperlink r:id="rId35" w:history="1">
        <w:r>
          <w:rPr>
            <w:rStyle w:val="Hyperlink"/>
            <w:noProof/>
            <w:sz w:val="22"/>
            <w:szCs w:val="22"/>
          </w:rPr>
          <w:t>http://www.crcb.eu/?p=1799</w:t>
        </w:r>
      </w:hyperlink>
      <w:r>
        <w:rPr>
          <w:noProof/>
          <w:sz w:val="22"/>
          <w:szCs w:val="22"/>
        </w:rPr>
        <w:t>.</w:t>
      </w:r>
    </w:p>
    <w:p>
      <w:pPr>
        <w:spacing w:after="120"/>
        <w:ind w:left="181" w:hanging="181"/>
        <w:rPr>
          <w:noProof/>
          <w:sz w:val="22"/>
          <w:szCs w:val="22"/>
        </w:rPr>
      </w:pPr>
      <w:r>
        <w:rPr>
          <w:noProof/>
          <w:sz w:val="22"/>
          <w:szCs w:val="22"/>
        </w:rPr>
        <w:t xml:space="preserve">Instituto Internacional da Imprensa (IPI), Artigo 19.º, Comité para a Proteção dos Jornalistas (CPJ), Centro Europeu para a Liberdade de Imprensa e dos Meios de Comunicação (ECPMF), a Federação Europeia de Jornalistas (FEJ), a Free Press Unlimited (FPU) e os Repórteres sem Fronteiras (RSF) (2019), </w:t>
      </w:r>
      <w:r>
        <w:rPr>
          <w:i/>
          <w:iCs/>
          <w:noProof/>
          <w:sz w:val="22"/>
          <w:szCs w:val="22"/>
        </w:rPr>
        <w:t>Conclusions of the joint international press freedom mission to Hungary</w:t>
      </w:r>
      <w:r>
        <w:rPr>
          <w:noProof/>
          <w:sz w:val="22"/>
          <w:szCs w:val="22"/>
        </w:rPr>
        <w:t xml:space="preserve"> (3 de dezembro de 2019). </w:t>
      </w:r>
      <w:hyperlink r:id="rId36" w:history="1">
        <w:r>
          <w:rPr>
            <w:rStyle w:val="Hyperlink"/>
            <w:noProof/>
            <w:sz w:val="22"/>
            <w:szCs w:val="22"/>
          </w:rPr>
          <w:t>https://www.ecpmf.eu/fact-finding-mission-hungary-2019/</w:t>
        </w:r>
      </w:hyperlink>
      <w:r>
        <w:rPr>
          <w:noProof/>
          <w:sz w:val="22"/>
          <w:szCs w:val="22"/>
        </w:rPr>
        <w:t>.</w:t>
      </w:r>
    </w:p>
    <w:p>
      <w:pPr>
        <w:spacing w:after="120"/>
        <w:ind w:left="181" w:hanging="181"/>
        <w:rPr>
          <w:noProof/>
          <w:sz w:val="22"/>
          <w:szCs w:val="22"/>
        </w:rPr>
      </w:pPr>
      <w:r>
        <w:rPr>
          <w:noProof/>
          <w:sz w:val="22"/>
          <w:szCs w:val="22"/>
        </w:rPr>
        <w:t xml:space="preserve">Instituto Internacional de Imprensa (2020), </w:t>
      </w:r>
      <w:r>
        <w:rPr>
          <w:i/>
          <w:iCs/>
          <w:noProof/>
          <w:sz w:val="22"/>
          <w:szCs w:val="22"/>
        </w:rPr>
        <w:t>Hungary seeks power to jail journalists for ‘false’ COVID-19 coverage</w:t>
      </w:r>
      <w:r>
        <w:rPr>
          <w:noProof/>
          <w:sz w:val="22"/>
          <w:szCs w:val="22"/>
        </w:rPr>
        <w:t xml:space="preserve"> (23 de março de 2020). </w:t>
      </w:r>
      <w:hyperlink r:id="rId37" w:history="1">
        <w:r>
          <w:rPr>
            <w:rStyle w:val="Hyperlink"/>
            <w:noProof/>
            <w:sz w:val="22"/>
            <w:szCs w:val="22"/>
          </w:rPr>
          <w:t>https://ipi.media/hungary-seeks-power-to-jail-journalists-for-false-covid-19-coverage/</w:t>
        </w:r>
      </w:hyperlink>
      <w:r>
        <w:rPr>
          <w:noProof/>
          <w:sz w:val="22"/>
          <w:szCs w:val="22"/>
        </w:rPr>
        <w:t>.</w:t>
      </w:r>
    </w:p>
    <w:p>
      <w:pPr>
        <w:spacing w:after="120"/>
        <w:ind w:left="181" w:hanging="181"/>
        <w:rPr>
          <w:noProof/>
          <w:sz w:val="22"/>
          <w:szCs w:val="22"/>
        </w:rPr>
      </w:pPr>
      <w:r>
        <w:rPr>
          <w:i/>
          <w:iCs/>
          <w:noProof/>
          <w:sz w:val="22"/>
          <w:szCs w:val="22"/>
        </w:rPr>
        <w:t>Kúria</w:t>
      </w:r>
      <w:r>
        <w:rPr>
          <w:noProof/>
          <w:sz w:val="22"/>
          <w:szCs w:val="22"/>
        </w:rPr>
        <w:t xml:space="preserve"> (2018), </w:t>
      </w:r>
      <w:r>
        <w:rPr>
          <w:i/>
          <w:iCs/>
          <w:noProof/>
          <w:sz w:val="22"/>
          <w:szCs w:val="22"/>
        </w:rPr>
        <w:t>közérdekű adatok kiadásával kapcsolatos perek” bírósági gyakorlata tárgykörére felállított joggyakorlat-elemző csoport összefoglaló véleménye</w:t>
      </w:r>
      <w:r>
        <w:rPr>
          <w:noProof/>
          <w:sz w:val="22"/>
          <w:szCs w:val="22"/>
        </w:rPr>
        <w:t xml:space="preserve"> (3 de dezembro de 2018). </w:t>
      </w:r>
      <w:hyperlink r:id="rId38" w:history="1">
        <w:r>
          <w:rPr>
            <w:rStyle w:val="Hyperlink"/>
            <w:noProof/>
            <w:sz w:val="22"/>
            <w:szCs w:val="22"/>
          </w:rPr>
          <w:t>https://kuria-birosag.hu/sites/default/files/joggyak/osszefoglalo_velemeny_adatvedelem.pdf</w:t>
        </w:r>
      </w:hyperlink>
      <w:r>
        <w:rPr>
          <w:noProof/>
          <w:sz w:val="22"/>
          <w:szCs w:val="22"/>
        </w:rPr>
        <w:t>.</w:t>
      </w:r>
    </w:p>
    <w:p>
      <w:pPr>
        <w:spacing w:after="120"/>
        <w:ind w:left="181" w:hanging="181"/>
        <w:rPr>
          <w:noProof/>
          <w:sz w:val="22"/>
          <w:szCs w:val="22"/>
        </w:rPr>
      </w:pPr>
      <w:r>
        <w:rPr>
          <w:i/>
          <w:iCs/>
          <w:noProof/>
          <w:sz w:val="22"/>
          <w:szCs w:val="22"/>
        </w:rPr>
        <w:t>Mérték Media Monitor</w:t>
      </w:r>
      <w:r>
        <w:rPr>
          <w:noProof/>
          <w:sz w:val="22"/>
          <w:szCs w:val="22"/>
        </w:rPr>
        <w:t xml:space="preserve"> (2019). </w:t>
      </w:r>
      <w:r>
        <w:rPr>
          <w:i/>
          <w:iCs/>
          <w:noProof/>
          <w:sz w:val="22"/>
          <w:szCs w:val="22"/>
        </w:rPr>
        <w:t>Fidesz-friendly media dominate everywhere</w:t>
      </w:r>
      <w:r>
        <w:rPr>
          <w:noProof/>
          <w:sz w:val="22"/>
          <w:szCs w:val="22"/>
        </w:rPr>
        <w:t xml:space="preserve">. </w:t>
      </w:r>
      <w:hyperlink r:id="rId39" w:history="1">
        <w:r>
          <w:rPr>
            <w:rStyle w:val="Hyperlink"/>
            <w:noProof/>
            <w:sz w:val="22"/>
            <w:szCs w:val="22"/>
          </w:rPr>
          <w:t>https://mertek.eu/en/2019/05/02/fidesz-friendly-media-dominate-everywhere/https://mertek.eu/en/2019/05/02/fidesz-friendly-media-dominate-everywhere/</w:t>
        </w:r>
      </w:hyperlink>
      <w:r>
        <w:rPr>
          <w:noProof/>
          <w:sz w:val="22"/>
          <w:szCs w:val="22"/>
        </w:rPr>
        <w:t>.</w:t>
      </w:r>
    </w:p>
    <w:p>
      <w:pPr>
        <w:spacing w:after="120"/>
        <w:ind w:left="181" w:hanging="181"/>
        <w:rPr>
          <w:noProof/>
          <w:sz w:val="22"/>
          <w:szCs w:val="22"/>
        </w:rPr>
      </w:pPr>
      <w:r>
        <w:rPr>
          <w:noProof/>
          <w:sz w:val="22"/>
          <w:szCs w:val="22"/>
        </w:rPr>
        <w:t>Nações Unidas (2019), Aliança Global das Instituições Nacionais de Direitos Humanos (GANHRI), Subcomité de Acreditação (SCA), Relatório de acreditação – outubro de 2019.</w:t>
      </w:r>
    </w:p>
    <w:p>
      <w:pPr>
        <w:spacing w:after="120"/>
        <w:ind w:left="181" w:hanging="181"/>
        <w:rPr>
          <w:noProof/>
          <w:sz w:val="22"/>
          <w:szCs w:val="22"/>
        </w:rPr>
      </w:pPr>
      <w:r>
        <w:rPr>
          <w:noProof/>
          <w:sz w:val="22"/>
          <w:szCs w:val="22"/>
        </w:rPr>
        <w:t xml:space="preserve">Ordem dos Advogados da Hungria (21 de janeiro de 2020), declaração do Presidium. </w:t>
      </w:r>
      <w:hyperlink r:id="rId40" w:history="1">
        <w:r>
          <w:rPr>
            <w:rStyle w:val="Hyperlink"/>
            <w:noProof/>
            <w:sz w:val="22"/>
            <w:szCs w:val="22"/>
          </w:rPr>
          <w:t>https://jogaszvilag.hu/napi/a-magyar-ugyvedi-kamara-visszautasitja-az-ugyvedeket-ert-tamadasokat/</w:t>
        </w:r>
      </w:hyperlink>
      <w:r>
        <w:rPr>
          <w:noProof/>
          <w:sz w:val="22"/>
          <w:szCs w:val="22"/>
        </w:rPr>
        <w:t>.</w:t>
      </w:r>
    </w:p>
    <w:p>
      <w:pPr>
        <w:spacing w:after="120"/>
        <w:ind w:left="181" w:hanging="181"/>
        <w:rPr>
          <w:noProof/>
          <w:sz w:val="22"/>
          <w:szCs w:val="22"/>
        </w:rPr>
      </w:pPr>
      <w:r>
        <w:rPr>
          <w:noProof/>
          <w:sz w:val="22"/>
          <w:szCs w:val="22"/>
        </w:rPr>
        <w:t xml:space="preserve">Organização de Cooperação e de Desenvolvimento Económicos (OCDE) (2019), </w:t>
      </w:r>
      <w:r>
        <w:rPr>
          <w:i/>
          <w:iCs/>
          <w:noProof/>
          <w:sz w:val="22"/>
          <w:szCs w:val="22"/>
        </w:rPr>
        <w:t>Implementing the OECD Antibribery Convention</w:t>
      </w:r>
      <w:r>
        <w:rPr>
          <w:noProof/>
          <w:sz w:val="22"/>
          <w:szCs w:val="22"/>
        </w:rPr>
        <w:t xml:space="preserve">: </w:t>
      </w:r>
      <w:r>
        <w:rPr>
          <w:i/>
          <w:iCs/>
          <w:noProof/>
          <w:sz w:val="22"/>
          <w:szCs w:val="22"/>
        </w:rPr>
        <w:t>Phase 4 Report Hungary</w:t>
      </w:r>
      <w:r>
        <w:rPr>
          <w:noProof/>
          <w:sz w:val="22"/>
          <w:szCs w:val="22"/>
        </w:rPr>
        <w:t>.</w:t>
      </w:r>
    </w:p>
    <w:p>
      <w:pPr>
        <w:spacing w:after="120"/>
        <w:ind w:left="181" w:hanging="181"/>
        <w:rPr>
          <w:noProof/>
          <w:sz w:val="22"/>
          <w:szCs w:val="22"/>
        </w:rPr>
      </w:pPr>
      <w:r>
        <w:rPr>
          <w:noProof/>
          <w:sz w:val="22"/>
          <w:szCs w:val="22"/>
        </w:rPr>
        <w:t>Procuradoria-Geral (2019), Criminalidade e Justiça Penal.</w:t>
      </w:r>
      <w:r>
        <w:rPr>
          <w:noProof/>
          <w:sz w:val="22"/>
          <w:szCs w:val="22"/>
        </w:rPr>
        <w:tab/>
      </w:r>
      <w:r>
        <w:rPr>
          <w:noProof/>
          <w:sz w:val="22"/>
          <w:szCs w:val="22"/>
        </w:rPr>
        <w:br/>
      </w:r>
      <w:hyperlink r:id="rId41" w:history="1">
        <w:r>
          <w:rPr>
            <w:rStyle w:val="Hyperlink"/>
            <w:noProof/>
            <w:sz w:val="22"/>
            <w:szCs w:val="22"/>
          </w:rPr>
          <w:t>http://ugyeszseg.hu/pdf/statisztika/Criminality_and_CriminalJustice_2009_2018.pdf</w:t>
        </w:r>
      </w:hyperlink>
      <w:r>
        <w:rPr>
          <w:noProof/>
          <w:sz w:val="22"/>
          <w:szCs w:val="22"/>
        </w:rPr>
        <w:t>.</w:t>
      </w:r>
    </w:p>
    <w:p>
      <w:pPr>
        <w:spacing w:after="120"/>
        <w:ind w:left="181" w:hanging="181"/>
        <w:rPr>
          <w:noProof/>
          <w:sz w:val="22"/>
          <w:szCs w:val="22"/>
        </w:rPr>
      </w:pPr>
      <w:r>
        <w:rPr>
          <w:noProof/>
          <w:sz w:val="22"/>
          <w:szCs w:val="22"/>
        </w:rPr>
        <w:t xml:space="preserve">Rede Europeia dos Conselhos de Justiça (RECJ) (2019), </w:t>
      </w:r>
      <w:r>
        <w:rPr>
          <w:i/>
          <w:iCs/>
          <w:noProof/>
          <w:sz w:val="22"/>
          <w:szCs w:val="22"/>
        </w:rPr>
        <w:t>Independence and Accountability of the Judiciary – ENCJ Survey on the independence of judges</w:t>
      </w:r>
      <w:r>
        <w:rPr>
          <w:noProof/>
          <w:sz w:val="22"/>
          <w:szCs w:val="22"/>
        </w:rPr>
        <w:t>, 2019.</w:t>
      </w:r>
      <w:r>
        <w:rPr>
          <w:noProof/>
          <w:sz w:val="22"/>
          <w:szCs w:val="22"/>
        </w:rPr>
        <w:tab/>
      </w:r>
      <w:r>
        <w:rPr>
          <w:noProof/>
          <w:sz w:val="22"/>
          <w:szCs w:val="22"/>
        </w:rPr>
        <w:br/>
      </w:r>
      <w:hyperlink r:id="rId42" w:history="1">
        <w:r>
          <w:rPr>
            <w:rStyle w:val="Hyperlink"/>
            <w:noProof/>
            <w:sz w:val="21"/>
            <w:szCs w:val="21"/>
          </w:rPr>
          <w:t>https://pgwrk-websitemedia.s3.eu-west-1.amazonaws.com/production/pwk-web-encj2017-p/Reports/Data%20ENCJ%202019%20Survey%20on%20the%20Independence%20of%20judges.pdf</w:t>
        </w:r>
      </w:hyperlink>
      <w:r>
        <w:rPr>
          <w:noProof/>
          <w:sz w:val="22"/>
          <w:szCs w:val="22"/>
        </w:rPr>
        <w:t>.</w:t>
      </w:r>
    </w:p>
    <w:p>
      <w:pPr>
        <w:spacing w:after="120"/>
        <w:ind w:left="181" w:hanging="181"/>
        <w:rPr>
          <w:noProof/>
          <w:sz w:val="22"/>
          <w:szCs w:val="22"/>
        </w:rPr>
      </w:pPr>
      <w:r>
        <w:rPr>
          <w:noProof/>
          <w:sz w:val="22"/>
          <w:szCs w:val="22"/>
        </w:rPr>
        <w:t xml:space="preserve">Rede Europeia dos Conselhos de Justiça (RECJ) e Conselho das Ordens de Advogados da União Europeia (CCBE) (2019), </w:t>
      </w:r>
      <w:r>
        <w:rPr>
          <w:i/>
          <w:iCs/>
          <w:noProof/>
          <w:sz w:val="22"/>
          <w:szCs w:val="22"/>
        </w:rPr>
        <w:t>Independence and Accountability of the Judiciary – ENCJ/CCBE Survey among lawyers on the independence of judges, 2018-2019</w:t>
      </w:r>
      <w:r>
        <w:rPr>
          <w:noProof/>
          <w:sz w:val="22"/>
          <w:szCs w:val="22"/>
        </w:rPr>
        <w:t>.</w:t>
      </w:r>
      <w:r>
        <w:rPr>
          <w:noProof/>
          <w:sz w:val="22"/>
          <w:szCs w:val="22"/>
        </w:rPr>
        <w:tab/>
      </w:r>
      <w:r>
        <w:rPr>
          <w:noProof/>
          <w:sz w:val="22"/>
          <w:szCs w:val="22"/>
        </w:rPr>
        <w:br/>
      </w:r>
      <w:hyperlink r:id="rId43" w:history="1">
        <w:r>
          <w:rPr>
            <w:rStyle w:val="Hyperlink"/>
            <w:noProof/>
            <w:sz w:val="22"/>
            <w:szCs w:val="22"/>
          </w:rPr>
          <w:t>https://pgwrk-websitemedia.s3.eu-west-1.amazonaws.com/production/pwk-web-encj2017-p/Reports/ENCJ%20Survey%20on%20Independence%20Accountability%20of%20the%20Judiciary%20among%20lawyers%20%202019.pdf</w:t>
        </w:r>
      </w:hyperlink>
      <w:r>
        <w:rPr>
          <w:noProof/>
          <w:sz w:val="22"/>
          <w:szCs w:val="22"/>
        </w:rPr>
        <w:t>.</w:t>
      </w:r>
    </w:p>
    <w:p>
      <w:pPr>
        <w:spacing w:after="120"/>
        <w:ind w:left="181" w:hanging="181"/>
        <w:rPr>
          <w:noProof/>
          <w:sz w:val="22"/>
          <w:szCs w:val="22"/>
        </w:rPr>
      </w:pPr>
      <w:r>
        <w:rPr>
          <w:noProof/>
          <w:sz w:val="22"/>
          <w:szCs w:val="22"/>
        </w:rPr>
        <w:t xml:space="preserve">Relator Especial das Nações Unidas para os defensores dos direitos humanos (2016), </w:t>
      </w:r>
      <w:r>
        <w:rPr>
          <w:i/>
          <w:iCs/>
          <w:noProof/>
          <w:sz w:val="22"/>
          <w:szCs w:val="22"/>
        </w:rPr>
        <w:t>End of mission statement by Special Rapporteur on the situation of human rights defenders, Visit to Hungary 8 - 16 February 2016</w:t>
      </w:r>
      <w:r>
        <w:rPr>
          <w:noProof/>
          <w:sz w:val="22"/>
          <w:szCs w:val="22"/>
        </w:rPr>
        <w:t>.</w:t>
      </w:r>
      <w:r>
        <w:rPr>
          <w:noProof/>
        </w:rPr>
        <w:tab/>
      </w:r>
      <w:r>
        <w:rPr>
          <w:noProof/>
        </w:rPr>
        <w:br/>
      </w:r>
      <w:hyperlink r:id="rId44" w:history="1">
        <w:r>
          <w:rPr>
            <w:rStyle w:val="Hyperlink"/>
            <w:noProof/>
            <w:sz w:val="22"/>
            <w:szCs w:val="22"/>
          </w:rPr>
          <w:t>https://www.ohchr.org/EN/NewsEvents/Pages/DisplayNews.aspx?NewsID=17048&amp;LangID=E</w:t>
        </w:r>
      </w:hyperlink>
      <w:r>
        <w:rPr>
          <w:noProof/>
          <w:sz w:val="22"/>
          <w:szCs w:val="22"/>
        </w:rPr>
        <w:t>.</w:t>
      </w:r>
    </w:p>
    <w:p>
      <w:pPr>
        <w:spacing w:after="120"/>
        <w:ind w:left="181" w:hanging="181"/>
        <w:rPr>
          <w:noProof/>
          <w:sz w:val="22"/>
          <w:szCs w:val="22"/>
        </w:rPr>
      </w:pPr>
      <w:r>
        <w:rPr>
          <w:noProof/>
          <w:sz w:val="22"/>
          <w:szCs w:val="22"/>
        </w:rPr>
        <w:t>Repórteres sem Fronteiras (2020), Classificação Mundial da Liberdade de Imprensa,</w:t>
      </w:r>
      <w:r>
        <w:rPr>
          <w:noProof/>
        </w:rPr>
        <w:t xml:space="preserve"> </w:t>
      </w:r>
      <w:hyperlink r:id="rId45" w:history="1">
        <w:r>
          <w:rPr>
            <w:rStyle w:val="Hyperlink"/>
            <w:noProof/>
            <w:sz w:val="22"/>
            <w:szCs w:val="22"/>
          </w:rPr>
          <w:t>https://rsf.org/pt/classificacao%20</w:t>
        </w:r>
      </w:hyperlink>
      <w:r>
        <w:rPr>
          <w:noProof/>
          <w:sz w:val="22"/>
          <w:szCs w:val="22"/>
        </w:rPr>
        <w:t>.</w:t>
      </w:r>
    </w:p>
    <w:p>
      <w:pPr>
        <w:spacing w:after="120"/>
        <w:ind w:left="181" w:hanging="181"/>
        <w:rPr>
          <w:noProof/>
          <w:sz w:val="22"/>
          <w:szCs w:val="22"/>
        </w:rPr>
      </w:pPr>
      <w:r>
        <w:rPr>
          <w:noProof/>
          <w:sz w:val="22"/>
          <w:szCs w:val="22"/>
        </w:rPr>
        <w:t xml:space="preserve">Repórteres Sem Fronteiras (2020), </w:t>
      </w:r>
      <w:r>
        <w:rPr>
          <w:i/>
          <w:iCs/>
          <w:noProof/>
          <w:sz w:val="22"/>
          <w:szCs w:val="22"/>
        </w:rPr>
        <w:t>Hungary:</w:t>
      </w:r>
      <w:r>
        <w:rPr>
          <w:noProof/>
          <w:sz w:val="22"/>
          <w:szCs w:val="22"/>
        </w:rPr>
        <w:t xml:space="preserve"> </w:t>
      </w:r>
      <w:r>
        <w:rPr>
          <w:i/>
          <w:iCs/>
          <w:noProof/>
          <w:sz w:val="22"/>
          <w:szCs w:val="22"/>
        </w:rPr>
        <w:t>Urgent EU response needed to leading independent news site’s demise</w:t>
      </w:r>
      <w:r>
        <w:rPr>
          <w:noProof/>
          <w:sz w:val="22"/>
          <w:szCs w:val="22"/>
        </w:rPr>
        <w:t xml:space="preserve">. (28 de julho de 2020). </w:t>
      </w:r>
      <w:hyperlink r:id="rId46" w:history="1">
        <w:r>
          <w:rPr>
            <w:rStyle w:val="Hyperlink"/>
            <w:noProof/>
            <w:sz w:val="22"/>
            <w:szCs w:val="22"/>
          </w:rPr>
          <w:t>https://rsf.org/en/news/hungary-urgent-eu-response-needed-leading-independent-news-sites-demise</w:t>
        </w:r>
      </w:hyperlink>
      <w:r>
        <w:rPr>
          <w:noProof/>
          <w:sz w:val="22"/>
          <w:szCs w:val="22"/>
        </w:rPr>
        <w:t>.</w:t>
      </w:r>
    </w:p>
    <w:p>
      <w:pPr>
        <w:spacing w:after="120"/>
        <w:ind w:left="181" w:hanging="181"/>
        <w:rPr>
          <w:noProof/>
          <w:sz w:val="22"/>
          <w:szCs w:val="22"/>
        </w:rPr>
      </w:pPr>
      <w:r>
        <w:rPr>
          <w:noProof/>
          <w:sz w:val="22"/>
          <w:szCs w:val="22"/>
        </w:rPr>
        <w:t>Transparência Internacional (2019), Índice de Perceção da Corrupção.</w:t>
      </w:r>
    </w:p>
    <w:p>
      <w:pPr>
        <w:spacing w:after="120"/>
        <w:ind w:left="181" w:hanging="181"/>
        <w:rPr>
          <w:noProof/>
          <w:sz w:val="22"/>
          <w:szCs w:val="22"/>
        </w:rPr>
      </w:pPr>
      <w:r>
        <w:rPr>
          <w:noProof/>
          <w:sz w:val="22"/>
          <w:szCs w:val="22"/>
        </w:rPr>
        <w:t xml:space="preserve">Tribunal de Justiça da União Europeia, acórdão de 18 de junho de 2020, </w:t>
      </w:r>
      <w:r>
        <w:rPr>
          <w:i/>
          <w:noProof/>
          <w:sz w:val="22"/>
          <w:szCs w:val="22"/>
        </w:rPr>
        <w:t>Comissão contra Hungria</w:t>
      </w:r>
      <w:r>
        <w:rPr>
          <w:noProof/>
          <w:sz w:val="22"/>
          <w:szCs w:val="22"/>
        </w:rPr>
        <w:t>, C-78/18.</w:t>
      </w:r>
    </w:p>
    <w:p>
      <w:pPr>
        <w:spacing w:after="120"/>
        <w:ind w:left="181" w:hanging="181"/>
        <w:rPr>
          <w:noProof/>
          <w:sz w:val="22"/>
          <w:szCs w:val="22"/>
        </w:rPr>
      </w:pPr>
      <w:r>
        <w:rPr>
          <w:noProof/>
          <w:sz w:val="22"/>
          <w:szCs w:val="22"/>
        </w:rPr>
        <w:t xml:space="preserve">Tribunal de Justiça da União Europeia, acórdão de 19 de novembro de 2019, </w:t>
      </w:r>
      <w:r>
        <w:rPr>
          <w:i/>
          <w:noProof/>
          <w:sz w:val="22"/>
          <w:szCs w:val="22"/>
        </w:rPr>
        <w:t>A.K.</w:t>
      </w:r>
      <w:r>
        <w:rPr>
          <w:noProof/>
          <w:sz w:val="22"/>
          <w:szCs w:val="22"/>
        </w:rPr>
        <w:t>, processos apensos C‑585/18, C‑624/18 e C‑625/18.</w:t>
      </w:r>
    </w:p>
    <w:p>
      <w:pPr>
        <w:spacing w:after="120"/>
        <w:ind w:left="181" w:hanging="181"/>
        <w:rPr>
          <w:noProof/>
          <w:sz w:val="22"/>
          <w:szCs w:val="22"/>
        </w:rPr>
      </w:pPr>
      <w:r>
        <w:rPr>
          <w:noProof/>
          <w:sz w:val="22"/>
          <w:szCs w:val="22"/>
        </w:rPr>
        <w:t xml:space="preserve">Tribunal de Justiça da União Europeia, acórdão de 27 de fevereiro de 2018, </w:t>
      </w:r>
      <w:r>
        <w:rPr>
          <w:i/>
          <w:noProof/>
          <w:sz w:val="22"/>
          <w:szCs w:val="22"/>
        </w:rPr>
        <w:t>Associação Sindical dos Juízes Portugueses</w:t>
      </w:r>
      <w:r>
        <w:rPr>
          <w:noProof/>
          <w:sz w:val="22"/>
          <w:szCs w:val="22"/>
        </w:rPr>
        <w:t>, C-64/16.</w:t>
      </w:r>
    </w:p>
    <w:p>
      <w:pPr>
        <w:spacing w:after="120"/>
        <w:ind w:left="181" w:hanging="181"/>
        <w:rPr>
          <w:noProof/>
          <w:sz w:val="22"/>
          <w:szCs w:val="22"/>
        </w:rPr>
      </w:pPr>
      <w:r>
        <w:rPr>
          <w:noProof/>
          <w:sz w:val="22"/>
          <w:szCs w:val="22"/>
        </w:rPr>
        <w:t xml:space="preserve">Tribunal de Justiça da União Europeia, acórdão de 7 de fevereiro de 2019, </w:t>
      </w:r>
      <w:r>
        <w:rPr>
          <w:i/>
          <w:noProof/>
          <w:sz w:val="22"/>
          <w:szCs w:val="22"/>
        </w:rPr>
        <w:t>Carlos Escribano Vindel</w:t>
      </w:r>
      <w:r>
        <w:rPr>
          <w:noProof/>
          <w:sz w:val="22"/>
          <w:szCs w:val="22"/>
        </w:rPr>
        <w:t>, C-49/18.</w:t>
      </w:r>
    </w:p>
    <w:p>
      <w:pPr>
        <w:spacing w:after="120"/>
        <w:ind w:left="181" w:hanging="181"/>
        <w:rPr>
          <w:noProof/>
          <w:sz w:val="22"/>
          <w:szCs w:val="22"/>
        </w:rPr>
      </w:pPr>
      <w:r>
        <w:rPr>
          <w:noProof/>
          <w:sz w:val="22"/>
          <w:szCs w:val="22"/>
        </w:rPr>
        <w:t xml:space="preserve">Tribunal de Justiça da União Europeia, processo C-564/19 – </w:t>
      </w:r>
      <w:r>
        <w:rPr>
          <w:i/>
          <w:noProof/>
          <w:sz w:val="22"/>
          <w:szCs w:val="22"/>
        </w:rPr>
        <w:t>IS</w:t>
      </w:r>
      <w:r>
        <w:rPr>
          <w:noProof/>
          <w:sz w:val="22"/>
          <w:szCs w:val="22"/>
        </w:rPr>
        <w:t>, pendente.</w:t>
      </w:r>
    </w:p>
    <w:p>
      <w:pPr>
        <w:spacing w:after="120"/>
        <w:ind w:left="181" w:hanging="181"/>
        <w:rPr>
          <w:noProof/>
          <w:sz w:val="22"/>
          <w:szCs w:val="22"/>
        </w:rPr>
      </w:pPr>
      <w:r>
        <w:rPr>
          <w:noProof/>
        </w:rPr>
        <w:t>Tribunal de Justiça da União Europeia, processo C-821/19, pendente.</w:t>
      </w:r>
    </w:p>
    <w:p>
      <w:pPr>
        <w:spacing w:after="120"/>
        <w:ind w:left="181" w:hanging="181"/>
        <w:rPr>
          <w:noProof/>
          <w:sz w:val="22"/>
          <w:szCs w:val="22"/>
        </w:rPr>
      </w:pPr>
      <w:r>
        <w:rPr>
          <w:noProof/>
          <w:sz w:val="22"/>
          <w:szCs w:val="22"/>
        </w:rPr>
        <w:t xml:space="preserve">Tribunal Europeu dos Direitos Humanos, acórdão de 10 de março de 2015, </w:t>
      </w:r>
      <w:r>
        <w:rPr>
          <w:i/>
          <w:noProof/>
          <w:sz w:val="22"/>
          <w:szCs w:val="22"/>
        </w:rPr>
        <w:t>Varga e outros/Hungria</w:t>
      </w:r>
      <w:r>
        <w:rPr>
          <w:noProof/>
          <w:sz w:val="22"/>
          <w:szCs w:val="22"/>
        </w:rPr>
        <w:t>, processos n.</w:t>
      </w:r>
      <w:r>
        <w:rPr>
          <w:noProof/>
          <w:sz w:val="22"/>
          <w:szCs w:val="22"/>
          <w:vertAlign w:val="superscript"/>
        </w:rPr>
        <w:t>os</w:t>
      </w:r>
      <w:r>
        <w:rPr>
          <w:noProof/>
          <w:sz w:val="22"/>
          <w:szCs w:val="22"/>
        </w:rPr>
        <w:t> 14097/12, 45135/12, 73712/12, 34001/13, 44055/13 e 64586/13.</w:t>
      </w:r>
    </w:p>
    <w:p>
      <w:pPr>
        <w:spacing w:after="120"/>
        <w:ind w:left="181" w:hanging="181"/>
        <w:rPr>
          <w:noProof/>
          <w:sz w:val="22"/>
          <w:szCs w:val="22"/>
        </w:rPr>
      </w:pPr>
      <w:r>
        <w:rPr>
          <w:noProof/>
          <w:sz w:val="22"/>
          <w:szCs w:val="22"/>
        </w:rPr>
        <w:t xml:space="preserve">União das Liberdades Cívicas da Hungria (2020), </w:t>
      </w:r>
      <w:r>
        <w:rPr>
          <w:i/>
          <w:iCs/>
          <w:noProof/>
          <w:sz w:val="22"/>
          <w:szCs w:val="22"/>
        </w:rPr>
        <w:t>Research on the obstruction of the work of journalists during the coronavirus pandemic in Hungary</w:t>
      </w:r>
      <w:r>
        <w:rPr>
          <w:noProof/>
          <w:sz w:val="22"/>
          <w:szCs w:val="22"/>
        </w:rPr>
        <w:t xml:space="preserve"> (15 de abril de 2020).</w:t>
      </w:r>
      <w:r>
        <w:rPr>
          <w:noProof/>
        </w:rPr>
        <w:t xml:space="preserve"> </w:t>
      </w:r>
      <w:hyperlink r:id="rId47" w:history="1">
        <w:r>
          <w:rPr>
            <w:rStyle w:val="Hyperlink"/>
            <w:noProof/>
            <w:sz w:val="22"/>
            <w:szCs w:val="22"/>
          </w:rPr>
          <w:t>https://tasz.hu/a/files/coronavirus_press_research.pdf</w:t>
        </w:r>
      </w:hyperlink>
      <w:r>
        <w:rPr>
          <w:noProof/>
          <w:sz w:val="22"/>
          <w:szCs w:val="22"/>
        </w:rPr>
        <w:t>.</w:t>
      </w:r>
    </w:p>
    <w:p>
      <w:pPr>
        <w:spacing w:after="120"/>
        <w:ind w:left="181" w:hanging="181"/>
        <w:rPr>
          <w:noProof/>
          <w:sz w:val="22"/>
          <w:szCs w:val="22"/>
        </w:rPr>
      </w:pPr>
      <w:r>
        <w:rPr>
          <w:noProof/>
          <w:sz w:val="22"/>
          <w:szCs w:val="22"/>
        </w:rPr>
        <w:t>Visita virtual à Hungria no contexto do Relatório de 2020 sobre o Estado de direito.</w:t>
      </w:r>
    </w:p>
    <w:p>
      <w:pPr>
        <w:spacing w:after="120"/>
        <w:ind w:left="181" w:hanging="181"/>
        <w:rPr>
          <w:noProof/>
          <w:sz w:val="22"/>
          <w:szCs w:val="22"/>
          <w:lang w:val="en-US"/>
        </w:rPr>
      </w:pPr>
    </w:p>
    <w:p>
      <w:pPr>
        <w:rPr>
          <w:noProof/>
          <w:sz w:val="22"/>
          <w:szCs w:val="22"/>
        </w:rPr>
      </w:pPr>
      <w:r>
        <w:rPr>
          <w:noProof/>
        </w:rPr>
        <w:br w:type="page"/>
      </w:r>
    </w:p>
    <w:p>
      <w:pPr>
        <w:rPr>
          <w:b/>
          <w:noProof/>
          <w:sz w:val="22"/>
          <w:szCs w:val="22"/>
        </w:rPr>
      </w:pPr>
      <w:r>
        <w:rPr>
          <w:b/>
          <w:noProof/>
          <w:sz w:val="22"/>
          <w:szCs w:val="22"/>
        </w:rPr>
        <w:t>Anexo II: Visita à Hungria</w:t>
      </w:r>
    </w:p>
    <w:p>
      <w:pPr>
        <w:rPr>
          <w:noProof/>
          <w:sz w:val="22"/>
          <w:szCs w:val="22"/>
        </w:rPr>
      </w:pPr>
      <w:r>
        <w:rPr>
          <w:noProof/>
          <w:sz w:val="22"/>
          <w:szCs w:val="22"/>
        </w:rPr>
        <w:t>No mês de junho de 2020, os serviços da Comissão mantiveram várias reuniões virtuais com:</w:t>
      </w:r>
    </w:p>
    <w:p>
      <w:pPr>
        <w:pStyle w:val="ListParagraph"/>
        <w:numPr>
          <w:ilvl w:val="0"/>
          <w:numId w:val="21"/>
        </w:numPr>
        <w:rPr>
          <w:rFonts w:ascii="Times New Roman" w:hAnsi="Times New Roman" w:cs="Times New Roman"/>
          <w:noProof/>
          <w:shd w:val="clear" w:color="auto" w:fill="FFFFFF"/>
        </w:rPr>
      </w:pPr>
      <w:r>
        <w:rPr>
          <w:rFonts w:ascii="Times New Roman" w:hAnsi="Times New Roman"/>
          <w:noProof/>
        </w:rPr>
        <w:t>Amnistia Internacional da Hungria</w:t>
      </w:r>
    </w:p>
    <w:p>
      <w:pPr>
        <w:pStyle w:val="ListParagraph"/>
        <w:numPr>
          <w:ilvl w:val="0"/>
          <w:numId w:val="21"/>
        </w:numPr>
        <w:rPr>
          <w:rFonts w:ascii="Times New Roman" w:hAnsi="Times New Roman" w:cs="Times New Roman"/>
          <w:noProof/>
          <w:shd w:val="clear" w:color="auto" w:fill="FFFFFF"/>
        </w:rPr>
      </w:pPr>
      <w:r>
        <w:rPr>
          <w:rFonts w:ascii="Times New Roman" w:hAnsi="Times New Roman"/>
          <w:noProof/>
          <w:shd w:val="clear" w:color="auto" w:fill="FFFFFF"/>
        </w:rPr>
        <w:t>Comissão da Legislação da Assembleia Nacional</w:t>
      </w:r>
    </w:p>
    <w:p>
      <w:pPr>
        <w:pStyle w:val="ListParagraph"/>
        <w:numPr>
          <w:ilvl w:val="0"/>
          <w:numId w:val="21"/>
        </w:numPr>
        <w:rPr>
          <w:rFonts w:ascii="Times New Roman" w:hAnsi="Times New Roman" w:cs="Times New Roman"/>
          <w:noProof/>
          <w:bdr w:val="none" w:sz="0" w:space="0" w:color="auto" w:frame="1"/>
        </w:rPr>
      </w:pPr>
      <w:r>
        <w:rPr>
          <w:rFonts w:ascii="Times New Roman" w:hAnsi="Times New Roman"/>
          <w:noProof/>
          <w:bdr w:val="none" w:sz="0" w:space="0" w:color="auto" w:frame="1"/>
        </w:rPr>
        <w:t>Centro de Investigação da Corrupção de Budapeste</w:t>
      </w:r>
    </w:p>
    <w:p>
      <w:pPr>
        <w:pStyle w:val="ListParagraph"/>
        <w:numPr>
          <w:ilvl w:val="0"/>
          <w:numId w:val="21"/>
        </w:numPr>
        <w:rPr>
          <w:rFonts w:ascii="Times New Roman" w:hAnsi="Times New Roman" w:cs="Times New Roman"/>
          <w:noProof/>
        </w:rPr>
      </w:pPr>
      <w:r>
        <w:rPr>
          <w:rFonts w:ascii="Times New Roman" w:hAnsi="Times New Roman"/>
          <w:noProof/>
          <w:shd w:val="clear" w:color="auto" w:fill="FFFFFF"/>
        </w:rPr>
        <w:t>Fórum dos diretores de redação (</w:t>
      </w:r>
      <w:r>
        <w:rPr>
          <w:rFonts w:ascii="Times New Roman" w:hAnsi="Times New Roman"/>
          <w:i/>
          <w:noProof/>
          <w:shd w:val="clear" w:color="auto" w:fill="FFFFFF"/>
        </w:rPr>
        <w:t>Főszerkesztők Fóruma</w:t>
      </w:r>
      <w:r>
        <w:rPr>
          <w:rFonts w:ascii="Times New Roman" w:hAnsi="Times New Roman"/>
          <w:noProof/>
          <w:shd w:val="clear" w:color="auto" w:fill="FFFFFF"/>
        </w:rPr>
        <w:t>)</w:t>
      </w:r>
    </w:p>
    <w:p>
      <w:pPr>
        <w:pStyle w:val="ListParagraph"/>
        <w:numPr>
          <w:ilvl w:val="0"/>
          <w:numId w:val="21"/>
        </w:numPr>
        <w:rPr>
          <w:rFonts w:ascii="Times New Roman" w:hAnsi="Times New Roman" w:cs="Times New Roman"/>
          <w:i/>
          <w:noProof/>
          <w:shd w:val="clear" w:color="auto" w:fill="FFFFFF"/>
        </w:rPr>
      </w:pPr>
      <w:r>
        <w:rPr>
          <w:rFonts w:ascii="Times New Roman" w:hAnsi="Times New Roman"/>
          <w:i/>
          <w:iCs/>
          <w:noProof/>
          <w:shd w:val="clear" w:color="auto" w:fill="FFFFFF"/>
        </w:rPr>
        <w:t>Eötvös Károly Policy Institute</w:t>
      </w:r>
    </w:p>
    <w:p>
      <w:pPr>
        <w:pStyle w:val="ListParagraph"/>
        <w:numPr>
          <w:ilvl w:val="0"/>
          <w:numId w:val="21"/>
        </w:numPr>
        <w:rPr>
          <w:rFonts w:ascii="Times New Roman" w:hAnsi="Times New Roman" w:cs="Times New Roman"/>
          <w:noProof/>
          <w:bdr w:val="none" w:sz="0" w:space="0" w:color="auto" w:frame="1"/>
        </w:rPr>
      </w:pPr>
      <w:r>
        <w:rPr>
          <w:rFonts w:ascii="Times New Roman" w:hAnsi="Times New Roman"/>
          <w:noProof/>
          <w:bdr w:val="none" w:sz="0" w:space="0" w:color="auto" w:frame="1"/>
        </w:rPr>
        <w:t>Ordem dos Advogados da Hungria</w:t>
      </w:r>
    </w:p>
    <w:p>
      <w:pPr>
        <w:pStyle w:val="ListParagraph"/>
        <w:numPr>
          <w:ilvl w:val="0"/>
          <w:numId w:val="21"/>
        </w:numPr>
        <w:rPr>
          <w:rFonts w:ascii="Times New Roman" w:hAnsi="Times New Roman" w:cs="Times New Roman"/>
          <w:noProof/>
        </w:rPr>
      </w:pPr>
      <w:r>
        <w:rPr>
          <w:rFonts w:ascii="Times New Roman" w:hAnsi="Times New Roman"/>
          <w:noProof/>
          <w:bdr w:val="none" w:sz="0" w:space="0" w:color="auto" w:frame="1"/>
        </w:rPr>
        <w:t>União das Liberdades Cívicas da Hungria</w:t>
      </w:r>
    </w:p>
    <w:p>
      <w:pPr>
        <w:pStyle w:val="ListParagraph"/>
        <w:numPr>
          <w:ilvl w:val="0"/>
          <w:numId w:val="21"/>
        </w:numPr>
        <w:rPr>
          <w:rFonts w:ascii="Times New Roman" w:hAnsi="Times New Roman" w:cs="Times New Roman"/>
          <w:noProof/>
          <w:bdr w:val="none" w:sz="0" w:space="0" w:color="auto" w:frame="1"/>
        </w:rPr>
      </w:pPr>
      <w:r>
        <w:rPr>
          <w:rFonts w:ascii="Times New Roman" w:hAnsi="Times New Roman"/>
          <w:noProof/>
          <w:bdr w:val="none" w:sz="0" w:space="0" w:color="auto" w:frame="1"/>
        </w:rPr>
        <w:t>Comité de Helsínquia da Hungria</w:t>
      </w:r>
    </w:p>
    <w:p>
      <w:pPr>
        <w:pStyle w:val="ListParagraph"/>
        <w:numPr>
          <w:ilvl w:val="0"/>
          <w:numId w:val="21"/>
        </w:numPr>
        <w:rPr>
          <w:rFonts w:ascii="Times New Roman" w:hAnsi="Times New Roman" w:cs="Times New Roman"/>
          <w:noProof/>
          <w:bdr w:val="none" w:sz="0" w:space="0" w:color="auto" w:frame="1"/>
        </w:rPr>
      </w:pPr>
      <w:r>
        <w:rPr>
          <w:rFonts w:ascii="Times New Roman" w:hAnsi="Times New Roman"/>
          <w:i/>
          <w:iCs/>
          <w:noProof/>
          <w:bdr w:val="none" w:sz="0" w:space="0" w:color="auto" w:frame="1"/>
        </w:rPr>
        <w:t>K-Monitor</w:t>
      </w:r>
    </w:p>
    <w:p>
      <w:pPr>
        <w:pStyle w:val="ListParagraph"/>
        <w:numPr>
          <w:ilvl w:val="0"/>
          <w:numId w:val="21"/>
        </w:numPr>
        <w:rPr>
          <w:rFonts w:ascii="Times New Roman" w:hAnsi="Times New Roman" w:cs="Times New Roman"/>
          <w:noProof/>
          <w:shd w:val="clear" w:color="auto" w:fill="FFFFFF"/>
        </w:rPr>
      </w:pPr>
      <w:r>
        <w:rPr>
          <w:rFonts w:ascii="Times New Roman" w:hAnsi="Times New Roman"/>
          <w:i/>
          <w:iCs/>
          <w:noProof/>
          <w:shd w:val="clear" w:color="auto" w:fill="FFFFFF"/>
        </w:rPr>
        <w:t>Mérték Media Monitor</w:t>
      </w:r>
    </w:p>
    <w:p>
      <w:pPr>
        <w:pStyle w:val="ListParagraph"/>
        <w:numPr>
          <w:ilvl w:val="0"/>
          <w:numId w:val="21"/>
        </w:numPr>
        <w:rPr>
          <w:rFonts w:ascii="Times New Roman" w:hAnsi="Times New Roman" w:cs="Times New Roman"/>
          <w:noProof/>
          <w:shd w:val="clear" w:color="auto" w:fill="FFFFFF"/>
        </w:rPr>
      </w:pPr>
      <w:r>
        <w:rPr>
          <w:rFonts w:ascii="Times New Roman" w:hAnsi="Times New Roman"/>
          <w:noProof/>
          <w:shd w:val="clear" w:color="auto" w:fill="FFFFFF"/>
        </w:rPr>
        <w:t>Ministério do Interior</w:t>
      </w:r>
    </w:p>
    <w:p>
      <w:pPr>
        <w:pStyle w:val="ListParagraph"/>
        <w:numPr>
          <w:ilvl w:val="0"/>
          <w:numId w:val="21"/>
        </w:numPr>
        <w:rPr>
          <w:rFonts w:ascii="Times New Roman" w:hAnsi="Times New Roman" w:cs="Times New Roman"/>
          <w:noProof/>
        </w:rPr>
      </w:pPr>
      <w:r>
        <w:rPr>
          <w:rFonts w:ascii="Times New Roman" w:hAnsi="Times New Roman"/>
          <w:noProof/>
          <w:bdr w:val="none" w:sz="0" w:space="0" w:color="auto" w:frame="1"/>
        </w:rPr>
        <w:t>Ministério da Justiça</w:t>
      </w:r>
    </w:p>
    <w:p>
      <w:pPr>
        <w:pStyle w:val="ListParagraph"/>
        <w:numPr>
          <w:ilvl w:val="0"/>
          <w:numId w:val="21"/>
        </w:numPr>
        <w:jc w:val="both"/>
        <w:rPr>
          <w:rFonts w:ascii="Times New Roman" w:hAnsi="Times New Roman" w:cs="Times New Roman"/>
          <w:noProof/>
          <w:shd w:val="clear" w:color="auto" w:fill="FFFFFF"/>
        </w:rPr>
      </w:pPr>
      <w:r>
        <w:rPr>
          <w:rFonts w:ascii="Times New Roman" w:hAnsi="Times New Roman"/>
          <w:noProof/>
          <w:shd w:val="clear" w:color="auto" w:fill="FFFFFF"/>
        </w:rPr>
        <w:t>Autoridade Nacional para a Proteção de Dados e a Liberdade de Imprensa</w:t>
      </w:r>
    </w:p>
    <w:p>
      <w:pPr>
        <w:pStyle w:val="ListParagraph"/>
        <w:numPr>
          <w:ilvl w:val="0"/>
          <w:numId w:val="21"/>
        </w:numPr>
        <w:rPr>
          <w:rFonts w:ascii="Times New Roman" w:hAnsi="Times New Roman" w:cs="Times New Roman"/>
          <w:noProof/>
          <w:shd w:val="clear" w:color="auto" w:fill="FFFFFF"/>
        </w:rPr>
      </w:pPr>
      <w:r>
        <w:rPr>
          <w:rFonts w:ascii="Times New Roman" w:hAnsi="Times New Roman"/>
          <w:noProof/>
          <w:shd w:val="clear" w:color="auto" w:fill="FFFFFF"/>
        </w:rPr>
        <w:t>Conselho Judicial Nacional</w:t>
      </w:r>
    </w:p>
    <w:p>
      <w:pPr>
        <w:pStyle w:val="ListParagraph"/>
        <w:numPr>
          <w:ilvl w:val="0"/>
          <w:numId w:val="21"/>
        </w:numPr>
        <w:rPr>
          <w:rFonts w:ascii="Times New Roman" w:hAnsi="Times New Roman" w:cs="Times New Roman"/>
          <w:noProof/>
          <w:shd w:val="clear" w:color="auto" w:fill="FFFFFF"/>
        </w:rPr>
      </w:pPr>
      <w:r>
        <w:rPr>
          <w:rFonts w:ascii="Times New Roman" w:hAnsi="Times New Roman"/>
          <w:noProof/>
          <w:shd w:val="clear" w:color="auto" w:fill="FFFFFF"/>
        </w:rPr>
        <w:t xml:space="preserve">Autoridade Nacional para os Meios de Comunicação e as Telecomunicações </w:t>
      </w:r>
    </w:p>
    <w:p>
      <w:pPr>
        <w:pStyle w:val="ListParagraph"/>
        <w:numPr>
          <w:ilvl w:val="0"/>
          <w:numId w:val="21"/>
        </w:numPr>
        <w:rPr>
          <w:rFonts w:ascii="Times New Roman" w:hAnsi="Times New Roman" w:cs="Times New Roman"/>
          <w:noProof/>
        </w:rPr>
      </w:pPr>
      <w:r>
        <w:rPr>
          <w:rFonts w:ascii="Times New Roman" w:hAnsi="Times New Roman"/>
          <w:noProof/>
          <w:shd w:val="clear" w:color="auto" w:fill="FFFFFF"/>
        </w:rPr>
        <w:t>Gabinete Judicial Nacional</w:t>
      </w:r>
    </w:p>
    <w:p>
      <w:pPr>
        <w:pStyle w:val="ListParagraph"/>
        <w:numPr>
          <w:ilvl w:val="0"/>
          <w:numId w:val="21"/>
        </w:numPr>
        <w:rPr>
          <w:rFonts w:ascii="Times New Roman" w:hAnsi="Times New Roman" w:cs="Times New Roman"/>
          <w:noProof/>
          <w:shd w:val="clear" w:color="auto" w:fill="FFFFFF"/>
        </w:rPr>
      </w:pPr>
      <w:r>
        <w:rPr>
          <w:rFonts w:ascii="Times New Roman" w:hAnsi="Times New Roman"/>
          <w:noProof/>
          <w:shd w:val="clear" w:color="auto" w:fill="FFFFFF"/>
        </w:rPr>
        <w:t>Gabinete do comissário para os Direitos Fundamentais</w:t>
      </w:r>
    </w:p>
    <w:p>
      <w:pPr>
        <w:pStyle w:val="ListParagraph"/>
        <w:numPr>
          <w:ilvl w:val="0"/>
          <w:numId w:val="21"/>
        </w:numPr>
        <w:rPr>
          <w:rFonts w:ascii="Times New Roman" w:hAnsi="Times New Roman" w:cs="Times New Roman"/>
          <w:noProof/>
          <w:shd w:val="clear" w:color="auto" w:fill="FFFFFF"/>
        </w:rPr>
      </w:pPr>
      <w:r>
        <w:rPr>
          <w:rFonts w:ascii="Times New Roman" w:hAnsi="Times New Roman"/>
          <w:noProof/>
          <w:shd w:val="clear" w:color="auto" w:fill="FFFFFF"/>
        </w:rPr>
        <w:t>Secretaria do Tribunal Constitucional</w:t>
      </w:r>
    </w:p>
    <w:p>
      <w:pPr>
        <w:pStyle w:val="ListParagraph"/>
        <w:numPr>
          <w:ilvl w:val="0"/>
          <w:numId w:val="21"/>
        </w:numPr>
        <w:rPr>
          <w:rFonts w:ascii="Times New Roman" w:hAnsi="Times New Roman" w:cs="Times New Roman"/>
          <w:noProof/>
          <w:shd w:val="clear" w:color="auto" w:fill="FFFFFF"/>
        </w:rPr>
      </w:pPr>
      <w:r>
        <w:rPr>
          <w:rFonts w:ascii="Times New Roman" w:hAnsi="Times New Roman"/>
          <w:noProof/>
          <w:shd w:val="clear" w:color="auto" w:fill="FFFFFF"/>
        </w:rPr>
        <w:t>Ministério Público da Hungria</w:t>
      </w:r>
    </w:p>
    <w:p>
      <w:pPr>
        <w:pStyle w:val="ListParagraph"/>
        <w:numPr>
          <w:ilvl w:val="0"/>
          <w:numId w:val="21"/>
        </w:numPr>
        <w:rPr>
          <w:rFonts w:ascii="Times New Roman" w:hAnsi="Times New Roman" w:cs="Times New Roman"/>
          <w:noProof/>
          <w:shd w:val="clear" w:color="auto" w:fill="FFFFFF"/>
        </w:rPr>
      </w:pPr>
      <w:r>
        <w:rPr>
          <w:rFonts w:ascii="Times New Roman" w:hAnsi="Times New Roman"/>
          <w:noProof/>
          <w:shd w:val="clear" w:color="auto" w:fill="FFFFFF"/>
        </w:rPr>
        <w:t>Tribunal Nacional de Contas</w:t>
      </w:r>
    </w:p>
    <w:p>
      <w:pPr>
        <w:pStyle w:val="ListParagraph"/>
        <w:numPr>
          <w:ilvl w:val="0"/>
          <w:numId w:val="21"/>
        </w:numPr>
        <w:rPr>
          <w:rFonts w:ascii="Times New Roman" w:hAnsi="Times New Roman" w:cs="Times New Roman"/>
          <w:noProof/>
          <w:shd w:val="clear" w:color="auto" w:fill="FFFFFF"/>
        </w:rPr>
      </w:pPr>
      <w:r>
        <w:rPr>
          <w:rFonts w:ascii="Times New Roman" w:hAnsi="Times New Roman"/>
          <w:noProof/>
          <w:shd w:val="clear" w:color="auto" w:fill="FFFFFF"/>
        </w:rPr>
        <w:t xml:space="preserve">Supremo Tribunal </w:t>
      </w:r>
      <w:r>
        <w:rPr>
          <w:rFonts w:ascii="Times New Roman" w:hAnsi="Times New Roman"/>
          <w:i/>
          <w:noProof/>
          <w:shd w:val="clear" w:color="auto" w:fill="FFFFFF"/>
        </w:rPr>
        <w:t>(Kúria)</w:t>
      </w:r>
    </w:p>
    <w:p>
      <w:pPr>
        <w:pStyle w:val="ListParagraph"/>
        <w:numPr>
          <w:ilvl w:val="0"/>
          <w:numId w:val="21"/>
        </w:numPr>
        <w:rPr>
          <w:rFonts w:ascii="Times New Roman" w:hAnsi="Times New Roman" w:cs="Times New Roman"/>
          <w:noProof/>
          <w:bdr w:val="none" w:sz="0" w:space="0" w:color="auto" w:frame="1"/>
        </w:rPr>
      </w:pPr>
      <w:r>
        <w:rPr>
          <w:rFonts w:ascii="Times New Roman" w:hAnsi="Times New Roman"/>
          <w:noProof/>
          <w:bdr w:val="none" w:sz="0" w:space="0" w:color="auto" w:frame="1"/>
        </w:rPr>
        <w:t>Transparência Internacional da Hungria</w:t>
      </w:r>
    </w:p>
    <w:p>
      <w:pPr>
        <w:rPr>
          <w:noProof/>
          <w:sz w:val="22"/>
          <w:szCs w:val="22"/>
        </w:rPr>
      </w:pPr>
    </w:p>
    <w:p>
      <w:pPr>
        <w:rPr>
          <w:noProof/>
          <w:sz w:val="22"/>
          <w:szCs w:val="22"/>
        </w:rPr>
      </w:pPr>
      <w:r>
        <w:rPr>
          <w:noProof/>
          <w:sz w:val="22"/>
          <w:szCs w:val="22"/>
        </w:rPr>
        <w:t>* A Comissão encontrou-se ainda com as seguintes organizações em reuniões gerais:</w:t>
      </w:r>
    </w:p>
    <w:p>
      <w:pPr>
        <w:numPr>
          <w:ilvl w:val="0"/>
          <w:numId w:val="22"/>
        </w:numPr>
        <w:spacing w:after="0"/>
        <w:ind w:left="714" w:hanging="357"/>
        <w:jc w:val="left"/>
        <w:rPr>
          <w:noProof/>
          <w:sz w:val="22"/>
          <w:szCs w:val="22"/>
        </w:rPr>
      </w:pPr>
      <w:r>
        <w:rPr>
          <w:noProof/>
          <w:sz w:val="22"/>
          <w:szCs w:val="22"/>
        </w:rPr>
        <w:t>Amnistia Internacional</w:t>
      </w:r>
    </w:p>
    <w:p>
      <w:pPr>
        <w:numPr>
          <w:ilvl w:val="0"/>
          <w:numId w:val="22"/>
        </w:numPr>
        <w:spacing w:after="0"/>
        <w:ind w:left="714" w:hanging="357"/>
        <w:jc w:val="left"/>
        <w:rPr>
          <w:noProof/>
          <w:sz w:val="22"/>
          <w:szCs w:val="22"/>
        </w:rPr>
      </w:pPr>
      <w:r>
        <w:rPr>
          <w:noProof/>
          <w:sz w:val="22"/>
          <w:szCs w:val="22"/>
        </w:rPr>
        <w:t>União das Liberdades Civis na Europa</w:t>
      </w:r>
    </w:p>
    <w:p>
      <w:pPr>
        <w:numPr>
          <w:ilvl w:val="0"/>
          <w:numId w:val="22"/>
        </w:numPr>
        <w:spacing w:after="0"/>
        <w:ind w:left="714" w:hanging="357"/>
        <w:jc w:val="left"/>
        <w:rPr>
          <w:noProof/>
          <w:sz w:val="22"/>
          <w:szCs w:val="22"/>
        </w:rPr>
      </w:pPr>
      <w:r>
        <w:rPr>
          <w:noProof/>
          <w:sz w:val="22"/>
          <w:szCs w:val="22"/>
        </w:rPr>
        <w:t>Sociedade Civil Europa</w:t>
      </w:r>
    </w:p>
    <w:p>
      <w:pPr>
        <w:numPr>
          <w:ilvl w:val="0"/>
          <w:numId w:val="22"/>
        </w:numPr>
        <w:spacing w:after="0"/>
        <w:ind w:left="714" w:hanging="357"/>
        <w:jc w:val="left"/>
        <w:rPr>
          <w:noProof/>
          <w:sz w:val="22"/>
          <w:szCs w:val="22"/>
        </w:rPr>
      </w:pPr>
      <w:r>
        <w:rPr>
          <w:noProof/>
          <w:sz w:val="22"/>
          <w:szCs w:val="22"/>
        </w:rPr>
        <w:t xml:space="preserve">Conferência das Igrejas Europeias </w:t>
      </w:r>
    </w:p>
    <w:p>
      <w:pPr>
        <w:numPr>
          <w:ilvl w:val="0"/>
          <w:numId w:val="22"/>
        </w:numPr>
        <w:spacing w:after="0"/>
        <w:ind w:left="714" w:hanging="357"/>
        <w:jc w:val="left"/>
        <w:rPr>
          <w:i/>
          <w:noProof/>
          <w:sz w:val="22"/>
          <w:szCs w:val="22"/>
        </w:rPr>
      </w:pPr>
      <w:r>
        <w:rPr>
          <w:i/>
          <w:noProof/>
          <w:sz w:val="22"/>
          <w:szCs w:val="22"/>
        </w:rPr>
        <w:t>EuroCommerce</w:t>
      </w:r>
    </w:p>
    <w:p>
      <w:pPr>
        <w:numPr>
          <w:ilvl w:val="0"/>
          <w:numId w:val="22"/>
        </w:numPr>
        <w:spacing w:after="0"/>
        <w:ind w:left="714" w:hanging="357"/>
        <w:jc w:val="left"/>
        <w:rPr>
          <w:noProof/>
          <w:sz w:val="22"/>
          <w:szCs w:val="22"/>
        </w:rPr>
      </w:pPr>
      <w:r>
        <w:rPr>
          <w:noProof/>
          <w:sz w:val="22"/>
          <w:szCs w:val="22"/>
        </w:rPr>
        <w:t>Centro Europeu da Legislação sem Fins Lucrativos</w:t>
      </w:r>
    </w:p>
    <w:p>
      <w:pPr>
        <w:numPr>
          <w:ilvl w:val="0"/>
          <w:numId w:val="22"/>
        </w:numPr>
        <w:spacing w:after="0"/>
        <w:ind w:left="714" w:hanging="357"/>
        <w:jc w:val="left"/>
        <w:rPr>
          <w:noProof/>
          <w:sz w:val="22"/>
          <w:szCs w:val="22"/>
        </w:rPr>
      </w:pPr>
      <w:r>
        <w:rPr>
          <w:noProof/>
          <w:sz w:val="22"/>
          <w:szCs w:val="22"/>
        </w:rPr>
        <w:t>Centro Europeu para a Liberdade de Imprensa e dos Meios de Comunicação Social</w:t>
      </w:r>
    </w:p>
    <w:p>
      <w:pPr>
        <w:numPr>
          <w:ilvl w:val="0"/>
          <w:numId w:val="22"/>
        </w:numPr>
        <w:spacing w:after="0"/>
        <w:ind w:left="714" w:hanging="357"/>
        <w:jc w:val="left"/>
        <w:rPr>
          <w:noProof/>
          <w:sz w:val="22"/>
          <w:szCs w:val="22"/>
        </w:rPr>
      </w:pPr>
      <w:r>
        <w:rPr>
          <w:noProof/>
          <w:sz w:val="22"/>
          <w:szCs w:val="22"/>
        </w:rPr>
        <w:t>Fórum Cívico Europeu</w:t>
      </w:r>
    </w:p>
    <w:p>
      <w:pPr>
        <w:numPr>
          <w:ilvl w:val="0"/>
          <w:numId w:val="22"/>
        </w:numPr>
        <w:spacing w:after="0"/>
        <w:ind w:left="714" w:hanging="357"/>
        <w:jc w:val="left"/>
        <w:rPr>
          <w:i/>
          <w:noProof/>
          <w:sz w:val="22"/>
          <w:szCs w:val="22"/>
        </w:rPr>
      </w:pPr>
      <w:r>
        <w:rPr>
          <w:i/>
          <w:noProof/>
          <w:sz w:val="22"/>
          <w:szCs w:val="22"/>
        </w:rPr>
        <w:t>Free Press Unlimited</w:t>
      </w:r>
    </w:p>
    <w:p>
      <w:pPr>
        <w:numPr>
          <w:ilvl w:val="0"/>
          <w:numId w:val="22"/>
        </w:numPr>
        <w:spacing w:after="0"/>
        <w:ind w:left="714" w:hanging="357"/>
        <w:jc w:val="left"/>
        <w:rPr>
          <w:i/>
          <w:noProof/>
          <w:sz w:val="22"/>
          <w:szCs w:val="22"/>
        </w:rPr>
      </w:pPr>
      <w:r>
        <w:rPr>
          <w:i/>
          <w:noProof/>
          <w:sz w:val="22"/>
          <w:szCs w:val="22"/>
        </w:rPr>
        <w:t>Front Line Defenders</w:t>
      </w:r>
    </w:p>
    <w:p>
      <w:pPr>
        <w:numPr>
          <w:ilvl w:val="0"/>
          <w:numId w:val="22"/>
        </w:numPr>
        <w:spacing w:after="0"/>
        <w:ind w:left="714" w:hanging="357"/>
        <w:jc w:val="left"/>
        <w:rPr>
          <w:noProof/>
          <w:sz w:val="22"/>
          <w:szCs w:val="22"/>
        </w:rPr>
      </w:pPr>
      <w:r>
        <w:rPr>
          <w:noProof/>
          <w:sz w:val="22"/>
          <w:szCs w:val="22"/>
        </w:rPr>
        <w:t>ILGA-Europa</w:t>
      </w:r>
    </w:p>
    <w:p>
      <w:pPr>
        <w:numPr>
          <w:ilvl w:val="0"/>
          <w:numId w:val="22"/>
        </w:numPr>
        <w:spacing w:after="0"/>
        <w:ind w:left="714" w:hanging="357"/>
        <w:jc w:val="left"/>
        <w:rPr>
          <w:noProof/>
          <w:sz w:val="22"/>
          <w:szCs w:val="22"/>
        </w:rPr>
      </w:pPr>
      <w:r>
        <w:rPr>
          <w:noProof/>
          <w:sz w:val="22"/>
          <w:szCs w:val="22"/>
        </w:rPr>
        <w:t>Comissão Internacional de Juristas</w:t>
      </w:r>
    </w:p>
    <w:p>
      <w:pPr>
        <w:numPr>
          <w:ilvl w:val="0"/>
          <w:numId w:val="22"/>
        </w:numPr>
        <w:spacing w:after="0"/>
        <w:ind w:left="714" w:hanging="357"/>
        <w:jc w:val="left"/>
        <w:rPr>
          <w:noProof/>
          <w:sz w:val="22"/>
          <w:szCs w:val="22"/>
        </w:rPr>
      </w:pPr>
      <w:r>
        <w:rPr>
          <w:noProof/>
          <w:sz w:val="22"/>
          <w:szCs w:val="22"/>
        </w:rPr>
        <w:t>Federação Internacional dos Direitos Humanos</w:t>
      </w:r>
    </w:p>
    <w:p>
      <w:pPr>
        <w:numPr>
          <w:ilvl w:val="0"/>
          <w:numId w:val="22"/>
        </w:numPr>
        <w:spacing w:after="0"/>
        <w:ind w:left="714" w:hanging="357"/>
        <w:jc w:val="left"/>
        <w:rPr>
          <w:noProof/>
          <w:sz w:val="22"/>
          <w:szCs w:val="22"/>
        </w:rPr>
      </w:pPr>
      <w:r>
        <w:rPr>
          <w:noProof/>
          <w:sz w:val="22"/>
          <w:szCs w:val="22"/>
        </w:rPr>
        <w:t>Instituto Internacional da Imprensa</w:t>
      </w:r>
    </w:p>
    <w:p>
      <w:pPr>
        <w:numPr>
          <w:ilvl w:val="0"/>
          <w:numId w:val="22"/>
        </w:numPr>
        <w:spacing w:after="0"/>
        <w:ind w:left="714" w:hanging="357"/>
        <w:jc w:val="left"/>
        <w:rPr>
          <w:noProof/>
          <w:sz w:val="22"/>
          <w:szCs w:val="22"/>
        </w:rPr>
      </w:pPr>
      <w:r>
        <w:rPr>
          <w:noProof/>
          <w:sz w:val="22"/>
          <w:szCs w:val="22"/>
        </w:rPr>
        <w:t>Plataforma de Aprendizagem ao Longo da Vida</w:t>
      </w:r>
    </w:p>
    <w:p>
      <w:pPr>
        <w:numPr>
          <w:ilvl w:val="0"/>
          <w:numId w:val="22"/>
        </w:numPr>
        <w:spacing w:after="0"/>
        <w:ind w:left="714" w:hanging="357"/>
        <w:jc w:val="left"/>
        <w:rPr>
          <w:noProof/>
          <w:sz w:val="22"/>
          <w:szCs w:val="22"/>
        </w:rPr>
      </w:pPr>
      <w:r>
        <w:rPr>
          <w:noProof/>
          <w:sz w:val="22"/>
          <w:szCs w:val="22"/>
        </w:rPr>
        <w:t>Open Society Justice Initiative/Instituto de Política Europeia da Sociedade Aberta</w:t>
      </w:r>
    </w:p>
    <w:p>
      <w:pPr>
        <w:numPr>
          <w:ilvl w:val="0"/>
          <w:numId w:val="22"/>
        </w:numPr>
        <w:spacing w:after="0"/>
        <w:ind w:left="714" w:hanging="357"/>
        <w:jc w:val="left"/>
        <w:rPr>
          <w:noProof/>
          <w:sz w:val="22"/>
          <w:szCs w:val="22"/>
        </w:rPr>
      </w:pPr>
      <w:r>
        <w:rPr>
          <w:noProof/>
          <w:sz w:val="22"/>
          <w:szCs w:val="22"/>
        </w:rPr>
        <w:t>Repórteres sem Fronteiras</w:t>
      </w:r>
    </w:p>
    <w:p>
      <w:pPr>
        <w:numPr>
          <w:ilvl w:val="0"/>
          <w:numId w:val="22"/>
        </w:numPr>
        <w:spacing w:after="0"/>
        <w:ind w:left="714" w:hanging="357"/>
        <w:jc w:val="left"/>
        <w:rPr>
          <w:noProof/>
          <w:sz w:val="22"/>
          <w:szCs w:val="22"/>
        </w:rPr>
      </w:pPr>
      <w:r>
        <w:rPr>
          <w:noProof/>
          <w:sz w:val="22"/>
          <w:szCs w:val="22"/>
        </w:rPr>
        <w:t>Transparência Internacional - UE</w:t>
      </w:r>
    </w:p>
    <w:sectPr>
      <w:headerReference w:type="even" r:id="rId48"/>
      <w:headerReference w:type="default" r:id="rId49"/>
      <w:footerReference w:type="even" r:id="rId50"/>
      <w:footerReference w:type="default" r:id="rId51"/>
      <w:headerReference w:type="first" r:id="rId52"/>
      <w:footerReference w:type="first" r:id="rId53"/>
      <w:pgSz w:w="11906" w:h="16838"/>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PT</w:t>
    </w:r>
    <w:r>
      <w:rPr>
        <w:rFonts w:ascii="Arial" w:hAnsi="Arial" w:cs="Arial"/>
        <w:b/>
        <w:sz w:val="48"/>
      </w:rPr>
      <w:tab/>
    </w:r>
    <w:r>
      <w:rPr>
        <w:rFonts w:ascii="Arial" w:hAnsi="Arial" w:cs="Arial"/>
        <w:b/>
        <w:sz w:val="48"/>
      </w:rPr>
      <w:tab/>
    </w:r>
    <w:r>
      <w:tab/>
    </w:r>
    <w:r>
      <w:rPr>
        <w:rFonts w:ascii="Arial" w:hAnsi="Arial" w:cs="Arial"/>
        <w:b/>
        <w:sz w:val="48"/>
      </w:rPr>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Cs w:val="16"/>
      </w:rPr>
      <w:id w:val="-2121605156"/>
      <w:docPartObj>
        <w:docPartGallery w:val="Page Numbers (Bottom of Page)"/>
        <w:docPartUnique/>
      </w:docPartObj>
    </w:sdtPr>
    <w:sdtEndPr>
      <w:rPr>
        <w:sz w:val="20"/>
        <w:szCs w:val="20"/>
      </w:rPr>
    </w:sdtEndPr>
    <w:sdtContent>
      <w:p>
        <w:pPr>
          <w:pStyle w:val="Footer"/>
          <w:jc w:val="center"/>
          <w:rPr>
            <w:sz w:val="20"/>
          </w:rPr>
        </w:pPr>
        <w:r>
          <w:rPr>
            <w:sz w:val="20"/>
          </w:rPr>
          <w:fldChar w:fldCharType="begin"/>
        </w:r>
        <w:r>
          <w:rPr>
            <w:sz w:val="20"/>
          </w:rPr>
          <w:instrText xml:space="preserve"> PAGE   \* MERGEFORMAT </w:instrText>
        </w:r>
        <w:r>
          <w:rPr>
            <w:sz w:val="20"/>
          </w:rPr>
          <w:fldChar w:fldCharType="separate"/>
        </w:r>
        <w:r>
          <w:rPr>
            <w:noProof/>
            <w:sz w:val="20"/>
          </w:rPr>
          <w:t>3</w:t>
        </w:r>
        <w:r>
          <w:rPr>
            <w:sz w:val="20"/>
          </w:rPr>
          <w:fldChar w:fldCharType="end"/>
        </w:r>
      </w:p>
    </w:sdtContent>
  </w:sdt>
  <w:p>
    <w:pPr>
      <w:pStyle w:val="Footer"/>
      <w:rPr>
        <w:szCs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939285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id="1">
    <w:p>
      <w:pPr>
        <w:pStyle w:val="FootnoteText"/>
        <w:ind w:left="284" w:hanging="284"/>
        <w:contextualSpacing/>
      </w:pPr>
      <w:r>
        <w:rPr>
          <w:rStyle w:val="FootnoteReference"/>
        </w:rPr>
        <w:footnoteRef/>
      </w:r>
      <w:r>
        <w:t xml:space="preserve"> </w:t>
      </w:r>
      <w:r>
        <w:tab/>
        <w:t>O presidente do GJN é nomeado pelo presidente da República e eleito pelo Parlamento por maioria de dois terços de entre os juízes com pelo menos cinco anos de experiência como juiz, para um mandato de nove anos, sem a possibilidade de ser reeleito (ver contributo da Hungria para o Relatório anual sobre o Estado de direito).</w:t>
      </w:r>
    </w:p>
  </w:footnote>
  <w:footnote w:id="2">
    <w:p>
      <w:pPr>
        <w:pStyle w:val="FootnoteText"/>
        <w:ind w:left="284" w:hanging="284"/>
        <w:contextualSpacing/>
      </w:pPr>
      <w:r>
        <w:rPr>
          <w:rStyle w:val="FootnoteReference"/>
        </w:rPr>
        <w:footnoteRef/>
      </w:r>
      <w:r>
        <w:t xml:space="preserve"> </w:t>
      </w:r>
      <w:r>
        <w:tab/>
        <w:t xml:space="preserve">O Conselho Judicial Nacional é composto pelo presidente do </w:t>
      </w:r>
      <w:r>
        <w:rPr>
          <w:i/>
        </w:rPr>
        <w:t>Kúria</w:t>
      </w:r>
      <w:r>
        <w:t>, por inerência de funções, e por 14 juízes-membros (e 14 membros suplentes) eleitos pelos pares para um mandato de seis anos (ver contributo da Hungria para o Relatório anual sobre o Estado de direito).</w:t>
      </w:r>
    </w:p>
  </w:footnote>
  <w:footnote w:id="3">
    <w:p>
      <w:pPr>
        <w:pStyle w:val="FootnoteText"/>
        <w:ind w:left="284" w:hanging="284"/>
        <w:contextualSpacing/>
      </w:pPr>
      <w:r>
        <w:rPr>
          <w:rStyle w:val="FootnoteReference"/>
        </w:rPr>
        <w:footnoteRef/>
      </w:r>
      <w:r>
        <w:t xml:space="preserve"> </w:t>
      </w:r>
      <w:r>
        <w:tab/>
        <w:t>No processo legislativo, o presidente do GJN representa o poder judicial.</w:t>
      </w:r>
    </w:p>
  </w:footnote>
  <w:footnote w:id="4">
    <w:p>
      <w:pPr>
        <w:pStyle w:val="FootnoteText"/>
        <w:ind w:left="284" w:hanging="284"/>
        <w:contextualSpacing/>
      </w:pPr>
      <w:r>
        <w:rPr>
          <w:rStyle w:val="FootnoteReference"/>
        </w:rPr>
        <w:footnoteRef/>
      </w:r>
      <w:r>
        <w:t xml:space="preserve"> </w:t>
      </w:r>
      <w:r>
        <w:tab/>
        <w:t>As candidaturas judiciais são apreciadas com base num sistema de pontos estabelecido pelo Decreto n.º 7/2011, de 4 de março de 2011, emitido pelo ministro da Justiça com base na Lei CLXII de 2011, que contém uma lista exaustiva dos critérios a tomar em consideração para determinar a classificação dos candidatos. O ministro da Justiça pode definir o número de pontos a atribuir a esses critérios. O sistema de avaliação atribui os pontos com base numa entrevista e em certos elementos do processo de candidatura. Os conselhos da magistratura locais (compostos por juízes eleitos pelos pares) entrevistam os candidatos e classificam-nos em conformidade com o sistema de pontos. Na sequência de uma alteração ao decreto, sobre a qual o Conselho Judicial Nacional não foi consultado e que entrou em vigor em 1 de novembro de 2017, o papel desempenhado pelos conselhos da magistratura locais neste processo foi reduzido mediante a diminuição do número de pontos atribuídos por estes órgãos.</w:t>
      </w:r>
    </w:p>
  </w:footnote>
  <w:footnote w:id="5">
    <w:p>
      <w:pPr>
        <w:pStyle w:val="FootnoteText"/>
        <w:ind w:left="284" w:hanging="284"/>
        <w:contextualSpacing/>
      </w:pPr>
      <w:r>
        <w:rPr>
          <w:rStyle w:val="FootnoteReference"/>
        </w:rPr>
        <w:footnoteRef/>
      </w:r>
      <w:r>
        <w:t xml:space="preserve"> </w:t>
      </w:r>
      <w:r>
        <w:tab/>
        <w:t>Os presidentes e outros administradores dos tribunais regionais e dos tribunais regionais de recurso são nomeados pelo presidente do GJN de acordo com uma classificação baseada numa votação por escrutínio secreto do plenário do tribunal em causa (o sistema de pontos não é aplicável). O presidente do GJN pode afastar-se da classificação, mas a nomeação de candidatos que não tenham obtido a maioria dos votos da sessão plenária requer o consentimento prévio do Conselho Judicial Nacional.</w:t>
      </w:r>
    </w:p>
  </w:footnote>
  <w:footnote w:id="6">
    <w:p>
      <w:pPr>
        <w:pStyle w:val="FootnoteText"/>
        <w:ind w:left="284" w:hanging="284"/>
        <w:contextualSpacing/>
      </w:pPr>
      <w:r>
        <w:rPr>
          <w:rStyle w:val="FootnoteReference"/>
        </w:rPr>
        <w:footnoteRef/>
      </w:r>
      <w:r>
        <w:t xml:space="preserve"> </w:t>
      </w:r>
      <w:r>
        <w:tab/>
        <w:t>O Conselho Judicial Nacional determina o seu orçamento e conclui um acordo nesta matéria com o presidente do GJN. O orçamento do Conselho Judicial Nacional é definido separadamente no âmbito do orçamento do GJN. Embora disponha de orçamento próprio, o Conselho Judicial Nacional carece de personalidade jurídica, não controla as suas próprias finanças de forma independente, não dispõe de recursos humanos suficientes (tem apenas um funcionário) e não pode decidir contratar mais pessoal (contributo da Rede Europeia dos Conselhos de Justiça para o Relatório anual sobre o Estado de direito).</w:t>
      </w:r>
    </w:p>
  </w:footnote>
  <w:footnote w:id="7">
    <w:p>
      <w:pPr>
        <w:pStyle w:val="FootnoteText"/>
        <w:ind w:left="284" w:hanging="284"/>
        <w:contextualSpacing/>
      </w:pPr>
      <w:r>
        <w:rPr>
          <w:rStyle w:val="FootnoteReference"/>
        </w:rPr>
        <w:footnoteRef/>
      </w:r>
      <w:r>
        <w:t xml:space="preserve"> </w:t>
      </w:r>
      <w:r>
        <w:tab/>
        <w:t>Comissão Europeia, Relatório de 2019 relativo à Hungria, SWD(2019) 1016 final, p. 42.</w:t>
      </w:r>
    </w:p>
  </w:footnote>
  <w:footnote w:id="8">
    <w:p>
      <w:pPr>
        <w:pStyle w:val="FootnoteText"/>
        <w:ind w:left="284" w:hanging="284"/>
        <w:contextualSpacing/>
      </w:pPr>
      <w:r>
        <w:rPr>
          <w:rStyle w:val="FootnoteReference"/>
        </w:rPr>
        <w:footnoteRef/>
      </w:r>
      <w:r>
        <w:t xml:space="preserve"> </w:t>
      </w:r>
      <w:r>
        <w:tab/>
        <w:t>Resoluções 59/2018. (V.02.) OBT e 60/2018. (V. 02.) OBT.</w:t>
      </w:r>
    </w:p>
  </w:footnote>
  <w:footnote w:id="9">
    <w:p>
      <w:pPr>
        <w:pStyle w:val="FootnoteText"/>
        <w:ind w:left="284" w:hanging="284"/>
        <w:contextualSpacing/>
      </w:pPr>
      <w:r>
        <w:rPr>
          <w:rStyle w:val="FootnoteReference"/>
        </w:rPr>
        <w:footnoteRef/>
      </w:r>
      <w:r>
        <w:t xml:space="preserve"> </w:t>
      </w:r>
      <w:r>
        <w:tab/>
        <w:t xml:space="preserve">Resolução 34/2019. (V.08.) OBT. Tradução em língua inglesa disponível em </w:t>
      </w:r>
      <w:r>
        <w:tab/>
      </w:r>
      <w:r>
        <w:br/>
        <w:t xml:space="preserve">https://orszagosbiroitanacs.hu/?mdocs-file=1150. </w:t>
      </w:r>
    </w:p>
  </w:footnote>
  <w:footnote w:id="10">
    <w:p>
      <w:pPr>
        <w:pStyle w:val="FootnoteText"/>
        <w:ind w:left="284" w:hanging="284"/>
        <w:contextualSpacing/>
      </w:pPr>
      <w:r>
        <w:rPr>
          <w:rStyle w:val="FootnoteReference"/>
        </w:rPr>
        <w:footnoteRef/>
      </w:r>
      <w:r>
        <w:t xml:space="preserve"> </w:t>
      </w:r>
      <w:r>
        <w:tab/>
        <w:t xml:space="preserve">GRECO (2019), Hungria: </w:t>
      </w:r>
      <w:r>
        <w:rPr>
          <w:i/>
          <w:iCs/>
        </w:rPr>
        <w:t>Insufficient progress and lack of transparency hamper fight against corruption</w:t>
      </w:r>
      <w:r>
        <w:t>; Comissária para os Direitos Humanos do Conselho da Europa (2019), relatório de Dunja Mijatović na sequência da sua visita à Hungria, de 4 a 8 de fevereiro de 2019.</w:t>
      </w:r>
    </w:p>
  </w:footnote>
  <w:footnote w:id="11">
    <w:p>
      <w:pPr>
        <w:pStyle w:val="FootnoteText"/>
        <w:ind w:left="284" w:hanging="284"/>
        <w:contextualSpacing/>
      </w:pPr>
      <w:r>
        <w:rPr>
          <w:rStyle w:val="FootnoteReference"/>
        </w:rPr>
        <w:footnoteRef/>
      </w:r>
      <w:r>
        <w:t xml:space="preserve"> </w:t>
      </w:r>
      <w:r>
        <w:tab/>
        <w:t>Comissão Europeia, Relatório de 2019 relativo à Hungria, SWD(2019) 1016 final, pp. 41-42.</w:t>
      </w:r>
    </w:p>
  </w:footnote>
  <w:footnote w:id="12">
    <w:p>
      <w:pPr>
        <w:pStyle w:val="FootnoteText"/>
        <w:ind w:left="284" w:hanging="284"/>
        <w:contextualSpacing/>
      </w:pPr>
      <w:r>
        <w:rPr>
          <w:rStyle w:val="FootnoteReference"/>
        </w:rPr>
        <w:footnoteRef/>
      </w:r>
      <w:r>
        <w:t xml:space="preserve"> </w:t>
      </w:r>
      <w:r>
        <w:tab/>
        <w:t>Por exemplo, Associação Europeia de Juízes (2019), Relatório sobre a missão de informação da AEJ à Hungria.</w:t>
      </w:r>
    </w:p>
  </w:footnote>
  <w:footnote w:id="13">
    <w:p>
      <w:pPr>
        <w:pStyle w:val="FootnoteText"/>
        <w:ind w:left="284" w:hanging="284"/>
        <w:contextualSpacing/>
      </w:pPr>
      <w:r>
        <w:rPr>
          <w:rStyle w:val="FootnoteReference"/>
        </w:rPr>
        <w:footnoteRef/>
      </w:r>
      <w:r>
        <w:t xml:space="preserve"> </w:t>
      </w:r>
      <w:r>
        <w:tab/>
        <w:t>Recomendação do Conselho, de 9 de julho de 2019, relativa ao Programa Nacional de Reformas da Hungria para 2019 e que emite um parecer do Conselho sobre o Programa de Convergência da Hungria para 2019. Esta questão também foi abordada no considerando 27 da Recomendação do Conselho, de 20 de julho de 2020, relativa ao Programa Nacional de Reformas da Hungria para 2020 e que emite um parecer do Conselho sobre o Programa de Convergência da Hungria para 2020.</w:t>
      </w:r>
    </w:p>
  </w:footnote>
  <w:footnote w:id="14">
    <w:p>
      <w:pPr>
        <w:pStyle w:val="FootnoteText"/>
        <w:ind w:left="284" w:hanging="284"/>
        <w:contextualSpacing/>
      </w:pPr>
      <w:r>
        <w:rPr>
          <w:rStyle w:val="FootnoteReference"/>
        </w:rPr>
        <w:footnoteRef/>
      </w:r>
      <w:r>
        <w:t xml:space="preserve"> </w:t>
      </w:r>
      <w:r>
        <w:tab/>
        <w:t>Painel de avaliação da justiça na UE de 2020, gráfico 44. O nível de independência judicial percecionado é classificado do seguinte modo: muito baixo (menos de 30 % dos inquiridos consideram o nível de independência judicial bastante bom e muito bom); baixo (entre 30 % e 39 %), médio (entre 40 % e 59 %), elevado (entre 60 % e 75 %), muito elevado (superior a 75 %).</w:t>
      </w:r>
    </w:p>
  </w:footnote>
  <w:footnote w:id="15">
    <w:p>
      <w:pPr>
        <w:pStyle w:val="FootnoteText"/>
        <w:ind w:left="284" w:hanging="284"/>
        <w:contextualSpacing/>
      </w:pPr>
      <w:r>
        <w:rPr>
          <w:rStyle w:val="FootnoteReference"/>
        </w:rPr>
        <w:footnoteRef/>
      </w:r>
      <w:r>
        <w:t xml:space="preserve"> </w:t>
      </w:r>
      <w:r>
        <w:tab/>
        <w:t>Painel de Avaliação da Justiça na UE de 2020, gráficos 46 e 48. Principais razões para as empresas terem a perceção de falta de independência, segundo o Eurobarómetro: o estatuto e a posição dos juízes não garantem suficientemente a sua independência (17 %), interferência ou pressão de interesses económicos ou de outros interesses específicos (18 %), interferência ou pressão do Governo e dos políticos (19 %) (Painel de Avaliação da Justiça na UE de 2020, gráfico 47).</w:t>
      </w:r>
    </w:p>
  </w:footnote>
  <w:footnote w:id="16">
    <w:p>
      <w:pPr>
        <w:pStyle w:val="FootnoteText"/>
        <w:ind w:left="284" w:hanging="284"/>
        <w:contextualSpacing/>
      </w:pPr>
      <w:r>
        <w:rPr>
          <w:rStyle w:val="FootnoteReference"/>
        </w:rPr>
        <w:footnoteRef/>
      </w:r>
      <w:r>
        <w:t xml:space="preserve"> </w:t>
      </w:r>
      <w:r>
        <w:tab/>
        <w:t>Dados do Eurobarómetro (gráficos 44 e 46, Painel de Avaliação da Justiça na UE de 2020); de acordo com o Fórum Económico Mundial, esta tendência manteve-se entre as empresas (Painel de Avaliação da Justiça na UE de 2020, gráfico 48). De acordo com um inquérito recente que abrangeu 19 Estados-Membros da UE, a perceção global (5,2/10) da independência dos juízes por parte dos advogados é muito baixa (</w:t>
      </w:r>
      <w:r>
        <w:rPr>
          <w:i/>
          <w:iCs/>
        </w:rPr>
        <w:t>Independence and Accountability of the Judiciary – ENCJ/CCBE (2020) Survey among lawyers on the independence of judges, 2018-2019</w:t>
      </w:r>
      <w:r>
        <w:t>, gráficos 7, 9, 15, 16 e 17).</w:t>
      </w:r>
    </w:p>
  </w:footnote>
  <w:footnote w:id="17">
    <w:p>
      <w:pPr>
        <w:pStyle w:val="FootnoteText"/>
        <w:ind w:left="284" w:hanging="284"/>
        <w:contextualSpacing/>
      </w:pPr>
      <w:r>
        <w:rPr>
          <w:rStyle w:val="FootnoteReference"/>
        </w:rPr>
        <w:footnoteRef/>
      </w:r>
      <w:r>
        <w:t xml:space="preserve"> </w:t>
      </w:r>
      <w:r>
        <w:tab/>
        <w:t xml:space="preserve">Bt.III.838/2019/11. Os artigos 667.º a 669.º da Lei XC de 2017 relativa ao Código de Processo Penal permitem ao </w:t>
      </w:r>
      <w:r>
        <w:rPr>
          <w:i/>
        </w:rPr>
        <w:t>Kúria</w:t>
      </w:r>
      <w:r>
        <w:t xml:space="preserve"> apreciar a legalidade das decisões judiciais finais em processos penais, incluindo as decisões de reenvio prejudicial para o Tribunal de Justiça.</w:t>
      </w:r>
    </w:p>
  </w:footnote>
  <w:footnote w:id="18">
    <w:p>
      <w:pPr>
        <w:pStyle w:val="FootnoteText"/>
        <w:ind w:left="284" w:hanging="284"/>
        <w:contextualSpacing/>
      </w:pPr>
      <w:r>
        <w:rPr>
          <w:rStyle w:val="FootnoteReference"/>
        </w:rPr>
        <w:footnoteRef/>
      </w:r>
      <w:r>
        <w:t xml:space="preserve"> </w:t>
      </w:r>
      <w:r>
        <w:tab/>
        <w:t>Processo C-564/19 – IS, em curso.</w:t>
      </w:r>
    </w:p>
  </w:footnote>
  <w:footnote w:id="19">
    <w:p>
      <w:pPr>
        <w:pStyle w:val="FootnoteText"/>
        <w:ind w:left="284" w:hanging="284"/>
        <w:contextualSpacing/>
      </w:pPr>
      <w:r>
        <w:rPr>
          <w:rStyle w:val="FootnoteReference"/>
        </w:rPr>
        <w:footnoteRef/>
      </w:r>
      <w:r>
        <w:t xml:space="preserve"> </w:t>
      </w:r>
      <w:r>
        <w:tab/>
        <w:t xml:space="preserve">Nos termos da Lei CLXI de 2011, o presidente do tribunal ou a autoridade investida do poder de nomeação têm o direito de requerer a abertura de um processo disciplinar. O presidente do GJN pode solicitar a abertura de um processo disciplinar apenas contra os gestores de tribunais por si nomeados e contra os juízes afetados ao GJN. O painel disciplinar designado do tribunal de serviço </w:t>
      </w:r>
      <w:r>
        <w:rPr>
          <w:i/>
        </w:rPr>
        <w:t>(szolgálati bíróság)</w:t>
      </w:r>
      <w:r>
        <w:t xml:space="preserve"> pode decidir ou recusar a abertura de um processo disciplinar ou ordenar uma audiência prévia. O presidente e os membros do tribunal de serviço são nomeados pelo Conselho Judicial Nacional. O regulamento interno do tribunal de serviço inclui a composição dos painéis competentes e as regras relativas à atribuição dos processos. O regulamento interno adotado pelo tribunal de serviço é aprovado e publicado pelo Conselho Judicial Nacional. Um juiz eleito membro do Conselho Judicial Nacional pode ser submetido a um processo disciplinar mediante a aprovação do Conselho Judicial Nacional (ver contributo da Hungria para o Relatório anual sobre o Estado de direito).</w:t>
      </w:r>
    </w:p>
  </w:footnote>
  <w:footnote w:id="20">
    <w:p>
      <w:pPr>
        <w:pStyle w:val="FootnoteText"/>
        <w:ind w:left="284" w:hanging="284"/>
        <w:contextualSpacing/>
      </w:pPr>
      <w:r>
        <w:rPr>
          <w:rStyle w:val="FootnoteReference"/>
        </w:rPr>
        <w:footnoteRef/>
      </w:r>
      <w:r>
        <w:t xml:space="preserve"> </w:t>
      </w:r>
      <w:r>
        <w:tab/>
        <w:t xml:space="preserve">Este efeito pode ser agravado pelo facto de, a partir de 1 de abril de 2020, os tribunais de nível inferior serem obrigados por lei a explicar o motivo por que não seguem a interpretação das disposições legais adotada pelo </w:t>
      </w:r>
      <w:r>
        <w:rPr>
          <w:i/>
        </w:rPr>
        <w:t>Kúria</w:t>
      </w:r>
      <w:r>
        <w:t xml:space="preserve"> nas suas decisões publicadas. Não seguir essa interpretação constitui fundamento para recurso extraordinário perante o </w:t>
      </w:r>
      <w:r>
        <w:rPr>
          <w:i/>
        </w:rPr>
        <w:t>Kúria</w:t>
      </w:r>
      <w:r>
        <w:t>. Ver, por exemplo, os artigos 561.º, n.º 3, alínea g), 648.º, alínea d), 649.º, n.º 6, e 652.º, n.º 1, da Lei XC de 2017 relativa ao Código de Processo Penal.</w:t>
      </w:r>
    </w:p>
  </w:footnote>
  <w:footnote w:id="21">
    <w:p>
      <w:pPr>
        <w:pStyle w:val="FootnoteText"/>
        <w:ind w:left="284" w:hanging="284"/>
        <w:contextualSpacing/>
      </w:pPr>
      <w:r>
        <w:rPr>
          <w:rStyle w:val="FootnoteReference"/>
        </w:rPr>
        <w:footnoteRef/>
      </w:r>
      <w:r>
        <w:t xml:space="preserve"> </w:t>
      </w:r>
      <w:r>
        <w:tab/>
        <w:t xml:space="preserve">Um inquérito realizado aos juízes em 2019 revelou que 40 % destes profissionais tinham sido objeto de falta de respeito pela sua independência por parte do Governo e dos meios de comunicação. Rede Europeia dos Conselhos de Justiça, contributo para a consulta em linha às partes interessadas para o Relatório de 2020 sobre o Estado de direito. O inquérito abrangeu 21 Estados-Membros da UE. Rede Europeia dos Conselhos de Justiça, </w:t>
      </w:r>
      <w:r>
        <w:rPr>
          <w:i/>
          <w:iCs/>
        </w:rPr>
        <w:t>Independence and Accountability of the Judiciary – ENCJ (2020) Survey on the independence of judges, 2019</w:t>
      </w:r>
      <w:r>
        <w:t>, gráficos 43 e 45.</w:t>
      </w:r>
    </w:p>
  </w:footnote>
  <w:footnote w:id="22">
    <w:p>
      <w:pPr>
        <w:pStyle w:val="FootnoteText"/>
        <w:ind w:left="284" w:hanging="284"/>
        <w:contextualSpacing/>
      </w:pPr>
      <w:r>
        <w:rPr>
          <w:rStyle w:val="FootnoteReference"/>
        </w:rPr>
        <w:footnoteRef/>
      </w:r>
      <w:r>
        <w:t xml:space="preserve"> </w:t>
      </w:r>
      <w:r>
        <w:tab/>
        <w:t>A Lei LXXXVII de 2020, adotada pelo Parlamento húngaro em 3 de julho de 2020, alterou a Lei CXC de 2011 relativa ao ensino público nacional no sentido de, em caso de segregação na escola, os tribunais apenas poderem conceder indemnizações por danos morais sob a forma de serviços de ensino ou de formação, excluindo assim a possibilidade de concessão de indemnizações pecuniárias.</w:t>
      </w:r>
    </w:p>
  </w:footnote>
  <w:footnote w:id="23">
    <w:p>
      <w:pPr>
        <w:pStyle w:val="FootnoteText"/>
        <w:ind w:left="284" w:hanging="284"/>
        <w:contextualSpacing/>
      </w:pPr>
      <w:r>
        <w:rPr>
          <w:rStyle w:val="FootnoteReference"/>
        </w:rPr>
        <w:footnoteRef/>
      </w:r>
      <w:r>
        <w:t xml:space="preserve"> </w:t>
      </w:r>
      <w:r>
        <w:tab/>
        <w:t xml:space="preserve">Na sequência do acórdão-piloto do Tribunal Europeu dos Direitos Humanos de 10 de março de 2015, </w:t>
      </w:r>
      <w:r>
        <w:rPr>
          <w:i/>
        </w:rPr>
        <w:t>Varga e outros/Hungria</w:t>
      </w:r>
      <w:r>
        <w:t>.</w:t>
      </w:r>
    </w:p>
  </w:footnote>
  <w:footnote w:id="24">
    <w:p>
      <w:pPr>
        <w:pStyle w:val="FootnoteText"/>
        <w:ind w:left="284" w:hanging="284"/>
        <w:contextualSpacing/>
      </w:pPr>
      <w:r>
        <w:rPr>
          <w:rStyle w:val="FootnoteReference"/>
        </w:rPr>
        <w:footnoteRef/>
      </w:r>
      <w:r>
        <w:t xml:space="preserve"> </w:t>
      </w:r>
      <w:r>
        <w:tab/>
        <w:t>A «consulta nacional» é um instrumento que consiste no envio direto de cartas a todos os agregados familiares húngaros «em nome do Governo da Hungria», acompanhadas de questionários que permitem aos cidadãos responder a conjuntos de perguntas formuladas pelo Governo e apoiadas por uma campanha publicitária e mediática à escala nacional.</w:t>
      </w:r>
    </w:p>
  </w:footnote>
  <w:footnote w:id="25">
    <w:p>
      <w:pPr>
        <w:pStyle w:val="FootnoteText"/>
        <w:ind w:left="284" w:hanging="284"/>
        <w:contextualSpacing/>
      </w:pPr>
      <w:r>
        <w:rPr>
          <w:rStyle w:val="FootnoteReference"/>
        </w:rPr>
        <w:footnoteRef/>
      </w:r>
      <w:r>
        <w:t xml:space="preserve"> </w:t>
      </w:r>
      <w:r>
        <w:tab/>
        <w:t xml:space="preserve">Declaração do </w:t>
      </w:r>
      <w:r>
        <w:rPr>
          <w:i/>
        </w:rPr>
        <w:t>Presidium</w:t>
      </w:r>
      <w:r>
        <w:t xml:space="preserve"> da Ordem dos Advogados da Hungria (21 de janeiro de 2020).</w:t>
      </w:r>
    </w:p>
  </w:footnote>
  <w:footnote w:id="26">
    <w:p>
      <w:pPr>
        <w:pStyle w:val="FootnoteText"/>
        <w:ind w:left="284" w:hanging="284"/>
        <w:contextualSpacing/>
      </w:pPr>
      <w:r>
        <w:rPr>
          <w:rStyle w:val="FootnoteReference"/>
        </w:rPr>
        <w:footnoteRef/>
      </w:r>
      <w:r>
        <w:t xml:space="preserve"> </w:t>
      </w:r>
      <w:r>
        <w:tab/>
        <w:t>Declaração da Associação Húngara de Juízes (MABIE) (10 de março de 2020).</w:t>
      </w:r>
    </w:p>
  </w:footnote>
  <w:footnote w:id="27">
    <w:p>
      <w:pPr>
        <w:pStyle w:val="FootnoteText"/>
        <w:ind w:left="284" w:hanging="284"/>
        <w:contextualSpacing/>
      </w:pPr>
      <w:r>
        <w:rPr>
          <w:rStyle w:val="FootnoteReference"/>
        </w:rPr>
        <w:footnoteRef/>
      </w:r>
      <w:r>
        <w:t xml:space="preserve"> </w:t>
      </w:r>
      <w:r>
        <w:tab/>
        <w:t xml:space="preserve">Por exemplo, declaração do </w:t>
      </w:r>
      <w:r>
        <w:rPr>
          <w:i/>
        </w:rPr>
        <w:t>Eötvös Károly Policy Institute</w:t>
      </w:r>
      <w:r>
        <w:t xml:space="preserve"> (de 21 de fevereiro de 2020).</w:t>
      </w:r>
    </w:p>
  </w:footnote>
  <w:footnote w:id="28">
    <w:p>
      <w:pPr>
        <w:pStyle w:val="FootnoteText"/>
        <w:ind w:left="284" w:hanging="284"/>
        <w:contextualSpacing/>
      </w:pPr>
      <w:r>
        <w:rPr>
          <w:rStyle w:val="FootnoteReference"/>
        </w:rPr>
        <w:footnoteRef/>
      </w:r>
      <w:r>
        <w:t xml:space="preserve"> </w:t>
      </w:r>
      <w:r>
        <w:tab/>
        <w:t>Pedido n.º 20261/12. O processo prendia-se com a destituição precoce do antigo presidente do Supremo Tribunal, motivada pelos seus pontos de vista e pelas suas críticas à anunciada reforma profunda do sistema judicial. A Grande Secção considerou que «</w:t>
      </w:r>
      <w:r>
        <w:rPr>
          <w:i/>
          <w:iCs/>
        </w:rPr>
        <w:t>a cessação antecipada do mandato do requerente teve, sem dúvida, um “efeito inibidor”, na medida em que devia ter desencorajado não só o recorrente, mas também outros juízes e presidentes dos tribunais no futuro, de participar no debate público sobre as reformas legislativas que afetam o poder judicial e, de um modo mais geral, sobre as questões relativas à independência do poder judicial</w:t>
      </w:r>
      <w:r>
        <w:t>» (n.º 173).</w:t>
      </w:r>
    </w:p>
  </w:footnote>
  <w:footnote w:id="29">
    <w:p>
      <w:pPr>
        <w:pStyle w:val="FootnoteText"/>
        <w:ind w:left="284" w:hanging="284"/>
        <w:contextualSpacing/>
      </w:pPr>
      <w:r>
        <w:rPr>
          <w:rStyle w:val="FootnoteReference"/>
        </w:rPr>
        <w:footnoteRef/>
      </w:r>
      <w:r>
        <w:t xml:space="preserve"> </w:t>
      </w:r>
      <w:r>
        <w:tab/>
        <w:t>Decisão do Comité de Ministros do Conselho da Europa, de 25 de setembro de 2019, CM/Del/Dec(2019) 1355/H46-11. Segundo o Governo húngaro, não lhe foi comunicado pelo Tribunal Europeu dos Direitos Humanos qualquer outro processo em que os requerentes tivessem suscitado questões relacionadas com a sua liberdade de expressão no contexto da sua independência como juiz.</w:t>
      </w:r>
    </w:p>
  </w:footnote>
  <w:footnote w:id="30">
    <w:p>
      <w:pPr>
        <w:pStyle w:val="FootnoteText"/>
        <w:ind w:left="284" w:hanging="284"/>
        <w:contextualSpacing/>
      </w:pPr>
      <w:r>
        <w:rPr>
          <w:rStyle w:val="FootnoteReference"/>
        </w:rPr>
        <w:footnoteRef/>
      </w:r>
      <w:r>
        <w:t xml:space="preserve"> </w:t>
      </w:r>
      <w:r>
        <w:tab/>
        <w:t xml:space="preserve">Ver artigo 76.º, n.º 4, alínea a), da Lei CLXI de 2011. Atualmente, existem 113 lugares (ver Decisão 41.SZ/2020. (III. 24.) OBHE), 82 lugares são ocupados por juízes do </w:t>
      </w:r>
      <w:r>
        <w:rPr>
          <w:i/>
        </w:rPr>
        <w:t>Kúria</w:t>
      </w:r>
      <w:r>
        <w:t xml:space="preserve">, três lugares são ocupados por juízes destacados no </w:t>
      </w:r>
      <w:r>
        <w:rPr>
          <w:i/>
        </w:rPr>
        <w:t>Kúria</w:t>
      </w:r>
      <w:r>
        <w:t xml:space="preserve">. Os juízes do </w:t>
      </w:r>
      <w:r>
        <w:rPr>
          <w:i/>
        </w:rPr>
        <w:t>Kúria</w:t>
      </w:r>
      <w:r>
        <w:t xml:space="preserve"> são afetados às diferentes secções </w:t>
      </w:r>
      <w:r>
        <w:rPr>
          <w:i/>
        </w:rPr>
        <w:t>(kollégium)</w:t>
      </w:r>
      <w:r>
        <w:t>: Secção Penal (17 juízes), Secção Administrativa (25 juízes) e Secção Cível (40 juízes). O número de juízes afetados às diferentes secções não é fixo. Devido à aposentação de juízes, em 2020 haverá três vagas na Secção Cível e cinco vagas na Secção Penal; em 2021 haverá uma vaga na Secção Cível, duas vagas na Secção Penal e duas vagas na Secção Administrativa.</w:t>
      </w:r>
    </w:p>
  </w:footnote>
  <w:footnote w:id="31">
    <w:p>
      <w:pPr>
        <w:pStyle w:val="FootnoteText"/>
        <w:ind w:left="284" w:hanging="284"/>
        <w:contextualSpacing/>
      </w:pPr>
      <w:r>
        <w:rPr>
          <w:rStyle w:val="FootnoteReference"/>
        </w:rPr>
        <w:footnoteRef/>
      </w:r>
      <w:r>
        <w:t xml:space="preserve"> </w:t>
      </w:r>
      <w:r>
        <w:tab/>
        <w:t xml:space="preserve">A classificação é baseada no sistema de pontos. O presidente do </w:t>
      </w:r>
      <w:r>
        <w:rPr>
          <w:i/>
        </w:rPr>
        <w:t>Kúria</w:t>
      </w:r>
      <w:r>
        <w:t xml:space="preserve"> não pode nomear candidatos classificados em segundo ou terceiro lugares sem o consentimento prévio do Conselho Judicial Nacional.</w:t>
      </w:r>
    </w:p>
  </w:footnote>
  <w:footnote w:id="32">
    <w:p>
      <w:pPr>
        <w:pStyle w:val="FootnoteText"/>
        <w:ind w:left="284" w:hanging="284"/>
        <w:contextualSpacing/>
      </w:pPr>
      <w:r>
        <w:rPr>
          <w:rStyle w:val="FootnoteReference"/>
        </w:rPr>
        <w:footnoteRef/>
      </w:r>
      <w:r>
        <w:t xml:space="preserve"> </w:t>
      </w:r>
      <w:r>
        <w:tab/>
        <w:t>Lei CXXVII de 2019 sobre a alteração de determinados atos relacionados com os procedimentos administrativos de instância única dos serviços distritais.</w:t>
      </w:r>
    </w:p>
  </w:footnote>
  <w:footnote w:id="33">
    <w:p>
      <w:pPr>
        <w:pStyle w:val="FootnoteText"/>
        <w:ind w:left="284" w:hanging="284"/>
        <w:contextualSpacing/>
      </w:pPr>
      <w:r>
        <w:rPr>
          <w:rStyle w:val="FootnoteReference"/>
        </w:rPr>
        <w:footnoteRef/>
      </w:r>
      <w:r>
        <w:t xml:space="preserve"> </w:t>
      </w:r>
      <w:r>
        <w:tab/>
        <w:t>Têm de cumprir os critérios gerais de elegibilidade relativos à cidadania, capacidade jurídica, diploma legal, exame de acesso à profissão, pelo menos um ano de experiência profissional, teste de aptidão, ausência de registo criminal e declaração de património (artigo 4.º da Lei CLXII de 2011). Por decisões de 26 de junho de 2020 (publicadas em 3 de julho de 2020), o presidente da República nomeou juízes, a pedido dos próprios, oito membros do Tribunal Constitucional.</w:t>
      </w:r>
    </w:p>
  </w:footnote>
  <w:footnote w:id="34">
    <w:p>
      <w:pPr>
        <w:pStyle w:val="FootnoteText"/>
        <w:ind w:left="284" w:hanging="284"/>
        <w:contextualSpacing/>
      </w:pPr>
      <w:r>
        <w:rPr>
          <w:rStyle w:val="FootnoteReference"/>
        </w:rPr>
        <w:footnoteRef/>
      </w:r>
      <w:r>
        <w:t xml:space="preserve"> </w:t>
      </w:r>
      <w:r>
        <w:tab/>
        <w:t xml:space="preserve">De acordo com a Recomendação do Conselho da Europa, nos casos em que as disposições constitucionais ou outras disposições legais determinem que o chefe de Estado, o governo ou o poder legislativo tomam decisões sobre a seleção e a carreira de juízes, uma autoridade independente e competente, formada, em grande parte, por membros do poder judicial, deve ser autorizada a formular recomendações ou a emitir pareceres que a entidade competente para proceder a nomeações siga na prática (Recomendação CM/Rec(2010)12 do Comité de Ministros do Conselho da Europa, n.º 47). Ver igualmente os Processos C-585/18, C-624/18 e C-625/18, </w:t>
      </w:r>
      <w:r>
        <w:rPr>
          <w:i/>
        </w:rPr>
        <w:t>A.K.</w:t>
      </w:r>
      <w:r>
        <w:t>, n.º 134.</w:t>
      </w:r>
    </w:p>
  </w:footnote>
  <w:footnote w:id="35">
    <w:p>
      <w:pPr>
        <w:pStyle w:val="FootnoteText"/>
        <w:ind w:left="284" w:hanging="284"/>
        <w:contextualSpacing/>
      </w:pPr>
      <w:r>
        <w:rPr>
          <w:rStyle w:val="FootnoteReference"/>
        </w:rPr>
        <w:footnoteRef/>
      </w:r>
      <w:r>
        <w:t xml:space="preserve"> </w:t>
      </w:r>
      <w:r>
        <w:tab/>
        <w:t xml:space="preserve">Não há convite à apresentação de candidaturas. O presidente da República propõe um candidato. O Conselho Judicial Nacional emite um parecer não vinculativo na sequência de uma entrevista pessoal. O Parlamento vota por maioria de dois terços. O próximo presidente deverá ser eleito em 2020 de acordo com as novas regras. O presidente do </w:t>
      </w:r>
      <w:r>
        <w:rPr>
          <w:i/>
        </w:rPr>
        <w:t>Kúria</w:t>
      </w:r>
      <w:r>
        <w:t xml:space="preserve"> pode ser destituído – sem o envolvimento do poder judicial – pelo Parlamento, sob proposta do presidente da República, sem possibilidade de recurso judicial (artigos 74.º, 115.º e 116.º, n.º 1, da Lei CLXI de 2011).</w:t>
      </w:r>
    </w:p>
  </w:footnote>
  <w:footnote w:id="36">
    <w:p>
      <w:pPr>
        <w:pStyle w:val="FootnoteText"/>
        <w:ind w:left="284" w:hanging="284"/>
        <w:contextualSpacing/>
      </w:pPr>
      <w:r>
        <w:rPr>
          <w:rStyle w:val="FootnoteReference"/>
        </w:rPr>
        <w:footnoteRef/>
      </w:r>
      <w:r>
        <w:t xml:space="preserve"> </w:t>
      </w:r>
      <w:r>
        <w:tab/>
        <w:t>Artigo 1.º da Lei XXIV de 2019.</w:t>
      </w:r>
    </w:p>
  </w:footnote>
  <w:footnote w:id="37">
    <w:p>
      <w:pPr>
        <w:pStyle w:val="FootnoteText"/>
        <w:ind w:left="284" w:hanging="284"/>
        <w:contextualSpacing/>
      </w:pPr>
      <w:r>
        <w:rPr>
          <w:rStyle w:val="FootnoteReference"/>
        </w:rPr>
        <w:footnoteRef/>
      </w:r>
      <w:r>
        <w:t xml:space="preserve"> </w:t>
      </w:r>
      <w:r>
        <w:tab/>
        <w:t>Um referendário («</w:t>
      </w:r>
      <w:r>
        <w:rPr>
          <w:i/>
        </w:rPr>
        <w:t>főtanácsadó</w:t>
      </w:r>
      <w:r>
        <w:t>» em húngaro, «</w:t>
      </w:r>
      <w:r>
        <w:rPr>
          <w:i/>
        </w:rPr>
        <w:t>référendaire</w:t>
      </w:r>
      <w:r>
        <w:t>» em francês) é funcionário público ao serviço do Tribunal Constitucional e atribuído ao gabinete de um membro do Tribunal Constitucional, encarregado de redigir as decisões.</w:t>
      </w:r>
    </w:p>
  </w:footnote>
  <w:footnote w:id="38">
    <w:p>
      <w:pPr>
        <w:pStyle w:val="FootnoteText"/>
        <w:ind w:left="284" w:hanging="284"/>
        <w:contextualSpacing/>
      </w:pPr>
      <w:r>
        <w:rPr>
          <w:rStyle w:val="FootnoteReference"/>
        </w:rPr>
        <w:footnoteRef/>
      </w:r>
      <w:r>
        <w:t xml:space="preserve"> </w:t>
      </w:r>
      <w:r>
        <w:tab/>
        <w:t>Em dezembro de 2018, o Parlamento húngaro, aplicando a sétima alteração (28 de junho de 2018) à Lei Fundamental, adotou duas leis (CXXX e CXXXI de 2018) que estabelecem um sistema de tribunais administrativos. Vários intervenientes, incluindo a Comissão de Veneza (Parecer CDL-AD(2019)004) e a comissária para os Direitos Humanos do Conselho da Europa, manifestaram a sua preocupação quanto à salvaguarda dos requisitos de independência judicial por estas leis, tendo a comissária apelado ao presidente da Hungria para que devolvesse ao Parlamento o pacote legislativo relativo aos tribunais administrativos (declaração de 14 de dezembro de 2018). A reforma prevista começou por ser aperfeiçoada (Lei XXIV de 2019, adotada em 1 de abril de 2019), acabando por ser suspensa (Lei LXI de 2019, adotada em 2 de julho de 2019). A Lei CXXX de 2018 relativa aos tribunais administrativos não entrou em vigor, mas também não foi revogada. Em 12 de dezembro de 2019, a oitava alteração à Lei Fundamental suprimiu disposições que estipulavam a criação de um sistema de tribunais administrativos separado.</w:t>
      </w:r>
    </w:p>
  </w:footnote>
  <w:footnote w:id="39">
    <w:p>
      <w:pPr>
        <w:pStyle w:val="FootnoteText"/>
        <w:ind w:left="284" w:hanging="284"/>
        <w:contextualSpacing/>
      </w:pPr>
      <w:r>
        <w:rPr>
          <w:rStyle w:val="FootnoteReference"/>
        </w:rPr>
        <w:footnoteRef/>
      </w:r>
      <w:r>
        <w:t xml:space="preserve"> </w:t>
      </w:r>
      <w:r>
        <w:tab/>
        <w:t xml:space="preserve">Conselho da Europa (2018), </w:t>
      </w:r>
      <w:r>
        <w:rPr>
          <w:i/>
          <w:iCs/>
        </w:rPr>
        <w:t>European judicial systems - Efficiency and quality of justice</w:t>
      </w:r>
      <w:r>
        <w:t>, quadro 3.20.</w:t>
      </w:r>
    </w:p>
  </w:footnote>
  <w:footnote w:id="40">
    <w:p>
      <w:pPr>
        <w:pStyle w:val="FootnoteText"/>
        <w:ind w:left="284" w:hanging="284"/>
        <w:contextualSpacing/>
      </w:pPr>
      <w:r>
        <w:rPr>
          <w:rStyle w:val="FootnoteReference"/>
        </w:rPr>
        <w:footnoteRef/>
      </w:r>
      <w:r>
        <w:t xml:space="preserve"> </w:t>
      </w:r>
      <w:r>
        <w:tab/>
        <w:t xml:space="preserve">Segundo a jurisprudência do Tribunal de Justiça, a atribuição aos magistrados de um nível de remuneração adequado à importância das funções que exercem constitui uma garantia essencial para a independência judicial, ver, nomeadamente, o acórdão do Tribunal de Justiça de 27 de fevereiro de 2018, </w:t>
      </w:r>
      <w:r>
        <w:rPr>
          <w:i/>
          <w:iCs/>
        </w:rPr>
        <w:t>Associação Sindical dos Juízes Portugueses</w:t>
      </w:r>
      <w:r>
        <w:t xml:space="preserve">, C-64/16, n.º 27, e o acórdão do Tribunal de Justiça de 7 de fevereiro de 2019, </w:t>
      </w:r>
      <w:r>
        <w:rPr>
          <w:i/>
          <w:iCs/>
        </w:rPr>
        <w:t>Carlos Escribano Vindel</w:t>
      </w:r>
      <w:r>
        <w:t>, C-49/18, n.º 66.</w:t>
      </w:r>
    </w:p>
  </w:footnote>
  <w:footnote w:id="41">
    <w:p>
      <w:pPr>
        <w:pStyle w:val="FootnoteText"/>
        <w:spacing w:after="0"/>
        <w:ind w:left="284" w:hanging="284"/>
        <w:contextualSpacing/>
      </w:pPr>
      <w:r>
        <w:rPr>
          <w:rStyle w:val="FootnoteReference"/>
        </w:rPr>
        <w:footnoteRef/>
      </w:r>
      <w:r>
        <w:t xml:space="preserve"> </w:t>
      </w:r>
      <w:r>
        <w:tab/>
        <w:t>Por exemplo, contributos da Amnistia Internacional da Hungria, da União das Liberdades Cívicas da Hungria e do Comité de Helsínquia da Hungria para o Relatório anual sobre o Estado de direito.</w:t>
      </w:r>
    </w:p>
  </w:footnote>
  <w:footnote w:id="42">
    <w:p>
      <w:pPr>
        <w:spacing w:after="0"/>
        <w:ind w:left="284" w:hanging="284"/>
        <w:contextualSpacing/>
        <w:rPr>
          <w:sz w:val="20"/>
        </w:rPr>
      </w:pPr>
      <w:r>
        <w:rPr>
          <w:rStyle w:val="FootnoteReference"/>
          <w:sz w:val="20"/>
        </w:rPr>
        <w:footnoteRef/>
      </w:r>
      <w:r>
        <w:rPr>
          <w:sz w:val="20"/>
        </w:rPr>
        <w:t xml:space="preserve"> </w:t>
      </w:r>
      <w:r>
        <w:tab/>
      </w:r>
      <w:r>
        <w:rPr>
          <w:sz w:val="20"/>
        </w:rPr>
        <w:t>Para além do vencimento de base e dos subsídios, os juízes podem receber prémios e bónus. O presidente do GJN e os presidentes dos tribunais regionais por ele nomeados dispõem de uma ampla margem de apreciação para atribuir aos juízes tarefas adicionais que proporcionam vários benefícios (artigo 10.º do anexo 2 da Diretiva 5/2013 (VI. 25.) OBH). O regime de prémios pode aumentar significativamente o rendimento de determinados juízes, que podem acumular os prémios correspondentes a várias dessas tarefas. Além disso, é também o presidente do GJN que determina o rácio médio dos bónus atribuídos por via normativa (</w:t>
      </w:r>
      <w:r>
        <w:rPr>
          <w:i/>
          <w:iCs/>
          <w:sz w:val="20"/>
        </w:rPr>
        <w:t>normatív jutalom</w:t>
      </w:r>
      <w:r>
        <w:rPr>
          <w:sz w:val="20"/>
        </w:rPr>
        <w:t>), que são pagos a partir da dotação orçamental não utilizada. O responsável pela entidade orçamental (incluindo o presidente do tribunal regional) pode estabelecer uma distinção entre os funcionários (incluindo juízes que trabalhem num tribunal distrital pertencente a um determinado tribunal regional) (ver artigo 11.º do anexo 2 da Diretiva 5/2013 (VI.25.) OBH). Os presidentes dos tribunais regionais têm poder discricionário para atribuir bónus mais elevados a alguns juízes, diminuindo ou recusando tais bónus a outros juízes.</w:t>
      </w:r>
    </w:p>
  </w:footnote>
  <w:footnote w:id="43">
    <w:p>
      <w:pPr>
        <w:pStyle w:val="FootnoteText"/>
        <w:ind w:left="284" w:hanging="284"/>
        <w:contextualSpacing/>
      </w:pPr>
      <w:r>
        <w:rPr>
          <w:rStyle w:val="FootnoteReference"/>
        </w:rPr>
        <w:footnoteRef/>
      </w:r>
      <w:r>
        <w:t xml:space="preserve"> </w:t>
      </w:r>
      <w:r>
        <w:tab/>
        <w:t>Sobre estes critérios, ver relatório da Comissão de Veneza CDL-AD (2010) 004, n.</w:t>
      </w:r>
      <w:r>
        <w:rPr>
          <w:vertAlign w:val="superscript"/>
        </w:rPr>
        <w:t>os</w:t>
      </w:r>
      <w:r>
        <w:t xml:space="preserve"> 46 e 51; Parecer CDL</w:t>
      </w:r>
      <w:r>
        <w:noBreakHyphen/>
        <w:t>AD(2019) 004 da Comissão de Veneza, n.º 80.</w:t>
      </w:r>
    </w:p>
  </w:footnote>
  <w:footnote w:id="44">
    <w:p>
      <w:pPr>
        <w:pStyle w:val="FootnoteText"/>
        <w:ind w:left="284" w:hanging="284"/>
        <w:contextualSpacing/>
      </w:pPr>
      <w:r>
        <w:rPr>
          <w:rStyle w:val="FootnoteReference"/>
        </w:rPr>
        <w:footnoteRef/>
      </w:r>
      <w:r>
        <w:t xml:space="preserve"> </w:t>
      </w:r>
      <w:r>
        <w:tab/>
        <w:t>Recomendação CM/Rec(2010)12 do Comité de Ministros do Conselho da Europa, n.º 55.</w:t>
      </w:r>
    </w:p>
  </w:footnote>
  <w:footnote w:id="45">
    <w:p>
      <w:pPr>
        <w:pStyle w:val="FootnoteText"/>
        <w:ind w:left="284" w:hanging="284"/>
        <w:contextualSpacing/>
      </w:pPr>
      <w:r>
        <w:rPr>
          <w:rStyle w:val="FootnoteReference"/>
        </w:rPr>
        <w:footnoteRef/>
      </w:r>
      <w:r>
        <w:t xml:space="preserve"> </w:t>
      </w:r>
      <w:r>
        <w:tab/>
        <w:t>Processo C-564/19 – IS, em curso.</w:t>
      </w:r>
    </w:p>
  </w:footnote>
  <w:footnote w:id="46">
    <w:p>
      <w:pPr>
        <w:pStyle w:val="FootnoteText"/>
        <w:ind w:left="284" w:hanging="284"/>
        <w:contextualSpacing/>
      </w:pPr>
      <w:r>
        <w:rPr>
          <w:rStyle w:val="FootnoteReference"/>
        </w:rPr>
        <w:footnoteRef/>
      </w:r>
      <w:r>
        <w:t xml:space="preserve"> </w:t>
      </w:r>
      <w:r>
        <w:tab/>
        <w:t>O procurador-geral é nomeado pelo presidente da República e eleito pelo Parlamento, de entre os procuradores.</w:t>
      </w:r>
    </w:p>
  </w:footnote>
  <w:footnote w:id="47">
    <w:p>
      <w:pPr>
        <w:pStyle w:val="FootnoteText"/>
        <w:ind w:left="284" w:hanging="284"/>
        <w:contextualSpacing/>
      </w:pPr>
      <w:r>
        <w:rPr>
          <w:rStyle w:val="FootnoteReference"/>
        </w:rPr>
        <w:footnoteRef/>
      </w:r>
      <w:r>
        <w:t xml:space="preserve"> </w:t>
      </w:r>
      <w:r>
        <w:tab/>
        <w:t>O procurador-geral pode dar instruções aos procuradores em processos específicos, sem quaisquer salvaguardas (gráfico 55, Painel de Avaliação da Justiça na UE de 2020). O procurador em causa pode solicitar ao procurador-geral que confirme por escrito as instruções dadas em relação a um processo específico. O procurador pode rejeitar explicitamente as instruções, caso constituam uma infração penal ou administrativa ou o coloquem em risco, e se não concordar com essas instruções, o procurador pode pedir a transferência do processo para outro procurador, não podendo esse pedido ser recusado (artigo 53.º da Lei CLXIV de 2011).</w:t>
      </w:r>
    </w:p>
  </w:footnote>
  <w:footnote w:id="48">
    <w:p>
      <w:pPr>
        <w:pStyle w:val="FootnoteText"/>
        <w:ind w:left="284" w:hanging="284"/>
        <w:contextualSpacing/>
      </w:pPr>
      <w:r>
        <w:rPr>
          <w:rStyle w:val="FootnoteReference"/>
        </w:rPr>
        <w:footnoteRef/>
      </w:r>
      <w:r>
        <w:t xml:space="preserve"> </w:t>
      </w:r>
      <w:r>
        <w:tab/>
        <w:t>Lei CLXIII de 2011 relativa ao Ministério Público da Hungria.</w:t>
      </w:r>
    </w:p>
  </w:footnote>
  <w:footnote w:id="49">
    <w:p>
      <w:pPr>
        <w:pStyle w:val="FootnoteText"/>
        <w:ind w:left="284" w:hanging="284"/>
        <w:contextualSpacing/>
      </w:pPr>
      <w:r>
        <w:rPr>
          <w:rStyle w:val="FootnoteReference"/>
        </w:rPr>
        <w:footnoteRef/>
      </w:r>
      <w:r>
        <w:t xml:space="preserve"> </w:t>
      </w:r>
      <w:r>
        <w:tab/>
        <w:t>GRECO, Quarta ronda de avaliação – Relatório de avaliação, n.º 177; GRECO, Quarta ronda de avaliação – Relatório intercalar de conformidade, n.º 20. Uma minoria que bloqueie a eleição de um sucessor no Parlamento pode manter o procurador-geral em funções após o termo do seu mandato.</w:t>
      </w:r>
    </w:p>
  </w:footnote>
  <w:footnote w:id="50">
    <w:p>
      <w:pPr>
        <w:pStyle w:val="FootnoteText"/>
        <w:ind w:left="284" w:hanging="284"/>
        <w:contextualSpacing/>
      </w:pPr>
      <w:r>
        <w:rPr>
          <w:rStyle w:val="FootnoteReference"/>
        </w:rPr>
        <w:footnoteRef/>
      </w:r>
      <w:r>
        <w:t xml:space="preserve"> </w:t>
      </w:r>
      <w:r>
        <w:tab/>
        <w:t>GRECO, Quarta ronda de avaliação – Relatório de avaliação, n.</w:t>
      </w:r>
      <w:r>
        <w:rPr>
          <w:vertAlign w:val="superscript"/>
        </w:rPr>
        <w:t>os</w:t>
      </w:r>
      <w:r>
        <w:t xml:space="preserve"> 190 e 216; GRECO, Quarta ronda de avaliação – Relatório intercalar de conformidade, n.</w:t>
      </w:r>
      <w:r>
        <w:rPr>
          <w:vertAlign w:val="superscript"/>
        </w:rPr>
        <w:t>os</w:t>
      </w:r>
      <w:r>
        <w:t xml:space="preserve"> 24 e 34. O GRECO recomendou (recomendação xvii) que o processo disciplinar relativo aos procuradores «fosse tratado fora da estrutura hierárquica imediata do Ministério Público». Para dar cumprimento às recomendações do GRECO, a partir de janeiro de 2019 uma alteração criou o cargo de comissário disciplinar encarregado da apreciação de alegadas infrações. Não obstante, o procurador superior continua a participar em processos disciplinares. O procurador-geral decide sobre medidas de revogação de uma distinção, à descida de categoria ou grau ou à destituição. O chefe de unidade (procurador superior) pode adotar medidas mais leves (repreensão, admoestação) relativamente a um procurador sob a sua supervisão. As decisões sobre medidas disciplinares são passíveis de recurso perante um tribunal do trabalho (gráfico 53, Painel de Avaliação da Justiça na UE de 2020).</w:t>
      </w:r>
    </w:p>
  </w:footnote>
  <w:footnote w:id="51">
    <w:p>
      <w:pPr>
        <w:pStyle w:val="FootnoteText"/>
        <w:ind w:left="284" w:hanging="284"/>
        <w:contextualSpacing/>
      </w:pPr>
      <w:r>
        <w:rPr>
          <w:rStyle w:val="FootnoteReference"/>
        </w:rPr>
        <w:footnoteRef/>
      </w:r>
      <w:r>
        <w:t xml:space="preserve"> </w:t>
      </w:r>
      <w:r>
        <w:tab/>
        <w:t>De acordo com o segundo relatório intercalar de conformidade do GRECO, no que se refere às recomendações relativas ao Ministério Público, uma recomendação (xvi) continua não a ser aplicada e três recomendações foram apenas parcialmente aplicadas (xiv, xv e xvii). No que se refere à recomendação xiv), as autoridades húngaras reconsideraram a possibilidade de reeleger o Procurador-Geral; O GRECO considerou que a primeira parte da recomendação xiv) tinha sido devidamente tida em conta (GRECO, Quarta ronda de avaliação – Relatório intercalar de conformidade, n.</w:t>
      </w:r>
      <w:r>
        <w:rPr>
          <w:vertAlign w:val="superscript"/>
        </w:rPr>
        <w:t>os</w:t>
      </w:r>
      <w:r>
        <w:t xml:space="preserve"> 19-22). Além disso, a recomendação xv) foi parcialmente aplicada com a introdução de regras que impõem que seja incluída nos autos do processo uma breve justificação da retirada de um processo penal ou administrativo a um procurador (GRECO Quarta ronda de avaliação — Relatório intercalar de conformidade, n.</w:t>
      </w:r>
      <w:r>
        <w:rPr>
          <w:vertAlign w:val="superscript"/>
        </w:rPr>
        <w:t>os</w:t>
      </w:r>
      <w:r>
        <w:t xml:space="preserve"> 23-26). No que se refere à recomendação xvii), ver nota de rodapé 50.</w:t>
      </w:r>
    </w:p>
  </w:footnote>
  <w:footnote w:id="52">
    <w:p>
      <w:pPr>
        <w:pStyle w:val="FootnoteText"/>
        <w:ind w:left="284" w:hanging="284"/>
        <w:contextualSpacing/>
      </w:pPr>
      <w:r>
        <w:rPr>
          <w:rStyle w:val="FootnoteReference"/>
        </w:rPr>
        <w:footnoteRef/>
      </w:r>
      <w:r>
        <w:t xml:space="preserve"> </w:t>
      </w:r>
      <w:r>
        <w:tab/>
        <w:t>Gráfico 27, Painel de Avaliação da Justiça na UE de 2020.</w:t>
      </w:r>
    </w:p>
  </w:footnote>
  <w:footnote w:id="53">
    <w:p>
      <w:pPr>
        <w:pStyle w:val="FootnoteText"/>
        <w:ind w:left="284" w:hanging="284"/>
        <w:contextualSpacing/>
      </w:pPr>
      <w:r>
        <w:rPr>
          <w:rStyle w:val="FootnoteReference"/>
        </w:rPr>
        <w:footnoteRef/>
      </w:r>
      <w:r>
        <w:t xml:space="preserve"> </w:t>
      </w:r>
      <w:r>
        <w:tab/>
        <w:t>Gráfico 28, Painel de Avaliação da Justiça na UE de 2020.</w:t>
      </w:r>
    </w:p>
  </w:footnote>
  <w:footnote w:id="54">
    <w:p>
      <w:pPr>
        <w:pStyle w:val="FootnoteText"/>
        <w:ind w:left="284" w:hanging="284"/>
        <w:contextualSpacing/>
      </w:pPr>
      <w:r>
        <w:rPr>
          <w:rStyle w:val="FootnoteReference"/>
        </w:rPr>
        <w:footnoteRef/>
      </w:r>
      <w:r>
        <w:t xml:space="preserve"> </w:t>
      </w:r>
      <w:r>
        <w:tab/>
        <w:t>Gráfico 29, Painel de Avaliação da Justiça na UE de 2020.</w:t>
      </w:r>
    </w:p>
  </w:footnote>
  <w:footnote w:id="55">
    <w:p>
      <w:pPr>
        <w:pStyle w:val="FootnoteText"/>
        <w:ind w:left="284" w:hanging="284"/>
        <w:contextualSpacing/>
      </w:pPr>
      <w:r>
        <w:rPr>
          <w:rStyle w:val="FootnoteReference"/>
        </w:rPr>
        <w:footnoteRef/>
      </w:r>
      <w:r>
        <w:t xml:space="preserve"> </w:t>
      </w:r>
      <w:r>
        <w:tab/>
        <w:t>Gráfico 30, Painel de Avaliação da Justiça na UE de 2020.</w:t>
      </w:r>
    </w:p>
  </w:footnote>
  <w:footnote w:id="56">
    <w:p>
      <w:pPr>
        <w:pStyle w:val="FootnoteText"/>
        <w:ind w:left="284" w:hanging="284"/>
        <w:contextualSpacing/>
      </w:pPr>
      <w:r>
        <w:rPr>
          <w:rStyle w:val="FootnoteReference"/>
        </w:rPr>
        <w:footnoteRef/>
      </w:r>
      <w:r>
        <w:t xml:space="preserve"> </w:t>
      </w:r>
      <w:r>
        <w:tab/>
        <w:t>Gráfico 25, Painel de Avaliação da Justiça na UE de 2020.</w:t>
      </w:r>
    </w:p>
  </w:footnote>
  <w:footnote w:id="57">
    <w:p>
      <w:pPr>
        <w:pStyle w:val="FootnoteText"/>
        <w:ind w:left="284" w:hanging="284"/>
        <w:contextualSpacing/>
      </w:pPr>
      <w:r>
        <w:rPr>
          <w:rStyle w:val="FootnoteReference"/>
        </w:rPr>
        <w:footnoteRef/>
      </w:r>
      <w:r>
        <w:t xml:space="preserve"> </w:t>
      </w:r>
      <w:r>
        <w:tab/>
        <w:t>Uma pessoa com rendimentos equivalentes a metade do limiar de pobreza pode não ser elegível para o apoio judiciário. Gráfico 23, Painel de Avaliação da Justiça na UE de 2020.</w:t>
      </w:r>
    </w:p>
  </w:footnote>
  <w:footnote w:id="58">
    <w:p>
      <w:pPr>
        <w:pStyle w:val="FootnoteText"/>
        <w:ind w:left="284" w:hanging="284"/>
        <w:contextualSpacing/>
      </w:pPr>
      <w:r>
        <w:rPr>
          <w:rStyle w:val="FootnoteReference"/>
        </w:rPr>
        <w:footnoteRef/>
      </w:r>
      <w:r>
        <w:t xml:space="preserve"> </w:t>
      </w:r>
      <w:r>
        <w:tab/>
        <w:t>Decreto Governamental n.º 45/2020, de 14 de março de 2020.</w:t>
      </w:r>
    </w:p>
  </w:footnote>
  <w:footnote w:id="59">
    <w:p>
      <w:pPr>
        <w:pStyle w:val="FootnoteText"/>
        <w:ind w:left="284" w:hanging="284"/>
        <w:contextualSpacing/>
      </w:pPr>
      <w:r>
        <w:rPr>
          <w:rStyle w:val="FootnoteReference"/>
        </w:rPr>
        <w:footnoteRef/>
      </w:r>
      <w:r>
        <w:t xml:space="preserve"> </w:t>
      </w:r>
      <w:r>
        <w:tab/>
        <w:t>Em conformidade com o artigo 53.º, n.º 3, da Lei Fundamental.</w:t>
      </w:r>
    </w:p>
  </w:footnote>
  <w:footnote w:id="60">
    <w:p>
      <w:pPr>
        <w:pStyle w:val="FootnoteText"/>
        <w:ind w:left="284" w:hanging="284"/>
        <w:contextualSpacing/>
      </w:pPr>
      <w:r>
        <w:rPr>
          <w:rStyle w:val="FootnoteReference"/>
        </w:rPr>
        <w:footnoteRef/>
      </w:r>
      <w:r>
        <w:t xml:space="preserve"> </w:t>
      </w:r>
      <w:r>
        <w:tab/>
        <w:t>Decreto Governamental n.º 74/2020, de 31 de março de 2020. Este decreto deixou de produzir efeitos em 18 de junho de 2020, em conformidade com o artigo 53.º, n.º 4, da Lei Fundamental.</w:t>
      </w:r>
    </w:p>
  </w:footnote>
  <w:footnote w:id="61">
    <w:p>
      <w:pPr>
        <w:pStyle w:val="FootnoteText"/>
        <w:ind w:left="284" w:hanging="284"/>
        <w:contextualSpacing/>
      </w:pPr>
      <w:r>
        <w:rPr>
          <w:rStyle w:val="FootnoteReference"/>
        </w:rPr>
        <w:footnoteRef/>
      </w:r>
      <w:r>
        <w:t xml:space="preserve"> </w:t>
      </w:r>
      <w:r>
        <w:tab/>
        <w:t>Gráficos 8 e 15, Painel de Avaliação da Justiça na UE de 2020.</w:t>
      </w:r>
    </w:p>
  </w:footnote>
  <w:footnote w:id="62">
    <w:p>
      <w:pPr>
        <w:pStyle w:val="FootnoteText"/>
        <w:ind w:left="284" w:hanging="284"/>
        <w:contextualSpacing/>
      </w:pPr>
      <w:r>
        <w:rPr>
          <w:rStyle w:val="FootnoteReference"/>
        </w:rPr>
        <w:footnoteRef/>
      </w:r>
      <w:r>
        <w:t xml:space="preserve"> </w:t>
      </w:r>
      <w:r>
        <w:tab/>
        <w:t>Gráfico 7, Painel de Avaliação da Justiça na UE de 2020.</w:t>
      </w:r>
    </w:p>
  </w:footnote>
  <w:footnote w:id="63">
    <w:p>
      <w:pPr>
        <w:pStyle w:val="FootnoteText"/>
        <w:ind w:left="284" w:hanging="284"/>
        <w:contextualSpacing/>
      </w:pPr>
      <w:r>
        <w:rPr>
          <w:rStyle w:val="FootnoteReference"/>
        </w:rPr>
        <w:footnoteRef/>
      </w:r>
      <w:r>
        <w:t xml:space="preserve"> </w:t>
      </w:r>
      <w:r>
        <w:tab/>
        <w:t>Lei CXXX de 2016. Espera-se que acelere os processos cíveis graças à introdução de um processo em duas fases nos tribunais de primeira instância, a saber, uma fase de julgamento precedida por uma fase preparatória destinada a determinar o âmbito do processo e a estabelecer as reivindicações das partes.</w:t>
      </w:r>
    </w:p>
  </w:footnote>
  <w:footnote w:id="64">
    <w:p>
      <w:pPr>
        <w:pStyle w:val="FootnoteText"/>
        <w:ind w:left="284" w:hanging="284"/>
        <w:contextualSpacing/>
      </w:pPr>
      <w:r>
        <w:rPr>
          <w:rStyle w:val="FootnoteReference"/>
        </w:rPr>
        <w:footnoteRef/>
      </w:r>
      <w:r>
        <w:t xml:space="preserve"> </w:t>
      </w:r>
      <w:r>
        <w:tab/>
        <w:t>Lei I de 2017. As disposições mais importantes que se espera que contribuam para a conclusão atempada dos processos administrativos são as relativas às decisões por omissão nos casos em que as autoridades administrativas não respeitem os prazos para as suas decisões.</w:t>
      </w:r>
    </w:p>
  </w:footnote>
  <w:footnote w:id="65">
    <w:p>
      <w:pPr>
        <w:pStyle w:val="FootnoteText"/>
        <w:ind w:left="284" w:hanging="284"/>
        <w:contextualSpacing/>
      </w:pPr>
      <w:r>
        <w:rPr>
          <w:rStyle w:val="FootnoteReference"/>
        </w:rPr>
        <w:footnoteRef/>
      </w:r>
      <w:r>
        <w:t xml:space="preserve"> </w:t>
      </w:r>
      <w:r>
        <w:tab/>
        <w:t>Lei XC de 2017. Na fase de julgamento, é realizada uma audiência preparatória para determinar o âmbito do processo e, a fim de evitar manobras dilatórias, após esta audiência só em circunstâncias excecionais podem ser apresentados novos pedidos de obtenção de provas.</w:t>
      </w:r>
    </w:p>
  </w:footnote>
  <w:footnote w:id="66">
    <w:p>
      <w:pPr>
        <w:pStyle w:val="FootnoteText"/>
        <w:ind w:left="284" w:hanging="284"/>
        <w:contextualSpacing/>
      </w:pPr>
      <w:r>
        <w:rPr>
          <w:rStyle w:val="FootnoteReference"/>
        </w:rPr>
        <w:footnoteRef/>
      </w:r>
      <w:r>
        <w:t xml:space="preserve"> </w:t>
      </w:r>
      <w:r>
        <w:tab/>
        <w:t>Contributo da Hungria para o Relatório de 2020 sobre o Estado de direito.</w:t>
      </w:r>
    </w:p>
  </w:footnote>
  <w:footnote w:id="67">
    <w:p>
      <w:pPr>
        <w:pStyle w:val="FootnoteText"/>
        <w:ind w:left="284" w:hanging="284"/>
        <w:contextualSpacing/>
      </w:pPr>
      <w:r>
        <w:rPr>
          <w:rStyle w:val="FootnoteReference"/>
        </w:rPr>
        <w:footnoteRef/>
      </w:r>
      <w:r>
        <w:t xml:space="preserve"> </w:t>
      </w:r>
      <w:r>
        <w:tab/>
        <w:t>Em outubro de 2018, o Governo apresentou o projeto de lei do Parlamento T/2923. Em setembro de 2020, o Comité de Ministros do Conselho da Europa adotou uma terceira resolução intercalar «</w:t>
      </w:r>
      <w:r>
        <w:rPr>
          <w:i/>
        </w:rPr>
        <w:t>assinalando com profunda deceção que, não obstante os compromissos por si próprias assumidos e as recomendações do Comité já expressas em duas resoluções intercalares e várias decisões, a última das quais em março de 2020, as autoridades não apresentaram qualquer tipo de informação que permita ao Comité considerar que foram realizados progressos</w:t>
      </w:r>
      <w:r>
        <w:t>»</w:t>
      </w:r>
      <w:r>
        <w:rPr>
          <w:rStyle w:val="textcolumn"/>
        </w:rPr>
        <w:t>. Ver Resolução intercalar CM/ResDH(2020) 180.</w:t>
      </w:r>
    </w:p>
  </w:footnote>
  <w:footnote w:id="68">
    <w:p>
      <w:pPr>
        <w:pStyle w:val="FootnoteText"/>
        <w:ind w:left="284" w:hanging="284"/>
        <w:contextualSpacing/>
      </w:pPr>
      <w:r>
        <w:rPr>
          <w:rStyle w:val="FootnoteReference"/>
        </w:rPr>
        <w:footnoteRef/>
      </w:r>
      <w:r>
        <w:t xml:space="preserve"> </w:t>
      </w:r>
      <w:r>
        <w:tab/>
        <w:t>Transparência Internacional (2019), Índice de Perceção da Corrupção.</w:t>
      </w:r>
    </w:p>
  </w:footnote>
  <w:footnote w:id="69">
    <w:p>
      <w:pPr>
        <w:pStyle w:val="FootnoteText"/>
        <w:ind w:left="284" w:hanging="284"/>
        <w:contextualSpacing/>
      </w:pPr>
      <w:r>
        <w:rPr>
          <w:rStyle w:val="FootnoteReference"/>
        </w:rPr>
        <w:footnoteRef/>
      </w:r>
      <w:r>
        <w:t xml:space="preserve"> </w:t>
      </w:r>
      <w:r>
        <w:tab/>
        <w:t>Eurobarómetro especial n.º 502 (2020).</w:t>
      </w:r>
    </w:p>
  </w:footnote>
  <w:footnote w:id="70">
    <w:p>
      <w:pPr>
        <w:pStyle w:val="FootnoteText"/>
        <w:ind w:left="284" w:hanging="284"/>
        <w:contextualSpacing/>
      </w:pPr>
      <w:r>
        <w:rPr>
          <w:rStyle w:val="FootnoteReference"/>
        </w:rPr>
        <w:footnoteRef/>
      </w:r>
      <w:r>
        <w:t xml:space="preserve"> </w:t>
      </w:r>
      <w:r>
        <w:tab/>
        <w:t>Eurobarómetro Flash n.º 482 (2019).</w:t>
      </w:r>
    </w:p>
  </w:footnote>
  <w:footnote w:id="71">
    <w:p>
      <w:pPr>
        <w:pStyle w:val="FootnoteText"/>
        <w:ind w:left="284" w:hanging="284"/>
        <w:contextualSpacing/>
      </w:pPr>
      <w:r>
        <w:rPr>
          <w:rStyle w:val="FootnoteReference"/>
        </w:rPr>
        <w:footnoteRef/>
      </w:r>
      <w:r>
        <w:t xml:space="preserve"> </w:t>
      </w:r>
      <w:r>
        <w:tab/>
        <w:t>OCDE (2019).</w:t>
      </w:r>
    </w:p>
  </w:footnote>
  <w:footnote w:id="72">
    <w:p>
      <w:pPr>
        <w:pStyle w:val="FootnoteText"/>
        <w:ind w:left="284" w:hanging="284"/>
        <w:contextualSpacing/>
      </w:pPr>
      <w:r>
        <w:rPr>
          <w:rStyle w:val="FootnoteReference"/>
        </w:rPr>
        <w:footnoteRef/>
      </w:r>
      <w:r>
        <w:t xml:space="preserve"> </w:t>
      </w:r>
      <w:r>
        <w:tab/>
        <w:t>Procuradoria-Geral (2019).</w:t>
      </w:r>
    </w:p>
  </w:footnote>
  <w:footnote w:id="73">
    <w:p>
      <w:pPr>
        <w:pStyle w:val="FootnoteText"/>
        <w:ind w:left="284" w:hanging="284"/>
        <w:contextualSpacing/>
      </w:pPr>
      <w:r>
        <w:rPr>
          <w:rStyle w:val="FootnoteReference"/>
        </w:rPr>
        <w:footnoteRef/>
      </w:r>
      <w:r>
        <w:t xml:space="preserve"> </w:t>
      </w:r>
      <w:r>
        <w:tab/>
        <w:t>Comissão Europeia, Relatório de 2020 relativo à Hungria, SWD(2020) 516 final, pp. 45-46.</w:t>
      </w:r>
    </w:p>
  </w:footnote>
  <w:footnote w:id="74">
    <w:p>
      <w:pPr>
        <w:pStyle w:val="FootnoteText"/>
        <w:ind w:left="284" w:hanging="284"/>
        <w:contextualSpacing/>
      </w:pPr>
      <w:r>
        <w:rPr>
          <w:rStyle w:val="FootnoteReference"/>
        </w:rPr>
        <w:footnoteRef/>
      </w:r>
      <w:r>
        <w:t xml:space="preserve"> </w:t>
      </w:r>
      <w:r>
        <w:tab/>
        <w:t>Recomendação do Conselho, de 9 de julho de 2019, relativa ao Programa Nacional de Reformas da Hungria para 2019 e que emite um parecer do Conselho sobre o Programa de Convergência da Hungria para 2019, considerando 16; Comissão Europeia (2019), Relatório relativo à Hungria, SWD(2019) 1016 final, p. 44.</w:t>
      </w:r>
    </w:p>
  </w:footnote>
  <w:footnote w:id="75">
    <w:p>
      <w:pPr>
        <w:pStyle w:val="FootnoteText"/>
        <w:ind w:left="284" w:hanging="284"/>
        <w:contextualSpacing/>
      </w:pPr>
      <w:r>
        <w:rPr>
          <w:rStyle w:val="FootnoteReference"/>
        </w:rPr>
        <w:footnoteRef/>
      </w:r>
      <w:r>
        <w:t xml:space="preserve"> </w:t>
      </w:r>
      <w:r>
        <w:tab/>
        <w:t>Decisão 1328/2020 do Governo, de 19 de junho de 2020, relativa à estratégia nacional de combate à corrupção e ao plano de ação para 2020-2022 que a acompanha.</w:t>
      </w:r>
    </w:p>
  </w:footnote>
  <w:footnote w:id="76">
    <w:p>
      <w:pPr>
        <w:spacing w:after="0"/>
        <w:ind w:left="284" w:hanging="284"/>
        <w:contextualSpacing/>
        <w:rPr>
          <w:sz w:val="20"/>
        </w:rPr>
      </w:pPr>
      <w:r>
        <w:rPr>
          <w:rStyle w:val="FootnoteReference"/>
          <w:sz w:val="20"/>
        </w:rPr>
        <w:footnoteRef/>
      </w:r>
      <w:r>
        <w:rPr>
          <w:sz w:val="20"/>
        </w:rPr>
        <w:t xml:space="preserve"> </w:t>
      </w:r>
      <w:r>
        <w:tab/>
      </w:r>
      <w:r>
        <w:rPr>
          <w:sz w:val="20"/>
        </w:rPr>
        <w:t>Em resultado dos sistemas de controlo da integridade introduzidos por decreto governamental em 2013, todas as instituições públicas têm de designar esse conselheiro. Foi criado um programa universitário específico com a Universidade Nacional da Administração Pública (</w:t>
      </w:r>
      <w:r>
        <w:rPr>
          <w:iCs/>
          <w:sz w:val="20"/>
        </w:rPr>
        <w:t>NKE</w:t>
      </w:r>
      <w:r>
        <w:rPr>
          <w:sz w:val="20"/>
        </w:rPr>
        <w:t>) que proporciona formação e qualificações aos futuros conselheiros para a integridade.</w:t>
      </w:r>
    </w:p>
  </w:footnote>
  <w:footnote w:id="77">
    <w:p>
      <w:pPr>
        <w:pStyle w:val="FootnoteText"/>
        <w:ind w:left="284" w:hanging="284"/>
        <w:contextualSpacing/>
      </w:pPr>
      <w:r>
        <w:rPr>
          <w:rStyle w:val="FootnoteReference"/>
        </w:rPr>
        <w:footnoteRef/>
      </w:r>
      <w:r>
        <w:t xml:space="preserve"> </w:t>
      </w:r>
      <w:r>
        <w:tab/>
        <w:t>As recomendações financeiras são dirigidas pelo OLAF às instituições da UE ou às autoridades nacionais que fornecem ou gerem fundos da UE a fim de recuperar os fundos da UE objeto de fraude para o orçamento da UE. As recomendações financeiras do OLAF nos dois principais domínios de gestão partilhada (Fundos Europeus Estruturais e de Investimento e Agricultura) de 2015-2019 ascenderam a 3,93 % dos pagamentos totais à Hungria nesse período (o mais elevado de qualquer Estado-Membro, tendo a média da UE-27 sido de 0,36 %). O impacto financeiro das irregularidades detetadas pela própria Hungria foi de 1,41 % (relatório do OLAF de 2019, quadro 6). A taxa de acusação baseada nas recomendações do OLAF é de 47 % na Hungria, o que é superior à média da UE (Relatório do OLAF de 2019, quadro 7).</w:t>
      </w:r>
    </w:p>
  </w:footnote>
  <w:footnote w:id="78">
    <w:p>
      <w:pPr>
        <w:spacing w:after="0"/>
        <w:ind w:left="284" w:hanging="284"/>
        <w:contextualSpacing/>
        <w:rPr>
          <w:sz w:val="20"/>
        </w:rPr>
      </w:pPr>
      <w:r>
        <w:rPr>
          <w:rStyle w:val="FootnoteReference"/>
          <w:sz w:val="20"/>
        </w:rPr>
        <w:footnoteRef/>
      </w:r>
      <w:r>
        <w:rPr>
          <w:sz w:val="20"/>
        </w:rPr>
        <w:t xml:space="preserve"> </w:t>
      </w:r>
      <w:r>
        <w:tab/>
      </w:r>
      <w:r>
        <w:rPr>
          <w:sz w:val="20"/>
        </w:rPr>
        <w:t>Lei XLIII de 2010 relativa aos órgãos do Governo central e ao estatuto dos membros do Governo e dos secretários de Estado.</w:t>
      </w:r>
    </w:p>
  </w:footnote>
  <w:footnote w:id="79">
    <w:p>
      <w:pPr>
        <w:pStyle w:val="FootnoteText"/>
        <w:ind w:left="284" w:hanging="284"/>
        <w:contextualSpacing/>
      </w:pPr>
      <w:r>
        <w:rPr>
          <w:rStyle w:val="FootnoteReference"/>
        </w:rPr>
        <w:footnoteRef/>
      </w:r>
      <w:r>
        <w:t xml:space="preserve"> </w:t>
      </w:r>
      <w:r>
        <w:tab/>
        <w:t>GRECO, Quarta ronda de avaliação – Relatório de avaliação. Em dezembro de 2019, o Parlamento alterou a Lei XXXVI de 2012 que rege o funcionamento do Parlamento e o estatuto dos seus membros, a partir de 1 de fevereiro de 2020, com o objetivo de aplicar as recomendações do GRECO (ver contributo da Hungria para o Relatório anual sobre o Estado de direito).</w:t>
      </w:r>
    </w:p>
  </w:footnote>
  <w:footnote w:id="80">
    <w:p>
      <w:pPr>
        <w:pStyle w:val="FootnoteText"/>
        <w:ind w:left="284" w:hanging="284"/>
        <w:contextualSpacing/>
      </w:pPr>
      <w:r>
        <w:rPr>
          <w:rStyle w:val="FootnoteReference"/>
        </w:rPr>
        <w:footnoteRef/>
      </w:r>
      <w:r>
        <w:t xml:space="preserve"> </w:t>
      </w:r>
      <w:r>
        <w:tab/>
        <w:t>Decreto Governamental n.º 50/2013, de 25 de fevereiro de 2013.</w:t>
      </w:r>
    </w:p>
  </w:footnote>
  <w:footnote w:id="81">
    <w:p>
      <w:pPr>
        <w:pStyle w:val="FootnoteText"/>
        <w:ind w:left="284" w:hanging="284"/>
        <w:contextualSpacing/>
      </w:pPr>
      <w:r>
        <w:rPr>
          <w:rStyle w:val="FootnoteReference"/>
        </w:rPr>
        <w:footnoteRef/>
      </w:r>
      <w:r>
        <w:t xml:space="preserve"> </w:t>
      </w:r>
      <w:r>
        <w:tab/>
        <w:t>GRECO, Quarta ronda de avaliação – Relatório intercalar de conformidade, n.º 39.</w:t>
      </w:r>
    </w:p>
  </w:footnote>
  <w:footnote w:id="82">
    <w:p>
      <w:pPr>
        <w:pStyle w:val="FootnoteText"/>
        <w:ind w:left="284" w:hanging="284"/>
        <w:contextualSpacing/>
      </w:pPr>
      <w:r>
        <w:rPr>
          <w:rStyle w:val="FootnoteReference"/>
        </w:rPr>
        <w:footnoteRef/>
      </w:r>
      <w:r>
        <w:t xml:space="preserve"> </w:t>
      </w:r>
      <w:r>
        <w:tab/>
        <w:t>Ver artigo 8.º, n.º 4, da Lei I de 2012.</w:t>
      </w:r>
    </w:p>
  </w:footnote>
  <w:footnote w:id="83">
    <w:p>
      <w:pPr>
        <w:pStyle w:val="FootnoteText"/>
        <w:ind w:left="284" w:hanging="284"/>
        <w:contextualSpacing/>
      </w:pPr>
      <w:r>
        <w:rPr>
          <w:rStyle w:val="FootnoteReference"/>
        </w:rPr>
        <w:footnoteRef/>
      </w:r>
      <w:r>
        <w:t xml:space="preserve"> </w:t>
      </w:r>
      <w:r>
        <w:tab/>
        <w:t>Artigo 93.º, n.º 1, alínea g), da Lei CXXV de 2018.</w:t>
      </w:r>
    </w:p>
  </w:footnote>
  <w:footnote w:id="84">
    <w:p>
      <w:pPr>
        <w:pStyle w:val="FootnoteText"/>
        <w:ind w:left="284" w:hanging="284"/>
        <w:contextualSpacing/>
      </w:pPr>
      <w:r>
        <w:rPr>
          <w:rStyle w:val="FootnoteReference"/>
        </w:rPr>
        <w:footnoteRef/>
      </w:r>
      <w:r>
        <w:t xml:space="preserve"> </w:t>
      </w:r>
      <w:r>
        <w:tab/>
        <w:t>O artigo 117.º, n.º 1, da Lei CXXV de 2018 prevê que o Governo deve determinar os setores e posições em que um funcionário governamental não pode ser contratado após a cessação do seu serviço público. Esta disposição ainda não está a ser aplicada.</w:t>
      </w:r>
    </w:p>
  </w:footnote>
  <w:footnote w:id="85">
    <w:p>
      <w:pPr>
        <w:pStyle w:val="FootnoteText"/>
        <w:ind w:left="284" w:hanging="284"/>
        <w:contextualSpacing/>
      </w:pPr>
      <w:r>
        <w:rPr>
          <w:rStyle w:val="FootnoteReference"/>
        </w:rPr>
        <w:footnoteRef/>
      </w:r>
      <w:r>
        <w:t xml:space="preserve"> </w:t>
      </w:r>
      <w:r>
        <w:tab/>
        <w:t>Lei CLXV de 2013.</w:t>
      </w:r>
    </w:p>
  </w:footnote>
  <w:footnote w:id="86">
    <w:p>
      <w:pPr>
        <w:pStyle w:val="FootnoteText"/>
        <w:ind w:left="284" w:hanging="284"/>
        <w:contextualSpacing/>
      </w:pPr>
      <w:r>
        <w:rPr>
          <w:rStyle w:val="FootnoteReference"/>
        </w:rPr>
        <w:footnoteRef/>
      </w:r>
      <w:r>
        <w:t xml:space="preserve"> </w:t>
      </w:r>
      <w:r>
        <w:tab/>
        <w:t>GRECO, Terceira ronda de avaliação, segunda adenda ao segundo relatório de conformidade, n.º 24.</w:t>
      </w:r>
    </w:p>
  </w:footnote>
  <w:footnote w:id="87">
    <w:p>
      <w:pPr>
        <w:pStyle w:val="FootnoteText"/>
        <w:ind w:left="284" w:hanging="284"/>
        <w:contextualSpacing/>
      </w:pPr>
      <w:r>
        <w:rPr>
          <w:rStyle w:val="FootnoteReference"/>
        </w:rPr>
        <w:footnoteRef/>
      </w:r>
      <w:r>
        <w:t xml:space="preserve"> </w:t>
      </w:r>
      <w:r>
        <w:tab/>
        <w:t>Entre 2019 e 2020, a Hungria desceu duas posições na Classificação Mundial da Liberdade de Imprensa da Repórteres Sem Fronteiras, figurando agora na 89.ª posição a nível mundial.</w:t>
      </w:r>
    </w:p>
  </w:footnote>
  <w:footnote w:id="88">
    <w:p>
      <w:pPr>
        <w:pStyle w:val="FootnoteText"/>
        <w:ind w:left="284" w:hanging="284"/>
        <w:contextualSpacing/>
      </w:pPr>
      <w:r>
        <w:rPr>
          <w:rStyle w:val="FootnoteReference"/>
        </w:rPr>
        <w:footnoteRef/>
      </w:r>
      <w:r>
        <w:t xml:space="preserve"> </w:t>
      </w:r>
      <w:r>
        <w:tab/>
        <w:t xml:space="preserve">O artigo IX, n.º 2, da Lei Fundamental estabelece que </w:t>
      </w:r>
      <w:r>
        <w:rPr>
          <w:i/>
        </w:rPr>
        <w:t>«a Hungria reconhece e protege a liberdade e a diversidade da imprensa e garante as condições para a livre divulgação das informações necessárias à formação de uma opinião pública democrática</w:t>
      </w:r>
      <w:r>
        <w:t>».</w:t>
      </w:r>
    </w:p>
  </w:footnote>
  <w:footnote w:id="89">
    <w:p>
      <w:pPr>
        <w:pStyle w:val="FootnoteText"/>
        <w:ind w:left="284" w:hanging="284"/>
        <w:contextualSpacing/>
      </w:pPr>
      <w:r>
        <w:rPr>
          <w:rStyle w:val="FootnoteReference"/>
        </w:rPr>
        <w:footnoteRef/>
      </w:r>
      <w:r>
        <w:t xml:space="preserve"> </w:t>
      </w:r>
      <w:r>
        <w:tab/>
        <w:t>Lei CLXXXV de 2010 relativa aos serviços de comunicação social e aos meios de comunicação.</w:t>
      </w:r>
    </w:p>
  </w:footnote>
  <w:footnote w:id="90">
    <w:p>
      <w:pPr>
        <w:pStyle w:val="FootnoteText"/>
        <w:ind w:left="284" w:hanging="284"/>
        <w:contextualSpacing/>
      </w:pPr>
      <w:r>
        <w:rPr>
          <w:rStyle w:val="FootnoteReference"/>
        </w:rPr>
        <w:footnoteRef/>
      </w:r>
      <w:r>
        <w:t xml:space="preserve"> </w:t>
      </w:r>
      <w:r>
        <w:tab/>
        <w:t>Lei CIV de 2010 relativa à liberdade de imprensa.</w:t>
      </w:r>
    </w:p>
  </w:footnote>
  <w:footnote w:id="91">
    <w:p>
      <w:pPr>
        <w:pStyle w:val="FootnoteText"/>
        <w:ind w:left="284" w:hanging="284"/>
        <w:contextualSpacing/>
      </w:pPr>
      <w:r>
        <w:rPr>
          <w:rStyle w:val="FootnoteReference"/>
        </w:rPr>
        <w:footnoteRef/>
      </w:r>
      <w:r>
        <w:t xml:space="preserve"> </w:t>
      </w:r>
      <w:r>
        <w:tab/>
        <w:t>Lei CXII de 2011 sobre o direito à autodeterminação da informação e à liberdade de informação.</w:t>
      </w:r>
    </w:p>
  </w:footnote>
  <w:footnote w:id="92">
    <w:p>
      <w:pPr>
        <w:pStyle w:val="FootnoteText"/>
        <w:ind w:left="284" w:hanging="284"/>
        <w:contextualSpacing/>
      </w:pPr>
      <w:r>
        <w:rPr>
          <w:rStyle w:val="FootnoteReference"/>
        </w:rPr>
        <w:footnoteRef/>
      </w:r>
      <w:r>
        <w:t xml:space="preserve"> </w:t>
      </w:r>
      <w:r>
        <w:tab/>
        <w:t>A Lei da Comunicação Social estabelece claramente os objetivos da Autoridade, definindo-a como «</w:t>
      </w:r>
      <w:r>
        <w:rPr>
          <w:i/>
          <w:iCs/>
        </w:rPr>
        <w:t>uma agência reguladora autónoma subordinada apenas à lei</w:t>
      </w:r>
      <w:r>
        <w:t>» (artigo 109.º) e que o Conselho da Comunicação Social é «</w:t>
      </w:r>
      <w:r>
        <w:rPr>
          <w:i/>
          <w:iCs/>
        </w:rPr>
        <w:t>um órgão independente do Órgão de Fiscalização que responde perante o Parlamento apenas sujeito ao direito húngaro</w:t>
      </w:r>
      <w:r>
        <w:t>» (artigo 123.º).</w:t>
      </w:r>
    </w:p>
  </w:footnote>
  <w:footnote w:id="93">
    <w:p>
      <w:pPr>
        <w:pStyle w:val="FootnoteText"/>
        <w:ind w:left="284" w:hanging="284"/>
        <w:contextualSpacing/>
      </w:pPr>
      <w:r>
        <w:rPr>
          <w:rStyle w:val="FootnoteReference"/>
        </w:rPr>
        <w:footnoteRef/>
      </w:r>
      <w:r>
        <w:t xml:space="preserve"> </w:t>
      </w:r>
      <w:r>
        <w:tab/>
        <w:t>O presidente do Conselho da Comunicação Social ocupa simultaneamente o cargo de presidente da Autoridade para a Comunicação Social.</w:t>
      </w:r>
    </w:p>
  </w:footnote>
  <w:footnote w:id="94">
    <w:p>
      <w:pPr>
        <w:pStyle w:val="FootnoteText"/>
        <w:ind w:left="284" w:hanging="284"/>
        <w:contextualSpacing/>
      </w:pPr>
      <w:r>
        <w:rPr>
          <w:rStyle w:val="FootnoteReference"/>
        </w:rPr>
        <w:footnoteRef/>
      </w:r>
      <w:r>
        <w:t xml:space="preserve"> </w:t>
      </w:r>
      <w:r>
        <w:tab/>
        <w:t xml:space="preserve">Na sequência das recomendações da Comissão de Veneza (Parecer CDL-AD (2015)015), as disposições da Lei da Comunicação Social sobre a nomeação e demissão do presidente e dos membros do Conselho da Comunicação Social foram alteradas em conformidade. O artigo 124.º da Lei da Comunicação Social requer uma decisão unânime da comissão parlamentar </w:t>
      </w:r>
      <w:r>
        <w:rPr>
          <w:i/>
        </w:rPr>
        <w:t>ad hoc</w:t>
      </w:r>
      <w:r>
        <w:t xml:space="preserve"> responsável pela nomeação de candidatos. (O presidente da Autoridade para a Comunicação Social é candidato por inerência de funções.) A comissão de nomeação é composta por um membro de cada grupo político; a ponderação dos respetivos votos reflete a dimensão do grupo político que representam. Se a comissão de nomeação não conseguir apresentar quatro candidatos no prazo estabelecido, está autorizada a nomear candidatos com, pelo menos, dois terços dos votos ponderados.</w:t>
      </w:r>
    </w:p>
  </w:footnote>
  <w:footnote w:id="95">
    <w:p>
      <w:pPr>
        <w:pStyle w:val="FootnoteText"/>
        <w:ind w:left="284" w:hanging="284"/>
        <w:contextualSpacing/>
      </w:pPr>
      <w:r>
        <w:rPr>
          <w:rStyle w:val="FootnoteReference"/>
        </w:rPr>
        <w:footnoteRef/>
      </w:r>
      <w:r>
        <w:t xml:space="preserve"> </w:t>
      </w:r>
      <w:r>
        <w:tab/>
        <w:t>Decreto Governamental n.º 229/2018 de 5 de dezembro de 2018.</w:t>
      </w:r>
    </w:p>
  </w:footnote>
  <w:footnote w:id="96">
    <w:p>
      <w:pPr>
        <w:pStyle w:val="FootnoteText"/>
        <w:ind w:left="284" w:hanging="284"/>
        <w:contextualSpacing/>
      </w:pPr>
      <w:r>
        <w:rPr>
          <w:rStyle w:val="FootnoteReference"/>
        </w:rPr>
        <w:footnoteRef/>
      </w:r>
      <w:r>
        <w:t xml:space="preserve"> </w:t>
      </w:r>
      <w:r>
        <w:tab/>
        <w:t xml:space="preserve"> Fundação para a Imprensa e Meios de Comunicação Social da Europa Central.</w:t>
      </w:r>
    </w:p>
  </w:footnote>
  <w:footnote w:id="97">
    <w:p>
      <w:pPr>
        <w:pStyle w:val="FootnoteText"/>
        <w:ind w:left="284" w:hanging="284"/>
        <w:contextualSpacing/>
      </w:pPr>
      <w:r>
        <w:rPr>
          <w:rStyle w:val="FootnoteReference"/>
        </w:rPr>
        <w:footnoteRef/>
      </w:r>
      <w:r>
        <w:t xml:space="preserve"> </w:t>
      </w:r>
      <w:r>
        <w:tab/>
        <w:t>Por acórdão de 29 de janeiro de 2020, o Tribunal Regional de Budapeste decidiu que a aprovação da concentração era ilegal devido ao facto de a Autoridade da Concorrência não ter realizado qualquer controlo substantivo da concentração e ordenou-lhe que procedesse a esse controlo.</w:t>
      </w:r>
    </w:p>
  </w:footnote>
  <w:footnote w:id="98">
    <w:p>
      <w:pPr>
        <w:pStyle w:val="FootnoteText"/>
        <w:ind w:left="284" w:hanging="284"/>
        <w:contextualSpacing/>
      </w:pPr>
      <w:r>
        <w:rPr>
          <w:rStyle w:val="FootnoteReference"/>
        </w:rPr>
        <w:footnoteRef/>
      </w:r>
      <w:r>
        <w:t xml:space="preserve"> </w:t>
      </w:r>
      <w:r>
        <w:tab/>
        <w:t>Em conformidade com o artigo 24.º-A da Lei LVII de 1996 relativa à proibição das práticas comerciais desleais e restritivas.</w:t>
      </w:r>
    </w:p>
  </w:footnote>
  <w:footnote w:id="99">
    <w:p>
      <w:pPr>
        <w:pStyle w:val="FootnoteText"/>
        <w:ind w:left="284" w:hanging="284"/>
        <w:contextualSpacing/>
      </w:pPr>
      <w:r>
        <w:rPr>
          <w:rStyle w:val="FootnoteReference"/>
        </w:rPr>
        <w:footnoteRef/>
      </w:r>
      <w:r>
        <w:t xml:space="preserve"> </w:t>
      </w:r>
      <w:r>
        <w:tab/>
        <w:t>Centro para o Pluralismo e a Liberdade dos Meios de Comunicação Social (2019).</w:t>
      </w:r>
    </w:p>
  </w:footnote>
  <w:footnote w:id="100">
    <w:p>
      <w:pPr>
        <w:pStyle w:val="FootnoteText"/>
        <w:ind w:left="284" w:hanging="284"/>
        <w:contextualSpacing/>
      </w:pPr>
      <w:r>
        <w:rPr>
          <w:rStyle w:val="FootnoteReference"/>
        </w:rPr>
        <w:footnoteRef/>
      </w:r>
      <w:r>
        <w:t xml:space="preserve"> </w:t>
      </w:r>
      <w:r>
        <w:tab/>
        <w:t>https://europeanjournalists.org/blog/2020/07/28/hungary-media-freedom-crackdown-our-letter-to-eu-leaders/</w:t>
      </w:r>
    </w:p>
  </w:footnote>
  <w:footnote w:id="101">
    <w:p>
      <w:pPr>
        <w:pStyle w:val="FootnoteText"/>
        <w:ind w:left="284" w:hanging="284"/>
        <w:contextualSpacing/>
      </w:pPr>
      <w:r>
        <w:rPr>
          <w:rStyle w:val="FootnoteReference"/>
        </w:rPr>
        <w:footnoteRef/>
      </w:r>
      <w:r>
        <w:t xml:space="preserve"> </w:t>
      </w:r>
      <w:r>
        <w:tab/>
        <w:t xml:space="preserve">Numa declaração de 24 de julho de 2020, os jornalistas descreveram o despedimento do seu chefe de redação como «uma tentativa manifesta de exercer pressão». Index.hu (24 de julho de 2020), </w:t>
      </w:r>
      <w:r>
        <w:rPr>
          <w:i/>
          <w:iCs/>
        </w:rPr>
        <w:t>Editorial board of Index and more than 70 staff members resign</w:t>
      </w:r>
      <w:r>
        <w:t>.</w:t>
      </w:r>
    </w:p>
  </w:footnote>
  <w:footnote w:id="102">
    <w:p>
      <w:pPr>
        <w:pStyle w:val="FootnoteText"/>
        <w:ind w:left="284" w:hanging="284"/>
        <w:contextualSpacing/>
      </w:pPr>
      <w:r>
        <w:rPr>
          <w:rStyle w:val="FootnoteReference"/>
        </w:rPr>
        <w:footnoteRef/>
      </w:r>
      <w:r>
        <w:t xml:space="preserve"> </w:t>
      </w:r>
      <w:r>
        <w:tab/>
        <w:t>Artigo 42.º da Lei da Comunicação Social. As informações de base sobre a propriedade das empresas podem ser livremente consultadas num sítio Web do Ministério da Justiça. Os proprietários são obrigados a registar as suas empresas no Sistema Nacional de Informação e Registo de Empresas geral e os títulos por si publicados junto da Autoridade para a Comunicação Social.</w:t>
      </w:r>
    </w:p>
  </w:footnote>
  <w:footnote w:id="103">
    <w:p>
      <w:pPr>
        <w:pStyle w:val="FootnoteText"/>
        <w:ind w:left="284" w:hanging="284"/>
        <w:contextualSpacing/>
      </w:pPr>
      <w:r>
        <w:rPr>
          <w:rStyle w:val="FootnoteReference"/>
        </w:rPr>
        <w:footnoteRef/>
      </w:r>
      <w:r>
        <w:t xml:space="preserve"> </w:t>
      </w:r>
      <w:r>
        <w:tab/>
        <w:t>Instituto Internacional da Imprensa (IPI), Artigo 19.º, Comité para a Proteção dos Jornalistas (CPJ), Centro Europeu para a Liberdade de Imprensa e dos Meios de Comunicação (ECPMF), a Federação Europeia de Jornalistas (FEJ), a Free Press Unlimited (FPU) e os Repórteres sem Fronteiras (RSF): Conclusões da missão conjunta internacional à Hungria relativa à liberdade de imprensa (3 de dezembro de 2019).</w:t>
      </w:r>
    </w:p>
  </w:footnote>
  <w:footnote w:id="104">
    <w:p>
      <w:pPr>
        <w:pStyle w:val="FootnoteText"/>
        <w:ind w:left="284" w:hanging="284"/>
        <w:contextualSpacing/>
      </w:pPr>
      <w:r>
        <w:rPr>
          <w:rStyle w:val="FootnoteReference"/>
        </w:rPr>
        <w:footnoteRef/>
      </w:r>
      <w:r>
        <w:t xml:space="preserve"> </w:t>
      </w:r>
      <w:r>
        <w:tab/>
        <w:t>Entre 2013 e 2016, em mais de 70 % dos 500 processos judiciais relativos a pedidos de acesso à informação, os tribunais pronunciaram-se a favor dos requerentes (</w:t>
      </w:r>
      <w:r>
        <w:rPr>
          <w:i/>
        </w:rPr>
        <w:t>Kúria</w:t>
      </w:r>
      <w:r>
        <w:t>, 2018).</w:t>
      </w:r>
    </w:p>
  </w:footnote>
  <w:footnote w:id="105">
    <w:p>
      <w:pPr>
        <w:pStyle w:val="FootnoteText"/>
        <w:ind w:left="284" w:hanging="284"/>
        <w:contextualSpacing/>
      </w:pPr>
      <w:r>
        <w:rPr>
          <w:rStyle w:val="FootnoteReference"/>
        </w:rPr>
        <w:footnoteRef/>
      </w:r>
      <w:r>
        <w:t xml:space="preserve"> </w:t>
      </w:r>
      <w:r>
        <w:tab/>
        <w:t>O indicador relativo ao acesso à informação do Governo é de 4 numa escala de 10 (IGS, 2019).</w:t>
      </w:r>
    </w:p>
  </w:footnote>
  <w:footnote w:id="106">
    <w:p>
      <w:pPr>
        <w:pStyle w:val="FootnoteText"/>
        <w:ind w:left="284" w:hanging="284"/>
        <w:contextualSpacing/>
      </w:pPr>
      <w:r>
        <w:rPr>
          <w:rStyle w:val="FootnoteReference"/>
        </w:rPr>
        <w:footnoteRef/>
      </w:r>
      <w:r>
        <w:t xml:space="preserve"> </w:t>
      </w:r>
      <w:r>
        <w:tab/>
        <w:t>Declaração final de missão do relator especial sobre a situação dos defensores dos direitos humanos, visita à Hungria de 8 a 16 de fevereiro de 2016.</w:t>
      </w:r>
    </w:p>
  </w:footnote>
  <w:footnote w:id="107">
    <w:p>
      <w:pPr>
        <w:pStyle w:val="FootnoteText"/>
        <w:ind w:left="284" w:hanging="284"/>
        <w:contextualSpacing/>
      </w:pPr>
      <w:r>
        <w:rPr>
          <w:rStyle w:val="FootnoteReference"/>
        </w:rPr>
        <w:footnoteRef/>
      </w:r>
      <w:r>
        <w:t xml:space="preserve"> </w:t>
      </w:r>
      <w:r>
        <w:tab/>
        <w:t>Recomendação do Conselho, de 20 de julho de 2020, relativa ao Programa Nacional de Reformas da Hungria para 2020 e que emite um parecer do Conselho sobre o Programa de Convergência da Hungria para 2020, considerando 32;</w:t>
      </w:r>
    </w:p>
  </w:footnote>
  <w:footnote w:id="108">
    <w:p>
      <w:pPr>
        <w:pStyle w:val="FootnoteText"/>
        <w:ind w:left="284" w:hanging="284"/>
        <w:contextualSpacing/>
      </w:pPr>
      <w:r>
        <w:rPr>
          <w:rStyle w:val="FootnoteReference"/>
        </w:rPr>
        <w:footnoteRef/>
      </w:r>
      <w:r>
        <w:t xml:space="preserve"> </w:t>
      </w:r>
      <w:r>
        <w:tab/>
        <w:t>A divulgação proativa dos dados continua a ser um desafio, com 70 % dos municípios a não publicar as informações mínimas exigidas no seu sítio (Instituto de Budapeste, Centro de Investigação da Corrupção de Budapeste (2019).</w:t>
      </w:r>
    </w:p>
  </w:footnote>
  <w:footnote w:id="109">
    <w:p>
      <w:pPr>
        <w:pStyle w:val="FootnoteText"/>
        <w:ind w:left="284" w:hanging="284"/>
        <w:contextualSpacing/>
      </w:pPr>
      <w:r>
        <w:rPr>
          <w:rStyle w:val="FootnoteReference"/>
        </w:rPr>
        <w:footnoteRef/>
      </w:r>
      <w:r>
        <w:t xml:space="preserve"> </w:t>
      </w:r>
      <w:r>
        <w:tab/>
        <w:t>Comissão Europeia, Relatório de 2020 relativo à Hungria, SWD(2020) 516 final, p. 46. Um exemplo desta situação é uma alteração à lei sobre representações estrangeiras (Lei LIX de 2019) que introduz restrições ao acesso a dados relativos ao investimento estrangeiro. Desta forma, mantém-se a tendência iniciada em 2012, que contribui para aumentar a insegurança em relação à interpretação da legislação em matéria de acesso à informação. Em 19 de maio de 2020, o Parlamento adotou a Lei XXIX de 2020, que, no artigo 2.º, n.º 3, limita – por um período de 10 anos – o acesso do público a todos os contratos e outros documentos relacionados com a execução do projeto de ligação ferroviária Budapeste-Belgrado.</w:t>
      </w:r>
    </w:p>
  </w:footnote>
  <w:footnote w:id="110">
    <w:p>
      <w:pPr>
        <w:pStyle w:val="FootnoteText"/>
        <w:ind w:left="284" w:hanging="284"/>
        <w:contextualSpacing/>
      </w:pPr>
      <w:r>
        <w:rPr>
          <w:rStyle w:val="FootnoteReference"/>
        </w:rPr>
        <w:footnoteRef/>
      </w:r>
      <w:r>
        <w:t xml:space="preserve"> </w:t>
      </w:r>
      <w:r>
        <w:tab/>
        <w:t>Lei XCI de 2013 («</w:t>
      </w:r>
      <w:r>
        <w:rPr>
          <w:i/>
          <w:iCs/>
        </w:rPr>
        <w:t>Lex Átlátszó</w:t>
      </w:r>
      <w:r>
        <w:t>»).</w:t>
      </w:r>
    </w:p>
  </w:footnote>
  <w:footnote w:id="111">
    <w:p>
      <w:pPr>
        <w:pStyle w:val="FootnoteText"/>
        <w:ind w:left="284" w:hanging="284"/>
        <w:contextualSpacing/>
      </w:pPr>
      <w:r>
        <w:rPr>
          <w:rStyle w:val="FootnoteReference"/>
        </w:rPr>
        <w:footnoteRef/>
      </w:r>
      <w:r>
        <w:t xml:space="preserve"> </w:t>
      </w:r>
      <w:r>
        <w:tab/>
        <w:t>Decreto Governamental n.º 301/2016 de 30 de setembro de 2016. Das 300 queixas apresentadas pela Autoridade Nacional para a Proteção de Dados e a Liberdade de Imprensa em 2018, cerca de 10 % diziam respeito à aplicação injustificada de taxas (Autoridade Nacional para a Proteção de Dados e a Liberdade de Imprensa, 2019).</w:t>
      </w:r>
    </w:p>
  </w:footnote>
  <w:footnote w:id="112">
    <w:p>
      <w:pPr>
        <w:pStyle w:val="FootnoteText"/>
        <w:ind w:left="284" w:hanging="284"/>
        <w:contextualSpacing/>
      </w:pPr>
      <w:r>
        <w:rPr>
          <w:rStyle w:val="FootnoteReference"/>
        </w:rPr>
        <w:footnoteRef/>
      </w:r>
      <w:r>
        <w:t xml:space="preserve"> </w:t>
      </w:r>
      <w:r>
        <w:tab/>
      </w:r>
      <w:r>
        <w:rPr>
          <w:i/>
          <w:iCs/>
        </w:rPr>
        <w:t>Mérték Media Monitor</w:t>
      </w:r>
      <w:r>
        <w:t xml:space="preserve"> (2019).</w:t>
      </w:r>
    </w:p>
  </w:footnote>
  <w:footnote w:id="113">
    <w:p>
      <w:pPr>
        <w:pStyle w:val="FootnoteText"/>
        <w:ind w:left="284" w:hanging="284"/>
        <w:contextualSpacing/>
      </w:pPr>
      <w:r>
        <w:rPr>
          <w:rStyle w:val="FootnoteReference"/>
        </w:rPr>
        <w:footnoteRef/>
      </w:r>
      <w:r>
        <w:t xml:space="preserve"> </w:t>
      </w:r>
      <w:r>
        <w:tab/>
        <w:t xml:space="preserve">União das Liberdades Cívicas da Hungria </w:t>
      </w:r>
      <w:r>
        <w:rPr>
          <w:i/>
        </w:rPr>
        <w:t>(</w:t>
      </w:r>
      <w:r>
        <w:t>TASZ</w:t>
      </w:r>
      <w:r>
        <w:rPr>
          <w:i/>
        </w:rPr>
        <w:t>)</w:t>
      </w:r>
      <w:r>
        <w:t xml:space="preserve"> (2020).</w:t>
      </w:r>
    </w:p>
  </w:footnote>
  <w:footnote w:id="114">
    <w:p>
      <w:pPr>
        <w:pStyle w:val="FootnoteText"/>
        <w:ind w:left="284" w:hanging="284"/>
        <w:contextualSpacing/>
      </w:pPr>
      <w:r>
        <w:rPr>
          <w:rStyle w:val="FootnoteReference"/>
        </w:rPr>
        <w:footnoteRef/>
      </w:r>
      <w:r>
        <w:t xml:space="preserve"> </w:t>
      </w:r>
      <w:r>
        <w:tab/>
        <w:t xml:space="preserve">Centro para o Pluralismo e a Liberdade dos Meios de Comunicação Social (2019), </w:t>
      </w:r>
      <w:r>
        <w:rPr>
          <w:i/>
          <w:iCs/>
        </w:rPr>
        <w:t>Decriminalisation of Defamation</w:t>
      </w:r>
      <w:r>
        <w:t>.</w:t>
      </w:r>
    </w:p>
  </w:footnote>
  <w:footnote w:id="115">
    <w:p>
      <w:pPr>
        <w:pStyle w:val="FootnoteText"/>
        <w:ind w:left="284" w:hanging="284"/>
        <w:contextualSpacing/>
      </w:pPr>
      <w:r>
        <w:rPr>
          <w:rStyle w:val="FootnoteReference"/>
        </w:rPr>
        <w:footnoteRef/>
      </w:r>
      <w:r>
        <w:t xml:space="preserve"> </w:t>
      </w:r>
      <w:r>
        <w:tab/>
        <w:t>Em 21 de outubro de 2019, o presidente do Parlamento introduziu regras que restringem a liberdade de circulação e as atividades dos jornalistas que trabalham no edifício e nos gabinetes do Parlamento.</w:t>
      </w:r>
    </w:p>
  </w:footnote>
  <w:footnote w:id="116">
    <w:p>
      <w:pPr>
        <w:pStyle w:val="FootnoteText"/>
        <w:ind w:left="284" w:hanging="284"/>
        <w:contextualSpacing/>
      </w:pPr>
      <w:r>
        <w:rPr>
          <w:rStyle w:val="FootnoteReference"/>
        </w:rPr>
        <w:footnoteRef/>
      </w:r>
      <w:r>
        <w:t xml:space="preserve"> </w:t>
      </w:r>
      <w:r>
        <w:tab/>
        <w:t xml:space="preserve">Em janeiro de 2020, foi ordenada uma medida provisória por um tribunal que proibia a divulgação da revista de economia </w:t>
      </w:r>
      <w:r>
        <w:rPr>
          <w:i/>
          <w:iCs/>
        </w:rPr>
        <w:t>Forbes Hungary</w:t>
      </w:r>
      <w:r>
        <w:t>, invocando regras de proteção de dados.</w:t>
      </w:r>
    </w:p>
  </w:footnote>
  <w:footnote w:id="117">
    <w:p>
      <w:pPr>
        <w:pStyle w:val="FootnoteText"/>
        <w:ind w:left="284" w:hanging="284"/>
        <w:contextualSpacing/>
      </w:pPr>
      <w:r>
        <w:rPr>
          <w:rStyle w:val="FootnoteReference"/>
        </w:rPr>
        <w:footnoteRef/>
      </w:r>
      <w:r>
        <w:t xml:space="preserve"> </w:t>
      </w:r>
      <w:r>
        <w:tab/>
        <w:t>Lei XII de 2020.</w:t>
      </w:r>
    </w:p>
  </w:footnote>
  <w:footnote w:id="118">
    <w:p>
      <w:pPr>
        <w:pStyle w:val="FootnoteText"/>
        <w:ind w:left="284" w:hanging="284"/>
        <w:contextualSpacing/>
      </w:pPr>
      <w:r>
        <w:rPr>
          <w:rStyle w:val="FootnoteReference"/>
        </w:rPr>
        <w:footnoteRef/>
      </w:r>
      <w:r>
        <w:t xml:space="preserve"> </w:t>
      </w:r>
      <w:r>
        <w:tab/>
        <w:t xml:space="preserve">Por exemplo, o Instituto Internacional da Imprensa (2020), </w:t>
      </w:r>
      <w:r>
        <w:rPr>
          <w:i/>
          <w:iCs/>
        </w:rPr>
        <w:t>Hungary seeks power to jail journalists for ‘false’ COVID-19 coverage</w:t>
      </w:r>
      <w:r>
        <w:t xml:space="preserve">, de 23 de março de 2020, ou a Human Rights Watch, </w:t>
      </w:r>
      <w:r>
        <w:rPr>
          <w:i/>
          <w:iCs/>
        </w:rPr>
        <w:t>Hungary’s Orban Uses Pandemic to Seize Unlimited Power</w:t>
      </w:r>
      <w:r>
        <w:t>, de 23 de março de 2020.</w:t>
      </w:r>
    </w:p>
  </w:footnote>
  <w:footnote w:id="119">
    <w:p>
      <w:pPr>
        <w:pStyle w:val="FootnoteText"/>
        <w:ind w:left="284" w:hanging="284"/>
        <w:contextualSpacing/>
      </w:pPr>
      <w:r>
        <w:rPr>
          <w:rStyle w:val="FootnoteReference"/>
        </w:rPr>
        <w:footnoteRef/>
      </w:r>
      <w:r>
        <w:t xml:space="preserve"> </w:t>
      </w:r>
      <w:r>
        <w:tab/>
        <w:t>Declaração da Comissão no debate em sessão plenária do Parlamento Europeu sobre a legislação de emergência na Hungria e o seu impacto no Estado de direito e nos direitos fundamentais (14 de maio de 2020). O artigo 337.º, n.º 2, do Código Penal continua em vigor; com o final do «estado de emergência» em 18 de junho de 2020, o crime aí definido deixa de poder ser cometido.</w:t>
      </w:r>
    </w:p>
  </w:footnote>
  <w:footnote w:id="120">
    <w:p>
      <w:pPr>
        <w:pStyle w:val="FootnoteText"/>
        <w:ind w:left="284" w:hanging="284"/>
        <w:contextualSpacing/>
      </w:pPr>
      <w:r>
        <w:rPr>
          <w:rStyle w:val="FootnoteReference"/>
        </w:rPr>
        <w:footnoteRef/>
      </w:r>
      <w:r>
        <w:t xml:space="preserve"> </w:t>
      </w:r>
      <w:r>
        <w:tab/>
        <w:t>É necessária uma maioria de dois terços de todos os membros para adotar ou alterar a Lei Fundamental (artigo S, n.º 2, da Lei Fundamental).</w:t>
      </w:r>
    </w:p>
  </w:footnote>
  <w:footnote w:id="121">
    <w:p>
      <w:pPr>
        <w:pStyle w:val="FootnoteText"/>
        <w:ind w:left="284" w:hanging="284"/>
        <w:contextualSpacing/>
      </w:pPr>
      <w:r>
        <w:rPr>
          <w:rStyle w:val="FootnoteReference"/>
        </w:rPr>
        <w:footnoteRef/>
      </w:r>
      <w:r>
        <w:t xml:space="preserve"> </w:t>
      </w:r>
      <w:r>
        <w:tab/>
        <w:t>A Lei Fundamental prevê a adoção de 32 leis orgânicas que aplicam algumas das suas disposições e contêm regras pormenorizadas sobre o funcionamento das principais instituições ou o exercício de determinados direitos fundamentais. As leis orgânicas podem ser adotadas ou alteradas por uma maioria de dois terços dos deputados presentes (artigo T, n.º 4, da Lei Fundamental). A Comissão de Veneza criticou a Hungria por recorrer a leis orgânicas para além do estritamente necessário, e mesmo quanto às de normas de execução, prática que foi considerada questionável numa perspetiva democrática, dado torna mais difícil a introdução de reformas futuras (Parecer CDL-AD(2012)009, n.º 47). O Governo alega que é necessário um elevado nível de consenso político para regular os aspetos mais importantes dos direitos fundamentais e a organização do Estado.</w:t>
      </w:r>
    </w:p>
  </w:footnote>
  <w:footnote w:id="122">
    <w:p>
      <w:pPr>
        <w:pStyle w:val="FootnoteText"/>
        <w:ind w:left="284" w:hanging="284"/>
        <w:contextualSpacing/>
      </w:pPr>
      <w:r>
        <w:rPr>
          <w:rStyle w:val="FootnoteReference"/>
        </w:rPr>
        <w:footnoteRef/>
      </w:r>
      <w:r>
        <w:t xml:space="preserve"> </w:t>
      </w:r>
      <w:r>
        <w:tab/>
        <w:t xml:space="preserve">O presidente da República, os membros e o presidente do Tribunal Constitucional, o presidente da </w:t>
      </w:r>
      <w:r>
        <w:rPr>
          <w:i/>
        </w:rPr>
        <w:t>Kúria</w:t>
      </w:r>
      <w:r>
        <w:t>, o Procurador-Geral, o presidente do GJN, o comissário e os vice-comissários para os Direitos Fundamentais, o presidente do Tribunal de Contas, o presidente do Banco Nacional da Hungria.</w:t>
      </w:r>
    </w:p>
  </w:footnote>
  <w:footnote w:id="123">
    <w:p>
      <w:pPr>
        <w:pStyle w:val="FootnoteText"/>
        <w:ind w:left="284" w:hanging="284"/>
        <w:contextualSpacing/>
      </w:pPr>
      <w:r>
        <w:rPr>
          <w:rStyle w:val="FootnoteReference"/>
        </w:rPr>
        <w:footnoteRef/>
      </w:r>
      <w:r>
        <w:t xml:space="preserve"> </w:t>
      </w:r>
      <w:r>
        <w:tab/>
        <w:t>Artigo 6.º, n.º 1, da Lei Fundamental.</w:t>
      </w:r>
    </w:p>
  </w:footnote>
  <w:footnote w:id="124">
    <w:p>
      <w:pPr>
        <w:pStyle w:val="FootnoteText"/>
        <w:ind w:left="284" w:hanging="284"/>
        <w:contextualSpacing/>
      </w:pPr>
      <w:r>
        <w:rPr>
          <w:rStyle w:val="FootnoteReference"/>
        </w:rPr>
        <w:footnoteRef/>
      </w:r>
      <w:r>
        <w:t xml:space="preserve"> </w:t>
      </w:r>
      <w:r>
        <w:tab/>
        <w:t xml:space="preserve">Lei CXXX de 2010 relativa ao processo legislativo, Lei CXXXI de 2010 relativa à participação do público no desenvolvimento da legislação e Decreto n.º 24/2011 do Ministro da Justiça, de 9 de agosto de 2011, sobre a avaliação de impacto regulamentar </w:t>
      </w:r>
      <w:r>
        <w:rPr>
          <w:i/>
          <w:iCs/>
        </w:rPr>
        <w:t>ex ante</w:t>
      </w:r>
      <w:r>
        <w:t xml:space="preserve"> e </w:t>
      </w:r>
      <w:r>
        <w:rPr>
          <w:i/>
          <w:iCs/>
        </w:rPr>
        <w:t>ex post</w:t>
      </w:r>
      <w:r>
        <w:t>.</w:t>
      </w:r>
    </w:p>
  </w:footnote>
  <w:footnote w:id="125">
    <w:p>
      <w:pPr>
        <w:spacing w:after="0"/>
        <w:ind w:left="284" w:hanging="284"/>
        <w:contextualSpacing/>
        <w:rPr>
          <w:sz w:val="20"/>
        </w:rPr>
      </w:pPr>
      <w:r>
        <w:rPr>
          <w:rStyle w:val="FootnoteReference"/>
          <w:sz w:val="20"/>
        </w:rPr>
        <w:footnoteRef/>
      </w:r>
      <w:r>
        <w:rPr>
          <w:sz w:val="20"/>
        </w:rPr>
        <w:t xml:space="preserve"> </w:t>
      </w:r>
      <w:r>
        <w:tab/>
      </w:r>
      <w:r>
        <w:rPr>
          <w:sz w:val="20"/>
        </w:rPr>
        <w:t>Comissão Europeia (2020), Relatório relativo à Hungria, SWD(2020) 516 final, p. 29. O principal órgão tripartido da concertação social é o Fórum de Consulta Permanente do Setor Privado e do Governo (VKF). Os membros do Fórum são selecionados pelo Governo e não incluem representantes de algumas das organizações sindicais e patronais tradicionais.</w:t>
      </w:r>
    </w:p>
  </w:footnote>
  <w:footnote w:id="126">
    <w:p>
      <w:pPr>
        <w:pStyle w:val="FootnoteText"/>
        <w:ind w:left="284" w:hanging="284"/>
        <w:contextualSpacing/>
      </w:pPr>
      <w:r>
        <w:rPr>
          <w:rStyle w:val="FootnoteReference"/>
        </w:rPr>
        <w:footnoteRef/>
      </w:r>
      <w:r>
        <w:t xml:space="preserve"> </w:t>
      </w:r>
      <w:r>
        <w:tab/>
        <w:t>Recomendação do Conselho, de 20 de julho de 2020, relativa ao Programa Nacional de Reformas da Hungria para 2020 e que emite um parecer do Conselho sobre o Programa de Convergência da Hungria para 2020, considerando 28;</w:t>
      </w:r>
    </w:p>
  </w:footnote>
  <w:footnote w:id="127">
    <w:p>
      <w:pPr>
        <w:pStyle w:val="FootnoteText"/>
        <w:ind w:left="284" w:hanging="284"/>
        <w:contextualSpacing/>
      </w:pPr>
      <w:r>
        <w:rPr>
          <w:rStyle w:val="FootnoteReference"/>
        </w:rPr>
        <w:footnoteRef/>
      </w:r>
      <w:r>
        <w:t xml:space="preserve"> </w:t>
      </w:r>
      <w:r>
        <w:tab/>
        <w:t>Ver Recomendação do Conselho, de 20 de julho de 2020, relativa ao Programa Nacional de Reformas da Hungria para 2020 e que emite um parecer do Conselho sobre o Programa de Convergência da Hungria para 2020, considerando 28. Em 2019, apenas foram publicados muito poucos documentos no sítio Internet designado pelo Governo (Autoridade Nacional para a Proteção de Dados e a Liberdade de Imprensa (2019), p. 129).</w:t>
      </w:r>
    </w:p>
  </w:footnote>
  <w:footnote w:id="128">
    <w:p>
      <w:pPr>
        <w:pStyle w:val="FootnoteText"/>
        <w:ind w:left="284" w:hanging="284"/>
        <w:contextualSpacing/>
      </w:pPr>
      <w:r>
        <w:rPr>
          <w:rStyle w:val="FootnoteReference"/>
        </w:rPr>
        <w:footnoteRef/>
      </w:r>
      <w:r>
        <w:t xml:space="preserve"> </w:t>
      </w:r>
      <w:r>
        <w:tab/>
        <w:t>Decreto Governamental n.º 40/2020, de 11 de março de 2020.</w:t>
      </w:r>
    </w:p>
  </w:footnote>
  <w:footnote w:id="129">
    <w:p>
      <w:pPr>
        <w:pStyle w:val="FootnoteText"/>
        <w:ind w:left="284" w:hanging="284"/>
        <w:contextualSpacing/>
      </w:pPr>
      <w:r>
        <w:rPr>
          <w:rStyle w:val="FootnoteReference"/>
        </w:rPr>
        <w:footnoteRef/>
      </w:r>
      <w:r>
        <w:t xml:space="preserve"> </w:t>
      </w:r>
      <w:r>
        <w:tab/>
        <w:t>Artigo 53.º, n.º 1, da Lei Fundamental.</w:t>
      </w:r>
    </w:p>
  </w:footnote>
  <w:footnote w:id="130">
    <w:p>
      <w:pPr>
        <w:pStyle w:val="FootnoteText"/>
        <w:ind w:left="284" w:hanging="284"/>
        <w:contextualSpacing/>
      </w:pPr>
      <w:r>
        <w:rPr>
          <w:rStyle w:val="FootnoteReference"/>
        </w:rPr>
        <w:footnoteRef/>
      </w:r>
      <w:r>
        <w:t xml:space="preserve"> </w:t>
      </w:r>
      <w:r>
        <w:tab/>
        <w:t>Artigo 54.º, n.º 3, da Lei Fundamental.</w:t>
      </w:r>
    </w:p>
  </w:footnote>
  <w:footnote w:id="131">
    <w:p>
      <w:pPr>
        <w:pStyle w:val="FootnoteText"/>
        <w:ind w:left="284" w:hanging="284"/>
        <w:contextualSpacing/>
      </w:pPr>
      <w:r>
        <w:rPr>
          <w:rStyle w:val="FootnoteReference"/>
        </w:rPr>
        <w:footnoteRef/>
      </w:r>
      <w:r>
        <w:t xml:space="preserve"> </w:t>
      </w:r>
      <w:r>
        <w:tab/>
        <w:t>Lei XII de 2020 que dá execução ao artigo 53.º, n.º 2, da Lei Fundamental que permite ao Governo revogar leis por decreto. A nova lei previa que os poderes extraordinários do Governo só podem ser exercidos na medida em que sejam necessários e proporcionais ao objetivo de prevenir, combater e eliminar o surto de COVID-19 e prevenir e combater os seus efeitos prejudiciais.</w:t>
      </w:r>
    </w:p>
  </w:footnote>
  <w:footnote w:id="132">
    <w:p>
      <w:pPr>
        <w:pStyle w:val="FootnoteText"/>
        <w:ind w:left="284" w:hanging="284"/>
        <w:contextualSpacing/>
      </w:pPr>
      <w:r>
        <w:rPr>
          <w:rStyle w:val="FootnoteReference"/>
        </w:rPr>
        <w:footnoteRef/>
      </w:r>
      <w:r>
        <w:t xml:space="preserve"> </w:t>
      </w:r>
      <w:r>
        <w:tab/>
        <w:t xml:space="preserve">Recomendação do Conselho, de 20 de julho de 2020, relativa ao Programa Nacional de Reformas da Hungria para 2020 e que emite um parecer do Conselho sobre o Programa de Convergência da Hungria para 2020, considerando 27; Ver </w:t>
      </w:r>
      <w:r>
        <w:rPr>
          <w:rStyle w:val="Hyperlink"/>
          <w:color w:val="auto"/>
          <w:u w:val="none"/>
        </w:rPr>
        <w:t>relatório</w:t>
      </w:r>
      <w:r>
        <w:t xml:space="preserve"> da Comissão de Veneza CDL-AD(2020) 014, em especial os n.</w:t>
      </w:r>
      <w:r>
        <w:rPr>
          <w:vertAlign w:val="superscript"/>
        </w:rPr>
        <w:t>os</w:t>
      </w:r>
      <w:r>
        <w:t xml:space="preserve"> 6 a 16.</w:t>
      </w:r>
    </w:p>
  </w:footnote>
  <w:footnote w:id="133">
    <w:p>
      <w:pPr>
        <w:pStyle w:val="FootnoteText"/>
        <w:ind w:left="284" w:hanging="284"/>
        <w:contextualSpacing/>
      </w:pPr>
      <w:r>
        <w:rPr>
          <w:rStyle w:val="FootnoteReference"/>
        </w:rPr>
        <w:footnoteRef/>
      </w:r>
      <w:r>
        <w:t xml:space="preserve"> </w:t>
      </w:r>
      <w:r>
        <w:tab/>
        <w:t>Recomendação do Conselho, de 20 de julho de 2020, relativa ao Programa Nacional de Reformas da Hungria para 2020 e que emite um parecer do Conselho sobre o Programa de Convergência da Hungria para 2020.</w:t>
      </w:r>
    </w:p>
  </w:footnote>
  <w:footnote w:id="134">
    <w:p>
      <w:pPr>
        <w:pStyle w:val="FootnoteText"/>
        <w:ind w:left="284" w:hanging="284"/>
        <w:contextualSpacing/>
      </w:pPr>
      <w:r>
        <w:rPr>
          <w:rStyle w:val="FootnoteReference"/>
        </w:rPr>
        <w:footnoteRef/>
      </w:r>
      <w:r>
        <w:t xml:space="preserve"> </w:t>
      </w:r>
      <w:r>
        <w:tab/>
        <w:t>Decreto Governamental n.º 282/2020, de 17 de junho de 2020. As medidas concretas tomadas pelo Governo estiveram em vigor até ao termo do «estado de emergência».</w:t>
      </w:r>
    </w:p>
  </w:footnote>
  <w:footnote w:id="135">
    <w:p>
      <w:pPr>
        <w:pStyle w:val="FootnoteText"/>
        <w:ind w:left="284" w:hanging="284"/>
        <w:contextualSpacing/>
      </w:pPr>
      <w:r>
        <w:rPr>
          <w:rStyle w:val="FootnoteReference"/>
        </w:rPr>
        <w:footnoteRef/>
      </w:r>
      <w:r>
        <w:t xml:space="preserve"> </w:t>
      </w:r>
      <w:r>
        <w:tab/>
        <w:t>Decreto Governamental n.º 283/2020, de 17 de junho de 2020.</w:t>
      </w:r>
    </w:p>
  </w:footnote>
  <w:footnote w:id="136">
    <w:p>
      <w:pPr>
        <w:pStyle w:val="FootnoteText"/>
        <w:ind w:left="284" w:hanging="284"/>
        <w:contextualSpacing/>
      </w:pPr>
      <w:r>
        <w:rPr>
          <w:rStyle w:val="FootnoteReference"/>
        </w:rPr>
        <w:footnoteRef/>
      </w:r>
      <w:r>
        <w:t xml:space="preserve"> </w:t>
      </w:r>
      <w:r>
        <w:tab/>
        <w:t>Lei LVIII de 2020. Por exemplo, o artigo 162.º prorrogou, o mais tardar até15 de agosto de 2020, o controlo governamental sobre os títulos cotados da</w:t>
      </w:r>
      <w:r>
        <w:rPr>
          <w:i/>
          <w:iCs/>
        </w:rPr>
        <w:t xml:space="preserve"> KARTONPACK Nyrt</w:t>
      </w:r>
      <w:r>
        <w:t xml:space="preserve"> imposto pelo Decreto Governamental 128/2020, de 17 de abril de 2020.</w:t>
      </w:r>
    </w:p>
  </w:footnote>
  <w:footnote w:id="137">
    <w:p>
      <w:pPr>
        <w:pStyle w:val="FootnoteText"/>
        <w:ind w:left="284" w:hanging="284"/>
        <w:contextualSpacing/>
      </w:pPr>
      <w:r>
        <w:rPr>
          <w:rStyle w:val="FootnoteReference"/>
        </w:rPr>
        <w:footnoteRef/>
      </w:r>
      <w:r>
        <w:t xml:space="preserve"> </w:t>
      </w:r>
      <w:r>
        <w:tab/>
        <w:t>Por exemplo, os Decretos do Governo n.</w:t>
      </w:r>
      <w:r>
        <w:rPr>
          <w:vertAlign w:val="superscript"/>
        </w:rPr>
        <w:t>os</w:t>
      </w:r>
      <w:r>
        <w:t xml:space="preserve"> 135 e 136/2020, de 17 de abril de 2020, contêm regras relativas a zonas económicas especiais e cria uma dessas zonas na cidade de Göd, e o Decreto do Governo n.º 179/2020, de 4 de maio de 2020, que suspende a aplicação de determinadas disposições do RGPD; estes processos estão pendentes no Tribunal Constitucional. Em 14 de julho de 2020, o Tribunal Constitucional rejeitou o pedido que contestava o Decreto Governamental n.º 47/2020, de 18 de março de 2020, que permite que empregadores e trabalhadores acordem o não cumprimento das disposições do Código do Trabalho (Despacho II/887/2020); o Tribunal Constitucional alegou que o decreto governamental em causa já não era aplicável.</w:t>
      </w:r>
    </w:p>
  </w:footnote>
  <w:footnote w:id="138">
    <w:p>
      <w:pPr>
        <w:pStyle w:val="FootnoteText"/>
        <w:ind w:left="284" w:hanging="284"/>
        <w:contextualSpacing/>
      </w:pPr>
      <w:r>
        <w:rPr>
          <w:rStyle w:val="FootnoteReference"/>
        </w:rPr>
        <w:footnoteRef/>
      </w:r>
      <w:r>
        <w:t xml:space="preserve"> </w:t>
      </w:r>
      <w:r>
        <w:tab/>
        <w:t>Decisão 3234/2020. (VII. 1.) AB.</w:t>
      </w:r>
    </w:p>
  </w:footnote>
  <w:footnote w:id="139">
    <w:p>
      <w:pPr>
        <w:pStyle w:val="FootnoteText"/>
        <w:ind w:left="284" w:hanging="284"/>
        <w:contextualSpacing/>
      </w:pPr>
      <w:r>
        <w:rPr>
          <w:rStyle w:val="FootnoteReference"/>
        </w:rPr>
        <w:footnoteRef/>
      </w:r>
      <w:r>
        <w:t xml:space="preserve"> </w:t>
      </w:r>
      <w:r>
        <w:tab/>
        <w:t>Decreto Governamental n.º 92/2020, de 6 de abril de 2020, que retira as receitas do imposto de registo automóvel aos municípios.</w:t>
      </w:r>
    </w:p>
  </w:footnote>
  <w:footnote w:id="140">
    <w:p>
      <w:pPr>
        <w:pStyle w:val="FootnoteText"/>
        <w:ind w:left="284" w:hanging="284"/>
        <w:contextualSpacing/>
      </w:pPr>
      <w:r>
        <w:rPr>
          <w:rStyle w:val="FootnoteReference"/>
        </w:rPr>
        <w:footnoteRef/>
      </w:r>
      <w:r>
        <w:t xml:space="preserve"> </w:t>
      </w:r>
      <w:r>
        <w:tab/>
        <w:t>Artigo 37.º, n.º 4, da Lei Fundamental. Esta limitação suscitou preocupação, expressa pela Comissão de Veneza (parecer CDL-AD(2012)009, n.º 38).</w:t>
      </w:r>
    </w:p>
  </w:footnote>
  <w:footnote w:id="141">
    <w:p>
      <w:pPr>
        <w:pStyle w:val="FootnoteText"/>
        <w:ind w:left="284" w:hanging="284"/>
        <w:contextualSpacing/>
      </w:pPr>
      <w:r>
        <w:rPr>
          <w:rStyle w:val="FootnoteReference"/>
        </w:rPr>
        <w:footnoteRef/>
      </w:r>
      <w:r>
        <w:t xml:space="preserve"> </w:t>
      </w:r>
      <w:r>
        <w:tab/>
        <w:t xml:space="preserve">Artigo 27.º da Lei CLI de 2011. A possibilidade de as autoridades públicas recorrerem de decisões judiciais transitadas em julgado perante o Tribunal Constitucional foi reconhecida pela primeira vez na Decisão n.º 23/2018. (XII. 28.) AB do Tribunal Constitucional que anula uma decisão do </w:t>
      </w:r>
      <w:r>
        <w:rPr>
          <w:i/>
        </w:rPr>
        <w:t>Kúria</w:t>
      </w:r>
      <w:r>
        <w:t xml:space="preserve"> que considerou ilegal uma decisão do Banco Nacional da Hungria tomada na sua qualidade de autoridade de supervisão financeira.</w:t>
      </w:r>
    </w:p>
  </w:footnote>
  <w:footnote w:id="142">
    <w:p>
      <w:pPr>
        <w:pStyle w:val="FootnoteText"/>
        <w:ind w:left="284" w:hanging="284"/>
        <w:contextualSpacing/>
      </w:pPr>
      <w:r>
        <w:rPr>
          <w:rStyle w:val="FootnoteReference"/>
        </w:rPr>
        <w:footnoteRef/>
      </w:r>
      <w:r>
        <w:t xml:space="preserve"> </w:t>
      </w:r>
      <w:r>
        <w:tab/>
        <w:t>Ver também a Recomendação CM/Rec(2010)12 do Comité de Ministros do Conselho da Europa, n.º 16: Relatório CDL-AD(2010) 004 da Comissão de Veneza, n.º 67; Parecer CDL-AD(2017) 031, n.º 54.</w:t>
      </w:r>
    </w:p>
  </w:footnote>
  <w:footnote w:id="143">
    <w:p>
      <w:pPr>
        <w:pStyle w:val="FootnoteText"/>
        <w:ind w:left="284" w:hanging="284"/>
        <w:contextualSpacing/>
      </w:pPr>
      <w:r>
        <w:rPr>
          <w:rStyle w:val="FootnoteReference"/>
        </w:rPr>
        <w:footnoteRef/>
      </w:r>
      <w:r>
        <w:t xml:space="preserve"> </w:t>
      </w:r>
      <w:r>
        <w:tab/>
        <w:t>Nações Unidas (2019). Por exemplo, em 2016, o Relator Especial das Nações Unidas para os defensores dos direitos humanos recomendou que a Hungria reforce o papel e a independência do comissário e reforce a autonomia financeira do seu gabinete; que consultasse o comissário sobre os processos legislativos e assegurasse a adequada aplicação das suas recomendações.</w:t>
      </w:r>
    </w:p>
  </w:footnote>
  <w:footnote w:id="144">
    <w:p>
      <w:pPr>
        <w:pStyle w:val="FootnoteText"/>
        <w:ind w:left="284" w:hanging="284"/>
        <w:contextualSpacing/>
      </w:pPr>
      <w:r>
        <w:rPr>
          <w:rStyle w:val="FootnoteReference"/>
        </w:rPr>
        <w:footnoteRef/>
      </w:r>
      <w:r>
        <w:t xml:space="preserve"> </w:t>
      </w:r>
      <w:r>
        <w:tab/>
        <w:t>Lei CXI de 2011.</w:t>
      </w:r>
    </w:p>
  </w:footnote>
  <w:footnote w:id="145">
    <w:p>
      <w:pPr>
        <w:pStyle w:val="FootnoteText"/>
        <w:ind w:left="284" w:hanging="284"/>
        <w:contextualSpacing/>
      </w:pPr>
      <w:r>
        <w:rPr>
          <w:rStyle w:val="FootnoteReference"/>
        </w:rPr>
        <w:footnoteRef/>
      </w:r>
      <w:r>
        <w:t xml:space="preserve"> </w:t>
      </w:r>
      <w:r>
        <w:tab/>
        <w:t>O SCA observou que o processo de seleção não exige a publicação de convite, é preciso estabelecer critérios de mérito claros e uniformes com base nos quais os candidatos sejam avaliados, bem como especificar o processo utilizado para assegurar uma ampla consulta e/ou participação no processo de candidatura, pré-seleção, seleção e nomeação.</w:t>
      </w:r>
    </w:p>
  </w:footnote>
  <w:footnote w:id="146">
    <w:p>
      <w:pPr>
        <w:pStyle w:val="FootnoteText"/>
        <w:ind w:left="284" w:hanging="284"/>
        <w:contextualSpacing/>
      </w:pPr>
      <w:r>
        <w:rPr>
          <w:rStyle w:val="FootnoteReference"/>
        </w:rPr>
        <w:footnoteRef/>
      </w:r>
      <w:r>
        <w:t xml:space="preserve"> </w:t>
      </w:r>
      <w:r>
        <w:tab/>
        <w:t>Lei CVII de 2019.</w:t>
      </w:r>
    </w:p>
  </w:footnote>
  <w:footnote w:id="147">
    <w:p>
      <w:pPr>
        <w:pStyle w:val="FootnoteText"/>
        <w:ind w:left="284" w:hanging="284"/>
        <w:contextualSpacing/>
      </w:pPr>
      <w:r>
        <w:rPr>
          <w:rStyle w:val="FootnoteReference"/>
        </w:rPr>
        <w:footnoteRef/>
      </w:r>
      <w:r>
        <w:t xml:space="preserve"> </w:t>
      </w:r>
      <w:r>
        <w:tab/>
        <w:t>Artigo 145.º da Lei CIX de 2019.</w:t>
      </w:r>
    </w:p>
  </w:footnote>
  <w:footnote w:id="148">
    <w:p>
      <w:pPr>
        <w:pStyle w:val="FootnoteText"/>
        <w:ind w:left="284" w:hanging="284"/>
        <w:contextualSpacing/>
      </w:pPr>
      <w:r>
        <w:rPr>
          <w:rStyle w:val="FootnoteReference"/>
        </w:rPr>
        <w:footnoteRef/>
      </w:r>
      <w:r>
        <w:t xml:space="preserve"> </w:t>
      </w:r>
      <w:r>
        <w:tab/>
        <w:t>Contributo da Transparência Internacional para o Relatório de 2020 sobre o Estado de direito.</w:t>
      </w:r>
    </w:p>
  </w:footnote>
  <w:footnote w:id="149">
    <w:p>
      <w:pPr>
        <w:pStyle w:val="FootnoteText"/>
        <w:ind w:left="284" w:hanging="284"/>
        <w:contextualSpacing/>
      </w:pPr>
      <w:r>
        <w:rPr>
          <w:rStyle w:val="FootnoteReference"/>
        </w:rPr>
        <w:footnoteRef/>
      </w:r>
      <w:r>
        <w:t xml:space="preserve"> </w:t>
      </w:r>
      <w:r>
        <w:tab/>
        <w:t>Lei LXXVI de 2017 relativa à transparência das organizações que recebem apoio do estrangeiro. Nos termos dessa lei, as organizações civis que recebem donativos do estrangeiro têm de se registar junto dos tribunais húngaros como «organização que recebe apoio a partir do estrangeiro» sempre que o montante dos donativos que lhes são enviados de outros Estados-Membros ou de países terceiros ao longo de um ano seja superior a um limiar definido. Ao registar-se, devem ainda indicar, nomeadamente, o nome dos doadores cujo apoio tenha atingido ou excedido o montante de 500 000 HUF (cerca de 1 400 EUR) e o montante exato do apoio. Essas informações são em seguida publicadas numa plataforma eletrónica pública de acesso livre. Além disso, as organizações civis em causa devem indicar, na página inicial dos respetivos sítios Web e em todas as suas publicações, que são uma «organização que recebe apoio do estrangeiro».</w:t>
      </w:r>
    </w:p>
  </w:footnote>
  <w:footnote w:id="150">
    <w:p>
      <w:pPr>
        <w:pStyle w:val="FootnoteText"/>
        <w:ind w:left="284" w:hanging="284"/>
        <w:contextualSpacing/>
      </w:pPr>
      <w:r>
        <w:rPr>
          <w:rStyle w:val="FootnoteReference"/>
        </w:rPr>
        <w:footnoteRef/>
      </w:r>
      <w:r>
        <w:t xml:space="preserve"> </w:t>
      </w:r>
      <w:r>
        <w:tab/>
        <w:t xml:space="preserve">Acórdão do Tribunal de Justiça de 18 de junho de 2020 no processo C-78/18, </w:t>
      </w:r>
      <w:r>
        <w:rPr>
          <w:i/>
        </w:rPr>
        <w:t>Comissão/Hungria</w:t>
      </w:r>
      <w:r>
        <w:t>.</w:t>
      </w:r>
    </w:p>
  </w:footnote>
  <w:footnote w:id="151">
    <w:p>
      <w:pPr>
        <w:pStyle w:val="FootnoteText"/>
        <w:ind w:left="284" w:hanging="284"/>
        <w:contextualSpacing/>
      </w:pPr>
      <w:r>
        <w:rPr>
          <w:rStyle w:val="FootnoteReference"/>
        </w:rPr>
        <w:footnoteRef/>
      </w:r>
      <w:r>
        <w:t xml:space="preserve"> </w:t>
      </w:r>
      <w:r>
        <w:tab/>
        <w:t>Processo C-821/19 do Tribunal de Justiça, pendente.</w:t>
      </w:r>
    </w:p>
  </w:footnote>
  <w:footnote w:id="152">
    <w:p>
      <w:pPr>
        <w:pStyle w:val="FootnoteText"/>
        <w:ind w:left="284" w:hanging="284"/>
        <w:contextualSpacing/>
      </w:pPr>
      <w:r>
        <w:rPr>
          <w:rStyle w:val="FootnoteReference"/>
        </w:rPr>
        <w:footnoteRef/>
      </w:r>
      <w:r>
        <w:t xml:space="preserve"> </w:t>
      </w:r>
      <w:r>
        <w:tab/>
        <w:t>Lei VI de 2018. Posteriormente, o Tribunal Constitucional salientou, na sua decisão n.º 3/2019. (III. 7.) AB que os termos da infração penal prevista no artigo 353.º-A do Código Penal não se referem à proibição das atividades das organizações humanitárias.</w:t>
      </w:r>
    </w:p>
  </w:footnote>
  <w:footnote w:id="153">
    <w:p>
      <w:pPr>
        <w:pStyle w:val="FootnoteText"/>
        <w:ind w:left="284" w:hanging="284"/>
        <w:contextualSpacing/>
      </w:pPr>
      <w:r>
        <w:rPr>
          <w:rStyle w:val="FootnoteReference"/>
        </w:rPr>
        <w:footnoteRef/>
      </w:r>
      <w:r>
        <w:t xml:space="preserve"> </w:t>
      </w:r>
      <w:r>
        <w:tab/>
        <w:t>Parecer conjunto CDL-AD(2018)013 da Comissão de Veneza e da OSCE ODIHR.</w:t>
      </w:r>
    </w:p>
  </w:footnote>
  <w:footnote w:id="154">
    <w:p>
      <w:pPr>
        <w:pStyle w:val="FootnoteText"/>
        <w:ind w:left="284" w:hanging="284"/>
        <w:contextualSpacing/>
      </w:pPr>
      <w:r>
        <w:rPr>
          <w:rStyle w:val="FootnoteReference"/>
        </w:rPr>
        <w:footnoteRef/>
      </w:r>
      <w:r>
        <w:t xml:space="preserve"> </w:t>
      </w:r>
      <w:r>
        <w:tab/>
        <w:t>«</w:t>
      </w:r>
      <w:r>
        <w:rPr>
          <w:i/>
        </w:rPr>
        <w:t>O imposto especial sobre a imigração constitui uma ingerência injustificada nos direitos à liberdade de expressão e de associação das ONG afetadas. A imposição deste imposto especial terá um efeito inibidor do exercício dos direitos fundamentais e nos indivíduos e organizações que defendem esses direitos ou apoiam financeiramente a sua defesa. Dissuadirá os potenciais doadores de apoiarem estas ONG e colocará mais dificuldades à sociedade civil envolvida em atividades legítimas no domínio dos direitos humanos.</w:t>
      </w:r>
      <w:r>
        <w:t xml:space="preserve"> Parecer conjunto CDL-AD(2018)035 da Comissão de Veneza e da OSCE ODIHR.</w:t>
      </w:r>
    </w:p>
  </w:footnote>
  <w:footnote w:id="155">
    <w:p>
      <w:pPr>
        <w:pStyle w:val="FootnoteText"/>
        <w:ind w:left="284" w:hanging="284"/>
        <w:contextualSpacing/>
      </w:pPr>
      <w:r>
        <w:rPr>
          <w:rStyle w:val="FootnoteReference"/>
        </w:rPr>
        <w:footnoteRef/>
      </w:r>
      <w:r>
        <w:t xml:space="preserve"> </w:t>
      </w:r>
      <w:r>
        <w:tab/>
        <w:t>Classificação da CIVICUS; as classificações correspondem a uma escala de cinco categorias, definidas como: aberto, estrito, obstruído, reprimido e fechado. A classificação de «obstruído» é normalmente atribuída aos países onde o espaço cívico é fortemente contestado pelos detentores do poder, que impõem uma combinação de restrições jurídicas e práticas ao pleno exercício dos direitos fundamentais.</w:t>
      </w:r>
    </w:p>
  </w:footnote>
  <w:footnote w:id="156">
    <w:p>
      <w:pPr>
        <w:pStyle w:val="FootnoteText"/>
        <w:ind w:left="284" w:hanging="284"/>
        <w:contextualSpacing/>
      </w:pPr>
      <w:r>
        <w:rPr>
          <w:rStyle w:val="FootnoteReference"/>
        </w:rPr>
        <w:footnoteRef/>
      </w:r>
      <w:r>
        <w:t xml:space="preserve"> </w:t>
      </w:r>
      <w:r>
        <w:tab/>
        <w:t>Recomendação CM/Rec(2018)11 do Comité de Ministros do Conselho da Europa.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right"/>
      <w:rPr>
        <w:i/>
        <w:szCs w:val="24"/>
        <w:lang w:val="en-I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900F7"/>
    <w:multiLevelType w:val="multilevel"/>
    <w:tmpl w:val="F5E05BF2"/>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nsid w:val="0EFB7115"/>
    <w:multiLevelType w:val="multilevel"/>
    <w:tmpl w:val="C02CF71C"/>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nsid w:val="120B7201"/>
    <w:multiLevelType w:val="multilevel"/>
    <w:tmpl w:val="06EA7BF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nsid w:val="1262685D"/>
    <w:multiLevelType w:val="multilevel"/>
    <w:tmpl w:val="61962E5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nsid w:val="143D0A16"/>
    <w:multiLevelType w:val="multilevel"/>
    <w:tmpl w:val="302C7F7E"/>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nsid w:val="172F0AC5"/>
    <w:multiLevelType w:val="multilevel"/>
    <w:tmpl w:val="9160A27E"/>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nsid w:val="1C7B624F"/>
    <w:multiLevelType w:val="multilevel"/>
    <w:tmpl w:val="02A614B2"/>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nsid w:val="2C8DFDF8"/>
    <w:multiLevelType w:val="multilevel"/>
    <w:tmpl w:val="7D4EB5E6"/>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nsid w:val="2D293CE3"/>
    <w:multiLevelType w:val="multilevel"/>
    <w:tmpl w:val="02E8E5B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nsid w:val="2D293CF4"/>
    <w:multiLevelType w:val="multilevel"/>
    <w:tmpl w:val="710C7B64"/>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nsid w:val="2D4A28FA"/>
    <w:multiLevelType w:val="hybridMultilevel"/>
    <w:tmpl w:val="6EC87D56"/>
    <w:lvl w:ilvl="0" w:tplc="08090013">
      <w:start w:val="1"/>
      <w:numFmt w:val="upperRoman"/>
      <w:lvlText w:val="%1."/>
      <w:lvlJc w:val="righ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nsid w:val="36324F1E"/>
    <w:multiLevelType w:val="multilevel"/>
    <w:tmpl w:val="C7EE94E0"/>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nsid w:val="37CB1E1C"/>
    <w:multiLevelType w:val="multilevel"/>
    <w:tmpl w:val="397EEAE8"/>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3A7730C4"/>
    <w:multiLevelType w:val="multilevel"/>
    <w:tmpl w:val="BECC3830"/>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nsid w:val="3E1E43B4"/>
    <w:multiLevelType w:val="hybridMultilevel"/>
    <w:tmpl w:val="DA0A4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29E662A"/>
    <w:multiLevelType w:val="multilevel"/>
    <w:tmpl w:val="318C0CD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nsid w:val="4E1A982C"/>
    <w:multiLevelType w:val="multilevel"/>
    <w:tmpl w:val="ED1844C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nsid w:val="5072619B"/>
    <w:multiLevelType w:val="multilevel"/>
    <w:tmpl w:val="4ABEA90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nsid w:val="6977472E"/>
    <w:multiLevelType w:val="multilevel"/>
    <w:tmpl w:val="ED125770"/>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nsid w:val="7C65145E"/>
    <w:multiLevelType w:val="multilevel"/>
    <w:tmpl w:val="78BC3DE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1">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1"/>
  </w:num>
  <w:num w:numId="3">
    <w:abstractNumId w:val="6"/>
  </w:num>
  <w:num w:numId="4">
    <w:abstractNumId w:val="12"/>
  </w:num>
  <w:num w:numId="5">
    <w:abstractNumId w:val="18"/>
  </w:num>
  <w:num w:numId="6">
    <w:abstractNumId w:val="19"/>
  </w:num>
  <w:num w:numId="7">
    <w:abstractNumId w:val="1"/>
  </w:num>
  <w:num w:numId="8">
    <w:abstractNumId w:val="5"/>
  </w:num>
  <w:num w:numId="9">
    <w:abstractNumId w:val="16"/>
  </w:num>
  <w:num w:numId="10">
    <w:abstractNumId w:val="2"/>
  </w:num>
  <w:num w:numId="11">
    <w:abstractNumId w:val="3"/>
  </w:num>
  <w:num w:numId="12">
    <w:abstractNumId w:val="4"/>
  </w:num>
  <w:num w:numId="13">
    <w:abstractNumId w:val="7"/>
  </w:num>
  <w:num w:numId="14">
    <w:abstractNumId w:val="14"/>
  </w:num>
  <w:num w:numId="15">
    <w:abstractNumId w:val="17"/>
  </w:num>
  <w:num w:numId="16">
    <w:abstractNumId w:val="20"/>
  </w:num>
  <w:num w:numId="17">
    <w:abstractNumId w:val="8"/>
  </w:num>
  <w:num w:numId="18">
    <w:abstractNumId w:val="9"/>
  </w:num>
  <w:num w:numId="19">
    <w:abstractNumId w:val="21"/>
  </w:num>
  <w:num w:numId="20">
    <w:abstractNumId w:val="10"/>
  </w:num>
  <w:num w:numId="21">
    <w:abstractNumId w:val="15"/>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displayBackgroundShap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65537"/>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que acompanha o documento"/>
    <w:docVar w:name="LW_CORRIGENDUM" w:val="&lt;UNUSED&gt;"/>
    <w:docVar w:name="LW_COVERPAGE_EXISTS" w:val="True"/>
    <w:docVar w:name="LW_COVERPAGE_GUID" w:val="94626D80-ADDE-49B4-A875-EDB8E1D56884"/>
    <w:docVar w:name="LW_COVERPAGE_TYPE" w:val="1"/>
    <w:docVar w:name="LW_CROSSREFERENCE" w:val="{COM(2020) 580 final} - {SWD(2020) 300 final} - {SWD(2020) 301 final} - {SWD(2020) 302 final} - {SWD(2020) 303 final} - {SWD(2020) 304 final} - {SWD(2020) 305 final} - {SWD(2020) 306 final} - {SWD(2020) 307 final} - {SWD(2020) 308 final} - {SWD(2020) 309 final} - {SWD(2020) 310 final} - {SWD(2020) 311 final} - {SWD(2020) 312 final} - {SWD(2020) 313 final} - {SWD(2020) 314 final} - {SWD(2020) 315 final} - {SWD(2020) 317 final} - {SWD(2020) 318 final} - {SWD(2020) 319 final} - {SWD(2020) 320 final} - {SWD(2020) 321 final} - {SWD(2020) 322 final} - {SWD(2020) 323 final} - {SWD(2020) 324 final} - {SWD(2020) 325 final} - {SWD(2020) 326 final}"/>
    <w:docVar w:name="LW_DocType" w:val="EUROLOOK"/>
    <w:docVar w:name="LW_EMISSION" w:val="30.9.2020"/>
    <w:docVar w:name="LW_EMISSION_ISODATE" w:val="2020-09-30"/>
    <w:docVar w:name="LW_EMISSION_LOCATION" w:val="BRX"/>
    <w:docVar w:name="LW_EMISSION_PREFIX" w:val="Bruxelas, "/>
    <w:docVar w:name="LW_EMISSION_SUFFIX" w:val=" "/>
    <w:docVar w:name="LW_ID_DOCTYPE_NONLW" w:val="CP-025"/>
    <w:docVar w:name="LW_LANGUE" w:val="PT"/>
    <w:docVar w:name="LW_LEVEL_OF_SENSITIVITY" w:val="Standard treatment"/>
    <w:docVar w:name="LW_NOM.INST" w:val="COMISSÃO EUROPEIA"/>
    <w:docVar w:name="LW_NOM.INST_JOINTDOC" w:val="&lt;EMPTY&gt;"/>
    <w:docVar w:name="LW_OBJETACTEPRINCIPAL.CP" w:val="Relatório de 2020 sobre o Estado de Direito_x000d__x000d__x000d__x000b_Situação na União Europeia"/>
    <w:docVar w:name="LW_PART_NBR" w:val="1"/>
    <w:docVar w:name="LW_PART_NBR_TOTAL" w:val="1"/>
    <w:docVar w:name="LW_REF.INST.NEW" w:val="SWD"/>
    <w:docVar w:name="LW_REF.INST.NEW_ADOPTED" w:val="final"/>
    <w:docVar w:name="LW_REF.INST.NEW_TEXT" w:val="(2020) 3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ório de 2020 sobre o Estado de direito_x000d__x000d__x000d__x000d__x000d__x000d__x000b_Capítulo relativo à Hungria"/>
    <w:docVar w:name="LW_TYPE.DOC.CP" w:val="DOCUMENTO DE TRABALHO DOS SERVIÇOS DA COMISSÃO"/>
    <w:docVar w:name="LW_TYPEACTEPRINCIPAL.CP" w:val="COMUNICAÇÃO DA COMISSÃO AO PARLAMENTO EUROPEU, AO CONSELHO, AO COMITÉ ECONÓMICO E SOCIAL EUROPEU E AO COMITÉ DAS REGIÕES "/>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pt-PT" w:eastAsia="en-GB" w:bidi="ar-SA"/>
      </w:rPr>
    </w:rPrDefault>
    <w:pPrDefault/>
  </w:docDefaults>
  <w:latentStyles w:defLockedState="1" w:defUIPriority="0" w:defSemiHidden="1" w:defUnhideWhenUsed="0" w:defQFormat="0" w:count="267">
    <w:lsdException w:name="Normal" w:semiHidden="0" w:uiPriority="90" w:qFormat="1"/>
    <w:lsdException w:name="heading 1" w:semiHidden="0" w:uiPriority="90" w:qFormat="1"/>
    <w:lsdException w:name="heading 2" w:semiHidden="0" w:uiPriority="90" w:qFormat="1"/>
    <w:lsdException w:name="heading 3" w:semiHidden="0" w:uiPriority="90" w:qFormat="1"/>
    <w:lsdException w:name="heading 4" w:semiHidden="0" w:uiPriority="90" w:qFormat="1"/>
    <w:lsdException w:name="toc 1" w:uiPriority="39"/>
    <w:lsdException w:name="toc 2" w:uiPriority="39"/>
    <w:lsdException w:name="toc 3" w:uiPriority="99"/>
    <w:lsdException w:name="toc 4" w:uiPriority="99"/>
    <w:lsdException w:name="footnote text" w:uiPriority="99" w:qFormat="1"/>
    <w:lsdException w:name="header" w:semiHidden="0" w:uiPriority="99"/>
    <w:lsdException w:name="footer" w:semiHidden="0" w:uiPriority="99"/>
    <w:lsdException w:name="caption" w:semiHidden="0"/>
    <w:lsdException w:name="footnote reference" w:uiPriority="99" w:qFormat="1"/>
    <w:lsdException w:name="List Bullet" w:semiHidden="0"/>
    <w:lsdException w:name="List Number" w:semiHidden="0"/>
    <w:lsdException w:name="List Bullet 2" w:semiHidden="0"/>
    <w:lsdException w:name="List Bullet 3" w:semiHidden="0"/>
    <w:lsdException w:name="List Bullet 4" w:semiHidden="0"/>
    <w:lsdException w:name="List Number 2" w:semiHidden="0"/>
    <w:lsdException w:name="List Number 3" w:semiHidden="0"/>
    <w:lsdException w:name="List Number 4" w:semiHidden="0"/>
    <w:lsdException w:name="Title" w:semiHidden="0"/>
    <w:lsdException w:name="Signature" w:semiHidden="0"/>
    <w:lsdException w:name="Default Paragraph Font" w:uiPriority="1"/>
    <w:lsdException w:name="Date" w:semiHidden="0"/>
    <w:lsdException w:name="Hyperlink" w:uiPriority="99"/>
    <w:lsdException w:name="Normal Table" w:uiPriority="99"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lsdException w:name="Table Theme" w:unhideWhenUsed="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uiPriority="34"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atentStyles>
  <w:style w:type="paragraph" w:default="1" w:styleId="Normal">
    <w:name w:val="Normal"/>
    <w:uiPriority w:val="90"/>
    <w:qFormat/>
    <w:pPr>
      <w:spacing w:after="240"/>
      <w:jc w:val="both"/>
    </w:pPr>
  </w:style>
  <w:style w:type="paragraph" w:styleId="Heading1">
    <w:name w:val="heading 1"/>
    <w:basedOn w:val="Normal"/>
    <w:next w:val="Text1"/>
    <w:uiPriority w:val="90"/>
    <w:qFormat/>
    <w:pPr>
      <w:keepNext/>
      <w:numPr>
        <w:numId w:val="16"/>
      </w:numPr>
      <w:spacing w:before="240"/>
      <w:outlineLvl w:val="0"/>
    </w:pPr>
    <w:rPr>
      <w:b/>
      <w:smallCaps/>
    </w:rPr>
  </w:style>
  <w:style w:type="paragraph" w:styleId="Heading2">
    <w:name w:val="heading 2"/>
    <w:basedOn w:val="Normal"/>
    <w:next w:val="Text2"/>
    <w:uiPriority w:val="90"/>
    <w:qFormat/>
    <w:pPr>
      <w:keepNext/>
      <w:numPr>
        <w:ilvl w:val="1"/>
        <w:numId w:val="16"/>
      </w:numPr>
      <w:outlineLvl w:val="1"/>
    </w:pPr>
    <w:rPr>
      <w:b/>
    </w:rPr>
  </w:style>
  <w:style w:type="paragraph" w:styleId="Heading3">
    <w:name w:val="heading 3"/>
    <w:basedOn w:val="Normal"/>
    <w:next w:val="Text3"/>
    <w:uiPriority w:val="90"/>
    <w:qFormat/>
    <w:pPr>
      <w:keepNext/>
      <w:numPr>
        <w:ilvl w:val="2"/>
        <w:numId w:val="16"/>
      </w:numPr>
      <w:outlineLvl w:val="2"/>
    </w:pPr>
    <w:rPr>
      <w:i/>
    </w:rPr>
  </w:style>
  <w:style w:type="paragraph" w:styleId="Heading4">
    <w:name w:val="heading 4"/>
    <w:basedOn w:val="Normal"/>
    <w:next w:val="Text4"/>
    <w:uiPriority w:val="9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InstructionRed">
    <w:name w:val="InstructionRed"/>
    <w:semiHidden/>
    <w:rPr>
      <w:i/>
      <w:color w:val="CB3535"/>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YReferences">
    <w:name w:val="YReferences"/>
    <w:basedOn w:val="Normal"/>
    <w:pPr>
      <w:spacing w:after="480"/>
      <w:ind w:left="3062" w:hanging="1531"/>
      <w:contextualSpacing/>
    </w:pPr>
  </w:style>
  <w:style w:type="paragraph" w:customStyle="1" w:styleId="SubTitle2">
    <w:name w:val="SubTitle 2"/>
    <w:basedOn w:val="Normal"/>
    <w:pPr>
      <w:jc w:val="center"/>
    </w:pPr>
    <w:rPr>
      <w:b/>
      <w:sz w:val="32"/>
    </w:rPr>
  </w:style>
  <w:style w:type="paragraph" w:customStyle="1" w:styleId="SubTitle1">
    <w:name w:val="SubTitle 1"/>
    <w:basedOn w:val="Normal"/>
    <w:next w:val="SubTitle2"/>
    <w:pPr>
      <w:jc w:val="center"/>
    </w:pPr>
    <w:rPr>
      <w:b/>
      <w:sz w:val="40"/>
    </w:rPr>
  </w:style>
  <w:style w:type="paragraph" w:styleId="Title">
    <w:name w:val="Title"/>
    <w:basedOn w:val="Normal"/>
    <w:next w:val="SubTitle1"/>
    <w:pPr>
      <w:spacing w:after="480"/>
      <w:jc w:val="center"/>
    </w:pPr>
    <w:rPr>
      <w:b/>
      <w:kern w:val="28"/>
      <w:sz w:val="48"/>
    </w:rPr>
  </w:style>
  <w:style w:type="paragraph" w:customStyle="1" w:styleId="Enclosures">
    <w:name w:val="Enclosures"/>
    <w:basedOn w:val="Normal"/>
    <w:pPr>
      <w:keepNext/>
      <w:keepLines/>
      <w:tabs>
        <w:tab w:val="left" w:pos="5641"/>
      </w:tabs>
      <w:spacing w:before="480" w:after="0"/>
      <w:ind w:left="2382" w:hanging="1191"/>
      <w:contextualSpacing/>
      <w:jc w:val="left"/>
    </w:pPr>
  </w:style>
  <w:style w:type="paragraph" w:customStyle="1" w:styleId="DoubSign">
    <w:name w:val="DoubSign"/>
    <w:basedOn w:val="Normal"/>
    <w:next w:val="Enclosures"/>
    <w:pPr>
      <w:tabs>
        <w:tab w:val="left" w:pos="5102"/>
      </w:tabs>
      <w:spacing w:before="1200" w:after="0"/>
      <w:jc w:val="left"/>
    </w:pPr>
  </w:style>
  <w:style w:type="paragraph" w:customStyle="1" w:styleId="SignatureL">
    <w:name w:val="SignatureL"/>
    <w:basedOn w:val="Normal"/>
    <w:next w:val="Enclosures"/>
    <w:pPr>
      <w:tabs>
        <w:tab w:val="left" w:pos="5102"/>
      </w:tabs>
      <w:spacing w:before="1200" w:after="0"/>
      <w:jc w:val="left"/>
    </w:pPr>
  </w:style>
  <w:style w:type="paragraph" w:styleId="Signature">
    <w:name w:val="Signature"/>
    <w:basedOn w:val="Normal"/>
    <w:next w:val="Enclosures"/>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qFormat/>
    <w:pPr>
      <w:ind w:left="1202"/>
    </w:pPr>
  </w:style>
  <w:style w:type="paragraph" w:customStyle="1" w:styleId="Text1">
    <w:name w:val="Text 1"/>
    <w:basedOn w:val="Normal"/>
    <w:uiPriority w:val="90"/>
    <w:qFormat/>
    <w:pPr>
      <w:ind w:left="482"/>
    </w:pPr>
  </w:style>
  <w:style w:type="paragraph" w:customStyle="1" w:styleId="ZFlag">
    <w:name w:val="Z_Flag"/>
    <w:basedOn w:val="Normal"/>
    <w:next w:val="Normal"/>
    <w:uiPriority w:val="99"/>
    <w:semiHidden/>
    <w:pPr>
      <w:widowControl w:val="0"/>
      <w:spacing w:after="0"/>
      <w:ind w:right="85"/>
    </w:pPr>
  </w:style>
  <w:style w:type="paragraph" w:customStyle="1" w:styleId="ZCom">
    <w:name w:val="Z_Com"/>
    <w:basedOn w:val="Normal"/>
    <w:next w:val="Normal"/>
    <w:uiPriority w:val="99"/>
    <w:semiHidden/>
    <w:pPr>
      <w:widowControl w:val="0"/>
      <w:spacing w:before="90" w:after="0"/>
      <w:ind w:right="85"/>
    </w:pPr>
  </w:style>
  <w:style w:type="paragraph" w:customStyle="1" w:styleId="ZDGName">
    <w:name w:val="Z_DGName"/>
    <w:basedOn w:val="Normal"/>
    <w:uiPriority w:val="99"/>
    <w:semiHidden/>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contextualSpacing/>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pPr>
      <w:ind w:left="5102" w:right="-567"/>
      <w:contextualSpacing/>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Schriftart: 9 pt,Schriftart: 10 pt,Schriftart: 8 pt,WB-Fußnotentext,Reference,Fußnote,fn,Footnote Text Char2,Footnote Text Char Char1,Footnote Text Char1 Char Char,Footnote Text Char Char Char Char,Char Char Char Char Char,Char,Cha,stile 1"/>
    <w:basedOn w:val="Normal"/>
    <w:link w:val="FootnoteTextChar"/>
    <w:uiPriority w:val="99"/>
    <w:qFormat/>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9"/>
      </w:numPr>
      <w:spacing w:after="480"/>
      <w:outlineLvl w:val="0"/>
    </w:pPr>
    <w:rPr>
      <w:b/>
      <w:sz w:val="32"/>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pPr>
      <w:numPr>
        <w:numId w:val="15"/>
      </w:numPr>
    </w:p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semiHidden/>
    <w:unhideWhenUsed/>
    <w:pPr>
      <w:numPr>
        <w:ilvl w:val="2"/>
        <w:numId w:val="15"/>
      </w:numPr>
    </w:pPr>
  </w:style>
  <w:style w:type="paragraph" w:customStyle="1" w:styleId="ListBulletLevel4">
    <w:name w:val="List Bullet (Level 4)"/>
    <w:basedOn w:val="Text1"/>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ind w:left="5102" w:right="-567"/>
      <w:contextualSpacing/>
      <w:jc w:val="left"/>
    </w:pPr>
    <w:rPr>
      <w:sz w:val="28"/>
    </w:rPr>
  </w:style>
  <w:style w:type="paragraph" w:customStyle="1" w:styleId="LegalNumPar">
    <w:name w:val="LegalNumPar"/>
    <w:basedOn w:val="Normal"/>
    <w:uiPriority w:val="90"/>
    <w:qFormat/>
    <w:pPr>
      <w:numPr>
        <w:numId w:val="17"/>
      </w:numPr>
      <w:spacing w:line="360" w:lineRule="auto"/>
    </w:pPr>
  </w:style>
  <w:style w:type="paragraph" w:customStyle="1" w:styleId="LegalNumPar2">
    <w:name w:val="LegalNumPar2"/>
    <w:basedOn w:val="Normal"/>
    <w:pPr>
      <w:numPr>
        <w:ilvl w:val="1"/>
        <w:numId w:val="17"/>
      </w:numPr>
      <w:spacing w:line="360" w:lineRule="auto"/>
    </w:pPr>
  </w:style>
  <w:style w:type="paragraph" w:customStyle="1" w:styleId="LegalNumPar3">
    <w:name w:val="LegalNumPar3"/>
    <w:basedOn w:val="Normal"/>
    <w:pPr>
      <w:numPr>
        <w:ilvl w:val="2"/>
        <w:numId w:val="17"/>
      </w:numPr>
      <w:spacing w:line="360" w:lineRule="auto"/>
    </w:pPr>
  </w:style>
  <w:style w:type="paragraph" w:customStyle="1" w:styleId="ContNum">
    <w:name w:val="ContNum"/>
    <w:basedOn w:val="Normal"/>
    <w:uiPriority w:val="90"/>
    <w:qFormat/>
    <w:pPr>
      <w:numPr>
        <w:numId w:val="18"/>
      </w:numPr>
    </w:pPr>
  </w:style>
  <w:style w:type="paragraph" w:customStyle="1" w:styleId="ContNumLevel2">
    <w:name w:val="ContNum (Level 2)"/>
    <w:basedOn w:val="Normal"/>
    <w:pPr>
      <w:numPr>
        <w:ilvl w:val="1"/>
        <w:numId w:val="18"/>
      </w:numPr>
    </w:pPr>
  </w:style>
  <w:style w:type="paragraph" w:customStyle="1" w:styleId="ContNumLevel3">
    <w:name w:val="ContNum (Level 3)"/>
    <w:basedOn w:val="Normal"/>
    <w:pPr>
      <w:numPr>
        <w:ilvl w:val="2"/>
        <w:numId w:val="18"/>
      </w:numPr>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 w:type="paragraph" w:styleId="ListParagraph">
    <w:name w:val="List Paragraph"/>
    <w:aliases w:val="Fiche List Paragraph,Dot pt,F5 List Paragraph,List Paragraph1,No Spacing1,List Paragraph Char Char Char,Indicator Text,Numbered Para 1,Bullet Points,MAIN CONTENT,List Paragraph12,Bullet 1,OBC Bullet,Colorful List - Accent 11,Welt L Char"/>
    <w:basedOn w:val="Normal"/>
    <w:link w:val="ListParagraphChar"/>
    <w:uiPriority w:val="34"/>
    <w:qFormat/>
    <w:locked/>
    <w:pPr>
      <w:spacing w:after="160" w:line="259" w:lineRule="auto"/>
      <w:ind w:left="720"/>
      <w:contextualSpacing/>
      <w:jc w:val="left"/>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Pr>
      <w:sz w:val="16"/>
    </w:rPr>
  </w:style>
  <w:style w:type="character" w:styleId="Hyperlink">
    <w:name w:val="Hyperlink"/>
    <w:basedOn w:val="DefaultParagraphFont"/>
    <w:uiPriority w:val="99"/>
    <w:unhideWhenUsed/>
    <w:locked/>
    <w:rPr>
      <w:color w:val="0563C1" w:themeColor="hyperlink"/>
      <w:u w:val="single"/>
    </w:rPr>
  </w:style>
  <w:style w:type="character" w:customStyle="1" w:styleId="FootnoteTextChar">
    <w:name w:val="Footnote Text Char"/>
    <w:aliases w:val="Schriftart: 9 pt Char,Schriftart: 10 pt Char,Schriftart: 8 pt Char,WB-Fußnotentext Char,Reference Char,Fußnote Char,fn Char,Footnote Text Char2 Char,Footnote Text Char Char1 Char,Footnote Text Char1 Char Char Char,Char Char,Cha Char"/>
    <w:basedOn w:val="DefaultParagraphFont"/>
    <w:link w:val="FootnoteText"/>
    <w:uiPriority w:val="99"/>
    <w:qFormat/>
    <w:rPr>
      <w:sz w:val="20"/>
    </w:rPr>
  </w:style>
  <w:style w:type="character" w:styleId="FootnoteReference">
    <w:name w:val="footnote reference"/>
    <w:aliases w:val="BVI fnr,Footnote symbol,Footnote Reference Superscript,Voetnootverwijzing,Footnote reference number,Times 10 Point,Exposant 3 Point,Ref,de nota al pie,note TESI,SUPERS,EN Footnote Reference,Footnote Reference Number,Char1,Footnote,fr"/>
    <w:basedOn w:val="DefaultParagraphFont"/>
    <w:link w:val="FootnotesymbolCarZchn"/>
    <w:uiPriority w:val="99"/>
    <w:unhideWhenUsed/>
    <w:qFormat/>
    <w:locked/>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vertAlign w:val="superscript"/>
    </w:rPr>
  </w:style>
  <w:style w:type="character" w:customStyle="1" w:styleId="ListParagraphChar">
    <w:name w:val="List Paragraph Char"/>
    <w:aliases w:val="Fiche List Paragraph Char,Dot pt Char,F5 List Paragraph Char,List Paragraph1 Char,No Spacing1 Char,List Paragraph Char Char Char Char,Indicator Text Char,Numbered Para 1 Char,Bullet Points Char,MAIN CONTENT Char,List Paragraph12 Char"/>
    <w:link w:val="ListParagraph"/>
    <w:uiPriority w:val="34"/>
    <w:qFormat/>
    <w:locked/>
    <w:rPr>
      <w:rFonts w:asciiTheme="minorHAnsi" w:eastAsiaTheme="minorHAnsi" w:hAnsiTheme="minorHAnsi" w:cstheme="minorBidi"/>
      <w:sz w:val="22"/>
      <w:szCs w:val="22"/>
      <w:lang w:val="pt-PT" w:eastAsia="en-US"/>
    </w:rPr>
  </w:style>
  <w:style w:type="character" w:customStyle="1" w:styleId="Bodytext2">
    <w:name w:val="Body text|2_"/>
    <w:link w:val="Bodytext21"/>
    <w:uiPriority w:val="99"/>
    <w:rPr>
      <w:shd w:val="clear" w:color="auto" w:fill="FFFFFF"/>
    </w:rPr>
  </w:style>
  <w:style w:type="paragraph" w:customStyle="1" w:styleId="Bodytext21">
    <w:name w:val="Body text|21"/>
    <w:basedOn w:val="Normal"/>
    <w:link w:val="Bodytext2"/>
    <w:uiPriority w:val="99"/>
    <w:qFormat/>
    <w:pPr>
      <w:widowControl w:val="0"/>
      <w:shd w:val="clear" w:color="auto" w:fill="FFFFFF"/>
      <w:spacing w:before="300" w:after="0" w:line="283" w:lineRule="exact"/>
      <w:ind w:hanging="660"/>
    </w:pPr>
  </w:style>
  <w:style w:type="character" w:customStyle="1" w:styleId="textcolumn">
    <w:name w:val="textcolumn"/>
    <w:basedOn w:val="DefaultParagraphFont"/>
  </w:style>
  <w:style w:type="character" w:customStyle="1" w:styleId="normaltextrun">
    <w:name w:val="normaltextrun"/>
    <w:basedOn w:val="DefaultParagraphFont"/>
  </w:style>
  <w:style w:type="character" w:customStyle="1" w:styleId="eop">
    <w:name w:val="eop"/>
    <w:basedOn w:val="DefaultParagraphFont"/>
  </w:style>
  <w:style w:type="paragraph" w:customStyle="1" w:styleId="paragraph">
    <w:name w:val="paragraph"/>
    <w:basedOn w:val="Normal"/>
    <w:pPr>
      <w:spacing w:before="100" w:beforeAutospacing="1" w:after="100" w:afterAutospacing="1"/>
      <w:jc w:val="left"/>
    </w:pPr>
    <w:rPr>
      <w:szCs w:val="24"/>
    </w:rPr>
  </w:style>
  <w:style w:type="paragraph" w:customStyle="1" w:styleId="EUPACKNormal">
    <w:name w:val="EUPACK Normal"/>
    <w:basedOn w:val="Normal"/>
    <w:link w:val="EUPACKNormalChar"/>
    <w:autoRedefine/>
    <w:qFormat/>
    <w:pPr>
      <w:spacing w:after="120"/>
      <w:ind w:left="284"/>
    </w:pPr>
    <w:rPr>
      <w:szCs w:val="24"/>
      <w:shd w:val="clear" w:color="auto" w:fill="FFFFFF"/>
      <w:lang w:eastAsia="fr-FR"/>
    </w:rPr>
  </w:style>
  <w:style w:type="character" w:customStyle="1" w:styleId="EUPACKNormalChar">
    <w:name w:val="EUPACK Normal Char"/>
    <w:link w:val="EUPACKNormal"/>
    <w:rPr>
      <w:szCs w:val="24"/>
      <w:lang w:eastAsia="fr-FR"/>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rPr>
  </w:style>
  <w:style w:type="character" w:customStyle="1" w:styleId="CommentTextChar">
    <w:name w:val="Comment Text Char"/>
    <w:basedOn w:val="DefaultParagraphFont"/>
    <w:link w:val="CommentText"/>
    <w:semiHidden/>
    <w:rPr>
      <w:sz w:val="20"/>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b/>
      <w:bCs/>
      <w:sz w:val="20"/>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pt-PT" w:eastAsia="en-GB" w:bidi="ar-SA"/>
      </w:rPr>
    </w:rPrDefault>
    <w:pPrDefault/>
  </w:docDefaults>
  <w:latentStyles w:defLockedState="1" w:defUIPriority="0" w:defSemiHidden="1" w:defUnhideWhenUsed="0" w:defQFormat="0" w:count="267">
    <w:lsdException w:name="Normal" w:semiHidden="0" w:uiPriority="90" w:qFormat="1"/>
    <w:lsdException w:name="heading 1" w:semiHidden="0" w:uiPriority="90" w:qFormat="1"/>
    <w:lsdException w:name="heading 2" w:semiHidden="0" w:uiPriority="90" w:qFormat="1"/>
    <w:lsdException w:name="heading 3" w:semiHidden="0" w:uiPriority="90" w:qFormat="1"/>
    <w:lsdException w:name="heading 4" w:semiHidden="0" w:uiPriority="90" w:qFormat="1"/>
    <w:lsdException w:name="toc 1" w:uiPriority="39"/>
    <w:lsdException w:name="toc 2" w:uiPriority="39"/>
    <w:lsdException w:name="toc 3" w:uiPriority="99"/>
    <w:lsdException w:name="toc 4" w:uiPriority="99"/>
    <w:lsdException w:name="footnote text" w:uiPriority="99" w:qFormat="1"/>
    <w:lsdException w:name="header" w:semiHidden="0" w:uiPriority="99"/>
    <w:lsdException w:name="footer" w:semiHidden="0" w:uiPriority="99"/>
    <w:lsdException w:name="caption" w:semiHidden="0"/>
    <w:lsdException w:name="footnote reference" w:uiPriority="99" w:qFormat="1"/>
    <w:lsdException w:name="List Bullet" w:semiHidden="0"/>
    <w:lsdException w:name="List Number" w:semiHidden="0"/>
    <w:lsdException w:name="List Bullet 2" w:semiHidden="0"/>
    <w:lsdException w:name="List Bullet 3" w:semiHidden="0"/>
    <w:lsdException w:name="List Bullet 4" w:semiHidden="0"/>
    <w:lsdException w:name="List Number 2" w:semiHidden="0"/>
    <w:lsdException w:name="List Number 3" w:semiHidden="0"/>
    <w:lsdException w:name="List Number 4" w:semiHidden="0"/>
    <w:lsdException w:name="Title" w:semiHidden="0"/>
    <w:lsdException w:name="Signature" w:semiHidden="0"/>
    <w:lsdException w:name="Default Paragraph Font" w:uiPriority="1"/>
    <w:lsdException w:name="Date" w:semiHidden="0"/>
    <w:lsdException w:name="Hyperlink" w:uiPriority="99"/>
    <w:lsdException w:name="Normal Table" w:uiPriority="99"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lsdException w:name="Table Theme" w:unhideWhenUsed="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uiPriority="34"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atentStyles>
  <w:style w:type="paragraph" w:default="1" w:styleId="Normal">
    <w:name w:val="Normal"/>
    <w:uiPriority w:val="90"/>
    <w:qFormat/>
    <w:pPr>
      <w:spacing w:after="240"/>
      <w:jc w:val="both"/>
    </w:pPr>
  </w:style>
  <w:style w:type="paragraph" w:styleId="Heading1">
    <w:name w:val="heading 1"/>
    <w:basedOn w:val="Normal"/>
    <w:next w:val="Text1"/>
    <w:uiPriority w:val="90"/>
    <w:qFormat/>
    <w:pPr>
      <w:keepNext/>
      <w:numPr>
        <w:numId w:val="16"/>
      </w:numPr>
      <w:spacing w:before="240"/>
      <w:outlineLvl w:val="0"/>
    </w:pPr>
    <w:rPr>
      <w:b/>
      <w:smallCaps/>
    </w:rPr>
  </w:style>
  <w:style w:type="paragraph" w:styleId="Heading2">
    <w:name w:val="heading 2"/>
    <w:basedOn w:val="Normal"/>
    <w:next w:val="Text2"/>
    <w:uiPriority w:val="90"/>
    <w:qFormat/>
    <w:pPr>
      <w:keepNext/>
      <w:numPr>
        <w:ilvl w:val="1"/>
        <w:numId w:val="16"/>
      </w:numPr>
      <w:outlineLvl w:val="1"/>
    </w:pPr>
    <w:rPr>
      <w:b/>
    </w:rPr>
  </w:style>
  <w:style w:type="paragraph" w:styleId="Heading3">
    <w:name w:val="heading 3"/>
    <w:basedOn w:val="Normal"/>
    <w:next w:val="Text3"/>
    <w:uiPriority w:val="90"/>
    <w:qFormat/>
    <w:pPr>
      <w:keepNext/>
      <w:numPr>
        <w:ilvl w:val="2"/>
        <w:numId w:val="16"/>
      </w:numPr>
      <w:outlineLvl w:val="2"/>
    </w:pPr>
    <w:rPr>
      <w:i/>
    </w:rPr>
  </w:style>
  <w:style w:type="paragraph" w:styleId="Heading4">
    <w:name w:val="heading 4"/>
    <w:basedOn w:val="Normal"/>
    <w:next w:val="Text4"/>
    <w:uiPriority w:val="9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InstructionRed">
    <w:name w:val="InstructionRed"/>
    <w:semiHidden/>
    <w:rPr>
      <w:i/>
      <w:color w:val="CB3535"/>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YReferences">
    <w:name w:val="YReferences"/>
    <w:basedOn w:val="Normal"/>
    <w:pPr>
      <w:spacing w:after="480"/>
      <w:ind w:left="3062" w:hanging="1531"/>
      <w:contextualSpacing/>
    </w:pPr>
  </w:style>
  <w:style w:type="paragraph" w:customStyle="1" w:styleId="SubTitle2">
    <w:name w:val="SubTitle 2"/>
    <w:basedOn w:val="Normal"/>
    <w:pPr>
      <w:jc w:val="center"/>
    </w:pPr>
    <w:rPr>
      <w:b/>
      <w:sz w:val="32"/>
    </w:rPr>
  </w:style>
  <w:style w:type="paragraph" w:customStyle="1" w:styleId="SubTitle1">
    <w:name w:val="SubTitle 1"/>
    <w:basedOn w:val="Normal"/>
    <w:next w:val="SubTitle2"/>
    <w:pPr>
      <w:jc w:val="center"/>
    </w:pPr>
    <w:rPr>
      <w:b/>
      <w:sz w:val="40"/>
    </w:rPr>
  </w:style>
  <w:style w:type="paragraph" w:styleId="Title">
    <w:name w:val="Title"/>
    <w:basedOn w:val="Normal"/>
    <w:next w:val="SubTitle1"/>
    <w:pPr>
      <w:spacing w:after="480"/>
      <w:jc w:val="center"/>
    </w:pPr>
    <w:rPr>
      <w:b/>
      <w:kern w:val="28"/>
      <w:sz w:val="48"/>
    </w:rPr>
  </w:style>
  <w:style w:type="paragraph" w:customStyle="1" w:styleId="Enclosures">
    <w:name w:val="Enclosures"/>
    <w:basedOn w:val="Normal"/>
    <w:pPr>
      <w:keepNext/>
      <w:keepLines/>
      <w:tabs>
        <w:tab w:val="left" w:pos="5641"/>
      </w:tabs>
      <w:spacing w:before="480" w:after="0"/>
      <w:ind w:left="2382" w:hanging="1191"/>
      <w:contextualSpacing/>
      <w:jc w:val="left"/>
    </w:pPr>
  </w:style>
  <w:style w:type="paragraph" w:customStyle="1" w:styleId="DoubSign">
    <w:name w:val="DoubSign"/>
    <w:basedOn w:val="Normal"/>
    <w:next w:val="Enclosures"/>
    <w:pPr>
      <w:tabs>
        <w:tab w:val="left" w:pos="5102"/>
      </w:tabs>
      <w:spacing w:before="1200" w:after="0"/>
      <w:jc w:val="left"/>
    </w:pPr>
  </w:style>
  <w:style w:type="paragraph" w:customStyle="1" w:styleId="SignatureL">
    <w:name w:val="SignatureL"/>
    <w:basedOn w:val="Normal"/>
    <w:next w:val="Enclosures"/>
    <w:pPr>
      <w:tabs>
        <w:tab w:val="left" w:pos="5102"/>
      </w:tabs>
      <w:spacing w:before="1200" w:after="0"/>
      <w:jc w:val="left"/>
    </w:pPr>
  </w:style>
  <w:style w:type="paragraph" w:styleId="Signature">
    <w:name w:val="Signature"/>
    <w:basedOn w:val="Normal"/>
    <w:next w:val="Enclosures"/>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qFormat/>
    <w:pPr>
      <w:ind w:left="1202"/>
    </w:pPr>
  </w:style>
  <w:style w:type="paragraph" w:customStyle="1" w:styleId="Text1">
    <w:name w:val="Text 1"/>
    <w:basedOn w:val="Normal"/>
    <w:uiPriority w:val="90"/>
    <w:qFormat/>
    <w:pPr>
      <w:ind w:left="482"/>
    </w:pPr>
  </w:style>
  <w:style w:type="paragraph" w:customStyle="1" w:styleId="ZFlag">
    <w:name w:val="Z_Flag"/>
    <w:basedOn w:val="Normal"/>
    <w:next w:val="Normal"/>
    <w:uiPriority w:val="99"/>
    <w:semiHidden/>
    <w:pPr>
      <w:widowControl w:val="0"/>
      <w:spacing w:after="0"/>
      <w:ind w:right="85"/>
    </w:pPr>
  </w:style>
  <w:style w:type="paragraph" w:customStyle="1" w:styleId="ZCom">
    <w:name w:val="Z_Com"/>
    <w:basedOn w:val="Normal"/>
    <w:next w:val="Normal"/>
    <w:uiPriority w:val="99"/>
    <w:semiHidden/>
    <w:pPr>
      <w:widowControl w:val="0"/>
      <w:spacing w:before="90" w:after="0"/>
      <w:ind w:right="85"/>
    </w:pPr>
  </w:style>
  <w:style w:type="paragraph" w:customStyle="1" w:styleId="ZDGName">
    <w:name w:val="Z_DGName"/>
    <w:basedOn w:val="Normal"/>
    <w:uiPriority w:val="99"/>
    <w:semiHidden/>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contextualSpacing/>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pPr>
      <w:ind w:left="5102" w:right="-567"/>
      <w:contextualSpacing/>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Schriftart: 9 pt,Schriftart: 10 pt,Schriftart: 8 pt,WB-Fußnotentext,Reference,Fußnote,fn,Footnote Text Char2,Footnote Text Char Char1,Footnote Text Char1 Char Char,Footnote Text Char Char Char Char,Char Char Char Char Char,Char,Cha,stile 1"/>
    <w:basedOn w:val="Normal"/>
    <w:link w:val="FootnoteTextChar"/>
    <w:uiPriority w:val="99"/>
    <w:qFormat/>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9"/>
      </w:numPr>
      <w:spacing w:after="480"/>
      <w:outlineLvl w:val="0"/>
    </w:pPr>
    <w:rPr>
      <w:b/>
      <w:sz w:val="32"/>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pPr>
      <w:numPr>
        <w:numId w:val="15"/>
      </w:numPr>
    </w:p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semiHidden/>
    <w:unhideWhenUsed/>
    <w:pPr>
      <w:numPr>
        <w:ilvl w:val="2"/>
        <w:numId w:val="15"/>
      </w:numPr>
    </w:pPr>
  </w:style>
  <w:style w:type="paragraph" w:customStyle="1" w:styleId="ListBulletLevel4">
    <w:name w:val="List Bullet (Level 4)"/>
    <w:basedOn w:val="Text1"/>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ind w:left="5102" w:right="-567"/>
      <w:contextualSpacing/>
      <w:jc w:val="left"/>
    </w:pPr>
    <w:rPr>
      <w:sz w:val="28"/>
    </w:rPr>
  </w:style>
  <w:style w:type="paragraph" w:customStyle="1" w:styleId="LegalNumPar">
    <w:name w:val="LegalNumPar"/>
    <w:basedOn w:val="Normal"/>
    <w:uiPriority w:val="90"/>
    <w:qFormat/>
    <w:pPr>
      <w:numPr>
        <w:numId w:val="17"/>
      </w:numPr>
      <w:spacing w:line="360" w:lineRule="auto"/>
    </w:pPr>
  </w:style>
  <w:style w:type="paragraph" w:customStyle="1" w:styleId="LegalNumPar2">
    <w:name w:val="LegalNumPar2"/>
    <w:basedOn w:val="Normal"/>
    <w:pPr>
      <w:numPr>
        <w:ilvl w:val="1"/>
        <w:numId w:val="17"/>
      </w:numPr>
      <w:spacing w:line="360" w:lineRule="auto"/>
    </w:pPr>
  </w:style>
  <w:style w:type="paragraph" w:customStyle="1" w:styleId="LegalNumPar3">
    <w:name w:val="LegalNumPar3"/>
    <w:basedOn w:val="Normal"/>
    <w:pPr>
      <w:numPr>
        <w:ilvl w:val="2"/>
        <w:numId w:val="17"/>
      </w:numPr>
      <w:spacing w:line="360" w:lineRule="auto"/>
    </w:pPr>
  </w:style>
  <w:style w:type="paragraph" w:customStyle="1" w:styleId="ContNum">
    <w:name w:val="ContNum"/>
    <w:basedOn w:val="Normal"/>
    <w:uiPriority w:val="90"/>
    <w:qFormat/>
    <w:pPr>
      <w:numPr>
        <w:numId w:val="18"/>
      </w:numPr>
    </w:pPr>
  </w:style>
  <w:style w:type="paragraph" w:customStyle="1" w:styleId="ContNumLevel2">
    <w:name w:val="ContNum (Level 2)"/>
    <w:basedOn w:val="Normal"/>
    <w:pPr>
      <w:numPr>
        <w:ilvl w:val="1"/>
        <w:numId w:val="18"/>
      </w:numPr>
    </w:pPr>
  </w:style>
  <w:style w:type="paragraph" w:customStyle="1" w:styleId="ContNumLevel3">
    <w:name w:val="ContNum (Level 3)"/>
    <w:basedOn w:val="Normal"/>
    <w:pPr>
      <w:numPr>
        <w:ilvl w:val="2"/>
        <w:numId w:val="18"/>
      </w:numPr>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 w:type="paragraph" w:styleId="ListParagraph">
    <w:name w:val="List Paragraph"/>
    <w:aliases w:val="Fiche List Paragraph,Dot pt,F5 List Paragraph,List Paragraph1,No Spacing1,List Paragraph Char Char Char,Indicator Text,Numbered Para 1,Bullet Points,MAIN CONTENT,List Paragraph12,Bullet 1,OBC Bullet,Colorful List - Accent 11,Welt L Char"/>
    <w:basedOn w:val="Normal"/>
    <w:link w:val="ListParagraphChar"/>
    <w:uiPriority w:val="34"/>
    <w:qFormat/>
    <w:locked/>
    <w:pPr>
      <w:spacing w:after="160" w:line="259" w:lineRule="auto"/>
      <w:ind w:left="720"/>
      <w:contextualSpacing/>
      <w:jc w:val="left"/>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Pr>
      <w:sz w:val="16"/>
    </w:rPr>
  </w:style>
  <w:style w:type="character" w:styleId="Hyperlink">
    <w:name w:val="Hyperlink"/>
    <w:basedOn w:val="DefaultParagraphFont"/>
    <w:uiPriority w:val="99"/>
    <w:unhideWhenUsed/>
    <w:locked/>
    <w:rPr>
      <w:color w:val="0563C1" w:themeColor="hyperlink"/>
      <w:u w:val="single"/>
    </w:rPr>
  </w:style>
  <w:style w:type="character" w:customStyle="1" w:styleId="FootnoteTextChar">
    <w:name w:val="Footnote Text Char"/>
    <w:aliases w:val="Schriftart: 9 pt Char,Schriftart: 10 pt Char,Schriftart: 8 pt Char,WB-Fußnotentext Char,Reference Char,Fußnote Char,fn Char,Footnote Text Char2 Char,Footnote Text Char Char1 Char,Footnote Text Char1 Char Char Char,Char Char,Cha Char"/>
    <w:basedOn w:val="DefaultParagraphFont"/>
    <w:link w:val="FootnoteText"/>
    <w:uiPriority w:val="99"/>
    <w:qFormat/>
    <w:rPr>
      <w:sz w:val="20"/>
    </w:rPr>
  </w:style>
  <w:style w:type="character" w:styleId="FootnoteReference">
    <w:name w:val="footnote reference"/>
    <w:aliases w:val="BVI fnr,Footnote symbol,Footnote Reference Superscript,Voetnootverwijzing,Footnote reference number,Times 10 Point,Exposant 3 Point,Ref,de nota al pie,note TESI,SUPERS,EN Footnote Reference,Footnote Reference Number,Char1,Footnote,fr"/>
    <w:basedOn w:val="DefaultParagraphFont"/>
    <w:link w:val="FootnotesymbolCarZchn"/>
    <w:uiPriority w:val="99"/>
    <w:unhideWhenUsed/>
    <w:qFormat/>
    <w:locked/>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vertAlign w:val="superscript"/>
    </w:rPr>
  </w:style>
  <w:style w:type="character" w:customStyle="1" w:styleId="ListParagraphChar">
    <w:name w:val="List Paragraph Char"/>
    <w:aliases w:val="Fiche List Paragraph Char,Dot pt Char,F5 List Paragraph Char,List Paragraph1 Char,No Spacing1 Char,List Paragraph Char Char Char Char,Indicator Text Char,Numbered Para 1 Char,Bullet Points Char,MAIN CONTENT Char,List Paragraph12 Char"/>
    <w:link w:val="ListParagraph"/>
    <w:uiPriority w:val="34"/>
    <w:qFormat/>
    <w:locked/>
    <w:rPr>
      <w:rFonts w:asciiTheme="minorHAnsi" w:eastAsiaTheme="minorHAnsi" w:hAnsiTheme="minorHAnsi" w:cstheme="minorBidi"/>
      <w:sz w:val="22"/>
      <w:szCs w:val="22"/>
      <w:lang w:val="pt-PT" w:eastAsia="en-US"/>
    </w:rPr>
  </w:style>
  <w:style w:type="character" w:customStyle="1" w:styleId="Bodytext2">
    <w:name w:val="Body text|2_"/>
    <w:link w:val="Bodytext21"/>
    <w:uiPriority w:val="99"/>
    <w:rPr>
      <w:shd w:val="clear" w:color="auto" w:fill="FFFFFF"/>
    </w:rPr>
  </w:style>
  <w:style w:type="paragraph" w:customStyle="1" w:styleId="Bodytext21">
    <w:name w:val="Body text|21"/>
    <w:basedOn w:val="Normal"/>
    <w:link w:val="Bodytext2"/>
    <w:uiPriority w:val="99"/>
    <w:qFormat/>
    <w:pPr>
      <w:widowControl w:val="0"/>
      <w:shd w:val="clear" w:color="auto" w:fill="FFFFFF"/>
      <w:spacing w:before="300" w:after="0" w:line="283" w:lineRule="exact"/>
      <w:ind w:hanging="660"/>
    </w:pPr>
  </w:style>
  <w:style w:type="character" w:customStyle="1" w:styleId="textcolumn">
    <w:name w:val="textcolumn"/>
    <w:basedOn w:val="DefaultParagraphFont"/>
  </w:style>
  <w:style w:type="character" w:customStyle="1" w:styleId="normaltextrun">
    <w:name w:val="normaltextrun"/>
    <w:basedOn w:val="DefaultParagraphFont"/>
  </w:style>
  <w:style w:type="character" w:customStyle="1" w:styleId="eop">
    <w:name w:val="eop"/>
    <w:basedOn w:val="DefaultParagraphFont"/>
  </w:style>
  <w:style w:type="paragraph" w:customStyle="1" w:styleId="paragraph">
    <w:name w:val="paragraph"/>
    <w:basedOn w:val="Normal"/>
    <w:pPr>
      <w:spacing w:before="100" w:beforeAutospacing="1" w:after="100" w:afterAutospacing="1"/>
      <w:jc w:val="left"/>
    </w:pPr>
    <w:rPr>
      <w:szCs w:val="24"/>
    </w:rPr>
  </w:style>
  <w:style w:type="paragraph" w:customStyle="1" w:styleId="EUPACKNormal">
    <w:name w:val="EUPACK Normal"/>
    <w:basedOn w:val="Normal"/>
    <w:link w:val="EUPACKNormalChar"/>
    <w:autoRedefine/>
    <w:qFormat/>
    <w:pPr>
      <w:spacing w:after="120"/>
      <w:ind w:left="284"/>
    </w:pPr>
    <w:rPr>
      <w:szCs w:val="24"/>
      <w:shd w:val="clear" w:color="auto" w:fill="FFFFFF"/>
      <w:lang w:eastAsia="fr-FR"/>
    </w:rPr>
  </w:style>
  <w:style w:type="character" w:customStyle="1" w:styleId="EUPACKNormalChar">
    <w:name w:val="EUPACK Normal Char"/>
    <w:link w:val="EUPACKNormal"/>
    <w:rPr>
      <w:szCs w:val="24"/>
      <w:lang w:eastAsia="fr-FR"/>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rPr>
  </w:style>
  <w:style w:type="character" w:customStyle="1" w:styleId="CommentTextChar">
    <w:name w:val="Comment Text Char"/>
    <w:basedOn w:val="DefaultParagraphFont"/>
    <w:link w:val="CommentText"/>
    <w:semiHidden/>
    <w:rPr>
      <w:sz w:val="20"/>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b/>
      <w:bCs/>
      <w:sz w:val="20"/>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iaj-uim.org/iuw/wp-content/uploads/2019/05/Report-on-the-fact-finding-mission-of-a-delegation-of-the-EAJ-to-Hungary.pdf" TargetMode="External"/><Relationship Id="rId26" Type="http://schemas.openxmlformats.org/officeDocument/2006/relationships/hyperlink" Target="https://monitor.civicus.org/country/hungary/" TargetMode="External"/><Relationship Id="rId39" Type="http://schemas.openxmlformats.org/officeDocument/2006/relationships/hyperlink" Target="https://mertek.eu/en/2019/05/02/fidesz-friendly-media-dominate-everywhere/https://mertek.eu/en/2019/05/02/fidesz-friendly-media-dominate-everywhere/" TargetMode="External"/><Relationship Id="rId21" Type="http://schemas.openxmlformats.org/officeDocument/2006/relationships/hyperlink" Target="https://www.sgi-network.org/2019/Governance/Executive_Capacity/Evidence-based_Instruments" TargetMode="External"/><Relationship Id="rId34" Type="http://schemas.openxmlformats.org/officeDocument/2006/relationships/hyperlink" Target="https://index.hu/english/2020/07/24/editorial_board_of_index_resigns" TargetMode="External"/><Relationship Id="rId42" Type="http://schemas.openxmlformats.org/officeDocument/2006/relationships/hyperlink" Target="https://pgwrk-websitemedia.s3.eu-west-1.amazonaws.com/production/pwk-web-encj2017-p/Reports/Data%20ENCJ%202019%20Survey%20on%20the%20Independence%20of%20judges.pdf" TargetMode="External"/><Relationship Id="rId47" Type="http://schemas.openxmlformats.org/officeDocument/2006/relationships/hyperlink" Target="https://tasz.hu/a/files/coronavirus_press_research.pdf" TargetMode="External"/><Relationship Id="rId50" Type="http://schemas.openxmlformats.org/officeDocument/2006/relationships/footer" Target="footer4.xml"/><Relationship Id="rId55"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rm.coe.int/rapport-avec-couv-18-09-2018-en/16808def9c" TargetMode="External"/><Relationship Id="rId33" Type="http://schemas.openxmlformats.org/officeDocument/2006/relationships/hyperlink" Target="https://www.hrw.org/news/2020/03/23/hungarys-orban-uses-pandemic-seize-unlimited-power" TargetMode="External"/><Relationship Id="rId38" Type="http://schemas.openxmlformats.org/officeDocument/2006/relationships/hyperlink" Target="https://kuria-birosag.hu/sites/default/files/joggyak/osszefoglalo_velemeny_adatvedelem.pdf" TargetMode="External"/><Relationship Id="rId46" Type="http://schemas.openxmlformats.org/officeDocument/2006/relationships/hyperlink" Target="https://rsf.org/en/news/hungary-urgent-eu-response-needed-leading-independent-news-sites-demise"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naih.hu/files/NAIH-Annual-report-2018-v190830.pdf" TargetMode="External"/><Relationship Id="rId29" Type="http://schemas.openxmlformats.org/officeDocument/2006/relationships/hyperlink" Target="https://www.coe.int/en/web/media-freedom/hungary" TargetMode="External"/><Relationship Id="rId41" Type="http://schemas.openxmlformats.org/officeDocument/2006/relationships/hyperlink" Target="http://ugyeszseg.hu/pdf/statisztika/Criminality_and_CriminalJustice_2009_2018.pdf"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emf"/><Relationship Id="rId24" Type="http://schemas.openxmlformats.org/officeDocument/2006/relationships/hyperlink" Target="https://cmpf.eui.eu/media-pluralism-monitor/mpm-2020" TargetMode="External"/><Relationship Id="rId32" Type="http://schemas.openxmlformats.org/officeDocument/2006/relationships/hyperlink" Target="https://www.coe.int/en/web/portal/-/hungary-insufficient-progress-and-lack-of-transparency-hamper-fight-against-corruption" TargetMode="External"/><Relationship Id="rId37" Type="http://schemas.openxmlformats.org/officeDocument/2006/relationships/hyperlink" Target="https://ipi.media/hungary-seeks-power-to-jail-journalists-for-false-covid-19-coverage/" TargetMode="External"/><Relationship Id="rId40" Type="http://schemas.openxmlformats.org/officeDocument/2006/relationships/hyperlink" Target="https://jogaszvilag.hu/napi/a-magyar-ugyvedi-kamara-visszautasitja-az-ugyvedeket-ert-tamadasokat/" TargetMode="External"/><Relationship Id="rId45" Type="http://schemas.openxmlformats.org/officeDocument/2006/relationships/hyperlink" Target="https://rsf.org/pt/classificacao%20" TargetMode="External"/><Relationship Id="rId53" Type="http://schemas.openxmlformats.org/officeDocument/2006/relationships/footer" Target="footer6.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cmpf.eui.eu/wp-content/uploads/2019/01/decriminalisation-of-defamation_Infographic.pdf" TargetMode="External"/><Relationship Id="rId28" Type="http://schemas.openxmlformats.org/officeDocument/2006/relationships/hyperlink" Target="https://rm.coe.int/report-on-the-visit-to-hungary-from-4-to-8-february-2019-by-dunja-mija/1680942f0d" TargetMode="External"/><Relationship Id="rId36" Type="http://schemas.openxmlformats.org/officeDocument/2006/relationships/hyperlink" Target="https://www.ecpmf.eu/fact-finding-mission-hungary-2019/" TargetMode="External"/><Relationship Id="rId49"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http://mabie.hu/index.php/1526-a-birok-neveben" TargetMode="External"/><Relationship Id="rId31" Type="http://schemas.openxmlformats.org/officeDocument/2006/relationships/hyperlink" Target="https://europeanjournalists.org/blog/2020/07/28/hungary-media-freedom-crackdown-our-letter-to-eu-leaders/" TargetMode="External"/><Relationship Id="rId44" Type="http://schemas.openxmlformats.org/officeDocument/2006/relationships/hyperlink" Target="https://www.ohchr.org/EN/NewsEvents/Pages/DisplayNews.aspx?NewsID=17048&amp;LangID=E" TargetMode="External"/><Relationship Id="rId52" Type="http://schemas.openxmlformats.org/officeDocument/2006/relationships/header" Target="header6.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op.europa.eu/en/publication-detail/-/publication/79196553-5c39-11ea-8b81-01aa75ed71a1" TargetMode="External"/><Relationship Id="rId27" Type="http://schemas.openxmlformats.org/officeDocument/2006/relationships/hyperlink" Target="https://www.coe.int/en/web/commissioner/-/commissioner-calls-on-hungary-s-president-to-return-to-the-parliament-the-legislative-package-on-administrative-courts." TargetMode="External"/><Relationship Id="rId30" Type="http://schemas.openxmlformats.org/officeDocument/2006/relationships/hyperlink" Target="http://www.ekint.org/alkotmanyossag/2020-02-21/csend-vagy-kialtas-hallgathatnak-e-a-birak-ha-megtamadjak-a-biroi-fuggetlenseget" TargetMode="External"/><Relationship Id="rId35" Type="http://schemas.openxmlformats.org/officeDocument/2006/relationships/hyperlink" Target="http://www.crcb.eu/?p=1799" TargetMode="External"/><Relationship Id="rId43" Type="http://schemas.openxmlformats.org/officeDocument/2006/relationships/hyperlink" Target="https://pgwrk-websitemedia.s3.eu-west-1.amazonaws.com/production/pwk-web-encj2017-p/Reports/ENCJ%20Survey%20on%20Independence%20Accountability%20of%20the%20Judiciary%20among%20lawyers%20%202019.pdf" TargetMode="External"/><Relationship Id="rId48"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footer" Target="footer5.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Author Role="Creator" AuthorRoleName="Writer" AuthorRoleId="a4fbaff4-b07c-48b4-a21e-e7b9eedf3796">
  <Id>88d91e40-5130-498e-9822-300bf14eb270</Id>
  <Names>
    <Latin>
      <FirstName>Christine</FirstName>
      <LastName>Therace</LastName>
    </Latin>
    <Greek>
      <FirstName/>
      <LastName/>
    </Greek>
    <Cyrillic>
      <FirstName/>
      <LastName/>
    </Cyrillic>
    <DocumentScript>
      <FirstName>Christine</FirstName>
      <LastName>Therace</LastName>
      <FullName>Christine Therace</FullName>
    </DocumentScript>
  </Names>
  <Initials>ct</Initials>
  <Gender>f</Gender>
  <Email>Christine.THERACE@ec.europa.eu</Email>
  <Service>SG.B.4</Service>
  <Function ADCode="" ShowInSignature="true" ShowInHeader="false" HeaderText=""/>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Id>226d3ed1-ce15-488c-9606-fb4a6a782851</Id>
    <LogicalLevel>2</LogicalLevel>
    <Name>SG.B</Name>
    <HeadLine1>Directorate B - Decision-making &amp; Collegiality</HeadLine1>
    <HeadLine2/>
    <PrimaryAddressId>f03b5801-04c9-4931-aa17-c6d6c70bc579</PrimaryAddressId>
    <SecondaryAddressId/>
    <WebAddress/>
    <InheritedWebAddress>WebAddress</InheritedWebAddress>
    <ShowInHeader>true</ShowInHeader>
  </OrgaEntity2>
  <OrgaEntity3>
    <Id>a9c119bf-67eb-460c-976f-01375d32d078</Id>
    <LogicalLevel>3</LogicalLevel>
    <Name>SG.B.4</Name>
    <HeadLine1>SG.B.4 - Working methods &amp; Decision-making Process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+32 229-84108</Phone>
    <Office>BERL 05/096</Office>
  </MainWorkplace>
  <Workplaces>
    <Workplace IsMain="false">
      <AddressId>1264fb81-f6bb-475e-9f9d-a937d3be6ee2</AddressId>
      <Fax/>
      <Phone/>
      <Office/>
    </Workplace>
    <Workplace IsMain="true">
      <AddressId>f03b5801-04c9-4931-aa17-c6d6c70bc579</AddressId>
      <Fax/>
      <Phone>+32 229-84108</Phone>
      <Office>BERL 05/096</Office>
    </Workplace>
  </Workplaces>
</Author>
</file>

<file path=customXml/item2.xml><?xml version="1.0" encoding="utf-8"?>
<EurolookProperties>
  <ProductCustomizationId>EC</ProductCustomizationId>
  <Created>
    <Version>10.0.41212.0</Version>
    <Date>2020-09-14T15:57:03</Date>
    <Language>EN</Language>
  </Created>
  <Edited>
    <Version>10.0.41212.0</Version>
    <Date>2020-10-02T16:53:22</Date>
  </Edited>
  <DocumentModel>
    <Id>6cbda13a-4db2-46c6-876a-ef72275827ef</Id>
    <Name>Report</Name>
  </DocumentModel>
  <DocumentDate>2020-09-14T15:57:03</DocumentDate>
  <DocumentVersion>0.1</DocumentVersion>
  <CompatibilityMode>Eurolook10</CompatibilityMode>
  <DocumentMetadata>
    <EC_SecurityDistributionSpecialHandling MetadataSerializationType="SimpleValue"/>
    <EC_SecurityDistributionWorkingGroup MetadataSerializationType="SimpleValue"/>
    <EC_SecurityReleasability MetadataSerializationType="SimpleValue"/>
    <EC_SecurityDateMarking MetadataSerializationType="SimpleValue"/>
    <EC_SecurityDistributionSensitive MetadataSerializationType="SimpleValue"/>
    <EC_SecurityDateMarkingEvent MetadataSerializationType="SimpleValue"/>
    <EC_SecurityDistributionDG MetadataSerializationType="SimpleValue"/>
    <EC_SecurityDateMarkingDate MetadataSerializationType="SimpleValue"/>
    <EC_SecurityMarking MetadataSerializationType="SimpleValue"/>
  </DocumentMetadata>
</EurolookProperties>
</file>

<file path=customXml/item3.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EconomyFinanceHandling>{field:HYPERLINK "https://myintracomm.ec.europa.eu/corp/security/EN/newDS3/SensitiveInformation/Pages/SPECIAL-HANDLING-INFORMATION-DG-ECFIN.aspx?ln=en" |https://www.europa.eu/handling_instructions}</EconomyFinanceHandling>
  <SecurityEconomyAndFinance>Economy and Finance</SecurityEconomyAndFinance>
  <SpecialHandlingFootnote>Special handling instructions are given at </SpecialHandlingFootnote>
  <SpecialHandlingLabel>Special Handling</SpecialHandlingLabel>
  <Table>Table </Table>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EtsSensitive>ETS</SecurityEtsSensitive>
  <SecurityOpinionLegalService>Opinion of the Legal Service</SecurityOpinionLegalService>
  <FooterPhone>Tel. direct line</FooterPhone>
  <FooterFax>Fax</FooterFax>
  <FooterOffice>Office:</FooterOffice>
  <SecurityPharmaSpecial>Pharma Investigations</SecurityPharmaSpecial>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TOCHeading>Table of Contents</TOCHeading>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ETSHandlingFootnote>{field:HYPERLINK "https://myintracomm.ec.europa.eu/corp/security/EN/newDS3/SensitiveInformation/Pages/default.aspx" |https://www.europa.eu/handling_instructions}</ETSHandlingFootnote>
  <SecurityEtsCritical>ETS Critical</SecurityEtsCritical>
  <ETSLimited>ETS Joint Procurement</ETSLimited>
  <SecurityStaffMatter>Staff Matter</SecurityStaffMatter>
  <SecurityMediationServiceMatter>Mediation Service</SecurityMediationServiceMatter>
  <SecurityReleasable>RELEASABLE TO:</SecurityReleasable>
  <LabelPictureSeq>Figure {SEQ Figure \* ARABIC }: </LabelPictureSeq>
  <LabelSource>Source</LabelSource>
  <Year> ({field: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Props1.xml><?xml version="1.0" encoding="utf-8"?>
<ds:datastoreItem xmlns:ds="http://schemas.openxmlformats.org/officeDocument/2006/customXml" ds:itemID="{5D38D5AF-DE81-4212-AA67-ACF191BCD993}">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4EF90DE6-88B6-4264-9629-4D8DFDFE87D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9638</Words>
  <Characters>56387</Characters>
  <Application>Microsoft Office Word</Application>
  <DocSecurity>0</DocSecurity>
  <PresentationFormat>Microsoft Word 14.0</PresentationFormat>
  <Lines>841</Lines>
  <Paragraphs>197</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2020-10-02T13:52:00Z</dcterms:created>
  <dcterms:modified xsi:type="dcterms:W3CDTF">2020-10-07T14:07:00Z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 Build 20190717</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CP-025</vt:lpwstr>
  </property>
</Properties>
</file>