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Ids.xml" ContentType="application/vnd.openxmlformats-officedocument.wordprocessingml.commentsId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bookmarkStart w:id="0" w:name="LW_BM_COVERPAGE"/>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alt="83F3D150-2796-48E5-AAE8-464815DF18A6" style="width:450.8pt;height:320.55pt">
            <v:imagedata r:id="rId12" o:title=""/>
          </v:shape>
        </w:pict>
      </w:r>
    </w:p>
    <w:bookmarkEnd w:id="0"/>
    <w:p>
      <w:pPr>
        <w:spacing w:line="276" w:lineRule="auto"/>
        <w:rPr>
          <w:noProof/>
        </w:rPr>
        <w:sectPr>
          <w:headerReference w:type="even" r:id="rId13"/>
          <w:headerReference w:type="default" r:id="rId14"/>
          <w:footerReference w:type="even" r:id="rId15"/>
          <w:footerReference w:type="default" r:id="rId16"/>
          <w:headerReference w:type="first" r:id="rId17"/>
          <w:footerReference w:type="first" r:id="rId18"/>
          <w:pgSz w:w="11906" w:h="16838"/>
          <w:pgMar w:top="1134" w:right="1417" w:bottom="1134" w:left="1417" w:header="709" w:footer="709" w:gutter="0"/>
          <w:pgNumType w:start="0"/>
          <w:cols w:space="720"/>
          <w:docGrid w:linePitch="360"/>
        </w:sectPr>
      </w:pPr>
    </w:p>
    <w:p>
      <w:pPr>
        <w:pStyle w:val="Typedudocument"/>
        <w:rPr>
          <w:noProof/>
        </w:rPr>
      </w:pPr>
      <w:bookmarkStart w:id="1" w:name="_GoBack"/>
      <w:bookmarkEnd w:id="1"/>
      <w:r>
        <w:rPr>
          <w:noProof/>
        </w:rPr>
        <w:lastRenderedPageBreak/>
        <w:t>COMUNICAÇÃO DA COMISSÃO AO PARLAMENTO EUROPEU, AO CONSELHO, AO COMITÉ ECONÓMICO E SOCIAL EUROPEU E AO COMITÉ DAS REGIÕES</w:t>
      </w:r>
    </w:p>
    <w:p>
      <w:pPr>
        <w:pStyle w:val="Titreobjet"/>
        <w:rPr>
          <w:noProof/>
        </w:rPr>
      </w:pPr>
      <w:r>
        <w:rPr>
          <w:noProof/>
        </w:rPr>
        <w:t>Uma Estratégia para as PME com vista a uma Europa Sustentável e Digital</w:t>
      </w:r>
    </w:p>
    <w:p>
      <w:pPr>
        <w:spacing w:after="0" w:line="276" w:lineRule="auto"/>
        <w:jc w:val="center"/>
        <w:rPr>
          <w:b/>
          <w:noProof/>
          <w:sz w:val="28"/>
        </w:rPr>
      </w:pPr>
    </w:p>
    <w:p>
      <w:pPr>
        <w:pStyle w:val="ListParagraph"/>
        <w:numPr>
          <w:ilvl w:val="0"/>
          <w:numId w:val="37"/>
        </w:numPr>
        <w:spacing w:after="240" w:line="276" w:lineRule="auto"/>
        <w:jc w:val="both"/>
        <w:rPr>
          <w:rFonts w:ascii="Times New Roman" w:hAnsi="Times New Roman" w:cs="Times New Roman"/>
          <w:b/>
          <w:bCs/>
          <w:noProof/>
          <w:sz w:val="24"/>
          <w:szCs w:val="24"/>
        </w:rPr>
      </w:pPr>
      <w:r>
        <w:rPr>
          <w:rFonts w:ascii="Times New Roman" w:hAnsi="Times New Roman"/>
          <w:b/>
          <w:bCs/>
          <w:noProof/>
          <w:sz w:val="24"/>
          <w:szCs w:val="24"/>
        </w:rPr>
        <w:t>Introdução</w:t>
      </w:r>
    </w:p>
    <w:p>
      <w:pPr>
        <w:spacing w:after="240" w:line="240" w:lineRule="auto"/>
        <w:jc w:val="both"/>
        <w:rPr>
          <w:rFonts w:ascii="Times New Roman" w:hAnsi="Times New Roman" w:cs="Times New Roman"/>
          <w:noProof/>
          <w:sz w:val="24"/>
          <w:szCs w:val="24"/>
        </w:rPr>
      </w:pPr>
      <w:r>
        <w:rPr>
          <w:rFonts w:ascii="Times New Roman" w:hAnsi="Times New Roman"/>
          <w:b/>
          <w:noProof/>
          <w:sz w:val="24"/>
          <w:szCs w:val="24"/>
        </w:rPr>
        <w:t xml:space="preserve">Os 25 milhões de pequenas e médias empresas (PME) da Europa constituem a espinha dorsal da economia da UE. </w:t>
      </w:r>
      <w:r>
        <w:rPr>
          <w:rFonts w:ascii="Times New Roman" w:hAnsi="Times New Roman"/>
          <w:noProof/>
          <w:sz w:val="24"/>
          <w:szCs w:val="24"/>
        </w:rPr>
        <w:t xml:space="preserve">Empregam cerca de 100 milhões de pessoas, representam mais de metade do PIB da Europa e desempenham um papel fundamental na valorização de todos os setores da economia. As PME trazem soluções inovadoras para desafios como as alterações climáticas, a eficiência dos recursos e a coesão social, contribuindo para a difusão desta inovação em todas as regiões da Europa. São, por conseguinte, fundamentais para as duplas transições da UE com vista a uma economia sustentável e digital. São essenciais para a competitividade e a prosperidade da Europa, para a sua soberania económica e tecnológica e para a sua resiliência face a choques externos. Como tal, constituem um elemento central da realização da estratégia industrial da UE. </w:t>
      </w:r>
    </w:p>
    <w:p>
      <w:pPr>
        <w:spacing w:after="240" w:line="240" w:lineRule="auto"/>
        <w:jc w:val="both"/>
        <w:rPr>
          <w:rFonts w:ascii="Times New Roman" w:hAnsi="Times New Roman" w:cs="Times New Roman"/>
          <w:noProof/>
          <w:sz w:val="24"/>
          <w:szCs w:val="24"/>
        </w:rPr>
      </w:pPr>
      <w:r>
        <w:rPr>
          <w:rFonts w:ascii="Times New Roman" w:hAnsi="Times New Roman"/>
          <w:b/>
          <w:noProof/>
          <w:sz w:val="24"/>
          <w:szCs w:val="24"/>
        </w:rPr>
        <w:t>As PME estão profundamente integradas no tecido económico e social da Europa</w:t>
      </w:r>
      <w:r>
        <w:rPr>
          <w:rFonts w:ascii="Times New Roman" w:hAnsi="Times New Roman"/>
          <w:noProof/>
          <w:sz w:val="24"/>
          <w:szCs w:val="24"/>
        </w:rPr>
        <w:t xml:space="preserve">. Proporcionam dois em cada três postos de trabalho, oferecem oportunidades de formação em diversas regiões e setores, nomeadamente para os trabalhadores pouco qualificados, e apoiam o bem-estar social, incluindo em zonas remotas e rurais. Todos os cidadãos europeus conhecem alguém que é empresário ou que trabalha para um empresário. Os desafios enfrentados diariamente pelas PME europeias para cumprir as regras e aceder à informação, aos mercados e ao financiamento constituem, portanto, desafios para toda a Europa. </w:t>
      </w:r>
    </w:p>
    <w:p>
      <w:pPr>
        <w:spacing w:after="240" w:line="240" w:lineRule="auto"/>
        <w:jc w:val="both"/>
        <w:rPr>
          <w:rFonts w:ascii="Times New Roman" w:hAnsi="Times New Roman" w:cs="Times New Roman"/>
          <w:noProof/>
          <w:sz w:val="24"/>
          <w:szCs w:val="24"/>
        </w:rPr>
      </w:pPr>
      <w:r>
        <w:rPr>
          <w:rFonts w:ascii="Times New Roman" w:hAnsi="Times New Roman"/>
          <w:b/>
          <w:noProof/>
          <w:sz w:val="24"/>
          <w:szCs w:val="24"/>
        </w:rPr>
        <w:t>As PME são muito variadas</w:t>
      </w:r>
      <w:r>
        <w:rPr>
          <w:rFonts w:ascii="Times New Roman" w:hAnsi="Times New Roman"/>
          <w:noProof/>
          <w:sz w:val="24"/>
          <w:szCs w:val="24"/>
        </w:rPr>
        <w:t xml:space="preserve"> em termos de modelos empresariais, dimensão, idade e perfil dos empresários, e tiram proveito de uma reserva de talentos diversificada de mulheres e homens. Vão desde as profissões liberais e as microempresas do setor dos serviços até às empresas industriais de gama média, desde o artesanato tradicional até às empresas em fase de arranque de alta tecnologia. A presente estratégia reconhece as diferentes necessidades das empresas, ajudando-as não só a crescer e a expandir-se, como também a ser competitivas, resilientes e sustentáveis. Estabelece, por conseguinte, uma abordagem ambiciosa, abrangente e transversal, assente em medidas horizontais de apoio a todos os tipos de PME, bem como em ações orientadas para necessidades específicas. </w:t>
      </w:r>
    </w:p>
    <w:p>
      <w:pPr>
        <w:spacing w:after="240" w:line="240" w:lineRule="auto"/>
        <w:jc w:val="both"/>
        <w:rPr>
          <w:rFonts w:ascii="Times New Roman" w:hAnsi="Times New Roman" w:cs="Times New Roman"/>
          <w:noProof/>
          <w:sz w:val="24"/>
          <w:szCs w:val="24"/>
        </w:rPr>
      </w:pPr>
      <w:r>
        <w:rPr>
          <w:rFonts w:ascii="Times New Roman" w:hAnsi="Times New Roman"/>
          <w:noProof/>
          <w:sz w:val="24"/>
          <w:szCs w:val="24"/>
        </w:rPr>
        <w:t xml:space="preserve">A estratégia apresenta ações baseadas nos </w:t>
      </w:r>
      <w:r>
        <w:rPr>
          <w:rFonts w:ascii="Times New Roman" w:hAnsi="Times New Roman"/>
          <w:b/>
          <w:bCs/>
          <w:noProof/>
          <w:sz w:val="24"/>
          <w:szCs w:val="24"/>
        </w:rPr>
        <w:t>três pilares</w:t>
      </w:r>
      <w:r>
        <w:rPr>
          <w:rFonts w:ascii="Times New Roman" w:hAnsi="Times New Roman"/>
          <w:noProof/>
          <w:sz w:val="24"/>
          <w:szCs w:val="24"/>
        </w:rPr>
        <w:t xml:space="preserve"> seguintes:</w:t>
      </w:r>
    </w:p>
    <w:p>
      <w:pPr>
        <w:pStyle w:val="ListParagraph"/>
        <w:numPr>
          <w:ilvl w:val="0"/>
          <w:numId w:val="4"/>
        </w:numPr>
        <w:spacing w:after="120" w:line="240" w:lineRule="auto"/>
        <w:ind w:left="714" w:hanging="357"/>
        <w:contextualSpacing w:val="0"/>
        <w:jc w:val="both"/>
        <w:rPr>
          <w:rFonts w:ascii="Times New Roman" w:hAnsi="Times New Roman" w:cs="Times New Roman"/>
          <w:noProof/>
          <w:sz w:val="24"/>
          <w:szCs w:val="24"/>
        </w:rPr>
      </w:pPr>
      <w:r>
        <w:rPr>
          <w:rFonts w:ascii="Times New Roman" w:hAnsi="Times New Roman"/>
          <w:b/>
          <w:bCs/>
          <w:noProof/>
          <w:sz w:val="24"/>
          <w:szCs w:val="24"/>
        </w:rPr>
        <w:t>Reforço das capacidades e apoio</w:t>
      </w:r>
      <w:r>
        <w:rPr>
          <w:rFonts w:ascii="Times New Roman" w:hAnsi="Times New Roman"/>
          <w:noProof/>
          <w:sz w:val="24"/>
          <w:szCs w:val="24"/>
        </w:rPr>
        <w:t xml:space="preserve"> </w:t>
      </w:r>
      <w:r>
        <w:rPr>
          <w:rFonts w:ascii="Times New Roman" w:hAnsi="Times New Roman"/>
          <w:b/>
          <w:bCs/>
          <w:noProof/>
          <w:sz w:val="24"/>
          <w:szCs w:val="24"/>
        </w:rPr>
        <w:t>à transição para a sustentabilidade e a digitalização</w:t>
      </w:r>
      <w:r>
        <w:rPr>
          <w:rFonts w:ascii="Times New Roman" w:hAnsi="Times New Roman"/>
          <w:noProof/>
          <w:sz w:val="24"/>
          <w:szCs w:val="24"/>
        </w:rPr>
        <w:t>;</w:t>
      </w:r>
    </w:p>
    <w:p>
      <w:pPr>
        <w:pStyle w:val="ListParagraph"/>
        <w:numPr>
          <w:ilvl w:val="0"/>
          <w:numId w:val="4"/>
        </w:numPr>
        <w:spacing w:after="120" w:line="240" w:lineRule="auto"/>
        <w:ind w:left="714" w:hanging="357"/>
        <w:contextualSpacing w:val="0"/>
        <w:rPr>
          <w:rFonts w:ascii="Times New Roman" w:hAnsi="Times New Roman" w:cs="Times New Roman"/>
          <w:noProof/>
          <w:sz w:val="24"/>
          <w:szCs w:val="24"/>
        </w:rPr>
      </w:pPr>
      <w:r>
        <w:rPr>
          <w:rFonts w:ascii="Times New Roman" w:hAnsi="Times New Roman"/>
          <w:b/>
          <w:bCs/>
          <w:noProof/>
          <w:sz w:val="24"/>
          <w:szCs w:val="24"/>
        </w:rPr>
        <w:t>Redução dos encargos regulamentares e melhoria do acesso ao mercado</w:t>
      </w:r>
      <w:r>
        <w:rPr>
          <w:rFonts w:ascii="Times New Roman" w:hAnsi="Times New Roman"/>
          <w:noProof/>
          <w:sz w:val="24"/>
          <w:szCs w:val="24"/>
        </w:rPr>
        <w:t>; e</w:t>
      </w:r>
      <w:r>
        <w:rPr>
          <w:rFonts w:ascii="Times New Roman" w:hAnsi="Times New Roman"/>
          <w:b/>
          <w:bCs/>
          <w:noProof/>
          <w:sz w:val="24"/>
          <w:szCs w:val="24"/>
        </w:rPr>
        <w:t xml:space="preserve"> </w:t>
      </w:r>
    </w:p>
    <w:p>
      <w:pPr>
        <w:pStyle w:val="ListParagraph"/>
        <w:numPr>
          <w:ilvl w:val="0"/>
          <w:numId w:val="4"/>
        </w:numPr>
        <w:spacing w:after="240" w:line="240" w:lineRule="auto"/>
        <w:contextualSpacing w:val="0"/>
        <w:jc w:val="both"/>
        <w:rPr>
          <w:rFonts w:ascii="Times New Roman" w:hAnsi="Times New Roman" w:cs="Times New Roman"/>
          <w:noProof/>
          <w:sz w:val="24"/>
          <w:szCs w:val="24"/>
        </w:rPr>
      </w:pPr>
      <w:r>
        <w:rPr>
          <w:rFonts w:ascii="Times New Roman" w:hAnsi="Times New Roman"/>
          <w:b/>
          <w:bCs/>
          <w:noProof/>
          <w:sz w:val="24"/>
          <w:szCs w:val="24"/>
        </w:rPr>
        <w:t xml:space="preserve">Melhoria do acesso ao financiamento. </w:t>
      </w:r>
    </w:p>
    <w:p>
      <w:pPr>
        <w:spacing w:after="240" w:line="240" w:lineRule="auto"/>
        <w:jc w:val="both"/>
        <w:rPr>
          <w:rFonts w:ascii="Times New Roman" w:eastAsia="Calibri" w:hAnsi="Times New Roman" w:cs="Times New Roman"/>
          <w:noProof/>
          <w:color w:val="FF0000"/>
          <w:sz w:val="24"/>
          <w:szCs w:val="24"/>
        </w:rPr>
      </w:pPr>
      <w:r>
        <w:rPr>
          <w:rFonts w:ascii="Times New Roman" w:hAnsi="Times New Roman"/>
          <w:noProof/>
          <w:sz w:val="24"/>
          <w:szCs w:val="24"/>
        </w:rPr>
        <w:t xml:space="preserve">O seu objetivo é libertar o poder de todos os tipos de PME europeias para que assumam a liderança das duplas transições, bem como aumentar consideravelmente o número de PME que desenvolvem práticas comerciais sustentáveis e o número de PME que utilizam tecnologias digitais. Em última análise, pretende-se que a Europa se torne o local mais atrativo para criar uma pequena empresa, para a fazer crescer e expandir no mercado único. </w:t>
      </w:r>
    </w:p>
    <w:p>
      <w:pPr>
        <w:spacing w:after="240" w:line="240" w:lineRule="auto"/>
        <w:jc w:val="both"/>
        <w:rPr>
          <w:rFonts w:ascii="Times New Roman" w:hAnsi="Times New Roman" w:cs="Times New Roman"/>
          <w:noProof/>
          <w:sz w:val="24"/>
          <w:szCs w:val="24"/>
        </w:rPr>
      </w:pPr>
      <w:r>
        <w:rPr>
          <w:rFonts w:ascii="Times New Roman" w:hAnsi="Times New Roman"/>
          <w:noProof/>
          <w:sz w:val="24"/>
          <w:szCs w:val="24"/>
        </w:rPr>
        <w:t xml:space="preserve">Para que possa produzir resultados, a estratégia deve ser impulsionada, conjuntamente, por ações a nível da UE e por um forte empenhamento dos Estados-Membros. A participação ativa da comunidade das PME e das próprias empresas será fundamental. Por conseguinte, a estratégia será apoiada por uma sólida </w:t>
      </w:r>
      <w:r>
        <w:rPr>
          <w:rFonts w:ascii="Times New Roman" w:hAnsi="Times New Roman"/>
          <w:b/>
          <w:bCs/>
          <w:noProof/>
          <w:sz w:val="24"/>
          <w:szCs w:val="24"/>
        </w:rPr>
        <w:t>parceria para a concretização dos objetivos</w:t>
      </w:r>
      <w:r>
        <w:rPr>
          <w:rFonts w:ascii="Times New Roman" w:hAnsi="Times New Roman"/>
          <w:noProof/>
          <w:sz w:val="24"/>
          <w:szCs w:val="24"/>
        </w:rPr>
        <w:t xml:space="preserve"> entre a UE e os Estados-Membros, incluindo as autoridades regionais e locais. Os empresários devem também aproveitar a oportunidade dos programas de investimento da UE para tornar as suas empresas mais digitais e mais sustentáveis, bem como para crescer no mercado único e para além dele. </w:t>
      </w:r>
    </w:p>
    <w:p>
      <w:pPr>
        <w:spacing w:after="240" w:line="240" w:lineRule="auto"/>
        <w:jc w:val="both"/>
        <w:rPr>
          <w:rFonts w:ascii="Times New Roman" w:hAnsi="Times New Roman" w:cs="Times New Roman"/>
          <w:noProof/>
          <w:sz w:val="24"/>
          <w:szCs w:val="24"/>
        </w:rPr>
      </w:pPr>
      <w:r>
        <w:rPr>
          <w:rFonts w:ascii="Times New Roman" w:hAnsi="Times New Roman"/>
          <w:noProof/>
          <w:sz w:val="24"/>
          <w:szCs w:val="24"/>
        </w:rPr>
        <w:t xml:space="preserve">A estratégia assenta nos alicerces muito sólidos do atual quadro político e dos programas de apoio da UE para as PME, nomeadamente o </w:t>
      </w:r>
      <w:r>
        <w:rPr>
          <w:rFonts w:ascii="Times New Roman" w:hAnsi="Times New Roman"/>
          <w:i/>
          <w:iCs/>
          <w:noProof/>
          <w:sz w:val="24"/>
          <w:szCs w:val="24"/>
        </w:rPr>
        <w:t>Small Business Act</w:t>
      </w:r>
      <w:r>
        <w:rPr>
          <w:rFonts w:ascii="Times New Roman" w:hAnsi="Times New Roman"/>
          <w:noProof/>
          <w:sz w:val="24"/>
          <w:szCs w:val="24"/>
        </w:rPr>
        <w:t xml:space="preserve"> (Lei das Pequenas Empresas) de 2008, a </w:t>
      </w:r>
      <w:r>
        <w:rPr>
          <w:rFonts w:ascii="Times New Roman" w:hAnsi="Times New Roman"/>
          <w:i/>
          <w:iCs/>
          <w:noProof/>
          <w:sz w:val="24"/>
          <w:szCs w:val="24"/>
        </w:rPr>
        <w:t>Start Up and Scale Up Initiative</w:t>
      </w:r>
      <w:r>
        <w:rPr>
          <w:rFonts w:ascii="Times New Roman" w:hAnsi="Times New Roman"/>
          <w:noProof/>
          <w:sz w:val="24"/>
          <w:szCs w:val="24"/>
        </w:rPr>
        <w:t xml:space="preserve"> (Iniciativa a favor das empresas em fase de arranque e em expansão), o Programa para a Competitividade das Pequenas e Médias Empresas (COSME) e as ações de apoio às PME financiadas ao abrigo do programa Horizonte 2020 e dos Fundos Europeus Estruturais e de Investimento</w:t>
      </w:r>
      <w:r>
        <w:rPr>
          <w:rStyle w:val="FootnoteReference"/>
          <w:rFonts w:ascii="Times New Roman" w:hAnsi="Times New Roman" w:cs="Times New Roman"/>
          <w:noProof/>
          <w:sz w:val="24"/>
          <w:szCs w:val="24"/>
        </w:rPr>
        <w:footnoteReference w:id="2"/>
      </w:r>
      <w:r>
        <w:rPr>
          <w:rFonts w:ascii="Times New Roman" w:hAnsi="Times New Roman"/>
          <w:noProof/>
          <w:sz w:val="24"/>
          <w:szCs w:val="24"/>
        </w:rPr>
        <w:t xml:space="preserve">. Será fundamental para aplicar, nomeadamente, o Pacto Ecológico Europeu, o Plano de Ação para a Economia Circular, a Estratégia Europeia para os Dados e o Pilar Europeu dos Direitos Sociais.  </w:t>
      </w:r>
    </w:p>
    <w:p>
      <w:pPr>
        <w:spacing w:after="240" w:line="240" w:lineRule="auto"/>
        <w:jc w:val="both"/>
        <w:rPr>
          <w:rFonts w:ascii="Times New Roman" w:hAnsi="Times New Roman" w:cs="Times New Roman"/>
          <w:noProof/>
          <w:sz w:val="24"/>
          <w:szCs w:val="24"/>
        </w:rPr>
      </w:pPr>
      <w:r>
        <w:rPr>
          <w:rFonts w:ascii="Times New Roman" w:hAnsi="Times New Roman"/>
          <w:noProof/>
          <w:sz w:val="24"/>
          <w:szCs w:val="24"/>
        </w:rPr>
        <w:t>A estratégia faz parte do pacote para a indústria que inclui a Comunicação, e o Relatório que a acompanha, Identificar e Superar as Barreiras ao Mercado Único («Comunicação Barreiras ao Mercado Único»)</w:t>
      </w:r>
      <w:r>
        <w:rPr>
          <w:rStyle w:val="FootnoteReference"/>
          <w:rFonts w:ascii="Times New Roman" w:hAnsi="Times New Roman" w:cs="Times New Roman"/>
          <w:noProof/>
          <w:sz w:val="24"/>
          <w:szCs w:val="24"/>
        </w:rPr>
        <w:footnoteReference w:id="3"/>
      </w:r>
      <w:r>
        <w:rPr>
          <w:rFonts w:ascii="Times New Roman" w:hAnsi="Times New Roman"/>
          <w:noProof/>
          <w:sz w:val="24"/>
          <w:szCs w:val="24"/>
        </w:rPr>
        <w:t>, o Plano de Ação a Longo Prazo para Melhorar a Aplicação e o Cumprimento das Regras do Mercado Único («Plano de Ação para o Cumprimento»)</w:t>
      </w:r>
      <w:r>
        <w:rPr>
          <w:rStyle w:val="FootnoteReference"/>
          <w:rFonts w:ascii="Times New Roman" w:hAnsi="Times New Roman" w:cs="Times New Roman"/>
          <w:noProof/>
          <w:sz w:val="24"/>
          <w:szCs w:val="24"/>
        </w:rPr>
        <w:footnoteReference w:id="4"/>
      </w:r>
      <w:r>
        <w:rPr>
          <w:rFonts w:ascii="Times New Roman" w:hAnsi="Times New Roman"/>
          <w:noProof/>
          <w:sz w:val="24"/>
          <w:szCs w:val="24"/>
        </w:rPr>
        <w:t xml:space="preserve"> e a Nova Estratégia Industrial para a Europa («Estratégia Industrial»)</w:t>
      </w:r>
      <w:r>
        <w:rPr>
          <w:rStyle w:val="FootnoteReference"/>
          <w:rFonts w:ascii="Times New Roman" w:hAnsi="Times New Roman" w:cs="Times New Roman"/>
          <w:noProof/>
          <w:sz w:val="24"/>
          <w:szCs w:val="24"/>
        </w:rPr>
        <w:footnoteReference w:id="5"/>
      </w:r>
      <w:r>
        <w:rPr>
          <w:rFonts w:ascii="Times New Roman" w:hAnsi="Times New Roman"/>
          <w:noProof/>
          <w:sz w:val="24"/>
          <w:szCs w:val="24"/>
        </w:rPr>
        <w:t xml:space="preserve">. Baseia-se em muitas das conclusões da Comunicação sobre as Barreiras ao Mercado Único no que diz respeito aos obstáculos com que se deparam as PME que pretendem operar além-fronteiras. A transposição, a aplicação e a execução adequadas da legislação da UE são fundamentais para facilitar o crescimento das PME no mercado único. O Plano de Ação para o Cumprimento estabelece várias iniciativas para responder a estes desafios. A Estratégia Industrial sublinha o papel das PME para uma indústria europeia competitiva e inovadora. </w:t>
      </w:r>
    </w:p>
    <w:p>
      <w:pPr>
        <w:pStyle w:val="ListParagraph"/>
        <w:numPr>
          <w:ilvl w:val="0"/>
          <w:numId w:val="37"/>
        </w:numPr>
        <w:spacing w:before="480" w:after="240" w:line="240" w:lineRule="auto"/>
        <w:ind w:left="714" w:hanging="357"/>
        <w:jc w:val="both"/>
        <w:rPr>
          <w:rFonts w:ascii="Times New Roman" w:hAnsi="Times New Roman" w:cs="Times New Roman"/>
          <w:noProof/>
          <w:sz w:val="24"/>
          <w:szCs w:val="24"/>
        </w:rPr>
      </w:pPr>
      <w:r>
        <w:rPr>
          <w:rFonts w:ascii="Times New Roman" w:hAnsi="Times New Roman"/>
          <w:b/>
          <w:bCs/>
          <w:noProof/>
          <w:sz w:val="24"/>
          <w:szCs w:val="24"/>
        </w:rPr>
        <w:t>Reforço das capacidades e apoio</w:t>
      </w:r>
      <w:r>
        <w:rPr>
          <w:rFonts w:ascii="Times New Roman" w:hAnsi="Times New Roman"/>
          <w:noProof/>
          <w:sz w:val="24"/>
          <w:szCs w:val="24"/>
        </w:rPr>
        <w:t xml:space="preserve"> </w:t>
      </w:r>
      <w:r>
        <w:rPr>
          <w:rFonts w:ascii="Times New Roman" w:hAnsi="Times New Roman"/>
          <w:b/>
          <w:bCs/>
          <w:noProof/>
          <w:sz w:val="24"/>
          <w:szCs w:val="24"/>
        </w:rPr>
        <w:t>à transição para a sustentabilidade e a digitalização</w:t>
      </w:r>
    </w:p>
    <w:p>
      <w:pPr>
        <w:spacing w:after="240" w:line="240" w:lineRule="auto"/>
        <w:jc w:val="both"/>
        <w:rPr>
          <w:rFonts w:ascii="Times New Roman" w:hAnsi="Times New Roman" w:cs="Times New Roman"/>
          <w:noProof/>
          <w:sz w:val="24"/>
          <w:szCs w:val="24"/>
        </w:rPr>
      </w:pPr>
      <w:r>
        <w:rPr>
          <w:rFonts w:ascii="Times New Roman" w:hAnsi="Times New Roman"/>
          <w:noProof/>
          <w:sz w:val="24"/>
          <w:szCs w:val="24"/>
        </w:rPr>
        <w:t xml:space="preserve">A sustentabilidade competitiva é o princípio orientador da Europa para o futuro. </w:t>
      </w:r>
      <w:r>
        <w:rPr>
          <w:rFonts w:ascii="Times New Roman" w:hAnsi="Times New Roman"/>
          <w:b/>
          <w:noProof/>
          <w:sz w:val="24"/>
          <w:szCs w:val="24"/>
        </w:rPr>
        <w:t xml:space="preserve">A concretização de uma economia digital com impacto neutro no clima, eficiente em termos de recursos e ágil exige a plena mobilização das PME. </w:t>
      </w:r>
      <w:r>
        <w:rPr>
          <w:rFonts w:ascii="Times New Roman" w:hAnsi="Times New Roman"/>
          <w:noProof/>
          <w:sz w:val="24"/>
          <w:szCs w:val="24"/>
        </w:rPr>
        <w:t>Esta transição para uma Europa mais sustentável do ponto de vista económico, ambiental e social deve ser acompanhada pela transição para a digitalização. Para tal, são necessárias medidas específicas para desenvolver uma camada da economia composta por PME prósperas, bem como para proporcionar oportunidades de crescimento às PME que pretendam expandir-se. É necessário um investimento à escala da UE para criar a infraestrutura empresarial e de inovação adequada para as PME.</w:t>
      </w:r>
    </w:p>
    <w:p>
      <w:pPr>
        <w:spacing w:after="240" w:line="240" w:lineRule="auto"/>
        <w:jc w:val="both"/>
        <w:rPr>
          <w:rFonts w:ascii="Times New Roman" w:hAnsi="Times New Roman" w:cs="Times New Roman"/>
          <w:i/>
          <w:noProof/>
          <w:sz w:val="24"/>
          <w:szCs w:val="24"/>
        </w:rPr>
      </w:pPr>
      <w:r>
        <w:rPr>
          <w:rFonts w:ascii="Times New Roman" w:hAnsi="Times New Roman"/>
          <w:i/>
          <w:noProof/>
          <w:sz w:val="24"/>
          <w:szCs w:val="24"/>
        </w:rPr>
        <w:t xml:space="preserve">PME na liderança para a transição sustentável </w:t>
      </w:r>
    </w:p>
    <w:p>
      <w:pPr>
        <w:spacing w:after="240" w:line="240" w:lineRule="auto"/>
        <w:jc w:val="both"/>
        <w:rPr>
          <w:rFonts w:ascii="Times New Roman" w:hAnsi="Times New Roman" w:cs="Times New Roman"/>
          <w:noProof/>
          <w:sz w:val="24"/>
          <w:szCs w:val="24"/>
        </w:rPr>
      </w:pPr>
      <w:r>
        <w:rPr>
          <w:rFonts w:ascii="Times New Roman" w:hAnsi="Times New Roman"/>
          <w:noProof/>
          <w:sz w:val="24"/>
          <w:szCs w:val="24"/>
        </w:rPr>
        <w:t>Muitas PME estão bem equipadas, sendo flexíveis, de alta tecnologia, inovadoras e empenhadas nos valores que impulsionam a sustentabilidade e a economia circular. Quase um quarto</w:t>
      </w:r>
      <w:r>
        <w:rPr>
          <w:rStyle w:val="FootnoteReference"/>
          <w:rFonts w:ascii="Times New Roman" w:hAnsi="Times New Roman" w:cs="Times New Roman"/>
          <w:noProof/>
          <w:sz w:val="24"/>
          <w:szCs w:val="24"/>
        </w:rPr>
        <w:footnoteReference w:id="6"/>
      </w:r>
      <w:r>
        <w:rPr>
          <w:rFonts w:ascii="Times New Roman" w:hAnsi="Times New Roman"/>
          <w:noProof/>
          <w:sz w:val="24"/>
          <w:szCs w:val="24"/>
        </w:rPr>
        <w:t xml:space="preserve"> das </w:t>
      </w:r>
      <w:r>
        <w:rPr>
          <w:rFonts w:ascii="Times New Roman" w:hAnsi="Times New Roman"/>
          <w:b/>
          <w:noProof/>
          <w:sz w:val="24"/>
          <w:szCs w:val="24"/>
        </w:rPr>
        <w:t>PME na Europa já promove a transição</w:t>
      </w:r>
      <w:r>
        <w:rPr>
          <w:rFonts w:ascii="Times New Roman" w:hAnsi="Times New Roman"/>
          <w:noProof/>
          <w:sz w:val="24"/>
          <w:szCs w:val="24"/>
        </w:rPr>
        <w:t xml:space="preserve"> ao oferecer produtos ou serviços ecológicos e um grande número de PME (incluindo empresas da economia social) muito tem feito pelas comunidades em que estão estabelecidas. Existem também grandes desafios. Algumas PME enfrentam dificuldades na transição para modelos empresariais mais sustentáveis.</w:t>
      </w:r>
      <w:r>
        <w:rPr>
          <w:noProof/>
          <w:sz w:val="24"/>
          <w:szCs w:val="24"/>
        </w:rPr>
        <w:t xml:space="preserve"> </w:t>
      </w:r>
      <w:r>
        <w:rPr>
          <w:rFonts w:ascii="Times New Roman" w:hAnsi="Times New Roman"/>
          <w:noProof/>
          <w:sz w:val="24"/>
          <w:szCs w:val="24"/>
        </w:rPr>
        <w:t>Um terço das PME refere que enfrenta procedimentos administrativos e jurídicos complexos ao tentar tornar a sua empresa mais eficiente em termos de recursos. No entanto, à medida que a sensibilização para os riscos relacionados com o clima e outras pressões ambientais aumentam e as preferências dos consumidores mudam, esta transição para práticas e comportamentos empresariais sustentáveis é fundamental para a continuidade da competitividade e do crescimento das PME</w:t>
      </w:r>
      <w:r>
        <w:rPr>
          <w:rFonts w:ascii="Times New Roman" w:hAnsi="Times New Roman"/>
          <w:i/>
          <w:iCs/>
          <w:noProof/>
          <w:color w:val="1F497D"/>
          <w:sz w:val="24"/>
          <w:szCs w:val="24"/>
        </w:rPr>
        <w:t>.</w:t>
      </w:r>
      <w:r>
        <w:rPr>
          <w:noProof/>
          <w:sz w:val="24"/>
          <w:szCs w:val="24"/>
        </w:rPr>
        <w:t xml:space="preserve"> </w:t>
      </w:r>
      <w:r>
        <w:rPr>
          <w:rFonts w:ascii="Times New Roman" w:hAnsi="Times New Roman"/>
          <w:noProof/>
          <w:sz w:val="24"/>
          <w:szCs w:val="24"/>
        </w:rPr>
        <w:t xml:space="preserve">É essencial apoiar as PME neste processo e dotá-las de instrumentos que lhes permitam compreender os riscos ambientais e atenuar os riscos que abrangem setores específicos, nomeadamente o da construção, do plástico, da eletrónica e agroalimentar. </w:t>
      </w:r>
    </w:p>
    <w:p>
      <w:pPr>
        <w:spacing w:after="240" w:line="240" w:lineRule="auto"/>
        <w:jc w:val="both"/>
        <w:rPr>
          <w:rFonts w:ascii="Times New Roman" w:hAnsi="Times New Roman" w:cs="Times New Roman"/>
          <w:noProof/>
          <w:sz w:val="24"/>
          <w:szCs w:val="24"/>
        </w:rPr>
      </w:pPr>
      <w:r>
        <w:rPr>
          <w:rFonts w:ascii="Times New Roman" w:hAnsi="Times New Roman"/>
          <w:noProof/>
          <w:sz w:val="24"/>
          <w:szCs w:val="24"/>
        </w:rPr>
        <w:t xml:space="preserve">Os mais de 600 membros da Rede Europeia de Empresas (REE) oferecem serviços personalizados às PME. Muitos membros da REE estão já a ajudar as PME na sua transição para a sustentabilidade. Nessa base, a REE disponibilizará </w:t>
      </w:r>
      <w:r>
        <w:rPr>
          <w:rFonts w:ascii="Times New Roman" w:hAnsi="Times New Roman"/>
          <w:b/>
          <w:bCs/>
          <w:noProof/>
          <w:sz w:val="24"/>
          <w:szCs w:val="24"/>
        </w:rPr>
        <w:t>consultores especializados em matéria de sustentabilidade</w:t>
      </w:r>
      <w:r>
        <w:rPr>
          <w:rFonts w:ascii="Times New Roman" w:hAnsi="Times New Roman"/>
          <w:bCs/>
          <w:noProof/>
          <w:sz w:val="24"/>
          <w:szCs w:val="24"/>
        </w:rPr>
        <w:t xml:space="preserve"> e outros serviços de sustentabilidade. Estes consultores</w:t>
      </w:r>
      <w:r>
        <w:rPr>
          <w:rFonts w:ascii="Times New Roman" w:hAnsi="Times New Roman"/>
          <w:b/>
          <w:bCs/>
          <w:noProof/>
          <w:sz w:val="24"/>
          <w:szCs w:val="24"/>
        </w:rPr>
        <w:t xml:space="preserve"> </w:t>
      </w:r>
      <w:r>
        <w:rPr>
          <w:rFonts w:ascii="Times New Roman" w:hAnsi="Times New Roman"/>
          <w:noProof/>
          <w:sz w:val="24"/>
          <w:szCs w:val="24"/>
        </w:rPr>
        <w:t xml:space="preserve">avaliarão as necessidades das PME e prestarão aconselhamento sobre o investimento em infraestruturas e processos circulares e mais eficientes em termos de recursos, encontrando parceiros comerciais pertinentes e incentivando a colaboração entre pares. Além disso, o </w:t>
      </w:r>
      <w:r>
        <w:rPr>
          <w:rFonts w:ascii="Times New Roman" w:hAnsi="Times New Roman"/>
          <w:bCs/>
          <w:noProof/>
          <w:sz w:val="24"/>
          <w:szCs w:val="24"/>
        </w:rPr>
        <w:t>Centro Europeu de Conhecimento em Eficiência dos Recursos</w:t>
      </w:r>
      <w:r>
        <w:rPr>
          <w:rFonts w:ascii="Times New Roman" w:hAnsi="Times New Roman"/>
          <w:noProof/>
          <w:sz w:val="24"/>
          <w:szCs w:val="24"/>
        </w:rPr>
        <w:t xml:space="preserve"> continuará a ajudar as PME a poupar nos custos da energia, dos materiais e da água. As soluções oferecidas pelas empresas de serviços energéticos (ESCO), que dispõem dos conhecimentos e das soluções técnicas e de financiamento, podem beneficiar as PME.   </w:t>
      </w:r>
    </w:p>
    <w:p>
      <w:pPr>
        <w:spacing w:after="240" w:line="240" w:lineRule="auto"/>
        <w:jc w:val="both"/>
        <w:rPr>
          <w:rFonts w:ascii="Times New Roman" w:hAnsi="Times New Roman" w:cs="Times New Roman"/>
          <w:noProof/>
          <w:sz w:val="24"/>
          <w:szCs w:val="24"/>
        </w:rPr>
      </w:pPr>
      <w:r>
        <w:rPr>
          <w:rFonts w:ascii="Times New Roman" w:hAnsi="Times New Roman"/>
          <w:noProof/>
          <w:sz w:val="24"/>
          <w:szCs w:val="24"/>
        </w:rPr>
        <w:t>A Europa é o berço da tecnologia verde e a sua liderança dependerá das PME para conduzir as inovações no setor ecológico. Tal será apoiado através do Plano de Investimento do Pacto Ecológico Europeu</w:t>
      </w:r>
      <w:r>
        <w:rPr>
          <w:rStyle w:val="FootnoteReference"/>
          <w:rFonts w:ascii="Times New Roman" w:hAnsi="Times New Roman" w:cs="Times New Roman"/>
          <w:noProof/>
          <w:sz w:val="24"/>
          <w:szCs w:val="24"/>
        </w:rPr>
        <w:footnoteReference w:id="7"/>
      </w:r>
      <w:r>
        <w:rPr>
          <w:rFonts w:ascii="Times New Roman" w:hAnsi="Times New Roman"/>
          <w:noProof/>
          <w:sz w:val="24"/>
          <w:szCs w:val="24"/>
        </w:rPr>
        <w:t xml:space="preserve">. No âmbito da orientação mais ampla do </w:t>
      </w:r>
      <w:r>
        <w:rPr>
          <w:rFonts w:ascii="Times New Roman" w:hAnsi="Times New Roman"/>
          <w:b/>
          <w:bCs/>
          <w:noProof/>
          <w:sz w:val="24"/>
          <w:szCs w:val="24"/>
        </w:rPr>
        <w:t>Conselho Europeu de Inovação</w:t>
      </w:r>
      <w:r>
        <w:rPr>
          <w:rFonts w:ascii="Times New Roman" w:hAnsi="Times New Roman"/>
          <w:noProof/>
          <w:sz w:val="24"/>
          <w:szCs w:val="24"/>
        </w:rPr>
        <w:t xml:space="preserve"> (CEI) para promover a inovação disruptiva, em especial por parte das PME, a Comissão atribuirá, pelo menos, 300 milhões de EUR, só em 2020, às empresas em fase de arranque e às PME com elevado potencial, para que possam desenvolver inovação de vanguarda ao abrigo do Pacto Ecológico. O </w:t>
      </w:r>
      <w:r>
        <w:rPr>
          <w:rFonts w:ascii="Times New Roman" w:hAnsi="Times New Roman"/>
          <w:b/>
          <w:noProof/>
          <w:sz w:val="24"/>
          <w:szCs w:val="24"/>
        </w:rPr>
        <w:t>Instituto Europeu de Inovação e Tecnologia</w:t>
      </w:r>
      <w:r>
        <w:rPr>
          <w:rFonts w:ascii="Times New Roman" w:hAnsi="Times New Roman"/>
          <w:noProof/>
          <w:sz w:val="24"/>
          <w:szCs w:val="24"/>
        </w:rPr>
        <w:t xml:space="preserve"> (EIT) garantirá que as suas Comunidades de Conhecimento e Inovação (CCI) estão mais abertas às PME e aumentará a sua oportunidade de participação em ecossistemas de inovação locais, em particular nas regiões menos desenvolvidas em termos de inovação. Tal será levado a cabo através de um instrumento de sensibilização específico (mecanismo regional de inovação) que reforçará os ecossistemas onde é mais importante.</w:t>
      </w:r>
    </w:p>
    <w:p>
      <w:pPr>
        <w:spacing w:after="240" w:line="240" w:lineRule="auto"/>
        <w:jc w:val="both"/>
        <w:rPr>
          <w:rFonts w:ascii="Times New Roman" w:hAnsi="Times New Roman" w:cs="Times New Roman"/>
          <w:i/>
          <w:noProof/>
          <w:sz w:val="24"/>
          <w:szCs w:val="24"/>
        </w:rPr>
      </w:pPr>
      <w:r>
        <w:rPr>
          <w:rFonts w:ascii="Times New Roman" w:hAnsi="Times New Roman"/>
          <w:i/>
          <w:noProof/>
          <w:sz w:val="24"/>
          <w:szCs w:val="24"/>
        </w:rPr>
        <w:t xml:space="preserve">Capacitar as PME para colher os benefícios da transição digital </w:t>
      </w:r>
    </w:p>
    <w:p>
      <w:pPr>
        <w:spacing w:after="240" w:line="240" w:lineRule="auto"/>
        <w:jc w:val="both"/>
        <w:rPr>
          <w:rFonts w:ascii="Times New Roman" w:hAnsi="Times New Roman" w:cs="Times New Roman"/>
          <w:noProof/>
          <w:sz w:val="24"/>
          <w:szCs w:val="24"/>
        </w:rPr>
      </w:pPr>
      <w:r>
        <w:rPr>
          <w:rFonts w:ascii="Times New Roman" w:hAnsi="Times New Roman"/>
          <w:bCs/>
          <w:noProof/>
          <w:sz w:val="24"/>
          <w:szCs w:val="24"/>
        </w:rPr>
        <w:t xml:space="preserve">Só uma comunidade próspera de PME que utiliza tecnologias e dados digitais pode tornar a Europa o líder mundial na construção da economia digital. </w:t>
      </w:r>
      <w:r>
        <w:rPr>
          <w:rFonts w:ascii="Times New Roman" w:hAnsi="Times New Roman"/>
          <w:noProof/>
          <w:sz w:val="24"/>
          <w:szCs w:val="24"/>
        </w:rPr>
        <w:t xml:space="preserve">A </w:t>
      </w:r>
      <w:r>
        <w:rPr>
          <w:rFonts w:ascii="Times New Roman" w:hAnsi="Times New Roman"/>
          <w:bCs/>
          <w:noProof/>
          <w:sz w:val="24"/>
          <w:szCs w:val="24"/>
        </w:rPr>
        <w:t>digitalização</w:t>
      </w:r>
      <w:r>
        <w:rPr>
          <w:rFonts w:ascii="Times New Roman" w:hAnsi="Times New Roman"/>
          <w:noProof/>
          <w:sz w:val="24"/>
          <w:szCs w:val="24"/>
        </w:rPr>
        <w:t xml:space="preserve"> pode proporcionar às PME grandes oportunidades para melhorar a eficiência dos processos de produção e a capacidade de inovação dos produtos e dos modelos empresariais. A utilização de tecnologias disruptivas avançadas, como a cadeia de blocos e a inteligência artificial (IA), a computação em nuvem e a computação de alto desempenho (HPC), pode aumentar significativamente a sua competitividade. </w:t>
      </w:r>
    </w:p>
    <w:p>
      <w:pPr>
        <w:spacing w:after="240" w:line="240" w:lineRule="auto"/>
        <w:jc w:val="both"/>
        <w:rPr>
          <w:rFonts w:ascii="Times New Roman" w:hAnsi="Times New Roman" w:cs="Times New Roman"/>
          <w:noProof/>
          <w:sz w:val="24"/>
          <w:szCs w:val="24"/>
        </w:rPr>
      </w:pPr>
      <w:r>
        <w:rPr>
          <w:rFonts w:ascii="Times New Roman" w:hAnsi="Times New Roman"/>
          <w:b/>
          <w:noProof/>
          <w:sz w:val="24"/>
          <w:szCs w:val="24"/>
        </w:rPr>
        <w:t>Porém, as PME ainda não beneficiam plenamente dos dados, que são vitais para a economia digital.</w:t>
      </w:r>
      <w:r>
        <w:rPr>
          <w:rFonts w:ascii="Times New Roman" w:hAnsi="Times New Roman"/>
          <w:noProof/>
          <w:sz w:val="24"/>
          <w:szCs w:val="24"/>
        </w:rPr>
        <w:t xml:space="preserve"> Muitas não estão conscientes do valor dos dados que criam, nem estão suficientemente protegidas ou preparadas para a futura economia ágil dos dados. Apenas 70 % das PME integraram com êxito as tecnologias digitais nas suas atividades, em comparação com 54 % das grandes empresas</w:t>
      </w:r>
      <w:r>
        <w:rPr>
          <w:rStyle w:val="FootnoteReference"/>
          <w:rFonts w:ascii="Times New Roman" w:hAnsi="Times New Roman" w:cs="Times New Roman"/>
          <w:noProof/>
          <w:sz w:val="24"/>
          <w:szCs w:val="24"/>
        </w:rPr>
        <w:footnoteReference w:id="8"/>
      </w:r>
      <w:r>
        <w:rPr>
          <w:rFonts w:ascii="Times New Roman" w:hAnsi="Times New Roman"/>
          <w:noProof/>
          <w:sz w:val="24"/>
          <w:szCs w:val="24"/>
        </w:rPr>
        <w:t xml:space="preserve">. As PME tradicionais são muitas vezes incertas na escolha da sua estratégia comercial digital, têm dificuldades em explorar os grandes repositórios de dados disponíveis para as empresas de maior dimensão e evitam a utilização de instrumentos e aplicações baseadas em IA avançada. Ao mesmo tempo, são muito vulneráveis às ciberameaças. </w:t>
      </w:r>
    </w:p>
    <w:p>
      <w:pPr>
        <w:spacing w:after="240" w:line="240" w:lineRule="auto"/>
        <w:jc w:val="both"/>
        <w:rPr>
          <w:noProof/>
          <w:sz w:val="24"/>
          <w:szCs w:val="24"/>
        </w:rPr>
      </w:pPr>
      <w:r>
        <w:rPr>
          <w:noProof/>
          <w:sz w:val="24"/>
          <w:szCs w:val="24"/>
          <w:lang w:val="en-GB" w:eastAsia="en-GB"/>
        </w:rPr>
        <w:drawing>
          <wp:inline distT="0" distB="0" distL="0" distR="0">
            <wp:extent cx="5616362" cy="2139950"/>
            <wp:effectExtent l="0" t="0" r="381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18265" cy="2140675"/>
                    </a:xfrm>
                    <a:prstGeom prst="rect">
                      <a:avLst/>
                    </a:prstGeom>
                    <a:noFill/>
                    <a:ln>
                      <a:noFill/>
                    </a:ln>
                  </pic:spPr>
                </pic:pic>
              </a:graphicData>
            </a:graphic>
          </wp:inline>
        </w:drawing>
      </w:r>
    </w:p>
    <w:p>
      <w:pPr>
        <w:spacing w:after="240" w:line="240" w:lineRule="auto"/>
        <w:jc w:val="right"/>
        <w:rPr>
          <w:rFonts w:ascii="Times New Roman" w:hAnsi="Times New Roman" w:cs="Times New Roman"/>
          <w:i/>
          <w:noProof/>
          <w:sz w:val="24"/>
          <w:szCs w:val="24"/>
        </w:rPr>
      </w:pPr>
      <w:r>
        <w:rPr>
          <w:rFonts w:ascii="Times New Roman" w:hAnsi="Times New Roman"/>
          <w:i/>
          <w:noProof/>
          <w:sz w:val="24"/>
          <w:szCs w:val="24"/>
        </w:rPr>
        <w:t>Fonte: Eurostat/IDES 2019</w:t>
      </w:r>
    </w:p>
    <w:p>
      <w:pPr>
        <w:spacing w:after="240" w:line="240" w:lineRule="auto"/>
        <w:jc w:val="both"/>
        <w:rPr>
          <w:rFonts w:ascii="Times New Roman" w:hAnsi="Times New Roman" w:cs="Times New Roman"/>
          <w:noProof/>
          <w:sz w:val="24"/>
          <w:szCs w:val="24"/>
        </w:rPr>
      </w:pPr>
      <w:r>
        <w:rPr>
          <w:rFonts w:ascii="Times New Roman" w:hAnsi="Times New Roman"/>
          <w:noProof/>
          <w:sz w:val="24"/>
          <w:szCs w:val="24"/>
        </w:rPr>
        <w:t xml:space="preserve">Essas PME serão apoiadas por uma rede com cerca de 240 </w:t>
      </w:r>
      <w:r>
        <w:rPr>
          <w:rFonts w:ascii="Times New Roman" w:hAnsi="Times New Roman"/>
          <w:b/>
          <w:bCs/>
          <w:noProof/>
          <w:sz w:val="24"/>
          <w:szCs w:val="24"/>
        </w:rPr>
        <w:t>polos de inovação digital</w:t>
      </w:r>
      <w:r>
        <w:rPr>
          <w:rFonts w:ascii="Times New Roman" w:hAnsi="Times New Roman"/>
          <w:noProof/>
          <w:sz w:val="24"/>
          <w:szCs w:val="24"/>
        </w:rPr>
        <w:t xml:space="preserve">, em cada região da Europa, assente em investimentos do Programa Europa Digital e dos Fundos Estruturais. </w:t>
      </w:r>
    </w:p>
    <w:p>
      <w:pPr>
        <w:spacing w:after="240" w:line="240" w:lineRule="auto"/>
        <w:jc w:val="both"/>
        <w:rPr>
          <w:rFonts w:ascii="Times New Roman" w:hAnsi="Times New Roman" w:cs="Times New Roman"/>
          <w:noProof/>
          <w:sz w:val="24"/>
          <w:szCs w:val="24"/>
        </w:rPr>
      </w:pPr>
      <w:r>
        <w:rPr>
          <w:rFonts w:ascii="Times New Roman" w:hAnsi="Times New Roman"/>
          <w:noProof/>
          <w:sz w:val="24"/>
          <w:szCs w:val="24"/>
        </w:rPr>
        <w:t xml:space="preserve">O objetivo consiste não só em prestar aconselhamento acessível e orientado sobre sustentabilidade e digitalização, como também em interligar as estruturas de apoio, de modo a que </w:t>
      </w:r>
      <w:r>
        <w:rPr>
          <w:rFonts w:ascii="Times New Roman" w:hAnsi="Times New Roman"/>
          <w:b/>
          <w:noProof/>
          <w:sz w:val="24"/>
          <w:szCs w:val="24"/>
        </w:rPr>
        <w:t>cada PME disponha de aconselhamento nas proximidades</w:t>
      </w:r>
      <w:r>
        <w:rPr>
          <w:rFonts w:ascii="Times New Roman" w:hAnsi="Times New Roman"/>
          <w:noProof/>
          <w:sz w:val="24"/>
          <w:szCs w:val="24"/>
        </w:rPr>
        <w:t>. A REE trabalhará em estreita colaboração com os polos de inovação digital, a Startup Europe</w:t>
      </w:r>
      <w:r>
        <w:rPr>
          <w:rStyle w:val="FootnoteReference"/>
          <w:rFonts w:ascii="Times New Roman" w:eastAsia="Calibri" w:hAnsi="Times New Roman" w:cs="Times New Roman"/>
          <w:noProof/>
          <w:sz w:val="24"/>
          <w:szCs w:val="24"/>
        </w:rPr>
        <w:footnoteReference w:id="9"/>
      </w:r>
      <w:r>
        <w:rPr>
          <w:rFonts w:ascii="Times New Roman" w:hAnsi="Times New Roman"/>
          <w:noProof/>
          <w:sz w:val="24"/>
          <w:szCs w:val="24"/>
        </w:rPr>
        <w:t>, entre outros, para assegurar um serviço de apoio e aconselhamento contínuos, nomeadamente com as autoridades nacionais, regionais e locais e as estruturas de apoio. A transferência de boas práticas, de conhecimentos e de competências também pode decorrer diretamente das PME digitais para as PME de outros domínios.</w:t>
      </w:r>
    </w:p>
    <w:p>
      <w:pPr>
        <w:spacing w:line="240" w:lineRule="auto"/>
        <w:jc w:val="both"/>
        <w:rPr>
          <w:rFonts w:ascii="Times New Roman" w:hAnsi="Times New Roman" w:cs="Times New Roman"/>
          <w:noProof/>
          <w:sz w:val="24"/>
          <w:szCs w:val="24"/>
        </w:rPr>
      </w:pPr>
      <w:r>
        <w:rPr>
          <w:rFonts w:ascii="Times New Roman" w:hAnsi="Times New Roman"/>
          <w:noProof/>
          <w:sz w:val="24"/>
          <w:szCs w:val="24"/>
        </w:rPr>
        <w:t xml:space="preserve">Tal como anunciado na </w:t>
      </w:r>
      <w:r>
        <w:rPr>
          <w:rFonts w:ascii="Times New Roman" w:hAnsi="Times New Roman"/>
          <w:b/>
          <w:bCs/>
          <w:noProof/>
          <w:sz w:val="24"/>
          <w:szCs w:val="24"/>
        </w:rPr>
        <w:t>Estratégia Europeia para os Dados</w:t>
      </w:r>
      <w:r>
        <w:rPr>
          <w:rStyle w:val="FootnoteReference"/>
          <w:rFonts w:ascii="Times New Roman" w:eastAsia="Calibri" w:hAnsi="Times New Roman" w:cs="Times New Roman"/>
          <w:b/>
          <w:bCs/>
          <w:noProof/>
          <w:sz w:val="24"/>
          <w:szCs w:val="24"/>
        </w:rPr>
        <w:footnoteReference w:id="10"/>
      </w:r>
      <w:r>
        <w:rPr>
          <w:rFonts w:ascii="Times New Roman" w:hAnsi="Times New Roman"/>
          <w:noProof/>
          <w:sz w:val="24"/>
          <w:szCs w:val="24"/>
        </w:rPr>
        <w:t xml:space="preserve">, a Comissão trabalhará no sentido de uma maior acessibilidade dos dados e de permitir os fluxos de dados entre as empresas e os governos, através do estabelecimento de espaços comuns europeus de dados para a partilha de dados segura e de confiança. Será assegurado o acesso equitativo a todas as empresas, em especial as PME. A Comissão examinará igualmente as potenciais questões relacionadas com os direitos de utilização dos dados cogerados, em especial provenientes da Internet das Coisas, a fim de evitar eventuais desvantagens para as PME. Por outro lado, abordará a adoção da computação em nuvem pelas PME, por exemplo, através de um mercado específico para serviços de computação em nuvem que garanta condições contratuais justas. </w:t>
      </w:r>
    </w:p>
    <w:p>
      <w:pPr>
        <w:spacing w:after="240" w:line="240" w:lineRule="auto"/>
        <w:jc w:val="both"/>
        <w:rPr>
          <w:rFonts w:ascii="Times New Roman" w:hAnsi="Times New Roman" w:cs="Times New Roman"/>
          <w:i/>
          <w:noProof/>
          <w:sz w:val="24"/>
          <w:szCs w:val="24"/>
        </w:rPr>
      </w:pPr>
      <w:r>
        <w:rPr>
          <w:rFonts w:ascii="Times New Roman" w:hAnsi="Times New Roman"/>
          <w:i/>
          <w:noProof/>
          <w:sz w:val="24"/>
          <w:szCs w:val="24"/>
        </w:rPr>
        <w:t xml:space="preserve">Aproveitar os talentos e a propriedade intelectual </w:t>
      </w:r>
    </w:p>
    <w:p>
      <w:pPr>
        <w:spacing w:after="240" w:line="240" w:lineRule="auto"/>
        <w:jc w:val="both"/>
        <w:rPr>
          <w:rFonts w:ascii="Times New Roman" w:hAnsi="Times New Roman" w:cs="Times New Roman"/>
          <w:noProof/>
          <w:color w:val="FF0000"/>
          <w:sz w:val="24"/>
          <w:szCs w:val="24"/>
        </w:rPr>
      </w:pPr>
      <w:r>
        <w:rPr>
          <w:rFonts w:ascii="Times New Roman" w:hAnsi="Times New Roman"/>
          <w:noProof/>
          <w:sz w:val="24"/>
          <w:szCs w:val="24"/>
        </w:rPr>
        <w:t xml:space="preserve">As PME também têm dificuldades em desenvolver estratégias de </w:t>
      </w:r>
      <w:r>
        <w:rPr>
          <w:rFonts w:ascii="Times New Roman" w:hAnsi="Times New Roman"/>
          <w:b/>
          <w:bCs/>
          <w:noProof/>
          <w:sz w:val="24"/>
          <w:szCs w:val="24"/>
        </w:rPr>
        <w:t>propriedade intelectual</w:t>
      </w:r>
      <w:r>
        <w:rPr>
          <w:rFonts w:ascii="Times New Roman" w:hAnsi="Times New Roman"/>
          <w:noProof/>
          <w:sz w:val="24"/>
          <w:szCs w:val="24"/>
        </w:rPr>
        <w:t xml:space="preserve"> (PI) para proteger os seus investimentos em I&amp;D e obter capital de crescimento, ainda que estas sejam essenciais no âmbito das duplas transições. Apenas 9 % das PME protegem a sua PI, uma vez que desconhecem as iniciativas nacionais e da UE em matéria de PI ou temem a complexidade e os custos de aquisição e de execução da PI. O futuro </w:t>
      </w:r>
      <w:r>
        <w:rPr>
          <w:rFonts w:ascii="Times New Roman" w:hAnsi="Times New Roman"/>
          <w:b/>
          <w:bCs/>
          <w:noProof/>
          <w:sz w:val="24"/>
          <w:szCs w:val="24"/>
        </w:rPr>
        <w:t>Plano de Ação para a Propriedade Intelectual</w:t>
      </w:r>
      <w:r>
        <w:rPr>
          <w:rFonts w:ascii="Times New Roman" w:hAnsi="Times New Roman"/>
          <w:noProof/>
          <w:sz w:val="24"/>
          <w:szCs w:val="24"/>
        </w:rPr>
        <w:t xml:space="preserve"> proporá medidas para tornar o sistema de PI mais eficaz para as PME, através de ações destinadas a simplificar os procedimentos de registo da PI (por exemplo, a reforma da legislação da UE em matéria de desenhos e modelos industriais), a melhorar o acesso a aconselhamento estratégico sobre PI (por exemplo, através de uma norma de aconselhamento em todos os financiamentos de I&amp;D a nível da UE), e a facilitar a utilização da PI como alavanca para obter o acesso ao financiamento.</w:t>
      </w:r>
    </w:p>
    <w:p>
      <w:pPr>
        <w:spacing w:after="240" w:line="240" w:lineRule="auto"/>
        <w:jc w:val="both"/>
        <w:rPr>
          <w:rFonts w:ascii="Times New Roman" w:hAnsi="Times New Roman" w:cs="Times New Roman"/>
          <w:noProof/>
          <w:sz w:val="24"/>
          <w:szCs w:val="24"/>
        </w:rPr>
      </w:pPr>
      <w:r>
        <w:rPr>
          <w:rFonts w:ascii="Times New Roman" w:hAnsi="Times New Roman"/>
          <w:noProof/>
          <w:sz w:val="24"/>
          <w:szCs w:val="24"/>
        </w:rPr>
        <w:t xml:space="preserve">Tanto na transição digital como na da sustentabilidade, as empresas em fase de arranque e as PME estabelecidas são, umas e outras, confrontadas com a falta de trabalhadores qualificados. Muitas vezes, não dispõem dos mesmos recursos que as grandes empresas para investir na formação dos seus trabalhadores. Mais de 70 % das empresas referem o acesso aos talentos </w:t>
      </w:r>
      <w:r>
        <w:rPr>
          <w:rFonts w:ascii="Times New Roman" w:hAnsi="Times New Roman"/>
          <w:bCs/>
          <w:noProof/>
          <w:sz w:val="24"/>
          <w:szCs w:val="24"/>
        </w:rPr>
        <w:t>como</w:t>
      </w:r>
      <w:r>
        <w:rPr>
          <w:rFonts w:ascii="Times New Roman" w:hAnsi="Times New Roman"/>
          <w:noProof/>
          <w:sz w:val="24"/>
          <w:szCs w:val="24"/>
        </w:rPr>
        <w:t xml:space="preserve"> um obstáculo a novos investimentos em toda a UE</w:t>
      </w:r>
      <w:r>
        <w:rPr>
          <w:rStyle w:val="FootnoteReference"/>
          <w:rFonts w:ascii="Times New Roman" w:hAnsi="Times New Roman" w:cs="Times New Roman"/>
          <w:noProof/>
          <w:sz w:val="24"/>
          <w:szCs w:val="24"/>
        </w:rPr>
        <w:footnoteReference w:id="11"/>
      </w:r>
      <w:r>
        <w:rPr>
          <w:rFonts w:ascii="Times New Roman" w:hAnsi="Times New Roman"/>
          <w:noProof/>
          <w:sz w:val="24"/>
          <w:szCs w:val="24"/>
        </w:rPr>
        <w:t>. A disponibilidade de pessoal qualificado ou de gestores experientes continua a ser o problema mais importante para um quarto das PME da UE</w:t>
      </w:r>
      <w:r>
        <w:rPr>
          <w:rStyle w:val="FootnoteReference"/>
          <w:rFonts w:ascii="Times New Roman" w:hAnsi="Times New Roman" w:cs="Times New Roman"/>
          <w:noProof/>
          <w:sz w:val="24"/>
          <w:szCs w:val="24"/>
        </w:rPr>
        <w:footnoteReference w:id="12"/>
      </w:r>
      <w:r>
        <w:rPr>
          <w:rFonts w:ascii="Times New Roman" w:hAnsi="Times New Roman"/>
          <w:noProof/>
          <w:sz w:val="24"/>
          <w:szCs w:val="24"/>
        </w:rPr>
        <w:t xml:space="preserve">. A escassez de competências é particularmente grave para a digitalização e as novas tecnologias, uma vez que 35 % da mão de obra tem poucas ou nenhumas competências digitais. </w:t>
      </w:r>
    </w:p>
    <w:p>
      <w:pPr>
        <w:spacing w:after="240" w:line="240" w:lineRule="auto"/>
        <w:jc w:val="both"/>
        <w:rPr>
          <w:rFonts w:ascii="Times New Roman" w:hAnsi="Times New Roman" w:cs="Times New Roman"/>
          <w:noProof/>
          <w:sz w:val="24"/>
          <w:szCs w:val="24"/>
        </w:rPr>
      </w:pPr>
      <w:r>
        <w:rPr>
          <w:rFonts w:ascii="Times New Roman" w:hAnsi="Times New Roman"/>
          <w:noProof/>
          <w:sz w:val="24"/>
          <w:szCs w:val="24"/>
        </w:rPr>
        <w:t>Os Estados-Membros e os parceiros sociais têm um papel fundamental a desempenhar e a UE pode ajudar a enfrentar estes desafios, facilitando o acesso à formação e ajudando a adequar a procura de talentos das PME e a oferta no mercado de trabalho. A educação e a formação para o empreendedorismo, que reforçam os conhecimentos e as competências empresariais, são uma peça-chave na adaptação das PME ao mercado único. As atividades educativas e de melhoria de competências são essenciais para todos os gestores e trabalhadores das PME, com especial destaque para o empoderamento das mulheres, adultas e jovens, para que criem empresas e para a melhoria do equilíbrio de género entre os que criam e os que gerem empresas</w:t>
      </w:r>
      <w:r>
        <w:rPr>
          <w:rStyle w:val="FootnoteReference"/>
          <w:rFonts w:ascii="Times New Roman" w:hAnsi="Times New Roman" w:cs="Times New Roman"/>
          <w:noProof/>
          <w:sz w:val="24"/>
          <w:szCs w:val="24"/>
        </w:rPr>
        <w:footnoteReference w:id="13"/>
      </w:r>
      <w:r>
        <w:rPr>
          <w:rFonts w:ascii="Times New Roman" w:hAnsi="Times New Roman"/>
          <w:noProof/>
          <w:sz w:val="24"/>
          <w:szCs w:val="24"/>
        </w:rPr>
        <w:t>.</w:t>
      </w:r>
    </w:p>
    <w:p>
      <w:pPr>
        <w:spacing w:after="240" w:line="240" w:lineRule="auto"/>
        <w:jc w:val="both"/>
        <w:rPr>
          <w:rFonts w:ascii="Times New Roman" w:eastAsia="Calibri" w:hAnsi="Times New Roman" w:cs="Times New Roman"/>
          <w:noProof/>
          <w:sz w:val="24"/>
          <w:szCs w:val="24"/>
        </w:rPr>
      </w:pPr>
      <w:r>
        <w:rPr>
          <w:rFonts w:ascii="Times New Roman" w:hAnsi="Times New Roman"/>
          <w:noProof/>
          <w:sz w:val="24"/>
          <w:szCs w:val="24"/>
        </w:rPr>
        <w:t xml:space="preserve">Com o apoio do Programa Europa Digital, a Comissão desenvolverá os </w:t>
      </w:r>
      <w:r>
        <w:rPr>
          <w:rFonts w:ascii="Times New Roman" w:hAnsi="Times New Roman"/>
          <w:b/>
          <w:bCs/>
          <w:noProof/>
          <w:sz w:val="24"/>
          <w:szCs w:val="24"/>
        </w:rPr>
        <w:t>Cursos Digitais Intensivos</w:t>
      </w:r>
      <w:r>
        <w:rPr>
          <w:rFonts w:ascii="Times New Roman" w:hAnsi="Times New Roman"/>
          <w:noProof/>
          <w:sz w:val="24"/>
          <w:szCs w:val="24"/>
        </w:rPr>
        <w:t xml:space="preserve"> para que os trabalhadores das PME se tornem competentes em domínios como a IA, a cibersegurança ou a tecnologia de cadeia de blocos, com base nas experiências da plataforma Coligação para a Criação de Competências e Emprego na Área Digital. Os polos de inovação digital funcionarão como intermediários entre as PME e as universidades/prestadores de formação a nível local. As atividades de incubação ajudarão as PME a tornar-se parte de ecossistemas baseados em dados. </w:t>
      </w:r>
    </w:p>
    <w:p>
      <w:pPr>
        <w:spacing w:after="240" w:line="240" w:lineRule="auto"/>
        <w:jc w:val="both"/>
        <w:rPr>
          <w:rFonts w:ascii="Times New Roman" w:hAnsi="Times New Roman" w:cs="Times New Roman"/>
          <w:noProof/>
          <w:color w:val="000000" w:themeColor="text1"/>
          <w:sz w:val="24"/>
          <w:szCs w:val="24"/>
        </w:rPr>
      </w:pPr>
      <w:r>
        <w:rPr>
          <w:rFonts w:ascii="Times New Roman" w:hAnsi="Times New Roman"/>
          <w:noProof/>
          <w:sz w:val="24"/>
          <w:szCs w:val="24"/>
        </w:rPr>
        <w:t>A Comissão lançará igualmente um programa de «</w:t>
      </w:r>
      <w:r>
        <w:rPr>
          <w:rFonts w:ascii="Times New Roman" w:hAnsi="Times New Roman"/>
          <w:b/>
          <w:bCs/>
          <w:noProof/>
          <w:sz w:val="24"/>
          <w:szCs w:val="24"/>
        </w:rPr>
        <w:t>voluntários digitais</w:t>
      </w:r>
      <w:r>
        <w:rPr>
          <w:rFonts w:ascii="Times New Roman" w:hAnsi="Times New Roman"/>
          <w:noProof/>
          <w:sz w:val="24"/>
          <w:szCs w:val="24"/>
        </w:rPr>
        <w:t>» para permitir que os jovens qualificados e os seniores com experiência partilhem as suas competências digitais com as empresas tradicionais. Apoiará igualmente e interligará os intermediários das PME, como os polos de empresas, a REE e o Centro Europeu de Conhecimento em Eficiência dos Recursos, a fim de ajudar o pessoal das PME a melhorar as suas competências no domínio da sustentabilidade.</w:t>
      </w:r>
    </w:p>
    <w:p>
      <w:pPr>
        <w:spacing w:after="240" w:line="240" w:lineRule="auto"/>
        <w:jc w:val="both"/>
        <w:rPr>
          <w:rFonts w:ascii="Times New Roman" w:hAnsi="Times New Roman" w:cs="Times New Roman"/>
          <w:b/>
          <w:noProof/>
          <w:color w:val="000000" w:themeColor="text1"/>
          <w:sz w:val="24"/>
          <w:szCs w:val="24"/>
          <w:highlight w:val="yellow"/>
        </w:rPr>
      </w:pPr>
      <w:r>
        <w:rPr>
          <w:rFonts w:ascii="Times New Roman" w:hAnsi="Times New Roman"/>
          <w:noProof/>
          <w:sz w:val="24"/>
          <w:szCs w:val="24"/>
        </w:rPr>
        <w:t xml:space="preserve">A Comissão atualizará a Agenda de Competências para a Europa, nomeadamente através do lançamento de um Pacto para as Competências. Este pacto incluirá um </w:t>
      </w:r>
      <w:r>
        <w:rPr>
          <w:rFonts w:ascii="Times New Roman" w:hAnsi="Times New Roman"/>
          <w:b/>
          <w:bCs/>
          <w:noProof/>
          <w:sz w:val="24"/>
          <w:szCs w:val="24"/>
        </w:rPr>
        <w:t>componente específico para as PME</w:t>
      </w:r>
      <w:r>
        <w:rPr>
          <w:rFonts w:ascii="Times New Roman" w:hAnsi="Times New Roman"/>
          <w:bCs/>
          <w:noProof/>
          <w:sz w:val="24"/>
          <w:szCs w:val="24"/>
        </w:rPr>
        <w:t>.</w:t>
      </w:r>
      <w:r>
        <w:rPr>
          <w:rFonts w:ascii="Times New Roman" w:hAnsi="Times New Roman"/>
          <w:b/>
          <w:bCs/>
          <w:noProof/>
          <w:sz w:val="24"/>
          <w:szCs w:val="24"/>
        </w:rPr>
        <w:t xml:space="preserve"> </w:t>
      </w:r>
      <w:r>
        <w:rPr>
          <w:rFonts w:ascii="Times New Roman" w:hAnsi="Times New Roman"/>
          <w:bCs/>
          <w:noProof/>
          <w:sz w:val="24"/>
          <w:szCs w:val="24"/>
        </w:rPr>
        <w:t>O ensino e a formação profissionais (EFP) são especialmente importantes para as PME, a fim de garantir que a sua mão de obra possui as competências necessárias no mercado de trabalho. Além disso, os Estados-Membros e as regiões serão incentivados a recorrer ao futuro Fundo Social Europeu Mais e às novas possibilidades de investimento dos Fundos Europeus de Desenvolvimento Regional no desenvolvimento de competências para a especialização inteligente, a transição industrial e o empreendedorismo.</w:t>
      </w:r>
      <w:r>
        <w:rPr>
          <w:rFonts w:ascii="Times New Roman" w:hAnsi="Times New Roman"/>
          <w:b/>
          <w:bCs/>
          <w:noProof/>
          <w:sz w:val="24"/>
          <w:szCs w:val="24"/>
        </w:rPr>
        <w:t xml:space="preserve"> </w:t>
      </w:r>
    </w:p>
    <w:p>
      <w:pPr>
        <w:spacing w:line="240" w:lineRule="auto"/>
        <w:jc w:val="both"/>
        <w:rPr>
          <w:rFonts w:ascii="Times New Roman" w:hAnsi="Times New Roman" w:cs="Times New Roman"/>
          <w:noProof/>
          <w:color w:val="000000" w:themeColor="text1"/>
          <w:sz w:val="24"/>
          <w:szCs w:val="24"/>
        </w:rPr>
      </w:pPr>
      <w:r>
        <w:rPr>
          <w:rFonts w:ascii="Times New Roman" w:hAnsi="Times New Roman"/>
          <w:noProof/>
          <w:sz w:val="24"/>
          <w:szCs w:val="24"/>
        </w:rPr>
        <w:t>A economia colaborativa cria oportunidades em domínios como a mobilidade e o alojamento para plataformas de PME inovadoras de mediação entre prestadores e beneficiários de serviços e para prestadores de serviços a PME que acedem a círculos mais vastos de clientes. Na sequência da sua Comunicação de 2016 sobre a economia colaborativa</w:t>
      </w:r>
      <w:r>
        <w:rPr>
          <w:rStyle w:val="FootnoteReference"/>
          <w:rFonts w:ascii="Times New Roman" w:hAnsi="Times New Roman" w:cs="Times New Roman"/>
          <w:noProof/>
          <w:sz w:val="24"/>
          <w:szCs w:val="24"/>
        </w:rPr>
        <w:footnoteReference w:id="14"/>
      </w:r>
      <w:r>
        <w:rPr>
          <w:rFonts w:ascii="Times New Roman" w:hAnsi="Times New Roman"/>
          <w:noProof/>
          <w:sz w:val="24"/>
          <w:szCs w:val="24"/>
        </w:rPr>
        <w:t xml:space="preserve">, a Comissão continuará a estudar a possibilidade de uma iniciativa centrada nos serviços de alojamento de curta duração (o maior setor da economia colaborativa), a fim de promover o desenvolvimento equilibrado e responsável da economia colaborativa em todo o mercado único, no pleno respeito dos interesses públicos. </w:t>
      </w:r>
    </w:p>
    <w:p>
      <w:pPr>
        <w:pBdr>
          <w:top w:val="single" w:sz="4" w:space="1" w:color="auto"/>
          <w:left w:val="single" w:sz="4" w:space="0" w:color="auto"/>
          <w:bottom w:val="single" w:sz="4" w:space="1" w:color="auto"/>
          <w:right w:val="single" w:sz="4" w:space="4" w:color="auto"/>
        </w:pBdr>
        <w:spacing w:after="200" w:line="240" w:lineRule="auto"/>
        <w:ind w:left="360"/>
        <w:jc w:val="both"/>
        <w:rPr>
          <w:rFonts w:ascii="Times New Roman" w:hAnsi="Times New Roman" w:cs="Times New Roman"/>
          <w:noProof/>
          <w:sz w:val="24"/>
          <w:szCs w:val="24"/>
        </w:rPr>
      </w:pPr>
      <w:r>
        <w:rPr>
          <w:rFonts w:ascii="Times New Roman" w:hAnsi="Times New Roman"/>
          <w:b/>
          <w:bCs/>
          <w:noProof/>
          <w:sz w:val="24"/>
          <w:szCs w:val="24"/>
        </w:rPr>
        <w:t>AÇÕES PRINCIPAIS</w:t>
      </w:r>
    </w:p>
    <w:p>
      <w:pPr>
        <w:pStyle w:val="ListParagraph"/>
        <w:numPr>
          <w:ilvl w:val="0"/>
          <w:numId w:val="28"/>
        </w:numPr>
        <w:pBdr>
          <w:top w:val="single" w:sz="4" w:space="1" w:color="auto"/>
          <w:left w:val="single" w:sz="4" w:space="0" w:color="auto"/>
          <w:bottom w:val="single" w:sz="4" w:space="1" w:color="auto"/>
          <w:right w:val="single" w:sz="4" w:space="4" w:color="auto"/>
        </w:pBdr>
        <w:spacing w:after="200" w:line="240" w:lineRule="auto"/>
        <w:jc w:val="both"/>
        <w:rPr>
          <w:rFonts w:ascii="Times New Roman" w:hAnsi="Times New Roman" w:cs="Times New Roman"/>
          <w:noProof/>
          <w:sz w:val="24"/>
          <w:szCs w:val="24"/>
        </w:rPr>
      </w:pPr>
      <w:r>
        <w:rPr>
          <w:rFonts w:ascii="Times New Roman" w:hAnsi="Times New Roman"/>
          <w:noProof/>
          <w:sz w:val="24"/>
          <w:szCs w:val="24"/>
        </w:rPr>
        <w:t xml:space="preserve">A Comissão atualizará a </w:t>
      </w:r>
      <w:r>
        <w:rPr>
          <w:rFonts w:ascii="Times New Roman" w:hAnsi="Times New Roman"/>
          <w:b/>
          <w:bCs/>
          <w:noProof/>
          <w:sz w:val="24"/>
          <w:szCs w:val="24"/>
        </w:rPr>
        <w:t>Rede Europeia de Empresas</w:t>
      </w:r>
      <w:r>
        <w:rPr>
          <w:rFonts w:ascii="Times New Roman" w:hAnsi="Times New Roman"/>
          <w:noProof/>
          <w:sz w:val="24"/>
          <w:szCs w:val="24"/>
        </w:rPr>
        <w:t>, nomeadamente através</w:t>
      </w:r>
      <w:r>
        <w:rPr>
          <w:rFonts w:ascii="Times New Roman" w:hAnsi="Times New Roman"/>
          <w:b/>
          <w:bCs/>
          <w:noProof/>
          <w:sz w:val="24"/>
          <w:szCs w:val="24"/>
        </w:rPr>
        <w:t xml:space="preserve"> </w:t>
      </w:r>
      <w:r>
        <w:rPr>
          <w:rFonts w:ascii="Times New Roman" w:hAnsi="Times New Roman"/>
          <w:noProof/>
          <w:sz w:val="24"/>
          <w:szCs w:val="24"/>
        </w:rPr>
        <w:t xml:space="preserve">de </w:t>
      </w:r>
      <w:r>
        <w:rPr>
          <w:rFonts w:ascii="Times New Roman" w:hAnsi="Times New Roman"/>
          <w:b/>
          <w:bCs/>
          <w:noProof/>
          <w:sz w:val="24"/>
          <w:szCs w:val="24"/>
        </w:rPr>
        <w:t>consultores especializados em matéria de sustentabilidade</w:t>
      </w:r>
      <w:r>
        <w:rPr>
          <w:rFonts w:ascii="Times New Roman" w:hAnsi="Times New Roman"/>
          <w:noProof/>
          <w:sz w:val="24"/>
          <w:szCs w:val="24"/>
        </w:rPr>
        <w:t xml:space="preserve"> e outros serviços de sustentabilidade. </w:t>
      </w:r>
    </w:p>
    <w:p>
      <w:pPr>
        <w:pStyle w:val="ListParagraph"/>
        <w:numPr>
          <w:ilvl w:val="0"/>
          <w:numId w:val="28"/>
        </w:numPr>
        <w:pBdr>
          <w:top w:val="single" w:sz="4" w:space="1" w:color="auto"/>
          <w:left w:val="single" w:sz="4" w:space="0" w:color="auto"/>
          <w:bottom w:val="single" w:sz="4" w:space="1" w:color="auto"/>
          <w:right w:val="single" w:sz="4" w:space="4" w:color="auto"/>
        </w:pBdr>
        <w:spacing w:after="200" w:line="240" w:lineRule="auto"/>
        <w:jc w:val="both"/>
        <w:rPr>
          <w:rFonts w:ascii="Times New Roman" w:hAnsi="Times New Roman" w:cs="Times New Roman"/>
          <w:noProof/>
          <w:sz w:val="24"/>
          <w:szCs w:val="24"/>
        </w:rPr>
      </w:pPr>
      <w:r>
        <w:rPr>
          <w:rFonts w:ascii="Times New Roman" w:hAnsi="Times New Roman"/>
          <w:noProof/>
          <w:sz w:val="24"/>
          <w:szCs w:val="24"/>
        </w:rPr>
        <w:t xml:space="preserve">A Comissão desenvolverá </w:t>
      </w:r>
      <w:r>
        <w:rPr>
          <w:rFonts w:ascii="Times New Roman" w:hAnsi="Times New Roman"/>
          <w:b/>
          <w:bCs/>
          <w:noProof/>
          <w:sz w:val="24"/>
          <w:szCs w:val="24"/>
        </w:rPr>
        <w:t>Cursos Digitais Intensivos</w:t>
      </w:r>
      <w:r>
        <w:rPr>
          <w:rFonts w:ascii="Times New Roman" w:hAnsi="Times New Roman"/>
          <w:noProof/>
          <w:sz w:val="24"/>
          <w:szCs w:val="24"/>
        </w:rPr>
        <w:t xml:space="preserve"> para que os trabalhadores das PME se tornem competentes em domínios como a IA, a cibersegurança ou a tecnologia de cadeia de blocos. </w:t>
      </w:r>
    </w:p>
    <w:p>
      <w:pPr>
        <w:pStyle w:val="ListParagraph"/>
        <w:numPr>
          <w:ilvl w:val="0"/>
          <w:numId w:val="28"/>
        </w:numPr>
        <w:pBdr>
          <w:top w:val="single" w:sz="4" w:space="1" w:color="auto"/>
          <w:left w:val="single" w:sz="4" w:space="0" w:color="auto"/>
          <w:bottom w:val="single" w:sz="4" w:space="1" w:color="auto"/>
          <w:right w:val="single" w:sz="4" w:space="4" w:color="auto"/>
        </w:pBdr>
        <w:spacing w:after="200" w:line="240" w:lineRule="auto"/>
        <w:jc w:val="both"/>
        <w:rPr>
          <w:rFonts w:ascii="Times New Roman" w:hAnsi="Times New Roman" w:cs="Times New Roman"/>
          <w:noProof/>
          <w:sz w:val="24"/>
          <w:szCs w:val="24"/>
        </w:rPr>
      </w:pPr>
      <w:r>
        <w:rPr>
          <w:rFonts w:ascii="Times New Roman" w:hAnsi="Times New Roman"/>
          <w:noProof/>
          <w:sz w:val="24"/>
          <w:szCs w:val="24"/>
        </w:rPr>
        <w:t>A Comissão lançará um programa de «</w:t>
      </w:r>
      <w:r>
        <w:rPr>
          <w:rFonts w:ascii="Times New Roman" w:hAnsi="Times New Roman"/>
          <w:b/>
          <w:bCs/>
          <w:noProof/>
          <w:sz w:val="24"/>
          <w:szCs w:val="24"/>
        </w:rPr>
        <w:t>voluntários digitais</w:t>
      </w:r>
      <w:r>
        <w:rPr>
          <w:rFonts w:ascii="Times New Roman" w:hAnsi="Times New Roman"/>
          <w:noProof/>
          <w:sz w:val="24"/>
          <w:szCs w:val="24"/>
        </w:rPr>
        <w:t>» para permitir que os jovens qualificados e os seniores com experiência partilhem as suas competências digitais com as empresas tradicionais</w:t>
      </w:r>
      <w:r>
        <w:rPr>
          <w:rFonts w:ascii="Times New Roman" w:hAnsi="Times New Roman"/>
          <w:noProof/>
          <w:sz w:val="24"/>
          <w:szCs w:val="24"/>
          <w:shd w:val="clear" w:color="auto" w:fill="FFFFFF"/>
        </w:rPr>
        <w:t>.</w:t>
      </w:r>
      <w:r>
        <w:rPr>
          <w:rFonts w:ascii="Times New Roman" w:hAnsi="Times New Roman"/>
          <w:noProof/>
          <w:sz w:val="24"/>
          <w:szCs w:val="24"/>
        </w:rPr>
        <w:t xml:space="preserve"> </w:t>
      </w:r>
    </w:p>
    <w:p>
      <w:pPr>
        <w:pStyle w:val="ListParagraph"/>
        <w:numPr>
          <w:ilvl w:val="0"/>
          <w:numId w:val="28"/>
        </w:numPr>
        <w:pBdr>
          <w:top w:val="single" w:sz="4" w:space="1" w:color="auto"/>
          <w:left w:val="single" w:sz="4" w:space="0" w:color="auto"/>
          <w:bottom w:val="single" w:sz="4" w:space="1" w:color="auto"/>
          <w:right w:val="single" w:sz="4" w:space="4" w:color="auto"/>
        </w:pBdr>
        <w:spacing w:after="200" w:line="240" w:lineRule="auto"/>
        <w:jc w:val="both"/>
        <w:rPr>
          <w:rFonts w:ascii="Times New Roman" w:hAnsi="Times New Roman" w:cs="Times New Roman"/>
          <w:noProof/>
          <w:sz w:val="24"/>
          <w:szCs w:val="24"/>
        </w:rPr>
      </w:pPr>
      <w:r>
        <w:rPr>
          <w:rFonts w:ascii="Times New Roman" w:hAnsi="Times New Roman"/>
          <w:noProof/>
          <w:sz w:val="24"/>
          <w:szCs w:val="24"/>
        </w:rPr>
        <w:t xml:space="preserve">A Comissão atualizará a </w:t>
      </w:r>
      <w:r>
        <w:rPr>
          <w:rFonts w:ascii="Times New Roman" w:hAnsi="Times New Roman"/>
          <w:b/>
          <w:noProof/>
          <w:sz w:val="24"/>
          <w:szCs w:val="24"/>
        </w:rPr>
        <w:t>Agenda de Competências para a Europa</w:t>
      </w:r>
      <w:r>
        <w:rPr>
          <w:rFonts w:ascii="Times New Roman" w:hAnsi="Times New Roman"/>
          <w:noProof/>
          <w:sz w:val="24"/>
          <w:szCs w:val="24"/>
        </w:rPr>
        <w:t xml:space="preserve">, incluindo um Pacto para as Competências com uma componente específica para as PME, e proporá uma recomendação do Conselho destinada a modernizar o ensino e a formação profissionais. </w:t>
      </w:r>
    </w:p>
    <w:p>
      <w:pPr>
        <w:pStyle w:val="ListParagraph"/>
        <w:numPr>
          <w:ilvl w:val="0"/>
          <w:numId w:val="28"/>
        </w:numPr>
        <w:pBdr>
          <w:top w:val="single" w:sz="4" w:space="1" w:color="auto"/>
          <w:left w:val="single" w:sz="4" w:space="0" w:color="auto"/>
          <w:bottom w:val="single" w:sz="4" w:space="1" w:color="auto"/>
          <w:right w:val="single" w:sz="4" w:space="4" w:color="auto"/>
        </w:pBdr>
        <w:spacing w:after="200" w:line="240" w:lineRule="auto"/>
        <w:jc w:val="both"/>
        <w:rPr>
          <w:rFonts w:ascii="Times New Roman" w:hAnsi="Times New Roman" w:cs="Times New Roman"/>
          <w:noProof/>
          <w:sz w:val="24"/>
          <w:szCs w:val="24"/>
        </w:rPr>
      </w:pPr>
      <w:r>
        <w:rPr>
          <w:rFonts w:ascii="Times New Roman" w:hAnsi="Times New Roman"/>
          <w:noProof/>
          <w:sz w:val="24"/>
          <w:szCs w:val="24"/>
        </w:rPr>
        <w:t xml:space="preserve">A Comissão ampliará os </w:t>
      </w:r>
      <w:r>
        <w:rPr>
          <w:rFonts w:ascii="Times New Roman" w:hAnsi="Times New Roman"/>
          <w:b/>
          <w:bCs/>
          <w:noProof/>
          <w:sz w:val="24"/>
          <w:szCs w:val="24"/>
        </w:rPr>
        <w:t>polos de inovação digital</w:t>
      </w:r>
      <w:r>
        <w:rPr>
          <w:rFonts w:ascii="Times New Roman" w:hAnsi="Times New Roman"/>
          <w:bCs/>
          <w:noProof/>
          <w:sz w:val="24"/>
          <w:szCs w:val="24"/>
        </w:rPr>
        <w:t xml:space="preserve"> em ligação com a Startup Europe e a REE e oferecerá um serviço contínuo no âmbito dos ecossistemas locais e regionais.</w:t>
      </w:r>
      <w:r>
        <w:rPr>
          <w:rFonts w:ascii="Times New Roman" w:hAnsi="Times New Roman"/>
          <w:b/>
          <w:bCs/>
          <w:noProof/>
          <w:sz w:val="24"/>
          <w:szCs w:val="24"/>
        </w:rPr>
        <w:t xml:space="preserve"> </w:t>
      </w:r>
    </w:p>
    <w:p>
      <w:pPr>
        <w:pStyle w:val="ListParagraph"/>
        <w:numPr>
          <w:ilvl w:val="0"/>
          <w:numId w:val="28"/>
        </w:numPr>
        <w:pBdr>
          <w:top w:val="single" w:sz="4" w:space="1" w:color="auto"/>
          <w:left w:val="single" w:sz="4" w:space="0" w:color="auto"/>
          <w:bottom w:val="single" w:sz="4" w:space="1" w:color="auto"/>
          <w:right w:val="single" w:sz="4" w:space="4" w:color="auto"/>
        </w:pBdr>
        <w:spacing w:after="200" w:line="240" w:lineRule="auto"/>
        <w:jc w:val="both"/>
        <w:rPr>
          <w:rFonts w:ascii="Times New Roman" w:hAnsi="Times New Roman" w:cs="Times New Roman"/>
          <w:noProof/>
          <w:sz w:val="24"/>
          <w:szCs w:val="24"/>
        </w:rPr>
      </w:pPr>
      <w:r>
        <w:rPr>
          <w:rFonts w:ascii="Times New Roman" w:hAnsi="Times New Roman"/>
          <w:noProof/>
          <w:sz w:val="24"/>
          <w:szCs w:val="24"/>
        </w:rPr>
        <w:t xml:space="preserve">A Comissão atribuirá, pelo menos, 300 milhões de EUR para incentivar a inovação de vanguarda ao abrigo do Pacto Ecológico, no âmbito do </w:t>
      </w:r>
      <w:r>
        <w:rPr>
          <w:rFonts w:ascii="Times New Roman" w:hAnsi="Times New Roman"/>
          <w:b/>
          <w:bCs/>
          <w:noProof/>
          <w:sz w:val="24"/>
          <w:szCs w:val="24"/>
        </w:rPr>
        <w:t>CEI</w:t>
      </w:r>
      <w:r>
        <w:rPr>
          <w:rFonts w:ascii="Times New Roman" w:hAnsi="Times New Roman"/>
          <w:noProof/>
          <w:sz w:val="24"/>
          <w:szCs w:val="24"/>
        </w:rPr>
        <w:t xml:space="preserve">. </w:t>
      </w:r>
    </w:p>
    <w:p>
      <w:pPr>
        <w:pStyle w:val="ListParagraph"/>
        <w:numPr>
          <w:ilvl w:val="0"/>
          <w:numId w:val="28"/>
        </w:numPr>
        <w:pBdr>
          <w:top w:val="single" w:sz="4" w:space="1" w:color="auto"/>
          <w:left w:val="single" w:sz="4" w:space="0" w:color="auto"/>
          <w:bottom w:val="single" w:sz="4" w:space="1" w:color="auto"/>
          <w:right w:val="single" w:sz="4" w:space="4" w:color="auto"/>
        </w:pBdr>
        <w:spacing w:after="200" w:line="240" w:lineRule="auto"/>
        <w:jc w:val="both"/>
        <w:rPr>
          <w:noProof/>
          <w:sz w:val="24"/>
          <w:szCs w:val="24"/>
        </w:rPr>
      </w:pPr>
      <w:r>
        <w:rPr>
          <w:rFonts w:ascii="Times New Roman" w:hAnsi="Times New Roman"/>
          <w:noProof/>
          <w:sz w:val="24"/>
          <w:szCs w:val="24"/>
        </w:rPr>
        <w:t>Para as PME</w:t>
      </w:r>
      <w:r>
        <w:rPr>
          <w:rFonts w:ascii="Times New Roman" w:hAnsi="Times New Roman"/>
          <w:b/>
          <w:bCs/>
          <w:noProof/>
          <w:sz w:val="24"/>
          <w:szCs w:val="24"/>
        </w:rPr>
        <w:t xml:space="preserve"> </w:t>
      </w:r>
      <w:r>
        <w:rPr>
          <w:rFonts w:ascii="Times New Roman" w:hAnsi="Times New Roman"/>
          <w:noProof/>
          <w:sz w:val="24"/>
          <w:szCs w:val="24"/>
        </w:rPr>
        <w:t xml:space="preserve">que concentram as suas atividades em serviços de alojamento de curta duração, a Comissão continuará a estudar a possibilidade de uma </w:t>
      </w:r>
      <w:r>
        <w:rPr>
          <w:rFonts w:ascii="Times New Roman" w:hAnsi="Times New Roman"/>
          <w:b/>
          <w:bCs/>
          <w:noProof/>
          <w:sz w:val="24"/>
          <w:szCs w:val="24"/>
        </w:rPr>
        <w:t>iniciativa de economia colaborativa</w:t>
      </w:r>
      <w:r>
        <w:rPr>
          <w:rFonts w:ascii="Times New Roman" w:hAnsi="Times New Roman"/>
          <w:noProof/>
          <w:sz w:val="24"/>
          <w:szCs w:val="24"/>
        </w:rPr>
        <w:t>.</w:t>
      </w:r>
    </w:p>
    <w:p>
      <w:pPr>
        <w:pStyle w:val="ListParagraph"/>
        <w:numPr>
          <w:ilvl w:val="0"/>
          <w:numId w:val="37"/>
        </w:numPr>
        <w:spacing w:before="480" w:after="240" w:line="240" w:lineRule="auto"/>
        <w:ind w:left="714" w:hanging="357"/>
        <w:contextualSpacing w:val="0"/>
        <w:jc w:val="both"/>
        <w:rPr>
          <w:rFonts w:ascii="Times New Roman" w:hAnsi="Times New Roman" w:cs="Times New Roman"/>
          <w:b/>
          <w:bCs/>
          <w:noProof/>
          <w:sz w:val="24"/>
          <w:szCs w:val="24"/>
        </w:rPr>
      </w:pPr>
      <w:r>
        <w:rPr>
          <w:rFonts w:ascii="Times New Roman" w:hAnsi="Times New Roman"/>
          <w:b/>
          <w:bCs/>
          <w:noProof/>
          <w:sz w:val="24"/>
          <w:szCs w:val="24"/>
        </w:rPr>
        <w:t>Redução dos encargos regulamentares e melhoria do acesso ao mercado</w:t>
      </w:r>
    </w:p>
    <w:p>
      <w:pPr>
        <w:spacing w:after="120" w:line="240" w:lineRule="auto"/>
        <w:jc w:val="both"/>
        <w:rPr>
          <w:rFonts w:ascii="Times New Roman" w:hAnsi="Times New Roman" w:cs="Times New Roman"/>
          <w:noProof/>
          <w:sz w:val="24"/>
          <w:szCs w:val="24"/>
        </w:rPr>
      </w:pPr>
      <w:r>
        <w:rPr>
          <w:rFonts w:ascii="Times New Roman" w:hAnsi="Times New Roman"/>
          <w:b/>
          <w:noProof/>
          <w:sz w:val="24"/>
          <w:szCs w:val="24"/>
        </w:rPr>
        <w:t xml:space="preserve">O </w:t>
      </w:r>
      <w:r>
        <w:rPr>
          <w:rFonts w:ascii="Times New Roman" w:hAnsi="Times New Roman"/>
          <w:b/>
          <w:bCs/>
          <w:noProof/>
          <w:sz w:val="24"/>
          <w:szCs w:val="24"/>
        </w:rPr>
        <w:t>mercado único</w:t>
      </w:r>
      <w:r>
        <w:rPr>
          <w:rFonts w:ascii="Times New Roman" w:hAnsi="Times New Roman"/>
          <w:b/>
          <w:noProof/>
          <w:sz w:val="24"/>
          <w:szCs w:val="24"/>
        </w:rPr>
        <w:t xml:space="preserve"> é o mercado de referência para as PME europeias</w:t>
      </w:r>
      <w:r>
        <w:rPr>
          <w:rFonts w:ascii="Times New Roman" w:hAnsi="Times New Roman"/>
          <w:noProof/>
          <w:sz w:val="24"/>
          <w:szCs w:val="24"/>
        </w:rPr>
        <w:t>. Representa 70 % do valor das exportações de bens das PME e 80 % de todas as PME exportadoras vendem para outros Estados-Membros</w:t>
      </w:r>
      <w:r>
        <w:rPr>
          <w:rStyle w:val="FootnoteReference"/>
          <w:rFonts w:ascii="Times New Roman" w:hAnsi="Times New Roman" w:cs="Times New Roman"/>
          <w:noProof/>
          <w:sz w:val="24"/>
          <w:szCs w:val="24"/>
        </w:rPr>
        <w:footnoteReference w:id="15"/>
      </w:r>
      <w:r>
        <w:rPr>
          <w:rFonts w:ascii="Times New Roman" w:hAnsi="Times New Roman"/>
          <w:noProof/>
          <w:sz w:val="24"/>
          <w:szCs w:val="24"/>
        </w:rPr>
        <w:t>. No entanto, o número de PME que exportam para outros Estados-Membros pode ser muito mais elevado: por exemplo, apenas 17 % de todas as PME do setor da indústria transformadora exportam no mercado único</w:t>
      </w:r>
      <w:r>
        <w:rPr>
          <w:rStyle w:val="FootnoteReference"/>
          <w:rFonts w:ascii="Times New Roman" w:hAnsi="Times New Roman" w:cs="Times New Roman"/>
          <w:noProof/>
          <w:sz w:val="24"/>
          <w:szCs w:val="24"/>
        </w:rPr>
        <w:footnoteReference w:id="16"/>
      </w:r>
      <w:r>
        <w:rPr>
          <w:rFonts w:ascii="Times New Roman" w:hAnsi="Times New Roman"/>
          <w:noProof/>
          <w:sz w:val="24"/>
          <w:szCs w:val="24"/>
        </w:rPr>
        <w:t xml:space="preserve">. A Comunicação Barreiras ao Mercado Único revela que as mais afetadas pelas barreiras persistentes são PME. </w:t>
      </w:r>
    </w:p>
    <w:p>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 xml:space="preserve">O cumprimento dos </w:t>
      </w:r>
      <w:r>
        <w:rPr>
          <w:rFonts w:ascii="Times New Roman" w:hAnsi="Times New Roman"/>
          <w:b/>
          <w:bCs/>
          <w:noProof/>
          <w:sz w:val="24"/>
          <w:szCs w:val="24"/>
        </w:rPr>
        <w:t>regulamentos, normas, selos e formalidades administrativas</w:t>
      </w:r>
      <w:r>
        <w:rPr>
          <w:rFonts w:ascii="Times New Roman" w:hAnsi="Times New Roman"/>
          <w:noProof/>
          <w:sz w:val="24"/>
          <w:szCs w:val="24"/>
        </w:rPr>
        <w:t xml:space="preserve"> afeta mais as PME do que as empresas de maior dimensão, devido aos recursos financeiros e humanos limitados das primeiras. Por exemplo, no setor dos serviços às empresas, os custos suportados pelas PME no cumprimento das formalidades administrativas podem atingir 10 000 EUR</w:t>
      </w:r>
      <w:r>
        <w:rPr>
          <w:rStyle w:val="FootnoteReference"/>
          <w:rFonts w:ascii="Times New Roman" w:hAnsi="Times New Roman" w:cs="Times New Roman"/>
          <w:noProof/>
          <w:sz w:val="24"/>
          <w:szCs w:val="24"/>
        </w:rPr>
        <w:footnoteReference w:id="17"/>
      </w:r>
      <w:r>
        <w:rPr>
          <w:rFonts w:ascii="Times New Roman" w:hAnsi="Times New Roman"/>
          <w:noProof/>
          <w:sz w:val="24"/>
          <w:szCs w:val="24"/>
        </w:rPr>
        <w:t xml:space="preserve">. Apesar dos progressos registados desde a adoção da </w:t>
      </w:r>
      <w:r>
        <w:rPr>
          <w:rFonts w:ascii="Times New Roman" w:hAnsi="Times New Roman"/>
          <w:i/>
          <w:noProof/>
          <w:sz w:val="24"/>
          <w:szCs w:val="24"/>
        </w:rPr>
        <w:t>Small Business Act</w:t>
      </w:r>
      <w:r>
        <w:rPr>
          <w:rFonts w:ascii="Times New Roman" w:hAnsi="Times New Roman"/>
          <w:noProof/>
          <w:sz w:val="24"/>
          <w:szCs w:val="24"/>
        </w:rPr>
        <w:t>, o impacto cumulativo da regulamentação continua a ser um problema importante para as PME.</w:t>
      </w:r>
      <w:r>
        <w:rPr>
          <w:rStyle w:val="FootnoteReference"/>
          <w:rFonts w:ascii="Times New Roman" w:hAnsi="Times New Roman"/>
          <w:noProof/>
          <w:sz w:val="24"/>
          <w:szCs w:val="24"/>
        </w:rPr>
        <w:t xml:space="preserve"> </w:t>
      </w:r>
      <w:r>
        <w:rPr>
          <w:rFonts w:ascii="Times New Roman" w:hAnsi="Times New Roman"/>
          <w:noProof/>
          <w:sz w:val="24"/>
          <w:szCs w:val="24"/>
        </w:rPr>
        <w:t xml:space="preserve"> </w:t>
      </w:r>
    </w:p>
    <w:p>
      <w:pPr>
        <w:spacing w:after="0" w:line="240" w:lineRule="auto"/>
        <w:jc w:val="both"/>
        <w:rPr>
          <w:noProof/>
          <w:sz w:val="24"/>
          <w:szCs w:val="24"/>
        </w:rPr>
      </w:pPr>
      <w:r>
        <w:rPr>
          <w:noProof/>
          <w:sz w:val="24"/>
          <w:szCs w:val="24"/>
          <w:lang w:val="en-GB" w:eastAsia="en-GB"/>
        </w:rPr>
        <w:drawing>
          <wp:inline distT="0" distB="0" distL="0" distR="0">
            <wp:extent cx="5731510" cy="2355415"/>
            <wp:effectExtent l="0" t="0" r="254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31510" cy="2355415"/>
                    </a:xfrm>
                    <a:prstGeom prst="rect">
                      <a:avLst/>
                    </a:prstGeom>
                    <a:noFill/>
                    <a:ln>
                      <a:noFill/>
                    </a:ln>
                  </pic:spPr>
                </pic:pic>
              </a:graphicData>
            </a:graphic>
          </wp:inline>
        </w:drawing>
      </w:r>
    </w:p>
    <w:p>
      <w:pPr>
        <w:spacing w:after="0" w:line="240" w:lineRule="auto"/>
        <w:jc w:val="right"/>
        <w:rPr>
          <w:rFonts w:ascii="Times New Roman" w:hAnsi="Times New Roman" w:cs="Times New Roman"/>
          <w:i/>
          <w:noProof/>
          <w:sz w:val="24"/>
          <w:szCs w:val="24"/>
        </w:rPr>
      </w:pPr>
      <w:r>
        <w:rPr>
          <w:rFonts w:ascii="Times New Roman" w:hAnsi="Times New Roman"/>
          <w:i/>
          <w:noProof/>
          <w:sz w:val="24"/>
          <w:szCs w:val="24"/>
        </w:rPr>
        <w:t>Fonte: Business Survey, Eurochambres 2019</w:t>
      </w:r>
    </w:p>
    <w:p>
      <w:pPr>
        <w:spacing w:after="120" w:line="240" w:lineRule="auto"/>
        <w:jc w:val="both"/>
        <w:rPr>
          <w:rFonts w:ascii="Times New Roman" w:hAnsi="Times New Roman" w:cs="Times New Roman"/>
          <w:noProof/>
          <w:sz w:val="24"/>
          <w:szCs w:val="24"/>
        </w:rPr>
      </w:pPr>
    </w:p>
    <w:p>
      <w:pPr>
        <w:jc w:val="both"/>
        <w:rPr>
          <w:rFonts w:ascii="Times New Roman" w:hAnsi="Times New Roman" w:cs="Times New Roman"/>
          <w:noProof/>
          <w:sz w:val="24"/>
          <w:szCs w:val="24"/>
        </w:rPr>
      </w:pPr>
      <w:r>
        <w:rPr>
          <w:rFonts w:ascii="Times New Roman" w:hAnsi="Times New Roman"/>
          <w:noProof/>
          <w:sz w:val="24"/>
          <w:szCs w:val="24"/>
        </w:rPr>
        <w:t xml:space="preserve">Para as PME europeias, a legislação revela-se complexa e onerosa, em especial devido aos diferentes procedimentos existentes nos Estados-Membros. Estas barreiras dissuadem muitas delas de fazer negócios transfronteiras e de se expandirem. Quando o fazem, recorrem frequentemente a grandes plataformas como intermediárias, o que conduz a níveis desiguais de poder de negociação. </w:t>
      </w:r>
    </w:p>
    <w:p>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A eliminação destas barreiras é da responsabilidade conjunta da UE e dos Estados-Membros. Grande parte dos encargos resulta da legislação nacional e é importante avaliar o impacto das «medidas de sobrerregulamentação» nas PME</w:t>
      </w:r>
      <w:r>
        <w:rPr>
          <w:rStyle w:val="FootnoteReference"/>
          <w:rFonts w:ascii="Times New Roman" w:hAnsi="Times New Roman" w:cs="Times New Roman"/>
          <w:noProof/>
          <w:sz w:val="24"/>
          <w:szCs w:val="24"/>
        </w:rPr>
        <w:footnoteReference w:id="18"/>
      </w:r>
      <w:r>
        <w:rPr>
          <w:rFonts w:ascii="Times New Roman" w:hAnsi="Times New Roman"/>
          <w:noProof/>
          <w:sz w:val="24"/>
          <w:szCs w:val="24"/>
        </w:rPr>
        <w:t>. Em conjunto com a Comissão, os Estados-Membros têm de prosseguir uma aplicação rigorosa dos princípios «pensar primeiro em pequena escala»</w:t>
      </w:r>
      <w:r>
        <w:rPr>
          <w:rStyle w:val="FootnoteReference"/>
          <w:rFonts w:ascii="Times New Roman" w:hAnsi="Times New Roman" w:cs="Times New Roman"/>
          <w:noProof/>
          <w:sz w:val="24"/>
          <w:szCs w:val="24"/>
        </w:rPr>
        <w:footnoteReference w:id="19"/>
      </w:r>
      <w:r>
        <w:rPr>
          <w:rFonts w:ascii="Times New Roman" w:hAnsi="Times New Roman"/>
          <w:noProof/>
          <w:sz w:val="24"/>
          <w:szCs w:val="24"/>
        </w:rPr>
        <w:t>, «da declaração única»</w:t>
      </w:r>
      <w:r>
        <w:rPr>
          <w:rStyle w:val="FootnoteReference"/>
          <w:rFonts w:ascii="Times New Roman" w:hAnsi="Times New Roman" w:cs="Times New Roman"/>
          <w:noProof/>
          <w:sz w:val="24"/>
          <w:szCs w:val="24"/>
        </w:rPr>
        <w:footnoteReference w:id="20"/>
      </w:r>
      <w:r>
        <w:rPr>
          <w:rFonts w:ascii="Times New Roman" w:hAnsi="Times New Roman"/>
          <w:noProof/>
          <w:sz w:val="24"/>
          <w:szCs w:val="24"/>
        </w:rPr>
        <w:t xml:space="preserve"> e «digital por defeito»</w:t>
      </w:r>
      <w:r>
        <w:rPr>
          <w:rStyle w:val="FootnoteReference"/>
          <w:rFonts w:ascii="Times New Roman" w:hAnsi="Times New Roman" w:cs="Times New Roman"/>
          <w:noProof/>
          <w:sz w:val="24"/>
          <w:szCs w:val="24"/>
        </w:rPr>
        <w:footnoteReference w:id="21"/>
      </w:r>
      <w:r>
        <w:rPr>
          <w:rFonts w:ascii="Times New Roman" w:hAnsi="Times New Roman"/>
          <w:noProof/>
          <w:sz w:val="24"/>
          <w:szCs w:val="24"/>
        </w:rPr>
        <w:t xml:space="preserve">. </w:t>
      </w:r>
    </w:p>
    <w:p>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 xml:space="preserve">Por seu lado, a Comissão está empenhada em reduzir os encargos das PME e dar-lhes uma voz mais forte ao longo do ciclo «Legislar Melhor». No âmbito do programa para a adequação e a eficácia da regulamentação (REFIT), a Comissão analisa de forma sistemática a </w:t>
      </w:r>
      <w:r>
        <w:rPr>
          <w:rFonts w:ascii="Times New Roman" w:hAnsi="Times New Roman"/>
          <w:b/>
          <w:noProof/>
          <w:sz w:val="24"/>
          <w:szCs w:val="24"/>
        </w:rPr>
        <w:t>legislação da UE em vigor</w:t>
      </w:r>
      <w:r>
        <w:rPr>
          <w:rFonts w:ascii="Times New Roman" w:hAnsi="Times New Roman"/>
          <w:noProof/>
          <w:sz w:val="24"/>
          <w:szCs w:val="24"/>
        </w:rPr>
        <w:t>, a fim de reduzir os encargos e simplificar a legislação. A Comissão utilizará de forma mais sistemática os balanços de qualidade para analisar as formas de digitalizar, simplificar e alcançar os objetivos ao menor custo para benefício das PME. Por outro lado, a nova Plataforma «Prontos para o Futuro»</w:t>
      </w:r>
      <w:r>
        <w:rPr>
          <w:rStyle w:val="FootnoteReference"/>
          <w:rFonts w:ascii="Times New Roman" w:hAnsi="Times New Roman" w:cs="Times New Roman"/>
          <w:noProof/>
          <w:sz w:val="24"/>
          <w:szCs w:val="24"/>
        </w:rPr>
        <w:footnoteReference w:id="22"/>
      </w:r>
      <w:r>
        <w:rPr>
          <w:rFonts w:ascii="Times New Roman" w:hAnsi="Times New Roman"/>
          <w:noProof/>
          <w:sz w:val="24"/>
          <w:szCs w:val="24"/>
        </w:rPr>
        <w:t xml:space="preserve"> analisará a legislação da UE em vigor, a fim de identificar o potencial de simplificação e de redução dos encargos administrativos.  </w:t>
      </w:r>
    </w:p>
    <w:p>
      <w:pPr>
        <w:spacing w:line="240" w:lineRule="auto"/>
        <w:jc w:val="both"/>
        <w:rPr>
          <w:rFonts w:ascii="Times New Roman" w:hAnsi="Times New Roman" w:cs="Times New Roman"/>
          <w:noProof/>
          <w:sz w:val="24"/>
          <w:szCs w:val="24"/>
        </w:rPr>
      </w:pPr>
      <w:r>
        <w:rPr>
          <w:rFonts w:ascii="Times New Roman" w:hAnsi="Times New Roman"/>
          <w:noProof/>
          <w:sz w:val="24"/>
          <w:szCs w:val="24"/>
        </w:rPr>
        <w:t xml:space="preserve">Para a </w:t>
      </w:r>
      <w:r>
        <w:rPr>
          <w:rFonts w:ascii="Times New Roman" w:hAnsi="Times New Roman"/>
          <w:b/>
          <w:noProof/>
          <w:sz w:val="24"/>
          <w:szCs w:val="24"/>
        </w:rPr>
        <w:t>nova legislação</w:t>
      </w:r>
      <w:r>
        <w:rPr>
          <w:rFonts w:ascii="Times New Roman" w:hAnsi="Times New Roman"/>
          <w:noProof/>
          <w:sz w:val="24"/>
          <w:szCs w:val="24"/>
        </w:rPr>
        <w:t xml:space="preserve">, o programa REFIT será completado e reforçado com a introdução do princípio «entra um, sai um». O objetivo é garantir que a legislação da UE gera benefícios sem impor encargos desnecessários aos cidadãos e às empresas. O Teste PME já faz parte da avaliação regular e continuará a ser a aplicado em todas as propostas pertinentes da Comissão, incluindo o Pacto Ecológico. </w:t>
      </w:r>
    </w:p>
    <w:p>
      <w:pPr>
        <w:spacing w:line="240" w:lineRule="auto"/>
        <w:jc w:val="both"/>
        <w:rPr>
          <w:rFonts w:ascii="Times New Roman" w:hAnsi="Times New Roman" w:cs="Times New Roman"/>
          <w:noProof/>
          <w:sz w:val="24"/>
          <w:szCs w:val="24"/>
        </w:rPr>
      </w:pPr>
      <w:r>
        <w:rPr>
          <w:rFonts w:ascii="Times New Roman" w:hAnsi="Times New Roman"/>
          <w:noProof/>
          <w:sz w:val="24"/>
          <w:szCs w:val="24"/>
        </w:rPr>
        <w:t xml:space="preserve">Devido aos seus recursos humanos e financeiros limitados, as PME são especialmente afetadas pelos custos criados pela legislação. Para garantir que a nova legislação é favorável às PME, </w:t>
      </w:r>
      <w:r>
        <w:rPr>
          <w:rFonts w:ascii="Times New Roman" w:hAnsi="Times New Roman"/>
          <w:b/>
          <w:noProof/>
          <w:sz w:val="24"/>
          <w:szCs w:val="24"/>
        </w:rPr>
        <w:t>o Representante da UE para as PME</w:t>
      </w:r>
      <w:r>
        <w:rPr>
          <w:rStyle w:val="FootnoteReference"/>
          <w:rFonts w:ascii="Times New Roman" w:hAnsi="Times New Roman" w:cs="Times New Roman"/>
          <w:noProof/>
          <w:sz w:val="24"/>
          <w:szCs w:val="24"/>
        </w:rPr>
        <w:footnoteReference w:id="23"/>
      </w:r>
      <w:r>
        <w:rPr>
          <w:rFonts w:ascii="Times New Roman" w:hAnsi="Times New Roman"/>
          <w:noProof/>
          <w:sz w:val="24"/>
          <w:szCs w:val="24"/>
        </w:rPr>
        <w:t xml:space="preserve"> filtrará as iniciativas da UE, em colaboração com as PME intervenientes, para assinalar à Comissão as que merecem uma atenção especial na perspetiva das PME. Neste contexto, o Representante da UE para as PME reunirá também os conhecimentos especializados nacionais da rede de Representantes das PME. O que se pretende é que toda a legislação futura, a nível europeu e nacional, seja elaborada tendo em mente a perspetiva do utilizador final, identificando as potenciais barreiras e mitigando-as numa fase precoce do processo, por exemplo, através da utilização de instrumentos digitais. O Representante da UE para as PME terá também um papel específico na nova Plataforma «Prontos para o Futuro», apresentando a perspetiva das PME na identificação da legislação em vigor que seja particularmente onerosa para as PME. O Representante da UE para as PME proporá à Comissão soluções acessíveis que possam ser tidas em conta no cumprimento da legislação.</w:t>
      </w:r>
    </w:p>
    <w:p>
      <w:pPr>
        <w:spacing w:after="240" w:line="240" w:lineRule="auto"/>
        <w:jc w:val="both"/>
        <w:rPr>
          <w:rFonts w:ascii="Times New Roman" w:hAnsi="Times New Roman" w:cs="Times New Roman"/>
          <w:noProof/>
          <w:sz w:val="24"/>
          <w:szCs w:val="24"/>
        </w:rPr>
      </w:pPr>
      <w:r>
        <w:rPr>
          <w:rFonts w:ascii="Times New Roman" w:hAnsi="Times New Roman"/>
          <w:noProof/>
          <w:sz w:val="24"/>
          <w:szCs w:val="24"/>
        </w:rPr>
        <w:t>A garantia do cumprimento das regras do mercado único reveste especial importância para as PME, uma vez que estas são muitas vezes afetadas de forma desproporcionada pelas restrições transfronteiriças. O Plano de Ação para o Cumprimento estabelece uma lista de iniciativas que visam dar resposta a estes desafios, incluindo o Grupo de Trabalho para o Cumprimento das Regras do Mercado Único, com uma contribuição do Representante da UE para as PME e da rede de Representantes nacionais. A Comissão acompanhará e colaborará com os Estados-Membros e não hesitará em tomar medidas firmes de aplicação, sempre que necessário, para garantir que as PME beneficiam do mercado único. As PME enfrentam custos de cumprimento das obrigações fiscais proporcionalmente mais elevados do que as empresas de maior dimensão</w:t>
      </w:r>
      <w:r>
        <w:rPr>
          <w:rStyle w:val="FootnoteReference"/>
          <w:rFonts w:ascii="Times New Roman" w:hAnsi="Times New Roman" w:cs="Times New Roman"/>
          <w:noProof/>
          <w:sz w:val="24"/>
          <w:szCs w:val="24"/>
        </w:rPr>
        <w:footnoteReference w:id="24"/>
      </w:r>
      <w:r>
        <w:rPr>
          <w:rFonts w:ascii="Times New Roman" w:hAnsi="Times New Roman"/>
          <w:noProof/>
          <w:sz w:val="24"/>
          <w:szCs w:val="24"/>
        </w:rPr>
        <w:t xml:space="preserve"> e a falta de harmonização fiscal continua a ser um dos principais obstáculos que as empresas enfrentam quando realizam operações transfronteiriças. </w:t>
      </w:r>
    </w:p>
    <w:p>
      <w:pPr>
        <w:spacing w:after="240" w:line="240" w:lineRule="auto"/>
        <w:jc w:val="both"/>
        <w:rPr>
          <w:rFonts w:ascii="Times New Roman" w:hAnsi="Times New Roman" w:cs="Times New Roman"/>
          <w:noProof/>
          <w:sz w:val="24"/>
          <w:szCs w:val="24"/>
        </w:rPr>
      </w:pPr>
      <w:r>
        <w:rPr>
          <w:rFonts w:ascii="Times New Roman" w:hAnsi="Times New Roman"/>
          <w:noProof/>
          <w:sz w:val="24"/>
          <w:szCs w:val="24"/>
        </w:rPr>
        <w:t xml:space="preserve">Além disso, a aplicação rigorosa das regras de concorrência da UE garante que todas as empresas ativas no mercado único, em especial as PME, podem competir e inovar com base nos seus méritos, impedindo o abuso do poder de mercado e a concentração da riqueza por um reduzido número de grandes empresas.  </w:t>
      </w:r>
    </w:p>
    <w:p>
      <w:pPr>
        <w:spacing w:after="240" w:line="240" w:lineRule="auto"/>
        <w:jc w:val="both"/>
        <w:rPr>
          <w:rFonts w:ascii="Times New Roman" w:hAnsi="Times New Roman" w:cs="Times New Roman"/>
          <w:i/>
          <w:noProof/>
          <w:sz w:val="24"/>
          <w:szCs w:val="24"/>
        </w:rPr>
      </w:pPr>
      <w:r>
        <w:rPr>
          <w:rFonts w:ascii="Times New Roman" w:hAnsi="Times New Roman"/>
          <w:i/>
          <w:noProof/>
          <w:sz w:val="24"/>
          <w:szCs w:val="24"/>
        </w:rPr>
        <w:t xml:space="preserve">Eliminar as barreiras através de parcerias e da experimentação política  </w:t>
      </w:r>
    </w:p>
    <w:p>
      <w:pPr>
        <w:spacing w:after="240" w:line="240" w:lineRule="auto"/>
        <w:jc w:val="both"/>
        <w:rPr>
          <w:rFonts w:ascii="Times New Roman" w:hAnsi="Times New Roman" w:cs="Times New Roman"/>
          <w:noProof/>
          <w:sz w:val="24"/>
          <w:szCs w:val="24"/>
        </w:rPr>
      </w:pPr>
      <w:r>
        <w:rPr>
          <w:rFonts w:ascii="Times New Roman" w:hAnsi="Times New Roman"/>
          <w:noProof/>
          <w:sz w:val="24"/>
          <w:szCs w:val="24"/>
        </w:rPr>
        <w:t>Um dos principais desafios na Europa é a escassez relativa de empresas em fase de expansão bem sucedidas. Nos Estados Unidos, existem três vezes mais empresas em fase de expansão do que na Europa</w:t>
      </w:r>
      <w:r>
        <w:rPr>
          <w:rFonts w:ascii="Times New Roman" w:hAnsi="Times New Roman" w:cs="Times New Roman"/>
          <w:noProof/>
          <w:sz w:val="24"/>
          <w:szCs w:val="24"/>
          <w:vertAlign w:val="superscript"/>
        </w:rPr>
        <w:footnoteReference w:id="25"/>
      </w:r>
      <w:r>
        <w:rPr>
          <w:rFonts w:ascii="Times New Roman" w:hAnsi="Times New Roman"/>
          <w:noProof/>
          <w:sz w:val="24"/>
          <w:szCs w:val="24"/>
        </w:rPr>
        <w:t xml:space="preserve">. As empresas europeias em fase de arranque e em fase de expansão fazem face a vários desafios «no terreno» ao atraírem e reterem talentos, garantirem oportunidades de mercado e aumentarem as receitas. Muitos Estados-Membros enfrentaram com êxito estes desafios e já existem diversas boas práticas. A multiplicação destas boas práticas em toda a UE daria um impulso importante ao desenvolvimento das empresas em fase de arranque e ao crescimento das PME. </w:t>
      </w:r>
    </w:p>
    <w:p>
      <w:pPr>
        <w:spacing w:after="240" w:line="240" w:lineRule="auto"/>
        <w:jc w:val="both"/>
        <w:rPr>
          <w:rFonts w:ascii="Times New Roman" w:hAnsi="Times New Roman" w:cs="Times New Roman"/>
          <w:noProof/>
          <w:sz w:val="24"/>
          <w:szCs w:val="24"/>
        </w:rPr>
      </w:pPr>
      <w:r>
        <w:rPr>
          <w:rFonts w:ascii="Times New Roman" w:hAnsi="Times New Roman"/>
          <w:noProof/>
          <w:sz w:val="24"/>
          <w:szCs w:val="24"/>
        </w:rPr>
        <w:t xml:space="preserve">Neste contexto, a Comissão, em estreita cooperação com os Estados-Membros e as partes interessadas, como o Fórum CEI, promoverá as melhores práticas e lançará uma nova iniciativa política, uma </w:t>
      </w:r>
      <w:r>
        <w:rPr>
          <w:rFonts w:ascii="Times New Roman" w:hAnsi="Times New Roman"/>
          <w:b/>
          <w:noProof/>
          <w:sz w:val="24"/>
          <w:szCs w:val="24"/>
        </w:rPr>
        <w:t xml:space="preserve">norma UE para Nações </w:t>
      </w:r>
      <w:r>
        <w:rPr>
          <w:rFonts w:ascii="Times New Roman" w:hAnsi="Times New Roman"/>
          <w:b/>
          <w:i/>
          <w:noProof/>
          <w:sz w:val="24"/>
          <w:szCs w:val="24"/>
        </w:rPr>
        <w:t>Startup</w:t>
      </w:r>
      <w:r>
        <w:rPr>
          <w:rFonts w:ascii="Times New Roman" w:hAnsi="Times New Roman"/>
          <w:noProof/>
          <w:sz w:val="24"/>
          <w:szCs w:val="24"/>
        </w:rPr>
        <w:t xml:space="preserve">, instando os Estados-Membros a aplicar essas práticas a nível local, regional e nacional. O objetivo é tornar a Europa o continente </w:t>
      </w:r>
      <w:r>
        <w:rPr>
          <w:rFonts w:ascii="Times New Roman" w:hAnsi="Times New Roman"/>
          <w:b/>
          <w:bCs/>
          <w:noProof/>
          <w:sz w:val="24"/>
          <w:szCs w:val="24"/>
        </w:rPr>
        <w:t>mais atrativo para as empresas em fase de arranque e em fase de expansão</w:t>
      </w:r>
      <w:r>
        <w:rPr>
          <w:rFonts w:ascii="Times New Roman" w:hAnsi="Times New Roman"/>
          <w:noProof/>
          <w:sz w:val="24"/>
          <w:szCs w:val="24"/>
        </w:rPr>
        <w:t xml:space="preserve">. A iniciativa centrar-se-á em facilitar o arranque e a expansão transfronteiriças das empresas, em simplificar a aplicação das regras relativas aos procedimentos de pedidos de visto e de autorizações de residência para talentos de países terceiros, em tornar mais atrativas as opções sobre ações concedidas a empregados, em incentivar o desenvolvimento do capital de risco e a transferência de tecnologia por parte das universidades, em aumentar o acesso ao financiamento para a expansão, bem como em promover instrumentos e plataformas digitais transfronteiriças. Para completar esta informação, a Comissão consultará e avaliará a necessidade de medidas adicionais no âmbito do direito das sociedades para facilitar a expansão e o potencial de expansão transfronteiriços por parte das PME. </w:t>
      </w:r>
    </w:p>
    <w:p>
      <w:pPr>
        <w:spacing w:after="240" w:line="240" w:lineRule="auto"/>
        <w:jc w:val="both"/>
        <w:rPr>
          <w:rFonts w:ascii="Times New Roman" w:eastAsia="Calibri" w:hAnsi="Times New Roman" w:cs="Times New Roman"/>
          <w:noProof/>
          <w:sz w:val="24"/>
          <w:szCs w:val="24"/>
        </w:rPr>
      </w:pPr>
      <w:r>
        <w:rPr>
          <w:rFonts w:ascii="Times New Roman" w:hAnsi="Times New Roman"/>
          <w:noProof/>
          <w:sz w:val="24"/>
          <w:szCs w:val="24"/>
        </w:rPr>
        <w:t xml:space="preserve">Algumas soluções muito inovadoras não veem a luz do dia devido a regulamentos que podem estar desatualizados ou mal adaptados à rápida evolução das tecnologias. Uma forma de abordar esta questão é através de </w:t>
      </w:r>
      <w:r>
        <w:rPr>
          <w:rFonts w:ascii="Times New Roman" w:hAnsi="Times New Roman"/>
          <w:b/>
          <w:bCs/>
          <w:noProof/>
          <w:sz w:val="24"/>
          <w:szCs w:val="24"/>
        </w:rPr>
        <w:t>ambientes de teste da regulamentação</w:t>
      </w:r>
      <w:r>
        <w:rPr>
          <w:rFonts w:ascii="Times New Roman" w:hAnsi="Times New Roman"/>
          <w:noProof/>
          <w:sz w:val="24"/>
          <w:szCs w:val="24"/>
        </w:rPr>
        <w:t>.</w:t>
      </w:r>
      <w:r>
        <w:rPr>
          <w:rFonts w:ascii="Times New Roman" w:hAnsi="Times New Roman"/>
          <w:b/>
          <w:bCs/>
          <w:noProof/>
          <w:sz w:val="24"/>
          <w:szCs w:val="24"/>
        </w:rPr>
        <w:t xml:space="preserve"> </w:t>
      </w:r>
      <w:r>
        <w:rPr>
          <w:rFonts w:ascii="Times New Roman" w:hAnsi="Times New Roman"/>
          <w:noProof/>
          <w:sz w:val="24"/>
          <w:szCs w:val="24"/>
        </w:rPr>
        <w:t>Isto permite</w:t>
      </w:r>
      <w:r>
        <w:rPr>
          <w:rFonts w:ascii="Times New Roman" w:hAnsi="Times New Roman"/>
          <w:b/>
          <w:bCs/>
          <w:noProof/>
          <w:sz w:val="24"/>
          <w:szCs w:val="24"/>
        </w:rPr>
        <w:t xml:space="preserve"> </w:t>
      </w:r>
      <w:r>
        <w:rPr>
          <w:rFonts w:ascii="Times New Roman" w:hAnsi="Times New Roman"/>
          <w:noProof/>
          <w:sz w:val="24"/>
          <w:szCs w:val="24"/>
        </w:rPr>
        <w:t xml:space="preserve">que soluções inovadoras não previstas em regulamentos ou orientações sejam testadas ao vivo com as autoridades de supervisão e as autoridades reguladoras, desde que estejam reunidas as condições adequadas, por exemplo para assegurar a igualdade de tratamento. Os ambientes de teste da regulamentação fornecem às autoridades reguladoras e às autoridades de supervisão informações atualizadas sobre as novas tecnologias e a experiência adquirida, ao mesmo tempo que permitem a experimentação política. Alguns Estados-Membros já realizaram experiências com esses ambientes de teste para serviços financeiros inovadores. </w:t>
      </w:r>
    </w:p>
    <w:p>
      <w:pPr>
        <w:spacing w:after="240" w:line="240" w:lineRule="auto"/>
        <w:jc w:val="both"/>
        <w:rPr>
          <w:rFonts w:ascii="Times New Roman" w:hAnsi="Times New Roman" w:cs="Times New Roman"/>
          <w:noProof/>
          <w:color w:val="000000"/>
          <w:sz w:val="24"/>
          <w:szCs w:val="24"/>
        </w:rPr>
      </w:pPr>
      <w:r>
        <w:rPr>
          <w:rFonts w:ascii="Times New Roman" w:hAnsi="Times New Roman"/>
          <w:noProof/>
          <w:sz w:val="24"/>
          <w:szCs w:val="24"/>
        </w:rPr>
        <w:t xml:space="preserve">A Diretiva Serviços é um instrumento fundamental contra as barreiras de mercado. As </w:t>
      </w:r>
      <w:r>
        <w:rPr>
          <w:rFonts w:ascii="Times New Roman" w:hAnsi="Times New Roman"/>
          <w:b/>
          <w:noProof/>
          <w:sz w:val="24"/>
          <w:szCs w:val="24"/>
        </w:rPr>
        <w:t>parcerias entre regiões fronteiriças</w:t>
      </w:r>
      <w:r>
        <w:rPr>
          <w:rFonts w:ascii="Times New Roman" w:hAnsi="Times New Roman"/>
          <w:noProof/>
          <w:sz w:val="24"/>
          <w:szCs w:val="24"/>
        </w:rPr>
        <w:t xml:space="preserve">, que visam reforçar a cooperação entre as autoridades regionais, podem ajudar as PME a ultrapassar barreiras de mercado na prestação de serviços. Um convite à apresentação de propostas deverá dar origem, até ao final de 2020, a três dessas áreas-piloto, em que as regiões parceiras melhorarão, harmonizarão ou coordenarão, em conjunto, as regras e os procedimentos em matéria de prestação de serviços transfronteiras, por exemplo, sobre o destacamento de trabalhadores e a utilização de instrumentos digitais. </w:t>
      </w:r>
    </w:p>
    <w:p>
      <w:pPr>
        <w:spacing w:after="240" w:line="240" w:lineRule="auto"/>
        <w:jc w:val="both"/>
        <w:rPr>
          <w:rFonts w:ascii="Times New Roman" w:hAnsi="Times New Roman" w:cs="Times New Roman"/>
          <w:noProof/>
          <w:color w:val="000000"/>
          <w:sz w:val="24"/>
          <w:szCs w:val="24"/>
        </w:rPr>
      </w:pPr>
      <w:r>
        <w:rPr>
          <w:rFonts w:ascii="Times New Roman" w:hAnsi="Times New Roman"/>
          <w:noProof/>
          <w:sz w:val="24"/>
          <w:szCs w:val="24"/>
        </w:rPr>
        <w:t xml:space="preserve">A Comissão completará estes esforços incentivando os Estados-Membros a implementar o </w:t>
      </w:r>
      <w:r>
        <w:rPr>
          <w:rFonts w:ascii="Times New Roman" w:hAnsi="Times New Roman"/>
          <w:b/>
          <w:bCs/>
          <w:noProof/>
          <w:sz w:val="24"/>
          <w:szCs w:val="24"/>
        </w:rPr>
        <w:t>Portal Digital Único</w:t>
      </w:r>
      <w:r>
        <w:rPr>
          <w:rStyle w:val="FootnoteReference"/>
          <w:rFonts w:ascii="Times New Roman" w:hAnsi="Times New Roman" w:cs="Times New Roman"/>
          <w:noProof/>
          <w:sz w:val="24"/>
          <w:szCs w:val="24"/>
        </w:rPr>
        <w:footnoteReference w:id="26"/>
      </w:r>
      <w:r>
        <w:rPr>
          <w:rFonts w:ascii="Times New Roman" w:hAnsi="Times New Roman"/>
          <w:b/>
          <w:noProof/>
          <w:sz w:val="24"/>
          <w:szCs w:val="24"/>
        </w:rPr>
        <w:t xml:space="preserve"> </w:t>
      </w:r>
      <w:r>
        <w:rPr>
          <w:rFonts w:ascii="Times New Roman" w:hAnsi="Times New Roman"/>
          <w:noProof/>
          <w:sz w:val="24"/>
          <w:szCs w:val="24"/>
        </w:rPr>
        <w:t xml:space="preserve">numa perspetiva favorável às PME. Os Estados-Membros devem procurar proporcionar às PME um acesso fácil em linha à informação, aos procedimentos e aos serviços de assistência no que se refere a todas as questões relacionadas com a atividade empresarial transfronteiriça, incluindo aconselhamento em matéria de contratos públicos e fontes de financiamento. Os Estados-Membros devem interligar os seus serviços num </w:t>
      </w:r>
      <w:r>
        <w:rPr>
          <w:rFonts w:ascii="Times New Roman" w:hAnsi="Times New Roman"/>
          <w:b/>
          <w:bCs/>
          <w:noProof/>
          <w:sz w:val="24"/>
          <w:szCs w:val="24"/>
        </w:rPr>
        <w:t>balcão único</w:t>
      </w:r>
      <w:r>
        <w:rPr>
          <w:rFonts w:ascii="Times New Roman" w:hAnsi="Times New Roman"/>
          <w:noProof/>
          <w:sz w:val="24"/>
          <w:szCs w:val="24"/>
        </w:rPr>
        <w:t xml:space="preserve">, a fim de dar às PME uma resposta coordenada a todas essas questões. </w:t>
      </w:r>
    </w:p>
    <w:p>
      <w:pPr>
        <w:spacing w:line="240" w:lineRule="auto"/>
        <w:jc w:val="both"/>
        <w:rPr>
          <w:rFonts w:ascii="Times New Roman" w:hAnsi="Times New Roman" w:cs="Times New Roman"/>
          <w:noProof/>
          <w:sz w:val="24"/>
          <w:szCs w:val="24"/>
        </w:rPr>
      </w:pPr>
      <w:r>
        <w:rPr>
          <w:rFonts w:ascii="Times New Roman" w:hAnsi="Times New Roman"/>
          <w:noProof/>
          <w:sz w:val="24"/>
          <w:szCs w:val="24"/>
        </w:rPr>
        <w:t>Até 71 % das PME que experimentaram o atual sistema de reconhecimento mútuo de bens não harmonizados</w:t>
      </w:r>
      <w:r>
        <w:rPr>
          <w:rStyle w:val="FootnoteReference"/>
          <w:rFonts w:ascii="Times New Roman" w:hAnsi="Times New Roman" w:cs="Times New Roman"/>
          <w:noProof/>
          <w:sz w:val="24"/>
          <w:szCs w:val="24"/>
        </w:rPr>
        <w:footnoteReference w:id="27"/>
      </w:r>
      <w:r>
        <w:rPr>
          <w:rFonts w:ascii="Times New Roman" w:hAnsi="Times New Roman"/>
          <w:noProof/>
          <w:sz w:val="24"/>
          <w:szCs w:val="24"/>
        </w:rPr>
        <w:t xml:space="preserve"> depararam-se com uma decisão de recusa de acesso ao mercado</w:t>
      </w:r>
      <w:r>
        <w:rPr>
          <w:rStyle w:val="FootnoteReference"/>
          <w:rFonts w:ascii="Times New Roman" w:hAnsi="Times New Roman" w:cs="Times New Roman"/>
          <w:noProof/>
          <w:sz w:val="24"/>
          <w:szCs w:val="24"/>
        </w:rPr>
        <w:footnoteReference w:id="28"/>
      </w:r>
      <w:r>
        <w:rPr>
          <w:rFonts w:ascii="Times New Roman" w:hAnsi="Times New Roman"/>
          <w:noProof/>
          <w:sz w:val="24"/>
          <w:szCs w:val="24"/>
        </w:rPr>
        <w:t>. Após um debate com o grupo de peritos dos Estados-Membros sobre reconhecimento mútuo, a Comissão envidará esforços no sentido de promover «</w:t>
      </w:r>
      <w:r>
        <w:rPr>
          <w:rFonts w:ascii="Times New Roman" w:hAnsi="Times New Roman"/>
          <w:b/>
          <w:noProof/>
          <w:sz w:val="24"/>
          <w:szCs w:val="24"/>
        </w:rPr>
        <w:t>alianças de reconhecimento mútuo</w:t>
      </w:r>
      <w:r>
        <w:rPr>
          <w:rFonts w:ascii="Times New Roman" w:hAnsi="Times New Roman"/>
          <w:noProof/>
          <w:sz w:val="24"/>
          <w:szCs w:val="24"/>
        </w:rPr>
        <w:t xml:space="preserve">» entre os Estados-Membros em setores como os dos suplementos alimentares e das joias. </w:t>
      </w:r>
    </w:p>
    <w:p>
      <w:pPr>
        <w:spacing w:after="240" w:line="240" w:lineRule="auto"/>
        <w:jc w:val="both"/>
        <w:rPr>
          <w:rFonts w:ascii="Times New Roman" w:hAnsi="Times New Roman" w:cs="Times New Roman"/>
          <w:noProof/>
          <w:sz w:val="24"/>
          <w:szCs w:val="24"/>
        </w:rPr>
      </w:pPr>
      <w:r>
        <w:rPr>
          <w:rFonts w:ascii="Times New Roman" w:hAnsi="Times New Roman"/>
          <w:noProof/>
          <w:sz w:val="24"/>
          <w:szCs w:val="24"/>
        </w:rPr>
        <w:t xml:space="preserve">Na paisagem industrial diversificada, os setores do </w:t>
      </w:r>
      <w:r>
        <w:rPr>
          <w:rFonts w:ascii="Times New Roman" w:hAnsi="Times New Roman"/>
          <w:b/>
          <w:noProof/>
          <w:sz w:val="24"/>
          <w:szCs w:val="24"/>
        </w:rPr>
        <w:t>espaço e da defesa</w:t>
      </w:r>
      <w:r>
        <w:rPr>
          <w:rFonts w:ascii="Times New Roman" w:hAnsi="Times New Roman"/>
          <w:noProof/>
          <w:sz w:val="24"/>
          <w:szCs w:val="24"/>
        </w:rPr>
        <w:t xml:space="preserve"> são fundamentais para a soberania estratégica e tecnológica da UE e oferecem um grande potencial para as PME europeias. No entanto, as cadeias de abastecimento do setor da defesa têm sido predominantemente construídas a nível nacional. A Comissão reforçará, assim, a cooperação transfronteiriça e a entrada de novos intervenientes, maximizando o potencial do Fundo Europeu de Defesa. Tal incluirá, em especial, convites à apresentação de propostas dirigidos às PME, o critério específico de bonificação e adjudicação para PME, bem como a ligação das PME à comunidade de defesa mais alargada. O Fundo contribuirá para a abertura das cadeias de abastecimento da defesa, ligando os grandes integradores sistémicos à totalidade do ecossistema das PME do setor da defesa em toda a União. A Comissão procederá à identificação dos pontos fortes das organizações de investigação e tecnologia (OIT) e das universidades pertinentes, que podem apoiar empresas inovadoras em fase de arranque e PME do setor. </w:t>
      </w:r>
    </w:p>
    <w:p>
      <w:pPr>
        <w:spacing w:after="240" w:line="240" w:lineRule="auto"/>
        <w:jc w:val="both"/>
        <w:rPr>
          <w:rFonts w:ascii="Times New Roman" w:hAnsi="Times New Roman" w:cs="Times New Roman"/>
          <w:noProof/>
          <w:sz w:val="24"/>
          <w:szCs w:val="24"/>
        </w:rPr>
      </w:pPr>
      <w:r>
        <w:rPr>
          <w:rFonts w:ascii="Times New Roman" w:hAnsi="Times New Roman"/>
          <w:noProof/>
          <w:sz w:val="24"/>
          <w:szCs w:val="24"/>
        </w:rPr>
        <w:t xml:space="preserve">A Comissão pretende igualmente aumentar o número de empresas em fase de arranque e em fase de expansão bem sucedidas no </w:t>
      </w:r>
      <w:r>
        <w:rPr>
          <w:rFonts w:ascii="Times New Roman" w:hAnsi="Times New Roman"/>
          <w:b/>
          <w:bCs/>
          <w:noProof/>
          <w:sz w:val="24"/>
          <w:szCs w:val="24"/>
        </w:rPr>
        <w:t>setor espacial</w:t>
      </w:r>
      <w:r>
        <w:rPr>
          <w:rFonts w:ascii="Times New Roman" w:hAnsi="Times New Roman"/>
          <w:noProof/>
          <w:sz w:val="24"/>
          <w:szCs w:val="24"/>
        </w:rPr>
        <w:t xml:space="preserve">, que estão a comercializar tecnologias espaciais da UE. Promoverá, através do programa espacial da UE, a emergência de um novo ecossistema espacial europeu para promover o espírito de empreendedorismo. A nova iniciativa para o empreendedorismo espacial («CASSINI») agrupará serviços como a aceleração, a incubação de empresas, o financiamento com capital de arranque e os contratos pré-comerciais. </w:t>
      </w:r>
    </w:p>
    <w:p>
      <w:pPr>
        <w:spacing w:line="240" w:lineRule="auto"/>
        <w:jc w:val="both"/>
        <w:rPr>
          <w:rFonts w:ascii="Times New Roman" w:hAnsi="Times New Roman" w:cs="Times New Roman"/>
          <w:noProof/>
          <w:sz w:val="24"/>
          <w:szCs w:val="24"/>
        </w:rPr>
      </w:pPr>
      <w:r>
        <w:rPr>
          <w:rFonts w:ascii="Times New Roman" w:hAnsi="Times New Roman"/>
          <w:noProof/>
          <w:sz w:val="24"/>
          <w:szCs w:val="24"/>
        </w:rPr>
        <w:t xml:space="preserve">A </w:t>
      </w:r>
      <w:r>
        <w:rPr>
          <w:rFonts w:ascii="Times New Roman" w:hAnsi="Times New Roman"/>
          <w:b/>
          <w:bCs/>
          <w:noProof/>
          <w:sz w:val="24"/>
          <w:szCs w:val="24"/>
        </w:rPr>
        <w:t>contratação pública</w:t>
      </w:r>
      <w:r>
        <w:rPr>
          <w:rFonts w:ascii="Times New Roman" w:hAnsi="Times New Roman"/>
          <w:noProof/>
          <w:sz w:val="24"/>
          <w:szCs w:val="24"/>
        </w:rPr>
        <w:t xml:space="preserve"> também oferece oportunidades inexploradas no mercado único para as PME, incluindo as empresas em fase de arranque, que têm dificuldades em competir com êxito nos concursos públicos. Existem dois tipos de desafios. Por um lado, o setor público é relativamente avesso ao risco e, muitas vezes, carece do conjunto de competências para adquirir inovação. Por outro lado, muitos operadores económicos, em especial as PME, consideram que os concursos públicos são complexos ou inadequados. </w:t>
      </w:r>
    </w:p>
    <w:p>
      <w:pPr>
        <w:spacing w:line="240" w:lineRule="auto"/>
        <w:jc w:val="both"/>
        <w:rPr>
          <w:rFonts w:ascii="Times New Roman" w:hAnsi="Times New Roman" w:cs="Times New Roman"/>
          <w:noProof/>
          <w:sz w:val="24"/>
          <w:szCs w:val="24"/>
        </w:rPr>
      </w:pPr>
      <w:r>
        <w:rPr>
          <w:rFonts w:ascii="Times New Roman" w:hAnsi="Times New Roman"/>
          <w:noProof/>
          <w:sz w:val="24"/>
          <w:szCs w:val="24"/>
        </w:rPr>
        <w:t xml:space="preserve">Para resolver este problema, a Comissão insta os Estados-Membros e as suas autoridades adjudicantes a utilizarem a </w:t>
      </w:r>
      <w:r>
        <w:rPr>
          <w:rFonts w:ascii="Times New Roman" w:hAnsi="Times New Roman"/>
          <w:b/>
          <w:bCs/>
          <w:noProof/>
          <w:sz w:val="24"/>
          <w:szCs w:val="24"/>
        </w:rPr>
        <w:t xml:space="preserve">flexibilidade proporcionada pelo novo quadro da UE em matéria de contratos públicos. </w:t>
      </w:r>
      <w:r>
        <w:rPr>
          <w:rFonts w:ascii="Times New Roman" w:hAnsi="Times New Roman"/>
          <w:noProof/>
          <w:sz w:val="24"/>
          <w:szCs w:val="24"/>
        </w:rPr>
        <w:t xml:space="preserve">Tal implica dividir os contratos de maior dimensão em lotes mais pequenos, expandir os contratos públicos estratégicos, em especial os contratos públicos de inovação, deixando os DPI - se for caso disso - às PME para que os possam comercializar, e concluir a digitalização dos seus processos de contratação. A Comissão incentivará igualmente os Estados-Membros a utilizarem plataformas digitais para estimular soluções inovadoras por parte das PME e das empresas em fase de arranque e o seu acesso transfronteiras aos contratos públicos. A Comissão lançará a ainda a </w:t>
      </w:r>
      <w:r>
        <w:rPr>
          <w:rFonts w:ascii="Times New Roman" w:hAnsi="Times New Roman"/>
          <w:b/>
          <w:noProof/>
          <w:sz w:val="24"/>
          <w:szCs w:val="24"/>
        </w:rPr>
        <w:t>Iniciativa dos grandes adquirentes e redes</w:t>
      </w:r>
      <w:r>
        <w:rPr>
          <w:rFonts w:ascii="Times New Roman" w:hAnsi="Times New Roman"/>
          <w:noProof/>
          <w:sz w:val="24"/>
          <w:szCs w:val="24"/>
        </w:rPr>
        <w:t xml:space="preserve"> para facilitar a aquisição conjunta de produtos inovadores e de produtos sustentáveis; promover o estabelecimento de parcerias entre adquirentes e fornecedores de inovação e acompanhar os progressos através de avaliações comparativas a nível nacional. Além disso, lançará um selo para apresentação pelos adquirentes públicos, que adiram a práticas de contratação pública «</w:t>
      </w:r>
      <w:r>
        <w:rPr>
          <w:rFonts w:ascii="Times New Roman" w:hAnsi="Times New Roman"/>
          <w:b/>
          <w:noProof/>
          <w:sz w:val="24"/>
          <w:szCs w:val="24"/>
        </w:rPr>
        <w:t>favoráveis às PME</w:t>
      </w:r>
      <w:r>
        <w:rPr>
          <w:rFonts w:ascii="Times New Roman" w:hAnsi="Times New Roman"/>
          <w:noProof/>
          <w:sz w:val="24"/>
          <w:szCs w:val="24"/>
        </w:rPr>
        <w:t>», e trabalhará com os seus parceiros comerciais internacionais para divulgar a adoção das suas normas pertinentes em matéria de contratos públicos, como a faturação eletrónica. As PME que fornecem produtos e serviços ecológicos inovadores podem ser apoiadas por um maior recurso aos contratos públicos ecológicos</w:t>
      </w:r>
      <w:r>
        <w:rPr>
          <w:rStyle w:val="FootnoteReference"/>
          <w:rFonts w:ascii="Times New Roman" w:hAnsi="Times New Roman" w:cs="Times New Roman"/>
          <w:noProof/>
          <w:sz w:val="24"/>
          <w:szCs w:val="24"/>
        </w:rPr>
        <w:footnoteReference w:id="29"/>
      </w:r>
      <w:r>
        <w:rPr>
          <w:rFonts w:ascii="Times New Roman" w:hAnsi="Times New Roman"/>
          <w:noProof/>
          <w:sz w:val="24"/>
          <w:szCs w:val="24"/>
        </w:rPr>
        <w:t>.</w:t>
      </w:r>
    </w:p>
    <w:p>
      <w:pPr>
        <w:spacing w:after="240" w:line="240" w:lineRule="auto"/>
        <w:jc w:val="both"/>
        <w:rPr>
          <w:rFonts w:ascii="Times New Roman" w:hAnsi="Times New Roman" w:cs="Times New Roman"/>
          <w:noProof/>
          <w:sz w:val="24"/>
          <w:szCs w:val="24"/>
        </w:rPr>
      </w:pPr>
      <w:r>
        <w:rPr>
          <w:rFonts w:ascii="Times New Roman" w:hAnsi="Times New Roman"/>
          <w:noProof/>
          <w:sz w:val="24"/>
          <w:szCs w:val="24"/>
        </w:rPr>
        <w:t>Adquirir uma empresa existente é, muitas vezes, uma alternativa mais vantajosa do que a criação de uma empresa. Estima-se que, todos os anos, é alterada a propriedade de cerca de 450 000 PME, o que afeta mais de dois milhões de trabalhadores. No entanto, num terço dos casos, a transferência não é bem sucedida e, consequentemente, a Europa perde cerca de 150 000 empresas e 600 000 postos de trabalho</w:t>
      </w:r>
      <w:r>
        <w:rPr>
          <w:rStyle w:val="FootnoteReference"/>
          <w:rFonts w:ascii="Times New Roman" w:hAnsi="Times New Roman" w:cs="Times New Roman"/>
          <w:noProof/>
          <w:sz w:val="24"/>
          <w:szCs w:val="24"/>
        </w:rPr>
        <w:footnoteReference w:id="30"/>
      </w:r>
      <w:r>
        <w:rPr>
          <w:rFonts w:ascii="Times New Roman" w:hAnsi="Times New Roman"/>
          <w:noProof/>
          <w:sz w:val="24"/>
          <w:szCs w:val="24"/>
        </w:rPr>
        <w:t xml:space="preserve">. As razões prendem-se frequentemente com a falta de preparação prévia, a dificuldade em encontrar um sucessor e as medidas fiscais e regulamentares desfavoráveis. </w:t>
      </w:r>
    </w:p>
    <w:p>
      <w:pPr>
        <w:spacing w:after="240" w:line="240" w:lineRule="auto"/>
        <w:jc w:val="both"/>
        <w:rPr>
          <w:rFonts w:ascii="Times New Roman" w:hAnsi="Times New Roman" w:cs="Times New Roman"/>
          <w:noProof/>
          <w:sz w:val="24"/>
          <w:szCs w:val="24"/>
        </w:rPr>
      </w:pPr>
      <w:r>
        <w:rPr>
          <w:rFonts w:ascii="Times New Roman" w:hAnsi="Times New Roman"/>
          <w:noProof/>
          <w:sz w:val="24"/>
          <w:szCs w:val="24"/>
        </w:rPr>
        <w:t xml:space="preserve">A Comissão prosseguirá os seus trabalhos para facilitar as </w:t>
      </w:r>
      <w:r>
        <w:rPr>
          <w:rFonts w:ascii="Times New Roman" w:hAnsi="Times New Roman"/>
          <w:b/>
          <w:bCs/>
          <w:noProof/>
          <w:sz w:val="24"/>
          <w:szCs w:val="24"/>
        </w:rPr>
        <w:t>transferências de empresas</w:t>
      </w:r>
      <w:r>
        <w:rPr>
          <w:rFonts w:ascii="Times New Roman" w:hAnsi="Times New Roman"/>
          <w:noProof/>
          <w:sz w:val="24"/>
          <w:szCs w:val="24"/>
        </w:rPr>
        <w:t xml:space="preserve"> e apoiará os Estados-Membros nos seus esforços de criação de um ambiente empresarial favorável às transferências</w:t>
      </w:r>
      <w:r>
        <w:rPr>
          <w:rStyle w:val="FootnoteReference"/>
          <w:rFonts w:ascii="Times New Roman" w:hAnsi="Times New Roman" w:cs="Times New Roman"/>
          <w:noProof/>
          <w:sz w:val="24"/>
          <w:szCs w:val="24"/>
        </w:rPr>
        <w:footnoteReference w:id="31"/>
      </w:r>
      <w:r>
        <w:rPr>
          <w:rFonts w:ascii="Times New Roman" w:hAnsi="Times New Roman"/>
          <w:noProof/>
          <w:sz w:val="24"/>
          <w:szCs w:val="24"/>
        </w:rPr>
        <w:t>. A diretiva recentemente adotada sobre os regimes de reestruturação preventiva e a concessão de uma segunda oportunidade</w:t>
      </w:r>
      <w:r>
        <w:rPr>
          <w:rStyle w:val="FootnoteReference"/>
          <w:rFonts w:ascii="Times New Roman" w:hAnsi="Times New Roman" w:cs="Times New Roman"/>
          <w:noProof/>
          <w:sz w:val="24"/>
          <w:szCs w:val="24"/>
        </w:rPr>
        <w:footnoteReference w:id="32"/>
      </w:r>
      <w:r>
        <w:rPr>
          <w:rFonts w:ascii="Times New Roman" w:hAnsi="Times New Roman"/>
          <w:noProof/>
          <w:sz w:val="24"/>
          <w:szCs w:val="24"/>
        </w:rPr>
        <w:t xml:space="preserve"> abordou muitas das preocupações das empresas em dificuldade e a Comissão irá agora apoiar todos os Estados-Membros na transposição das suas disposições para o seu direito nacional, de modo a que as empresas em dificuldades financeiras tenham acesso a serviços de apoio adequados que os ajudem a evitar a falência.</w:t>
      </w:r>
    </w:p>
    <w:p>
      <w:pPr>
        <w:spacing w:line="240" w:lineRule="auto"/>
        <w:jc w:val="both"/>
        <w:rPr>
          <w:rFonts w:ascii="Times New Roman" w:hAnsi="Times New Roman" w:cs="Times New Roman"/>
          <w:i/>
          <w:noProof/>
          <w:sz w:val="24"/>
          <w:szCs w:val="24"/>
        </w:rPr>
      </w:pPr>
      <w:r>
        <w:rPr>
          <w:rFonts w:ascii="Times New Roman" w:hAnsi="Times New Roman"/>
          <w:i/>
          <w:noProof/>
          <w:sz w:val="24"/>
          <w:szCs w:val="24"/>
        </w:rPr>
        <w:t xml:space="preserve">Reforçar a equidade nas relações B2B </w:t>
      </w:r>
    </w:p>
    <w:p>
      <w:pPr>
        <w:spacing w:after="240" w:line="240" w:lineRule="auto"/>
        <w:jc w:val="both"/>
        <w:rPr>
          <w:rFonts w:ascii="Times New Roman" w:hAnsi="Times New Roman" w:cs="Times New Roman"/>
          <w:noProof/>
          <w:sz w:val="24"/>
          <w:szCs w:val="24"/>
        </w:rPr>
      </w:pPr>
      <w:r>
        <w:rPr>
          <w:rFonts w:ascii="Times New Roman" w:hAnsi="Times New Roman"/>
          <w:noProof/>
          <w:sz w:val="24"/>
          <w:szCs w:val="24"/>
        </w:rPr>
        <w:t xml:space="preserve">As PME desempenham um papel essencial numa rede cada vez mais densa de empresas, empresas em fase de arranque e PME que trabalham em conjunto em todos os setores e cadeias de valor para criar os produtos e os serviços do futuro. É importante que as PME e as empresas em fase de arranque sejam incluídas nas cadeias de valor estratégicas da UE, bem como ter em conta as suas necessidades específicas, para as ajudar a colaborar e a expandir-se no mercado único e a nível mundial. </w:t>
      </w:r>
    </w:p>
    <w:p>
      <w:pPr>
        <w:spacing w:after="240" w:line="240" w:lineRule="auto"/>
        <w:jc w:val="both"/>
        <w:rPr>
          <w:rFonts w:ascii="Times New Roman" w:hAnsi="Times New Roman" w:cs="Times New Roman"/>
          <w:noProof/>
          <w:sz w:val="24"/>
          <w:szCs w:val="24"/>
        </w:rPr>
      </w:pPr>
      <w:r>
        <w:rPr>
          <w:rFonts w:ascii="Times New Roman" w:hAnsi="Times New Roman"/>
          <w:noProof/>
          <w:sz w:val="24"/>
          <w:szCs w:val="24"/>
        </w:rPr>
        <w:t>Devido ao aumento da concentração e à integração vertical nas cadeias de abastecimento, os principais clientes das PME são, muitas vezes, organizações de maior dimensão. Esta situação gera assimetrias no poder de negociação e aumenta o risco de as pequenas empresas estarem sujeitas a práticas e condições comerciais desleais</w:t>
      </w:r>
      <w:r>
        <w:rPr>
          <w:rStyle w:val="FootnoteReference"/>
          <w:rFonts w:ascii="Times New Roman" w:hAnsi="Times New Roman" w:cs="Times New Roman"/>
          <w:noProof/>
          <w:sz w:val="24"/>
          <w:szCs w:val="24"/>
        </w:rPr>
        <w:footnoteReference w:id="33"/>
      </w:r>
      <w:r>
        <w:rPr>
          <w:rFonts w:ascii="Times New Roman" w:hAnsi="Times New Roman"/>
          <w:noProof/>
          <w:sz w:val="24"/>
          <w:szCs w:val="24"/>
        </w:rPr>
        <w:t>, incluindo</w:t>
      </w:r>
      <w:r>
        <w:rPr>
          <w:rFonts w:ascii="Times New Roman" w:hAnsi="Times New Roman"/>
          <w:bCs/>
          <w:noProof/>
          <w:sz w:val="24"/>
          <w:szCs w:val="24"/>
        </w:rPr>
        <w:t xml:space="preserve"> </w:t>
      </w:r>
      <w:r>
        <w:rPr>
          <w:rFonts w:ascii="Times New Roman" w:hAnsi="Times New Roman"/>
          <w:b/>
          <w:bCs/>
          <w:noProof/>
          <w:sz w:val="24"/>
          <w:szCs w:val="24"/>
        </w:rPr>
        <w:t>atrasos de pagamento</w:t>
      </w:r>
      <w:r>
        <w:rPr>
          <w:rFonts w:ascii="Times New Roman" w:hAnsi="Times New Roman"/>
          <w:bCs/>
          <w:noProof/>
          <w:sz w:val="24"/>
          <w:szCs w:val="24"/>
        </w:rPr>
        <w:t xml:space="preserve"> e de acesso aos dados</w:t>
      </w:r>
      <w:r>
        <w:rPr>
          <w:rFonts w:ascii="Times New Roman" w:hAnsi="Times New Roman"/>
          <w:noProof/>
          <w:sz w:val="24"/>
          <w:szCs w:val="24"/>
        </w:rPr>
        <w:t xml:space="preserve">. </w:t>
      </w:r>
    </w:p>
    <w:p>
      <w:pPr>
        <w:spacing w:after="240" w:line="240" w:lineRule="auto"/>
        <w:jc w:val="both"/>
        <w:rPr>
          <w:rFonts w:ascii="Times New Roman" w:hAnsi="Times New Roman" w:cs="Times New Roman"/>
          <w:noProof/>
          <w:sz w:val="24"/>
          <w:szCs w:val="24"/>
        </w:rPr>
      </w:pPr>
      <w:r>
        <w:rPr>
          <w:rFonts w:ascii="Times New Roman" w:hAnsi="Times New Roman"/>
          <w:noProof/>
          <w:sz w:val="24"/>
          <w:szCs w:val="24"/>
        </w:rPr>
        <w:t>Embora a Diretiva Atrasos de Pagamento tenha reduzido os atrasos tanto nas transações entre empresas como nas transações entre empresas e plataformas, apenas 40 % das empresas da UE são pagas atempadamente</w:t>
      </w:r>
      <w:r>
        <w:rPr>
          <w:rStyle w:val="FootnoteReference"/>
          <w:rFonts w:ascii="Times New Roman" w:hAnsi="Times New Roman" w:cs="Times New Roman"/>
          <w:noProof/>
          <w:sz w:val="24"/>
          <w:szCs w:val="24"/>
        </w:rPr>
        <w:footnoteReference w:id="34"/>
      </w:r>
      <w:r>
        <w:rPr>
          <w:rFonts w:ascii="Times New Roman" w:hAnsi="Times New Roman"/>
          <w:noProof/>
          <w:sz w:val="24"/>
          <w:szCs w:val="24"/>
        </w:rPr>
        <w:t xml:space="preserve">. Além disso, os atrasos de pagamento representam uma em cada quatro falências das PME na UE. É necessária uma mudança decisiva rumo uma nova cultura empresarial em que o pagamento atempado seja a norma. Para o efeito, a Comissão apoiará a aplicação da Diretiva Atrasos de Pagamento, dotando-a de instrumentos sólidos de monitorização e de aplicação. Estes instrumentos poderão incluir um observatório virtual para o acompanhamento dos atrasos de pagamento, a clarificação das práticas de pagamento desleais e a exploração da viabilidade de mecanismos alternativos de resolução/mediação para as PME com vista a uma resolução rápida de litígios de pagamentos em transações comerciais. </w:t>
      </w:r>
    </w:p>
    <w:p>
      <w:pPr>
        <w:spacing w:after="240" w:line="240" w:lineRule="auto"/>
        <w:jc w:val="both"/>
        <w:rPr>
          <w:rFonts w:ascii="Times New Roman" w:hAnsi="Times New Roman" w:cs="Times New Roman"/>
          <w:i/>
          <w:noProof/>
          <w:sz w:val="24"/>
          <w:szCs w:val="24"/>
        </w:rPr>
      </w:pPr>
      <w:r>
        <w:rPr>
          <w:rFonts w:ascii="Times New Roman" w:hAnsi="Times New Roman"/>
          <w:i/>
          <w:noProof/>
          <w:sz w:val="24"/>
          <w:szCs w:val="24"/>
        </w:rPr>
        <w:t>Aproveitar os benefícios dos mercados mundiais</w:t>
      </w:r>
    </w:p>
    <w:p>
      <w:pPr>
        <w:spacing w:after="240" w:line="240" w:lineRule="auto"/>
        <w:jc w:val="both"/>
        <w:rPr>
          <w:rFonts w:ascii="Times New Roman" w:hAnsi="Times New Roman" w:cs="Times New Roman"/>
          <w:noProof/>
          <w:sz w:val="24"/>
          <w:szCs w:val="24"/>
        </w:rPr>
      </w:pPr>
      <w:r>
        <w:rPr>
          <w:rFonts w:ascii="Times New Roman" w:hAnsi="Times New Roman"/>
          <w:noProof/>
          <w:sz w:val="24"/>
          <w:szCs w:val="24"/>
        </w:rPr>
        <w:t xml:space="preserve">Os </w:t>
      </w:r>
      <w:r>
        <w:rPr>
          <w:rFonts w:ascii="Times New Roman" w:hAnsi="Times New Roman"/>
          <w:b/>
          <w:bCs/>
          <w:noProof/>
          <w:sz w:val="24"/>
          <w:szCs w:val="24"/>
        </w:rPr>
        <w:t>mercados mundiais</w:t>
      </w:r>
      <w:r>
        <w:rPr>
          <w:rFonts w:ascii="Times New Roman" w:hAnsi="Times New Roman"/>
          <w:noProof/>
          <w:sz w:val="24"/>
          <w:szCs w:val="24"/>
        </w:rPr>
        <w:t xml:space="preserve"> são uma importante fonte de crescimento para as PME. No entanto, apenas 600 000 PME que empregam cerca de 6 milhões de pessoas exportam bens para fora da UE. Nos diálogos multilaterais e bilaterais, a Comissão promoverá um ambiente favorável às PME nos países terceiros através do intercâmbio de boas práticas com os seus parceiros. Lançará também </w:t>
      </w:r>
      <w:r>
        <w:rPr>
          <w:rFonts w:ascii="Times New Roman" w:hAnsi="Times New Roman"/>
          <w:b/>
          <w:noProof/>
          <w:sz w:val="24"/>
          <w:szCs w:val="24"/>
        </w:rPr>
        <w:t>um novo portal de informação</w:t>
      </w:r>
      <w:r>
        <w:rPr>
          <w:rFonts w:ascii="Times New Roman" w:hAnsi="Times New Roman"/>
          <w:noProof/>
          <w:sz w:val="24"/>
          <w:szCs w:val="24"/>
        </w:rPr>
        <w:t xml:space="preserve"> destinado a sensibilizar as PME para as políticas comerciais e a fornecer informações pormenorizadas sobre os procedimentos e formalidades aduaneiras de exportação para países terceiros.</w:t>
      </w:r>
    </w:p>
    <w:p>
      <w:pPr>
        <w:spacing w:after="240" w:line="240" w:lineRule="auto"/>
        <w:jc w:val="both"/>
        <w:rPr>
          <w:rFonts w:ascii="Times New Roman" w:hAnsi="Times New Roman" w:cs="Times New Roman"/>
          <w:i/>
          <w:iCs/>
          <w:noProof/>
          <w:sz w:val="24"/>
          <w:szCs w:val="24"/>
        </w:rPr>
      </w:pPr>
      <w:r>
        <w:rPr>
          <w:rFonts w:ascii="Times New Roman" w:hAnsi="Times New Roman"/>
          <w:noProof/>
          <w:sz w:val="24"/>
          <w:szCs w:val="24"/>
        </w:rPr>
        <w:t>As PME beneficiam mais de uma abertura do comércio regulado do que as grandes empresas, que dispõem de mais recursos para ultrapassar as barreiras comerciais. A fim de simplificar o acesso das PME aos mercados internacionais, a Comissão está continuamente a negociar novos acordos comerciais e de investimento e a opor-se às barreiras comerciais que afetam de forma desproporcionada as PME. A Comissão continuará a incluir capítulos dedicados às PME em todos os seus acordos comerciais, juntamente com medidas específicas que permitam às PME tirar partido dos benefícios, como a ligação das PME através de polos industriais internacionais, a REE (Rede Europeia de Empresas), o Centro Europeu das PME</w:t>
      </w:r>
      <w:r>
        <w:rPr>
          <w:rStyle w:val="FootnoteReference"/>
          <w:rFonts w:ascii="Times New Roman" w:hAnsi="Times New Roman" w:cs="Times New Roman"/>
          <w:noProof/>
          <w:sz w:val="24"/>
          <w:szCs w:val="24"/>
        </w:rPr>
        <w:footnoteReference w:id="35"/>
      </w:r>
      <w:r>
        <w:rPr>
          <w:rFonts w:ascii="Times New Roman" w:hAnsi="Times New Roman"/>
          <w:noProof/>
          <w:sz w:val="24"/>
          <w:szCs w:val="24"/>
        </w:rPr>
        <w:t xml:space="preserve"> e ações de apoio às PME europeias para que participem em contratos públicos fora da UE.</w:t>
      </w:r>
      <w:r>
        <w:rPr>
          <w:rFonts w:ascii="Times New Roman" w:hAnsi="Times New Roman"/>
          <w:i/>
          <w:iCs/>
          <w:noProof/>
          <w:sz w:val="24"/>
          <w:szCs w:val="24"/>
        </w:rPr>
        <w:t xml:space="preserve"> </w:t>
      </w:r>
    </w:p>
    <w:p>
      <w:pPr>
        <w:spacing w:line="240" w:lineRule="auto"/>
        <w:jc w:val="both"/>
        <w:rPr>
          <w:rFonts w:ascii="Times New Roman" w:hAnsi="Times New Roman"/>
          <w:noProof/>
          <w:sz w:val="24"/>
          <w:szCs w:val="24"/>
        </w:rPr>
      </w:pPr>
      <w:r>
        <w:rPr>
          <w:rFonts w:ascii="Times New Roman" w:hAnsi="Times New Roman"/>
          <w:noProof/>
          <w:sz w:val="24"/>
          <w:szCs w:val="24"/>
        </w:rPr>
        <w:t xml:space="preserve">As delegações da UE em países com os quais a UE celebrou um acordo de comércio livre prestarão apoio, abordando as questões relativas às dificuldades práticas das PME ligadas à aplicação dos acordos de comércio livre. </w:t>
      </w:r>
    </w:p>
    <w:p>
      <w:pPr>
        <w:tabs>
          <w:tab w:val="left" w:pos="8222"/>
        </w:tabs>
        <w:spacing w:line="240" w:lineRule="auto"/>
        <w:jc w:val="both"/>
        <w:rPr>
          <w:rFonts w:ascii="Times New Roman" w:hAnsi="Times New Roman" w:cs="Times New Roman"/>
          <w:noProof/>
          <w:sz w:val="24"/>
          <w:szCs w:val="24"/>
        </w:rPr>
      </w:pPr>
      <w:r>
        <w:rPr>
          <w:rFonts w:ascii="Times New Roman" w:hAnsi="Times New Roman"/>
          <w:noProof/>
          <w:sz w:val="24"/>
          <w:szCs w:val="24"/>
        </w:rPr>
        <w:t xml:space="preserve">A UE mantém uma posição firme contra as práticas comerciais desleais através de instrumentos de defesa comercial (IDC) quando as empresas da UE, incluindo as PME, são prejudicadas pelas importações objeto de </w:t>
      </w:r>
      <w:r>
        <w:rPr>
          <w:rFonts w:ascii="Times New Roman" w:hAnsi="Times New Roman"/>
          <w:i/>
          <w:noProof/>
          <w:sz w:val="24"/>
          <w:szCs w:val="24"/>
        </w:rPr>
        <w:t>dumping</w:t>
      </w:r>
      <w:r>
        <w:rPr>
          <w:rFonts w:ascii="Times New Roman" w:hAnsi="Times New Roman"/>
          <w:noProof/>
          <w:sz w:val="24"/>
          <w:szCs w:val="24"/>
        </w:rPr>
        <w:t xml:space="preserve"> ou de subvenções. A Comissão está a aumentar o seu apoio específico às PME para facilitar o seu acesso aos instrumentos de defesa comercial e a cooperação com a Comissão durante as investigações</w:t>
      </w:r>
      <w:r>
        <w:rPr>
          <w:rStyle w:val="FootnoteReference"/>
          <w:rFonts w:ascii="Times New Roman" w:hAnsi="Times New Roman" w:cs="Times New Roman"/>
          <w:noProof/>
          <w:sz w:val="24"/>
          <w:szCs w:val="24"/>
        </w:rPr>
        <w:footnoteReference w:id="36"/>
      </w:r>
      <w:r>
        <w:rPr>
          <w:rFonts w:ascii="Times New Roman" w:hAnsi="Times New Roman"/>
          <w:noProof/>
          <w:sz w:val="24"/>
          <w:szCs w:val="24"/>
        </w:rPr>
        <w:t>.</w:t>
      </w:r>
    </w:p>
    <w:p>
      <w:pPr>
        <w:spacing w:line="240" w:lineRule="auto"/>
        <w:jc w:val="both"/>
        <w:rPr>
          <w:rFonts w:ascii="Times New Roman" w:hAnsi="Times New Roman" w:cs="Times New Roman"/>
          <w:noProof/>
          <w:sz w:val="24"/>
          <w:szCs w:val="24"/>
        </w:rPr>
      </w:pPr>
      <w:r>
        <w:rPr>
          <w:rFonts w:ascii="Times New Roman" w:hAnsi="Times New Roman"/>
          <w:noProof/>
          <w:sz w:val="24"/>
          <w:szCs w:val="24"/>
        </w:rPr>
        <w:t>A nova função recém-criada de responsável pelo comércio irá, nomeadamente, monitorizar e melhorar o cumprimento dos nossos acordos comerciais. Deste modo se contribuirá para reforçar o trabalho sobre a eliminação das barreiras comerciais, que têm um especial impacto nas PME. Além disso, a UE participará ativamente numa política específica de sensibilização e diplomacia económica destinadas às PME para apoiar o seu acesso aos mercados de países terceiros. As oportunidades para os empresários europeus serão alargadas à escala mundial através do programa Erasmus para Jovens Empresários, a fim de beneficiar de novas experiências nos mercados de países terceiros.</w:t>
      </w:r>
    </w:p>
    <w:p>
      <w:pPr>
        <w:rPr>
          <w:rFonts w:ascii="Times New Roman" w:hAnsi="Times New Roman" w:cs="Times New Roman"/>
          <w:b/>
          <w:noProof/>
          <w:sz w:val="24"/>
          <w:szCs w:val="24"/>
        </w:rPr>
      </w:pPr>
      <w:r>
        <w:rPr>
          <w:noProof/>
          <w:sz w:val="24"/>
          <w:szCs w:val="24"/>
        </w:rPr>
        <w:br w:type="page"/>
      </w:r>
    </w:p>
    <w:p>
      <w:pPr>
        <w:pBdr>
          <w:top w:val="single" w:sz="4" w:space="1" w:color="auto"/>
          <w:left w:val="single" w:sz="4" w:space="4" w:color="auto"/>
          <w:bottom w:val="single" w:sz="4" w:space="1" w:color="auto"/>
          <w:right w:val="single" w:sz="4" w:space="4" w:color="auto"/>
        </w:pBdr>
        <w:spacing w:after="200" w:line="240" w:lineRule="auto"/>
        <w:ind w:left="720"/>
        <w:jc w:val="both"/>
        <w:rPr>
          <w:rFonts w:ascii="Times New Roman" w:hAnsi="Times New Roman" w:cs="Times New Roman"/>
          <w:b/>
          <w:noProof/>
          <w:sz w:val="24"/>
          <w:szCs w:val="24"/>
        </w:rPr>
      </w:pPr>
      <w:r>
        <w:rPr>
          <w:rFonts w:ascii="Times New Roman" w:hAnsi="Times New Roman"/>
          <w:b/>
          <w:noProof/>
          <w:sz w:val="24"/>
          <w:szCs w:val="24"/>
        </w:rPr>
        <w:t>AÇÕES PRINCIPAIS</w:t>
      </w:r>
    </w:p>
    <w:p>
      <w:pPr>
        <w:pStyle w:val="ListParagraph"/>
        <w:numPr>
          <w:ilvl w:val="0"/>
          <w:numId w:val="48"/>
        </w:numPr>
        <w:pBdr>
          <w:top w:val="single" w:sz="4" w:space="1" w:color="auto"/>
          <w:left w:val="single" w:sz="4" w:space="4" w:color="auto"/>
          <w:bottom w:val="single" w:sz="4" w:space="1" w:color="auto"/>
          <w:right w:val="single" w:sz="4" w:space="4" w:color="auto"/>
        </w:pBdr>
        <w:spacing w:after="200" w:line="240" w:lineRule="auto"/>
        <w:jc w:val="both"/>
        <w:rPr>
          <w:rFonts w:ascii="Times New Roman" w:hAnsi="Times New Roman" w:cs="Times New Roman"/>
          <w:noProof/>
          <w:sz w:val="24"/>
          <w:szCs w:val="24"/>
        </w:rPr>
      </w:pPr>
      <w:r>
        <w:rPr>
          <w:rFonts w:ascii="Times New Roman" w:hAnsi="Times New Roman"/>
          <w:noProof/>
          <w:sz w:val="24"/>
          <w:szCs w:val="24"/>
        </w:rPr>
        <w:t xml:space="preserve">O Representante da UE para as PME e a Rede de Representantes Nacionais das PME contribuirão para os trabalhos do Grupo de Trabalho da Comissão para o Cumprimento das regras do Mercado Único, que deverá ser criado em resultado do Plano de Ação para o Cumprimento, a fim de abordar, entre outros aspetos, a </w:t>
      </w:r>
      <w:r>
        <w:rPr>
          <w:rFonts w:ascii="Times New Roman" w:hAnsi="Times New Roman"/>
          <w:b/>
          <w:noProof/>
          <w:sz w:val="24"/>
          <w:szCs w:val="24"/>
        </w:rPr>
        <w:t>sobrerregulamentação</w:t>
      </w:r>
      <w:r>
        <w:rPr>
          <w:rFonts w:ascii="Times New Roman" w:hAnsi="Times New Roman"/>
          <w:noProof/>
          <w:sz w:val="24"/>
          <w:szCs w:val="24"/>
        </w:rPr>
        <w:t xml:space="preserve"> no processo de transposição, com vista a reduzir ao mínimo a carga regulamentadora que recai sobre as PME.  </w:t>
      </w:r>
    </w:p>
    <w:p>
      <w:pPr>
        <w:pStyle w:val="ListParagraph"/>
        <w:numPr>
          <w:ilvl w:val="0"/>
          <w:numId w:val="48"/>
        </w:numPr>
        <w:pBdr>
          <w:top w:val="single" w:sz="4" w:space="1" w:color="auto"/>
          <w:left w:val="single" w:sz="4" w:space="4" w:color="auto"/>
          <w:bottom w:val="single" w:sz="4" w:space="1" w:color="auto"/>
          <w:right w:val="single" w:sz="4" w:space="4" w:color="auto"/>
        </w:pBdr>
        <w:spacing w:after="200" w:line="240" w:lineRule="auto"/>
        <w:jc w:val="both"/>
        <w:rPr>
          <w:rFonts w:ascii="Times New Roman" w:hAnsi="Times New Roman" w:cs="Times New Roman"/>
          <w:noProof/>
          <w:sz w:val="24"/>
          <w:szCs w:val="24"/>
        </w:rPr>
      </w:pPr>
      <w:r>
        <w:rPr>
          <w:rFonts w:ascii="Times New Roman" w:hAnsi="Times New Roman"/>
          <w:noProof/>
          <w:sz w:val="24"/>
          <w:szCs w:val="24"/>
        </w:rPr>
        <w:t xml:space="preserve">A Comissão incentivará os Estados-Membros a implementar o Portal Digital Único numa perspetiva favorável às PME. Os Estados-Membros devem interligar os seus serviços num </w:t>
      </w:r>
      <w:r>
        <w:rPr>
          <w:rFonts w:ascii="Times New Roman" w:hAnsi="Times New Roman"/>
          <w:b/>
          <w:bCs/>
          <w:noProof/>
          <w:sz w:val="24"/>
          <w:szCs w:val="24"/>
        </w:rPr>
        <w:t>balcão único</w:t>
      </w:r>
      <w:r>
        <w:rPr>
          <w:rFonts w:ascii="Times New Roman" w:hAnsi="Times New Roman"/>
          <w:noProof/>
          <w:sz w:val="24"/>
          <w:szCs w:val="24"/>
        </w:rPr>
        <w:t xml:space="preserve">. </w:t>
      </w:r>
    </w:p>
    <w:p>
      <w:pPr>
        <w:pStyle w:val="ListParagraph"/>
        <w:numPr>
          <w:ilvl w:val="0"/>
          <w:numId w:val="48"/>
        </w:numPr>
        <w:pBdr>
          <w:top w:val="single" w:sz="4" w:space="1" w:color="auto"/>
          <w:left w:val="single" w:sz="4" w:space="4" w:color="auto"/>
          <w:bottom w:val="single" w:sz="4" w:space="1" w:color="auto"/>
          <w:right w:val="single" w:sz="4" w:space="4" w:color="auto"/>
        </w:pBdr>
        <w:spacing w:after="200" w:line="240" w:lineRule="auto"/>
        <w:jc w:val="both"/>
        <w:rPr>
          <w:rFonts w:ascii="Times New Roman" w:hAnsi="Times New Roman" w:cs="Times New Roman"/>
          <w:noProof/>
          <w:sz w:val="24"/>
          <w:szCs w:val="24"/>
        </w:rPr>
      </w:pPr>
      <w:r>
        <w:rPr>
          <w:rFonts w:ascii="Times New Roman" w:hAnsi="Times New Roman"/>
          <w:noProof/>
          <w:sz w:val="24"/>
          <w:szCs w:val="24"/>
        </w:rPr>
        <w:t xml:space="preserve">O Representante da UE para as PME deverá </w:t>
      </w:r>
      <w:r>
        <w:rPr>
          <w:rFonts w:ascii="Times New Roman" w:hAnsi="Times New Roman"/>
          <w:b/>
          <w:bCs/>
          <w:noProof/>
          <w:sz w:val="24"/>
          <w:szCs w:val="24"/>
        </w:rPr>
        <w:t>filtrar</w:t>
      </w:r>
      <w:r>
        <w:rPr>
          <w:rFonts w:ascii="Times New Roman" w:hAnsi="Times New Roman"/>
          <w:noProof/>
          <w:sz w:val="24"/>
          <w:szCs w:val="24"/>
        </w:rPr>
        <w:t xml:space="preserve"> as iniciativas da UE para assinalar à Comissão aquelas que, a partir de uma perspetiva das PME, merecem uma atenção especial e aquelas que desempenham um papel específico na nova Plataforma «Prontos para o Futuro».</w:t>
      </w:r>
    </w:p>
    <w:p>
      <w:pPr>
        <w:pStyle w:val="ListParagraph"/>
        <w:numPr>
          <w:ilvl w:val="0"/>
          <w:numId w:val="48"/>
        </w:numPr>
        <w:pBdr>
          <w:top w:val="single" w:sz="4" w:space="1" w:color="auto"/>
          <w:left w:val="single" w:sz="4" w:space="4" w:color="auto"/>
          <w:bottom w:val="single" w:sz="4" w:space="1" w:color="auto"/>
          <w:right w:val="single" w:sz="4" w:space="4" w:color="auto"/>
        </w:pBdr>
        <w:spacing w:after="200" w:line="240" w:lineRule="auto"/>
        <w:jc w:val="both"/>
        <w:rPr>
          <w:rFonts w:ascii="Times New Roman" w:hAnsi="Times New Roman" w:cs="Times New Roman"/>
          <w:noProof/>
          <w:sz w:val="24"/>
          <w:szCs w:val="24"/>
        </w:rPr>
      </w:pPr>
      <w:r>
        <w:rPr>
          <w:rFonts w:ascii="Times New Roman" w:hAnsi="Times New Roman"/>
          <w:noProof/>
          <w:sz w:val="24"/>
          <w:szCs w:val="24"/>
        </w:rPr>
        <w:t xml:space="preserve">A Comissão mobilizará os Estados-Membros em relação a uma </w:t>
      </w:r>
      <w:r>
        <w:rPr>
          <w:rFonts w:ascii="Times New Roman" w:hAnsi="Times New Roman"/>
          <w:b/>
          <w:bCs/>
          <w:noProof/>
          <w:sz w:val="24"/>
          <w:szCs w:val="24"/>
        </w:rPr>
        <w:t xml:space="preserve">norma UE para Nações </w:t>
      </w:r>
      <w:r>
        <w:rPr>
          <w:rFonts w:ascii="Times New Roman" w:hAnsi="Times New Roman"/>
          <w:b/>
          <w:bCs/>
          <w:i/>
          <w:noProof/>
          <w:sz w:val="24"/>
          <w:szCs w:val="24"/>
        </w:rPr>
        <w:t>Startup</w:t>
      </w:r>
      <w:r>
        <w:rPr>
          <w:rFonts w:ascii="Times New Roman" w:hAnsi="Times New Roman"/>
          <w:noProof/>
          <w:sz w:val="24"/>
          <w:szCs w:val="24"/>
        </w:rPr>
        <w:t xml:space="preserve"> para partilhar e adotar as melhores práticas com vista a acelerar o crescimento das PME e das empresas em fase de arranque de alta tecnologia.</w:t>
      </w:r>
    </w:p>
    <w:p>
      <w:pPr>
        <w:pStyle w:val="ListParagraph"/>
        <w:numPr>
          <w:ilvl w:val="0"/>
          <w:numId w:val="48"/>
        </w:numPr>
        <w:pBdr>
          <w:top w:val="single" w:sz="4" w:space="1" w:color="auto"/>
          <w:left w:val="single" w:sz="4" w:space="4" w:color="auto"/>
          <w:bottom w:val="single" w:sz="4" w:space="1" w:color="auto"/>
          <w:right w:val="single" w:sz="4" w:space="4" w:color="auto"/>
        </w:pBdr>
        <w:spacing w:after="200" w:line="240" w:lineRule="auto"/>
        <w:jc w:val="both"/>
        <w:rPr>
          <w:rFonts w:ascii="Times New Roman" w:hAnsi="Times New Roman" w:cs="Times New Roman"/>
          <w:noProof/>
          <w:sz w:val="24"/>
          <w:szCs w:val="24"/>
        </w:rPr>
      </w:pPr>
      <w:r>
        <w:rPr>
          <w:rFonts w:ascii="Times New Roman" w:hAnsi="Times New Roman"/>
          <w:noProof/>
          <w:sz w:val="24"/>
          <w:szCs w:val="24"/>
        </w:rPr>
        <w:t xml:space="preserve">A Comissão insta os Estados-Membros e as suas autoridades adjudicantes a utilizarem a flexibilidade proporcionada pelo novo </w:t>
      </w:r>
      <w:r>
        <w:rPr>
          <w:rFonts w:ascii="Times New Roman" w:hAnsi="Times New Roman"/>
          <w:b/>
          <w:bCs/>
          <w:noProof/>
          <w:sz w:val="24"/>
          <w:szCs w:val="24"/>
        </w:rPr>
        <w:t>quadro da UE em matéria de contratos públicos</w:t>
      </w:r>
      <w:r>
        <w:rPr>
          <w:rFonts w:ascii="Times New Roman" w:hAnsi="Times New Roman"/>
          <w:noProof/>
          <w:sz w:val="24"/>
          <w:szCs w:val="24"/>
        </w:rPr>
        <w:t xml:space="preserve"> para reforçar as oportunidades para as PME, </w:t>
      </w:r>
      <w:r>
        <w:rPr>
          <w:rFonts w:ascii="Times New Roman" w:hAnsi="Times New Roman"/>
          <w:bCs/>
          <w:noProof/>
          <w:sz w:val="24"/>
          <w:szCs w:val="24"/>
        </w:rPr>
        <w:t>nomeadamente através da utilização de instrumentos e plataformas digitais para aumentar a contratação pública transfronteiriça.</w:t>
      </w:r>
      <w:r>
        <w:rPr>
          <w:rFonts w:ascii="Times New Roman" w:hAnsi="Times New Roman"/>
          <w:b/>
          <w:bCs/>
          <w:noProof/>
          <w:sz w:val="24"/>
          <w:szCs w:val="24"/>
        </w:rPr>
        <w:t xml:space="preserve"> </w:t>
      </w:r>
      <w:r>
        <w:rPr>
          <w:rFonts w:ascii="Times New Roman" w:hAnsi="Times New Roman"/>
          <w:bCs/>
          <w:noProof/>
          <w:sz w:val="24"/>
          <w:szCs w:val="24"/>
        </w:rPr>
        <w:t xml:space="preserve">A Comissão fornecerá </w:t>
      </w:r>
      <w:r>
        <w:rPr>
          <w:rFonts w:ascii="Times New Roman" w:hAnsi="Times New Roman"/>
          <w:b/>
          <w:bCs/>
          <w:noProof/>
          <w:sz w:val="24"/>
          <w:szCs w:val="24"/>
        </w:rPr>
        <w:t xml:space="preserve">orientações e apoio às autoridades adjudicantes. </w:t>
      </w:r>
    </w:p>
    <w:p>
      <w:pPr>
        <w:pStyle w:val="ListParagraph"/>
        <w:numPr>
          <w:ilvl w:val="0"/>
          <w:numId w:val="48"/>
        </w:numPr>
        <w:pBdr>
          <w:top w:val="single" w:sz="4" w:space="1" w:color="auto"/>
          <w:left w:val="single" w:sz="4" w:space="4" w:color="auto"/>
          <w:bottom w:val="single" w:sz="4" w:space="1" w:color="auto"/>
          <w:right w:val="single" w:sz="4" w:space="4" w:color="auto"/>
        </w:pBdr>
        <w:spacing w:after="200" w:line="240" w:lineRule="auto"/>
        <w:jc w:val="both"/>
        <w:rPr>
          <w:rFonts w:ascii="Times New Roman" w:hAnsi="Times New Roman" w:cs="Times New Roman"/>
          <w:noProof/>
          <w:sz w:val="24"/>
          <w:szCs w:val="24"/>
        </w:rPr>
      </w:pPr>
      <w:r>
        <w:rPr>
          <w:rFonts w:ascii="Times New Roman" w:hAnsi="Times New Roman"/>
          <w:noProof/>
          <w:sz w:val="24"/>
          <w:szCs w:val="24"/>
        </w:rPr>
        <w:t xml:space="preserve">A Comissão incentivará os Estados-Membros a elaborar propostas de </w:t>
      </w:r>
      <w:r>
        <w:rPr>
          <w:rFonts w:ascii="Times New Roman" w:hAnsi="Times New Roman"/>
          <w:b/>
          <w:bCs/>
          <w:noProof/>
          <w:sz w:val="24"/>
          <w:szCs w:val="24"/>
        </w:rPr>
        <w:t>ambiente de teste da regulamentação</w:t>
      </w:r>
      <w:r>
        <w:rPr>
          <w:rFonts w:ascii="Times New Roman" w:hAnsi="Times New Roman"/>
          <w:noProof/>
          <w:sz w:val="24"/>
          <w:szCs w:val="24"/>
        </w:rPr>
        <w:t xml:space="preserve"> através do lançamento de um projeto-piloto.</w:t>
      </w:r>
    </w:p>
    <w:p>
      <w:pPr>
        <w:pStyle w:val="ListParagraph"/>
        <w:numPr>
          <w:ilvl w:val="0"/>
          <w:numId w:val="48"/>
        </w:numPr>
        <w:pBdr>
          <w:top w:val="single" w:sz="4" w:space="1" w:color="auto"/>
          <w:left w:val="single" w:sz="4" w:space="4" w:color="auto"/>
          <w:bottom w:val="single" w:sz="4" w:space="1" w:color="auto"/>
          <w:right w:val="single" w:sz="4" w:space="4" w:color="auto"/>
        </w:pBdr>
        <w:spacing w:after="200" w:line="240" w:lineRule="auto"/>
        <w:jc w:val="both"/>
        <w:rPr>
          <w:rFonts w:ascii="Times New Roman" w:hAnsi="Times New Roman" w:cs="Times New Roman"/>
          <w:noProof/>
          <w:sz w:val="24"/>
          <w:szCs w:val="24"/>
        </w:rPr>
      </w:pPr>
      <w:r>
        <w:rPr>
          <w:rFonts w:ascii="Times New Roman" w:hAnsi="Times New Roman"/>
          <w:noProof/>
          <w:sz w:val="24"/>
          <w:szCs w:val="24"/>
        </w:rPr>
        <w:t xml:space="preserve">A Comissão lançará um apelo à criação de </w:t>
      </w:r>
      <w:r>
        <w:rPr>
          <w:rFonts w:ascii="Times New Roman" w:hAnsi="Times New Roman"/>
          <w:b/>
          <w:bCs/>
          <w:noProof/>
          <w:sz w:val="24"/>
          <w:szCs w:val="24"/>
        </w:rPr>
        <w:t>parcerias pioneiras entre as regiões fronteiriças</w:t>
      </w:r>
      <w:r>
        <w:rPr>
          <w:rFonts w:ascii="Times New Roman" w:hAnsi="Times New Roman"/>
          <w:noProof/>
          <w:sz w:val="24"/>
          <w:szCs w:val="24"/>
        </w:rPr>
        <w:t>, a fim de reforçar a cooperação na aplicação do mercado único e a eliminação das barreiras administrativas.</w:t>
      </w:r>
    </w:p>
    <w:p>
      <w:pPr>
        <w:pStyle w:val="ListParagraph"/>
        <w:numPr>
          <w:ilvl w:val="0"/>
          <w:numId w:val="48"/>
        </w:numPr>
        <w:pBdr>
          <w:top w:val="single" w:sz="4" w:space="1" w:color="auto"/>
          <w:left w:val="single" w:sz="4" w:space="4" w:color="auto"/>
          <w:bottom w:val="single" w:sz="4" w:space="1" w:color="auto"/>
          <w:right w:val="single" w:sz="4" w:space="4" w:color="auto"/>
        </w:pBdr>
        <w:spacing w:after="200" w:line="240" w:lineRule="auto"/>
        <w:jc w:val="both"/>
        <w:rPr>
          <w:rFonts w:ascii="Times New Roman" w:hAnsi="Times New Roman" w:cs="Times New Roman"/>
          <w:noProof/>
          <w:sz w:val="24"/>
          <w:szCs w:val="24"/>
        </w:rPr>
      </w:pPr>
      <w:r>
        <w:rPr>
          <w:rFonts w:ascii="Times New Roman" w:hAnsi="Times New Roman"/>
          <w:noProof/>
          <w:sz w:val="24"/>
          <w:szCs w:val="24"/>
        </w:rPr>
        <w:t xml:space="preserve">A Comissão apoiará os Estados-Membros na aplicação da </w:t>
      </w:r>
      <w:r>
        <w:rPr>
          <w:rFonts w:ascii="Times New Roman" w:hAnsi="Times New Roman"/>
          <w:b/>
          <w:noProof/>
          <w:sz w:val="24"/>
          <w:szCs w:val="24"/>
        </w:rPr>
        <w:t>Diretiva Atrasos de Pagamento</w:t>
      </w:r>
      <w:r>
        <w:rPr>
          <w:rFonts w:ascii="Times New Roman" w:hAnsi="Times New Roman"/>
          <w:noProof/>
          <w:sz w:val="24"/>
          <w:szCs w:val="24"/>
        </w:rPr>
        <w:t>, através da criação de instrumentos de monitorização e de melhores instrumentos de aplicação e explorando a viabilidade de mecanismos alternativos de resolução/mediação para as PME.</w:t>
      </w:r>
    </w:p>
    <w:p>
      <w:pPr>
        <w:pStyle w:val="ListParagraph"/>
        <w:numPr>
          <w:ilvl w:val="0"/>
          <w:numId w:val="48"/>
        </w:numPr>
        <w:pBdr>
          <w:top w:val="single" w:sz="4" w:space="1" w:color="auto"/>
          <w:left w:val="single" w:sz="4" w:space="4" w:color="auto"/>
          <w:bottom w:val="single" w:sz="4" w:space="1" w:color="auto"/>
          <w:right w:val="single" w:sz="4" w:space="4" w:color="auto"/>
        </w:pBdr>
        <w:spacing w:after="200" w:line="240" w:lineRule="auto"/>
        <w:jc w:val="both"/>
        <w:rPr>
          <w:rFonts w:ascii="Times New Roman" w:hAnsi="Times New Roman" w:cs="Times New Roman"/>
          <w:noProof/>
          <w:sz w:val="24"/>
          <w:szCs w:val="24"/>
        </w:rPr>
      </w:pPr>
      <w:r>
        <w:rPr>
          <w:rFonts w:ascii="Times New Roman" w:hAnsi="Times New Roman"/>
          <w:noProof/>
          <w:sz w:val="24"/>
          <w:szCs w:val="24"/>
        </w:rPr>
        <w:t>A Comissão facilitará a cooperação transfronteiriça com as PME e entre elas no âmbito do</w:t>
      </w:r>
      <w:r>
        <w:rPr>
          <w:rFonts w:ascii="Times New Roman" w:hAnsi="Times New Roman"/>
          <w:b/>
          <w:noProof/>
          <w:sz w:val="24"/>
          <w:szCs w:val="24"/>
        </w:rPr>
        <w:t xml:space="preserve"> Fundo Europeu de Defesa e identificará os pontos fortes</w:t>
      </w:r>
      <w:r>
        <w:rPr>
          <w:rFonts w:ascii="Times New Roman" w:hAnsi="Times New Roman"/>
          <w:noProof/>
          <w:sz w:val="24"/>
          <w:szCs w:val="24"/>
        </w:rPr>
        <w:t xml:space="preserve"> do seu ecossistema de investigação e inovação.</w:t>
      </w:r>
    </w:p>
    <w:p>
      <w:pPr>
        <w:pStyle w:val="ListParagraph"/>
        <w:numPr>
          <w:ilvl w:val="0"/>
          <w:numId w:val="48"/>
        </w:numPr>
        <w:pBdr>
          <w:top w:val="single" w:sz="4" w:space="1" w:color="auto"/>
          <w:left w:val="single" w:sz="4" w:space="4" w:color="auto"/>
          <w:bottom w:val="single" w:sz="4" w:space="1" w:color="auto"/>
          <w:right w:val="single" w:sz="4" w:space="4" w:color="auto"/>
        </w:pBdr>
        <w:spacing w:after="200" w:line="240" w:lineRule="auto"/>
        <w:jc w:val="both"/>
        <w:rPr>
          <w:rFonts w:ascii="Times New Roman" w:hAnsi="Times New Roman" w:cs="Times New Roman"/>
          <w:noProof/>
          <w:sz w:val="24"/>
          <w:szCs w:val="24"/>
        </w:rPr>
      </w:pPr>
      <w:r>
        <w:rPr>
          <w:rFonts w:ascii="Times New Roman" w:hAnsi="Times New Roman"/>
          <w:noProof/>
          <w:sz w:val="24"/>
          <w:szCs w:val="24"/>
        </w:rPr>
        <w:t xml:space="preserve">A Comissão lançará uma </w:t>
      </w:r>
      <w:r>
        <w:rPr>
          <w:rFonts w:ascii="Times New Roman" w:hAnsi="Times New Roman"/>
          <w:b/>
          <w:bCs/>
          <w:noProof/>
          <w:sz w:val="24"/>
          <w:szCs w:val="24"/>
        </w:rPr>
        <w:t>iniciativa espacial para o empreendedorismo, designada «CASSINI».</w:t>
      </w:r>
    </w:p>
    <w:p>
      <w:pPr>
        <w:pStyle w:val="ListParagraph"/>
        <w:numPr>
          <w:ilvl w:val="0"/>
          <w:numId w:val="48"/>
        </w:numPr>
        <w:pBdr>
          <w:top w:val="single" w:sz="4" w:space="1" w:color="auto"/>
          <w:left w:val="single" w:sz="4" w:space="4" w:color="auto"/>
          <w:bottom w:val="single" w:sz="4" w:space="1" w:color="auto"/>
          <w:right w:val="single" w:sz="4" w:space="4" w:color="auto"/>
        </w:pBdr>
        <w:spacing w:after="200" w:line="240" w:lineRule="auto"/>
        <w:jc w:val="both"/>
        <w:rPr>
          <w:rFonts w:ascii="Times New Roman" w:hAnsi="Times New Roman" w:cs="Times New Roman"/>
          <w:noProof/>
          <w:sz w:val="24"/>
          <w:szCs w:val="24"/>
        </w:rPr>
      </w:pPr>
      <w:r>
        <w:rPr>
          <w:rFonts w:ascii="Times New Roman" w:hAnsi="Times New Roman"/>
          <w:noProof/>
          <w:sz w:val="24"/>
          <w:szCs w:val="24"/>
        </w:rPr>
        <w:t xml:space="preserve">A Comissão apoiará os Estados-Membros na transposição da diretiva recentemente adotada sobre os </w:t>
      </w:r>
      <w:r>
        <w:rPr>
          <w:rFonts w:ascii="Times New Roman" w:hAnsi="Times New Roman"/>
          <w:b/>
          <w:noProof/>
          <w:sz w:val="24"/>
          <w:szCs w:val="24"/>
        </w:rPr>
        <w:t>regimes de reestruturação preventiva e a concessão de uma segunda oportunidade</w:t>
      </w:r>
      <w:r>
        <w:rPr>
          <w:rFonts w:ascii="Times New Roman" w:hAnsi="Times New Roman"/>
          <w:noProof/>
          <w:sz w:val="24"/>
          <w:szCs w:val="24"/>
        </w:rPr>
        <w:t xml:space="preserve">, ajudando-os a criar mecanismos de alerta precoce para as empresas em dificuldades financeiras, a fim de evitar a falência. </w:t>
      </w:r>
    </w:p>
    <w:p>
      <w:pPr>
        <w:pStyle w:val="ListParagraph"/>
        <w:numPr>
          <w:ilvl w:val="0"/>
          <w:numId w:val="48"/>
        </w:numPr>
        <w:pBdr>
          <w:top w:val="single" w:sz="4" w:space="1" w:color="auto"/>
          <w:left w:val="single" w:sz="4" w:space="4" w:color="auto"/>
          <w:bottom w:val="single" w:sz="4" w:space="1" w:color="auto"/>
          <w:right w:val="single" w:sz="4" w:space="4" w:color="auto"/>
        </w:pBdr>
        <w:spacing w:after="200" w:line="240" w:lineRule="auto"/>
        <w:jc w:val="both"/>
        <w:rPr>
          <w:rFonts w:ascii="Times New Roman" w:hAnsi="Times New Roman" w:cs="Times New Roman"/>
          <w:noProof/>
          <w:sz w:val="24"/>
          <w:szCs w:val="24"/>
        </w:rPr>
      </w:pPr>
      <w:r>
        <w:rPr>
          <w:rFonts w:ascii="Times New Roman" w:hAnsi="Times New Roman"/>
          <w:noProof/>
          <w:sz w:val="24"/>
          <w:szCs w:val="24"/>
        </w:rPr>
        <w:t xml:space="preserve">A Comissão irá estudar com os Estados-Membros possíveis medidas para criar um ambiente favorável à </w:t>
      </w:r>
      <w:r>
        <w:rPr>
          <w:rFonts w:ascii="Times New Roman" w:hAnsi="Times New Roman"/>
          <w:b/>
          <w:noProof/>
          <w:sz w:val="24"/>
          <w:szCs w:val="24"/>
        </w:rPr>
        <w:t>transferência de PME</w:t>
      </w:r>
      <w:r>
        <w:rPr>
          <w:rFonts w:ascii="Times New Roman" w:hAnsi="Times New Roman"/>
          <w:noProof/>
          <w:sz w:val="24"/>
          <w:szCs w:val="24"/>
        </w:rPr>
        <w:t>.</w:t>
      </w:r>
      <w:r>
        <w:rPr>
          <w:rFonts w:ascii="Times New Roman" w:hAnsi="Times New Roman"/>
          <w:b/>
          <w:noProof/>
          <w:sz w:val="24"/>
          <w:szCs w:val="24"/>
        </w:rPr>
        <w:t xml:space="preserve"> </w:t>
      </w:r>
    </w:p>
    <w:p>
      <w:pPr>
        <w:pStyle w:val="ListParagraph"/>
        <w:numPr>
          <w:ilvl w:val="0"/>
          <w:numId w:val="48"/>
        </w:numPr>
        <w:pBdr>
          <w:top w:val="single" w:sz="4" w:space="1" w:color="auto"/>
          <w:left w:val="single" w:sz="4" w:space="4" w:color="auto"/>
          <w:bottom w:val="single" w:sz="4" w:space="1" w:color="auto"/>
          <w:right w:val="single" w:sz="4" w:space="4" w:color="auto"/>
        </w:pBdr>
        <w:spacing w:after="200" w:line="240" w:lineRule="auto"/>
        <w:jc w:val="both"/>
        <w:rPr>
          <w:rFonts w:ascii="Times New Roman" w:hAnsi="Times New Roman" w:cs="Times New Roman"/>
          <w:noProof/>
          <w:sz w:val="24"/>
          <w:szCs w:val="24"/>
        </w:rPr>
      </w:pPr>
      <w:r>
        <w:rPr>
          <w:rFonts w:ascii="Times New Roman" w:hAnsi="Times New Roman"/>
          <w:noProof/>
          <w:sz w:val="24"/>
          <w:szCs w:val="24"/>
        </w:rPr>
        <w:t xml:space="preserve">A Comissão continuará a </w:t>
      </w:r>
      <w:r>
        <w:rPr>
          <w:rFonts w:ascii="Times New Roman" w:hAnsi="Times New Roman"/>
          <w:b/>
          <w:noProof/>
          <w:sz w:val="24"/>
          <w:szCs w:val="24"/>
        </w:rPr>
        <w:t>reforçar o acesso das PME aos mercados de países terceiros</w:t>
      </w:r>
      <w:r>
        <w:rPr>
          <w:rFonts w:ascii="Times New Roman" w:hAnsi="Times New Roman"/>
          <w:noProof/>
          <w:sz w:val="24"/>
          <w:szCs w:val="24"/>
        </w:rPr>
        <w:t>, nomeadamente através de capítulos específicos relativos às PME, do recurso a diálogos para o intercâmbio de boas práticas com os parceiros comerciais e de um novo portal de informação. A Comissão facilitará o acesso das PME aos instrumentos de defesa comercial.</w:t>
      </w:r>
    </w:p>
    <w:p>
      <w:pPr>
        <w:pStyle w:val="ListParagraph"/>
        <w:numPr>
          <w:ilvl w:val="0"/>
          <w:numId w:val="48"/>
        </w:numPr>
        <w:pBdr>
          <w:top w:val="single" w:sz="4" w:space="1" w:color="auto"/>
          <w:left w:val="single" w:sz="4" w:space="4" w:color="auto"/>
          <w:bottom w:val="single" w:sz="4" w:space="1" w:color="auto"/>
          <w:right w:val="single" w:sz="4" w:space="4" w:color="auto"/>
        </w:pBdr>
        <w:spacing w:after="200" w:line="240" w:lineRule="auto"/>
        <w:jc w:val="both"/>
        <w:rPr>
          <w:rFonts w:ascii="Times New Roman" w:hAnsi="Times New Roman" w:cs="Times New Roman"/>
          <w:noProof/>
          <w:sz w:val="24"/>
          <w:szCs w:val="24"/>
        </w:rPr>
      </w:pPr>
      <w:r>
        <w:rPr>
          <w:rFonts w:ascii="Times New Roman" w:hAnsi="Times New Roman"/>
          <w:noProof/>
          <w:sz w:val="24"/>
          <w:szCs w:val="24"/>
        </w:rPr>
        <w:t>As delegações da UE prestarão apoio respondendo às questões das PME ligadas aos acordos de comércio livre.</w:t>
      </w:r>
    </w:p>
    <w:p>
      <w:pPr>
        <w:pStyle w:val="ListParagraph"/>
        <w:numPr>
          <w:ilvl w:val="0"/>
          <w:numId w:val="48"/>
        </w:numPr>
        <w:pBdr>
          <w:top w:val="single" w:sz="4" w:space="1" w:color="auto"/>
          <w:left w:val="single" w:sz="4" w:space="4" w:color="auto"/>
          <w:bottom w:val="single" w:sz="4" w:space="1" w:color="auto"/>
          <w:right w:val="single" w:sz="4" w:space="4" w:color="auto"/>
        </w:pBdr>
        <w:spacing w:after="200" w:line="240" w:lineRule="auto"/>
        <w:jc w:val="both"/>
        <w:rPr>
          <w:rFonts w:ascii="Times New Roman" w:hAnsi="Times New Roman" w:cs="Times New Roman"/>
          <w:noProof/>
          <w:sz w:val="24"/>
          <w:szCs w:val="24"/>
        </w:rPr>
      </w:pPr>
      <w:r>
        <w:rPr>
          <w:rFonts w:ascii="Times New Roman" w:hAnsi="Times New Roman"/>
          <w:noProof/>
          <w:sz w:val="24"/>
          <w:szCs w:val="24"/>
        </w:rPr>
        <w:t xml:space="preserve">A Comissão irá alargar </w:t>
      </w:r>
      <w:r>
        <w:rPr>
          <w:rFonts w:ascii="Times New Roman" w:hAnsi="Times New Roman"/>
          <w:b/>
          <w:bCs/>
          <w:noProof/>
          <w:sz w:val="24"/>
          <w:szCs w:val="24"/>
        </w:rPr>
        <w:t>à escala mundial o programa Erasmus para Jovens Empresários</w:t>
      </w:r>
      <w:r>
        <w:rPr>
          <w:rFonts w:ascii="Times New Roman" w:hAnsi="Times New Roman"/>
          <w:noProof/>
          <w:sz w:val="24"/>
          <w:szCs w:val="24"/>
        </w:rPr>
        <w:t xml:space="preserve">. </w:t>
      </w:r>
    </w:p>
    <w:p>
      <w:pPr>
        <w:pStyle w:val="ListParagraph"/>
        <w:spacing w:before="480" w:after="240" w:line="240" w:lineRule="auto"/>
        <w:ind w:left="714"/>
        <w:contextualSpacing w:val="0"/>
        <w:jc w:val="both"/>
        <w:rPr>
          <w:rFonts w:ascii="Times New Roman" w:hAnsi="Times New Roman" w:cs="Times New Roman"/>
          <w:b/>
          <w:bCs/>
          <w:noProof/>
          <w:sz w:val="24"/>
          <w:szCs w:val="24"/>
        </w:rPr>
      </w:pPr>
    </w:p>
    <w:p>
      <w:pPr>
        <w:pStyle w:val="ListParagraph"/>
        <w:numPr>
          <w:ilvl w:val="0"/>
          <w:numId w:val="37"/>
        </w:numPr>
        <w:spacing w:before="480" w:after="240" w:line="240" w:lineRule="auto"/>
        <w:ind w:left="714" w:hanging="357"/>
        <w:contextualSpacing w:val="0"/>
        <w:jc w:val="both"/>
        <w:rPr>
          <w:rFonts w:ascii="Times New Roman" w:hAnsi="Times New Roman" w:cs="Times New Roman"/>
          <w:b/>
          <w:bCs/>
          <w:noProof/>
          <w:sz w:val="24"/>
          <w:szCs w:val="24"/>
        </w:rPr>
      </w:pPr>
      <w:r>
        <w:rPr>
          <w:rFonts w:ascii="Times New Roman" w:hAnsi="Times New Roman"/>
          <w:b/>
          <w:bCs/>
          <w:noProof/>
          <w:sz w:val="24"/>
          <w:szCs w:val="24"/>
        </w:rPr>
        <w:t xml:space="preserve">Melhoria do acesso ao financiamento </w:t>
      </w:r>
    </w:p>
    <w:p>
      <w:pPr>
        <w:spacing w:after="240" w:line="240" w:lineRule="auto"/>
        <w:jc w:val="both"/>
        <w:rPr>
          <w:rFonts w:ascii="Times New Roman" w:eastAsia="Calibri" w:hAnsi="Times New Roman" w:cs="Times New Roman"/>
          <w:noProof/>
          <w:sz w:val="24"/>
          <w:szCs w:val="24"/>
        </w:rPr>
      </w:pPr>
      <w:r>
        <w:rPr>
          <w:rFonts w:ascii="Times New Roman" w:hAnsi="Times New Roman"/>
          <w:noProof/>
          <w:sz w:val="24"/>
          <w:szCs w:val="24"/>
        </w:rPr>
        <w:t xml:space="preserve">O acesso ao financiamento é essencial para que as PME financiem as necessidades de investimento para a transição. No entanto, em todas as fases do desenvolvimento, as pequenas empresas lutam mais do que as grandes empresas para obterem financiamento. No caso dos jovens empresários e das empresas em fase de arranque, podem ser múltiplas as razões: como não ter um historial financeiro comprovado, a falta de garantias ou a falta de informação dos investidores para avaliar o seu risco de crédito ou o valor dos seus ativos intangíveis. A melhoria do acesso ao financiamento exige uma abordagem que combine um ambiente regulamentar propício, um financiamento nacional e da UE suficiente e harmonizado, bem como o acesso a redes de empresas e de investidores. </w:t>
      </w:r>
    </w:p>
    <w:p>
      <w:pPr>
        <w:spacing w:after="240" w:line="240" w:lineRule="auto"/>
        <w:jc w:val="both"/>
        <w:rPr>
          <w:rFonts w:ascii="Times New Roman" w:hAnsi="Times New Roman" w:cs="Times New Roman"/>
          <w:noProof/>
          <w:sz w:val="24"/>
          <w:szCs w:val="24"/>
        </w:rPr>
      </w:pPr>
      <w:r>
        <w:rPr>
          <w:rFonts w:ascii="Times New Roman" w:hAnsi="Times New Roman"/>
          <w:noProof/>
          <w:sz w:val="24"/>
          <w:szCs w:val="24"/>
        </w:rPr>
        <w:t>As PME enfrentam um importante défice de financiamento na Europa de 20 a 35 mil milhões de EUR, apesar de programas de apoio substancial a nível nacional e da UE</w:t>
      </w:r>
      <w:r>
        <w:rPr>
          <w:rStyle w:val="FootnoteReference"/>
          <w:rFonts w:ascii="Times New Roman" w:hAnsi="Times New Roman" w:cs="Times New Roman"/>
          <w:noProof/>
          <w:sz w:val="24"/>
          <w:szCs w:val="24"/>
        </w:rPr>
        <w:footnoteReference w:id="37"/>
      </w:r>
      <w:r>
        <w:rPr>
          <w:rFonts w:ascii="Times New Roman" w:hAnsi="Times New Roman"/>
          <w:noProof/>
          <w:sz w:val="24"/>
          <w:szCs w:val="24"/>
        </w:rPr>
        <w:t xml:space="preserve"> e, em alguns Estados-Membros, o acesso ao financiamento continua a ser um dos principais problemas com que se deparam</w:t>
      </w:r>
      <w:r>
        <w:rPr>
          <w:rStyle w:val="FootnoteReference"/>
          <w:rFonts w:ascii="Times New Roman" w:hAnsi="Times New Roman" w:cs="Times New Roman"/>
          <w:noProof/>
          <w:sz w:val="24"/>
          <w:szCs w:val="24"/>
        </w:rPr>
        <w:footnoteReference w:id="38"/>
      </w:r>
      <w:r>
        <w:rPr>
          <w:rFonts w:ascii="Times New Roman" w:hAnsi="Times New Roman"/>
          <w:noProof/>
          <w:sz w:val="24"/>
          <w:szCs w:val="24"/>
        </w:rPr>
        <w:t xml:space="preserve">. Em 2019, 18 % das PME da UE não obtiveram o empréstimo bancário completo que tinham previsto. Isto coloca as PME em desvantagem, uma vez que o financiamento bancário representa cerca de 90 % das suas necessidades de financiamento. A regulamentação bancária da UE deve criar as bases para um sistema bancário estável que proporcione financiamento adequado a todas as empresas. O pacote bancário da UE manteve o fator de apoio às PME e alargou-o a todos os empréstimos concedidos às PME. A Comissão assegurará que qualquer futura legislação relativa aos mercados financeiros tenha em conta os interesses das PME europeias e apoie o seu acesso ininterrupto a um vasto leque de opções de financiamento. </w:t>
      </w:r>
    </w:p>
    <w:p>
      <w:pPr>
        <w:spacing w:after="240" w:line="240" w:lineRule="auto"/>
        <w:jc w:val="both"/>
        <w:rPr>
          <w:rFonts w:ascii="Times New Roman" w:hAnsi="Times New Roman" w:cs="Times New Roman"/>
          <w:i/>
          <w:noProof/>
          <w:sz w:val="24"/>
          <w:szCs w:val="24"/>
        </w:rPr>
      </w:pPr>
      <w:r>
        <w:rPr>
          <w:rFonts w:ascii="Times New Roman" w:hAnsi="Times New Roman"/>
          <w:i/>
          <w:noProof/>
          <w:sz w:val="24"/>
          <w:szCs w:val="24"/>
        </w:rPr>
        <w:t>Diversificar as fontes de financiamento e aumentar o investimento das PME</w:t>
      </w:r>
    </w:p>
    <w:p>
      <w:pPr>
        <w:spacing w:after="240" w:line="240" w:lineRule="auto"/>
        <w:jc w:val="both"/>
        <w:rPr>
          <w:rFonts w:ascii="Times New Roman" w:hAnsi="Times New Roman" w:cs="Times New Roman"/>
          <w:noProof/>
          <w:sz w:val="24"/>
          <w:szCs w:val="24"/>
        </w:rPr>
      </w:pPr>
      <w:r>
        <w:rPr>
          <w:rFonts w:ascii="Times New Roman" w:hAnsi="Times New Roman"/>
          <w:noProof/>
          <w:sz w:val="24"/>
          <w:szCs w:val="24"/>
        </w:rPr>
        <w:t xml:space="preserve">No entanto, é necessário </w:t>
      </w:r>
      <w:r>
        <w:rPr>
          <w:rFonts w:ascii="Times New Roman" w:hAnsi="Times New Roman"/>
          <w:b/>
          <w:noProof/>
          <w:sz w:val="24"/>
          <w:szCs w:val="24"/>
        </w:rPr>
        <w:t>diversificar as fontes de financiamento</w:t>
      </w:r>
      <w:r>
        <w:rPr>
          <w:rFonts w:ascii="Times New Roman" w:hAnsi="Times New Roman"/>
          <w:noProof/>
          <w:sz w:val="24"/>
          <w:szCs w:val="24"/>
        </w:rPr>
        <w:t>. O capital de risco investido nas empresas europeias aumentou 13 %, passando para 8 mil milhões de euros em 2018, e a percentagem de fundos próprios provenientes de fora da Europa aumentou de 7 % para 20 % em 2018</w:t>
      </w:r>
      <w:r>
        <w:rPr>
          <w:rStyle w:val="FootnoteReference"/>
          <w:rFonts w:ascii="Times New Roman" w:hAnsi="Times New Roman" w:cs="Times New Roman"/>
          <w:noProof/>
          <w:sz w:val="24"/>
          <w:szCs w:val="24"/>
        </w:rPr>
        <w:footnoteReference w:id="39"/>
      </w:r>
      <w:r>
        <w:rPr>
          <w:rFonts w:ascii="Times New Roman" w:hAnsi="Times New Roman"/>
          <w:noProof/>
          <w:sz w:val="24"/>
          <w:szCs w:val="24"/>
        </w:rPr>
        <w:t>. Contudo, apenas 10 % das empresas europeias utilizaram um financiamento do mercado de capitais, em comparação com mais de 25 % nos EUA. Os investimentos europeus em capital de risco são cerca de oito vezes inferiores aos dos EUA e, por conseguinte, não são suficientemente sólidos para financiar o crescimento das empresas europeias</w:t>
      </w:r>
      <w:r>
        <w:rPr>
          <w:rStyle w:val="FootnoteReference"/>
          <w:rFonts w:ascii="Times New Roman" w:hAnsi="Times New Roman" w:cs="Times New Roman"/>
          <w:noProof/>
          <w:sz w:val="24"/>
          <w:szCs w:val="24"/>
        </w:rPr>
        <w:footnoteReference w:id="40"/>
      </w:r>
      <w:r>
        <w:rPr>
          <w:rFonts w:ascii="Times New Roman" w:hAnsi="Times New Roman"/>
          <w:noProof/>
          <w:sz w:val="24"/>
          <w:szCs w:val="24"/>
        </w:rPr>
        <w:t>.</w:t>
      </w:r>
    </w:p>
    <w:p>
      <w:pPr>
        <w:spacing w:after="240" w:line="240" w:lineRule="auto"/>
        <w:jc w:val="both"/>
        <w:rPr>
          <w:rFonts w:ascii="Times New Roman" w:hAnsi="Times New Roman" w:cs="Times New Roman"/>
          <w:noProof/>
          <w:sz w:val="24"/>
          <w:szCs w:val="24"/>
        </w:rPr>
      </w:pPr>
      <w:r>
        <w:rPr>
          <w:rFonts w:ascii="Times New Roman" w:hAnsi="Times New Roman"/>
          <w:noProof/>
          <w:sz w:val="24"/>
          <w:szCs w:val="24"/>
        </w:rPr>
        <w:t>As PME inovadoras e de rápido crescimento e as empresas em fase de arranque com importantes necessidades de capital deslocam-se frequentemente para encontrar capital de risco no estrangeiro</w:t>
      </w:r>
      <w:r>
        <w:rPr>
          <w:rStyle w:val="FootnoteReference"/>
          <w:rFonts w:ascii="Times New Roman" w:hAnsi="Times New Roman" w:cs="Times New Roman"/>
          <w:noProof/>
          <w:sz w:val="24"/>
          <w:szCs w:val="24"/>
        </w:rPr>
        <w:footnoteReference w:id="41"/>
      </w:r>
      <w:r>
        <w:rPr>
          <w:rFonts w:ascii="Times New Roman" w:hAnsi="Times New Roman"/>
          <w:noProof/>
          <w:sz w:val="24"/>
          <w:szCs w:val="24"/>
        </w:rPr>
        <w:t xml:space="preserve">. Não se trata apenas de um risco para a soberania tecnológica, o crescimento e o emprego na Europa, mas tem também um impacto a jusante na sua frota mais vasta de PME. </w:t>
      </w:r>
    </w:p>
    <w:p>
      <w:pPr>
        <w:spacing w:after="240" w:line="240" w:lineRule="auto"/>
        <w:jc w:val="both"/>
        <w:rPr>
          <w:rFonts w:ascii="Times New Roman" w:hAnsi="Times New Roman" w:cs="Times New Roman"/>
          <w:noProof/>
          <w:sz w:val="24"/>
          <w:szCs w:val="24"/>
        </w:rPr>
      </w:pPr>
      <w:r>
        <w:rPr>
          <w:rFonts w:ascii="Times New Roman" w:hAnsi="Times New Roman"/>
          <w:noProof/>
          <w:sz w:val="24"/>
          <w:szCs w:val="24"/>
        </w:rPr>
        <w:t xml:space="preserve">Além disso, os investidores europeus podem ter relutância em investir em empresas em fase de arranque devido a desafios na avaliação do potencial de mercado e/ou da PI em que assenta um novo serviço ou produto de uma PME. Isto dificulta a apreciação da avaliação da própria empresa. Os serviços de </w:t>
      </w:r>
      <w:r>
        <w:rPr>
          <w:rFonts w:ascii="Times New Roman" w:hAnsi="Times New Roman"/>
          <w:b/>
          <w:noProof/>
          <w:sz w:val="24"/>
          <w:szCs w:val="24"/>
        </w:rPr>
        <w:t>devida diligência técnica</w:t>
      </w:r>
      <w:r>
        <w:rPr>
          <w:rFonts w:ascii="Times New Roman" w:hAnsi="Times New Roman"/>
          <w:noProof/>
          <w:sz w:val="24"/>
          <w:szCs w:val="24"/>
        </w:rPr>
        <w:t xml:space="preserve"> podem resolver esta questão e ter tido êxito noutras regiões, mas ainda não estão facilmente disponíveis na Europa. Em última análise, beneficiam todas as partes envolvidas: as PME, os potenciais investidores e o ecossistema inovador alargado. Um projeto-piloto da UE permitiria uma avaliação mais precisa das empresas em fase de arranque de alta tecnologia e das PME de alta tecnologia, com base na sua carteira tecnológica e de PI</w:t>
      </w:r>
      <w:r>
        <w:rPr>
          <w:rStyle w:val="FootnoteReference"/>
          <w:rFonts w:ascii="Times New Roman" w:hAnsi="Times New Roman" w:cs="Times New Roman"/>
          <w:noProof/>
          <w:sz w:val="24"/>
          <w:szCs w:val="24"/>
        </w:rPr>
        <w:footnoteReference w:id="42"/>
      </w:r>
      <w:r>
        <w:rPr>
          <w:rFonts w:ascii="Times New Roman" w:hAnsi="Times New Roman"/>
          <w:noProof/>
          <w:sz w:val="24"/>
          <w:szCs w:val="24"/>
        </w:rPr>
        <w:t>.</w:t>
      </w:r>
    </w:p>
    <w:p>
      <w:pPr>
        <w:spacing w:after="240"/>
        <w:jc w:val="both"/>
        <w:rPr>
          <w:rFonts w:ascii="Times New Roman" w:eastAsia="Calibri" w:hAnsi="Times New Roman" w:cs="Times New Roman"/>
          <w:noProof/>
          <w:sz w:val="24"/>
          <w:szCs w:val="24"/>
        </w:rPr>
      </w:pPr>
      <w:r>
        <w:rPr>
          <w:rFonts w:ascii="Times New Roman" w:hAnsi="Times New Roman"/>
          <w:noProof/>
          <w:sz w:val="24"/>
          <w:szCs w:val="24"/>
        </w:rPr>
        <w:t xml:space="preserve">É necessário libertar mais investimento privado na Europa. A Comissão irá desenvolver novas formas de partilha de riscos com o setor privado, como a iniciativa ESCALAR, a fim de aumentar a dimensão dos fundos de capital de risco, intensificar os seus esforços de investimento e trabalhar no sentido de um plano de ação renovado para a União dos Mercados de Capitais. A União dos Mercados de Capitais pretende diversificar as fontes de financiamento para as empresas em todas as fases do seu desenvolvimento. </w:t>
      </w:r>
    </w:p>
    <w:p>
      <w:pPr>
        <w:spacing w:after="240"/>
        <w:jc w:val="both"/>
        <w:rPr>
          <w:rFonts w:ascii="Times New Roman" w:hAnsi="Times New Roman" w:cs="Times New Roman"/>
          <w:i/>
          <w:noProof/>
          <w:sz w:val="24"/>
          <w:szCs w:val="24"/>
        </w:rPr>
      </w:pPr>
      <w:r>
        <w:rPr>
          <w:rFonts w:ascii="Times New Roman" w:hAnsi="Times New Roman"/>
          <w:i/>
          <w:noProof/>
          <w:sz w:val="24"/>
          <w:szCs w:val="24"/>
        </w:rPr>
        <w:t>Estabelecer as fundações de um Fundo OPI para as PME</w:t>
      </w:r>
    </w:p>
    <w:p>
      <w:pPr>
        <w:spacing w:after="240" w:line="240" w:lineRule="auto"/>
        <w:jc w:val="both"/>
        <w:rPr>
          <w:rFonts w:ascii="Times New Roman" w:hAnsi="Times New Roman" w:cs="Times New Roman"/>
          <w:noProof/>
          <w:sz w:val="24"/>
          <w:szCs w:val="24"/>
        </w:rPr>
      </w:pPr>
      <w:r>
        <w:rPr>
          <w:rFonts w:ascii="Times New Roman" w:hAnsi="Times New Roman"/>
          <w:noProof/>
          <w:sz w:val="24"/>
          <w:szCs w:val="24"/>
        </w:rPr>
        <w:t>As PME na Europa dispõem de possibilidades limitadas para o financiamento do crescimento, como a inclusão na cotação dos mercados de capitais através de uma oferta pública inicial (OPI). Os mercados de capitais são uma importante fonte de financiamento para as PME que crescem, tornando-se empresas de média capitalização e, em última análise, grandes empresas. No entanto, o número de OPI de PME diminuiu acentuadamente na sequência da crise financeira e não recuperou desde então. Em 2019, o valor e o número das OPI europeias continuaram a diminuir em 40 % e 47 %, respetivamente, em relação a 2018</w:t>
      </w:r>
      <w:r>
        <w:rPr>
          <w:rStyle w:val="FootnoteReference"/>
          <w:rFonts w:ascii="Times New Roman" w:hAnsi="Times New Roman" w:cs="Times New Roman"/>
          <w:noProof/>
          <w:sz w:val="24"/>
          <w:szCs w:val="24"/>
        </w:rPr>
        <w:footnoteReference w:id="43"/>
      </w:r>
      <w:r>
        <w:rPr>
          <w:rFonts w:ascii="Times New Roman" w:hAnsi="Times New Roman"/>
          <w:noProof/>
          <w:sz w:val="24"/>
          <w:szCs w:val="24"/>
        </w:rPr>
        <w:t>. Muitos investidores institucionais não participam suficientemente no financiamento das PME.</w:t>
      </w:r>
    </w:p>
    <w:p>
      <w:pPr>
        <w:spacing w:after="240" w:line="240" w:lineRule="auto"/>
        <w:jc w:val="both"/>
        <w:rPr>
          <w:rFonts w:ascii="Times New Roman" w:hAnsi="Times New Roman" w:cs="Times New Roman"/>
          <w:noProof/>
          <w:sz w:val="24"/>
          <w:szCs w:val="24"/>
        </w:rPr>
      </w:pPr>
      <w:r>
        <w:rPr>
          <w:rFonts w:ascii="Times New Roman" w:hAnsi="Times New Roman"/>
          <w:noProof/>
          <w:sz w:val="24"/>
          <w:szCs w:val="24"/>
        </w:rPr>
        <w:t xml:space="preserve">Para resolver este problema, o financiamento público pode funcionar como um investimento de base para atrair mais investidores privados em PME inovadoras e de elevado crescimento na fase de cotação pública. Um </w:t>
      </w:r>
      <w:r>
        <w:rPr>
          <w:rFonts w:ascii="Times New Roman" w:hAnsi="Times New Roman"/>
          <w:b/>
          <w:bCs/>
          <w:noProof/>
          <w:sz w:val="24"/>
          <w:szCs w:val="24"/>
        </w:rPr>
        <w:t>Fundo OPI para as PME</w:t>
      </w:r>
      <w:r>
        <w:rPr>
          <w:rFonts w:ascii="Times New Roman" w:hAnsi="Times New Roman"/>
          <w:noProof/>
          <w:sz w:val="24"/>
          <w:szCs w:val="24"/>
        </w:rPr>
        <w:t xml:space="preserve"> apoiaria as PME através e para além do processo de cotação. Teria por base a análise do mercado OPI da UE e a realização de testes junto dos investidores e das partes interessadas. </w:t>
      </w:r>
    </w:p>
    <w:p>
      <w:pPr>
        <w:spacing w:after="240" w:line="240" w:lineRule="auto"/>
        <w:jc w:val="both"/>
        <w:rPr>
          <w:rFonts w:ascii="Times New Roman" w:hAnsi="Times New Roman" w:cs="Times New Roman"/>
          <w:i/>
          <w:noProof/>
          <w:sz w:val="24"/>
          <w:szCs w:val="24"/>
        </w:rPr>
      </w:pPr>
      <w:r>
        <w:rPr>
          <w:rFonts w:ascii="Times New Roman" w:hAnsi="Times New Roman"/>
          <w:i/>
          <w:noProof/>
          <w:sz w:val="24"/>
          <w:szCs w:val="24"/>
        </w:rPr>
        <w:t xml:space="preserve">Criar um ambiente mais propício e inclusivo para o acesso ao financiamento </w:t>
      </w:r>
    </w:p>
    <w:p>
      <w:pPr>
        <w:spacing w:after="240" w:line="240" w:lineRule="auto"/>
        <w:jc w:val="both"/>
        <w:rPr>
          <w:rFonts w:ascii="Times New Roman" w:hAnsi="Times New Roman" w:cs="Times New Roman"/>
          <w:noProof/>
          <w:sz w:val="24"/>
          <w:szCs w:val="24"/>
        </w:rPr>
      </w:pPr>
      <w:r>
        <w:rPr>
          <w:rFonts w:ascii="Times New Roman" w:hAnsi="Times New Roman"/>
          <w:noProof/>
          <w:sz w:val="24"/>
          <w:szCs w:val="24"/>
        </w:rPr>
        <w:t>Nos últimos anos, registou-se um declínio considerável na investigação sobre o investimento nas PME. A revisão da Diretiva relativa aos mercados de instrumentos financeiros que a Comissão realizará em 2020 analisará a forma de incentivar a situação da investigação sobre as PME.</w:t>
      </w:r>
    </w:p>
    <w:p>
      <w:pPr>
        <w:spacing w:after="240" w:line="240" w:lineRule="auto"/>
        <w:jc w:val="both"/>
        <w:rPr>
          <w:rFonts w:ascii="Times New Roman" w:hAnsi="Times New Roman" w:cs="Times New Roman"/>
          <w:noProof/>
          <w:sz w:val="24"/>
          <w:szCs w:val="24"/>
        </w:rPr>
      </w:pPr>
      <w:r>
        <w:rPr>
          <w:rFonts w:ascii="Times New Roman" w:hAnsi="Times New Roman"/>
          <w:noProof/>
          <w:sz w:val="24"/>
          <w:szCs w:val="24"/>
        </w:rPr>
        <w:t xml:space="preserve">A inovação da tecnologia financeira baseada na tecnologia do livro-razão distribuído </w:t>
      </w:r>
      <w:r>
        <w:rPr>
          <w:rFonts w:ascii="Times New Roman" w:hAnsi="Times New Roman"/>
          <w:b/>
          <w:bCs/>
          <w:noProof/>
          <w:sz w:val="24"/>
          <w:szCs w:val="24"/>
        </w:rPr>
        <w:t>(«cadeia de blocos»)</w:t>
      </w:r>
      <w:r>
        <w:rPr>
          <w:rFonts w:ascii="Times New Roman" w:hAnsi="Times New Roman"/>
          <w:noProof/>
          <w:sz w:val="24"/>
          <w:szCs w:val="24"/>
        </w:rPr>
        <w:t xml:space="preserve"> pode abrir novas vias para que as PME colaborem diretamente com os investidores, quer através de intermediários fiáveis, quer pelas próprias PME, de forma descentralizada. Pode permitir que as PME emitam criptoativos e fichas digitais, por exemplo sob a forma de obrigações. Estas obrigações são atrativas para os investidores, uma vez que podem ser imediatamente comercializadas. Trata-se de uma forma de oferecer às PME um financiamento mais rápido e mais eficiente e eficaz em termos de custos. A Comissão facilitará a utilização de criptoativos e a aceitação de fichas digitais por parte das PME, dos investidores e dos intermediários, de acordo com a futura Estratégia de Financiamento Digital da UE.</w:t>
      </w:r>
    </w:p>
    <w:p>
      <w:pPr>
        <w:spacing w:after="240" w:line="240" w:lineRule="auto"/>
        <w:jc w:val="both"/>
        <w:rPr>
          <w:rFonts w:ascii="Times New Roman" w:hAnsi="Times New Roman" w:cs="Times New Roman"/>
          <w:noProof/>
          <w:sz w:val="24"/>
          <w:szCs w:val="24"/>
        </w:rPr>
      </w:pPr>
      <w:r>
        <w:rPr>
          <w:rFonts w:ascii="Times New Roman" w:hAnsi="Times New Roman"/>
          <w:noProof/>
          <w:sz w:val="24"/>
          <w:szCs w:val="24"/>
        </w:rPr>
        <w:t xml:space="preserve">As regras em matéria de </w:t>
      </w:r>
      <w:r>
        <w:rPr>
          <w:rFonts w:ascii="Times New Roman" w:hAnsi="Times New Roman"/>
          <w:b/>
          <w:bCs/>
          <w:noProof/>
          <w:sz w:val="24"/>
          <w:szCs w:val="24"/>
        </w:rPr>
        <w:t>auxílios estatais</w:t>
      </w:r>
      <w:r>
        <w:rPr>
          <w:rFonts w:ascii="Times New Roman" w:hAnsi="Times New Roman"/>
          <w:noProof/>
          <w:sz w:val="24"/>
          <w:szCs w:val="24"/>
        </w:rPr>
        <w:t xml:space="preserve"> permitiram um apoio nacional significativo às PME e ao capital de risco</w:t>
      </w:r>
      <w:r>
        <w:rPr>
          <w:rStyle w:val="FootnoteReference"/>
          <w:rFonts w:ascii="Times New Roman" w:hAnsi="Times New Roman" w:cs="Times New Roman"/>
          <w:noProof/>
          <w:sz w:val="24"/>
          <w:szCs w:val="24"/>
        </w:rPr>
        <w:footnoteReference w:id="44"/>
      </w:r>
      <w:r>
        <w:rPr>
          <w:rFonts w:ascii="Times New Roman" w:hAnsi="Times New Roman"/>
          <w:noProof/>
          <w:sz w:val="24"/>
          <w:szCs w:val="24"/>
        </w:rPr>
        <w:t>. Até ao final de 2021, a Comissão está a racionalizar e a rever as regras pertinentes da UE em matéria de auxílios estatais, a fim de garantir que estas continuam a ser adequadas à sua finalidade. Nessa revisão, a Comissão procurará assegurar que as regras incentivam a participação das PME em Projetos Importantes de Interesse Europeu Comum (IPCEI). </w:t>
      </w:r>
    </w:p>
    <w:p>
      <w:pPr>
        <w:spacing w:after="240" w:line="240" w:lineRule="auto"/>
        <w:jc w:val="both"/>
        <w:rPr>
          <w:rFonts w:ascii="Times New Roman" w:hAnsi="Times New Roman" w:cs="Times New Roman"/>
          <w:noProof/>
          <w:sz w:val="24"/>
          <w:szCs w:val="24"/>
        </w:rPr>
      </w:pPr>
      <w:r>
        <w:rPr>
          <w:rFonts w:ascii="Times New Roman" w:hAnsi="Times New Roman"/>
          <w:noProof/>
          <w:sz w:val="24"/>
          <w:szCs w:val="24"/>
        </w:rPr>
        <w:t>Além disso, a falta de diversidade entre os beneficiários reduz a reserva de talentos e a inovação. As mulheres lançaram um terço das empresas na Europa, mas as suas empresas estão sub-representadas quando se trata de aumentar o capital de risco. Em 2019, mais de 92 % dos fundos de capital de risco criados pelas empresas tecnológicas europeias financiaram equipas fundadoras de empresas compostas exclusivamente por homens</w:t>
      </w:r>
      <w:r>
        <w:rPr>
          <w:rStyle w:val="FootnoteReference"/>
          <w:rFonts w:ascii="Times New Roman" w:hAnsi="Times New Roman" w:cs="Times New Roman"/>
          <w:noProof/>
          <w:sz w:val="24"/>
          <w:szCs w:val="24"/>
        </w:rPr>
        <w:footnoteReference w:id="45"/>
      </w:r>
      <w:r>
        <w:rPr>
          <w:rFonts w:ascii="Times New Roman" w:hAnsi="Times New Roman"/>
          <w:noProof/>
          <w:sz w:val="24"/>
          <w:szCs w:val="24"/>
        </w:rPr>
        <w:t xml:space="preserve">. O Programa InvestEU – o futuro dispositivo de financiamento do investimento da UE - poderá ajudar a estimular o investimento nas e com as mulheres e proporcionar um apoio específico para alargar a reserva de empresas e de fundos dirigidos por mulheres passíveis de atrair investimento </w:t>
      </w:r>
      <w:r>
        <w:rPr>
          <w:rFonts w:ascii="Times New Roman" w:hAnsi="Times New Roman"/>
          <w:b/>
          <w:noProof/>
          <w:sz w:val="24"/>
          <w:szCs w:val="24"/>
        </w:rPr>
        <w:t>ao abrigo de uma iniciativa de financiamento inteligente em função do género</w:t>
      </w:r>
      <w:r>
        <w:rPr>
          <w:rFonts w:ascii="Times New Roman" w:hAnsi="Times New Roman"/>
          <w:noProof/>
          <w:sz w:val="24"/>
          <w:szCs w:val="24"/>
        </w:rPr>
        <w:t>. Além disso, será triplicado o número de PME dirigidas por mulheres que beneficiam do CEI, logo que este estiver em pleno funcionamento.</w:t>
      </w:r>
    </w:p>
    <w:p>
      <w:pPr>
        <w:rPr>
          <w:rFonts w:ascii="Times New Roman" w:hAnsi="Times New Roman" w:cs="Times New Roman"/>
          <w:i/>
          <w:noProof/>
          <w:sz w:val="24"/>
          <w:szCs w:val="24"/>
        </w:rPr>
      </w:pPr>
      <w:r>
        <w:rPr>
          <w:rFonts w:ascii="Times New Roman" w:hAnsi="Times New Roman"/>
          <w:i/>
          <w:noProof/>
          <w:sz w:val="24"/>
          <w:szCs w:val="24"/>
        </w:rPr>
        <w:t xml:space="preserve">Mobilizar o financiamento da UE, nacional e privado para as PME através do programa InvestEU </w:t>
      </w:r>
    </w:p>
    <w:p>
      <w:pPr>
        <w:spacing w:after="240" w:line="240" w:lineRule="auto"/>
        <w:jc w:val="both"/>
        <w:rPr>
          <w:rFonts w:ascii="Times New Roman" w:hAnsi="Times New Roman" w:cs="Times New Roman"/>
          <w:noProof/>
          <w:sz w:val="24"/>
          <w:szCs w:val="24"/>
        </w:rPr>
      </w:pPr>
      <w:r>
        <w:rPr>
          <w:rFonts w:ascii="Times New Roman" w:hAnsi="Times New Roman"/>
          <w:noProof/>
          <w:sz w:val="24"/>
          <w:szCs w:val="24"/>
        </w:rPr>
        <w:t xml:space="preserve">Em 2014-2018, os instrumentos financeiros da UE ajudaram a mobilizar 100 mil milhões de EUR de financiamento, nomeadamente para as PME, sob a forma de financiamento da dívida e de capitais próprios. Estima-se que o Plano de Investimento da UE apoiará mais de 1 milhão de PME. No entanto, é necessário manter o apoio nacional e da UE para reduzir o défice de financiamento das PME. </w:t>
      </w:r>
    </w:p>
    <w:p>
      <w:pPr>
        <w:spacing w:after="240" w:line="240" w:lineRule="auto"/>
        <w:jc w:val="both"/>
        <w:rPr>
          <w:rFonts w:ascii="Times New Roman" w:hAnsi="Times New Roman" w:cs="Times New Roman"/>
          <w:noProof/>
          <w:sz w:val="24"/>
          <w:szCs w:val="24"/>
        </w:rPr>
      </w:pPr>
      <w:r>
        <w:rPr>
          <w:rFonts w:ascii="Times New Roman" w:hAnsi="Times New Roman"/>
          <w:noProof/>
          <w:sz w:val="24"/>
          <w:szCs w:val="24"/>
        </w:rPr>
        <w:t>No âmbito da vertente PME do InvestEU, a Comissão basear-se-á nas experiências positivas com os atuais regimes de garantia da UE para as PME</w:t>
      </w:r>
      <w:r>
        <w:rPr>
          <w:rStyle w:val="FootnoteReference"/>
          <w:rFonts w:ascii="Times New Roman" w:hAnsi="Times New Roman" w:cs="Times New Roman"/>
          <w:noProof/>
          <w:sz w:val="24"/>
          <w:szCs w:val="24"/>
        </w:rPr>
        <w:footnoteReference w:id="46"/>
      </w:r>
      <w:r>
        <w:rPr>
          <w:rFonts w:ascii="Times New Roman" w:hAnsi="Times New Roman"/>
          <w:noProof/>
          <w:sz w:val="24"/>
          <w:szCs w:val="24"/>
        </w:rPr>
        <w:t xml:space="preserve">. Criará um mecanismo de garantia integrado único orientado para as PME consideradas de alto risco ou que não dispõem de garantias suficientes, incluindo as que são inovadoras, as dos setores culturais e criativos, as que transitam de modelos de utilização intensiva de energia e de recursos para PME mais sustentáveis e as que adotam práticas comerciais digitais. A vertente PME do InvestEU apoiará o financiamento através de capitais próprios para as PME e as pequenas empresas de média capitalização em domínios de especial interesse para a política da UE, como o espaço e a defesa, a sustentabilidade, a digitalização, a inovação, </w:t>
      </w:r>
      <w:r>
        <w:rPr>
          <w:rFonts w:ascii="Times New Roman" w:hAnsi="Times New Roman"/>
          <w:b/>
          <w:bCs/>
          <w:noProof/>
          <w:sz w:val="24"/>
          <w:szCs w:val="24"/>
        </w:rPr>
        <w:t>o financiamento inteligente em função do género</w:t>
      </w:r>
      <w:r>
        <w:rPr>
          <w:rFonts w:ascii="Times New Roman" w:hAnsi="Times New Roman"/>
          <w:bCs/>
          <w:noProof/>
          <w:sz w:val="24"/>
          <w:szCs w:val="24"/>
        </w:rPr>
        <w:t>, a tecnologia</w:t>
      </w:r>
      <w:r>
        <w:rPr>
          <w:rFonts w:ascii="Times New Roman" w:hAnsi="Times New Roman"/>
          <w:noProof/>
          <w:sz w:val="24"/>
          <w:szCs w:val="24"/>
        </w:rPr>
        <w:t xml:space="preserve"> profunda («deep tech») e </w:t>
      </w:r>
      <w:r>
        <w:rPr>
          <w:rFonts w:ascii="Times New Roman" w:hAnsi="Times New Roman"/>
          <w:b/>
          <w:bCs/>
          <w:noProof/>
          <w:sz w:val="24"/>
          <w:szCs w:val="24"/>
        </w:rPr>
        <w:t>a tecnologia verde</w:t>
      </w:r>
      <w:r>
        <w:rPr>
          <w:rFonts w:ascii="Times New Roman" w:hAnsi="Times New Roman"/>
          <w:noProof/>
          <w:sz w:val="24"/>
          <w:szCs w:val="24"/>
        </w:rPr>
        <w:t xml:space="preserve">. Por exemplo, serão reunidos fundos da UE, dos Estados-Membros e do setor privado para aumentar o acesso ao financiamento através de capitais próprios para as PME inovadoras e as empresas em fase de arranque que desenvolvem e adotam soluções de tecnologia verde. O InvestEU permitirá o financiamento de todas as fases de desenvolvimento, desde o seu arranque até à sua expansão, e à OPI. Contribuirá para alavancar o financiamento privado de investidores, como investidores providenciais («business angels»), gabinetes de gestão patrimonial («family offices»), fundos de capital de risco, fundos de pensões e companhias de seguros. </w:t>
      </w:r>
    </w:p>
    <w:p>
      <w:pPr>
        <w:spacing w:after="240" w:line="240" w:lineRule="auto"/>
        <w:jc w:val="both"/>
        <w:rPr>
          <w:rFonts w:ascii="Times New Roman" w:hAnsi="Times New Roman" w:cs="Times New Roman"/>
          <w:noProof/>
          <w:sz w:val="24"/>
          <w:szCs w:val="24"/>
        </w:rPr>
      </w:pPr>
      <w:r>
        <w:rPr>
          <w:rFonts w:ascii="Times New Roman" w:hAnsi="Times New Roman"/>
          <w:noProof/>
          <w:sz w:val="24"/>
          <w:szCs w:val="24"/>
        </w:rPr>
        <w:t>A Comissão trabalhará em estreita colaboração com os Estados-Membros para reunir fundos e corrigir os desequilíbrios geográficos em matéria de investimentos e de acesso ao financiamento, nomeadamente através da iniciativa Inovação Digital e Empresas em Fase de Arranque</w:t>
      </w:r>
      <w:r>
        <w:rPr>
          <w:rFonts w:ascii="Times New Roman" w:hAnsi="Times New Roman" w:cs="Times New Roman"/>
          <w:noProof/>
          <w:sz w:val="24"/>
          <w:szCs w:val="24"/>
          <w:vertAlign w:val="superscript"/>
        </w:rPr>
        <w:footnoteReference w:id="47"/>
      </w:r>
      <w:r>
        <w:rPr>
          <w:rFonts w:ascii="Times New Roman" w:hAnsi="Times New Roman"/>
          <w:noProof/>
          <w:sz w:val="24"/>
          <w:szCs w:val="24"/>
        </w:rPr>
        <w:t>. Além disso, a vertente Investimento Social e Competências do InvestEU melhorará o acesso ao microfinanciamento, o financiamento de empresas sociais, o investimento de impacto e social e as competências.</w:t>
      </w:r>
    </w:p>
    <w:p>
      <w:pPr>
        <w:pBdr>
          <w:top w:val="single" w:sz="4" w:space="1" w:color="auto"/>
          <w:left w:val="single" w:sz="4" w:space="1" w:color="auto"/>
          <w:bottom w:val="single" w:sz="4" w:space="1" w:color="auto"/>
          <w:right w:val="single" w:sz="4" w:space="1" w:color="auto"/>
        </w:pBdr>
        <w:spacing w:line="276" w:lineRule="auto"/>
        <w:ind w:left="360"/>
        <w:jc w:val="both"/>
        <w:rPr>
          <w:rFonts w:ascii="Times New Roman" w:hAnsi="Times New Roman" w:cs="Times New Roman"/>
          <w:noProof/>
          <w:sz w:val="24"/>
          <w:szCs w:val="24"/>
        </w:rPr>
      </w:pPr>
      <w:r>
        <w:rPr>
          <w:rFonts w:ascii="Times New Roman" w:hAnsi="Times New Roman"/>
          <w:b/>
          <w:bCs/>
          <w:noProof/>
          <w:sz w:val="24"/>
          <w:szCs w:val="24"/>
        </w:rPr>
        <w:t>AÇÕES PRINCIPAIS:</w:t>
      </w:r>
    </w:p>
    <w:p>
      <w:pPr>
        <w:pStyle w:val="ListParagraph"/>
        <w:numPr>
          <w:ilvl w:val="0"/>
          <w:numId w:val="29"/>
        </w:numPr>
        <w:pBdr>
          <w:top w:val="single" w:sz="4" w:space="1" w:color="auto"/>
          <w:left w:val="single" w:sz="4" w:space="1" w:color="auto"/>
          <w:bottom w:val="single" w:sz="4" w:space="1" w:color="auto"/>
          <w:right w:val="single" w:sz="4" w:space="1" w:color="auto"/>
        </w:pBdr>
        <w:spacing w:after="0" w:line="240" w:lineRule="auto"/>
        <w:contextualSpacing w:val="0"/>
        <w:jc w:val="both"/>
        <w:rPr>
          <w:rFonts w:ascii="Times New Roman" w:hAnsi="Times New Roman" w:cs="Times New Roman"/>
          <w:noProof/>
          <w:sz w:val="24"/>
          <w:szCs w:val="24"/>
        </w:rPr>
      </w:pPr>
      <w:r>
        <w:rPr>
          <w:rFonts w:ascii="Times New Roman" w:hAnsi="Times New Roman"/>
          <w:noProof/>
          <w:sz w:val="24"/>
          <w:szCs w:val="24"/>
        </w:rPr>
        <w:t xml:space="preserve">A Comissão </w:t>
      </w:r>
      <w:r>
        <w:rPr>
          <w:rFonts w:ascii="Times New Roman" w:hAnsi="Times New Roman"/>
          <w:b/>
          <w:bCs/>
          <w:noProof/>
          <w:sz w:val="24"/>
          <w:szCs w:val="24"/>
        </w:rPr>
        <w:t>apoiará as ofertas públicas iniciais (OPI) das PME</w:t>
      </w:r>
      <w:r>
        <w:rPr>
          <w:rFonts w:ascii="Times New Roman" w:hAnsi="Times New Roman"/>
          <w:noProof/>
          <w:sz w:val="24"/>
          <w:szCs w:val="24"/>
        </w:rPr>
        <w:t xml:space="preserve"> com investimentos canalizados através de um novo fundo público-privado, a desenvolver ao abrigo do programa InvestEU, com início em 2021, no âmbito da União dos Mercados de Capitais. </w:t>
      </w:r>
    </w:p>
    <w:p>
      <w:pPr>
        <w:pStyle w:val="ListParagraph"/>
        <w:numPr>
          <w:ilvl w:val="0"/>
          <w:numId w:val="29"/>
        </w:numPr>
        <w:pBdr>
          <w:top w:val="single" w:sz="4" w:space="1" w:color="auto"/>
          <w:left w:val="single" w:sz="4" w:space="1" w:color="auto"/>
          <w:bottom w:val="single" w:sz="4" w:space="1" w:color="auto"/>
          <w:right w:val="single" w:sz="4" w:space="1" w:color="auto"/>
        </w:pBdr>
        <w:spacing w:after="0" w:line="240" w:lineRule="auto"/>
        <w:contextualSpacing w:val="0"/>
        <w:jc w:val="both"/>
        <w:rPr>
          <w:rFonts w:ascii="Times New Roman" w:hAnsi="Times New Roman" w:cs="Times New Roman"/>
          <w:noProof/>
          <w:sz w:val="24"/>
          <w:szCs w:val="24"/>
        </w:rPr>
      </w:pPr>
      <w:r>
        <w:rPr>
          <w:rFonts w:ascii="Times New Roman" w:hAnsi="Times New Roman"/>
          <w:noProof/>
          <w:sz w:val="24"/>
          <w:szCs w:val="24"/>
        </w:rPr>
        <w:t xml:space="preserve">A Comissão introduzirá um mecanismo pioneiro do tipo «risco/prémio» para aumentar a dimensão dos fundos de capital de risco e atrair os investimentos privados com vista à sua expansão através da </w:t>
      </w:r>
      <w:r>
        <w:rPr>
          <w:rFonts w:ascii="Times New Roman" w:hAnsi="Times New Roman"/>
          <w:b/>
          <w:noProof/>
          <w:sz w:val="24"/>
          <w:szCs w:val="24"/>
        </w:rPr>
        <w:t>iniciativa ESCALAR</w:t>
      </w:r>
      <w:r>
        <w:rPr>
          <w:rFonts w:ascii="Times New Roman" w:hAnsi="Times New Roman"/>
          <w:noProof/>
          <w:sz w:val="24"/>
          <w:szCs w:val="24"/>
        </w:rPr>
        <w:t>.</w:t>
      </w:r>
    </w:p>
    <w:p>
      <w:pPr>
        <w:pStyle w:val="ListParagraph"/>
        <w:numPr>
          <w:ilvl w:val="0"/>
          <w:numId w:val="29"/>
        </w:numPr>
        <w:pBdr>
          <w:top w:val="single" w:sz="4" w:space="1" w:color="auto"/>
          <w:left w:val="single" w:sz="4" w:space="1" w:color="auto"/>
          <w:bottom w:val="single" w:sz="4" w:space="1" w:color="auto"/>
          <w:right w:val="single" w:sz="4" w:space="1" w:color="auto"/>
        </w:pBdr>
        <w:spacing w:after="0" w:line="240" w:lineRule="auto"/>
        <w:contextualSpacing w:val="0"/>
        <w:jc w:val="both"/>
        <w:rPr>
          <w:rFonts w:ascii="Times New Roman" w:hAnsi="Times New Roman" w:cs="Times New Roman"/>
          <w:noProof/>
          <w:sz w:val="24"/>
          <w:szCs w:val="24"/>
        </w:rPr>
      </w:pPr>
      <w:r>
        <w:rPr>
          <w:rFonts w:ascii="Times New Roman" w:hAnsi="Times New Roman"/>
          <w:noProof/>
          <w:sz w:val="24"/>
          <w:szCs w:val="24"/>
        </w:rPr>
        <w:t xml:space="preserve">A Comissão lançará uma iniciativa de </w:t>
      </w:r>
      <w:r>
        <w:rPr>
          <w:rFonts w:ascii="Times New Roman" w:hAnsi="Times New Roman"/>
          <w:b/>
          <w:bCs/>
          <w:noProof/>
          <w:sz w:val="24"/>
          <w:szCs w:val="24"/>
        </w:rPr>
        <w:t>financiamento inteligente em função do género</w:t>
      </w:r>
      <w:r>
        <w:rPr>
          <w:rFonts w:ascii="Times New Roman" w:hAnsi="Times New Roman"/>
          <w:noProof/>
          <w:sz w:val="24"/>
          <w:szCs w:val="24"/>
        </w:rPr>
        <w:t xml:space="preserve"> para estimular o financiamento de empresas e de fundos liderados por mulheres e a favor do empreendedorismo feminino. </w:t>
      </w:r>
    </w:p>
    <w:p>
      <w:pPr>
        <w:pStyle w:val="ListParagraph"/>
        <w:numPr>
          <w:ilvl w:val="0"/>
          <w:numId w:val="28"/>
        </w:numPr>
        <w:pBdr>
          <w:top w:val="single" w:sz="4" w:space="1" w:color="auto"/>
          <w:left w:val="single" w:sz="4" w:space="1" w:color="auto"/>
          <w:bottom w:val="single" w:sz="4" w:space="1" w:color="auto"/>
          <w:right w:val="single" w:sz="4" w:space="1" w:color="auto"/>
        </w:pBdr>
        <w:spacing w:after="0" w:line="240" w:lineRule="auto"/>
        <w:contextualSpacing w:val="0"/>
        <w:jc w:val="both"/>
        <w:rPr>
          <w:rFonts w:ascii="Times New Roman" w:hAnsi="Times New Roman" w:cs="Times New Roman"/>
          <w:noProof/>
          <w:sz w:val="24"/>
          <w:szCs w:val="24"/>
        </w:rPr>
      </w:pPr>
      <w:r>
        <w:rPr>
          <w:rFonts w:ascii="Times New Roman" w:hAnsi="Times New Roman"/>
          <w:noProof/>
          <w:sz w:val="24"/>
          <w:szCs w:val="24"/>
        </w:rPr>
        <w:t xml:space="preserve">A Comissão lançará uma </w:t>
      </w:r>
      <w:r>
        <w:rPr>
          <w:rFonts w:ascii="Times New Roman" w:hAnsi="Times New Roman"/>
          <w:b/>
          <w:bCs/>
          <w:noProof/>
          <w:sz w:val="24"/>
          <w:szCs w:val="24"/>
        </w:rPr>
        <w:t>iniciativa de investimento em tecnologia verde</w:t>
      </w:r>
      <w:r>
        <w:rPr>
          <w:rFonts w:ascii="Times New Roman" w:hAnsi="Times New Roman"/>
          <w:noProof/>
          <w:sz w:val="24"/>
          <w:szCs w:val="24"/>
        </w:rPr>
        <w:t xml:space="preserve"> destinada a reunir fundos da UE, dos Estados-Membros e do setor privado para aumentar o acesso ao financiamento de capitais próprios para as PME inovadoras e as empresas em fase de arranque que desenvolvem e adotam soluções de tecnologia verde.  </w:t>
      </w:r>
    </w:p>
    <w:p>
      <w:pPr>
        <w:pStyle w:val="ListParagraph"/>
        <w:numPr>
          <w:ilvl w:val="0"/>
          <w:numId w:val="28"/>
        </w:numPr>
        <w:pBdr>
          <w:top w:val="single" w:sz="4" w:space="1" w:color="auto"/>
          <w:left w:val="single" w:sz="4" w:space="1" w:color="auto"/>
          <w:bottom w:val="single" w:sz="4" w:space="1" w:color="auto"/>
          <w:right w:val="single" w:sz="4" w:space="1" w:color="auto"/>
        </w:pBdr>
        <w:spacing w:after="0" w:line="240" w:lineRule="auto"/>
        <w:contextualSpacing w:val="0"/>
        <w:jc w:val="both"/>
        <w:rPr>
          <w:rFonts w:ascii="Times New Roman" w:hAnsi="Times New Roman" w:cs="Times New Roman"/>
          <w:i/>
          <w:iCs/>
          <w:noProof/>
          <w:sz w:val="24"/>
          <w:szCs w:val="24"/>
        </w:rPr>
      </w:pPr>
      <w:r>
        <w:rPr>
          <w:rFonts w:ascii="Times New Roman" w:hAnsi="Times New Roman"/>
          <w:noProof/>
          <w:sz w:val="24"/>
          <w:szCs w:val="24"/>
        </w:rPr>
        <w:t xml:space="preserve">A Comissão lançará uma </w:t>
      </w:r>
      <w:r>
        <w:rPr>
          <w:rFonts w:ascii="Times New Roman" w:hAnsi="Times New Roman"/>
          <w:b/>
          <w:bCs/>
          <w:noProof/>
          <w:sz w:val="24"/>
          <w:szCs w:val="24"/>
        </w:rPr>
        <w:t>iniciativa baseada na cadeia de blocos</w:t>
      </w:r>
      <w:r>
        <w:rPr>
          <w:rFonts w:ascii="Times New Roman" w:hAnsi="Times New Roman"/>
          <w:noProof/>
          <w:sz w:val="24"/>
          <w:szCs w:val="24"/>
        </w:rPr>
        <w:t xml:space="preserve"> que permite a emissão e a comercialização de obrigações de PME em toda a Europa, utilizando a Infraestrutura Europeia de Cadeia de Blocos.</w:t>
      </w:r>
    </w:p>
    <w:p>
      <w:pPr>
        <w:pStyle w:val="ListParagraph"/>
        <w:numPr>
          <w:ilvl w:val="0"/>
          <w:numId w:val="29"/>
        </w:numPr>
        <w:pBdr>
          <w:top w:val="single" w:sz="4" w:space="1" w:color="auto"/>
          <w:left w:val="single" w:sz="4" w:space="1" w:color="auto"/>
          <w:bottom w:val="single" w:sz="4" w:space="1" w:color="auto"/>
          <w:right w:val="single" w:sz="4" w:space="1" w:color="auto"/>
        </w:pBdr>
        <w:spacing w:after="200" w:line="240" w:lineRule="auto"/>
        <w:jc w:val="both"/>
        <w:rPr>
          <w:rFonts w:ascii="Times New Roman" w:hAnsi="Times New Roman" w:cs="Times New Roman"/>
          <w:noProof/>
          <w:sz w:val="24"/>
          <w:szCs w:val="24"/>
        </w:rPr>
      </w:pPr>
      <w:r>
        <w:rPr>
          <w:rFonts w:ascii="Times New Roman" w:hAnsi="Times New Roman"/>
          <w:noProof/>
          <w:sz w:val="24"/>
          <w:szCs w:val="24"/>
        </w:rPr>
        <w:t xml:space="preserve">A Comissão irá cofinanciar os </w:t>
      </w:r>
      <w:r>
        <w:rPr>
          <w:rFonts w:ascii="Times New Roman" w:hAnsi="Times New Roman"/>
          <w:b/>
          <w:bCs/>
          <w:noProof/>
          <w:sz w:val="24"/>
          <w:szCs w:val="24"/>
        </w:rPr>
        <w:t>serviços de diligência devida no domínio da tecnologia</w:t>
      </w:r>
      <w:r>
        <w:rPr>
          <w:rFonts w:ascii="Times New Roman" w:hAnsi="Times New Roman"/>
          <w:noProof/>
          <w:sz w:val="24"/>
          <w:szCs w:val="24"/>
        </w:rPr>
        <w:t xml:space="preserve"> no âmbito de um projeto-piloto da UE, a fim de permitir avaliações mais precisas das empresas em fase de arranque de alta tecnologia e preparar a sua propensão ao investimento.</w:t>
      </w:r>
    </w:p>
    <w:p>
      <w:pPr>
        <w:pStyle w:val="ListParagraph"/>
        <w:numPr>
          <w:ilvl w:val="0"/>
          <w:numId w:val="29"/>
        </w:numPr>
        <w:pBdr>
          <w:top w:val="single" w:sz="4" w:space="1" w:color="auto"/>
          <w:left w:val="single" w:sz="4" w:space="1" w:color="auto"/>
          <w:bottom w:val="single" w:sz="4" w:space="1" w:color="auto"/>
          <w:right w:val="single" w:sz="4" w:space="1" w:color="auto"/>
        </w:pBdr>
        <w:spacing w:after="200" w:line="240" w:lineRule="auto"/>
        <w:jc w:val="both"/>
        <w:rPr>
          <w:rFonts w:ascii="Times New Roman" w:hAnsi="Times New Roman" w:cs="Times New Roman"/>
          <w:noProof/>
          <w:sz w:val="24"/>
          <w:szCs w:val="24"/>
        </w:rPr>
      </w:pPr>
      <w:r>
        <w:rPr>
          <w:rFonts w:ascii="Times New Roman" w:hAnsi="Times New Roman"/>
          <w:noProof/>
          <w:sz w:val="24"/>
          <w:szCs w:val="24"/>
        </w:rPr>
        <w:t xml:space="preserve">A Comissão </w:t>
      </w:r>
      <w:r>
        <w:rPr>
          <w:rFonts w:ascii="Times New Roman" w:hAnsi="Times New Roman"/>
          <w:b/>
          <w:noProof/>
          <w:sz w:val="24"/>
          <w:szCs w:val="24"/>
        </w:rPr>
        <w:t>simplificará ainda mais as regras em matéria de auxílios estatais vigentes</w:t>
      </w:r>
      <w:r>
        <w:rPr>
          <w:rFonts w:ascii="Times New Roman" w:hAnsi="Times New Roman"/>
          <w:noProof/>
          <w:sz w:val="24"/>
          <w:szCs w:val="24"/>
        </w:rPr>
        <w:t xml:space="preserve"> sobre combinações de fundos nacionais com os fundos InvestEU e Horizonte. Esta simplificação permitirá que as PME beneficiem de um acesso mais fácil a recursos comuns que as ajudem nas transições duplas. Além disso, no âmbito da revisão em curso das regras em matéria de auxílios estatais, a Comissão irá </w:t>
      </w:r>
      <w:r>
        <w:rPr>
          <w:rFonts w:ascii="Times New Roman" w:hAnsi="Times New Roman"/>
          <w:b/>
          <w:noProof/>
          <w:sz w:val="24"/>
          <w:szCs w:val="24"/>
        </w:rPr>
        <w:t>rever as regras em matéria de auxílios estatais aplicáveis ao financiamento de risco e à comunicação do IPCEI</w:t>
      </w:r>
      <w:r>
        <w:rPr>
          <w:rFonts w:ascii="Times New Roman" w:hAnsi="Times New Roman"/>
          <w:noProof/>
          <w:sz w:val="24"/>
          <w:szCs w:val="24"/>
        </w:rPr>
        <w:t>, a fim de reforçar o apoio à participação das PME, garantir a atração de investimento privado e evitar distorções da igualdade de condições de concorrência.</w:t>
      </w:r>
    </w:p>
    <w:p>
      <w:pPr>
        <w:spacing w:after="120" w:line="240" w:lineRule="auto"/>
        <w:jc w:val="both"/>
        <w:rPr>
          <w:rFonts w:ascii="Times New Roman" w:hAnsi="Times New Roman" w:cs="Times New Roman"/>
          <w:b/>
          <w:noProof/>
          <w:sz w:val="24"/>
          <w:szCs w:val="24"/>
        </w:rPr>
      </w:pPr>
      <w:r>
        <w:rPr>
          <w:rFonts w:ascii="Times New Roman" w:hAnsi="Times New Roman"/>
          <w:noProof/>
          <w:sz w:val="24"/>
          <w:szCs w:val="24"/>
        </w:rPr>
        <w:t xml:space="preserve"> </w:t>
      </w:r>
    </w:p>
    <w:p>
      <w:pPr>
        <w:pStyle w:val="ListParagraph"/>
        <w:numPr>
          <w:ilvl w:val="0"/>
          <w:numId w:val="3"/>
        </w:numPr>
        <w:spacing w:after="240" w:line="240" w:lineRule="auto"/>
        <w:ind w:left="720" w:hanging="720"/>
        <w:contextualSpacing w:val="0"/>
        <w:jc w:val="both"/>
        <w:rPr>
          <w:rFonts w:ascii="Times New Roman" w:hAnsi="Times New Roman" w:cs="Times New Roman"/>
          <w:b/>
          <w:bCs/>
          <w:noProof/>
          <w:sz w:val="24"/>
          <w:szCs w:val="24"/>
        </w:rPr>
      </w:pPr>
      <w:r>
        <w:rPr>
          <w:rFonts w:ascii="Times New Roman" w:hAnsi="Times New Roman"/>
          <w:b/>
          <w:bCs/>
          <w:noProof/>
          <w:sz w:val="24"/>
          <w:szCs w:val="24"/>
        </w:rPr>
        <w:t>Governação: uma parceria entre a UE e os Estados-Membros para a execução da estratégia</w:t>
      </w:r>
    </w:p>
    <w:p>
      <w:pPr>
        <w:spacing w:after="240" w:line="240" w:lineRule="auto"/>
        <w:jc w:val="both"/>
        <w:rPr>
          <w:rFonts w:ascii="Times New Roman" w:hAnsi="Times New Roman" w:cs="Times New Roman"/>
          <w:noProof/>
          <w:sz w:val="24"/>
          <w:szCs w:val="24"/>
        </w:rPr>
      </w:pPr>
      <w:r>
        <w:rPr>
          <w:rFonts w:ascii="Times New Roman" w:hAnsi="Times New Roman"/>
          <w:noProof/>
          <w:sz w:val="24"/>
          <w:szCs w:val="24"/>
        </w:rPr>
        <w:t xml:space="preserve">A estratégia para as PME deve ser impulsionada por compromissos e ações, tanto a nível da UE como dos Estados-Membros. Uma vez que muitas PME estão profundamente enraizadas nos ecossistemas regionais e locais onde proporcionam emprego, formação, receitas fiscais e bem-estar social, este compromisso deve ser alargado às autoridades regionais. A aplicação da estratégia será apoiada por uma sólida parceria de todos os intervenientes que partilham a responsabilidade pela execução - autoridades da UE, nacionais, regionais e locais, PME e investidores. Implicará um balanço político regular dos progressos, a medição do desempenho e a monitorização. </w:t>
      </w:r>
    </w:p>
    <w:p>
      <w:pPr>
        <w:spacing w:line="240" w:lineRule="auto"/>
        <w:jc w:val="both"/>
        <w:rPr>
          <w:rFonts w:ascii="Times New Roman" w:hAnsi="Times New Roman" w:cs="Times New Roman"/>
          <w:noProof/>
          <w:sz w:val="24"/>
          <w:szCs w:val="24"/>
        </w:rPr>
      </w:pPr>
      <w:r>
        <w:rPr>
          <w:rFonts w:ascii="Times New Roman" w:hAnsi="Times New Roman"/>
          <w:noProof/>
          <w:sz w:val="24"/>
          <w:szCs w:val="24"/>
        </w:rPr>
        <w:t xml:space="preserve">A rede de Representantes das PME é um instrumento importante para assegurar esta parceria entre a UE e os Estados-Membros. Representa as autoridades nacionais dos Estados-Membros responsáveis pela política das PME e permite uma ligação orgânica entre essas autoridades, as comunidades empresariais locais e a UE. Com a renovação do seu mandato em 2020, o papel da rede será reforçado e a sua interação com os organismos e autoridades regionais fortalecida. </w:t>
      </w:r>
    </w:p>
    <w:p>
      <w:pPr>
        <w:spacing w:line="240" w:lineRule="auto"/>
        <w:jc w:val="both"/>
        <w:rPr>
          <w:rFonts w:ascii="Times New Roman" w:hAnsi="Times New Roman" w:cs="Times New Roman"/>
          <w:noProof/>
          <w:sz w:val="24"/>
          <w:szCs w:val="24"/>
        </w:rPr>
      </w:pPr>
      <w:r>
        <w:rPr>
          <w:rFonts w:ascii="Times New Roman" w:hAnsi="Times New Roman"/>
          <w:noProof/>
          <w:sz w:val="24"/>
          <w:szCs w:val="24"/>
        </w:rPr>
        <w:t xml:space="preserve">A Comissão nomeará um </w:t>
      </w:r>
      <w:r>
        <w:rPr>
          <w:rFonts w:ascii="Times New Roman" w:hAnsi="Times New Roman"/>
          <w:b/>
          <w:bCs/>
          <w:noProof/>
          <w:sz w:val="24"/>
          <w:szCs w:val="24"/>
        </w:rPr>
        <w:t>Representante de alto nível da UE para as PME</w:t>
      </w:r>
      <w:r>
        <w:rPr>
          <w:rFonts w:ascii="Times New Roman" w:hAnsi="Times New Roman"/>
          <w:noProof/>
          <w:sz w:val="24"/>
          <w:szCs w:val="24"/>
        </w:rPr>
        <w:t xml:space="preserve">, que terá a tarefa especifica de orientar o trabalho da rede para assegurar a aplicação da estratégia e do princípio «pensar primeiro em pequena escala» em todas as políticas da UE. Além disso, caberá ao Representante da UE para as PME acompanhar a aplicação nos vários Estados-Membros. A fim de facilitar a integração da estratégia para as PME em todos os domínios de intervenção, o Representante da UE para as PME será estreitamente associado ao processo do Semestre Europeu. O representante da UE para as PME sensibiliza para os aspetos relacionados com as PME no programa «Legislar Melhor» da Comissão, através de um diálogo regular com o Comité de Controlo da Regulamentação e também no âmbito da Plataforma «Prontos para o Futuro». </w:t>
      </w:r>
    </w:p>
    <w:p>
      <w:pPr>
        <w:spacing w:after="240" w:line="240" w:lineRule="auto"/>
        <w:jc w:val="both"/>
        <w:rPr>
          <w:rFonts w:ascii="Times New Roman" w:hAnsi="Times New Roman" w:cs="Times New Roman"/>
          <w:noProof/>
          <w:sz w:val="24"/>
          <w:szCs w:val="24"/>
        </w:rPr>
      </w:pPr>
      <w:r>
        <w:rPr>
          <w:rFonts w:ascii="Times New Roman" w:hAnsi="Times New Roman"/>
          <w:noProof/>
          <w:sz w:val="24"/>
          <w:szCs w:val="24"/>
        </w:rPr>
        <w:t xml:space="preserve">Para complementar as atividades da rede de Representantes das PME (do setor público), a Comissão também trabalhará em estreita colaboração com os </w:t>
      </w:r>
      <w:r>
        <w:rPr>
          <w:rFonts w:ascii="Times New Roman" w:hAnsi="Times New Roman"/>
          <w:b/>
          <w:noProof/>
          <w:sz w:val="24"/>
          <w:szCs w:val="24"/>
        </w:rPr>
        <w:t>Embaixadores do Empreendedorismo Estratégico</w:t>
      </w:r>
      <w:r>
        <w:rPr>
          <w:rFonts w:ascii="Times New Roman" w:hAnsi="Times New Roman"/>
          <w:noProof/>
          <w:sz w:val="24"/>
          <w:szCs w:val="24"/>
        </w:rPr>
        <w:t xml:space="preserve">, um novo grupo consultivo de empresários de toda a Europa, que irá desempenhar o papel de painel de consulta. </w:t>
      </w:r>
    </w:p>
    <w:p>
      <w:pPr>
        <w:spacing w:after="240" w:line="240" w:lineRule="auto"/>
        <w:jc w:val="both"/>
        <w:rPr>
          <w:rFonts w:ascii="Times New Roman" w:hAnsi="Times New Roman" w:cs="Times New Roman"/>
          <w:noProof/>
          <w:sz w:val="24"/>
          <w:szCs w:val="24"/>
        </w:rPr>
      </w:pPr>
      <w:r>
        <w:rPr>
          <w:rFonts w:ascii="Times New Roman" w:hAnsi="Times New Roman"/>
          <w:noProof/>
          <w:sz w:val="24"/>
          <w:szCs w:val="24"/>
        </w:rPr>
        <w:t xml:space="preserve">A nova estratégia será objeto de um </w:t>
      </w:r>
      <w:r>
        <w:rPr>
          <w:rFonts w:ascii="Times New Roman" w:hAnsi="Times New Roman"/>
          <w:b/>
          <w:noProof/>
          <w:sz w:val="24"/>
          <w:szCs w:val="24"/>
        </w:rPr>
        <w:t>exame periódico</w:t>
      </w:r>
      <w:r>
        <w:rPr>
          <w:rFonts w:ascii="Times New Roman" w:hAnsi="Times New Roman"/>
          <w:noProof/>
          <w:sz w:val="24"/>
          <w:szCs w:val="24"/>
        </w:rPr>
        <w:t xml:space="preserve">. A Comissão continuará a publicar anualmente uma </w:t>
      </w:r>
      <w:r>
        <w:rPr>
          <w:rFonts w:ascii="Times New Roman" w:hAnsi="Times New Roman"/>
          <w:b/>
          <w:noProof/>
          <w:sz w:val="24"/>
          <w:szCs w:val="24"/>
        </w:rPr>
        <w:t>Análise do Desempenho das PME</w:t>
      </w:r>
      <w:r>
        <w:rPr>
          <w:rFonts w:ascii="Times New Roman" w:hAnsi="Times New Roman"/>
          <w:noProof/>
          <w:sz w:val="24"/>
          <w:szCs w:val="24"/>
        </w:rPr>
        <w:t xml:space="preserve"> melhorada. Esta análise acompanhará igualmente as políticas nacionais favoráveis às empresas em fase de arranque (índice «empresas em fase de arranque da UE»), a implicação das PME em práticas empresariais sustentáveis, bem como a digitalização das PME</w:t>
      </w:r>
      <w:r>
        <w:rPr>
          <w:rStyle w:val="FootnoteReference"/>
          <w:rFonts w:ascii="Times New Roman" w:hAnsi="Times New Roman" w:cs="Times New Roman"/>
          <w:noProof/>
          <w:sz w:val="24"/>
          <w:szCs w:val="24"/>
        </w:rPr>
        <w:footnoteReference w:id="48"/>
      </w:r>
      <w:r>
        <w:rPr>
          <w:rFonts w:ascii="Times New Roman" w:hAnsi="Times New Roman"/>
          <w:noProof/>
          <w:sz w:val="24"/>
          <w:szCs w:val="24"/>
        </w:rPr>
        <w:t xml:space="preserve"> (índice do IDES). Esta análise será apresentada e debatida no âmbito da Assembleia anual das PME, a fim de proporcionar uma oportunidade às partes interessadas locais e à comunidade mais vasta de PME para participarem ativamente.</w:t>
      </w:r>
    </w:p>
    <w:p>
      <w:pPr>
        <w:spacing w:after="240" w:line="240" w:lineRule="auto"/>
        <w:jc w:val="both"/>
        <w:rPr>
          <w:rFonts w:ascii="Times New Roman" w:hAnsi="Times New Roman" w:cs="Times New Roman"/>
          <w:noProof/>
          <w:sz w:val="24"/>
          <w:szCs w:val="24"/>
        </w:rPr>
      </w:pPr>
      <w:r>
        <w:rPr>
          <w:rFonts w:ascii="Times New Roman" w:hAnsi="Times New Roman"/>
          <w:noProof/>
          <w:sz w:val="24"/>
          <w:szCs w:val="24"/>
        </w:rPr>
        <w:t>A rede de Representantes das PME e outras instituições da UE participarão no acompanhamento da aplicação da estratégia, por exemplo através do relatório anual dos Representantes para o Conselho Competitividade e de um diálogo regular com o Parlamento Europeu. Para elaborar esse relatório, o Representante para as PME da UE, juntamente com os Representantes nacionais das PME, reunir-se-á com os responsáveis políticos em matéria de PME e com outras partes interessadas nos Estados-Membros, a fim de debater também as questões pertinentes para as PME identificadas no processo do Semestre Europeu. Com base na análise destes mecanismos de avaliação, o Representante da UE para as PME coordenará a sua ação com os Representantes nacionais das PME para desenvolver planos nacionais de aplicação desta estratégia para as PME em cooperação com as empresas locais.</w:t>
      </w:r>
    </w:p>
    <w:p>
      <w:pPr>
        <w:spacing w:line="240" w:lineRule="auto"/>
        <w:jc w:val="both"/>
        <w:rPr>
          <w:rFonts w:ascii="Times New Roman" w:hAnsi="Times New Roman" w:cs="Times New Roman"/>
          <w:noProof/>
          <w:sz w:val="24"/>
          <w:szCs w:val="24"/>
        </w:rPr>
      </w:pPr>
      <w:r>
        <w:rPr>
          <w:rFonts w:ascii="Times New Roman" w:hAnsi="Times New Roman"/>
          <w:noProof/>
          <w:sz w:val="24"/>
          <w:szCs w:val="24"/>
        </w:rPr>
        <w:t xml:space="preserve">A </w:t>
      </w:r>
      <w:r>
        <w:rPr>
          <w:rFonts w:ascii="Times New Roman" w:hAnsi="Times New Roman"/>
          <w:b/>
          <w:noProof/>
          <w:sz w:val="24"/>
          <w:szCs w:val="24"/>
        </w:rPr>
        <w:t>definição de PME</w:t>
      </w:r>
      <w:r>
        <w:rPr>
          <w:rFonts w:ascii="Times New Roman" w:hAnsi="Times New Roman"/>
          <w:noProof/>
          <w:sz w:val="24"/>
          <w:szCs w:val="24"/>
        </w:rPr>
        <w:t xml:space="preserve"> da UE é um instrumento essencial para garantir que esta estratégia está orientada para a população certa, ou seja, proporciona apoio e benefícios às empresas mais necessitadas. A Comissão monitoriza regularmente a adequação da estratégia para esse efeito. De acordo com uma recente consulta pública</w:t>
      </w:r>
      <w:r>
        <w:rPr>
          <w:rStyle w:val="FootnoteReference"/>
          <w:rFonts w:ascii="Times New Roman" w:hAnsi="Times New Roman" w:cs="Times New Roman"/>
          <w:noProof/>
          <w:sz w:val="24"/>
          <w:szCs w:val="24"/>
        </w:rPr>
        <w:footnoteReference w:id="49"/>
      </w:r>
      <w:r>
        <w:rPr>
          <w:rFonts w:ascii="Times New Roman" w:hAnsi="Times New Roman"/>
          <w:noProof/>
          <w:sz w:val="24"/>
          <w:szCs w:val="24"/>
        </w:rPr>
        <w:t>, com estudos e com inquéritos, a definição funciona bem e é fácil de utilizar para a esmagadora maioria das PME da UE que são pequenas e autónomas. A Comissão continuará a avaliar e a prestar informações sobre questões específicas suscitadas, por exemplo, no que se refere a estruturas de propriedade complexas ou a eventuais «efeitos de dependência».</w:t>
      </w:r>
    </w:p>
    <w:p>
      <w:pPr>
        <w:pBdr>
          <w:top w:val="single" w:sz="4" w:space="1" w:color="auto"/>
          <w:left w:val="single" w:sz="4" w:space="4" w:color="auto"/>
          <w:bottom w:val="single" w:sz="4" w:space="1" w:color="auto"/>
          <w:right w:val="single" w:sz="4" w:space="4" w:color="auto"/>
        </w:pBdr>
        <w:spacing w:line="240" w:lineRule="auto"/>
        <w:jc w:val="both"/>
        <w:rPr>
          <w:rFonts w:ascii="Times New Roman" w:hAnsi="Times New Roman" w:cs="Times New Roman"/>
          <w:noProof/>
          <w:sz w:val="24"/>
          <w:szCs w:val="24"/>
        </w:rPr>
      </w:pPr>
      <w:r>
        <w:rPr>
          <w:rFonts w:ascii="Times New Roman" w:hAnsi="Times New Roman"/>
          <w:b/>
          <w:bCs/>
          <w:noProof/>
          <w:sz w:val="24"/>
          <w:szCs w:val="24"/>
        </w:rPr>
        <w:t>AÇÕES PRINCIPAIS:</w:t>
      </w:r>
    </w:p>
    <w:p>
      <w:pPr>
        <w:pStyle w:val="ListParagraph"/>
        <w:numPr>
          <w:ilvl w:val="0"/>
          <w:numId w:val="28"/>
        </w:numPr>
        <w:pBdr>
          <w:top w:val="single" w:sz="4" w:space="1" w:color="auto"/>
          <w:left w:val="single" w:sz="4" w:space="4" w:color="auto"/>
          <w:bottom w:val="single" w:sz="4" w:space="1" w:color="auto"/>
          <w:right w:val="single" w:sz="4" w:space="4" w:color="auto"/>
        </w:pBdr>
        <w:spacing w:after="0" w:line="240" w:lineRule="auto"/>
        <w:ind w:left="426" w:hanging="426"/>
        <w:jc w:val="both"/>
        <w:rPr>
          <w:rFonts w:ascii="Times New Roman" w:hAnsi="Times New Roman" w:cs="Times New Roman"/>
          <w:noProof/>
          <w:sz w:val="24"/>
          <w:szCs w:val="24"/>
        </w:rPr>
      </w:pPr>
      <w:r>
        <w:rPr>
          <w:rFonts w:ascii="Times New Roman" w:hAnsi="Times New Roman"/>
          <w:noProof/>
          <w:sz w:val="24"/>
          <w:szCs w:val="24"/>
        </w:rPr>
        <w:t xml:space="preserve">A Comissão nomeará um </w:t>
      </w:r>
      <w:r>
        <w:rPr>
          <w:rFonts w:ascii="Times New Roman" w:hAnsi="Times New Roman"/>
          <w:b/>
          <w:noProof/>
          <w:sz w:val="24"/>
          <w:szCs w:val="24"/>
        </w:rPr>
        <w:t>Representante de alto nível da UE para as PME</w:t>
      </w:r>
      <w:r>
        <w:rPr>
          <w:rFonts w:ascii="Times New Roman" w:hAnsi="Times New Roman"/>
          <w:noProof/>
          <w:sz w:val="24"/>
          <w:szCs w:val="24"/>
        </w:rPr>
        <w:t>.</w:t>
      </w:r>
    </w:p>
    <w:p>
      <w:pPr>
        <w:pStyle w:val="ListParagraph"/>
        <w:numPr>
          <w:ilvl w:val="0"/>
          <w:numId w:val="28"/>
        </w:numPr>
        <w:pBdr>
          <w:top w:val="single" w:sz="4" w:space="1" w:color="auto"/>
          <w:left w:val="single" w:sz="4" w:space="4" w:color="auto"/>
          <w:bottom w:val="single" w:sz="4" w:space="1" w:color="auto"/>
          <w:right w:val="single" w:sz="4" w:space="4" w:color="auto"/>
        </w:pBdr>
        <w:spacing w:after="0" w:line="240" w:lineRule="auto"/>
        <w:ind w:left="426" w:hanging="426"/>
        <w:jc w:val="both"/>
        <w:rPr>
          <w:rFonts w:ascii="Times New Roman" w:hAnsi="Times New Roman" w:cs="Times New Roman"/>
          <w:noProof/>
          <w:sz w:val="24"/>
          <w:szCs w:val="24"/>
        </w:rPr>
      </w:pPr>
      <w:r>
        <w:rPr>
          <w:rFonts w:ascii="Times New Roman" w:hAnsi="Times New Roman"/>
          <w:noProof/>
          <w:sz w:val="24"/>
          <w:szCs w:val="24"/>
        </w:rPr>
        <w:t xml:space="preserve">A Comissão reforçará a rede de </w:t>
      </w:r>
      <w:r>
        <w:rPr>
          <w:rFonts w:ascii="Times New Roman" w:hAnsi="Times New Roman"/>
          <w:b/>
          <w:bCs/>
          <w:noProof/>
          <w:sz w:val="24"/>
          <w:szCs w:val="24"/>
        </w:rPr>
        <w:t>Representantes das PME</w:t>
      </w:r>
      <w:r>
        <w:rPr>
          <w:rFonts w:ascii="Times New Roman" w:hAnsi="Times New Roman"/>
          <w:noProof/>
          <w:sz w:val="24"/>
          <w:szCs w:val="24"/>
        </w:rPr>
        <w:t xml:space="preserve"> para fortalecer a ligação entre o nível da UE e o nível nacional no âmbito da política das PME.</w:t>
      </w:r>
    </w:p>
    <w:p>
      <w:pPr>
        <w:pStyle w:val="ListParagraph"/>
        <w:numPr>
          <w:ilvl w:val="0"/>
          <w:numId w:val="28"/>
        </w:numPr>
        <w:pBdr>
          <w:top w:val="single" w:sz="4" w:space="1" w:color="auto"/>
          <w:left w:val="single" w:sz="4" w:space="4" w:color="auto"/>
          <w:bottom w:val="single" w:sz="4" w:space="1" w:color="auto"/>
          <w:right w:val="single" w:sz="4" w:space="4" w:color="auto"/>
        </w:pBdr>
        <w:spacing w:after="0" w:line="240" w:lineRule="auto"/>
        <w:ind w:left="426" w:hanging="426"/>
        <w:jc w:val="both"/>
        <w:rPr>
          <w:rFonts w:ascii="Times New Roman" w:hAnsi="Times New Roman" w:cs="Times New Roman"/>
          <w:noProof/>
          <w:sz w:val="24"/>
          <w:szCs w:val="24"/>
        </w:rPr>
      </w:pPr>
      <w:r>
        <w:rPr>
          <w:rFonts w:ascii="Times New Roman" w:hAnsi="Times New Roman"/>
          <w:noProof/>
          <w:sz w:val="24"/>
          <w:szCs w:val="24"/>
        </w:rPr>
        <w:t xml:space="preserve">A Comissão lançará um grupo de </w:t>
      </w:r>
      <w:r>
        <w:rPr>
          <w:rFonts w:ascii="Times New Roman" w:hAnsi="Times New Roman"/>
          <w:b/>
          <w:bCs/>
          <w:noProof/>
          <w:sz w:val="24"/>
          <w:szCs w:val="24"/>
        </w:rPr>
        <w:t>Embaixadores do Empreendedorismo Estratégico</w:t>
      </w:r>
      <w:r>
        <w:rPr>
          <w:rFonts w:ascii="Times New Roman" w:hAnsi="Times New Roman"/>
          <w:noProof/>
          <w:sz w:val="24"/>
          <w:szCs w:val="24"/>
        </w:rPr>
        <w:t>.</w:t>
      </w:r>
    </w:p>
    <w:p>
      <w:pPr>
        <w:pStyle w:val="ListParagraph"/>
        <w:numPr>
          <w:ilvl w:val="0"/>
          <w:numId w:val="28"/>
        </w:numPr>
        <w:pBdr>
          <w:top w:val="single" w:sz="4" w:space="1" w:color="auto"/>
          <w:left w:val="single" w:sz="4" w:space="4" w:color="auto"/>
          <w:bottom w:val="single" w:sz="4" w:space="1" w:color="auto"/>
          <w:right w:val="single" w:sz="4" w:space="4" w:color="auto"/>
        </w:pBdr>
        <w:spacing w:line="240" w:lineRule="auto"/>
        <w:ind w:left="426" w:hanging="426"/>
        <w:jc w:val="both"/>
        <w:rPr>
          <w:rFonts w:ascii="Times New Roman" w:hAnsi="Times New Roman" w:cs="Times New Roman"/>
          <w:noProof/>
          <w:sz w:val="24"/>
          <w:szCs w:val="24"/>
        </w:rPr>
      </w:pPr>
      <w:r>
        <w:rPr>
          <w:rFonts w:ascii="Times New Roman" w:hAnsi="Times New Roman"/>
          <w:noProof/>
          <w:sz w:val="24"/>
          <w:szCs w:val="24"/>
        </w:rPr>
        <w:t xml:space="preserve">O </w:t>
      </w:r>
      <w:r>
        <w:rPr>
          <w:rFonts w:ascii="Times New Roman" w:hAnsi="Times New Roman"/>
          <w:b/>
          <w:noProof/>
          <w:sz w:val="24"/>
          <w:szCs w:val="24"/>
        </w:rPr>
        <w:t>Representante da UE para as PME</w:t>
      </w:r>
      <w:r>
        <w:rPr>
          <w:rFonts w:ascii="Times New Roman" w:hAnsi="Times New Roman"/>
          <w:noProof/>
          <w:sz w:val="24"/>
          <w:szCs w:val="24"/>
        </w:rPr>
        <w:t xml:space="preserve"> sensibilizará para os aspetos relacionados com as PME através de um </w:t>
      </w:r>
      <w:r>
        <w:rPr>
          <w:rFonts w:ascii="Times New Roman" w:hAnsi="Times New Roman"/>
          <w:b/>
          <w:noProof/>
          <w:sz w:val="24"/>
          <w:szCs w:val="24"/>
        </w:rPr>
        <w:t>diálogo regular com o Comité de Controlo da Regulamentação</w:t>
      </w:r>
      <w:r>
        <w:rPr>
          <w:rFonts w:ascii="Times New Roman" w:hAnsi="Times New Roman"/>
          <w:noProof/>
          <w:sz w:val="24"/>
          <w:szCs w:val="24"/>
        </w:rPr>
        <w:t xml:space="preserve">. </w:t>
      </w:r>
    </w:p>
    <w:sectPr>
      <w:headerReference w:type="even" r:id="rId21"/>
      <w:headerReference w:type="default" r:id="rId22"/>
      <w:footerReference w:type="even" r:id="rId23"/>
      <w:footerReference w:type="default" r:id="rId24"/>
      <w:headerReference w:type="first" r:id="rId25"/>
      <w:footerReference w:type="first" r:id="rId26"/>
      <w:pgSz w:w="11906" w:h="16838" w:code="9"/>
      <w:pgMar w:top="1440" w:right="1440" w:bottom="1440" w:left="1440" w:header="708" w:footer="708"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BC5E44F" w16cid:durableId="21EE41BE"/>
  <w16cid:commentId w16cid:paraId="559744F9" w16cid:durableId="21EE3F53"/>
  <w16cid:commentId w16cid:paraId="2DE3EB64" w16cid:durableId="21EE4478"/>
  <w16cid:commentId w16cid:paraId="199150CF" w16cid:durableId="21EE3F54"/>
  <w16cid:commentId w16cid:paraId="46E8DED9" w16cid:durableId="21EE46CF"/>
  <w16cid:commentId w16cid:paraId="4FC71940" w16cid:durableId="21EE47D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after="0" w:line="240" w:lineRule="auto"/>
      </w:pPr>
      <w:r>
        <w:separator/>
      </w:r>
    </w:p>
  </w:endnote>
  <w:endnote w:type="continuationSeparator" w:id="0">
    <w:p>
      <w:pPr>
        <w:spacing w:after="0" w:line="240" w:lineRule="auto"/>
      </w:pPr>
      <w:r>
        <w:continuationSeparator/>
      </w:r>
    </w:p>
  </w:endnote>
  <w:endnote w:type="continuationNotice" w:id="1">
    <w:p>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rPr>
        <w:rFonts w:ascii="Arial" w:hAnsi="Arial" w:cs="Arial"/>
        <w:b/>
        <w:sz w:val="48"/>
      </w:rPr>
    </w:pPr>
    <w:r>
      <w:rPr>
        <w:rFonts w:ascii="Arial" w:hAnsi="Arial" w:cs="Arial"/>
        <w:b/>
        <w:sz w:val="48"/>
      </w:rPr>
      <w:t>PT</w:t>
    </w:r>
    <w:r>
      <w:rPr>
        <w:rFonts w:ascii="Arial" w:hAnsi="Arial" w:cs="Arial"/>
        <w:b/>
        <w:sz w:val="48"/>
      </w:rPr>
      <w:tab/>
    </w:r>
    <w:r>
      <w:rPr>
        <w:rFonts w:ascii="Arial" w:hAnsi="Arial" w:cs="Arial"/>
        <w:b/>
        <w:sz w:val="48"/>
      </w:rPr>
      <w:tab/>
    </w:r>
    <w:r>
      <w:tab/>
    </w:r>
    <w:r>
      <w:rPr>
        <w:rFonts w:ascii="Arial" w:hAnsi="Arial" w:cs="Arial"/>
        <w:b/>
        <w:sz w:val="48"/>
      </w:rPr>
      <w:t>PT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1147611"/>
      <w:docPartObj>
        <w:docPartGallery w:val="Page Numbers (Bottom of Page)"/>
        <w:docPartUnique/>
      </w:docPartObj>
    </w:sdtPr>
    <w:sdtEndPr>
      <w:rPr>
        <w:rFonts w:ascii="Times New Roman" w:hAnsi="Times New Roman" w:cs="Times New Roman"/>
        <w:noProof/>
      </w:rPr>
    </w:sdtEndPr>
    <w:sdtContent>
      <w:p>
        <w:pPr>
          <w:pStyle w:val="Footer"/>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noProof/>
          </w:rPr>
          <w:t>1</w:t>
        </w:r>
        <w:r>
          <w:rPr>
            <w:rFonts w:ascii="Times New Roman" w:hAnsi="Times New Roman" w:cs="Times New Roman"/>
          </w:rPr>
          <w:fldChar w:fldCharType="end"/>
        </w:r>
      </w:p>
    </w:sdtContent>
  </w:sdt>
  <w:p>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after="0" w:line="240" w:lineRule="auto"/>
      </w:pPr>
      <w:r>
        <w:separator/>
      </w:r>
    </w:p>
  </w:footnote>
  <w:footnote w:type="continuationSeparator" w:id="0">
    <w:p>
      <w:pPr>
        <w:spacing w:after="0" w:line="240" w:lineRule="auto"/>
      </w:pPr>
      <w:r>
        <w:continuationSeparator/>
      </w:r>
    </w:p>
  </w:footnote>
  <w:footnote w:type="continuationNotice" w:id="1">
    <w:p>
      <w:pPr>
        <w:spacing w:after="0" w:line="240" w:lineRule="auto"/>
      </w:pPr>
    </w:p>
  </w:footnote>
  <w:footnote w:id="2">
    <w:p>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O Fundo Europeu de Desenvolvimento Regional (FEDER) e o Fundo Social Europeu (FSE) chegaram a mais de 900 000 e 500 000 PME, respetivamente, na Europa. </w:t>
      </w:r>
    </w:p>
  </w:footnote>
  <w:footnote w:id="3">
    <w:p>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COM(2020) 93 final de10.3.2020</w:t>
      </w:r>
      <w:r>
        <w:t>.</w:t>
      </w:r>
      <w:r>
        <w:rPr>
          <w:rFonts w:ascii="Times New Roman" w:hAnsi="Times New Roman"/>
        </w:rPr>
        <w:t xml:space="preserve"> </w:t>
      </w:r>
    </w:p>
  </w:footnote>
  <w:footnote w:id="4">
    <w:p>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COM(2020) 94 final de 10.3.2020</w:t>
      </w:r>
      <w:r>
        <w:t>.</w:t>
      </w:r>
      <w:r>
        <w:rPr>
          <w:rFonts w:ascii="Times New Roman" w:hAnsi="Times New Roman"/>
        </w:rPr>
        <w:t xml:space="preserve"> </w:t>
      </w:r>
    </w:p>
  </w:footnote>
  <w:footnote w:id="5">
    <w:p>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COM(2020) 102 final de 10.3.2020</w:t>
      </w:r>
      <w:r>
        <w:t>.</w:t>
      </w:r>
      <w:r>
        <w:rPr>
          <w:rFonts w:ascii="Times New Roman" w:hAnsi="Times New Roman"/>
        </w:rPr>
        <w:t xml:space="preserve"> </w:t>
      </w:r>
    </w:p>
  </w:footnote>
  <w:footnote w:id="6">
    <w:p>
      <w:pPr>
        <w:pStyle w:val="FootnoteText"/>
        <w:jc w:val="both"/>
      </w:pPr>
      <w:r>
        <w:rPr>
          <w:rStyle w:val="FootnoteReference"/>
          <w:rFonts w:ascii="Times New Roman" w:hAnsi="Times New Roman" w:cs="Times New Roman"/>
        </w:rPr>
        <w:footnoteRef/>
      </w:r>
      <w:r>
        <w:rPr>
          <w:rFonts w:ascii="Times New Roman" w:hAnsi="Times New Roman"/>
        </w:rPr>
        <w:t xml:space="preserve"> Eurobarómetro 2017, «PME, Eficiência dos Recursos e Mercados Ecológicos»</w:t>
      </w:r>
      <w:r>
        <w:t>.</w:t>
      </w:r>
    </w:p>
  </w:footnote>
  <w:footnote w:id="7">
    <w:p>
      <w:pPr>
        <w:pStyle w:val="FootnoteText"/>
        <w:rPr>
          <w:rFonts w:ascii="Times New Roman" w:hAnsi="Times New Roman" w:cs="Times New Roman"/>
        </w:rPr>
      </w:pPr>
      <w:r>
        <w:rPr>
          <w:rStyle w:val="FootnoteReference"/>
        </w:rPr>
        <w:footnoteRef/>
      </w:r>
      <w:r>
        <w:t xml:space="preserve"> </w:t>
      </w:r>
      <w:r>
        <w:rPr>
          <w:rFonts w:ascii="Times New Roman" w:hAnsi="Times New Roman"/>
        </w:rPr>
        <w:t>COM(2020) 21 final de 14.1.2020.</w:t>
      </w:r>
    </w:p>
  </w:footnote>
  <w:footnote w:id="8">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Relatório de 2018 do Grupo de Trabalho «Polos de Inovação Digital» </w:t>
      </w:r>
      <w:hyperlink r:id="rId1" w:tgtFrame="_blank" w:history="1">
        <w:r>
          <w:rPr>
            <w:rStyle w:val="Hyperlink"/>
            <w:rFonts w:ascii="Times New Roman" w:hAnsi="Times New Roman"/>
            <w:color w:val="0066CC"/>
          </w:rPr>
          <w:t>https://ec.europa.eu/futurium/en/system/files/ged/dihs_access_to_finance_report_final.pdf</w:t>
        </w:r>
      </w:hyperlink>
      <w:r>
        <w:t>.</w:t>
      </w:r>
    </w:p>
  </w:footnote>
  <w:footnote w:id="9">
    <w:p>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Startup Europe é uma iniciativa da UE para interligar os polos locais de empresas em fase de arranque em toda a Europa: </w:t>
      </w:r>
      <w:hyperlink r:id="rId2" w:history="1">
        <w:r>
          <w:rPr>
            <w:rStyle w:val="Hyperlink"/>
            <w:rFonts w:ascii="Times New Roman" w:hAnsi="Times New Roman"/>
          </w:rPr>
          <w:t>https://ec.europa.eu/digital-single-market/en/startup-europe</w:t>
        </w:r>
      </w:hyperlink>
      <w:r>
        <w:rPr>
          <w:rFonts w:ascii="Times New Roman" w:hAnsi="Times New Roman"/>
        </w:rPr>
        <w:t>.</w:t>
      </w:r>
    </w:p>
  </w:footnote>
  <w:footnote w:id="10">
    <w:p>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COM(2020) 66 final de 19.2.2020.</w:t>
      </w:r>
    </w:p>
  </w:footnote>
  <w:footnote w:id="11">
    <w:p>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Relatório do BEI sobre o investimento 2018/2019</w:t>
      </w:r>
      <w:r>
        <w:t>.</w:t>
      </w:r>
    </w:p>
  </w:footnote>
  <w:footnote w:id="12">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Inquérito SAFE 2019</w:t>
      </w:r>
      <w:r>
        <w:t>.</w:t>
      </w:r>
    </w:p>
  </w:footnote>
  <w:footnote w:id="13">
    <w:p>
      <w:pPr>
        <w:pStyle w:val="FootnoteText"/>
        <w:rPr>
          <w:rFonts w:ascii="Times New Roman" w:hAnsi="Times New Roman" w:cs="Times New Roman"/>
        </w:rPr>
      </w:pPr>
      <w:r>
        <w:rPr>
          <w:rStyle w:val="FootnoteReference"/>
        </w:rPr>
        <w:footnoteRef/>
      </w:r>
      <w:r>
        <w:t xml:space="preserve"> </w:t>
      </w:r>
      <w:r>
        <w:rPr>
          <w:rFonts w:ascii="Times New Roman" w:hAnsi="Times New Roman"/>
        </w:rPr>
        <w:t>Estratégia para a igualdade de género 2020-2025, COM(2020) 152 final de 4.3.2020.</w:t>
      </w:r>
    </w:p>
  </w:footnote>
  <w:footnote w:id="14">
    <w:p>
      <w:pPr>
        <w:pStyle w:val="FootnoteText"/>
        <w:rPr>
          <w:lang w:val="en-US"/>
        </w:rPr>
      </w:pPr>
      <w:r>
        <w:rPr>
          <w:rStyle w:val="FootnoteReference"/>
          <w:rFonts w:ascii="Times New Roman" w:hAnsi="Times New Roman" w:cs="Times New Roman"/>
        </w:rPr>
        <w:footnoteRef/>
      </w:r>
      <w:r>
        <w:rPr>
          <w:rFonts w:ascii="Times New Roman" w:hAnsi="Times New Roman"/>
          <w:lang w:val="en-US"/>
        </w:rPr>
        <w:t xml:space="preserve"> COM(2016) 356 final de 2.6.2016</w:t>
      </w:r>
      <w:r>
        <w:rPr>
          <w:lang w:val="en-US"/>
        </w:rPr>
        <w:t>.</w:t>
      </w:r>
    </w:p>
  </w:footnote>
  <w:footnote w:id="15">
    <w:p>
      <w:pPr>
        <w:pStyle w:val="FootnoteText"/>
        <w:jc w:val="both"/>
        <w:rPr>
          <w:rFonts w:ascii="Times New Roman" w:hAnsi="Times New Roman" w:cs="Times New Roman"/>
          <w:lang w:val="en-US"/>
        </w:rPr>
      </w:pPr>
      <w:r>
        <w:rPr>
          <w:rStyle w:val="FootnoteReference"/>
          <w:rFonts w:ascii="Times New Roman" w:hAnsi="Times New Roman" w:cs="Times New Roman"/>
        </w:rPr>
        <w:footnoteRef/>
      </w:r>
      <w:r>
        <w:rPr>
          <w:rFonts w:ascii="Times New Roman" w:hAnsi="Times New Roman"/>
          <w:lang w:val="en-US"/>
        </w:rPr>
        <w:t xml:space="preserve"> </w:t>
      </w:r>
      <w:r>
        <w:rPr>
          <w:rFonts w:ascii="Times New Roman" w:hAnsi="Times New Roman"/>
          <w:i/>
          <w:iCs/>
          <w:lang w:val="en-US"/>
        </w:rPr>
        <w:t>Annual Report on European SMEs – SMEs growing beyond borders</w:t>
      </w:r>
      <w:r>
        <w:rPr>
          <w:lang w:val="en-US"/>
        </w:rPr>
        <w:t>.</w:t>
      </w:r>
    </w:p>
  </w:footnote>
  <w:footnote w:id="16">
    <w:p>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hyperlink r:id="rId3" w:anchor="sba-fact-sheets" w:history="1">
        <w:r>
          <w:rPr>
            <w:rStyle w:val="Hyperlink"/>
            <w:rFonts w:ascii="Times New Roman" w:hAnsi="Times New Roman"/>
          </w:rPr>
          <w:t>Ficha informativa sobre o «Small Business Act» da UE-28</w:t>
        </w:r>
      </w:hyperlink>
    </w:p>
  </w:footnote>
  <w:footnote w:id="17">
    <w:p>
      <w:pPr>
        <w:pStyle w:val="FootnoteText"/>
        <w:jc w:val="both"/>
        <w:rPr>
          <w:lang w:val="en-US"/>
        </w:rPr>
      </w:pPr>
      <w:r>
        <w:rPr>
          <w:rStyle w:val="FootnoteReference"/>
          <w:rFonts w:ascii="Times New Roman" w:hAnsi="Times New Roman" w:cs="Times New Roman"/>
        </w:rPr>
        <w:footnoteRef/>
      </w:r>
      <w:r>
        <w:rPr>
          <w:rFonts w:ascii="Times New Roman" w:hAnsi="Times New Roman"/>
          <w:lang w:val="en-US"/>
        </w:rPr>
        <w:t xml:space="preserve"> «</w:t>
      </w:r>
      <w:r>
        <w:rPr>
          <w:rFonts w:ascii="Times New Roman" w:hAnsi="Times New Roman"/>
          <w:i/>
          <w:iCs/>
          <w:lang w:val="en-US"/>
        </w:rPr>
        <w:t>Administrative formalities and costs involved in accessing markets cross-border for provisions of accountancy, engineering and architecture services</w:t>
      </w:r>
      <w:r>
        <w:rPr>
          <w:rFonts w:ascii="Times New Roman" w:hAnsi="Times New Roman"/>
          <w:lang w:val="en-US"/>
        </w:rPr>
        <w:t>», Ecorys, 2017</w:t>
      </w:r>
      <w:r>
        <w:rPr>
          <w:lang w:val="en-US"/>
        </w:rPr>
        <w:t>.</w:t>
      </w:r>
    </w:p>
  </w:footnote>
  <w:footnote w:id="18">
    <w:p>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A legislação da UE pode permitir flexibilidade no que respeita ao nível de harmonização e/ou às práticas dos Estados-Membros («sobrerregulamentação»), COM(2020) 93 final de 10.3.2020</w:t>
      </w:r>
      <w:r>
        <w:t>.</w:t>
      </w:r>
    </w:p>
  </w:footnote>
  <w:footnote w:id="19">
    <w:p>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O princípio «pensar primeiro em pequena escala» recorda que é preciso ter em conta os interesses das PME na elaboração de políticas, tanto a nível da UE como a nível nacional.</w:t>
      </w:r>
    </w:p>
  </w:footnote>
  <w:footnote w:id="20">
    <w:p>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No âmbito do princípio «da declaração única», os cidadãos e as empresas fornecem diversos dados a uma administração pública uma única vez.</w:t>
      </w:r>
    </w:p>
  </w:footnote>
  <w:footnote w:id="21">
    <w:p>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O princípio «digital por defeito» visa reduzir os encargos administrativos tornando a prestação digital de serviços a opção por defeito das administrações públicas.</w:t>
      </w:r>
    </w:p>
  </w:footnote>
  <w:footnote w:id="22">
    <w:p>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Criação de um novo grupo de alto nível que substitua a plataforma REFIT. </w:t>
      </w:r>
    </w:p>
  </w:footnote>
  <w:footnote w:id="23">
    <w:p>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O representante da UE para as PME assegura a ligação entre a elaboração de políticas para as PME a nível da UE e os representantes/organismos nacionais para as PME responsáveis pela política para as PME e preside à rede de representantes nacionais para a PME.</w:t>
      </w:r>
    </w:p>
  </w:footnote>
  <w:footnote w:id="24">
    <w:p>
      <w:pPr>
        <w:pStyle w:val="FootnoteText"/>
        <w:rPr>
          <w:rFonts w:ascii="Times New Roman" w:hAnsi="Times New Roman" w:cs="Times New Roman"/>
        </w:rPr>
      </w:pPr>
      <w:r>
        <w:rPr>
          <w:rStyle w:val="FootnoteReference"/>
        </w:rPr>
        <w:footnoteRef/>
      </w:r>
      <w:r>
        <w:rPr>
          <w:rFonts w:ascii="Times New Roman" w:hAnsi="Times New Roman"/>
        </w:rPr>
        <w:t xml:space="preserve"> Estudo da Comissão Europeia sobre os custos do cumprimento das obrigações fiscais para as PME, 2018</w:t>
      </w:r>
      <w:r>
        <w:t>.</w:t>
      </w:r>
    </w:p>
  </w:footnote>
  <w:footnote w:id="25">
    <w:p>
      <w:pPr>
        <w:pStyle w:val="FootnoteText"/>
        <w:rPr>
          <w:rFonts w:ascii="Times New Roman" w:hAnsi="Times New Roman" w:cs="Times New Roman"/>
          <w:lang w:val="en-US"/>
        </w:rPr>
      </w:pPr>
      <w:r>
        <w:rPr>
          <w:rStyle w:val="FootnoteReference"/>
          <w:rFonts w:ascii="Times New Roman" w:hAnsi="Times New Roman" w:cs="Times New Roman"/>
        </w:rPr>
        <w:footnoteRef/>
      </w:r>
      <w:r>
        <w:rPr>
          <w:rFonts w:ascii="Times New Roman" w:hAnsi="Times New Roman"/>
          <w:lang w:val="en-US"/>
        </w:rPr>
        <w:t xml:space="preserve"> Mind the Bridge: Tech Scale-up Europe, Relatório de 2019.</w:t>
      </w:r>
    </w:p>
  </w:footnote>
  <w:footnote w:id="26">
    <w:p>
      <w:pPr>
        <w:pStyle w:val="FootnoteText"/>
        <w:tabs>
          <w:tab w:val="left" w:pos="569"/>
        </w:tabs>
        <w:jc w:val="both"/>
        <w:rPr>
          <w:rFonts w:ascii="Times New Roman" w:hAnsi="Times New Roman" w:cs="Times New Roman"/>
          <w:sz w:val="16"/>
          <w:szCs w:val="16"/>
        </w:rPr>
      </w:pPr>
      <w:r>
        <w:rPr>
          <w:rStyle w:val="FootnoteReference"/>
          <w:rFonts w:ascii="Times New Roman" w:hAnsi="Times New Roman" w:cs="Times New Roman"/>
        </w:rPr>
        <w:footnoteRef/>
      </w:r>
      <w:r>
        <w:rPr>
          <w:rFonts w:ascii="Times New Roman" w:hAnsi="Times New Roman"/>
        </w:rPr>
        <w:t xml:space="preserve"> O Regulamento (UE) 2018/1724 cria uma plataforma digital única para a prestação de acesso a informações, a procedimentos e a serviços de assistência e de resolução de problemas, aos utilizadores nos seus próprios países e além-fronteiras.</w:t>
      </w:r>
      <w:r>
        <w:rPr>
          <w:rFonts w:ascii="Times New Roman" w:hAnsi="Times New Roman"/>
          <w:sz w:val="16"/>
          <w:szCs w:val="16"/>
        </w:rPr>
        <w:t xml:space="preserve"> </w:t>
      </w:r>
    </w:p>
  </w:footnote>
  <w:footnote w:id="27">
    <w:p>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Os bens não harmonizados pela legislação da UE, como têxteis, calçado, artigos de puericultura, joias, artigos para serviço de mesa ou mobiliário.</w:t>
      </w:r>
    </w:p>
  </w:footnote>
  <w:footnote w:id="28">
    <w:p>
      <w:pPr>
        <w:pStyle w:val="FootnoteText"/>
        <w:rPr>
          <w:rFonts w:ascii="Times New Roman" w:hAnsi="Times New Roman" w:cs="Times New Roman"/>
        </w:rPr>
      </w:pPr>
      <w:r>
        <w:rPr>
          <w:rStyle w:val="FootnoteReference"/>
        </w:rPr>
        <w:footnoteRef/>
      </w:r>
      <w:r>
        <w:t xml:space="preserve"> </w:t>
      </w:r>
      <w:r>
        <w:rPr>
          <w:rFonts w:ascii="Times New Roman" w:hAnsi="Times New Roman"/>
        </w:rPr>
        <w:t>COM(2020) 93 final de 10.3.2020.</w:t>
      </w:r>
    </w:p>
    <w:p>
      <w:pPr>
        <w:pStyle w:val="FootnoteText"/>
      </w:pPr>
    </w:p>
  </w:footnote>
  <w:footnote w:id="29">
    <w:p>
      <w:pPr>
        <w:pStyle w:val="FootnoteText"/>
        <w:jc w:val="both"/>
        <w:rPr>
          <w:rFonts w:ascii="Times New Roman" w:hAnsi="Times New Roman" w:cs="Times New Roman"/>
        </w:rPr>
      </w:pPr>
      <w:r>
        <w:rPr>
          <w:rStyle w:val="FootnoteReference"/>
        </w:rPr>
        <w:footnoteRef/>
      </w:r>
      <w:r>
        <w:t xml:space="preserve"> </w:t>
      </w:r>
      <w:r>
        <w:rPr>
          <w:rFonts w:ascii="Times New Roman" w:hAnsi="Times New Roman"/>
        </w:rPr>
        <w:t>COM(2020) 98 final de 11.3.2020.</w:t>
      </w:r>
    </w:p>
  </w:footnote>
  <w:footnote w:id="30">
    <w:p>
      <w:pPr>
        <w:pStyle w:val="FootnoteText"/>
        <w:jc w:val="both"/>
        <w:rPr>
          <w:rFonts w:ascii="Times New Roman" w:hAnsi="Times New Roman" w:cs="Times New Roman"/>
          <w:lang w:val="en-US"/>
        </w:rPr>
      </w:pPr>
      <w:r>
        <w:rPr>
          <w:rStyle w:val="FootnoteReference"/>
          <w:rFonts w:ascii="Times New Roman" w:hAnsi="Times New Roman" w:cs="Times New Roman"/>
        </w:rPr>
        <w:footnoteRef/>
      </w:r>
      <w:r>
        <w:rPr>
          <w:rFonts w:ascii="Times New Roman" w:hAnsi="Times New Roman"/>
          <w:lang w:val="en-US"/>
        </w:rPr>
        <w:t xml:space="preserve"> Extrapolation based on Business Dynamics: Start-ups, Business transfer and Bankruptcy, Final report 2011, p. 10, http://ec.europa.eu/DocsRoom/documents/10448/attachments/1/translations.</w:t>
      </w:r>
    </w:p>
  </w:footnote>
  <w:footnote w:id="31">
    <w:p>
      <w:pPr>
        <w:pStyle w:val="FootnoteText"/>
        <w:jc w:val="both"/>
      </w:pPr>
      <w:r>
        <w:rPr>
          <w:rStyle w:val="FootnoteReference"/>
        </w:rPr>
        <w:footnoteRef/>
      </w:r>
      <w:r>
        <w:t xml:space="preserve"> </w:t>
      </w:r>
      <w:r>
        <w:rPr>
          <w:rFonts w:ascii="Times New Roman" w:hAnsi="Times New Roman"/>
        </w:rPr>
        <w:t>Diretiva (UE) 2019/2121 do Parlamento Europeu e do Conselho de 27 de novembro de 2019 que altera a Diretiva (UE) 2017/1132 na parte respeitante às transformações, fusões e cisões transfronteiriças</w:t>
      </w:r>
      <w:r>
        <w:t>.</w:t>
      </w:r>
    </w:p>
  </w:footnote>
  <w:footnote w:id="32">
    <w:p>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Diretiva 2019/1023 adotada em junho de 2019</w:t>
      </w:r>
      <w:r>
        <w:t>.</w:t>
      </w:r>
      <w:r>
        <w:rPr>
          <w:rFonts w:ascii="Times New Roman" w:hAnsi="Times New Roman"/>
        </w:rPr>
        <w:t xml:space="preserve"> </w:t>
      </w:r>
    </w:p>
  </w:footnote>
  <w:footnote w:id="33">
    <w:p>
      <w:pPr>
        <w:pStyle w:val="FootnoteText"/>
        <w:jc w:val="both"/>
        <w:rPr>
          <w:rFonts w:ascii="Times New Roman" w:hAnsi="Times New Roman" w:cs="Times New Roman"/>
          <w:lang w:val="en-US"/>
        </w:rPr>
      </w:pPr>
      <w:r>
        <w:rPr>
          <w:rStyle w:val="FootnoteReference"/>
        </w:rPr>
        <w:footnoteRef/>
      </w:r>
      <w:r>
        <w:rPr>
          <w:rFonts w:ascii="Times New Roman" w:hAnsi="Times New Roman"/>
          <w:lang w:val="en-US"/>
        </w:rPr>
        <w:t xml:space="preserve"> Publicação da UE de 2018 «A comparative analysis of legal measures vs. soft-law instruments for improving payment behaviour»</w:t>
      </w:r>
      <w:r>
        <w:rPr>
          <w:lang w:val="en-US"/>
        </w:rPr>
        <w:t>.</w:t>
      </w:r>
    </w:p>
  </w:footnote>
  <w:footnote w:id="34">
    <w:p>
      <w:pPr>
        <w:pStyle w:val="FootnoteText"/>
        <w:jc w:val="both"/>
        <w:rPr>
          <w:lang w:val="en-US"/>
        </w:rPr>
      </w:pPr>
      <w:r>
        <w:rPr>
          <w:rStyle w:val="FootnoteReference"/>
          <w:rFonts w:ascii="Times New Roman" w:hAnsi="Times New Roman" w:cs="Times New Roman"/>
        </w:rPr>
        <w:footnoteRef/>
      </w:r>
      <w:r>
        <w:rPr>
          <w:rFonts w:ascii="Times New Roman" w:hAnsi="Times New Roman"/>
          <w:lang w:val="en-US"/>
        </w:rPr>
        <w:t xml:space="preserve"> Publicação da UE de 2018 «A comparative analysis of legal measures vs. soft-law instruments for improving payment behaviour»</w:t>
      </w:r>
      <w:r>
        <w:rPr>
          <w:lang w:val="en-US"/>
        </w:rPr>
        <w:t>.</w:t>
      </w:r>
    </w:p>
  </w:footnote>
  <w:footnote w:id="35">
    <w:p>
      <w:pPr>
        <w:pStyle w:val="FootnoteText"/>
        <w:jc w:val="both"/>
        <w:rPr>
          <w:rFonts w:ascii="Times New Roman" w:hAnsi="Times New Roman"/>
        </w:rPr>
      </w:pPr>
      <w:r>
        <w:rPr>
          <w:rStyle w:val="FootnoteReference"/>
        </w:rPr>
        <w:footnoteRef/>
      </w:r>
      <w:r>
        <w:t xml:space="preserve"> </w:t>
      </w:r>
      <w:r>
        <w:rPr>
          <w:rFonts w:ascii="Times New Roman" w:hAnsi="Times New Roman"/>
        </w:rPr>
        <w:t xml:space="preserve">O Centro de PME da UE, em Pequim, disponibiliza uma primeira linha de assistência às PME europeias que pretendam desenvolver a sua presença no mercado chinês </w:t>
      </w:r>
      <w:hyperlink r:id="rId4" w:history="1">
        <w:r>
          <w:rPr>
            <w:rStyle w:val="Hyperlink"/>
            <w:rFonts w:ascii="Times New Roman" w:hAnsi="Times New Roman"/>
          </w:rPr>
          <w:t>www.eusmecentre.org.cn</w:t>
        </w:r>
      </w:hyperlink>
      <w:r>
        <w:t>.</w:t>
      </w:r>
      <w:r>
        <w:rPr>
          <w:rFonts w:ascii="Times New Roman" w:hAnsi="Times New Roman"/>
        </w:rPr>
        <w:t xml:space="preserve"> </w:t>
      </w:r>
    </w:p>
  </w:footnote>
  <w:footnote w:id="36">
    <w:p>
      <w:pPr>
        <w:pStyle w:val="FootnoteText"/>
        <w:jc w:val="both"/>
      </w:pPr>
      <w:r>
        <w:rPr>
          <w:rStyle w:val="FootnoteReference"/>
        </w:rPr>
        <w:footnoteRef/>
      </w:r>
      <w:r>
        <w:t xml:space="preserve"> </w:t>
      </w:r>
      <w:r>
        <w:rPr>
          <w:rFonts w:ascii="Times New Roman" w:hAnsi="Times New Roman"/>
        </w:rPr>
        <w:t>Regulamento (UE) 2018/825 adotado em 30 de maio de 2018</w:t>
      </w:r>
      <w:r>
        <w:t>.</w:t>
      </w:r>
      <w:r>
        <w:rPr>
          <w:rFonts w:ascii="Times New Roman" w:hAnsi="Times New Roman"/>
        </w:rPr>
        <w:t xml:space="preserve">  </w:t>
      </w:r>
    </w:p>
  </w:footnote>
  <w:footnote w:id="37">
    <w:p>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Défice de financiamento da dívida por ano em 2014-2018; ver SWD(2018) 320 final de 7.6.2018. </w:t>
      </w:r>
    </w:p>
  </w:footnote>
  <w:footnote w:id="38">
    <w:p>
      <w:pPr>
        <w:pStyle w:val="FootnoteText"/>
        <w:jc w:val="both"/>
        <w:rPr>
          <w:rFonts w:ascii="Times New Roman" w:hAnsi="Times New Roman" w:cs="Times New Roman"/>
          <w:lang w:val="en-US"/>
        </w:rPr>
      </w:pPr>
      <w:r>
        <w:rPr>
          <w:rStyle w:val="FootnoteReference"/>
          <w:rFonts w:ascii="Times New Roman" w:hAnsi="Times New Roman" w:cs="Times New Roman"/>
        </w:rPr>
        <w:footnoteRef/>
      </w:r>
      <w:r>
        <w:rPr>
          <w:rFonts w:ascii="Times New Roman" w:hAnsi="Times New Roman"/>
          <w:lang w:val="en-US"/>
        </w:rPr>
        <w:t xml:space="preserve"> Comissão Europeia e Banco Central Europeu, «Survey on the Access to Finance of Enterprises», 11.2019</w:t>
      </w:r>
      <w:r>
        <w:rPr>
          <w:lang w:val="en-US"/>
        </w:rPr>
        <w:t>.</w:t>
      </w:r>
    </w:p>
  </w:footnote>
  <w:footnote w:id="39">
    <w:p>
      <w:pPr>
        <w:pStyle w:val="FootnoteText"/>
        <w:jc w:val="both"/>
        <w:rPr>
          <w:rFonts w:ascii="Times New Roman" w:hAnsi="Times New Roman" w:cs="Times New Roman"/>
          <w:lang w:val="en-US"/>
        </w:rPr>
      </w:pPr>
      <w:r>
        <w:rPr>
          <w:rStyle w:val="FootnoteReference"/>
          <w:rFonts w:ascii="Times New Roman" w:hAnsi="Times New Roman" w:cs="Times New Roman"/>
        </w:rPr>
        <w:footnoteRef/>
      </w:r>
      <w:r>
        <w:rPr>
          <w:rFonts w:ascii="Times New Roman" w:hAnsi="Times New Roman"/>
          <w:lang w:val="en-US"/>
        </w:rPr>
        <w:t xml:space="preserve"> Invest Europe (2019)20</w:t>
      </w:r>
      <w:r>
        <w:rPr>
          <w:lang w:val="en-US"/>
        </w:rPr>
        <w:t>.</w:t>
      </w:r>
    </w:p>
  </w:footnote>
  <w:footnote w:id="40">
    <w:p>
      <w:pPr>
        <w:pStyle w:val="FootnoteText"/>
        <w:jc w:val="both"/>
        <w:rPr>
          <w:rFonts w:ascii="Times New Roman" w:hAnsi="Times New Roman" w:cs="Times New Roman"/>
          <w:lang w:val="en-US"/>
        </w:rPr>
      </w:pPr>
      <w:r>
        <w:rPr>
          <w:rStyle w:val="FootnoteReference"/>
          <w:rFonts w:ascii="Times New Roman" w:hAnsi="Times New Roman" w:cs="Times New Roman"/>
        </w:rPr>
        <w:footnoteRef/>
      </w:r>
      <w:r>
        <w:rPr>
          <w:rFonts w:ascii="Times New Roman" w:hAnsi="Times New Roman"/>
          <w:lang w:val="en-US"/>
        </w:rPr>
        <w:t xml:space="preserve"> Afme Capital Markets Union Performance Indicators Report 2019</w:t>
      </w:r>
      <w:r>
        <w:rPr>
          <w:lang w:val="en-US"/>
        </w:rPr>
        <w:t>.</w:t>
      </w:r>
    </w:p>
  </w:footnote>
  <w:footnote w:id="41">
    <w:p>
      <w:pPr>
        <w:pStyle w:val="FootnoteText"/>
        <w:jc w:val="both"/>
        <w:rPr>
          <w:rFonts w:ascii="Times New Roman" w:hAnsi="Times New Roman" w:cs="Times New Roman"/>
          <w:lang w:val="en-US"/>
        </w:rPr>
      </w:pPr>
      <w:r>
        <w:rPr>
          <w:rStyle w:val="FootnoteReference"/>
          <w:rFonts w:ascii="Times New Roman" w:hAnsi="Times New Roman" w:cs="Times New Roman"/>
        </w:rPr>
        <w:footnoteRef/>
      </w:r>
      <w:r>
        <w:rPr>
          <w:rFonts w:ascii="Times New Roman" w:hAnsi="Times New Roman"/>
          <w:lang w:val="en-US"/>
        </w:rPr>
        <w:t xml:space="preserve"> Financing the Deep Tech Revolution (Estudo CE-BEI, 2018).</w:t>
      </w:r>
    </w:p>
  </w:footnote>
  <w:footnote w:id="42">
    <w:p>
      <w:pPr>
        <w:pStyle w:val="FootnoteText"/>
        <w:jc w:val="both"/>
        <w:rPr>
          <w:lang w:val="en-US"/>
        </w:rPr>
      </w:pPr>
      <w:r>
        <w:rPr>
          <w:rStyle w:val="FootnoteReference"/>
          <w:rFonts w:ascii="Times New Roman" w:hAnsi="Times New Roman" w:cs="Times New Roman"/>
        </w:rPr>
        <w:footnoteRef/>
      </w:r>
      <w:r>
        <w:rPr>
          <w:rFonts w:ascii="Times New Roman" w:hAnsi="Times New Roman"/>
          <w:lang w:val="en-US"/>
        </w:rPr>
        <w:t xml:space="preserve"> Leveraging intelligence from https://www.innoradar.eu.</w:t>
      </w:r>
    </w:p>
  </w:footnote>
  <w:footnote w:id="43">
    <w:p>
      <w:pPr>
        <w:pStyle w:val="FootnoteText"/>
        <w:rPr>
          <w:rFonts w:ascii="Times New Roman" w:hAnsi="Times New Roman" w:cs="Times New Roman"/>
          <w:lang w:val="en-US"/>
        </w:rPr>
      </w:pPr>
      <w:r>
        <w:rPr>
          <w:rStyle w:val="FootnoteReference"/>
          <w:rFonts w:ascii="Times New Roman" w:hAnsi="Times New Roman" w:cs="Times New Roman"/>
        </w:rPr>
        <w:footnoteRef/>
      </w:r>
      <w:r>
        <w:rPr>
          <w:rFonts w:ascii="Times New Roman" w:hAnsi="Times New Roman"/>
          <w:lang w:val="en-US"/>
        </w:rPr>
        <w:t xml:space="preserve"> https://www.pwc.co.uk/audit-assurance/assets/pdf/ipo-watch-q4-2019-annual-review.pdf.</w:t>
      </w:r>
    </w:p>
  </w:footnote>
  <w:footnote w:id="44">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As despesas de 2018 atingiram 216 milhões de EUR para o objetivo «Capital de risco» e 501 milhões de EUR para o objetivo «PME».</w:t>
      </w:r>
    </w:p>
  </w:footnote>
  <w:footnote w:id="45">
    <w:p>
      <w:pPr>
        <w:pStyle w:val="FootnoteText"/>
        <w:rPr>
          <w:lang w:val="en-US"/>
        </w:rPr>
      </w:pPr>
      <w:r>
        <w:rPr>
          <w:rStyle w:val="FootnoteReference"/>
          <w:rFonts w:ascii="Times New Roman" w:hAnsi="Times New Roman" w:cs="Times New Roman"/>
        </w:rPr>
        <w:footnoteRef/>
      </w:r>
      <w:r>
        <w:rPr>
          <w:rFonts w:ascii="Times New Roman" w:hAnsi="Times New Roman"/>
          <w:lang w:val="en-US"/>
        </w:rPr>
        <w:t xml:space="preserve"> «2019 State of European Tech report» </w:t>
      </w:r>
      <w:hyperlink r:id="rId5" w:history="1">
        <w:r>
          <w:rPr>
            <w:rStyle w:val="Hyperlink"/>
            <w:rFonts w:ascii="Times New Roman" w:hAnsi="Times New Roman"/>
            <w:lang w:val="en-US"/>
          </w:rPr>
          <w:t>https://2019.stateofeuropeantech.com/chart/103-1338/</w:t>
        </w:r>
      </w:hyperlink>
      <w:r>
        <w:rPr>
          <w:rFonts w:ascii="Times New Roman" w:hAnsi="Times New Roman"/>
          <w:lang w:val="en-US"/>
        </w:rPr>
        <w:t xml:space="preserve"> .</w:t>
      </w:r>
    </w:p>
  </w:footnote>
  <w:footnote w:id="46">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Disponível no âmbito do programa COSME, Horizonte 2020, do programa Europa Criativa e dos fundos da política de coesão da UE</w:t>
      </w:r>
      <w:r>
        <w:t>.</w:t>
      </w:r>
    </w:p>
  </w:footnote>
  <w:footnote w:id="47">
    <w:p>
      <w:r>
        <w:rPr>
          <w:rFonts w:ascii="Times New Roman" w:hAnsi="Times New Roman" w:cs="Times New Roman"/>
          <w:sz w:val="20"/>
          <w:szCs w:val="20"/>
          <w:vertAlign w:val="superscript"/>
        </w:rPr>
        <w:footnoteRef/>
      </w:r>
      <w:r>
        <w:rPr>
          <w:rFonts w:ascii="Times New Roman" w:hAnsi="Times New Roman"/>
          <w:sz w:val="20"/>
          <w:szCs w:val="20"/>
          <w:vertAlign w:val="superscript"/>
        </w:rPr>
        <w:t xml:space="preserve">  </w:t>
      </w:r>
      <w:r>
        <w:rPr>
          <w:rFonts w:ascii="Times New Roman" w:hAnsi="Times New Roman"/>
          <w:sz w:val="20"/>
          <w:szCs w:val="20"/>
        </w:rPr>
        <w:t>https://ec.europa.eu/digital-single-market/en/news/launch-digital-innovation-and-scale-initiative-central-eastern-and-south-eastern-europe.</w:t>
      </w:r>
    </w:p>
  </w:footnote>
  <w:footnote w:id="48">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https://ec.europa.eu/digital-single-market/en/integration-digital-technology</w:t>
      </w:r>
      <w:r>
        <w:t>.</w:t>
      </w:r>
    </w:p>
  </w:footnote>
  <w:footnote w:id="49">
    <w:p>
      <w:pPr>
        <w:pStyle w:val="FootnoteText"/>
      </w:pPr>
      <w:r>
        <w:rPr>
          <w:rStyle w:val="FootnoteReference"/>
          <w:rFonts w:ascii="Times New Roman" w:hAnsi="Times New Roman" w:cs="Times New Roman"/>
        </w:rPr>
        <w:footnoteRef/>
      </w:r>
      <w:r>
        <w:rPr>
          <w:rFonts w:ascii="Times New Roman" w:hAnsi="Times New Roman"/>
        </w:rPr>
        <w:t xml:space="preserve"> Consulta pública sobre a definição de PME: </w:t>
      </w:r>
      <w:hyperlink r:id="rId6" w:history="1">
        <w:r>
          <w:rPr>
            <w:rStyle w:val="Hyperlink"/>
            <w:rFonts w:ascii="Times New Roman" w:hAnsi="Times New Roman"/>
          </w:rPr>
          <w:t>https://ec.europa.eu/info/consultations/public-consultation-review-sme-definition_en</w:t>
        </w:r>
      </w:hyperlink>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CF2634"/>
    <w:multiLevelType w:val="hybridMultilevel"/>
    <w:tmpl w:val="9C284F62"/>
    <w:lvl w:ilvl="0" w:tplc="1809000F">
      <w:start w:val="1"/>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nsid w:val="095F2B3C"/>
    <w:multiLevelType w:val="multilevel"/>
    <w:tmpl w:val="0809001F"/>
    <w:lvl w:ilvl="0">
      <w:start w:val="1"/>
      <w:numFmt w:val="decimal"/>
      <w:lvlText w:val="%1."/>
      <w:lvlJc w:val="left"/>
      <w:pPr>
        <w:ind w:left="360" w:hanging="360"/>
      </w:pPr>
      <w:rPr>
        <w:rFonts w:hint="default"/>
        <w:sz w:val="28"/>
        <w:szCs w:val="28"/>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B3814F4"/>
    <w:multiLevelType w:val="hybridMultilevel"/>
    <w:tmpl w:val="FB765F66"/>
    <w:lvl w:ilvl="0" w:tplc="0809000D">
      <w:start w:val="1"/>
      <w:numFmt w:val="bullet"/>
      <w:lvlText w:val=""/>
      <w:lvlJc w:val="left"/>
      <w:pPr>
        <w:ind w:left="1440" w:hanging="360"/>
      </w:pPr>
      <w:rPr>
        <w:rFonts w:ascii="Wingdings" w:hAnsi="Wingdings"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3">
    <w:nsid w:val="0BC41308"/>
    <w:multiLevelType w:val="hybridMultilevel"/>
    <w:tmpl w:val="B77EF4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4">
    <w:nsid w:val="0CDD2019"/>
    <w:multiLevelType w:val="hybridMultilevel"/>
    <w:tmpl w:val="4E9E8CF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D2F75F0"/>
    <w:multiLevelType w:val="hybridMultilevel"/>
    <w:tmpl w:val="5C4425B2"/>
    <w:lvl w:ilvl="0" w:tplc="24A6548E">
      <w:start w:val="5"/>
      <w:numFmt w:val="bullet"/>
      <w:lvlText w:val="-"/>
      <w:lvlJc w:val="left"/>
      <w:pPr>
        <w:ind w:left="540" w:hanging="360"/>
      </w:pPr>
      <w:rPr>
        <w:rFonts w:ascii="Calibri" w:eastAsiaTheme="minorEastAsia" w:hAnsi="Calibri" w:cs="Calibri" w:hint="default"/>
      </w:rPr>
    </w:lvl>
    <w:lvl w:ilvl="1" w:tplc="08090003" w:tentative="1">
      <w:start w:val="1"/>
      <w:numFmt w:val="bullet"/>
      <w:lvlText w:val="o"/>
      <w:lvlJc w:val="left"/>
      <w:pPr>
        <w:ind w:left="1260" w:hanging="360"/>
      </w:pPr>
      <w:rPr>
        <w:rFonts w:ascii="Courier New" w:hAnsi="Courier New" w:cs="Courier New" w:hint="default"/>
      </w:rPr>
    </w:lvl>
    <w:lvl w:ilvl="2" w:tplc="08090005" w:tentative="1">
      <w:start w:val="1"/>
      <w:numFmt w:val="bullet"/>
      <w:lvlText w:val=""/>
      <w:lvlJc w:val="left"/>
      <w:pPr>
        <w:ind w:left="1980" w:hanging="360"/>
      </w:pPr>
      <w:rPr>
        <w:rFonts w:ascii="Wingdings" w:hAnsi="Wingdings" w:hint="default"/>
      </w:rPr>
    </w:lvl>
    <w:lvl w:ilvl="3" w:tplc="08090001" w:tentative="1">
      <w:start w:val="1"/>
      <w:numFmt w:val="bullet"/>
      <w:lvlText w:val=""/>
      <w:lvlJc w:val="left"/>
      <w:pPr>
        <w:ind w:left="2700" w:hanging="360"/>
      </w:pPr>
      <w:rPr>
        <w:rFonts w:ascii="Symbol" w:hAnsi="Symbol" w:hint="default"/>
      </w:rPr>
    </w:lvl>
    <w:lvl w:ilvl="4" w:tplc="08090003" w:tentative="1">
      <w:start w:val="1"/>
      <w:numFmt w:val="bullet"/>
      <w:lvlText w:val="o"/>
      <w:lvlJc w:val="left"/>
      <w:pPr>
        <w:ind w:left="3420" w:hanging="360"/>
      </w:pPr>
      <w:rPr>
        <w:rFonts w:ascii="Courier New" w:hAnsi="Courier New" w:cs="Courier New" w:hint="default"/>
      </w:rPr>
    </w:lvl>
    <w:lvl w:ilvl="5" w:tplc="08090005" w:tentative="1">
      <w:start w:val="1"/>
      <w:numFmt w:val="bullet"/>
      <w:lvlText w:val=""/>
      <w:lvlJc w:val="left"/>
      <w:pPr>
        <w:ind w:left="4140" w:hanging="360"/>
      </w:pPr>
      <w:rPr>
        <w:rFonts w:ascii="Wingdings" w:hAnsi="Wingdings" w:hint="default"/>
      </w:rPr>
    </w:lvl>
    <w:lvl w:ilvl="6" w:tplc="08090001" w:tentative="1">
      <w:start w:val="1"/>
      <w:numFmt w:val="bullet"/>
      <w:lvlText w:val=""/>
      <w:lvlJc w:val="left"/>
      <w:pPr>
        <w:ind w:left="4860" w:hanging="360"/>
      </w:pPr>
      <w:rPr>
        <w:rFonts w:ascii="Symbol" w:hAnsi="Symbol" w:hint="default"/>
      </w:rPr>
    </w:lvl>
    <w:lvl w:ilvl="7" w:tplc="08090003" w:tentative="1">
      <w:start w:val="1"/>
      <w:numFmt w:val="bullet"/>
      <w:lvlText w:val="o"/>
      <w:lvlJc w:val="left"/>
      <w:pPr>
        <w:ind w:left="5580" w:hanging="360"/>
      </w:pPr>
      <w:rPr>
        <w:rFonts w:ascii="Courier New" w:hAnsi="Courier New" w:cs="Courier New" w:hint="default"/>
      </w:rPr>
    </w:lvl>
    <w:lvl w:ilvl="8" w:tplc="08090005" w:tentative="1">
      <w:start w:val="1"/>
      <w:numFmt w:val="bullet"/>
      <w:lvlText w:val=""/>
      <w:lvlJc w:val="left"/>
      <w:pPr>
        <w:ind w:left="6300" w:hanging="360"/>
      </w:pPr>
      <w:rPr>
        <w:rFonts w:ascii="Wingdings" w:hAnsi="Wingdings" w:hint="default"/>
      </w:rPr>
    </w:lvl>
  </w:abstractNum>
  <w:abstractNum w:abstractNumId="6">
    <w:nsid w:val="0DCF02C7"/>
    <w:multiLevelType w:val="multilevel"/>
    <w:tmpl w:val="0809001F"/>
    <w:lvl w:ilvl="0">
      <w:start w:val="1"/>
      <w:numFmt w:val="decimal"/>
      <w:lvlText w:val="%1."/>
      <w:lvlJc w:val="left"/>
      <w:pPr>
        <w:ind w:left="360" w:hanging="360"/>
      </w:pPr>
      <w:rPr>
        <w:rFonts w:hint="default"/>
        <w:sz w:val="28"/>
        <w:szCs w:val="28"/>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132B7D1A"/>
    <w:multiLevelType w:val="hybridMultilevel"/>
    <w:tmpl w:val="68BC8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4DE442C"/>
    <w:multiLevelType w:val="hybridMultilevel"/>
    <w:tmpl w:val="3752AE5E"/>
    <w:lvl w:ilvl="0" w:tplc="1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182922D3"/>
    <w:multiLevelType w:val="hybridMultilevel"/>
    <w:tmpl w:val="7E24BA4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nsid w:val="19255FBB"/>
    <w:multiLevelType w:val="hybridMultilevel"/>
    <w:tmpl w:val="867250D2"/>
    <w:lvl w:ilvl="0" w:tplc="2144B552">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nsid w:val="19F162A8"/>
    <w:multiLevelType w:val="hybridMultilevel"/>
    <w:tmpl w:val="38765A44"/>
    <w:lvl w:ilvl="0" w:tplc="0809000D">
      <w:start w:val="1"/>
      <w:numFmt w:val="bullet"/>
      <w:lvlText w:val=""/>
      <w:lvlJc w:val="left"/>
      <w:pPr>
        <w:ind w:left="720" w:hanging="360"/>
      </w:pPr>
      <w:rPr>
        <w:rFonts w:ascii="Wingdings" w:hAnsi="Wingdings"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nsid w:val="1AC35B27"/>
    <w:multiLevelType w:val="hybridMultilevel"/>
    <w:tmpl w:val="CB7E276E"/>
    <w:lvl w:ilvl="0" w:tplc="FFFFFFFF">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nsid w:val="1C4828BE"/>
    <w:multiLevelType w:val="multilevel"/>
    <w:tmpl w:val="CC8EFC6E"/>
    <w:lvl w:ilvl="0">
      <w:start w:val="1"/>
      <w:numFmt w:val="decimal"/>
      <w:lvlText w:val="%1."/>
      <w:lvlJc w:val="left"/>
      <w:pPr>
        <w:ind w:left="360" w:hanging="360"/>
      </w:pPr>
      <w:rPr>
        <w:rFonts w:hint="default"/>
        <w:sz w:val="28"/>
        <w:szCs w:val="28"/>
      </w:rPr>
    </w:lvl>
    <w:lvl w:ilvl="1">
      <w:start w:val="1"/>
      <w:numFmt w:val="decimal"/>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1CFF0A51"/>
    <w:multiLevelType w:val="multilevel"/>
    <w:tmpl w:val="CC8EFC6E"/>
    <w:lvl w:ilvl="0">
      <w:start w:val="1"/>
      <w:numFmt w:val="decimal"/>
      <w:lvlText w:val="%1."/>
      <w:lvlJc w:val="left"/>
      <w:pPr>
        <w:ind w:left="360" w:hanging="360"/>
      </w:pPr>
      <w:rPr>
        <w:rFonts w:hint="default"/>
        <w:sz w:val="28"/>
        <w:szCs w:val="28"/>
      </w:rPr>
    </w:lvl>
    <w:lvl w:ilvl="1">
      <w:start w:val="1"/>
      <w:numFmt w:val="decimal"/>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20836AAE"/>
    <w:multiLevelType w:val="hybridMultilevel"/>
    <w:tmpl w:val="E780CA48"/>
    <w:lvl w:ilvl="0" w:tplc="C27EF1BE">
      <w:numFmt w:val="bullet"/>
      <w:lvlText w:val="-"/>
      <w:lvlJc w:val="left"/>
      <w:pPr>
        <w:ind w:left="360" w:hanging="360"/>
      </w:pPr>
      <w:rPr>
        <w:rFonts w:ascii="Calibri" w:eastAsia="Calibri" w:hAnsi="Calibri" w:cs="Calibri"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16">
    <w:nsid w:val="22665C8B"/>
    <w:multiLevelType w:val="multilevel"/>
    <w:tmpl w:val="2F1231FC"/>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25293F07"/>
    <w:multiLevelType w:val="hybridMultilevel"/>
    <w:tmpl w:val="818C3B0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nsid w:val="2C18587A"/>
    <w:multiLevelType w:val="hybridMultilevel"/>
    <w:tmpl w:val="12BCFB7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9">
    <w:nsid w:val="2D293CE3"/>
    <w:multiLevelType w:val="multilevel"/>
    <w:tmpl w:val="8D7C4D2A"/>
    <w:lvl w:ilvl="0">
      <w:start w:val="1"/>
      <w:numFmt w:val="decimal"/>
      <w:pStyle w:val="LegalNumPar"/>
      <w:lvlText w:val="%1."/>
      <w:lvlJc w:val="left"/>
      <w:pPr>
        <w:ind w:left="1916" w:hanging="476"/>
      </w:pPr>
    </w:lvl>
    <w:lvl w:ilvl="1">
      <w:start w:val="1"/>
      <w:numFmt w:val="lowerLetter"/>
      <w:pStyle w:val="LegalNumPar2"/>
      <w:lvlText w:val="%2."/>
      <w:lvlJc w:val="left"/>
      <w:pPr>
        <w:ind w:left="2393" w:hanging="477"/>
      </w:pPr>
    </w:lvl>
    <w:lvl w:ilvl="2">
      <w:start w:val="1"/>
      <w:numFmt w:val="lowerRoman"/>
      <w:pStyle w:val="LegalNumPar3"/>
      <w:lvlText w:val="%3."/>
      <w:lvlJc w:val="left"/>
      <w:pPr>
        <w:ind w:left="2869" w:hanging="476"/>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20">
    <w:nsid w:val="31525EFF"/>
    <w:multiLevelType w:val="hybridMultilevel"/>
    <w:tmpl w:val="50F07018"/>
    <w:lvl w:ilvl="0" w:tplc="080C0001">
      <w:start w:val="1"/>
      <w:numFmt w:val="bullet"/>
      <w:lvlText w:val=""/>
      <w:lvlJc w:val="left"/>
      <w:pPr>
        <w:ind w:left="360" w:hanging="360"/>
      </w:pPr>
      <w:rPr>
        <w:rFonts w:ascii="Symbol" w:hAnsi="Symbol" w:hint="default"/>
      </w:rPr>
    </w:lvl>
    <w:lvl w:ilvl="1" w:tplc="080C0003">
      <w:start w:val="1"/>
      <w:numFmt w:val="bullet"/>
      <w:lvlText w:val="o"/>
      <w:lvlJc w:val="left"/>
      <w:pPr>
        <w:ind w:left="1080" w:hanging="360"/>
      </w:pPr>
      <w:rPr>
        <w:rFonts w:ascii="Courier New" w:hAnsi="Courier New" w:cs="Courier New" w:hint="default"/>
      </w:rPr>
    </w:lvl>
    <w:lvl w:ilvl="2" w:tplc="080C0005">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1">
    <w:nsid w:val="334D5443"/>
    <w:multiLevelType w:val="hybridMultilevel"/>
    <w:tmpl w:val="86C6D08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2">
    <w:nsid w:val="3E6C642F"/>
    <w:multiLevelType w:val="hybridMultilevel"/>
    <w:tmpl w:val="67FA4AE4"/>
    <w:lvl w:ilvl="0" w:tplc="1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nsid w:val="3EAE6074"/>
    <w:multiLevelType w:val="hybridMultilevel"/>
    <w:tmpl w:val="32D69F58"/>
    <w:lvl w:ilvl="0" w:tplc="0809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24">
    <w:nsid w:val="45D96A10"/>
    <w:multiLevelType w:val="hybridMultilevel"/>
    <w:tmpl w:val="7DC08E8A"/>
    <w:lvl w:ilvl="0" w:tplc="C27EF1BE">
      <w:numFmt w:val="bullet"/>
      <w:lvlText w:val="-"/>
      <w:lvlJc w:val="left"/>
      <w:pPr>
        <w:ind w:left="360" w:hanging="360"/>
      </w:pPr>
      <w:rPr>
        <w:rFonts w:ascii="Calibri" w:eastAsia="Calibri" w:hAnsi="Calibri" w:cs="Calibri"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25">
    <w:nsid w:val="47F37982"/>
    <w:multiLevelType w:val="multilevel"/>
    <w:tmpl w:val="7AF80B4A"/>
    <w:lvl w:ilvl="0">
      <w:start w:val="2"/>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26">
    <w:nsid w:val="4A804E34"/>
    <w:multiLevelType w:val="hybridMultilevel"/>
    <w:tmpl w:val="A764461E"/>
    <w:lvl w:ilvl="0" w:tplc="5B066F94">
      <w:start w:val="1"/>
      <w:numFmt w:val="bullet"/>
      <w:lvlText w:val=""/>
      <w:lvlJc w:val="left"/>
      <w:pPr>
        <w:ind w:left="720" w:hanging="360"/>
      </w:pPr>
      <w:rPr>
        <w:rFonts w:ascii="Symbol" w:hAnsi="Symbol" w:hint="default"/>
      </w:rPr>
    </w:lvl>
    <w:lvl w:ilvl="1" w:tplc="00D2F534">
      <w:start w:val="1"/>
      <w:numFmt w:val="bullet"/>
      <w:lvlText w:val="o"/>
      <w:lvlJc w:val="left"/>
      <w:pPr>
        <w:ind w:left="1440" w:hanging="360"/>
      </w:pPr>
      <w:rPr>
        <w:rFonts w:ascii="Courier New" w:hAnsi="Courier New" w:hint="default"/>
      </w:rPr>
    </w:lvl>
    <w:lvl w:ilvl="2" w:tplc="74EC0316">
      <w:start w:val="1"/>
      <w:numFmt w:val="bullet"/>
      <w:lvlText w:val=""/>
      <w:lvlJc w:val="left"/>
      <w:pPr>
        <w:ind w:left="2160" w:hanging="360"/>
      </w:pPr>
      <w:rPr>
        <w:rFonts w:ascii="Wingdings" w:hAnsi="Wingdings" w:hint="default"/>
      </w:rPr>
    </w:lvl>
    <w:lvl w:ilvl="3" w:tplc="B4AA705A">
      <w:start w:val="1"/>
      <w:numFmt w:val="bullet"/>
      <w:lvlText w:val=""/>
      <w:lvlJc w:val="left"/>
      <w:pPr>
        <w:ind w:left="2880" w:hanging="360"/>
      </w:pPr>
      <w:rPr>
        <w:rFonts w:ascii="Symbol" w:hAnsi="Symbol" w:hint="default"/>
      </w:rPr>
    </w:lvl>
    <w:lvl w:ilvl="4" w:tplc="B8B0DABA">
      <w:start w:val="1"/>
      <w:numFmt w:val="bullet"/>
      <w:lvlText w:val="o"/>
      <w:lvlJc w:val="left"/>
      <w:pPr>
        <w:ind w:left="3600" w:hanging="360"/>
      </w:pPr>
      <w:rPr>
        <w:rFonts w:ascii="Courier New" w:hAnsi="Courier New" w:hint="default"/>
      </w:rPr>
    </w:lvl>
    <w:lvl w:ilvl="5" w:tplc="D3B2ECCE">
      <w:start w:val="1"/>
      <w:numFmt w:val="bullet"/>
      <w:lvlText w:val=""/>
      <w:lvlJc w:val="left"/>
      <w:pPr>
        <w:ind w:left="4320" w:hanging="360"/>
      </w:pPr>
      <w:rPr>
        <w:rFonts w:ascii="Wingdings" w:hAnsi="Wingdings" w:hint="default"/>
      </w:rPr>
    </w:lvl>
    <w:lvl w:ilvl="6" w:tplc="3A202B0C">
      <w:start w:val="1"/>
      <w:numFmt w:val="bullet"/>
      <w:lvlText w:val=""/>
      <w:lvlJc w:val="left"/>
      <w:pPr>
        <w:ind w:left="5040" w:hanging="360"/>
      </w:pPr>
      <w:rPr>
        <w:rFonts w:ascii="Symbol" w:hAnsi="Symbol" w:hint="default"/>
      </w:rPr>
    </w:lvl>
    <w:lvl w:ilvl="7" w:tplc="C122A928">
      <w:start w:val="1"/>
      <w:numFmt w:val="bullet"/>
      <w:lvlText w:val="o"/>
      <w:lvlJc w:val="left"/>
      <w:pPr>
        <w:ind w:left="5760" w:hanging="360"/>
      </w:pPr>
      <w:rPr>
        <w:rFonts w:ascii="Courier New" w:hAnsi="Courier New" w:hint="default"/>
      </w:rPr>
    </w:lvl>
    <w:lvl w:ilvl="8" w:tplc="CCA0B050">
      <w:start w:val="1"/>
      <w:numFmt w:val="bullet"/>
      <w:lvlText w:val=""/>
      <w:lvlJc w:val="left"/>
      <w:pPr>
        <w:ind w:left="6480" w:hanging="360"/>
      </w:pPr>
      <w:rPr>
        <w:rFonts w:ascii="Wingdings" w:hAnsi="Wingdings" w:hint="default"/>
      </w:rPr>
    </w:lvl>
  </w:abstractNum>
  <w:abstractNum w:abstractNumId="27">
    <w:nsid w:val="4DF45FBE"/>
    <w:multiLevelType w:val="multilevel"/>
    <w:tmpl w:val="80D85AAA"/>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nsid w:val="52D50BC6"/>
    <w:multiLevelType w:val="hybridMultilevel"/>
    <w:tmpl w:val="A07C2AD8"/>
    <w:lvl w:ilvl="0" w:tplc="0809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9">
    <w:nsid w:val="55B5524F"/>
    <w:multiLevelType w:val="hybridMultilevel"/>
    <w:tmpl w:val="B2608DD4"/>
    <w:lvl w:ilvl="0" w:tplc="0809000D">
      <w:start w:val="1"/>
      <w:numFmt w:val="bullet"/>
      <w:lvlText w:val=""/>
      <w:lvlJc w:val="left"/>
      <w:pPr>
        <w:ind w:left="1440" w:hanging="360"/>
      </w:pPr>
      <w:rPr>
        <w:rFonts w:ascii="Wingdings" w:hAnsi="Wingdings"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30">
    <w:nsid w:val="58EC1E17"/>
    <w:multiLevelType w:val="hybridMultilevel"/>
    <w:tmpl w:val="FA8A1252"/>
    <w:lvl w:ilvl="0" w:tplc="18090001">
      <w:start w:val="1"/>
      <w:numFmt w:val="bullet"/>
      <w:lvlText w:val=""/>
      <w:lvlJc w:val="left"/>
      <w:pPr>
        <w:ind w:left="360" w:hanging="360"/>
      </w:pPr>
      <w:rPr>
        <w:rFonts w:ascii="Symbol" w:hAnsi="Symbol" w:hint="default"/>
      </w:rPr>
    </w:lvl>
    <w:lvl w:ilvl="1" w:tplc="08090017">
      <w:start w:val="1"/>
      <w:numFmt w:val="lowerLetter"/>
      <w:lvlText w:val="%2)"/>
      <w:lvlJc w:val="left"/>
      <w:pPr>
        <w:ind w:left="1080" w:hanging="360"/>
      </w:p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1">
    <w:nsid w:val="5D7D5B44"/>
    <w:multiLevelType w:val="hybridMultilevel"/>
    <w:tmpl w:val="13FC2D4E"/>
    <w:lvl w:ilvl="0" w:tplc="18090001">
      <w:start w:val="1"/>
      <w:numFmt w:val="bullet"/>
      <w:lvlText w:val=""/>
      <w:lvlJc w:val="left"/>
      <w:pPr>
        <w:ind w:left="357" w:hanging="360"/>
      </w:pPr>
      <w:rPr>
        <w:rFonts w:ascii="Symbol" w:hAnsi="Symbol" w:hint="default"/>
      </w:rPr>
    </w:lvl>
    <w:lvl w:ilvl="1" w:tplc="08090003">
      <w:start w:val="1"/>
      <w:numFmt w:val="bullet"/>
      <w:lvlText w:val="o"/>
      <w:lvlJc w:val="left"/>
      <w:pPr>
        <w:ind w:left="717" w:hanging="360"/>
      </w:pPr>
      <w:rPr>
        <w:rFonts w:ascii="Courier New" w:hAnsi="Courier New" w:cs="Courier New" w:hint="default"/>
      </w:rPr>
    </w:lvl>
    <w:lvl w:ilvl="2" w:tplc="08090005" w:tentative="1">
      <w:start w:val="1"/>
      <w:numFmt w:val="bullet"/>
      <w:lvlText w:val=""/>
      <w:lvlJc w:val="left"/>
      <w:pPr>
        <w:ind w:left="1437" w:hanging="360"/>
      </w:pPr>
      <w:rPr>
        <w:rFonts w:ascii="Wingdings" w:hAnsi="Wingdings" w:hint="default"/>
      </w:rPr>
    </w:lvl>
    <w:lvl w:ilvl="3" w:tplc="08090001" w:tentative="1">
      <w:start w:val="1"/>
      <w:numFmt w:val="bullet"/>
      <w:lvlText w:val=""/>
      <w:lvlJc w:val="left"/>
      <w:pPr>
        <w:ind w:left="2157" w:hanging="360"/>
      </w:pPr>
      <w:rPr>
        <w:rFonts w:ascii="Symbol" w:hAnsi="Symbol" w:hint="default"/>
      </w:rPr>
    </w:lvl>
    <w:lvl w:ilvl="4" w:tplc="08090003" w:tentative="1">
      <w:start w:val="1"/>
      <w:numFmt w:val="bullet"/>
      <w:lvlText w:val="o"/>
      <w:lvlJc w:val="left"/>
      <w:pPr>
        <w:ind w:left="2877" w:hanging="360"/>
      </w:pPr>
      <w:rPr>
        <w:rFonts w:ascii="Courier New" w:hAnsi="Courier New" w:cs="Courier New" w:hint="default"/>
      </w:rPr>
    </w:lvl>
    <w:lvl w:ilvl="5" w:tplc="08090005" w:tentative="1">
      <w:start w:val="1"/>
      <w:numFmt w:val="bullet"/>
      <w:lvlText w:val=""/>
      <w:lvlJc w:val="left"/>
      <w:pPr>
        <w:ind w:left="3597" w:hanging="360"/>
      </w:pPr>
      <w:rPr>
        <w:rFonts w:ascii="Wingdings" w:hAnsi="Wingdings" w:hint="default"/>
      </w:rPr>
    </w:lvl>
    <w:lvl w:ilvl="6" w:tplc="08090001" w:tentative="1">
      <w:start w:val="1"/>
      <w:numFmt w:val="bullet"/>
      <w:lvlText w:val=""/>
      <w:lvlJc w:val="left"/>
      <w:pPr>
        <w:ind w:left="4317" w:hanging="360"/>
      </w:pPr>
      <w:rPr>
        <w:rFonts w:ascii="Symbol" w:hAnsi="Symbol" w:hint="default"/>
      </w:rPr>
    </w:lvl>
    <w:lvl w:ilvl="7" w:tplc="08090003" w:tentative="1">
      <w:start w:val="1"/>
      <w:numFmt w:val="bullet"/>
      <w:lvlText w:val="o"/>
      <w:lvlJc w:val="left"/>
      <w:pPr>
        <w:ind w:left="5037" w:hanging="360"/>
      </w:pPr>
      <w:rPr>
        <w:rFonts w:ascii="Courier New" w:hAnsi="Courier New" w:cs="Courier New" w:hint="default"/>
      </w:rPr>
    </w:lvl>
    <w:lvl w:ilvl="8" w:tplc="08090005" w:tentative="1">
      <w:start w:val="1"/>
      <w:numFmt w:val="bullet"/>
      <w:lvlText w:val=""/>
      <w:lvlJc w:val="left"/>
      <w:pPr>
        <w:ind w:left="5757" w:hanging="360"/>
      </w:pPr>
      <w:rPr>
        <w:rFonts w:ascii="Wingdings" w:hAnsi="Wingdings" w:hint="default"/>
      </w:rPr>
    </w:lvl>
  </w:abstractNum>
  <w:abstractNum w:abstractNumId="32">
    <w:nsid w:val="66E06D2F"/>
    <w:multiLevelType w:val="hybridMultilevel"/>
    <w:tmpl w:val="F78C4FC4"/>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nsid w:val="6B8760CB"/>
    <w:multiLevelType w:val="hybridMultilevel"/>
    <w:tmpl w:val="DAF22D40"/>
    <w:lvl w:ilvl="0" w:tplc="1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nsid w:val="6BDC1E8C"/>
    <w:multiLevelType w:val="hybridMultilevel"/>
    <w:tmpl w:val="3F028D9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5">
    <w:nsid w:val="72F31D09"/>
    <w:multiLevelType w:val="hybridMultilevel"/>
    <w:tmpl w:val="4F804D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75115882"/>
    <w:multiLevelType w:val="hybridMultilevel"/>
    <w:tmpl w:val="72C45EEA"/>
    <w:lvl w:ilvl="0" w:tplc="080C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nsid w:val="78616A98"/>
    <w:multiLevelType w:val="hybridMultilevel"/>
    <w:tmpl w:val="3B0C950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nsid w:val="7C6E6938"/>
    <w:multiLevelType w:val="multilevel"/>
    <w:tmpl w:val="A7AC1DB2"/>
    <w:lvl w:ilvl="0">
      <w:start w:val="2"/>
      <w:numFmt w:val="decimal"/>
      <w:lvlText w:val="%1."/>
      <w:lvlJc w:val="left"/>
      <w:pPr>
        <w:ind w:left="360" w:hanging="360"/>
      </w:pPr>
      <w:rPr>
        <w:rFonts w:hint="default"/>
        <w:sz w:val="22"/>
      </w:rPr>
    </w:lvl>
    <w:lvl w:ilvl="1">
      <w:start w:val="1"/>
      <w:numFmt w:val="decimal"/>
      <w:lvlText w:val="%1.%2."/>
      <w:lvlJc w:val="left"/>
      <w:pPr>
        <w:ind w:left="720" w:hanging="72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1080" w:hanging="108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440" w:hanging="144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800" w:hanging="1800"/>
      </w:pPr>
      <w:rPr>
        <w:rFonts w:hint="default"/>
        <w:sz w:val="22"/>
      </w:rPr>
    </w:lvl>
    <w:lvl w:ilvl="8">
      <w:start w:val="1"/>
      <w:numFmt w:val="decimal"/>
      <w:lvlText w:val="%1.%2.%3.%4.%5.%6.%7.%8.%9."/>
      <w:lvlJc w:val="left"/>
      <w:pPr>
        <w:ind w:left="1800" w:hanging="1800"/>
      </w:pPr>
      <w:rPr>
        <w:rFonts w:hint="default"/>
        <w:sz w:val="22"/>
      </w:rPr>
    </w:lvl>
  </w:abstractNum>
  <w:abstractNum w:abstractNumId="39">
    <w:nsid w:val="7E364239"/>
    <w:multiLevelType w:val="hybridMultilevel"/>
    <w:tmpl w:val="72E4282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6"/>
  </w:num>
  <w:num w:numId="2">
    <w:abstractNumId w:val="39"/>
  </w:num>
  <w:num w:numId="3">
    <w:abstractNumId w:val="27"/>
  </w:num>
  <w:num w:numId="4">
    <w:abstractNumId w:val="21"/>
  </w:num>
  <w:num w:numId="5">
    <w:abstractNumId w:val="15"/>
  </w:num>
  <w:num w:numId="6">
    <w:abstractNumId w:val="24"/>
  </w:num>
  <w:num w:numId="7">
    <w:abstractNumId w:val="20"/>
  </w:num>
  <w:num w:numId="8">
    <w:abstractNumId w:val="18"/>
  </w:num>
  <w:num w:numId="9">
    <w:abstractNumId w:val="34"/>
  </w:num>
  <w:num w:numId="10">
    <w:abstractNumId w:val="10"/>
  </w:num>
  <w:num w:numId="11">
    <w:abstractNumId w:val="3"/>
  </w:num>
  <w:num w:numId="12">
    <w:abstractNumId w:val="28"/>
  </w:num>
  <w:num w:numId="13">
    <w:abstractNumId w:val="31"/>
  </w:num>
  <w:num w:numId="14">
    <w:abstractNumId w:val="33"/>
  </w:num>
  <w:num w:numId="15">
    <w:abstractNumId w:val="8"/>
  </w:num>
  <w:num w:numId="16">
    <w:abstractNumId w:val="37"/>
  </w:num>
  <w:num w:numId="17">
    <w:abstractNumId w:val="35"/>
  </w:num>
  <w:num w:numId="18">
    <w:abstractNumId w:val="17"/>
  </w:num>
  <w:num w:numId="19">
    <w:abstractNumId w:val="9"/>
  </w:num>
  <w:num w:numId="20">
    <w:abstractNumId w:val="36"/>
  </w:num>
  <w:num w:numId="21">
    <w:abstractNumId w:val="22"/>
  </w:num>
  <w:num w:numId="22">
    <w:abstractNumId w:val="30"/>
    <w:lvlOverride w:ilvl="0"/>
    <w:lvlOverride w:ilvl="1">
      <w:startOverride w:val="1"/>
    </w:lvlOverride>
    <w:lvlOverride w:ilvl="2"/>
    <w:lvlOverride w:ilvl="3"/>
    <w:lvlOverride w:ilvl="4"/>
    <w:lvlOverride w:ilvl="5"/>
    <w:lvlOverride w:ilvl="6"/>
    <w:lvlOverride w:ilvl="7"/>
    <w:lvlOverride w:ilvl="8"/>
  </w:num>
  <w:num w:numId="23">
    <w:abstractNumId w:val="33"/>
  </w:num>
  <w:num w:numId="24">
    <w:abstractNumId w:val="30"/>
  </w:num>
  <w:num w:numId="25">
    <w:abstractNumId w:val="3"/>
  </w:num>
  <w:num w:numId="26">
    <w:abstractNumId w:val="31"/>
  </w:num>
  <w:num w:numId="27">
    <w:abstractNumId w:val="33"/>
  </w:num>
  <w:num w:numId="28">
    <w:abstractNumId w:val="12"/>
  </w:num>
  <w:num w:numId="29">
    <w:abstractNumId w:val="12"/>
  </w:num>
  <w:num w:numId="30">
    <w:abstractNumId w:val="23"/>
  </w:num>
  <w:num w:numId="31">
    <w:abstractNumId w:val="21"/>
  </w:num>
  <w:num w:numId="32">
    <w:abstractNumId w:val="13"/>
  </w:num>
  <w:num w:numId="33">
    <w:abstractNumId w:val="14"/>
  </w:num>
  <w:num w:numId="34">
    <w:abstractNumId w:val="1"/>
  </w:num>
  <w:num w:numId="3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7"/>
  </w:num>
  <w:num w:numId="37">
    <w:abstractNumId w:val="0"/>
  </w:num>
  <w:num w:numId="38">
    <w:abstractNumId w:val="25"/>
  </w:num>
  <w:num w:numId="39">
    <w:abstractNumId w:val="38"/>
  </w:num>
  <w:num w:numId="40">
    <w:abstractNumId w:val="16"/>
  </w:num>
  <w:num w:numId="41">
    <w:abstractNumId w:val="11"/>
  </w:num>
  <w:num w:numId="42">
    <w:abstractNumId w:val="29"/>
  </w:num>
  <w:num w:numId="43">
    <w:abstractNumId w:val="2"/>
  </w:num>
  <w:num w:numId="44">
    <w:abstractNumId w:val="32"/>
  </w:num>
  <w:num w:numId="45">
    <w:abstractNumId w:val="12"/>
  </w:num>
  <w:num w:numId="46">
    <w:abstractNumId w:val="26"/>
  </w:num>
  <w:num w:numId="47">
    <w:abstractNumId w:val="5"/>
  </w:num>
  <w:num w:numId="48">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activeWritingStyle w:appName="MSWord" w:lang="fr-BE" w:vendorID="64" w:dllVersion="6" w:nlCheck="1" w:checkStyle="0"/>
  <w:activeWritingStyle w:appName="MSWord" w:lang="en-IE" w:vendorID="64" w:dllVersion="6" w:nlCheck="1" w:checkStyle="1"/>
  <w:activeWritingStyle w:appName="MSWord" w:lang="en-GB" w:vendorID="64" w:dllVersion="6" w:nlCheck="1" w:checkStyle="1"/>
  <w:activeWritingStyle w:appName="MSWord" w:lang="en-US" w:vendorID="64" w:dllVersion="6" w:nlCheck="1" w:checkStyle="1"/>
  <w:activeWritingStyle w:appName="MSWord" w:lang="it-IT" w:vendorID="64" w:dllVersion="6" w:nlCheck="1" w:checkStyle="0"/>
  <w:activeWritingStyle w:appName="MSWord" w:lang="en-GB" w:vendorID="64" w:dllVersion="4096" w:nlCheck="1" w:checkStyle="0"/>
  <w:activeWritingStyle w:appName="MSWord" w:lang="en-IE" w:vendorID="64" w:dllVersion="131078" w:nlCheck="1" w:checkStyle="1"/>
  <w:activeWritingStyle w:appName="MSWord" w:lang="en-GB" w:vendorID="64" w:dllVersion="131078" w:nlCheck="1" w:checkStyle="1"/>
  <w:activeWritingStyle w:appName="MSWord" w:lang="fr-BE" w:vendorID="64" w:dllVersion="131078" w:nlCheck="1" w:checkStyle="0"/>
  <w:activeWritingStyle w:appName="MSWord" w:lang="en-US" w:vendorID="64" w:dllVersion="131078" w:nlCheck="1" w:checkStyle="1"/>
  <w:activeWritingStyle w:appName="MSWord" w:lang="it-IT" w:vendorID="64" w:dllVersion="131078" w:nlCheck="1" w:checkStyle="0"/>
  <w:activeWritingStyle w:appName="MSWord" w:lang="de-DE" w:vendorID="64" w:dllVersion="131078" w:nlCheck="1" w:checkStyle="0"/>
  <w:revisionView w:markup="0"/>
  <w:defaultTabStop w:val="708"/>
  <w:hyphenationZone w:val="425"/>
  <w:characterSpacingControl w:val="doNotCompress"/>
  <w:hdrShapeDefaults>
    <o:shapedefaults v:ext="edit" spidmax="4505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Status" w:val="Green"/>
    <w:docVar w:name="LW_CORRIGENDUM" w:val="&lt;UNUSED&gt;"/>
    <w:docVar w:name="LW_COVERPAGE_EXISTS" w:val="True"/>
    <w:docVar w:name="LW_COVERPAGE_GUID" w:val="83F3D150-2796-48E5-AAE8-464815DF18A6"/>
    <w:docVar w:name="LW_COVERPAGE_TYPE" w:val="1"/>
    <w:docVar w:name="LW_CROSSREFERENCE" w:val="&lt;UNUSED&gt;"/>
    <w:docVar w:name="LW_DocType" w:val="NORMAL"/>
    <w:docVar w:name="LW_EMISSION" w:val="10.3.2020"/>
    <w:docVar w:name="LW_EMISSION_ISODATE" w:val="2020-03-10"/>
    <w:docVar w:name="LW_EMISSION_LOCATION" w:val="BRX"/>
    <w:docVar w:name="LW_EMISSION_PREFIX" w:val="Bruxelas, "/>
    <w:docVar w:name="LW_EMISSION_SUFFIX" w:val=" "/>
    <w:docVar w:name="LW_ID_DOCTYPE_NONLW" w:val="CP-014"/>
    <w:docVar w:name="LW_LANGUE" w:val="PT"/>
    <w:docVar w:name="LW_LEVEL_OF_SENSITIVITY" w:val="Standard treatment"/>
    <w:docVar w:name="LW_NOM.INST" w:val="COMISSÃO EUROPEIA"/>
    <w:docVar w:name="LW_NOM.INST_JOINTDOC" w:val="&lt;EMPTY&gt;"/>
    <w:docVar w:name="LW_PART_NBR" w:val="1"/>
    <w:docVar w:name="LW_PART_NBR_TOTAL" w:val="1"/>
    <w:docVar w:name="LW_REF.INST.NEW" w:val="COM"/>
    <w:docVar w:name="LW_REF.INST.NEW_ADOPTED" w:val="final"/>
    <w:docVar w:name="LW_REF.INST.NEW_TEXT" w:val="(2020) 103"/>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Uma Estratégia para as PME com vista a uma Europa Sustentável e Digital"/>
    <w:docVar w:name="LW_TYPE.DOC.CP" w:val="COMUNICAÇÃO DA COMISSÃO AO PARLAMENTO EUROPEU, AO CONSELHO, AO COMITÉ ECONÓMICO E SOCIAL EUROPEU E AO COMITÉ DAS REGIÕES"/>
    <w:docVar w:name="LW_TYPE.DOC.CP.USERTEXT" w:val="&lt;EMPTY&gt;"/>
  </w:docVar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4">
    <w:name w:val="heading 4"/>
    <w:basedOn w:val="Normal"/>
    <w:next w:val="Normal"/>
    <w:link w:val="Heading4Char"/>
    <w:uiPriority w:val="9"/>
    <w:semiHidden/>
    <w:unhideWhenUsed/>
    <w:qFormat/>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 bullet 2,Bullet list,List Paragraph1,Numbered List,1st level - Bullet List Paragraph,Lettre d'introduction,List Paragraph11,Normal bullet 21,List Paragraph111,Bullet list1,List Paragraph 2,Dot pt,F5 List Paragraph,Paragrafo elenco"/>
    <w:basedOn w:val="Normal"/>
    <w:link w:val="ListParagraphChar"/>
    <w:uiPriority w:val="34"/>
    <w:qFormat/>
    <w:pPr>
      <w:ind w:left="720"/>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pPr>
      <w:spacing w:line="240" w:lineRule="auto"/>
    </w:pPr>
    <w:rPr>
      <w:rFonts w:eastAsiaTheme="minorEastAsia"/>
      <w:sz w:val="20"/>
      <w:szCs w:val="20"/>
      <w:lang w:eastAsia="fr-BE"/>
    </w:rPr>
  </w:style>
  <w:style w:type="character" w:customStyle="1" w:styleId="CommentTextChar">
    <w:name w:val="Comment Text Char"/>
    <w:basedOn w:val="DefaultParagraphFont"/>
    <w:link w:val="CommentText"/>
    <w:uiPriority w:val="99"/>
    <w:rPr>
      <w:rFonts w:eastAsiaTheme="minorEastAsia"/>
      <w:sz w:val="20"/>
      <w:szCs w:val="20"/>
      <w:lang w:eastAsia="fr-BE"/>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ListParagraphChar">
    <w:name w:val="List Paragraph Char"/>
    <w:aliases w:val="Normal bullet 2 Char,Bullet list Char,List Paragraph1 Char,Numbered List Char,1st level - Bullet List Paragraph Char,Lettre d'introduction Char,List Paragraph11 Char,Normal bullet 21 Char,List Paragraph111 Char,Bullet list1 Char"/>
    <w:basedOn w:val="DefaultParagraphFont"/>
    <w:link w:val="ListParagraph"/>
    <w:uiPriority w:val="34"/>
    <w:qFormat/>
    <w:locked/>
  </w:style>
  <w:style w:type="character" w:customStyle="1" w:styleId="tlid-translation">
    <w:name w:val="tlid-translation"/>
    <w:basedOn w:val="DefaultParagraphFont"/>
  </w:style>
  <w:style w:type="paragraph" w:styleId="CommentSubject">
    <w:name w:val="annotation subject"/>
    <w:basedOn w:val="CommentText"/>
    <w:next w:val="CommentText"/>
    <w:link w:val="CommentSubjectChar"/>
    <w:uiPriority w:val="99"/>
    <w:semiHidden/>
    <w:unhideWhenUsed/>
    <w:rPr>
      <w:rFonts w:eastAsiaTheme="minorHAnsi"/>
      <w:b/>
      <w:bCs/>
      <w:lang w:eastAsia="en-US"/>
    </w:rPr>
  </w:style>
  <w:style w:type="character" w:customStyle="1" w:styleId="CommentSubjectChar">
    <w:name w:val="Comment Subject Char"/>
    <w:basedOn w:val="CommentTextChar"/>
    <w:link w:val="CommentSubject"/>
    <w:uiPriority w:val="99"/>
    <w:semiHidden/>
    <w:rPr>
      <w:rFonts w:eastAsiaTheme="minorEastAsia"/>
      <w:b/>
      <w:bCs/>
      <w:sz w:val="20"/>
      <w:szCs w:val="20"/>
      <w:lang w:eastAsia="fr-BE"/>
    </w:rPr>
  </w:style>
  <w:style w:type="paragraph" w:styleId="Revision">
    <w:name w:val="Revision"/>
    <w:hidden/>
    <w:uiPriority w:val="99"/>
    <w:semiHidden/>
    <w:pPr>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Pr>
      <w:color w:val="0563C1" w:themeColor="hyperlink"/>
      <w:u w:val="single"/>
    </w:rPr>
  </w:style>
  <w:style w:type="paragraph" w:styleId="FootnoteText">
    <w:name w:val="footnote text"/>
    <w:aliases w:val="footnote text,ALTS FOOTNOTE,Footnote Text Char3,Footnote Text Char2 Char,Footnote Text Char Char Char1 Char,Footnote Text Char1 Char1 Char,Footnote Text Char Char Char2,Podrozdział,Footnote Text Char1 Char,Fußnote,Carattere,fn,Footnotes,ft"/>
    <w:basedOn w:val="Normal"/>
    <w:link w:val="FootnoteTextChar"/>
    <w:uiPriority w:val="99"/>
    <w:unhideWhenUsed/>
    <w:qFormat/>
    <w:pPr>
      <w:spacing w:after="0" w:line="240" w:lineRule="auto"/>
    </w:pPr>
    <w:rPr>
      <w:sz w:val="20"/>
      <w:szCs w:val="20"/>
    </w:rPr>
  </w:style>
  <w:style w:type="character" w:customStyle="1" w:styleId="FootnoteTextChar">
    <w:name w:val="Footnote Text Char"/>
    <w:aliases w:val="footnote text Char,ALTS FOOTNOTE Char,Footnote Text Char3 Char,Footnote Text Char2 Char Char,Footnote Text Char Char Char1 Char Char,Footnote Text Char1 Char1 Char Char,Footnote Text Char Char Char2 Char,Podrozdział Char,Fußnote Char"/>
    <w:basedOn w:val="DefaultParagraphFont"/>
    <w:link w:val="FootnoteText"/>
    <w:uiPriority w:val="99"/>
    <w:qFormat/>
    <w:rPr>
      <w:sz w:val="20"/>
      <w:szCs w:val="20"/>
    </w:rPr>
  </w:style>
  <w:style w:type="character" w:styleId="FootnoteReference">
    <w:name w:val="footnote reference"/>
    <w:aliases w:val="Footnote symbol,Footnote,Voetnootverwijzing,Footnote number,fr,o,Footnotemark,FR,Footnotemark1,Footnotemark2,FR1,Footnotemark3,FR2,Footnotemark4,FR3,Footnotemark5,FR4,Footnotemark6,Footnotemark7,Footnotemark8,FR5,F,Ref,Footnotemark11"/>
    <w:basedOn w:val="DefaultParagraphFont"/>
    <w:link w:val="SUPERSCharCharCharCharCharCharCharChar"/>
    <w:uiPriority w:val="99"/>
    <w:unhideWhenUsed/>
    <w:qFormat/>
    <w:rPr>
      <w:vertAlign w:val="superscript"/>
    </w:rPr>
  </w:style>
  <w:style w:type="paragraph" w:customStyle="1" w:styleId="SUPERSCharCharCharCharCharCharCharChar">
    <w:name w:val="SUPERS Char Char Char Char Char Char Char Char"/>
    <w:aliases w:val="SUPERS Tegn Char Char Char Char Char Char Char Char Char,Footnote Reference Number Tegn Char Char Char Char Char Char Char Char Char"/>
    <w:basedOn w:val="Normal"/>
    <w:link w:val="FootnoteReference"/>
    <w:uiPriority w:val="99"/>
    <w:pPr>
      <w:spacing w:line="240" w:lineRule="exact"/>
      <w:jc w:val="both"/>
    </w:pPr>
    <w:rPr>
      <w:vertAlign w:val="superscript"/>
    </w:rPr>
  </w:style>
  <w:style w:type="paragraph" w:customStyle="1" w:styleId="FootnotesymbolCharCharCharChar">
    <w:name w:val="Footnote symbol Char Char Char Char"/>
    <w:aliases w:val="Voetnootverwijzing Char Char Char Char,Times 10 Point Char Char Char Char,Exposant 3 Point Char Char Char Char,Footnote Reference Superscript Char Char Char Cha"/>
    <w:basedOn w:val="Normal"/>
    <w:uiPriority w:val="99"/>
    <w:pPr>
      <w:spacing w:line="240" w:lineRule="exact"/>
    </w:pPr>
    <w:rPr>
      <w:vertAlign w:val="superscript"/>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qFormat/>
    <w:pPr>
      <w:spacing w:line="240" w:lineRule="exact"/>
      <w:jc w:val="both"/>
    </w:pPr>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customStyle="1" w:styleId="EndnoteTextChar">
    <w:name w:val="Endnote Text Char"/>
    <w:basedOn w:val="DefaultParagraphFont"/>
    <w:link w:val="EndnoteText"/>
    <w:uiPriority w:val="99"/>
    <w:semiHidden/>
    <w:rPr>
      <w:sz w:val="20"/>
      <w:szCs w:val="20"/>
    </w:rPr>
  </w:style>
  <w:style w:type="character" w:styleId="EndnoteReference">
    <w:name w:val="endnote reference"/>
    <w:basedOn w:val="DefaultParagraphFont"/>
    <w:uiPriority w:val="99"/>
    <w:semiHidden/>
    <w:unhideWhenUsed/>
    <w:rPr>
      <w:vertAlign w:val="superscript"/>
    </w:rPr>
  </w:style>
  <w:style w:type="character" w:styleId="FollowedHyperlink">
    <w:name w:val="FollowedHyperlink"/>
    <w:basedOn w:val="DefaultParagraphFont"/>
    <w:uiPriority w:val="99"/>
    <w:semiHidden/>
    <w:unhideWhenUsed/>
    <w:rPr>
      <w:color w:val="954F72" w:themeColor="followedHyperlink"/>
      <w:u w:val="single"/>
    </w:rPr>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line="240" w:lineRule="auto"/>
      <w:jc w:val="both"/>
    </w:pPr>
    <w:rPr>
      <w:rFonts w:ascii="Times New Roman" w:hAnsi="Times New Roman" w:cs="Times New Roman"/>
      <w:sz w:val="24"/>
    </w:rPr>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DefaultParagraphFont"/>
    <w:link w:val="FooterCoverPage"/>
    <w:rPr>
      <w:rFonts w:ascii="Times New Roman" w:hAnsi="Times New Roman" w:cs="Times New Roman"/>
      <w:sz w:val="24"/>
    </w:rPr>
  </w:style>
  <w:style w:type="paragraph" w:customStyle="1" w:styleId="FooterSensitivity">
    <w:name w:val="Footer Sensitivity"/>
    <w:basedOn w:val="Normal"/>
    <w:link w:val="FooterSensitivityChar"/>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 w:type="character" w:customStyle="1" w:styleId="FooterSensitivityChar">
    <w:name w:val="Footer Sensitivity Char"/>
    <w:basedOn w:val="DefaultParagraphFont"/>
    <w:link w:val="FooterSensitivity"/>
    <w:rPr>
      <w:rFonts w:ascii="Times New Roman" w:hAnsi="Times New Roman" w:cs="Times New Roman"/>
      <w:b/>
      <w:sz w:val="32"/>
    </w:rPr>
  </w:style>
  <w:style w:type="paragraph" w:customStyle="1" w:styleId="HeaderCoverPage">
    <w:name w:val="Header Cover Page"/>
    <w:basedOn w:val="Normal"/>
    <w:link w:val="HeaderCoverPageChar"/>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DefaultParagraphFont"/>
    <w:link w:val="HeaderCoverPage"/>
    <w:rPr>
      <w:rFonts w:ascii="Times New Roman" w:hAnsi="Times New Roman" w:cs="Times New Roman"/>
      <w:sz w:val="24"/>
    </w:rPr>
  </w:style>
  <w:style w:type="paragraph" w:customStyle="1" w:styleId="HeaderSensitivity">
    <w:name w:val="Header Sensitivity"/>
    <w:basedOn w:val="Normal"/>
    <w:link w:val="HeaderSensitivityChar"/>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rPr>
  </w:style>
  <w:style w:type="character" w:customStyle="1" w:styleId="HeaderSensitivityChar">
    <w:name w:val="Header Sensitivity Char"/>
    <w:basedOn w:val="DefaultParagraphFont"/>
    <w:link w:val="HeaderSensitivity"/>
    <w:rPr>
      <w:rFonts w:ascii="Times New Roman" w:hAnsi="Times New Roman" w:cs="Times New Roman"/>
      <w:b/>
      <w:sz w:val="32"/>
    </w:rPr>
  </w:style>
  <w:style w:type="paragraph" w:customStyle="1" w:styleId="HeaderSensitivityRight">
    <w:name w:val="Header Sensitivity Right"/>
    <w:basedOn w:val="Normal"/>
    <w:link w:val="HeaderSensitivityRightChar"/>
    <w:pPr>
      <w:spacing w:after="120" w:line="240" w:lineRule="auto"/>
      <w:jc w:val="right"/>
    </w:pPr>
    <w:rPr>
      <w:rFonts w:ascii="Times New Roman" w:hAnsi="Times New Roman" w:cs="Times New Roman"/>
      <w:sz w:val="28"/>
    </w:rPr>
  </w:style>
  <w:style w:type="character" w:customStyle="1" w:styleId="HeaderSensitivityRightChar">
    <w:name w:val="Header Sensitivity Right Char"/>
    <w:basedOn w:val="DefaultParagraphFont"/>
    <w:link w:val="HeaderSensitivityRight"/>
    <w:rPr>
      <w:rFonts w:ascii="Times New Roman" w:hAnsi="Times New Roman" w:cs="Times New Roman"/>
      <w:sz w:val="28"/>
    </w:rPr>
  </w:style>
  <w:style w:type="paragraph" w:customStyle="1" w:styleId="Typedudocument">
    <w:name w:val="Type du document"/>
    <w:basedOn w:val="Normal"/>
    <w:next w:val="Normal"/>
    <w:pPr>
      <w:spacing w:before="360" w:after="0" w:line="240" w:lineRule="auto"/>
      <w:jc w:val="center"/>
    </w:pPr>
    <w:rPr>
      <w:rFonts w:ascii="Times New Roman" w:hAnsi="Times New Roman" w:cs="Times New Roman"/>
      <w:b/>
      <w:sz w:val="24"/>
    </w:rPr>
  </w:style>
  <w:style w:type="paragraph" w:customStyle="1" w:styleId="Titreobjet">
    <w:name w:val="Titre objet"/>
    <w:basedOn w:val="Normal"/>
    <w:next w:val="Normal"/>
    <w:pPr>
      <w:spacing w:before="360" w:after="360" w:line="240" w:lineRule="auto"/>
      <w:jc w:val="center"/>
    </w:pPr>
    <w:rPr>
      <w:rFonts w:ascii="Times New Roman" w:hAnsi="Times New Roman" w:cs="Times New Roman"/>
      <w:b/>
      <w:sz w:val="24"/>
    </w:rPr>
  </w:style>
  <w:style w:type="paragraph" w:customStyle="1" w:styleId="LegalNumPar">
    <w:name w:val="LegalNumPar"/>
    <w:basedOn w:val="Normal"/>
    <w:pPr>
      <w:numPr>
        <w:numId w:val="35"/>
      </w:numPr>
      <w:spacing w:line="360" w:lineRule="auto"/>
    </w:pPr>
    <w:rPr>
      <w:rFonts w:ascii="Calibri" w:hAnsi="Calibri" w:cs="Calibri"/>
      <w:sz w:val="24"/>
      <w:szCs w:val="24"/>
    </w:rPr>
  </w:style>
  <w:style w:type="paragraph" w:customStyle="1" w:styleId="LegalNumPar2">
    <w:name w:val="LegalNumPar2"/>
    <w:basedOn w:val="Normal"/>
    <w:pPr>
      <w:numPr>
        <w:ilvl w:val="1"/>
        <w:numId w:val="35"/>
      </w:numPr>
      <w:spacing w:line="360" w:lineRule="auto"/>
    </w:pPr>
    <w:rPr>
      <w:rFonts w:ascii="Calibri" w:hAnsi="Calibri" w:cs="Calibri"/>
      <w:sz w:val="24"/>
      <w:szCs w:val="24"/>
    </w:rPr>
  </w:style>
  <w:style w:type="paragraph" w:customStyle="1" w:styleId="LegalNumPar3">
    <w:name w:val="LegalNumPar3"/>
    <w:basedOn w:val="Normal"/>
    <w:pPr>
      <w:numPr>
        <w:ilvl w:val="2"/>
        <w:numId w:val="35"/>
      </w:numPr>
      <w:spacing w:line="360" w:lineRule="auto"/>
    </w:pPr>
    <w:rPr>
      <w:rFonts w:ascii="Calibri" w:hAnsi="Calibri" w:cs="Calibri"/>
      <w:sz w:val="24"/>
      <w:szCs w:val="24"/>
    </w:rPr>
  </w:style>
  <w:style w:type="character" w:customStyle="1" w:styleId="Heading2Char">
    <w:name w:val="Heading 2 Char"/>
    <w:basedOn w:val="DefaultParagraphFont"/>
    <w:link w:val="Heading2"/>
    <w:uiPriority w:val="9"/>
    <w:rPr>
      <w:rFonts w:ascii="Times New Roman" w:eastAsia="Times New Roman" w:hAnsi="Times New Roman" w:cs="Times New Roman"/>
      <w:b/>
      <w:bCs/>
      <w:sz w:val="36"/>
      <w:szCs w:val="36"/>
      <w:lang w:val="pt-PT" w:eastAsia="en-GB"/>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4">
    <w:name w:val="heading 4"/>
    <w:basedOn w:val="Normal"/>
    <w:next w:val="Normal"/>
    <w:link w:val="Heading4Char"/>
    <w:uiPriority w:val="9"/>
    <w:semiHidden/>
    <w:unhideWhenUsed/>
    <w:qFormat/>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 bullet 2,Bullet list,List Paragraph1,Numbered List,1st level - Bullet List Paragraph,Lettre d'introduction,List Paragraph11,Normal bullet 21,List Paragraph111,Bullet list1,List Paragraph 2,Dot pt,F5 List Paragraph,Paragrafo elenco"/>
    <w:basedOn w:val="Normal"/>
    <w:link w:val="ListParagraphChar"/>
    <w:uiPriority w:val="34"/>
    <w:qFormat/>
    <w:pPr>
      <w:ind w:left="720"/>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pPr>
      <w:spacing w:line="240" w:lineRule="auto"/>
    </w:pPr>
    <w:rPr>
      <w:rFonts w:eastAsiaTheme="minorEastAsia"/>
      <w:sz w:val="20"/>
      <w:szCs w:val="20"/>
      <w:lang w:eastAsia="fr-BE"/>
    </w:rPr>
  </w:style>
  <w:style w:type="character" w:customStyle="1" w:styleId="CommentTextChar">
    <w:name w:val="Comment Text Char"/>
    <w:basedOn w:val="DefaultParagraphFont"/>
    <w:link w:val="CommentText"/>
    <w:uiPriority w:val="99"/>
    <w:rPr>
      <w:rFonts w:eastAsiaTheme="minorEastAsia"/>
      <w:sz w:val="20"/>
      <w:szCs w:val="20"/>
      <w:lang w:eastAsia="fr-BE"/>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ListParagraphChar">
    <w:name w:val="List Paragraph Char"/>
    <w:aliases w:val="Normal bullet 2 Char,Bullet list Char,List Paragraph1 Char,Numbered List Char,1st level - Bullet List Paragraph Char,Lettre d'introduction Char,List Paragraph11 Char,Normal bullet 21 Char,List Paragraph111 Char,Bullet list1 Char"/>
    <w:basedOn w:val="DefaultParagraphFont"/>
    <w:link w:val="ListParagraph"/>
    <w:uiPriority w:val="34"/>
    <w:qFormat/>
    <w:locked/>
  </w:style>
  <w:style w:type="character" w:customStyle="1" w:styleId="tlid-translation">
    <w:name w:val="tlid-translation"/>
    <w:basedOn w:val="DefaultParagraphFont"/>
  </w:style>
  <w:style w:type="paragraph" w:styleId="CommentSubject">
    <w:name w:val="annotation subject"/>
    <w:basedOn w:val="CommentText"/>
    <w:next w:val="CommentText"/>
    <w:link w:val="CommentSubjectChar"/>
    <w:uiPriority w:val="99"/>
    <w:semiHidden/>
    <w:unhideWhenUsed/>
    <w:rPr>
      <w:rFonts w:eastAsiaTheme="minorHAnsi"/>
      <w:b/>
      <w:bCs/>
      <w:lang w:eastAsia="en-US"/>
    </w:rPr>
  </w:style>
  <w:style w:type="character" w:customStyle="1" w:styleId="CommentSubjectChar">
    <w:name w:val="Comment Subject Char"/>
    <w:basedOn w:val="CommentTextChar"/>
    <w:link w:val="CommentSubject"/>
    <w:uiPriority w:val="99"/>
    <w:semiHidden/>
    <w:rPr>
      <w:rFonts w:eastAsiaTheme="minorEastAsia"/>
      <w:b/>
      <w:bCs/>
      <w:sz w:val="20"/>
      <w:szCs w:val="20"/>
      <w:lang w:eastAsia="fr-BE"/>
    </w:rPr>
  </w:style>
  <w:style w:type="paragraph" w:styleId="Revision">
    <w:name w:val="Revision"/>
    <w:hidden/>
    <w:uiPriority w:val="99"/>
    <w:semiHidden/>
    <w:pPr>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Pr>
      <w:color w:val="0563C1" w:themeColor="hyperlink"/>
      <w:u w:val="single"/>
    </w:rPr>
  </w:style>
  <w:style w:type="paragraph" w:styleId="FootnoteText">
    <w:name w:val="footnote text"/>
    <w:aliases w:val="footnote text,ALTS FOOTNOTE,Footnote Text Char3,Footnote Text Char2 Char,Footnote Text Char Char Char1 Char,Footnote Text Char1 Char1 Char,Footnote Text Char Char Char2,Podrozdział,Footnote Text Char1 Char,Fußnote,Carattere,fn,Footnotes,ft"/>
    <w:basedOn w:val="Normal"/>
    <w:link w:val="FootnoteTextChar"/>
    <w:uiPriority w:val="99"/>
    <w:unhideWhenUsed/>
    <w:qFormat/>
    <w:pPr>
      <w:spacing w:after="0" w:line="240" w:lineRule="auto"/>
    </w:pPr>
    <w:rPr>
      <w:sz w:val="20"/>
      <w:szCs w:val="20"/>
    </w:rPr>
  </w:style>
  <w:style w:type="character" w:customStyle="1" w:styleId="FootnoteTextChar">
    <w:name w:val="Footnote Text Char"/>
    <w:aliases w:val="footnote text Char,ALTS FOOTNOTE Char,Footnote Text Char3 Char,Footnote Text Char2 Char Char,Footnote Text Char Char Char1 Char Char,Footnote Text Char1 Char1 Char Char,Footnote Text Char Char Char2 Char,Podrozdział Char,Fußnote Char"/>
    <w:basedOn w:val="DefaultParagraphFont"/>
    <w:link w:val="FootnoteText"/>
    <w:uiPriority w:val="99"/>
    <w:qFormat/>
    <w:rPr>
      <w:sz w:val="20"/>
      <w:szCs w:val="20"/>
    </w:rPr>
  </w:style>
  <w:style w:type="character" w:styleId="FootnoteReference">
    <w:name w:val="footnote reference"/>
    <w:aliases w:val="Footnote symbol,Footnote,Voetnootverwijzing,Footnote number,fr,o,Footnotemark,FR,Footnotemark1,Footnotemark2,FR1,Footnotemark3,FR2,Footnotemark4,FR3,Footnotemark5,FR4,Footnotemark6,Footnotemark7,Footnotemark8,FR5,F,Ref,Footnotemark11"/>
    <w:basedOn w:val="DefaultParagraphFont"/>
    <w:link w:val="SUPERSCharCharCharCharCharCharCharChar"/>
    <w:uiPriority w:val="99"/>
    <w:unhideWhenUsed/>
    <w:qFormat/>
    <w:rPr>
      <w:vertAlign w:val="superscript"/>
    </w:rPr>
  </w:style>
  <w:style w:type="paragraph" w:customStyle="1" w:styleId="SUPERSCharCharCharCharCharCharCharChar">
    <w:name w:val="SUPERS Char Char Char Char Char Char Char Char"/>
    <w:aliases w:val="SUPERS Tegn Char Char Char Char Char Char Char Char Char,Footnote Reference Number Tegn Char Char Char Char Char Char Char Char Char"/>
    <w:basedOn w:val="Normal"/>
    <w:link w:val="FootnoteReference"/>
    <w:uiPriority w:val="99"/>
    <w:pPr>
      <w:spacing w:line="240" w:lineRule="exact"/>
      <w:jc w:val="both"/>
    </w:pPr>
    <w:rPr>
      <w:vertAlign w:val="superscript"/>
    </w:rPr>
  </w:style>
  <w:style w:type="paragraph" w:customStyle="1" w:styleId="FootnotesymbolCharCharCharChar">
    <w:name w:val="Footnote symbol Char Char Char Char"/>
    <w:aliases w:val="Voetnootverwijzing Char Char Char Char,Times 10 Point Char Char Char Char,Exposant 3 Point Char Char Char Char,Footnote Reference Superscript Char Char Char Cha"/>
    <w:basedOn w:val="Normal"/>
    <w:uiPriority w:val="99"/>
    <w:pPr>
      <w:spacing w:line="240" w:lineRule="exact"/>
    </w:pPr>
    <w:rPr>
      <w:vertAlign w:val="superscript"/>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qFormat/>
    <w:pPr>
      <w:spacing w:line="240" w:lineRule="exact"/>
      <w:jc w:val="both"/>
    </w:pPr>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customStyle="1" w:styleId="EndnoteTextChar">
    <w:name w:val="Endnote Text Char"/>
    <w:basedOn w:val="DefaultParagraphFont"/>
    <w:link w:val="EndnoteText"/>
    <w:uiPriority w:val="99"/>
    <w:semiHidden/>
    <w:rPr>
      <w:sz w:val="20"/>
      <w:szCs w:val="20"/>
    </w:rPr>
  </w:style>
  <w:style w:type="character" w:styleId="EndnoteReference">
    <w:name w:val="endnote reference"/>
    <w:basedOn w:val="DefaultParagraphFont"/>
    <w:uiPriority w:val="99"/>
    <w:semiHidden/>
    <w:unhideWhenUsed/>
    <w:rPr>
      <w:vertAlign w:val="superscript"/>
    </w:rPr>
  </w:style>
  <w:style w:type="character" w:styleId="FollowedHyperlink">
    <w:name w:val="FollowedHyperlink"/>
    <w:basedOn w:val="DefaultParagraphFont"/>
    <w:uiPriority w:val="99"/>
    <w:semiHidden/>
    <w:unhideWhenUsed/>
    <w:rPr>
      <w:color w:val="954F72" w:themeColor="followedHyperlink"/>
      <w:u w:val="single"/>
    </w:rPr>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line="240" w:lineRule="auto"/>
      <w:jc w:val="both"/>
    </w:pPr>
    <w:rPr>
      <w:rFonts w:ascii="Times New Roman" w:hAnsi="Times New Roman" w:cs="Times New Roman"/>
      <w:sz w:val="24"/>
    </w:rPr>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DefaultParagraphFont"/>
    <w:link w:val="FooterCoverPage"/>
    <w:rPr>
      <w:rFonts w:ascii="Times New Roman" w:hAnsi="Times New Roman" w:cs="Times New Roman"/>
      <w:sz w:val="24"/>
    </w:rPr>
  </w:style>
  <w:style w:type="paragraph" w:customStyle="1" w:styleId="FooterSensitivity">
    <w:name w:val="Footer Sensitivity"/>
    <w:basedOn w:val="Normal"/>
    <w:link w:val="FooterSensitivityChar"/>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 w:type="character" w:customStyle="1" w:styleId="FooterSensitivityChar">
    <w:name w:val="Footer Sensitivity Char"/>
    <w:basedOn w:val="DefaultParagraphFont"/>
    <w:link w:val="FooterSensitivity"/>
    <w:rPr>
      <w:rFonts w:ascii="Times New Roman" w:hAnsi="Times New Roman" w:cs="Times New Roman"/>
      <w:b/>
      <w:sz w:val="32"/>
    </w:rPr>
  </w:style>
  <w:style w:type="paragraph" w:customStyle="1" w:styleId="HeaderCoverPage">
    <w:name w:val="Header Cover Page"/>
    <w:basedOn w:val="Normal"/>
    <w:link w:val="HeaderCoverPageChar"/>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DefaultParagraphFont"/>
    <w:link w:val="HeaderCoverPage"/>
    <w:rPr>
      <w:rFonts w:ascii="Times New Roman" w:hAnsi="Times New Roman" w:cs="Times New Roman"/>
      <w:sz w:val="24"/>
    </w:rPr>
  </w:style>
  <w:style w:type="paragraph" w:customStyle="1" w:styleId="HeaderSensitivity">
    <w:name w:val="Header Sensitivity"/>
    <w:basedOn w:val="Normal"/>
    <w:link w:val="HeaderSensitivityChar"/>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rPr>
  </w:style>
  <w:style w:type="character" w:customStyle="1" w:styleId="HeaderSensitivityChar">
    <w:name w:val="Header Sensitivity Char"/>
    <w:basedOn w:val="DefaultParagraphFont"/>
    <w:link w:val="HeaderSensitivity"/>
    <w:rPr>
      <w:rFonts w:ascii="Times New Roman" w:hAnsi="Times New Roman" w:cs="Times New Roman"/>
      <w:b/>
      <w:sz w:val="32"/>
    </w:rPr>
  </w:style>
  <w:style w:type="paragraph" w:customStyle="1" w:styleId="HeaderSensitivityRight">
    <w:name w:val="Header Sensitivity Right"/>
    <w:basedOn w:val="Normal"/>
    <w:link w:val="HeaderSensitivityRightChar"/>
    <w:pPr>
      <w:spacing w:after="120" w:line="240" w:lineRule="auto"/>
      <w:jc w:val="right"/>
    </w:pPr>
    <w:rPr>
      <w:rFonts w:ascii="Times New Roman" w:hAnsi="Times New Roman" w:cs="Times New Roman"/>
      <w:sz w:val="28"/>
    </w:rPr>
  </w:style>
  <w:style w:type="character" w:customStyle="1" w:styleId="HeaderSensitivityRightChar">
    <w:name w:val="Header Sensitivity Right Char"/>
    <w:basedOn w:val="DefaultParagraphFont"/>
    <w:link w:val="HeaderSensitivityRight"/>
    <w:rPr>
      <w:rFonts w:ascii="Times New Roman" w:hAnsi="Times New Roman" w:cs="Times New Roman"/>
      <w:sz w:val="28"/>
    </w:rPr>
  </w:style>
  <w:style w:type="paragraph" w:customStyle="1" w:styleId="Typedudocument">
    <w:name w:val="Type du document"/>
    <w:basedOn w:val="Normal"/>
    <w:next w:val="Normal"/>
    <w:pPr>
      <w:spacing w:before="360" w:after="0" w:line="240" w:lineRule="auto"/>
      <w:jc w:val="center"/>
    </w:pPr>
    <w:rPr>
      <w:rFonts w:ascii="Times New Roman" w:hAnsi="Times New Roman" w:cs="Times New Roman"/>
      <w:b/>
      <w:sz w:val="24"/>
    </w:rPr>
  </w:style>
  <w:style w:type="paragraph" w:customStyle="1" w:styleId="Titreobjet">
    <w:name w:val="Titre objet"/>
    <w:basedOn w:val="Normal"/>
    <w:next w:val="Normal"/>
    <w:pPr>
      <w:spacing w:before="360" w:after="360" w:line="240" w:lineRule="auto"/>
      <w:jc w:val="center"/>
    </w:pPr>
    <w:rPr>
      <w:rFonts w:ascii="Times New Roman" w:hAnsi="Times New Roman" w:cs="Times New Roman"/>
      <w:b/>
      <w:sz w:val="24"/>
    </w:rPr>
  </w:style>
  <w:style w:type="paragraph" w:customStyle="1" w:styleId="LegalNumPar">
    <w:name w:val="LegalNumPar"/>
    <w:basedOn w:val="Normal"/>
    <w:pPr>
      <w:numPr>
        <w:numId w:val="35"/>
      </w:numPr>
      <w:spacing w:line="360" w:lineRule="auto"/>
    </w:pPr>
    <w:rPr>
      <w:rFonts w:ascii="Calibri" w:hAnsi="Calibri" w:cs="Calibri"/>
      <w:sz w:val="24"/>
      <w:szCs w:val="24"/>
    </w:rPr>
  </w:style>
  <w:style w:type="paragraph" w:customStyle="1" w:styleId="LegalNumPar2">
    <w:name w:val="LegalNumPar2"/>
    <w:basedOn w:val="Normal"/>
    <w:pPr>
      <w:numPr>
        <w:ilvl w:val="1"/>
        <w:numId w:val="35"/>
      </w:numPr>
      <w:spacing w:line="360" w:lineRule="auto"/>
    </w:pPr>
    <w:rPr>
      <w:rFonts w:ascii="Calibri" w:hAnsi="Calibri" w:cs="Calibri"/>
      <w:sz w:val="24"/>
      <w:szCs w:val="24"/>
    </w:rPr>
  </w:style>
  <w:style w:type="paragraph" w:customStyle="1" w:styleId="LegalNumPar3">
    <w:name w:val="LegalNumPar3"/>
    <w:basedOn w:val="Normal"/>
    <w:pPr>
      <w:numPr>
        <w:ilvl w:val="2"/>
        <w:numId w:val="35"/>
      </w:numPr>
      <w:spacing w:line="360" w:lineRule="auto"/>
    </w:pPr>
    <w:rPr>
      <w:rFonts w:ascii="Calibri" w:hAnsi="Calibri" w:cs="Calibri"/>
      <w:sz w:val="24"/>
      <w:szCs w:val="24"/>
    </w:rPr>
  </w:style>
  <w:style w:type="character" w:customStyle="1" w:styleId="Heading2Char">
    <w:name w:val="Heading 2 Char"/>
    <w:basedOn w:val="DefaultParagraphFont"/>
    <w:link w:val="Heading2"/>
    <w:uiPriority w:val="9"/>
    <w:rPr>
      <w:rFonts w:ascii="Times New Roman" w:eastAsia="Times New Roman" w:hAnsi="Times New Roman" w:cs="Times New Roman"/>
      <w:b/>
      <w:bCs/>
      <w:sz w:val="36"/>
      <w:szCs w:val="36"/>
      <w:lang w:val="pt-PT" w:eastAsia="en-GB"/>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669728">
      <w:bodyDiv w:val="1"/>
      <w:marLeft w:val="0"/>
      <w:marRight w:val="0"/>
      <w:marTop w:val="0"/>
      <w:marBottom w:val="0"/>
      <w:divBdr>
        <w:top w:val="none" w:sz="0" w:space="0" w:color="auto"/>
        <w:left w:val="none" w:sz="0" w:space="0" w:color="auto"/>
        <w:bottom w:val="none" w:sz="0" w:space="0" w:color="auto"/>
        <w:right w:val="none" w:sz="0" w:space="0" w:color="auto"/>
      </w:divBdr>
    </w:div>
    <w:div w:id="56058553">
      <w:bodyDiv w:val="1"/>
      <w:marLeft w:val="0"/>
      <w:marRight w:val="0"/>
      <w:marTop w:val="0"/>
      <w:marBottom w:val="0"/>
      <w:divBdr>
        <w:top w:val="none" w:sz="0" w:space="0" w:color="auto"/>
        <w:left w:val="none" w:sz="0" w:space="0" w:color="auto"/>
        <w:bottom w:val="none" w:sz="0" w:space="0" w:color="auto"/>
        <w:right w:val="none" w:sz="0" w:space="0" w:color="auto"/>
      </w:divBdr>
    </w:div>
    <w:div w:id="105197420">
      <w:bodyDiv w:val="1"/>
      <w:marLeft w:val="0"/>
      <w:marRight w:val="0"/>
      <w:marTop w:val="0"/>
      <w:marBottom w:val="0"/>
      <w:divBdr>
        <w:top w:val="none" w:sz="0" w:space="0" w:color="auto"/>
        <w:left w:val="none" w:sz="0" w:space="0" w:color="auto"/>
        <w:bottom w:val="none" w:sz="0" w:space="0" w:color="auto"/>
        <w:right w:val="none" w:sz="0" w:space="0" w:color="auto"/>
      </w:divBdr>
    </w:div>
    <w:div w:id="225576052">
      <w:bodyDiv w:val="1"/>
      <w:marLeft w:val="0"/>
      <w:marRight w:val="0"/>
      <w:marTop w:val="0"/>
      <w:marBottom w:val="0"/>
      <w:divBdr>
        <w:top w:val="none" w:sz="0" w:space="0" w:color="auto"/>
        <w:left w:val="none" w:sz="0" w:space="0" w:color="auto"/>
        <w:bottom w:val="none" w:sz="0" w:space="0" w:color="auto"/>
        <w:right w:val="none" w:sz="0" w:space="0" w:color="auto"/>
      </w:divBdr>
    </w:div>
    <w:div w:id="328674264">
      <w:bodyDiv w:val="1"/>
      <w:marLeft w:val="0"/>
      <w:marRight w:val="0"/>
      <w:marTop w:val="0"/>
      <w:marBottom w:val="0"/>
      <w:divBdr>
        <w:top w:val="none" w:sz="0" w:space="0" w:color="auto"/>
        <w:left w:val="none" w:sz="0" w:space="0" w:color="auto"/>
        <w:bottom w:val="none" w:sz="0" w:space="0" w:color="auto"/>
        <w:right w:val="none" w:sz="0" w:space="0" w:color="auto"/>
      </w:divBdr>
    </w:div>
    <w:div w:id="480394247">
      <w:bodyDiv w:val="1"/>
      <w:marLeft w:val="0"/>
      <w:marRight w:val="0"/>
      <w:marTop w:val="0"/>
      <w:marBottom w:val="0"/>
      <w:divBdr>
        <w:top w:val="none" w:sz="0" w:space="0" w:color="auto"/>
        <w:left w:val="none" w:sz="0" w:space="0" w:color="auto"/>
        <w:bottom w:val="none" w:sz="0" w:space="0" w:color="auto"/>
        <w:right w:val="none" w:sz="0" w:space="0" w:color="auto"/>
      </w:divBdr>
    </w:div>
    <w:div w:id="541527700">
      <w:bodyDiv w:val="1"/>
      <w:marLeft w:val="0"/>
      <w:marRight w:val="0"/>
      <w:marTop w:val="0"/>
      <w:marBottom w:val="0"/>
      <w:divBdr>
        <w:top w:val="none" w:sz="0" w:space="0" w:color="auto"/>
        <w:left w:val="none" w:sz="0" w:space="0" w:color="auto"/>
        <w:bottom w:val="none" w:sz="0" w:space="0" w:color="auto"/>
        <w:right w:val="none" w:sz="0" w:space="0" w:color="auto"/>
      </w:divBdr>
    </w:div>
    <w:div w:id="577137702">
      <w:bodyDiv w:val="1"/>
      <w:marLeft w:val="0"/>
      <w:marRight w:val="0"/>
      <w:marTop w:val="0"/>
      <w:marBottom w:val="0"/>
      <w:divBdr>
        <w:top w:val="none" w:sz="0" w:space="0" w:color="auto"/>
        <w:left w:val="none" w:sz="0" w:space="0" w:color="auto"/>
        <w:bottom w:val="none" w:sz="0" w:space="0" w:color="auto"/>
        <w:right w:val="none" w:sz="0" w:space="0" w:color="auto"/>
      </w:divBdr>
    </w:div>
    <w:div w:id="582448983">
      <w:bodyDiv w:val="1"/>
      <w:marLeft w:val="0"/>
      <w:marRight w:val="0"/>
      <w:marTop w:val="0"/>
      <w:marBottom w:val="0"/>
      <w:divBdr>
        <w:top w:val="none" w:sz="0" w:space="0" w:color="auto"/>
        <w:left w:val="none" w:sz="0" w:space="0" w:color="auto"/>
        <w:bottom w:val="none" w:sz="0" w:space="0" w:color="auto"/>
        <w:right w:val="none" w:sz="0" w:space="0" w:color="auto"/>
      </w:divBdr>
    </w:div>
    <w:div w:id="598566214">
      <w:bodyDiv w:val="1"/>
      <w:marLeft w:val="0"/>
      <w:marRight w:val="0"/>
      <w:marTop w:val="0"/>
      <w:marBottom w:val="0"/>
      <w:divBdr>
        <w:top w:val="none" w:sz="0" w:space="0" w:color="auto"/>
        <w:left w:val="none" w:sz="0" w:space="0" w:color="auto"/>
        <w:bottom w:val="none" w:sz="0" w:space="0" w:color="auto"/>
        <w:right w:val="none" w:sz="0" w:space="0" w:color="auto"/>
      </w:divBdr>
    </w:div>
    <w:div w:id="635064650">
      <w:bodyDiv w:val="1"/>
      <w:marLeft w:val="0"/>
      <w:marRight w:val="0"/>
      <w:marTop w:val="0"/>
      <w:marBottom w:val="0"/>
      <w:divBdr>
        <w:top w:val="none" w:sz="0" w:space="0" w:color="auto"/>
        <w:left w:val="none" w:sz="0" w:space="0" w:color="auto"/>
        <w:bottom w:val="none" w:sz="0" w:space="0" w:color="auto"/>
        <w:right w:val="none" w:sz="0" w:space="0" w:color="auto"/>
      </w:divBdr>
    </w:div>
    <w:div w:id="676077026">
      <w:bodyDiv w:val="1"/>
      <w:marLeft w:val="0"/>
      <w:marRight w:val="0"/>
      <w:marTop w:val="0"/>
      <w:marBottom w:val="0"/>
      <w:divBdr>
        <w:top w:val="none" w:sz="0" w:space="0" w:color="auto"/>
        <w:left w:val="none" w:sz="0" w:space="0" w:color="auto"/>
        <w:bottom w:val="none" w:sz="0" w:space="0" w:color="auto"/>
        <w:right w:val="none" w:sz="0" w:space="0" w:color="auto"/>
      </w:divBdr>
    </w:div>
    <w:div w:id="691303784">
      <w:bodyDiv w:val="1"/>
      <w:marLeft w:val="0"/>
      <w:marRight w:val="0"/>
      <w:marTop w:val="0"/>
      <w:marBottom w:val="0"/>
      <w:divBdr>
        <w:top w:val="none" w:sz="0" w:space="0" w:color="auto"/>
        <w:left w:val="none" w:sz="0" w:space="0" w:color="auto"/>
        <w:bottom w:val="none" w:sz="0" w:space="0" w:color="auto"/>
        <w:right w:val="none" w:sz="0" w:space="0" w:color="auto"/>
      </w:divBdr>
    </w:div>
    <w:div w:id="700203292">
      <w:bodyDiv w:val="1"/>
      <w:marLeft w:val="0"/>
      <w:marRight w:val="0"/>
      <w:marTop w:val="0"/>
      <w:marBottom w:val="0"/>
      <w:divBdr>
        <w:top w:val="none" w:sz="0" w:space="0" w:color="auto"/>
        <w:left w:val="none" w:sz="0" w:space="0" w:color="auto"/>
        <w:bottom w:val="none" w:sz="0" w:space="0" w:color="auto"/>
        <w:right w:val="none" w:sz="0" w:space="0" w:color="auto"/>
      </w:divBdr>
    </w:div>
    <w:div w:id="703093451">
      <w:bodyDiv w:val="1"/>
      <w:marLeft w:val="0"/>
      <w:marRight w:val="0"/>
      <w:marTop w:val="0"/>
      <w:marBottom w:val="0"/>
      <w:divBdr>
        <w:top w:val="none" w:sz="0" w:space="0" w:color="auto"/>
        <w:left w:val="none" w:sz="0" w:space="0" w:color="auto"/>
        <w:bottom w:val="none" w:sz="0" w:space="0" w:color="auto"/>
        <w:right w:val="none" w:sz="0" w:space="0" w:color="auto"/>
      </w:divBdr>
    </w:div>
    <w:div w:id="766579319">
      <w:bodyDiv w:val="1"/>
      <w:marLeft w:val="0"/>
      <w:marRight w:val="0"/>
      <w:marTop w:val="0"/>
      <w:marBottom w:val="0"/>
      <w:divBdr>
        <w:top w:val="none" w:sz="0" w:space="0" w:color="auto"/>
        <w:left w:val="none" w:sz="0" w:space="0" w:color="auto"/>
        <w:bottom w:val="none" w:sz="0" w:space="0" w:color="auto"/>
        <w:right w:val="none" w:sz="0" w:space="0" w:color="auto"/>
      </w:divBdr>
    </w:div>
    <w:div w:id="853610784">
      <w:bodyDiv w:val="1"/>
      <w:marLeft w:val="0"/>
      <w:marRight w:val="0"/>
      <w:marTop w:val="0"/>
      <w:marBottom w:val="0"/>
      <w:divBdr>
        <w:top w:val="none" w:sz="0" w:space="0" w:color="auto"/>
        <w:left w:val="none" w:sz="0" w:space="0" w:color="auto"/>
        <w:bottom w:val="none" w:sz="0" w:space="0" w:color="auto"/>
        <w:right w:val="none" w:sz="0" w:space="0" w:color="auto"/>
      </w:divBdr>
    </w:div>
    <w:div w:id="862941471">
      <w:bodyDiv w:val="1"/>
      <w:marLeft w:val="0"/>
      <w:marRight w:val="0"/>
      <w:marTop w:val="0"/>
      <w:marBottom w:val="0"/>
      <w:divBdr>
        <w:top w:val="none" w:sz="0" w:space="0" w:color="auto"/>
        <w:left w:val="none" w:sz="0" w:space="0" w:color="auto"/>
        <w:bottom w:val="none" w:sz="0" w:space="0" w:color="auto"/>
        <w:right w:val="none" w:sz="0" w:space="0" w:color="auto"/>
      </w:divBdr>
    </w:div>
    <w:div w:id="907299788">
      <w:bodyDiv w:val="1"/>
      <w:marLeft w:val="0"/>
      <w:marRight w:val="0"/>
      <w:marTop w:val="0"/>
      <w:marBottom w:val="0"/>
      <w:divBdr>
        <w:top w:val="none" w:sz="0" w:space="0" w:color="auto"/>
        <w:left w:val="none" w:sz="0" w:space="0" w:color="auto"/>
        <w:bottom w:val="none" w:sz="0" w:space="0" w:color="auto"/>
        <w:right w:val="none" w:sz="0" w:space="0" w:color="auto"/>
      </w:divBdr>
    </w:div>
    <w:div w:id="919101364">
      <w:bodyDiv w:val="1"/>
      <w:marLeft w:val="0"/>
      <w:marRight w:val="0"/>
      <w:marTop w:val="0"/>
      <w:marBottom w:val="0"/>
      <w:divBdr>
        <w:top w:val="none" w:sz="0" w:space="0" w:color="auto"/>
        <w:left w:val="none" w:sz="0" w:space="0" w:color="auto"/>
        <w:bottom w:val="none" w:sz="0" w:space="0" w:color="auto"/>
        <w:right w:val="none" w:sz="0" w:space="0" w:color="auto"/>
      </w:divBdr>
    </w:div>
    <w:div w:id="970096617">
      <w:bodyDiv w:val="1"/>
      <w:marLeft w:val="0"/>
      <w:marRight w:val="0"/>
      <w:marTop w:val="0"/>
      <w:marBottom w:val="0"/>
      <w:divBdr>
        <w:top w:val="none" w:sz="0" w:space="0" w:color="auto"/>
        <w:left w:val="none" w:sz="0" w:space="0" w:color="auto"/>
        <w:bottom w:val="none" w:sz="0" w:space="0" w:color="auto"/>
        <w:right w:val="none" w:sz="0" w:space="0" w:color="auto"/>
      </w:divBdr>
    </w:div>
    <w:div w:id="1021128189">
      <w:bodyDiv w:val="1"/>
      <w:marLeft w:val="0"/>
      <w:marRight w:val="0"/>
      <w:marTop w:val="0"/>
      <w:marBottom w:val="0"/>
      <w:divBdr>
        <w:top w:val="none" w:sz="0" w:space="0" w:color="auto"/>
        <w:left w:val="none" w:sz="0" w:space="0" w:color="auto"/>
        <w:bottom w:val="none" w:sz="0" w:space="0" w:color="auto"/>
        <w:right w:val="none" w:sz="0" w:space="0" w:color="auto"/>
      </w:divBdr>
    </w:div>
    <w:div w:id="1030227559">
      <w:bodyDiv w:val="1"/>
      <w:marLeft w:val="0"/>
      <w:marRight w:val="0"/>
      <w:marTop w:val="0"/>
      <w:marBottom w:val="0"/>
      <w:divBdr>
        <w:top w:val="none" w:sz="0" w:space="0" w:color="auto"/>
        <w:left w:val="none" w:sz="0" w:space="0" w:color="auto"/>
        <w:bottom w:val="none" w:sz="0" w:space="0" w:color="auto"/>
        <w:right w:val="none" w:sz="0" w:space="0" w:color="auto"/>
      </w:divBdr>
    </w:div>
    <w:div w:id="1040013948">
      <w:bodyDiv w:val="1"/>
      <w:marLeft w:val="0"/>
      <w:marRight w:val="0"/>
      <w:marTop w:val="0"/>
      <w:marBottom w:val="0"/>
      <w:divBdr>
        <w:top w:val="none" w:sz="0" w:space="0" w:color="auto"/>
        <w:left w:val="none" w:sz="0" w:space="0" w:color="auto"/>
        <w:bottom w:val="none" w:sz="0" w:space="0" w:color="auto"/>
        <w:right w:val="none" w:sz="0" w:space="0" w:color="auto"/>
      </w:divBdr>
    </w:div>
    <w:div w:id="1108694443">
      <w:bodyDiv w:val="1"/>
      <w:marLeft w:val="0"/>
      <w:marRight w:val="0"/>
      <w:marTop w:val="0"/>
      <w:marBottom w:val="0"/>
      <w:divBdr>
        <w:top w:val="none" w:sz="0" w:space="0" w:color="auto"/>
        <w:left w:val="none" w:sz="0" w:space="0" w:color="auto"/>
        <w:bottom w:val="none" w:sz="0" w:space="0" w:color="auto"/>
        <w:right w:val="none" w:sz="0" w:space="0" w:color="auto"/>
      </w:divBdr>
    </w:div>
    <w:div w:id="1113742305">
      <w:bodyDiv w:val="1"/>
      <w:marLeft w:val="0"/>
      <w:marRight w:val="0"/>
      <w:marTop w:val="0"/>
      <w:marBottom w:val="0"/>
      <w:divBdr>
        <w:top w:val="none" w:sz="0" w:space="0" w:color="auto"/>
        <w:left w:val="none" w:sz="0" w:space="0" w:color="auto"/>
        <w:bottom w:val="none" w:sz="0" w:space="0" w:color="auto"/>
        <w:right w:val="none" w:sz="0" w:space="0" w:color="auto"/>
      </w:divBdr>
    </w:div>
    <w:div w:id="1137992599">
      <w:bodyDiv w:val="1"/>
      <w:marLeft w:val="0"/>
      <w:marRight w:val="0"/>
      <w:marTop w:val="0"/>
      <w:marBottom w:val="0"/>
      <w:divBdr>
        <w:top w:val="none" w:sz="0" w:space="0" w:color="auto"/>
        <w:left w:val="none" w:sz="0" w:space="0" w:color="auto"/>
        <w:bottom w:val="none" w:sz="0" w:space="0" w:color="auto"/>
        <w:right w:val="none" w:sz="0" w:space="0" w:color="auto"/>
      </w:divBdr>
    </w:div>
    <w:div w:id="1275751378">
      <w:bodyDiv w:val="1"/>
      <w:marLeft w:val="0"/>
      <w:marRight w:val="0"/>
      <w:marTop w:val="0"/>
      <w:marBottom w:val="0"/>
      <w:divBdr>
        <w:top w:val="none" w:sz="0" w:space="0" w:color="auto"/>
        <w:left w:val="none" w:sz="0" w:space="0" w:color="auto"/>
        <w:bottom w:val="none" w:sz="0" w:space="0" w:color="auto"/>
        <w:right w:val="none" w:sz="0" w:space="0" w:color="auto"/>
      </w:divBdr>
    </w:div>
    <w:div w:id="1299990484">
      <w:bodyDiv w:val="1"/>
      <w:marLeft w:val="0"/>
      <w:marRight w:val="0"/>
      <w:marTop w:val="0"/>
      <w:marBottom w:val="0"/>
      <w:divBdr>
        <w:top w:val="none" w:sz="0" w:space="0" w:color="auto"/>
        <w:left w:val="none" w:sz="0" w:space="0" w:color="auto"/>
        <w:bottom w:val="none" w:sz="0" w:space="0" w:color="auto"/>
        <w:right w:val="none" w:sz="0" w:space="0" w:color="auto"/>
      </w:divBdr>
    </w:div>
    <w:div w:id="1301618316">
      <w:bodyDiv w:val="1"/>
      <w:marLeft w:val="0"/>
      <w:marRight w:val="0"/>
      <w:marTop w:val="0"/>
      <w:marBottom w:val="0"/>
      <w:divBdr>
        <w:top w:val="none" w:sz="0" w:space="0" w:color="auto"/>
        <w:left w:val="none" w:sz="0" w:space="0" w:color="auto"/>
        <w:bottom w:val="none" w:sz="0" w:space="0" w:color="auto"/>
        <w:right w:val="none" w:sz="0" w:space="0" w:color="auto"/>
      </w:divBdr>
    </w:div>
    <w:div w:id="1313560804">
      <w:bodyDiv w:val="1"/>
      <w:marLeft w:val="0"/>
      <w:marRight w:val="0"/>
      <w:marTop w:val="0"/>
      <w:marBottom w:val="0"/>
      <w:divBdr>
        <w:top w:val="none" w:sz="0" w:space="0" w:color="auto"/>
        <w:left w:val="none" w:sz="0" w:space="0" w:color="auto"/>
        <w:bottom w:val="none" w:sz="0" w:space="0" w:color="auto"/>
        <w:right w:val="none" w:sz="0" w:space="0" w:color="auto"/>
      </w:divBdr>
    </w:div>
    <w:div w:id="1340810841">
      <w:bodyDiv w:val="1"/>
      <w:marLeft w:val="0"/>
      <w:marRight w:val="0"/>
      <w:marTop w:val="0"/>
      <w:marBottom w:val="0"/>
      <w:divBdr>
        <w:top w:val="none" w:sz="0" w:space="0" w:color="auto"/>
        <w:left w:val="none" w:sz="0" w:space="0" w:color="auto"/>
        <w:bottom w:val="none" w:sz="0" w:space="0" w:color="auto"/>
        <w:right w:val="none" w:sz="0" w:space="0" w:color="auto"/>
      </w:divBdr>
    </w:div>
    <w:div w:id="1365791397">
      <w:bodyDiv w:val="1"/>
      <w:marLeft w:val="0"/>
      <w:marRight w:val="0"/>
      <w:marTop w:val="0"/>
      <w:marBottom w:val="0"/>
      <w:divBdr>
        <w:top w:val="none" w:sz="0" w:space="0" w:color="auto"/>
        <w:left w:val="none" w:sz="0" w:space="0" w:color="auto"/>
        <w:bottom w:val="none" w:sz="0" w:space="0" w:color="auto"/>
        <w:right w:val="none" w:sz="0" w:space="0" w:color="auto"/>
      </w:divBdr>
    </w:div>
    <w:div w:id="1424259674">
      <w:bodyDiv w:val="1"/>
      <w:marLeft w:val="0"/>
      <w:marRight w:val="0"/>
      <w:marTop w:val="0"/>
      <w:marBottom w:val="0"/>
      <w:divBdr>
        <w:top w:val="none" w:sz="0" w:space="0" w:color="auto"/>
        <w:left w:val="none" w:sz="0" w:space="0" w:color="auto"/>
        <w:bottom w:val="none" w:sz="0" w:space="0" w:color="auto"/>
        <w:right w:val="none" w:sz="0" w:space="0" w:color="auto"/>
      </w:divBdr>
    </w:div>
    <w:div w:id="1424909856">
      <w:bodyDiv w:val="1"/>
      <w:marLeft w:val="0"/>
      <w:marRight w:val="0"/>
      <w:marTop w:val="0"/>
      <w:marBottom w:val="0"/>
      <w:divBdr>
        <w:top w:val="none" w:sz="0" w:space="0" w:color="auto"/>
        <w:left w:val="none" w:sz="0" w:space="0" w:color="auto"/>
        <w:bottom w:val="none" w:sz="0" w:space="0" w:color="auto"/>
        <w:right w:val="none" w:sz="0" w:space="0" w:color="auto"/>
      </w:divBdr>
    </w:div>
    <w:div w:id="1455253489">
      <w:bodyDiv w:val="1"/>
      <w:marLeft w:val="0"/>
      <w:marRight w:val="0"/>
      <w:marTop w:val="0"/>
      <w:marBottom w:val="0"/>
      <w:divBdr>
        <w:top w:val="none" w:sz="0" w:space="0" w:color="auto"/>
        <w:left w:val="none" w:sz="0" w:space="0" w:color="auto"/>
        <w:bottom w:val="none" w:sz="0" w:space="0" w:color="auto"/>
        <w:right w:val="none" w:sz="0" w:space="0" w:color="auto"/>
      </w:divBdr>
    </w:div>
    <w:div w:id="1459371974">
      <w:bodyDiv w:val="1"/>
      <w:marLeft w:val="0"/>
      <w:marRight w:val="0"/>
      <w:marTop w:val="0"/>
      <w:marBottom w:val="0"/>
      <w:divBdr>
        <w:top w:val="none" w:sz="0" w:space="0" w:color="auto"/>
        <w:left w:val="none" w:sz="0" w:space="0" w:color="auto"/>
        <w:bottom w:val="none" w:sz="0" w:space="0" w:color="auto"/>
        <w:right w:val="none" w:sz="0" w:space="0" w:color="auto"/>
      </w:divBdr>
    </w:div>
    <w:div w:id="1461335548">
      <w:bodyDiv w:val="1"/>
      <w:marLeft w:val="0"/>
      <w:marRight w:val="0"/>
      <w:marTop w:val="0"/>
      <w:marBottom w:val="0"/>
      <w:divBdr>
        <w:top w:val="none" w:sz="0" w:space="0" w:color="auto"/>
        <w:left w:val="none" w:sz="0" w:space="0" w:color="auto"/>
        <w:bottom w:val="none" w:sz="0" w:space="0" w:color="auto"/>
        <w:right w:val="none" w:sz="0" w:space="0" w:color="auto"/>
      </w:divBdr>
    </w:div>
    <w:div w:id="1480808641">
      <w:bodyDiv w:val="1"/>
      <w:marLeft w:val="0"/>
      <w:marRight w:val="0"/>
      <w:marTop w:val="0"/>
      <w:marBottom w:val="0"/>
      <w:divBdr>
        <w:top w:val="none" w:sz="0" w:space="0" w:color="auto"/>
        <w:left w:val="none" w:sz="0" w:space="0" w:color="auto"/>
        <w:bottom w:val="none" w:sz="0" w:space="0" w:color="auto"/>
        <w:right w:val="none" w:sz="0" w:space="0" w:color="auto"/>
      </w:divBdr>
    </w:div>
    <w:div w:id="1541700800">
      <w:bodyDiv w:val="1"/>
      <w:marLeft w:val="0"/>
      <w:marRight w:val="0"/>
      <w:marTop w:val="0"/>
      <w:marBottom w:val="0"/>
      <w:divBdr>
        <w:top w:val="none" w:sz="0" w:space="0" w:color="auto"/>
        <w:left w:val="none" w:sz="0" w:space="0" w:color="auto"/>
        <w:bottom w:val="none" w:sz="0" w:space="0" w:color="auto"/>
        <w:right w:val="none" w:sz="0" w:space="0" w:color="auto"/>
      </w:divBdr>
    </w:div>
    <w:div w:id="1569727907">
      <w:bodyDiv w:val="1"/>
      <w:marLeft w:val="0"/>
      <w:marRight w:val="0"/>
      <w:marTop w:val="0"/>
      <w:marBottom w:val="0"/>
      <w:divBdr>
        <w:top w:val="none" w:sz="0" w:space="0" w:color="auto"/>
        <w:left w:val="none" w:sz="0" w:space="0" w:color="auto"/>
        <w:bottom w:val="none" w:sz="0" w:space="0" w:color="auto"/>
        <w:right w:val="none" w:sz="0" w:space="0" w:color="auto"/>
      </w:divBdr>
    </w:div>
    <w:div w:id="1605310629">
      <w:bodyDiv w:val="1"/>
      <w:marLeft w:val="0"/>
      <w:marRight w:val="0"/>
      <w:marTop w:val="0"/>
      <w:marBottom w:val="0"/>
      <w:divBdr>
        <w:top w:val="none" w:sz="0" w:space="0" w:color="auto"/>
        <w:left w:val="none" w:sz="0" w:space="0" w:color="auto"/>
        <w:bottom w:val="none" w:sz="0" w:space="0" w:color="auto"/>
        <w:right w:val="none" w:sz="0" w:space="0" w:color="auto"/>
      </w:divBdr>
    </w:div>
    <w:div w:id="1686596140">
      <w:bodyDiv w:val="1"/>
      <w:marLeft w:val="0"/>
      <w:marRight w:val="0"/>
      <w:marTop w:val="0"/>
      <w:marBottom w:val="0"/>
      <w:divBdr>
        <w:top w:val="none" w:sz="0" w:space="0" w:color="auto"/>
        <w:left w:val="none" w:sz="0" w:space="0" w:color="auto"/>
        <w:bottom w:val="none" w:sz="0" w:space="0" w:color="auto"/>
        <w:right w:val="none" w:sz="0" w:space="0" w:color="auto"/>
      </w:divBdr>
    </w:div>
    <w:div w:id="1688369746">
      <w:bodyDiv w:val="1"/>
      <w:marLeft w:val="0"/>
      <w:marRight w:val="0"/>
      <w:marTop w:val="0"/>
      <w:marBottom w:val="0"/>
      <w:divBdr>
        <w:top w:val="none" w:sz="0" w:space="0" w:color="auto"/>
        <w:left w:val="none" w:sz="0" w:space="0" w:color="auto"/>
        <w:bottom w:val="none" w:sz="0" w:space="0" w:color="auto"/>
        <w:right w:val="none" w:sz="0" w:space="0" w:color="auto"/>
      </w:divBdr>
    </w:div>
    <w:div w:id="1762990731">
      <w:bodyDiv w:val="1"/>
      <w:marLeft w:val="0"/>
      <w:marRight w:val="0"/>
      <w:marTop w:val="0"/>
      <w:marBottom w:val="0"/>
      <w:divBdr>
        <w:top w:val="none" w:sz="0" w:space="0" w:color="auto"/>
        <w:left w:val="none" w:sz="0" w:space="0" w:color="auto"/>
        <w:bottom w:val="none" w:sz="0" w:space="0" w:color="auto"/>
        <w:right w:val="none" w:sz="0" w:space="0" w:color="auto"/>
      </w:divBdr>
    </w:div>
    <w:div w:id="1798140616">
      <w:bodyDiv w:val="1"/>
      <w:marLeft w:val="0"/>
      <w:marRight w:val="0"/>
      <w:marTop w:val="0"/>
      <w:marBottom w:val="0"/>
      <w:divBdr>
        <w:top w:val="none" w:sz="0" w:space="0" w:color="auto"/>
        <w:left w:val="none" w:sz="0" w:space="0" w:color="auto"/>
        <w:bottom w:val="none" w:sz="0" w:space="0" w:color="auto"/>
        <w:right w:val="none" w:sz="0" w:space="0" w:color="auto"/>
      </w:divBdr>
    </w:div>
    <w:div w:id="1826776255">
      <w:bodyDiv w:val="1"/>
      <w:marLeft w:val="0"/>
      <w:marRight w:val="0"/>
      <w:marTop w:val="0"/>
      <w:marBottom w:val="0"/>
      <w:divBdr>
        <w:top w:val="none" w:sz="0" w:space="0" w:color="auto"/>
        <w:left w:val="none" w:sz="0" w:space="0" w:color="auto"/>
        <w:bottom w:val="none" w:sz="0" w:space="0" w:color="auto"/>
        <w:right w:val="none" w:sz="0" w:space="0" w:color="auto"/>
      </w:divBdr>
    </w:div>
    <w:div w:id="1843542711">
      <w:bodyDiv w:val="1"/>
      <w:marLeft w:val="0"/>
      <w:marRight w:val="0"/>
      <w:marTop w:val="0"/>
      <w:marBottom w:val="0"/>
      <w:divBdr>
        <w:top w:val="none" w:sz="0" w:space="0" w:color="auto"/>
        <w:left w:val="none" w:sz="0" w:space="0" w:color="auto"/>
        <w:bottom w:val="none" w:sz="0" w:space="0" w:color="auto"/>
        <w:right w:val="none" w:sz="0" w:space="0" w:color="auto"/>
      </w:divBdr>
    </w:div>
    <w:div w:id="1853646550">
      <w:bodyDiv w:val="1"/>
      <w:marLeft w:val="0"/>
      <w:marRight w:val="0"/>
      <w:marTop w:val="0"/>
      <w:marBottom w:val="0"/>
      <w:divBdr>
        <w:top w:val="none" w:sz="0" w:space="0" w:color="auto"/>
        <w:left w:val="none" w:sz="0" w:space="0" w:color="auto"/>
        <w:bottom w:val="none" w:sz="0" w:space="0" w:color="auto"/>
        <w:right w:val="none" w:sz="0" w:space="0" w:color="auto"/>
      </w:divBdr>
    </w:div>
    <w:div w:id="1892106886">
      <w:bodyDiv w:val="1"/>
      <w:marLeft w:val="0"/>
      <w:marRight w:val="0"/>
      <w:marTop w:val="0"/>
      <w:marBottom w:val="0"/>
      <w:divBdr>
        <w:top w:val="none" w:sz="0" w:space="0" w:color="auto"/>
        <w:left w:val="none" w:sz="0" w:space="0" w:color="auto"/>
        <w:bottom w:val="none" w:sz="0" w:space="0" w:color="auto"/>
        <w:right w:val="none" w:sz="0" w:space="0" w:color="auto"/>
      </w:divBdr>
    </w:div>
    <w:div w:id="1893496944">
      <w:bodyDiv w:val="1"/>
      <w:marLeft w:val="0"/>
      <w:marRight w:val="0"/>
      <w:marTop w:val="0"/>
      <w:marBottom w:val="0"/>
      <w:divBdr>
        <w:top w:val="none" w:sz="0" w:space="0" w:color="auto"/>
        <w:left w:val="none" w:sz="0" w:space="0" w:color="auto"/>
        <w:bottom w:val="none" w:sz="0" w:space="0" w:color="auto"/>
        <w:right w:val="none" w:sz="0" w:space="0" w:color="auto"/>
      </w:divBdr>
    </w:div>
    <w:div w:id="1930381527">
      <w:bodyDiv w:val="1"/>
      <w:marLeft w:val="0"/>
      <w:marRight w:val="0"/>
      <w:marTop w:val="0"/>
      <w:marBottom w:val="0"/>
      <w:divBdr>
        <w:top w:val="none" w:sz="0" w:space="0" w:color="auto"/>
        <w:left w:val="none" w:sz="0" w:space="0" w:color="auto"/>
        <w:bottom w:val="none" w:sz="0" w:space="0" w:color="auto"/>
        <w:right w:val="none" w:sz="0" w:space="0" w:color="auto"/>
      </w:divBdr>
    </w:div>
    <w:div w:id="1935555682">
      <w:bodyDiv w:val="1"/>
      <w:marLeft w:val="0"/>
      <w:marRight w:val="0"/>
      <w:marTop w:val="0"/>
      <w:marBottom w:val="0"/>
      <w:divBdr>
        <w:top w:val="none" w:sz="0" w:space="0" w:color="auto"/>
        <w:left w:val="none" w:sz="0" w:space="0" w:color="auto"/>
        <w:bottom w:val="none" w:sz="0" w:space="0" w:color="auto"/>
        <w:right w:val="none" w:sz="0" w:space="0" w:color="auto"/>
      </w:divBdr>
    </w:div>
    <w:div w:id="1957592574">
      <w:bodyDiv w:val="1"/>
      <w:marLeft w:val="0"/>
      <w:marRight w:val="0"/>
      <w:marTop w:val="0"/>
      <w:marBottom w:val="0"/>
      <w:divBdr>
        <w:top w:val="none" w:sz="0" w:space="0" w:color="auto"/>
        <w:left w:val="none" w:sz="0" w:space="0" w:color="auto"/>
        <w:bottom w:val="none" w:sz="0" w:space="0" w:color="auto"/>
        <w:right w:val="none" w:sz="0" w:space="0" w:color="auto"/>
      </w:divBdr>
    </w:div>
    <w:div w:id="2021466372">
      <w:bodyDiv w:val="1"/>
      <w:marLeft w:val="0"/>
      <w:marRight w:val="0"/>
      <w:marTop w:val="0"/>
      <w:marBottom w:val="0"/>
      <w:divBdr>
        <w:top w:val="none" w:sz="0" w:space="0" w:color="auto"/>
        <w:left w:val="none" w:sz="0" w:space="0" w:color="auto"/>
        <w:bottom w:val="none" w:sz="0" w:space="0" w:color="auto"/>
        <w:right w:val="none" w:sz="0" w:space="0" w:color="auto"/>
      </w:divBdr>
    </w:div>
    <w:div w:id="2078042721">
      <w:bodyDiv w:val="1"/>
      <w:marLeft w:val="0"/>
      <w:marRight w:val="0"/>
      <w:marTop w:val="0"/>
      <w:marBottom w:val="0"/>
      <w:divBdr>
        <w:top w:val="none" w:sz="0" w:space="0" w:color="auto"/>
        <w:left w:val="none" w:sz="0" w:space="0" w:color="auto"/>
        <w:bottom w:val="none" w:sz="0" w:space="0" w:color="auto"/>
        <w:right w:val="none" w:sz="0" w:space="0" w:color="auto"/>
      </w:divBdr>
    </w:div>
    <w:div w:id="2088988415">
      <w:bodyDiv w:val="1"/>
      <w:marLeft w:val="0"/>
      <w:marRight w:val="0"/>
      <w:marTop w:val="0"/>
      <w:marBottom w:val="0"/>
      <w:divBdr>
        <w:top w:val="none" w:sz="0" w:space="0" w:color="auto"/>
        <w:left w:val="none" w:sz="0" w:space="0" w:color="auto"/>
        <w:bottom w:val="none" w:sz="0" w:space="0" w:color="auto"/>
        <w:right w:val="none" w:sz="0" w:space="0" w:color="auto"/>
      </w:divBdr>
    </w:div>
    <w:div w:id="2113281890">
      <w:bodyDiv w:val="1"/>
      <w:marLeft w:val="0"/>
      <w:marRight w:val="0"/>
      <w:marTop w:val="0"/>
      <w:marBottom w:val="0"/>
      <w:divBdr>
        <w:top w:val="none" w:sz="0" w:space="0" w:color="auto"/>
        <w:left w:val="none" w:sz="0" w:space="0" w:color="auto"/>
        <w:bottom w:val="none" w:sz="0" w:space="0" w:color="auto"/>
        <w:right w:val="none" w:sz="0" w:space="0" w:color="auto"/>
      </w:divBdr>
    </w:div>
    <w:div w:id="2126925701">
      <w:bodyDiv w:val="1"/>
      <w:marLeft w:val="0"/>
      <w:marRight w:val="0"/>
      <w:marTop w:val="0"/>
      <w:marBottom w:val="0"/>
      <w:divBdr>
        <w:top w:val="none" w:sz="0" w:space="0" w:color="auto"/>
        <w:left w:val="none" w:sz="0" w:space="0" w:color="auto"/>
        <w:bottom w:val="none" w:sz="0" w:space="0" w:color="auto"/>
        <w:right w:val="none" w:sz="0" w:space="0" w:color="auto"/>
      </w:divBdr>
    </w:div>
    <w:div w:id="2137941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oter" Target="footer6.xml"/><Relationship Id="rId3" Type="http://schemas.openxmlformats.org/officeDocument/2006/relationships/customXml" Target="../customXml/item3.xml"/><Relationship Id="rId21" Type="http://schemas.openxmlformats.org/officeDocument/2006/relationships/header" Target="header4.xml"/><Relationship Id="rId7" Type="http://schemas.microsoft.com/office/2007/relationships/stylesWithEffects" Target="stylesWithEffects.xml"/><Relationship Id="rId12" Type="http://schemas.openxmlformats.org/officeDocument/2006/relationships/image" Target="media/image1.emf"/><Relationship Id="rId17" Type="http://schemas.openxmlformats.org/officeDocument/2006/relationships/header" Target="header3.xml"/><Relationship Id="rId25"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oter" Target="footer4.xm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2.emf"/><Relationship Id="rId31"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eader" Target="header5.xm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ec.europa.eu/growth/smes/business-friendly-environment/performance-review_en" TargetMode="External"/><Relationship Id="rId2" Type="http://schemas.openxmlformats.org/officeDocument/2006/relationships/hyperlink" Target="https://ec.europa.eu/digital-single-market/en/startup-europe" TargetMode="External"/><Relationship Id="rId1" Type="http://schemas.openxmlformats.org/officeDocument/2006/relationships/hyperlink" Target="https://myremote.ec.europa.eu/futurium/en/system/files/ged/,DanaInfo=.aedBhywuwiIo5,SSL+dihs_access_to_finance_report_final.pdf" TargetMode="External"/><Relationship Id="rId6" Type="http://schemas.openxmlformats.org/officeDocument/2006/relationships/hyperlink" Target="https://ec.europa.eu/info/consultations/public-consultation-review-sme-definition_en" TargetMode="External"/><Relationship Id="rId5" Type="http://schemas.openxmlformats.org/officeDocument/2006/relationships/hyperlink" Target="https://2019.stateofeuropeantech.com/chart/103-1338/" TargetMode="External"/><Relationship Id="rId4" Type="http://schemas.openxmlformats.org/officeDocument/2006/relationships/hyperlink" Target="http://www.eusmecentre.org.c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Status xmlns="http://schemas.microsoft.com/sharepoint/v3/fields">Not Started</_Status>
    <EC_Collab_DocumentLanguage xmlns="0ae9d80c-d168-4227-9135-7e51177c39c6">EN</EC_Collab_DocumentLanguage>
    <EC_Collab_Reference xmlns="0ae9d80c-d168-4227-9135-7e51177c39c6" xsi:nil="true"/>
    <EC_Collab_Status xmlns="0ae9d80c-d168-4227-9135-7e51177c39c6">Not Started</EC_Collab_Status>
  </documentManagement>
</p:properties>
</file>

<file path=customXml/item3.xml><?xml version="1.0" encoding="utf-8"?>
<ct:contentTypeSchema xmlns:ct="http://schemas.microsoft.com/office/2006/metadata/contentType" xmlns:ma="http://schemas.microsoft.com/office/2006/metadata/properties/metaAttributes" ct:_="" ma:_="" ma:contentTypeName="EC Document" ma:contentTypeID="0x010100258AA79CEB83498886A3A0868112325000D0E32E32D7256142BDEF810ED1B7B073" ma:contentTypeVersion="0" ma:contentTypeDescription="Create a new document in this library." ma:contentTypeScope="" ma:versionID="bfc4f84da8293413027d30d8223196cf">
  <xsd:schema xmlns:xsd="http://www.w3.org/2001/XMLSchema" xmlns:xs="http://www.w3.org/2001/XMLSchema" xmlns:p="http://schemas.microsoft.com/office/2006/metadata/properties" xmlns:ns2="http://schemas.microsoft.com/sharepoint/v3/fields" xmlns:ns3="0ae9d80c-d168-4227-9135-7e51177c39c6" targetNamespace="http://schemas.microsoft.com/office/2006/metadata/properties" ma:root="true" ma:fieldsID="7a668d2db3e327ea3ada109dd93967a8" ns2:_="" ns3:_="">
    <xsd:import namespace="http://schemas.microsoft.com/sharepoint/v3/fields"/>
    <xsd:import namespace="0ae9d80c-d168-4227-9135-7e51177c39c6"/>
    <xsd:element name="properties">
      <xsd:complexType>
        <xsd:sequence>
          <xsd:element name="documentManagement">
            <xsd:complexType>
              <xsd:all>
                <xsd:element ref="ns3:EC_Collab_Reference" minOccurs="0"/>
                <xsd:element ref="ns2:_Status" minOccurs="0"/>
                <xsd:element ref="ns3:EC_Collab_DocumentLanguage"/>
                <xsd:element ref="ns3:EC_Collab_Status"/>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3"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ae9d80c-d168-4227-9135-7e51177c39c6" elementFormDefault="qualified">
    <xsd:import namespace="http://schemas.microsoft.com/office/2006/documentManagement/types"/>
    <xsd:import namespace="http://schemas.microsoft.com/office/infopath/2007/PartnerControls"/>
    <xsd:element name="EC_Collab_Reference" ma:index="12" nillable="true" ma:displayName="Reference" ma:internalName="EC_Collab_Reference">
      <xsd:simpleType>
        <xsd:restriction base="dms:Text"/>
      </xsd:simpleType>
    </xsd:element>
    <xsd:element name="EC_Collab_DocumentLanguage" ma:index="14" ma:displayName="Language" ma:default="EN" ma:internalName="EC_Collab_DocumentLanguage">
      <xsd:simpleType>
        <xsd:restriction base="dms:Choice">
          <xsd:enumeration value="BG"/>
          <xsd:enumeration value="ES"/>
          <xsd:enumeration value="CS"/>
          <xsd:enumeration value="DA"/>
          <xsd:enumeration value="DE"/>
          <xsd:enumeration value="ET"/>
          <xsd:enumeration value="EL"/>
          <xsd:enumeration value="EN"/>
          <xsd:enumeration value="FR"/>
          <xsd:enumeration value="GA"/>
          <xsd:enumeration value="IT"/>
          <xsd:enumeration value="LT"/>
          <xsd:enumeration value="LV"/>
          <xsd:enumeration value="HU"/>
          <xsd:enumeration value="MT"/>
          <xsd:enumeration value="NL"/>
          <xsd:enumeration value="PL"/>
          <xsd:enumeration value="PT"/>
          <xsd:enumeration value="RO"/>
          <xsd:enumeration value="SK"/>
          <xsd:enumeration value="SL"/>
          <xsd:enumeration value="FI"/>
          <xsd:enumeration value="SV"/>
          <xsd:enumeration value="HR"/>
          <xsd:enumeration value="MK"/>
          <xsd:enumeration value="TR"/>
          <xsd:enumeration value="EU"/>
          <xsd:enumeration value="CA"/>
          <xsd:enumeration value="GL"/>
          <xsd:enumeration value="AB"/>
          <xsd:enumeration value="AA"/>
          <xsd:enumeration value="AF"/>
          <xsd:enumeration value="AK"/>
          <xsd:enumeration value="SQ"/>
          <xsd:enumeration value="AM"/>
          <xsd:enumeration value="AR"/>
          <xsd:enumeration value="AN"/>
          <xsd:enumeration value="HY"/>
          <xsd:enumeration value="AS"/>
          <xsd:enumeration value="AV"/>
          <xsd:enumeration value="AE"/>
          <xsd:enumeration value="AY"/>
          <xsd:enumeration value="AZ"/>
          <xsd:enumeration value="BM"/>
          <xsd:enumeration value="BA"/>
          <xsd:enumeration value="BE"/>
          <xsd:enumeration value="BN"/>
          <xsd:enumeration value="BH"/>
          <xsd:enumeration value="BI"/>
          <xsd:enumeration value="NB"/>
          <xsd:enumeration value="BS"/>
          <xsd:enumeration value="BR"/>
          <xsd:enumeration value="MY"/>
          <xsd:enumeration value="KM"/>
          <xsd:enumeration value="CH"/>
          <xsd:enumeration value="CE"/>
          <xsd:enumeration value="NY"/>
          <xsd:enumeration value="ZH"/>
          <xsd:enumeration value="CU"/>
          <xsd:enumeration value="CV"/>
          <xsd:enumeration value="KW"/>
          <xsd:enumeration value="CO"/>
          <xsd:enumeration value="CR"/>
          <xsd:enumeration value="DV"/>
          <xsd:enumeration value="DZ"/>
          <xsd:enumeration value="EO"/>
          <xsd:enumeration value="EE"/>
          <xsd:enumeration value="FO"/>
          <xsd:enumeration value="FJ"/>
          <xsd:enumeration value="FF"/>
          <xsd:enumeration value="GD"/>
          <xsd:enumeration value="LG"/>
          <xsd:enumeration value="KA"/>
          <xsd:enumeration value="GN"/>
          <xsd:enumeration value="GU"/>
          <xsd:enumeration value="HT"/>
          <xsd:enumeration value="HA"/>
          <xsd:enumeration value="HE"/>
          <xsd:enumeration value="HZ"/>
          <xsd:enumeration value="HI"/>
          <xsd:enumeration value="HO"/>
          <xsd:enumeration value="IS"/>
          <xsd:enumeration value="IO"/>
          <xsd:enumeration value="IG"/>
          <xsd:enumeration value="ID"/>
          <xsd:enumeration value="IA"/>
          <xsd:enumeration value="IE"/>
          <xsd:enumeration value="IU"/>
          <xsd:enumeration value="IK"/>
          <xsd:enumeration value="JA"/>
          <xsd:enumeration value="JV"/>
          <xsd:enumeration value="KL"/>
          <xsd:enumeration value="KN"/>
          <xsd:enumeration value="KR"/>
          <xsd:enumeration value="KS"/>
          <xsd:enumeration value="KK"/>
          <xsd:enumeration value="KI"/>
          <xsd:enumeration value="RW"/>
          <xsd:enumeration value="KY"/>
          <xsd:enumeration value="KV"/>
          <xsd:enumeration value="KG"/>
          <xsd:enumeration value="KO"/>
          <xsd:enumeration value="KJ"/>
          <xsd:enumeration value="KU"/>
          <xsd:enumeration value="LO"/>
          <xsd:enumeration value="LA"/>
          <xsd:enumeration value="LI"/>
          <xsd:enumeration value="LN"/>
          <xsd:enumeration value="LU"/>
          <xsd:enumeration value="LB"/>
          <xsd:enumeration value="MG"/>
          <xsd:enumeration value="MS"/>
          <xsd:enumeration value="ML"/>
          <xsd:enumeration value="GV"/>
          <xsd:enumeration value="MI"/>
          <xsd:enumeration value="MR"/>
          <xsd:enumeration value="MH"/>
          <xsd:enumeration value="MN"/>
          <xsd:enumeration value="NA"/>
          <xsd:enumeration value="NV"/>
          <xsd:enumeration value="ND"/>
          <xsd:enumeration value="NR"/>
          <xsd:enumeration value="NG"/>
          <xsd:enumeration value="NE"/>
          <xsd:enumeration value="SE"/>
          <xsd:enumeration value="NO"/>
          <xsd:enumeration value="NN"/>
          <xsd:enumeration value="OC"/>
          <xsd:enumeration value="OJ"/>
          <xsd:enumeration value="OR"/>
          <xsd:enumeration value="OM"/>
          <xsd:enumeration value="OS"/>
          <xsd:enumeration value="PI"/>
          <xsd:enumeration value="PA"/>
          <xsd:enumeration value="FA"/>
          <xsd:enumeration value="PS"/>
          <xsd:enumeration value="QU"/>
          <xsd:enumeration value="RM"/>
          <xsd:enumeration value="RN"/>
          <xsd:enumeration value="RU"/>
          <xsd:enumeration value="SM"/>
          <xsd:enumeration value="SG"/>
          <xsd:enumeration value="SA"/>
          <xsd:enumeration value="SC"/>
          <xsd:enumeration value="SR"/>
          <xsd:enumeration value="SN"/>
          <xsd:enumeration value="II"/>
          <xsd:enumeration value="SD"/>
          <xsd:enumeration value="SI"/>
          <xsd:enumeration value="SO"/>
          <xsd:enumeration value="ST"/>
          <xsd:enumeration value="SU"/>
          <xsd:enumeration value="SW"/>
          <xsd:enumeration value="SS"/>
          <xsd:enumeration value="TL"/>
          <xsd:enumeration value="TY"/>
          <xsd:enumeration value="TG"/>
          <xsd:enumeration value="TA"/>
          <xsd:enumeration value="TT"/>
          <xsd:enumeration value="TE"/>
          <xsd:enumeration value="TH"/>
          <xsd:enumeration value="BO"/>
          <xsd:enumeration value="TI"/>
          <xsd:enumeration value="TO"/>
          <xsd:enumeration value="TS"/>
          <xsd:enumeration value="TN"/>
          <xsd:enumeration value="TK"/>
          <xsd:enumeration value="TW"/>
          <xsd:enumeration value="UG"/>
          <xsd:enumeration value="UK"/>
          <xsd:enumeration value="UR"/>
          <xsd:enumeration value="UZ"/>
          <xsd:enumeration value="VE"/>
          <xsd:enumeration value="VI"/>
          <xsd:enumeration value="VO"/>
          <xsd:enumeration value="WA"/>
          <xsd:enumeration value="CY"/>
          <xsd:enumeration value="FY"/>
          <xsd:enumeration value="WO"/>
          <xsd:enumeration value="XH"/>
          <xsd:enumeration value="YI"/>
          <xsd:enumeration value="YO"/>
          <xsd:enumeration value="ZA"/>
          <xsd:enumeration value="ZU"/>
        </xsd:restriction>
      </xsd:simpleType>
    </xsd:element>
    <xsd:element name="EC_Collab_Status" ma:index="15" ma:displayName="EC Status" ma:default="Not Started" ma:internalName="EC_Collab_Status">
      <xsd:simpleType>
        <xsd:restriction base="dms:Choice">
          <xsd:enumeration value="Not Started"/>
          <xsd:enumeration value="Draft"/>
          <xsd:enumeration value="Reviewed"/>
          <xsd:enumeration value="Scheduled"/>
          <xsd:enumeration value="Published"/>
          <xsd:enumeration value="Final"/>
          <xsd:enumeration value="Expir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9"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ma:index="8" ma:displayName="Subject"/>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B0F39E-B2F0-4A3B-B065-237AB23CC221}">
  <ds:schemaRefs>
    <ds:schemaRef ds:uri="http://schemas.microsoft.com/sharepoint/v3/contenttype/forms"/>
  </ds:schemaRefs>
</ds:datastoreItem>
</file>

<file path=customXml/itemProps2.xml><?xml version="1.0" encoding="utf-8"?>
<ds:datastoreItem xmlns:ds="http://schemas.openxmlformats.org/officeDocument/2006/customXml" ds:itemID="{3A0CD363-B7E1-458D-BB19-AC3F609F3D34}">
  <ds:schemaRefs>
    <ds:schemaRef ds:uri="http://purl.org/dc/terms/"/>
    <ds:schemaRef ds:uri="http://schemas.openxmlformats.org/package/2006/metadata/core-properties"/>
    <ds:schemaRef ds:uri="http://schemas.microsoft.com/office/2006/documentManagement/types"/>
    <ds:schemaRef ds:uri="0ae9d80c-d168-4227-9135-7e51177c39c6"/>
    <ds:schemaRef ds:uri="http://purl.org/dc/elements/1.1/"/>
    <ds:schemaRef ds:uri="http://schemas.microsoft.com/office/2006/metadata/properties"/>
    <ds:schemaRef ds:uri="http://schemas.microsoft.com/office/infopath/2007/PartnerControls"/>
    <ds:schemaRef ds:uri="http://schemas.microsoft.com/sharepoint/v3/fields"/>
    <ds:schemaRef ds:uri="http://www.w3.org/XML/1998/namespace"/>
    <ds:schemaRef ds:uri="http://purl.org/dc/dcmitype/"/>
  </ds:schemaRefs>
</ds:datastoreItem>
</file>

<file path=customXml/itemProps3.xml><?xml version="1.0" encoding="utf-8"?>
<ds:datastoreItem xmlns:ds="http://schemas.openxmlformats.org/officeDocument/2006/customXml" ds:itemID="{E2DDCF4B-B797-48B4-9784-7F6C8966D3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ae9d80c-d168-4227-9135-7e51177c39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85C0AFD-F01C-457C-9F8F-1B321EEBEA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213</TotalTime>
  <Pages>21</Pages>
  <Words>9163</Words>
  <Characters>49390</Characters>
  <Application>Microsoft Office Word</Application>
  <DocSecurity>0</DocSecurity>
  <Lines>759</Lines>
  <Paragraphs>158</Paragraphs>
  <ScaleCrop>false</ScaleCrop>
  <HeadingPairs>
    <vt:vector size="2" baseType="variant">
      <vt:variant>
        <vt:lpstr>Title</vt:lpstr>
      </vt:variant>
      <vt:variant>
        <vt:i4>1</vt:i4>
      </vt:variant>
    </vt:vector>
  </HeadingPairs>
  <TitlesOfParts>
    <vt:vector size="1" baseType="lpstr">
      <vt:lpstr>SME Strategy</vt:lpstr>
    </vt:vector>
  </TitlesOfParts>
  <Manager/>
  <Company/>
  <LinksUpToDate>false</LinksUpToDate>
  <CharactersWithSpaces>58395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SME Strategy</dc:title>
  <dc:subject/>
  <dc:creator/>
  <cp:keywords/>
  <dc:description/>
  <cp:lastModifiedBy/>
  <cp:revision>58</cp:revision>
  <cp:lastPrinted>2020-03-07T06:47:00Z</cp:lastPrinted>
  <dcterms:created xsi:type="dcterms:W3CDTF">2020-03-11T10:41:00Z</dcterms:created>
  <dcterms:modified xsi:type="dcterms:W3CDTF">2020-03-12T15:15:00Z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vel of sensitivity">
    <vt:lpwstr>Standard treatment</vt:lpwstr>
  </property>
  <property fmtid="{D5CDD505-2E9C-101B-9397-08002B2CF9AE}" pid="3" name="Part">
    <vt:lpwstr>1</vt:lpwstr>
  </property>
  <property fmtid="{D5CDD505-2E9C-101B-9397-08002B2CF9AE}" pid="4" name="Total parts">
    <vt:lpwstr>1</vt:lpwstr>
  </property>
  <property fmtid="{D5CDD505-2E9C-101B-9397-08002B2CF9AE}" pid="5" name="DocStatus">
    <vt:lpwstr>Green</vt:lpwstr>
  </property>
  <property fmtid="{D5CDD505-2E9C-101B-9397-08002B2CF9AE}" pid="6" name="CPTemplateID">
    <vt:lpwstr>CP-014</vt:lpwstr>
  </property>
  <property fmtid="{D5CDD505-2E9C-101B-9397-08002B2CF9AE}" pid="7" name="Last edited using">
    <vt:lpwstr>LW 7.0, Build 20190717</vt:lpwstr>
  </property>
  <property fmtid="{D5CDD505-2E9C-101B-9397-08002B2CF9AE}" pid="8" name="Created using">
    <vt:lpwstr>LW 7.0, Build 20190717</vt:lpwstr>
  </property>
  <property fmtid="{D5CDD505-2E9C-101B-9397-08002B2CF9AE}" pid="9" name="_LW_INVALIDATED__LW_INVALIDATED__LW_INVALIDATED__LW_INVALIDATED__LW_INVALIDATED_ContentTypeId">
    <vt:lpwstr>0x010100258AA79CEB83498886A3A0868112325000D0E32E32D7256142BDEF810ED1B7B073</vt:lpwstr>
  </property>
  <property name="OP_sanitized" fmtid="{D5CDD505-2E9C-101B-9397-08002B2CF9AE}" pid="10">
    <vt:lpwstr>True</vt:lpwstr>
  </property>
</Properties>
</file>