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E506CB81-C83C-40B9-9334-D96936DB1643" style="width:450.45pt;height:351.95pt">
            <v:imagedata r:id="rId9" o:title=""/>
          </v:shape>
        </w:pict>
      </w:r>
    </w:p>
    <w:p>
      <w:pPr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p>
      <w:pPr>
        <w:pStyle w:val="Exposdesmotifstitre"/>
        <w:rPr>
          <w:noProof/>
        </w:rPr>
      </w:pPr>
      <w:bookmarkStart w:id="0" w:name="_GoBack"/>
      <w:bookmarkEnd w:id="0"/>
      <w:r>
        <w:rPr>
          <w:noProof/>
        </w:rPr>
        <w:lastRenderedPageBreak/>
        <w:t>EXPOSIÇÃO DE MOTIVOS</w:t>
      </w:r>
    </w:p>
    <w:p>
      <w:pPr>
        <w:pStyle w:val="ManualHeading1"/>
        <w:rPr>
          <w:noProof/>
        </w:rPr>
      </w:pPr>
      <w:r>
        <w:rPr>
          <w:noProof/>
        </w:rPr>
        <w:t>1.</w:t>
      </w:r>
      <w:r>
        <w:rPr>
          <w:noProof/>
        </w:rPr>
        <w:tab/>
        <w:t>CONTEXTO DA PROPOSTA</w:t>
      </w:r>
    </w:p>
    <w:p>
      <w:pPr>
        <w:pStyle w:val="ManualHeading2"/>
        <w:rPr>
          <w:rFonts w:eastAsia="Arial Unicode MS"/>
          <w:noProof/>
        </w:rPr>
      </w:pPr>
      <w:r>
        <w:rPr>
          <w:noProof/>
          <w:color w:val="000000"/>
          <w:u w:color="000000"/>
          <w:bdr w:val="nil"/>
        </w:rPr>
        <w:t>•</w:t>
      </w:r>
      <w:r>
        <w:rPr>
          <w:noProof/>
          <w:color w:val="000000"/>
          <w:u w:color="000000"/>
          <w:bdr w:val="nil"/>
        </w:rPr>
        <w:tab/>
      </w:r>
      <w:r>
        <w:rPr>
          <w:noProof/>
        </w:rPr>
        <w:t>Justificação e objetivos da proposta</w:t>
      </w:r>
    </w:p>
    <w:p>
      <w:pPr>
        <w:rPr>
          <w:noProof/>
        </w:rPr>
      </w:pPr>
      <w:r>
        <w:rPr>
          <w:noProof/>
        </w:rPr>
        <w:t>O Regulamento (UE) 2019/124 do Conselho fixa, para 2019, em relação a determinadas unidades populacionais de peixes e grupos de unidades populacionais de peixes, as possibilidades de pesca aplicáveis nas águas da União e as aplicáveis, para os navios de pesca da União, em certas águas não União. De modo geral, as possibilidades de pesca fixadas nesse regulamento são alteradas várias vezes durante o seu período de vigência. O Regulamento (UE) 2018/2025 do Conselho fixa, para 2019 e 2020, as possibilidades de pesca para os navios de pesca da União relativas a determinadas unidades populacionais de peixes de profundidade. A presente proposta inclui uma alteração do TAC para uma unidade populacional de goraz conforme com o parecer do CIEM para essa unidade populacional.</w:t>
      </w:r>
    </w:p>
    <w:p>
      <w:pPr>
        <w:pStyle w:val="ManualHeading2"/>
        <w:rPr>
          <w:rFonts w:eastAsia="Arial Unicode MS"/>
          <w:noProof/>
          <w:color w:val="000000"/>
          <w:u w:color="000000"/>
          <w:bdr w:val="nil"/>
        </w:rPr>
      </w:pPr>
      <w:r>
        <w:rPr>
          <w:noProof/>
          <w:color w:val="000000"/>
          <w:u w:color="000000"/>
          <w:bdr w:val="nil"/>
        </w:rPr>
        <w:t>•</w:t>
      </w:r>
      <w:r>
        <w:rPr>
          <w:noProof/>
          <w:color w:val="000000"/>
          <w:u w:color="000000"/>
          <w:bdr w:val="nil"/>
        </w:rPr>
        <w:tab/>
      </w:r>
      <w:r>
        <w:rPr>
          <w:noProof/>
        </w:rPr>
        <w:t>Coerência com as disposições existentes da política setorial no mesmo domínio</w:t>
      </w:r>
    </w:p>
    <w:p>
      <w:pPr>
        <w:rPr>
          <w:noProof/>
        </w:rPr>
      </w:pPr>
      <w:r>
        <w:rPr>
          <w:noProof/>
        </w:rPr>
        <w:t>As medidas propostas são elaboradas em conformidade com os objetivos e as normas da PCP e são coerentes com a política da União no domínio do desenvolvimento sustentável.</w:t>
      </w:r>
    </w:p>
    <w:p>
      <w:pPr>
        <w:pStyle w:val="ManualHeading2"/>
        <w:rPr>
          <w:rFonts w:eastAsia="Arial Unicode MS"/>
          <w:noProof/>
        </w:rPr>
      </w:pPr>
      <w:r>
        <w:rPr>
          <w:noProof/>
          <w:color w:val="000000"/>
          <w:u w:color="000000"/>
          <w:bdr w:val="nil"/>
        </w:rPr>
        <w:t>•</w:t>
      </w:r>
      <w:r>
        <w:rPr>
          <w:noProof/>
          <w:color w:val="000000"/>
          <w:u w:color="000000"/>
          <w:bdr w:val="nil"/>
        </w:rPr>
        <w:tab/>
      </w:r>
      <w:r>
        <w:rPr>
          <w:noProof/>
        </w:rPr>
        <w:t>Coerência com outras políticas da União</w:t>
      </w:r>
    </w:p>
    <w:p>
      <w:pPr>
        <w:rPr>
          <w:noProof/>
        </w:rPr>
      </w:pPr>
      <w:r>
        <w:rPr>
          <w:noProof/>
        </w:rPr>
        <w:t>As medidas propostas são coerentes com as outras políticas da União, em particular com as políticas no domínio do ambiente.</w:t>
      </w:r>
    </w:p>
    <w:p>
      <w:pPr>
        <w:pStyle w:val="ManualHeading1"/>
        <w:rPr>
          <w:noProof/>
        </w:rPr>
      </w:pPr>
      <w:r>
        <w:rPr>
          <w:noProof/>
        </w:rPr>
        <w:t>2.</w:t>
      </w:r>
      <w:r>
        <w:rPr>
          <w:noProof/>
        </w:rPr>
        <w:tab/>
        <w:t>BASE JURÍDICA, SUBSIDIARIEDADE E PROPORCIONALIDADE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  <w:u w:color="000000"/>
          <w:bdr w:val="nil"/>
        </w:rPr>
        <w:t>•</w:t>
      </w:r>
      <w:r>
        <w:rPr>
          <w:noProof/>
          <w:u w:color="000000"/>
          <w:bdr w:val="nil"/>
        </w:rPr>
        <w:tab/>
        <w:t>Base jurídica</w:t>
      </w:r>
    </w:p>
    <w:p>
      <w:pPr>
        <w:rPr>
          <w:noProof/>
        </w:rPr>
      </w:pPr>
      <w:r>
        <w:rPr>
          <w:noProof/>
        </w:rPr>
        <w:t>A presente proposta tem por base jurídica o artigo 43.º, n.º 3, do Tratado sobre o Funcionamento da União Europeia.</w:t>
      </w:r>
    </w:p>
    <w:p>
      <w:pPr>
        <w:rPr>
          <w:noProof/>
        </w:rPr>
      </w:pPr>
      <w:r>
        <w:rPr>
          <w:noProof/>
        </w:rPr>
        <w:t>As obrigações da União em matéria de exploração sustentável dos recursos aquáticos vivos decorrem do disposto no artigo 2.º do novo regulamento de base da PCP.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  <w:u w:color="000000"/>
          <w:bdr w:val="nil"/>
        </w:rPr>
        <w:t>•</w:t>
      </w:r>
      <w:r>
        <w:rPr>
          <w:noProof/>
          <w:u w:color="000000"/>
          <w:bdr w:val="nil"/>
        </w:rPr>
        <w:tab/>
        <w:t xml:space="preserve">Subsidiariedade (no caso de competência não exclusiva) </w:t>
      </w:r>
    </w:p>
    <w:p>
      <w:pPr>
        <w:spacing w:after="0"/>
        <w:rPr>
          <w:noProof/>
        </w:rPr>
      </w:pPr>
      <w:r>
        <w:rPr>
          <w:noProof/>
        </w:rPr>
        <w:t>A proposta é da competência exclusiva da União, for força do disposto no artigo 3.º, n.º 1, alínea d), do Tratado. Por conseguinte, o princípio da subsidiariedade não se aplica.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  <w:u w:color="000000"/>
          <w:bdr w:val="nil"/>
        </w:rPr>
        <w:t>•</w:t>
      </w:r>
      <w:r>
        <w:rPr>
          <w:noProof/>
          <w:u w:color="000000"/>
          <w:bdr w:val="nil"/>
        </w:rPr>
        <w:tab/>
        <w:t>Proporcionalidade</w:t>
      </w:r>
    </w:p>
    <w:p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>
        <w:rPr>
          <w:noProof/>
        </w:rPr>
        <w:t>A proposta respeita o princípio da proporcionalidade pelo motivo a seguir indicado: a PCP é uma política comum. Em conformidade com o artigo 43.º, n.º 3, do Tratado, cabe ao Conselho adotar as medidas relativas à fixação e à repartição das possibilidades de pesca.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  <w:u w:color="000000"/>
          <w:bdr w:val="nil"/>
        </w:rPr>
        <w:t>•</w:t>
      </w:r>
      <w:r>
        <w:rPr>
          <w:noProof/>
          <w:u w:color="000000"/>
          <w:bdr w:val="nil"/>
        </w:rPr>
        <w:tab/>
        <w:t>Escolha do instrumento</w:t>
      </w:r>
    </w:p>
    <w:p>
      <w:pPr>
        <w:spacing w:after="0"/>
        <w:rPr>
          <w:noProof/>
        </w:rPr>
      </w:pPr>
      <w:r>
        <w:rPr>
          <w:noProof/>
        </w:rPr>
        <w:t xml:space="preserve">Instrumento proposto: regulamento. </w:t>
      </w:r>
    </w:p>
    <w:p>
      <w:pPr>
        <w:pStyle w:val="ManualHeading1"/>
        <w:rPr>
          <w:noProof/>
        </w:rPr>
      </w:pPr>
      <w:r>
        <w:rPr>
          <w:noProof/>
        </w:rPr>
        <w:t>3.</w:t>
      </w:r>
      <w:r>
        <w:rPr>
          <w:noProof/>
        </w:rPr>
        <w:tab/>
        <w:t xml:space="preserve">RESULTADOS DAS AVALIAÇÕES </w:t>
      </w:r>
      <w:r>
        <w:rPr>
          <w:i/>
          <w:noProof/>
        </w:rPr>
        <w:t>EX POST</w:t>
      </w:r>
      <w:r>
        <w:rPr>
          <w:noProof/>
        </w:rPr>
        <w:t>, DAS CONSULTAS DAS PARTES INTERESSADAS E DAS AVALIAÇÕES DE IMPACTO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  <w:u w:color="000000"/>
          <w:bdr w:val="nil"/>
        </w:rPr>
        <w:t>•</w:t>
      </w:r>
      <w:r>
        <w:rPr>
          <w:noProof/>
          <w:u w:color="000000"/>
          <w:bdr w:val="nil"/>
        </w:rPr>
        <w:tab/>
        <w:t xml:space="preserve">Avaliações </w:t>
      </w:r>
      <w:r>
        <w:rPr>
          <w:i/>
          <w:noProof/>
          <w:u w:color="000000"/>
          <w:bdr w:val="nil"/>
        </w:rPr>
        <w:t>ex post</w:t>
      </w:r>
      <w:r>
        <w:rPr>
          <w:noProof/>
          <w:u w:color="000000"/>
          <w:bdr w:val="nil"/>
        </w:rPr>
        <w:t>/balanços de qualidade da legislação existente</w:t>
      </w:r>
    </w:p>
    <w:p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>
        <w:rPr>
          <w:noProof/>
        </w:rPr>
        <w:t>Não aplicável.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  <w:u w:color="000000"/>
          <w:bdr w:val="nil"/>
        </w:rPr>
        <w:lastRenderedPageBreak/>
        <w:t>•</w:t>
      </w:r>
      <w:r>
        <w:rPr>
          <w:noProof/>
          <w:u w:color="000000"/>
          <w:bdr w:val="nil"/>
        </w:rPr>
        <w:tab/>
        <w:t>Consulta das partes interessadas</w:t>
      </w:r>
    </w:p>
    <w:p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>
        <w:rPr>
          <w:noProof/>
        </w:rPr>
        <w:t>As possibilidades de pesca fixadas na proposta têm em conta as observações formuladas ao longo do ano pelas partes interessadas, pelos conselhos consultivos, pelas administrações nacionais, pelas organizações de pescadores e pelas organizações não governamentais.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  <w:u w:color="000000"/>
          <w:bdr w:val="nil"/>
        </w:rPr>
        <w:t>•</w:t>
      </w:r>
      <w:r>
        <w:rPr>
          <w:noProof/>
          <w:u w:color="000000"/>
          <w:bdr w:val="nil"/>
        </w:rPr>
        <w:tab/>
        <w:t>Recolha e utilização de competências especializadas</w:t>
      </w:r>
    </w:p>
    <w:p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rFonts w:eastAsia="Arial Unicode MS"/>
          <w:noProof/>
        </w:rPr>
      </w:pPr>
      <w:r>
        <w:rPr>
          <w:noProof/>
        </w:rPr>
        <w:t>A proposta baseia-se no parecer científico do Conselho Internacional de Exploração do Mar (CIEM).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  <w:u w:color="000000"/>
          <w:bdr w:val="nil"/>
        </w:rPr>
        <w:t>•</w:t>
      </w:r>
      <w:r>
        <w:rPr>
          <w:noProof/>
          <w:u w:color="000000"/>
          <w:bdr w:val="nil"/>
        </w:rPr>
        <w:tab/>
        <w:t>Avaliação de impacto</w:t>
      </w:r>
    </w:p>
    <w:p>
      <w:pPr>
        <w:rPr>
          <w:noProof/>
        </w:rPr>
      </w:pPr>
      <w:r>
        <w:rPr>
          <w:noProof/>
        </w:rPr>
        <w:t>O âmbito de aplicação do regulamento sobre as possibilidades de pesca é circunscrito pelo artigo 43.º, n.º 3, do Tratado.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  <w:u w:color="000000"/>
          <w:bdr w:val="nil"/>
        </w:rPr>
        <w:t>•</w:t>
      </w:r>
      <w:r>
        <w:rPr>
          <w:noProof/>
          <w:u w:color="000000"/>
          <w:bdr w:val="nil"/>
        </w:rPr>
        <w:tab/>
        <w:t>Adequação da regulamentação e simplificação</w:t>
      </w:r>
    </w:p>
    <w:p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>
        <w:rPr>
          <w:noProof/>
        </w:rPr>
        <w:t>Não aplicável.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  <w:u w:color="000000"/>
          <w:bdr w:val="nil"/>
        </w:rPr>
        <w:t>•</w:t>
      </w:r>
      <w:r>
        <w:rPr>
          <w:noProof/>
          <w:u w:color="000000"/>
          <w:bdr w:val="nil"/>
        </w:rPr>
        <w:tab/>
        <w:t>Direitos fundamentais</w:t>
      </w:r>
    </w:p>
    <w:p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>
        <w:rPr>
          <w:noProof/>
        </w:rPr>
        <w:t>Não aplicável.</w:t>
      </w:r>
    </w:p>
    <w:p>
      <w:pPr>
        <w:pStyle w:val="ManualHeading1"/>
        <w:rPr>
          <w:noProof/>
        </w:rPr>
      </w:pPr>
      <w:r>
        <w:rPr>
          <w:noProof/>
        </w:rPr>
        <w:t>4.</w:t>
      </w:r>
      <w:r>
        <w:rPr>
          <w:noProof/>
        </w:rPr>
        <w:tab/>
        <w:t>INCIDÊNCIA ORÇAMENTAL</w:t>
      </w:r>
    </w:p>
    <w:p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240"/>
        <w:rPr>
          <w:noProof/>
        </w:rPr>
      </w:pPr>
      <w:r>
        <w:rPr>
          <w:noProof/>
        </w:rPr>
        <w:t>As medidas propostas não têm incidência no orçamento da União.</w:t>
      </w:r>
    </w:p>
    <w:p>
      <w:pPr>
        <w:pStyle w:val="ManualHeading1"/>
        <w:rPr>
          <w:noProof/>
        </w:rPr>
      </w:pPr>
      <w:r>
        <w:rPr>
          <w:noProof/>
        </w:rPr>
        <w:t>5.</w:t>
      </w:r>
      <w:r>
        <w:rPr>
          <w:noProof/>
        </w:rPr>
        <w:tab/>
        <w:t>OUTROS ELEMENTOS</w:t>
      </w:r>
    </w:p>
    <w:p>
      <w:pPr>
        <w:pStyle w:val="ManualHeading2"/>
        <w:rPr>
          <w:rFonts w:eastAsia="Arial Unicode MS"/>
          <w:noProof/>
          <w:u w:color="000000"/>
          <w:bdr w:val="nil"/>
        </w:rPr>
      </w:pPr>
      <w:r>
        <w:rPr>
          <w:noProof/>
          <w:u w:color="000000"/>
          <w:bdr w:val="nil"/>
        </w:rPr>
        <w:t>•</w:t>
      </w:r>
      <w:r>
        <w:rPr>
          <w:noProof/>
          <w:u w:color="000000"/>
          <w:bdr w:val="nil"/>
        </w:rPr>
        <w:tab/>
        <w:t>Explicação pormenorizada das disposições específicas da proposta</w:t>
      </w:r>
    </w:p>
    <w:p>
      <w:pPr>
        <w:rPr>
          <w:noProof/>
        </w:rPr>
      </w:pPr>
      <w:r>
        <w:rPr>
          <w:noProof/>
        </w:rPr>
        <w:t>As alterações propostas têm por objetivo alterar o Regulamento (UE) 2019/124 conforme descrito abaixo.</w:t>
      </w:r>
    </w:p>
    <w:p>
      <w:pPr>
        <w:rPr>
          <w:noProof/>
        </w:rPr>
      </w:pPr>
      <w:r>
        <w:rPr>
          <w:noProof/>
        </w:rPr>
        <w:t>O biqueirão nas subzonas CIEM 9 e 10 e nas águas da União da zona CECAF 34.1.1 é uma espécie de vida curta, para a qual os estudos são concluídos em maio. Por conseguinte, ao fixar-se o total admissível de capturas (TAC) para o período de 1 de julho a 30 de junho do ano seguinte, em vez de para um ano civil, garante-se que as possibilidades de pesca se baseiem na melhor avaliação possível do recrutamento anual desta espécie de vida curta.</w:t>
      </w:r>
    </w:p>
    <w:p>
      <w:pPr>
        <w:rPr>
          <w:noProof/>
        </w:rPr>
      </w:pPr>
      <w:r>
        <w:rPr>
          <w:noProof/>
        </w:rPr>
        <w:t xml:space="preserve">O Regulamento (UE) 2018/120, com a redação que lhe foi dada pelo Regulamento (UE) 2018/1628, fixou o TAC do biqueirão, a título excecional, para um período de 18 meses, a saber, de 1 de janeiro de 2018 a 30 de junho de 2019, de modo a que o novo parecer científico seja tido em conta no período de julho a junho do ano seguinte. </w:t>
      </w:r>
    </w:p>
    <w:p>
      <w:pPr>
        <w:rPr>
          <w:noProof/>
        </w:rPr>
      </w:pPr>
      <w:r>
        <w:rPr>
          <w:noProof/>
        </w:rPr>
        <w:t>Na pendência do novo parecer científico, o Regulamento (UE) 2019/124 do Conselho fixou em zero o TAC aplicável ao biqueirão nas subzonas CIEM 9 e 10 e nas águas da União da zona CECAF 34.1.1 de 1 de julho de 2019 a 30 de junho de 2020. Na segunda alteração das possibilidades de pesca de 2019, foi fixado um TAC provisório para permitir a prossecução da pescaria. O parecer científico ficou disponível em 28 de junho de 2019. O TAC para o período com início em 1 de julho de 2019 deve ser alterado em conformidade com o parecer científico mais recente do CIEM.</w:t>
      </w:r>
    </w:p>
    <w:p>
      <w:pPr>
        <w:rPr>
          <w:noProof/>
        </w:rPr>
      </w:pPr>
      <w:r>
        <w:rPr>
          <w:noProof/>
        </w:rPr>
        <w:t xml:space="preserve">As alterações propostas visam também alterar o Regulamento (UE) 2018/2025 do Conselho que fixa, para 2019 e 2020, as possibilidades de pesca para os navios de pesca da União relativas a determinadas unidades populacionais de peixes de profundidade. Aquando do estabelecimento das possibilidades de pesca, só estava disponível o parecer científico sobre o </w:t>
      </w:r>
      <w:r>
        <w:rPr>
          <w:noProof/>
        </w:rPr>
        <w:lastRenderedPageBreak/>
        <w:t>goraz na subzona CIEM 10 para 2019. Foi decidido estabelecer as possibilidades de pesca dessa unidade populacional em 576 toneladas para 2019 e 2020 e, se necessário, alterá-las na sequência do parecer científico para 2020. O parecer científico do CIEM, que preconizava 553 toneladas, foi publicado em 11 de junho de 2019. As possibilidades de pesca para o goraz na subzona CIEM 10 devem ser alteradas, a fim de ter em conta o mais recente parecer científico.</w:t>
      </w:r>
    </w:p>
    <w:p>
      <w:pPr>
        <w:rPr>
          <w:noProof/>
        </w:rPr>
        <w:sectPr>
          <w:footerReference w:type="default" r:id="rId16"/>
          <w:footerReference w:type="first" r:id="rId17"/>
          <w:pgSz w:w="11907" w:h="16839"/>
          <w:pgMar w:top="1134" w:right="1417" w:bottom="1134" w:left="1417" w:header="709" w:footer="709" w:gutter="0"/>
          <w:pgNumType w:start="1"/>
          <w:cols w:space="708"/>
          <w:docGrid w:linePitch="360"/>
        </w:sectPr>
      </w:pPr>
    </w:p>
    <w:p>
      <w:pPr>
        <w:pStyle w:val="Rfrenceinterinstitutionnelle"/>
        <w:rPr>
          <w:noProof/>
        </w:rPr>
      </w:pPr>
      <w:r>
        <w:rPr>
          <w:noProof/>
        </w:rPr>
        <w:lastRenderedPageBreak/>
        <w:t>2019/0154 (NLE)</w:t>
      </w:r>
    </w:p>
    <w:p>
      <w:pPr>
        <w:pStyle w:val="Statut"/>
        <w:rPr>
          <w:noProof/>
        </w:rPr>
      </w:pPr>
      <w:r>
        <w:rPr>
          <w:noProof/>
        </w:rPr>
        <w:t>Proposta de</w:t>
      </w:r>
    </w:p>
    <w:p>
      <w:pPr>
        <w:pStyle w:val="Typedudocument"/>
        <w:rPr>
          <w:noProof/>
        </w:rPr>
      </w:pPr>
      <w:r>
        <w:rPr>
          <w:noProof/>
        </w:rPr>
        <w:t>REGULAMENTO DO CONSELHO</w:t>
      </w:r>
    </w:p>
    <w:p>
      <w:pPr>
        <w:pStyle w:val="Titreobjet"/>
        <w:rPr>
          <w:noProof/>
        </w:rPr>
      </w:pPr>
      <w:r>
        <w:rPr>
          <w:noProof/>
        </w:rPr>
        <w:t>que altera os Regulamentos (UE) 2019/124 e (UE) 2018/2025 no respeitante a certas possibilidades de pesca</w:t>
      </w:r>
    </w:p>
    <w:p>
      <w:pPr>
        <w:pStyle w:val="Institutionquiagit"/>
        <w:rPr>
          <w:noProof/>
        </w:rPr>
      </w:pPr>
      <w:r>
        <w:rPr>
          <w:noProof/>
        </w:rPr>
        <w:t>O CONSELHO DA UNIÃO EUROPEIA,</w:t>
      </w:r>
    </w:p>
    <w:p>
      <w:pPr>
        <w:rPr>
          <w:noProof/>
        </w:rPr>
      </w:pPr>
      <w:r>
        <w:rPr>
          <w:noProof/>
        </w:rPr>
        <w:t>Tendo em conta o Tratado sobre o Funcionamento da União Europeia, nomeadamente o artigo 43.º, n.º 3,</w:t>
      </w:r>
    </w:p>
    <w:p>
      <w:pPr>
        <w:rPr>
          <w:noProof/>
        </w:rPr>
      </w:pPr>
      <w:r>
        <w:rPr>
          <w:noProof/>
        </w:rPr>
        <w:t>Tendo em conta a proposta da Comissão Europeia,</w:t>
      </w:r>
    </w:p>
    <w:p>
      <w:pPr>
        <w:rPr>
          <w:noProof/>
        </w:rPr>
      </w:pPr>
      <w:r>
        <w:rPr>
          <w:noProof/>
        </w:rPr>
        <w:t>Considerando o seguinte:</w:t>
      </w:r>
    </w:p>
    <w:p>
      <w:pPr>
        <w:pStyle w:val="ManualConsidrant"/>
        <w:rPr>
          <w:noProof/>
        </w:rPr>
      </w:pPr>
      <w:r>
        <w:t>(1)</w:t>
      </w:r>
      <w:r>
        <w:tab/>
      </w:r>
      <w:r>
        <w:rPr>
          <w:noProof/>
        </w:rPr>
        <w:t>O Regulamento (UE) 2019/124 do Conselho</w:t>
      </w:r>
      <w:r>
        <w:rPr>
          <w:rStyle w:val="FootnoteReference"/>
          <w:noProof/>
        </w:rPr>
        <w:footnoteReference w:id="1"/>
      </w:r>
      <w:r>
        <w:rPr>
          <w:noProof/>
        </w:rPr>
        <w:t xml:space="preserve"> fixa para 2019 as possibilidades de pesca de determinadas unidades populacionais de peixes e grupos de unidades populacionais de peixes nas águas da União e, para os navios da União, em certas águas não União.</w:t>
      </w:r>
    </w:p>
    <w:p>
      <w:pPr>
        <w:pStyle w:val="ManualConsidrant"/>
        <w:rPr>
          <w:noProof/>
        </w:rPr>
      </w:pPr>
      <w:r>
        <w:t>(2)</w:t>
      </w:r>
      <w:r>
        <w:tab/>
      </w:r>
      <w:r>
        <w:rPr>
          <w:noProof/>
        </w:rPr>
        <w:t>No Regulamento (UE) 2019/124, o total admissível de capturas (TAC) para o biqueirão (</w:t>
      </w:r>
      <w:r>
        <w:rPr>
          <w:i/>
          <w:noProof/>
        </w:rPr>
        <w:t>Engraulis encrasicolus</w:t>
      </w:r>
      <w:r>
        <w:rPr>
          <w:noProof/>
        </w:rPr>
        <w:t>) foi fixado em zero nas subzonas CIEM 9 e 10 e nas águas da União da divisão CECAF 34.1.1. Na segunda alteração das possibilidades de pesca, foi fixado um TAC provisório para permitir a prossecução da pescaria. O biqueirão é uma espécie de vida curta e o pertinente parecer científico foi emitido em 28 de junho de 2019. Impõe-se a alteração dos limites de captura do biqueirão nas subzonas CIEM 9 e 10 e nas águas da União da divisão CECAF 34.1.1 em consonância com o mais recente parecer científico do Conselho Internacional de Exploração do Mar (CIEM).</w:t>
      </w:r>
    </w:p>
    <w:p>
      <w:pPr>
        <w:pStyle w:val="ManualConsidrant"/>
        <w:rPr>
          <w:noProof/>
        </w:rPr>
      </w:pPr>
      <w:r>
        <w:t>(3)</w:t>
      </w:r>
      <w:r>
        <w:tab/>
      </w:r>
      <w:r>
        <w:rPr>
          <w:noProof/>
        </w:rPr>
        <w:t>O Regulamento (UE) 2018/2025 do Conselho</w:t>
      </w:r>
      <w:r>
        <w:rPr>
          <w:rStyle w:val="FootnoteReference"/>
          <w:noProof/>
          <w:szCs w:val="24"/>
        </w:rPr>
        <w:footnoteReference w:id="2"/>
      </w:r>
      <w:r>
        <w:rPr>
          <w:noProof/>
        </w:rPr>
        <w:t xml:space="preserve"> fixa, para 2019 e 2020, as possibilidades de pesca para os navios de pesca da União relativas a determinadas unidades populacionais de peixes de profundidade. Na pendência do parecer relativo a 2020, esse regulamento fixou o TAC para o goraz na subzona CIEM 10 para esses dois anos com base no parecer científico para 2019. Em 11 de junho de 2019, o CIEM publicou o parecer científico para 2020. O TAC deve ser fixado em conformidade com o parecer científico mais recente. </w:t>
      </w:r>
    </w:p>
    <w:p>
      <w:pPr>
        <w:pStyle w:val="ManualConsidrant"/>
        <w:rPr>
          <w:noProof/>
        </w:rPr>
      </w:pPr>
      <w:r>
        <w:t>(4)</w:t>
      </w:r>
      <w:r>
        <w:tab/>
      </w:r>
      <w:r>
        <w:rPr>
          <w:noProof/>
        </w:rPr>
        <w:t>Os Regulamentos (UE) 2019/124 e (UE) 2018/2025 devem ser alterados em conformidade.</w:t>
      </w:r>
    </w:p>
    <w:p>
      <w:pPr>
        <w:pStyle w:val="ManualConsidrant"/>
        <w:rPr>
          <w:noProof/>
        </w:rPr>
      </w:pPr>
      <w:r>
        <w:t>(5)</w:t>
      </w:r>
      <w:r>
        <w:tab/>
      </w:r>
      <w:r>
        <w:rPr>
          <w:noProof/>
        </w:rPr>
        <w:t xml:space="preserve">Os limites de captura do biqueirão nas subzonas CIEM 9 e 10 e nas águas da União da divisão CECAF 34.1.1 fixados no Regulamento (UE) 2019/124 aplicam-se desde 1 de </w:t>
      </w:r>
      <w:r>
        <w:rPr>
          <w:noProof/>
        </w:rPr>
        <w:lastRenderedPageBreak/>
        <w:t>julho de 2019. Por conseguinte, o presente regulamento de alteração deve ser aplicável também com efeitos retroativos a essa data. A aplicação retroativa não prejudica os princípios da segurança jurídica nem da proteção das legítimas expectativas, uma vez que as possibilidades de pesca em questão não estão ainda esgotadas,</w:t>
      </w:r>
    </w:p>
    <w:p>
      <w:pPr>
        <w:pStyle w:val="Formuledadoption"/>
        <w:rPr>
          <w:noProof/>
        </w:rPr>
      </w:pPr>
      <w:r>
        <w:rPr>
          <w:noProof/>
        </w:rPr>
        <w:t>ADOTOU O PRESENTE REGULAMENTO:</w:t>
      </w:r>
    </w:p>
    <w:p>
      <w:pPr>
        <w:pStyle w:val="Titrearticle"/>
        <w:rPr>
          <w:noProof/>
        </w:rPr>
      </w:pPr>
      <w:r>
        <w:rPr>
          <w:noProof/>
        </w:rPr>
        <w:t>Artigo 1.º</w:t>
      </w:r>
      <w:r>
        <w:rPr>
          <w:noProof/>
        </w:rPr>
        <w:br/>
      </w:r>
    </w:p>
    <w:p>
      <w:pPr>
        <w:rPr>
          <w:noProof/>
        </w:rPr>
      </w:pPr>
      <w:r>
        <w:rPr>
          <w:noProof/>
        </w:rPr>
        <w:t>No anexo I A do Regulamento (UE) 2019/124, o quadro de possibilidades de pesca do biqueirão nas subzonas CIEM 9 e 10 e nas águas da União da divisão CECAF 34.1.1 é substituído pelo seguinte quadro:</w:t>
      </w:r>
    </w:p>
    <w:tbl>
      <w:tblPr>
        <w:tblW w:w="8956" w:type="dxa"/>
        <w:tblInd w:w="108" w:type="dxa"/>
        <w:tblLook w:val="04A0" w:firstRow="1" w:lastRow="0" w:firstColumn="1" w:lastColumn="0" w:noHBand="0" w:noVBand="1"/>
      </w:tblPr>
      <w:tblGrid>
        <w:gridCol w:w="976"/>
        <w:gridCol w:w="976"/>
        <w:gridCol w:w="976"/>
        <w:gridCol w:w="1325"/>
        <w:gridCol w:w="850"/>
        <w:gridCol w:w="993"/>
        <w:gridCol w:w="1275"/>
        <w:gridCol w:w="1585"/>
      </w:tblGrid>
      <w:tr>
        <w:trPr>
          <w:trHeight w:val="255"/>
        </w:trPr>
        <w:tc>
          <w:tcPr>
            <w:tcW w:w="976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Espécie: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>
            <w:pPr>
              <w:spacing w:after="0"/>
              <w:rPr>
                <w:rFonts w:eastAsia="Times New Roman"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Biqueirão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>
            <w:pPr>
              <w:spacing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Zona:</w:t>
            </w:r>
          </w:p>
        </w:tc>
        <w:tc>
          <w:tcPr>
            <w:tcW w:w="3853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9, 10; águas da União da zona CECAF 34.1.1</w:t>
            </w:r>
          </w:p>
        </w:tc>
      </w:tr>
      <w:tr>
        <w:trPr>
          <w:trHeight w:val="270"/>
        </w:trPr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eastAsia="Times New Roman"/>
                <w:i/>
                <w:iCs/>
                <w:noProof/>
                <w:sz w:val="18"/>
                <w:szCs w:val="18"/>
              </w:rPr>
            </w:pPr>
            <w:r>
              <w:rPr>
                <w:i/>
                <w:iCs/>
                <w:noProof/>
                <w:sz w:val="18"/>
                <w:szCs w:val="18"/>
              </w:rPr>
              <w:t>Engraulis encrasicolus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eastAsia="Times New Roman"/>
                <w:i/>
                <w:iCs/>
                <w:noProof/>
                <w:color w:val="000000"/>
                <w:sz w:val="18"/>
                <w:szCs w:val="18"/>
              </w:rPr>
            </w:pPr>
            <w:r>
              <w:rPr>
                <w:i/>
                <w:iCs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(ANE/9/3411)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270"/>
        </w:trPr>
        <w:tc>
          <w:tcPr>
            <w:tcW w:w="976" w:type="dxa"/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Espanha</w:t>
            </w:r>
          </w:p>
        </w:tc>
        <w:tc>
          <w:tcPr>
            <w:tcW w:w="976" w:type="dxa"/>
            <w:noWrap/>
            <w:hideMark/>
          </w:tcPr>
          <w:p>
            <w:pPr>
              <w:spacing w:after="0"/>
              <w:rPr>
                <w:rFonts w:eastAsia="Times New Roman"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 </w:t>
            </w:r>
          </w:p>
        </w:tc>
        <w:tc>
          <w:tcPr>
            <w:tcW w:w="976" w:type="dxa"/>
            <w:noWrap/>
            <w:hideMark/>
          </w:tcPr>
          <w:p>
            <w:pPr>
              <w:spacing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4 281</w:t>
            </w:r>
          </w:p>
        </w:tc>
        <w:tc>
          <w:tcPr>
            <w:tcW w:w="1325" w:type="dxa"/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TAC de precaução</w:t>
            </w:r>
          </w:p>
        </w:tc>
        <w:tc>
          <w:tcPr>
            <w:tcW w:w="1275" w:type="dxa"/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5" w:type="dxa"/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 </w:t>
            </w:r>
          </w:p>
        </w:tc>
      </w:tr>
      <w:tr>
        <w:trPr>
          <w:trHeight w:val="270"/>
        </w:trPr>
        <w:tc>
          <w:tcPr>
            <w:tcW w:w="976" w:type="dxa"/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Portugal</w:t>
            </w:r>
          </w:p>
        </w:tc>
        <w:tc>
          <w:tcPr>
            <w:tcW w:w="976" w:type="dxa"/>
            <w:noWrap/>
            <w:hideMark/>
          </w:tcPr>
          <w:p>
            <w:pPr>
              <w:rPr>
                <w:rFonts w:eastAsia="Times New Roman"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76" w:type="dxa"/>
            <w:noWrap/>
            <w:hideMark/>
          </w:tcPr>
          <w:p>
            <w:pPr>
              <w:spacing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4 671</w:t>
            </w:r>
          </w:p>
        </w:tc>
        <w:tc>
          <w:tcPr>
            <w:tcW w:w="1325" w:type="dxa"/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850" w:type="dxa"/>
            <w:noWrap/>
            <w:hideMark/>
          </w:tcPr>
          <w:p>
            <w:pPr>
              <w:rPr>
                <w:rFonts w:eastAsia="Times New Roman"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585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</w:tr>
      <w:tr>
        <w:trPr>
          <w:trHeight w:val="270"/>
        </w:trPr>
        <w:tc>
          <w:tcPr>
            <w:tcW w:w="976" w:type="dxa"/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União</w:t>
            </w:r>
          </w:p>
        </w:tc>
        <w:tc>
          <w:tcPr>
            <w:tcW w:w="976" w:type="dxa"/>
            <w:noWrap/>
            <w:hideMark/>
          </w:tcPr>
          <w:p>
            <w:pPr>
              <w:rPr>
                <w:rFonts w:eastAsia="Times New Roman"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76" w:type="dxa"/>
            <w:noWrap/>
            <w:hideMark/>
          </w:tcPr>
          <w:p>
            <w:pPr>
              <w:spacing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8 952</w:t>
            </w:r>
          </w:p>
        </w:tc>
        <w:tc>
          <w:tcPr>
            <w:tcW w:w="1325" w:type="dxa"/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850" w:type="dxa"/>
            <w:noWrap/>
            <w:hideMark/>
          </w:tcPr>
          <w:p>
            <w:pPr>
              <w:rPr>
                <w:rFonts w:eastAsia="Times New Roman"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585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</w:tr>
      <w:tr>
        <w:trPr>
          <w:trHeight w:val="255"/>
        </w:trPr>
        <w:tc>
          <w:tcPr>
            <w:tcW w:w="976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585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</w:tr>
      <w:tr>
        <w:trPr>
          <w:trHeight w:val="270"/>
        </w:trPr>
        <w:tc>
          <w:tcPr>
            <w:tcW w:w="976" w:type="dxa"/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TAC</w:t>
            </w:r>
          </w:p>
        </w:tc>
        <w:tc>
          <w:tcPr>
            <w:tcW w:w="976" w:type="dxa"/>
            <w:noWrap/>
            <w:hideMark/>
          </w:tcPr>
          <w:p>
            <w:pPr>
              <w:rPr>
                <w:rFonts w:eastAsia="Times New Roman"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76" w:type="dxa"/>
            <w:noWrap/>
            <w:hideMark/>
          </w:tcPr>
          <w:p>
            <w:pPr>
              <w:spacing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8 952</w:t>
            </w:r>
          </w:p>
        </w:tc>
        <w:tc>
          <w:tcPr>
            <w:tcW w:w="1325" w:type="dxa"/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850" w:type="dxa"/>
            <w:noWrap/>
            <w:hideMark/>
          </w:tcPr>
          <w:p>
            <w:pPr>
              <w:rPr>
                <w:rFonts w:eastAsia="Times New Roman"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585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</w:tr>
      <w:tr>
        <w:trPr>
          <w:trHeight w:val="285"/>
        </w:trPr>
        <w:tc>
          <w:tcPr>
            <w:tcW w:w="976" w:type="dxa"/>
            <w:noWrap/>
            <w:hideMark/>
          </w:tcPr>
          <w:p>
            <w:pPr>
              <w:spacing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4127" w:type="dxa"/>
            <w:gridSpan w:val="4"/>
            <w:noWrap/>
            <w:hideMark/>
          </w:tcPr>
          <w:p>
            <w:pPr>
              <w:spacing w:after="0"/>
              <w:rPr>
                <w:rFonts w:eastAsia="Times New Roman"/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  <w:vertAlign w:val="superscript"/>
              </w:rPr>
              <w:t>A quota só pode ser pescada de 1 de julho de 2019 a 30 de junho de 2020.</w:t>
            </w:r>
          </w:p>
        </w:tc>
        <w:tc>
          <w:tcPr>
            <w:tcW w:w="993" w:type="dxa"/>
            <w:noWrap/>
            <w:hideMark/>
          </w:tcPr>
          <w:p>
            <w:pPr>
              <w:rPr>
                <w:rFonts w:eastAsia="Times New Roman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275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585" w:type="dxa"/>
            <w:noWrap/>
            <w:hideMark/>
          </w:tcPr>
          <w:p>
            <w:pPr>
              <w:spacing w:after="0"/>
              <w:rPr>
                <w:noProof/>
                <w:sz w:val="20"/>
                <w:szCs w:val="20"/>
                <w:lang w:eastAsia="en-GB"/>
              </w:rPr>
            </w:pPr>
          </w:p>
        </w:tc>
      </w:tr>
      <w:tr>
        <w:trPr>
          <w:trHeight w:val="270"/>
        </w:trPr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ascii="Calibri" w:eastAsia="Times New Roman" w:hAnsi="Calibri" w:cs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jc w:val="right"/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hideMark/>
          </w:tcPr>
          <w:p>
            <w:pPr>
              <w:spacing w:after="0"/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noProof/>
                <w:color w:val="000000"/>
                <w:sz w:val="18"/>
                <w:szCs w:val="18"/>
              </w:rPr>
              <w:t> </w:t>
            </w:r>
          </w:p>
        </w:tc>
      </w:tr>
    </w:tbl>
    <w:p>
      <w:pPr>
        <w:pStyle w:val="Titrearticle"/>
        <w:rPr>
          <w:noProof/>
        </w:rPr>
      </w:pPr>
      <w:r>
        <w:rPr>
          <w:noProof/>
        </w:rPr>
        <w:t>Artigo 2.º</w:t>
      </w:r>
    </w:p>
    <w:p>
      <w:pPr>
        <w:rPr>
          <w:noProof/>
        </w:rPr>
      </w:pPr>
      <w:r>
        <w:rPr>
          <w:noProof/>
        </w:rPr>
        <w:t>No anexo do Regulamento (UE) 2018/2025, o quadro de possibilidades de pesca do goraz nas águas da União e águas internacionais da subzona 10 do CIEM é substituído pelo seguinte quadro: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1294"/>
        <w:gridCol w:w="1397"/>
        <w:gridCol w:w="636"/>
        <w:gridCol w:w="1017"/>
        <w:gridCol w:w="636"/>
        <w:gridCol w:w="837"/>
        <w:gridCol w:w="3129"/>
      </w:tblGrid>
      <w:tr>
        <w:trPr>
          <w:trHeight w:val="270"/>
        </w:trPr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Espécie: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Goraz</w:t>
            </w:r>
            <w:r>
              <w:rPr>
                <w:noProof/>
                <w:color w:val="000000"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</w:tcBorders>
            <w:noWrap/>
            <w:vAlign w:val="center"/>
          </w:tcPr>
          <w:p>
            <w:pPr>
              <w:spacing w:before="0" w:after="200" w:line="276" w:lineRule="auto"/>
              <w:jc w:val="left"/>
              <w:rPr>
                <w:noProof/>
              </w:rPr>
            </w:pPr>
            <w:r>
              <w:rPr>
                <w:noProof/>
                <w:color w:val="000000"/>
                <w:sz w:val="18"/>
                <w:szCs w:val="18"/>
              </w:rPr>
              <w:t>Zona:</w:t>
            </w:r>
          </w:p>
        </w:tc>
        <w:tc>
          <w:tcPr>
            <w:tcW w:w="3129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200" w:line="276" w:lineRule="auto"/>
              <w:jc w:val="left"/>
              <w:rPr>
                <w:noProof/>
              </w:rPr>
            </w:pPr>
            <w:r>
              <w:rPr>
                <w:noProof/>
                <w:color w:val="000000"/>
                <w:sz w:val="18"/>
                <w:szCs w:val="18"/>
              </w:rPr>
              <w:t>Águas da União e águas internacionais da subzona 10</w:t>
            </w:r>
          </w:p>
        </w:tc>
      </w:tr>
      <w:tr>
        <w:trPr>
          <w:trHeight w:val="315"/>
        </w:trPr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rPr>
                <w:noProof/>
              </w:rPr>
            </w:pPr>
            <w:r>
              <w:rPr>
                <w:i/>
                <w:iCs/>
                <w:noProof/>
                <w:sz w:val="18"/>
                <w:szCs w:val="18"/>
              </w:rPr>
              <w:t>Pagellus bogaraveo</w:t>
            </w:r>
            <w:r>
              <w:rPr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7" w:type="dxa"/>
            <w:tcBorders>
              <w:left w:val="single" w:sz="8" w:space="0" w:color="000000"/>
              <w:bottom w:val="single" w:sz="8" w:space="0" w:color="000000"/>
            </w:tcBorders>
            <w:noWrap/>
          </w:tcPr>
          <w:p>
            <w:pPr>
              <w:spacing w:before="0" w:after="200" w:line="276" w:lineRule="auto"/>
              <w:jc w:val="left"/>
              <w:rPr>
                <w:noProof/>
              </w:rPr>
            </w:pPr>
          </w:p>
        </w:tc>
        <w:tc>
          <w:tcPr>
            <w:tcW w:w="31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200" w:line="276" w:lineRule="auto"/>
              <w:jc w:val="left"/>
              <w:rPr>
                <w:noProof/>
              </w:rPr>
            </w:pPr>
            <w:r>
              <w:rPr>
                <w:noProof/>
                <w:color w:val="000000"/>
                <w:sz w:val="18"/>
                <w:szCs w:val="18"/>
              </w:rPr>
              <w:t>(SBR/10-)</w:t>
            </w:r>
          </w:p>
        </w:tc>
      </w:tr>
      <w:tr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rPr>
                <w:rFonts w:eastAsia="Times New Roman"/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Ano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jc w:val="right"/>
              <w:rPr>
                <w:rFonts w:eastAsia="Times New Roman"/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2019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jc w:val="right"/>
              <w:rPr>
                <w:rFonts w:eastAsia="Times New Roman"/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eastAsia="Times New Roman"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6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spacing w:before="0"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TAC de precaução</w:t>
            </w:r>
          </w:p>
        </w:tc>
      </w:tr>
      <w:tr>
        <w:trPr>
          <w:trHeight w:val="36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Espanha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before="0" w:after="0"/>
              <w:jc w:val="left"/>
              <w:rPr>
                <w:rFonts w:eastAsia="Times New Roman"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eastAsia="Times New Roman"/>
                <w:noProof/>
                <w:sz w:val="22"/>
                <w:lang w:eastAsia="en-GB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ascii="Calibri" w:eastAsia="Times New Roman" w:hAnsi="Calibri" w:cs="Arial"/>
                <w:noProof/>
                <w:sz w:val="22"/>
                <w:lang w:eastAsia="en-GB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ascii="Calibri" w:eastAsia="Times New Roman" w:hAnsi="Calibri" w:cs="Arial"/>
                <w:noProof/>
                <w:sz w:val="22"/>
                <w:lang w:eastAsia="en-GB"/>
              </w:rPr>
            </w:pPr>
          </w:p>
        </w:tc>
      </w:tr>
      <w:tr>
        <w:trPr>
          <w:trHeight w:val="36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Portugal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566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before="0" w:after="0"/>
              <w:jc w:val="left"/>
              <w:rPr>
                <w:rFonts w:eastAsia="Times New Roman"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543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eastAsia="Times New Roman"/>
                <w:noProof/>
                <w:sz w:val="22"/>
                <w:lang w:eastAsia="en-GB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ascii="Calibri" w:eastAsia="Times New Roman" w:hAnsi="Calibri" w:cs="Arial"/>
                <w:noProof/>
                <w:sz w:val="22"/>
                <w:lang w:eastAsia="en-GB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ascii="Calibri" w:eastAsia="Times New Roman" w:hAnsi="Calibri" w:cs="Arial"/>
                <w:noProof/>
                <w:sz w:val="22"/>
                <w:lang w:eastAsia="en-GB"/>
              </w:rPr>
            </w:pPr>
          </w:p>
        </w:tc>
      </w:tr>
      <w:tr>
        <w:trPr>
          <w:trHeight w:val="36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Reino Unido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before="0" w:after="0"/>
              <w:jc w:val="left"/>
              <w:rPr>
                <w:rFonts w:eastAsia="Times New Roman"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eastAsia="Times New Roman"/>
                <w:noProof/>
                <w:sz w:val="22"/>
                <w:lang w:eastAsia="en-GB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ascii="Calibri" w:eastAsia="Times New Roman" w:hAnsi="Calibri" w:cs="Arial"/>
                <w:noProof/>
                <w:sz w:val="22"/>
                <w:lang w:eastAsia="en-GB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ascii="Calibri" w:eastAsia="Times New Roman" w:hAnsi="Calibri" w:cs="Arial"/>
                <w:noProof/>
                <w:sz w:val="22"/>
                <w:lang w:eastAsia="en-GB"/>
              </w:rPr>
            </w:pPr>
          </w:p>
        </w:tc>
      </w:tr>
      <w:tr>
        <w:trPr>
          <w:trHeight w:val="36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União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576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eastAsia="Times New Roman"/>
                <w:noProof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553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eastAsia="Times New Roman"/>
                <w:noProof/>
                <w:sz w:val="22"/>
                <w:lang w:eastAsia="en-GB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ascii="Calibri" w:eastAsia="Times New Roman" w:hAnsi="Calibri" w:cs="Arial"/>
                <w:noProof/>
                <w:sz w:val="22"/>
                <w:lang w:eastAsia="en-GB"/>
              </w:rPr>
            </w:pPr>
          </w:p>
        </w:tc>
        <w:tc>
          <w:tcPr>
            <w:tcW w:w="3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ascii="Calibri" w:eastAsia="Times New Roman" w:hAnsi="Calibri" w:cs="Arial"/>
                <w:noProof/>
                <w:sz w:val="22"/>
                <w:lang w:eastAsia="en-GB"/>
              </w:rPr>
            </w:pPr>
          </w:p>
        </w:tc>
      </w:tr>
      <w:tr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TAC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576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553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left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before="0" w:after="0"/>
              <w:rPr>
                <w:rFonts w:eastAsia="Times New Roman"/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>
            <w:pPr>
              <w:spacing w:before="0" w:after="0"/>
              <w:jc w:val="right"/>
              <w:rPr>
                <w:rFonts w:eastAsia="Times New Roman"/>
                <w:noProof/>
                <w:color w:val="000000"/>
                <w:sz w:val="18"/>
                <w:szCs w:val="18"/>
                <w:lang w:eastAsia="en-GB"/>
              </w:rPr>
            </w:pPr>
          </w:p>
        </w:tc>
      </w:tr>
    </w:tbl>
    <w:p>
      <w:pPr>
        <w:pStyle w:val="Titrearticle"/>
        <w:rPr>
          <w:noProof/>
        </w:rPr>
      </w:pPr>
      <w:r>
        <w:rPr>
          <w:noProof/>
        </w:rPr>
        <w:t>Artigo 3.º</w:t>
      </w:r>
    </w:p>
    <w:p>
      <w:pPr>
        <w:rPr>
          <w:noProof/>
        </w:rPr>
      </w:pPr>
      <w:r>
        <w:rPr>
          <w:noProof/>
        </w:rPr>
        <w:t xml:space="preserve">O presente regulamento entra em vigor no dia seguinte ao da sua publicação no </w:t>
      </w:r>
      <w:r>
        <w:rPr>
          <w:i/>
          <w:noProof/>
        </w:rPr>
        <w:t>Jornal Oficial da União Europeia</w:t>
      </w:r>
      <w:r>
        <w:rPr>
          <w:noProof/>
        </w:rPr>
        <w:t>.</w:t>
      </w:r>
    </w:p>
    <w:p>
      <w:pPr>
        <w:rPr>
          <w:noProof/>
        </w:rPr>
      </w:pPr>
      <w:r>
        <w:rPr>
          <w:noProof/>
        </w:rPr>
        <w:t>O presente regulamento é aplicável com efeitos desde 1 de julho de 2019.</w:t>
      </w:r>
    </w:p>
    <w:p>
      <w:pPr>
        <w:pStyle w:val="Applicationdirecte"/>
        <w:rPr>
          <w:noProof/>
        </w:rPr>
      </w:pPr>
      <w:r>
        <w:rPr>
          <w:noProof/>
        </w:rPr>
        <w:lastRenderedPageBreak/>
        <w:t>O presente regulamento é obrigatório em todos os seus elementos e diretamente aplicável em todos os Estados-Membros.</w:t>
      </w:r>
    </w:p>
    <w:p>
      <w:pPr>
        <w:pStyle w:val="Fait"/>
        <w:rPr>
          <w:noProof/>
        </w:rPr>
      </w:pPr>
      <w:r>
        <w:t>Feito em Bruxelas, em</w:t>
      </w:r>
    </w:p>
    <w:p>
      <w:pPr>
        <w:pStyle w:val="Institutionquisigne"/>
        <w:rPr>
          <w:noProof/>
        </w:rPr>
      </w:pPr>
      <w:r>
        <w:rPr>
          <w:noProof/>
        </w:rPr>
        <w:tab/>
        <w:t>Pelo Conselho</w:t>
      </w:r>
    </w:p>
    <w:p>
      <w:pPr>
        <w:pStyle w:val="Personnequisigne"/>
        <w:rPr>
          <w:noProof/>
        </w:rPr>
      </w:pPr>
      <w:r>
        <w:rPr>
          <w:noProof/>
        </w:rPr>
        <w:tab/>
        <w:t>O Presidente</w:t>
      </w:r>
    </w:p>
    <w:sectPr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before="0" w:after="0"/>
      </w:pPr>
      <w:r>
        <w:separator/>
      </w:r>
    </w:p>
  </w:endnote>
  <w:endnote w:type="continuationSeparator" w:id="0">
    <w:p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PT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tab/>
    </w:r>
    <w:r>
      <w:rPr>
        <w:rFonts w:ascii="Arial" w:hAnsi="Arial" w:cs="Arial"/>
        <w:b/>
        <w:sz w:val="48"/>
      </w:rPr>
      <w:t>PT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PT</w:t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6</w:t>
    </w:r>
    <w:r>
      <w:fldChar w:fldCharType="end"/>
    </w:r>
    <w:r>
      <w:tab/>
    </w:r>
    <w:r>
      <w:tab/>
    </w:r>
    <w:r>
      <w:rPr>
        <w:rFonts w:ascii="Arial" w:hAnsi="Arial" w:cs="Arial"/>
        <w:b/>
        <w:sz w:val="48"/>
      </w:rPr>
      <w:t>PT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before="0" w:after="0"/>
      </w:pPr>
      <w:r>
        <w:separator/>
      </w:r>
    </w:p>
  </w:footnote>
  <w:footnote w:type="continuationSeparator" w:id="0">
    <w:p>
      <w:pPr>
        <w:spacing w:before="0" w:after="0"/>
      </w:pPr>
      <w:r>
        <w:continuation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ab/>
        <w:t>Regulamento (UE) 2019/124 do Conselho, de 30 de janeiro de 2019, que fixa, para 2019, em relação a determinadas unidades populacionais de peixes e grupos de unidades populacionais de peixes, as possibilidades de pesca aplicáveis nas águas da União e as aplicáveis, para os navios de pesca da União, em certas águas não União (JO L 29 de 31.1.2019, p. 1).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ab/>
        <w:t>Regulamento (UE) 2018/2025 do Conselho, de 17 de dezembro de 2018, que fixa, para 2019 e 2020, as possibilidades de pesca para os navios de pesca da União relativas a determinadas unidades populacionais de peixes de profundidade (JO L 325 de 20.12.2018, p. 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F282F95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DCA6679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C57EF48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F0BC00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F382872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EB2EFB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D3C257B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A4FE14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6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7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21"/>
    <w:lvlOverride w:ilvl="0">
      <w:startOverride w:val="1"/>
    </w:lvlOverride>
  </w:num>
  <w:num w:numId="10">
    <w:abstractNumId w:val="18"/>
  </w:num>
  <w:num w:numId="11">
    <w:abstractNumId w:val="12"/>
  </w:num>
  <w:num w:numId="12">
    <w:abstractNumId w:val="20"/>
  </w:num>
  <w:num w:numId="13">
    <w:abstractNumId w:val="11"/>
  </w:num>
  <w:num w:numId="14">
    <w:abstractNumId w:val="13"/>
  </w:num>
  <w:num w:numId="15">
    <w:abstractNumId w:val="9"/>
  </w:num>
  <w:num w:numId="16">
    <w:abstractNumId w:val="19"/>
  </w:num>
  <w:num w:numId="17">
    <w:abstractNumId w:val="8"/>
  </w:num>
  <w:num w:numId="18">
    <w:abstractNumId w:val="14"/>
  </w:num>
  <w:num w:numId="19">
    <w:abstractNumId w:val="16"/>
  </w:num>
  <w:num w:numId="20">
    <w:abstractNumId w:val="17"/>
  </w:num>
  <w:num w:numId="21">
    <w:abstractNumId w:val="10"/>
  </w:num>
  <w:num w:numId="22">
    <w:abstractNumId w:val="15"/>
  </w:num>
  <w:num w:numId="23">
    <w:abstractNumId w:val="21"/>
  </w:num>
  <w:num w:numId="24">
    <w:abstractNumId w:val="18"/>
  </w:num>
  <w:num w:numId="25">
    <w:abstractNumId w:val="12"/>
  </w:num>
  <w:num w:numId="26">
    <w:abstractNumId w:val="20"/>
  </w:num>
  <w:num w:numId="27">
    <w:abstractNumId w:val="11"/>
  </w:num>
  <w:num w:numId="28">
    <w:abstractNumId w:val="13"/>
  </w:num>
  <w:num w:numId="29">
    <w:abstractNumId w:val="9"/>
  </w:num>
  <w:num w:numId="30">
    <w:abstractNumId w:val="19"/>
  </w:num>
  <w:num w:numId="31">
    <w:abstractNumId w:val="8"/>
  </w:num>
  <w:num w:numId="32">
    <w:abstractNumId w:val="14"/>
  </w:num>
  <w:num w:numId="33">
    <w:abstractNumId w:val="16"/>
  </w:num>
  <w:num w:numId="34">
    <w:abstractNumId w:val="17"/>
  </w:num>
  <w:num w:numId="35">
    <w:abstractNumId w:val="10"/>
  </w:num>
  <w:num w:numId="36">
    <w:abstractNumId w:val="15"/>
  </w:num>
  <w:num w:numId="37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hideSpellingErrors/>
  <w:hideGrammaticalErrors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revisionView w:markup="0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QCDateTime" w:val="2019-07-11 21:44:20"/>
    <w:docVar w:name="DQCResult_Distribution" w:val="0;0"/>
    <w:docVar w:name="DQCResult_DocumentContent" w:val="0;0"/>
    <w:docVar w:name="DQCResult_DocumentSize" w:val="0;0"/>
    <w:docVar w:name="DQCResult_DocumentVersions" w:val="0;0"/>
    <w:docVar w:name="DQCResult_InvalidFootnotes" w:val="0;0"/>
    <w:docVar w:name="DQCResult_LinkedStyles" w:val="0;0"/>
    <w:docVar w:name="DQCResult_ModifiedMargins" w:val="0;0"/>
    <w:docVar w:name="DQCResult_ModifiedMarkers" w:val="0;0"/>
    <w:docVar w:name="DQCResult_ModifiedNumbering" w:val="0;0"/>
    <w:docVar w:name="DQCResult_Objects" w:val="0;0"/>
    <w:docVar w:name="DQCResult_Sections" w:val="0;1"/>
    <w:docVar w:name="DQCResult_StructureCheck" w:val="0;0"/>
    <w:docVar w:name="DQCResult_SuperfluousWhitespace" w:val="0;0"/>
    <w:docVar w:name="DQCResult_UnknownFonts" w:val="0;0"/>
    <w:docVar w:name="DQCResult_UnknownStyles" w:val="0;0"/>
    <w:docVar w:name="DQCStatus" w:val="Green"/>
    <w:docVar w:name="DQCVersion" w:val="3"/>
    <w:docVar w:name="DQCWithWarnings" w:val="0"/>
    <w:docVar w:name="LW_CORRIGENDUM" w:val="&lt;UNUSED&gt;"/>
    <w:docVar w:name="LW_COVERPAGE_EXISTS" w:val="True"/>
    <w:docVar w:name="LW_COVERPAGE_GUID" w:val="E506CB81-C83C-40B9-9334-D96936DB1643"/>
    <w:docVar w:name="LW_COVERPAGE_TYPE" w:val="1"/>
    <w:docVar w:name="LW_CROSSREFERENCE" w:val="&lt;UNUSED&gt;"/>
    <w:docVar w:name="LW_DocType" w:val="COM"/>
    <w:docVar w:name="LW_EMISSION" w:val="16.7.2019"/>
    <w:docVar w:name="LW_EMISSION_ISODATE" w:val="2019-07-16"/>
    <w:docVar w:name="LW_EMISSION_LOCATION" w:val="BRX"/>
    <w:docVar w:name="LW_EMISSION_PREFIX" w:val="Bruxelas, "/>
    <w:docVar w:name="LW_EMISSION_SUFFIX" w:val=" "/>
    <w:docVar w:name="LW_ID_DOCMODEL" w:val="SJ-016"/>
    <w:docVar w:name="LW_ID_DOCSIGNATURE" w:val="SJ-016"/>
    <w:docVar w:name="LW_ID_DOCSTRUCTURE" w:val="COM/PL/ORG"/>
    <w:docVar w:name="LW_ID_DOCTYPE" w:val="SJ-016"/>
    <w:docVar w:name="LW_ID_STATUT" w:val="SJ-016"/>
    <w:docVar w:name="LW_INTERETEEE.CP" w:val="&lt;UNUSED&gt;"/>
    <w:docVar w:name="LW_LANGUE" w:val="PT"/>
    <w:docVar w:name="LW_LEVEL_OF_SENSITIVITY" w:val="Standard treatment"/>
    <w:docVar w:name="LW_NOM.INST" w:val="COMISSÃO EUROPEIA"/>
    <w:docVar w:name="LW_NOM.INST_JOINTDOC" w:val="&lt;EMPTY&gt;"/>
    <w:docVar w:name="LW_PART_NBR" w:val="1"/>
    <w:docVar w:name="LW_PART_NBR_TOTAL" w:val="1"/>
    <w:docVar w:name="LW_REF.II.NEW.CP" w:val="NLE"/>
    <w:docVar w:name="LW_REF.II.NEW.CP_NUMBER" w:val="0154"/>
    <w:docVar w:name="LW_REF.II.NEW.CP_YEAR" w:val="2019"/>
    <w:docVar w:name="LW_REF.INST.NEW" w:val="COM"/>
    <w:docVar w:name="LW_REF.INST.NEW_ADOPTED" w:val="final"/>
    <w:docVar w:name="LW_REF.INST.NEW_TEXT" w:val="(2019) 338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 xsi:nil=&quot;true&quot; /&gt;_x000d__x000a_  &lt;limited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footnote xsi:nil=&quot;true&quot; /&gt;_x000d__x000a_  &lt;isRestricted&gt;false&lt;/isRestricted&gt;_x000d__x000a_&lt;/SensitivityLevel&gt;"/>
    <w:docVar w:name="LW_SOUS.TITRE.OBJ.CP" w:val="&lt;UNUSED&gt;"/>
    <w:docVar w:name="LW_STATUT.CP" w:val="Proposta de"/>
    <w:docVar w:name="LW_SUPERTITRE" w:val="&lt;UNUSED&gt;"/>
    <w:docVar w:name="LW_TITRE.OBJ.CP" w:val="que altera os Regulamentos (UE) 2019/124 e (UE) 2018/2025 no respeitante a certas possibilidades de pesca"/>
    <w:docVar w:name="LW_TYPE.DOC.CP" w:val="REGULAMENTO DO CONSELHO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pt-PT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30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30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30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30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Number">
    <w:name w:val="List Number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8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pt-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customStyle="1" w:styleId="Sous-titreobjet">
    <w:name w:val="Sous-titre objet"/>
    <w:basedOn w:val="Normal"/>
    <w:pPr>
      <w:spacing w:before="0" w:after="0"/>
      <w:jc w:val="center"/>
    </w:pPr>
    <w:rPr>
      <w:b/>
    </w:rPr>
  </w:style>
  <w:style w:type="paragraph" w:customStyle="1" w:styleId="Sous-titreobjetPagedecouverture">
    <w:name w:val="Sous-titre objet (Page de couverture)"/>
    <w:basedOn w:val="Sous-titreobjet"/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lang w:val="pt-PT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lang w:val="pt-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24"/>
      </w:numPr>
    </w:pPr>
  </w:style>
  <w:style w:type="paragraph" w:customStyle="1" w:styleId="Tiret1">
    <w:name w:val="Tiret 1"/>
    <w:basedOn w:val="Point1"/>
    <w:pPr>
      <w:numPr>
        <w:numId w:val="25"/>
      </w:numPr>
    </w:pPr>
  </w:style>
  <w:style w:type="paragraph" w:customStyle="1" w:styleId="Tiret2">
    <w:name w:val="Tiret 2"/>
    <w:basedOn w:val="Point2"/>
    <w:pPr>
      <w:numPr>
        <w:numId w:val="26"/>
      </w:numPr>
    </w:pPr>
  </w:style>
  <w:style w:type="paragraph" w:customStyle="1" w:styleId="Tiret3">
    <w:name w:val="Tiret 3"/>
    <w:basedOn w:val="Point3"/>
    <w:pPr>
      <w:numPr>
        <w:numId w:val="27"/>
      </w:numPr>
    </w:pPr>
  </w:style>
  <w:style w:type="paragraph" w:customStyle="1" w:styleId="Tiret4">
    <w:name w:val="Tiret 4"/>
    <w:basedOn w:val="Point4"/>
    <w:pPr>
      <w:numPr>
        <w:numId w:val="28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29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29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29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29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31"/>
      </w:numPr>
    </w:pPr>
  </w:style>
  <w:style w:type="paragraph" w:customStyle="1" w:styleId="Point1number">
    <w:name w:val="Point 1 (number)"/>
    <w:basedOn w:val="Normal"/>
    <w:pPr>
      <w:numPr>
        <w:ilvl w:val="2"/>
        <w:numId w:val="31"/>
      </w:numPr>
    </w:pPr>
  </w:style>
  <w:style w:type="paragraph" w:customStyle="1" w:styleId="Point2number">
    <w:name w:val="Point 2 (number)"/>
    <w:basedOn w:val="Normal"/>
    <w:pPr>
      <w:numPr>
        <w:ilvl w:val="4"/>
        <w:numId w:val="31"/>
      </w:numPr>
    </w:pPr>
  </w:style>
  <w:style w:type="paragraph" w:customStyle="1" w:styleId="Point3number">
    <w:name w:val="Point 3 (number)"/>
    <w:basedOn w:val="Normal"/>
    <w:pPr>
      <w:numPr>
        <w:ilvl w:val="6"/>
        <w:numId w:val="31"/>
      </w:numPr>
    </w:pPr>
  </w:style>
  <w:style w:type="paragraph" w:customStyle="1" w:styleId="Point0letter">
    <w:name w:val="Point 0 (letter)"/>
    <w:basedOn w:val="Normal"/>
    <w:pPr>
      <w:numPr>
        <w:ilvl w:val="1"/>
        <w:numId w:val="31"/>
      </w:numPr>
    </w:pPr>
  </w:style>
  <w:style w:type="paragraph" w:customStyle="1" w:styleId="Point1letter">
    <w:name w:val="Point 1 (letter)"/>
    <w:basedOn w:val="Normal"/>
    <w:pPr>
      <w:numPr>
        <w:ilvl w:val="3"/>
        <w:numId w:val="31"/>
      </w:numPr>
    </w:pPr>
  </w:style>
  <w:style w:type="paragraph" w:customStyle="1" w:styleId="Point2letter">
    <w:name w:val="Point 2 (letter)"/>
    <w:basedOn w:val="Normal"/>
    <w:pPr>
      <w:numPr>
        <w:ilvl w:val="5"/>
        <w:numId w:val="31"/>
      </w:numPr>
    </w:pPr>
  </w:style>
  <w:style w:type="paragraph" w:customStyle="1" w:styleId="Point3letter">
    <w:name w:val="Point 3 (letter)"/>
    <w:basedOn w:val="Normal"/>
    <w:pPr>
      <w:numPr>
        <w:ilvl w:val="7"/>
        <w:numId w:val="31"/>
      </w:numPr>
    </w:pPr>
  </w:style>
  <w:style w:type="paragraph" w:customStyle="1" w:styleId="Point4letter">
    <w:name w:val="Point 4 (letter)"/>
    <w:basedOn w:val="Normal"/>
    <w:pPr>
      <w:numPr>
        <w:ilvl w:val="8"/>
        <w:numId w:val="31"/>
      </w:numPr>
    </w:pPr>
  </w:style>
  <w:style w:type="paragraph" w:customStyle="1" w:styleId="Bullet0">
    <w:name w:val="Bullet 0"/>
    <w:basedOn w:val="Normal"/>
    <w:pPr>
      <w:numPr>
        <w:numId w:val="32"/>
      </w:numPr>
    </w:pPr>
  </w:style>
  <w:style w:type="paragraph" w:customStyle="1" w:styleId="Bullet1">
    <w:name w:val="Bullet 1"/>
    <w:basedOn w:val="Normal"/>
    <w:pPr>
      <w:numPr>
        <w:numId w:val="33"/>
      </w:numPr>
    </w:pPr>
  </w:style>
  <w:style w:type="paragraph" w:customStyle="1" w:styleId="Bullet2">
    <w:name w:val="Bullet 2"/>
    <w:basedOn w:val="Normal"/>
    <w:pPr>
      <w:numPr>
        <w:numId w:val="34"/>
      </w:numPr>
    </w:pPr>
  </w:style>
  <w:style w:type="paragraph" w:customStyle="1" w:styleId="Bullet3">
    <w:name w:val="Bullet 3"/>
    <w:basedOn w:val="Normal"/>
    <w:pPr>
      <w:numPr>
        <w:numId w:val="35"/>
      </w:numPr>
    </w:pPr>
  </w:style>
  <w:style w:type="paragraph" w:customStyle="1" w:styleId="Bullet4">
    <w:name w:val="Bullet 4"/>
    <w:basedOn w:val="Normal"/>
    <w:pPr>
      <w:numPr>
        <w:numId w:val="36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37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pt-PT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30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30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30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30"/>
      </w:numPr>
      <w:outlineLvl w:val="3"/>
    </w:pPr>
    <w:rPr>
      <w:rFonts w:eastAsiaTheme="majorEastAsia"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paragraph" w:styleId="ListNumber">
    <w:name w:val="List Number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8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  <w:lang w:val="pt-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customStyle="1" w:styleId="Sous-titreobjet">
    <w:name w:val="Sous-titre objet"/>
    <w:basedOn w:val="Normal"/>
    <w:pPr>
      <w:spacing w:before="0" w:after="0"/>
      <w:jc w:val="center"/>
    </w:pPr>
    <w:rPr>
      <w:b/>
    </w:rPr>
  </w:style>
  <w:style w:type="paragraph" w:customStyle="1" w:styleId="Sous-titreobjetPagedecouverture">
    <w:name w:val="Sous-titre objet (Page de couverture)"/>
    <w:basedOn w:val="Sous-titreobjet"/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lang w:val="pt-PT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lang w:val="pt-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FooterSensitivity">
    <w:name w:val="Footer Sensitivity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Tiret0">
    <w:name w:val="Tiret 0"/>
    <w:basedOn w:val="Point0"/>
    <w:pPr>
      <w:numPr>
        <w:numId w:val="24"/>
      </w:numPr>
    </w:pPr>
  </w:style>
  <w:style w:type="paragraph" w:customStyle="1" w:styleId="Tiret1">
    <w:name w:val="Tiret 1"/>
    <w:basedOn w:val="Point1"/>
    <w:pPr>
      <w:numPr>
        <w:numId w:val="25"/>
      </w:numPr>
    </w:pPr>
  </w:style>
  <w:style w:type="paragraph" w:customStyle="1" w:styleId="Tiret2">
    <w:name w:val="Tiret 2"/>
    <w:basedOn w:val="Point2"/>
    <w:pPr>
      <w:numPr>
        <w:numId w:val="26"/>
      </w:numPr>
    </w:pPr>
  </w:style>
  <w:style w:type="paragraph" w:customStyle="1" w:styleId="Tiret3">
    <w:name w:val="Tiret 3"/>
    <w:basedOn w:val="Point3"/>
    <w:pPr>
      <w:numPr>
        <w:numId w:val="27"/>
      </w:numPr>
    </w:pPr>
  </w:style>
  <w:style w:type="paragraph" w:customStyle="1" w:styleId="Tiret4">
    <w:name w:val="Tiret 4"/>
    <w:basedOn w:val="Point4"/>
    <w:pPr>
      <w:numPr>
        <w:numId w:val="28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29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29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29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29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31"/>
      </w:numPr>
    </w:pPr>
  </w:style>
  <w:style w:type="paragraph" w:customStyle="1" w:styleId="Point1number">
    <w:name w:val="Point 1 (number)"/>
    <w:basedOn w:val="Normal"/>
    <w:pPr>
      <w:numPr>
        <w:ilvl w:val="2"/>
        <w:numId w:val="31"/>
      </w:numPr>
    </w:pPr>
  </w:style>
  <w:style w:type="paragraph" w:customStyle="1" w:styleId="Point2number">
    <w:name w:val="Point 2 (number)"/>
    <w:basedOn w:val="Normal"/>
    <w:pPr>
      <w:numPr>
        <w:ilvl w:val="4"/>
        <w:numId w:val="31"/>
      </w:numPr>
    </w:pPr>
  </w:style>
  <w:style w:type="paragraph" w:customStyle="1" w:styleId="Point3number">
    <w:name w:val="Point 3 (number)"/>
    <w:basedOn w:val="Normal"/>
    <w:pPr>
      <w:numPr>
        <w:ilvl w:val="6"/>
        <w:numId w:val="31"/>
      </w:numPr>
    </w:pPr>
  </w:style>
  <w:style w:type="paragraph" w:customStyle="1" w:styleId="Point0letter">
    <w:name w:val="Point 0 (letter)"/>
    <w:basedOn w:val="Normal"/>
    <w:pPr>
      <w:numPr>
        <w:ilvl w:val="1"/>
        <w:numId w:val="31"/>
      </w:numPr>
    </w:pPr>
  </w:style>
  <w:style w:type="paragraph" w:customStyle="1" w:styleId="Point1letter">
    <w:name w:val="Point 1 (letter)"/>
    <w:basedOn w:val="Normal"/>
    <w:pPr>
      <w:numPr>
        <w:ilvl w:val="3"/>
        <w:numId w:val="31"/>
      </w:numPr>
    </w:pPr>
  </w:style>
  <w:style w:type="paragraph" w:customStyle="1" w:styleId="Point2letter">
    <w:name w:val="Point 2 (letter)"/>
    <w:basedOn w:val="Normal"/>
    <w:pPr>
      <w:numPr>
        <w:ilvl w:val="5"/>
        <w:numId w:val="31"/>
      </w:numPr>
    </w:pPr>
  </w:style>
  <w:style w:type="paragraph" w:customStyle="1" w:styleId="Point3letter">
    <w:name w:val="Point 3 (letter)"/>
    <w:basedOn w:val="Normal"/>
    <w:pPr>
      <w:numPr>
        <w:ilvl w:val="7"/>
        <w:numId w:val="31"/>
      </w:numPr>
    </w:pPr>
  </w:style>
  <w:style w:type="paragraph" w:customStyle="1" w:styleId="Point4letter">
    <w:name w:val="Point 4 (letter)"/>
    <w:basedOn w:val="Normal"/>
    <w:pPr>
      <w:numPr>
        <w:ilvl w:val="8"/>
        <w:numId w:val="31"/>
      </w:numPr>
    </w:pPr>
  </w:style>
  <w:style w:type="paragraph" w:customStyle="1" w:styleId="Bullet0">
    <w:name w:val="Bullet 0"/>
    <w:basedOn w:val="Normal"/>
    <w:pPr>
      <w:numPr>
        <w:numId w:val="32"/>
      </w:numPr>
    </w:pPr>
  </w:style>
  <w:style w:type="paragraph" w:customStyle="1" w:styleId="Bullet1">
    <w:name w:val="Bullet 1"/>
    <w:basedOn w:val="Normal"/>
    <w:pPr>
      <w:numPr>
        <w:numId w:val="33"/>
      </w:numPr>
    </w:pPr>
  </w:style>
  <w:style w:type="paragraph" w:customStyle="1" w:styleId="Bullet2">
    <w:name w:val="Bullet 2"/>
    <w:basedOn w:val="Normal"/>
    <w:pPr>
      <w:numPr>
        <w:numId w:val="34"/>
      </w:numPr>
    </w:pPr>
  </w:style>
  <w:style w:type="paragraph" w:customStyle="1" w:styleId="Bullet3">
    <w:name w:val="Bullet 3"/>
    <w:basedOn w:val="Normal"/>
    <w:pPr>
      <w:numPr>
        <w:numId w:val="35"/>
      </w:numPr>
    </w:pPr>
  </w:style>
  <w:style w:type="paragraph" w:customStyle="1" w:styleId="Bullet4">
    <w:name w:val="Bullet 4"/>
    <w:basedOn w:val="Normal"/>
    <w:pPr>
      <w:numPr>
        <w:numId w:val="36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37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itreobjetPagedecouverture">
    <w:name w:val="Titre objet (Page de couverture)"/>
    <w:basedOn w:val="Titreobjet"/>
    <w:next w:val="IntrtEEEPagedecouverture"/>
  </w:style>
  <w:style w:type="paragraph" w:customStyle="1" w:styleId="TypedudocumentPagedecouverture">
    <w:name w:val="Type du document (Page de couverture)"/>
    <w:basedOn w:val="Typedudocument"/>
    <w:next w:val="Titreobje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5531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8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1644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8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84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12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95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D4A97-DB91-40F0-A43B-56B8270C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3</TotalTime>
  <Pages>7</Pages>
  <Words>1519</Words>
  <Characters>7763</Characters>
  <Application>Microsoft Office Word</Application>
  <DocSecurity>0</DocSecurity>
  <Lines>267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18</cp:revision>
  <cp:lastPrinted>2019-05-20T14:19:00Z</cp:lastPrinted>
  <dcterms:created xsi:type="dcterms:W3CDTF">2019-07-11T10:26:00Z</dcterms:created>
  <dcterms:modified xsi:type="dcterms:W3CDTF">2019-07-11T19:44:00Z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COM/PL/ORG</vt:lpwstr>
  </property>
  <property fmtid="{D5CDD505-2E9C-101B-9397-08002B2CF9AE}" pid="3" name="Version">
    <vt:lpwstr>5.8.86.0</vt:lpwstr>
  </property>
  <property fmtid="{D5CDD505-2E9C-101B-9397-08002B2CF9AE}" pid="4" name="Last edited using">
    <vt:lpwstr>LW 6.0.1, Build 20180503</vt:lpwstr>
  </property>
  <property fmtid="{D5CDD505-2E9C-101B-9397-08002B2CF9AE}" pid="5" name="Created using">
    <vt:lpwstr>LW 5.8.4, Build 20150407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WTemplateID">
    <vt:lpwstr>SJ-016</vt:lpwstr>
  </property>
  <property fmtid="{D5CDD505-2E9C-101B-9397-08002B2CF9AE}" pid="9" name="Level of sensitivity">
    <vt:lpwstr>Standard treatment</vt:lpwstr>
  </property>
  <property fmtid="{D5CDD505-2E9C-101B-9397-08002B2CF9AE}" pid="10" name="DQCStatus">
    <vt:lpwstr>Green (DQC version 03)</vt:lpwstr>
  </property>
  <property name="OP_sanitized" fmtid="{D5CDD505-2E9C-101B-9397-08002B2CF9AE}" pid="11">
    <vt:lpwstr>True</vt:lpwstr>
  </property>
</Properties>
</file>