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948C670E-483F-4E11-A5F3-1C0F5E458AF8" style="width:451.25pt;height:395.15pt">
            <v:imagedata r:id="rId12" o:title=""/>
          </v:shape>
        </w:pict>
      </w:r>
    </w:p>
    <w:p>
      <w:pPr>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pPr>
        <w:pStyle w:val="Exposdesmotifstitre"/>
        <w:rPr>
          <w:noProof/>
        </w:rPr>
      </w:pPr>
      <w:bookmarkStart w:id="0" w:name="_Toc351835"/>
      <w:bookmarkStart w:id="1" w:name="_GoBack"/>
      <w:bookmarkEnd w:id="1"/>
      <w:r>
        <w:rPr>
          <w:noProof/>
        </w:rPr>
        <w:lastRenderedPageBreak/>
        <w:t>EXPOSIÇÃO DE MOTIVOS</w:t>
      </w:r>
      <w:bookmarkEnd w:id="0"/>
    </w:p>
    <w:p>
      <w:pPr>
        <w:pStyle w:val="ManualHeading1"/>
        <w:rPr>
          <w:noProof/>
        </w:rPr>
      </w:pPr>
      <w:bookmarkStart w:id="2" w:name="_Toc351836"/>
      <w:r>
        <w:rPr>
          <w:noProof/>
        </w:rPr>
        <w:t>1.</w:t>
      </w:r>
      <w:r>
        <w:rPr>
          <w:noProof/>
        </w:rPr>
        <w:tab/>
        <w:t>CONTEXTO DA PROPOSTA</w:t>
      </w:r>
      <w:bookmarkEnd w:id="2"/>
    </w:p>
    <w:p>
      <w:pPr>
        <w:pStyle w:val="ManualHeading2"/>
        <w:rPr>
          <w:rFonts w:eastAsia="Arial Unicode MS"/>
          <w:noProof/>
        </w:rPr>
      </w:pPr>
      <w:bookmarkStart w:id="3" w:name="_Toc351837"/>
      <w:r>
        <w:rPr>
          <w:noProof/>
          <w:color w:val="000000"/>
          <w:u w:color="000000"/>
          <w:bdr w:val="nil"/>
        </w:rPr>
        <w:t>•</w:t>
      </w:r>
      <w:r>
        <w:rPr>
          <w:noProof/>
          <w:color w:val="000000"/>
          <w:u w:color="000000"/>
          <w:bdr w:val="nil"/>
        </w:rPr>
        <w:tab/>
      </w:r>
      <w:r>
        <w:rPr>
          <w:noProof/>
        </w:rPr>
        <w:t>Justificação e objetivos da proposta</w:t>
      </w:r>
      <w:bookmarkEnd w:id="3"/>
    </w:p>
    <w:p>
      <w:pPr>
        <w:pBdr>
          <w:top w:val="nil"/>
          <w:left w:val="nil"/>
          <w:bottom w:val="nil"/>
          <w:right w:val="nil"/>
          <w:between w:val="nil"/>
          <w:bar w:val="nil"/>
        </w:pBdr>
        <w:spacing w:before="0" w:after="240"/>
        <w:rPr>
          <w:noProof/>
        </w:rPr>
      </w:pPr>
      <w:r>
        <w:rPr>
          <w:noProof/>
        </w:rPr>
        <w:t>O artigo 19.º da Decisão n.º 1313/2013/UE relativa a um Mecanismo de Proteção Civil da União Europeia</w:t>
      </w:r>
      <w:r>
        <w:rPr>
          <w:rStyle w:val="FootnoteReference"/>
          <w:noProof/>
        </w:rPr>
        <w:footnoteReference w:id="2"/>
      </w:r>
      <w:r>
        <w:rPr>
          <w:noProof/>
        </w:rPr>
        <w:t xml:space="preserve"> (a seguir designado «Mecanismo da União»), bem como as disposições conexas, fazem referência à dotação financeira disponível para apoiar a proteção civil ao abrigo do atual quadro financeiro plurianual (2014-2020). Dado que o período do atual quadro financeiro plurianual está a terminar, estas disposições devem ser alteradas para garantir a continuação do financiamento do Mecanismo da União. </w:t>
      </w:r>
    </w:p>
    <w:p>
      <w:pPr>
        <w:pBdr>
          <w:top w:val="nil"/>
          <w:left w:val="nil"/>
          <w:bottom w:val="nil"/>
          <w:right w:val="nil"/>
          <w:between w:val="nil"/>
          <w:bar w:val="nil"/>
        </w:pBdr>
        <w:spacing w:before="0" w:after="240"/>
        <w:rPr>
          <w:noProof/>
        </w:rPr>
      </w:pPr>
      <w:r>
        <w:rPr>
          <w:noProof/>
        </w:rPr>
        <w:t>O âmbito de aplicação da presente alteração está estritamente limitado às disposições orçamentais da Decisão n.º 1313/2013/UE e não deve alterar o seu teor. A alteração proposta está em conformidade com a proposta da Comissão de 2 de maio de 2018 relativa ao quadro financeiro plurianual 2021-2027</w:t>
      </w:r>
      <w:r>
        <w:rPr>
          <w:rStyle w:val="FootnoteReference"/>
          <w:rFonts w:eastAsia="Arial Unicode MS"/>
          <w:noProof/>
        </w:rPr>
        <w:footnoteReference w:id="3"/>
      </w:r>
      <w:r>
        <w:rPr>
          <w:noProof/>
        </w:rPr>
        <w:t>. O montante indicado na presente proposta reflete igualmente o nível de ambição estabelecido pela Comissão na sua proposta de revisão da Decisão n.º 1313/2013/UE, de 23 de novembro de 2017 (proposta «rescEU»)</w:t>
      </w:r>
      <w:r>
        <w:rPr>
          <w:rStyle w:val="FootnoteReference"/>
          <w:rFonts w:eastAsia="Arial Unicode MS"/>
          <w:noProof/>
        </w:rPr>
        <w:footnoteReference w:id="4"/>
      </w:r>
      <w:r>
        <w:rPr>
          <w:noProof/>
        </w:rPr>
        <w:t>.</w:t>
      </w:r>
    </w:p>
    <w:p>
      <w:pPr>
        <w:pBdr>
          <w:top w:val="nil"/>
          <w:left w:val="nil"/>
          <w:bottom w:val="nil"/>
          <w:right w:val="nil"/>
          <w:between w:val="nil"/>
          <w:bar w:val="nil"/>
        </w:pBdr>
        <w:spacing w:before="0" w:after="240"/>
        <w:rPr>
          <w:noProof/>
        </w:rPr>
      </w:pPr>
      <w:r>
        <w:rPr>
          <w:noProof/>
        </w:rPr>
        <w:t>A presente proposta prevê uma data de entrada em vigor em 1 de janeiro de 2021 e é adaptada a uma União com 27 Estados-Membros, em consonância com a intenção do Reino Unido de se retirar da UE e da Euratom.</w:t>
      </w:r>
    </w:p>
    <w:p>
      <w:pPr>
        <w:pStyle w:val="ManualHeading2"/>
        <w:rPr>
          <w:rFonts w:eastAsia="Arial Unicode MS"/>
          <w:noProof/>
          <w:color w:val="000000"/>
          <w:u w:color="000000"/>
          <w:bdr w:val="nil"/>
        </w:rPr>
      </w:pPr>
      <w:bookmarkStart w:id="4" w:name="_Toc351838"/>
      <w:r>
        <w:rPr>
          <w:noProof/>
          <w:color w:val="000000"/>
          <w:u w:color="000000"/>
          <w:bdr w:val="nil"/>
        </w:rPr>
        <w:t>•</w:t>
      </w:r>
      <w:r>
        <w:rPr>
          <w:noProof/>
          <w:color w:val="000000"/>
          <w:u w:color="000000"/>
          <w:bdr w:val="nil"/>
        </w:rPr>
        <w:tab/>
      </w:r>
      <w:r>
        <w:rPr>
          <w:noProof/>
        </w:rPr>
        <w:t>Coerência com as disposições em vigor no mesmo domínio setorial</w:t>
      </w:r>
      <w:bookmarkEnd w:id="4"/>
    </w:p>
    <w:p>
      <w:pPr>
        <w:pBdr>
          <w:top w:val="nil"/>
          <w:left w:val="nil"/>
          <w:bottom w:val="nil"/>
          <w:right w:val="nil"/>
          <w:between w:val="nil"/>
          <w:bar w:val="nil"/>
        </w:pBdr>
        <w:spacing w:before="0" w:after="240"/>
        <w:rPr>
          <w:noProof/>
        </w:rPr>
      </w:pPr>
      <w:r>
        <w:rPr>
          <w:noProof/>
        </w:rPr>
        <w:t>A presente proposta proporciona os recursos orçamentais necessários para apoiar o reforço do Mecanismo da União. Este último contribui para o objetivo global que consiste em trabalhar em prol de uma «Europa que protege», definido pela Comissão na sua Comunicação sobre o quadro financeiro plurianual 2021-2027</w:t>
      </w:r>
      <w:r>
        <w:rPr>
          <w:rStyle w:val="FootnoteReference"/>
          <w:rFonts w:eastAsia="Arial Unicode MS"/>
          <w:noProof/>
        </w:rPr>
        <w:footnoteReference w:id="5"/>
      </w:r>
      <w:r>
        <w:rPr>
          <w:noProof/>
        </w:rPr>
        <w:t>.</w:t>
      </w:r>
      <w:r>
        <w:rPr>
          <w:noProof/>
          <w:sz w:val="27"/>
          <w:szCs w:val="27"/>
        </w:rPr>
        <w:t xml:space="preserve"> </w:t>
      </w:r>
    </w:p>
    <w:p>
      <w:pPr>
        <w:pBdr>
          <w:top w:val="nil"/>
          <w:left w:val="nil"/>
          <w:bottom w:val="nil"/>
          <w:right w:val="nil"/>
          <w:between w:val="nil"/>
          <w:bar w:val="nil"/>
        </w:pBdr>
        <w:spacing w:before="0" w:after="240"/>
        <w:rPr>
          <w:rFonts w:eastAsia="Arial Unicode MS"/>
          <w:noProof/>
        </w:rPr>
      </w:pPr>
      <w:r>
        <w:rPr>
          <w:noProof/>
        </w:rPr>
        <w:t xml:space="preserve">Ao abrigo da nova proposta, o financiamento relacionado com a proteção civil foi integrado numa única rubrica (rubrica 5 «Segurança e Defesa»), juntamente com outros programas relacionados com a proteção. Esta rubrica englobará as dimensões interna e externa da proteção civil. </w:t>
      </w:r>
    </w:p>
    <w:p>
      <w:pPr>
        <w:pStyle w:val="ManualHeading2"/>
        <w:rPr>
          <w:rFonts w:eastAsia="Arial Unicode MS"/>
          <w:noProof/>
        </w:rPr>
      </w:pPr>
      <w:bookmarkStart w:id="5" w:name="_Toc351839"/>
      <w:r>
        <w:rPr>
          <w:noProof/>
          <w:color w:val="000000"/>
          <w:u w:color="000000"/>
          <w:bdr w:val="nil"/>
        </w:rPr>
        <w:t>•</w:t>
      </w:r>
      <w:r>
        <w:rPr>
          <w:noProof/>
          <w:color w:val="000000"/>
          <w:u w:color="000000"/>
          <w:bdr w:val="nil"/>
        </w:rPr>
        <w:tab/>
      </w:r>
      <w:r>
        <w:rPr>
          <w:noProof/>
        </w:rPr>
        <w:t>Coerência com as outras políticas da União</w:t>
      </w:r>
      <w:bookmarkEnd w:id="5"/>
    </w:p>
    <w:p>
      <w:pPr>
        <w:pBdr>
          <w:top w:val="nil"/>
          <w:left w:val="nil"/>
          <w:bottom w:val="nil"/>
          <w:right w:val="nil"/>
          <w:between w:val="nil"/>
          <w:bar w:val="nil"/>
        </w:pBdr>
        <w:spacing w:before="0" w:after="240"/>
        <w:rPr>
          <w:noProof/>
        </w:rPr>
      </w:pPr>
      <w:r>
        <w:rPr>
          <w:noProof/>
        </w:rPr>
        <w:t xml:space="preserve">A alteração proposta proporcionará os recursos necessários para promover sinergias e reforçar as relações existentes entre o Mecanismo da União e as outras políticas da UE. </w:t>
      </w:r>
    </w:p>
    <w:p>
      <w:pPr>
        <w:pBdr>
          <w:top w:val="nil"/>
          <w:left w:val="nil"/>
          <w:bottom w:val="nil"/>
          <w:right w:val="nil"/>
          <w:between w:val="nil"/>
          <w:bar w:val="nil"/>
        </w:pBdr>
        <w:spacing w:before="0" w:after="240"/>
        <w:rPr>
          <w:rFonts w:eastAsia="Arial Unicode MS"/>
          <w:noProof/>
        </w:rPr>
      </w:pPr>
      <w:r>
        <w:rPr>
          <w:noProof/>
        </w:rPr>
        <w:t>Permitirá ao Mecanismo da União contribuir para reforçar as capacidades da UE em matéria de gestão dos riscos de catástrofe (desde a prevenção até à preparação, resposta e recuperação de catástrofes).</w:t>
      </w:r>
    </w:p>
    <w:p>
      <w:pPr>
        <w:pStyle w:val="ManualHeading1"/>
        <w:rPr>
          <w:noProof/>
        </w:rPr>
      </w:pPr>
      <w:bookmarkStart w:id="6" w:name="_Toc351840"/>
      <w:r>
        <w:rPr>
          <w:noProof/>
        </w:rPr>
        <w:lastRenderedPageBreak/>
        <w:t>2.</w:t>
      </w:r>
      <w:r>
        <w:rPr>
          <w:noProof/>
        </w:rPr>
        <w:tab/>
        <w:t>BASE JURÍDICA, SUBSIDIARIEDADE E PROPORCIONALIDADE</w:t>
      </w:r>
      <w:bookmarkEnd w:id="6"/>
    </w:p>
    <w:p>
      <w:pPr>
        <w:pStyle w:val="ManualHeading2"/>
        <w:rPr>
          <w:rFonts w:eastAsia="Arial Unicode MS"/>
          <w:noProof/>
          <w:u w:color="000000"/>
          <w:bdr w:val="nil"/>
        </w:rPr>
      </w:pPr>
      <w:bookmarkStart w:id="7" w:name="_Toc351841"/>
      <w:r>
        <w:rPr>
          <w:noProof/>
          <w:u w:color="000000"/>
          <w:bdr w:val="nil"/>
        </w:rPr>
        <w:t>•</w:t>
      </w:r>
      <w:r>
        <w:rPr>
          <w:noProof/>
          <w:u w:color="000000"/>
          <w:bdr w:val="nil"/>
        </w:rPr>
        <w:tab/>
        <w:t>Base jurídica</w:t>
      </w:r>
      <w:bookmarkEnd w:id="7"/>
    </w:p>
    <w:p>
      <w:pPr>
        <w:pBdr>
          <w:top w:val="nil"/>
          <w:left w:val="nil"/>
          <w:bottom w:val="nil"/>
          <w:right w:val="nil"/>
          <w:between w:val="nil"/>
          <w:bar w:val="nil"/>
        </w:pBdr>
        <w:spacing w:before="0" w:after="240"/>
        <w:rPr>
          <w:rFonts w:eastAsia="Arial Unicode MS"/>
          <w:noProof/>
        </w:rPr>
      </w:pPr>
      <w:r>
        <w:rPr>
          <w:noProof/>
        </w:rPr>
        <w:t>A presente proposta tem por base jurídica o artigo 196.º do Tratado sobre o Funcionamento da União Europeia.</w:t>
      </w:r>
    </w:p>
    <w:p>
      <w:pPr>
        <w:pStyle w:val="ManualHeading2"/>
        <w:rPr>
          <w:rFonts w:eastAsia="Arial Unicode MS"/>
          <w:noProof/>
          <w:u w:color="000000"/>
          <w:bdr w:val="nil"/>
        </w:rPr>
      </w:pPr>
      <w:bookmarkStart w:id="8" w:name="_Toc351842"/>
      <w:r>
        <w:rPr>
          <w:noProof/>
          <w:u w:color="000000"/>
          <w:bdr w:val="nil"/>
        </w:rPr>
        <w:t>•</w:t>
      </w:r>
      <w:r>
        <w:rPr>
          <w:noProof/>
          <w:u w:color="000000"/>
          <w:bdr w:val="nil"/>
        </w:rPr>
        <w:tab/>
        <w:t>Subsidiariedade (no caso de competência não exclusiva)</w:t>
      </w:r>
      <w:bookmarkEnd w:id="8"/>
      <w:r>
        <w:rPr>
          <w:noProof/>
          <w:u w:color="000000"/>
          <w:bdr w:val="nil"/>
        </w:rPr>
        <w:t xml:space="preserve"> </w:t>
      </w:r>
    </w:p>
    <w:p>
      <w:pPr>
        <w:pBdr>
          <w:top w:val="nil"/>
          <w:left w:val="nil"/>
          <w:bottom w:val="nil"/>
          <w:right w:val="nil"/>
          <w:between w:val="nil"/>
          <w:bar w:val="nil"/>
        </w:pBdr>
        <w:spacing w:before="0" w:after="240"/>
        <w:rPr>
          <w:noProof/>
        </w:rPr>
      </w:pPr>
      <w:r>
        <w:rPr>
          <w:noProof/>
        </w:rPr>
        <w:t>A Comissão tem uma competência de apoio no domínio da proteção civil. Os Estados</w:t>
      </w:r>
      <w:r>
        <w:rPr>
          <w:noProof/>
        </w:rPr>
        <w:noBreakHyphen/>
        <w:t>Membros continuam a ser os principais responsáveis pela prevenção, preparação e resposta a catástrofes. O Mecanismo da União foi criado porque as catástrofes de grandes proporções podem transcender as capacidades individuais de resposta dos Estados-Membros afetados. A prestação de assistência mútua rápida e bem coordenada entre os Estados</w:t>
      </w:r>
      <w:r>
        <w:rPr>
          <w:noProof/>
        </w:rPr>
        <w:noBreakHyphen/>
        <w:t>Membros constitui a sua essência.</w:t>
      </w:r>
    </w:p>
    <w:p>
      <w:pPr>
        <w:pBdr>
          <w:top w:val="nil"/>
          <w:left w:val="nil"/>
          <w:bottom w:val="nil"/>
          <w:right w:val="nil"/>
          <w:between w:val="nil"/>
          <w:bar w:val="nil"/>
        </w:pBdr>
        <w:spacing w:before="0" w:after="240"/>
        <w:rPr>
          <w:rFonts w:eastAsia="Arial Unicode MS"/>
          <w:noProof/>
        </w:rPr>
      </w:pPr>
      <w:r>
        <w:rPr>
          <w:noProof/>
        </w:rPr>
        <w:t>A presente alteração visa alinhar as disposições orçamentais do programa com a proposta da Comissão relativa ao quadro financeiro plurianual 2021-2027. Dada a sua natureza técnica/financeira, esta alteração não tem qualquer incidência sobre o princípio da subsidiariedade nem implica qualquer alteração a esse nível.</w:t>
      </w:r>
    </w:p>
    <w:p>
      <w:pPr>
        <w:pStyle w:val="ManualHeading2"/>
        <w:rPr>
          <w:rFonts w:eastAsia="Arial Unicode MS"/>
          <w:noProof/>
          <w:u w:color="000000"/>
          <w:bdr w:val="nil"/>
        </w:rPr>
      </w:pPr>
      <w:bookmarkStart w:id="9" w:name="_Toc351843"/>
      <w:r>
        <w:rPr>
          <w:noProof/>
          <w:u w:color="000000"/>
          <w:bdr w:val="nil"/>
        </w:rPr>
        <w:t>•</w:t>
      </w:r>
      <w:r>
        <w:rPr>
          <w:noProof/>
          <w:u w:color="000000"/>
          <w:bdr w:val="nil"/>
        </w:rPr>
        <w:tab/>
        <w:t>Proporcionalidade</w:t>
      </w:r>
      <w:bookmarkEnd w:id="9"/>
    </w:p>
    <w:p>
      <w:pPr>
        <w:pBdr>
          <w:top w:val="nil"/>
          <w:left w:val="nil"/>
          <w:bottom w:val="nil"/>
          <w:right w:val="nil"/>
          <w:between w:val="nil"/>
          <w:bar w:val="nil"/>
        </w:pBdr>
        <w:spacing w:before="0" w:after="240"/>
        <w:rPr>
          <w:noProof/>
        </w:rPr>
      </w:pPr>
      <w:r>
        <w:rPr>
          <w:noProof/>
        </w:rPr>
        <w:t xml:space="preserve">A presente proposta não excede o necessário para alcançar os objetivos visados. Foi apresentada para assegurar que os referidos objetivos possam ser alcançados.  </w:t>
      </w:r>
    </w:p>
    <w:p>
      <w:pPr>
        <w:pBdr>
          <w:top w:val="nil"/>
          <w:left w:val="nil"/>
          <w:bottom w:val="nil"/>
          <w:right w:val="nil"/>
          <w:between w:val="nil"/>
          <w:bar w:val="nil"/>
        </w:pBdr>
        <w:spacing w:before="0" w:after="240"/>
        <w:rPr>
          <w:rFonts w:eastAsia="Arial Unicode MS"/>
          <w:noProof/>
        </w:rPr>
      </w:pPr>
      <w:r>
        <w:rPr>
          <w:noProof/>
        </w:rPr>
        <w:t>Os números propostos na presente alteração correspondem aos anunciados na proposta da Comissão relativa ao quadro financeiro plurianual 2021-2027. Estes números respeitam o princípio da proporcionalidade.</w:t>
      </w:r>
    </w:p>
    <w:p>
      <w:pPr>
        <w:pStyle w:val="ManualHeading2"/>
        <w:rPr>
          <w:rFonts w:eastAsia="Arial Unicode MS"/>
          <w:noProof/>
          <w:u w:color="000000"/>
          <w:bdr w:val="nil"/>
        </w:rPr>
      </w:pPr>
      <w:bookmarkStart w:id="10" w:name="_Toc351844"/>
      <w:r>
        <w:rPr>
          <w:noProof/>
          <w:u w:color="000000"/>
          <w:bdr w:val="nil"/>
        </w:rPr>
        <w:t>•</w:t>
      </w:r>
      <w:r>
        <w:rPr>
          <w:noProof/>
          <w:u w:color="000000"/>
          <w:bdr w:val="nil"/>
        </w:rPr>
        <w:tab/>
        <w:t>Escolha do instrumento</w:t>
      </w:r>
      <w:bookmarkEnd w:id="10"/>
    </w:p>
    <w:p>
      <w:pPr>
        <w:pBdr>
          <w:top w:val="nil"/>
          <w:left w:val="nil"/>
          <w:bottom w:val="nil"/>
          <w:right w:val="nil"/>
          <w:between w:val="nil"/>
          <w:bar w:val="nil"/>
        </w:pBdr>
        <w:spacing w:before="0" w:after="240"/>
        <w:rPr>
          <w:rFonts w:eastAsia="Arial Unicode MS"/>
          <w:noProof/>
        </w:rPr>
      </w:pPr>
      <w:r>
        <w:rPr>
          <w:noProof/>
        </w:rPr>
        <w:t xml:space="preserve">A presente proposta visa alterar uma decisão em vigor. O instrumento mais pertinente e simples neste contexto é uma proposta de decisão. </w:t>
      </w:r>
    </w:p>
    <w:p>
      <w:pPr>
        <w:pStyle w:val="ManualHeading1"/>
        <w:rPr>
          <w:noProof/>
        </w:rPr>
      </w:pPr>
      <w:bookmarkStart w:id="11" w:name="_Toc351845"/>
      <w:r>
        <w:rPr>
          <w:noProof/>
        </w:rPr>
        <w:t>3.</w:t>
      </w:r>
      <w:r>
        <w:rPr>
          <w:noProof/>
        </w:rPr>
        <w:tab/>
        <w:t xml:space="preserve">RESULTADOS DAS AVALIAÇÕES </w:t>
      </w:r>
      <w:r>
        <w:rPr>
          <w:i/>
          <w:noProof/>
        </w:rPr>
        <w:t>EX POST</w:t>
      </w:r>
      <w:r>
        <w:rPr>
          <w:noProof/>
        </w:rPr>
        <w:t>, DAS CONSULTAS DAS PARTES INTERESSADAS E DAS AVALIAÇÕES DE IMPACTO</w:t>
      </w:r>
      <w:bookmarkEnd w:id="11"/>
    </w:p>
    <w:p>
      <w:pPr>
        <w:rPr>
          <w:noProof/>
        </w:rPr>
      </w:pPr>
      <w:r>
        <w:rPr>
          <w:noProof/>
        </w:rPr>
        <w:t>A presente proposta é de caráter técnico, já que visa alinhar as disposições orçamentais da decisão com a proposta da Comissão relativa ao quadro financeiro plurianual 2021-2027 adotada em 2 de maio de 2018. O seu teor baseia-se na proposta de revisão da Decisão n.º 1313/2013/UE, de 23 de novembro de 2017 (proposta «rescEU»). Por conseguinte, não foi realizada qualquer avaliação de impacto.</w:t>
      </w:r>
    </w:p>
    <w:p>
      <w:pPr>
        <w:pBdr>
          <w:top w:val="nil"/>
          <w:left w:val="nil"/>
          <w:bottom w:val="nil"/>
          <w:right w:val="nil"/>
          <w:between w:val="nil"/>
          <w:bar w:val="nil"/>
        </w:pBdr>
        <w:spacing w:before="0" w:after="240"/>
        <w:rPr>
          <w:noProof/>
        </w:rPr>
      </w:pPr>
      <w:r>
        <w:rPr>
          <w:noProof/>
        </w:rPr>
        <w:t>No entanto, os princípios da iniciativa «Legislar melhor» foram aplicados tanto à proposta inicial da Comissão, que define o quadro financeiro plurianual para o período 2021-2027, como à proposta de revisão da Decisão n.º 1313/2013/UE, de 23 de novembro de 2017 (proposta «rescEU»).</w:t>
      </w:r>
    </w:p>
    <w:p>
      <w:pPr>
        <w:pStyle w:val="ManualHeading2"/>
        <w:rPr>
          <w:rFonts w:eastAsia="Arial Unicode MS"/>
          <w:noProof/>
          <w:u w:color="000000"/>
          <w:bdr w:val="nil"/>
        </w:rPr>
      </w:pPr>
      <w:bookmarkStart w:id="12" w:name="_Toc351846"/>
      <w:r>
        <w:rPr>
          <w:noProof/>
          <w:u w:color="000000"/>
          <w:bdr w:val="nil"/>
        </w:rPr>
        <w:t>•</w:t>
      </w:r>
      <w:r>
        <w:rPr>
          <w:noProof/>
          <w:u w:color="000000"/>
          <w:bdr w:val="nil"/>
        </w:rPr>
        <w:tab/>
        <w:t xml:space="preserve">Avaliações </w:t>
      </w:r>
      <w:r>
        <w:rPr>
          <w:i/>
          <w:noProof/>
          <w:u w:color="000000"/>
          <w:bdr w:val="nil"/>
        </w:rPr>
        <w:t>ex post</w:t>
      </w:r>
      <w:r>
        <w:rPr>
          <w:noProof/>
          <w:u w:color="000000"/>
          <w:bdr w:val="nil"/>
        </w:rPr>
        <w:t>/balanços de qualidade da legislação em vigor</w:t>
      </w:r>
      <w:bookmarkEnd w:id="12"/>
    </w:p>
    <w:p>
      <w:pPr>
        <w:pBdr>
          <w:top w:val="nil"/>
          <w:left w:val="nil"/>
          <w:bottom w:val="nil"/>
          <w:right w:val="nil"/>
          <w:between w:val="nil"/>
          <w:bar w:val="nil"/>
        </w:pBdr>
        <w:spacing w:before="0" w:after="240"/>
        <w:rPr>
          <w:rFonts w:eastAsia="Arial Unicode MS"/>
          <w:noProof/>
        </w:rPr>
      </w:pPr>
      <w:r>
        <w:rPr>
          <w:noProof/>
        </w:rPr>
        <w:t>Não aplicável (ver supra)</w:t>
      </w:r>
    </w:p>
    <w:p>
      <w:pPr>
        <w:pStyle w:val="ManualHeading2"/>
        <w:rPr>
          <w:rFonts w:eastAsia="Arial Unicode MS"/>
          <w:noProof/>
          <w:u w:color="000000"/>
          <w:bdr w:val="nil"/>
        </w:rPr>
      </w:pPr>
      <w:bookmarkStart w:id="13" w:name="_Toc351847"/>
      <w:r>
        <w:rPr>
          <w:noProof/>
          <w:u w:color="000000"/>
          <w:bdr w:val="nil"/>
        </w:rPr>
        <w:t>•</w:t>
      </w:r>
      <w:r>
        <w:rPr>
          <w:noProof/>
          <w:u w:color="000000"/>
          <w:bdr w:val="nil"/>
        </w:rPr>
        <w:tab/>
        <w:t>Consultas das partes interessadas</w:t>
      </w:r>
      <w:bookmarkEnd w:id="13"/>
    </w:p>
    <w:p>
      <w:pPr>
        <w:pBdr>
          <w:top w:val="nil"/>
          <w:left w:val="nil"/>
          <w:bottom w:val="nil"/>
          <w:right w:val="nil"/>
          <w:between w:val="nil"/>
          <w:bar w:val="nil"/>
        </w:pBdr>
        <w:spacing w:before="0" w:after="240"/>
        <w:rPr>
          <w:rFonts w:eastAsia="Arial Unicode MS"/>
          <w:noProof/>
        </w:rPr>
      </w:pPr>
      <w:r>
        <w:rPr>
          <w:noProof/>
        </w:rPr>
        <w:t>Não aplicável (ver supra)</w:t>
      </w:r>
    </w:p>
    <w:p>
      <w:pPr>
        <w:pStyle w:val="ManualHeading2"/>
        <w:rPr>
          <w:rFonts w:eastAsia="Arial Unicode MS"/>
          <w:noProof/>
          <w:u w:color="000000"/>
          <w:bdr w:val="nil"/>
        </w:rPr>
      </w:pPr>
      <w:bookmarkStart w:id="14" w:name="_Toc351848"/>
      <w:r>
        <w:rPr>
          <w:noProof/>
          <w:u w:color="000000"/>
          <w:bdr w:val="nil"/>
        </w:rPr>
        <w:lastRenderedPageBreak/>
        <w:t>•</w:t>
      </w:r>
      <w:r>
        <w:rPr>
          <w:noProof/>
          <w:u w:color="000000"/>
          <w:bdr w:val="nil"/>
        </w:rPr>
        <w:tab/>
        <w:t>Recolha e utilização de conhecimentos especializados</w:t>
      </w:r>
      <w:bookmarkEnd w:id="14"/>
    </w:p>
    <w:p>
      <w:pPr>
        <w:pBdr>
          <w:top w:val="nil"/>
          <w:left w:val="nil"/>
          <w:bottom w:val="nil"/>
          <w:right w:val="nil"/>
          <w:between w:val="nil"/>
          <w:bar w:val="nil"/>
        </w:pBdr>
        <w:spacing w:before="0" w:after="240"/>
        <w:rPr>
          <w:rFonts w:eastAsia="Arial Unicode MS"/>
          <w:noProof/>
        </w:rPr>
      </w:pPr>
      <w:r>
        <w:rPr>
          <w:noProof/>
        </w:rPr>
        <w:t>Não aplicável (ver supra)</w:t>
      </w:r>
    </w:p>
    <w:p>
      <w:pPr>
        <w:pStyle w:val="ManualHeading2"/>
        <w:rPr>
          <w:rFonts w:eastAsia="Arial Unicode MS"/>
          <w:noProof/>
          <w:u w:color="000000"/>
          <w:bdr w:val="nil"/>
        </w:rPr>
      </w:pPr>
      <w:bookmarkStart w:id="15" w:name="_Toc351849"/>
      <w:r>
        <w:rPr>
          <w:noProof/>
          <w:u w:color="000000"/>
          <w:bdr w:val="nil"/>
        </w:rPr>
        <w:t>•</w:t>
      </w:r>
      <w:r>
        <w:rPr>
          <w:noProof/>
          <w:u w:color="000000"/>
          <w:bdr w:val="nil"/>
        </w:rPr>
        <w:tab/>
        <w:t>Avaliação de impacto</w:t>
      </w:r>
      <w:bookmarkEnd w:id="15"/>
    </w:p>
    <w:p>
      <w:pPr>
        <w:pBdr>
          <w:top w:val="nil"/>
          <w:left w:val="nil"/>
          <w:bottom w:val="nil"/>
          <w:right w:val="nil"/>
          <w:between w:val="nil"/>
          <w:bar w:val="nil"/>
        </w:pBdr>
        <w:spacing w:before="0" w:after="240"/>
        <w:rPr>
          <w:rFonts w:eastAsia="Arial Unicode MS"/>
          <w:noProof/>
        </w:rPr>
      </w:pPr>
      <w:r>
        <w:rPr>
          <w:noProof/>
        </w:rPr>
        <w:t>Não aplicável (ver supra)</w:t>
      </w:r>
    </w:p>
    <w:p>
      <w:pPr>
        <w:pStyle w:val="ManualHeading2"/>
        <w:rPr>
          <w:rFonts w:eastAsia="Arial Unicode MS"/>
          <w:noProof/>
          <w:u w:color="000000"/>
          <w:bdr w:val="nil"/>
        </w:rPr>
      </w:pPr>
      <w:bookmarkStart w:id="16" w:name="_Toc351850"/>
      <w:r>
        <w:rPr>
          <w:noProof/>
          <w:u w:color="000000"/>
          <w:bdr w:val="nil"/>
        </w:rPr>
        <w:t>•</w:t>
      </w:r>
      <w:r>
        <w:rPr>
          <w:noProof/>
          <w:u w:color="000000"/>
          <w:bdr w:val="nil"/>
        </w:rPr>
        <w:tab/>
        <w:t>Adequação da regulamentação e simplificação</w:t>
      </w:r>
      <w:bookmarkEnd w:id="16"/>
    </w:p>
    <w:p>
      <w:pPr>
        <w:pBdr>
          <w:top w:val="nil"/>
          <w:left w:val="nil"/>
          <w:bottom w:val="nil"/>
          <w:right w:val="nil"/>
          <w:between w:val="nil"/>
          <w:bar w:val="nil"/>
        </w:pBdr>
        <w:spacing w:before="0" w:after="240"/>
        <w:rPr>
          <w:rFonts w:eastAsia="Arial Unicode MS"/>
          <w:noProof/>
        </w:rPr>
      </w:pPr>
      <w:r>
        <w:rPr>
          <w:noProof/>
        </w:rPr>
        <w:t>Não aplicável (ver supra)</w:t>
      </w:r>
    </w:p>
    <w:p>
      <w:pPr>
        <w:pStyle w:val="ManualHeading2"/>
        <w:rPr>
          <w:rFonts w:eastAsia="Arial Unicode MS"/>
          <w:noProof/>
          <w:u w:color="000000"/>
          <w:bdr w:val="nil"/>
        </w:rPr>
      </w:pPr>
      <w:bookmarkStart w:id="17" w:name="_Toc351851"/>
      <w:r>
        <w:rPr>
          <w:noProof/>
          <w:u w:color="000000"/>
          <w:bdr w:val="nil"/>
        </w:rPr>
        <w:t>•</w:t>
      </w:r>
      <w:r>
        <w:rPr>
          <w:noProof/>
          <w:u w:color="000000"/>
          <w:bdr w:val="nil"/>
        </w:rPr>
        <w:tab/>
        <w:t>Direitos fundamentais</w:t>
      </w:r>
      <w:bookmarkEnd w:id="17"/>
    </w:p>
    <w:p>
      <w:pPr>
        <w:pBdr>
          <w:top w:val="nil"/>
          <w:left w:val="nil"/>
          <w:bottom w:val="nil"/>
          <w:right w:val="nil"/>
          <w:between w:val="nil"/>
          <w:bar w:val="nil"/>
        </w:pBdr>
        <w:spacing w:before="0" w:after="240"/>
        <w:rPr>
          <w:rFonts w:eastAsia="Arial Unicode MS"/>
          <w:noProof/>
        </w:rPr>
      </w:pPr>
      <w:r>
        <w:rPr>
          <w:noProof/>
        </w:rPr>
        <w:t>Não aplicável (ver supra)</w:t>
      </w:r>
    </w:p>
    <w:p>
      <w:pPr>
        <w:pStyle w:val="ManualHeading1"/>
        <w:rPr>
          <w:noProof/>
        </w:rPr>
      </w:pPr>
      <w:bookmarkStart w:id="18" w:name="_Toc351852"/>
      <w:r>
        <w:rPr>
          <w:noProof/>
        </w:rPr>
        <w:t>4.</w:t>
      </w:r>
      <w:r>
        <w:rPr>
          <w:noProof/>
        </w:rPr>
        <w:tab/>
        <w:t>INCIDÊNCIA ORÇAMENTAL</w:t>
      </w:r>
      <w:bookmarkEnd w:id="18"/>
    </w:p>
    <w:p>
      <w:pPr>
        <w:pBdr>
          <w:top w:val="nil"/>
          <w:left w:val="nil"/>
          <w:bottom w:val="nil"/>
          <w:right w:val="nil"/>
          <w:between w:val="nil"/>
          <w:bar w:val="nil"/>
        </w:pBdr>
        <w:spacing w:before="0" w:after="240"/>
        <w:rPr>
          <w:noProof/>
        </w:rPr>
      </w:pPr>
      <w:r>
        <w:rPr>
          <w:noProof/>
        </w:rPr>
        <w:t>Em conformidade com a proposta da Comissão relativa ao quadro financeiro plurianual 2021</w:t>
      </w:r>
      <w:r>
        <w:rPr>
          <w:noProof/>
        </w:rPr>
        <w:noBreakHyphen/>
        <w:t>2027, foram afetados 1 400 000 000 EUR</w:t>
      </w:r>
      <w:r>
        <w:rPr>
          <w:rStyle w:val="FootnoteReference"/>
          <w:noProof/>
        </w:rPr>
        <w:footnoteReference w:id="6"/>
      </w:r>
      <w:r>
        <w:rPr>
          <w:noProof/>
        </w:rPr>
        <w:t xml:space="preserve"> (a preços correntes) para a execução do Mecanismo da União durante esse período. A dotação orçamental proposta reflete o nível de ambição estabelecido pela proposta de revisão da Decisão n.º 1313/2013/UE, de 23 de novembro de 2017 (proposta «rescEU»). O orçamento adicional permitirá realizar as seguintes ações:</w:t>
      </w:r>
    </w:p>
    <w:p>
      <w:pPr>
        <w:pStyle w:val="Bullet0"/>
        <w:numPr>
          <w:ilvl w:val="0"/>
          <w:numId w:val="15"/>
        </w:numPr>
        <w:rPr>
          <w:noProof/>
        </w:rPr>
      </w:pPr>
      <w:r>
        <w:rPr>
          <w:noProof/>
        </w:rPr>
        <w:t>reforçar a capacidade coletiva dos Estados-Membros e da UE para responder a catástrofes criando uma reserva específica de capacidades de resposta (rescEU);</w:t>
      </w:r>
    </w:p>
    <w:p>
      <w:pPr>
        <w:pStyle w:val="Bullet0"/>
        <w:rPr>
          <w:noProof/>
        </w:rPr>
      </w:pPr>
      <w:r>
        <w:rPr>
          <w:noProof/>
        </w:rPr>
        <w:t>aumentar (ou renovar) o cofinanciamento da UE para adaptar, reparar, transportar e/ou explorar as capacidades postas à disposição da Reserva Europeia de Proteção Civil;</w:t>
      </w:r>
    </w:p>
    <w:p>
      <w:pPr>
        <w:pStyle w:val="Bullet0"/>
        <w:rPr>
          <w:noProof/>
        </w:rPr>
      </w:pPr>
      <w:r>
        <w:rPr>
          <w:noProof/>
        </w:rPr>
        <w:t>colocar maior ênfase na prevenção e na melhoria da coerência com outras políticas fundamentais da UE;</w:t>
      </w:r>
    </w:p>
    <w:p>
      <w:pPr>
        <w:pStyle w:val="Bullet0"/>
        <w:rPr>
          <w:noProof/>
        </w:rPr>
      </w:pPr>
      <w:r>
        <w:rPr>
          <w:noProof/>
        </w:rPr>
        <w:t>criar uma rede de conhecimentos em matéria de proteção civil; e</w:t>
      </w:r>
    </w:p>
    <w:p>
      <w:pPr>
        <w:pStyle w:val="Bullet0"/>
        <w:rPr>
          <w:rFonts w:eastAsia="Arial Unicode MS"/>
          <w:noProof/>
        </w:rPr>
      </w:pPr>
      <w:r>
        <w:rPr>
          <w:noProof/>
        </w:rPr>
        <w:t>reforçar a cooperação com os países vizinhos.</w:t>
      </w:r>
    </w:p>
    <w:p>
      <w:pPr>
        <w:rPr>
          <w:noProof/>
        </w:rPr>
      </w:pPr>
      <w:r>
        <w:rPr>
          <w:noProof/>
        </w:rPr>
        <w:t>A ficha financeira legislativa que acompanha a presente proposta fornece informações suplementares sobre a incidência orçamental e sobre os recursos humanos e administrativos necessários.</w:t>
      </w:r>
    </w:p>
    <w:p>
      <w:pPr>
        <w:rPr>
          <w:noProof/>
        </w:rPr>
      </w:pPr>
      <w:r>
        <w:rPr>
          <w:noProof/>
        </w:rPr>
        <w:t>5.</w:t>
      </w:r>
      <w:r>
        <w:rPr>
          <w:noProof/>
        </w:rPr>
        <w:tab/>
        <w:t>OUTROS ELEMENTOS</w:t>
      </w:r>
    </w:p>
    <w:p>
      <w:pPr>
        <w:pStyle w:val="ManualHeading2"/>
        <w:rPr>
          <w:rFonts w:eastAsia="Arial Unicode MS"/>
          <w:noProof/>
          <w:u w:color="000000"/>
          <w:bdr w:val="nil"/>
        </w:rPr>
      </w:pPr>
      <w:bookmarkStart w:id="19" w:name="_Toc351853"/>
      <w:r>
        <w:rPr>
          <w:noProof/>
          <w:u w:color="000000"/>
          <w:bdr w:val="nil"/>
        </w:rPr>
        <w:t>•</w:t>
      </w:r>
      <w:r>
        <w:rPr>
          <w:noProof/>
          <w:u w:color="000000"/>
          <w:bdr w:val="nil"/>
        </w:rPr>
        <w:tab/>
        <w:t>Planos de execução e acompanhamento, avaliação e prestação de informações</w:t>
      </w:r>
      <w:bookmarkEnd w:id="19"/>
    </w:p>
    <w:p>
      <w:pPr>
        <w:pBdr>
          <w:top w:val="nil"/>
          <w:left w:val="nil"/>
          <w:bottom w:val="nil"/>
          <w:right w:val="nil"/>
          <w:between w:val="nil"/>
          <w:bar w:val="nil"/>
        </w:pBdr>
        <w:spacing w:before="0" w:after="240"/>
        <w:rPr>
          <w:rFonts w:eastAsia="Arial Unicode MS"/>
          <w:noProof/>
        </w:rPr>
      </w:pPr>
      <w:r>
        <w:rPr>
          <w:noProof/>
        </w:rPr>
        <w:t xml:space="preserve">Aplica-se o artigo 34.º, n.º 1, da Decisão n.º 1313/2013/UE relativa a um Mecanismo de Proteção Civil da União Europeia, que prevê que «as ações que beneficiem de assistência financeira são objeto de avaliações regulares que permitam acompanhar a sua execução». Contém igualmente requisitos mais gerais segundo os quais a Comissão deve informar de dois em dois anos o Parlamento Europeu e o Conselho sobre os «progressos realizados na concretização dos objetivos de capacidade e sobre as lacunas ainda existentes» no que diz respeito à Reserva Europeia de Proteção Civil, tendo em conta a criação das capacidades da rescEU. Além disso, a Comissão deve também avaliar a aplicação da decisão apresentando, </w:t>
      </w:r>
      <w:r>
        <w:rPr>
          <w:noProof/>
        </w:rPr>
        <w:lastRenderedPageBreak/>
        <w:t>de cinco em cinco anos, ao Parlamento Europeu e ao Conselho uma comunicação sobre a eficácia, a eficiência de custos e a execução continuada da decisão. Essa avaliação deve basear-se nos indicadores previstos no artigo 3.º da Decisão n.º 1313/2013/UE.</w:t>
      </w:r>
    </w:p>
    <w:p>
      <w:pPr>
        <w:pStyle w:val="ManualHeading2"/>
        <w:rPr>
          <w:rFonts w:eastAsia="Arial Unicode MS"/>
          <w:noProof/>
          <w:u w:color="000000"/>
          <w:bdr w:val="nil"/>
        </w:rPr>
      </w:pPr>
      <w:bookmarkStart w:id="20" w:name="_Toc351854"/>
      <w:r>
        <w:rPr>
          <w:noProof/>
          <w:u w:color="000000"/>
          <w:bdr w:val="nil"/>
        </w:rPr>
        <w:t>•</w:t>
      </w:r>
      <w:r>
        <w:rPr>
          <w:noProof/>
          <w:u w:color="000000"/>
          <w:bdr w:val="nil"/>
        </w:rPr>
        <w:tab/>
        <w:t>Documentos explicativos (para as diretivas)</w:t>
      </w:r>
      <w:bookmarkEnd w:id="20"/>
    </w:p>
    <w:p>
      <w:pPr>
        <w:pBdr>
          <w:top w:val="nil"/>
          <w:left w:val="nil"/>
          <w:bottom w:val="nil"/>
          <w:right w:val="nil"/>
          <w:between w:val="nil"/>
          <w:bar w:val="nil"/>
        </w:pBdr>
        <w:spacing w:before="0" w:after="240"/>
        <w:rPr>
          <w:rFonts w:eastAsia="Arial Unicode MS"/>
          <w:noProof/>
        </w:rPr>
      </w:pPr>
      <w:r>
        <w:rPr>
          <w:noProof/>
        </w:rPr>
        <w:t>Não aplicável.</w:t>
      </w:r>
    </w:p>
    <w:p>
      <w:pPr>
        <w:pStyle w:val="ManualHeading2"/>
        <w:rPr>
          <w:rFonts w:eastAsia="Arial Unicode MS"/>
          <w:noProof/>
          <w:u w:color="000000"/>
          <w:bdr w:val="nil"/>
        </w:rPr>
      </w:pPr>
      <w:bookmarkStart w:id="21" w:name="_Toc351855"/>
      <w:r>
        <w:rPr>
          <w:noProof/>
          <w:u w:color="000000"/>
          <w:bdr w:val="nil"/>
        </w:rPr>
        <w:t>•</w:t>
      </w:r>
      <w:r>
        <w:rPr>
          <w:noProof/>
          <w:u w:color="000000"/>
          <w:bdr w:val="nil"/>
        </w:rPr>
        <w:tab/>
        <w:t>Explicação pormenorizada das disposições específicas da proposta</w:t>
      </w:r>
      <w:bookmarkEnd w:id="21"/>
    </w:p>
    <w:p>
      <w:pPr>
        <w:pBdr>
          <w:top w:val="nil"/>
          <w:left w:val="nil"/>
          <w:bottom w:val="nil"/>
          <w:right w:val="nil"/>
          <w:between w:val="nil"/>
          <w:bar w:val="nil"/>
        </w:pBdr>
        <w:spacing w:before="0" w:after="240"/>
        <w:rPr>
          <w:noProof/>
        </w:rPr>
      </w:pPr>
      <w:r>
        <w:rPr>
          <w:noProof/>
        </w:rPr>
        <w:t>A presente proposta apenas altera as disposições orçamentais da Decisão n.º 1313/2013/UE.</w:t>
      </w:r>
    </w:p>
    <w:p>
      <w:pPr>
        <w:pBdr>
          <w:top w:val="nil"/>
          <w:left w:val="nil"/>
          <w:bottom w:val="nil"/>
          <w:right w:val="nil"/>
          <w:between w:val="nil"/>
          <w:bar w:val="nil"/>
        </w:pBdr>
        <w:spacing w:before="0" w:after="240"/>
        <w:rPr>
          <w:rFonts w:eastAsia="Arial Unicode MS"/>
          <w:noProof/>
        </w:rPr>
      </w:pPr>
      <w:r>
        <w:rPr>
          <w:noProof/>
        </w:rPr>
        <w:t>O enquadramento financeiro mencionado no artigo 19.º da Decisão n.º 1313/2013/UE deve ser atualizado e substituído pelos novos números que figuram na proposta da Comissão relativa ao quadro financeiro plurianual 2021-2027. Além disso, dado que o Mecanismo da União/rescEU será colocado numa única rubrica (rubrica 5: «Segurança e Defesa»), contrariamente à situação atual em que há uma divisão entre as rubricas 3 e 4, o texto deve ser alterado em conformidade.</w:t>
      </w:r>
    </w:p>
    <w:p>
      <w:pPr>
        <w:pBdr>
          <w:top w:val="nil"/>
          <w:left w:val="nil"/>
          <w:bottom w:val="nil"/>
          <w:right w:val="nil"/>
          <w:between w:val="nil"/>
          <w:bar w:val="nil"/>
        </w:pBdr>
        <w:spacing w:before="0" w:after="240"/>
        <w:rPr>
          <w:rFonts w:eastAsia="Arial Unicode MS"/>
          <w:noProof/>
        </w:rPr>
      </w:pPr>
      <w:r>
        <w:rPr>
          <w:noProof/>
        </w:rPr>
        <w:t>A presente proposta prevê igualmente a supressão do anexo I, que atualmente fixa as percentagens relativas que cada pilar do Mecanismo da União (prevenção, preparação e resposta) deve receber em termos de financiamento em relação à dotação financeira global. Tendo em conta as alterações apresentadas na proposta de revisão da Decisão n.º 1313/2013/UE, de 23 de novembro de 2017 (proposta «rescEU»), as percentagens indicadas no anexo I não parecem assegurar uma flexibilidade suficiente para permitir à UE alcançar os objetivos que estabeleceu. Numa situação de emergência, as percentagens indicadas no anexo I acarretam encargos administrativos desnecessários e são suscetíveis de limitar a flexibilidade necessária para uma adaptação às necessidades ligadas às catástrofes num determinado ano. A necessidade de investir em todas as fases do ciclo de gestão dos riscos de catástrofe – prevenção, preparação e resposta – é, em todo o caso, integrada no Mecanismo da União.</w:t>
      </w:r>
    </w:p>
    <w:p>
      <w:pPr>
        <w:pBdr>
          <w:top w:val="nil"/>
          <w:left w:val="nil"/>
          <w:bottom w:val="nil"/>
          <w:right w:val="nil"/>
          <w:between w:val="nil"/>
          <w:bar w:val="nil"/>
        </w:pBdr>
        <w:spacing w:before="0" w:after="240"/>
        <w:rPr>
          <w:rFonts w:eastAsia="Arial Unicode MS"/>
          <w:noProof/>
        </w:rPr>
      </w:pPr>
      <w:r>
        <w:rPr>
          <w:noProof/>
        </w:rPr>
        <w:t>Em consequência da supressão do anexo I, os n.</w:t>
      </w:r>
      <w:r>
        <w:rPr>
          <w:noProof/>
          <w:vertAlign w:val="superscript"/>
        </w:rPr>
        <w:t>os</w:t>
      </w:r>
      <w:r>
        <w:rPr>
          <w:noProof/>
        </w:rPr>
        <w:t xml:space="preserve"> 4, 5 e 6 do artigo 19.º também devem ser suprimidos, uma vez que fazem diretamente referência às percentagens mencionadas no anexo I.</w:t>
      </w:r>
    </w:p>
    <w:p>
      <w:pPr>
        <w:pBdr>
          <w:top w:val="nil"/>
          <w:left w:val="nil"/>
          <w:bottom w:val="nil"/>
          <w:right w:val="nil"/>
          <w:between w:val="nil"/>
          <w:bar w:val="nil"/>
        </w:pBdr>
        <w:spacing w:before="0" w:after="240"/>
        <w:rPr>
          <w:noProof/>
        </w:rPr>
      </w:pPr>
      <w:r>
        <w:rPr>
          <w:noProof/>
        </w:rPr>
        <w:t>Por conseguinte, a proposta altera igualmente o artigo 30.º, relativo ao exercício da delegação dos poderes conferidos à Comissão. Embora o teor do artigo permaneça inalterado, são suprimidas as referências cruzadas ao artigo 19.º. O artigo 30.º não foi suprimido, a fim de ter em conta a possibilidade de adotar atos delegados, tal como previsto na proposta de revisão da Decisão n.º 1313/2013/UE, de 23 de novembro de 2017 (proposta «rescEU»)</w:t>
      </w:r>
      <w:r>
        <w:rPr>
          <w:rStyle w:val="FootnoteReference"/>
          <w:rFonts w:eastAsia="Arial Unicode MS"/>
          <w:noProof/>
        </w:rPr>
        <w:footnoteReference w:id="7"/>
      </w:r>
      <w:r>
        <w:rPr>
          <w:noProof/>
        </w:rPr>
        <w:t>.</w:t>
      </w:r>
    </w:p>
    <w:p>
      <w:pPr>
        <w:rPr>
          <w:noProof/>
        </w:rPr>
        <w:sectPr>
          <w:footerReference w:type="default" r:id="rId19"/>
          <w:footerReference w:type="first" r:id="rId20"/>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2019/0070 (COD)</w:t>
      </w:r>
    </w:p>
    <w:p>
      <w:pPr>
        <w:pStyle w:val="Statut"/>
        <w:rPr>
          <w:noProof/>
        </w:rPr>
      </w:pPr>
      <w:r>
        <w:rPr>
          <w:noProof/>
        </w:rPr>
        <w:t>Proposta de</w:t>
      </w:r>
    </w:p>
    <w:p>
      <w:pPr>
        <w:pStyle w:val="Typedudocument"/>
        <w:rPr>
          <w:noProof/>
        </w:rPr>
      </w:pPr>
      <w:r>
        <w:rPr>
          <w:noProof/>
        </w:rPr>
        <w:t>DECISÃO DO PARLAMENTO EUROPEU E DO CONSELHO</w:t>
      </w:r>
    </w:p>
    <w:p>
      <w:pPr>
        <w:pStyle w:val="Titreobjet"/>
        <w:rPr>
          <w:noProof/>
        </w:rPr>
      </w:pPr>
      <w:r>
        <w:rPr>
          <w:noProof/>
        </w:rPr>
        <w:t>que altera a Decisão n.º 1313/2013/UE do Parlamento Europeu e do Conselho relativa a um Mecanismo de Proteção Civil da União Europeia</w:t>
      </w:r>
    </w:p>
    <w:p>
      <w:pPr>
        <w:pStyle w:val="IntrtEEE"/>
        <w:rPr>
          <w:noProof/>
        </w:rPr>
      </w:pPr>
      <w:r>
        <w:rPr>
          <w:noProof/>
        </w:rPr>
        <w:t>(Texto relevante para efeitos do EEE)</w:t>
      </w:r>
    </w:p>
    <w:p>
      <w:pPr>
        <w:pStyle w:val="Institutionquiagit"/>
        <w:rPr>
          <w:noProof/>
        </w:rPr>
      </w:pPr>
      <w:r>
        <w:rPr>
          <w:noProof/>
        </w:rPr>
        <w:t>O PARLAMENTO EUROPEU E O CONSELHO DA UNIÃO EUROPEIA,</w:t>
      </w:r>
    </w:p>
    <w:p>
      <w:pPr>
        <w:rPr>
          <w:noProof/>
        </w:rPr>
      </w:pPr>
      <w:r>
        <w:rPr>
          <w:noProof/>
        </w:rPr>
        <w:t>Tendo em conta o Tratado sobre o Funcionamento da União Europeia, nomeadamente o artigo 196.º,</w:t>
      </w:r>
    </w:p>
    <w:p>
      <w:pPr>
        <w:rPr>
          <w:noProof/>
        </w:rPr>
      </w:pPr>
      <w:r>
        <w:rPr>
          <w:noProof/>
        </w:rPr>
        <w:t>Tendo em conta a proposta da Comissão Europeia,</w:t>
      </w:r>
    </w:p>
    <w:p>
      <w:pPr>
        <w:rPr>
          <w:noProof/>
        </w:rPr>
      </w:pPr>
      <w:r>
        <w:rPr>
          <w:noProof/>
        </w:rPr>
        <w:t>Após transmissão do projeto de ato legislativo aos parlamentos nacionais,</w:t>
      </w:r>
    </w:p>
    <w:p>
      <w:pPr>
        <w:rPr>
          <w:noProof/>
        </w:rPr>
      </w:pPr>
      <w:r>
        <w:rPr>
          <w:noProof/>
        </w:rPr>
        <w:t>Tendo em conta o parecer do Comité Económico e Social Europeu</w:t>
      </w:r>
      <w:r>
        <w:rPr>
          <w:rStyle w:val="FootnoteReference"/>
          <w:noProof/>
        </w:rPr>
        <w:footnoteReference w:id="8"/>
      </w:r>
      <w:r>
        <w:rPr>
          <w:noProof/>
        </w:rPr>
        <w:t xml:space="preserve">, </w:t>
      </w:r>
    </w:p>
    <w:p>
      <w:pPr>
        <w:rPr>
          <w:noProof/>
        </w:rPr>
      </w:pPr>
      <w:r>
        <w:rPr>
          <w:noProof/>
        </w:rPr>
        <w:t>Tendo em conta o parecer do Comité das Regiões</w:t>
      </w:r>
      <w:r>
        <w:rPr>
          <w:rStyle w:val="FootnoteReference"/>
          <w:noProof/>
        </w:rPr>
        <w:footnoteReference w:id="9"/>
      </w:r>
      <w:r>
        <w:rPr>
          <w:noProof/>
        </w:rPr>
        <w:t>,</w:t>
      </w:r>
    </w:p>
    <w:p>
      <w:pPr>
        <w:rPr>
          <w:noProof/>
        </w:rPr>
      </w:pPr>
      <w:r>
        <w:rPr>
          <w:noProof/>
        </w:rPr>
        <w:t>Deliberando de acordo com o processo legislativo ordinário,</w:t>
      </w:r>
    </w:p>
    <w:p>
      <w:pPr>
        <w:rPr>
          <w:noProof/>
        </w:rPr>
      </w:pPr>
      <w:r>
        <w:rPr>
          <w:noProof/>
        </w:rPr>
        <w:t>Considerando o seguinte:</w:t>
      </w:r>
    </w:p>
    <w:p>
      <w:pPr>
        <w:pStyle w:val="ManualConsidrant"/>
        <w:rPr>
          <w:noProof/>
        </w:rPr>
      </w:pPr>
      <w:r>
        <w:t>(1)</w:t>
      </w:r>
      <w:r>
        <w:tab/>
      </w:r>
      <w:r>
        <w:rPr>
          <w:noProof/>
        </w:rPr>
        <w:t>A Comissão adotou uma proposta</w:t>
      </w:r>
      <w:r>
        <w:rPr>
          <w:rStyle w:val="FootnoteReference"/>
          <w:noProof/>
        </w:rPr>
        <w:footnoteReference w:id="10"/>
      </w:r>
      <w:r>
        <w:rPr>
          <w:noProof/>
        </w:rPr>
        <w:t xml:space="preserve"> de decisão do Parlamento Europeu e do Conselho que altera a Decisão n.º 1313/2013/UE relativa a um Mecanismo de Proteção Civil da União Europeia em 23 de novembro de 2017</w:t>
      </w:r>
      <w:r>
        <w:rPr>
          <w:rStyle w:val="FootnoteReference"/>
          <w:noProof/>
        </w:rPr>
        <w:footnoteReference w:id="11"/>
      </w:r>
      <w:r>
        <w:rPr>
          <w:noProof/>
        </w:rPr>
        <w:t>.</w:t>
      </w:r>
    </w:p>
    <w:p>
      <w:pPr>
        <w:pStyle w:val="ManualConsidrant"/>
        <w:rPr>
          <w:noProof/>
        </w:rPr>
      </w:pPr>
      <w:r>
        <w:t>(2)</w:t>
      </w:r>
      <w:r>
        <w:tab/>
      </w:r>
      <w:r>
        <w:rPr>
          <w:noProof/>
        </w:rPr>
        <w:t>A proposta da Comissão de decisão do Parlamento Europeu e do Conselho que altera a Decisão n.º 1313/2013/UE visa melhorar a capacidade coletiva de preparação e resposta às catástrofes através do reforço das possibilidades oferecidas pela Reserva Europeia de Proteção Civil. Tal implica a criação de uma reserva de capacidades de proteção civil que serão utilizadas nas operações da União («rescEU»), bem como o reforço das medidas aplicáveis no domínio da prevenção.</w:t>
      </w:r>
    </w:p>
    <w:p>
      <w:pPr>
        <w:pStyle w:val="ManualConsidrant"/>
        <w:rPr>
          <w:noProof/>
        </w:rPr>
      </w:pPr>
      <w:r>
        <w:t>(3)</w:t>
      </w:r>
      <w:r>
        <w:tab/>
      </w:r>
      <w:r>
        <w:rPr>
          <w:noProof/>
        </w:rPr>
        <w:t>É necessário reforçar o financiamento da União para poder continuar a desenvolver a Reserva Europeia de Proteção Civil e cobrir os custos adicionais decorrentes das subvenções para a adaptação e da exploração das capacidades afetadas à Reserva Europeia de Proteção Civil.</w:t>
      </w:r>
    </w:p>
    <w:p>
      <w:pPr>
        <w:pStyle w:val="ManualConsidrant"/>
        <w:rPr>
          <w:noProof/>
        </w:rPr>
      </w:pPr>
      <w:r>
        <w:t>(4)</w:t>
      </w:r>
      <w:r>
        <w:tab/>
      </w:r>
      <w:r>
        <w:rPr>
          <w:noProof/>
        </w:rPr>
        <w:t>São necessárias dotações financeiras suficientes para a criação, implantação e funcionamento das capacidades da rescEU.</w:t>
      </w:r>
    </w:p>
    <w:p>
      <w:pPr>
        <w:pStyle w:val="ManualConsidrant"/>
        <w:rPr>
          <w:noProof/>
        </w:rPr>
      </w:pPr>
      <w:r>
        <w:lastRenderedPageBreak/>
        <w:t>(5)</w:t>
      </w:r>
      <w:r>
        <w:tab/>
      </w:r>
      <w:r>
        <w:rPr>
          <w:noProof/>
        </w:rPr>
        <w:t>A Decisão n.º 1313/2013/UE estabelece uma dotação financeira para o Mecanismo da União que constitui o montante de referência privilegiado destinado a cobrir as despesas do programa até ao final do período orçamental 2014-2020.</w:t>
      </w:r>
    </w:p>
    <w:p>
      <w:pPr>
        <w:pStyle w:val="ManualConsidrant"/>
        <w:rPr>
          <w:noProof/>
        </w:rPr>
      </w:pPr>
      <w:r>
        <w:t>(6)</w:t>
      </w:r>
      <w:r>
        <w:tab/>
      </w:r>
      <w:r>
        <w:rPr>
          <w:noProof/>
        </w:rPr>
        <w:t>A dotação financeira estabelecida no artigo 19.º da Decisão n.º 1313/2013/UE deve ser atualizada e substituída pelos novos números previstos na proposta da Comissão relativa ao quadro financeiro plurianual 2021-2027</w:t>
      </w:r>
      <w:r>
        <w:rPr>
          <w:rStyle w:val="FootnoteReference"/>
          <w:noProof/>
        </w:rPr>
        <w:footnoteReference w:id="12"/>
      </w:r>
      <w:r>
        <w:rPr>
          <w:noProof/>
        </w:rPr>
        <w:t>.</w:t>
      </w:r>
    </w:p>
    <w:p>
      <w:pPr>
        <w:pStyle w:val="ManualConsidrant"/>
        <w:rPr>
          <w:noProof/>
        </w:rPr>
      </w:pPr>
      <w:r>
        <w:t>(7)</w:t>
      </w:r>
      <w:r>
        <w:tab/>
      </w:r>
      <w:r>
        <w:rPr>
          <w:noProof/>
        </w:rPr>
        <w:t>Em conformidade com o quadro financeiro plurianual 2021-2027, as dotações financeiras para o Mecanismo de Proteção Civil da União estão inseridas na nova rubrica 5 «Segurança e Defesa».</w:t>
      </w:r>
    </w:p>
    <w:p>
      <w:pPr>
        <w:pStyle w:val="ManualConsidrant"/>
        <w:rPr>
          <w:noProof/>
        </w:rPr>
      </w:pPr>
      <w:r>
        <w:t>(8)</w:t>
      </w:r>
      <w:r>
        <w:tab/>
      </w:r>
      <w:r>
        <w:rPr>
          <w:noProof/>
        </w:rPr>
        <w:t xml:space="preserve">O anexo I da Decisão n.º 1313/2013/UE não é suficientemente flexível para permitir à União ajustar corretamente os investimentos nos domínios da prevenção, preparação e resposta. Os níveis de investimento a afetar às diferentes fases do ciclo de gestão dos riscos de catástrofe devem ser determinados previamente. Isto impede a União de ser capaz de reagir à natureza imprevisível da gestão de catástrofes. </w:t>
      </w:r>
    </w:p>
    <w:p>
      <w:pPr>
        <w:pStyle w:val="ManualConsidrant"/>
        <w:rPr>
          <w:noProof/>
        </w:rPr>
      </w:pPr>
      <w:r>
        <w:t>(9)</w:t>
      </w:r>
      <w:r>
        <w:tab/>
      </w:r>
      <w:r>
        <w:rPr>
          <w:noProof/>
        </w:rPr>
        <w:t>As disposições financeiras da Decisão n.º 1313/2013/UE que fazem referência à dotação financeira do Mecanismo de Proteção Civil da União a título do atual quadro financeiro plurianual (2014-2020) devem ser substituídas por uma nova disposição financeira. A fim de alinhar a dotação financeira do Mecanismo de Proteção Civil da União com os números propostos para o quadro financeiro plurianual 2021-2027, o artigo 1.º, n.º 1, alínea a), deve ser aplicável a partir de 1 de janeiro de 2021.</w:t>
      </w:r>
    </w:p>
    <w:p>
      <w:pPr>
        <w:pStyle w:val="ManualConsidrant"/>
        <w:rPr>
          <w:noProof/>
        </w:rPr>
      </w:pPr>
      <w:r>
        <w:t>(10)</w:t>
      </w:r>
      <w:r>
        <w:tab/>
      </w:r>
      <w:r>
        <w:rPr>
          <w:noProof/>
        </w:rPr>
        <w:t>A Decisão n.º 1313/2013/UE deve, por conseguinte, ser alterada em conformidade,</w:t>
      </w:r>
    </w:p>
    <w:p>
      <w:pPr>
        <w:pStyle w:val="Formuledadoption"/>
        <w:rPr>
          <w:noProof/>
        </w:rPr>
      </w:pPr>
      <w:r>
        <w:rPr>
          <w:noProof/>
        </w:rPr>
        <w:t>ADOTARAM A PRESENTE DECISÃO:</w:t>
      </w:r>
    </w:p>
    <w:p>
      <w:pPr>
        <w:pStyle w:val="Titrearticle"/>
        <w:rPr>
          <w:noProof/>
        </w:rPr>
      </w:pPr>
      <w:r>
        <w:rPr>
          <w:noProof/>
        </w:rPr>
        <w:t>Artigo 1.º</w:t>
      </w:r>
    </w:p>
    <w:p>
      <w:pPr>
        <w:rPr>
          <w:noProof/>
          <w:sz w:val="23"/>
          <w:szCs w:val="23"/>
        </w:rPr>
      </w:pPr>
      <w:r>
        <w:rPr>
          <w:noProof/>
          <w:sz w:val="23"/>
          <w:szCs w:val="23"/>
        </w:rPr>
        <w:t>A Decisão n.º 1313/2013/UE é alterada do seguinte modo:</w:t>
      </w:r>
    </w:p>
    <w:p>
      <w:pPr>
        <w:pStyle w:val="Point0number"/>
        <w:numPr>
          <w:ilvl w:val="0"/>
          <w:numId w:val="7"/>
        </w:numPr>
        <w:rPr>
          <w:noProof/>
        </w:rPr>
      </w:pPr>
      <w:r>
        <w:rPr>
          <w:noProof/>
        </w:rPr>
        <w:t>O artigo 19.º é alterado do seguinte modo:</w:t>
      </w:r>
    </w:p>
    <w:p>
      <w:pPr>
        <w:pStyle w:val="Point0"/>
        <w:ind w:hanging="130"/>
        <w:rPr>
          <w:noProof/>
        </w:rPr>
      </w:pPr>
      <w:r>
        <w:rPr>
          <w:noProof/>
        </w:rPr>
        <w:t>a) O n.º 1 passa a ter a seguinte redação:</w:t>
      </w:r>
    </w:p>
    <w:p>
      <w:pPr>
        <w:pStyle w:val="Point1"/>
        <w:rPr>
          <w:noProof/>
        </w:rPr>
      </w:pPr>
      <w:r>
        <w:rPr>
          <w:noProof/>
        </w:rPr>
        <w:t>«1. A dotação financeira para a execução do Mecanismo da União para o período compreendido entre 2021 e 2027 é de 1 400 000 000 EUR, a preços correntes.»</w:t>
      </w:r>
    </w:p>
    <w:p>
      <w:pPr>
        <w:pStyle w:val="Point0"/>
        <w:ind w:hanging="130"/>
        <w:rPr>
          <w:noProof/>
        </w:rPr>
      </w:pPr>
      <w:r>
        <w:rPr>
          <w:noProof/>
        </w:rPr>
        <w:t>b) São suprimidos os n.</w:t>
      </w:r>
      <w:r>
        <w:rPr>
          <w:noProof/>
          <w:vertAlign w:val="superscript"/>
        </w:rPr>
        <w:t>os</w:t>
      </w:r>
      <w:r>
        <w:rPr>
          <w:noProof/>
        </w:rPr>
        <w:t> 4, 5 e 6.</w:t>
      </w:r>
    </w:p>
    <w:p>
      <w:pPr>
        <w:pStyle w:val="Point0number"/>
        <w:rPr>
          <w:noProof/>
        </w:rPr>
      </w:pPr>
      <w:r>
        <w:rPr>
          <w:noProof/>
        </w:rPr>
        <w:t>O artigo 20.º-A</w:t>
      </w:r>
      <w:r>
        <w:rPr>
          <w:rStyle w:val="FootnoteReference"/>
          <w:noProof/>
        </w:rPr>
        <w:footnoteReference w:id="13"/>
      </w:r>
      <w:r>
        <w:rPr>
          <w:noProof/>
        </w:rPr>
        <w:t xml:space="preserve"> é alterado do seguinte modo:</w:t>
      </w:r>
    </w:p>
    <w:p>
      <w:pPr>
        <w:pStyle w:val="Point1letter"/>
        <w:rPr>
          <w:noProof/>
        </w:rPr>
      </w:pPr>
      <w:r>
        <w:rPr>
          <w:noProof/>
        </w:rPr>
        <w:t>O n.º 1 passa a ter a seguinte redação:</w:t>
      </w:r>
    </w:p>
    <w:p>
      <w:pPr>
        <w:pStyle w:val="Point1"/>
        <w:rPr>
          <w:noProof/>
        </w:rPr>
      </w:pPr>
      <w:r>
        <w:rPr>
          <w:noProof/>
        </w:rPr>
        <w:t xml:space="preserve">«1. </w:t>
      </w:r>
      <w:r>
        <w:rPr>
          <w:noProof/>
        </w:rPr>
        <w:tab/>
        <w:t xml:space="preserve">Os beneficiários do financiamento da União devem reconhecer a origem e assegurar a visibilidade do financiamento da União, em especial ao promoverem as ações e os respetivos resultados mediante a prestação de informações concretas coerentes, eficazes e proporcionadas, dirigidas a </w:t>
      </w:r>
      <w:r>
        <w:rPr>
          <w:noProof/>
        </w:rPr>
        <w:lastRenderedPageBreak/>
        <w:t>diversas audiências, incluindo os meios de comunicação social e o público. A assistência ou financiamento disponibilizados no âmbito da presente decisão deverão também dar visibilidade adequada à União, incluindo o devido destaque ao emblema da União, relativamente às capacidades a que se referem os artigos 11.º, 12.º e 21.º, n.º 2, alínea c).</w:t>
      </w:r>
    </w:p>
    <w:p>
      <w:pPr>
        <w:pStyle w:val="Point1"/>
        <w:rPr>
          <w:noProof/>
        </w:rPr>
      </w:pPr>
      <w:r>
        <w:rPr>
          <w:noProof/>
        </w:rPr>
        <w:t xml:space="preserve">2. </w:t>
      </w:r>
      <w:r>
        <w:rPr>
          <w:noProof/>
        </w:rPr>
        <w:tab/>
        <w:t xml:space="preserve">A Comissão deve realizar ações de informação e comunicação sobre a presente decisão, bem como sobre as suas ações e resultados. Os recursos financeiros afetados à presente decisão contribuem também para a comunicação institucional das prioridades políticas da União, na medida em que estas estejam relacionadas com os objetivos referidos no artigo 3.º, n.º 1. </w:t>
      </w:r>
    </w:p>
    <w:p>
      <w:pPr>
        <w:pStyle w:val="Point1"/>
        <w:ind w:firstLine="0"/>
        <w:rPr>
          <w:noProof/>
        </w:rPr>
      </w:pPr>
      <w:r>
        <w:rPr>
          <w:noProof/>
        </w:rPr>
        <w:t>A Comissão deve elaborar uma estratégia de comunicação destinada a tornar visíveis para os cidadãos os resultados concretos das ações empreendidas ao abrigo do Mecanismo da União.</w:t>
      </w:r>
    </w:p>
    <w:p>
      <w:pPr>
        <w:pStyle w:val="Point1"/>
        <w:rPr>
          <w:noProof/>
        </w:rPr>
      </w:pPr>
      <w:r>
        <w:rPr>
          <w:noProof/>
        </w:rPr>
        <w:t xml:space="preserve">3. </w:t>
      </w:r>
      <w:r>
        <w:rPr>
          <w:noProof/>
        </w:rPr>
        <w:tab/>
        <w:t>A Comissão atribui medalhas a fim de reconhecer e homenagear a dedicação de longa data e os contributos extraordinários para a Proteção Civil da União.»</w:t>
      </w:r>
    </w:p>
    <w:p>
      <w:pPr>
        <w:pStyle w:val="Point0number"/>
        <w:rPr>
          <w:noProof/>
        </w:rPr>
      </w:pPr>
      <w:r>
        <w:rPr>
          <w:noProof/>
        </w:rPr>
        <w:t>O artigo 30.º</w:t>
      </w:r>
      <w:r>
        <w:rPr>
          <w:rStyle w:val="FootnoteReference"/>
          <w:noProof/>
        </w:rPr>
        <w:footnoteReference w:id="14"/>
      </w:r>
      <w:r>
        <w:rPr>
          <w:noProof/>
        </w:rPr>
        <w:t xml:space="preserve"> é alterado do seguinte modo:</w:t>
      </w:r>
    </w:p>
    <w:p>
      <w:pPr>
        <w:pStyle w:val="Point1letter"/>
        <w:rPr>
          <w:noProof/>
        </w:rPr>
      </w:pPr>
      <w:r>
        <w:rPr>
          <w:noProof/>
        </w:rPr>
        <w:t>É suprimido o n.º 2;</w:t>
      </w:r>
    </w:p>
    <w:p>
      <w:pPr>
        <w:pStyle w:val="Point1letter"/>
        <w:rPr>
          <w:noProof/>
        </w:rPr>
      </w:pPr>
      <w:r>
        <w:rPr>
          <w:noProof/>
        </w:rPr>
        <w:t>O n.º 4 passa a ter a seguinte redação:</w:t>
      </w:r>
    </w:p>
    <w:p>
      <w:pPr>
        <w:pStyle w:val="Text1"/>
        <w:rPr>
          <w:noProof/>
        </w:rPr>
      </w:pPr>
      <w:r>
        <w:rPr>
          <w:noProof/>
        </w:rPr>
        <w:t xml:space="preserve">«4. A delegação de poderes referida no artigo 21.º, n.º 3, pode ser revogada em qualquer momento pelo Parlamento Europeu ou pelo Conselho. A decisão de revogação põe termo à delegação dos poderes nela especificados. A decisão de revogação produz efeitos a partir do dia seguinte ao da sua publicação no </w:t>
      </w:r>
      <w:r>
        <w:rPr>
          <w:i/>
          <w:noProof/>
        </w:rPr>
        <w:t>Jornal Oficial da União Europeia</w:t>
      </w:r>
      <w:r>
        <w:rPr>
          <w:noProof/>
        </w:rPr>
        <w:t xml:space="preserve"> ou de uma data posterior nela especificada. A decisão de revogação não afeta a validade dos atos delegados já em vigor.»</w:t>
      </w:r>
    </w:p>
    <w:p>
      <w:pPr>
        <w:pStyle w:val="Point1letter"/>
        <w:rPr>
          <w:noProof/>
        </w:rPr>
      </w:pPr>
      <w:r>
        <w:rPr>
          <w:noProof/>
        </w:rPr>
        <w:t>O n.º 7 passa a ter a seguinte redação:</w:t>
      </w:r>
    </w:p>
    <w:p>
      <w:pPr>
        <w:pStyle w:val="Text1"/>
        <w:rPr>
          <w:noProof/>
        </w:rPr>
      </w:pPr>
      <w:r>
        <w:rPr>
          <w:noProof/>
        </w:rPr>
        <w:t>«Os atos delegados adotados em aplicação do disposto no artigo 21.º, n.º 3, só entram em vigor se nem o Parlamento Europeu nem o Conselho formularem objeções no prazo de dois meses a contar da notificação do ato a estas duas instituições ou se, antes do termo desse prazo, o Parlamento Europeu e o Conselho informarem a Comissão de que não formularão objeções. O referido prazo pode ser prorrogado por dois meses por iniciativa do Parlamento Europeu ou do Conselho.»</w:t>
      </w:r>
    </w:p>
    <w:p>
      <w:pPr>
        <w:pStyle w:val="Point0number"/>
        <w:rPr>
          <w:noProof/>
        </w:rPr>
      </w:pPr>
      <w:r>
        <w:rPr>
          <w:noProof/>
        </w:rPr>
        <w:t>É suprimido o anexo I.</w:t>
      </w:r>
    </w:p>
    <w:p>
      <w:pPr>
        <w:pStyle w:val="Titrearticle"/>
        <w:rPr>
          <w:noProof/>
        </w:rPr>
      </w:pPr>
      <w:r>
        <w:rPr>
          <w:noProof/>
        </w:rPr>
        <w:t>Artigo 2.º</w:t>
      </w:r>
    </w:p>
    <w:p>
      <w:pPr>
        <w:rPr>
          <w:noProof/>
        </w:rPr>
      </w:pPr>
      <w:r>
        <w:rPr>
          <w:noProof/>
        </w:rPr>
        <w:t>A presente decisão entra em vigor no vigésimo dia seguinte ao da sua publicação no</w:t>
      </w:r>
      <w:r>
        <w:rPr>
          <w:i/>
          <w:iCs/>
          <w:noProof/>
        </w:rPr>
        <w:t xml:space="preserve"> Jornal Oficial da União Europeia</w:t>
      </w:r>
      <w:r>
        <w:rPr>
          <w:noProof/>
        </w:rPr>
        <w:t xml:space="preserve">. </w:t>
      </w:r>
    </w:p>
    <w:p>
      <w:pPr>
        <w:rPr>
          <w:noProof/>
        </w:rPr>
      </w:pPr>
      <w:r>
        <w:rPr>
          <w:noProof/>
        </w:rPr>
        <w:t>No entanto, o artigo 1.º, n.º 1, alínea a), da presente decisão é aplicável a partir de 1 de janeiro de 2021.</w:t>
      </w:r>
    </w:p>
    <w:p>
      <w:pPr>
        <w:pStyle w:val="Titrearticle"/>
        <w:rPr>
          <w:noProof/>
        </w:rPr>
      </w:pPr>
      <w:r>
        <w:rPr>
          <w:noProof/>
        </w:rPr>
        <w:lastRenderedPageBreak/>
        <w:t>Artigo 3.º</w:t>
      </w:r>
    </w:p>
    <w:p>
      <w:pPr>
        <w:rPr>
          <w:noProof/>
        </w:rPr>
      </w:pPr>
      <w:r>
        <w:rPr>
          <w:noProof/>
        </w:rPr>
        <w:t>Os destinatários da presente decisão são os Estados-Membros.</w:t>
      </w:r>
    </w:p>
    <w:p>
      <w:pPr>
        <w:pStyle w:val="Fait"/>
        <w:rPr>
          <w:noProof/>
        </w:rPr>
      </w:pPr>
      <w:r>
        <w:t>Feito em Bruxelas, em</w:t>
      </w:r>
    </w:p>
    <w:p>
      <w:pPr>
        <w:pStyle w:val="Institutionquisigne"/>
        <w:rPr>
          <w:noProof/>
        </w:rPr>
      </w:pPr>
      <w:r>
        <w:rPr>
          <w:noProof/>
        </w:rPr>
        <w:t>Pelo Parlamento Europeu</w:t>
      </w:r>
      <w:r>
        <w:rPr>
          <w:noProof/>
        </w:rPr>
        <w:tab/>
        <w:t>Pelo Conselho</w:t>
      </w:r>
    </w:p>
    <w:p>
      <w:pPr>
        <w:pStyle w:val="Personnequisigne"/>
        <w:rPr>
          <w:noProof/>
        </w:rPr>
      </w:pPr>
      <w:r>
        <w:rPr>
          <w:noProof/>
        </w:rPr>
        <w:t>O Presidente</w:t>
      </w:r>
      <w:r>
        <w:rPr>
          <w:noProof/>
        </w:rPr>
        <w:tab/>
        <w:t>O Presidente</w:t>
      </w:r>
    </w:p>
    <w:p>
      <w:pPr>
        <w:rPr>
          <w:noProof/>
        </w:rPr>
        <w:sectPr>
          <w:pgSz w:w="11907" w:h="16839"/>
          <w:pgMar w:top="1134" w:right="1417" w:bottom="1134" w:left="1417" w:header="709" w:footer="709" w:gutter="0"/>
          <w:cols w:space="708"/>
          <w:docGrid w:linePitch="360"/>
        </w:sectPr>
      </w:pPr>
    </w:p>
    <w:p>
      <w:pPr>
        <w:pStyle w:val="Fichefinanciretitre"/>
        <w:rPr>
          <w:noProof/>
        </w:rPr>
      </w:pPr>
      <w:bookmarkStart w:id="22" w:name="_Toc351858"/>
      <w:r>
        <w:rPr>
          <w:noProof/>
        </w:rPr>
        <w:lastRenderedPageBreak/>
        <w:t>FICHA FINANCEIRA LEGISLATIVA</w:t>
      </w:r>
      <w:bookmarkEnd w:id="22"/>
    </w:p>
    <w:p>
      <w:pPr>
        <w:pStyle w:val="ManualHeading1"/>
        <w:rPr>
          <w:noProof/>
        </w:rPr>
      </w:pPr>
      <w:r>
        <w:rPr>
          <w:noProof/>
        </w:rPr>
        <w:t>1.</w:t>
      </w:r>
      <w:r>
        <w:rPr>
          <w:noProof/>
        </w:rPr>
        <w:tab/>
        <w:t xml:space="preserve">CONTEXTO DA PROPOSTA/INICIATIVA </w:t>
      </w:r>
    </w:p>
    <w:p>
      <w:pPr>
        <w:pStyle w:val="ManualHeading2"/>
        <w:rPr>
          <w:b w:val="0"/>
          <w:noProof/>
        </w:rPr>
      </w:pPr>
      <w:r>
        <w:rPr>
          <w:noProof/>
        </w:rPr>
        <w:tab/>
      </w:r>
      <w:r>
        <w:rPr>
          <w:b w:val="0"/>
          <w:noProof/>
        </w:rPr>
        <w:t>1.1.</w:t>
      </w:r>
      <w:r>
        <w:rPr>
          <w:b w:val="0"/>
          <w:noProof/>
        </w:rPr>
        <w:tab/>
        <w:t xml:space="preserve">Denominação da proposta/iniciativa </w:t>
      </w:r>
    </w:p>
    <w:p>
      <w:pPr>
        <w:pStyle w:val="ManualHeading2"/>
        <w:rPr>
          <w:b w:val="0"/>
          <w:noProof/>
        </w:rPr>
      </w:pPr>
      <w:r>
        <w:rPr>
          <w:b w:val="0"/>
          <w:noProof/>
        </w:rPr>
        <w:tab/>
        <w:t>1.2.</w:t>
      </w:r>
      <w:r>
        <w:rPr>
          <w:b w:val="0"/>
          <w:noProof/>
        </w:rPr>
        <w:tab/>
        <w:t>Domínio(s) de intervenção em causa</w:t>
      </w:r>
    </w:p>
    <w:p>
      <w:pPr>
        <w:pStyle w:val="ManualHeading2"/>
        <w:rPr>
          <w:b w:val="0"/>
          <w:noProof/>
        </w:rPr>
      </w:pPr>
      <w:r>
        <w:rPr>
          <w:b w:val="0"/>
          <w:noProof/>
        </w:rPr>
        <w:tab/>
        <w:t>1.3.</w:t>
      </w:r>
      <w:r>
        <w:rPr>
          <w:b w:val="0"/>
          <w:noProof/>
        </w:rPr>
        <w:tab/>
        <w:t xml:space="preserve">A proposta/iniciativa refere-se a </w:t>
      </w:r>
    </w:p>
    <w:p>
      <w:pPr>
        <w:pStyle w:val="ManualHeading2"/>
        <w:rPr>
          <w:b w:val="0"/>
          <w:noProof/>
        </w:rPr>
      </w:pPr>
      <w:r>
        <w:rPr>
          <w:b w:val="0"/>
          <w:noProof/>
        </w:rPr>
        <w:tab/>
        <w:t>1.4.</w:t>
      </w:r>
      <w:r>
        <w:rPr>
          <w:b w:val="0"/>
          <w:noProof/>
        </w:rPr>
        <w:tab/>
        <w:t xml:space="preserve">Objetivo(s) </w:t>
      </w:r>
    </w:p>
    <w:p>
      <w:pPr>
        <w:pStyle w:val="ManualHeading3"/>
        <w:rPr>
          <w:noProof/>
        </w:rPr>
      </w:pPr>
      <w:r>
        <w:rPr>
          <w:noProof/>
        </w:rPr>
        <w:tab/>
        <w:t>1.4.1.</w:t>
      </w:r>
      <w:r>
        <w:rPr>
          <w:noProof/>
        </w:rPr>
        <w:tab/>
        <w:t>Necessidade(s) a satisfazer a curto ou a longo prazo, incluindo um calendário pormenorizado para a concretização da aplicação da iniciativa</w:t>
      </w:r>
    </w:p>
    <w:p>
      <w:pPr>
        <w:pStyle w:val="ManualHeading3"/>
        <w:rPr>
          <w:noProof/>
        </w:rPr>
      </w:pPr>
      <w:r>
        <w:rPr>
          <w:noProof/>
        </w:rPr>
        <w:tab/>
        <w:t>1.4.2.</w:t>
      </w:r>
      <w:r>
        <w:rPr>
          <w:noProof/>
        </w:rPr>
        <w:tab/>
      </w:r>
      <w:bookmarkStart w:id="23" w:name="_Toc514941977"/>
      <w:bookmarkStart w:id="24" w:name="_Toc520485204"/>
      <w:r>
        <w:rPr>
          <w:noProof/>
        </w:rPr>
        <w:t>Valor acrescentado da participação da União (que pode resultar de diferentes fatores, como, por exemplo, ganhos de coordenação, segurança jurídica, maior eficácia ou complementaridades). Para efeitos do presente ponto, entende-se por «valor acrescentado da participação da União» o valor resultante da intervenção da União complementar ao valor que, de outra forma, teria sido gerado exclusivamente pelos Estados-Membros.</w:t>
      </w:r>
      <w:bookmarkEnd w:id="23"/>
      <w:bookmarkEnd w:id="24"/>
    </w:p>
    <w:p>
      <w:pPr>
        <w:pStyle w:val="ManualHeading3"/>
        <w:rPr>
          <w:noProof/>
        </w:rPr>
      </w:pPr>
      <w:r>
        <w:rPr>
          <w:noProof/>
        </w:rPr>
        <w:tab/>
        <w:t>1.4.3.</w:t>
      </w:r>
      <w:r>
        <w:rPr>
          <w:noProof/>
        </w:rPr>
        <w:tab/>
      </w:r>
      <w:bookmarkStart w:id="25" w:name="_Toc514941978"/>
      <w:bookmarkStart w:id="26" w:name="_Toc520485205"/>
      <w:r>
        <w:rPr>
          <w:noProof/>
        </w:rPr>
        <w:t>Lições tiradas de experiências anteriores semelhantes</w:t>
      </w:r>
      <w:bookmarkEnd w:id="25"/>
      <w:bookmarkEnd w:id="26"/>
    </w:p>
    <w:p>
      <w:pPr>
        <w:pStyle w:val="ManualHeading3"/>
        <w:rPr>
          <w:noProof/>
        </w:rPr>
      </w:pPr>
      <w:r>
        <w:rPr>
          <w:noProof/>
        </w:rPr>
        <w:tab/>
        <w:t>1.4.4.</w:t>
      </w:r>
      <w:r>
        <w:rPr>
          <w:noProof/>
        </w:rPr>
        <w:tab/>
      </w:r>
      <w:bookmarkStart w:id="27" w:name="_Toc514941979"/>
      <w:bookmarkStart w:id="28" w:name="_Toc520485206"/>
      <w:r>
        <w:rPr>
          <w:noProof/>
        </w:rPr>
        <w:t>Compatibilidade e eventual sinergia com outros instrumentos adequados</w:t>
      </w:r>
      <w:bookmarkEnd w:id="27"/>
      <w:bookmarkEnd w:id="28"/>
    </w:p>
    <w:p>
      <w:pPr>
        <w:pStyle w:val="ManualHeading2"/>
        <w:rPr>
          <w:b w:val="0"/>
          <w:noProof/>
        </w:rPr>
      </w:pPr>
      <w:r>
        <w:rPr>
          <w:b w:val="0"/>
          <w:noProof/>
        </w:rPr>
        <w:tab/>
        <w:t>1.5.</w:t>
      </w:r>
      <w:r>
        <w:rPr>
          <w:b w:val="0"/>
          <w:noProof/>
        </w:rPr>
        <w:tab/>
      </w:r>
      <w:bookmarkStart w:id="29" w:name="_Toc514941980"/>
      <w:bookmarkStart w:id="30" w:name="_Toc520485207"/>
      <w:r>
        <w:rPr>
          <w:b w:val="0"/>
          <w:noProof/>
        </w:rPr>
        <w:t>Duração da ação e impacto financeiro</w:t>
      </w:r>
      <w:bookmarkEnd w:id="29"/>
      <w:bookmarkEnd w:id="30"/>
      <w:r>
        <w:rPr>
          <w:b w:val="0"/>
          <w:noProof/>
        </w:rPr>
        <w:t xml:space="preserve"> </w:t>
      </w:r>
    </w:p>
    <w:p>
      <w:pPr>
        <w:pStyle w:val="ManualHeading2"/>
        <w:rPr>
          <w:b w:val="0"/>
          <w:noProof/>
        </w:rPr>
        <w:sectPr>
          <w:pgSz w:w="11907" w:h="16840" w:code="9"/>
          <w:pgMar w:top="1134" w:right="1418" w:bottom="1134" w:left="1418" w:header="709" w:footer="709" w:gutter="0"/>
          <w:cols w:space="708"/>
          <w:docGrid w:linePitch="360"/>
        </w:sectPr>
      </w:pPr>
      <w:r>
        <w:rPr>
          <w:b w:val="0"/>
          <w:noProof/>
        </w:rPr>
        <w:tab/>
        <w:t>1.6.</w:t>
      </w:r>
      <w:r>
        <w:rPr>
          <w:b w:val="0"/>
          <w:noProof/>
        </w:rPr>
        <w:tab/>
        <w:t>Modalidade(s) de gestão prevista(s)</w:t>
      </w:r>
      <w:r>
        <w:rPr>
          <w:b w:val="0"/>
          <w:noProof/>
        </w:rPr>
        <w:tab/>
      </w:r>
    </w:p>
    <w:p>
      <w:pPr>
        <w:pStyle w:val="ManualHeading1"/>
        <w:rPr>
          <w:noProof/>
        </w:rPr>
      </w:pPr>
      <w:r>
        <w:rPr>
          <w:noProof/>
        </w:rPr>
        <w:t>2.</w:t>
      </w:r>
      <w:r>
        <w:rPr>
          <w:noProof/>
        </w:rPr>
        <w:tab/>
        <w:t xml:space="preserve">MEDIDAS DE GESTÃO </w:t>
      </w:r>
    </w:p>
    <w:p>
      <w:pPr>
        <w:pStyle w:val="ManualHeading2"/>
        <w:rPr>
          <w:b w:val="0"/>
          <w:noProof/>
        </w:rPr>
      </w:pPr>
      <w:r>
        <w:rPr>
          <w:b w:val="0"/>
          <w:noProof/>
        </w:rPr>
        <w:tab/>
        <w:t>2.1.</w:t>
      </w:r>
      <w:r>
        <w:rPr>
          <w:b w:val="0"/>
          <w:noProof/>
        </w:rPr>
        <w:tab/>
        <w:t xml:space="preserve">Disposições em matéria de acompanhamento e prestação de informações </w:t>
      </w:r>
    </w:p>
    <w:p>
      <w:pPr>
        <w:pStyle w:val="ManualHeading2"/>
        <w:rPr>
          <w:b w:val="0"/>
          <w:noProof/>
        </w:rPr>
      </w:pPr>
      <w:r>
        <w:rPr>
          <w:b w:val="0"/>
          <w:noProof/>
        </w:rPr>
        <w:tab/>
        <w:t>2.2.</w:t>
      </w:r>
      <w:r>
        <w:rPr>
          <w:b w:val="0"/>
          <w:noProof/>
        </w:rPr>
        <w:tab/>
        <w:t>Sistema(s) de gestão e de controlo</w:t>
      </w:r>
    </w:p>
    <w:p>
      <w:pPr>
        <w:pStyle w:val="ManualHeading3"/>
        <w:rPr>
          <w:noProof/>
        </w:rPr>
      </w:pPr>
      <w:r>
        <w:rPr>
          <w:noProof/>
        </w:rPr>
        <w:tab/>
        <w:t>2.2.1.</w:t>
      </w:r>
      <w:r>
        <w:rPr>
          <w:noProof/>
        </w:rPr>
        <w:tab/>
        <w:t>Justificação da(s) modalidade(s) de gestão, do(s) mecanismo(s) de execução do financiamento, das modalidades de pagamento e da estratégia de controlo propostos</w:t>
      </w:r>
    </w:p>
    <w:p>
      <w:pPr>
        <w:pStyle w:val="ManualHeading3"/>
        <w:rPr>
          <w:noProof/>
        </w:rPr>
      </w:pPr>
      <w:r>
        <w:rPr>
          <w:noProof/>
        </w:rPr>
        <w:tab/>
        <w:t>2.2.2.</w:t>
      </w:r>
      <w:r>
        <w:rPr>
          <w:noProof/>
        </w:rPr>
        <w:tab/>
        <w:t>Informações sobre os riscos identificados e o(s) sistema(s) de controlo interno criado(s) para os atenuar</w:t>
      </w:r>
    </w:p>
    <w:p>
      <w:pPr>
        <w:pStyle w:val="ManualHeading3"/>
        <w:rPr>
          <w:noProof/>
        </w:rPr>
      </w:pPr>
      <w:r>
        <w:rPr>
          <w:noProof/>
        </w:rPr>
        <w:tab/>
        <w:t>2.2.3.</w:t>
      </w:r>
      <w:r>
        <w:rPr>
          <w:noProof/>
        </w:rPr>
        <w:tab/>
        <w:t>Estimativa e justificação da relação custo-eficácia dos controlos (rácio «custos de controlo ÷ valor dos respetivos fundos geridos») e avaliação dos níveis previstos de risco de erro (no pagamento e no encerramento)</w:t>
      </w:r>
    </w:p>
    <w:p>
      <w:pPr>
        <w:pStyle w:val="ManualHeading2"/>
        <w:rPr>
          <w:b w:val="0"/>
          <w:noProof/>
        </w:rPr>
      </w:pPr>
      <w:r>
        <w:rPr>
          <w:b w:val="0"/>
          <w:noProof/>
        </w:rPr>
        <w:tab/>
        <w:t>2.3.</w:t>
      </w:r>
      <w:r>
        <w:rPr>
          <w:b w:val="0"/>
          <w:noProof/>
        </w:rPr>
        <w:tab/>
        <w:t xml:space="preserve">Medidas de prevenção de fraudes e irregularidades </w:t>
      </w:r>
    </w:p>
    <w:p>
      <w:pPr>
        <w:pStyle w:val="ManualHeading1"/>
        <w:rPr>
          <w:noProof/>
        </w:rPr>
      </w:pPr>
      <w:r>
        <w:rPr>
          <w:noProof/>
        </w:rPr>
        <w:t>3.</w:t>
      </w:r>
      <w:r>
        <w:rPr>
          <w:noProof/>
        </w:rPr>
        <w:tab/>
        <w:t xml:space="preserve">IMPACTO FINANCEIRO ESTIMADO DA PROPOSTA/INICIATIVA </w:t>
      </w:r>
    </w:p>
    <w:p>
      <w:pPr>
        <w:pStyle w:val="ManualHeading2"/>
        <w:rPr>
          <w:b w:val="0"/>
          <w:noProof/>
        </w:rPr>
      </w:pPr>
      <w:r>
        <w:rPr>
          <w:b w:val="0"/>
          <w:noProof/>
        </w:rPr>
        <w:tab/>
        <w:t>3.1.</w:t>
      </w:r>
      <w:r>
        <w:rPr>
          <w:b w:val="0"/>
          <w:noProof/>
        </w:rPr>
        <w:tab/>
        <w:t xml:space="preserve">Rubrica(s) do quadro financeiro plurianual e rubrica(s) orçamental(ais) de despesas envolvida(s) </w:t>
      </w:r>
    </w:p>
    <w:p>
      <w:pPr>
        <w:pStyle w:val="ManualHeading2"/>
        <w:rPr>
          <w:noProof/>
        </w:rPr>
      </w:pPr>
      <w:r>
        <w:rPr>
          <w:b w:val="0"/>
          <w:noProof/>
        </w:rPr>
        <w:tab/>
        <w:t>3.2.</w:t>
      </w:r>
      <w:r>
        <w:rPr>
          <w:b w:val="0"/>
          <w:noProof/>
        </w:rPr>
        <w:tab/>
        <w:t>Impacto financeiro estimado da proposta nas dotações</w:t>
      </w:r>
    </w:p>
    <w:p>
      <w:pPr>
        <w:pStyle w:val="ManualHeading3"/>
        <w:rPr>
          <w:noProof/>
        </w:rPr>
      </w:pPr>
      <w:r>
        <w:rPr>
          <w:noProof/>
        </w:rPr>
        <w:tab/>
        <w:t>3.2.1.</w:t>
      </w:r>
      <w:r>
        <w:rPr>
          <w:noProof/>
        </w:rPr>
        <w:tab/>
        <w:t xml:space="preserve">Síntese do impacto estimado nas dotações operacionais </w:t>
      </w:r>
    </w:p>
    <w:p>
      <w:pPr>
        <w:pStyle w:val="ManualHeading3"/>
        <w:rPr>
          <w:noProof/>
        </w:rPr>
      </w:pPr>
      <w:r>
        <w:rPr>
          <w:noProof/>
        </w:rPr>
        <w:tab/>
        <w:t>3.2.2.</w:t>
      </w:r>
      <w:r>
        <w:rPr>
          <w:noProof/>
        </w:rPr>
        <w:tab/>
      </w:r>
      <w:bookmarkStart w:id="31" w:name="_Toc514941993"/>
      <w:bookmarkStart w:id="32" w:name="_Toc520485220"/>
      <w:r>
        <w:rPr>
          <w:noProof/>
        </w:rPr>
        <w:t>Síntese do impacto estimado nas dotações de natureza administrativa</w:t>
      </w:r>
      <w:bookmarkEnd w:id="31"/>
      <w:bookmarkEnd w:id="32"/>
    </w:p>
    <w:p>
      <w:pPr>
        <w:pStyle w:val="ManualHeading3"/>
        <w:rPr>
          <w:noProof/>
        </w:rPr>
      </w:pPr>
      <w:r>
        <w:rPr>
          <w:noProof/>
        </w:rPr>
        <w:tab/>
        <w:t>3.2.3.</w:t>
      </w:r>
      <w:r>
        <w:rPr>
          <w:noProof/>
        </w:rPr>
        <w:tab/>
      </w:r>
      <w:bookmarkStart w:id="33" w:name="_Toc514941994"/>
      <w:bookmarkStart w:id="34" w:name="_Toc520485221"/>
      <w:r>
        <w:rPr>
          <w:noProof/>
        </w:rPr>
        <w:t>Participação de terceiros no financiamento</w:t>
      </w:r>
      <w:bookmarkEnd w:id="33"/>
      <w:bookmarkEnd w:id="34"/>
    </w:p>
    <w:p>
      <w:pPr>
        <w:pStyle w:val="ManualHeading2"/>
        <w:jc w:val="left"/>
        <w:rPr>
          <w:b w:val="0"/>
          <w:noProof/>
        </w:rPr>
      </w:pPr>
      <w:r>
        <w:rPr>
          <w:b w:val="0"/>
          <w:noProof/>
        </w:rPr>
        <w:tab/>
        <w:t>3.3.</w:t>
      </w:r>
      <w:r>
        <w:rPr>
          <w:b w:val="0"/>
          <w:noProof/>
        </w:rPr>
        <w:tab/>
        <w:t>Impacto estimado nas receitas</w:t>
      </w:r>
    </w:p>
    <w:p>
      <w:pPr>
        <w:rPr>
          <w:noProof/>
        </w:rPr>
      </w:pPr>
    </w:p>
    <w:p>
      <w:pPr>
        <w:rPr>
          <w:noProof/>
        </w:rPr>
      </w:pPr>
    </w:p>
    <w:p>
      <w:pPr>
        <w:rPr>
          <w:noProof/>
        </w:rPr>
        <w:sectPr>
          <w:headerReference w:type="default" r:id="rId21"/>
          <w:footerReference w:type="default" r:id="rId22"/>
          <w:headerReference w:type="first" r:id="rId23"/>
          <w:footerReference w:type="first" r:id="rId24"/>
          <w:pgSz w:w="11907" w:h="16840" w:code="9"/>
          <w:pgMar w:top="709" w:right="992" w:bottom="851" w:left="993" w:header="709" w:footer="709" w:gutter="0"/>
          <w:cols w:space="720"/>
          <w:docGrid w:linePitch="360"/>
        </w:sectPr>
      </w:pPr>
    </w:p>
    <w:p>
      <w:pPr>
        <w:jc w:val="center"/>
        <w:rPr>
          <w:noProof/>
        </w:rPr>
      </w:pPr>
      <w:r>
        <w:rPr>
          <w:b/>
          <w:noProof/>
        </w:rPr>
        <w:t>FICHA FINANCEIRA LEGISLATIVA</w:t>
      </w:r>
    </w:p>
    <w:p>
      <w:pPr>
        <w:pStyle w:val="ManualHeading1"/>
        <w:rPr>
          <w:noProof/>
        </w:rPr>
      </w:pPr>
      <w:bookmarkStart w:id="35" w:name="_Toc351859"/>
      <w:r>
        <w:t>1.</w:t>
      </w:r>
      <w:r>
        <w:tab/>
      </w:r>
      <w:r>
        <w:rPr>
          <w:noProof/>
        </w:rPr>
        <w:t>CONTEXTO DA PROPOSTA/INICIATIVA</w:t>
      </w:r>
      <w:bookmarkEnd w:id="35"/>
      <w:r>
        <w:rPr>
          <w:noProof/>
        </w:rPr>
        <w:t xml:space="preserve"> </w:t>
      </w:r>
    </w:p>
    <w:p>
      <w:pPr>
        <w:pStyle w:val="ManualHeading2"/>
        <w:rPr>
          <w:noProof/>
        </w:rPr>
      </w:pPr>
      <w:bookmarkStart w:id="36" w:name="_Toc351860"/>
      <w:r>
        <w:t>1.1.</w:t>
      </w:r>
      <w:r>
        <w:tab/>
      </w:r>
      <w:r>
        <w:rPr>
          <w:noProof/>
        </w:rPr>
        <w:t>Denominação da proposta/iniciativa</w:t>
      </w:r>
      <w:bookmarkEnd w:id="36"/>
      <w:r>
        <w:rPr>
          <w:noProof/>
        </w:rPr>
        <w:t xml:space="preserve"> </w:t>
      </w:r>
    </w:p>
    <w:p>
      <w:pPr>
        <w:pStyle w:val="Text1"/>
        <w:rPr>
          <w:noProof/>
        </w:rPr>
      </w:pPr>
      <w:r>
        <w:rPr>
          <w:noProof/>
        </w:rPr>
        <w:t>Proposta de decisão do Parlamento Europeu e do Conselho que altera a Decisão n.º 1313/2013/UE relativa a um Mecanismo de Proteção Civil da União Europeia</w:t>
      </w:r>
    </w:p>
    <w:p>
      <w:pPr>
        <w:pStyle w:val="ManualHeading2"/>
        <w:rPr>
          <w:noProof/>
          <w:szCs w:val="24"/>
        </w:rPr>
      </w:pPr>
      <w:bookmarkStart w:id="37" w:name="_Toc351861"/>
      <w:r>
        <w:t>1.2.</w:t>
      </w:r>
      <w:r>
        <w:tab/>
      </w:r>
      <w:r>
        <w:rPr>
          <w:noProof/>
        </w:rPr>
        <w:t xml:space="preserve">Domínio(s) de intervenção abrangido(s) </w:t>
      </w:r>
      <w:r>
        <w:rPr>
          <w:i/>
          <w:noProof/>
        </w:rPr>
        <w:t>(grupo de programas)</w:t>
      </w:r>
      <w:bookmarkEnd w:id="37"/>
    </w:p>
    <w:p>
      <w:pPr>
        <w:pStyle w:val="Text1"/>
        <w:rPr>
          <w:noProof/>
        </w:rPr>
      </w:pPr>
      <w:r>
        <w:rPr>
          <w:noProof/>
        </w:rPr>
        <w:t>A presente proposta proporciona os recursos orçamentais necessários para apoiar as ações da UE no domínio da proteção civil, nomeadamente através do reforço do Mecanismo da União. Este último contribui para o objetivo global de uma «Europa que protege», conforme referido na Comunicação da Comissão ao Parlamento Europeu, ao Conselho Europeu e ao Conselho intitulada «Um quadro financeiro plurianual novo e moderno para a concretização eficaz das prioridades pós-2020 da União Europeia»</w:t>
      </w:r>
      <w:r>
        <w:rPr>
          <w:rStyle w:val="FootnoteReference"/>
          <w:noProof/>
        </w:rPr>
        <w:footnoteReference w:id="15"/>
      </w:r>
      <w:r>
        <w:rPr>
          <w:noProof/>
        </w:rPr>
        <w:t>.</w:t>
      </w:r>
    </w:p>
    <w:p>
      <w:pPr>
        <w:pStyle w:val="Text1"/>
        <w:rPr>
          <w:noProof/>
        </w:rPr>
      </w:pPr>
      <w:r>
        <w:rPr>
          <w:noProof/>
        </w:rPr>
        <w:t xml:space="preserve">No âmbito da nova proposta relativa ao quadro financeiro plurianual, o financiamento relacionado com a proteção civil foi incorporado numa única rubrica: rubrica 5 «Segurança e Defesa». O grupo de programas específico é «Resposta a situações de crise», título 14, capítulo 02. Este grupo de programas englobará as dimensões interna e externa da proteção civil. </w:t>
      </w:r>
    </w:p>
    <w:p>
      <w:pPr>
        <w:pStyle w:val="ManualHeading2"/>
        <w:rPr>
          <w:bCs/>
          <w:noProof/>
        </w:rPr>
      </w:pPr>
      <w:bookmarkStart w:id="38" w:name="_Toc351862"/>
      <w:r>
        <w:t>1.3.</w:t>
      </w:r>
      <w:r>
        <w:tab/>
      </w:r>
      <w:r>
        <w:rPr>
          <w:noProof/>
        </w:rPr>
        <w:t>A proposta/iniciativa refere-se a:</w:t>
      </w:r>
      <w:bookmarkEnd w:id="38"/>
      <w:r>
        <w:rPr>
          <w:noProof/>
        </w:rPr>
        <w:t xml:space="preserve"> </w:t>
      </w:r>
    </w:p>
    <w:p>
      <w:pPr>
        <w:pStyle w:val="Text1"/>
        <w:rPr>
          <w:b/>
          <w:noProof/>
          <w:sz w:val="22"/>
        </w:rPr>
      </w:pPr>
      <w:r>
        <w:rPr>
          <w:noProof/>
          <w:sz w:val="22"/>
        </w:rPr>
        <w:sym w:font="Wingdings" w:char="F0A8"/>
      </w:r>
      <w:r>
        <w:rPr>
          <w:b/>
          <w:i/>
          <w:noProof/>
          <w:sz w:val="22"/>
        </w:rPr>
        <w:t xml:space="preserve"> </w:t>
      </w:r>
      <w:r>
        <w:rPr>
          <w:b/>
          <w:noProof/>
        </w:rPr>
        <w:t>uma nova ação</w:t>
      </w:r>
      <w:r>
        <w:rPr>
          <w:b/>
          <w:noProof/>
          <w:sz w:val="22"/>
        </w:rPr>
        <w:t xml:space="preserve"> </w:t>
      </w:r>
    </w:p>
    <w:p>
      <w:pPr>
        <w:pStyle w:val="Text1"/>
        <w:rPr>
          <w:noProof/>
          <w:sz w:val="22"/>
        </w:rPr>
      </w:pPr>
      <w:r>
        <w:rPr>
          <w:noProof/>
          <w:sz w:val="22"/>
        </w:rPr>
        <w:sym w:font="Wingdings" w:char="F0A8"/>
      </w:r>
      <w:r>
        <w:rPr>
          <w:i/>
          <w:noProof/>
          <w:sz w:val="22"/>
        </w:rPr>
        <w:t xml:space="preserve"> </w:t>
      </w:r>
      <w:r>
        <w:rPr>
          <w:b/>
          <w:noProof/>
        </w:rPr>
        <w:t>uma nova ação na sequência de um projeto-piloto/ação preparatória</w:t>
      </w:r>
      <w:r>
        <w:rPr>
          <w:rStyle w:val="FootnoteReference"/>
          <w:b/>
          <w:noProof/>
        </w:rPr>
        <w:footnoteReference w:id="16"/>
      </w:r>
      <w:r>
        <w:rPr>
          <w:noProof/>
          <w:sz w:val="22"/>
        </w:rPr>
        <w:t xml:space="preserve"> </w:t>
      </w:r>
    </w:p>
    <w:p>
      <w:pPr>
        <w:pStyle w:val="Text1"/>
        <w:rPr>
          <w:noProof/>
          <w:sz w:val="22"/>
        </w:rPr>
      </w:pPr>
      <w:r>
        <w:rPr>
          <w:b/>
          <w:noProof/>
          <w:sz w:val="22"/>
        </w:rPr>
        <w:t>X</w:t>
      </w:r>
      <w:r>
        <w:rPr>
          <w:i/>
          <w:noProof/>
          <w:sz w:val="22"/>
        </w:rPr>
        <w:t xml:space="preserve"> </w:t>
      </w:r>
      <w:r>
        <w:rPr>
          <w:b/>
          <w:noProof/>
        </w:rPr>
        <w:t>a prorrogação de uma ação existente</w:t>
      </w:r>
      <w:r>
        <w:rPr>
          <w:noProof/>
          <w:sz w:val="22"/>
        </w:rPr>
        <w:t xml:space="preserve"> </w:t>
      </w:r>
    </w:p>
    <w:p>
      <w:pPr>
        <w:pStyle w:val="Text1"/>
        <w:rPr>
          <w:noProof/>
        </w:rPr>
      </w:pPr>
      <w:r>
        <w:rPr>
          <w:noProof/>
          <w:sz w:val="22"/>
        </w:rPr>
        <w:sym w:font="Wingdings" w:char="F0A8"/>
      </w:r>
      <w:r>
        <w:rPr>
          <w:i/>
          <w:noProof/>
          <w:sz w:val="22"/>
        </w:rPr>
        <w:t xml:space="preserve"> </w:t>
      </w:r>
      <w:r>
        <w:rPr>
          <w:b/>
          <w:noProof/>
        </w:rPr>
        <w:t>uma fusão ou reorientação de uma ou mais ações para outra/nova ação</w:t>
      </w:r>
      <w:r>
        <w:rPr>
          <w:noProof/>
        </w:rPr>
        <w:t xml:space="preserve"> </w:t>
      </w:r>
    </w:p>
    <w:p>
      <w:pPr>
        <w:pStyle w:val="ManualHeading2"/>
        <w:rPr>
          <w:bCs/>
          <w:noProof/>
          <w:szCs w:val="24"/>
        </w:rPr>
      </w:pPr>
      <w:bookmarkStart w:id="39" w:name="_Toc351863"/>
      <w:r>
        <w:t>1.4.</w:t>
      </w:r>
      <w:r>
        <w:tab/>
      </w:r>
      <w:r>
        <w:rPr>
          <w:noProof/>
        </w:rPr>
        <w:t>Justificação da proposta/iniciativa</w:t>
      </w:r>
      <w:bookmarkEnd w:id="39"/>
      <w:r>
        <w:rPr>
          <w:noProof/>
        </w:rPr>
        <w:t xml:space="preserve"> </w:t>
      </w:r>
    </w:p>
    <w:p>
      <w:pPr>
        <w:pStyle w:val="ManualHeading3"/>
        <w:rPr>
          <w:noProof/>
        </w:rPr>
      </w:pPr>
      <w:bookmarkStart w:id="40" w:name="_Toc351864"/>
      <w:r>
        <w:t>1.4.1.</w:t>
      </w:r>
      <w:r>
        <w:tab/>
      </w:r>
      <w:r>
        <w:rPr>
          <w:noProof/>
        </w:rPr>
        <w:t>Necessidade(s) a satisfazer a curto ou a longo prazo, incluindo um calendário pormenorizado para a concretização da aplicação da iniciativa</w:t>
      </w:r>
      <w:bookmarkEnd w:id="40"/>
    </w:p>
    <w:p>
      <w:pPr>
        <w:pStyle w:val="Text1"/>
        <w:rPr>
          <w:noProof/>
        </w:rPr>
      </w:pPr>
      <w:r>
        <w:rPr>
          <w:noProof/>
        </w:rPr>
        <w:t>A presente decisão altera a dotação financeira de uma ação existente a fim de permitir a continuação dessa ação no período coberto pelo próximo quadro financeiro plurianual. O objetivo global da legislação em vigor consiste em continuar a reforçar a cooperação entre a União e os Estados-Membros e facilitar a coordenação no domínio da proteção civil no âmbito da prevenção, preparação e resposta a catástrofes naturais e de origem humana.</w:t>
      </w:r>
    </w:p>
    <w:p>
      <w:pPr>
        <w:pStyle w:val="Text1"/>
        <w:rPr>
          <w:noProof/>
        </w:rPr>
      </w:pPr>
      <w:r>
        <w:rPr>
          <w:noProof/>
        </w:rPr>
        <w:t>A assistência financeira para a prevenção e preparação ao abrigo do Mecanismo da União é utilizada em conformidade com um programa de trabalho anual adotado pelo Comité da Proteção Civil. Este comité estabelece os requisitos e os critérios que regem a utilização dos fundos afetados.</w:t>
      </w:r>
    </w:p>
    <w:p>
      <w:pPr>
        <w:pStyle w:val="Text1"/>
        <w:rPr>
          <w:noProof/>
        </w:rPr>
      </w:pPr>
      <w:r>
        <w:rPr>
          <w:noProof/>
        </w:rPr>
        <w:t>Esta iniciativa faz referência à dotação financeira disponível para o Mecanismo da União no quadro financeiro plurianual 2021-2027. Como tal, será aplicada anualmente a partir de 2021.</w:t>
      </w:r>
    </w:p>
    <w:p>
      <w:pPr>
        <w:pStyle w:val="Text1"/>
        <w:rPr>
          <w:noProof/>
        </w:rPr>
      </w:pPr>
      <w:r>
        <w:rPr>
          <w:noProof/>
        </w:rPr>
        <w:t>É igualmente adotada uma decisão financeira distinta sobre a resposta às catástrofes. Dada a natureza imprevisível das catástrofes, não existe um calendário específico para a execução. Todos os aspetos da decisão serão aplicados rapidamente e/ou em função das necessidades.</w:t>
      </w:r>
    </w:p>
    <w:p>
      <w:pPr>
        <w:pStyle w:val="ManualHeading3"/>
        <w:rPr>
          <w:bCs/>
          <w:noProof/>
          <w:szCs w:val="24"/>
        </w:rPr>
      </w:pPr>
      <w:bookmarkStart w:id="41" w:name="_Toc351865"/>
      <w:r>
        <w:t>1.4.2.</w:t>
      </w:r>
      <w:r>
        <w:tab/>
      </w:r>
      <w:r>
        <w:rPr>
          <w:noProof/>
        </w:rPr>
        <w:t>Valor acrescentado da participação da União (que pode resultar de diferentes fatores, como, por exemplo, ganhos de coordenação, segurança jurídica, maior eficácia ou complementaridades). Para efeitos do presente ponto, entende-se por «valor acrescentado da participação da União» o valor resultante da intervenção da União complementar ao valor que, de outra forma, teria sido gerado exclusivamente pelos Estados-Membros.</w:t>
      </w:r>
      <w:bookmarkEnd w:id="41"/>
    </w:p>
    <w:p>
      <w:pPr>
        <w:pStyle w:val="Text1"/>
        <w:rPr>
          <w:noProof/>
        </w:rPr>
      </w:pPr>
      <w:r>
        <w:rPr>
          <w:noProof/>
          <w:u w:val="single"/>
        </w:rPr>
        <w:t>Justificação da ação a nível da UE (</w:t>
      </w:r>
      <w:r>
        <w:rPr>
          <w:i/>
          <w:noProof/>
          <w:u w:val="single"/>
        </w:rPr>
        <w:t>ex ante</w:t>
      </w:r>
      <w:r>
        <w:rPr>
          <w:noProof/>
          <w:u w:val="single"/>
        </w:rPr>
        <w:t>)</w:t>
      </w:r>
      <w:r>
        <w:rPr>
          <w:noProof/>
        </w:rPr>
        <w:t>:</w:t>
      </w:r>
    </w:p>
    <w:p>
      <w:pPr>
        <w:pStyle w:val="Text1"/>
        <w:rPr>
          <w:noProof/>
        </w:rPr>
      </w:pPr>
      <w:r>
        <w:rPr>
          <w:noProof/>
        </w:rPr>
        <w:t>As situações de emergência e as experiências recentes sublinharam a existência de certas lacunas na proteção civil em toda a Europa. Estas lacunas estão a tornar-se cada vez mais visíveis devido às alterações climáticas e ao aumento da frequência e da intensidade das catástrofes. Isto foi particularmente evidente durante a época de incêndios florestais de 2017. Por conseguinte, a proposta de revisão da Decisão n.º 1313/2013/UE de 23 de novembro de 2017 (proposta «rescEU»)</w:t>
      </w:r>
      <w:r>
        <w:rPr>
          <w:rStyle w:val="FootnoteReference"/>
          <w:noProof/>
        </w:rPr>
        <w:footnoteReference w:id="17"/>
      </w:r>
      <w:r>
        <w:rPr>
          <w:noProof/>
        </w:rPr>
        <w:t xml:space="preserve"> foi considerada necessária para reforçar o Mecanismo da União.  </w:t>
      </w:r>
    </w:p>
    <w:p>
      <w:pPr>
        <w:pStyle w:val="Text1"/>
        <w:rPr>
          <w:noProof/>
        </w:rPr>
      </w:pPr>
      <w:r>
        <w:rPr>
          <w:noProof/>
        </w:rPr>
        <w:t>A dotação orçamental proposta reflete o nível de ambição estabelecido na proposta da Comissão de alteração do Mecanismo de Proteção Civil da União. O orçamento adicional permitirá realizar as seguintes ações:</w:t>
      </w:r>
    </w:p>
    <w:p>
      <w:pPr>
        <w:pStyle w:val="Bullet1"/>
        <w:numPr>
          <w:ilvl w:val="0"/>
          <w:numId w:val="16"/>
        </w:numPr>
        <w:rPr>
          <w:noProof/>
        </w:rPr>
      </w:pPr>
      <w:r>
        <w:rPr>
          <w:noProof/>
        </w:rPr>
        <w:t>reforçar a capacidade coletiva dos Estados-Membros e da União para responder às catástrofes através da criação de uma reserva específica de capacidades de resposta (rescEU);</w:t>
      </w:r>
    </w:p>
    <w:p>
      <w:pPr>
        <w:pStyle w:val="Bullet1"/>
        <w:rPr>
          <w:noProof/>
        </w:rPr>
      </w:pPr>
      <w:r>
        <w:rPr>
          <w:noProof/>
        </w:rPr>
        <w:t>aumentar (ou renovar) o cofinanciamento da UE para adaptar, reparar, transportar e/ou explorar as capacidades postas à disposição da Reserva Europeia de Proteção Civil;</w:t>
      </w:r>
    </w:p>
    <w:p>
      <w:pPr>
        <w:pStyle w:val="Bullet1"/>
        <w:rPr>
          <w:noProof/>
        </w:rPr>
      </w:pPr>
      <w:r>
        <w:rPr>
          <w:noProof/>
        </w:rPr>
        <w:t>colocar maior ênfase na prevenção e no reforço da coerência com outras políticas fundamentais da UE;</w:t>
      </w:r>
    </w:p>
    <w:p>
      <w:pPr>
        <w:pStyle w:val="Bullet1"/>
        <w:rPr>
          <w:noProof/>
        </w:rPr>
      </w:pPr>
      <w:r>
        <w:rPr>
          <w:noProof/>
        </w:rPr>
        <w:t>criar uma rede de conhecimentos em matéria de proteção civil; e</w:t>
      </w:r>
    </w:p>
    <w:p>
      <w:pPr>
        <w:pStyle w:val="Bullet1"/>
        <w:rPr>
          <w:noProof/>
        </w:rPr>
      </w:pPr>
      <w:r>
        <w:rPr>
          <w:noProof/>
        </w:rPr>
        <w:t xml:space="preserve">reforçar a cooperação com os países vizinhos. </w:t>
      </w:r>
    </w:p>
    <w:p>
      <w:pPr>
        <w:pStyle w:val="Text1"/>
        <w:rPr>
          <w:noProof/>
          <w:u w:val="single"/>
        </w:rPr>
      </w:pPr>
      <w:r>
        <w:rPr>
          <w:noProof/>
          <w:u w:val="single"/>
        </w:rPr>
        <w:t>Valor acrescentado da participação da UE esperado (</w:t>
      </w:r>
      <w:r>
        <w:rPr>
          <w:i/>
          <w:noProof/>
          <w:u w:val="single"/>
        </w:rPr>
        <w:t>ex post</w:t>
      </w:r>
      <w:r>
        <w:rPr>
          <w:noProof/>
          <w:u w:val="single"/>
        </w:rPr>
        <w:t xml:space="preserve">) </w:t>
      </w:r>
    </w:p>
    <w:p>
      <w:pPr>
        <w:pStyle w:val="Text1"/>
        <w:rPr>
          <w:noProof/>
        </w:rPr>
      </w:pPr>
      <w:r>
        <w:rPr>
          <w:noProof/>
        </w:rPr>
        <w:t>O financiamento previsto na presente proposta deverá ter os seguintes resultados:</w:t>
      </w:r>
    </w:p>
    <w:p>
      <w:pPr>
        <w:pStyle w:val="Text1"/>
        <w:rPr>
          <w:noProof/>
        </w:rPr>
      </w:pPr>
      <w:r>
        <w:rPr>
          <w:noProof/>
        </w:rPr>
        <w:t>1)</w:t>
      </w:r>
      <w:r>
        <w:rPr>
          <w:noProof/>
        </w:rPr>
        <w:tab/>
        <w:t>Redução do fosso entre as necessidades das populações sinistradas e a assistência disponível, graças à inclusão (provável) de capacidades suplementares na Reserva Europeia de Proteção Civil e numa reserva de capacidades a nível da UE;</w:t>
      </w:r>
    </w:p>
    <w:p>
      <w:pPr>
        <w:pStyle w:val="Text1"/>
        <w:rPr>
          <w:noProof/>
        </w:rPr>
      </w:pPr>
      <w:r>
        <w:rPr>
          <w:noProof/>
        </w:rPr>
        <w:t>2)</w:t>
      </w:r>
      <w:r>
        <w:rPr>
          <w:noProof/>
        </w:rPr>
        <w:tab/>
        <w:t>Economias de escala decorrentes da manutenção de uma reserva «mínima» de capacidades a nível da UE, em vez de investimentos em níveis de preparação extremos em todos os Estados-Membros;</w:t>
      </w:r>
    </w:p>
    <w:p>
      <w:pPr>
        <w:pStyle w:val="Text1"/>
        <w:rPr>
          <w:noProof/>
        </w:rPr>
      </w:pPr>
      <w:r>
        <w:rPr>
          <w:noProof/>
        </w:rPr>
        <w:t>3)</w:t>
      </w:r>
      <w:r>
        <w:rPr>
          <w:noProof/>
        </w:rPr>
        <w:tab/>
        <w:t>Reforço da coerência e das ligações entre os diferentes domínios de intervenção, utilizando da melhor forma os instrumentos da UE existentes;</w:t>
      </w:r>
    </w:p>
    <w:p>
      <w:pPr>
        <w:pStyle w:val="Text1"/>
        <w:rPr>
          <w:noProof/>
        </w:rPr>
      </w:pPr>
      <w:r>
        <w:rPr>
          <w:noProof/>
        </w:rPr>
        <w:t>4)</w:t>
      </w:r>
      <w:r>
        <w:rPr>
          <w:noProof/>
        </w:rPr>
        <w:tab/>
        <w:t>Maior eficiência, em especial no que toca à rapidez do apoio do Mecanismo da União em resposta a catástrofes, nomeadamente graças à simplificação dos procedimentos administrativos.</w:t>
      </w:r>
    </w:p>
    <w:p>
      <w:pPr>
        <w:pStyle w:val="Text1"/>
        <w:rPr>
          <w:noProof/>
        </w:rPr>
      </w:pPr>
    </w:p>
    <w:p>
      <w:pPr>
        <w:pStyle w:val="ManualHeading3"/>
        <w:rPr>
          <w:bCs/>
          <w:noProof/>
          <w:szCs w:val="24"/>
        </w:rPr>
      </w:pPr>
      <w:bookmarkStart w:id="42" w:name="_Toc351866"/>
      <w:r>
        <w:t>1.4.3.</w:t>
      </w:r>
      <w:r>
        <w:tab/>
      </w:r>
      <w:r>
        <w:rPr>
          <w:noProof/>
        </w:rPr>
        <w:t>Lições tiradas de experiências anteriores semelhantes</w:t>
      </w:r>
      <w:bookmarkEnd w:id="42"/>
    </w:p>
    <w:p>
      <w:pPr>
        <w:pStyle w:val="Text1"/>
        <w:rPr>
          <w:noProof/>
        </w:rPr>
      </w:pPr>
      <w:r>
        <w:rPr>
          <w:noProof/>
        </w:rPr>
        <w:t>Até à data, o Mecanismo da União tem mostrado resultados encorajadores em termos de desempenho em cada um dos três pilares (prevenção/preparação/resposta). Em geral, este mecanismo é avaliado de forma positiva pelos Estados participantes e pelas principais partes interessadas. Esta foi a conclusão geral da avaliação intercalar do Mecanismo da União (2014-2016) realizada por um consultor externo e publicada em agosto de 2017.</w:t>
      </w:r>
    </w:p>
    <w:p>
      <w:pPr>
        <w:pStyle w:val="Text1"/>
        <w:rPr>
          <w:noProof/>
        </w:rPr>
      </w:pPr>
      <w:r>
        <w:rPr>
          <w:noProof/>
        </w:rPr>
        <w:t>Outro ensinamento retirado da avaliação intercalar, bem como do relatório do Tribunal de Contas Europeu</w:t>
      </w:r>
      <w:r>
        <w:rPr>
          <w:rStyle w:val="FootnoteReference"/>
          <w:noProof/>
        </w:rPr>
        <w:footnoteReference w:id="18"/>
      </w:r>
      <w:r>
        <w:rPr>
          <w:noProof/>
        </w:rPr>
        <w:t>, diz respeito à necessidade de melhorar o quadro de acompanhamento dos resultados do Mecanismo da União. Tal inclui uma melhor mensurabilidade sob a forma de eventuais indicadores quantitativos e valores de referência, de modo a permitir uma maior concentração no impacto do Mecanismo ao longo do tempo. A Comissão introduziu indicadores de resultados mensuráveis para todas as ações. Trata-se da primeira etapa de um processo a longo prazo que visa garantir que a assistência financeira ao abrigo do Mecanismo se inscreva numa abordagem mais orientada para os resultados.</w:t>
      </w:r>
    </w:p>
    <w:p>
      <w:pPr>
        <w:pStyle w:val="Text1"/>
        <w:rPr>
          <w:noProof/>
        </w:rPr>
      </w:pPr>
      <w:r>
        <w:rPr>
          <w:noProof/>
        </w:rPr>
        <w:t>Outra fonte pertinente na qual a Comissão baseou a sua proposta para melhorar o atual funcionamento do Mecanismo da União é a síntese dos riscos da UE</w:t>
      </w:r>
      <w:r>
        <w:rPr>
          <w:rStyle w:val="FootnoteReference"/>
          <w:noProof/>
        </w:rPr>
        <w:footnoteReference w:id="19"/>
      </w:r>
      <w:r>
        <w:rPr>
          <w:noProof/>
        </w:rPr>
        <w:t>. As avaliações de risco nacionais apresentadas pelos Estados-Membros foram utilizadas para elaborar esta síntese com base na legislação em vigor.</w:t>
      </w:r>
    </w:p>
    <w:p>
      <w:pPr>
        <w:pStyle w:val="Text1"/>
        <w:rPr>
          <w:noProof/>
        </w:rPr>
      </w:pPr>
      <w:r>
        <w:rPr>
          <w:noProof/>
        </w:rPr>
        <w:t>A Comissão baseia-se igualmente na experiência adquirida:</w:t>
      </w:r>
    </w:p>
    <w:p>
      <w:pPr>
        <w:pStyle w:val="ListBullet1"/>
        <w:rPr>
          <w:noProof/>
        </w:rPr>
      </w:pPr>
      <w:r>
        <w:rPr>
          <w:noProof/>
        </w:rPr>
        <w:t>no âmbito das situações de emergência tratadas pelo Mecanismo da União desde a sua criação em 2001;</w:t>
      </w:r>
    </w:p>
    <w:p>
      <w:pPr>
        <w:pStyle w:val="ListBullet1"/>
        <w:rPr>
          <w:noProof/>
        </w:rPr>
      </w:pPr>
      <w:r>
        <w:rPr>
          <w:noProof/>
        </w:rPr>
        <w:t>na sequência dos projetos financiados no âmbito dos convites à apresentação de propostas lançados desde 2013 em matéria de preparação e de prevenção; e</w:t>
      </w:r>
    </w:p>
    <w:p>
      <w:pPr>
        <w:pStyle w:val="ListBullet1"/>
        <w:rPr>
          <w:noProof/>
        </w:rPr>
      </w:pPr>
      <w:r>
        <w:rPr>
          <w:noProof/>
        </w:rPr>
        <w:t>na sequência do projeto-piloto financiado no âmbito do convite à apresentação de propostas lançado em 2008 para intensificar a cooperação entre os Estados</w:t>
      </w:r>
      <w:r>
        <w:rPr>
          <w:noProof/>
        </w:rPr>
        <w:noBreakHyphen/>
        <w:t>Membros na luta contra os incêndios florestais.</w:t>
      </w:r>
    </w:p>
    <w:p>
      <w:pPr>
        <w:pStyle w:val="Text1"/>
        <w:rPr>
          <w:noProof/>
        </w:rPr>
      </w:pPr>
    </w:p>
    <w:p>
      <w:pPr>
        <w:pStyle w:val="ManualHeading3"/>
        <w:rPr>
          <w:bCs/>
          <w:noProof/>
          <w:szCs w:val="24"/>
        </w:rPr>
      </w:pPr>
      <w:bookmarkStart w:id="43" w:name="_Toc351867"/>
      <w:r>
        <w:t>1.4.4.</w:t>
      </w:r>
      <w:r>
        <w:tab/>
      </w:r>
      <w:r>
        <w:rPr>
          <w:noProof/>
        </w:rPr>
        <w:t>Compatibilidade e eventual sinergia com outros instrumentos adequados</w:t>
      </w:r>
      <w:bookmarkEnd w:id="43"/>
    </w:p>
    <w:p>
      <w:pPr>
        <w:pStyle w:val="Text1"/>
        <w:rPr>
          <w:noProof/>
        </w:rPr>
      </w:pPr>
      <w:r>
        <w:rPr>
          <w:noProof/>
        </w:rPr>
        <w:t>Coerência com:</w:t>
      </w:r>
    </w:p>
    <w:p>
      <w:pPr>
        <w:pStyle w:val="ListDash1"/>
        <w:rPr>
          <w:noProof/>
        </w:rPr>
      </w:pPr>
      <w:r>
        <w:rPr>
          <w:noProof/>
        </w:rPr>
        <w:t>o Regulamento (CE) n.º 1257/96 do Conselho, de 20 de junho de 1996, relativo à ajuda humanitária;</w:t>
      </w:r>
    </w:p>
    <w:p>
      <w:pPr>
        <w:pStyle w:val="ListDash1"/>
        <w:rPr>
          <w:noProof/>
        </w:rPr>
      </w:pPr>
      <w:r>
        <w:rPr>
          <w:noProof/>
        </w:rPr>
        <w:t>o Regulamento (CE) n.º 1406/2002 do Parlamento Europeu e do Conselho, de 27 de junho de 2002, que institui a Agência Europeia da Segurança Marítima;</w:t>
      </w:r>
    </w:p>
    <w:p>
      <w:pPr>
        <w:pStyle w:val="ListDash1"/>
        <w:rPr>
          <w:noProof/>
        </w:rPr>
      </w:pPr>
      <w:r>
        <w:rPr>
          <w:noProof/>
        </w:rPr>
        <w:t>o Regulamento (CE) n.º 2012/2002 do Conselho, de 11 de novembro de 2002, que institui o Fundo de Solidariedade da União Europeia;</w:t>
      </w:r>
    </w:p>
    <w:p>
      <w:pPr>
        <w:pStyle w:val="ListDash1"/>
        <w:rPr>
          <w:noProof/>
        </w:rPr>
      </w:pPr>
      <w:r>
        <w:rPr>
          <w:noProof/>
        </w:rPr>
        <w:t>o Regulamento (CE) n.º 1717/2006 do Parlamento Europeu e do Conselho, de 15 de novembro de 2006, que institui um Instrumento de Estabilidade;</w:t>
      </w:r>
    </w:p>
    <w:p>
      <w:pPr>
        <w:pStyle w:val="ListDash1"/>
        <w:rPr>
          <w:noProof/>
        </w:rPr>
      </w:pPr>
      <w:r>
        <w:rPr>
          <w:noProof/>
        </w:rPr>
        <w:t>a Decisão n.º 1313/2013/UE do Parlamento Europeu e do Conselho, de 17 de dezembro de 2013, relativa a um Mecanismo de Proteção Civil da União Europeia;</w:t>
      </w:r>
    </w:p>
    <w:p>
      <w:pPr>
        <w:pStyle w:val="ListDash1"/>
        <w:rPr>
          <w:noProof/>
        </w:rPr>
      </w:pPr>
      <w:r>
        <w:rPr>
          <w:noProof/>
        </w:rPr>
        <w:t>o Regulamento (UE) n.º 375/2014 do Parlamento Europeu e do Conselho, de 3 de abril de 2014, que cria o Corpo Voluntário Europeu para a Ajuda Humanitária («iniciativa Voluntários para a Ajuda da UE»);</w:t>
      </w:r>
    </w:p>
    <w:p>
      <w:pPr>
        <w:pStyle w:val="ListDash1"/>
        <w:rPr>
          <w:noProof/>
        </w:rPr>
      </w:pPr>
      <w:r>
        <w:rPr>
          <w:noProof/>
        </w:rPr>
        <w:t>o Regulamento (UE) 2016/369 do Conselho, de 15 de março de 2016, relativo à prestação de apoio de emergência na União;</w:t>
      </w:r>
    </w:p>
    <w:p>
      <w:pPr>
        <w:pStyle w:val="ListDash1"/>
        <w:rPr>
          <w:noProof/>
        </w:rPr>
      </w:pPr>
      <w:r>
        <w:rPr>
          <w:noProof/>
        </w:rPr>
        <w:t xml:space="preserve">o Regulamento (UE) n.º 1303/2013 do Parlamento Europeu e do Conselho, de 17 de dezembro de 2013, que estabelece disposições comuns relativas ao Fundo Europeu de Desenvolvimento Regional, ao Fundo Social Europeu, ao Fundo de Coesão, ao Fundo Europeu Agrícola de Desenvolvimento Rural e ao Fundo Europeu dos Assuntos Marítimos e das Pescas, que estabelece disposições gerais relativas ao Fundo Europeu de Desenvolvimento Regional, ao Fundo Social Europeu, ao Fundo de Coesão e ao Fundo Europeu dos Assuntos Marítimos e das Pescas, e que revoga o Regulamento (CE) n.º 1083/2006 do Conselho (JO L 347 de 20.12.2013, p. 320). </w:t>
      </w:r>
    </w:p>
    <w:p>
      <w:pPr>
        <w:pStyle w:val="ManualHeading2"/>
        <w:rPr>
          <w:bCs/>
          <w:noProof/>
          <w:szCs w:val="24"/>
        </w:rPr>
      </w:pPr>
      <w:r>
        <w:rPr>
          <w:noProof/>
        </w:rPr>
        <w:br w:type="page"/>
      </w:r>
      <w:bookmarkStart w:id="44" w:name="_Toc351868"/>
      <w:r>
        <w:t>1.5.</w:t>
      </w:r>
      <w:r>
        <w:tab/>
      </w:r>
      <w:r>
        <w:rPr>
          <w:noProof/>
        </w:rPr>
        <w:t>Duração da ação e impacto financeiro</w:t>
      </w:r>
      <w:bookmarkEnd w:id="44"/>
      <w:r>
        <w:rPr>
          <w:noProof/>
        </w:rPr>
        <w:t xml:space="preserve"> </w:t>
      </w:r>
    </w:p>
    <w:p>
      <w:pPr>
        <w:pStyle w:val="Text1"/>
        <w:rPr>
          <w:noProof/>
        </w:rPr>
      </w:pPr>
      <w:r>
        <w:rPr>
          <w:noProof/>
        </w:rPr>
        <w:t>X</w:t>
      </w:r>
      <w:r>
        <w:rPr>
          <w:b/>
          <w:i/>
          <w:noProof/>
        </w:rPr>
        <w:t xml:space="preserve"> </w:t>
      </w:r>
      <w:r>
        <w:rPr>
          <w:b/>
          <w:noProof/>
        </w:rPr>
        <w:t xml:space="preserve">duração limitada </w:t>
      </w:r>
    </w:p>
    <w:p>
      <w:pPr>
        <w:pStyle w:val="ListDash2"/>
        <w:rPr>
          <w:noProof/>
        </w:rPr>
      </w:pPr>
      <w:r>
        <w:rPr>
          <w:noProof/>
        </w:rPr>
        <w:t>X</w:t>
      </w:r>
      <w:r>
        <w:rPr>
          <w:noProof/>
        </w:rPr>
        <w:tab/>
        <w:t xml:space="preserve">em vigor entre 1/1/2021 e 31/12/2027 </w:t>
      </w:r>
    </w:p>
    <w:p>
      <w:pPr>
        <w:pStyle w:val="ListDash2"/>
        <w:rPr>
          <w:noProof/>
        </w:rPr>
      </w:pPr>
      <w:r>
        <w:rPr>
          <w:noProof/>
        </w:rPr>
        <w:t>X</w:t>
      </w:r>
      <w:r>
        <w:rPr>
          <w:noProof/>
        </w:rPr>
        <w:tab/>
        <w:t xml:space="preserve">Impacto financeiro no período compreendido entre 2021 e 2027 para as dotações de autorização e entre 2020 a 2032 para as dotações de pagamento. </w:t>
      </w:r>
    </w:p>
    <w:p>
      <w:pPr>
        <w:pStyle w:val="Text1"/>
        <w:rPr>
          <w:noProof/>
        </w:rPr>
      </w:pPr>
      <w:r>
        <w:rPr>
          <w:noProof/>
        </w:rPr>
        <w:sym w:font="Wingdings" w:char="F0A8"/>
      </w:r>
      <w:r>
        <w:rPr>
          <w:b/>
          <w:i/>
          <w:noProof/>
        </w:rPr>
        <w:t xml:space="preserve"> </w:t>
      </w:r>
      <w:r>
        <w:rPr>
          <w:b/>
          <w:noProof/>
        </w:rPr>
        <w:t>duração ilimitada</w:t>
      </w:r>
    </w:p>
    <w:p>
      <w:pPr>
        <w:pStyle w:val="ListDash1"/>
        <w:rPr>
          <w:noProof/>
        </w:rPr>
      </w:pPr>
      <w:r>
        <w:rPr>
          <w:noProof/>
        </w:rPr>
        <w:t>Aplicação com um período de arranque progressivo entre AAAA e AAAA,</w:t>
      </w:r>
    </w:p>
    <w:p>
      <w:pPr>
        <w:pStyle w:val="ListDash1"/>
        <w:rPr>
          <w:noProof/>
        </w:rPr>
      </w:pPr>
      <w:r>
        <w:rPr>
          <w:noProof/>
        </w:rPr>
        <w:t>seguido de um período de aplicação a um ritmo de cruzeiro.</w:t>
      </w:r>
    </w:p>
    <w:p>
      <w:pPr>
        <w:pStyle w:val="ManualHeading2"/>
        <w:rPr>
          <w:bCs/>
          <w:noProof/>
          <w:szCs w:val="24"/>
        </w:rPr>
      </w:pPr>
      <w:bookmarkStart w:id="45" w:name="_Toc351869"/>
      <w:r>
        <w:t>1.6.</w:t>
      </w:r>
      <w:r>
        <w:tab/>
      </w:r>
      <w:r>
        <w:rPr>
          <w:noProof/>
        </w:rPr>
        <w:t>Modalidade(s) de gestão prevista(s)</w:t>
      </w:r>
      <w:r>
        <w:rPr>
          <w:rStyle w:val="FootnoteReference"/>
          <w:noProof/>
        </w:rPr>
        <w:footnoteReference w:id="20"/>
      </w:r>
      <w:r>
        <w:rPr>
          <w:rStyle w:val="FootnoteReference"/>
          <w:noProof/>
        </w:rPr>
        <w:t xml:space="preserve"> </w:t>
      </w:r>
      <w:bookmarkEnd w:id="45"/>
    </w:p>
    <w:p>
      <w:pPr>
        <w:pStyle w:val="Text1"/>
        <w:rPr>
          <w:noProof/>
        </w:rPr>
      </w:pPr>
      <w:r>
        <w:rPr>
          <w:noProof/>
        </w:rPr>
        <w:t>X</w:t>
      </w:r>
      <w:r>
        <w:rPr>
          <w:i/>
          <w:noProof/>
        </w:rPr>
        <w:t xml:space="preserve"> </w:t>
      </w:r>
      <w:r>
        <w:rPr>
          <w:b/>
          <w:noProof/>
        </w:rPr>
        <w:t>Gestão direta</w:t>
      </w:r>
      <w:r>
        <w:rPr>
          <w:noProof/>
        </w:rPr>
        <w:t xml:space="preserve"> pela Comissão</w:t>
      </w:r>
    </w:p>
    <w:p>
      <w:pPr>
        <w:pStyle w:val="ListDash2"/>
        <w:rPr>
          <w:rFonts w:cs="EUAlbertina"/>
          <w:noProof/>
        </w:rPr>
      </w:pPr>
      <w:r>
        <w:rPr>
          <w:noProof/>
        </w:rPr>
        <w:t xml:space="preserve">X nos seus serviços, incluindo pelo seu pessoal nas delegações da União; </w:t>
      </w:r>
    </w:p>
    <w:p>
      <w:pPr>
        <w:pStyle w:val="ListDash2"/>
        <w:rPr>
          <w:noProof/>
        </w:rPr>
      </w:pPr>
      <w:r>
        <w:rPr>
          <w:noProof/>
        </w:rPr>
        <w:sym w:font="Wingdings" w:char="F0A8"/>
      </w:r>
      <w:r>
        <w:rPr>
          <w:noProof/>
        </w:rPr>
        <w:tab/>
        <w:t xml:space="preserve">pelas agências de execução </w:t>
      </w:r>
    </w:p>
    <w:p>
      <w:pPr>
        <w:pStyle w:val="Text1"/>
        <w:rPr>
          <w:noProof/>
        </w:rPr>
      </w:pPr>
      <w:r>
        <w:rPr>
          <w:noProof/>
        </w:rPr>
        <w:sym w:font="Wingdings" w:char="F0A8"/>
      </w:r>
      <w:r>
        <w:rPr>
          <w:b/>
          <w:i/>
          <w:noProof/>
        </w:rPr>
        <w:t xml:space="preserve"> </w:t>
      </w:r>
      <w:r>
        <w:rPr>
          <w:b/>
          <w:noProof/>
        </w:rPr>
        <w:t>Gestão partilhada</w:t>
      </w:r>
      <w:r>
        <w:rPr>
          <w:noProof/>
        </w:rPr>
        <w:t xml:space="preserve"> com os Estados-Membros </w:t>
      </w:r>
    </w:p>
    <w:p>
      <w:pPr>
        <w:pStyle w:val="Text1"/>
        <w:rPr>
          <w:noProof/>
        </w:rPr>
      </w:pPr>
      <w:r>
        <w:rPr>
          <w:noProof/>
        </w:rPr>
        <w:t>X</w:t>
      </w:r>
      <w:r>
        <w:rPr>
          <w:i/>
          <w:noProof/>
        </w:rPr>
        <w:t xml:space="preserve"> </w:t>
      </w:r>
      <w:r>
        <w:rPr>
          <w:b/>
          <w:noProof/>
        </w:rPr>
        <w:t>Gestão indireta</w:t>
      </w:r>
      <w:r>
        <w:rPr>
          <w:noProof/>
        </w:rPr>
        <w:t xml:space="preserve"> confiando tarefas de execução orçamental:</w:t>
      </w:r>
    </w:p>
    <w:p>
      <w:pPr>
        <w:pStyle w:val="ListDash2"/>
        <w:rPr>
          <w:noProof/>
        </w:rPr>
      </w:pPr>
      <w:r>
        <w:rPr>
          <w:noProof/>
        </w:rPr>
        <w:sym w:font="Wingdings" w:char="F0A8"/>
      </w:r>
      <w:r>
        <w:rPr>
          <w:noProof/>
        </w:rPr>
        <w:t xml:space="preserve"> a países terceiros ou a organismos por estes designados;</w:t>
      </w:r>
    </w:p>
    <w:p>
      <w:pPr>
        <w:pStyle w:val="ListDash2"/>
        <w:rPr>
          <w:noProof/>
        </w:rPr>
      </w:pPr>
      <w:r>
        <w:rPr>
          <w:noProof/>
        </w:rPr>
        <w:t>X a organizações internacionais e respetivas agências (a especificar);</w:t>
      </w:r>
    </w:p>
    <w:p>
      <w:pPr>
        <w:pStyle w:val="ListDash2"/>
        <w:rPr>
          <w:noProof/>
        </w:rPr>
      </w:pPr>
      <w:r>
        <w:rPr>
          <w:noProof/>
        </w:rPr>
        <w:sym w:font="Wingdings" w:char="F0A8"/>
      </w:r>
      <w:r>
        <w:rPr>
          <w:noProof/>
        </w:rPr>
        <w:t xml:space="preserve"> ao BEI e ao Fundo Europeu de Investimento;</w:t>
      </w:r>
    </w:p>
    <w:p>
      <w:pPr>
        <w:pStyle w:val="ListDash2"/>
        <w:rPr>
          <w:noProof/>
        </w:rPr>
      </w:pPr>
      <w:r>
        <w:rPr>
          <w:noProof/>
        </w:rPr>
        <w:sym w:font="Wingdings" w:char="F0A8"/>
      </w:r>
      <w:r>
        <w:rPr>
          <w:noProof/>
        </w:rPr>
        <w:t xml:space="preserve"> aos organismos referidos nos artigos 70.º e 71.º do Regulamento Financeiro;</w:t>
      </w:r>
    </w:p>
    <w:p>
      <w:pPr>
        <w:pStyle w:val="ListDash2"/>
        <w:rPr>
          <w:noProof/>
        </w:rPr>
      </w:pPr>
      <w:r>
        <w:rPr>
          <w:noProof/>
        </w:rPr>
        <w:sym w:font="Wingdings" w:char="F0A8"/>
      </w:r>
      <w:r>
        <w:rPr>
          <w:noProof/>
        </w:rPr>
        <w:t xml:space="preserve"> a organismos de direito público;</w:t>
      </w:r>
    </w:p>
    <w:p>
      <w:pPr>
        <w:pStyle w:val="ListDash2"/>
        <w:rPr>
          <w:noProof/>
        </w:rPr>
      </w:pPr>
      <w:r>
        <w:rPr>
          <w:noProof/>
        </w:rPr>
        <w:sym w:font="Wingdings" w:char="F0A8"/>
      </w:r>
      <w:r>
        <w:rPr>
          <w:noProof/>
        </w:rPr>
        <w:t xml:space="preserve"> a organismos regidos pelo direito privado com uma missão de serviço público na medida em que prestem garantias financeiras adequadas;</w:t>
      </w:r>
    </w:p>
    <w:p>
      <w:pPr>
        <w:pStyle w:val="ListDash2"/>
        <w:rPr>
          <w:noProof/>
        </w:rPr>
      </w:pPr>
      <w:r>
        <w:rPr>
          <w:noProof/>
        </w:rPr>
        <w:sym w:font="Wingdings" w:char="F0A8"/>
      </w:r>
      <w:r>
        <w:rPr>
          <w:noProof/>
        </w:rPr>
        <w:t xml:space="preserve"> a organismos regidos pelo direito privado de um Estado-Membro com a responsabilidade pela execução de uma parceria público-privada e que prestem garantias financeiras adequadas;</w:t>
      </w:r>
    </w:p>
    <w:p>
      <w:pPr>
        <w:pStyle w:val="ListDash2"/>
        <w:rPr>
          <w:noProof/>
        </w:rPr>
      </w:pPr>
      <w:r>
        <w:rPr>
          <w:noProof/>
        </w:rPr>
        <w:sym w:font="Wingdings" w:char="F0A8"/>
      </w:r>
      <w:r>
        <w:rPr>
          <w:noProof/>
        </w:rPr>
        <w:t xml:space="preserve"> a pessoas encarregadas da execução de ações específicas no quadro da PESC por força do título V do Tratado da União Europeia, identificadas no ato de base pertinente.</w:t>
      </w:r>
    </w:p>
    <w:p>
      <w:pPr>
        <w:rPr>
          <w:noProof/>
        </w:rPr>
        <w:sectPr>
          <w:headerReference w:type="default" r:id="rId25"/>
          <w:footerReference w:type="default" r:id="rId26"/>
          <w:headerReference w:type="first" r:id="rId27"/>
          <w:footerReference w:type="first" r:id="rId28"/>
          <w:pgSz w:w="11907" w:h="16840" w:code="9"/>
          <w:pgMar w:top="1134" w:right="1418" w:bottom="1134" w:left="1418" w:header="709" w:footer="709" w:gutter="0"/>
          <w:cols w:space="708"/>
          <w:docGrid w:linePitch="360"/>
        </w:sectPr>
      </w:pPr>
    </w:p>
    <w:p>
      <w:pPr>
        <w:pStyle w:val="ManualHeading1"/>
        <w:rPr>
          <w:bCs/>
          <w:noProof/>
          <w:szCs w:val="24"/>
        </w:rPr>
      </w:pPr>
      <w:bookmarkStart w:id="46" w:name="_Toc351870"/>
      <w:r>
        <w:t>2.</w:t>
      </w:r>
      <w:r>
        <w:tab/>
      </w:r>
      <w:r>
        <w:rPr>
          <w:noProof/>
        </w:rPr>
        <w:t>MEDIDAS DE GESTÃO</w:t>
      </w:r>
      <w:bookmarkEnd w:id="46"/>
      <w:r>
        <w:rPr>
          <w:noProof/>
        </w:rPr>
        <w:t xml:space="preserve"> </w:t>
      </w:r>
    </w:p>
    <w:p>
      <w:pPr>
        <w:pStyle w:val="ManualHeading2"/>
        <w:rPr>
          <w:noProof/>
        </w:rPr>
      </w:pPr>
      <w:bookmarkStart w:id="47" w:name="_Toc351871"/>
      <w:r>
        <w:t>2.1.</w:t>
      </w:r>
      <w:r>
        <w:tab/>
      </w:r>
      <w:r>
        <w:rPr>
          <w:noProof/>
        </w:rPr>
        <w:t>Disposições em matéria de acompanhamento e prestação de informações</w:t>
      </w:r>
      <w:bookmarkEnd w:id="47"/>
      <w:r>
        <w:rPr>
          <w:noProof/>
        </w:rPr>
        <w:t xml:space="preserve"> </w:t>
      </w:r>
    </w:p>
    <w:p>
      <w:pPr>
        <w:pStyle w:val="Text1"/>
        <w:rPr>
          <w:noProof/>
        </w:rPr>
      </w:pPr>
      <w:r>
        <w:rPr>
          <w:noProof/>
        </w:rPr>
        <w:t xml:space="preserve">As ações e medidas que recebem assistência financeira ao abrigo da presente decisão devem ser fiscalizadas periodicamente. </w:t>
      </w:r>
    </w:p>
    <w:p>
      <w:pPr>
        <w:pStyle w:val="Text1"/>
        <w:rPr>
          <w:noProof/>
        </w:rPr>
      </w:pPr>
      <w:r>
        <w:rPr>
          <w:noProof/>
        </w:rPr>
        <w:t xml:space="preserve">A Comissão deve avaliar o Mecanismo da União em conformidade com o artigo 34.º da Decisão n.º 1313/2013/UE. </w:t>
      </w:r>
    </w:p>
    <w:p>
      <w:pPr>
        <w:pStyle w:val="ManualHeading2"/>
        <w:rPr>
          <w:bCs/>
          <w:noProof/>
          <w:szCs w:val="24"/>
        </w:rPr>
      </w:pPr>
      <w:bookmarkStart w:id="48" w:name="_Toc351872"/>
      <w:r>
        <w:t>2.2.</w:t>
      </w:r>
      <w:r>
        <w:tab/>
      </w:r>
      <w:r>
        <w:rPr>
          <w:noProof/>
        </w:rPr>
        <w:t>Sistema(s) de gestão e de controlo</w:t>
      </w:r>
      <w:bookmarkEnd w:id="48"/>
      <w:r>
        <w:rPr>
          <w:noProof/>
        </w:rPr>
        <w:t xml:space="preserve"> </w:t>
      </w:r>
    </w:p>
    <w:p>
      <w:pPr>
        <w:pStyle w:val="ManualHeading3"/>
        <w:rPr>
          <w:noProof/>
        </w:rPr>
      </w:pPr>
      <w:bookmarkStart w:id="49" w:name="_Toc351873"/>
      <w:r>
        <w:t>2.2.1.</w:t>
      </w:r>
      <w:r>
        <w:tab/>
      </w:r>
      <w:r>
        <w:rPr>
          <w:noProof/>
        </w:rPr>
        <w:t>Justificação da(s) modalidade(s) de gestão, do(s) mecanismo(s) de execução do financiamento, das modalidades de pagamento e da estratégia de controlo propostos</w:t>
      </w:r>
      <w:bookmarkEnd w:id="49"/>
    </w:p>
    <w:p>
      <w:pPr>
        <w:pStyle w:val="Text1"/>
        <w:rPr>
          <w:noProof/>
        </w:rPr>
      </w:pPr>
      <w:r>
        <w:rPr>
          <w:noProof/>
        </w:rPr>
        <w:t>A assistência financeira para a prevenção e preparação ao abrigo do Mecanismo da União é utilizada em conformidade com um programa de trabalho anual adotado pelo Comité da Proteção Civil. A Comissão informa regularmente o comité sobre a execução do programa de trabalho. É igualmente adotada uma decisão financeira distinta sobre a resposta.</w:t>
      </w:r>
    </w:p>
    <w:p>
      <w:pPr>
        <w:pStyle w:val="Text1"/>
        <w:rPr>
          <w:noProof/>
        </w:rPr>
      </w:pPr>
      <w:r>
        <w:rPr>
          <w:noProof/>
        </w:rPr>
        <w:t xml:space="preserve">Com base nos ensinamentos retirados da execução do Mecanismo da União no passado, a Comissão não prevê alterações substanciais das medidas de gestão atualmente em vigor. </w:t>
      </w:r>
    </w:p>
    <w:p>
      <w:pPr>
        <w:pStyle w:val="ManualHeading3"/>
        <w:rPr>
          <w:bCs/>
          <w:noProof/>
          <w:szCs w:val="24"/>
        </w:rPr>
      </w:pPr>
      <w:bookmarkStart w:id="50" w:name="_Toc351874"/>
      <w:r>
        <w:t>2.2.2.</w:t>
      </w:r>
      <w:r>
        <w:tab/>
      </w:r>
      <w:r>
        <w:rPr>
          <w:noProof/>
        </w:rPr>
        <w:t>Informações sobre os riscos identificados e o(s) sistema(s) de controlo interno criado(s) para os atenuar</w:t>
      </w:r>
      <w:bookmarkEnd w:id="50"/>
    </w:p>
    <w:p>
      <w:pPr>
        <w:pStyle w:val="Text1"/>
        <w:rPr>
          <w:noProof/>
        </w:rPr>
      </w:pPr>
      <w:r>
        <w:rPr>
          <w:noProof/>
        </w:rPr>
        <w:t>O atual sistema de controlo interno da Comissão Europeia é aplicável para garantir que as verbas disponíveis ao abrigo do Mecanismo da União sejam utilizadas de forma adequada e em conformidade com a legislação aplicável.</w:t>
      </w:r>
    </w:p>
    <w:p>
      <w:pPr>
        <w:pStyle w:val="Text1"/>
        <w:rPr>
          <w:noProof/>
        </w:rPr>
      </w:pPr>
      <w:r>
        <w:rPr>
          <w:noProof/>
        </w:rPr>
        <w:t>A configuração do sistema existente é a seguinte:</w:t>
      </w:r>
    </w:p>
    <w:p>
      <w:pPr>
        <w:pStyle w:val="Text1"/>
        <w:rPr>
          <w:noProof/>
        </w:rPr>
      </w:pPr>
      <w:r>
        <w:rPr>
          <w:noProof/>
        </w:rPr>
        <w:t>1. A equipa de controlo interno no serviço responsável (Direção-Geral da Proteção Civil e das Operações de Ajuda Humanitária Europeias/DG ECHO) centra-se no respeito dos procedimentos administrativos e da legislação em vigor no domínio da proteção civil. Utiliza o quadro de controlo interno da Comissão para este fim.</w:t>
      </w:r>
    </w:p>
    <w:p>
      <w:pPr>
        <w:pStyle w:val="Text1"/>
        <w:rPr>
          <w:noProof/>
        </w:rPr>
      </w:pPr>
      <w:r>
        <w:rPr>
          <w:noProof/>
        </w:rPr>
        <w:t>2. O plano de auditoria anual da DG ECHO prevê a auditoria periódica, por auditores externos, das subvenções concedidas e dos contratos adjudicados ao abrigo do orçamento da proteção civil.</w:t>
      </w:r>
    </w:p>
    <w:p>
      <w:pPr>
        <w:pStyle w:val="Text1"/>
        <w:rPr>
          <w:noProof/>
        </w:rPr>
      </w:pPr>
      <w:r>
        <w:rPr>
          <w:noProof/>
        </w:rPr>
        <w:t>3. As atividades globais são avaliadas por avaliadores externos.</w:t>
      </w:r>
    </w:p>
    <w:p>
      <w:pPr>
        <w:pStyle w:val="Text1"/>
        <w:rPr>
          <w:noProof/>
        </w:rPr>
      </w:pPr>
      <w:r>
        <w:rPr>
          <w:noProof/>
        </w:rPr>
        <w:t xml:space="preserve">As ações realizadas podem ser controladas pelo Organismo Europeu de Luta Antifraude (OLAF) e pelo Tribunal de Contas. </w:t>
      </w:r>
    </w:p>
    <w:p>
      <w:pPr>
        <w:pStyle w:val="Text1"/>
        <w:rPr>
          <w:noProof/>
        </w:rPr>
      </w:pPr>
      <w:r>
        <w:rPr>
          <w:noProof/>
        </w:rPr>
        <w:t>No que se refere à supervisão e ao controlo, será aplicada a vasta experiência adquirida no âmbito da aplicação do instrumento de ajuda humanitária, com as adaptações necessárias, à execução do Mecanismo da União em regime de gestão indireta.</w:t>
      </w:r>
    </w:p>
    <w:p>
      <w:pPr>
        <w:pStyle w:val="ManualHeading3"/>
        <w:rPr>
          <w:noProof/>
        </w:rPr>
      </w:pPr>
      <w:bookmarkStart w:id="51" w:name="_Toc351875"/>
      <w:r>
        <w:t>2.2.3.</w:t>
      </w:r>
      <w:r>
        <w:tab/>
      </w:r>
      <w:r>
        <w:rPr>
          <w:noProof/>
        </w:rPr>
        <w:t>Estimativa e justificação da relação custo-eficácia dos controlos (rácio «custos de controlo ÷ valor dos respetivos fundos geridos») e avaliação dos níveis previstos de risco de erro (no pagamento e no encerramento)</w:t>
      </w:r>
      <w:bookmarkEnd w:id="51"/>
      <w:r>
        <w:rPr>
          <w:noProof/>
        </w:rPr>
        <w:t xml:space="preserve"> </w:t>
      </w:r>
    </w:p>
    <w:p>
      <w:pPr>
        <w:pStyle w:val="Text1"/>
        <w:rPr>
          <w:noProof/>
        </w:rPr>
      </w:pPr>
      <w:r>
        <w:rPr>
          <w:noProof/>
        </w:rPr>
        <w:t xml:space="preserve">O custo estimado da estratégia de controlo da DG ECHO representa 1,1 % da gestão indireta e 0,6 % da gestão direta do orçamento de 2017. As principais componentes deste indicador são as seguintes: </w:t>
      </w:r>
    </w:p>
    <w:p>
      <w:pPr>
        <w:pStyle w:val="ListDash1"/>
        <w:rPr>
          <w:noProof/>
        </w:rPr>
      </w:pPr>
      <w:r>
        <w:rPr>
          <w:noProof/>
        </w:rPr>
        <w:t xml:space="preserve">os custos totais dos peritos da DG ECHO no terreno, a que acrescem os das unidades operacionais e financeiras, multiplicados pela percentagem estimada de tempo (50 %) dedicado à garantia de qualidade, bem como a atividades de controlo e de acompanhamento; </w:t>
      </w:r>
    </w:p>
    <w:p>
      <w:pPr>
        <w:pStyle w:val="ListDash1"/>
        <w:rPr>
          <w:noProof/>
        </w:rPr>
      </w:pPr>
      <w:r>
        <w:rPr>
          <w:noProof/>
        </w:rPr>
        <w:t>os recursos totais no setor de auditoria externa da DG ECHO consagrados às auditorias e verificações.</w:t>
      </w:r>
    </w:p>
    <w:p>
      <w:pPr>
        <w:pStyle w:val="Text1"/>
        <w:rPr>
          <w:noProof/>
        </w:rPr>
      </w:pPr>
      <w:r>
        <w:rPr>
          <w:noProof/>
        </w:rPr>
        <w:t xml:space="preserve">Tendo em conta o baixo custo desses controlos e os benefícios quantificáveis (correções e recuperações) e não quantificáveis (efeito dissuasivo e de garantia de qualidade dos controlos) ligados aos mesmos, a Comissão está em condições de concluir que os benefícios quantificáveis e não quantificáveis dos controlos compensam largamente o seu custo limitado. </w:t>
      </w:r>
    </w:p>
    <w:p>
      <w:pPr>
        <w:pStyle w:val="Text1"/>
        <w:rPr>
          <w:noProof/>
        </w:rPr>
      </w:pPr>
      <w:r>
        <w:rPr>
          <w:noProof/>
        </w:rPr>
        <w:t xml:space="preserve">No que diz respeito às entidades encarregadas da execução do financiamento da UE em regime de gestão indireta, a Comissão contribui para 7 % no máximo dos seus custos diretos elegíveis para assegurar a supervisão e a gestão do financiamento da UE. </w:t>
      </w:r>
    </w:p>
    <w:p>
      <w:pPr>
        <w:pStyle w:val="Text1"/>
        <w:rPr>
          <w:noProof/>
        </w:rPr>
      </w:pPr>
      <w:r>
        <w:rPr>
          <w:noProof/>
        </w:rPr>
        <w:t>Este facto é confirmado pela taxa de erro residual plurianual de 1,08 % comunicada pela Comissão em 2017 em relação à sua Direção-Geral da Ajuda Humanitária e Proteção Civil.</w:t>
      </w:r>
    </w:p>
    <w:p>
      <w:pPr>
        <w:pStyle w:val="ManualHeading2"/>
        <w:rPr>
          <w:bCs/>
          <w:noProof/>
          <w:szCs w:val="24"/>
        </w:rPr>
      </w:pPr>
      <w:bookmarkStart w:id="52" w:name="_Toc351876"/>
      <w:r>
        <w:t>2.3.</w:t>
      </w:r>
      <w:r>
        <w:tab/>
      </w:r>
      <w:r>
        <w:rPr>
          <w:noProof/>
        </w:rPr>
        <w:t>Medidas de prevenção de fraudes e irregularidades</w:t>
      </w:r>
      <w:bookmarkEnd w:id="52"/>
      <w:r>
        <w:rPr>
          <w:noProof/>
        </w:rPr>
        <w:t xml:space="preserve"> </w:t>
      </w:r>
    </w:p>
    <w:p>
      <w:pPr>
        <w:pStyle w:val="Text1"/>
        <w:rPr>
          <w:noProof/>
        </w:rPr>
      </w:pPr>
      <w:r>
        <w:rPr>
          <w:noProof/>
        </w:rPr>
        <w:t xml:space="preserve">A estratégia de luta contra a fraude da DG ECHO, em consonância com a estratégia de luta contra a fraude da Comissão, é utilizada a fim de assegurar que: </w:t>
      </w:r>
    </w:p>
    <w:p>
      <w:pPr>
        <w:pStyle w:val="ListDash1"/>
        <w:rPr>
          <w:noProof/>
        </w:rPr>
      </w:pPr>
      <w:r>
        <w:rPr>
          <w:noProof/>
        </w:rPr>
        <w:t xml:space="preserve">os controlos internos da DG ECHO relacionados com a luta contra a fraude estejam plenamente em conformidade com a estratégia de luta contra a fraude da Comissão; </w:t>
      </w:r>
    </w:p>
    <w:p>
      <w:pPr>
        <w:pStyle w:val="ListDash1"/>
        <w:rPr>
          <w:noProof/>
        </w:rPr>
      </w:pPr>
      <w:r>
        <w:rPr>
          <w:noProof/>
        </w:rPr>
        <w:t xml:space="preserve">a abordagem da DG ECHO em matéria de gestão dos riscos de fraude vise identificar as áreas de risco e dar respostas adequadas. </w:t>
      </w:r>
    </w:p>
    <w:p>
      <w:pPr>
        <w:pStyle w:val="Text1"/>
        <w:rPr>
          <w:noProof/>
        </w:rPr>
      </w:pPr>
      <w:r>
        <w:rPr>
          <w:noProof/>
        </w:rPr>
        <w:t xml:space="preserve">Os sistemas utilizados para despender os fundos da UE em países terceiros permitem recolher dados úteis, com vista à sua integração na gestão dos riscos de fraude (por exemplo, detetar um financiamento duplo); </w:t>
      </w:r>
    </w:p>
    <w:p>
      <w:pPr>
        <w:pStyle w:val="Text1"/>
        <w:rPr>
          <w:noProof/>
        </w:rPr>
      </w:pPr>
      <w:r>
        <w:rPr>
          <w:noProof/>
        </w:rPr>
        <w:t>Sempre que necessário, poderão ser constituídos grupos de trabalho em rede e criadas ferramentas informáticas para analisar os casos de fraude relacionados com o setor.</w:t>
      </w:r>
    </w:p>
    <w:p>
      <w:pPr>
        <w:ind w:left="720"/>
        <w:rPr>
          <w:noProof/>
        </w:rPr>
        <w:sectPr>
          <w:pgSz w:w="11907" w:h="16840" w:code="9"/>
          <w:pgMar w:top="1134" w:right="1418" w:bottom="1134" w:left="1418" w:header="709" w:footer="709" w:gutter="0"/>
          <w:cols w:space="708"/>
          <w:docGrid w:linePitch="360"/>
        </w:sectPr>
      </w:pPr>
    </w:p>
    <w:p>
      <w:pPr>
        <w:pStyle w:val="ManualHeading1"/>
        <w:rPr>
          <w:bCs/>
          <w:noProof/>
          <w:szCs w:val="24"/>
        </w:rPr>
      </w:pPr>
      <w:bookmarkStart w:id="53" w:name="_Toc351877"/>
      <w:r>
        <w:t>3.</w:t>
      </w:r>
      <w:r>
        <w:tab/>
      </w:r>
      <w:r>
        <w:rPr>
          <w:noProof/>
        </w:rPr>
        <w:t>IMPACTO FINANCEIRO ESTIMADO DA PROPOSTA/INICIATIVA</w:t>
      </w:r>
      <w:bookmarkEnd w:id="53"/>
      <w:r>
        <w:rPr>
          <w:noProof/>
        </w:rPr>
        <w:t xml:space="preserve"> </w:t>
      </w:r>
    </w:p>
    <w:p>
      <w:pPr>
        <w:pStyle w:val="ManualHeading2"/>
        <w:rPr>
          <w:noProof/>
        </w:rPr>
      </w:pPr>
      <w:bookmarkStart w:id="54" w:name="_Toc351878"/>
      <w:r>
        <w:t>3.1.</w:t>
      </w:r>
      <w:r>
        <w:tab/>
      </w:r>
      <w:r>
        <w:rPr>
          <w:noProof/>
        </w:rPr>
        <w:t>Rubrica do quadro financeiro plurianual e nova(s) rubrica(s) orçamental(ais) de despesas proposta(s)</w:t>
      </w:r>
      <w:bookmarkEnd w:id="54"/>
      <w:r>
        <w:rPr>
          <w:noProof/>
        </w:rPr>
        <w:t xml:space="preserve"> </w:t>
      </w:r>
    </w:p>
    <w:tbl>
      <w:tblPr>
        <w:tblW w:w="957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541"/>
        <w:gridCol w:w="1559"/>
        <w:gridCol w:w="1063"/>
        <w:gridCol w:w="1063"/>
        <w:gridCol w:w="1063"/>
        <w:gridCol w:w="1205"/>
      </w:tblGrid>
      <w:tr>
        <w:tc>
          <w:tcPr>
            <w:tcW w:w="1080" w:type="dxa"/>
            <w:vMerge w:val="restart"/>
            <w:vAlign w:val="center"/>
          </w:tcPr>
          <w:p>
            <w:pPr>
              <w:spacing w:before="60" w:after="60"/>
              <w:jc w:val="center"/>
              <w:rPr>
                <w:noProof/>
              </w:rPr>
            </w:pPr>
            <w:r>
              <w:rPr>
                <w:noProof/>
                <w:sz w:val="18"/>
              </w:rPr>
              <w:t>Rubrica do quadro financeiro plurianual</w:t>
            </w:r>
          </w:p>
        </w:tc>
        <w:tc>
          <w:tcPr>
            <w:tcW w:w="2541" w:type="dxa"/>
            <w:vAlign w:val="center"/>
          </w:tcPr>
          <w:p>
            <w:pPr>
              <w:spacing w:before="60" w:after="60"/>
              <w:jc w:val="center"/>
              <w:rPr>
                <w:noProof/>
              </w:rPr>
            </w:pPr>
            <w:r>
              <w:rPr>
                <w:noProof/>
                <w:sz w:val="20"/>
              </w:rPr>
              <w:t>Rubrica orçamental</w:t>
            </w:r>
          </w:p>
        </w:tc>
        <w:tc>
          <w:tcPr>
            <w:tcW w:w="1559" w:type="dxa"/>
            <w:vAlign w:val="center"/>
          </w:tcPr>
          <w:p>
            <w:pPr>
              <w:spacing w:before="60" w:after="60"/>
              <w:jc w:val="center"/>
              <w:rPr>
                <w:noProof/>
              </w:rPr>
            </w:pPr>
            <w:r>
              <w:rPr>
                <w:noProof/>
                <w:sz w:val="18"/>
              </w:rPr>
              <w:t xml:space="preserve">Natureza das </w:t>
            </w:r>
            <w:r>
              <w:rPr>
                <w:noProof/>
                <w:sz w:val="22"/>
              </w:rPr>
              <w:br/>
            </w:r>
            <w:r>
              <w:rPr>
                <w:noProof/>
                <w:sz w:val="18"/>
              </w:rPr>
              <w:t>despesas</w:t>
            </w:r>
          </w:p>
        </w:tc>
        <w:tc>
          <w:tcPr>
            <w:tcW w:w="4394" w:type="dxa"/>
            <w:gridSpan w:val="4"/>
            <w:vAlign w:val="center"/>
          </w:tcPr>
          <w:p>
            <w:pPr>
              <w:spacing w:before="60" w:after="60"/>
              <w:jc w:val="center"/>
              <w:rPr>
                <w:noProof/>
              </w:rPr>
            </w:pPr>
            <w:r>
              <w:rPr>
                <w:noProof/>
                <w:sz w:val="20"/>
              </w:rPr>
              <w:t xml:space="preserve">Participação </w:t>
            </w:r>
          </w:p>
        </w:tc>
      </w:tr>
      <w:tr>
        <w:tc>
          <w:tcPr>
            <w:tcW w:w="1080" w:type="dxa"/>
            <w:vMerge/>
            <w:vAlign w:val="center"/>
          </w:tcPr>
          <w:p>
            <w:pPr>
              <w:jc w:val="center"/>
              <w:rPr>
                <w:noProof/>
              </w:rPr>
            </w:pPr>
          </w:p>
        </w:tc>
        <w:tc>
          <w:tcPr>
            <w:tcW w:w="2541" w:type="dxa"/>
            <w:vAlign w:val="center"/>
          </w:tcPr>
          <w:p>
            <w:pPr>
              <w:jc w:val="left"/>
              <w:rPr>
                <w:noProof/>
              </w:rPr>
            </w:pPr>
            <w:r>
              <w:rPr>
                <w:noProof/>
                <w:sz w:val="20"/>
              </w:rPr>
              <w:t>Número e rubrica</w:t>
            </w:r>
          </w:p>
        </w:tc>
        <w:tc>
          <w:tcPr>
            <w:tcW w:w="1559" w:type="dxa"/>
            <w:vAlign w:val="center"/>
          </w:tcPr>
          <w:p>
            <w:pPr>
              <w:jc w:val="center"/>
              <w:rPr>
                <w:noProof/>
              </w:rPr>
            </w:pPr>
            <w:r>
              <w:rPr>
                <w:noProof/>
                <w:sz w:val="18"/>
              </w:rPr>
              <w:t>DD/DND</w:t>
            </w:r>
            <w:r>
              <w:rPr>
                <w:rStyle w:val="FootnoteReference"/>
                <w:noProof/>
                <w:sz w:val="18"/>
              </w:rPr>
              <w:footnoteReference w:id="21"/>
            </w:r>
          </w:p>
        </w:tc>
        <w:tc>
          <w:tcPr>
            <w:tcW w:w="1063" w:type="dxa"/>
            <w:vAlign w:val="center"/>
          </w:tcPr>
          <w:p>
            <w:pPr>
              <w:jc w:val="center"/>
              <w:rPr>
                <w:noProof/>
              </w:rPr>
            </w:pPr>
            <w:r>
              <w:rPr>
                <w:noProof/>
                <w:sz w:val="18"/>
              </w:rPr>
              <w:t>dos países da EFTA</w:t>
            </w:r>
            <w:r>
              <w:rPr>
                <w:rStyle w:val="FootnoteReference"/>
                <w:noProof/>
                <w:sz w:val="18"/>
              </w:rPr>
              <w:footnoteReference w:id="22"/>
            </w:r>
          </w:p>
          <w:p>
            <w:pPr>
              <w:spacing w:before="0" w:after="0"/>
              <w:jc w:val="center"/>
              <w:rPr>
                <w:b/>
                <w:noProof/>
                <w:sz w:val="18"/>
              </w:rPr>
            </w:pPr>
          </w:p>
        </w:tc>
        <w:tc>
          <w:tcPr>
            <w:tcW w:w="1063" w:type="dxa"/>
            <w:vAlign w:val="center"/>
          </w:tcPr>
          <w:p>
            <w:pPr>
              <w:jc w:val="center"/>
              <w:rPr>
                <w:noProof/>
              </w:rPr>
            </w:pPr>
            <w:r>
              <w:rPr>
                <w:noProof/>
                <w:sz w:val="18"/>
              </w:rPr>
              <w:t>dos países candidatos</w:t>
            </w:r>
            <w:r>
              <w:rPr>
                <w:rStyle w:val="FootnoteReference"/>
                <w:noProof/>
                <w:sz w:val="18"/>
              </w:rPr>
              <w:footnoteReference w:id="23"/>
            </w:r>
          </w:p>
          <w:p>
            <w:pPr>
              <w:spacing w:before="0" w:after="0"/>
              <w:jc w:val="center"/>
              <w:rPr>
                <w:noProof/>
                <w:sz w:val="18"/>
              </w:rPr>
            </w:pPr>
          </w:p>
        </w:tc>
        <w:tc>
          <w:tcPr>
            <w:tcW w:w="1063" w:type="dxa"/>
            <w:vAlign w:val="center"/>
          </w:tcPr>
          <w:p>
            <w:pPr>
              <w:jc w:val="center"/>
              <w:rPr>
                <w:noProof/>
                <w:sz w:val="18"/>
              </w:rPr>
            </w:pPr>
            <w:r>
              <w:rPr>
                <w:noProof/>
                <w:sz w:val="18"/>
              </w:rPr>
              <w:t>de países terceiros</w:t>
            </w:r>
            <w:r>
              <w:rPr>
                <w:rStyle w:val="FootnoteReference"/>
                <w:noProof/>
                <w:sz w:val="18"/>
              </w:rPr>
              <w:footnoteReference w:id="24"/>
            </w:r>
          </w:p>
        </w:tc>
        <w:tc>
          <w:tcPr>
            <w:tcW w:w="1205" w:type="dxa"/>
            <w:vAlign w:val="center"/>
          </w:tcPr>
          <w:p>
            <w:pPr>
              <w:jc w:val="center"/>
              <w:rPr>
                <w:noProof/>
              </w:rPr>
            </w:pPr>
            <w:r>
              <w:rPr>
                <w:noProof/>
                <w:sz w:val="16"/>
              </w:rPr>
              <w:t xml:space="preserve">na aceção do artigo [21.º, n.º 2, alínea e)], do Regulamento Financeiro </w:t>
            </w:r>
          </w:p>
        </w:tc>
      </w:tr>
      <w:tr>
        <w:tc>
          <w:tcPr>
            <w:tcW w:w="1080" w:type="dxa"/>
            <w:vAlign w:val="center"/>
          </w:tcPr>
          <w:p>
            <w:pPr>
              <w:jc w:val="center"/>
              <w:rPr>
                <w:noProof/>
              </w:rPr>
            </w:pPr>
            <w:r>
              <w:rPr>
                <w:noProof/>
              </w:rPr>
              <w:t>5</w:t>
            </w:r>
          </w:p>
        </w:tc>
        <w:tc>
          <w:tcPr>
            <w:tcW w:w="2541" w:type="dxa"/>
            <w:vAlign w:val="center"/>
          </w:tcPr>
          <w:p>
            <w:pPr>
              <w:spacing w:before="60"/>
              <w:jc w:val="left"/>
              <w:rPr>
                <w:noProof/>
              </w:rPr>
            </w:pPr>
            <w:r>
              <w:rPr>
                <w:noProof/>
              </w:rPr>
              <w:t>14 02 01 – Mecanismo de Proteção Civil da União: Prevenção e Preparação</w:t>
            </w:r>
          </w:p>
        </w:tc>
        <w:tc>
          <w:tcPr>
            <w:tcW w:w="1559" w:type="dxa"/>
            <w:vAlign w:val="center"/>
          </w:tcPr>
          <w:p>
            <w:pPr>
              <w:spacing w:before="60"/>
              <w:jc w:val="center"/>
              <w:rPr>
                <w:noProof/>
              </w:rPr>
            </w:pPr>
            <w:r>
              <w:rPr>
                <w:noProof/>
              </w:rPr>
              <w:t>DD</w:t>
            </w:r>
          </w:p>
        </w:tc>
        <w:tc>
          <w:tcPr>
            <w:tcW w:w="1063" w:type="dxa"/>
            <w:vAlign w:val="center"/>
          </w:tcPr>
          <w:p>
            <w:pPr>
              <w:spacing w:before="60"/>
              <w:jc w:val="center"/>
              <w:rPr>
                <w:noProof/>
              </w:rPr>
            </w:pPr>
            <w:r>
              <w:rPr>
                <w:noProof/>
              </w:rPr>
              <w:t>SIM</w:t>
            </w:r>
          </w:p>
        </w:tc>
        <w:tc>
          <w:tcPr>
            <w:tcW w:w="1063" w:type="dxa"/>
            <w:vAlign w:val="center"/>
          </w:tcPr>
          <w:p>
            <w:pPr>
              <w:spacing w:before="60"/>
              <w:jc w:val="center"/>
              <w:rPr>
                <w:noProof/>
              </w:rPr>
            </w:pPr>
            <w:r>
              <w:rPr>
                <w:noProof/>
              </w:rPr>
              <w:t>SIM</w:t>
            </w:r>
          </w:p>
        </w:tc>
        <w:tc>
          <w:tcPr>
            <w:tcW w:w="1063" w:type="dxa"/>
            <w:vAlign w:val="center"/>
          </w:tcPr>
          <w:p>
            <w:pPr>
              <w:spacing w:before="60"/>
              <w:jc w:val="center"/>
              <w:rPr>
                <w:noProof/>
              </w:rPr>
            </w:pPr>
            <w:r>
              <w:rPr>
                <w:noProof/>
              </w:rPr>
              <w:t>SIM</w:t>
            </w:r>
          </w:p>
        </w:tc>
        <w:tc>
          <w:tcPr>
            <w:tcW w:w="1205" w:type="dxa"/>
            <w:vAlign w:val="center"/>
          </w:tcPr>
          <w:p>
            <w:pPr>
              <w:spacing w:before="60"/>
              <w:jc w:val="center"/>
              <w:rPr>
                <w:noProof/>
              </w:rPr>
            </w:pPr>
            <w:r>
              <w:rPr>
                <w:noProof/>
              </w:rPr>
              <w:t>NÃO</w:t>
            </w:r>
          </w:p>
        </w:tc>
      </w:tr>
      <w:tr>
        <w:trPr>
          <w:trHeight w:val="707"/>
        </w:trPr>
        <w:tc>
          <w:tcPr>
            <w:tcW w:w="1080" w:type="dxa"/>
            <w:vAlign w:val="center"/>
          </w:tcPr>
          <w:p>
            <w:pPr>
              <w:jc w:val="center"/>
              <w:rPr>
                <w:noProof/>
              </w:rPr>
            </w:pPr>
            <w:r>
              <w:rPr>
                <w:noProof/>
              </w:rPr>
              <w:t>5</w:t>
            </w:r>
          </w:p>
        </w:tc>
        <w:tc>
          <w:tcPr>
            <w:tcW w:w="2541" w:type="dxa"/>
            <w:vAlign w:val="center"/>
          </w:tcPr>
          <w:p>
            <w:pPr>
              <w:spacing w:before="0" w:after="0"/>
              <w:jc w:val="left"/>
              <w:rPr>
                <w:noProof/>
                <w:sz w:val="22"/>
              </w:rPr>
            </w:pPr>
            <w:r>
              <w:rPr>
                <w:noProof/>
              </w:rPr>
              <w:t>14 02 02 – Mecanismo de Proteção Civil da União: Resposta</w:t>
            </w:r>
          </w:p>
        </w:tc>
        <w:tc>
          <w:tcPr>
            <w:tcW w:w="1559" w:type="dxa"/>
            <w:vAlign w:val="center"/>
          </w:tcPr>
          <w:p>
            <w:pPr>
              <w:spacing w:before="60"/>
              <w:jc w:val="center"/>
              <w:rPr>
                <w:noProof/>
              </w:rPr>
            </w:pPr>
            <w:r>
              <w:rPr>
                <w:noProof/>
              </w:rPr>
              <w:t xml:space="preserve">   DD</w:t>
            </w:r>
          </w:p>
        </w:tc>
        <w:tc>
          <w:tcPr>
            <w:tcW w:w="1063" w:type="dxa"/>
            <w:vAlign w:val="center"/>
          </w:tcPr>
          <w:p>
            <w:pPr>
              <w:spacing w:before="60"/>
              <w:jc w:val="center"/>
              <w:rPr>
                <w:noProof/>
              </w:rPr>
            </w:pPr>
            <w:r>
              <w:rPr>
                <w:noProof/>
              </w:rPr>
              <w:t>SIM</w:t>
            </w:r>
          </w:p>
        </w:tc>
        <w:tc>
          <w:tcPr>
            <w:tcW w:w="1063" w:type="dxa"/>
            <w:vAlign w:val="center"/>
          </w:tcPr>
          <w:p>
            <w:pPr>
              <w:spacing w:before="60"/>
              <w:jc w:val="center"/>
              <w:rPr>
                <w:noProof/>
              </w:rPr>
            </w:pPr>
            <w:r>
              <w:rPr>
                <w:noProof/>
              </w:rPr>
              <w:t>SIM</w:t>
            </w:r>
          </w:p>
        </w:tc>
        <w:tc>
          <w:tcPr>
            <w:tcW w:w="1063" w:type="dxa"/>
            <w:vAlign w:val="center"/>
          </w:tcPr>
          <w:p>
            <w:pPr>
              <w:spacing w:before="60"/>
              <w:jc w:val="center"/>
              <w:rPr>
                <w:noProof/>
              </w:rPr>
            </w:pPr>
            <w:r>
              <w:rPr>
                <w:noProof/>
              </w:rPr>
              <w:t>SIM</w:t>
            </w:r>
          </w:p>
        </w:tc>
        <w:tc>
          <w:tcPr>
            <w:tcW w:w="1205" w:type="dxa"/>
            <w:vAlign w:val="center"/>
          </w:tcPr>
          <w:p>
            <w:pPr>
              <w:spacing w:before="60"/>
              <w:jc w:val="center"/>
              <w:rPr>
                <w:noProof/>
              </w:rPr>
            </w:pPr>
            <w:r>
              <w:rPr>
                <w:noProof/>
              </w:rPr>
              <w:t>NÃO</w:t>
            </w:r>
          </w:p>
        </w:tc>
      </w:tr>
    </w:tbl>
    <w:p>
      <w:pPr>
        <w:rPr>
          <w:noProof/>
        </w:rPr>
        <w:sectPr>
          <w:pgSz w:w="11907" w:h="16840" w:code="1"/>
          <w:pgMar w:top="1134" w:right="1418" w:bottom="1134" w:left="1418" w:header="709" w:footer="709" w:gutter="0"/>
          <w:cols w:space="708"/>
          <w:docGrid w:linePitch="360"/>
        </w:sectPr>
      </w:pPr>
    </w:p>
    <w:p>
      <w:pPr>
        <w:pStyle w:val="ManualHeading2"/>
        <w:rPr>
          <w:bCs/>
          <w:noProof/>
          <w:szCs w:val="24"/>
        </w:rPr>
      </w:pPr>
      <w:bookmarkStart w:id="55" w:name="_Toc351879"/>
      <w:r>
        <w:t>3.2.</w:t>
      </w:r>
      <w:r>
        <w:tab/>
      </w:r>
      <w:r>
        <w:rPr>
          <w:noProof/>
        </w:rPr>
        <w:t>Impacto estimado nas despesas</w:t>
      </w:r>
      <w:bookmarkEnd w:id="55"/>
      <w:r>
        <w:rPr>
          <w:noProof/>
        </w:rPr>
        <w:t xml:space="preserve"> </w:t>
      </w:r>
    </w:p>
    <w:p>
      <w:pPr>
        <w:pStyle w:val="ManualHeading3"/>
        <w:rPr>
          <w:noProof/>
          <w:u w:val="single"/>
        </w:rPr>
      </w:pPr>
      <w:bookmarkStart w:id="56" w:name="_Toc351880"/>
      <w:r>
        <w:t>3.2.1.</w:t>
      </w:r>
      <w:r>
        <w:tab/>
      </w:r>
      <w:r>
        <w:rPr>
          <w:noProof/>
        </w:rPr>
        <w:t>Síntese do impacto estimado nas despesas</w:t>
      </w:r>
      <w:r>
        <w:rPr>
          <w:rStyle w:val="FootnoteReference"/>
          <w:noProof/>
        </w:rPr>
        <w:footnoteReference w:id="25"/>
      </w:r>
      <w:bookmarkEnd w:id="56"/>
      <w:r>
        <w:rPr>
          <w:noProof/>
        </w:rPr>
        <w:t xml:space="preserve"> </w:t>
      </w:r>
    </w:p>
    <w:p>
      <w:pPr>
        <w:jc w:val="right"/>
        <w:rPr>
          <w:noProof/>
          <w:sz w:val="20"/>
        </w:rPr>
      </w:pPr>
      <w:r>
        <w:rPr>
          <w:noProof/>
          <w:sz w:val="20"/>
        </w:rPr>
        <w:t>Em milhões de EUR (3 casas decimais)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3"/>
        <w:gridCol w:w="1701"/>
        <w:gridCol w:w="9214"/>
      </w:tblGrid>
      <w:tr>
        <w:trPr>
          <w:jc w:val="center"/>
        </w:trPr>
        <w:tc>
          <w:tcPr>
            <w:tcW w:w="2973" w:type="dxa"/>
            <w:shd w:val="thinDiagStripe" w:color="C0C0C0" w:fill="auto"/>
            <w:vAlign w:val="center"/>
          </w:tcPr>
          <w:p>
            <w:pPr>
              <w:spacing w:before="60" w:after="60"/>
              <w:jc w:val="center"/>
              <w:rPr>
                <w:b/>
                <w:noProof/>
                <w:sz w:val="20"/>
                <w:szCs w:val="20"/>
              </w:rPr>
            </w:pPr>
            <w:r>
              <w:rPr>
                <w:b/>
                <w:noProof/>
                <w:sz w:val="20"/>
                <w:szCs w:val="20"/>
              </w:rPr>
              <w:t xml:space="preserve">Rubrica do quadro financeiro plurianual </w:t>
            </w:r>
          </w:p>
        </w:tc>
        <w:tc>
          <w:tcPr>
            <w:tcW w:w="1701" w:type="dxa"/>
            <w:vAlign w:val="center"/>
          </w:tcPr>
          <w:p>
            <w:pPr>
              <w:spacing w:before="60" w:after="60"/>
              <w:jc w:val="center"/>
              <w:rPr>
                <w:noProof/>
                <w:sz w:val="20"/>
                <w:szCs w:val="20"/>
              </w:rPr>
            </w:pPr>
            <w:r>
              <w:rPr>
                <w:b/>
                <w:noProof/>
                <w:sz w:val="20"/>
                <w:szCs w:val="20"/>
              </w:rPr>
              <w:t>5</w:t>
            </w:r>
          </w:p>
        </w:tc>
        <w:tc>
          <w:tcPr>
            <w:tcW w:w="9214" w:type="dxa"/>
            <w:vAlign w:val="center"/>
          </w:tcPr>
          <w:p>
            <w:pPr>
              <w:spacing w:before="60" w:after="60"/>
              <w:rPr>
                <w:noProof/>
                <w:sz w:val="20"/>
                <w:szCs w:val="20"/>
              </w:rPr>
            </w:pPr>
            <w:r>
              <w:rPr>
                <w:noProof/>
                <w:sz w:val="20"/>
                <w:szCs w:val="20"/>
              </w:rPr>
              <w:t>Segurança e Defesa</w:t>
            </w:r>
          </w:p>
        </w:tc>
      </w:tr>
    </w:tbl>
    <w:p>
      <w:pPr>
        <w:rPr>
          <w:noProof/>
        </w:rPr>
      </w:pPr>
    </w:p>
    <w:tbl>
      <w:tblPr>
        <w:tblW w:w="13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1701"/>
        <w:gridCol w:w="709"/>
        <w:gridCol w:w="931"/>
        <w:gridCol w:w="931"/>
        <w:gridCol w:w="931"/>
        <w:gridCol w:w="931"/>
        <w:gridCol w:w="931"/>
        <w:gridCol w:w="931"/>
        <w:gridCol w:w="931"/>
        <w:gridCol w:w="931"/>
        <w:gridCol w:w="1057"/>
      </w:tblGrid>
      <w:tr>
        <w:trPr>
          <w:jc w:val="center"/>
        </w:trPr>
        <w:tc>
          <w:tcPr>
            <w:tcW w:w="5433" w:type="dxa"/>
            <w:gridSpan w:val="3"/>
            <w:tcBorders>
              <w:top w:val="nil"/>
              <w:left w:val="nil"/>
              <w:bottom w:val="nil"/>
              <w:right w:val="single" w:sz="4" w:space="0" w:color="auto"/>
            </w:tcBorders>
            <w:vAlign w:val="center"/>
          </w:tcPr>
          <w:p>
            <w:pPr>
              <w:jc w:val="center"/>
              <w:rPr>
                <w:b/>
                <w:noProof/>
                <w:sz w:val="18"/>
                <w:szCs w:val="18"/>
              </w:rPr>
            </w:pPr>
          </w:p>
        </w:tc>
        <w:tc>
          <w:tcPr>
            <w:tcW w:w="931" w:type="dxa"/>
            <w:tcBorders>
              <w:left w:val="single" w:sz="4" w:space="0" w:color="auto"/>
            </w:tcBorders>
            <w:vAlign w:val="center"/>
          </w:tcPr>
          <w:p>
            <w:pPr>
              <w:jc w:val="center"/>
              <w:rPr>
                <w:b/>
                <w:noProof/>
                <w:sz w:val="18"/>
                <w:szCs w:val="18"/>
              </w:rPr>
            </w:pPr>
            <w:r>
              <w:rPr>
                <w:b/>
                <w:noProof/>
                <w:sz w:val="18"/>
                <w:szCs w:val="18"/>
              </w:rPr>
              <w:t>2021</w:t>
            </w:r>
          </w:p>
        </w:tc>
        <w:tc>
          <w:tcPr>
            <w:tcW w:w="931" w:type="dxa"/>
            <w:vAlign w:val="center"/>
          </w:tcPr>
          <w:p>
            <w:pPr>
              <w:jc w:val="center"/>
              <w:rPr>
                <w:b/>
                <w:noProof/>
                <w:sz w:val="18"/>
                <w:szCs w:val="18"/>
              </w:rPr>
            </w:pPr>
            <w:r>
              <w:rPr>
                <w:b/>
                <w:noProof/>
                <w:sz w:val="18"/>
                <w:szCs w:val="18"/>
              </w:rPr>
              <w:t>2022</w:t>
            </w:r>
          </w:p>
        </w:tc>
        <w:tc>
          <w:tcPr>
            <w:tcW w:w="931" w:type="dxa"/>
            <w:vAlign w:val="center"/>
          </w:tcPr>
          <w:p>
            <w:pPr>
              <w:jc w:val="center"/>
              <w:rPr>
                <w:b/>
                <w:noProof/>
                <w:sz w:val="18"/>
                <w:szCs w:val="18"/>
              </w:rPr>
            </w:pPr>
            <w:r>
              <w:rPr>
                <w:b/>
                <w:noProof/>
                <w:sz w:val="18"/>
                <w:szCs w:val="18"/>
              </w:rPr>
              <w:t>2023</w:t>
            </w:r>
          </w:p>
        </w:tc>
        <w:tc>
          <w:tcPr>
            <w:tcW w:w="931" w:type="dxa"/>
            <w:vAlign w:val="center"/>
          </w:tcPr>
          <w:p>
            <w:pPr>
              <w:jc w:val="center"/>
              <w:rPr>
                <w:b/>
                <w:noProof/>
                <w:sz w:val="18"/>
                <w:szCs w:val="18"/>
              </w:rPr>
            </w:pPr>
            <w:r>
              <w:rPr>
                <w:b/>
                <w:noProof/>
                <w:sz w:val="18"/>
                <w:szCs w:val="18"/>
              </w:rPr>
              <w:t>2024</w:t>
            </w:r>
          </w:p>
        </w:tc>
        <w:tc>
          <w:tcPr>
            <w:tcW w:w="931" w:type="dxa"/>
            <w:vAlign w:val="center"/>
          </w:tcPr>
          <w:p>
            <w:pPr>
              <w:jc w:val="center"/>
              <w:rPr>
                <w:b/>
                <w:noProof/>
                <w:sz w:val="18"/>
                <w:szCs w:val="18"/>
              </w:rPr>
            </w:pPr>
            <w:r>
              <w:rPr>
                <w:b/>
                <w:noProof/>
                <w:sz w:val="18"/>
                <w:szCs w:val="18"/>
              </w:rPr>
              <w:t>2025</w:t>
            </w:r>
          </w:p>
        </w:tc>
        <w:tc>
          <w:tcPr>
            <w:tcW w:w="931" w:type="dxa"/>
            <w:vAlign w:val="center"/>
          </w:tcPr>
          <w:p>
            <w:pPr>
              <w:jc w:val="center"/>
              <w:rPr>
                <w:b/>
                <w:noProof/>
                <w:sz w:val="18"/>
                <w:szCs w:val="18"/>
              </w:rPr>
            </w:pPr>
            <w:r>
              <w:rPr>
                <w:b/>
                <w:noProof/>
                <w:sz w:val="18"/>
                <w:szCs w:val="18"/>
              </w:rPr>
              <w:t>2026</w:t>
            </w:r>
          </w:p>
        </w:tc>
        <w:tc>
          <w:tcPr>
            <w:tcW w:w="931" w:type="dxa"/>
            <w:vAlign w:val="center"/>
          </w:tcPr>
          <w:p>
            <w:pPr>
              <w:jc w:val="center"/>
              <w:rPr>
                <w:b/>
                <w:noProof/>
                <w:sz w:val="18"/>
                <w:szCs w:val="18"/>
              </w:rPr>
            </w:pPr>
            <w:r>
              <w:rPr>
                <w:b/>
                <w:noProof/>
                <w:sz w:val="18"/>
                <w:szCs w:val="18"/>
              </w:rPr>
              <w:t>2027</w:t>
            </w:r>
          </w:p>
        </w:tc>
        <w:tc>
          <w:tcPr>
            <w:tcW w:w="931" w:type="dxa"/>
            <w:vAlign w:val="center"/>
          </w:tcPr>
          <w:p>
            <w:pPr>
              <w:jc w:val="center"/>
              <w:rPr>
                <w:b/>
                <w:i/>
                <w:noProof/>
                <w:sz w:val="18"/>
                <w:szCs w:val="18"/>
              </w:rPr>
            </w:pPr>
            <w:r>
              <w:rPr>
                <w:b/>
                <w:i/>
                <w:noProof/>
                <w:sz w:val="18"/>
                <w:szCs w:val="18"/>
              </w:rPr>
              <w:t>Após 2027</w:t>
            </w:r>
          </w:p>
        </w:tc>
        <w:tc>
          <w:tcPr>
            <w:tcW w:w="1057" w:type="dxa"/>
            <w:vAlign w:val="center"/>
          </w:tcPr>
          <w:p>
            <w:pPr>
              <w:jc w:val="center"/>
              <w:rPr>
                <w:b/>
                <w:noProof/>
                <w:sz w:val="18"/>
                <w:szCs w:val="18"/>
              </w:rPr>
            </w:pPr>
            <w:r>
              <w:rPr>
                <w:b/>
                <w:noProof/>
                <w:sz w:val="18"/>
                <w:szCs w:val="18"/>
              </w:rPr>
              <w:t>TOTAL</w:t>
            </w:r>
          </w:p>
        </w:tc>
      </w:tr>
      <w:tr>
        <w:trPr>
          <w:trHeight w:val="319"/>
          <w:jc w:val="center"/>
        </w:trPr>
        <w:tc>
          <w:tcPr>
            <w:tcW w:w="3023" w:type="dxa"/>
            <w:vAlign w:val="center"/>
          </w:tcPr>
          <w:p>
            <w:pPr>
              <w:spacing w:before="20" w:after="20"/>
              <w:jc w:val="left"/>
              <w:rPr>
                <w:b/>
                <w:noProof/>
                <w:sz w:val="18"/>
                <w:szCs w:val="18"/>
              </w:rPr>
            </w:pPr>
            <w:r>
              <w:rPr>
                <w:b/>
                <w:noProof/>
                <w:sz w:val="18"/>
                <w:szCs w:val="18"/>
              </w:rPr>
              <w:t>14 02 01 – Mecanismo de Proteção Civil da União: Prevenção e Preparação</w:t>
            </w:r>
          </w:p>
        </w:tc>
        <w:tc>
          <w:tcPr>
            <w:tcW w:w="1701" w:type="dxa"/>
            <w:vAlign w:val="center"/>
          </w:tcPr>
          <w:p>
            <w:pPr>
              <w:spacing w:before="40" w:after="40"/>
              <w:jc w:val="left"/>
              <w:rPr>
                <w:noProof/>
                <w:sz w:val="18"/>
                <w:szCs w:val="18"/>
              </w:rPr>
            </w:pPr>
            <w:r>
              <w:rPr>
                <w:noProof/>
                <w:sz w:val="18"/>
                <w:szCs w:val="18"/>
              </w:rPr>
              <w:t>Autorizações</w:t>
            </w:r>
          </w:p>
        </w:tc>
        <w:tc>
          <w:tcPr>
            <w:tcW w:w="709" w:type="dxa"/>
            <w:vAlign w:val="center"/>
          </w:tcPr>
          <w:p>
            <w:pPr>
              <w:spacing w:before="40" w:after="40"/>
              <w:jc w:val="center"/>
              <w:rPr>
                <w:noProof/>
                <w:sz w:val="18"/>
                <w:szCs w:val="18"/>
              </w:rPr>
            </w:pPr>
            <w:r>
              <w:rPr>
                <w:noProof/>
                <w:sz w:val="18"/>
                <w:szCs w:val="18"/>
              </w:rPr>
              <w:t>1</w:t>
            </w:r>
          </w:p>
        </w:tc>
        <w:tc>
          <w:tcPr>
            <w:tcW w:w="931" w:type="dxa"/>
            <w:vAlign w:val="center"/>
          </w:tcPr>
          <w:p>
            <w:pPr>
              <w:jc w:val="center"/>
              <w:rPr>
                <w:noProof/>
                <w:color w:val="000000" w:themeColor="text1"/>
                <w:sz w:val="20"/>
                <w:szCs w:val="20"/>
              </w:rPr>
            </w:pPr>
            <w:r>
              <w:rPr>
                <w:noProof/>
                <w:color w:val="000000" w:themeColor="text1"/>
                <w:sz w:val="20"/>
                <w:szCs w:val="20"/>
              </w:rPr>
              <w:t>165,464</w:t>
            </w:r>
          </w:p>
        </w:tc>
        <w:tc>
          <w:tcPr>
            <w:tcW w:w="931" w:type="dxa"/>
            <w:vAlign w:val="center"/>
          </w:tcPr>
          <w:p>
            <w:pPr>
              <w:jc w:val="center"/>
              <w:rPr>
                <w:noProof/>
                <w:color w:val="000000" w:themeColor="text1"/>
                <w:sz w:val="20"/>
                <w:szCs w:val="20"/>
              </w:rPr>
            </w:pPr>
            <w:r>
              <w:rPr>
                <w:noProof/>
                <w:color w:val="000000" w:themeColor="text1"/>
                <w:sz w:val="20"/>
                <w:szCs w:val="20"/>
              </w:rPr>
              <w:t>169,794</w:t>
            </w:r>
          </w:p>
        </w:tc>
        <w:tc>
          <w:tcPr>
            <w:tcW w:w="931" w:type="dxa"/>
            <w:vAlign w:val="center"/>
          </w:tcPr>
          <w:p>
            <w:pPr>
              <w:jc w:val="center"/>
              <w:rPr>
                <w:noProof/>
                <w:color w:val="000000" w:themeColor="text1"/>
                <w:sz w:val="20"/>
                <w:szCs w:val="20"/>
              </w:rPr>
            </w:pPr>
            <w:r>
              <w:rPr>
                <w:noProof/>
                <w:color w:val="000000" w:themeColor="text1"/>
                <w:sz w:val="20"/>
                <w:szCs w:val="20"/>
              </w:rPr>
              <w:t>173,189</w:t>
            </w:r>
          </w:p>
        </w:tc>
        <w:tc>
          <w:tcPr>
            <w:tcW w:w="931" w:type="dxa"/>
            <w:vAlign w:val="center"/>
          </w:tcPr>
          <w:p>
            <w:pPr>
              <w:jc w:val="center"/>
              <w:rPr>
                <w:noProof/>
                <w:color w:val="000000" w:themeColor="text1"/>
                <w:sz w:val="20"/>
                <w:szCs w:val="20"/>
              </w:rPr>
            </w:pPr>
            <w:r>
              <w:rPr>
                <w:noProof/>
                <w:color w:val="000000" w:themeColor="text1"/>
                <w:sz w:val="20"/>
                <w:szCs w:val="20"/>
              </w:rPr>
              <w:t>176,653</w:t>
            </w:r>
          </w:p>
        </w:tc>
        <w:tc>
          <w:tcPr>
            <w:tcW w:w="931" w:type="dxa"/>
            <w:vAlign w:val="center"/>
          </w:tcPr>
          <w:p>
            <w:pPr>
              <w:jc w:val="center"/>
              <w:rPr>
                <w:noProof/>
                <w:color w:val="000000" w:themeColor="text1"/>
                <w:sz w:val="20"/>
                <w:szCs w:val="20"/>
              </w:rPr>
            </w:pPr>
            <w:r>
              <w:rPr>
                <w:noProof/>
                <w:color w:val="000000" w:themeColor="text1"/>
                <w:sz w:val="20"/>
                <w:szCs w:val="20"/>
              </w:rPr>
              <w:t>180,186</w:t>
            </w:r>
          </w:p>
        </w:tc>
        <w:tc>
          <w:tcPr>
            <w:tcW w:w="931" w:type="dxa"/>
            <w:vAlign w:val="center"/>
          </w:tcPr>
          <w:p>
            <w:pPr>
              <w:jc w:val="center"/>
              <w:rPr>
                <w:noProof/>
                <w:color w:val="000000" w:themeColor="text1"/>
                <w:sz w:val="20"/>
                <w:szCs w:val="20"/>
              </w:rPr>
            </w:pPr>
            <w:r>
              <w:rPr>
                <w:noProof/>
                <w:color w:val="000000" w:themeColor="text1"/>
                <w:sz w:val="20"/>
                <w:szCs w:val="20"/>
              </w:rPr>
              <w:t>183,790</w:t>
            </w:r>
          </w:p>
        </w:tc>
        <w:tc>
          <w:tcPr>
            <w:tcW w:w="931" w:type="dxa"/>
            <w:vAlign w:val="center"/>
          </w:tcPr>
          <w:p>
            <w:pPr>
              <w:jc w:val="center"/>
              <w:rPr>
                <w:noProof/>
                <w:color w:val="000000" w:themeColor="text1"/>
                <w:sz w:val="20"/>
                <w:szCs w:val="20"/>
              </w:rPr>
            </w:pPr>
            <w:r>
              <w:rPr>
                <w:noProof/>
                <w:color w:val="000000" w:themeColor="text1"/>
                <w:sz w:val="20"/>
                <w:szCs w:val="20"/>
              </w:rPr>
              <w:t>187,368</w:t>
            </w:r>
          </w:p>
        </w:tc>
        <w:tc>
          <w:tcPr>
            <w:tcW w:w="931" w:type="dxa"/>
            <w:shd w:val="clear" w:color="auto" w:fill="A6A6A6"/>
            <w:vAlign w:val="center"/>
          </w:tcPr>
          <w:p>
            <w:pPr>
              <w:jc w:val="center"/>
              <w:rPr>
                <w:noProof/>
                <w:color w:val="000000" w:themeColor="text1"/>
                <w:sz w:val="20"/>
                <w:szCs w:val="20"/>
              </w:rPr>
            </w:pPr>
          </w:p>
        </w:tc>
        <w:tc>
          <w:tcPr>
            <w:tcW w:w="1057" w:type="dxa"/>
            <w:vAlign w:val="center"/>
          </w:tcPr>
          <w:p>
            <w:pPr>
              <w:spacing w:before="40" w:after="40"/>
              <w:jc w:val="center"/>
              <w:rPr>
                <w:b/>
                <w:noProof/>
                <w:color w:val="000000" w:themeColor="text1"/>
                <w:sz w:val="20"/>
                <w:szCs w:val="20"/>
              </w:rPr>
            </w:pPr>
            <w:r>
              <w:rPr>
                <w:b/>
                <w:noProof/>
                <w:color w:val="000000" w:themeColor="text1"/>
                <w:sz w:val="20"/>
                <w:szCs w:val="20"/>
              </w:rPr>
              <w:t>1 236,446</w:t>
            </w:r>
          </w:p>
        </w:tc>
      </w:tr>
      <w:tr>
        <w:trPr>
          <w:trHeight w:val="319"/>
          <w:jc w:val="center"/>
        </w:trPr>
        <w:tc>
          <w:tcPr>
            <w:tcW w:w="3023" w:type="dxa"/>
            <w:vAlign w:val="center"/>
          </w:tcPr>
          <w:p>
            <w:pPr>
              <w:spacing w:before="20" w:after="20"/>
              <w:jc w:val="left"/>
              <w:rPr>
                <w:noProof/>
                <w:sz w:val="18"/>
                <w:szCs w:val="18"/>
              </w:rPr>
            </w:pPr>
          </w:p>
        </w:tc>
        <w:tc>
          <w:tcPr>
            <w:tcW w:w="1701" w:type="dxa"/>
            <w:vAlign w:val="center"/>
          </w:tcPr>
          <w:p>
            <w:pPr>
              <w:spacing w:before="40" w:after="40"/>
              <w:jc w:val="left"/>
              <w:rPr>
                <w:noProof/>
                <w:sz w:val="18"/>
                <w:szCs w:val="18"/>
              </w:rPr>
            </w:pPr>
            <w:r>
              <w:rPr>
                <w:noProof/>
                <w:sz w:val="18"/>
                <w:szCs w:val="18"/>
              </w:rPr>
              <w:t>Pagamentos</w:t>
            </w:r>
          </w:p>
        </w:tc>
        <w:tc>
          <w:tcPr>
            <w:tcW w:w="709" w:type="dxa"/>
            <w:vAlign w:val="center"/>
          </w:tcPr>
          <w:p>
            <w:pPr>
              <w:spacing w:before="40" w:after="40"/>
              <w:jc w:val="center"/>
              <w:rPr>
                <w:noProof/>
                <w:sz w:val="18"/>
                <w:szCs w:val="18"/>
              </w:rPr>
            </w:pPr>
            <w:r>
              <w:rPr>
                <w:noProof/>
                <w:sz w:val="18"/>
                <w:szCs w:val="18"/>
              </w:rPr>
              <w:t>2</w:t>
            </w:r>
          </w:p>
        </w:tc>
        <w:tc>
          <w:tcPr>
            <w:tcW w:w="931" w:type="dxa"/>
            <w:vAlign w:val="center"/>
          </w:tcPr>
          <w:p>
            <w:pPr>
              <w:jc w:val="center"/>
              <w:rPr>
                <w:noProof/>
                <w:color w:val="000000" w:themeColor="text1"/>
                <w:sz w:val="20"/>
                <w:szCs w:val="20"/>
              </w:rPr>
            </w:pPr>
            <w:r>
              <w:rPr>
                <w:noProof/>
                <w:color w:val="000000" w:themeColor="text1"/>
                <w:sz w:val="20"/>
                <w:szCs w:val="20"/>
              </w:rPr>
              <w:t>50,000</w:t>
            </w:r>
          </w:p>
        </w:tc>
        <w:tc>
          <w:tcPr>
            <w:tcW w:w="931" w:type="dxa"/>
            <w:vAlign w:val="center"/>
          </w:tcPr>
          <w:p>
            <w:pPr>
              <w:jc w:val="center"/>
              <w:rPr>
                <w:noProof/>
                <w:color w:val="000000" w:themeColor="text1"/>
                <w:sz w:val="20"/>
                <w:szCs w:val="20"/>
              </w:rPr>
            </w:pPr>
            <w:r>
              <w:rPr>
                <w:noProof/>
                <w:color w:val="000000" w:themeColor="text1"/>
                <w:sz w:val="20"/>
                <w:szCs w:val="20"/>
              </w:rPr>
              <w:t>92,272</w:t>
            </w:r>
          </w:p>
        </w:tc>
        <w:tc>
          <w:tcPr>
            <w:tcW w:w="931" w:type="dxa"/>
            <w:vAlign w:val="center"/>
          </w:tcPr>
          <w:p>
            <w:pPr>
              <w:spacing w:before="40" w:after="40"/>
              <w:jc w:val="center"/>
              <w:rPr>
                <w:b/>
                <w:noProof/>
                <w:color w:val="000000" w:themeColor="text1"/>
                <w:sz w:val="20"/>
                <w:szCs w:val="20"/>
              </w:rPr>
            </w:pPr>
            <w:r>
              <w:rPr>
                <w:noProof/>
                <w:color w:val="000000" w:themeColor="text1"/>
                <w:sz w:val="20"/>
                <w:szCs w:val="20"/>
              </w:rPr>
              <w:t>138,419</w:t>
            </w:r>
          </w:p>
        </w:tc>
        <w:tc>
          <w:tcPr>
            <w:tcW w:w="931" w:type="dxa"/>
            <w:vAlign w:val="center"/>
          </w:tcPr>
          <w:p>
            <w:pPr>
              <w:spacing w:before="40" w:after="40"/>
              <w:jc w:val="center"/>
              <w:rPr>
                <w:b/>
                <w:noProof/>
                <w:color w:val="000000" w:themeColor="text1"/>
                <w:sz w:val="20"/>
                <w:szCs w:val="20"/>
              </w:rPr>
            </w:pPr>
            <w:r>
              <w:rPr>
                <w:noProof/>
                <w:color w:val="000000" w:themeColor="text1"/>
                <w:sz w:val="20"/>
                <w:szCs w:val="20"/>
              </w:rPr>
              <w:t>164,867</w:t>
            </w:r>
          </w:p>
        </w:tc>
        <w:tc>
          <w:tcPr>
            <w:tcW w:w="931" w:type="dxa"/>
            <w:vAlign w:val="center"/>
          </w:tcPr>
          <w:p>
            <w:pPr>
              <w:spacing w:before="40" w:after="40"/>
              <w:jc w:val="center"/>
              <w:rPr>
                <w:b/>
                <w:noProof/>
                <w:color w:val="000000" w:themeColor="text1"/>
                <w:sz w:val="20"/>
                <w:szCs w:val="20"/>
              </w:rPr>
            </w:pPr>
            <w:r>
              <w:rPr>
                <w:noProof/>
                <w:color w:val="000000" w:themeColor="text1"/>
                <w:sz w:val="20"/>
                <w:szCs w:val="20"/>
              </w:rPr>
              <w:t>169,103</w:t>
            </w:r>
          </w:p>
        </w:tc>
        <w:tc>
          <w:tcPr>
            <w:tcW w:w="931" w:type="dxa"/>
            <w:vAlign w:val="center"/>
          </w:tcPr>
          <w:p>
            <w:pPr>
              <w:spacing w:before="40" w:after="40"/>
              <w:jc w:val="center"/>
              <w:rPr>
                <w:b/>
                <w:noProof/>
                <w:color w:val="000000" w:themeColor="text1"/>
                <w:sz w:val="20"/>
                <w:szCs w:val="20"/>
              </w:rPr>
            </w:pPr>
            <w:r>
              <w:rPr>
                <w:noProof/>
                <w:color w:val="000000" w:themeColor="text1"/>
                <w:sz w:val="20"/>
                <w:szCs w:val="20"/>
              </w:rPr>
              <w:t>172,994</w:t>
            </w:r>
          </w:p>
        </w:tc>
        <w:tc>
          <w:tcPr>
            <w:tcW w:w="931" w:type="dxa"/>
            <w:vAlign w:val="center"/>
          </w:tcPr>
          <w:p>
            <w:pPr>
              <w:spacing w:before="40" w:after="40"/>
              <w:jc w:val="center"/>
              <w:rPr>
                <w:b/>
                <w:noProof/>
                <w:color w:val="000000" w:themeColor="text1"/>
                <w:sz w:val="20"/>
                <w:szCs w:val="20"/>
              </w:rPr>
            </w:pPr>
            <w:r>
              <w:rPr>
                <w:noProof/>
                <w:color w:val="000000" w:themeColor="text1"/>
                <w:sz w:val="20"/>
                <w:szCs w:val="20"/>
              </w:rPr>
              <w:t>176,793</w:t>
            </w:r>
          </w:p>
        </w:tc>
        <w:tc>
          <w:tcPr>
            <w:tcW w:w="931" w:type="dxa"/>
            <w:shd w:val="clear" w:color="auto" w:fill="A6A6A6"/>
            <w:vAlign w:val="center"/>
          </w:tcPr>
          <w:p>
            <w:pPr>
              <w:spacing w:before="40" w:after="40"/>
              <w:jc w:val="center"/>
              <w:rPr>
                <w:b/>
                <w:noProof/>
                <w:color w:val="000000" w:themeColor="text1"/>
                <w:sz w:val="20"/>
                <w:szCs w:val="20"/>
                <w:highlight w:val="yellow"/>
              </w:rPr>
            </w:pPr>
            <w:r>
              <w:rPr>
                <w:noProof/>
                <w:color w:val="000000" w:themeColor="text1"/>
                <w:sz w:val="20"/>
                <w:szCs w:val="20"/>
              </w:rPr>
              <w:t>271,998</w:t>
            </w:r>
          </w:p>
        </w:tc>
        <w:tc>
          <w:tcPr>
            <w:tcW w:w="1057" w:type="dxa"/>
            <w:vAlign w:val="center"/>
          </w:tcPr>
          <w:p>
            <w:pPr>
              <w:spacing w:before="40" w:after="40"/>
              <w:jc w:val="center"/>
              <w:rPr>
                <w:b/>
                <w:noProof/>
                <w:color w:val="000000" w:themeColor="text1"/>
                <w:sz w:val="20"/>
                <w:szCs w:val="20"/>
              </w:rPr>
            </w:pPr>
            <w:r>
              <w:rPr>
                <w:noProof/>
                <w:color w:val="000000" w:themeColor="text1"/>
                <w:sz w:val="20"/>
                <w:szCs w:val="20"/>
              </w:rPr>
              <w:t>1 236,446</w:t>
            </w:r>
          </w:p>
        </w:tc>
      </w:tr>
      <w:tr>
        <w:trPr>
          <w:trHeight w:val="319"/>
          <w:jc w:val="center"/>
        </w:trPr>
        <w:tc>
          <w:tcPr>
            <w:tcW w:w="3023" w:type="dxa"/>
            <w:vAlign w:val="center"/>
          </w:tcPr>
          <w:p>
            <w:pPr>
              <w:spacing w:before="20" w:after="20"/>
              <w:jc w:val="left"/>
              <w:rPr>
                <w:noProof/>
                <w:sz w:val="18"/>
                <w:szCs w:val="18"/>
              </w:rPr>
            </w:pPr>
            <w:r>
              <w:rPr>
                <w:b/>
                <w:noProof/>
                <w:sz w:val="18"/>
                <w:szCs w:val="18"/>
              </w:rPr>
              <w:t>14 02 02 – Mecanismo de Proteção Civil da União: Resposta</w:t>
            </w:r>
          </w:p>
        </w:tc>
        <w:tc>
          <w:tcPr>
            <w:tcW w:w="1701" w:type="dxa"/>
            <w:vAlign w:val="center"/>
          </w:tcPr>
          <w:p>
            <w:pPr>
              <w:spacing w:before="40" w:after="40"/>
              <w:jc w:val="left"/>
              <w:rPr>
                <w:noProof/>
                <w:sz w:val="18"/>
                <w:szCs w:val="18"/>
              </w:rPr>
            </w:pPr>
            <w:r>
              <w:rPr>
                <w:noProof/>
                <w:sz w:val="18"/>
                <w:szCs w:val="18"/>
              </w:rPr>
              <w:t>Autorizações</w:t>
            </w:r>
          </w:p>
        </w:tc>
        <w:tc>
          <w:tcPr>
            <w:tcW w:w="709" w:type="dxa"/>
            <w:vAlign w:val="center"/>
          </w:tcPr>
          <w:p>
            <w:pPr>
              <w:spacing w:before="40" w:after="40"/>
              <w:jc w:val="center"/>
              <w:rPr>
                <w:noProof/>
                <w:sz w:val="18"/>
                <w:szCs w:val="18"/>
              </w:rPr>
            </w:pPr>
            <w:r>
              <w:rPr>
                <w:noProof/>
                <w:sz w:val="18"/>
                <w:szCs w:val="18"/>
              </w:rPr>
              <w:t>3</w:t>
            </w:r>
          </w:p>
        </w:tc>
        <w:tc>
          <w:tcPr>
            <w:tcW w:w="931" w:type="dxa"/>
            <w:vAlign w:val="center"/>
          </w:tcPr>
          <w:p>
            <w:pPr>
              <w:jc w:val="center"/>
              <w:rPr>
                <w:noProof/>
                <w:color w:val="000000" w:themeColor="text1"/>
                <w:sz w:val="20"/>
                <w:szCs w:val="20"/>
              </w:rPr>
            </w:pPr>
            <w:r>
              <w:rPr>
                <w:noProof/>
                <w:color w:val="000000" w:themeColor="text1"/>
                <w:sz w:val="20"/>
                <w:szCs w:val="20"/>
              </w:rPr>
              <w:t>22,000</w:t>
            </w:r>
          </w:p>
        </w:tc>
        <w:tc>
          <w:tcPr>
            <w:tcW w:w="931" w:type="dxa"/>
            <w:vAlign w:val="center"/>
          </w:tcPr>
          <w:p>
            <w:pPr>
              <w:jc w:val="center"/>
              <w:rPr>
                <w:noProof/>
                <w:color w:val="000000" w:themeColor="text1"/>
                <w:sz w:val="20"/>
                <w:szCs w:val="20"/>
              </w:rPr>
            </w:pPr>
            <w:r>
              <w:rPr>
                <w:noProof/>
                <w:color w:val="000000" w:themeColor="text1"/>
                <w:sz w:val="20"/>
                <w:szCs w:val="20"/>
              </w:rPr>
              <w:t>22,440</w:t>
            </w:r>
          </w:p>
        </w:tc>
        <w:tc>
          <w:tcPr>
            <w:tcW w:w="931" w:type="dxa"/>
            <w:vAlign w:val="center"/>
          </w:tcPr>
          <w:p>
            <w:pPr>
              <w:jc w:val="center"/>
              <w:rPr>
                <w:noProof/>
                <w:color w:val="000000" w:themeColor="text1"/>
                <w:sz w:val="20"/>
                <w:szCs w:val="20"/>
              </w:rPr>
            </w:pPr>
            <w:r>
              <w:rPr>
                <w:noProof/>
                <w:color w:val="000000" w:themeColor="text1"/>
                <w:sz w:val="20"/>
                <w:szCs w:val="20"/>
              </w:rPr>
              <w:t>22,889</w:t>
            </w:r>
          </w:p>
        </w:tc>
        <w:tc>
          <w:tcPr>
            <w:tcW w:w="931" w:type="dxa"/>
            <w:vAlign w:val="center"/>
          </w:tcPr>
          <w:p>
            <w:pPr>
              <w:jc w:val="center"/>
              <w:rPr>
                <w:noProof/>
                <w:color w:val="000000" w:themeColor="text1"/>
                <w:sz w:val="20"/>
                <w:szCs w:val="20"/>
              </w:rPr>
            </w:pPr>
            <w:r>
              <w:rPr>
                <w:noProof/>
                <w:color w:val="000000" w:themeColor="text1"/>
                <w:sz w:val="20"/>
                <w:szCs w:val="20"/>
              </w:rPr>
              <w:t>23,347</w:t>
            </w:r>
          </w:p>
        </w:tc>
        <w:tc>
          <w:tcPr>
            <w:tcW w:w="931" w:type="dxa"/>
            <w:vAlign w:val="center"/>
          </w:tcPr>
          <w:p>
            <w:pPr>
              <w:jc w:val="center"/>
              <w:rPr>
                <w:noProof/>
                <w:color w:val="000000" w:themeColor="text1"/>
                <w:sz w:val="20"/>
                <w:szCs w:val="20"/>
              </w:rPr>
            </w:pPr>
            <w:r>
              <w:rPr>
                <w:noProof/>
                <w:color w:val="000000" w:themeColor="text1"/>
                <w:sz w:val="20"/>
                <w:szCs w:val="20"/>
              </w:rPr>
              <w:t>23,814</w:t>
            </w:r>
          </w:p>
        </w:tc>
        <w:tc>
          <w:tcPr>
            <w:tcW w:w="931" w:type="dxa"/>
            <w:vAlign w:val="center"/>
          </w:tcPr>
          <w:p>
            <w:pPr>
              <w:jc w:val="center"/>
              <w:rPr>
                <w:noProof/>
                <w:color w:val="000000" w:themeColor="text1"/>
                <w:sz w:val="20"/>
                <w:szCs w:val="20"/>
              </w:rPr>
            </w:pPr>
            <w:r>
              <w:rPr>
                <w:noProof/>
                <w:color w:val="000000" w:themeColor="text1"/>
                <w:sz w:val="20"/>
                <w:szCs w:val="20"/>
              </w:rPr>
              <w:t>24,290</w:t>
            </w:r>
          </w:p>
        </w:tc>
        <w:tc>
          <w:tcPr>
            <w:tcW w:w="931" w:type="dxa"/>
            <w:vAlign w:val="center"/>
          </w:tcPr>
          <w:p>
            <w:pPr>
              <w:jc w:val="center"/>
              <w:rPr>
                <w:noProof/>
                <w:color w:val="000000" w:themeColor="text1"/>
                <w:sz w:val="20"/>
                <w:szCs w:val="20"/>
              </w:rPr>
            </w:pPr>
            <w:r>
              <w:rPr>
                <w:noProof/>
                <w:color w:val="000000" w:themeColor="text1"/>
                <w:sz w:val="20"/>
                <w:szCs w:val="20"/>
              </w:rPr>
              <w:t>24,776</w:t>
            </w:r>
          </w:p>
        </w:tc>
        <w:tc>
          <w:tcPr>
            <w:tcW w:w="931" w:type="dxa"/>
            <w:shd w:val="clear" w:color="auto" w:fill="A6A6A6"/>
            <w:vAlign w:val="center"/>
          </w:tcPr>
          <w:p>
            <w:pPr>
              <w:jc w:val="center"/>
              <w:rPr>
                <w:noProof/>
                <w:color w:val="000000" w:themeColor="text1"/>
                <w:sz w:val="20"/>
                <w:szCs w:val="20"/>
              </w:rPr>
            </w:pPr>
          </w:p>
        </w:tc>
        <w:tc>
          <w:tcPr>
            <w:tcW w:w="1057" w:type="dxa"/>
            <w:vAlign w:val="center"/>
          </w:tcPr>
          <w:p>
            <w:pPr>
              <w:spacing w:before="40" w:after="40"/>
              <w:jc w:val="center"/>
              <w:rPr>
                <w:b/>
                <w:noProof/>
                <w:color w:val="000000" w:themeColor="text1"/>
                <w:sz w:val="20"/>
                <w:szCs w:val="20"/>
              </w:rPr>
            </w:pPr>
            <w:r>
              <w:rPr>
                <w:b/>
                <w:noProof/>
                <w:color w:val="000000" w:themeColor="text1"/>
                <w:sz w:val="20"/>
                <w:szCs w:val="20"/>
              </w:rPr>
              <w:t>163,554</w:t>
            </w:r>
          </w:p>
        </w:tc>
      </w:tr>
      <w:tr>
        <w:trPr>
          <w:trHeight w:val="319"/>
          <w:jc w:val="center"/>
        </w:trPr>
        <w:tc>
          <w:tcPr>
            <w:tcW w:w="3023" w:type="dxa"/>
            <w:vAlign w:val="center"/>
          </w:tcPr>
          <w:p>
            <w:pPr>
              <w:spacing w:before="20" w:after="20"/>
              <w:jc w:val="left"/>
              <w:rPr>
                <w:noProof/>
                <w:sz w:val="18"/>
                <w:szCs w:val="18"/>
              </w:rPr>
            </w:pPr>
          </w:p>
        </w:tc>
        <w:tc>
          <w:tcPr>
            <w:tcW w:w="1701" w:type="dxa"/>
            <w:vAlign w:val="center"/>
          </w:tcPr>
          <w:p>
            <w:pPr>
              <w:spacing w:before="40" w:after="40"/>
              <w:jc w:val="left"/>
              <w:rPr>
                <w:noProof/>
                <w:sz w:val="18"/>
                <w:szCs w:val="18"/>
              </w:rPr>
            </w:pPr>
            <w:r>
              <w:rPr>
                <w:noProof/>
                <w:sz w:val="18"/>
                <w:szCs w:val="18"/>
              </w:rPr>
              <w:t>Pagamentos</w:t>
            </w:r>
          </w:p>
        </w:tc>
        <w:tc>
          <w:tcPr>
            <w:tcW w:w="709" w:type="dxa"/>
            <w:vAlign w:val="center"/>
          </w:tcPr>
          <w:p>
            <w:pPr>
              <w:spacing w:before="40" w:after="40"/>
              <w:jc w:val="center"/>
              <w:rPr>
                <w:noProof/>
                <w:sz w:val="18"/>
                <w:szCs w:val="18"/>
              </w:rPr>
            </w:pPr>
            <w:r>
              <w:rPr>
                <w:noProof/>
                <w:sz w:val="18"/>
                <w:szCs w:val="18"/>
              </w:rPr>
              <w:t>4</w:t>
            </w:r>
          </w:p>
        </w:tc>
        <w:tc>
          <w:tcPr>
            <w:tcW w:w="931" w:type="dxa"/>
            <w:vAlign w:val="center"/>
          </w:tcPr>
          <w:p>
            <w:pPr>
              <w:spacing w:before="40" w:after="40"/>
              <w:jc w:val="center"/>
              <w:rPr>
                <w:noProof/>
                <w:color w:val="000000" w:themeColor="text1"/>
                <w:sz w:val="20"/>
                <w:szCs w:val="20"/>
              </w:rPr>
            </w:pPr>
            <w:r>
              <w:rPr>
                <w:noProof/>
                <w:color w:val="000000" w:themeColor="text1"/>
                <w:sz w:val="20"/>
                <w:szCs w:val="20"/>
              </w:rPr>
              <w:t>8,965</w:t>
            </w:r>
          </w:p>
        </w:tc>
        <w:tc>
          <w:tcPr>
            <w:tcW w:w="931" w:type="dxa"/>
            <w:vAlign w:val="center"/>
          </w:tcPr>
          <w:p>
            <w:pPr>
              <w:spacing w:before="40" w:after="40"/>
              <w:jc w:val="center"/>
              <w:rPr>
                <w:noProof/>
                <w:color w:val="000000" w:themeColor="text1"/>
                <w:sz w:val="20"/>
                <w:szCs w:val="20"/>
              </w:rPr>
            </w:pPr>
            <w:r>
              <w:rPr>
                <w:noProof/>
                <w:color w:val="000000" w:themeColor="text1"/>
                <w:sz w:val="20"/>
                <w:szCs w:val="20"/>
              </w:rPr>
              <w:t>17,000</w:t>
            </w:r>
          </w:p>
        </w:tc>
        <w:tc>
          <w:tcPr>
            <w:tcW w:w="931" w:type="dxa"/>
            <w:vAlign w:val="center"/>
          </w:tcPr>
          <w:p>
            <w:pPr>
              <w:spacing w:before="40" w:after="40"/>
              <w:jc w:val="center"/>
              <w:rPr>
                <w:b/>
                <w:noProof/>
                <w:color w:val="000000" w:themeColor="text1"/>
                <w:sz w:val="20"/>
                <w:szCs w:val="20"/>
              </w:rPr>
            </w:pPr>
            <w:r>
              <w:rPr>
                <w:noProof/>
                <w:color w:val="000000" w:themeColor="text1"/>
                <w:sz w:val="20"/>
                <w:szCs w:val="20"/>
              </w:rPr>
              <w:t>19,455</w:t>
            </w:r>
          </w:p>
        </w:tc>
        <w:tc>
          <w:tcPr>
            <w:tcW w:w="931" w:type="dxa"/>
            <w:vAlign w:val="center"/>
          </w:tcPr>
          <w:p>
            <w:pPr>
              <w:spacing w:before="40" w:after="40"/>
              <w:jc w:val="center"/>
              <w:rPr>
                <w:b/>
                <w:noProof/>
                <w:color w:val="000000" w:themeColor="text1"/>
                <w:sz w:val="20"/>
                <w:szCs w:val="20"/>
              </w:rPr>
            </w:pPr>
            <w:r>
              <w:rPr>
                <w:noProof/>
                <w:color w:val="000000" w:themeColor="text1"/>
                <w:sz w:val="20"/>
                <w:szCs w:val="20"/>
              </w:rPr>
              <w:t>19,845</w:t>
            </w:r>
          </w:p>
        </w:tc>
        <w:tc>
          <w:tcPr>
            <w:tcW w:w="931" w:type="dxa"/>
            <w:vAlign w:val="center"/>
          </w:tcPr>
          <w:p>
            <w:pPr>
              <w:spacing w:before="40" w:after="40"/>
              <w:jc w:val="center"/>
              <w:rPr>
                <w:b/>
                <w:noProof/>
                <w:color w:val="000000" w:themeColor="text1"/>
                <w:sz w:val="20"/>
                <w:szCs w:val="20"/>
              </w:rPr>
            </w:pPr>
            <w:r>
              <w:rPr>
                <w:noProof/>
                <w:color w:val="000000" w:themeColor="text1"/>
                <w:sz w:val="20"/>
                <w:szCs w:val="20"/>
              </w:rPr>
              <w:t>21,432</w:t>
            </w:r>
          </w:p>
        </w:tc>
        <w:tc>
          <w:tcPr>
            <w:tcW w:w="931" w:type="dxa"/>
            <w:vAlign w:val="center"/>
          </w:tcPr>
          <w:p>
            <w:pPr>
              <w:spacing w:before="40" w:after="40"/>
              <w:jc w:val="center"/>
              <w:rPr>
                <w:b/>
                <w:noProof/>
                <w:color w:val="000000" w:themeColor="text1"/>
                <w:sz w:val="20"/>
                <w:szCs w:val="20"/>
              </w:rPr>
            </w:pPr>
            <w:r>
              <w:rPr>
                <w:noProof/>
                <w:color w:val="000000" w:themeColor="text1"/>
                <w:sz w:val="20"/>
                <w:szCs w:val="20"/>
              </w:rPr>
              <w:t>21,861</w:t>
            </w:r>
          </w:p>
        </w:tc>
        <w:tc>
          <w:tcPr>
            <w:tcW w:w="931" w:type="dxa"/>
            <w:vAlign w:val="center"/>
          </w:tcPr>
          <w:p>
            <w:pPr>
              <w:spacing w:before="40" w:after="40"/>
              <w:jc w:val="center"/>
              <w:rPr>
                <w:b/>
                <w:noProof/>
                <w:color w:val="000000" w:themeColor="text1"/>
                <w:sz w:val="20"/>
                <w:szCs w:val="20"/>
              </w:rPr>
            </w:pPr>
            <w:r>
              <w:rPr>
                <w:noProof/>
                <w:color w:val="000000" w:themeColor="text1"/>
                <w:sz w:val="20"/>
                <w:szCs w:val="20"/>
              </w:rPr>
              <w:t>22,298</w:t>
            </w:r>
          </w:p>
        </w:tc>
        <w:tc>
          <w:tcPr>
            <w:tcW w:w="931" w:type="dxa"/>
            <w:shd w:val="clear" w:color="auto" w:fill="A6A6A6"/>
            <w:vAlign w:val="center"/>
          </w:tcPr>
          <w:p>
            <w:pPr>
              <w:spacing w:before="40" w:after="40"/>
              <w:jc w:val="center"/>
              <w:rPr>
                <w:b/>
                <w:noProof/>
                <w:color w:val="000000" w:themeColor="text1"/>
                <w:sz w:val="20"/>
                <w:szCs w:val="20"/>
                <w:highlight w:val="yellow"/>
              </w:rPr>
            </w:pPr>
            <w:r>
              <w:rPr>
                <w:noProof/>
                <w:color w:val="000000" w:themeColor="text1"/>
                <w:sz w:val="20"/>
                <w:szCs w:val="20"/>
              </w:rPr>
              <w:t>32,698</w:t>
            </w:r>
          </w:p>
        </w:tc>
        <w:tc>
          <w:tcPr>
            <w:tcW w:w="1057" w:type="dxa"/>
            <w:vAlign w:val="center"/>
          </w:tcPr>
          <w:p>
            <w:pPr>
              <w:spacing w:before="40" w:after="40"/>
              <w:jc w:val="center"/>
              <w:rPr>
                <w:b/>
                <w:noProof/>
                <w:color w:val="000000" w:themeColor="text1"/>
                <w:sz w:val="20"/>
                <w:szCs w:val="20"/>
              </w:rPr>
            </w:pPr>
            <w:r>
              <w:rPr>
                <w:noProof/>
                <w:color w:val="000000" w:themeColor="text1"/>
                <w:sz w:val="20"/>
                <w:szCs w:val="20"/>
              </w:rPr>
              <w:t>163,554</w:t>
            </w:r>
          </w:p>
        </w:tc>
      </w:tr>
      <w:tr>
        <w:trPr>
          <w:jc w:val="center"/>
        </w:trPr>
        <w:tc>
          <w:tcPr>
            <w:tcW w:w="3023" w:type="dxa"/>
            <w:vMerge w:val="restart"/>
            <w:vAlign w:val="center"/>
          </w:tcPr>
          <w:p>
            <w:pPr>
              <w:jc w:val="left"/>
              <w:rPr>
                <w:b/>
                <w:noProof/>
                <w:sz w:val="18"/>
                <w:szCs w:val="18"/>
              </w:rPr>
            </w:pPr>
            <w:r>
              <w:rPr>
                <w:b/>
                <w:noProof/>
                <w:sz w:val="18"/>
                <w:szCs w:val="18"/>
              </w:rPr>
              <w:t>TOTAL das dotações para o enquadramento financeiro do programa</w:t>
            </w:r>
          </w:p>
        </w:tc>
        <w:tc>
          <w:tcPr>
            <w:tcW w:w="1701" w:type="dxa"/>
            <w:vAlign w:val="center"/>
          </w:tcPr>
          <w:p>
            <w:pPr>
              <w:jc w:val="left"/>
              <w:rPr>
                <w:noProof/>
                <w:sz w:val="18"/>
                <w:szCs w:val="18"/>
              </w:rPr>
            </w:pPr>
            <w:r>
              <w:rPr>
                <w:noProof/>
                <w:sz w:val="18"/>
                <w:szCs w:val="18"/>
              </w:rPr>
              <w:t>Autorizações</w:t>
            </w:r>
          </w:p>
        </w:tc>
        <w:tc>
          <w:tcPr>
            <w:tcW w:w="709" w:type="dxa"/>
            <w:vAlign w:val="center"/>
          </w:tcPr>
          <w:p>
            <w:pPr>
              <w:jc w:val="center"/>
              <w:rPr>
                <w:noProof/>
                <w:sz w:val="18"/>
                <w:szCs w:val="18"/>
              </w:rPr>
            </w:pPr>
            <w:r>
              <w:rPr>
                <w:noProof/>
                <w:sz w:val="18"/>
                <w:szCs w:val="18"/>
              </w:rPr>
              <w:t>=1+3</w:t>
            </w:r>
          </w:p>
        </w:tc>
        <w:tc>
          <w:tcPr>
            <w:tcW w:w="931" w:type="dxa"/>
            <w:vAlign w:val="center"/>
          </w:tcPr>
          <w:p>
            <w:pPr>
              <w:spacing w:before="20" w:after="20"/>
              <w:jc w:val="center"/>
              <w:rPr>
                <w:noProof/>
                <w:color w:val="000000" w:themeColor="text1"/>
                <w:sz w:val="20"/>
                <w:szCs w:val="20"/>
              </w:rPr>
            </w:pPr>
            <w:r>
              <w:rPr>
                <w:b/>
                <w:noProof/>
                <w:color w:val="000000" w:themeColor="text1"/>
                <w:sz w:val="20"/>
                <w:szCs w:val="20"/>
              </w:rPr>
              <w:t>187,464</w:t>
            </w:r>
          </w:p>
        </w:tc>
        <w:tc>
          <w:tcPr>
            <w:tcW w:w="931" w:type="dxa"/>
            <w:vAlign w:val="center"/>
          </w:tcPr>
          <w:p>
            <w:pPr>
              <w:spacing w:before="20" w:after="20"/>
              <w:jc w:val="center"/>
              <w:rPr>
                <w:noProof/>
                <w:color w:val="000000" w:themeColor="text1"/>
                <w:sz w:val="20"/>
                <w:szCs w:val="20"/>
              </w:rPr>
            </w:pPr>
            <w:r>
              <w:rPr>
                <w:b/>
                <w:noProof/>
                <w:color w:val="000000" w:themeColor="text1"/>
                <w:sz w:val="20"/>
                <w:szCs w:val="20"/>
              </w:rPr>
              <w:t>192,234</w:t>
            </w:r>
          </w:p>
        </w:tc>
        <w:tc>
          <w:tcPr>
            <w:tcW w:w="931" w:type="dxa"/>
            <w:vAlign w:val="center"/>
          </w:tcPr>
          <w:p>
            <w:pPr>
              <w:spacing w:before="20" w:after="20"/>
              <w:jc w:val="center"/>
              <w:rPr>
                <w:noProof/>
                <w:color w:val="000000" w:themeColor="text1"/>
                <w:sz w:val="20"/>
                <w:szCs w:val="20"/>
              </w:rPr>
            </w:pPr>
            <w:r>
              <w:rPr>
                <w:b/>
                <w:noProof/>
                <w:color w:val="000000" w:themeColor="text1"/>
                <w:sz w:val="20"/>
                <w:szCs w:val="20"/>
              </w:rPr>
              <w:t>196,078</w:t>
            </w:r>
          </w:p>
        </w:tc>
        <w:tc>
          <w:tcPr>
            <w:tcW w:w="931" w:type="dxa"/>
            <w:vAlign w:val="center"/>
          </w:tcPr>
          <w:p>
            <w:pPr>
              <w:spacing w:before="20" w:after="20"/>
              <w:jc w:val="center"/>
              <w:rPr>
                <w:noProof/>
                <w:color w:val="000000" w:themeColor="text1"/>
                <w:sz w:val="20"/>
                <w:szCs w:val="20"/>
              </w:rPr>
            </w:pPr>
            <w:r>
              <w:rPr>
                <w:b/>
                <w:noProof/>
                <w:color w:val="000000" w:themeColor="text1"/>
                <w:sz w:val="20"/>
                <w:szCs w:val="20"/>
              </w:rPr>
              <w:t>200,000</w:t>
            </w:r>
          </w:p>
        </w:tc>
        <w:tc>
          <w:tcPr>
            <w:tcW w:w="931" w:type="dxa"/>
            <w:vAlign w:val="center"/>
          </w:tcPr>
          <w:p>
            <w:pPr>
              <w:spacing w:before="20" w:after="20"/>
              <w:jc w:val="center"/>
              <w:rPr>
                <w:noProof/>
                <w:color w:val="000000" w:themeColor="text1"/>
                <w:sz w:val="20"/>
                <w:szCs w:val="20"/>
              </w:rPr>
            </w:pPr>
            <w:r>
              <w:rPr>
                <w:b/>
                <w:noProof/>
                <w:color w:val="000000" w:themeColor="text1"/>
                <w:sz w:val="20"/>
                <w:szCs w:val="20"/>
              </w:rPr>
              <w:t>204,000</w:t>
            </w:r>
          </w:p>
        </w:tc>
        <w:tc>
          <w:tcPr>
            <w:tcW w:w="931" w:type="dxa"/>
            <w:vAlign w:val="center"/>
          </w:tcPr>
          <w:p>
            <w:pPr>
              <w:spacing w:before="20" w:after="20"/>
              <w:jc w:val="center"/>
              <w:rPr>
                <w:noProof/>
                <w:color w:val="000000" w:themeColor="text1"/>
                <w:sz w:val="20"/>
                <w:szCs w:val="20"/>
              </w:rPr>
            </w:pPr>
            <w:r>
              <w:rPr>
                <w:b/>
                <w:noProof/>
                <w:color w:val="000000" w:themeColor="text1"/>
                <w:sz w:val="20"/>
                <w:szCs w:val="20"/>
              </w:rPr>
              <w:t>208,080</w:t>
            </w:r>
          </w:p>
        </w:tc>
        <w:tc>
          <w:tcPr>
            <w:tcW w:w="931" w:type="dxa"/>
            <w:vAlign w:val="center"/>
          </w:tcPr>
          <w:p>
            <w:pPr>
              <w:spacing w:before="20" w:after="20"/>
              <w:jc w:val="center"/>
              <w:rPr>
                <w:b/>
                <w:noProof/>
                <w:color w:val="000000" w:themeColor="text1"/>
                <w:sz w:val="20"/>
                <w:szCs w:val="20"/>
              </w:rPr>
            </w:pPr>
            <w:r>
              <w:rPr>
                <w:b/>
                <w:noProof/>
                <w:color w:val="000000" w:themeColor="text1"/>
                <w:sz w:val="20"/>
                <w:szCs w:val="20"/>
              </w:rPr>
              <w:t>212,144</w:t>
            </w:r>
          </w:p>
        </w:tc>
        <w:tc>
          <w:tcPr>
            <w:tcW w:w="931" w:type="dxa"/>
            <w:shd w:val="clear" w:color="auto" w:fill="A6A6A6"/>
            <w:vAlign w:val="center"/>
          </w:tcPr>
          <w:p>
            <w:pPr>
              <w:spacing w:before="20" w:after="20"/>
              <w:jc w:val="center"/>
              <w:rPr>
                <w:b/>
                <w:noProof/>
                <w:color w:val="000000" w:themeColor="text1"/>
                <w:sz w:val="20"/>
                <w:szCs w:val="20"/>
              </w:rPr>
            </w:pPr>
          </w:p>
        </w:tc>
        <w:tc>
          <w:tcPr>
            <w:tcW w:w="1057" w:type="dxa"/>
            <w:vAlign w:val="center"/>
          </w:tcPr>
          <w:p>
            <w:pPr>
              <w:spacing w:before="20" w:after="20"/>
              <w:jc w:val="center"/>
              <w:rPr>
                <w:b/>
                <w:noProof/>
                <w:color w:val="000000" w:themeColor="text1"/>
                <w:sz w:val="20"/>
                <w:szCs w:val="20"/>
              </w:rPr>
            </w:pPr>
            <w:r>
              <w:rPr>
                <w:b/>
                <w:noProof/>
                <w:color w:val="000000" w:themeColor="text1"/>
                <w:sz w:val="20"/>
                <w:szCs w:val="20"/>
              </w:rPr>
              <w:t>1 400,000</w:t>
            </w:r>
          </w:p>
        </w:tc>
      </w:tr>
      <w:tr>
        <w:trPr>
          <w:jc w:val="center"/>
        </w:trPr>
        <w:tc>
          <w:tcPr>
            <w:tcW w:w="3023" w:type="dxa"/>
            <w:vMerge/>
            <w:vAlign w:val="center"/>
          </w:tcPr>
          <w:p>
            <w:pPr>
              <w:jc w:val="center"/>
              <w:rPr>
                <w:noProof/>
                <w:sz w:val="18"/>
                <w:szCs w:val="18"/>
              </w:rPr>
            </w:pPr>
          </w:p>
        </w:tc>
        <w:tc>
          <w:tcPr>
            <w:tcW w:w="1701" w:type="dxa"/>
            <w:vAlign w:val="center"/>
          </w:tcPr>
          <w:p>
            <w:pPr>
              <w:jc w:val="left"/>
              <w:rPr>
                <w:noProof/>
                <w:sz w:val="18"/>
                <w:szCs w:val="18"/>
              </w:rPr>
            </w:pPr>
            <w:r>
              <w:rPr>
                <w:noProof/>
                <w:sz w:val="18"/>
                <w:szCs w:val="18"/>
              </w:rPr>
              <w:t>Pagamentos</w:t>
            </w:r>
          </w:p>
        </w:tc>
        <w:tc>
          <w:tcPr>
            <w:tcW w:w="709" w:type="dxa"/>
            <w:vAlign w:val="center"/>
          </w:tcPr>
          <w:p>
            <w:pPr>
              <w:jc w:val="center"/>
              <w:rPr>
                <w:noProof/>
                <w:sz w:val="18"/>
                <w:szCs w:val="18"/>
              </w:rPr>
            </w:pPr>
            <w:r>
              <w:rPr>
                <w:noProof/>
                <w:sz w:val="18"/>
                <w:szCs w:val="18"/>
              </w:rPr>
              <w:t>=2+4</w:t>
            </w:r>
          </w:p>
        </w:tc>
        <w:tc>
          <w:tcPr>
            <w:tcW w:w="931" w:type="dxa"/>
            <w:vAlign w:val="center"/>
          </w:tcPr>
          <w:p>
            <w:pPr>
              <w:spacing w:before="20" w:after="20"/>
              <w:jc w:val="center"/>
              <w:rPr>
                <w:noProof/>
                <w:color w:val="000000" w:themeColor="text1"/>
                <w:sz w:val="20"/>
                <w:szCs w:val="20"/>
              </w:rPr>
            </w:pPr>
            <w:r>
              <w:rPr>
                <w:bCs/>
                <w:noProof/>
                <w:color w:val="000000" w:themeColor="text1"/>
                <w:sz w:val="20"/>
                <w:szCs w:val="20"/>
              </w:rPr>
              <w:t>58,965</w:t>
            </w:r>
          </w:p>
        </w:tc>
        <w:tc>
          <w:tcPr>
            <w:tcW w:w="931" w:type="dxa"/>
            <w:vAlign w:val="center"/>
          </w:tcPr>
          <w:p>
            <w:pPr>
              <w:spacing w:before="20" w:after="20"/>
              <w:jc w:val="center"/>
              <w:rPr>
                <w:noProof/>
                <w:color w:val="000000" w:themeColor="text1"/>
                <w:sz w:val="20"/>
                <w:szCs w:val="20"/>
              </w:rPr>
            </w:pPr>
            <w:r>
              <w:rPr>
                <w:bCs/>
                <w:noProof/>
                <w:color w:val="000000" w:themeColor="text1"/>
                <w:sz w:val="20"/>
                <w:szCs w:val="20"/>
              </w:rPr>
              <w:t>109,272</w:t>
            </w:r>
          </w:p>
        </w:tc>
        <w:tc>
          <w:tcPr>
            <w:tcW w:w="931" w:type="dxa"/>
            <w:vAlign w:val="center"/>
          </w:tcPr>
          <w:p>
            <w:pPr>
              <w:spacing w:before="20" w:after="20"/>
              <w:jc w:val="center"/>
              <w:rPr>
                <w:noProof/>
                <w:color w:val="000000" w:themeColor="text1"/>
                <w:sz w:val="20"/>
                <w:szCs w:val="20"/>
              </w:rPr>
            </w:pPr>
            <w:r>
              <w:rPr>
                <w:noProof/>
                <w:color w:val="000000" w:themeColor="text1"/>
                <w:sz w:val="20"/>
                <w:szCs w:val="20"/>
              </w:rPr>
              <w:t>157,874</w:t>
            </w:r>
          </w:p>
        </w:tc>
        <w:tc>
          <w:tcPr>
            <w:tcW w:w="931" w:type="dxa"/>
            <w:vAlign w:val="center"/>
          </w:tcPr>
          <w:p>
            <w:pPr>
              <w:spacing w:before="20" w:after="20"/>
              <w:jc w:val="center"/>
              <w:rPr>
                <w:noProof/>
                <w:color w:val="000000" w:themeColor="text1"/>
                <w:sz w:val="20"/>
                <w:szCs w:val="20"/>
              </w:rPr>
            </w:pPr>
            <w:r>
              <w:rPr>
                <w:noProof/>
                <w:color w:val="000000" w:themeColor="text1"/>
                <w:sz w:val="20"/>
                <w:szCs w:val="20"/>
              </w:rPr>
              <w:t>184,712</w:t>
            </w:r>
          </w:p>
        </w:tc>
        <w:tc>
          <w:tcPr>
            <w:tcW w:w="931" w:type="dxa"/>
            <w:vAlign w:val="center"/>
          </w:tcPr>
          <w:p>
            <w:pPr>
              <w:spacing w:before="20" w:after="20"/>
              <w:jc w:val="center"/>
              <w:rPr>
                <w:noProof/>
                <w:color w:val="000000" w:themeColor="text1"/>
                <w:sz w:val="20"/>
                <w:szCs w:val="20"/>
              </w:rPr>
            </w:pPr>
            <w:r>
              <w:rPr>
                <w:noProof/>
                <w:color w:val="000000" w:themeColor="text1"/>
                <w:sz w:val="20"/>
                <w:szCs w:val="20"/>
              </w:rPr>
              <w:t>190,535</w:t>
            </w:r>
          </w:p>
        </w:tc>
        <w:tc>
          <w:tcPr>
            <w:tcW w:w="931" w:type="dxa"/>
            <w:vAlign w:val="center"/>
          </w:tcPr>
          <w:p>
            <w:pPr>
              <w:spacing w:before="20" w:after="20"/>
              <w:jc w:val="center"/>
              <w:rPr>
                <w:noProof/>
                <w:color w:val="000000" w:themeColor="text1"/>
                <w:sz w:val="20"/>
                <w:szCs w:val="20"/>
              </w:rPr>
            </w:pPr>
            <w:r>
              <w:rPr>
                <w:noProof/>
                <w:color w:val="000000" w:themeColor="text1"/>
                <w:sz w:val="20"/>
                <w:szCs w:val="20"/>
              </w:rPr>
              <w:t>194,855</w:t>
            </w:r>
          </w:p>
        </w:tc>
        <w:tc>
          <w:tcPr>
            <w:tcW w:w="931" w:type="dxa"/>
            <w:vAlign w:val="center"/>
          </w:tcPr>
          <w:p>
            <w:pPr>
              <w:spacing w:before="20" w:after="20"/>
              <w:jc w:val="center"/>
              <w:rPr>
                <w:noProof/>
                <w:color w:val="000000" w:themeColor="text1"/>
                <w:sz w:val="20"/>
                <w:szCs w:val="20"/>
              </w:rPr>
            </w:pPr>
            <w:r>
              <w:rPr>
                <w:noProof/>
                <w:color w:val="000000" w:themeColor="text1"/>
                <w:sz w:val="20"/>
                <w:szCs w:val="20"/>
              </w:rPr>
              <w:t>199,091</w:t>
            </w:r>
          </w:p>
        </w:tc>
        <w:tc>
          <w:tcPr>
            <w:tcW w:w="931" w:type="dxa"/>
            <w:vAlign w:val="center"/>
          </w:tcPr>
          <w:p>
            <w:pPr>
              <w:spacing w:before="20" w:after="20"/>
              <w:jc w:val="center"/>
              <w:rPr>
                <w:noProof/>
                <w:color w:val="000000" w:themeColor="text1"/>
                <w:sz w:val="20"/>
                <w:szCs w:val="20"/>
              </w:rPr>
            </w:pPr>
            <w:r>
              <w:rPr>
                <w:b/>
                <w:bCs/>
                <w:noProof/>
                <w:color w:val="000000" w:themeColor="text1"/>
                <w:sz w:val="20"/>
                <w:szCs w:val="20"/>
              </w:rPr>
              <w:t>304,696</w:t>
            </w:r>
          </w:p>
        </w:tc>
        <w:tc>
          <w:tcPr>
            <w:tcW w:w="1057" w:type="dxa"/>
            <w:vAlign w:val="center"/>
          </w:tcPr>
          <w:p>
            <w:pPr>
              <w:spacing w:before="20" w:after="20"/>
              <w:jc w:val="center"/>
              <w:rPr>
                <w:noProof/>
                <w:color w:val="000000" w:themeColor="text1"/>
                <w:sz w:val="20"/>
                <w:szCs w:val="20"/>
              </w:rPr>
            </w:pPr>
            <w:r>
              <w:rPr>
                <w:b/>
                <w:bCs/>
                <w:noProof/>
                <w:color w:val="000000" w:themeColor="text1"/>
                <w:sz w:val="20"/>
                <w:szCs w:val="20"/>
              </w:rPr>
              <w:t>1 400,000</w:t>
            </w:r>
          </w:p>
        </w:tc>
      </w:tr>
    </w:tbl>
    <w:p>
      <w:pPr>
        <w:rPr>
          <w:noProof/>
        </w:rPr>
      </w:pPr>
    </w:p>
    <w:p>
      <w:pPr>
        <w:spacing w:before="0" w:after="200" w:line="276" w:lineRule="auto"/>
        <w:jc w:val="left"/>
        <w:rPr>
          <w:noProof/>
        </w:rPr>
      </w:pPr>
      <w:r>
        <w:rPr>
          <w:noProof/>
        </w:rPr>
        <w:br w:type="page"/>
      </w:r>
    </w:p>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312"/>
        <w:gridCol w:w="7956"/>
      </w:tblGrid>
      <w:tr>
        <w:trPr>
          <w:jc w:val="center"/>
        </w:trPr>
        <w:tc>
          <w:tcPr>
            <w:tcW w:w="4744" w:type="dxa"/>
            <w:shd w:val="thinDiagStripe" w:color="C0C0C0" w:fill="auto"/>
            <w:vAlign w:val="center"/>
          </w:tcPr>
          <w:p>
            <w:pPr>
              <w:spacing w:before="60" w:after="60"/>
              <w:jc w:val="center"/>
              <w:rPr>
                <w:b/>
                <w:noProof/>
                <w:sz w:val="20"/>
                <w:szCs w:val="20"/>
              </w:rPr>
            </w:pPr>
            <w:r>
              <w:rPr>
                <w:noProof/>
              </w:rPr>
              <w:br w:type="page"/>
            </w:r>
            <w:r>
              <w:rPr>
                <w:b/>
                <w:noProof/>
                <w:sz w:val="20"/>
                <w:szCs w:val="20"/>
              </w:rPr>
              <w:t xml:space="preserve">Rubrica do quadro financeiro plurianual </w:t>
            </w:r>
          </w:p>
        </w:tc>
        <w:tc>
          <w:tcPr>
            <w:tcW w:w="1312" w:type="dxa"/>
            <w:shd w:val="thinDiagStripe" w:color="C0C0C0" w:fill="auto"/>
            <w:vAlign w:val="center"/>
          </w:tcPr>
          <w:p>
            <w:pPr>
              <w:spacing w:before="60" w:after="60"/>
              <w:jc w:val="center"/>
              <w:rPr>
                <w:noProof/>
                <w:sz w:val="20"/>
                <w:szCs w:val="20"/>
              </w:rPr>
            </w:pPr>
            <w:r>
              <w:rPr>
                <w:noProof/>
                <w:sz w:val="20"/>
                <w:szCs w:val="20"/>
              </w:rPr>
              <w:t>7</w:t>
            </w:r>
          </w:p>
        </w:tc>
        <w:tc>
          <w:tcPr>
            <w:tcW w:w="7956" w:type="dxa"/>
            <w:vAlign w:val="center"/>
          </w:tcPr>
          <w:p>
            <w:pPr>
              <w:spacing w:before="60" w:after="60"/>
              <w:rPr>
                <w:noProof/>
                <w:sz w:val="20"/>
                <w:szCs w:val="20"/>
              </w:rPr>
            </w:pPr>
            <w:r>
              <w:rPr>
                <w:noProof/>
                <w:sz w:val="20"/>
                <w:szCs w:val="20"/>
              </w:rPr>
              <w:t>«Despesas administrativas»</w:t>
            </w:r>
          </w:p>
        </w:tc>
      </w:tr>
    </w:tbl>
    <w:p>
      <w:pPr>
        <w:jc w:val="right"/>
        <w:rPr>
          <w:noProof/>
          <w:sz w:val="20"/>
          <w:szCs w:val="20"/>
        </w:rPr>
      </w:pPr>
    </w:p>
    <w:p>
      <w:pPr>
        <w:jc w:val="right"/>
        <w:rPr>
          <w:noProof/>
          <w:sz w:val="20"/>
          <w:szCs w:val="20"/>
        </w:rPr>
      </w:pPr>
      <w:r>
        <w:rPr>
          <w:noProof/>
          <w:sz w:val="20"/>
          <w:szCs w:val="20"/>
        </w:rPr>
        <w:t>Em milhões de EUR (3 casas decimais)</w:t>
      </w:r>
    </w:p>
    <w:tbl>
      <w:tblPr>
        <w:tblW w:w="14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887"/>
        <w:gridCol w:w="964"/>
      </w:tblGrid>
      <w:tr>
        <w:trPr>
          <w:jc w:val="center"/>
        </w:trPr>
        <w:tc>
          <w:tcPr>
            <w:tcW w:w="6245" w:type="dxa"/>
            <w:gridSpan w:val="2"/>
            <w:tcBorders>
              <w:top w:val="nil"/>
              <w:left w:val="nil"/>
            </w:tcBorders>
            <w:vAlign w:val="center"/>
          </w:tcPr>
          <w:p>
            <w:pPr>
              <w:jc w:val="center"/>
              <w:rPr>
                <w:noProof/>
                <w:sz w:val="20"/>
                <w:szCs w:val="20"/>
              </w:rPr>
            </w:pPr>
          </w:p>
        </w:tc>
        <w:tc>
          <w:tcPr>
            <w:tcW w:w="868" w:type="dxa"/>
            <w:vAlign w:val="center"/>
          </w:tcPr>
          <w:p>
            <w:pPr>
              <w:jc w:val="center"/>
              <w:rPr>
                <w:b/>
                <w:noProof/>
                <w:sz w:val="20"/>
                <w:szCs w:val="20"/>
              </w:rPr>
            </w:pPr>
            <w:r>
              <w:rPr>
                <w:b/>
                <w:noProof/>
                <w:sz w:val="20"/>
                <w:szCs w:val="20"/>
              </w:rPr>
              <w:t>2021</w:t>
            </w:r>
          </w:p>
        </w:tc>
        <w:tc>
          <w:tcPr>
            <w:tcW w:w="868" w:type="dxa"/>
            <w:vAlign w:val="center"/>
          </w:tcPr>
          <w:p>
            <w:pPr>
              <w:jc w:val="center"/>
              <w:rPr>
                <w:b/>
                <w:noProof/>
                <w:sz w:val="20"/>
                <w:szCs w:val="20"/>
              </w:rPr>
            </w:pPr>
            <w:r>
              <w:rPr>
                <w:b/>
                <w:noProof/>
                <w:sz w:val="20"/>
                <w:szCs w:val="20"/>
              </w:rPr>
              <w:t>2022</w:t>
            </w:r>
          </w:p>
        </w:tc>
        <w:tc>
          <w:tcPr>
            <w:tcW w:w="868" w:type="dxa"/>
            <w:vAlign w:val="center"/>
          </w:tcPr>
          <w:p>
            <w:pPr>
              <w:jc w:val="center"/>
              <w:rPr>
                <w:b/>
                <w:noProof/>
                <w:sz w:val="20"/>
                <w:szCs w:val="20"/>
              </w:rPr>
            </w:pPr>
            <w:r>
              <w:rPr>
                <w:b/>
                <w:noProof/>
                <w:sz w:val="20"/>
                <w:szCs w:val="20"/>
              </w:rPr>
              <w:t>2023</w:t>
            </w:r>
          </w:p>
        </w:tc>
        <w:tc>
          <w:tcPr>
            <w:tcW w:w="868" w:type="dxa"/>
            <w:vAlign w:val="center"/>
          </w:tcPr>
          <w:p>
            <w:pPr>
              <w:jc w:val="center"/>
              <w:rPr>
                <w:b/>
                <w:noProof/>
                <w:sz w:val="20"/>
                <w:szCs w:val="20"/>
              </w:rPr>
            </w:pPr>
            <w:r>
              <w:rPr>
                <w:b/>
                <w:noProof/>
                <w:sz w:val="20"/>
                <w:szCs w:val="20"/>
              </w:rPr>
              <w:t>2024</w:t>
            </w:r>
          </w:p>
        </w:tc>
        <w:tc>
          <w:tcPr>
            <w:tcW w:w="868" w:type="dxa"/>
            <w:vAlign w:val="center"/>
          </w:tcPr>
          <w:p>
            <w:pPr>
              <w:jc w:val="center"/>
              <w:rPr>
                <w:b/>
                <w:noProof/>
                <w:sz w:val="20"/>
                <w:szCs w:val="20"/>
              </w:rPr>
            </w:pPr>
            <w:r>
              <w:rPr>
                <w:b/>
                <w:noProof/>
                <w:sz w:val="20"/>
                <w:szCs w:val="20"/>
              </w:rPr>
              <w:t>2025</w:t>
            </w:r>
          </w:p>
        </w:tc>
        <w:tc>
          <w:tcPr>
            <w:tcW w:w="868" w:type="dxa"/>
            <w:vAlign w:val="center"/>
          </w:tcPr>
          <w:p>
            <w:pPr>
              <w:jc w:val="center"/>
              <w:rPr>
                <w:b/>
                <w:noProof/>
                <w:sz w:val="20"/>
                <w:szCs w:val="20"/>
              </w:rPr>
            </w:pPr>
            <w:r>
              <w:rPr>
                <w:b/>
                <w:noProof/>
                <w:sz w:val="20"/>
                <w:szCs w:val="20"/>
              </w:rPr>
              <w:t>2026</w:t>
            </w:r>
          </w:p>
        </w:tc>
        <w:tc>
          <w:tcPr>
            <w:tcW w:w="868" w:type="dxa"/>
            <w:vAlign w:val="center"/>
          </w:tcPr>
          <w:p>
            <w:pPr>
              <w:jc w:val="center"/>
              <w:rPr>
                <w:b/>
                <w:noProof/>
                <w:sz w:val="20"/>
                <w:szCs w:val="20"/>
              </w:rPr>
            </w:pPr>
            <w:r>
              <w:rPr>
                <w:b/>
                <w:noProof/>
                <w:sz w:val="20"/>
                <w:szCs w:val="20"/>
              </w:rPr>
              <w:t>2027</w:t>
            </w:r>
          </w:p>
        </w:tc>
        <w:tc>
          <w:tcPr>
            <w:tcW w:w="887" w:type="dxa"/>
          </w:tcPr>
          <w:p>
            <w:pPr>
              <w:jc w:val="center"/>
              <w:rPr>
                <w:b/>
                <w:noProof/>
                <w:sz w:val="20"/>
                <w:szCs w:val="20"/>
              </w:rPr>
            </w:pPr>
            <w:r>
              <w:rPr>
                <w:b/>
                <w:i/>
                <w:noProof/>
                <w:sz w:val="20"/>
                <w:szCs w:val="20"/>
              </w:rPr>
              <w:t>Após 2027</w:t>
            </w:r>
          </w:p>
        </w:tc>
        <w:tc>
          <w:tcPr>
            <w:tcW w:w="964" w:type="dxa"/>
            <w:vAlign w:val="center"/>
          </w:tcPr>
          <w:p>
            <w:pPr>
              <w:jc w:val="center"/>
              <w:rPr>
                <w:b/>
                <w:noProof/>
                <w:sz w:val="20"/>
                <w:szCs w:val="20"/>
              </w:rPr>
            </w:pPr>
            <w:r>
              <w:rPr>
                <w:b/>
                <w:noProof/>
                <w:sz w:val="20"/>
                <w:szCs w:val="20"/>
              </w:rPr>
              <w:t>TOTAL</w:t>
            </w:r>
          </w:p>
        </w:tc>
      </w:tr>
      <w:tr>
        <w:trPr>
          <w:trHeight w:val="313"/>
          <w:jc w:val="center"/>
        </w:trPr>
        <w:tc>
          <w:tcPr>
            <w:tcW w:w="6245" w:type="dxa"/>
            <w:gridSpan w:val="2"/>
            <w:vAlign w:val="center"/>
          </w:tcPr>
          <w:p>
            <w:pPr>
              <w:spacing w:before="20" w:after="20"/>
              <w:rPr>
                <w:noProof/>
                <w:sz w:val="20"/>
                <w:szCs w:val="20"/>
              </w:rPr>
            </w:pPr>
            <w:r>
              <w:rPr>
                <w:noProof/>
                <w:sz w:val="20"/>
                <w:szCs w:val="20"/>
              </w:rPr>
              <w:t xml:space="preserve">Recursos humanos </w:t>
            </w:r>
          </w:p>
        </w:tc>
        <w:tc>
          <w:tcPr>
            <w:tcW w:w="868" w:type="dxa"/>
          </w:tcPr>
          <w:p>
            <w:pPr>
              <w:jc w:val="center"/>
              <w:rPr>
                <w:noProof/>
                <w:sz w:val="20"/>
                <w:szCs w:val="20"/>
              </w:rPr>
            </w:pPr>
            <w:r>
              <w:rPr>
                <w:noProof/>
                <w:sz w:val="20"/>
                <w:szCs w:val="20"/>
              </w:rPr>
              <w:t>21,448</w:t>
            </w:r>
          </w:p>
        </w:tc>
        <w:tc>
          <w:tcPr>
            <w:tcW w:w="868" w:type="dxa"/>
          </w:tcPr>
          <w:p>
            <w:pPr>
              <w:jc w:val="center"/>
              <w:rPr>
                <w:noProof/>
                <w:sz w:val="20"/>
                <w:szCs w:val="20"/>
              </w:rPr>
            </w:pPr>
            <w:r>
              <w:rPr>
                <w:noProof/>
                <w:sz w:val="20"/>
                <w:szCs w:val="20"/>
              </w:rPr>
              <w:t>21,665</w:t>
            </w:r>
          </w:p>
        </w:tc>
        <w:tc>
          <w:tcPr>
            <w:tcW w:w="868" w:type="dxa"/>
          </w:tcPr>
          <w:p>
            <w:pPr>
              <w:jc w:val="center"/>
              <w:rPr>
                <w:noProof/>
                <w:sz w:val="20"/>
                <w:szCs w:val="20"/>
              </w:rPr>
            </w:pPr>
            <w:r>
              <w:rPr>
                <w:noProof/>
                <w:sz w:val="20"/>
                <w:szCs w:val="20"/>
              </w:rPr>
              <w:t>21,882</w:t>
            </w:r>
          </w:p>
        </w:tc>
        <w:tc>
          <w:tcPr>
            <w:tcW w:w="868" w:type="dxa"/>
          </w:tcPr>
          <w:p>
            <w:pPr>
              <w:jc w:val="center"/>
              <w:rPr>
                <w:noProof/>
                <w:sz w:val="20"/>
                <w:szCs w:val="20"/>
              </w:rPr>
            </w:pPr>
            <w:r>
              <w:rPr>
                <w:noProof/>
                <w:sz w:val="20"/>
                <w:szCs w:val="20"/>
              </w:rPr>
              <w:t>22,099</w:t>
            </w:r>
          </w:p>
        </w:tc>
        <w:tc>
          <w:tcPr>
            <w:tcW w:w="868" w:type="dxa"/>
          </w:tcPr>
          <w:p>
            <w:pPr>
              <w:jc w:val="center"/>
              <w:rPr>
                <w:noProof/>
                <w:sz w:val="20"/>
                <w:szCs w:val="20"/>
              </w:rPr>
            </w:pPr>
            <w:r>
              <w:rPr>
                <w:noProof/>
                <w:sz w:val="20"/>
                <w:szCs w:val="20"/>
              </w:rPr>
              <w:t>22,099</w:t>
            </w:r>
          </w:p>
        </w:tc>
        <w:tc>
          <w:tcPr>
            <w:tcW w:w="868" w:type="dxa"/>
          </w:tcPr>
          <w:p>
            <w:pPr>
              <w:jc w:val="center"/>
              <w:rPr>
                <w:noProof/>
                <w:sz w:val="20"/>
                <w:szCs w:val="20"/>
              </w:rPr>
            </w:pPr>
            <w:r>
              <w:rPr>
                <w:noProof/>
                <w:sz w:val="20"/>
                <w:szCs w:val="20"/>
              </w:rPr>
              <w:t>22,099</w:t>
            </w:r>
          </w:p>
        </w:tc>
        <w:tc>
          <w:tcPr>
            <w:tcW w:w="868" w:type="dxa"/>
          </w:tcPr>
          <w:p>
            <w:pPr>
              <w:jc w:val="center"/>
              <w:rPr>
                <w:noProof/>
                <w:sz w:val="20"/>
                <w:szCs w:val="20"/>
              </w:rPr>
            </w:pPr>
            <w:r>
              <w:rPr>
                <w:noProof/>
                <w:sz w:val="20"/>
                <w:szCs w:val="20"/>
              </w:rPr>
              <w:t>22,099</w:t>
            </w:r>
          </w:p>
        </w:tc>
        <w:tc>
          <w:tcPr>
            <w:tcW w:w="887" w:type="dxa"/>
            <w:shd w:val="clear" w:color="auto" w:fill="A6A6A6"/>
          </w:tcPr>
          <w:p>
            <w:pPr>
              <w:jc w:val="center"/>
              <w:rPr>
                <w:noProof/>
                <w:sz w:val="20"/>
                <w:szCs w:val="20"/>
              </w:rPr>
            </w:pPr>
          </w:p>
        </w:tc>
        <w:tc>
          <w:tcPr>
            <w:tcW w:w="964" w:type="dxa"/>
          </w:tcPr>
          <w:p>
            <w:pPr>
              <w:jc w:val="center"/>
              <w:rPr>
                <w:noProof/>
                <w:sz w:val="20"/>
                <w:szCs w:val="20"/>
              </w:rPr>
            </w:pPr>
            <w:r>
              <w:rPr>
                <w:b/>
                <w:noProof/>
                <w:sz w:val="20"/>
                <w:szCs w:val="20"/>
              </w:rPr>
              <w:t>153,391</w:t>
            </w:r>
          </w:p>
        </w:tc>
      </w:tr>
      <w:tr>
        <w:trPr>
          <w:trHeight w:val="351"/>
          <w:jc w:val="center"/>
        </w:trPr>
        <w:tc>
          <w:tcPr>
            <w:tcW w:w="6245" w:type="dxa"/>
            <w:gridSpan w:val="2"/>
            <w:vAlign w:val="center"/>
          </w:tcPr>
          <w:p>
            <w:pPr>
              <w:spacing w:before="20" w:after="20"/>
              <w:rPr>
                <w:noProof/>
                <w:sz w:val="20"/>
                <w:szCs w:val="20"/>
              </w:rPr>
            </w:pPr>
            <w:r>
              <w:rPr>
                <w:noProof/>
                <w:sz w:val="20"/>
                <w:szCs w:val="20"/>
              </w:rPr>
              <w:t xml:space="preserve">Outras despesas administrativas </w:t>
            </w:r>
          </w:p>
        </w:tc>
        <w:tc>
          <w:tcPr>
            <w:tcW w:w="868" w:type="dxa"/>
            <w:tcBorders>
              <w:top w:val="single" w:sz="8" w:space="0" w:color="auto"/>
              <w:left w:val="single" w:sz="4" w:space="0" w:color="auto"/>
              <w:bottom w:val="single" w:sz="8" w:space="0" w:color="auto"/>
              <w:right w:val="single" w:sz="4" w:space="0" w:color="auto"/>
            </w:tcBorders>
            <w:shd w:val="clear" w:color="auto" w:fill="auto"/>
            <w:vAlign w:val="bottom"/>
          </w:tcPr>
          <w:p>
            <w:pPr>
              <w:jc w:val="center"/>
              <w:rPr>
                <w:noProof/>
                <w:sz w:val="20"/>
                <w:szCs w:val="20"/>
              </w:rPr>
            </w:pPr>
            <w:r>
              <w:rPr>
                <w:noProof/>
                <w:sz w:val="20"/>
                <w:szCs w:val="20"/>
              </w:rPr>
              <w:t>1,098</w:t>
            </w:r>
          </w:p>
        </w:tc>
        <w:tc>
          <w:tcPr>
            <w:tcW w:w="868" w:type="dxa"/>
            <w:tcBorders>
              <w:top w:val="single" w:sz="8" w:space="0" w:color="auto"/>
              <w:left w:val="nil"/>
              <w:bottom w:val="single" w:sz="8" w:space="0" w:color="auto"/>
              <w:right w:val="single" w:sz="4" w:space="0" w:color="auto"/>
            </w:tcBorders>
            <w:shd w:val="clear" w:color="auto" w:fill="auto"/>
            <w:vAlign w:val="bottom"/>
          </w:tcPr>
          <w:p>
            <w:pPr>
              <w:jc w:val="center"/>
              <w:rPr>
                <w:noProof/>
                <w:sz w:val="20"/>
                <w:szCs w:val="20"/>
              </w:rPr>
            </w:pPr>
            <w:r>
              <w:rPr>
                <w:noProof/>
                <w:sz w:val="20"/>
                <w:szCs w:val="20"/>
              </w:rPr>
              <w:t>1,107</w:t>
            </w:r>
          </w:p>
        </w:tc>
        <w:tc>
          <w:tcPr>
            <w:tcW w:w="868" w:type="dxa"/>
            <w:tcBorders>
              <w:top w:val="single" w:sz="8" w:space="0" w:color="auto"/>
              <w:left w:val="nil"/>
              <w:bottom w:val="single" w:sz="8" w:space="0" w:color="auto"/>
              <w:right w:val="single" w:sz="4" w:space="0" w:color="auto"/>
            </w:tcBorders>
            <w:shd w:val="clear" w:color="auto" w:fill="auto"/>
            <w:vAlign w:val="bottom"/>
          </w:tcPr>
          <w:p>
            <w:pPr>
              <w:jc w:val="center"/>
              <w:rPr>
                <w:noProof/>
                <w:sz w:val="20"/>
                <w:szCs w:val="20"/>
              </w:rPr>
            </w:pPr>
            <w:r>
              <w:rPr>
                <w:noProof/>
                <w:sz w:val="20"/>
                <w:szCs w:val="20"/>
              </w:rPr>
              <w:t>1,115</w:t>
            </w:r>
          </w:p>
        </w:tc>
        <w:tc>
          <w:tcPr>
            <w:tcW w:w="868" w:type="dxa"/>
            <w:tcBorders>
              <w:top w:val="single" w:sz="8" w:space="0" w:color="auto"/>
              <w:left w:val="nil"/>
              <w:bottom w:val="single" w:sz="8" w:space="0" w:color="auto"/>
              <w:right w:val="single" w:sz="4" w:space="0" w:color="auto"/>
            </w:tcBorders>
            <w:shd w:val="clear" w:color="auto" w:fill="auto"/>
            <w:vAlign w:val="bottom"/>
          </w:tcPr>
          <w:p>
            <w:pPr>
              <w:jc w:val="center"/>
              <w:rPr>
                <w:noProof/>
                <w:sz w:val="20"/>
                <w:szCs w:val="20"/>
              </w:rPr>
            </w:pPr>
            <w:r>
              <w:rPr>
                <w:noProof/>
                <w:sz w:val="20"/>
                <w:szCs w:val="20"/>
              </w:rPr>
              <w:t>1,124</w:t>
            </w:r>
          </w:p>
        </w:tc>
        <w:tc>
          <w:tcPr>
            <w:tcW w:w="868" w:type="dxa"/>
            <w:tcBorders>
              <w:top w:val="single" w:sz="8" w:space="0" w:color="auto"/>
              <w:left w:val="nil"/>
              <w:bottom w:val="single" w:sz="8" w:space="0" w:color="auto"/>
              <w:right w:val="single" w:sz="4" w:space="0" w:color="auto"/>
            </w:tcBorders>
            <w:shd w:val="clear" w:color="auto" w:fill="auto"/>
            <w:vAlign w:val="bottom"/>
          </w:tcPr>
          <w:p>
            <w:pPr>
              <w:jc w:val="center"/>
              <w:rPr>
                <w:noProof/>
                <w:sz w:val="20"/>
                <w:szCs w:val="20"/>
              </w:rPr>
            </w:pPr>
            <w:r>
              <w:rPr>
                <w:noProof/>
                <w:sz w:val="20"/>
                <w:szCs w:val="20"/>
              </w:rPr>
              <w:t>1,124</w:t>
            </w:r>
          </w:p>
        </w:tc>
        <w:tc>
          <w:tcPr>
            <w:tcW w:w="868" w:type="dxa"/>
            <w:tcBorders>
              <w:top w:val="single" w:sz="8" w:space="0" w:color="auto"/>
              <w:left w:val="nil"/>
              <w:bottom w:val="single" w:sz="8" w:space="0" w:color="auto"/>
              <w:right w:val="single" w:sz="4" w:space="0" w:color="auto"/>
            </w:tcBorders>
            <w:shd w:val="clear" w:color="auto" w:fill="auto"/>
            <w:vAlign w:val="bottom"/>
          </w:tcPr>
          <w:p>
            <w:pPr>
              <w:jc w:val="center"/>
              <w:rPr>
                <w:noProof/>
                <w:sz w:val="20"/>
                <w:szCs w:val="20"/>
              </w:rPr>
            </w:pPr>
            <w:r>
              <w:rPr>
                <w:noProof/>
                <w:sz w:val="20"/>
                <w:szCs w:val="20"/>
              </w:rPr>
              <w:t>1,124</w:t>
            </w:r>
          </w:p>
        </w:tc>
        <w:tc>
          <w:tcPr>
            <w:tcW w:w="868" w:type="dxa"/>
            <w:tcBorders>
              <w:top w:val="single" w:sz="8" w:space="0" w:color="auto"/>
              <w:left w:val="nil"/>
              <w:bottom w:val="single" w:sz="8" w:space="0" w:color="auto"/>
              <w:right w:val="single" w:sz="4" w:space="0" w:color="auto"/>
            </w:tcBorders>
            <w:shd w:val="clear" w:color="auto" w:fill="auto"/>
            <w:vAlign w:val="bottom"/>
          </w:tcPr>
          <w:p>
            <w:pPr>
              <w:jc w:val="center"/>
              <w:rPr>
                <w:noProof/>
                <w:sz w:val="20"/>
                <w:szCs w:val="20"/>
              </w:rPr>
            </w:pPr>
            <w:r>
              <w:rPr>
                <w:noProof/>
                <w:sz w:val="20"/>
                <w:szCs w:val="20"/>
              </w:rPr>
              <w:t>1,124</w:t>
            </w:r>
          </w:p>
        </w:tc>
        <w:tc>
          <w:tcPr>
            <w:tcW w:w="887" w:type="dxa"/>
            <w:tcBorders>
              <w:top w:val="single" w:sz="2" w:space="0" w:color="auto"/>
              <w:left w:val="nil"/>
              <w:bottom w:val="single" w:sz="4" w:space="0" w:color="auto"/>
              <w:right w:val="single" w:sz="4" w:space="0" w:color="auto"/>
            </w:tcBorders>
            <w:shd w:val="clear" w:color="auto" w:fill="A6A6A6" w:themeFill="background1" w:themeFillShade="A6"/>
            <w:vAlign w:val="bottom"/>
          </w:tcPr>
          <w:p>
            <w:pPr>
              <w:jc w:val="center"/>
              <w:rPr>
                <w:noProof/>
                <w:sz w:val="20"/>
                <w:szCs w:val="20"/>
              </w:rPr>
            </w:pPr>
          </w:p>
        </w:tc>
        <w:tc>
          <w:tcPr>
            <w:tcW w:w="964" w:type="dxa"/>
            <w:vAlign w:val="bottom"/>
          </w:tcPr>
          <w:p>
            <w:pPr>
              <w:jc w:val="center"/>
              <w:rPr>
                <w:noProof/>
                <w:sz w:val="20"/>
                <w:szCs w:val="20"/>
              </w:rPr>
            </w:pPr>
            <w:r>
              <w:rPr>
                <w:b/>
                <w:noProof/>
                <w:sz w:val="20"/>
                <w:szCs w:val="20"/>
              </w:rPr>
              <w:t>7,817</w:t>
            </w:r>
          </w:p>
        </w:tc>
      </w:tr>
      <w:tr>
        <w:trPr>
          <w:trHeight w:val="351"/>
          <w:jc w:val="center"/>
        </w:trPr>
        <w:tc>
          <w:tcPr>
            <w:tcW w:w="4199" w:type="dxa"/>
            <w:vAlign w:val="center"/>
          </w:tcPr>
          <w:p>
            <w:pPr>
              <w:spacing w:before="20" w:after="20"/>
              <w:jc w:val="left"/>
              <w:rPr>
                <w:b/>
                <w:noProof/>
                <w:sz w:val="20"/>
                <w:szCs w:val="20"/>
              </w:rPr>
            </w:pPr>
            <w:r>
              <w:rPr>
                <w:b/>
                <w:noProof/>
                <w:sz w:val="20"/>
                <w:szCs w:val="20"/>
              </w:rPr>
              <w:t>TOTAL das dotações no âmbito da RUBRICA 7 do quadro financeiro plurianual</w:t>
            </w:r>
          </w:p>
        </w:tc>
        <w:tc>
          <w:tcPr>
            <w:tcW w:w="2046" w:type="dxa"/>
          </w:tcPr>
          <w:p>
            <w:pPr>
              <w:rPr>
                <w:noProof/>
              </w:rPr>
            </w:pPr>
          </w:p>
        </w:tc>
        <w:tc>
          <w:tcPr>
            <w:tcW w:w="868" w:type="dxa"/>
            <w:tcBorders>
              <w:top w:val="single" w:sz="8" w:space="0" w:color="auto"/>
              <w:left w:val="single" w:sz="4" w:space="0" w:color="auto"/>
              <w:bottom w:val="single" w:sz="8" w:space="0" w:color="auto"/>
              <w:right w:val="single" w:sz="4" w:space="0" w:color="auto"/>
            </w:tcBorders>
            <w:shd w:val="clear" w:color="auto" w:fill="auto"/>
            <w:vAlign w:val="bottom"/>
          </w:tcPr>
          <w:p>
            <w:pPr>
              <w:jc w:val="center"/>
              <w:rPr>
                <w:noProof/>
                <w:sz w:val="20"/>
                <w:szCs w:val="20"/>
              </w:rPr>
            </w:pPr>
            <w:r>
              <w:rPr>
                <w:b/>
                <w:bCs/>
                <w:noProof/>
                <w:color w:val="000000"/>
                <w:sz w:val="20"/>
                <w:szCs w:val="20"/>
              </w:rPr>
              <w:t>22,546</w:t>
            </w:r>
          </w:p>
        </w:tc>
        <w:tc>
          <w:tcPr>
            <w:tcW w:w="868" w:type="dxa"/>
            <w:tcBorders>
              <w:top w:val="single" w:sz="8" w:space="0" w:color="auto"/>
              <w:left w:val="nil"/>
              <w:bottom w:val="single" w:sz="8" w:space="0" w:color="auto"/>
              <w:right w:val="single" w:sz="4" w:space="0" w:color="auto"/>
            </w:tcBorders>
            <w:shd w:val="clear" w:color="auto" w:fill="auto"/>
            <w:vAlign w:val="bottom"/>
          </w:tcPr>
          <w:p>
            <w:pPr>
              <w:jc w:val="center"/>
              <w:rPr>
                <w:noProof/>
                <w:sz w:val="20"/>
                <w:szCs w:val="20"/>
              </w:rPr>
            </w:pPr>
            <w:r>
              <w:rPr>
                <w:b/>
                <w:bCs/>
                <w:noProof/>
                <w:color w:val="000000"/>
                <w:sz w:val="20"/>
                <w:szCs w:val="20"/>
              </w:rPr>
              <w:t>22,772</w:t>
            </w:r>
          </w:p>
        </w:tc>
        <w:tc>
          <w:tcPr>
            <w:tcW w:w="868" w:type="dxa"/>
            <w:tcBorders>
              <w:top w:val="single" w:sz="8" w:space="0" w:color="auto"/>
              <w:left w:val="nil"/>
              <w:bottom w:val="single" w:sz="8" w:space="0" w:color="auto"/>
              <w:right w:val="single" w:sz="4" w:space="0" w:color="auto"/>
            </w:tcBorders>
            <w:shd w:val="clear" w:color="auto" w:fill="auto"/>
            <w:vAlign w:val="bottom"/>
          </w:tcPr>
          <w:p>
            <w:pPr>
              <w:jc w:val="center"/>
              <w:rPr>
                <w:noProof/>
                <w:sz w:val="20"/>
                <w:szCs w:val="20"/>
              </w:rPr>
            </w:pPr>
            <w:r>
              <w:rPr>
                <w:b/>
                <w:bCs/>
                <w:noProof/>
                <w:color w:val="000000"/>
                <w:sz w:val="20"/>
                <w:szCs w:val="20"/>
              </w:rPr>
              <w:t>22,997</w:t>
            </w:r>
          </w:p>
        </w:tc>
        <w:tc>
          <w:tcPr>
            <w:tcW w:w="868" w:type="dxa"/>
            <w:tcBorders>
              <w:top w:val="single" w:sz="8" w:space="0" w:color="auto"/>
              <w:left w:val="nil"/>
              <w:bottom w:val="single" w:sz="8" w:space="0" w:color="auto"/>
              <w:right w:val="single" w:sz="4" w:space="0" w:color="auto"/>
            </w:tcBorders>
            <w:shd w:val="clear" w:color="auto" w:fill="auto"/>
            <w:vAlign w:val="bottom"/>
          </w:tcPr>
          <w:p>
            <w:pPr>
              <w:jc w:val="center"/>
              <w:rPr>
                <w:noProof/>
                <w:sz w:val="20"/>
                <w:szCs w:val="20"/>
              </w:rPr>
            </w:pPr>
            <w:r>
              <w:rPr>
                <w:b/>
                <w:bCs/>
                <w:noProof/>
                <w:color w:val="000000"/>
                <w:sz w:val="20"/>
                <w:szCs w:val="20"/>
              </w:rPr>
              <w:t>23,223</w:t>
            </w:r>
          </w:p>
        </w:tc>
        <w:tc>
          <w:tcPr>
            <w:tcW w:w="868" w:type="dxa"/>
            <w:tcBorders>
              <w:top w:val="single" w:sz="8" w:space="0" w:color="auto"/>
              <w:left w:val="nil"/>
              <w:bottom w:val="single" w:sz="8" w:space="0" w:color="auto"/>
              <w:right w:val="single" w:sz="4" w:space="0" w:color="auto"/>
            </w:tcBorders>
            <w:shd w:val="clear" w:color="auto" w:fill="auto"/>
            <w:vAlign w:val="bottom"/>
          </w:tcPr>
          <w:p>
            <w:pPr>
              <w:jc w:val="center"/>
              <w:rPr>
                <w:noProof/>
                <w:sz w:val="20"/>
                <w:szCs w:val="20"/>
              </w:rPr>
            </w:pPr>
            <w:r>
              <w:rPr>
                <w:b/>
                <w:bCs/>
                <w:noProof/>
                <w:color w:val="000000"/>
                <w:sz w:val="20"/>
                <w:szCs w:val="20"/>
              </w:rPr>
              <w:t>23,223</w:t>
            </w:r>
          </w:p>
        </w:tc>
        <w:tc>
          <w:tcPr>
            <w:tcW w:w="868" w:type="dxa"/>
            <w:tcBorders>
              <w:top w:val="single" w:sz="8" w:space="0" w:color="auto"/>
              <w:left w:val="nil"/>
              <w:bottom w:val="single" w:sz="8" w:space="0" w:color="auto"/>
              <w:right w:val="single" w:sz="4" w:space="0" w:color="auto"/>
            </w:tcBorders>
            <w:shd w:val="clear" w:color="auto" w:fill="auto"/>
            <w:vAlign w:val="bottom"/>
          </w:tcPr>
          <w:p>
            <w:pPr>
              <w:jc w:val="center"/>
              <w:rPr>
                <w:noProof/>
                <w:sz w:val="20"/>
                <w:szCs w:val="20"/>
              </w:rPr>
            </w:pPr>
            <w:r>
              <w:rPr>
                <w:b/>
                <w:bCs/>
                <w:noProof/>
                <w:color w:val="000000"/>
                <w:sz w:val="20"/>
                <w:szCs w:val="20"/>
              </w:rPr>
              <w:t>23,223</w:t>
            </w:r>
          </w:p>
        </w:tc>
        <w:tc>
          <w:tcPr>
            <w:tcW w:w="868" w:type="dxa"/>
            <w:tcBorders>
              <w:top w:val="single" w:sz="8" w:space="0" w:color="auto"/>
              <w:left w:val="nil"/>
              <w:bottom w:val="single" w:sz="8" w:space="0" w:color="auto"/>
              <w:right w:val="single" w:sz="4" w:space="0" w:color="auto"/>
            </w:tcBorders>
            <w:shd w:val="clear" w:color="auto" w:fill="auto"/>
            <w:vAlign w:val="bottom"/>
          </w:tcPr>
          <w:p>
            <w:pPr>
              <w:jc w:val="center"/>
              <w:rPr>
                <w:noProof/>
                <w:sz w:val="20"/>
                <w:szCs w:val="20"/>
              </w:rPr>
            </w:pPr>
            <w:r>
              <w:rPr>
                <w:b/>
                <w:bCs/>
                <w:noProof/>
                <w:color w:val="000000"/>
                <w:sz w:val="20"/>
                <w:szCs w:val="20"/>
              </w:rPr>
              <w:t>23,223</w:t>
            </w:r>
          </w:p>
        </w:tc>
        <w:tc>
          <w:tcPr>
            <w:tcW w:w="887" w:type="dxa"/>
            <w:tcBorders>
              <w:top w:val="single" w:sz="4" w:space="0" w:color="auto"/>
              <w:left w:val="nil"/>
              <w:bottom w:val="single" w:sz="4" w:space="0" w:color="auto"/>
              <w:right w:val="nil"/>
            </w:tcBorders>
            <w:shd w:val="clear" w:color="auto" w:fill="A6A6A6" w:themeFill="background1" w:themeFillShade="A6"/>
            <w:vAlign w:val="bottom"/>
          </w:tcPr>
          <w:p>
            <w:pPr>
              <w:jc w:val="center"/>
              <w:rPr>
                <w:noProof/>
                <w:sz w:val="20"/>
                <w:szCs w:val="20"/>
              </w:rPr>
            </w:pPr>
          </w:p>
        </w:tc>
        <w:tc>
          <w:tcPr>
            <w:tcW w:w="964" w:type="dxa"/>
            <w:shd w:val="clear" w:color="auto" w:fill="auto"/>
            <w:vAlign w:val="center"/>
          </w:tcPr>
          <w:p>
            <w:pPr>
              <w:spacing w:before="20" w:after="20"/>
              <w:jc w:val="center"/>
              <w:rPr>
                <w:b/>
                <w:noProof/>
                <w:sz w:val="20"/>
                <w:szCs w:val="20"/>
              </w:rPr>
            </w:pPr>
            <w:r>
              <w:rPr>
                <w:b/>
                <w:noProof/>
                <w:color w:val="000000"/>
                <w:sz w:val="20"/>
                <w:szCs w:val="20"/>
              </w:rPr>
              <w:t>161,208</w:t>
            </w:r>
          </w:p>
        </w:tc>
      </w:tr>
    </w:tbl>
    <w:p>
      <w:pPr>
        <w:jc w:val="right"/>
        <w:rPr>
          <w:noProof/>
          <w:sz w:val="20"/>
          <w:szCs w:val="20"/>
        </w:rPr>
      </w:pPr>
      <w:r>
        <w:rPr>
          <w:noProof/>
          <w:sz w:val="20"/>
          <w:szCs w:val="20"/>
        </w:rPr>
        <w:t>Em milhões de EUR (3 casas decimais)</w:t>
      </w:r>
    </w:p>
    <w:tbl>
      <w:tblPr>
        <w:tblW w:w="14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560"/>
        <w:gridCol w:w="534"/>
        <w:gridCol w:w="868"/>
        <w:gridCol w:w="868"/>
        <w:gridCol w:w="868"/>
        <w:gridCol w:w="868"/>
        <w:gridCol w:w="868"/>
        <w:gridCol w:w="868"/>
        <w:gridCol w:w="868"/>
        <w:gridCol w:w="877"/>
        <w:gridCol w:w="1068"/>
      </w:tblGrid>
      <w:tr>
        <w:trPr>
          <w:jc w:val="center"/>
        </w:trPr>
        <w:tc>
          <w:tcPr>
            <w:tcW w:w="4173" w:type="dxa"/>
            <w:tcBorders>
              <w:top w:val="nil"/>
              <w:left w:val="nil"/>
              <w:right w:val="nil"/>
            </w:tcBorders>
            <w:vAlign w:val="center"/>
          </w:tcPr>
          <w:p>
            <w:pPr>
              <w:jc w:val="center"/>
              <w:rPr>
                <w:noProof/>
                <w:sz w:val="20"/>
                <w:szCs w:val="20"/>
              </w:rPr>
            </w:pPr>
          </w:p>
        </w:tc>
        <w:tc>
          <w:tcPr>
            <w:tcW w:w="1560" w:type="dxa"/>
            <w:tcBorders>
              <w:top w:val="nil"/>
              <w:left w:val="nil"/>
              <w:right w:val="nil"/>
            </w:tcBorders>
          </w:tcPr>
          <w:p>
            <w:pPr>
              <w:rPr>
                <w:noProof/>
                <w:sz w:val="20"/>
                <w:szCs w:val="20"/>
              </w:rPr>
            </w:pPr>
          </w:p>
        </w:tc>
        <w:tc>
          <w:tcPr>
            <w:tcW w:w="534" w:type="dxa"/>
            <w:tcBorders>
              <w:top w:val="nil"/>
              <w:left w:val="nil"/>
            </w:tcBorders>
          </w:tcPr>
          <w:p>
            <w:pPr>
              <w:jc w:val="center"/>
              <w:rPr>
                <w:noProof/>
                <w:sz w:val="20"/>
                <w:szCs w:val="20"/>
              </w:rPr>
            </w:pPr>
          </w:p>
        </w:tc>
        <w:tc>
          <w:tcPr>
            <w:tcW w:w="868" w:type="dxa"/>
            <w:vAlign w:val="center"/>
          </w:tcPr>
          <w:p>
            <w:pPr>
              <w:jc w:val="center"/>
              <w:rPr>
                <w:noProof/>
                <w:sz w:val="20"/>
                <w:szCs w:val="20"/>
              </w:rPr>
            </w:pPr>
            <w:r>
              <w:rPr>
                <w:b/>
                <w:noProof/>
                <w:sz w:val="20"/>
                <w:szCs w:val="20"/>
              </w:rPr>
              <w:t>2021</w:t>
            </w:r>
          </w:p>
        </w:tc>
        <w:tc>
          <w:tcPr>
            <w:tcW w:w="868" w:type="dxa"/>
            <w:vAlign w:val="center"/>
          </w:tcPr>
          <w:p>
            <w:pPr>
              <w:jc w:val="center"/>
              <w:rPr>
                <w:noProof/>
                <w:sz w:val="20"/>
                <w:szCs w:val="20"/>
              </w:rPr>
            </w:pPr>
            <w:r>
              <w:rPr>
                <w:b/>
                <w:noProof/>
                <w:sz w:val="20"/>
                <w:szCs w:val="20"/>
              </w:rPr>
              <w:t>2022</w:t>
            </w:r>
          </w:p>
        </w:tc>
        <w:tc>
          <w:tcPr>
            <w:tcW w:w="868" w:type="dxa"/>
            <w:vAlign w:val="center"/>
          </w:tcPr>
          <w:p>
            <w:pPr>
              <w:jc w:val="center"/>
              <w:rPr>
                <w:noProof/>
                <w:sz w:val="20"/>
                <w:szCs w:val="20"/>
              </w:rPr>
            </w:pPr>
            <w:r>
              <w:rPr>
                <w:b/>
                <w:noProof/>
                <w:sz w:val="20"/>
                <w:szCs w:val="20"/>
              </w:rPr>
              <w:t>2023</w:t>
            </w:r>
          </w:p>
        </w:tc>
        <w:tc>
          <w:tcPr>
            <w:tcW w:w="868" w:type="dxa"/>
            <w:vAlign w:val="center"/>
          </w:tcPr>
          <w:p>
            <w:pPr>
              <w:jc w:val="center"/>
              <w:rPr>
                <w:noProof/>
                <w:sz w:val="20"/>
                <w:szCs w:val="20"/>
              </w:rPr>
            </w:pPr>
            <w:r>
              <w:rPr>
                <w:b/>
                <w:noProof/>
                <w:sz w:val="20"/>
                <w:szCs w:val="20"/>
              </w:rPr>
              <w:t>2024</w:t>
            </w:r>
          </w:p>
        </w:tc>
        <w:tc>
          <w:tcPr>
            <w:tcW w:w="868" w:type="dxa"/>
            <w:vAlign w:val="center"/>
          </w:tcPr>
          <w:p>
            <w:pPr>
              <w:jc w:val="center"/>
              <w:rPr>
                <w:b/>
                <w:noProof/>
                <w:sz w:val="20"/>
                <w:szCs w:val="20"/>
              </w:rPr>
            </w:pPr>
            <w:r>
              <w:rPr>
                <w:b/>
                <w:noProof/>
                <w:sz w:val="20"/>
                <w:szCs w:val="20"/>
              </w:rPr>
              <w:t>2025</w:t>
            </w:r>
          </w:p>
        </w:tc>
        <w:tc>
          <w:tcPr>
            <w:tcW w:w="868" w:type="dxa"/>
            <w:vAlign w:val="center"/>
          </w:tcPr>
          <w:p>
            <w:pPr>
              <w:jc w:val="center"/>
              <w:rPr>
                <w:b/>
                <w:noProof/>
                <w:sz w:val="20"/>
                <w:szCs w:val="20"/>
              </w:rPr>
            </w:pPr>
            <w:r>
              <w:rPr>
                <w:b/>
                <w:noProof/>
                <w:sz w:val="20"/>
                <w:szCs w:val="20"/>
              </w:rPr>
              <w:t>2026</w:t>
            </w:r>
          </w:p>
        </w:tc>
        <w:tc>
          <w:tcPr>
            <w:tcW w:w="868" w:type="dxa"/>
            <w:vAlign w:val="center"/>
          </w:tcPr>
          <w:p>
            <w:pPr>
              <w:jc w:val="center"/>
              <w:rPr>
                <w:b/>
                <w:noProof/>
                <w:sz w:val="20"/>
                <w:szCs w:val="20"/>
              </w:rPr>
            </w:pPr>
            <w:r>
              <w:rPr>
                <w:b/>
                <w:noProof/>
                <w:sz w:val="20"/>
                <w:szCs w:val="20"/>
              </w:rPr>
              <w:t>2027</w:t>
            </w:r>
          </w:p>
        </w:tc>
        <w:tc>
          <w:tcPr>
            <w:tcW w:w="877" w:type="dxa"/>
          </w:tcPr>
          <w:p>
            <w:pPr>
              <w:jc w:val="center"/>
              <w:rPr>
                <w:b/>
                <w:noProof/>
                <w:sz w:val="20"/>
                <w:szCs w:val="20"/>
              </w:rPr>
            </w:pPr>
            <w:r>
              <w:rPr>
                <w:b/>
                <w:i/>
                <w:noProof/>
                <w:sz w:val="20"/>
                <w:szCs w:val="20"/>
              </w:rPr>
              <w:t>Após 2027</w:t>
            </w:r>
          </w:p>
        </w:tc>
        <w:tc>
          <w:tcPr>
            <w:tcW w:w="1068" w:type="dxa"/>
            <w:vAlign w:val="center"/>
          </w:tcPr>
          <w:p>
            <w:pPr>
              <w:jc w:val="center"/>
              <w:rPr>
                <w:b/>
                <w:noProof/>
                <w:sz w:val="20"/>
                <w:szCs w:val="20"/>
              </w:rPr>
            </w:pPr>
            <w:r>
              <w:rPr>
                <w:b/>
                <w:noProof/>
                <w:sz w:val="20"/>
                <w:szCs w:val="20"/>
              </w:rPr>
              <w:t>TOTAL</w:t>
            </w:r>
          </w:p>
        </w:tc>
      </w:tr>
      <w:tr>
        <w:trPr>
          <w:jc w:val="center"/>
        </w:trPr>
        <w:tc>
          <w:tcPr>
            <w:tcW w:w="4173" w:type="dxa"/>
            <w:vMerge w:val="restart"/>
            <w:shd w:val="clear" w:color="auto" w:fill="C0C0C0"/>
            <w:vAlign w:val="center"/>
          </w:tcPr>
          <w:p>
            <w:pPr>
              <w:jc w:val="center"/>
              <w:rPr>
                <w:b/>
                <w:noProof/>
                <w:sz w:val="20"/>
                <w:szCs w:val="20"/>
              </w:rPr>
            </w:pPr>
            <w:r>
              <w:rPr>
                <w:b/>
                <w:noProof/>
                <w:sz w:val="20"/>
                <w:szCs w:val="20"/>
              </w:rPr>
              <w:t xml:space="preserve">TOTAL das dotações </w:t>
            </w:r>
            <w:r>
              <w:rPr>
                <w:noProof/>
                <w:sz w:val="20"/>
                <w:szCs w:val="20"/>
              </w:rPr>
              <w:br/>
            </w:r>
            <w:r>
              <w:rPr>
                <w:b/>
                <w:noProof/>
                <w:sz w:val="20"/>
                <w:szCs w:val="20"/>
              </w:rPr>
              <w:t xml:space="preserve">das RUBRICAS </w:t>
            </w:r>
            <w:r>
              <w:rPr>
                <w:noProof/>
                <w:sz w:val="20"/>
                <w:szCs w:val="20"/>
              </w:rPr>
              <w:br/>
              <w:t>do quadro financeiro plurianual</w:t>
            </w:r>
            <w:r>
              <w:rPr>
                <w:b/>
                <w:noProof/>
                <w:sz w:val="20"/>
                <w:szCs w:val="20"/>
              </w:rPr>
              <w:t xml:space="preserve"> </w:t>
            </w:r>
          </w:p>
        </w:tc>
        <w:tc>
          <w:tcPr>
            <w:tcW w:w="2094" w:type="dxa"/>
            <w:gridSpan w:val="2"/>
            <w:vAlign w:val="center"/>
          </w:tcPr>
          <w:p>
            <w:pPr>
              <w:rPr>
                <w:noProof/>
                <w:sz w:val="20"/>
                <w:szCs w:val="20"/>
              </w:rPr>
            </w:pPr>
            <w:r>
              <w:rPr>
                <w:noProof/>
                <w:sz w:val="20"/>
                <w:szCs w:val="20"/>
              </w:rPr>
              <w:t>Autorizações</w:t>
            </w:r>
          </w:p>
        </w:tc>
        <w:tc>
          <w:tcPr>
            <w:tcW w:w="868" w:type="dxa"/>
          </w:tcPr>
          <w:p>
            <w:pPr>
              <w:jc w:val="right"/>
              <w:rPr>
                <w:noProof/>
                <w:color w:val="000000"/>
                <w:sz w:val="20"/>
                <w:szCs w:val="20"/>
              </w:rPr>
            </w:pPr>
            <w:r>
              <w:rPr>
                <w:noProof/>
                <w:color w:val="000000"/>
                <w:sz w:val="20"/>
                <w:szCs w:val="20"/>
              </w:rPr>
              <w:t>210,010</w:t>
            </w:r>
          </w:p>
        </w:tc>
        <w:tc>
          <w:tcPr>
            <w:tcW w:w="868" w:type="dxa"/>
          </w:tcPr>
          <w:p>
            <w:pPr>
              <w:jc w:val="right"/>
              <w:rPr>
                <w:noProof/>
                <w:color w:val="000000"/>
                <w:sz w:val="20"/>
                <w:szCs w:val="20"/>
              </w:rPr>
            </w:pPr>
            <w:r>
              <w:rPr>
                <w:noProof/>
                <w:color w:val="000000"/>
                <w:sz w:val="20"/>
                <w:szCs w:val="20"/>
              </w:rPr>
              <w:t>215,006</w:t>
            </w:r>
          </w:p>
        </w:tc>
        <w:tc>
          <w:tcPr>
            <w:tcW w:w="868" w:type="dxa"/>
          </w:tcPr>
          <w:p>
            <w:pPr>
              <w:jc w:val="right"/>
              <w:rPr>
                <w:noProof/>
                <w:color w:val="000000"/>
                <w:sz w:val="20"/>
                <w:szCs w:val="20"/>
              </w:rPr>
            </w:pPr>
            <w:r>
              <w:rPr>
                <w:noProof/>
                <w:color w:val="000000"/>
                <w:sz w:val="20"/>
                <w:szCs w:val="20"/>
              </w:rPr>
              <w:t>219,075</w:t>
            </w:r>
          </w:p>
        </w:tc>
        <w:tc>
          <w:tcPr>
            <w:tcW w:w="868" w:type="dxa"/>
          </w:tcPr>
          <w:p>
            <w:pPr>
              <w:jc w:val="right"/>
              <w:rPr>
                <w:noProof/>
                <w:color w:val="000000"/>
                <w:sz w:val="20"/>
                <w:szCs w:val="20"/>
              </w:rPr>
            </w:pPr>
            <w:r>
              <w:rPr>
                <w:noProof/>
                <w:color w:val="000000"/>
                <w:sz w:val="20"/>
                <w:szCs w:val="20"/>
              </w:rPr>
              <w:t>223,223</w:t>
            </w:r>
          </w:p>
        </w:tc>
        <w:tc>
          <w:tcPr>
            <w:tcW w:w="868" w:type="dxa"/>
          </w:tcPr>
          <w:p>
            <w:pPr>
              <w:jc w:val="right"/>
              <w:rPr>
                <w:noProof/>
                <w:color w:val="000000"/>
                <w:sz w:val="20"/>
                <w:szCs w:val="20"/>
              </w:rPr>
            </w:pPr>
            <w:r>
              <w:rPr>
                <w:noProof/>
                <w:color w:val="000000"/>
                <w:sz w:val="20"/>
                <w:szCs w:val="20"/>
              </w:rPr>
              <w:t>227,223</w:t>
            </w:r>
          </w:p>
        </w:tc>
        <w:tc>
          <w:tcPr>
            <w:tcW w:w="868" w:type="dxa"/>
          </w:tcPr>
          <w:p>
            <w:pPr>
              <w:jc w:val="right"/>
              <w:rPr>
                <w:noProof/>
                <w:color w:val="000000"/>
                <w:sz w:val="20"/>
                <w:szCs w:val="20"/>
              </w:rPr>
            </w:pPr>
            <w:r>
              <w:rPr>
                <w:noProof/>
                <w:color w:val="000000"/>
                <w:sz w:val="20"/>
                <w:szCs w:val="20"/>
              </w:rPr>
              <w:t>231,303</w:t>
            </w:r>
          </w:p>
        </w:tc>
        <w:tc>
          <w:tcPr>
            <w:tcW w:w="868" w:type="dxa"/>
          </w:tcPr>
          <w:p>
            <w:pPr>
              <w:jc w:val="right"/>
              <w:rPr>
                <w:noProof/>
                <w:color w:val="000000"/>
                <w:sz w:val="20"/>
                <w:szCs w:val="20"/>
              </w:rPr>
            </w:pPr>
            <w:r>
              <w:rPr>
                <w:noProof/>
                <w:color w:val="000000"/>
                <w:sz w:val="20"/>
                <w:szCs w:val="20"/>
              </w:rPr>
              <w:t>235,367</w:t>
            </w:r>
          </w:p>
        </w:tc>
        <w:tc>
          <w:tcPr>
            <w:tcW w:w="877" w:type="dxa"/>
            <w:shd w:val="clear" w:color="auto" w:fill="A6A6A6"/>
            <w:vAlign w:val="bottom"/>
          </w:tcPr>
          <w:p>
            <w:pPr>
              <w:jc w:val="right"/>
              <w:rPr>
                <w:noProof/>
                <w:color w:val="000000"/>
                <w:sz w:val="20"/>
                <w:szCs w:val="20"/>
              </w:rPr>
            </w:pPr>
          </w:p>
        </w:tc>
        <w:tc>
          <w:tcPr>
            <w:tcW w:w="1068" w:type="dxa"/>
            <w:vAlign w:val="bottom"/>
          </w:tcPr>
          <w:p>
            <w:pPr>
              <w:jc w:val="right"/>
              <w:rPr>
                <w:noProof/>
                <w:color w:val="000000"/>
                <w:sz w:val="20"/>
                <w:szCs w:val="20"/>
              </w:rPr>
            </w:pPr>
            <w:r>
              <w:rPr>
                <w:noProof/>
                <w:color w:val="000000"/>
                <w:sz w:val="20"/>
                <w:szCs w:val="20"/>
              </w:rPr>
              <w:t>1 561,208</w:t>
            </w:r>
          </w:p>
        </w:tc>
      </w:tr>
      <w:tr>
        <w:trPr>
          <w:jc w:val="center"/>
        </w:trPr>
        <w:tc>
          <w:tcPr>
            <w:tcW w:w="4173" w:type="dxa"/>
            <w:vMerge/>
            <w:shd w:val="clear" w:color="auto" w:fill="C0C0C0"/>
          </w:tcPr>
          <w:p>
            <w:pPr>
              <w:rPr>
                <w:noProof/>
                <w:sz w:val="20"/>
                <w:szCs w:val="20"/>
              </w:rPr>
            </w:pPr>
          </w:p>
        </w:tc>
        <w:tc>
          <w:tcPr>
            <w:tcW w:w="2094" w:type="dxa"/>
            <w:gridSpan w:val="2"/>
            <w:vAlign w:val="center"/>
          </w:tcPr>
          <w:p>
            <w:pPr>
              <w:rPr>
                <w:noProof/>
                <w:sz w:val="20"/>
                <w:szCs w:val="20"/>
              </w:rPr>
            </w:pPr>
            <w:r>
              <w:rPr>
                <w:noProof/>
                <w:sz w:val="20"/>
                <w:szCs w:val="20"/>
              </w:rPr>
              <w:t>Pagamentos</w:t>
            </w:r>
          </w:p>
        </w:tc>
        <w:tc>
          <w:tcPr>
            <w:tcW w:w="868" w:type="dxa"/>
            <w:vAlign w:val="bottom"/>
          </w:tcPr>
          <w:p>
            <w:pPr>
              <w:jc w:val="right"/>
              <w:rPr>
                <w:b/>
                <w:noProof/>
                <w:color w:val="000000"/>
                <w:sz w:val="20"/>
                <w:szCs w:val="20"/>
              </w:rPr>
            </w:pPr>
            <w:r>
              <w:rPr>
                <w:noProof/>
                <w:sz w:val="20"/>
              </w:rPr>
              <w:t>81,511</w:t>
            </w:r>
          </w:p>
        </w:tc>
        <w:tc>
          <w:tcPr>
            <w:tcW w:w="868" w:type="dxa"/>
            <w:vAlign w:val="bottom"/>
          </w:tcPr>
          <w:p>
            <w:pPr>
              <w:jc w:val="right"/>
              <w:rPr>
                <w:noProof/>
                <w:sz w:val="20"/>
              </w:rPr>
            </w:pPr>
            <w:r>
              <w:rPr>
                <w:noProof/>
                <w:sz w:val="20"/>
              </w:rPr>
              <w:t>132,044</w:t>
            </w:r>
          </w:p>
        </w:tc>
        <w:tc>
          <w:tcPr>
            <w:tcW w:w="868" w:type="dxa"/>
            <w:vAlign w:val="bottom"/>
          </w:tcPr>
          <w:p>
            <w:pPr>
              <w:jc w:val="right"/>
              <w:rPr>
                <w:noProof/>
                <w:sz w:val="20"/>
              </w:rPr>
            </w:pPr>
            <w:r>
              <w:rPr>
                <w:noProof/>
                <w:sz w:val="20"/>
              </w:rPr>
              <w:t>180,871</w:t>
            </w:r>
          </w:p>
        </w:tc>
        <w:tc>
          <w:tcPr>
            <w:tcW w:w="868" w:type="dxa"/>
            <w:vAlign w:val="bottom"/>
          </w:tcPr>
          <w:p>
            <w:pPr>
              <w:jc w:val="right"/>
              <w:rPr>
                <w:noProof/>
                <w:sz w:val="20"/>
              </w:rPr>
            </w:pPr>
            <w:r>
              <w:rPr>
                <w:noProof/>
                <w:sz w:val="20"/>
              </w:rPr>
              <w:t>207,935</w:t>
            </w:r>
          </w:p>
        </w:tc>
        <w:tc>
          <w:tcPr>
            <w:tcW w:w="868" w:type="dxa"/>
            <w:vAlign w:val="bottom"/>
          </w:tcPr>
          <w:p>
            <w:pPr>
              <w:jc w:val="right"/>
              <w:rPr>
                <w:noProof/>
                <w:sz w:val="20"/>
              </w:rPr>
            </w:pPr>
            <w:r>
              <w:rPr>
                <w:noProof/>
                <w:sz w:val="20"/>
              </w:rPr>
              <w:t>213,758</w:t>
            </w:r>
          </w:p>
        </w:tc>
        <w:tc>
          <w:tcPr>
            <w:tcW w:w="868" w:type="dxa"/>
            <w:vAlign w:val="bottom"/>
          </w:tcPr>
          <w:p>
            <w:pPr>
              <w:jc w:val="right"/>
              <w:rPr>
                <w:noProof/>
                <w:sz w:val="20"/>
              </w:rPr>
            </w:pPr>
            <w:r>
              <w:rPr>
                <w:noProof/>
                <w:sz w:val="20"/>
              </w:rPr>
              <w:t>218,078</w:t>
            </w:r>
          </w:p>
        </w:tc>
        <w:tc>
          <w:tcPr>
            <w:tcW w:w="868" w:type="dxa"/>
            <w:vAlign w:val="bottom"/>
          </w:tcPr>
          <w:p>
            <w:pPr>
              <w:jc w:val="right"/>
              <w:rPr>
                <w:noProof/>
                <w:sz w:val="20"/>
              </w:rPr>
            </w:pPr>
            <w:r>
              <w:rPr>
                <w:noProof/>
                <w:sz w:val="20"/>
              </w:rPr>
              <w:t>222,314</w:t>
            </w:r>
          </w:p>
        </w:tc>
        <w:tc>
          <w:tcPr>
            <w:tcW w:w="877" w:type="dxa"/>
            <w:vAlign w:val="bottom"/>
          </w:tcPr>
          <w:p>
            <w:pPr>
              <w:jc w:val="right"/>
              <w:rPr>
                <w:noProof/>
                <w:sz w:val="20"/>
              </w:rPr>
            </w:pPr>
            <w:r>
              <w:rPr>
                <w:noProof/>
                <w:sz w:val="20"/>
              </w:rPr>
              <w:t>304,696</w:t>
            </w:r>
          </w:p>
        </w:tc>
        <w:tc>
          <w:tcPr>
            <w:tcW w:w="1068" w:type="dxa"/>
            <w:vAlign w:val="bottom"/>
          </w:tcPr>
          <w:p>
            <w:pPr>
              <w:jc w:val="right"/>
              <w:rPr>
                <w:noProof/>
                <w:sz w:val="20"/>
              </w:rPr>
            </w:pPr>
            <w:r>
              <w:rPr>
                <w:noProof/>
                <w:color w:val="000000"/>
                <w:sz w:val="20"/>
                <w:szCs w:val="20"/>
              </w:rPr>
              <w:t>1 561,208</w:t>
            </w:r>
          </w:p>
        </w:tc>
      </w:tr>
    </w:tbl>
    <w:p>
      <w:pPr>
        <w:rPr>
          <w:noProof/>
        </w:rPr>
        <w:sectPr>
          <w:headerReference w:type="default" r:id="rId29"/>
          <w:footerReference w:type="default" r:id="rId30"/>
          <w:headerReference w:type="first" r:id="rId31"/>
          <w:footerReference w:type="first" r:id="rId32"/>
          <w:pgSz w:w="16840" w:h="11907" w:orient="landscape" w:code="9"/>
          <w:pgMar w:top="1134" w:right="1418" w:bottom="1134" w:left="1418" w:header="709" w:footer="709" w:gutter="0"/>
          <w:cols w:space="708"/>
          <w:docGrid w:linePitch="360"/>
        </w:sectPr>
      </w:pPr>
    </w:p>
    <w:p>
      <w:pPr>
        <w:pStyle w:val="ManualHeading3"/>
        <w:rPr>
          <w:bCs/>
          <w:noProof/>
          <w:szCs w:val="24"/>
        </w:rPr>
      </w:pPr>
      <w:bookmarkStart w:id="57" w:name="_Toc351881"/>
      <w:r>
        <w:t>3.2.2.</w:t>
      </w:r>
      <w:r>
        <w:tab/>
      </w:r>
      <w:r>
        <w:rPr>
          <w:noProof/>
        </w:rPr>
        <w:t>Síntese do impacto estimado nas dotações de natureza administrativa</w:t>
      </w:r>
      <w:bookmarkEnd w:id="57"/>
    </w:p>
    <w:p>
      <w:pPr>
        <w:pStyle w:val="ListDash1"/>
        <w:rPr>
          <w:noProof/>
        </w:rPr>
      </w:pPr>
      <w:r>
        <w:rPr>
          <w:noProof/>
        </w:rPr>
        <w:sym w:font="Wingdings" w:char="F0A8"/>
      </w:r>
      <w:r>
        <w:rPr>
          <w:noProof/>
        </w:rPr>
        <w:tab/>
        <w:t xml:space="preserve">A proposta/iniciativa não acarreta a utilização de dotações de natureza administrativa </w:t>
      </w:r>
    </w:p>
    <w:p>
      <w:pPr>
        <w:pStyle w:val="ListDash1"/>
        <w:rPr>
          <w:noProof/>
        </w:rPr>
      </w:pPr>
      <w:r>
        <w:rPr>
          <w:noProof/>
        </w:rPr>
        <w:t xml:space="preserve">X </w:t>
      </w:r>
      <w:r>
        <w:rPr>
          <w:noProof/>
        </w:rPr>
        <w:tab/>
        <w:t>A proposta/iniciativa acarreta a utilização de dotações de natureza administrativa, tal como explicitado seguidamente:</w:t>
      </w:r>
    </w:p>
    <w:p>
      <w:pPr>
        <w:rPr>
          <w:noProof/>
          <w:sz w:val="20"/>
        </w:rPr>
      </w:pPr>
      <w:r>
        <w:rPr>
          <w:noProof/>
          <w:sz w:val="20"/>
        </w:rPr>
        <w:t>Em milhões de EUR (3 casas decimais)</w:t>
      </w:r>
    </w:p>
    <w:tbl>
      <w:tblPr>
        <w:tblW w:w="9934"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994"/>
        <w:gridCol w:w="994"/>
        <w:gridCol w:w="994"/>
        <w:gridCol w:w="995"/>
        <w:gridCol w:w="994"/>
        <w:gridCol w:w="994"/>
        <w:gridCol w:w="994"/>
        <w:gridCol w:w="995"/>
      </w:tblGrid>
      <w:tr>
        <w:trPr>
          <w:trHeight w:val="585"/>
        </w:trPr>
        <w:tc>
          <w:tcPr>
            <w:tcW w:w="1980" w:type="dxa"/>
            <w:vAlign w:val="center"/>
          </w:tcPr>
          <w:p>
            <w:pPr>
              <w:spacing w:before="60" w:after="60" w:line="200" w:lineRule="exact"/>
              <w:jc w:val="center"/>
              <w:rPr>
                <w:b/>
                <w:noProof/>
                <w:sz w:val="20"/>
                <w:szCs w:val="20"/>
              </w:rPr>
            </w:pPr>
            <w:r>
              <w:rPr>
                <w:b/>
                <w:noProof/>
                <w:sz w:val="20"/>
                <w:szCs w:val="20"/>
              </w:rPr>
              <w:t>Anos</w:t>
            </w:r>
          </w:p>
        </w:tc>
        <w:tc>
          <w:tcPr>
            <w:tcW w:w="994" w:type="dxa"/>
            <w:vAlign w:val="center"/>
          </w:tcPr>
          <w:p>
            <w:pPr>
              <w:spacing w:before="60" w:after="60" w:line="200" w:lineRule="exact"/>
              <w:jc w:val="center"/>
              <w:rPr>
                <w:noProof/>
                <w:sz w:val="20"/>
                <w:szCs w:val="20"/>
              </w:rPr>
            </w:pPr>
            <w:r>
              <w:rPr>
                <w:b/>
                <w:noProof/>
                <w:sz w:val="20"/>
                <w:szCs w:val="20"/>
              </w:rPr>
              <w:t>2021</w:t>
            </w:r>
          </w:p>
        </w:tc>
        <w:tc>
          <w:tcPr>
            <w:tcW w:w="994" w:type="dxa"/>
            <w:vAlign w:val="center"/>
          </w:tcPr>
          <w:p>
            <w:pPr>
              <w:spacing w:before="60" w:after="60" w:line="200" w:lineRule="exact"/>
              <w:jc w:val="center"/>
              <w:rPr>
                <w:noProof/>
                <w:sz w:val="20"/>
                <w:szCs w:val="20"/>
              </w:rPr>
            </w:pPr>
            <w:r>
              <w:rPr>
                <w:b/>
                <w:noProof/>
                <w:sz w:val="20"/>
                <w:szCs w:val="20"/>
              </w:rPr>
              <w:t>2022</w:t>
            </w:r>
          </w:p>
        </w:tc>
        <w:tc>
          <w:tcPr>
            <w:tcW w:w="994" w:type="dxa"/>
            <w:vAlign w:val="center"/>
          </w:tcPr>
          <w:p>
            <w:pPr>
              <w:spacing w:before="60" w:after="60" w:line="200" w:lineRule="exact"/>
              <w:jc w:val="center"/>
              <w:rPr>
                <w:noProof/>
                <w:sz w:val="20"/>
                <w:szCs w:val="20"/>
              </w:rPr>
            </w:pPr>
            <w:r>
              <w:rPr>
                <w:b/>
                <w:noProof/>
                <w:sz w:val="20"/>
                <w:szCs w:val="20"/>
              </w:rPr>
              <w:t>2023</w:t>
            </w:r>
          </w:p>
        </w:tc>
        <w:tc>
          <w:tcPr>
            <w:tcW w:w="995" w:type="dxa"/>
            <w:vAlign w:val="center"/>
          </w:tcPr>
          <w:p>
            <w:pPr>
              <w:spacing w:before="60" w:after="60" w:line="200" w:lineRule="exact"/>
              <w:jc w:val="center"/>
              <w:rPr>
                <w:noProof/>
                <w:sz w:val="20"/>
                <w:szCs w:val="20"/>
              </w:rPr>
            </w:pPr>
            <w:r>
              <w:rPr>
                <w:b/>
                <w:noProof/>
                <w:sz w:val="20"/>
                <w:szCs w:val="20"/>
              </w:rPr>
              <w:t>2024</w:t>
            </w:r>
          </w:p>
        </w:tc>
        <w:tc>
          <w:tcPr>
            <w:tcW w:w="994" w:type="dxa"/>
            <w:vAlign w:val="center"/>
          </w:tcPr>
          <w:p>
            <w:pPr>
              <w:spacing w:line="200" w:lineRule="exact"/>
              <w:jc w:val="center"/>
              <w:rPr>
                <w:b/>
                <w:noProof/>
                <w:sz w:val="20"/>
                <w:szCs w:val="20"/>
              </w:rPr>
            </w:pPr>
            <w:r>
              <w:rPr>
                <w:b/>
                <w:noProof/>
                <w:sz w:val="20"/>
                <w:szCs w:val="20"/>
              </w:rPr>
              <w:t>2025</w:t>
            </w:r>
          </w:p>
        </w:tc>
        <w:tc>
          <w:tcPr>
            <w:tcW w:w="994" w:type="dxa"/>
            <w:vAlign w:val="center"/>
          </w:tcPr>
          <w:p>
            <w:pPr>
              <w:spacing w:line="200" w:lineRule="exact"/>
              <w:jc w:val="center"/>
              <w:rPr>
                <w:b/>
                <w:noProof/>
                <w:sz w:val="20"/>
                <w:szCs w:val="20"/>
              </w:rPr>
            </w:pPr>
            <w:r>
              <w:rPr>
                <w:b/>
                <w:noProof/>
                <w:sz w:val="20"/>
                <w:szCs w:val="20"/>
              </w:rPr>
              <w:t>2026</w:t>
            </w:r>
          </w:p>
        </w:tc>
        <w:tc>
          <w:tcPr>
            <w:tcW w:w="994" w:type="dxa"/>
            <w:vAlign w:val="center"/>
          </w:tcPr>
          <w:p>
            <w:pPr>
              <w:spacing w:line="200" w:lineRule="exact"/>
              <w:jc w:val="center"/>
              <w:rPr>
                <w:b/>
                <w:noProof/>
                <w:sz w:val="20"/>
                <w:szCs w:val="20"/>
              </w:rPr>
            </w:pPr>
            <w:r>
              <w:rPr>
                <w:b/>
                <w:noProof/>
                <w:sz w:val="20"/>
                <w:szCs w:val="20"/>
              </w:rPr>
              <w:t>2027</w:t>
            </w:r>
          </w:p>
        </w:tc>
        <w:tc>
          <w:tcPr>
            <w:tcW w:w="995" w:type="dxa"/>
            <w:vAlign w:val="center"/>
          </w:tcPr>
          <w:p>
            <w:pPr>
              <w:spacing w:before="60" w:after="60" w:line="200" w:lineRule="exact"/>
              <w:jc w:val="center"/>
              <w:rPr>
                <w:b/>
                <w:noProof/>
                <w:sz w:val="20"/>
                <w:szCs w:val="20"/>
              </w:rPr>
            </w:pPr>
            <w:r>
              <w:rPr>
                <w:b/>
                <w:noProof/>
                <w:sz w:val="20"/>
                <w:szCs w:val="20"/>
              </w:rPr>
              <w:t>TOTAL</w:t>
            </w:r>
          </w:p>
        </w:tc>
      </w:tr>
    </w:tbl>
    <w:p>
      <w:pPr>
        <w:spacing w:line="200" w:lineRule="exact"/>
        <w:rPr>
          <w:noProof/>
          <w:sz w:val="20"/>
          <w:szCs w:val="20"/>
        </w:rPr>
      </w:pPr>
    </w:p>
    <w:tbl>
      <w:tblPr>
        <w:tblW w:w="9934"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994"/>
        <w:gridCol w:w="994"/>
        <w:gridCol w:w="994"/>
        <w:gridCol w:w="995"/>
        <w:gridCol w:w="994"/>
        <w:gridCol w:w="994"/>
        <w:gridCol w:w="994"/>
        <w:gridCol w:w="995"/>
      </w:tblGrid>
      <w:tr>
        <w:trPr>
          <w:trHeight w:val="585"/>
        </w:trPr>
        <w:tc>
          <w:tcPr>
            <w:tcW w:w="1980" w:type="dxa"/>
            <w:shd w:val="clear" w:color="auto" w:fill="CCCCCC"/>
            <w:vAlign w:val="center"/>
          </w:tcPr>
          <w:p>
            <w:pPr>
              <w:spacing w:before="60" w:after="60" w:line="200" w:lineRule="exact"/>
              <w:jc w:val="center"/>
              <w:rPr>
                <w:b/>
                <w:noProof/>
                <w:sz w:val="20"/>
                <w:szCs w:val="20"/>
              </w:rPr>
            </w:pPr>
            <w:r>
              <w:rPr>
                <w:b/>
                <w:noProof/>
                <w:sz w:val="20"/>
                <w:szCs w:val="20"/>
              </w:rPr>
              <w:t>RUBRICA 7</w:t>
            </w:r>
            <w:r>
              <w:rPr>
                <w:noProof/>
                <w:sz w:val="20"/>
                <w:szCs w:val="20"/>
              </w:rPr>
              <w:br/>
            </w:r>
            <w:r>
              <w:rPr>
                <w:b/>
                <w:noProof/>
                <w:sz w:val="20"/>
                <w:szCs w:val="20"/>
              </w:rPr>
              <w:t>do quadro financeiro plurianual</w:t>
            </w:r>
          </w:p>
        </w:tc>
        <w:tc>
          <w:tcPr>
            <w:tcW w:w="994" w:type="dxa"/>
            <w:vAlign w:val="center"/>
          </w:tcPr>
          <w:p>
            <w:pPr>
              <w:spacing w:before="60" w:after="60" w:line="200" w:lineRule="exact"/>
              <w:jc w:val="right"/>
              <w:rPr>
                <w:noProof/>
                <w:sz w:val="20"/>
                <w:szCs w:val="20"/>
              </w:rPr>
            </w:pPr>
          </w:p>
        </w:tc>
        <w:tc>
          <w:tcPr>
            <w:tcW w:w="994" w:type="dxa"/>
            <w:vAlign w:val="center"/>
          </w:tcPr>
          <w:p>
            <w:pPr>
              <w:spacing w:before="60" w:after="60" w:line="200" w:lineRule="exact"/>
              <w:jc w:val="right"/>
              <w:rPr>
                <w:noProof/>
                <w:sz w:val="20"/>
                <w:szCs w:val="20"/>
              </w:rPr>
            </w:pPr>
          </w:p>
        </w:tc>
        <w:tc>
          <w:tcPr>
            <w:tcW w:w="994" w:type="dxa"/>
            <w:vAlign w:val="center"/>
          </w:tcPr>
          <w:p>
            <w:pPr>
              <w:spacing w:before="60" w:after="60" w:line="200" w:lineRule="exact"/>
              <w:jc w:val="right"/>
              <w:rPr>
                <w:noProof/>
                <w:sz w:val="20"/>
                <w:szCs w:val="20"/>
              </w:rPr>
            </w:pPr>
          </w:p>
        </w:tc>
        <w:tc>
          <w:tcPr>
            <w:tcW w:w="995" w:type="dxa"/>
            <w:vAlign w:val="center"/>
          </w:tcPr>
          <w:p>
            <w:pPr>
              <w:spacing w:before="60" w:after="60" w:line="200" w:lineRule="exact"/>
              <w:jc w:val="right"/>
              <w:rPr>
                <w:noProof/>
                <w:sz w:val="20"/>
                <w:szCs w:val="20"/>
              </w:rPr>
            </w:pPr>
          </w:p>
        </w:tc>
        <w:tc>
          <w:tcPr>
            <w:tcW w:w="994" w:type="dxa"/>
            <w:vAlign w:val="center"/>
          </w:tcPr>
          <w:p>
            <w:pPr>
              <w:spacing w:before="60" w:after="60" w:line="200" w:lineRule="exact"/>
              <w:jc w:val="right"/>
              <w:rPr>
                <w:noProof/>
                <w:sz w:val="20"/>
                <w:szCs w:val="20"/>
              </w:rPr>
            </w:pPr>
          </w:p>
        </w:tc>
        <w:tc>
          <w:tcPr>
            <w:tcW w:w="994" w:type="dxa"/>
            <w:vAlign w:val="center"/>
          </w:tcPr>
          <w:p>
            <w:pPr>
              <w:spacing w:before="60" w:after="60" w:line="200" w:lineRule="exact"/>
              <w:jc w:val="right"/>
              <w:rPr>
                <w:noProof/>
                <w:sz w:val="20"/>
                <w:szCs w:val="20"/>
              </w:rPr>
            </w:pPr>
          </w:p>
        </w:tc>
        <w:tc>
          <w:tcPr>
            <w:tcW w:w="994" w:type="dxa"/>
            <w:vAlign w:val="center"/>
          </w:tcPr>
          <w:p>
            <w:pPr>
              <w:spacing w:before="60" w:after="60" w:line="200" w:lineRule="exact"/>
              <w:jc w:val="right"/>
              <w:rPr>
                <w:b/>
                <w:noProof/>
                <w:sz w:val="20"/>
                <w:szCs w:val="20"/>
              </w:rPr>
            </w:pPr>
          </w:p>
        </w:tc>
        <w:tc>
          <w:tcPr>
            <w:tcW w:w="995" w:type="dxa"/>
            <w:vAlign w:val="center"/>
          </w:tcPr>
          <w:p>
            <w:pPr>
              <w:spacing w:before="60" w:after="60" w:line="200" w:lineRule="exact"/>
              <w:jc w:val="right"/>
              <w:rPr>
                <w:b/>
                <w:noProof/>
                <w:sz w:val="20"/>
                <w:szCs w:val="20"/>
              </w:rPr>
            </w:pPr>
          </w:p>
        </w:tc>
      </w:tr>
      <w:tr>
        <w:trPr>
          <w:trHeight w:val="585"/>
        </w:trPr>
        <w:tc>
          <w:tcPr>
            <w:tcW w:w="1980" w:type="dxa"/>
            <w:vAlign w:val="center"/>
          </w:tcPr>
          <w:p>
            <w:pPr>
              <w:spacing w:before="60" w:after="60" w:line="200" w:lineRule="exact"/>
              <w:ind w:left="72"/>
              <w:jc w:val="left"/>
              <w:rPr>
                <w:noProof/>
                <w:sz w:val="20"/>
                <w:szCs w:val="20"/>
              </w:rPr>
            </w:pPr>
            <w:r>
              <w:rPr>
                <w:noProof/>
                <w:sz w:val="20"/>
                <w:szCs w:val="20"/>
              </w:rPr>
              <w:t xml:space="preserve">Recursos humanos </w:t>
            </w:r>
          </w:p>
        </w:tc>
        <w:tc>
          <w:tcPr>
            <w:tcW w:w="994" w:type="dxa"/>
            <w:vAlign w:val="center"/>
          </w:tcPr>
          <w:p>
            <w:pPr>
              <w:jc w:val="center"/>
              <w:rPr>
                <w:noProof/>
                <w:sz w:val="20"/>
                <w:szCs w:val="20"/>
              </w:rPr>
            </w:pPr>
            <w:r>
              <w:rPr>
                <w:noProof/>
                <w:sz w:val="20"/>
                <w:szCs w:val="20"/>
              </w:rPr>
              <w:t>21,448</w:t>
            </w:r>
          </w:p>
        </w:tc>
        <w:tc>
          <w:tcPr>
            <w:tcW w:w="994" w:type="dxa"/>
            <w:vAlign w:val="center"/>
          </w:tcPr>
          <w:p>
            <w:pPr>
              <w:jc w:val="center"/>
              <w:rPr>
                <w:noProof/>
                <w:sz w:val="20"/>
                <w:szCs w:val="20"/>
              </w:rPr>
            </w:pPr>
            <w:r>
              <w:rPr>
                <w:noProof/>
                <w:sz w:val="20"/>
                <w:szCs w:val="20"/>
              </w:rPr>
              <w:t>21,665</w:t>
            </w:r>
          </w:p>
        </w:tc>
        <w:tc>
          <w:tcPr>
            <w:tcW w:w="994" w:type="dxa"/>
            <w:vAlign w:val="center"/>
          </w:tcPr>
          <w:p>
            <w:pPr>
              <w:jc w:val="center"/>
              <w:rPr>
                <w:noProof/>
                <w:sz w:val="20"/>
                <w:szCs w:val="20"/>
              </w:rPr>
            </w:pPr>
            <w:r>
              <w:rPr>
                <w:noProof/>
                <w:sz w:val="20"/>
                <w:szCs w:val="20"/>
              </w:rPr>
              <w:t>21,882</w:t>
            </w:r>
          </w:p>
        </w:tc>
        <w:tc>
          <w:tcPr>
            <w:tcW w:w="995" w:type="dxa"/>
            <w:vAlign w:val="center"/>
          </w:tcPr>
          <w:p>
            <w:pPr>
              <w:jc w:val="center"/>
              <w:rPr>
                <w:noProof/>
                <w:sz w:val="20"/>
                <w:szCs w:val="20"/>
              </w:rPr>
            </w:pPr>
            <w:r>
              <w:rPr>
                <w:noProof/>
                <w:sz w:val="20"/>
                <w:szCs w:val="20"/>
              </w:rPr>
              <w:t>22,099</w:t>
            </w:r>
          </w:p>
        </w:tc>
        <w:tc>
          <w:tcPr>
            <w:tcW w:w="994" w:type="dxa"/>
            <w:vAlign w:val="center"/>
          </w:tcPr>
          <w:p>
            <w:pPr>
              <w:jc w:val="center"/>
              <w:rPr>
                <w:noProof/>
                <w:sz w:val="20"/>
                <w:szCs w:val="20"/>
              </w:rPr>
            </w:pPr>
            <w:r>
              <w:rPr>
                <w:noProof/>
                <w:sz w:val="20"/>
                <w:szCs w:val="20"/>
              </w:rPr>
              <w:t>22,099</w:t>
            </w:r>
          </w:p>
        </w:tc>
        <w:tc>
          <w:tcPr>
            <w:tcW w:w="994" w:type="dxa"/>
            <w:vAlign w:val="center"/>
          </w:tcPr>
          <w:p>
            <w:pPr>
              <w:jc w:val="center"/>
              <w:rPr>
                <w:noProof/>
                <w:sz w:val="20"/>
                <w:szCs w:val="20"/>
              </w:rPr>
            </w:pPr>
            <w:r>
              <w:rPr>
                <w:noProof/>
                <w:sz w:val="20"/>
                <w:szCs w:val="20"/>
              </w:rPr>
              <w:t>22,099</w:t>
            </w:r>
          </w:p>
        </w:tc>
        <w:tc>
          <w:tcPr>
            <w:tcW w:w="994" w:type="dxa"/>
            <w:vAlign w:val="center"/>
          </w:tcPr>
          <w:p>
            <w:pPr>
              <w:jc w:val="center"/>
              <w:rPr>
                <w:noProof/>
                <w:sz w:val="20"/>
                <w:szCs w:val="20"/>
              </w:rPr>
            </w:pPr>
            <w:r>
              <w:rPr>
                <w:noProof/>
                <w:sz w:val="20"/>
                <w:szCs w:val="20"/>
              </w:rPr>
              <w:t>22,099</w:t>
            </w:r>
          </w:p>
        </w:tc>
        <w:tc>
          <w:tcPr>
            <w:tcW w:w="995" w:type="dxa"/>
            <w:tcBorders>
              <w:bottom w:val="single" w:sz="2" w:space="0" w:color="auto"/>
            </w:tcBorders>
            <w:vAlign w:val="center"/>
          </w:tcPr>
          <w:p>
            <w:pPr>
              <w:jc w:val="center"/>
              <w:rPr>
                <w:b/>
                <w:noProof/>
                <w:sz w:val="20"/>
                <w:szCs w:val="20"/>
              </w:rPr>
            </w:pPr>
            <w:r>
              <w:rPr>
                <w:b/>
                <w:noProof/>
                <w:sz w:val="20"/>
                <w:szCs w:val="20"/>
              </w:rPr>
              <w:t>153,391</w:t>
            </w:r>
          </w:p>
        </w:tc>
      </w:tr>
      <w:tr>
        <w:trPr>
          <w:trHeight w:val="585"/>
        </w:trPr>
        <w:tc>
          <w:tcPr>
            <w:tcW w:w="1980" w:type="dxa"/>
            <w:vAlign w:val="center"/>
          </w:tcPr>
          <w:p>
            <w:pPr>
              <w:spacing w:before="60" w:after="60" w:line="200" w:lineRule="exact"/>
              <w:ind w:left="72"/>
              <w:jc w:val="left"/>
              <w:rPr>
                <w:noProof/>
                <w:sz w:val="20"/>
                <w:szCs w:val="20"/>
              </w:rPr>
            </w:pPr>
            <w:r>
              <w:rPr>
                <w:noProof/>
                <w:sz w:val="20"/>
                <w:szCs w:val="20"/>
              </w:rPr>
              <w:t xml:space="preserve">Outras despesas administrativas </w:t>
            </w:r>
          </w:p>
        </w:tc>
        <w:tc>
          <w:tcPr>
            <w:tcW w:w="994" w:type="dxa"/>
            <w:tcBorders>
              <w:top w:val="single" w:sz="8" w:space="0" w:color="auto"/>
              <w:left w:val="single" w:sz="4" w:space="0" w:color="auto"/>
              <w:bottom w:val="single" w:sz="8" w:space="0" w:color="auto"/>
              <w:right w:val="single" w:sz="4" w:space="0" w:color="auto"/>
            </w:tcBorders>
            <w:shd w:val="clear" w:color="auto" w:fill="auto"/>
            <w:vAlign w:val="center"/>
          </w:tcPr>
          <w:p>
            <w:pPr>
              <w:jc w:val="center"/>
              <w:rPr>
                <w:noProof/>
                <w:sz w:val="20"/>
                <w:szCs w:val="20"/>
              </w:rPr>
            </w:pPr>
            <w:r>
              <w:rPr>
                <w:noProof/>
                <w:sz w:val="20"/>
                <w:szCs w:val="20"/>
              </w:rPr>
              <w:t>1,098</w:t>
            </w:r>
          </w:p>
        </w:tc>
        <w:tc>
          <w:tcPr>
            <w:tcW w:w="994" w:type="dxa"/>
            <w:tcBorders>
              <w:top w:val="single" w:sz="8" w:space="0" w:color="auto"/>
              <w:left w:val="nil"/>
              <w:bottom w:val="single" w:sz="8" w:space="0" w:color="auto"/>
              <w:right w:val="single" w:sz="4" w:space="0" w:color="auto"/>
            </w:tcBorders>
            <w:shd w:val="clear" w:color="auto" w:fill="auto"/>
            <w:vAlign w:val="center"/>
          </w:tcPr>
          <w:p>
            <w:pPr>
              <w:jc w:val="center"/>
              <w:rPr>
                <w:noProof/>
                <w:sz w:val="20"/>
                <w:szCs w:val="20"/>
              </w:rPr>
            </w:pPr>
            <w:r>
              <w:rPr>
                <w:noProof/>
                <w:sz w:val="20"/>
                <w:szCs w:val="20"/>
              </w:rPr>
              <w:t>1,107</w:t>
            </w:r>
          </w:p>
        </w:tc>
        <w:tc>
          <w:tcPr>
            <w:tcW w:w="994" w:type="dxa"/>
            <w:tcBorders>
              <w:top w:val="single" w:sz="8" w:space="0" w:color="auto"/>
              <w:left w:val="nil"/>
              <w:bottom w:val="single" w:sz="8" w:space="0" w:color="auto"/>
              <w:right w:val="single" w:sz="4" w:space="0" w:color="auto"/>
            </w:tcBorders>
            <w:shd w:val="clear" w:color="auto" w:fill="auto"/>
            <w:vAlign w:val="center"/>
          </w:tcPr>
          <w:p>
            <w:pPr>
              <w:jc w:val="center"/>
              <w:rPr>
                <w:noProof/>
                <w:sz w:val="20"/>
                <w:szCs w:val="20"/>
              </w:rPr>
            </w:pPr>
            <w:r>
              <w:rPr>
                <w:noProof/>
                <w:sz w:val="20"/>
                <w:szCs w:val="20"/>
              </w:rPr>
              <w:t>1,115</w:t>
            </w:r>
          </w:p>
        </w:tc>
        <w:tc>
          <w:tcPr>
            <w:tcW w:w="995" w:type="dxa"/>
            <w:tcBorders>
              <w:top w:val="single" w:sz="8" w:space="0" w:color="auto"/>
              <w:left w:val="nil"/>
              <w:bottom w:val="single" w:sz="8" w:space="0" w:color="auto"/>
              <w:right w:val="single" w:sz="4" w:space="0" w:color="auto"/>
            </w:tcBorders>
            <w:shd w:val="clear" w:color="auto" w:fill="auto"/>
            <w:vAlign w:val="center"/>
          </w:tcPr>
          <w:p>
            <w:pPr>
              <w:jc w:val="center"/>
              <w:rPr>
                <w:noProof/>
                <w:sz w:val="20"/>
                <w:szCs w:val="20"/>
              </w:rPr>
            </w:pPr>
            <w:r>
              <w:rPr>
                <w:noProof/>
                <w:sz w:val="20"/>
                <w:szCs w:val="20"/>
              </w:rPr>
              <w:t>1,124</w:t>
            </w:r>
          </w:p>
        </w:tc>
        <w:tc>
          <w:tcPr>
            <w:tcW w:w="994" w:type="dxa"/>
            <w:tcBorders>
              <w:top w:val="single" w:sz="8" w:space="0" w:color="auto"/>
              <w:left w:val="nil"/>
              <w:bottom w:val="single" w:sz="8" w:space="0" w:color="auto"/>
              <w:right w:val="single" w:sz="4" w:space="0" w:color="auto"/>
            </w:tcBorders>
            <w:shd w:val="clear" w:color="auto" w:fill="auto"/>
            <w:vAlign w:val="center"/>
          </w:tcPr>
          <w:p>
            <w:pPr>
              <w:jc w:val="center"/>
              <w:rPr>
                <w:noProof/>
                <w:sz w:val="20"/>
                <w:szCs w:val="20"/>
              </w:rPr>
            </w:pPr>
            <w:r>
              <w:rPr>
                <w:noProof/>
                <w:sz w:val="20"/>
                <w:szCs w:val="20"/>
              </w:rPr>
              <w:t>1,124</w:t>
            </w:r>
          </w:p>
        </w:tc>
        <w:tc>
          <w:tcPr>
            <w:tcW w:w="994" w:type="dxa"/>
            <w:tcBorders>
              <w:top w:val="single" w:sz="8" w:space="0" w:color="auto"/>
              <w:left w:val="nil"/>
              <w:bottom w:val="single" w:sz="8" w:space="0" w:color="auto"/>
              <w:right w:val="single" w:sz="4" w:space="0" w:color="auto"/>
            </w:tcBorders>
            <w:shd w:val="clear" w:color="auto" w:fill="auto"/>
            <w:vAlign w:val="center"/>
          </w:tcPr>
          <w:p>
            <w:pPr>
              <w:jc w:val="center"/>
              <w:rPr>
                <w:noProof/>
                <w:sz w:val="20"/>
                <w:szCs w:val="20"/>
              </w:rPr>
            </w:pPr>
            <w:r>
              <w:rPr>
                <w:noProof/>
                <w:sz w:val="20"/>
                <w:szCs w:val="20"/>
              </w:rPr>
              <w:t>1,124</w:t>
            </w:r>
          </w:p>
        </w:tc>
        <w:tc>
          <w:tcPr>
            <w:tcW w:w="994" w:type="dxa"/>
            <w:tcBorders>
              <w:top w:val="single" w:sz="8" w:space="0" w:color="auto"/>
              <w:left w:val="nil"/>
              <w:bottom w:val="single" w:sz="8" w:space="0" w:color="auto"/>
              <w:right w:val="single" w:sz="4" w:space="0" w:color="auto"/>
            </w:tcBorders>
            <w:shd w:val="clear" w:color="auto" w:fill="auto"/>
            <w:vAlign w:val="center"/>
          </w:tcPr>
          <w:p>
            <w:pPr>
              <w:jc w:val="center"/>
              <w:rPr>
                <w:noProof/>
                <w:sz w:val="20"/>
                <w:szCs w:val="20"/>
              </w:rPr>
            </w:pPr>
            <w:r>
              <w:rPr>
                <w:noProof/>
                <w:sz w:val="20"/>
                <w:szCs w:val="20"/>
              </w:rPr>
              <w:t>1,124</w:t>
            </w:r>
          </w:p>
        </w:tc>
        <w:tc>
          <w:tcPr>
            <w:tcW w:w="995" w:type="dxa"/>
            <w:tcBorders>
              <w:top w:val="single" w:sz="2" w:space="0" w:color="auto"/>
              <w:left w:val="nil"/>
              <w:bottom w:val="single" w:sz="2" w:space="0" w:color="auto"/>
              <w:right w:val="single" w:sz="4" w:space="0" w:color="auto"/>
            </w:tcBorders>
            <w:shd w:val="clear" w:color="auto" w:fill="auto"/>
            <w:vAlign w:val="center"/>
          </w:tcPr>
          <w:p>
            <w:pPr>
              <w:jc w:val="center"/>
              <w:rPr>
                <w:b/>
                <w:noProof/>
                <w:sz w:val="20"/>
                <w:szCs w:val="20"/>
              </w:rPr>
            </w:pPr>
            <w:r>
              <w:rPr>
                <w:b/>
                <w:noProof/>
                <w:sz w:val="20"/>
                <w:szCs w:val="20"/>
              </w:rPr>
              <w:t>7,817</w:t>
            </w:r>
          </w:p>
        </w:tc>
      </w:tr>
      <w:tr>
        <w:trPr>
          <w:trHeight w:val="585"/>
        </w:trPr>
        <w:tc>
          <w:tcPr>
            <w:tcW w:w="1980" w:type="dxa"/>
            <w:shd w:val="clear" w:color="auto" w:fill="CCCCCC"/>
            <w:vAlign w:val="center"/>
          </w:tcPr>
          <w:p>
            <w:pPr>
              <w:spacing w:before="60" w:after="60" w:line="200" w:lineRule="exact"/>
              <w:jc w:val="center"/>
              <w:rPr>
                <w:b/>
                <w:noProof/>
                <w:sz w:val="20"/>
                <w:szCs w:val="20"/>
              </w:rPr>
            </w:pPr>
            <w:r>
              <w:rPr>
                <w:b/>
                <w:noProof/>
                <w:sz w:val="20"/>
                <w:szCs w:val="20"/>
              </w:rPr>
              <w:t>Subtotal RUBRICA 7</w:t>
            </w:r>
            <w:r>
              <w:rPr>
                <w:noProof/>
                <w:sz w:val="20"/>
                <w:szCs w:val="20"/>
              </w:rPr>
              <w:br/>
            </w:r>
            <w:r>
              <w:rPr>
                <w:b/>
                <w:noProof/>
                <w:sz w:val="20"/>
                <w:szCs w:val="20"/>
              </w:rPr>
              <w:t xml:space="preserve">do quadro financeiro plurianual </w:t>
            </w:r>
          </w:p>
        </w:tc>
        <w:tc>
          <w:tcPr>
            <w:tcW w:w="994" w:type="dxa"/>
            <w:vAlign w:val="center"/>
          </w:tcPr>
          <w:p>
            <w:pPr>
              <w:jc w:val="center"/>
              <w:rPr>
                <w:noProof/>
                <w:color w:val="000000"/>
                <w:sz w:val="20"/>
                <w:szCs w:val="20"/>
              </w:rPr>
            </w:pPr>
            <w:r>
              <w:rPr>
                <w:b/>
                <w:bCs/>
                <w:noProof/>
                <w:color w:val="000000"/>
                <w:sz w:val="20"/>
                <w:szCs w:val="20"/>
              </w:rPr>
              <w:t>22,546</w:t>
            </w:r>
          </w:p>
        </w:tc>
        <w:tc>
          <w:tcPr>
            <w:tcW w:w="994" w:type="dxa"/>
            <w:vAlign w:val="center"/>
          </w:tcPr>
          <w:p>
            <w:pPr>
              <w:jc w:val="center"/>
              <w:rPr>
                <w:noProof/>
                <w:color w:val="000000"/>
                <w:sz w:val="20"/>
                <w:szCs w:val="20"/>
              </w:rPr>
            </w:pPr>
            <w:r>
              <w:rPr>
                <w:b/>
                <w:bCs/>
                <w:noProof/>
                <w:color w:val="000000"/>
                <w:sz w:val="20"/>
                <w:szCs w:val="20"/>
              </w:rPr>
              <w:t>22,772</w:t>
            </w:r>
          </w:p>
        </w:tc>
        <w:tc>
          <w:tcPr>
            <w:tcW w:w="994" w:type="dxa"/>
            <w:vAlign w:val="center"/>
          </w:tcPr>
          <w:p>
            <w:pPr>
              <w:jc w:val="center"/>
              <w:rPr>
                <w:noProof/>
                <w:color w:val="000000"/>
                <w:sz w:val="20"/>
                <w:szCs w:val="20"/>
              </w:rPr>
            </w:pPr>
            <w:r>
              <w:rPr>
                <w:b/>
                <w:bCs/>
                <w:noProof/>
                <w:color w:val="000000"/>
                <w:sz w:val="20"/>
                <w:szCs w:val="20"/>
              </w:rPr>
              <w:t>22,997</w:t>
            </w:r>
          </w:p>
        </w:tc>
        <w:tc>
          <w:tcPr>
            <w:tcW w:w="995" w:type="dxa"/>
            <w:vAlign w:val="center"/>
          </w:tcPr>
          <w:p>
            <w:pPr>
              <w:jc w:val="center"/>
              <w:rPr>
                <w:noProof/>
                <w:color w:val="000000"/>
                <w:sz w:val="20"/>
                <w:szCs w:val="20"/>
              </w:rPr>
            </w:pPr>
            <w:r>
              <w:rPr>
                <w:b/>
                <w:bCs/>
                <w:noProof/>
                <w:color w:val="000000"/>
                <w:sz w:val="20"/>
                <w:szCs w:val="20"/>
              </w:rPr>
              <w:t>23,223</w:t>
            </w:r>
          </w:p>
        </w:tc>
        <w:tc>
          <w:tcPr>
            <w:tcW w:w="994" w:type="dxa"/>
            <w:vAlign w:val="center"/>
          </w:tcPr>
          <w:p>
            <w:pPr>
              <w:jc w:val="center"/>
              <w:rPr>
                <w:noProof/>
                <w:color w:val="000000"/>
                <w:sz w:val="20"/>
                <w:szCs w:val="20"/>
              </w:rPr>
            </w:pPr>
            <w:r>
              <w:rPr>
                <w:b/>
                <w:bCs/>
                <w:noProof/>
                <w:color w:val="000000"/>
                <w:sz w:val="20"/>
                <w:szCs w:val="20"/>
              </w:rPr>
              <w:t>23,223</w:t>
            </w:r>
          </w:p>
        </w:tc>
        <w:tc>
          <w:tcPr>
            <w:tcW w:w="994" w:type="dxa"/>
            <w:vAlign w:val="center"/>
          </w:tcPr>
          <w:p>
            <w:pPr>
              <w:jc w:val="center"/>
              <w:rPr>
                <w:noProof/>
                <w:color w:val="000000"/>
                <w:sz w:val="20"/>
                <w:szCs w:val="20"/>
              </w:rPr>
            </w:pPr>
            <w:r>
              <w:rPr>
                <w:b/>
                <w:bCs/>
                <w:noProof/>
                <w:color w:val="000000"/>
                <w:sz w:val="20"/>
                <w:szCs w:val="20"/>
              </w:rPr>
              <w:t>23,223</w:t>
            </w:r>
          </w:p>
        </w:tc>
        <w:tc>
          <w:tcPr>
            <w:tcW w:w="994" w:type="dxa"/>
            <w:vAlign w:val="center"/>
          </w:tcPr>
          <w:p>
            <w:pPr>
              <w:jc w:val="center"/>
              <w:rPr>
                <w:noProof/>
                <w:color w:val="000000"/>
                <w:sz w:val="20"/>
                <w:szCs w:val="20"/>
              </w:rPr>
            </w:pPr>
            <w:r>
              <w:rPr>
                <w:b/>
                <w:bCs/>
                <w:noProof/>
                <w:color w:val="000000"/>
                <w:sz w:val="20"/>
                <w:szCs w:val="20"/>
              </w:rPr>
              <w:t>23,223</w:t>
            </w:r>
          </w:p>
        </w:tc>
        <w:tc>
          <w:tcPr>
            <w:tcW w:w="995" w:type="dxa"/>
            <w:tcBorders>
              <w:top w:val="single" w:sz="2" w:space="0" w:color="auto"/>
            </w:tcBorders>
            <w:vAlign w:val="center"/>
          </w:tcPr>
          <w:p>
            <w:pPr>
              <w:jc w:val="center"/>
              <w:rPr>
                <w:b/>
                <w:noProof/>
                <w:color w:val="000000"/>
                <w:sz w:val="20"/>
                <w:szCs w:val="20"/>
              </w:rPr>
            </w:pPr>
            <w:r>
              <w:rPr>
                <w:b/>
                <w:noProof/>
                <w:color w:val="000000"/>
                <w:sz w:val="20"/>
                <w:szCs w:val="20"/>
              </w:rPr>
              <w:t>161,208</w:t>
            </w:r>
          </w:p>
        </w:tc>
      </w:tr>
    </w:tbl>
    <w:p>
      <w:pPr>
        <w:spacing w:line="200" w:lineRule="exact"/>
        <w:rPr>
          <w:noProof/>
          <w:sz w:val="20"/>
          <w:szCs w:val="20"/>
        </w:rPr>
      </w:pPr>
    </w:p>
    <w:tbl>
      <w:tblPr>
        <w:tblW w:w="9934"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994"/>
        <w:gridCol w:w="994"/>
        <w:gridCol w:w="994"/>
        <w:gridCol w:w="995"/>
        <w:gridCol w:w="994"/>
        <w:gridCol w:w="994"/>
        <w:gridCol w:w="994"/>
        <w:gridCol w:w="995"/>
      </w:tblGrid>
      <w:tr>
        <w:trPr>
          <w:trHeight w:val="585"/>
        </w:trPr>
        <w:tc>
          <w:tcPr>
            <w:tcW w:w="1980" w:type="dxa"/>
            <w:shd w:val="clear" w:color="auto" w:fill="CCCCCC"/>
            <w:vAlign w:val="center"/>
          </w:tcPr>
          <w:p>
            <w:pPr>
              <w:spacing w:before="60" w:after="60" w:line="200" w:lineRule="exact"/>
              <w:jc w:val="center"/>
              <w:rPr>
                <w:noProof/>
                <w:sz w:val="20"/>
                <w:szCs w:val="20"/>
              </w:rPr>
            </w:pPr>
            <w:r>
              <w:rPr>
                <w:b/>
                <w:noProof/>
                <w:sz w:val="20"/>
                <w:szCs w:val="20"/>
              </w:rPr>
              <w:t>com exclusão da RUBRICA 7</w:t>
            </w:r>
            <w:r>
              <w:rPr>
                <w:rStyle w:val="FootnoteReference"/>
                <w:b/>
                <w:noProof/>
                <w:sz w:val="20"/>
                <w:szCs w:val="20"/>
              </w:rPr>
              <w:footnoteReference w:id="26"/>
            </w:r>
            <w:r>
              <w:rPr>
                <w:noProof/>
                <w:sz w:val="20"/>
                <w:szCs w:val="20"/>
              </w:rPr>
              <w:br/>
            </w:r>
            <w:r>
              <w:rPr>
                <w:b/>
                <w:noProof/>
                <w:sz w:val="20"/>
                <w:szCs w:val="20"/>
              </w:rPr>
              <w:t xml:space="preserve">do quadro financeiro plurianual </w:t>
            </w:r>
          </w:p>
          <w:p>
            <w:pPr>
              <w:spacing w:before="0" w:after="0" w:line="200" w:lineRule="exact"/>
              <w:jc w:val="center"/>
              <w:rPr>
                <w:b/>
                <w:noProof/>
                <w:sz w:val="20"/>
                <w:szCs w:val="20"/>
              </w:rPr>
            </w:pPr>
          </w:p>
        </w:tc>
        <w:tc>
          <w:tcPr>
            <w:tcW w:w="994" w:type="dxa"/>
            <w:vAlign w:val="center"/>
          </w:tcPr>
          <w:p>
            <w:pPr>
              <w:spacing w:before="60" w:after="60" w:line="200" w:lineRule="exact"/>
              <w:jc w:val="right"/>
              <w:rPr>
                <w:noProof/>
                <w:sz w:val="20"/>
                <w:szCs w:val="20"/>
              </w:rPr>
            </w:pPr>
          </w:p>
        </w:tc>
        <w:tc>
          <w:tcPr>
            <w:tcW w:w="994" w:type="dxa"/>
            <w:vAlign w:val="center"/>
          </w:tcPr>
          <w:p>
            <w:pPr>
              <w:spacing w:before="60" w:after="60" w:line="200" w:lineRule="exact"/>
              <w:jc w:val="right"/>
              <w:rPr>
                <w:noProof/>
                <w:sz w:val="20"/>
                <w:szCs w:val="20"/>
              </w:rPr>
            </w:pPr>
          </w:p>
        </w:tc>
        <w:tc>
          <w:tcPr>
            <w:tcW w:w="994" w:type="dxa"/>
            <w:vAlign w:val="center"/>
          </w:tcPr>
          <w:p>
            <w:pPr>
              <w:spacing w:before="60" w:after="60" w:line="200" w:lineRule="exact"/>
              <w:jc w:val="right"/>
              <w:rPr>
                <w:noProof/>
                <w:sz w:val="20"/>
                <w:szCs w:val="20"/>
              </w:rPr>
            </w:pPr>
          </w:p>
        </w:tc>
        <w:tc>
          <w:tcPr>
            <w:tcW w:w="995" w:type="dxa"/>
            <w:vAlign w:val="center"/>
          </w:tcPr>
          <w:p>
            <w:pPr>
              <w:spacing w:before="60" w:after="60" w:line="200" w:lineRule="exact"/>
              <w:jc w:val="right"/>
              <w:rPr>
                <w:noProof/>
                <w:sz w:val="20"/>
                <w:szCs w:val="20"/>
              </w:rPr>
            </w:pPr>
          </w:p>
        </w:tc>
        <w:tc>
          <w:tcPr>
            <w:tcW w:w="994" w:type="dxa"/>
            <w:vAlign w:val="center"/>
          </w:tcPr>
          <w:p>
            <w:pPr>
              <w:spacing w:before="60" w:after="60" w:line="200" w:lineRule="exact"/>
              <w:jc w:val="right"/>
              <w:rPr>
                <w:noProof/>
                <w:sz w:val="20"/>
                <w:szCs w:val="20"/>
              </w:rPr>
            </w:pPr>
          </w:p>
        </w:tc>
        <w:tc>
          <w:tcPr>
            <w:tcW w:w="994" w:type="dxa"/>
            <w:vAlign w:val="center"/>
          </w:tcPr>
          <w:p>
            <w:pPr>
              <w:spacing w:before="60" w:after="60" w:line="200" w:lineRule="exact"/>
              <w:jc w:val="right"/>
              <w:rPr>
                <w:noProof/>
                <w:sz w:val="20"/>
                <w:szCs w:val="20"/>
              </w:rPr>
            </w:pPr>
          </w:p>
        </w:tc>
        <w:tc>
          <w:tcPr>
            <w:tcW w:w="994" w:type="dxa"/>
            <w:vAlign w:val="center"/>
          </w:tcPr>
          <w:p>
            <w:pPr>
              <w:spacing w:before="60" w:after="60" w:line="200" w:lineRule="exact"/>
              <w:jc w:val="right"/>
              <w:rPr>
                <w:b/>
                <w:noProof/>
                <w:sz w:val="20"/>
                <w:szCs w:val="20"/>
              </w:rPr>
            </w:pPr>
          </w:p>
        </w:tc>
        <w:tc>
          <w:tcPr>
            <w:tcW w:w="995" w:type="dxa"/>
            <w:vAlign w:val="center"/>
          </w:tcPr>
          <w:p>
            <w:pPr>
              <w:spacing w:before="60" w:after="60" w:line="200" w:lineRule="exact"/>
              <w:jc w:val="right"/>
              <w:rPr>
                <w:b/>
                <w:noProof/>
                <w:sz w:val="20"/>
                <w:szCs w:val="20"/>
              </w:rPr>
            </w:pPr>
          </w:p>
        </w:tc>
      </w:tr>
      <w:tr>
        <w:trPr>
          <w:trHeight w:val="585"/>
        </w:trPr>
        <w:tc>
          <w:tcPr>
            <w:tcW w:w="1980" w:type="dxa"/>
            <w:vAlign w:val="center"/>
          </w:tcPr>
          <w:p>
            <w:pPr>
              <w:spacing w:before="60" w:after="60" w:line="200" w:lineRule="exact"/>
              <w:ind w:left="72"/>
              <w:jc w:val="left"/>
              <w:rPr>
                <w:noProof/>
                <w:sz w:val="20"/>
                <w:szCs w:val="20"/>
              </w:rPr>
            </w:pPr>
            <w:r>
              <w:rPr>
                <w:noProof/>
                <w:sz w:val="20"/>
                <w:szCs w:val="20"/>
              </w:rPr>
              <w:t xml:space="preserve">Recursos humanos </w:t>
            </w:r>
          </w:p>
        </w:tc>
        <w:tc>
          <w:tcPr>
            <w:tcW w:w="994" w:type="dxa"/>
            <w:vAlign w:val="center"/>
          </w:tcPr>
          <w:p>
            <w:pPr>
              <w:spacing w:before="60" w:after="60" w:line="200" w:lineRule="exact"/>
              <w:jc w:val="right"/>
              <w:rPr>
                <w:noProof/>
                <w:sz w:val="20"/>
                <w:szCs w:val="20"/>
              </w:rPr>
            </w:pPr>
          </w:p>
        </w:tc>
        <w:tc>
          <w:tcPr>
            <w:tcW w:w="994" w:type="dxa"/>
            <w:vAlign w:val="center"/>
          </w:tcPr>
          <w:p>
            <w:pPr>
              <w:spacing w:before="60" w:after="60" w:line="200" w:lineRule="exact"/>
              <w:jc w:val="right"/>
              <w:rPr>
                <w:noProof/>
                <w:sz w:val="20"/>
                <w:szCs w:val="20"/>
              </w:rPr>
            </w:pPr>
          </w:p>
        </w:tc>
        <w:tc>
          <w:tcPr>
            <w:tcW w:w="994" w:type="dxa"/>
            <w:vAlign w:val="center"/>
          </w:tcPr>
          <w:p>
            <w:pPr>
              <w:spacing w:before="60" w:after="60" w:line="200" w:lineRule="exact"/>
              <w:jc w:val="right"/>
              <w:rPr>
                <w:noProof/>
                <w:sz w:val="20"/>
                <w:szCs w:val="20"/>
              </w:rPr>
            </w:pPr>
          </w:p>
        </w:tc>
        <w:tc>
          <w:tcPr>
            <w:tcW w:w="995" w:type="dxa"/>
            <w:vAlign w:val="center"/>
          </w:tcPr>
          <w:p>
            <w:pPr>
              <w:spacing w:before="60" w:after="60" w:line="200" w:lineRule="exact"/>
              <w:jc w:val="right"/>
              <w:rPr>
                <w:noProof/>
                <w:sz w:val="20"/>
                <w:szCs w:val="20"/>
              </w:rPr>
            </w:pPr>
          </w:p>
        </w:tc>
        <w:tc>
          <w:tcPr>
            <w:tcW w:w="994" w:type="dxa"/>
            <w:vAlign w:val="center"/>
          </w:tcPr>
          <w:p>
            <w:pPr>
              <w:spacing w:before="60" w:after="60" w:line="200" w:lineRule="exact"/>
              <w:jc w:val="right"/>
              <w:rPr>
                <w:noProof/>
                <w:sz w:val="20"/>
                <w:szCs w:val="20"/>
              </w:rPr>
            </w:pPr>
          </w:p>
        </w:tc>
        <w:tc>
          <w:tcPr>
            <w:tcW w:w="994" w:type="dxa"/>
            <w:vAlign w:val="center"/>
          </w:tcPr>
          <w:p>
            <w:pPr>
              <w:spacing w:before="60" w:after="60" w:line="200" w:lineRule="exact"/>
              <w:jc w:val="right"/>
              <w:rPr>
                <w:noProof/>
                <w:sz w:val="20"/>
                <w:szCs w:val="20"/>
              </w:rPr>
            </w:pPr>
          </w:p>
        </w:tc>
        <w:tc>
          <w:tcPr>
            <w:tcW w:w="994" w:type="dxa"/>
            <w:vAlign w:val="center"/>
          </w:tcPr>
          <w:p>
            <w:pPr>
              <w:spacing w:before="60" w:after="60" w:line="200" w:lineRule="exact"/>
              <w:jc w:val="right"/>
              <w:rPr>
                <w:b/>
                <w:noProof/>
                <w:sz w:val="20"/>
                <w:szCs w:val="20"/>
              </w:rPr>
            </w:pPr>
          </w:p>
        </w:tc>
        <w:tc>
          <w:tcPr>
            <w:tcW w:w="995" w:type="dxa"/>
            <w:vAlign w:val="center"/>
          </w:tcPr>
          <w:p>
            <w:pPr>
              <w:spacing w:before="60" w:after="60" w:line="200" w:lineRule="exact"/>
              <w:jc w:val="right"/>
              <w:rPr>
                <w:b/>
                <w:noProof/>
                <w:sz w:val="20"/>
                <w:szCs w:val="20"/>
              </w:rPr>
            </w:pPr>
          </w:p>
        </w:tc>
      </w:tr>
      <w:tr>
        <w:trPr>
          <w:trHeight w:val="585"/>
        </w:trPr>
        <w:tc>
          <w:tcPr>
            <w:tcW w:w="1980" w:type="dxa"/>
            <w:vAlign w:val="center"/>
          </w:tcPr>
          <w:p>
            <w:pPr>
              <w:spacing w:before="60" w:after="60" w:line="200" w:lineRule="exact"/>
              <w:ind w:left="72"/>
              <w:jc w:val="left"/>
              <w:rPr>
                <w:noProof/>
                <w:sz w:val="20"/>
                <w:szCs w:val="20"/>
              </w:rPr>
            </w:pPr>
            <w:r>
              <w:rPr>
                <w:noProof/>
                <w:sz w:val="20"/>
                <w:szCs w:val="20"/>
              </w:rPr>
              <w:t xml:space="preserve">Outras despesas </w:t>
            </w:r>
            <w:r>
              <w:rPr>
                <w:noProof/>
                <w:sz w:val="20"/>
                <w:szCs w:val="20"/>
              </w:rPr>
              <w:br/>
              <w:t>de natureza administrativa</w:t>
            </w:r>
          </w:p>
        </w:tc>
        <w:tc>
          <w:tcPr>
            <w:tcW w:w="994" w:type="dxa"/>
            <w:vAlign w:val="center"/>
          </w:tcPr>
          <w:p>
            <w:pPr>
              <w:spacing w:before="60" w:after="60" w:line="200" w:lineRule="exact"/>
              <w:jc w:val="right"/>
              <w:rPr>
                <w:noProof/>
                <w:sz w:val="20"/>
                <w:szCs w:val="20"/>
              </w:rPr>
            </w:pPr>
          </w:p>
        </w:tc>
        <w:tc>
          <w:tcPr>
            <w:tcW w:w="994" w:type="dxa"/>
            <w:vAlign w:val="center"/>
          </w:tcPr>
          <w:p>
            <w:pPr>
              <w:spacing w:before="60" w:after="60" w:line="200" w:lineRule="exact"/>
              <w:jc w:val="right"/>
              <w:rPr>
                <w:noProof/>
                <w:sz w:val="20"/>
                <w:szCs w:val="20"/>
              </w:rPr>
            </w:pPr>
          </w:p>
        </w:tc>
        <w:tc>
          <w:tcPr>
            <w:tcW w:w="994" w:type="dxa"/>
            <w:vAlign w:val="center"/>
          </w:tcPr>
          <w:p>
            <w:pPr>
              <w:spacing w:before="60" w:after="60" w:line="200" w:lineRule="exact"/>
              <w:jc w:val="right"/>
              <w:rPr>
                <w:noProof/>
                <w:sz w:val="20"/>
                <w:szCs w:val="20"/>
              </w:rPr>
            </w:pPr>
          </w:p>
        </w:tc>
        <w:tc>
          <w:tcPr>
            <w:tcW w:w="995" w:type="dxa"/>
            <w:vAlign w:val="center"/>
          </w:tcPr>
          <w:p>
            <w:pPr>
              <w:spacing w:before="60" w:after="60" w:line="200" w:lineRule="exact"/>
              <w:jc w:val="right"/>
              <w:rPr>
                <w:noProof/>
                <w:sz w:val="20"/>
                <w:szCs w:val="20"/>
              </w:rPr>
            </w:pPr>
          </w:p>
        </w:tc>
        <w:tc>
          <w:tcPr>
            <w:tcW w:w="994" w:type="dxa"/>
            <w:vAlign w:val="center"/>
          </w:tcPr>
          <w:p>
            <w:pPr>
              <w:spacing w:before="60" w:after="60" w:line="200" w:lineRule="exact"/>
              <w:jc w:val="right"/>
              <w:rPr>
                <w:noProof/>
                <w:sz w:val="20"/>
                <w:szCs w:val="20"/>
              </w:rPr>
            </w:pPr>
          </w:p>
        </w:tc>
        <w:tc>
          <w:tcPr>
            <w:tcW w:w="994" w:type="dxa"/>
            <w:vAlign w:val="center"/>
          </w:tcPr>
          <w:p>
            <w:pPr>
              <w:spacing w:before="60" w:after="60" w:line="200" w:lineRule="exact"/>
              <w:jc w:val="right"/>
              <w:rPr>
                <w:noProof/>
                <w:sz w:val="20"/>
                <w:szCs w:val="20"/>
              </w:rPr>
            </w:pPr>
          </w:p>
        </w:tc>
        <w:tc>
          <w:tcPr>
            <w:tcW w:w="994" w:type="dxa"/>
            <w:vAlign w:val="center"/>
          </w:tcPr>
          <w:p>
            <w:pPr>
              <w:spacing w:before="60" w:after="60" w:line="200" w:lineRule="exact"/>
              <w:jc w:val="right"/>
              <w:rPr>
                <w:b/>
                <w:noProof/>
                <w:sz w:val="20"/>
                <w:szCs w:val="20"/>
              </w:rPr>
            </w:pPr>
          </w:p>
        </w:tc>
        <w:tc>
          <w:tcPr>
            <w:tcW w:w="995" w:type="dxa"/>
            <w:vAlign w:val="center"/>
          </w:tcPr>
          <w:p>
            <w:pPr>
              <w:spacing w:before="60" w:after="60" w:line="200" w:lineRule="exact"/>
              <w:jc w:val="right"/>
              <w:rPr>
                <w:b/>
                <w:noProof/>
                <w:sz w:val="20"/>
                <w:szCs w:val="20"/>
              </w:rPr>
            </w:pPr>
          </w:p>
        </w:tc>
      </w:tr>
      <w:tr>
        <w:trPr>
          <w:trHeight w:val="585"/>
        </w:trPr>
        <w:tc>
          <w:tcPr>
            <w:tcW w:w="1980" w:type="dxa"/>
            <w:shd w:val="clear" w:color="auto" w:fill="CCCCCC"/>
            <w:vAlign w:val="center"/>
          </w:tcPr>
          <w:p>
            <w:pPr>
              <w:spacing w:before="60" w:after="60" w:line="200" w:lineRule="exact"/>
              <w:jc w:val="center"/>
              <w:rPr>
                <w:b/>
                <w:noProof/>
                <w:sz w:val="20"/>
                <w:szCs w:val="20"/>
              </w:rPr>
            </w:pPr>
            <w:r>
              <w:rPr>
                <w:b/>
                <w:noProof/>
                <w:sz w:val="20"/>
                <w:szCs w:val="20"/>
              </w:rPr>
              <w:t xml:space="preserve">Subtotal </w:t>
            </w:r>
            <w:r>
              <w:rPr>
                <w:noProof/>
                <w:sz w:val="20"/>
                <w:szCs w:val="20"/>
              </w:rPr>
              <w:br/>
            </w:r>
            <w:r>
              <w:rPr>
                <w:b/>
                <w:noProof/>
                <w:sz w:val="20"/>
                <w:szCs w:val="20"/>
              </w:rPr>
              <w:t>com exclusão da RUBRICA 7</w:t>
            </w:r>
            <w:r>
              <w:rPr>
                <w:noProof/>
                <w:sz w:val="20"/>
                <w:szCs w:val="20"/>
              </w:rPr>
              <w:br/>
            </w:r>
            <w:r>
              <w:rPr>
                <w:b/>
                <w:noProof/>
                <w:sz w:val="20"/>
                <w:szCs w:val="20"/>
              </w:rPr>
              <w:t xml:space="preserve">do quadro financeiro plurianual </w:t>
            </w:r>
          </w:p>
        </w:tc>
        <w:tc>
          <w:tcPr>
            <w:tcW w:w="994" w:type="dxa"/>
            <w:vAlign w:val="center"/>
          </w:tcPr>
          <w:p>
            <w:pPr>
              <w:spacing w:before="60" w:after="60" w:line="200" w:lineRule="exact"/>
              <w:jc w:val="right"/>
              <w:rPr>
                <w:noProof/>
                <w:sz w:val="20"/>
                <w:szCs w:val="20"/>
              </w:rPr>
            </w:pPr>
          </w:p>
        </w:tc>
        <w:tc>
          <w:tcPr>
            <w:tcW w:w="994" w:type="dxa"/>
            <w:vAlign w:val="center"/>
          </w:tcPr>
          <w:p>
            <w:pPr>
              <w:spacing w:before="60" w:after="60" w:line="200" w:lineRule="exact"/>
              <w:jc w:val="right"/>
              <w:rPr>
                <w:noProof/>
                <w:sz w:val="20"/>
                <w:szCs w:val="20"/>
              </w:rPr>
            </w:pPr>
          </w:p>
        </w:tc>
        <w:tc>
          <w:tcPr>
            <w:tcW w:w="994" w:type="dxa"/>
            <w:vAlign w:val="center"/>
          </w:tcPr>
          <w:p>
            <w:pPr>
              <w:spacing w:before="60" w:after="60" w:line="200" w:lineRule="exact"/>
              <w:jc w:val="right"/>
              <w:rPr>
                <w:noProof/>
                <w:sz w:val="20"/>
                <w:szCs w:val="20"/>
              </w:rPr>
            </w:pPr>
          </w:p>
        </w:tc>
        <w:tc>
          <w:tcPr>
            <w:tcW w:w="995" w:type="dxa"/>
            <w:vAlign w:val="center"/>
          </w:tcPr>
          <w:p>
            <w:pPr>
              <w:spacing w:before="60" w:after="60" w:line="200" w:lineRule="exact"/>
              <w:jc w:val="right"/>
              <w:rPr>
                <w:noProof/>
                <w:sz w:val="20"/>
                <w:szCs w:val="20"/>
              </w:rPr>
            </w:pPr>
          </w:p>
        </w:tc>
        <w:tc>
          <w:tcPr>
            <w:tcW w:w="994" w:type="dxa"/>
            <w:vAlign w:val="center"/>
          </w:tcPr>
          <w:p>
            <w:pPr>
              <w:spacing w:before="60" w:after="60" w:line="200" w:lineRule="exact"/>
              <w:jc w:val="right"/>
              <w:rPr>
                <w:noProof/>
                <w:sz w:val="20"/>
                <w:szCs w:val="20"/>
              </w:rPr>
            </w:pPr>
          </w:p>
        </w:tc>
        <w:tc>
          <w:tcPr>
            <w:tcW w:w="994" w:type="dxa"/>
            <w:vAlign w:val="center"/>
          </w:tcPr>
          <w:p>
            <w:pPr>
              <w:spacing w:before="60" w:after="60" w:line="200" w:lineRule="exact"/>
              <w:jc w:val="right"/>
              <w:rPr>
                <w:noProof/>
                <w:sz w:val="20"/>
                <w:szCs w:val="20"/>
              </w:rPr>
            </w:pPr>
          </w:p>
        </w:tc>
        <w:tc>
          <w:tcPr>
            <w:tcW w:w="994" w:type="dxa"/>
            <w:vAlign w:val="center"/>
          </w:tcPr>
          <w:p>
            <w:pPr>
              <w:spacing w:before="60" w:after="60" w:line="200" w:lineRule="exact"/>
              <w:jc w:val="right"/>
              <w:rPr>
                <w:b/>
                <w:noProof/>
                <w:sz w:val="20"/>
                <w:szCs w:val="20"/>
              </w:rPr>
            </w:pPr>
          </w:p>
        </w:tc>
        <w:tc>
          <w:tcPr>
            <w:tcW w:w="995" w:type="dxa"/>
            <w:vAlign w:val="center"/>
          </w:tcPr>
          <w:p>
            <w:pPr>
              <w:spacing w:before="60" w:after="60" w:line="200" w:lineRule="exact"/>
              <w:jc w:val="right"/>
              <w:rPr>
                <w:b/>
                <w:noProof/>
                <w:sz w:val="20"/>
                <w:szCs w:val="20"/>
              </w:rPr>
            </w:pPr>
          </w:p>
        </w:tc>
      </w:tr>
    </w:tbl>
    <w:p>
      <w:pPr>
        <w:spacing w:line="200" w:lineRule="exact"/>
        <w:rPr>
          <w:noProof/>
          <w:sz w:val="20"/>
          <w:szCs w:val="20"/>
        </w:rPr>
      </w:pPr>
    </w:p>
    <w:tbl>
      <w:tblPr>
        <w:tblW w:w="9934" w:type="dxa"/>
        <w:tblInd w:w="-612" w:type="dxa"/>
        <w:tblLayout w:type="fixed"/>
        <w:tblLook w:val="01E0" w:firstRow="1" w:lastRow="1" w:firstColumn="1" w:lastColumn="1" w:noHBand="0" w:noVBand="0"/>
      </w:tblPr>
      <w:tblGrid>
        <w:gridCol w:w="1980"/>
        <w:gridCol w:w="994"/>
        <w:gridCol w:w="994"/>
        <w:gridCol w:w="994"/>
        <w:gridCol w:w="995"/>
        <w:gridCol w:w="994"/>
        <w:gridCol w:w="994"/>
        <w:gridCol w:w="994"/>
        <w:gridCol w:w="995"/>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20"/>
                <w:szCs w:val="20"/>
              </w:rPr>
            </w:pPr>
            <w:r>
              <w:rPr>
                <w:b/>
                <w:noProof/>
                <w:sz w:val="20"/>
                <w:szCs w:val="20"/>
              </w:rPr>
              <w:t>TOTAL</w:t>
            </w:r>
          </w:p>
        </w:tc>
        <w:tc>
          <w:tcPr>
            <w:tcW w:w="994" w:type="dxa"/>
            <w:tcBorders>
              <w:top w:val="single" w:sz="12" w:space="0" w:color="auto"/>
              <w:left w:val="single" w:sz="2" w:space="0" w:color="auto"/>
              <w:bottom w:val="single" w:sz="12" w:space="0" w:color="auto"/>
              <w:right w:val="single" w:sz="2" w:space="0" w:color="auto"/>
            </w:tcBorders>
            <w:vAlign w:val="center"/>
          </w:tcPr>
          <w:p>
            <w:pPr>
              <w:jc w:val="center"/>
              <w:rPr>
                <w:b/>
                <w:noProof/>
                <w:color w:val="000000"/>
                <w:sz w:val="20"/>
                <w:szCs w:val="20"/>
              </w:rPr>
            </w:pPr>
            <w:r>
              <w:rPr>
                <w:b/>
                <w:bCs/>
                <w:noProof/>
                <w:color w:val="000000"/>
                <w:sz w:val="20"/>
                <w:szCs w:val="20"/>
              </w:rPr>
              <w:t>22,546</w:t>
            </w:r>
          </w:p>
        </w:tc>
        <w:tc>
          <w:tcPr>
            <w:tcW w:w="994" w:type="dxa"/>
            <w:tcBorders>
              <w:top w:val="single" w:sz="12" w:space="0" w:color="auto"/>
              <w:left w:val="single" w:sz="2" w:space="0" w:color="auto"/>
              <w:bottom w:val="single" w:sz="12" w:space="0" w:color="auto"/>
              <w:right w:val="single" w:sz="2" w:space="0" w:color="auto"/>
            </w:tcBorders>
            <w:vAlign w:val="center"/>
          </w:tcPr>
          <w:p>
            <w:pPr>
              <w:jc w:val="right"/>
              <w:rPr>
                <w:b/>
                <w:noProof/>
                <w:color w:val="000000"/>
                <w:sz w:val="20"/>
                <w:szCs w:val="20"/>
              </w:rPr>
            </w:pPr>
            <w:r>
              <w:rPr>
                <w:b/>
                <w:bCs/>
                <w:noProof/>
                <w:color w:val="000000"/>
                <w:sz w:val="20"/>
                <w:szCs w:val="20"/>
              </w:rPr>
              <w:t>22,772</w:t>
            </w:r>
          </w:p>
        </w:tc>
        <w:tc>
          <w:tcPr>
            <w:tcW w:w="994" w:type="dxa"/>
            <w:tcBorders>
              <w:top w:val="single" w:sz="12" w:space="0" w:color="auto"/>
              <w:left w:val="single" w:sz="2" w:space="0" w:color="auto"/>
              <w:bottom w:val="single" w:sz="12" w:space="0" w:color="auto"/>
              <w:right w:val="single" w:sz="2" w:space="0" w:color="auto"/>
            </w:tcBorders>
            <w:vAlign w:val="center"/>
          </w:tcPr>
          <w:p>
            <w:pPr>
              <w:jc w:val="right"/>
              <w:rPr>
                <w:b/>
                <w:noProof/>
                <w:color w:val="000000"/>
                <w:sz w:val="20"/>
                <w:szCs w:val="20"/>
              </w:rPr>
            </w:pPr>
            <w:r>
              <w:rPr>
                <w:b/>
                <w:bCs/>
                <w:noProof/>
                <w:color w:val="000000"/>
                <w:sz w:val="20"/>
                <w:szCs w:val="20"/>
              </w:rPr>
              <w:t>22,997</w:t>
            </w:r>
          </w:p>
        </w:tc>
        <w:tc>
          <w:tcPr>
            <w:tcW w:w="995" w:type="dxa"/>
            <w:tcBorders>
              <w:top w:val="single" w:sz="12" w:space="0" w:color="auto"/>
              <w:left w:val="single" w:sz="2" w:space="0" w:color="auto"/>
              <w:bottom w:val="single" w:sz="12" w:space="0" w:color="auto"/>
              <w:right w:val="single" w:sz="2" w:space="0" w:color="auto"/>
            </w:tcBorders>
            <w:vAlign w:val="center"/>
          </w:tcPr>
          <w:p>
            <w:pPr>
              <w:jc w:val="right"/>
              <w:rPr>
                <w:b/>
                <w:noProof/>
                <w:color w:val="000000"/>
                <w:sz w:val="20"/>
                <w:szCs w:val="20"/>
              </w:rPr>
            </w:pPr>
            <w:r>
              <w:rPr>
                <w:b/>
                <w:bCs/>
                <w:noProof/>
                <w:color w:val="000000"/>
                <w:sz w:val="20"/>
                <w:szCs w:val="20"/>
              </w:rPr>
              <w:t>23,223</w:t>
            </w:r>
          </w:p>
        </w:tc>
        <w:tc>
          <w:tcPr>
            <w:tcW w:w="994" w:type="dxa"/>
            <w:tcBorders>
              <w:top w:val="single" w:sz="12" w:space="0" w:color="auto"/>
              <w:left w:val="single" w:sz="2" w:space="0" w:color="auto"/>
              <w:bottom w:val="single" w:sz="12" w:space="0" w:color="auto"/>
              <w:right w:val="single" w:sz="2" w:space="0" w:color="auto"/>
            </w:tcBorders>
            <w:vAlign w:val="center"/>
          </w:tcPr>
          <w:p>
            <w:pPr>
              <w:jc w:val="right"/>
              <w:rPr>
                <w:b/>
                <w:noProof/>
                <w:color w:val="000000"/>
                <w:sz w:val="20"/>
                <w:szCs w:val="20"/>
              </w:rPr>
            </w:pPr>
            <w:r>
              <w:rPr>
                <w:b/>
                <w:bCs/>
                <w:noProof/>
                <w:color w:val="000000"/>
                <w:sz w:val="20"/>
                <w:szCs w:val="20"/>
              </w:rPr>
              <w:t>23,223</w:t>
            </w:r>
          </w:p>
        </w:tc>
        <w:tc>
          <w:tcPr>
            <w:tcW w:w="994" w:type="dxa"/>
            <w:tcBorders>
              <w:top w:val="single" w:sz="12" w:space="0" w:color="auto"/>
              <w:left w:val="single" w:sz="2" w:space="0" w:color="auto"/>
              <w:bottom w:val="single" w:sz="12" w:space="0" w:color="auto"/>
              <w:right w:val="single" w:sz="2" w:space="0" w:color="auto"/>
            </w:tcBorders>
            <w:vAlign w:val="center"/>
          </w:tcPr>
          <w:p>
            <w:pPr>
              <w:jc w:val="right"/>
              <w:rPr>
                <w:b/>
                <w:noProof/>
                <w:color w:val="000000"/>
                <w:sz w:val="20"/>
                <w:szCs w:val="20"/>
              </w:rPr>
            </w:pPr>
            <w:r>
              <w:rPr>
                <w:b/>
                <w:bCs/>
                <w:noProof/>
                <w:color w:val="000000"/>
                <w:sz w:val="20"/>
                <w:szCs w:val="20"/>
              </w:rPr>
              <w:t>23,223</w:t>
            </w:r>
          </w:p>
        </w:tc>
        <w:tc>
          <w:tcPr>
            <w:tcW w:w="994" w:type="dxa"/>
            <w:tcBorders>
              <w:top w:val="single" w:sz="12" w:space="0" w:color="auto"/>
              <w:left w:val="single" w:sz="2" w:space="0" w:color="auto"/>
              <w:bottom w:val="single" w:sz="12" w:space="0" w:color="auto"/>
              <w:right w:val="single" w:sz="2" w:space="0" w:color="auto"/>
            </w:tcBorders>
            <w:vAlign w:val="center"/>
          </w:tcPr>
          <w:p>
            <w:pPr>
              <w:jc w:val="right"/>
              <w:rPr>
                <w:b/>
                <w:noProof/>
                <w:color w:val="000000"/>
                <w:sz w:val="20"/>
                <w:szCs w:val="20"/>
              </w:rPr>
            </w:pPr>
            <w:r>
              <w:rPr>
                <w:b/>
                <w:bCs/>
                <w:noProof/>
                <w:color w:val="000000"/>
                <w:sz w:val="20"/>
                <w:szCs w:val="20"/>
              </w:rPr>
              <w:t>23,223</w:t>
            </w:r>
          </w:p>
        </w:tc>
        <w:tc>
          <w:tcPr>
            <w:tcW w:w="995" w:type="dxa"/>
            <w:tcBorders>
              <w:top w:val="single" w:sz="12" w:space="0" w:color="auto"/>
              <w:left w:val="single" w:sz="2" w:space="0" w:color="auto"/>
              <w:bottom w:val="single" w:sz="12" w:space="0" w:color="auto"/>
              <w:right w:val="single" w:sz="12" w:space="0" w:color="auto"/>
            </w:tcBorders>
            <w:vAlign w:val="center"/>
          </w:tcPr>
          <w:p>
            <w:pPr>
              <w:jc w:val="right"/>
              <w:rPr>
                <w:b/>
                <w:noProof/>
                <w:color w:val="000000"/>
                <w:sz w:val="20"/>
                <w:szCs w:val="20"/>
              </w:rPr>
            </w:pPr>
            <w:r>
              <w:rPr>
                <w:b/>
                <w:noProof/>
                <w:color w:val="000000"/>
                <w:sz w:val="20"/>
                <w:szCs w:val="20"/>
              </w:rPr>
              <w:t>161,208</w:t>
            </w:r>
          </w:p>
        </w:tc>
      </w:tr>
    </w:tbl>
    <w:p>
      <w:pPr>
        <w:rPr>
          <w:noProof/>
          <w:sz w:val="18"/>
        </w:rPr>
      </w:pPr>
      <w:r>
        <w:rPr>
          <w:noProof/>
          <w:sz w:val="18"/>
        </w:rPr>
        <w:t>As dotações necessárias para recursos humanos e outras despesas de natureza administrativas serão cobertas pelas dotações da DG já afetadas à gestão da ação e/ou reafetadas internamente a nível da DG, complementadas, caso necessário, por eventuais dotações adicionais que sejam atribuídas à DG gestora no quadro do processo anual de atribuição e em função das disponibilidades orçamentais.</w:t>
      </w:r>
    </w:p>
    <w:p>
      <w:pPr>
        <w:pStyle w:val="ManualHeading4"/>
        <w:rPr>
          <w:bCs/>
          <w:noProof/>
          <w:szCs w:val="24"/>
        </w:rPr>
      </w:pPr>
      <w:bookmarkStart w:id="58" w:name="_Toc351882"/>
      <w:r>
        <w:t>3.2.2.1.</w:t>
      </w:r>
      <w:r>
        <w:tab/>
      </w:r>
      <w:r>
        <w:rPr>
          <w:noProof/>
        </w:rPr>
        <w:t>Necessidades estimadas de recursos humanos</w:t>
      </w:r>
      <w:bookmarkEnd w:id="58"/>
    </w:p>
    <w:p>
      <w:pPr>
        <w:pStyle w:val="ListDash1"/>
        <w:rPr>
          <w:noProof/>
        </w:rPr>
      </w:pPr>
      <w:r>
        <w:rPr>
          <w:noProof/>
        </w:rPr>
        <w:sym w:font="Wingdings" w:char="F0A8"/>
      </w:r>
      <w:r>
        <w:rPr>
          <w:noProof/>
        </w:rPr>
        <w:tab/>
        <w:t xml:space="preserve">A proposta/iniciativa não acarreta a utilização de recursos humanos </w:t>
      </w:r>
    </w:p>
    <w:p>
      <w:pPr>
        <w:pStyle w:val="ListDash1"/>
        <w:rPr>
          <w:noProof/>
        </w:rPr>
      </w:pPr>
      <w:r>
        <w:rPr>
          <w:noProof/>
        </w:rPr>
        <w:t xml:space="preserve">X </w:t>
      </w:r>
      <w:r>
        <w:rPr>
          <w:noProof/>
        </w:rPr>
        <w:tab/>
        <w:t>A proposta/iniciativa acarreta a utilização de recursos humanos, tal como explicitado seguidamente:</w:t>
      </w:r>
    </w:p>
    <w:p>
      <w:pPr>
        <w:spacing w:after="60"/>
        <w:jc w:val="right"/>
        <w:rPr>
          <w:i/>
          <w:noProof/>
          <w:sz w:val="20"/>
        </w:rPr>
      </w:pPr>
      <w:r>
        <w:rPr>
          <w:i/>
          <w:noProof/>
          <w:sz w:val="20"/>
        </w:rPr>
        <w:t>As estimativas devem ser expressas em termos de equivalente a tempo completo (ETC)</w:t>
      </w:r>
    </w:p>
    <w:tbl>
      <w:tblPr>
        <w:tblW w:w="5342"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7"/>
        <w:gridCol w:w="1571"/>
        <w:gridCol w:w="970"/>
        <w:gridCol w:w="970"/>
        <w:gridCol w:w="970"/>
        <w:gridCol w:w="970"/>
        <w:gridCol w:w="970"/>
        <w:gridCol w:w="970"/>
        <w:gridCol w:w="964"/>
      </w:tblGrid>
      <w:tr>
        <w:trPr>
          <w:trHeight w:val="289"/>
        </w:trPr>
        <w:tc>
          <w:tcPr>
            <w:tcW w:w="1579" w:type="pct"/>
            <w:gridSpan w:val="2"/>
            <w:vAlign w:val="center"/>
          </w:tcPr>
          <w:p>
            <w:pPr>
              <w:pStyle w:val="Text1"/>
              <w:spacing w:before="40" w:after="40"/>
              <w:ind w:left="0"/>
              <w:jc w:val="center"/>
              <w:rPr>
                <w:i/>
                <w:noProof/>
                <w:sz w:val="16"/>
                <w:szCs w:val="16"/>
              </w:rPr>
            </w:pPr>
            <w:r>
              <w:rPr>
                <w:b/>
                <w:noProof/>
                <w:sz w:val="16"/>
                <w:szCs w:val="16"/>
              </w:rPr>
              <w:t>Anos</w:t>
            </w:r>
          </w:p>
        </w:tc>
        <w:tc>
          <w:tcPr>
            <w:tcW w:w="489" w:type="pct"/>
            <w:shd w:val="clear" w:color="auto" w:fill="auto"/>
            <w:vAlign w:val="center"/>
          </w:tcPr>
          <w:p>
            <w:pPr>
              <w:spacing w:before="20" w:after="20"/>
              <w:jc w:val="center"/>
              <w:rPr>
                <w:b/>
                <w:noProof/>
                <w:sz w:val="16"/>
                <w:szCs w:val="16"/>
              </w:rPr>
            </w:pPr>
            <w:r>
              <w:rPr>
                <w:b/>
                <w:noProof/>
                <w:sz w:val="20"/>
              </w:rPr>
              <w:t>2021</w:t>
            </w:r>
          </w:p>
        </w:tc>
        <w:tc>
          <w:tcPr>
            <w:tcW w:w="489" w:type="pct"/>
            <w:shd w:val="clear" w:color="auto" w:fill="auto"/>
            <w:vAlign w:val="center"/>
          </w:tcPr>
          <w:p>
            <w:pPr>
              <w:spacing w:before="20" w:after="20"/>
              <w:jc w:val="center"/>
              <w:rPr>
                <w:b/>
                <w:noProof/>
                <w:sz w:val="20"/>
              </w:rPr>
            </w:pPr>
            <w:r>
              <w:rPr>
                <w:b/>
                <w:noProof/>
                <w:sz w:val="20"/>
              </w:rPr>
              <w:t>2022</w:t>
            </w:r>
          </w:p>
        </w:tc>
        <w:tc>
          <w:tcPr>
            <w:tcW w:w="489" w:type="pct"/>
            <w:shd w:val="clear" w:color="auto" w:fill="auto"/>
            <w:vAlign w:val="center"/>
          </w:tcPr>
          <w:p>
            <w:pPr>
              <w:spacing w:before="20" w:after="20"/>
              <w:jc w:val="center"/>
              <w:rPr>
                <w:b/>
                <w:noProof/>
                <w:sz w:val="20"/>
              </w:rPr>
            </w:pPr>
            <w:r>
              <w:rPr>
                <w:b/>
                <w:noProof/>
                <w:sz w:val="20"/>
              </w:rPr>
              <w:t>2023</w:t>
            </w:r>
          </w:p>
        </w:tc>
        <w:tc>
          <w:tcPr>
            <w:tcW w:w="489" w:type="pct"/>
            <w:shd w:val="clear" w:color="auto" w:fill="auto"/>
            <w:vAlign w:val="center"/>
          </w:tcPr>
          <w:p>
            <w:pPr>
              <w:spacing w:before="20" w:after="20"/>
              <w:jc w:val="center"/>
              <w:rPr>
                <w:b/>
                <w:noProof/>
                <w:sz w:val="20"/>
              </w:rPr>
            </w:pPr>
            <w:r>
              <w:rPr>
                <w:b/>
                <w:noProof/>
                <w:sz w:val="20"/>
              </w:rPr>
              <w:t>2024</w:t>
            </w:r>
          </w:p>
        </w:tc>
        <w:tc>
          <w:tcPr>
            <w:tcW w:w="489" w:type="pct"/>
            <w:shd w:val="clear" w:color="auto" w:fill="auto"/>
            <w:vAlign w:val="center"/>
          </w:tcPr>
          <w:p>
            <w:pPr>
              <w:jc w:val="center"/>
              <w:rPr>
                <w:b/>
                <w:noProof/>
                <w:sz w:val="20"/>
              </w:rPr>
            </w:pPr>
            <w:r>
              <w:rPr>
                <w:b/>
                <w:noProof/>
                <w:sz w:val="20"/>
              </w:rPr>
              <w:t>2025</w:t>
            </w:r>
          </w:p>
        </w:tc>
        <w:tc>
          <w:tcPr>
            <w:tcW w:w="489" w:type="pct"/>
            <w:shd w:val="clear" w:color="auto" w:fill="auto"/>
            <w:vAlign w:val="center"/>
          </w:tcPr>
          <w:p>
            <w:pPr>
              <w:jc w:val="center"/>
              <w:rPr>
                <w:b/>
                <w:noProof/>
                <w:sz w:val="20"/>
              </w:rPr>
            </w:pPr>
            <w:r>
              <w:rPr>
                <w:b/>
                <w:noProof/>
                <w:sz w:val="20"/>
              </w:rPr>
              <w:t>2026</w:t>
            </w:r>
          </w:p>
        </w:tc>
        <w:tc>
          <w:tcPr>
            <w:tcW w:w="488" w:type="pct"/>
            <w:shd w:val="clear" w:color="auto" w:fill="auto"/>
            <w:vAlign w:val="center"/>
          </w:tcPr>
          <w:p>
            <w:pPr>
              <w:jc w:val="center"/>
              <w:rPr>
                <w:b/>
                <w:noProof/>
                <w:sz w:val="20"/>
              </w:rPr>
            </w:pPr>
            <w:r>
              <w:rPr>
                <w:b/>
                <w:noProof/>
                <w:sz w:val="20"/>
              </w:rPr>
              <w:t>2027</w:t>
            </w:r>
          </w:p>
        </w:tc>
      </w:tr>
      <w:tr>
        <w:trPr>
          <w:trHeight w:val="289"/>
        </w:trPr>
        <w:tc>
          <w:tcPr>
            <w:tcW w:w="5000" w:type="pct"/>
            <w:gridSpan w:val="9"/>
          </w:tcPr>
          <w:p>
            <w:pPr>
              <w:jc w:val="left"/>
              <w:rPr>
                <w:noProof/>
                <w:sz w:val="16"/>
                <w:szCs w:val="16"/>
              </w:rPr>
            </w:pPr>
            <w:r>
              <w:rPr>
                <w:b/>
                <w:noProof/>
                <w:sz w:val="16"/>
              </w:rPr>
              <w:sym w:font="Wingdings" w:char="F09F"/>
            </w:r>
            <w:r>
              <w:rPr>
                <w:b/>
                <w:noProof/>
                <w:sz w:val="16"/>
              </w:rPr>
              <w:t xml:space="preserve"> Lugares do quadro do pessoal (funcionários e agentes temporários)</w:t>
            </w:r>
          </w:p>
        </w:tc>
      </w:tr>
      <w:tr>
        <w:trPr>
          <w:trHeight w:val="289"/>
        </w:trPr>
        <w:tc>
          <w:tcPr>
            <w:tcW w:w="1579" w:type="pct"/>
            <w:gridSpan w:val="2"/>
          </w:tcPr>
          <w:p>
            <w:pPr>
              <w:pStyle w:val="Text1"/>
              <w:spacing w:beforeLines="20" w:before="48" w:afterLines="20" w:after="48"/>
              <w:ind w:left="134"/>
              <w:jc w:val="left"/>
              <w:rPr>
                <w:b/>
                <w:noProof/>
                <w:sz w:val="16"/>
                <w:szCs w:val="16"/>
              </w:rPr>
            </w:pPr>
            <w:r>
              <w:rPr>
                <w:noProof/>
                <w:sz w:val="16"/>
              </w:rPr>
              <w:t>Na sede e nos gabinetes de representação da Comissão</w:t>
            </w:r>
          </w:p>
        </w:tc>
        <w:tc>
          <w:tcPr>
            <w:tcW w:w="489" w:type="pct"/>
            <w:shd w:val="clear" w:color="auto" w:fill="auto"/>
          </w:tcPr>
          <w:p>
            <w:pPr>
              <w:spacing w:beforeLines="20" w:before="48" w:afterLines="20" w:after="48"/>
              <w:jc w:val="center"/>
              <w:rPr>
                <w:noProof/>
                <w:sz w:val="20"/>
                <w:szCs w:val="16"/>
              </w:rPr>
            </w:pPr>
            <w:r>
              <w:rPr>
                <w:noProof/>
                <w:sz w:val="20"/>
              </w:rPr>
              <w:t xml:space="preserve"> 102</w:t>
            </w:r>
          </w:p>
        </w:tc>
        <w:tc>
          <w:tcPr>
            <w:tcW w:w="489" w:type="pct"/>
            <w:shd w:val="clear" w:color="auto" w:fill="auto"/>
          </w:tcPr>
          <w:p>
            <w:pPr>
              <w:spacing w:beforeLines="20" w:before="48" w:afterLines="20" w:after="48"/>
              <w:jc w:val="center"/>
              <w:rPr>
                <w:noProof/>
                <w:sz w:val="20"/>
                <w:szCs w:val="16"/>
              </w:rPr>
            </w:pPr>
            <w:r>
              <w:rPr>
                <w:noProof/>
                <w:sz w:val="20"/>
              </w:rPr>
              <w:t>103</w:t>
            </w:r>
          </w:p>
        </w:tc>
        <w:tc>
          <w:tcPr>
            <w:tcW w:w="489" w:type="pct"/>
            <w:shd w:val="clear" w:color="auto" w:fill="auto"/>
          </w:tcPr>
          <w:p>
            <w:pPr>
              <w:spacing w:beforeLines="20" w:before="48" w:afterLines="20" w:after="48"/>
              <w:jc w:val="center"/>
              <w:rPr>
                <w:noProof/>
                <w:sz w:val="20"/>
                <w:szCs w:val="16"/>
              </w:rPr>
            </w:pPr>
            <w:r>
              <w:rPr>
                <w:noProof/>
                <w:sz w:val="20"/>
              </w:rPr>
              <w:t>104</w:t>
            </w:r>
          </w:p>
        </w:tc>
        <w:tc>
          <w:tcPr>
            <w:tcW w:w="489" w:type="pct"/>
            <w:shd w:val="clear" w:color="auto" w:fill="auto"/>
          </w:tcPr>
          <w:p>
            <w:pPr>
              <w:spacing w:beforeLines="20" w:before="48" w:afterLines="20" w:after="48"/>
              <w:jc w:val="center"/>
              <w:rPr>
                <w:noProof/>
                <w:sz w:val="20"/>
                <w:szCs w:val="16"/>
              </w:rPr>
            </w:pPr>
            <w:r>
              <w:rPr>
                <w:noProof/>
                <w:sz w:val="20"/>
              </w:rPr>
              <w:t>105</w:t>
            </w:r>
          </w:p>
        </w:tc>
        <w:tc>
          <w:tcPr>
            <w:tcW w:w="489" w:type="pct"/>
            <w:shd w:val="clear" w:color="auto" w:fill="auto"/>
          </w:tcPr>
          <w:p>
            <w:pPr>
              <w:spacing w:beforeLines="20" w:before="48" w:afterLines="20" w:after="48"/>
              <w:jc w:val="center"/>
              <w:rPr>
                <w:noProof/>
                <w:sz w:val="20"/>
                <w:szCs w:val="16"/>
              </w:rPr>
            </w:pPr>
            <w:r>
              <w:rPr>
                <w:noProof/>
                <w:sz w:val="20"/>
              </w:rPr>
              <w:t>105</w:t>
            </w:r>
          </w:p>
        </w:tc>
        <w:tc>
          <w:tcPr>
            <w:tcW w:w="489" w:type="pct"/>
            <w:shd w:val="clear" w:color="auto" w:fill="auto"/>
          </w:tcPr>
          <w:p>
            <w:pPr>
              <w:spacing w:beforeLines="20" w:before="48" w:afterLines="20" w:after="48"/>
              <w:jc w:val="center"/>
              <w:rPr>
                <w:noProof/>
                <w:sz w:val="20"/>
                <w:szCs w:val="16"/>
              </w:rPr>
            </w:pPr>
            <w:r>
              <w:rPr>
                <w:noProof/>
                <w:sz w:val="20"/>
              </w:rPr>
              <w:t xml:space="preserve"> 105 </w:t>
            </w:r>
          </w:p>
        </w:tc>
        <w:tc>
          <w:tcPr>
            <w:tcW w:w="488" w:type="pct"/>
            <w:shd w:val="clear" w:color="auto" w:fill="auto"/>
          </w:tcPr>
          <w:p>
            <w:pPr>
              <w:spacing w:beforeLines="20" w:before="48" w:afterLines="20" w:after="48"/>
              <w:jc w:val="center"/>
              <w:rPr>
                <w:noProof/>
                <w:sz w:val="20"/>
                <w:szCs w:val="16"/>
              </w:rPr>
            </w:pPr>
            <w:r>
              <w:rPr>
                <w:noProof/>
                <w:sz w:val="20"/>
              </w:rPr>
              <w:t xml:space="preserve">105 </w:t>
            </w:r>
          </w:p>
        </w:tc>
      </w:tr>
      <w:tr>
        <w:trPr>
          <w:trHeight w:val="289"/>
        </w:trPr>
        <w:tc>
          <w:tcPr>
            <w:tcW w:w="1579" w:type="pct"/>
            <w:gridSpan w:val="2"/>
          </w:tcPr>
          <w:p>
            <w:pPr>
              <w:pStyle w:val="Text1"/>
              <w:spacing w:beforeLines="20" w:before="48" w:afterLines="20" w:after="48"/>
              <w:ind w:left="134"/>
              <w:jc w:val="left"/>
              <w:rPr>
                <w:noProof/>
                <w:sz w:val="16"/>
                <w:szCs w:val="16"/>
              </w:rPr>
            </w:pPr>
            <w:r>
              <w:rPr>
                <w:noProof/>
                <w:sz w:val="16"/>
              </w:rPr>
              <w:t>Nas delegações</w:t>
            </w:r>
          </w:p>
        </w:tc>
        <w:tc>
          <w:tcPr>
            <w:tcW w:w="489" w:type="pct"/>
            <w:shd w:val="clear" w:color="auto" w:fill="auto"/>
            <w:vAlign w:val="center"/>
          </w:tcPr>
          <w:p>
            <w:pPr>
              <w:spacing w:beforeLines="20" w:before="48" w:afterLines="20" w:after="48"/>
              <w:jc w:val="center"/>
              <w:rPr>
                <w:noProof/>
                <w:sz w:val="20"/>
                <w:szCs w:val="16"/>
              </w:rPr>
            </w:pPr>
          </w:p>
        </w:tc>
        <w:tc>
          <w:tcPr>
            <w:tcW w:w="489" w:type="pct"/>
            <w:shd w:val="clear" w:color="auto" w:fill="auto"/>
            <w:vAlign w:val="center"/>
          </w:tcPr>
          <w:p>
            <w:pPr>
              <w:spacing w:beforeLines="20" w:before="48" w:afterLines="20" w:after="48"/>
              <w:jc w:val="center"/>
              <w:rPr>
                <w:noProof/>
                <w:sz w:val="20"/>
                <w:szCs w:val="16"/>
              </w:rPr>
            </w:pPr>
          </w:p>
        </w:tc>
        <w:tc>
          <w:tcPr>
            <w:tcW w:w="489" w:type="pct"/>
            <w:shd w:val="clear" w:color="auto" w:fill="auto"/>
            <w:vAlign w:val="center"/>
          </w:tcPr>
          <w:p>
            <w:pPr>
              <w:spacing w:beforeLines="20" w:before="48" w:afterLines="20" w:after="48"/>
              <w:jc w:val="center"/>
              <w:rPr>
                <w:noProof/>
                <w:sz w:val="20"/>
                <w:szCs w:val="16"/>
              </w:rPr>
            </w:pPr>
          </w:p>
        </w:tc>
        <w:tc>
          <w:tcPr>
            <w:tcW w:w="489" w:type="pct"/>
            <w:shd w:val="clear" w:color="auto" w:fill="auto"/>
            <w:vAlign w:val="center"/>
          </w:tcPr>
          <w:p>
            <w:pPr>
              <w:spacing w:beforeLines="20" w:before="48" w:afterLines="20" w:after="48"/>
              <w:jc w:val="center"/>
              <w:rPr>
                <w:noProof/>
                <w:sz w:val="20"/>
                <w:szCs w:val="16"/>
              </w:rPr>
            </w:pPr>
          </w:p>
        </w:tc>
        <w:tc>
          <w:tcPr>
            <w:tcW w:w="489" w:type="pct"/>
            <w:shd w:val="clear" w:color="auto" w:fill="auto"/>
            <w:vAlign w:val="center"/>
          </w:tcPr>
          <w:p>
            <w:pPr>
              <w:spacing w:beforeLines="20" w:before="48" w:afterLines="20" w:after="48"/>
              <w:jc w:val="center"/>
              <w:rPr>
                <w:noProof/>
                <w:sz w:val="20"/>
                <w:szCs w:val="16"/>
              </w:rPr>
            </w:pPr>
          </w:p>
        </w:tc>
        <w:tc>
          <w:tcPr>
            <w:tcW w:w="489" w:type="pct"/>
            <w:shd w:val="clear" w:color="auto" w:fill="auto"/>
            <w:vAlign w:val="center"/>
          </w:tcPr>
          <w:p>
            <w:pPr>
              <w:spacing w:beforeLines="20" w:before="48" w:afterLines="20" w:after="48"/>
              <w:jc w:val="center"/>
              <w:rPr>
                <w:noProof/>
                <w:sz w:val="20"/>
                <w:szCs w:val="16"/>
              </w:rPr>
            </w:pPr>
          </w:p>
        </w:tc>
        <w:tc>
          <w:tcPr>
            <w:tcW w:w="488" w:type="pct"/>
            <w:shd w:val="clear" w:color="auto" w:fill="auto"/>
            <w:vAlign w:val="center"/>
          </w:tcPr>
          <w:p>
            <w:pPr>
              <w:spacing w:beforeLines="20" w:before="48" w:afterLines="20" w:after="48"/>
              <w:jc w:val="center"/>
              <w:rPr>
                <w:noProof/>
                <w:sz w:val="20"/>
                <w:szCs w:val="16"/>
              </w:rPr>
            </w:pPr>
          </w:p>
        </w:tc>
      </w:tr>
      <w:tr>
        <w:trPr>
          <w:trHeight w:val="289"/>
        </w:trPr>
        <w:tc>
          <w:tcPr>
            <w:tcW w:w="1579" w:type="pct"/>
            <w:gridSpan w:val="2"/>
          </w:tcPr>
          <w:p>
            <w:pPr>
              <w:pStyle w:val="Text1"/>
              <w:spacing w:beforeLines="20" w:before="48" w:afterLines="20" w:after="48"/>
              <w:ind w:left="134"/>
              <w:jc w:val="left"/>
              <w:rPr>
                <w:noProof/>
                <w:sz w:val="16"/>
                <w:szCs w:val="16"/>
              </w:rPr>
            </w:pPr>
            <w:r>
              <w:rPr>
                <w:noProof/>
                <w:sz w:val="16"/>
              </w:rPr>
              <w:t>Investigação</w:t>
            </w:r>
          </w:p>
        </w:tc>
        <w:tc>
          <w:tcPr>
            <w:tcW w:w="489" w:type="pct"/>
            <w:shd w:val="clear" w:color="auto" w:fill="auto"/>
            <w:vAlign w:val="center"/>
          </w:tcPr>
          <w:p>
            <w:pPr>
              <w:spacing w:beforeLines="20" w:before="48" w:afterLines="20" w:after="48"/>
              <w:jc w:val="center"/>
              <w:rPr>
                <w:noProof/>
                <w:sz w:val="20"/>
                <w:szCs w:val="16"/>
              </w:rPr>
            </w:pPr>
          </w:p>
        </w:tc>
        <w:tc>
          <w:tcPr>
            <w:tcW w:w="489" w:type="pct"/>
            <w:shd w:val="clear" w:color="auto" w:fill="auto"/>
            <w:vAlign w:val="center"/>
          </w:tcPr>
          <w:p>
            <w:pPr>
              <w:spacing w:beforeLines="20" w:before="48" w:afterLines="20" w:after="48"/>
              <w:jc w:val="center"/>
              <w:rPr>
                <w:noProof/>
                <w:sz w:val="20"/>
                <w:szCs w:val="16"/>
              </w:rPr>
            </w:pPr>
          </w:p>
        </w:tc>
        <w:tc>
          <w:tcPr>
            <w:tcW w:w="489" w:type="pct"/>
            <w:shd w:val="clear" w:color="auto" w:fill="auto"/>
            <w:vAlign w:val="center"/>
          </w:tcPr>
          <w:p>
            <w:pPr>
              <w:spacing w:beforeLines="20" w:before="48" w:afterLines="20" w:after="48"/>
              <w:jc w:val="center"/>
              <w:rPr>
                <w:noProof/>
                <w:sz w:val="20"/>
                <w:szCs w:val="16"/>
              </w:rPr>
            </w:pPr>
          </w:p>
        </w:tc>
        <w:tc>
          <w:tcPr>
            <w:tcW w:w="489" w:type="pct"/>
            <w:shd w:val="clear" w:color="auto" w:fill="auto"/>
            <w:vAlign w:val="center"/>
          </w:tcPr>
          <w:p>
            <w:pPr>
              <w:spacing w:beforeLines="20" w:before="48" w:afterLines="20" w:after="48"/>
              <w:jc w:val="center"/>
              <w:rPr>
                <w:noProof/>
                <w:sz w:val="20"/>
                <w:szCs w:val="16"/>
              </w:rPr>
            </w:pPr>
          </w:p>
        </w:tc>
        <w:tc>
          <w:tcPr>
            <w:tcW w:w="489" w:type="pct"/>
            <w:shd w:val="clear" w:color="auto" w:fill="auto"/>
            <w:vAlign w:val="center"/>
          </w:tcPr>
          <w:p>
            <w:pPr>
              <w:spacing w:beforeLines="20" w:before="48" w:afterLines="20" w:after="48"/>
              <w:jc w:val="center"/>
              <w:rPr>
                <w:noProof/>
                <w:sz w:val="20"/>
                <w:szCs w:val="16"/>
              </w:rPr>
            </w:pPr>
          </w:p>
        </w:tc>
        <w:tc>
          <w:tcPr>
            <w:tcW w:w="489" w:type="pct"/>
            <w:shd w:val="clear" w:color="auto" w:fill="auto"/>
            <w:vAlign w:val="center"/>
          </w:tcPr>
          <w:p>
            <w:pPr>
              <w:spacing w:beforeLines="20" w:before="48" w:afterLines="20" w:after="48"/>
              <w:jc w:val="center"/>
              <w:rPr>
                <w:noProof/>
                <w:sz w:val="20"/>
                <w:szCs w:val="16"/>
              </w:rPr>
            </w:pPr>
          </w:p>
        </w:tc>
        <w:tc>
          <w:tcPr>
            <w:tcW w:w="488" w:type="pct"/>
            <w:shd w:val="clear" w:color="auto" w:fill="auto"/>
            <w:vAlign w:val="center"/>
          </w:tcPr>
          <w:p>
            <w:pPr>
              <w:spacing w:beforeLines="20" w:before="48" w:afterLines="20" w:after="48"/>
              <w:jc w:val="center"/>
              <w:rPr>
                <w:noProof/>
                <w:sz w:val="20"/>
                <w:szCs w:val="16"/>
              </w:rPr>
            </w:pPr>
          </w:p>
        </w:tc>
      </w:tr>
      <w:tr>
        <w:trPr>
          <w:trHeight w:val="293"/>
        </w:trPr>
        <w:tc>
          <w:tcPr>
            <w:tcW w:w="5000" w:type="pct"/>
            <w:gridSpan w:val="9"/>
          </w:tcPr>
          <w:p>
            <w:pPr>
              <w:pStyle w:val="Text1"/>
              <w:spacing w:before="60" w:after="60"/>
              <w:ind w:left="0"/>
              <w:jc w:val="left"/>
              <w:rPr>
                <w:b/>
                <w:noProof/>
                <w:sz w:val="16"/>
                <w:szCs w:val="16"/>
              </w:rPr>
            </w:pPr>
            <w:r>
              <w:rPr>
                <w:b/>
                <w:noProof/>
                <w:sz w:val="16"/>
              </w:rPr>
              <w:sym w:font="Wingdings" w:char="F09F"/>
            </w:r>
            <w:r>
              <w:rPr>
                <w:b/>
                <w:noProof/>
                <w:sz w:val="16"/>
              </w:rPr>
              <w:t xml:space="preserve"> Pessoal externo (em equivalente a tempo completo: ETC) - AC, AL, PND, TT e JPD</w:t>
            </w:r>
            <w:r>
              <w:rPr>
                <w:noProof/>
                <w:sz w:val="16"/>
              </w:rPr>
              <w:t xml:space="preserve"> </w:t>
            </w:r>
            <w:r>
              <w:rPr>
                <w:rStyle w:val="FootnoteReference"/>
                <w:noProof/>
                <w:sz w:val="16"/>
              </w:rPr>
              <w:footnoteReference w:id="27"/>
            </w:r>
          </w:p>
          <w:p>
            <w:pPr>
              <w:pStyle w:val="Text1"/>
              <w:spacing w:before="0" w:after="0"/>
              <w:ind w:left="0"/>
              <w:jc w:val="left"/>
              <w:rPr>
                <w:noProof/>
                <w:sz w:val="16"/>
                <w:szCs w:val="16"/>
              </w:rPr>
            </w:pPr>
            <w:r>
              <w:rPr>
                <w:noProof/>
                <w:sz w:val="16"/>
                <w:szCs w:val="16"/>
              </w:rPr>
              <w:t>Rubrica 7</w:t>
            </w:r>
          </w:p>
        </w:tc>
      </w:tr>
      <w:tr>
        <w:trPr>
          <w:trHeight w:val="485"/>
        </w:trPr>
        <w:tc>
          <w:tcPr>
            <w:tcW w:w="789" w:type="pct"/>
            <w:vMerge w:val="restart"/>
            <w:vAlign w:val="center"/>
          </w:tcPr>
          <w:p>
            <w:pPr>
              <w:pStyle w:val="Text1"/>
              <w:spacing w:beforeLines="20" w:before="48" w:afterLines="20" w:after="48"/>
              <w:ind w:left="136"/>
              <w:jc w:val="left"/>
              <w:rPr>
                <w:b/>
                <w:noProof/>
                <w:sz w:val="16"/>
                <w:szCs w:val="16"/>
              </w:rPr>
            </w:pPr>
            <w:r>
              <w:rPr>
                <w:noProof/>
                <w:sz w:val="16"/>
                <w:szCs w:val="16"/>
              </w:rPr>
              <w:t>Financiado a partir da RUBRICA 7 do quadro financeiro plurianual</w:t>
            </w:r>
            <w:r>
              <w:rPr>
                <w:b/>
                <w:noProof/>
                <w:sz w:val="16"/>
              </w:rPr>
              <w:t xml:space="preserve"> </w:t>
            </w:r>
          </w:p>
        </w:tc>
        <w:tc>
          <w:tcPr>
            <w:tcW w:w="791" w:type="pct"/>
            <w:vAlign w:val="center"/>
          </w:tcPr>
          <w:p>
            <w:pPr>
              <w:pStyle w:val="Text1"/>
              <w:spacing w:beforeLines="20" w:before="48" w:afterLines="20" w:after="48"/>
              <w:ind w:left="136"/>
              <w:jc w:val="left"/>
              <w:rPr>
                <w:b/>
                <w:noProof/>
                <w:sz w:val="16"/>
                <w:szCs w:val="16"/>
              </w:rPr>
            </w:pPr>
            <w:r>
              <w:rPr>
                <w:noProof/>
                <w:sz w:val="16"/>
              </w:rPr>
              <w:t>- na sede</w:t>
            </w:r>
          </w:p>
        </w:tc>
        <w:tc>
          <w:tcPr>
            <w:tcW w:w="489" w:type="pct"/>
            <w:shd w:val="clear" w:color="auto" w:fill="auto"/>
            <w:vAlign w:val="center"/>
          </w:tcPr>
          <w:p>
            <w:pPr>
              <w:spacing w:beforeLines="20" w:before="48" w:afterLines="20" w:after="48"/>
              <w:jc w:val="center"/>
              <w:rPr>
                <w:noProof/>
                <w:sz w:val="20"/>
                <w:szCs w:val="16"/>
              </w:rPr>
            </w:pPr>
            <w:r>
              <w:rPr>
                <w:noProof/>
                <w:sz w:val="20"/>
                <w:szCs w:val="16"/>
              </w:rPr>
              <w:t>91</w:t>
            </w:r>
          </w:p>
        </w:tc>
        <w:tc>
          <w:tcPr>
            <w:tcW w:w="489" w:type="pct"/>
            <w:shd w:val="clear" w:color="auto" w:fill="auto"/>
            <w:vAlign w:val="center"/>
          </w:tcPr>
          <w:p>
            <w:pPr>
              <w:spacing w:beforeLines="20" w:before="48" w:afterLines="20" w:after="48"/>
              <w:jc w:val="center"/>
              <w:rPr>
                <w:noProof/>
                <w:sz w:val="20"/>
                <w:szCs w:val="16"/>
              </w:rPr>
            </w:pPr>
            <w:r>
              <w:rPr>
                <w:noProof/>
                <w:sz w:val="20"/>
                <w:szCs w:val="16"/>
              </w:rPr>
              <w:t>92</w:t>
            </w:r>
          </w:p>
        </w:tc>
        <w:tc>
          <w:tcPr>
            <w:tcW w:w="489" w:type="pct"/>
            <w:shd w:val="clear" w:color="auto" w:fill="auto"/>
            <w:vAlign w:val="center"/>
          </w:tcPr>
          <w:p>
            <w:pPr>
              <w:spacing w:beforeLines="20" w:before="48" w:afterLines="20" w:after="48"/>
              <w:jc w:val="center"/>
              <w:rPr>
                <w:noProof/>
                <w:sz w:val="20"/>
                <w:szCs w:val="16"/>
              </w:rPr>
            </w:pPr>
            <w:r>
              <w:rPr>
                <w:noProof/>
                <w:sz w:val="20"/>
                <w:szCs w:val="16"/>
              </w:rPr>
              <w:t>93</w:t>
            </w:r>
          </w:p>
        </w:tc>
        <w:tc>
          <w:tcPr>
            <w:tcW w:w="489" w:type="pct"/>
            <w:shd w:val="clear" w:color="auto" w:fill="auto"/>
            <w:vAlign w:val="center"/>
          </w:tcPr>
          <w:p>
            <w:pPr>
              <w:spacing w:beforeLines="20" w:before="48" w:afterLines="20" w:after="48"/>
              <w:jc w:val="center"/>
              <w:rPr>
                <w:noProof/>
                <w:sz w:val="20"/>
                <w:szCs w:val="16"/>
              </w:rPr>
            </w:pPr>
            <w:r>
              <w:rPr>
                <w:noProof/>
                <w:sz w:val="20"/>
                <w:szCs w:val="16"/>
              </w:rPr>
              <w:t>94</w:t>
            </w:r>
          </w:p>
        </w:tc>
        <w:tc>
          <w:tcPr>
            <w:tcW w:w="489" w:type="pct"/>
            <w:shd w:val="clear" w:color="auto" w:fill="auto"/>
            <w:vAlign w:val="center"/>
          </w:tcPr>
          <w:p>
            <w:pPr>
              <w:spacing w:beforeLines="20" w:before="48" w:afterLines="20" w:after="48"/>
              <w:jc w:val="center"/>
              <w:rPr>
                <w:noProof/>
                <w:sz w:val="20"/>
                <w:szCs w:val="16"/>
              </w:rPr>
            </w:pPr>
            <w:r>
              <w:rPr>
                <w:noProof/>
                <w:sz w:val="20"/>
                <w:szCs w:val="16"/>
              </w:rPr>
              <w:t>94</w:t>
            </w:r>
          </w:p>
        </w:tc>
        <w:tc>
          <w:tcPr>
            <w:tcW w:w="489" w:type="pct"/>
            <w:shd w:val="clear" w:color="auto" w:fill="auto"/>
            <w:vAlign w:val="center"/>
          </w:tcPr>
          <w:p>
            <w:pPr>
              <w:spacing w:beforeLines="20" w:before="48" w:afterLines="20" w:after="48"/>
              <w:jc w:val="center"/>
              <w:rPr>
                <w:noProof/>
                <w:sz w:val="20"/>
                <w:szCs w:val="16"/>
              </w:rPr>
            </w:pPr>
            <w:r>
              <w:rPr>
                <w:noProof/>
                <w:sz w:val="20"/>
                <w:szCs w:val="16"/>
              </w:rPr>
              <w:t>94</w:t>
            </w:r>
          </w:p>
        </w:tc>
        <w:tc>
          <w:tcPr>
            <w:tcW w:w="488" w:type="pct"/>
            <w:shd w:val="clear" w:color="auto" w:fill="auto"/>
            <w:vAlign w:val="center"/>
          </w:tcPr>
          <w:p>
            <w:pPr>
              <w:spacing w:beforeLines="20" w:before="48" w:afterLines="20" w:after="48"/>
              <w:jc w:val="center"/>
              <w:rPr>
                <w:noProof/>
                <w:sz w:val="20"/>
                <w:szCs w:val="16"/>
              </w:rPr>
            </w:pPr>
            <w:r>
              <w:rPr>
                <w:noProof/>
                <w:sz w:val="20"/>
                <w:szCs w:val="16"/>
              </w:rPr>
              <w:t>94</w:t>
            </w:r>
          </w:p>
        </w:tc>
      </w:tr>
      <w:tr>
        <w:trPr>
          <w:trHeight w:val="289"/>
        </w:trPr>
        <w:tc>
          <w:tcPr>
            <w:tcW w:w="789" w:type="pct"/>
            <w:vMerge/>
            <w:vAlign w:val="center"/>
          </w:tcPr>
          <w:p>
            <w:pPr>
              <w:pStyle w:val="Text1"/>
              <w:spacing w:beforeLines="20" w:before="48" w:afterLines="20" w:after="48"/>
              <w:ind w:left="136"/>
              <w:jc w:val="left"/>
              <w:rPr>
                <w:noProof/>
                <w:sz w:val="16"/>
                <w:szCs w:val="16"/>
              </w:rPr>
            </w:pPr>
          </w:p>
        </w:tc>
        <w:tc>
          <w:tcPr>
            <w:tcW w:w="791" w:type="pct"/>
            <w:vAlign w:val="center"/>
          </w:tcPr>
          <w:p>
            <w:pPr>
              <w:pStyle w:val="Text1"/>
              <w:spacing w:beforeLines="20" w:before="48" w:afterLines="20" w:after="48"/>
              <w:ind w:left="136"/>
              <w:jc w:val="left"/>
              <w:rPr>
                <w:noProof/>
                <w:sz w:val="16"/>
                <w:szCs w:val="16"/>
              </w:rPr>
            </w:pPr>
            <w:r>
              <w:rPr>
                <w:noProof/>
                <w:sz w:val="16"/>
              </w:rPr>
              <w:t xml:space="preserve">- nas delegações </w:t>
            </w:r>
          </w:p>
        </w:tc>
        <w:tc>
          <w:tcPr>
            <w:tcW w:w="489" w:type="pct"/>
            <w:shd w:val="clear" w:color="auto" w:fill="auto"/>
            <w:vAlign w:val="center"/>
          </w:tcPr>
          <w:p>
            <w:pPr>
              <w:spacing w:beforeLines="20" w:before="48" w:afterLines="20" w:after="48"/>
              <w:jc w:val="center"/>
              <w:rPr>
                <w:noProof/>
                <w:sz w:val="20"/>
                <w:szCs w:val="16"/>
              </w:rPr>
            </w:pPr>
          </w:p>
        </w:tc>
        <w:tc>
          <w:tcPr>
            <w:tcW w:w="489" w:type="pct"/>
            <w:shd w:val="clear" w:color="auto" w:fill="auto"/>
            <w:vAlign w:val="center"/>
          </w:tcPr>
          <w:p>
            <w:pPr>
              <w:spacing w:beforeLines="20" w:before="48" w:afterLines="20" w:after="48"/>
              <w:jc w:val="center"/>
              <w:rPr>
                <w:noProof/>
                <w:sz w:val="20"/>
                <w:szCs w:val="16"/>
              </w:rPr>
            </w:pPr>
          </w:p>
        </w:tc>
        <w:tc>
          <w:tcPr>
            <w:tcW w:w="489" w:type="pct"/>
            <w:shd w:val="clear" w:color="auto" w:fill="auto"/>
            <w:vAlign w:val="center"/>
          </w:tcPr>
          <w:p>
            <w:pPr>
              <w:spacing w:beforeLines="20" w:before="48" w:afterLines="20" w:after="48"/>
              <w:jc w:val="center"/>
              <w:rPr>
                <w:noProof/>
                <w:sz w:val="20"/>
                <w:szCs w:val="16"/>
              </w:rPr>
            </w:pPr>
          </w:p>
        </w:tc>
        <w:tc>
          <w:tcPr>
            <w:tcW w:w="489" w:type="pct"/>
            <w:shd w:val="clear" w:color="auto" w:fill="auto"/>
            <w:vAlign w:val="center"/>
          </w:tcPr>
          <w:p>
            <w:pPr>
              <w:spacing w:beforeLines="20" w:before="48" w:afterLines="20" w:after="48"/>
              <w:jc w:val="center"/>
              <w:rPr>
                <w:noProof/>
                <w:sz w:val="20"/>
                <w:szCs w:val="16"/>
              </w:rPr>
            </w:pPr>
          </w:p>
        </w:tc>
        <w:tc>
          <w:tcPr>
            <w:tcW w:w="489" w:type="pct"/>
            <w:shd w:val="clear" w:color="auto" w:fill="auto"/>
            <w:vAlign w:val="center"/>
          </w:tcPr>
          <w:p>
            <w:pPr>
              <w:spacing w:beforeLines="20" w:before="48" w:afterLines="20" w:after="48"/>
              <w:jc w:val="center"/>
              <w:rPr>
                <w:noProof/>
                <w:sz w:val="20"/>
                <w:szCs w:val="16"/>
              </w:rPr>
            </w:pPr>
          </w:p>
        </w:tc>
        <w:tc>
          <w:tcPr>
            <w:tcW w:w="489" w:type="pct"/>
            <w:shd w:val="clear" w:color="auto" w:fill="auto"/>
            <w:vAlign w:val="center"/>
          </w:tcPr>
          <w:p>
            <w:pPr>
              <w:spacing w:beforeLines="20" w:before="48" w:afterLines="20" w:after="48"/>
              <w:jc w:val="center"/>
              <w:rPr>
                <w:noProof/>
                <w:sz w:val="20"/>
                <w:szCs w:val="16"/>
              </w:rPr>
            </w:pPr>
          </w:p>
        </w:tc>
        <w:tc>
          <w:tcPr>
            <w:tcW w:w="488" w:type="pct"/>
            <w:shd w:val="clear" w:color="auto" w:fill="auto"/>
            <w:vAlign w:val="center"/>
          </w:tcPr>
          <w:p>
            <w:pPr>
              <w:spacing w:beforeLines="20" w:before="48" w:afterLines="20" w:after="48"/>
              <w:jc w:val="center"/>
              <w:rPr>
                <w:noProof/>
                <w:sz w:val="20"/>
                <w:szCs w:val="16"/>
              </w:rPr>
            </w:pPr>
          </w:p>
        </w:tc>
      </w:tr>
      <w:tr>
        <w:trPr>
          <w:trHeight w:val="370"/>
        </w:trPr>
        <w:tc>
          <w:tcPr>
            <w:tcW w:w="789" w:type="pct"/>
            <w:vMerge w:val="restart"/>
            <w:vAlign w:val="center"/>
          </w:tcPr>
          <w:p>
            <w:pPr>
              <w:pStyle w:val="Text1"/>
              <w:spacing w:beforeLines="20" w:before="48" w:afterLines="20" w:after="48"/>
              <w:ind w:left="136"/>
              <w:jc w:val="left"/>
              <w:rPr>
                <w:b/>
                <w:noProof/>
                <w:sz w:val="16"/>
                <w:szCs w:val="16"/>
              </w:rPr>
            </w:pPr>
            <w:r>
              <w:rPr>
                <w:noProof/>
                <w:sz w:val="16"/>
                <w:szCs w:val="16"/>
              </w:rPr>
              <w:t>Financiado a partir da dotação do programa</w:t>
            </w:r>
            <w:r>
              <w:rPr>
                <w:rStyle w:val="FootnoteReference"/>
                <w:noProof/>
                <w:sz w:val="16"/>
              </w:rPr>
              <w:footnoteReference w:id="28"/>
            </w:r>
          </w:p>
        </w:tc>
        <w:tc>
          <w:tcPr>
            <w:tcW w:w="791" w:type="pct"/>
            <w:shd w:val="clear" w:color="auto" w:fill="auto"/>
            <w:vAlign w:val="center"/>
          </w:tcPr>
          <w:p>
            <w:pPr>
              <w:pStyle w:val="Text1"/>
              <w:spacing w:beforeLines="20" w:before="48" w:afterLines="20" w:after="48"/>
              <w:ind w:left="136"/>
              <w:jc w:val="left"/>
              <w:rPr>
                <w:b/>
                <w:noProof/>
                <w:sz w:val="16"/>
                <w:szCs w:val="16"/>
              </w:rPr>
            </w:pPr>
            <w:r>
              <w:rPr>
                <w:noProof/>
                <w:sz w:val="16"/>
              </w:rPr>
              <w:t>- na sede</w:t>
            </w:r>
          </w:p>
        </w:tc>
        <w:tc>
          <w:tcPr>
            <w:tcW w:w="489" w:type="pct"/>
            <w:shd w:val="clear" w:color="auto" w:fill="auto"/>
            <w:vAlign w:val="center"/>
          </w:tcPr>
          <w:p>
            <w:pPr>
              <w:pStyle w:val="Text1"/>
              <w:spacing w:beforeLines="20" w:before="48" w:afterLines="20" w:after="48"/>
              <w:ind w:left="0"/>
              <w:jc w:val="center"/>
              <w:rPr>
                <w:noProof/>
                <w:sz w:val="20"/>
                <w:szCs w:val="16"/>
              </w:rPr>
            </w:pPr>
          </w:p>
        </w:tc>
        <w:tc>
          <w:tcPr>
            <w:tcW w:w="489" w:type="pct"/>
            <w:shd w:val="clear" w:color="auto" w:fill="auto"/>
            <w:vAlign w:val="center"/>
          </w:tcPr>
          <w:p>
            <w:pPr>
              <w:spacing w:beforeLines="20" w:before="48" w:afterLines="20" w:after="48"/>
              <w:jc w:val="center"/>
              <w:rPr>
                <w:noProof/>
                <w:sz w:val="20"/>
                <w:szCs w:val="16"/>
              </w:rPr>
            </w:pPr>
          </w:p>
        </w:tc>
        <w:tc>
          <w:tcPr>
            <w:tcW w:w="489" w:type="pct"/>
            <w:shd w:val="clear" w:color="auto" w:fill="auto"/>
            <w:vAlign w:val="center"/>
          </w:tcPr>
          <w:p>
            <w:pPr>
              <w:spacing w:beforeLines="20" w:before="48" w:afterLines="20" w:after="48"/>
              <w:jc w:val="center"/>
              <w:rPr>
                <w:noProof/>
                <w:sz w:val="20"/>
                <w:szCs w:val="16"/>
              </w:rPr>
            </w:pPr>
          </w:p>
        </w:tc>
        <w:tc>
          <w:tcPr>
            <w:tcW w:w="489" w:type="pct"/>
            <w:shd w:val="clear" w:color="auto" w:fill="auto"/>
            <w:vAlign w:val="center"/>
          </w:tcPr>
          <w:p>
            <w:pPr>
              <w:spacing w:beforeLines="20" w:before="48" w:afterLines="20" w:after="48"/>
              <w:jc w:val="center"/>
              <w:rPr>
                <w:noProof/>
                <w:sz w:val="20"/>
                <w:szCs w:val="16"/>
              </w:rPr>
            </w:pPr>
          </w:p>
        </w:tc>
        <w:tc>
          <w:tcPr>
            <w:tcW w:w="489" w:type="pct"/>
            <w:shd w:val="clear" w:color="auto" w:fill="auto"/>
            <w:vAlign w:val="center"/>
          </w:tcPr>
          <w:p>
            <w:pPr>
              <w:spacing w:beforeLines="20" w:before="48" w:afterLines="20" w:after="48"/>
              <w:jc w:val="center"/>
              <w:rPr>
                <w:noProof/>
                <w:sz w:val="20"/>
                <w:szCs w:val="16"/>
              </w:rPr>
            </w:pPr>
          </w:p>
        </w:tc>
        <w:tc>
          <w:tcPr>
            <w:tcW w:w="489" w:type="pct"/>
            <w:shd w:val="clear" w:color="auto" w:fill="auto"/>
            <w:vAlign w:val="center"/>
          </w:tcPr>
          <w:p>
            <w:pPr>
              <w:spacing w:beforeLines="20" w:before="48" w:afterLines="20" w:after="48"/>
              <w:jc w:val="center"/>
              <w:rPr>
                <w:noProof/>
                <w:sz w:val="20"/>
                <w:szCs w:val="16"/>
              </w:rPr>
            </w:pPr>
          </w:p>
        </w:tc>
        <w:tc>
          <w:tcPr>
            <w:tcW w:w="488" w:type="pct"/>
            <w:shd w:val="clear" w:color="auto" w:fill="auto"/>
            <w:vAlign w:val="center"/>
          </w:tcPr>
          <w:p>
            <w:pPr>
              <w:spacing w:beforeLines="20" w:before="48" w:afterLines="20" w:after="48"/>
              <w:jc w:val="center"/>
              <w:rPr>
                <w:noProof/>
                <w:sz w:val="20"/>
                <w:szCs w:val="16"/>
              </w:rPr>
            </w:pPr>
          </w:p>
        </w:tc>
      </w:tr>
      <w:tr>
        <w:trPr>
          <w:trHeight w:val="289"/>
        </w:trPr>
        <w:tc>
          <w:tcPr>
            <w:tcW w:w="789" w:type="pct"/>
            <w:vMerge/>
          </w:tcPr>
          <w:p>
            <w:pPr>
              <w:pStyle w:val="Text1"/>
              <w:spacing w:beforeLines="20" w:before="48" w:afterLines="20" w:after="48"/>
              <w:ind w:left="136"/>
              <w:jc w:val="left"/>
              <w:rPr>
                <w:b/>
                <w:noProof/>
                <w:sz w:val="16"/>
                <w:szCs w:val="16"/>
              </w:rPr>
            </w:pPr>
          </w:p>
        </w:tc>
        <w:tc>
          <w:tcPr>
            <w:tcW w:w="791"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nas delegações </w:t>
            </w:r>
          </w:p>
        </w:tc>
        <w:tc>
          <w:tcPr>
            <w:tcW w:w="489" w:type="pct"/>
            <w:shd w:val="clear" w:color="auto" w:fill="auto"/>
            <w:vAlign w:val="center"/>
          </w:tcPr>
          <w:p>
            <w:pPr>
              <w:pStyle w:val="Text1"/>
              <w:spacing w:beforeLines="20" w:before="48" w:afterLines="20" w:after="48"/>
              <w:ind w:left="0"/>
              <w:jc w:val="center"/>
              <w:rPr>
                <w:noProof/>
                <w:sz w:val="20"/>
                <w:szCs w:val="16"/>
              </w:rPr>
            </w:pPr>
          </w:p>
        </w:tc>
        <w:tc>
          <w:tcPr>
            <w:tcW w:w="489" w:type="pct"/>
            <w:shd w:val="clear" w:color="auto" w:fill="auto"/>
            <w:vAlign w:val="center"/>
          </w:tcPr>
          <w:p>
            <w:pPr>
              <w:spacing w:beforeLines="20" w:before="48" w:afterLines="20" w:after="48"/>
              <w:jc w:val="center"/>
              <w:rPr>
                <w:noProof/>
                <w:sz w:val="20"/>
                <w:szCs w:val="16"/>
              </w:rPr>
            </w:pPr>
          </w:p>
        </w:tc>
        <w:tc>
          <w:tcPr>
            <w:tcW w:w="489" w:type="pct"/>
            <w:shd w:val="clear" w:color="auto" w:fill="auto"/>
            <w:vAlign w:val="center"/>
          </w:tcPr>
          <w:p>
            <w:pPr>
              <w:spacing w:beforeLines="20" w:before="48" w:afterLines="20" w:after="48"/>
              <w:jc w:val="center"/>
              <w:rPr>
                <w:noProof/>
                <w:sz w:val="20"/>
                <w:szCs w:val="16"/>
              </w:rPr>
            </w:pPr>
          </w:p>
        </w:tc>
        <w:tc>
          <w:tcPr>
            <w:tcW w:w="489" w:type="pct"/>
            <w:shd w:val="clear" w:color="auto" w:fill="auto"/>
            <w:vAlign w:val="center"/>
          </w:tcPr>
          <w:p>
            <w:pPr>
              <w:spacing w:beforeLines="20" w:before="48" w:afterLines="20" w:after="48"/>
              <w:jc w:val="center"/>
              <w:rPr>
                <w:noProof/>
                <w:sz w:val="20"/>
                <w:szCs w:val="16"/>
              </w:rPr>
            </w:pPr>
          </w:p>
        </w:tc>
        <w:tc>
          <w:tcPr>
            <w:tcW w:w="489" w:type="pct"/>
            <w:shd w:val="clear" w:color="auto" w:fill="auto"/>
            <w:vAlign w:val="center"/>
          </w:tcPr>
          <w:p>
            <w:pPr>
              <w:spacing w:beforeLines="20" w:before="48" w:afterLines="20" w:after="48"/>
              <w:jc w:val="center"/>
              <w:rPr>
                <w:noProof/>
                <w:sz w:val="20"/>
                <w:szCs w:val="16"/>
              </w:rPr>
            </w:pPr>
          </w:p>
        </w:tc>
        <w:tc>
          <w:tcPr>
            <w:tcW w:w="489" w:type="pct"/>
            <w:shd w:val="clear" w:color="auto" w:fill="auto"/>
            <w:vAlign w:val="center"/>
          </w:tcPr>
          <w:p>
            <w:pPr>
              <w:spacing w:beforeLines="20" w:before="48" w:afterLines="20" w:after="48"/>
              <w:jc w:val="center"/>
              <w:rPr>
                <w:noProof/>
                <w:sz w:val="20"/>
                <w:szCs w:val="16"/>
              </w:rPr>
            </w:pPr>
          </w:p>
        </w:tc>
        <w:tc>
          <w:tcPr>
            <w:tcW w:w="488" w:type="pct"/>
            <w:shd w:val="clear" w:color="auto" w:fill="auto"/>
            <w:vAlign w:val="center"/>
          </w:tcPr>
          <w:p>
            <w:pPr>
              <w:spacing w:beforeLines="20" w:before="48" w:afterLines="20" w:after="48"/>
              <w:jc w:val="center"/>
              <w:rPr>
                <w:noProof/>
                <w:sz w:val="20"/>
                <w:szCs w:val="16"/>
              </w:rPr>
            </w:pPr>
          </w:p>
        </w:tc>
      </w:tr>
      <w:tr>
        <w:trPr>
          <w:trHeight w:val="289"/>
        </w:trPr>
        <w:tc>
          <w:tcPr>
            <w:tcW w:w="1579" w:type="pct"/>
            <w:gridSpan w:val="2"/>
          </w:tcPr>
          <w:p>
            <w:pPr>
              <w:pStyle w:val="Text1"/>
              <w:spacing w:beforeLines="20" w:before="48" w:afterLines="20" w:after="48"/>
              <w:ind w:left="136"/>
              <w:jc w:val="left"/>
              <w:rPr>
                <w:noProof/>
                <w:sz w:val="16"/>
                <w:szCs w:val="16"/>
              </w:rPr>
            </w:pPr>
            <w:r>
              <w:rPr>
                <w:noProof/>
                <w:sz w:val="16"/>
                <w:szCs w:val="16"/>
              </w:rPr>
              <w:t>Investigação</w:t>
            </w:r>
          </w:p>
        </w:tc>
        <w:tc>
          <w:tcPr>
            <w:tcW w:w="489" w:type="pct"/>
            <w:shd w:val="clear" w:color="auto" w:fill="auto"/>
            <w:vAlign w:val="center"/>
          </w:tcPr>
          <w:p>
            <w:pPr>
              <w:spacing w:beforeLines="20" w:before="48" w:afterLines="20" w:after="48"/>
              <w:jc w:val="center"/>
              <w:rPr>
                <w:noProof/>
                <w:sz w:val="20"/>
                <w:szCs w:val="16"/>
              </w:rPr>
            </w:pPr>
          </w:p>
        </w:tc>
        <w:tc>
          <w:tcPr>
            <w:tcW w:w="489" w:type="pct"/>
            <w:shd w:val="clear" w:color="auto" w:fill="auto"/>
            <w:vAlign w:val="center"/>
          </w:tcPr>
          <w:p>
            <w:pPr>
              <w:spacing w:beforeLines="20" w:before="48" w:afterLines="20" w:after="48"/>
              <w:jc w:val="center"/>
              <w:rPr>
                <w:noProof/>
                <w:sz w:val="20"/>
                <w:szCs w:val="16"/>
              </w:rPr>
            </w:pPr>
          </w:p>
        </w:tc>
        <w:tc>
          <w:tcPr>
            <w:tcW w:w="489" w:type="pct"/>
            <w:shd w:val="clear" w:color="auto" w:fill="auto"/>
            <w:vAlign w:val="center"/>
          </w:tcPr>
          <w:p>
            <w:pPr>
              <w:spacing w:beforeLines="20" w:before="48" w:afterLines="20" w:after="48"/>
              <w:jc w:val="center"/>
              <w:rPr>
                <w:noProof/>
                <w:sz w:val="20"/>
                <w:szCs w:val="16"/>
              </w:rPr>
            </w:pPr>
          </w:p>
        </w:tc>
        <w:tc>
          <w:tcPr>
            <w:tcW w:w="489" w:type="pct"/>
            <w:shd w:val="clear" w:color="auto" w:fill="auto"/>
            <w:vAlign w:val="center"/>
          </w:tcPr>
          <w:p>
            <w:pPr>
              <w:spacing w:beforeLines="20" w:before="48" w:afterLines="20" w:after="48"/>
              <w:jc w:val="center"/>
              <w:rPr>
                <w:noProof/>
                <w:sz w:val="20"/>
                <w:szCs w:val="16"/>
              </w:rPr>
            </w:pPr>
          </w:p>
        </w:tc>
        <w:tc>
          <w:tcPr>
            <w:tcW w:w="489" w:type="pct"/>
            <w:shd w:val="clear" w:color="auto" w:fill="auto"/>
            <w:vAlign w:val="center"/>
          </w:tcPr>
          <w:p>
            <w:pPr>
              <w:spacing w:beforeLines="20" w:before="48" w:afterLines="20" w:after="48"/>
              <w:jc w:val="center"/>
              <w:rPr>
                <w:noProof/>
                <w:sz w:val="20"/>
                <w:szCs w:val="16"/>
              </w:rPr>
            </w:pPr>
          </w:p>
        </w:tc>
        <w:tc>
          <w:tcPr>
            <w:tcW w:w="489" w:type="pct"/>
            <w:shd w:val="clear" w:color="auto" w:fill="auto"/>
            <w:vAlign w:val="center"/>
          </w:tcPr>
          <w:p>
            <w:pPr>
              <w:spacing w:beforeLines="20" w:before="48" w:afterLines="20" w:after="48"/>
              <w:jc w:val="center"/>
              <w:rPr>
                <w:noProof/>
                <w:sz w:val="20"/>
                <w:szCs w:val="16"/>
              </w:rPr>
            </w:pPr>
          </w:p>
        </w:tc>
        <w:tc>
          <w:tcPr>
            <w:tcW w:w="488" w:type="pct"/>
            <w:shd w:val="clear" w:color="auto" w:fill="auto"/>
            <w:vAlign w:val="center"/>
          </w:tcPr>
          <w:p>
            <w:pPr>
              <w:spacing w:beforeLines="20" w:before="48" w:afterLines="20" w:after="48"/>
              <w:jc w:val="center"/>
              <w:rPr>
                <w:noProof/>
                <w:sz w:val="20"/>
                <w:szCs w:val="16"/>
              </w:rPr>
            </w:pPr>
          </w:p>
        </w:tc>
      </w:tr>
      <w:tr>
        <w:trPr>
          <w:trHeight w:val="289"/>
        </w:trPr>
        <w:tc>
          <w:tcPr>
            <w:tcW w:w="1579" w:type="pct"/>
            <w:gridSpan w:val="2"/>
            <w:tcBorders>
              <w:bottom w:val="double" w:sz="4" w:space="0" w:color="auto"/>
            </w:tcBorders>
          </w:tcPr>
          <w:p>
            <w:pPr>
              <w:pStyle w:val="Text1"/>
              <w:spacing w:beforeLines="20" w:before="48" w:afterLines="20" w:after="48"/>
              <w:ind w:left="134"/>
              <w:jc w:val="left"/>
              <w:rPr>
                <w:noProof/>
                <w:sz w:val="16"/>
                <w:szCs w:val="16"/>
              </w:rPr>
            </w:pPr>
            <w:r>
              <w:rPr>
                <w:noProof/>
                <w:sz w:val="16"/>
              </w:rPr>
              <w:t>Outras rubricas orçamentais (especificar)</w:t>
            </w:r>
          </w:p>
        </w:tc>
        <w:tc>
          <w:tcPr>
            <w:tcW w:w="489" w:type="pct"/>
            <w:tcBorders>
              <w:bottom w:val="double" w:sz="4" w:space="0" w:color="auto"/>
            </w:tcBorders>
            <w:shd w:val="clear" w:color="auto" w:fill="auto"/>
            <w:vAlign w:val="center"/>
          </w:tcPr>
          <w:p>
            <w:pPr>
              <w:spacing w:beforeLines="20" w:before="48" w:afterLines="20" w:after="48"/>
              <w:jc w:val="center"/>
              <w:rPr>
                <w:noProof/>
                <w:sz w:val="20"/>
                <w:szCs w:val="16"/>
              </w:rPr>
            </w:pPr>
          </w:p>
        </w:tc>
        <w:tc>
          <w:tcPr>
            <w:tcW w:w="489" w:type="pct"/>
            <w:tcBorders>
              <w:bottom w:val="double" w:sz="4" w:space="0" w:color="auto"/>
            </w:tcBorders>
            <w:shd w:val="clear" w:color="auto" w:fill="auto"/>
            <w:vAlign w:val="center"/>
          </w:tcPr>
          <w:p>
            <w:pPr>
              <w:spacing w:beforeLines="20" w:before="48" w:afterLines="20" w:after="48"/>
              <w:jc w:val="center"/>
              <w:rPr>
                <w:noProof/>
                <w:sz w:val="20"/>
                <w:szCs w:val="16"/>
              </w:rPr>
            </w:pPr>
          </w:p>
        </w:tc>
        <w:tc>
          <w:tcPr>
            <w:tcW w:w="489" w:type="pct"/>
            <w:tcBorders>
              <w:bottom w:val="double" w:sz="4" w:space="0" w:color="auto"/>
            </w:tcBorders>
            <w:shd w:val="clear" w:color="auto" w:fill="auto"/>
            <w:vAlign w:val="center"/>
          </w:tcPr>
          <w:p>
            <w:pPr>
              <w:spacing w:beforeLines="20" w:before="48" w:afterLines="20" w:after="48"/>
              <w:jc w:val="center"/>
              <w:rPr>
                <w:noProof/>
                <w:sz w:val="20"/>
                <w:szCs w:val="16"/>
              </w:rPr>
            </w:pPr>
          </w:p>
        </w:tc>
        <w:tc>
          <w:tcPr>
            <w:tcW w:w="489" w:type="pct"/>
            <w:tcBorders>
              <w:bottom w:val="double" w:sz="4" w:space="0" w:color="auto"/>
            </w:tcBorders>
            <w:shd w:val="clear" w:color="auto" w:fill="auto"/>
            <w:vAlign w:val="center"/>
          </w:tcPr>
          <w:p>
            <w:pPr>
              <w:spacing w:beforeLines="20" w:before="48" w:afterLines="20" w:after="48"/>
              <w:jc w:val="center"/>
              <w:rPr>
                <w:noProof/>
                <w:sz w:val="20"/>
                <w:szCs w:val="16"/>
              </w:rPr>
            </w:pPr>
          </w:p>
        </w:tc>
        <w:tc>
          <w:tcPr>
            <w:tcW w:w="489" w:type="pct"/>
            <w:tcBorders>
              <w:bottom w:val="double" w:sz="4" w:space="0" w:color="auto"/>
            </w:tcBorders>
            <w:shd w:val="clear" w:color="auto" w:fill="auto"/>
            <w:vAlign w:val="center"/>
          </w:tcPr>
          <w:p>
            <w:pPr>
              <w:spacing w:beforeLines="20" w:before="48" w:afterLines="20" w:after="48"/>
              <w:jc w:val="center"/>
              <w:rPr>
                <w:noProof/>
                <w:sz w:val="20"/>
                <w:szCs w:val="16"/>
              </w:rPr>
            </w:pPr>
          </w:p>
        </w:tc>
        <w:tc>
          <w:tcPr>
            <w:tcW w:w="489" w:type="pct"/>
            <w:tcBorders>
              <w:bottom w:val="double" w:sz="4" w:space="0" w:color="auto"/>
            </w:tcBorders>
            <w:shd w:val="clear" w:color="auto" w:fill="auto"/>
            <w:vAlign w:val="center"/>
          </w:tcPr>
          <w:p>
            <w:pPr>
              <w:spacing w:beforeLines="20" w:before="48" w:afterLines="20" w:after="48"/>
              <w:jc w:val="center"/>
              <w:rPr>
                <w:noProof/>
                <w:sz w:val="20"/>
                <w:szCs w:val="16"/>
              </w:rPr>
            </w:pPr>
          </w:p>
        </w:tc>
        <w:tc>
          <w:tcPr>
            <w:tcW w:w="488" w:type="pct"/>
            <w:tcBorders>
              <w:bottom w:val="double" w:sz="4" w:space="0" w:color="auto"/>
            </w:tcBorders>
            <w:shd w:val="clear" w:color="auto" w:fill="auto"/>
            <w:vAlign w:val="center"/>
          </w:tcPr>
          <w:p>
            <w:pPr>
              <w:spacing w:beforeLines="20" w:before="48" w:afterLines="20" w:after="48"/>
              <w:jc w:val="center"/>
              <w:rPr>
                <w:noProof/>
                <w:sz w:val="20"/>
                <w:szCs w:val="16"/>
              </w:rPr>
            </w:pPr>
          </w:p>
        </w:tc>
      </w:tr>
      <w:tr>
        <w:trPr>
          <w:trHeight w:val="289"/>
        </w:trPr>
        <w:tc>
          <w:tcPr>
            <w:tcW w:w="1579" w:type="pct"/>
            <w:gridSpan w:val="2"/>
            <w:tcBorders>
              <w:top w:val="double" w:sz="4" w:space="0" w:color="auto"/>
            </w:tcBorders>
          </w:tcPr>
          <w:p>
            <w:pPr>
              <w:pStyle w:val="Text1"/>
              <w:spacing w:beforeLines="20" w:before="48" w:afterLines="20" w:after="48"/>
              <w:ind w:left="136"/>
              <w:jc w:val="left"/>
              <w:rPr>
                <w:noProof/>
                <w:sz w:val="16"/>
                <w:szCs w:val="16"/>
              </w:rPr>
            </w:pPr>
            <w:r>
              <w:rPr>
                <w:b/>
                <w:noProof/>
                <w:sz w:val="16"/>
              </w:rPr>
              <w:t>TOTAL</w:t>
            </w:r>
          </w:p>
        </w:tc>
        <w:tc>
          <w:tcPr>
            <w:tcW w:w="489" w:type="pct"/>
            <w:tcBorders>
              <w:top w:val="double" w:sz="4" w:space="0" w:color="auto"/>
            </w:tcBorders>
            <w:shd w:val="clear" w:color="auto" w:fill="auto"/>
            <w:vAlign w:val="center"/>
          </w:tcPr>
          <w:p>
            <w:pPr>
              <w:spacing w:beforeLines="20" w:before="48" w:afterLines="20" w:after="48"/>
              <w:jc w:val="center"/>
              <w:rPr>
                <w:b/>
                <w:noProof/>
                <w:sz w:val="20"/>
                <w:szCs w:val="16"/>
              </w:rPr>
            </w:pPr>
            <w:r>
              <w:rPr>
                <w:b/>
                <w:noProof/>
                <w:sz w:val="20"/>
                <w:szCs w:val="16"/>
              </w:rPr>
              <w:t>193</w:t>
            </w:r>
          </w:p>
        </w:tc>
        <w:tc>
          <w:tcPr>
            <w:tcW w:w="489" w:type="pct"/>
            <w:tcBorders>
              <w:top w:val="double" w:sz="4" w:space="0" w:color="auto"/>
            </w:tcBorders>
            <w:shd w:val="clear" w:color="auto" w:fill="auto"/>
            <w:vAlign w:val="center"/>
          </w:tcPr>
          <w:p>
            <w:pPr>
              <w:spacing w:beforeLines="20" w:before="48" w:afterLines="20" w:after="48"/>
              <w:jc w:val="center"/>
              <w:rPr>
                <w:b/>
                <w:noProof/>
                <w:sz w:val="20"/>
                <w:szCs w:val="16"/>
              </w:rPr>
            </w:pPr>
            <w:r>
              <w:rPr>
                <w:b/>
                <w:noProof/>
                <w:sz w:val="20"/>
                <w:szCs w:val="16"/>
              </w:rPr>
              <w:t>195</w:t>
            </w:r>
          </w:p>
        </w:tc>
        <w:tc>
          <w:tcPr>
            <w:tcW w:w="489" w:type="pct"/>
            <w:tcBorders>
              <w:top w:val="double" w:sz="4" w:space="0" w:color="auto"/>
            </w:tcBorders>
            <w:shd w:val="clear" w:color="auto" w:fill="auto"/>
            <w:vAlign w:val="center"/>
          </w:tcPr>
          <w:p>
            <w:pPr>
              <w:spacing w:beforeLines="20" w:before="48" w:afterLines="20" w:after="48"/>
              <w:jc w:val="center"/>
              <w:rPr>
                <w:b/>
                <w:noProof/>
                <w:sz w:val="20"/>
                <w:szCs w:val="16"/>
              </w:rPr>
            </w:pPr>
            <w:r>
              <w:rPr>
                <w:b/>
                <w:noProof/>
                <w:sz w:val="20"/>
                <w:szCs w:val="16"/>
              </w:rPr>
              <w:t>197</w:t>
            </w:r>
          </w:p>
        </w:tc>
        <w:tc>
          <w:tcPr>
            <w:tcW w:w="489" w:type="pct"/>
            <w:tcBorders>
              <w:top w:val="double" w:sz="4" w:space="0" w:color="auto"/>
            </w:tcBorders>
            <w:shd w:val="clear" w:color="auto" w:fill="auto"/>
            <w:vAlign w:val="center"/>
          </w:tcPr>
          <w:p>
            <w:pPr>
              <w:spacing w:beforeLines="20" w:before="48" w:afterLines="20" w:after="48"/>
              <w:jc w:val="center"/>
              <w:rPr>
                <w:b/>
                <w:noProof/>
                <w:sz w:val="20"/>
                <w:szCs w:val="16"/>
              </w:rPr>
            </w:pPr>
            <w:r>
              <w:rPr>
                <w:b/>
                <w:noProof/>
                <w:sz w:val="20"/>
                <w:szCs w:val="16"/>
              </w:rPr>
              <w:t>199</w:t>
            </w:r>
          </w:p>
        </w:tc>
        <w:tc>
          <w:tcPr>
            <w:tcW w:w="489" w:type="pct"/>
            <w:tcBorders>
              <w:top w:val="double" w:sz="4" w:space="0" w:color="auto"/>
            </w:tcBorders>
            <w:shd w:val="clear" w:color="auto" w:fill="auto"/>
            <w:vAlign w:val="center"/>
          </w:tcPr>
          <w:p>
            <w:pPr>
              <w:spacing w:beforeLines="20" w:before="48" w:afterLines="20" w:after="48"/>
              <w:jc w:val="center"/>
              <w:rPr>
                <w:b/>
                <w:noProof/>
                <w:sz w:val="20"/>
                <w:szCs w:val="16"/>
              </w:rPr>
            </w:pPr>
            <w:r>
              <w:rPr>
                <w:b/>
                <w:noProof/>
                <w:sz w:val="20"/>
                <w:szCs w:val="16"/>
              </w:rPr>
              <w:t>199</w:t>
            </w:r>
          </w:p>
        </w:tc>
        <w:tc>
          <w:tcPr>
            <w:tcW w:w="489" w:type="pct"/>
            <w:tcBorders>
              <w:top w:val="double" w:sz="4" w:space="0" w:color="auto"/>
            </w:tcBorders>
            <w:shd w:val="clear" w:color="auto" w:fill="auto"/>
            <w:vAlign w:val="center"/>
          </w:tcPr>
          <w:p>
            <w:pPr>
              <w:spacing w:beforeLines="20" w:before="48" w:afterLines="20" w:after="48"/>
              <w:jc w:val="center"/>
              <w:rPr>
                <w:b/>
                <w:noProof/>
                <w:sz w:val="20"/>
                <w:szCs w:val="16"/>
              </w:rPr>
            </w:pPr>
            <w:r>
              <w:rPr>
                <w:b/>
                <w:noProof/>
                <w:sz w:val="20"/>
                <w:szCs w:val="16"/>
              </w:rPr>
              <w:t>199</w:t>
            </w:r>
          </w:p>
        </w:tc>
        <w:tc>
          <w:tcPr>
            <w:tcW w:w="488" w:type="pct"/>
            <w:tcBorders>
              <w:top w:val="double" w:sz="4" w:space="0" w:color="auto"/>
            </w:tcBorders>
            <w:shd w:val="clear" w:color="auto" w:fill="auto"/>
            <w:vAlign w:val="center"/>
          </w:tcPr>
          <w:p>
            <w:pPr>
              <w:spacing w:beforeLines="20" w:before="48" w:afterLines="20" w:after="48"/>
              <w:jc w:val="center"/>
              <w:rPr>
                <w:b/>
                <w:noProof/>
                <w:sz w:val="20"/>
                <w:szCs w:val="16"/>
              </w:rPr>
            </w:pPr>
            <w:r>
              <w:rPr>
                <w:b/>
                <w:noProof/>
                <w:sz w:val="20"/>
                <w:szCs w:val="16"/>
              </w:rPr>
              <w:t>199</w:t>
            </w:r>
          </w:p>
        </w:tc>
      </w:tr>
    </w:tbl>
    <w:p>
      <w:pPr>
        <w:pStyle w:val="Text1"/>
        <w:ind w:left="0"/>
        <w:rPr>
          <w:noProof/>
          <w:sz w:val="18"/>
          <w:szCs w:val="18"/>
        </w:rPr>
      </w:pPr>
      <w:r>
        <w:rPr>
          <w:noProof/>
          <w:sz w:val="18"/>
        </w:rPr>
        <w:t>As necessidades de recursos humanos serão cobertas pelos efetivos da DG já afetados à gestão da ação e/ou reafetados internamente a nível da DG, complementados, caso necessário, por eventuais dotações adicionais que sejam atribuídas à DG gestora no âmbito do processo anual de atribuição e no limite das disponibilidades orçamentais.</w:t>
      </w:r>
    </w:p>
    <w:p>
      <w:pPr>
        <w:rPr>
          <w:noProof/>
          <w:sz w:val="20"/>
        </w:rPr>
      </w:pPr>
      <w:r>
        <w:rPr>
          <w:noProof/>
          <w:sz w:val="20"/>
        </w:rPr>
        <w:t>Descrição das tarefas a executar:</w:t>
      </w:r>
    </w:p>
    <w:tbl>
      <w:tblPr>
        <w:tblW w:w="9923"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6683"/>
      </w:tblGrid>
      <w:tr>
        <w:tc>
          <w:tcPr>
            <w:tcW w:w="3240" w:type="dxa"/>
          </w:tcPr>
          <w:p>
            <w:pPr>
              <w:rPr>
                <w:noProof/>
                <w:sz w:val="20"/>
              </w:rPr>
            </w:pPr>
            <w:r>
              <w:rPr>
                <w:noProof/>
                <w:sz w:val="20"/>
              </w:rPr>
              <w:t>Funcionários e agentes temporários</w:t>
            </w:r>
          </w:p>
        </w:tc>
        <w:tc>
          <w:tcPr>
            <w:tcW w:w="6683" w:type="dxa"/>
          </w:tcPr>
          <w:p>
            <w:pPr>
              <w:pStyle w:val="Text2"/>
              <w:spacing w:before="0" w:after="0"/>
              <w:ind w:left="0"/>
              <w:rPr>
                <w:rFonts w:ascii="Arial Narrow" w:hAnsi="Arial Narrow"/>
                <w:noProof/>
                <w:sz w:val="20"/>
                <w:szCs w:val="20"/>
              </w:rPr>
            </w:pPr>
            <w:r>
              <w:rPr>
                <w:rFonts w:ascii="Arial Narrow" w:hAnsi="Arial Narrow"/>
                <w:noProof/>
                <w:sz w:val="20"/>
                <w:szCs w:val="20"/>
              </w:rPr>
              <w:t>Este quadro apresenta os valores indicativos relativos às necessidades totais de pessoal para a globalidade do período 2021-2027. O valor de referência com base no qual foi solicitado pessoal adicional é de 189 ETC (isto é, pessoal a trabalhar no domínio da proteção civil em 31 de dezembro de 2020). Este número inclui já o pessoal solicitado em 2017 para apoiar a proposta da Comissão destinada a reforçar o Mecanismo de Proteção Civil da União (proposta rescEU).</w:t>
            </w:r>
          </w:p>
          <w:p>
            <w:pPr>
              <w:pStyle w:val="Text2"/>
              <w:spacing w:before="0" w:after="0"/>
              <w:ind w:left="0"/>
              <w:rPr>
                <w:rFonts w:ascii="Arial Narrow" w:hAnsi="Arial Narrow"/>
                <w:noProof/>
                <w:sz w:val="20"/>
                <w:szCs w:val="20"/>
              </w:rPr>
            </w:pPr>
          </w:p>
          <w:p>
            <w:pPr>
              <w:pStyle w:val="Text2"/>
              <w:spacing w:before="0" w:after="0"/>
              <w:ind w:left="0"/>
              <w:rPr>
                <w:rFonts w:ascii="Arial Narrow" w:hAnsi="Arial Narrow"/>
                <w:noProof/>
                <w:sz w:val="20"/>
                <w:szCs w:val="20"/>
              </w:rPr>
            </w:pPr>
            <w:r>
              <w:rPr>
                <w:rFonts w:ascii="Arial Narrow" w:hAnsi="Arial Narrow"/>
                <w:noProof/>
                <w:sz w:val="20"/>
                <w:szCs w:val="20"/>
              </w:rPr>
              <w:t>O número total de efetivos adicionais solicitados para o período 2021-2027 ascende a 10 ETC. Este pedido justifica-se pelo facto de o compromisso que está a surgir sobre a revisão do Mecanismo de Proteção Civil da União conduzir a um sistema cuja criação e gestão serão muito mais complexas do que o previsto na proposta apresentada pela Comissão em novembro de 2017. Tal deve-se à crescente complexidade administrativa que o Conselho acordou em introduzir, nomeadamente, o desenvolvimento conjunto de meios cofinanciados pela Comissão. Além disso, os elementos que a Comissão apresentou inicialmente no âmbito da proposta legislativa deverão agora ser determinados por meio de atos de execução, tais como as capacidades de que disporá a reserva rescEU (por exemplo, meios aéreos de combate a incêndios, equipas médicas de emergência), bem como a forma como esta reserva será gerida do ponto de vista operacional (definição do processo de tomada de decisão para o seu destacamento).</w:t>
            </w:r>
          </w:p>
          <w:p>
            <w:pPr>
              <w:pStyle w:val="Text2"/>
              <w:spacing w:before="0" w:after="0"/>
              <w:ind w:left="0"/>
              <w:rPr>
                <w:rFonts w:ascii="Arial Narrow" w:hAnsi="Arial Narrow"/>
                <w:noProof/>
                <w:sz w:val="20"/>
                <w:szCs w:val="20"/>
              </w:rPr>
            </w:pPr>
          </w:p>
          <w:p>
            <w:pPr>
              <w:pStyle w:val="Text2"/>
              <w:spacing w:before="0" w:after="0"/>
              <w:ind w:left="0"/>
              <w:rPr>
                <w:rFonts w:ascii="Arial Narrow" w:hAnsi="Arial Narrow"/>
                <w:noProof/>
                <w:sz w:val="20"/>
                <w:szCs w:val="20"/>
              </w:rPr>
            </w:pPr>
            <w:r>
              <w:rPr>
                <w:rFonts w:ascii="Arial Narrow" w:hAnsi="Arial Narrow"/>
                <w:noProof/>
                <w:sz w:val="20"/>
                <w:szCs w:val="20"/>
              </w:rPr>
              <w:t>Em geral, serão procurados perfis jurídicos, incluindo peritos em matéria de contratos públicos, e perfis interinstitucionais para desempenhar estas tarefas. O pedido de efetivos suplementares é escalonado durante o período do próximo quadro financeiro plurianual, a fim de permitir que este processo iterativo seja repetido para várias novas capacidades, mantendo simultaneamente pessoal para gerir as capacidades existentes.</w:t>
            </w:r>
          </w:p>
          <w:p>
            <w:pPr>
              <w:pStyle w:val="Text2"/>
              <w:spacing w:before="0" w:after="0"/>
              <w:ind w:left="0"/>
              <w:rPr>
                <w:rFonts w:ascii="Arial Narrow" w:hAnsi="Arial Narrow"/>
                <w:noProof/>
                <w:sz w:val="20"/>
                <w:szCs w:val="20"/>
              </w:rPr>
            </w:pPr>
          </w:p>
          <w:p>
            <w:pPr>
              <w:pStyle w:val="Text2"/>
              <w:spacing w:before="0" w:after="0"/>
              <w:ind w:left="0"/>
              <w:rPr>
                <w:rFonts w:ascii="Arial Narrow" w:hAnsi="Arial Narrow"/>
                <w:noProof/>
                <w:sz w:val="20"/>
                <w:szCs w:val="20"/>
              </w:rPr>
            </w:pPr>
            <w:r>
              <w:rPr>
                <w:rFonts w:ascii="Arial Narrow" w:hAnsi="Arial Narrow"/>
                <w:noProof/>
                <w:sz w:val="20"/>
                <w:szCs w:val="20"/>
              </w:rPr>
              <w:t>Por conseguinte, serão necessários efetivos suplementares para elaborar os atos de execução e acompanhar o processo legislativo, definir o tipo de capacidades da rescEU (por exemplo, capacidades de combate aéreo a incêndios, equipas médicas de emergência, capacidades para fazer face aos riscos químicos, biológicos, radiológicos e nucleares), e elaborar em seguida as condições de utilização.</w:t>
            </w:r>
          </w:p>
          <w:p>
            <w:pPr>
              <w:pStyle w:val="Text2"/>
              <w:spacing w:before="0" w:after="0"/>
              <w:ind w:left="0"/>
              <w:rPr>
                <w:rFonts w:ascii="Arial Narrow" w:hAnsi="Arial Narrow"/>
                <w:noProof/>
                <w:sz w:val="20"/>
                <w:szCs w:val="20"/>
              </w:rPr>
            </w:pPr>
          </w:p>
          <w:p>
            <w:pPr>
              <w:pStyle w:val="Text2"/>
              <w:spacing w:before="0" w:after="0"/>
              <w:ind w:left="0"/>
              <w:rPr>
                <w:rFonts w:ascii="Arial Narrow" w:hAnsi="Arial Narrow"/>
                <w:noProof/>
                <w:sz w:val="20"/>
                <w:szCs w:val="20"/>
              </w:rPr>
            </w:pPr>
            <w:r>
              <w:rPr>
                <w:rFonts w:ascii="Arial Narrow" w:hAnsi="Arial Narrow"/>
                <w:noProof/>
                <w:sz w:val="20"/>
                <w:szCs w:val="20"/>
              </w:rPr>
              <w:t>Existe um acordo político geral quanto ao facto de o primeiro ato de execução destinado a definir as capacidades da rescEU se centrar nas capacidades de combate aéreo a incêndios. Uma vez adotados os atos de execução relativos às capacidades de combate aéreo a incêndios, será dado início à fase de desenvolvimento das capacidades de combate a incêndios da rescEU. Tal como acima referido, trata-se provavelmente de um processo complexo, dado que vários Estados-Membros podem participar no desenvolvimento de uma capacidade através de um acordo de contratação conjunta, contrariamente à proposta inicial da Comissão no sentido de simplificar o cofinanciamento e conferir poderes à Comissão para adquirir ou alugar meios por sua própria conta. A elaboração e a gestão dos acordos de contratação conjunta gerarão uma complexidade adicional que não foi inicialmente prevista.</w:t>
            </w:r>
          </w:p>
          <w:p>
            <w:pPr>
              <w:pStyle w:val="Text2"/>
              <w:spacing w:before="0" w:after="0"/>
              <w:ind w:left="0"/>
              <w:rPr>
                <w:rFonts w:ascii="Arial Narrow" w:hAnsi="Arial Narrow"/>
                <w:noProof/>
                <w:sz w:val="20"/>
                <w:szCs w:val="20"/>
              </w:rPr>
            </w:pPr>
          </w:p>
          <w:p>
            <w:pPr>
              <w:rPr>
                <w:noProof/>
                <w:sz w:val="20"/>
              </w:rPr>
            </w:pPr>
            <w:r>
              <w:rPr>
                <w:rFonts w:ascii="Arial Narrow" w:hAnsi="Arial Narrow"/>
                <w:noProof/>
                <w:sz w:val="20"/>
                <w:szCs w:val="20"/>
              </w:rPr>
              <w:t>Este processo (definição das capacidades e das condições de utilização, desenvolvimento das capacidades, utilização das capacidades, etc.) deverá ser repetido com outros tipos de capacidades, tais como as capacidades médicas de emergência ou as capacidades para fazer face a riscos químicos, radiológicos ou nucleares. Tal deve-se ao facto de o compromisso que está a surgir permitir a inclusão de uma gama muito mais vasta de capacidades na reserva rescEU, contrariamente ao previsto na proposta inicial da Comissão, que apenas enumerava quatro capacidades. Por conseguinte, serão necessários efetivos suplementares durante o período do quadro financeiro plurianual para poder dar resposta a estas novas necessidades, continuando ao mesmo tempo a gerir as capacidades existentes da rescEU. Assim, serão necessários perfis com conhecimentos especializados em áreas essenciais da proteção civil para apoiar o desenvolvimento de outro tipo de capacidades.</w:t>
            </w:r>
          </w:p>
        </w:tc>
      </w:tr>
      <w:tr>
        <w:tc>
          <w:tcPr>
            <w:tcW w:w="3240" w:type="dxa"/>
          </w:tcPr>
          <w:p>
            <w:pPr>
              <w:spacing w:before="60" w:after="60"/>
              <w:rPr>
                <w:noProof/>
                <w:sz w:val="20"/>
              </w:rPr>
            </w:pPr>
            <w:r>
              <w:rPr>
                <w:noProof/>
                <w:sz w:val="20"/>
              </w:rPr>
              <w:t>Pessoal externo</w:t>
            </w:r>
          </w:p>
        </w:tc>
        <w:tc>
          <w:tcPr>
            <w:tcW w:w="6683" w:type="dxa"/>
          </w:tcPr>
          <w:p>
            <w:pPr>
              <w:rPr>
                <w:rFonts w:ascii="Arial Narrow" w:hAnsi="Arial Narrow"/>
                <w:noProof/>
                <w:sz w:val="20"/>
                <w:szCs w:val="20"/>
              </w:rPr>
            </w:pPr>
            <w:r>
              <w:rPr>
                <w:rFonts w:ascii="Arial Narrow" w:hAnsi="Arial Narrow"/>
                <w:noProof/>
                <w:sz w:val="20"/>
                <w:szCs w:val="20"/>
              </w:rPr>
              <w:t xml:space="preserve">Será também procurado pessoal externo para desempenhar as funções acima referidas. </w:t>
            </w:r>
          </w:p>
          <w:p>
            <w:pPr>
              <w:rPr>
                <w:noProof/>
                <w:sz w:val="20"/>
              </w:rPr>
            </w:pPr>
            <w:r>
              <w:rPr>
                <w:rFonts w:ascii="Arial Narrow" w:hAnsi="Arial Narrow"/>
                <w:noProof/>
                <w:sz w:val="20"/>
                <w:szCs w:val="20"/>
              </w:rPr>
              <w:t>Além disso, o pessoal externo poderá também proporcionar conhecimentos especializados sobre determinadas questões técnicas relacionadas com o desenvolvimento das capacidades.</w:t>
            </w:r>
          </w:p>
        </w:tc>
      </w:tr>
    </w:tbl>
    <w:p>
      <w:pPr>
        <w:rPr>
          <w:noProof/>
        </w:rPr>
        <w:sectPr>
          <w:headerReference w:type="default" r:id="rId33"/>
          <w:footerReference w:type="default" r:id="rId34"/>
          <w:headerReference w:type="first" r:id="rId35"/>
          <w:footerReference w:type="first" r:id="rId36"/>
          <w:pgSz w:w="11907" w:h="16840"/>
          <w:pgMar w:top="1134" w:right="1418" w:bottom="1134" w:left="1418" w:header="709" w:footer="709" w:gutter="0"/>
          <w:cols w:space="708"/>
          <w:docGrid w:linePitch="360"/>
        </w:sectPr>
      </w:pPr>
    </w:p>
    <w:p>
      <w:pPr>
        <w:pStyle w:val="ManualHeading3"/>
        <w:rPr>
          <w:bCs/>
          <w:noProof/>
          <w:szCs w:val="24"/>
        </w:rPr>
      </w:pPr>
      <w:bookmarkStart w:id="59" w:name="_Toc351883"/>
      <w:r>
        <w:t>3.2.3.</w:t>
      </w:r>
      <w:r>
        <w:tab/>
      </w:r>
      <w:r>
        <w:rPr>
          <w:noProof/>
        </w:rPr>
        <w:t>Participação de terceiros no financiamento</w:t>
      </w:r>
      <w:bookmarkEnd w:id="59"/>
      <w:r>
        <w:rPr>
          <w:noProof/>
        </w:rPr>
        <w:t xml:space="preserve"> </w:t>
      </w:r>
    </w:p>
    <w:p>
      <w:pPr>
        <w:pStyle w:val="Text1"/>
        <w:rPr>
          <w:noProof/>
        </w:rPr>
      </w:pPr>
      <w:r>
        <w:rPr>
          <w:noProof/>
        </w:rPr>
        <w:t>A proposta/iniciativa:</w:t>
      </w:r>
    </w:p>
    <w:p>
      <w:pPr>
        <w:pStyle w:val="ListDash1"/>
        <w:rPr>
          <w:noProof/>
        </w:rPr>
      </w:pPr>
      <w:r>
        <w:rPr>
          <w:noProof/>
        </w:rPr>
        <w:sym w:font="Wingdings" w:char="F0A8"/>
      </w:r>
      <w:r>
        <w:rPr>
          <w:noProof/>
        </w:rPr>
        <w:tab/>
        <w:t>não prevê o cofinanciamento por terceiros</w:t>
      </w:r>
    </w:p>
    <w:p>
      <w:pPr>
        <w:pStyle w:val="ListDash1"/>
        <w:rPr>
          <w:noProof/>
        </w:rPr>
      </w:pPr>
      <w:r>
        <w:rPr>
          <w:noProof/>
        </w:rPr>
        <w:t>X</w:t>
      </w:r>
      <w:r>
        <w:rPr>
          <w:noProof/>
        </w:rPr>
        <w:tab/>
        <w:t>prevê o cofinanciamento por terceiros</w:t>
      </w:r>
    </w:p>
    <w:p>
      <w:pPr>
        <w:rPr>
          <w:noProof/>
        </w:rPr>
      </w:pPr>
      <w:r>
        <w:rPr>
          <w:noProof/>
        </w:rPr>
        <w:t>As contribuições financeiras de terceiros</w:t>
      </w:r>
      <w:r>
        <w:rPr>
          <w:rStyle w:val="FootnoteReference"/>
          <w:noProof/>
        </w:rPr>
        <w:footnoteReference w:id="29"/>
      </w:r>
      <w:r>
        <w:rPr>
          <w:noProof/>
        </w:rPr>
        <w:t xml:space="preserve"> não podem ser calculadas nesta fase, dado que os montantes ainda não foram decididos.</w:t>
      </w:r>
    </w:p>
    <w:p>
      <w:pPr>
        <w:pStyle w:val="ManualHeading2"/>
        <w:rPr>
          <w:bCs/>
          <w:noProof/>
          <w:szCs w:val="24"/>
        </w:rPr>
      </w:pPr>
      <w:bookmarkStart w:id="60" w:name="_Toc351884"/>
      <w:r>
        <w:t>3.3.</w:t>
      </w:r>
      <w:r>
        <w:tab/>
      </w:r>
      <w:r>
        <w:rPr>
          <w:noProof/>
        </w:rPr>
        <w:t>Impacto estimado nas receitas</w:t>
      </w:r>
      <w:bookmarkEnd w:id="60"/>
      <w:r>
        <w:rPr>
          <w:noProof/>
        </w:rPr>
        <w:t xml:space="preserve"> </w:t>
      </w:r>
    </w:p>
    <w:p>
      <w:pPr>
        <w:pStyle w:val="ListDash1"/>
        <w:rPr>
          <w:noProof/>
        </w:rPr>
      </w:pPr>
      <w:r>
        <w:rPr>
          <w:noProof/>
        </w:rPr>
        <w:t>X</w:t>
      </w:r>
      <w:r>
        <w:rPr>
          <w:noProof/>
        </w:rPr>
        <w:tab/>
        <w:t>A proposta/iniciativa não tem impacto financeiro nas receitas.</w:t>
      </w:r>
    </w:p>
    <w:p>
      <w:pPr>
        <w:pStyle w:val="ListDash1"/>
        <w:rPr>
          <w:noProof/>
        </w:rPr>
      </w:pPr>
      <w:r>
        <w:rPr>
          <w:noProof/>
        </w:rPr>
        <w:sym w:font="Wingdings" w:char="F0A8"/>
      </w:r>
      <w:r>
        <w:rPr>
          <w:noProof/>
        </w:rPr>
        <w:tab/>
        <w:t>A proposta/iniciativa tem o impacto financeiro a seguir descrito:</w:t>
      </w:r>
    </w:p>
    <w:p>
      <w:pPr>
        <w:pStyle w:val="ListNumberLevel3"/>
        <w:rPr>
          <w:noProof/>
        </w:rPr>
      </w:pPr>
      <w:r>
        <w:rPr>
          <w:noProof/>
        </w:rPr>
        <w:sym w:font="Wingdings" w:char="F0A8"/>
      </w:r>
      <w:r>
        <w:rPr>
          <w:noProof/>
        </w:rPr>
        <w:tab/>
        <w:t xml:space="preserve">nos recursos próprios </w:t>
      </w:r>
    </w:p>
    <w:p>
      <w:pPr>
        <w:pStyle w:val="ListNumberLevel3"/>
        <w:rPr>
          <w:noProof/>
        </w:rPr>
      </w:pPr>
      <w:r>
        <w:rPr>
          <w:noProof/>
        </w:rPr>
        <w:sym w:font="Wingdings" w:char="F0A8"/>
      </w:r>
      <w:r>
        <w:rPr>
          <w:noProof/>
        </w:rPr>
        <w:tab/>
        <w:t xml:space="preserve"> nas outras receitas</w:t>
      </w:r>
    </w:p>
    <w:p>
      <w:pPr>
        <w:jc w:val="right"/>
        <w:rPr>
          <w:noProof/>
        </w:rPr>
      </w:pPr>
      <w:r>
        <w:rPr>
          <w:noProof/>
        </w:rPr>
        <w:t xml:space="preserve">indicar se as receitas são afetadas a rubricas de despesas </w:t>
      </w:r>
      <w:r>
        <w:rPr>
          <w:noProof/>
        </w:rPr>
        <w:sym w:font="Wingdings" w:char="F0A8"/>
      </w:r>
      <w:r>
        <w:rPr>
          <w:noProof/>
        </w:rPr>
        <w:tab/>
      </w:r>
    </w:p>
    <w:p>
      <w:pPr>
        <w:jc w:val="right"/>
        <w:rPr>
          <w:i/>
          <w:noProof/>
          <w:sz w:val="20"/>
        </w:rPr>
      </w:pPr>
      <w:r>
        <w:rPr>
          <w:noProof/>
        </w:rPr>
        <w:t>Em milhões de EUR (3 casas decimais)</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trPr>
          <w:trHeight w:val="388"/>
          <w:jc w:val="center"/>
        </w:trPr>
        <w:tc>
          <w:tcPr>
            <w:tcW w:w="2144" w:type="dxa"/>
            <w:vMerge w:val="restart"/>
            <w:vAlign w:val="center"/>
          </w:tcPr>
          <w:p>
            <w:pPr>
              <w:spacing w:before="40" w:after="40"/>
              <w:rPr>
                <w:noProof/>
                <w:sz w:val="18"/>
              </w:rPr>
            </w:pPr>
            <w:r>
              <w:rPr>
                <w:noProof/>
                <w:sz w:val="18"/>
              </w:rPr>
              <w:t>Rubrica orçamental das receitas</w:t>
            </w:r>
          </w:p>
        </w:tc>
        <w:tc>
          <w:tcPr>
            <w:tcW w:w="7200" w:type="dxa"/>
            <w:gridSpan w:val="7"/>
            <w:vAlign w:val="center"/>
          </w:tcPr>
          <w:p>
            <w:pPr>
              <w:jc w:val="center"/>
              <w:rPr>
                <w:noProof/>
                <w:sz w:val="18"/>
              </w:rPr>
            </w:pPr>
            <w:r>
              <w:rPr>
                <w:noProof/>
                <w:sz w:val="18"/>
              </w:rPr>
              <w:t>Impacto da proposta/iniciativa</w:t>
            </w:r>
            <w:r>
              <w:rPr>
                <w:rStyle w:val="FootnoteReference"/>
                <w:noProof/>
                <w:sz w:val="18"/>
              </w:rPr>
              <w:footnoteReference w:id="30"/>
            </w:r>
          </w:p>
        </w:tc>
      </w:tr>
      <w:tr>
        <w:trPr>
          <w:trHeight w:val="388"/>
          <w:jc w:val="center"/>
        </w:trPr>
        <w:tc>
          <w:tcPr>
            <w:tcW w:w="2144" w:type="dxa"/>
            <w:vMerge/>
          </w:tcPr>
          <w:p>
            <w:pPr>
              <w:spacing w:before="40" w:after="40"/>
              <w:rPr>
                <w:noProof/>
                <w:sz w:val="18"/>
              </w:rPr>
            </w:pPr>
          </w:p>
        </w:tc>
        <w:tc>
          <w:tcPr>
            <w:tcW w:w="1080" w:type="dxa"/>
            <w:vAlign w:val="center"/>
          </w:tcPr>
          <w:p>
            <w:pPr>
              <w:jc w:val="center"/>
              <w:rPr>
                <w:noProof/>
                <w:sz w:val="18"/>
              </w:rPr>
            </w:pPr>
            <w:r>
              <w:rPr>
                <w:b/>
                <w:noProof/>
                <w:sz w:val="20"/>
              </w:rPr>
              <w:t>2021</w:t>
            </w:r>
          </w:p>
        </w:tc>
        <w:tc>
          <w:tcPr>
            <w:tcW w:w="900" w:type="dxa"/>
            <w:vAlign w:val="center"/>
          </w:tcPr>
          <w:p>
            <w:pPr>
              <w:jc w:val="center"/>
              <w:rPr>
                <w:b/>
                <w:noProof/>
                <w:sz w:val="20"/>
              </w:rPr>
            </w:pPr>
            <w:r>
              <w:rPr>
                <w:b/>
                <w:noProof/>
                <w:sz w:val="20"/>
              </w:rPr>
              <w:t>2022</w:t>
            </w:r>
          </w:p>
        </w:tc>
        <w:tc>
          <w:tcPr>
            <w:tcW w:w="900" w:type="dxa"/>
            <w:vAlign w:val="center"/>
          </w:tcPr>
          <w:p>
            <w:pPr>
              <w:jc w:val="center"/>
              <w:rPr>
                <w:b/>
                <w:noProof/>
                <w:sz w:val="20"/>
              </w:rPr>
            </w:pPr>
            <w:r>
              <w:rPr>
                <w:b/>
                <w:noProof/>
                <w:sz w:val="20"/>
              </w:rPr>
              <w:t>2023</w:t>
            </w:r>
          </w:p>
        </w:tc>
        <w:tc>
          <w:tcPr>
            <w:tcW w:w="1080" w:type="dxa"/>
            <w:vAlign w:val="center"/>
          </w:tcPr>
          <w:p>
            <w:pPr>
              <w:jc w:val="center"/>
              <w:rPr>
                <w:b/>
                <w:noProof/>
                <w:sz w:val="20"/>
              </w:rPr>
            </w:pPr>
            <w:r>
              <w:rPr>
                <w:b/>
                <w:noProof/>
                <w:sz w:val="20"/>
              </w:rPr>
              <w:t>2024</w:t>
            </w:r>
          </w:p>
        </w:tc>
        <w:tc>
          <w:tcPr>
            <w:tcW w:w="1080" w:type="dxa"/>
            <w:vAlign w:val="center"/>
          </w:tcPr>
          <w:p>
            <w:pPr>
              <w:jc w:val="center"/>
              <w:rPr>
                <w:b/>
                <w:noProof/>
                <w:sz w:val="20"/>
              </w:rPr>
            </w:pPr>
            <w:r>
              <w:rPr>
                <w:b/>
                <w:noProof/>
                <w:sz w:val="20"/>
              </w:rPr>
              <w:t>2025</w:t>
            </w:r>
          </w:p>
        </w:tc>
        <w:tc>
          <w:tcPr>
            <w:tcW w:w="1080" w:type="dxa"/>
            <w:vAlign w:val="center"/>
          </w:tcPr>
          <w:p>
            <w:pPr>
              <w:jc w:val="center"/>
              <w:rPr>
                <w:b/>
                <w:noProof/>
                <w:sz w:val="20"/>
              </w:rPr>
            </w:pPr>
            <w:r>
              <w:rPr>
                <w:b/>
                <w:noProof/>
                <w:sz w:val="20"/>
              </w:rPr>
              <w:t>2026</w:t>
            </w:r>
          </w:p>
        </w:tc>
        <w:tc>
          <w:tcPr>
            <w:tcW w:w="1080" w:type="dxa"/>
            <w:vAlign w:val="center"/>
          </w:tcPr>
          <w:p>
            <w:pPr>
              <w:jc w:val="center"/>
              <w:rPr>
                <w:b/>
                <w:noProof/>
                <w:sz w:val="20"/>
              </w:rPr>
            </w:pPr>
            <w:r>
              <w:rPr>
                <w:b/>
                <w:noProof/>
                <w:sz w:val="20"/>
              </w:rPr>
              <w:t>2027</w:t>
            </w:r>
          </w:p>
        </w:tc>
      </w:tr>
      <w:tr>
        <w:trPr>
          <w:trHeight w:val="388"/>
          <w:jc w:val="center"/>
        </w:trPr>
        <w:tc>
          <w:tcPr>
            <w:tcW w:w="2144" w:type="dxa"/>
            <w:vAlign w:val="center"/>
          </w:tcPr>
          <w:p>
            <w:pPr>
              <w:spacing w:before="40" w:after="40"/>
              <w:rPr>
                <w:noProof/>
                <w:sz w:val="18"/>
              </w:rPr>
            </w:pPr>
            <w:r>
              <w:rPr>
                <w:noProof/>
                <w:sz w:val="18"/>
              </w:rPr>
              <w:t>Artigo ………….</w:t>
            </w: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p>
    <w:p>
      <w:pPr>
        <w:rPr>
          <w:noProof/>
        </w:rPr>
      </w:pP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PT</w:t>
    </w:r>
    <w:r>
      <w:rPr>
        <w:rFonts w:ascii="Arial" w:hAnsi="Arial" w:cs="Arial"/>
        <w:b/>
        <w:sz w:val="48"/>
      </w:rPr>
      <w:tab/>
    </w:r>
    <w:r>
      <w:fldChar w:fldCharType="begin"/>
    </w:r>
    <w:r>
      <w:instrText xml:space="preserve"> PAGE  \* MERGEFORMAT </w:instrText>
    </w:r>
    <w:r>
      <w:fldChar w:fldCharType="separate"/>
    </w:r>
    <w:r>
      <w:rPr>
        <w:noProof/>
      </w:rPr>
      <w:t>20</w:t>
    </w:r>
    <w:r>
      <w:fldChar w:fldCharType="end"/>
    </w:r>
    <w:r>
      <w:tab/>
    </w:r>
    <w:r>
      <w:tab/>
    </w:r>
    <w:r>
      <w:rPr>
        <w:rFonts w:ascii="Arial" w:hAnsi="Arial" w:cs="Arial"/>
        <w:b/>
        <w:sz w:val="48"/>
      </w:rPr>
      <w:t>PT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fldChar w:fldCharType="begin"/>
    </w:r>
    <w:r>
      <w:instrText xml:space="preserve"> PAGE  \* MERGEFORMAT </w:instrText>
    </w:r>
    <w:r>
      <w:fldChar w:fldCharType="separate"/>
    </w:r>
    <w:r>
      <w:rPr>
        <w:noProof/>
      </w:rPr>
      <w:t>24</w:t>
    </w:r>
    <w:r>
      <w:fldChar w:fldCharType="end"/>
    </w:r>
    <w:r>
      <w:tab/>
    </w:r>
    <w:r>
      <w:tab/>
    </w:r>
    <w:r>
      <w:rPr>
        <w:rFonts w:ascii="Arial" w:hAnsi="Arial" w:cs="Arial"/>
        <w:b/>
        <w:sz w:val="48"/>
      </w:rPr>
      <w:t>PT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tab/>
    </w:r>
    <w:r>
      <w:rPr>
        <w:rFonts w:ascii="Arial" w:hAnsi="Arial" w:cs="Arial"/>
        <w:b/>
        <w:sz w:val="48"/>
      </w:rPr>
      <w:t>PT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fldChar w:fldCharType="begin"/>
    </w:r>
    <w:r>
      <w:instrText xml:space="preserve"> PAGE  \* MERGEFORMAT </w:instrText>
    </w:r>
    <w:r>
      <w:fldChar w:fldCharType="separate"/>
    </w:r>
    <w:r>
      <w:rPr>
        <w:noProof/>
      </w:rPr>
      <w:t>10</w:t>
    </w:r>
    <w:r>
      <w:fldChar w:fldCharType="end"/>
    </w:r>
    <w:r>
      <w:tab/>
    </w:r>
    <w:r>
      <w:tab/>
    </w:r>
    <w:r>
      <w:rPr>
        <w:rFonts w:ascii="Arial" w:hAnsi="Arial" w:cs="Arial"/>
        <w:b/>
        <w:sz w:val="48"/>
      </w:rPr>
      <w:t>PT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fldChar w:fldCharType="begin"/>
    </w:r>
    <w:r>
      <w:instrText xml:space="preserve"> PAGE  \* MERGEFORMAT </w:instrText>
    </w:r>
    <w:r>
      <w:fldChar w:fldCharType="separate"/>
    </w:r>
    <w:r>
      <w:rPr>
        <w:noProof/>
      </w:rPr>
      <w:t>18</w:t>
    </w:r>
    <w:r>
      <w:fldChar w:fldCharType="end"/>
    </w:r>
    <w:r>
      <w:tab/>
    </w:r>
    <w:r>
      <w:tab/>
    </w:r>
    <w:r>
      <w:rPr>
        <w:rFonts w:ascii="Arial" w:hAnsi="Arial" w:cs="Arial"/>
        <w:b/>
        <w:sz w:val="48"/>
      </w:rPr>
      <w:t>PT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Decisão n.º 1313/2013/UE do Parlamento Europeu e do Conselho, de 17 de dezembro de 2013, relativa a um Mecanismo de Proteção Civil da União Europeia (JO L 347 de 20.12.2013, p. 924).</w:t>
      </w:r>
    </w:p>
  </w:footnote>
  <w:footnote w:id="3">
    <w:p>
      <w:pPr>
        <w:pStyle w:val="FootnoteText"/>
        <w:ind w:left="0" w:firstLine="0"/>
      </w:pPr>
      <w:r>
        <w:rPr>
          <w:rStyle w:val="FootnoteReference"/>
        </w:rPr>
        <w:footnoteRef/>
      </w:r>
      <w:r>
        <w:tab/>
        <w:t>COM(2018) 321 final.</w:t>
      </w:r>
    </w:p>
  </w:footnote>
  <w:footnote w:id="4">
    <w:p>
      <w:pPr>
        <w:pStyle w:val="FootnoteText"/>
        <w:ind w:left="0" w:firstLine="0"/>
      </w:pPr>
      <w:r>
        <w:rPr>
          <w:rStyle w:val="FootnoteReference"/>
        </w:rPr>
        <w:footnoteRef/>
      </w:r>
      <w:r>
        <w:tab/>
        <w:t>COM(2017) 772 final.</w:t>
      </w:r>
    </w:p>
  </w:footnote>
  <w:footnote w:id="5">
    <w:p>
      <w:pPr>
        <w:pStyle w:val="FootnoteText"/>
        <w:ind w:left="0" w:firstLine="0"/>
      </w:pPr>
      <w:r>
        <w:rPr>
          <w:rStyle w:val="FootnoteReference"/>
        </w:rPr>
        <w:footnoteRef/>
      </w:r>
      <w:r>
        <w:tab/>
        <w:t>A Comunicação intitula-se «Um orçamento moderno para uma União que protege, capacita e defende».</w:t>
      </w:r>
    </w:p>
  </w:footnote>
  <w:footnote w:id="6">
    <w:p>
      <w:pPr>
        <w:pStyle w:val="FootnoteText"/>
      </w:pPr>
      <w:r>
        <w:rPr>
          <w:rStyle w:val="FootnoteReference"/>
        </w:rPr>
        <w:footnoteRef/>
      </w:r>
      <w:r>
        <w:tab/>
        <w:t>COM(2018) 321 final, p. 29.</w:t>
      </w:r>
    </w:p>
  </w:footnote>
  <w:footnote w:id="7">
    <w:p>
      <w:pPr>
        <w:pStyle w:val="FootnoteText"/>
      </w:pPr>
      <w:r>
        <w:rPr>
          <w:rStyle w:val="FootnoteReference"/>
        </w:rPr>
        <w:footnoteRef/>
      </w:r>
      <w:r>
        <w:tab/>
        <w:t>COM(2017) 772 final.</w:t>
      </w:r>
    </w:p>
  </w:footnote>
  <w:footnote w:id="8">
    <w:p>
      <w:pPr>
        <w:pStyle w:val="FootnoteText"/>
      </w:pPr>
      <w:r>
        <w:rPr>
          <w:rStyle w:val="FootnoteReference"/>
        </w:rPr>
        <w:footnoteRef/>
      </w:r>
      <w:r>
        <w:tab/>
        <w:t>JO C , , p. .</w:t>
      </w:r>
    </w:p>
  </w:footnote>
  <w:footnote w:id="9">
    <w:p>
      <w:pPr>
        <w:pStyle w:val="FootnoteText"/>
      </w:pPr>
      <w:r>
        <w:rPr>
          <w:rStyle w:val="FootnoteReference"/>
        </w:rPr>
        <w:footnoteRef/>
      </w:r>
      <w:r>
        <w:tab/>
        <w:t>JO C , , p. .</w:t>
      </w:r>
    </w:p>
  </w:footnote>
  <w:footnote w:id="10">
    <w:p>
      <w:pPr>
        <w:pStyle w:val="FootnoteText"/>
      </w:pPr>
      <w:r>
        <w:rPr>
          <w:rStyle w:val="FootnoteReference"/>
        </w:rPr>
        <w:footnoteRef/>
      </w:r>
      <w:r>
        <w:tab/>
        <w:t>Proposta de decisão do Parlamento Europeu e do Conselho que altera a Decisão n.º 1313/2013/UE relativa a um Mecanismo de Proteção Civil da União Europeia em 23 de novembro de 2017 [COM(2017) 772 final].</w:t>
      </w:r>
    </w:p>
  </w:footnote>
  <w:footnote w:id="11">
    <w:p>
      <w:pPr>
        <w:pStyle w:val="FootnoteText"/>
      </w:pPr>
      <w:r>
        <w:rPr>
          <w:rStyle w:val="FootnoteReference"/>
        </w:rPr>
        <w:footnoteRef/>
      </w:r>
      <w:r>
        <w:tab/>
        <w:t>Decisão n.º 1313/2013/UE do Parlamento Europeu e do Conselho, de 17 de dezembro de 2013, relativa a um Mecanismo de Proteção Civil da União Europeia (JO L 347 de 20.12.2013, p. 924).</w:t>
      </w:r>
    </w:p>
  </w:footnote>
  <w:footnote w:id="12">
    <w:p>
      <w:pPr>
        <w:pStyle w:val="FootnoteText"/>
      </w:pPr>
      <w:r>
        <w:rPr>
          <w:rStyle w:val="FootnoteReference"/>
        </w:rPr>
        <w:footnoteRef/>
      </w:r>
      <w:r>
        <w:tab/>
        <w:t>COM(2018) 321 final.</w:t>
      </w:r>
    </w:p>
  </w:footnote>
  <w:footnote w:id="13">
    <w:p>
      <w:pPr>
        <w:pStyle w:val="FootnoteText"/>
      </w:pPr>
      <w:r>
        <w:rPr>
          <w:rStyle w:val="FootnoteReference"/>
        </w:rPr>
        <w:footnoteRef/>
      </w:r>
      <w:r>
        <w:tab/>
        <w:t>Aquando da provável adoção da presente proposta, a proposta de revisão da Decisão n.º 1313/2013/UE, de 23 de novembro de 2017 (proposta «rescEU»), na qual foi acrescentado um novo artigo sobre a visibilidade (artigo 20.º-A), deverá estar já em vigor (a entrada em vigor está prevista para 21 de março de 2019). Dada a necessidade de racionalizar a formulação das disposições relativas à comunicação institucional em todas as novas propostas relacionadas com o quadro financeiro plurianual em conformidade com as orientações do Secretariado Geral [ARES(2018) 4555072], o artigo 20.º-A é alterado a fim de respeitar as regras internas nesta matéria.</w:t>
      </w:r>
    </w:p>
  </w:footnote>
  <w:footnote w:id="14">
    <w:p>
      <w:pPr>
        <w:pStyle w:val="FootnoteText"/>
      </w:pPr>
      <w:r>
        <w:rPr>
          <w:rStyle w:val="FootnoteReference"/>
        </w:rPr>
        <w:footnoteRef/>
      </w:r>
      <w:r>
        <w:tab/>
        <w:t>Aquando da provável adoção da presente proposta, a proposta de revisão da Decisão n.º 1313/2013/UE, de 23 de novembro de 2017 (proposta «rescEU»), deverá estar já em vigor (a entrada em vigor está prevista para 21 de março de 2019). A alteração proposta no presente documento remete portanto para o artigo 30.º, tal como figura na Decisão 1313/2013/UE revista.</w:t>
      </w:r>
    </w:p>
  </w:footnote>
  <w:footnote w:id="15">
    <w:p>
      <w:pPr>
        <w:pStyle w:val="FootnoteText"/>
        <w:ind w:left="0" w:firstLine="0"/>
      </w:pPr>
      <w:r>
        <w:rPr>
          <w:rStyle w:val="FootnoteReference"/>
        </w:rPr>
        <w:footnoteRef/>
      </w:r>
      <w:r>
        <w:tab/>
        <w:t>COM(2018) 98 final.</w:t>
      </w:r>
    </w:p>
  </w:footnote>
  <w:footnote w:id="16">
    <w:p>
      <w:pPr>
        <w:pStyle w:val="FootnoteText"/>
        <w:rPr>
          <w:szCs w:val="24"/>
        </w:rPr>
      </w:pPr>
      <w:r>
        <w:rPr>
          <w:rStyle w:val="FootnoteReference"/>
        </w:rPr>
        <w:footnoteRef/>
      </w:r>
      <w:r>
        <w:tab/>
        <w:t>Tal como referido no artigo 58.º, n.º 2, alínea a) ou b), do Regulamento Financeiro.</w:t>
      </w:r>
    </w:p>
  </w:footnote>
  <w:footnote w:id="17">
    <w:p>
      <w:pPr>
        <w:pStyle w:val="FootnoteText"/>
      </w:pPr>
      <w:r>
        <w:rPr>
          <w:rStyle w:val="FootnoteReference"/>
        </w:rPr>
        <w:footnoteRef/>
      </w:r>
      <w:r>
        <w:tab/>
        <w:t>COM(2017) 772 final.</w:t>
      </w:r>
    </w:p>
  </w:footnote>
  <w:footnote w:id="18">
    <w:p>
      <w:pPr>
        <w:pStyle w:val="FootnoteText"/>
      </w:pPr>
      <w:r>
        <w:rPr>
          <w:rStyle w:val="FootnoteReference"/>
        </w:rPr>
        <w:footnoteRef/>
      </w:r>
      <w:r>
        <w:tab/>
        <w:t>Tribunal de Contas Europeu, «Mecanismo de Proteção Civil da União: a coordenação das respostas a catástrofes fora da UE tem sido geralmente eficaz», Relatório Especial n.º 33/2016.</w:t>
      </w:r>
    </w:p>
  </w:footnote>
  <w:footnote w:id="19">
    <w:p>
      <w:pPr>
        <w:pStyle w:val="FootnoteText"/>
      </w:pPr>
      <w:r>
        <w:rPr>
          <w:rStyle w:val="FootnoteReference"/>
        </w:rPr>
        <w:footnoteRef/>
      </w:r>
      <w:r>
        <w:tab/>
        <w:t>Documento de trabalho dos serviços da Comissão, «Overview of Natural and Man-made Disaster Risks the European Union may face» [Síntese dos riscos de catástrofes naturais e de origem humana na UE], SWD(2017) 176 final de 23.5.2017.</w:t>
      </w:r>
    </w:p>
  </w:footnote>
  <w:footnote w:id="20">
    <w:p>
      <w:pPr>
        <w:pStyle w:val="FootnoteText"/>
        <w:jc w:val="left"/>
        <w:rPr>
          <w:szCs w:val="24"/>
        </w:rPr>
      </w:pPr>
      <w:r>
        <w:rPr>
          <w:rStyle w:val="FootnoteReference"/>
        </w:rPr>
        <w:footnoteRef/>
      </w:r>
      <w:r>
        <w:tab/>
        <w:t xml:space="preserve">As explicações sobre as modalidades de gestão e as referências ao Regulamento Financeiro estão disponíveis no sítio BudgWeb: </w:t>
      </w:r>
      <w:hyperlink r:id="rId1" w:history="1">
        <w:r>
          <w:rPr>
            <w:rStyle w:val="Hyperlink"/>
          </w:rPr>
          <w:t>https://myintracomm.ec.europa.eu/budgweb/EN/man/budgmanag/Pages/budgmanag.aspx</w:t>
        </w:r>
      </w:hyperlink>
      <w:r>
        <w:t xml:space="preserve"> </w:t>
      </w:r>
    </w:p>
  </w:footnote>
  <w:footnote w:id="21">
    <w:p>
      <w:pPr>
        <w:pStyle w:val="FootnoteText"/>
        <w:rPr>
          <w:szCs w:val="24"/>
        </w:rPr>
      </w:pPr>
      <w:r>
        <w:rPr>
          <w:rStyle w:val="FootnoteReference"/>
        </w:rPr>
        <w:footnoteRef/>
      </w:r>
      <w:r>
        <w:tab/>
        <w:t>DD = dotações diferenciadas/DND = dotações não diferenciadas.</w:t>
      </w:r>
    </w:p>
  </w:footnote>
  <w:footnote w:id="22">
    <w:p>
      <w:pPr>
        <w:pStyle w:val="FootnoteText"/>
        <w:rPr>
          <w:szCs w:val="24"/>
        </w:rPr>
      </w:pPr>
      <w:r>
        <w:rPr>
          <w:rStyle w:val="FootnoteReference"/>
        </w:rPr>
        <w:footnoteRef/>
      </w:r>
      <w:r>
        <w:tab/>
        <w:t>EFTA: Associação Europeia de Comércio Livre. Os países da EFTA que fazem parte do EEE podem aderir ao Mecanismo de Proteção Civil da União como «Estados participantes», tal como previsto no artigo 28.º, n.º 1, alínea a), da Decisão n.º 1313/2013/UE.</w:t>
      </w:r>
    </w:p>
  </w:footnote>
  <w:footnote w:id="23">
    <w:p>
      <w:pPr>
        <w:pStyle w:val="FootnoteText"/>
      </w:pPr>
      <w:r>
        <w:rPr>
          <w:rStyle w:val="FootnoteReference"/>
        </w:rPr>
        <w:footnoteRef/>
      </w:r>
      <w:r>
        <w:tab/>
        <w:t>Países candidatos e, se for caso disso, países candidatos potenciais dos Balcãs Ocidentais. Estes países podem aderir ao Mecanismo de Proteção Civil da União como «Estados participantes», tal como previsto no artigo 28.º, n.º 1, alínea a), da Decisão n.º 1313/2013/UE.</w:t>
      </w:r>
    </w:p>
  </w:footnote>
  <w:footnote w:id="24">
    <w:p>
      <w:pPr>
        <w:pStyle w:val="FootnoteText"/>
      </w:pPr>
      <w:r>
        <w:rPr>
          <w:rStyle w:val="FootnoteReference"/>
        </w:rPr>
        <w:footnoteRef/>
      </w:r>
      <w:r>
        <w:tab/>
        <w:t>Para efeitos do presente quadro, a referência aos países terceiros deve ser entendida como «outros países europeus» que ainda não fazem ainda parte do Mecanismo de Proteção Civil da União, mas que poderão aderir no futuro, tal como previsto no artigo 28.º, n.º 1, alínea a), da Decisão n.º 1313/2013/UE. Não estão previstas contribuições de outros países terceiros para além dos anteriormente referidos.</w:t>
      </w:r>
    </w:p>
  </w:footnote>
  <w:footnote w:id="25">
    <w:p>
      <w:pPr>
        <w:pStyle w:val="FootnoteText"/>
      </w:pPr>
      <w:r>
        <w:rPr>
          <w:rStyle w:val="FootnoteReference"/>
        </w:rPr>
        <w:footnoteRef/>
      </w:r>
      <w:r>
        <w:tab/>
        <w:t>«Os totais podem não coincidir devido aos arredondamentos.»</w:t>
      </w:r>
    </w:p>
  </w:footnote>
  <w:footnote w:id="26">
    <w:p>
      <w:pPr>
        <w:pStyle w:val="FootnoteText"/>
        <w:rPr>
          <w:szCs w:val="24"/>
        </w:rPr>
      </w:pPr>
      <w:r>
        <w:rPr>
          <w:rStyle w:val="FootnoteReference"/>
        </w:rPr>
        <w:footnoteRef/>
      </w:r>
      <w:r>
        <w:tab/>
        <w:t>Assistência técnica e/ou administrativa e despesas de apoio à execução de programas e/ou ações da UE (antigas rubricas «BA»), bem como investigação direta e indireta.</w:t>
      </w:r>
    </w:p>
  </w:footnote>
  <w:footnote w:id="27">
    <w:p>
      <w:pPr>
        <w:pStyle w:val="FootnoteText"/>
        <w:rPr>
          <w:szCs w:val="24"/>
        </w:rPr>
      </w:pPr>
      <w:r>
        <w:rPr>
          <w:rStyle w:val="FootnoteReference"/>
        </w:rPr>
        <w:footnoteRef/>
      </w:r>
      <w:r>
        <w:tab/>
        <w:t xml:space="preserve">AC = agente contratual; AL = agente local; PND = perito nacional destacado; TT = trabalhador temporário; JPD = jovem perito nas delegações. </w:t>
      </w:r>
    </w:p>
  </w:footnote>
  <w:footnote w:id="28">
    <w:p>
      <w:pPr>
        <w:pStyle w:val="FootnoteText"/>
        <w:rPr>
          <w:szCs w:val="24"/>
        </w:rPr>
      </w:pPr>
      <w:r>
        <w:rPr>
          <w:rStyle w:val="FootnoteReference"/>
        </w:rPr>
        <w:footnoteRef/>
      </w:r>
      <w:r>
        <w:tab/>
        <w:t>Sublimite para o pessoal externo coberto pelas dotações operacionais (antigas rubricas «BA»).</w:t>
      </w:r>
    </w:p>
  </w:footnote>
  <w:footnote w:id="29">
    <w:p>
      <w:pPr>
        <w:pStyle w:val="FootnoteText"/>
      </w:pPr>
      <w:r>
        <w:rPr>
          <w:rStyle w:val="FootnoteReference"/>
        </w:rPr>
        <w:footnoteRef/>
      </w:r>
      <w:r>
        <w:tab/>
        <w:t>As contribuições de terceiros referem-se às contribuições dos «Estados participantes» para o Mecanismo de Proteção Civil da União, em conformidade com o quadro 3.1 (supra) e com as explicações fornecidas nas notas de rodapé 21, 22 e 23.</w:t>
      </w:r>
    </w:p>
  </w:footnote>
  <w:footnote w:id="30">
    <w:p>
      <w:pPr>
        <w:pStyle w:val="FootnoteText"/>
        <w:rPr>
          <w:szCs w:val="24"/>
        </w:rPr>
      </w:pPr>
      <w:r>
        <w:rPr>
          <w:rStyle w:val="FootnoteReference"/>
        </w:rPr>
        <w:footnoteRef/>
      </w:r>
      <w:r>
        <w:tab/>
        <w:t>No que diz respeito aos recursos próprios tradicionais (direitos aduaneiros e quotizações sobre o açúcar), as quantias indicadas devem ser apresentadas em termos líquidos, isto é, quantias brutas após dedução de 20 % a título de despesas de cobrança.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1E0356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C6A5AF8"/>
    <w:lvl w:ilvl="0">
      <w:start w:val="1"/>
      <w:numFmt w:val="decimal"/>
      <w:pStyle w:val="ListNumber3"/>
      <w:lvlText w:val="%1."/>
      <w:lvlJc w:val="left"/>
      <w:pPr>
        <w:tabs>
          <w:tab w:val="num" w:pos="926"/>
        </w:tabs>
        <w:ind w:left="926" w:hanging="360"/>
      </w:pPr>
    </w:lvl>
  </w:abstractNum>
  <w:abstractNum w:abstractNumId="2">
    <w:nsid w:val="FFFFFF7F"/>
    <w:multiLevelType w:val="singleLevel"/>
    <w:tmpl w:val="755E39F2"/>
    <w:lvl w:ilvl="0">
      <w:start w:val="1"/>
      <w:numFmt w:val="decimal"/>
      <w:pStyle w:val="ListNumber2"/>
      <w:lvlText w:val="%1."/>
      <w:lvlJc w:val="left"/>
      <w:pPr>
        <w:tabs>
          <w:tab w:val="num" w:pos="643"/>
        </w:tabs>
        <w:ind w:left="643" w:hanging="360"/>
      </w:pPr>
    </w:lvl>
  </w:abstractNum>
  <w:abstractNum w:abstractNumId="3">
    <w:nsid w:val="FFFFFF81"/>
    <w:multiLevelType w:val="singleLevel"/>
    <w:tmpl w:val="6582AC2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B4CA4D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DCBA545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5">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15"/>
  </w:num>
  <w:num w:numId="3">
    <w:abstractNumId w:val="14"/>
  </w:num>
  <w:num w:numId="4">
    <w:abstractNumId w:val="23"/>
  </w:num>
  <w:num w:numId="5">
    <w:abstractNumId w:val="20"/>
  </w:num>
  <w:num w:numId="6">
    <w:abstractNumId w:val="24"/>
    <w:lvlOverride w:ilvl="0">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3"/>
  </w:num>
  <w:num w:numId="12">
    <w:abstractNumId w:val="2"/>
  </w:num>
  <w:num w:numId="13">
    <w:abstractNumId w:val="1"/>
  </w:num>
  <w:num w:numId="14">
    <w:abstractNumId w:val="0"/>
  </w:num>
  <w:num w:numId="15">
    <w:abstractNumId w:val="13"/>
    <w:lvlOverride w:ilvl="0">
      <w:startOverride w:val="1"/>
    </w:lvlOverride>
  </w:num>
  <w:num w:numId="16">
    <w:abstractNumId w:val="17"/>
    <w:lvlOverride w:ilvl="0">
      <w:startOverride w:val="1"/>
    </w:lvlOverride>
  </w:num>
  <w:num w:numId="17">
    <w:abstractNumId w:val="21"/>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1"/>
  </w:num>
  <w:num w:numId="21">
    <w:abstractNumId w:val="22"/>
  </w:num>
  <w:num w:numId="22">
    <w:abstractNumId w:val="10"/>
  </w:num>
  <w:num w:numId="23">
    <w:abstractNumId w:val="12"/>
  </w:num>
  <w:num w:numId="24">
    <w:abstractNumId w:val="8"/>
  </w:num>
  <w:num w:numId="25">
    <w:abstractNumId w:val="21"/>
  </w:num>
  <w:num w:numId="26">
    <w:abstractNumId w:val="7"/>
  </w:num>
  <w:num w:numId="27">
    <w:abstractNumId w:val="13"/>
  </w:num>
  <w:num w:numId="28">
    <w:abstractNumId w:val="17"/>
  </w:num>
  <w:num w:numId="29">
    <w:abstractNumId w:val="18"/>
  </w:num>
  <w:num w:numId="30">
    <w:abstractNumId w:val="9"/>
  </w:num>
  <w:num w:numId="31">
    <w:abstractNumId w:val="16"/>
  </w:num>
  <w:num w:numId="32">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3-06 08:54:48"/>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9"/>
    <w:docVar w:name="DQCResult_ModifiedMarkers" w:val="0;0"/>
    <w:docVar w:name="DQCResult_ModifiedNumbering" w:val="0;0"/>
    <w:docVar w:name="DQCResult_Objects" w:val="0;0"/>
    <w:docVar w:name="DQCResult_Sections" w:val="0;0"/>
    <w:docVar w:name="DQCResult_StructureCheck" w:val="0;0"/>
    <w:docVar w:name="DQCResult_SuperfluousWhitespace" w:val="0;15"/>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948C670E-483F-4E11-A5F3-1C0F5E458AF8"/>
    <w:docVar w:name="LW_COVERPAGE_TYPE" w:val="1"/>
    <w:docVar w:name="LW_CROSSREFERENCE" w:val="&lt;UNUSED&gt;"/>
    <w:docVar w:name="LW_DocType" w:val="COM"/>
    <w:docVar w:name="LW_EMISSION" w:val="7.3.2019"/>
    <w:docVar w:name="LW_EMISSION_ISODATE" w:val="2019-03-07"/>
    <w:docVar w:name="LW_EMISSION_LOCATION" w:val="BRX"/>
    <w:docVar w:name="LW_EMISSION_PREFIX" w:val="Bruxelas, "/>
    <w:docVar w:name="LW_EMISSION_SUFFIX" w:val=" "/>
    <w:docVar w:name="LW_ID_DOCMODEL" w:val="SJ-025"/>
    <w:docVar w:name="LW_ID_DOCSIGNATURE" w:val="SJ-025"/>
    <w:docVar w:name="LW_ID_DOCSTRUCTURE" w:val="COM/PL/ORG"/>
    <w:docVar w:name="LW_ID_DOCTYPE" w:val="SJ-025"/>
    <w:docVar w:name="LW_ID_EXP.MOTIFS.NEW" w:val="EM_PL_"/>
    <w:docVar w:name="LW_ID_STATUT" w:val="SJ-025"/>
    <w:docVar w:name="LW_INTERETEEE.CP" w:val="(Texto relevante para efeitos do EEE)"/>
    <w:docVar w:name="LW_LANGUE" w:val="PT"/>
    <w:docVar w:name="LW_LEVEL_OF_SENSITIVITY" w:val="Standard treatment"/>
    <w:docVar w:name="LW_NOM.INST" w:val="COMISSÃO EUROPEIA"/>
    <w:docVar w:name="LW_NOM.INST_JOINTDOC" w:val="&lt;EMPTY&gt;"/>
    <w:docVar w:name="LW_PART_NBR" w:val="1"/>
    <w:docVar w:name="LW_PART_NBR_TOTAL" w:val="1"/>
    <w:docVar w:name="LW_REF.II.NEW.CP" w:val="COD"/>
    <w:docVar w:name="LW_REF.II.NEW.CP_NUMBER" w:val="0070"/>
    <w:docVar w:name="LW_REF.II.NEW.CP_YEAR" w:val="2019"/>
    <w:docVar w:name="LW_REF.INST.NEW" w:val="COM"/>
    <w:docVar w:name="LW_REF.INST.NEW_ADOPTED" w:val="final"/>
    <w:docVar w:name="LW_REF.INST.NEW_TEXT" w:val="(2019) 12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ta de"/>
    <w:docVar w:name="LW_SUPERTITRE" w:val="&lt;UNUSED&gt;"/>
    <w:docVar w:name="LW_TITRE.OBJ.CP" w:val="que altera a Decisão n.º 1313/2013/UE do Parlamento Europeu e do Conselho relativa a um Mecanismo de Proteção Civil da União Europeia"/>
    <w:docVar w:name="LW_TYPE.DOC.CP" w:val="DECISÃO DO PARLAMENTO EUROPEU E DO CONSELHO"/>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2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1">
    <w:name w:val="List Dash 1"/>
    <w:basedOn w:val="Normal"/>
    <w:pPr>
      <w:numPr>
        <w:numId w:val="2"/>
      </w:numPr>
    </w:pPr>
    <w:rPr>
      <w:rFonts w:eastAsia="Times New Roman"/>
      <w:lang w:eastAsia="de-DE"/>
    </w:rPr>
  </w:style>
  <w:style w:type="paragraph" w:customStyle="1" w:styleId="ListDash2">
    <w:name w:val="List Dash 2"/>
    <w:basedOn w:val="Normal"/>
    <w:pPr>
      <w:numPr>
        <w:numId w:val="3"/>
      </w:numPr>
    </w:pPr>
    <w:rPr>
      <w:rFonts w:eastAsia="Times New Roman"/>
      <w:lang w:eastAsia="de-DE"/>
    </w:rPr>
  </w:style>
  <w:style w:type="paragraph" w:customStyle="1" w:styleId="ListNumberLevel2">
    <w:name w:val="List Number (Level 2)"/>
    <w:basedOn w:val="Normal"/>
    <w:pPr>
      <w:numPr>
        <w:ilvl w:val="1"/>
        <w:numId w:val="4"/>
      </w:numPr>
    </w:pPr>
    <w:rPr>
      <w:rFonts w:eastAsia="Times New Roman"/>
      <w:lang w:eastAsia="de-DE"/>
    </w:rPr>
  </w:style>
  <w:style w:type="paragraph" w:customStyle="1" w:styleId="ListNumberLevel3">
    <w:name w:val="List Number (Level 3)"/>
    <w:basedOn w:val="Normal"/>
    <w:pPr>
      <w:numPr>
        <w:ilvl w:val="2"/>
        <w:numId w:val="4"/>
      </w:numPr>
    </w:pPr>
    <w:rPr>
      <w:rFonts w:eastAsia="Times New Roman"/>
      <w:lang w:eastAsia="de-DE"/>
    </w:rPr>
  </w:style>
  <w:style w:type="paragraph" w:customStyle="1" w:styleId="ListNumberLevel4">
    <w:name w:val="List Number (Level 4)"/>
    <w:basedOn w:val="Normal"/>
    <w:pPr>
      <w:numPr>
        <w:ilvl w:val="3"/>
        <w:numId w:val="4"/>
      </w:numPr>
    </w:pPr>
    <w:rPr>
      <w:rFonts w:eastAsia="Times New Roman"/>
      <w:lang w:eastAsia="de-DE"/>
    </w:rPr>
  </w:style>
  <w:style w:type="character" w:styleId="Hyperlink">
    <w:name w:val="Hyperlink"/>
    <w:uiPriority w:val="99"/>
    <w:rPr>
      <w:color w:val="0000FF"/>
      <w:u w:val="single"/>
    </w:rPr>
  </w:style>
  <w:style w:type="paragraph" w:styleId="ListBullet">
    <w:name w:val="List Bullet"/>
    <w:basedOn w:val="Normal"/>
    <w:pPr>
      <w:numPr>
        <w:numId w:val="5"/>
      </w:numPr>
    </w:pPr>
    <w:rPr>
      <w:rFonts w:eastAsia="Times New Roman"/>
      <w:lang w:eastAsia="en-GB"/>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1">
    <w:name w:val="normal1"/>
    <w:basedOn w:val="Normal"/>
    <w:pPr>
      <w:spacing w:before="0" w:after="0"/>
    </w:pPr>
    <w:rPr>
      <w:szCs w:val="24"/>
      <w:lang w:eastAsia="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2">
    <w:name w:val="List Bullet 2"/>
    <w:basedOn w:val="Normal"/>
    <w:uiPriority w:val="99"/>
    <w:semiHidden/>
    <w:unhideWhenUsed/>
    <w:pPr>
      <w:numPr>
        <w:numId w:val="9"/>
      </w:numPr>
      <w:contextualSpacing/>
    </w:pPr>
  </w:style>
  <w:style w:type="paragraph" w:styleId="ListBullet3">
    <w:name w:val="List Bullet 3"/>
    <w:basedOn w:val="Normal"/>
    <w:uiPriority w:val="99"/>
    <w:semiHidden/>
    <w:unhideWhenUsed/>
    <w:pPr>
      <w:numPr>
        <w:numId w:val="10"/>
      </w:numPr>
      <w:contextualSpacing/>
    </w:pPr>
  </w:style>
  <w:style w:type="paragraph" w:styleId="ListBullet4">
    <w:name w:val="List Bullet 4"/>
    <w:basedOn w:val="Normal"/>
    <w:uiPriority w:val="99"/>
    <w:semiHidden/>
    <w:unhideWhenUsed/>
    <w:pPr>
      <w:numPr>
        <w:numId w:val="11"/>
      </w:numPr>
      <w:contextualSpacing/>
    </w:pPr>
  </w:style>
  <w:style w:type="paragraph" w:styleId="ListNumber2">
    <w:name w:val="List Number 2"/>
    <w:basedOn w:val="Normal"/>
    <w:uiPriority w:val="99"/>
    <w:semiHidden/>
    <w:unhideWhenUsed/>
    <w:pPr>
      <w:numPr>
        <w:numId w:val="12"/>
      </w:numPr>
      <w:tabs>
        <w:tab w:val="clear" w:pos="643"/>
        <w:tab w:val="num" w:pos="360"/>
      </w:tabs>
      <w:ind w:left="0" w:firstLine="0"/>
      <w:contextualSpacing/>
    </w:pPr>
  </w:style>
  <w:style w:type="paragraph" w:styleId="ListNumber3">
    <w:name w:val="List Number 3"/>
    <w:basedOn w:val="Normal"/>
    <w:uiPriority w:val="99"/>
    <w:semiHidden/>
    <w:unhideWhenUsed/>
    <w:pPr>
      <w:numPr>
        <w:numId w:val="13"/>
      </w:numPr>
      <w:contextualSpacing/>
    </w:pPr>
  </w:style>
  <w:style w:type="paragraph" w:styleId="ListNumber4">
    <w:name w:val="List Number 4"/>
    <w:basedOn w:val="Normal"/>
    <w:uiPriority w:val="99"/>
    <w:semiHidden/>
    <w:unhideWhenUsed/>
    <w:pPr>
      <w:numPr>
        <w:numId w:val="14"/>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t-PT"/>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t-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t-P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pt-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9"/>
      </w:numPr>
    </w:pPr>
  </w:style>
  <w:style w:type="paragraph" w:customStyle="1" w:styleId="Tiret1">
    <w:name w:val="Tiret 1"/>
    <w:basedOn w:val="Point1"/>
    <w:pPr>
      <w:numPr>
        <w:numId w:val="20"/>
      </w:numPr>
    </w:pPr>
  </w:style>
  <w:style w:type="paragraph" w:customStyle="1" w:styleId="Tiret2">
    <w:name w:val="Tiret 2"/>
    <w:basedOn w:val="Point2"/>
    <w:pPr>
      <w:numPr>
        <w:numId w:val="21"/>
      </w:numPr>
    </w:pPr>
  </w:style>
  <w:style w:type="paragraph" w:customStyle="1" w:styleId="Tiret3">
    <w:name w:val="Tiret 3"/>
    <w:basedOn w:val="Point3"/>
    <w:pPr>
      <w:numPr>
        <w:numId w:val="22"/>
      </w:numPr>
    </w:pPr>
  </w:style>
  <w:style w:type="paragraph" w:customStyle="1" w:styleId="Tiret4">
    <w:name w:val="Tiret 4"/>
    <w:basedOn w:val="Point4"/>
    <w:pPr>
      <w:numPr>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4"/>
      </w:numPr>
    </w:pPr>
  </w:style>
  <w:style w:type="paragraph" w:customStyle="1" w:styleId="NumPar2">
    <w:name w:val="NumPar 2"/>
    <w:basedOn w:val="Normal"/>
    <w:next w:val="Text1"/>
    <w:pPr>
      <w:numPr>
        <w:ilvl w:val="1"/>
        <w:numId w:val="24"/>
      </w:numPr>
    </w:pPr>
  </w:style>
  <w:style w:type="paragraph" w:customStyle="1" w:styleId="NumPar3">
    <w:name w:val="NumPar 3"/>
    <w:basedOn w:val="Normal"/>
    <w:next w:val="Text1"/>
    <w:pPr>
      <w:numPr>
        <w:ilvl w:val="2"/>
        <w:numId w:val="24"/>
      </w:numPr>
    </w:pPr>
  </w:style>
  <w:style w:type="paragraph" w:customStyle="1" w:styleId="NumPar4">
    <w:name w:val="NumPar 4"/>
    <w:basedOn w:val="Normal"/>
    <w:next w:val="Text1"/>
    <w:pPr>
      <w:numPr>
        <w:ilvl w:val="3"/>
        <w:numId w:val="2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6"/>
      </w:numPr>
    </w:pPr>
  </w:style>
  <w:style w:type="paragraph" w:customStyle="1" w:styleId="Point1number">
    <w:name w:val="Point 1 (number)"/>
    <w:basedOn w:val="Normal"/>
    <w:pPr>
      <w:numPr>
        <w:ilvl w:val="2"/>
        <w:numId w:val="26"/>
      </w:numPr>
    </w:pPr>
  </w:style>
  <w:style w:type="paragraph" w:customStyle="1" w:styleId="Point2number">
    <w:name w:val="Point 2 (number)"/>
    <w:basedOn w:val="Normal"/>
    <w:pPr>
      <w:numPr>
        <w:ilvl w:val="4"/>
        <w:numId w:val="26"/>
      </w:numPr>
    </w:pPr>
  </w:style>
  <w:style w:type="paragraph" w:customStyle="1" w:styleId="Point3number">
    <w:name w:val="Point 3 (number)"/>
    <w:basedOn w:val="Normal"/>
    <w:pPr>
      <w:numPr>
        <w:ilvl w:val="6"/>
        <w:numId w:val="26"/>
      </w:numPr>
    </w:pPr>
  </w:style>
  <w:style w:type="paragraph" w:customStyle="1" w:styleId="Point0letter">
    <w:name w:val="Point 0 (letter)"/>
    <w:basedOn w:val="Normal"/>
    <w:pPr>
      <w:numPr>
        <w:ilvl w:val="1"/>
        <w:numId w:val="26"/>
      </w:numPr>
    </w:pPr>
  </w:style>
  <w:style w:type="paragraph" w:customStyle="1" w:styleId="Point1letter">
    <w:name w:val="Point 1 (letter)"/>
    <w:basedOn w:val="Normal"/>
    <w:pPr>
      <w:numPr>
        <w:ilvl w:val="3"/>
        <w:numId w:val="26"/>
      </w:numPr>
    </w:pPr>
  </w:style>
  <w:style w:type="paragraph" w:customStyle="1" w:styleId="Point2letter">
    <w:name w:val="Point 2 (letter)"/>
    <w:basedOn w:val="Normal"/>
    <w:pPr>
      <w:numPr>
        <w:ilvl w:val="5"/>
        <w:numId w:val="26"/>
      </w:numPr>
    </w:pPr>
  </w:style>
  <w:style w:type="paragraph" w:customStyle="1" w:styleId="Point3letter">
    <w:name w:val="Point 3 (letter)"/>
    <w:basedOn w:val="Normal"/>
    <w:pPr>
      <w:numPr>
        <w:ilvl w:val="7"/>
        <w:numId w:val="26"/>
      </w:numPr>
    </w:pPr>
  </w:style>
  <w:style w:type="paragraph" w:customStyle="1" w:styleId="Point4letter">
    <w:name w:val="Point 4 (letter)"/>
    <w:basedOn w:val="Normal"/>
    <w:pPr>
      <w:numPr>
        <w:ilvl w:val="8"/>
        <w:numId w:val="26"/>
      </w:numPr>
    </w:pPr>
  </w:style>
  <w:style w:type="paragraph" w:customStyle="1" w:styleId="Bullet0">
    <w:name w:val="Bullet 0"/>
    <w:basedOn w:val="Normal"/>
    <w:pPr>
      <w:numPr>
        <w:numId w:val="27"/>
      </w:numPr>
    </w:pPr>
  </w:style>
  <w:style w:type="paragraph" w:customStyle="1" w:styleId="Bullet1">
    <w:name w:val="Bullet 1"/>
    <w:basedOn w:val="Normal"/>
    <w:pPr>
      <w:numPr>
        <w:numId w:val="28"/>
      </w:numPr>
    </w:pPr>
  </w:style>
  <w:style w:type="paragraph" w:customStyle="1" w:styleId="Bullet2">
    <w:name w:val="Bullet 2"/>
    <w:basedOn w:val="Normal"/>
    <w:pPr>
      <w:numPr>
        <w:numId w:val="29"/>
      </w:numPr>
    </w:pPr>
  </w:style>
  <w:style w:type="paragraph" w:customStyle="1" w:styleId="Bullet3">
    <w:name w:val="Bullet 3"/>
    <w:basedOn w:val="Normal"/>
    <w:pPr>
      <w:numPr>
        <w:numId w:val="30"/>
      </w:numPr>
    </w:pPr>
  </w:style>
  <w:style w:type="paragraph" w:customStyle="1" w:styleId="Bullet4">
    <w:name w:val="Bullet 4"/>
    <w:basedOn w:val="Normal"/>
    <w:pPr>
      <w:numPr>
        <w:numId w:val="3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2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1">
    <w:name w:val="List Dash 1"/>
    <w:basedOn w:val="Normal"/>
    <w:pPr>
      <w:numPr>
        <w:numId w:val="2"/>
      </w:numPr>
    </w:pPr>
    <w:rPr>
      <w:rFonts w:eastAsia="Times New Roman"/>
      <w:lang w:eastAsia="de-DE"/>
    </w:rPr>
  </w:style>
  <w:style w:type="paragraph" w:customStyle="1" w:styleId="ListDash2">
    <w:name w:val="List Dash 2"/>
    <w:basedOn w:val="Normal"/>
    <w:pPr>
      <w:numPr>
        <w:numId w:val="3"/>
      </w:numPr>
    </w:pPr>
    <w:rPr>
      <w:rFonts w:eastAsia="Times New Roman"/>
      <w:lang w:eastAsia="de-DE"/>
    </w:rPr>
  </w:style>
  <w:style w:type="paragraph" w:customStyle="1" w:styleId="ListNumberLevel2">
    <w:name w:val="List Number (Level 2)"/>
    <w:basedOn w:val="Normal"/>
    <w:pPr>
      <w:numPr>
        <w:ilvl w:val="1"/>
        <w:numId w:val="4"/>
      </w:numPr>
    </w:pPr>
    <w:rPr>
      <w:rFonts w:eastAsia="Times New Roman"/>
      <w:lang w:eastAsia="de-DE"/>
    </w:rPr>
  </w:style>
  <w:style w:type="paragraph" w:customStyle="1" w:styleId="ListNumberLevel3">
    <w:name w:val="List Number (Level 3)"/>
    <w:basedOn w:val="Normal"/>
    <w:pPr>
      <w:numPr>
        <w:ilvl w:val="2"/>
        <w:numId w:val="4"/>
      </w:numPr>
    </w:pPr>
    <w:rPr>
      <w:rFonts w:eastAsia="Times New Roman"/>
      <w:lang w:eastAsia="de-DE"/>
    </w:rPr>
  </w:style>
  <w:style w:type="paragraph" w:customStyle="1" w:styleId="ListNumberLevel4">
    <w:name w:val="List Number (Level 4)"/>
    <w:basedOn w:val="Normal"/>
    <w:pPr>
      <w:numPr>
        <w:ilvl w:val="3"/>
        <w:numId w:val="4"/>
      </w:numPr>
    </w:pPr>
    <w:rPr>
      <w:rFonts w:eastAsia="Times New Roman"/>
      <w:lang w:eastAsia="de-DE"/>
    </w:rPr>
  </w:style>
  <w:style w:type="character" w:styleId="Hyperlink">
    <w:name w:val="Hyperlink"/>
    <w:uiPriority w:val="99"/>
    <w:rPr>
      <w:color w:val="0000FF"/>
      <w:u w:val="single"/>
    </w:rPr>
  </w:style>
  <w:style w:type="paragraph" w:styleId="ListBullet">
    <w:name w:val="List Bullet"/>
    <w:basedOn w:val="Normal"/>
    <w:pPr>
      <w:numPr>
        <w:numId w:val="5"/>
      </w:numPr>
    </w:pPr>
    <w:rPr>
      <w:rFonts w:eastAsia="Times New Roman"/>
      <w:lang w:eastAsia="en-GB"/>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1">
    <w:name w:val="normal1"/>
    <w:basedOn w:val="Normal"/>
    <w:pPr>
      <w:spacing w:before="0" w:after="0"/>
    </w:pPr>
    <w:rPr>
      <w:szCs w:val="24"/>
      <w:lang w:eastAsia="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2">
    <w:name w:val="List Bullet 2"/>
    <w:basedOn w:val="Normal"/>
    <w:uiPriority w:val="99"/>
    <w:semiHidden/>
    <w:unhideWhenUsed/>
    <w:pPr>
      <w:numPr>
        <w:numId w:val="9"/>
      </w:numPr>
      <w:contextualSpacing/>
    </w:pPr>
  </w:style>
  <w:style w:type="paragraph" w:styleId="ListBullet3">
    <w:name w:val="List Bullet 3"/>
    <w:basedOn w:val="Normal"/>
    <w:uiPriority w:val="99"/>
    <w:semiHidden/>
    <w:unhideWhenUsed/>
    <w:pPr>
      <w:numPr>
        <w:numId w:val="10"/>
      </w:numPr>
      <w:contextualSpacing/>
    </w:pPr>
  </w:style>
  <w:style w:type="paragraph" w:styleId="ListBullet4">
    <w:name w:val="List Bullet 4"/>
    <w:basedOn w:val="Normal"/>
    <w:uiPriority w:val="99"/>
    <w:semiHidden/>
    <w:unhideWhenUsed/>
    <w:pPr>
      <w:numPr>
        <w:numId w:val="11"/>
      </w:numPr>
      <w:contextualSpacing/>
    </w:pPr>
  </w:style>
  <w:style w:type="paragraph" w:styleId="ListNumber2">
    <w:name w:val="List Number 2"/>
    <w:basedOn w:val="Normal"/>
    <w:uiPriority w:val="99"/>
    <w:semiHidden/>
    <w:unhideWhenUsed/>
    <w:pPr>
      <w:numPr>
        <w:numId w:val="12"/>
      </w:numPr>
      <w:tabs>
        <w:tab w:val="clear" w:pos="643"/>
        <w:tab w:val="num" w:pos="360"/>
      </w:tabs>
      <w:ind w:left="0" w:firstLine="0"/>
      <w:contextualSpacing/>
    </w:pPr>
  </w:style>
  <w:style w:type="paragraph" w:styleId="ListNumber3">
    <w:name w:val="List Number 3"/>
    <w:basedOn w:val="Normal"/>
    <w:uiPriority w:val="99"/>
    <w:semiHidden/>
    <w:unhideWhenUsed/>
    <w:pPr>
      <w:numPr>
        <w:numId w:val="13"/>
      </w:numPr>
      <w:contextualSpacing/>
    </w:pPr>
  </w:style>
  <w:style w:type="paragraph" w:styleId="ListNumber4">
    <w:name w:val="List Number 4"/>
    <w:basedOn w:val="Normal"/>
    <w:uiPriority w:val="99"/>
    <w:semiHidden/>
    <w:unhideWhenUsed/>
    <w:pPr>
      <w:numPr>
        <w:numId w:val="14"/>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t-PT"/>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t-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t-P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pt-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9"/>
      </w:numPr>
    </w:pPr>
  </w:style>
  <w:style w:type="paragraph" w:customStyle="1" w:styleId="Tiret1">
    <w:name w:val="Tiret 1"/>
    <w:basedOn w:val="Point1"/>
    <w:pPr>
      <w:numPr>
        <w:numId w:val="20"/>
      </w:numPr>
    </w:pPr>
  </w:style>
  <w:style w:type="paragraph" w:customStyle="1" w:styleId="Tiret2">
    <w:name w:val="Tiret 2"/>
    <w:basedOn w:val="Point2"/>
    <w:pPr>
      <w:numPr>
        <w:numId w:val="21"/>
      </w:numPr>
    </w:pPr>
  </w:style>
  <w:style w:type="paragraph" w:customStyle="1" w:styleId="Tiret3">
    <w:name w:val="Tiret 3"/>
    <w:basedOn w:val="Point3"/>
    <w:pPr>
      <w:numPr>
        <w:numId w:val="22"/>
      </w:numPr>
    </w:pPr>
  </w:style>
  <w:style w:type="paragraph" w:customStyle="1" w:styleId="Tiret4">
    <w:name w:val="Tiret 4"/>
    <w:basedOn w:val="Point4"/>
    <w:pPr>
      <w:numPr>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4"/>
      </w:numPr>
    </w:pPr>
  </w:style>
  <w:style w:type="paragraph" w:customStyle="1" w:styleId="NumPar2">
    <w:name w:val="NumPar 2"/>
    <w:basedOn w:val="Normal"/>
    <w:next w:val="Text1"/>
    <w:pPr>
      <w:numPr>
        <w:ilvl w:val="1"/>
        <w:numId w:val="24"/>
      </w:numPr>
    </w:pPr>
  </w:style>
  <w:style w:type="paragraph" w:customStyle="1" w:styleId="NumPar3">
    <w:name w:val="NumPar 3"/>
    <w:basedOn w:val="Normal"/>
    <w:next w:val="Text1"/>
    <w:pPr>
      <w:numPr>
        <w:ilvl w:val="2"/>
        <w:numId w:val="24"/>
      </w:numPr>
    </w:pPr>
  </w:style>
  <w:style w:type="paragraph" w:customStyle="1" w:styleId="NumPar4">
    <w:name w:val="NumPar 4"/>
    <w:basedOn w:val="Normal"/>
    <w:next w:val="Text1"/>
    <w:pPr>
      <w:numPr>
        <w:ilvl w:val="3"/>
        <w:numId w:val="2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6"/>
      </w:numPr>
    </w:pPr>
  </w:style>
  <w:style w:type="paragraph" w:customStyle="1" w:styleId="Point1number">
    <w:name w:val="Point 1 (number)"/>
    <w:basedOn w:val="Normal"/>
    <w:pPr>
      <w:numPr>
        <w:ilvl w:val="2"/>
        <w:numId w:val="26"/>
      </w:numPr>
    </w:pPr>
  </w:style>
  <w:style w:type="paragraph" w:customStyle="1" w:styleId="Point2number">
    <w:name w:val="Point 2 (number)"/>
    <w:basedOn w:val="Normal"/>
    <w:pPr>
      <w:numPr>
        <w:ilvl w:val="4"/>
        <w:numId w:val="26"/>
      </w:numPr>
    </w:pPr>
  </w:style>
  <w:style w:type="paragraph" w:customStyle="1" w:styleId="Point3number">
    <w:name w:val="Point 3 (number)"/>
    <w:basedOn w:val="Normal"/>
    <w:pPr>
      <w:numPr>
        <w:ilvl w:val="6"/>
        <w:numId w:val="26"/>
      </w:numPr>
    </w:pPr>
  </w:style>
  <w:style w:type="paragraph" w:customStyle="1" w:styleId="Point0letter">
    <w:name w:val="Point 0 (letter)"/>
    <w:basedOn w:val="Normal"/>
    <w:pPr>
      <w:numPr>
        <w:ilvl w:val="1"/>
        <w:numId w:val="26"/>
      </w:numPr>
    </w:pPr>
  </w:style>
  <w:style w:type="paragraph" w:customStyle="1" w:styleId="Point1letter">
    <w:name w:val="Point 1 (letter)"/>
    <w:basedOn w:val="Normal"/>
    <w:pPr>
      <w:numPr>
        <w:ilvl w:val="3"/>
        <w:numId w:val="26"/>
      </w:numPr>
    </w:pPr>
  </w:style>
  <w:style w:type="paragraph" w:customStyle="1" w:styleId="Point2letter">
    <w:name w:val="Point 2 (letter)"/>
    <w:basedOn w:val="Normal"/>
    <w:pPr>
      <w:numPr>
        <w:ilvl w:val="5"/>
        <w:numId w:val="26"/>
      </w:numPr>
    </w:pPr>
  </w:style>
  <w:style w:type="paragraph" w:customStyle="1" w:styleId="Point3letter">
    <w:name w:val="Point 3 (letter)"/>
    <w:basedOn w:val="Normal"/>
    <w:pPr>
      <w:numPr>
        <w:ilvl w:val="7"/>
        <w:numId w:val="26"/>
      </w:numPr>
    </w:pPr>
  </w:style>
  <w:style w:type="paragraph" w:customStyle="1" w:styleId="Point4letter">
    <w:name w:val="Point 4 (letter)"/>
    <w:basedOn w:val="Normal"/>
    <w:pPr>
      <w:numPr>
        <w:ilvl w:val="8"/>
        <w:numId w:val="26"/>
      </w:numPr>
    </w:pPr>
  </w:style>
  <w:style w:type="paragraph" w:customStyle="1" w:styleId="Bullet0">
    <w:name w:val="Bullet 0"/>
    <w:basedOn w:val="Normal"/>
    <w:pPr>
      <w:numPr>
        <w:numId w:val="27"/>
      </w:numPr>
    </w:pPr>
  </w:style>
  <w:style w:type="paragraph" w:customStyle="1" w:styleId="Bullet1">
    <w:name w:val="Bullet 1"/>
    <w:basedOn w:val="Normal"/>
    <w:pPr>
      <w:numPr>
        <w:numId w:val="28"/>
      </w:numPr>
    </w:pPr>
  </w:style>
  <w:style w:type="paragraph" w:customStyle="1" w:styleId="Bullet2">
    <w:name w:val="Bullet 2"/>
    <w:basedOn w:val="Normal"/>
    <w:pPr>
      <w:numPr>
        <w:numId w:val="29"/>
      </w:numPr>
    </w:pPr>
  </w:style>
  <w:style w:type="paragraph" w:customStyle="1" w:styleId="Bullet3">
    <w:name w:val="Bullet 3"/>
    <w:basedOn w:val="Normal"/>
    <w:pPr>
      <w:numPr>
        <w:numId w:val="30"/>
      </w:numPr>
    </w:pPr>
  </w:style>
  <w:style w:type="paragraph" w:customStyle="1" w:styleId="Bullet4">
    <w:name w:val="Bullet 4"/>
    <w:basedOn w:val="Normal"/>
    <w:pPr>
      <w:numPr>
        <w:numId w:val="3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961979">
      <w:bodyDiv w:val="1"/>
      <w:marLeft w:val="0"/>
      <w:marRight w:val="0"/>
      <w:marTop w:val="0"/>
      <w:marBottom w:val="0"/>
      <w:divBdr>
        <w:top w:val="none" w:sz="0" w:space="0" w:color="auto"/>
        <w:left w:val="none" w:sz="0" w:space="0" w:color="auto"/>
        <w:bottom w:val="none" w:sz="0" w:space="0" w:color="auto"/>
        <w:right w:val="none" w:sz="0" w:space="0" w:color="auto"/>
      </w:divBdr>
    </w:div>
    <w:div w:id="573123183">
      <w:bodyDiv w:val="1"/>
      <w:marLeft w:val="0"/>
      <w:marRight w:val="0"/>
      <w:marTop w:val="0"/>
      <w:marBottom w:val="0"/>
      <w:divBdr>
        <w:top w:val="none" w:sz="0" w:space="0" w:color="auto"/>
        <w:left w:val="none" w:sz="0" w:space="0" w:color="auto"/>
        <w:bottom w:val="none" w:sz="0" w:space="0" w:color="auto"/>
        <w:right w:val="none" w:sz="0" w:space="0" w:color="auto"/>
      </w:divBdr>
    </w:div>
    <w:div w:id="1297024277">
      <w:bodyDiv w:val="1"/>
      <w:marLeft w:val="0"/>
      <w:marRight w:val="0"/>
      <w:marTop w:val="0"/>
      <w:marBottom w:val="0"/>
      <w:divBdr>
        <w:top w:val="none" w:sz="0" w:space="0" w:color="auto"/>
        <w:left w:val="none" w:sz="0" w:space="0" w:color="auto"/>
        <w:bottom w:val="none" w:sz="0" w:space="0" w:color="auto"/>
        <w:right w:val="none" w:sz="0" w:space="0" w:color="auto"/>
      </w:divBdr>
    </w:div>
    <w:div w:id="1542589701">
      <w:bodyDiv w:val="1"/>
      <w:marLeft w:val="0"/>
      <w:marRight w:val="0"/>
      <w:marTop w:val="0"/>
      <w:marBottom w:val="0"/>
      <w:divBdr>
        <w:top w:val="none" w:sz="0" w:space="0" w:color="auto"/>
        <w:left w:val="none" w:sz="0" w:space="0" w:color="auto"/>
        <w:bottom w:val="none" w:sz="0" w:space="0" w:color="auto"/>
        <w:right w:val="none" w:sz="0" w:space="0" w:color="auto"/>
      </w:divBdr>
    </w:div>
    <w:div w:id="1621492935">
      <w:bodyDiv w:val="1"/>
      <w:marLeft w:val="0"/>
      <w:marRight w:val="0"/>
      <w:marTop w:val="0"/>
      <w:marBottom w:val="0"/>
      <w:divBdr>
        <w:top w:val="none" w:sz="0" w:space="0" w:color="auto"/>
        <w:left w:val="none" w:sz="0" w:space="0" w:color="auto"/>
        <w:bottom w:val="none" w:sz="0" w:space="0" w:color="auto"/>
        <w:right w:val="none" w:sz="0" w:space="0" w:color="auto"/>
      </w:divBdr>
    </w:div>
    <w:div w:id="1916741002">
      <w:bodyDiv w:val="1"/>
      <w:marLeft w:val="0"/>
      <w:marRight w:val="0"/>
      <w:marTop w:val="0"/>
      <w:marBottom w:val="0"/>
      <w:divBdr>
        <w:top w:val="none" w:sz="0" w:space="0" w:color="auto"/>
        <w:left w:val="none" w:sz="0" w:space="0" w:color="auto"/>
        <w:bottom w:val="none" w:sz="0" w:space="0" w:color="auto"/>
        <w:right w:val="none" w:sz="0" w:space="0" w:color="auto"/>
      </w:divBdr>
    </w:div>
    <w:div w:id="200365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oter" Target="footer12.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footer" Target="footer10.xml"/><Relationship Id="rId35" Type="http://schemas.openxmlformats.org/officeDocument/2006/relationships/header" Target="header11.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DCD8FF8C72C8549836259561C51B016" ma:contentTypeVersion="6" ma:contentTypeDescription="Create a new document." ma:contentTypeScope="" ma:versionID="0a7a7b7323ec51367a3104ad09c77728">
  <xsd:schema xmlns:xsd="http://www.w3.org/2001/XMLSchema" xmlns:xs="http://www.w3.org/2001/XMLSchema" xmlns:p="http://schemas.microsoft.com/office/2006/metadata/properties" xmlns:ns3="f097a6c1-89d2-4bde-8298-f5f7615834d3" targetNamespace="http://schemas.microsoft.com/office/2006/metadata/properties" ma:root="true" ma:fieldsID="e5cdda77b0df180cbcd03b0f22749dc3" ns3:_="">
    <xsd:import namespace="f097a6c1-89d2-4bde-8298-f5f7615834d3"/>
    <xsd:element name="properties">
      <xsd:complexType>
        <xsd:sequence>
          <xsd:element name="documentManagement">
            <xsd:complexType>
              <xsd:all>
                <xsd:element ref="ns3:EC_Collab_Reference" minOccurs="0"/>
                <xsd:element ref="ns3:EC_Collab_DocumentLanguag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7a6c1-89d2-4bde-8298-f5f7615834d3"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f097a6c1-89d2-4bde-8298-f5f7615834d3">EN</EC_Collab_DocumentLanguage>
    <EC_Collab_Reference xmlns="f097a6c1-89d2-4bde-8298-f5f7615834d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E36D3-3E36-4A7A-99BA-31808414D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7a6c1-89d2-4bde-8298-f5f761583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0E1836-2B37-43A4-B71D-9B59A69B0DC8}">
  <ds:schemaRefs>
    <ds:schemaRef ds:uri="http://schemas.microsoft.com/sharepoint/v3/contenttype/forms"/>
  </ds:schemaRefs>
</ds:datastoreItem>
</file>

<file path=customXml/itemProps3.xml><?xml version="1.0" encoding="utf-8"?>
<ds:datastoreItem xmlns:ds="http://schemas.openxmlformats.org/officeDocument/2006/customXml" ds:itemID="{E697FB82-6646-43B8-86E7-79546DA913A5}">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f097a6c1-89d2-4bde-8298-f5f7615834d3"/>
    <ds:schemaRef ds:uri="http://www.w3.org/XML/1998/namespace"/>
  </ds:schemaRefs>
</ds:datastoreItem>
</file>

<file path=customXml/itemProps4.xml><?xml version="1.0" encoding="utf-8"?>
<ds:datastoreItem xmlns:ds="http://schemas.openxmlformats.org/officeDocument/2006/customXml" ds:itemID="{93970A0F-0285-411C-A059-30961DE88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7</TotalTime>
  <Pages>25</Pages>
  <Words>6705</Words>
  <Characters>37419</Characters>
  <Application>Microsoft Office Word</Application>
  <DocSecurity>0</DocSecurity>
  <Lines>1133</Lines>
  <Paragraphs>648</Paragraphs>
  <ScaleCrop>false</ScaleCrop>
  <HeadingPairs>
    <vt:vector size="2" baseType="variant">
      <vt:variant>
        <vt:lpstr>Title</vt:lpstr>
      </vt:variant>
      <vt:variant>
        <vt:i4>1</vt:i4>
      </vt:variant>
    </vt:vector>
  </HeadingPairs>
  <TitlesOfParts>
    <vt:vector size="1" baseType="lpstr">
      <vt:lpstr>Pre-ISC_First Amendment_Decision 1313</vt:lpstr>
    </vt:vector>
  </TitlesOfParts>
  <Manager/>
  <Company/>
  <LinksUpToDate>false</LinksUpToDate>
  <CharactersWithSpaces>43476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Pre-ISC_First Amendment_Decision 1313</dc:title>
  <dc:creator/>
  <cp:lastModifiedBy/>
  <cp:revision>18</cp:revision>
  <cp:lastPrinted>2019-02-05T11:26:00Z</cp:lastPrinted>
  <dcterms:created xsi:type="dcterms:W3CDTF">2019-03-05T14:01:00Z</dcterms:created>
  <dcterms:modified xsi:type="dcterms:W3CDTF">2019-03-06T07:54:00Z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SJ-025</vt:lpwstr>
  </property>
  <property fmtid="{D5CDD505-2E9C-101B-9397-08002B2CF9AE}" pid="10" name="ContentTypeId">
    <vt:lpwstr>0x010100258AA79CEB83498886A3A08681123250000DCD8FF8C72C8549836259561C51B016</vt:lpwstr>
  </property>
  <property fmtid="{D5CDD505-2E9C-101B-9397-08002B2CF9AE}" pid="11" name="DQCStatus">
    <vt:lpwstr>Green (DQC version 03)</vt:lpwstr>
  </property>
  <property name="OP_sanitized" fmtid="{D5CDD505-2E9C-101B-9397-08002B2CF9AE}" pid="12">
    <vt:lpwstr>True</vt:lpwstr>
  </property>
</Properties>
</file>