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E2FAC7C5-5AAC-4B1B-868C-20023A9CE168" style="width:450.35pt;height:307.7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pPr>
        <w:spacing w:after="0" w:line="240" w:lineRule="auto"/>
        <w:jc w:val="center"/>
        <w:rPr>
          <w:rFonts w:ascii="Times New Roman" w:hAnsi="Times New Roman"/>
          <w:b/>
          <w:noProof/>
          <w:sz w:val="24"/>
        </w:rPr>
      </w:pPr>
      <w:bookmarkStart w:id="1" w:name="_GoBack"/>
      <w:bookmarkEnd w:id="1"/>
      <w:r>
        <w:rPr>
          <w:rFonts w:ascii="Times New Roman" w:hAnsi="Times New Roman"/>
          <w:b/>
          <w:noProof/>
          <w:sz w:val="24"/>
        </w:rPr>
        <w:lastRenderedPageBreak/>
        <w:t>RELATÓRIO DA COMISSÃO AO PARLAMENTO EUROPEU E AO CONSELHO</w:t>
      </w:r>
    </w:p>
    <w:p>
      <w:pPr>
        <w:spacing w:after="0" w:line="240" w:lineRule="auto"/>
        <w:jc w:val="center"/>
        <w:rPr>
          <w:rFonts w:ascii="Times New Roman" w:hAnsi="Times New Roman"/>
          <w:b/>
          <w:noProof/>
          <w:sz w:val="24"/>
        </w:rPr>
      </w:pPr>
    </w:p>
    <w:p>
      <w:pPr>
        <w:spacing w:after="0" w:line="240" w:lineRule="auto"/>
        <w:jc w:val="center"/>
        <w:rPr>
          <w:rFonts w:ascii="Times New Roman" w:hAnsi="Times New Roman"/>
          <w:b/>
          <w:noProof/>
          <w:sz w:val="24"/>
        </w:rPr>
      </w:pPr>
      <w:r>
        <w:rPr>
          <w:rFonts w:ascii="Times New Roman" w:hAnsi="Times New Roman"/>
          <w:b/>
          <w:noProof/>
          <w:sz w:val="24"/>
        </w:rPr>
        <w:t>sobre a qualidade dos dados orçamentais comunicados pelos Estados</w:t>
      </w:r>
      <w:r>
        <w:rPr>
          <w:rFonts w:ascii="Times New Roman" w:hAnsi="Times New Roman"/>
          <w:b/>
          <w:noProof/>
          <w:sz w:val="24"/>
        </w:rPr>
        <w:noBreakHyphen/>
        <w:t>Membros em 2018</w:t>
      </w:r>
    </w:p>
    <w:p>
      <w:pPr>
        <w:spacing w:after="0" w:line="240" w:lineRule="auto"/>
        <w:jc w:val="center"/>
        <w:rPr>
          <w:rFonts w:ascii="Times New Roman" w:hAnsi="Times New Roman"/>
          <w:b/>
          <w:noProof/>
          <w:sz w:val="24"/>
        </w:rPr>
      </w:pPr>
    </w:p>
    <w:p>
      <w:pPr>
        <w:spacing w:before="120" w:after="240" w:line="240" w:lineRule="auto"/>
        <w:jc w:val="center"/>
        <w:rPr>
          <w:rFonts w:ascii="Times New Roman" w:eastAsia="Times New Roman" w:hAnsi="Times New Roman"/>
          <w:b/>
          <w:noProof/>
          <w:sz w:val="24"/>
          <w:szCs w:val="24"/>
        </w:rPr>
      </w:pPr>
      <w:r>
        <w:rPr>
          <w:rFonts w:ascii="Times New Roman" w:hAnsi="Times New Roman"/>
          <w:b/>
          <w:noProof/>
          <w:sz w:val="24"/>
        </w:rPr>
        <w:t>ÍNDICE</w:t>
      </w:r>
    </w:p>
    <w:p>
      <w:pPr>
        <w:spacing w:before="120" w:after="240" w:line="240" w:lineRule="auto"/>
        <w:jc w:val="center"/>
        <w:rPr>
          <w:rFonts w:ascii="Times New Roman" w:eastAsia="Times New Roman" w:hAnsi="Times New Roman"/>
          <w:b/>
          <w:noProof/>
          <w:sz w:val="28"/>
        </w:rPr>
      </w:pPr>
    </w:p>
    <w:bookmarkStart w:id="2" w:name="_Toc342558477"/>
    <w:p>
      <w:pPr>
        <w:pStyle w:val="TOC1"/>
        <w:tabs>
          <w:tab w:val="left" w:pos="440"/>
          <w:tab w:val="right" w:leader="dot" w:pos="9016"/>
        </w:tabs>
        <w:rPr>
          <w:rFonts w:asciiTheme="minorHAnsi" w:eastAsiaTheme="minorEastAsia" w:hAnsiTheme="minorHAnsi" w:cstheme="minorBidi"/>
          <w:noProof/>
          <w:lang w:val="en-GB" w:eastAsia="en-GB" w:bidi="ar-SA"/>
        </w:rPr>
      </w:pPr>
      <w:r>
        <w:rPr>
          <w:rFonts w:ascii="Times New Roman" w:eastAsia="Times New Roman" w:hAnsi="Times New Roman"/>
          <w:noProof/>
        </w:rPr>
        <w:fldChar w:fldCharType="begin"/>
      </w:r>
      <w:r>
        <w:rPr>
          <w:rFonts w:ascii="Times New Roman" w:eastAsia="Times New Roman" w:hAnsi="Times New Roman"/>
          <w:noProof/>
        </w:rPr>
        <w:instrText xml:space="preserve"> TOC \o "1-3" \h \z \u </w:instrText>
      </w:r>
      <w:r>
        <w:rPr>
          <w:rFonts w:ascii="Times New Roman" w:eastAsia="Times New Roman" w:hAnsi="Times New Roman"/>
          <w:noProof/>
        </w:rPr>
        <w:fldChar w:fldCharType="separate"/>
      </w:r>
      <w:hyperlink w:anchor="_Toc2935092" w:history="1">
        <w:r>
          <w:rPr>
            <w:rStyle w:val="Hyperlink"/>
            <w:rFonts w:ascii="Times New Roman" w:eastAsia="Times New Roman" w:hAnsi="Times New Roman"/>
            <w:b/>
            <w:bCs/>
            <w:smallCaps/>
            <w:noProof/>
          </w:rPr>
          <w:t>1.</w:t>
        </w:r>
        <w:r>
          <w:rPr>
            <w:rFonts w:asciiTheme="minorHAnsi" w:eastAsiaTheme="minorEastAsia" w:hAnsiTheme="minorHAnsi" w:cstheme="minorBidi"/>
            <w:noProof/>
            <w:lang w:val="en-GB" w:eastAsia="en-GB" w:bidi="ar-SA"/>
          </w:rPr>
          <w:tab/>
        </w:r>
        <w:r>
          <w:rPr>
            <w:rStyle w:val="Hyperlink"/>
            <w:rFonts w:ascii="Times New Roman" w:hAnsi="Times New Roman"/>
            <w:b/>
            <w:smallCaps/>
            <w:noProof/>
          </w:rPr>
          <w:t>Contexto</w:t>
        </w:r>
        <w:r>
          <w:rPr>
            <w:noProof/>
            <w:webHidden/>
          </w:rPr>
          <w:tab/>
        </w:r>
        <w:r>
          <w:rPr>
            <w:noProof/>
            <w:webHidden/>
          </w:rPr>
          <w:fldChar w:fldCharType="begin"/>
        </w:r>
        <w:r>
          <w:rPr>
            <w:noProof/>
            <w:webHidden/>
          </w:rPr>
          <w:instrText xml:space="preserve"> PAGEREF _Toc2935092 \h </w:instrText>
        </w:r>
        <w:r>
          <w:rPr>
            <w:noProof/>
            <w:webHidden/>
          </w:rPr>
        </w:r>
        <w:r>
          <w:rPr>
            <w:noProof/>
            <w:webHidden/>
          </w:rPr>
          <w:fldChar w:fldCharType="separate"/>
        </w:r>
        <w:r>
          <w:rPr>
            <w:noProof/>
            <w:webHidden/>
          </w:rPr>
          <w:t>2</w:t>
        </w:r>
        <w:r>
          <w:rPr>
            <w:noProof/>
            <w:webHidden/>
          </w:rPr>
          <w:fldChar w:fldCharType="end"/>
        </w:r>
      </w:hyperlink>
    </w:p>
    <w:p>
      <w:pPr>
        <w:pStyle w:val="TOC1"/>
        <w:tabs>
          <w:tab w:val="left" w:pos="440"/>
          <w:tab w:val="right" w:leader="dot" w:pos="9016"/>
        </w:tabs>
        <w:rPr>
          <w:rFonts w:asciiTheme="minorHAnsi" w:eastAsiaTheme="minorEastAsia" w:hAnsiTheme="minorHAnsi" w:cstheme="minorBidi"/>
          <w:noProof/>
          <w:lang w:val="en-GB" w:eastAsia="en-GB" w:bidi="ar-SA"/>
        </w:rPr>
      </w:pPr>
      <w:hyperlink w:anchor="_Toc2935093" w:history="1">
        <w:r>
          <w:rPr>
            <w:rStyle w:val="Hyperlink"/>
            <w:rFonts w:ascii="Times New Roman" w:eastAsia="Times New Roman" w:hAnsi="Times New Roman"/>
            <w:b/>
            <w:bCs/>
            <w:smallCaps/>
            <w:noProof/>
          </w:rPr>
          <w:t>2.</w:t>
        </w:r>
        <w:r>
          <w:rPr>
            <w:rFonts w:asciiTheme="minorHAnsi" w:eastAsiaTheme="minorEastAsia" w:hAnsiTheme="minorHAnsi" w:cstheme="minorBidi"/>
            <w:noProof/>
            <w:lang w:val="en-GB" w:eastAsia="en-GB" w:bidi="ar-SA"/>
          </w:rPr>
          <w:tab/>
        </w:r>
        <w:r>
          <w:rPr>
            <w:rStyle w:val="Hyperlink"/>
            <w:rFonts w:ascii="Times New Roman" w:hAnsi="Times New Roman"/>
            <w:b/>
            <w:smallCaps/>
            <w:noProof/>
          </w:rPr>
          <w:t>Principais conclusões sobre as notificações de 2018 dos níveis do défice orçamental e da dívida pública</w:t>
        </w:r>
        <w:r>
          <w:rPr>
            <w:noProof/>
            <w:webHidden/>
          </w:rPr>
          <w:tab/>
        </w:r>
        <w:r>
          <w:rPr>
            <w:noProof/>
            <w:webHidden/>
          </w:rPr>
          <w:fldChar w:fldCharType="begin"/>
        </w:r>
        <w:r>
          <w:rPr>
            <w:noProof/>
            <w:webHidden/>
          </w:rPr>
          <w:instrText xml:space="preserve"> PAGEREF _Toc2935093 \h </w:instrText>
        </w:r>
        <w:r>
          <w:rPr>
            <w:noProof/>
            <w:webHidden/>
          </w:rPr>
        </w:r>
        <w:r>
          <w:rPr>
            <w:noProof/>
            <w:webHidden/>
          </w:rPr>
          <w:fldChar w:fldCharType="separate"/>
        </w:r>
        <w:r>
          <w:rPr>
            <w:noProof/>
            <w:webHidden/>
          </w:rPr>
          <w:t>2</w:t>
        </w:r>
        <w:r>
          <w:rPr>
            <w:noProof/>
            <w:webHidden/>
          </w:rPr>
          <w:fldChar w:fldCharType="end"/>
        </w:r>
      </w:hyperlink>
    </w:p>
    <w:p>
      <w:pPr>
        <w:pStyle w:val="TOC2"/>
        <w:rPr>
          <w:rFonts w:asciiTheme="minorHAnsi" w:eastAsiaTheme="minorEastAsia" w:hAnsiTheme="minorHAnsi" w:cstheme="minorBidi"/>
          <w:lang w:val="en-GB" w:eastAsia="en-GB" w:bidi="ar-SA"/>
        </w:rPr>
      </w:pPr>
      <w:hyperlink w:anchor="_Toc2935094" w:history="1">
        <w:r>
          <w:rPr>
            <w:rStyle w:val="Hyperlink"/>
            <w:rFonts w:eastAsia="Times New Roman"/>
            <w:b/>
            <w:bCs/>
          </w:rPr>
          <w:t>2.1.</w:t>
        </w:r>
        <w:r>
          <w:rPr>
            <w:rFonts w:asciiTheme="minorHAnsi" w:eastAsiaTheme="minorEastAsia" w:hAnsiTheme="minorHAnsi" w:cstheme="minorBidi"/>
            <w:lang w:val="en-GB" w:eastAsia="en-GB" w:bidi="ar-SA"/>
          </w:rPr>
          <w:tab/>
        </w:r>
        <w:r>
          <w:rPr>
            <w:rStyle w:val="Hyperlink"/>
            <w:b/>
          </w:rPr>
          <w:t>Atualidade, fiabilidade e exaustividade</w:t>
        </w:r>
        <w:r>
          <w:rPr>
            <w:webHidden/>
          </w:rPr>
          <w:tab/>
        </w:r>
        <w:r>
          <w:rPr>
            <w:webHidden/>
          </w:rPr>
          <w:fldChar w:fldCharType="begin"/>
        </w:r>
        <w:r>
          <w:rPr>
            <w:webHidden/>
          </w:rPr>
          <w:instrText xml:space="preserve"> PAGEREF _Toc2935094 \h </w:instrText>
        </w:r>
        <w:r>
          <w:rPr>
            <w:webHidden/>
          </w:rPr>
        </w:r>
        <w:r>
          <w:rPr>
            <w:webHidden/>
          </w:rPr>
          <w:fldChar w:fldCharType="separate"/>
        </w:r>
        <w:r>
          <w:rPr>
            <w:webHidden/>
          </w:rPr>
          <w:t>2</w:t>
        </w:r>
        <w:r>
          <w:rPr>
            <w:webHidden/>
          </w:rPr>
          <w:fldChar w:fldCharType="end"/>
        </w:r>
      </w:hyperlink>
    </w:p>
    <w:p>
      <w:pPr>
        <w:pStyle w:val="TOC3"/>
        <w:tabs>
          <w:tab w:val="left" w:pos="1320"/>
          <w:tab w:val="right" w:leader="dot" w:pos="9016"/>
        </w:tabs>
        <w:rPr>
          <w:rFonts w:asciiTheme="minorHAnsi" w:eastAsiaTheme="minorEastAsia" w:hAnsiTheme="minorHAnsi" w:cstheme="minorBidi"/>
          <w:noProof/>
          <w:lang w:val="en-GB" w:eastAsia="en-GB" w:bidi="ar-SA"/>
        </w:rPr>
      </w:pPr>
      <w:hyperlink w:anchor="_Toc2935095" w:history="1">
        <w:r>
          <w:rPr>
            <w:rStyle w:val="Hyperlink"/>
            <w:rFonts w:ascii="Times New Roman" w:eastAsia="Times New Roman" w:hAnsi="Times New Roman"/>
            <w:b/>
            <w:bCs/>
            <w:i/>
            <w:noProof/>
          </w:rPr>
          <w:t>2.1.1.</w:t>
        </w:r>
        <w:r>
          <w:rPr>
            <w:rFonts w:asciiTheme="minorHAnsi" w:eastAsiaTheme="minorEastAsia" w:hAnsiTheme="minorHAnsi" w:cstheme="minorBidi"/>
            <w:noProof/>
            <w:lang w:val="en-GB" w:eastAsia="en-GB" w:bidi="ar-SA"/>
          </w:rPr>
          <w:tab/>
        </w:r>
        <w:r>
          <w:rPr>
            <w:rStyle w:val="Hyperlink"/>
            <w:rFonts w:ascii="Times New Roman" w:hAnsi="Times New Roman"/>
            <w:b/>
            <w:i/>
            <w:noProof/>
          </w:rPr>
          <w:t>Atualidade</w:t>
        </w:r>
        <w:r>
          <w:rPr>
            <w:noProof/>
            <w:webHidden/>
          </w:rPr>
          <w:tab/>
        </w:r>
        <w:r>
          <w:rPr>
            <w:noProof/>
            <w:webHidden/>
          </w:rPr>
          <w:fldChar w:fldCharType="begin"/>
        </w:r>
        <w:r>
          <w:rPr>
            <w:noProof/>
            <w:webHidden/>
          </w:rPr>
          <w:instrText xml:space="preserve"> PAGEREF _Toc2935095 \h </w:instrText>
        </w:r>
        <w:r>
          <w:rPr>
            <w:noProof/>
            <w:webHidden/>
          </w:rPr>
        </w:r>
        <w:r>
          <w:rPr>
            <w:noProof/>
            <w:webHidden/>
          </w:rPr>
          <w:fldChar w:fldCharType="separate"/>
        </w:r>
        <w:r>
          <w:rPr>
            <w:noProof/>
            <w:webHidden/>
          </w:rPr>
          <w:t>2</w:t>
        </w:r>
        <w:r>
          <w:rPr>
            <w:noProof/>
            <w:webHidden/>
          </w:rPr>
          <w:fldChar w:fldCharType="end"/>
        </w:r>
      </w:hyperlink>
    </w:p>
    <w:p>
      <w:pPr>
        <w:pStyle w:val="TOC3"/>
        <w:tabs>
          <w:tab w:val="left" w:pos="1320"/>
          <w:tab w:val="right" w:leader="dot" w:pos="9016"/>
        </w:tabs>
        <w:rPr>
          <w:rFonts w:asciiTheme="minorHAnsi" w:eastAsiaTheme="minorEastAsia" w:hAnsiTheme="minorHAnsi" w:cstheme="minorBidi"/>
          <w:noProof/>
          <w:lang w:val="en-GB" w:eastAsia="en-GB" w:bidi="ar-SA"/>
        </w:rPr>
      </w:pPr>
      <w:hyperlink w:anchor="_Toc2935096" w:history="1">
        <w:r>
          <w:rPr>
            <w:rStyle w:val="Hyperlink"/>
            <w:rFonts w:ascii="Times New Roman" w:eastAsia="Times New Roman" w:hAnsi="Times New Roman"/>
            <w:b/>
            <w:bCs/>
            <w:i/>
            <w:noProof/>
          </w:rPr>
          <w:t>2.1.2.</w:t>
        </w:r>
        <w:r>
          <w:rPr>
            <w:rFonts w:asciiTheme="minorHAnsi" w:eastAsiaTheme="minorEastAsia" w:hAnsiTheme="minorHAnsi" w:cstheme="minorBidi"/>
            <w:noProof/>
            <w:lang w:val="en-GB" w:eastAsia="en-GB" w:bidi="ar-SA"/>
          </w:rPr>
          <w:tab/>
        </w:r>
        <w:r>
          <w:rPr>
            <w:rStyle w:val="Hyperlink"/>
            <w:rFonts w:ascii="Times New Roman" w:hAnsi="Times New Roman"/>
            <w:b/>
            <w:i/>
            <w:noProof/>
          </w:rPr>
          <w:t>Fiabilidade</w:t>
        </w:r>
        <w:r>
          <w:rPr>
            <w:noProof/>
            <w:webHidden/>
          </w:rPr>
          <w:tab/>
        </w:r>
        <w:r>
          <w:rPr>
            <w:noProof/>
            <w:webHidden/>
          </w:rPr>
          <w:fldChar w:fldCharType="begin"/>
        </w:r>
        <w:r>
          <w:rPr>
            <w:noProof/>
            <w:webHidden/>
          </w:rPr>
          <w:instrText xml:space="preserve"> PAGEREF _Toc2935096 \h </w:instrText>
        </w:r>
        <w:r>
          <w:rPr>
            <w:noProof/>
            <w:webHidden/>
          </w:rPr>
        </w:r>
        <w:r>
          <w:rPr>
            <w:noProof/>
            <w:webHidden/>
          </w:rPr>
          <w:fldChar w:fldCharType="separate"/>
        </w:r>
        <w:r>
          <w:rPr>
            <w:noProof/>
            <w:webHidden/>
          </w:rPr>
          <w:t>3</w:t>
        </w:r>
        <w:r>
          <w:rPr>
            <w:noProof/>
            <w:webHidden/>
          </w:rPr>
          <w:fldChar w:fldCharType="end"/>
        </w:r>
      </w:hyperlink>
    </w:p>
    <w:p>
      <w:pPr>
        <w:pStyle w:val="TOC3"/>
        <w:tabs>
          <w:tab w:val="left" w:pos="1320"/>
          <w:tab w:val="right" w:leader="dot" w:pos="9016"/>
        </w:tabs>
        <w:rPr>
          <w:rFonts w:asciiTheme="minorHAnsi" w:eastAsiaTheme="minorEastAsia" w:hAnsiTheme="minorHAnsi" w:cstheme="minorBidi"/>
          <w:noProof/>
          <w:lang w:val="en-GB" w:eastAsia="en-GB" w:bidi="ar-SA"/>
        </w:rPr>
      </w:pPr>
      <w:hyperlink w:anchor="_Toc2935097" w:history="1">
        <w:r>
          <w:rPr>
            <w:rStyle w:val="Hyperlink"/>
            <w:rFonts w:ascii="Times New Roman" w:eastAsia="Times New Roman" w:hAnsi="Times New Roman"/>
            <w:b/>
            <w:bCs/>
            <w:i/>
            <w:noProof/>
          </w:rPr>
          <w:t>2.1.3.</w:t>
        </w:r>
        <w:r>
          <w:rPr>
            <w:rFonts w:asciiTheme="minorHAnsi" w:eastAsiaTheme="minorEastAsia" w:hAnsiTheme="minorHAnsi" w:cstheme="minorBidi"/>
            <w:noProof/>
            <w:lang w:val="en-GB" w:eastAsia="en-GB" w:bidi="ar-SA"/>
          </w:rPr>
          <w:tab/>
        </w:r>
        <w:r>
          <w:rPr>
            <w:rStyle w:val="Hyperlink"/>
            <w:rFonts w:ascii="Times New Roman" w:hAnsi="Times New Roman"/>
            <w:b/>
            <w:i/>
            <w:noProof/>
          </w:rPr>
          <w:t>Exaustividade dos quadros e da informação de apoio</w:t>
        </w:r>
        <w:r>
          <w:rPr>
            <w:noProof/>
            <w:webHidden/>
          </w:rPr>
          <w:tab/>
        </w:r>
        <w:r>
          <w:rPr>
            <w:noProof/>
            <w:webHidden/>
          </w:rPr>
          <w:fldChar w:fldCharType="begin"/>
        </w:r>
        <w:r>
          <w:rPr>
            <w:noProof/>
            <w:webHidden/>
          </w:rPr>
          <w:instrText xml:space="preserve"> PAGEREF _Toc2935097 \h </w:instrText>
        </w:r>
        <w:r>
          <w:rPr>
            <w:noProof/>
            <w:webHidden/>
          </w:rPr>
        </w:r>
        <w:r>
          <w:rPr>
            <w:noProof/>
            <w:webHidden/>
          </w:rPr>
          <w:fldChar w:fldCharType="separate"/>
        </w:r>
        <w:r>
          <w:rPr>
            <w:noProof/>
            <w:webHidden/>
          </w:rPr>
          <w:t>3</w:t>
        </w:r>
        <w:r>
          <w:rPr>
            <w:noProof/>
            <w:webHidden/>
          </w:rPr>
          <w:fldChar w:fldCharType="end"/>
        </w:r>
      </w:hyperlink>
    </w:p>
    <w:p>
      <w:pPr>
        <w:pStyle w:val="TOC3"/>
        <w:tabs>
          <w:tab w:val="left" w:pos="1320"/>
          <w:tab w:val="right" w:leader="dot" w:pos="9016"/>
        </w:tabs>
        <w:rPr>
          <w:rFonts w:asciiTheme="minorHAnsi" w:eastAsiaTheme="minorEastAsia" w:hAnsiTheme="minorHAnsi" w:cstheme="minorBidi"/>
          <w:noProof/>
          <w:lang w:val="en-GB" w:eastAsia="en-GB" w:bidi="ar-SA"/>
        </w:rPr>
      </w:pPr>
      <w:hyperlink w:anchor="_Toc2935098" w:history="1">
        <w:r>
          <w:rPr>
            <w:rStyle w:val="Hyperlink"/>
            <w:rFonts w:ascii="Times New Roman" w:eastAsia="Times New Roman" w:hAnsi="Times New Roman"/>
            <w:b/>
            <w:bCs/>
            <w:i/>
            <w:noProof/>
          </w:rPr>
          <w:t>2.1.4.</w:t>
        </w:r>
        <w:r>
          <w:rPr>
            <w:rFonts w:asciiTheme="minorHAnsi" w:eastAsiaTheme="minorEastAsia" w:hAnsiTheme="minorHAnsi" w:cstheme="minorBidi"/>
            <w:noProof/>
            <w:lang w:val="en-GB" w:eastAsia="en-GB" w:bidi="ar-SA"/>
          </w:rPr>
          <w:tab/>
        </w:r>
        <w:r>
          <w:rPr>
            <w:rStyle w:val="Hyperlink"/>
            <w:rFonts w:ascii="Times New Roman" w:hAnsi="Times New Roman"/>
            <w:b/>
            <w:i/>
            <w:noProof/>
          </w:rPr>
          <w:t>Quadro suplementar para a comunicação da intervenção do Estado para apoiar instituições financeiras</w:t>
        </w:r>
        <w:r>
          <w:rPr>
            <w:noProof/>
            <w:webHidden/>
          </w:rPr>
          <w:tab/>
        </w:r>
        <w:r>
          <w:rPr>
            <w:noProof/>
            <w:webHidden/>
          </w:rPr>
          <w:fldChar w:fldCharType="begin"/>
        </w:r>
        <w:r>
          <w:rPr>
            <w:noProof/>
            <w:webHidden/>
          </w:rPr>
          <w:instrText xml:space="preserve"> PAGEREF _Toc2935098 \h </w:instrText>
        </w:r>
        <w:r>
          <w:rPr>
            <w:noProof/>
            <w:webHidden/>
          </w:rPr>
        </w:r>
        <w:r>
          <w:rPr>
            <w:noProof/>
            <w:webHidden/>
          </w:rPr>
          <w:fldChar w:fldCharType="separate"/>
        </w:r>
        <w:r>
          <w:rPr>
            <w:noProof/>
            <w:webHidden/>
          </w:rPr>
          <w:t>5</w:t>
        </w:r>
        <w:r>
          <w:rPr>
            <w:noProof/>
            <w:webHidden/>
          </w:rPr>
          <w:fldChar w:fldCharType="end"/>
        </w:r>
      </w:hyperlink>
    </w:p>
    <w:p>
      <w:pPr>
        <w:pStyle w:val="TOC3"/>
        <w:tabs>
          <w:tab w:val="left" w:pos="1320"/>
          <w:tab w:val="right" w:leader="dot" w:pos="9016"/>
        </w:tabs>
        <w:rPr>
          <w:rFonts w:asciiTheme="minorHAnsi" w:eastAsiaTheme="minorEastAsia" w:hAnsiTheme="minorHAnsi" w:cstheme="minorBidi"/>
          <w:noProof/>
          <w:lang w:val="en-GB" w:eastAsia="en-GB" w:bidi="ar-SA"/>
        </w:rPr>
      </w:pPr>
      <w:hyperlink w:anchor="_Toc2935099" w:history="1">
        <w:r>
          <w:rPr>
            <w:rStyle w:val="Hyperlink"/>
            <w:rFonts w:ascii="Times New Roman" w:eastAsia="Times New Roman" w:hAnsi="Times New Roman"/>
            <w:b/>
            <w:bCs/>
            <w:i/>
            <w:noProof/>
          </w:rPr>
          <w:t>2.1.5.</w:t>
        </w:r>
        <w:r>
          <w:rPr>
            <w:rFonts w:asciiTheme="minorHAnsi" w:eastAsiaTheme="minorEastAsia" w:hAnsiTheme="minorHAnsi" w:cstheme="minorBidi"/>
            <w:noProof/>
            <w:lang w:val="en-GB" w:eastAsia="en-GB" w:bidi="ar-SA"/>
          </w:rPr>
          <w:tab/>
        </w:r>
        <w:r>
          <w:rPr>
            <w:rStyle w:val="Hyperlink"/>
            <w:rFonts w:ascii="Times New Roman" w:hAnsi="Times New Roman"/>
            <w:b/>
            <w:i/>
            <w:noProof/>
          </w:rPr>
          <w:t>Questionário sobre empréstimos intergovernamentais</w:t>
        </w:r>
        <w:r>
          <w:rPr>
            <w:noProof/>
            <w:webHidden/>
          </w:rPr>
          <w:tab/>
        </w:r>
        <w:r>
          <w:rPr>
            <w:noProof/>
            <w:webHidden/>
          </w:rPr>
          <w:fldChar w:fldCharType="begin"/>
        </w:r>
        <w:r>
          <w:rPr>
            <w:noProof/>
            <w:webHidden/>
          </w:rPr>
          <w:instrText xml:space="preserve"> PAGEREF _Toc2935099 \h </w:instrText>
        </w:r>
        <w:r>
          <w:rPr>
            <w:noProof/>
            <w:webHidden/>
          </w:rPr>
        </w:r>
        <w:r>
          <w:rPr>
            <w:noProof/>
            <w:webHidden/>
          </w:rPr>
          <w:fldChar w:fldCharType="separate"/>
        </w:r>
        <w:r>
          <w:rPr>
            <w:noProof/>
            <w:webHidden/>
          </w:rPr>
          <w:t>5</w:t>
        </w:r>
        <w:r>
          <w:rPr>
            <w:noProof/>
            <w:webHidden/>
          </w:rPr>
          <w:fldChar w:fldCharType="end"/>
        </w:r>
      </w:hyperlink>
    </w:p>
    <w:p>
      <w:pPr>
        <w:pStyle w:val="TOC2"/>
        <w:rPr>
          <w:rFonts w:asciiTheme="minorHAnsi" w:eastAsiaTheme="minorEastAsia" w:hAnsiTheme="minorHAnsi" w:cstheme="minorBidi"/>
          <w:lang w:val="en-GB" w:eastAsia="en-GB" w:bidi="ar-SA"/>
        </w:rPr>
      </w:pPr>
      <w:hyperlink w:anchor="_Toc2935100" w:history="1">
        <w:r>
          <w:rPr>
            <w:rStyle w:val="Hyperlink"/>
            <w:rFonts w:eastAsia="Times New Roman"/>
            <w:b/>
            <w:bCs/>
          </w:rPr>
          <w:t>2.2.</w:t>
        </w:r>
        <w:r>
          <w:rPr>
            <w:rFonts w:asciiTheme="minorHAnsi" w:eastAsiaTheme="minorEastAsia" w:hAnsiTheme="minorHAnsi" w:cstheme="minorBidi"/>
            <w:lang w:val="en-GB" w:eastAsia="en-GB" w:bidi="ar-SA"/>
          </w:rPr>
          <w:tab/>
        </w:r>
        <w:r>
          <w:rPr>
            <w:rStyle w:val="Hyperlink"/>
            <w:b/>
          </w:rPr>
          <w:t>Cumprimento das regras contabilísticas e coerência dos dados estatísticos</w:t>
        </w:r>
        <w:r>
          <w:rPr>
            <w:webHidden/>
          </w:rPr>
          <w:tab/>
        </w:r>
        <w:r>
          <w:rPr>
            <w:webHidden/>
          </w:rPr>
          <w:fldChar w:fldCharType="begin"/>
        </w:r>
        <w:r>
          <w:rPr>
            <w:webHidden/>
          </w:rPr>
          <w:instrText xml:space="preserve"> PAGEREF _Toc2935100 \h </w:instrText>
        </w:r>
        <w:r>
          <w:rPr>
            <w:webHidden/>
          </w:rPr>
        </w:r>
        <w:r>
          <w:rPr>
            <w:webHidden/>
          </w:rPr>
          <w:fldChar w:fldCharType="separate"/>
        </w:r>
        <w:r>
          <w:rPr>
            <w:webHidden/>
          </w:rPr>
          <w:t>6</w:t>
        </w:r>
        <w:r>
          <w:rPr>
            <w:webHidden/>
          </w:rPr>
          <w:fldChar w:fldCharType="end"/>
        </w:r>
      </w:hyperlink>
    </w:p>
    <w:p>
      <w:pPr>
        <w:pStyle w:val="TOC3"/>
        <w:tabs>
          <w:tab w:val="left" w:pos="1320"/>
          <w:tab w:val="right" w:leader="dot" w:pos="9016"/>
        </w:tabs>
        <w:rPr>
          <w:rFonts w:asciiTheme="minorHAnsi" w:eastAsiaTheme="minorEastAsia" w:hAnsiTheme="minorHAnsi" w:cstheme="minorBidi"/>
          <w:noProof/>
          <w:lang w:val="en-GB" w:eastAsia="en-GB" w:bidi="ar-SA"/>
        </w:rPr>
      </w:pPr>
      <w:hyperlink w:anchor="_Toc2935101" w:history="1">
        <w:r>
          <w:rPr>
            <w:rStyle w:val="Hyperlink"/>
            <w:rFonts w:ascii="Times New Roman" w:eastAsia="Times New Roman" w:hAnsi="Times New Roman"/>
            <w:b/>
            <w:bCs/>
            <w:i/>
            <w:noProof/>
          </w:rPr>
          <w:t>2.2.1.</w:t>
        </w:r>
        <w:r>
          <w:rPr>
            <w:rFonts w:asciiTheme="minorHAnsi" w:eastAsiaTheme="minorEastAsia" w:hAnsiTheme="minorHAnsi" w:cstheme="minorBidi"/>
            <w:noProof/>
            <w:lang w:val="en-GB" w:eastAsia="en-GB" w:bidi="ar-SA"/>
          </w:rPr>
          <w:tab/>
        </w:r>
        <w:r>
          <w:rPr>
            <w:rStyle w:val="Hyperlink"/>
            <w:rFonts w:ascii="Times New Roman" w:hAnsi="Times New Roman"/>
            <w:b/>
            <w:i/>
            <w:noProof/>
          </w:rPr>
          <w:t>Intercâmbio de informações e esclarecimentos</w:t>
        </w:r>
        <w:r>
          <w:rPr>
            <w:noProof/>
            <w:webHidden/>
          </w:rPr>
          <w:tab/>
        </w:r>
        <w:r>
          <w:rPr>
            <w:noProof/>
            <w:webHidden/>
          </w:rPr>
          <w:fldChar w:fldCharType="begin"/>
        </w:r>
        <w:r>
          <w:rPr>
            <w:noProof/>
            <w:webHidden/>
          </w:rPr>
          <w:instrText xml:space="preserve"> PAGEREF _Toc2935101 \h </w:instrText>
        </w:r>
        <w:r>
          <w:rPr>
            <w:noProof/>
            <w:webHidden/>
          </w:rPr>
        </w:r>
        <w:r>
          <w:rPr>
            <w:noProof/>
            <w:webHidden/>
          </w:rPr>
          <w:fldChar w:fldCharType="separate"/>
        </w:r>
        <w:r>
          <w:rPr>
            <w:noProof/>
            <w:webHidden/>
          </w:rPr>
          <w:t>6</w:t>
        </w:r>
        <w:r>
          <w:rPr>
            <w:noProof/>
            <w:webHidden/>
          </w:rPr>
          <w:fldChar w:fldCharType="end"/>
        </w:r>
      </w:hyperlink>
    </w:p>
    <w:p>
      <w:pPr>
        <w:pStyle w:val="TOC3"/>
        <w:tabs>
          <w:tab w:val="left" w:pos="1320"/>
          <w:tab w:val="right" w:leader="dot" w:pos="9016"/>
        </w:tabs>
        <w:rPr>
          <w:rFonts w:asciiTheme="minorHAnsi" w:eastAsiaTheme="minorEastAsia" w:hAnsiTheme="minorHAnsi" w:cstheme="minorBidi"/>
          <w:noProof/>
          <w:lang w:val="en-GB" w:eastAsia="en-GB" w:bidi="ar-SA"/>
        </w:rPr>
      </w:pPr>
      <w:hyperlink w:anchor="_Toc2935102" w:history="1">
        <w:r>
          <w:rPr>
            <w:rStyle w:val="Hyperlink"/>
            <w:rFonts w:ascii="Times New Roman" w:eastAsia="Times New Roman" w:hAnsi="Times New Roman"/>
            <w:b/>
            <w:bCs/>
            <w:i/>
            <w:noProof/>
          </w:rPr>
          <w:t>2.2.2.</w:t>
        </w:r>
        <w:r>
          <w:rPr>
            <w:rFonts w:asciiTheme="minorHAnsi" w:eastAsiaTheme="minorEastAsia" w:hAnsiTheme="minorHAnsi" w:cstheme="minorBidi"/>
            <w:noProof/>
            <w:lang w:val="en-GB" w:eastAsia="en-GB" w:bidi="ar-SA"/>
          </w:rPr>
          <w:tab/>
        </w:r>
        <w:r>
          <w:rPr>
            <w:rStyle w:val="Hyperlink"/>
            <w:rFonts w:ascii="Times New Roman" w:hAnsi="Times New Roman"/>
            <w:b/>
            <w:i/>
            <w:noProof/>
          </w:rPr>
          <w:t>Visitas de diálogo e visitas metodológicas</w:t>
        </w:r>
        <w:r>
          <w:rPr>
            <w:noProof/>
            <w:webHidden/>
          </w:rPr>
          <w:tab/>
        </w:r>
        <w:r>
          <w:rPr>
            <w:noProof/>
            <w:webHidden/>
          </w:rPr>
          <w:fldChar w:fldCharType="begin"/>
        </w:r>
        <w:r>
          <w:rPr>
            <w:noProof/>
            <w:webHidden/>
          </w:rPr>
          <w:instrText xml:space="preserve"> PAGEREF _Toc2935102 \h </w:instrText>
        </w:r>
        <w:r>
          <w:rPr>
            <w:noProof/>
            <w:webHidden/>
          </w:rPr>
        </w:r>
        <w:r>
          <w:rPr>
            <w:noProof/>
            <w:webHidden/>
          </w:rPr>
          <w:fldChar w:fldCharType="separate"/>
        </w:r>
        <w:r>
          <w:rPr>
            <w:noProof/>
            <w:webHidden/>
          </w:rPr>
          <w:t>6</w:t>
        </w:r>
        <w:r>
          <w:rPr>
            <w:noProof/>
            <w:webHidden/>
          </w:rPr>
          <w:fldChar w:fldCharType="end"/>
        </w:r>
      </w:hyperlink>
    </w:p>
    <w:p>
      <w:pPr>
        <w:pStyle w:val="TOC3"/>
        <w:tabs>
          <w:tab w:val="left" w:pos="1320"/>
          <w:tab w:val="right" w:leader="dot" w:pos="9016"/>
        </w:tabs>
        <w:rPr>
          <w:rFonts w:asciiTheme="minorHAnsi" w:eastAsiaTheme="minorEastAsia" w:hAnsiTheme="minorHAnsi" w:cstheme="minorBidi"/>
          <w:noProof/>
          <w:lang w:val="en-GB" w:eastAsia="en-GB" w:bidi="ar-SA"/>
        </w:rPr>
      </w:pPr>
      <w:hyperlink w:anchor="_Toc2935103" w:history="1">
        <w:r>
          <w:rPr>
            <w:rStyle w:val="Hyperlink"/>
            <w:rFonts w:ascii="Times New Roman" w:eastAsia="Times New Roman" w:hAnsi="Times New Roman"/>
            <w:b/>
            <w:bCs/>
            <w:i/>
            <w:noProof/>
          </w:rPr>
          <w:t>2.2.3.</w:t>
        </w:r>
        <w:r>
          <w:rPr>
            <w:rFonts w:asciiTheme="minorHAnsi" w:eastAsiaTheme="minorEastAsia" w:hAnsiTheme="minorHAnsi" w:cstheme="minorBidi"/>
            <w:noProof/>
            <w:lang w:val="en-GB" w:eastAsia="en-GB" w:bidi="ar-SA"/>
          </w:rPr>
          <w:tab/>
        </w:r>
        <w:r>
          <w:rPr>
            <w:rStyle w:val="Hyperlink"/>
            <w:rFonts w:ascii="Times New Roman" w:hAnsi="Times New Roman"/>
            <w:b/>
            <w:i/>
            <w:noProof/>
          </w:rPr>
          <w:t>Conselhos específicos do Eurostat</w:t>
        </w:r>
        <w:r>
          <w:rPr>
            <w:noProof/>
            <w:webHidden/>
          </w:rPr>
          <w:tab/>
        </w:r>
        <w:r>
          <w:rPr>
            <w:noProof/>
            <w:webHidden/>
          </w:rPr>
          <w:fldChar w:fldCharType="begin"/>
        </w:r>
        <w:r>
          <w:rPr>
            <w:noProof/>
            <w:webHidden/>
          </w:rPr>
          <w:instrText xml:space="preserve"> PAGEREF _Toc2935103 \h </w:instrText>
        </w:r>
        <w:r>
          <w:rPr>
            <w:noProof/>
            <w:webHidden/>
          </w:rPr>
        </w:r>
        <w:r>
          <w:rPr>
            <w:noProof/>
            <w:webHidden/>
          </w:rPr>
          <w:fldChar w:fldCharType="separate"/>
        </w:r>
        <w:r>
          <w:rPr>
            <w:noProof/>
            <w:webHidden/>
          </w:rPr>
          <w:t>7</w:t>
        </w:r>
        <w:r>
          <w:rPr>
            <w:noProof/>
            <w:webHidden/>
          </w:rPr>
          <w:fldChar w:fldCharType="end"/>
        </w:r>
      </w:hyperlink>
    </w:p>
    <w:p>
      <w:pPr>
        <w:pStyle w:val="TOC3"/>
        <w:tabs>
          <w:tab w:val="left" w:pos="1320"/>
          <w:tab w:val="right" w:leader="dot" w:pos="9016"/>
        </w:tabs>
        <w:rPr>
          <w:rFonts w:asciiTheme="minorHAnsi" w:eastAsiaTheme="minorEastAsia" w:hAnsiTheme="minorHAnsi" w:cstheme="minorBidi"/>
          <w:noProof/>
          <w:lang w:val="en-GB" w:eastAsia="en-GB" w:bidi="ar-SA"/>
        </w:rPr>
      </w:pPr>
      <w:hyperlink w:anchor="_Toc2935104" w:history="1">
        <w:r>
          <w:rPr>
            <w:rStyle w:val="Hyperlink"/>
            <w:rFonts w:ascii="Times New Roman" w:eastAsia="Times New Roman" w:hAnsi="Times New Roman"/>
            <w:b/>
            <w:bCs/>
            <w:i/>
            <w:noProof/>
          </w:rPr>
          <w:t>2.2.4.</w:t>
        </w:r>
        <w:r>
          <w:rPr>
            <w:rFonts w:asciiTheme="minorHAnsi" w:eastAsiaTheme="minorEastAsia" w:hAnsiTheme="minorHAnsi" w:cstheme="minorBidi"/>
            <w:noProof/>
            <w:lang w:val="en-GB" w:eastAsia="en-GB" w:bidi="ar-SA"/>
          </w:rPr>
          <w:tab/>
        </w:r>
        <w:r>
          <w:rPr>
            <w:rStyle w:val="Hyperlink"/>
            <w:rFonts w:ascii="Times New Roman" w:hAnsi="Times New Roman"/>
            <w:b/>
            <w:i/>
            <w:noProof/>
          </w:rPr>
          <w:t>Questões metodológicas recentes</w:t>
        </w:r>
        <w:r>
          <w:rPr>
            <w:noProof/>
            <w:webHidden/>
          </w:rPr>
          <w:tab/>
        </w:r>
        <w:r>
          <w:rPr>
            <w:noProof/>
            <w:webHidden/>
          </w:rPr>
          <w:fldChar w:fldCharType="begin"/>
        </w:r>
        <w:r>
          <w:rPr>
            <w:noProof/>
            <w:webHidden/>
          </w:rPr>
          <w:instrText xml:space="preserve"> PAGEREF _Toc2935104 \h </w:instrText>
        </w:r>
        <w:r>
          <w:rPr>
            <w:noProof/>
            <w:webHidden/>
          </w:rPr>
        </w:r>
        <w:r>
          <w:rPr>
            <w:noProof/>
            <w:webHidden/>
          </w:rPr>
          <w:fldChar w:fldCharType="separate"/>
        </w:r>
        <w:r>
          <w:rPr>
            <w:noProof/>
            <w:webHidden/>
          </w:rPr>
          <w:t>7</w:t>
        </w:r>
        <w:r>
          <w:rPr>
            <w:noProof/>
            <w:webHidden/>
          </w:rPr>
          <w:fldChar w:fldCharType="end"/>
        </w:r>
      </w:hyperlink>
    </w:p>
    <w:p>
      <w:pPr>
        <w:pStyle w:val="TOC3"/>
        <w:tabs>
          <w:tab w:val="left" w:pos="1320"/>
          <w:tab w:val="right" w:leader="dot" w:pos="9016"/>
        </w:tabs>
        <w:rPr>
          <w:rFonts w:asciiTheme="minorHAnsi" w:eastAsiaTheme="minorEastAsia" w:hAnsiTheme="minorHAnsi" w:cstheme="minorBidi"/>
          <w:noProof/>
          <w:lang w:val="en-GB" w:eastAsia="en-GB" w:bidi="ar-SA"/>
        </w:rPr>
      </w:pPr>
      <w:hyperlink w:anchor="_Toc2935105" w:history="1">
        <w:r>
          <w:rPr>
            <w:rStyle w:val="Hyperlink"/>
            <w:rFonts w:ascii="Times New Roman" w:eastAsia="Times New Roman" w:hAnsi="Times New Roman"/>
            <w:b/>
            <w:bCs/>
            <w:i/>
            <w:noProof/>
          </w:rPr>
          <w:t>2.2.5.</w:t>
        </w:r>
        <w:r>
          <w:rPr>
            <w:rFonts w:asciiTheme="minorHAnsi" w:eastAsiaTheme="minorEastAsia" w:hAnsiTheme="minorHAnsi" w:cstheme="minorBidi"/>
            <w:noProof/>
            <w:lang w:val="en-GB" w:eastAsia="en-GB" w:bidi="ar-SA"/>
          </w:rPr>
          <w:tab/>
        </w:r>
        <w:r>
          <w:rPr>
            <w:rStyle w:val="Hyperlink"/>
            <w:rFonts w:ascii="Times New Roman" w:hAnsi="Times New Roman"/>
            <w:b/>
            <w:i/>
            <w:noProof/>
          </w:rPr>
          <w:t>Coerência com as contas públicas subjacentes</w:t>
        </w:r>
        <w:r>
          <w:rPr>
            <w:noProof/>
            <w:webHidden/>
          </w:rPr>
          <w:tab/>
        </w:r>
        <w:r>
          <w:rPr>
            <w:noProof/>
            <w:webHidden/>
          </w:rPr>
          <w:fldChar w:fldCharType="begin"/>
        </w:r>
        <w:r>
          <w:rPr>
            <w:noProof/>
            <w:webHidden/>
          </w:rPr>
          <w:instrText xml:space="preserve"> PAGEREF _Toc2935105 \h </w:instrText>
        </w:r>
        <w:r>
          <w:rPr>
            <w:noProof/>
            <w:webHidden/>
          </w:rPr>
        </w:r>
        <w:r>
          <w:rPr>
            <w:noProof/>
            <w:webHidden/>
          </w:rPr>
          <w:fldChar w:fldCharType="separate"/>
        </w:r>
        <w:r>
          <w:rPr>
            <w:noProof/>
            <w:webHidden/>
          </w:rPr>
          <w:t>8</w:t>
        </w:r>
        <w:r>
          <w:rPr>
            <w:noProof/>
            <w:webHidden/>
          </w:rPr>
          <w:fldChar w:fldCharType="end"/>
        </w:r>
      </w:hyperlink>
    </w:p>
    <w:p>
      <w:pPr>
        <w:pStyle w:val="TOC2"/>
        <w:rPr>
          <w:rFonts w:asciiTheme="minorHAnsi" w:eastAsiaTheme="minorEastAsia" w:hAnsiTheme="minorHAnsi" w:cstheme="minorBidi"/>
          <w:lang w:val="en-GB" w:eastAsia="en-GB" w:bidi="ar-SA"/>
        </w:rPr>
      </w:pPr>
      <w:hyperlink w:anchor="_Toc2935106" w:history="1">
        <w:r>
          <w:rPr>
            <w:rStyle w:val="Hyperlink"/>
            <w:rFonts w:eastAsia="Times New Roman"/>
            <w:b/>
            <w:bCs/>
          </w:rPr>
          <w:t>2.3.</w:t>
        </w:r>
        <w:r>
          <w:rPr>
            <w:rFonts w:asciiTheme="minorHAnsi" w:eastAsiaTheme="minorEastAsia" w:hAnsiTheme="minorHAnsi" w:cstheme="minorBidi"/>
            <w:lang w:val="en-GB" w:eastAsia="en-GB" w:bidi="ar-SA"/>
          </w:rPr>
          <w:tab/>
        </w:r>
        <w:r>
          <w:rPr>
            <w:rStyle w:val="Hyperlink"/>
            <w:b/>
          </w:rPr>
          <w:t>Publicação</w:t>
        </w:r>
        <w:r>
          <w:rPr>
            <w:webHidden/>
          </w:rPr>
          <w:tab/>
        </w:r>
        <w:r>
          <w:rPr>
            <w:webHidden/>
          </w:rPr>
          <w:fldChar w:fldCharType="begin"/>
        </w:r>
        <w:r>
          <w:rPr>
            <w:webHidden/>
          </w:rPr>
          <w:instrText xml:space="preserve"> PAGEREF _Toc2935106 \h </w:instrText>
        </w:r>
        <w:r>
          <w:rPr>
            <w:webHidden/>
          </w:rPr>
        </w:r>
        <w:r>
          <w:rPr>
            <w:webHidden/>
          </w:rPr>
          <w:fldChar w:fldCharType="separate"/>
        </w:r>
        <w:r>
          <w:rPr>
            <w:webHidden/>
          </w:rPr>
          <w:t>9</w:t>
        </w:r>
        <w:r>
          <w:rPr>
            <w:webHidden/>
          </w:rPr>
          <w:fldChar w:fldCharType="end"/>
        </w:r>
      </w:hyperlink>
    </w:p>
    <w:p>
      <w:pPr>
        <w:pStyle w:val="TOC3"/>
        <w:tabs>
          <w:tab w:val="left" w:pos="1320"/>
          <w:tab w:val="right" w:leader="dot" w:pos="9016"/>
        </w:tabs>
        <w:rPr>
          <w:rFonts w:asciiTheme="minorHAnsi" w:eastAsiaTheme="minorEastAsia" w:hAnsiTheme="minorHAnsi" w:cstheme="minorBidi"/>
          <w:noProof/>
          <w:lang w:val="en-GB" w:eastAsia="en-GB" w:bidi="ar-SA"/>
        </w:rPr>
      </w:pPr>
      <w:hyperlink w:anchor="_Toc2935107" w:history="1">
        <w:r>
          <w:rPr>
            <w:rStyle w:val="Hyperlink"/>
            <w:rFonts w:ascii="Times New Roman" w:eastAsia="Times New Roman" w:hAnsi="Times New Roman"/>
            <w:b/>
            <w:bCs/>
            <w:i/>
            <w:noProof/>
          </w:rPr>
          <w:t>2.3.1.</w:t>
        </w:r>
        <w:r>
          <w:rPr>
            <w:rFonts w:asciiTheme="minorHAnsi" w:eastAsiaTheme="minorEastAsia" w:hAnsiTheme="minorHAnsi" w:cstheme="minorBidi"/>
            <w:noProof/>
            <w:lang w:val="en-GB" w:eastAsia="en-GB" w:bidi="ar-SA"/>
          </w:rPr>
          <w:tab/>
        </w:r>
        <w:r>
          <w:rPr>
            <w:rStyle w:val="Hyperlink"/>
            <w:rFonts w:ascii="Times New Roman" w:hAnsi="Times New Roman"/>
            <w:b/>
            <w:i/>
            <w:noProof/>
          </w:rPr>
          <w:t>Publicação dos valores nominais e dos quadros de notificação detalhados</w:t>
        </w:r>
        <w:r>
          <w:rPr>
            <w:noProof/>
            <w:webHidden/>
          </w:rPr>
          <w:tab/>
        </w:r>
        <w:r>
          <w:rPr>
            <w:noProof/>
            <w:webHidden/>
          </w:rPr>
          <w:fldChar w:fldCharType="begin"/>
        </w:r>
        <w:r>
          <w:rPr>
            <w:noProof/>
            <w:webHidden/>
          </w:rPr>
          <w:instrText xml:space="preserve"> PAGEREF _Toc2935107 \h </w:instrText>
        </w:r>
        <w:r>
          <w:rPr>
            <w:noProof/>
            <w:webHidden/>
          </w:rPr>
        </w:r>
        <w:r>
          <w:rPr>
            <w:noProof/>
            <w:webHidden/>
          </w:rPr>
          <w:fldChar w:fldCharType="separate"/>
        </w:r>
        <w:r>
          <w:rPr>
            <w:noProof/>
            <w:webHidden/>
          </w:rPr>
          <w:t>9</w:t>
        </w:r>
        <w:r>
          <w:rPr>
            <w:noProof/>
            <w:webHidden/>
          </w:rPr>
          <w:fldChar w:fldCharType="end"/>
        </w:r>
      </w:hyperlink>
    </w:p>
    <w:p>
      <w:pPr>
        <w:pStyle w:val="TOC3"/>
        <w:tabs>
          <w:tab w:val="left" w:pos="1320"/>
          <w:tab w:val="right" w:leader="dot" w:pos="9016"/>
        </w:tabs>
        <w:rPr>
          <w:rFonts w:asciiTheme="minorHAnsi" w:eastAsiaTheme="minorEastAsia" w:hAnsiTheme="minorHAnsi" w:cstheme="minorBidi"/>
          <w:noProof/>
          <w:lang w:val="en-GB" w:eastAsia="en-GB" w:bidi="ar-SA"/>
        </w:rPr>
      </w:pPr>
      <w:hyperlink w:anchor="_Toc2935108" w:history="1">
        <w:r>
          <w:rPr>
            <w:rStyle w:val="Hyperlink"/>
            <w:rFonts w:ascii="Times New Roman" w:eastAsia="Times New Roman" w:hAnsi="Times New Roman"/>
            <w:b/>
            <w:bCs/>
            <w:i/>
            <w:noProof/>
          </w:rPr>
          <w:t>2.3.2.</w:t>
        </w:r>
        <w:r>
          <w:rPr>
            <w:rFonts w:asciiTheme="minorHAnsi" w:eastAsiaTheme="minorEastAsia" w:hAnsiTheme="minorHAnsi" w:cstheme="minorBidi"/>
            <w:noProof/>
            <w:lang w:val="en-GB" w:eastAsia="en-GB" w:bidi="ar-SA"/>
          </w:rPr>
          <w:tab/>
        </w:r>
        <w:r>
          <w:rPr>
            <w:rStyle w:val="Hyperlink"/>
            <w:rFonts w:ascii="Times New Roman" w:hAnsi="Times New Roman"/>
            <w:b/>
            <w:i/>
            <w:noProof/>
          </w:rPr>
          <w:t>Reservas sobre a qualidade dos dados</w:t>
        </w:r>
        <w:r>
          <w:rPr>
            <w:noProof/>
            <w:webHidden/>
          </w:rPr>
          <w:tab/>
        </w:r>
        <w:r>
          <w:rPr>
            <w:noProof/>
            <w:webHidden/>
          </w:rPr>
          <w:fldChar w:fldCharType="begin"/>
        </w:r>
        <w:r>
          <w:rPr>
            <w:noProof/>
            <w:webHidden/>
          </w:rPr>
          <w:instrText xml:space="preserve"> PAGEREF _Toc2935108 \h </w:instrText>
        </w:r>
        <w:r>
          <w:rPr>
            <w:noProof/>
            <w:webHidden/>
          </w:rPr>
        </w:r>
        <w:r>
          <w:rPr>
            <w:noProof/>
            <w:webHidden/>
          </w:rPr>
          <w:fldChar w:fldCharType="separate"/>
        </w:r>
        <w:r>
          <w:rPr>
            <w:noProof/>
            <w:webHidden/>
          </w:rPr>
          <w:t>10</w:t>
        </w:r>
        <w:r>
          <w:rPr>
            <w:noProof/>
            <w:webHidden/>
          </w:rPr>
          <w:fldChar w:fldCharType="end"/>
        </w:r>
      </w:hyperlink>
    </w:p>
    <w:p>
      <w:pPr>
        <w:pStyle w:val="TOC3"/>
        <w:tabs>
          <w:tab w:val="left" w:pos="1320"/>
          <w:tab w:val="right" w:leader="dot" w:pos="9016"/>
        </w:tabs>
        <w:rPr>
          <w:rFonts w:asciiTheme="minorHAnsi" w:eastAsiaTheme="minorEastAsia" w:hAnsiTheme="minorHAnsi" w:cstheme="minorBidi"/>
          <w:noProof/>
          <w:lang w:val="en-GB" w:eastAsia="en-GB" w:bidi="ar-SA"/>
        </w:rPr>
      </w:pPr>
      <w:hyperlink w:anchor="_Toc2935109" w:history="1">
        <w:r>
          <w:rPr>
            <w:rStyle w:val="Hyperlink"/>
            <w:rFonts w:ascii="Times New Roman" w:eastAsia="Times New Roman" w:hAnsi="Times New Roman"/>
            <w:b/>
            <w:bCs/>
            <w:i/>
            <w:noProof/>
          </w:rPr>
          <w:t>2.3.3.</w:t>
        </w:r>
        <w:r>
          <w:rPr>
            <w:rFonts w:asciiTheme="minorHAnsi" w:eastAsiaTheme="minorEastAsia" w:hAnsiTheme="minorHAnsi" w:cstheme="minorBidi"/>
            <w:noProof/>
            <w:lang w:val="en-GB" w:eastAsia="en-GB" w:bidi="ar-SA"/>
          </w:rPr>
          <w:tab/>
        </w:r>
        <w:r>
          <w:rPr>
            <w:rStyle w:val="Hyperlink"/>
            <w:rFonts w:ascii="Times New Roman" w:hAnsi="Times New Roman"/>
            <w:b/>
            <w:i/>
            <w:noProof/>
          </w:rPr>
          <w:t>Alterações aos dados notificados</w:t>
        </w:r>
        <w:r>
          <w:rPr>
            <w:noProof/>
            <w:webHidden/>
          </w:rPr>
          <w:tab/>
        </w:r>
        <w:r>
          <w:rPr>
            <w:noProof/>
            <w:webHidden/>
          </w:rPr>
          <w:fldChar w:fldCharType="begin"/>
        </w:r>
        <w:r>
          <w:rPr>
            <w:noProof/>
            <w:webHidden/>
          </w:rPr>
          <w:instrText xml:space="preserve"> PAGEREF _Toc2935109 \h </w:instrText>
        </w:r>
        <w:r>
          <w:rPr>
            <w:noProof/>
            <w:webHidden/>
          </w:rPr>
        </w:r>
        <w:r>
          <w:rPr>
            <w:noProof/>
            <w:webHidden/>
          </w:rPr>
          <w:fldChar w:fldCharType="separate"/>
        </w:r>
        <w:r>
          <w:rPr>
            <w:noProof/>
            <w:webHidden/>
          </w:rPr>
          <w:t>10</w:t>
        </w:r>
        <w:r>
          <w:rPr>
            <w:noProof/>
            <w:webHidden/>
          </w:rPr>
          <w:fldChar w:fldCharType="end"/>
        </w:r>
      </w:hyperlink>
    </w:p>
    <w:p>
      <w:pPr>
        <w:pStyle w:val="TOC3"/>
        <w:tabs>
          <w:tab w:val="left" w:pos="1320"/>
          <w:tab w:val="right" w:leader="dot" w:pos="9016"/>
        </w:tabs>
        <w:rPr>
          <w:rFonts w:asciiTheme="minorHAnsi" w:eastAsiaTheme="minorEastAsia" w:hAnsiTheme="minorHAnsi" w:cstheme="minorBidi"/>
          <w:noProof/>
          <w:lang w:val="en-GB" w:eastAsia="en-GB" w:bidi="ar-SA"/>
        </w:rPr>
      </w:pPr>
      <w:hyperlink w:anchor="_Toc2935110" w:history="1">
        <w:r>
          <w:rPr>
            <w:rStyle w:val="Hyperlink"/>
            <w:rFonts w:ascii="Times New Roman" w:eastAsia="Times New Roman" w:hAnsi="Times New Roman"/>
            <w:b/>
            <w:bCs/>
            <w:i/>
            <w:noProof/>
          </w:rPr>
          <w:t>2.3.4.</w:t>
        </w:r>
        <w:r>
          <w:rPr>
            <w:rFonts w:asciiTheme="minorHAnsi" w:eastAsiaTheme="minorEastAsia" w:hAnsiTheme="minorHAnsi" w:cstheme="minorBidi"/>
            <w:noProof/>
            <w:lang w:val="en-GB" w:eastAsia="en-GB" w:bidi="ar-SA"/>
          </w:rPr>
          <w:tab/>
        </w:r>
        <w:r>
          <w:rPr>
            <w:rStyle w:val="Hyperlink"/>
            <w:rFonts w:ascii="Times New Roman" w:hAnsi="Times New Roman"/>
            <w:b/>
            <w:i/>
            <w:noProof/>
          </w:rPr>
          <w:t>Publicação de metainformação (inventários)</w:t>
        </w:r>
        <w:r>
          <w:rPr>
            <w:noProof/>
            <w:webHidden/>
          </w:rPr>
          <w:tab/>
        </w:r>
        <w:r>
          <w:rPr>
            <w:noProof/>
            <w:webHidden/>
          </w:rPr>
          <w:fldChar w:fldCharType="begin"/>
        </w:r>
        <w:r>
          <w:rPr>
            <w:noProof/>
            <w:webHidden/>
          </w:rPr>
          <w:instrText xml:space="preserve"> PAGEREF _Toc2935110 \h </w:instrText>
        </w:r>
        <w:r>
          <w:rPr>
            <w:noProof/>
            <w:webHidden/>
          </w:rPr>
        </w:r>
        <w:r>
          <w:rPr>
            <w:noProof/>
            <w:webHidden/>
          </w:rPr>
          <w:fldChar w:fldCharType="separate"/>
        </w:r>
        <w:r>
          <w:rPr>
            <w:noProof/>
            <w:webHidden/>
          </w:rPr>
          <w:t>10</w:t>
        </w:r>
        <w:r>
          <w:rPr>
            <w:noProof/>
            <w:webHidden/>
          </w:rPr>
          <w:fldChar w:fldCharType="end"/>
        </w:r>
      </w:hyperlink>
    </w:p>
    <w:p>
      <w:pPr>
        <w:pStyle w:val="TOC1"/>
        <w:tabs>
          <w:tab w:val="left" w:pos="440"/>
          <w:tab w:val="right" w:leader="dot" w:pos="9016"/>
        </w:tabs>
        <w:rPr>
          <w:rFonts w:asciiTheme="minorHAnsi" w:eastAsiaTheme="minorEastAsia" w:hAnsiTheme="minorHAnsi" w:cstheme="minorBidi"/>
          <w:noProof/>
          <w:lang w:val="en-GB" w:eastAsia="en-GB" w:bidi="ar-SA"/>
        </w:rPr>
      </w:pPr>
      <w:hyperlink w:anchor="_Toc2935111" w:history="1">
        <w:r>
          <w:rPr>
            <w:rStyle w:val="Hyperlink"/>
            <w:rFonts w:ascii="Times New Roman" w:eastAsia="Times New Roman" w:hAnsi="Times New Roman"/>
            <w:b/>
            <w:bCs/>
            <w:smallCaps/>
            <w:noProof/>
          </w:rPr>
          <w:t>3.</w:t>
        </w:r>
        <w:r>
          <w:rPr>
            <w:rFonts w:asciiTheme="minorHAnsi" w:eastAsiaTheme="minorEastAsia" w:hAnsiTheme="minorHAnsi" w:cstheme="minorBidi"/>
            <w:noProof/>
            <w:lang w:val="en-GB" w:eastAsia="en-GB" w:bidi="ar-SA"/>
          </w:rPr>
          <w:tab/>
        </w:r>
        <w:r>
          <w:rPr>
            <w:rStyle w:val="Hyperlink"/>
            <w:rFonts w:ascii="Times New Roman" w:hAnsi="Times New Roman"/>
            <w:b/>
            <w:smallCaps/>
            <w:noProof/>
          </w:rPr>
          <w:t>Conclusões</w:t>
        </w:r>
        <w:r>
          <w:rPr>
            <w:noProof/>
            <w:webHidden/>
          </w:rPr>
          <w:tab/>
        </w:r>
        <w:r>
          <w:rPr>
            <w:noProof/>
            <w:webHidden/>
          </w:rPr>
          <w:fldChar w:fldCharType="begin"/>
        </w:r>
        <w:r>
          <w:rPr>
            <w:noProof/>
            <w:webHidden/>
          </w:rPr>
          <w:instrText xml:space="preserve"> PAGEREF _Toc2935111 \h </w:instrText>
        </w:r>
        <w:r>
          <w:rPr>
            <w:noProof/>
            <w:webHidden/>
          </w:rPr>
        </w:r>
        <w:r>
          <w:rPr>
            <w:noProof/>
            <w:webHidden/>
          </w:rPr>
          <w:fldChar w:fldCharType="separate"/>
        </w:r>
        <w:r>
          <w:rPr>
            <w:noProof/>
            <w:webHidden/>
          </w:rPr>
          <w:t>10</w:t>
        </w:r>
        <w:r>
          <w:rPr>
            <w:noProof/>
            <w:webHidden/>
          </w:rPr>
          <w:fldChar w:fldCharType="end"/>
        </w:r>
      </w:hyperlink>
    </w:p>
    <w:p>
      <w:pPr>
        <w:pStyle w:val="TOC1"/>
        <w:tabs>
          <w:tab w:val="left" w:pos="440"/>
          <w:tab w:val="right" w:leader="dot" w:pos="9016"/>
        </w:tabs>
        <w:rPr>
          <w:rFonts w:asciiTheme="minorHAnsi" w:eastAsiaTheme="minorEastAsia" w:hAnsiTheme="minorHAnsi" w:cstheme="minorBidi"/>
          <w:noProof/>
        </w:rPr>
      </w:pPr>
      <w:r>
        <w:rPr>
          <w:rFonts w:ascii="Times New Roman" w:eastAsia="Times New Roman" w:hAnsi="Times New Roman"/>
          <w:noProof/>
        </w:rPr>
        <w:fldChar w:fldCharType="end"/>
      </w:r>
      <w:r>
        <w:rPr>
          <w:noProof/>
        </w:rPr>
        <w:br w:type="page"/>
      </w:r>
    </w:p>
    <w:p>
      <w:pPr>
        <w:keepNext/>
        <w:numPr>
          <w:ilvl w:val="0"/>
          <w:numId w:val="1"/>
        </w:numPr>
        <w:spacing w:before="360" w:after="120" w:line="240" w:lineRule="auto"/>
        <w:jc w:val="both"/>
        <w:outlineLvl w:val="0"/>
        <w:rPr>
          <w:rFonts w:ascii="Times New Roman" w:eastAsia="Times New Roman" w:hAnsi="Times New Roman"/>
          <w:b/>
          <w:bCs/>
          <w:smallCaps/>
          <w:noProof/>
          <w:sz w:val="24"/>
          <w:szCs w:val="28"/>
        </w:rPr>
      </w:pPr>
      <w:bookmarkStart w:id="3" w:name="_Toc442173625"/>
      <w:bookmarkStart w:id="4" w:name="_Toc442869381"/>
      <w:bookmarkStart w:id="5" w:name="_Toc1565621"/>
      <w:bookmarkStart w:id="6" w:name="_Toc2935092"/>
      <w:r>
        <w:rPr>
          <w:rFonts w:ascii="Times New Roman" w:hAnsi="Times New Roman"/>
          <w:b/>
          <w:smallCaps/>
          <w:noProof/>
          <w:sz w:val="24"/>
        </w:rPr>
        <w:t>Contexto</w:t>
      </w:r>
      <w:bookmarkEnd w:id="2"/>
      <w:bookmarkEnd w:id="3"/>
      <w:bookmarkEnd w:id="4"/>
      <w:bookmarkEnd w:id="5"/>
      <w:bookmarkEnd w:id="6"/>
    </w:p>
    <w:p>
      <w:pPr>
        <w:spacing w:before="120" w:after="120" w:line="240" w:lineRule="auto"/>
        <w:ind w:left="850"/>
        <w:jc w:val="both"/>
        <w:rPr>
          <w:rFonts w:ascii="Times New Roman" w:hAnsi="Times New Roman"/>
          <w:noProof/>
          <w:sz w:val="24"/>
        </w:rPr>
      </w:pPr>
      <w:r>
        <w:rPr>
          <w:rFonts w:ascii="Times New Roman" w:hAnsi="Times New Roman"/>
          <w:noProof/>
          <w:sz w:val="24"/>
        </w:rPr>
        <w:t>O artigo 8.º, n.º 3, do Regulamento (CE) n.º 479/2009 do Conselho relativo à aplicação do Protocolo sobre o procedimento relativo aos défices excessivos</w:t>
      </w:r>
      <w:r>
        <w:rPr>
          <w:rFonts w:ascii="Times New Roman" w:hAnsi="Times New Roman"/>
          <w:noProof/>
          <w:sz w:val="24"/>
          <w:vertAlign w:val="superscript"/>
        </w:rPr>
        <w:footnoteReference w:id="1"/>
      </w:r>
      <w:r>
        <w:rPr>
          <w:rFonts w:ascii="Times New Roman" w:hAnsi="Times New Roman"/>
          <w:noProof/>
          <w:sz w:val="24"/>
        </w:rPr>
        <w:t xml:space="preserve"> exige que a Comissão (Eurostat) dê conta regularmente ao Parlamento Europeu e ao Conselho da qualidade dos dados orçamentais efetivos</w:t>
      </w:r>
      <w:r>
        <w:rPr>
          <w:rStyle w:val="FootnoteReference"/>
          <w:rFonts w:ascii="Times New Roman" w:hAnsi="Times New Roman"/>
          <w:noProof/>
          <w:sz w:val="24"/>
        </w:rPr>
        <w:footnoteReference w:id="2"/>
      </w:r>
      <w:r>
        <w:rPr>
          <w:rFonts w:ascii="Times New Roman" w:hAnsi="Times New Roman"/>
          <w:noProof/>
          <w:sz w:val="24"/>
        </w:rPr>
        <w:t xml:space="preserve"> comunicados pelos Estados</w:t>
      </w:r>
      <w:r>
        <w:rPr>
          <w:rFonts w:ascii="Times New Roman" w:hAnsi="Times New Roman"/>
          <w:noProof/>
          <w:sz w:val="24"/>
        </w:rPr>
        <w:noBreakHyphen/>
        <w:t>Membros. O presente relatório anual faz uma avaliação global da atualidade, da fiabilidade, da exaustividade e da coerência dos dados e da sua conformidade com as regras contabilísticas. A Comissão aprovou o relatório anterior (sobre os dados de 2017) em 8 de março de 2018</w:t>
      </w:r>
      <w:r>
        <w:rPr>
          <w:rFonts w:ascii="Times New Roman" w:hAnsi="Times New Roman"/>
          <w:noProof/>
          <w:sz w:val="24"/>
          <w:vertAlign w:val="superscript"/>
        </w:rPr>
        <w:footnoteReference w:id="3"/>
      </w:r>
      <w:r>
        <w:rPr>
          <w:rFonts w:ascii="Times New Roman" w:hAnsi="Times New Roman"/>
          <w:noProof/>
          <w:sz w:val="24"/>
        </w:rPr>
        <w:t>.</w:t>
      </w:r>
    </w:p>
    <w:p>
      <w:pPr>
        <w:spacing w:before="120" w:after="120" w:line="240" w:lineRule="auto"/>
        <w:ind w:left="850"/>
        <w:jc w:val="both"/>
        <w:rPr>
          <w:rFonts w:ascii="Times New Roman" w:hAnsi="Times New Roman"/>
          <w:noProof/>
          <w:sz w:val="24"/>
        </w:rPr>
      </w:pPr>
      <w:r>
        <w:rPr>
          <w:rFonts w:ascii="Times New Roman" w:hAnsi="Times New Roman"/>
          <w:noProof/>
          <w:sz w:val="24"/>
        </w:rPr>
        <w:t>O Eurostat avalia regularmente a qualidade dos dados efetivos do procedimento relativo aos défices excessivos (PDE) comunicados pelos Estados</w:t>
      </w:r>
      <w:r>
        <w:rPr>
          <w:rFonts w:ascii="Times New Roman" w:hAnsi="Times New Roman"/>
          <w:noProof/>
          <w:sz w:val="24"/>
        </w:rPr>
        <w:noBreakHyphen/>
        <w:t>Membros e das contas do setor das administrações públicas em que estes se baseiam, em conformidade com o Regulamento (UE) n.º 549/2013</w:t>
      </w:r>
      <w:r>
        <w:rPr>
          <w:rFonts w:ascii="Times New Roman" w:hAnsi="Times New Roman"/>
          <w:noProof/>
          <w:sz w:val="24"/>
          <w:vertAlign w:val="superscript"/>
        </w:rPr>
        <w:footnoteReference w:id="4"/>
      </w:r>
      <w:r>
        <w:rPr>
          <w:rFonts w:ascii="Times New Roman" w:hAnsi="Times New Roman"/>
          <w:noProof/>
          <w:sz w:val="24"/>
        </w:rPr>
        <w:t xml:space="preserve"> (SEC 2010). A sua avaliação concentra</w:t>
      </w:r>
      <w:r>
        <w:rPr>
          <w:rFonts w:ascii="Times New Roman" w:hAnsi="Times New Roman"/>
          <w:noProof/>
          <w:sz w:val="24"/>
        </w:rPr>
        <w:noBreakHyphen/>
        <w:t>se nos fatores que explicam o excedente/défice do setor das administrações públicas (em percentagem do PIB) e as alterações no rácio da dívida das administrações públicas em relação ao PIB. Os Estados</w:t>
      </w:r>
      <w:r>
        <w:rPr>
          <w:rFonts w:ascii="Times New Roman" w:hAnsi="Times New Roman"/>
          <w:noProof/>
          <w:sz w:val="24"/>
        </w:rPr>
        <w:noBreakHyphen/>
        <w:t>Membros enviam as informações ao Eurostat duas vezes por ano nos «Quadros de notificação do PDE», no «Questionário relativo aos quadros de notificação do PDE», no «Quadro suplementar relativo às intervenções públicas para apoiar as instituições financeiras» e através de esclarecimentos bilaterais. O Eurostat mantém</w:t>
      </w:r>
      <w:r>
        <w:rPr>
          <w:rFonts w:ascii="Times New Roman" w:hAnsi="Times New Roman"/>
          <w:noProof/>
          <w:sz w:val="24"/>
        </w:rPr>
        <w:noBreakHyphen/>
        <w:t>se ainda em contacto com os Estados</w:t>
      </w:r>
      <w:r>
        <w:rPr>
          <w:rFonts w:ascii="Times New Roman" w:hAnsi="Times New Roman"/>
          <w:noProof/>
          <w:sz w:val="24"/>
        </w:rPr>
        <w:noBreakHyphen/>
        <w:t>Membros através da realização de visitas de diálogo regulares no âmbito do PDE.</w:t>
      </w:r>
    </w:p>
    <w:p>
      <w:pPr>
        <w:spacing w:before="120" w:after="120" w:line="240" w:lineRule="auto"/>
        <w:ind w:left="850"/>
        <w:jc w:val="both"/>
        <w:rPr>
          <w:rFonts w:ascii="Times New Roman" w:hAnsi="Times New Roman"/>
          <w:noProof/>
          <w:sz w:val="24"/>
        </w:rPr>
      </w:pPr>
      <w:r>
        <w:rPr>
          <w:rFonts w:ascii="Times New Roman" w:hAnsi="Times New Roman"/>
          <w:noProof/>
          <w:sz w:val="24"/>
        </w:rPr>
        <w:t>O presente relatório baseia</w:t>
      </w:r>
      <w:r>
        <w:rPr>
          <w:rFonts w:ascii="Times New Roman" w:hAnsi="Times New Roman"/>
          <w:noProof/>
          <w:sz w:val="24"/>
        </w:rPr>
        <w:noBreakHyphen/>
        <w:t>se nas principais conclusões e nos resultados da análise dos dados relativos ao PDE que foram comunicados pelos Estados</w:t>
      </w:r>
      <w:r>
        <w:rPr>
          <w:rFonts w:ascii="Times New Roman" w:hAnsi="Times New Roman"/>
          <w:noProof/>
          <w:sz w:val="24"/>
        </w:rPr>
        <w:noBreakHyphen/>
        <w:t>Membros em 2018. Concentra</w:t>
      </w:r>
      <w:r>
        <w:rPr>
          <w:rFonts w:ascii="Times New Roman" w:hAnsi="Times New Roman"/>
          <w:noProof/>
          <w:sz w:val="24"/>
        </w:rPr>
        <w:noBreakHyphen/>
        <w:t>se nos relatórios mais recentes, apresentados em outubro de 2018, comparando</w:t>
      </w:r>
      <w:r>
        <w:rPr>
          <w:rFonts w:ascii="Times New Roman" w:hAnsi="Times New Roman"/>
          <w:noProof/>
          <w:sz w:val="24"/>
        </w:rPr>
        <w:noBreakHyphen/>
        <w:t>os quando necessário com os dados enviados em abril de 2018 e em 2017.</w:t>
      </w:r>
    </w:p>
    <w:p>
      <w:pPr>
        <w:keepNext/>
        <w:numPr>
          <w:ilvl w:val="0"/>
          <w:numId w:val="1"/>
        </w:numPr>
        <w:spacing w:before="240" w:after="120" w:line="240" w:lineRule="auto"/>
        <w:ind w:left="851" w:hanging="851"/>
        <w:jc w:val="both"/>
        <w:outlineLvl w:val="0"/>
        <w:rPr>
          <w:rFonts w:ascii="Times New Roman" w:eastAsia="Times New Roman" w:hAnsi="Times New Roman"/>
          <w:b/>
          <w:bCs/>
          <w:smallCaps/>
          <w:noProof/>
          <w:sz w:val="24"/>
          <w:szCs w:val="28"/>
        </w:rPr>
      </w:pPr>
      <w:bookmarkStart w:id="7" w:name="_Toc342558478"/>
      <w:bookmarkStart w:id="8" w:name="_Toc442173626"/>
      <w:bookmarkStart w:id="9" w:name="_Toc442869382"/>
      <w:bookmarkStart w:id="10" w:name="_Toc1565622"/>
      <w:bookmarkStart w:id="11" w:name="_Toc2935093"/>
      <w:r>
        <w:rPr>
          <w:rFonts w:ascii="Times New Roman" w:hAnsi="Times New Roman"/>
          <w:b/>
          <w:smallCaps/>
          <w:noProof/>
          <w:sz w:val="24"/>
        </w:rPr>
        <w:t>Principais conclusões sobre as notificações de 2018 dos níveis do défice orçamental e da dívida pública</w:t>
      </w:r>
      <w:bookmarkEnd w:id="7"/>
      <w:bookmarkEnd w:id="8"/>
      <w:bookmarkEnd w:id="9"/>
      <w:bookmarkEnd w:id="10"/>
      <w:bookmarkEnd w:id="11"/>
    </w:p>
    <w:p>
      <w:pPr>
        <w:keepNext/>
        <w:numPr>
          <w:ilvl w:val="1"/>
          <w:numId w:val="1"/>
        </w:numPr>
        <w:spacing w:before="120" w:after="120" w:line="240" w:lineRule="auto"/>
        <w:jc w:val="both"/>
        <w:outlineLvl w:val="1"/>
        <w:rPr>
          <w:rFonts w:ascii="Times New Roman" w:eastAsia="Times New Roman" w:hAnsi="Times New Roman" w:cs="Times New Roman"/>
          <w:b/>
          <w:bCs/>
          <w:noProof/>
          <w:sz w:val="24"/>
          <w:szCs w:val="26"/>
        </w:rPr>
      </w:pPr>
      <w:bookmarkStart w:id="12" w:name="_Ref149561652"/>
      <w:bookmarkStart w:id="13" w:name="_Toc342558479"/>
      <w:bookmarkStart w:id="14" w:name="_Toc442173627"/>
      <w:bookmarkStart w:id="15" w:name="_Toc442869383"/>
      <w:bookmarkStart w:id="16" w:name="_Toc1565623"/>
      <w:bookmarkStart w:id="17" w:name="_Toc2935094"/>
      <w:r>
        <w:rPr>
          <w:rFonts w:ascii="Times New Roman" w:hAnsi="Times New Roman"/>
          <w:b/>
          <w:noProof/>
          <w:sz w:val="24"/>
        </w:rPr>
        <w:t>Atualidade</w:t>
      </w:r>
      <w:bookmarkEnd w:id="12"/>
      <w:r>
        <w:rPr>
          <w:rFonts w:ascii="Times New Roman" w:hAnsi="Times New Roman"/>
          <w:b/>
          <w:noProof/>
          <w:sz w:val="24"/>
        </w:rPr>
        <w:t>, fiabilidade e exaustividade</w:t>
      </w:r>
      <w:bookmarkEnd w:id="13"/>
      <w:bookmarkEnd w:id="14"/>
      <w:bookmarkEnd w:id="15"/>
      <w:bookmarkEnd w:id="16"/>
      <w:bookmarkEnd w:id="17"/>
    </w:p>
    <w:p>
      <w:pPr>
        <w:keepNext/>
        <w:numPr>
          <w:ilvl w:val="2"/>
          <w:numId w:val="1"/>
        </w:numPr>
        <w:spacing w:before="120" w:after="120" w:line="240" w:lineRule="auto"/>
        <w:jc w:val="both"/>
        <w:outlineLvl w:val="2"/>
        <w:rPr>
          <w:rFonts w:ascii="Times New Roman" w:eastAsia="Times New Roman" w:hAnsi="Times New Roman" w:cs="Times New Roman"/>
          <w:b/>
          <w:bCs/>
          <w:i/>
          <w:noProof/>
          <w:sz w:val="24"/>
        </w:rPr>
      </w:pPr>
      <w:bookmarkStart w:id="18" w:name="_Toc342558480"/>
      <w:bookmarkStart w:id="19" w:name="_Toc442173628"/>
      <w:bookmarkStart w:id="20" w:name="_Toc442869384"/>
      <w:bookmarkStart w:id="21" w:name="_Toc1565624"/>
      <w:bookmarkStart w:id="22" w:name="_Toc2935095"/>
      <w:r>
        <w:rPr>
          <w:rFonts w:ascii="Times New Roman" w:hAnsi="Times New Roman"/>
          <w:b/>
          <w:i/>
          <w:noProof/>
          <w:sz w:val="24"/>
        </w:rPr>
        <w:t>Atualidade</w:t>
      </w:r>
      <w:bookmarkEnd w:id="18"/>
      <w:bookmarkEnd w:id="19"/>
      <w:bookmarkEnd w:id="20"/>
      <w:bookmarkEnd w:id="21"/>
      <w:bookmarkEnd w:id="22"/>
    </w:p>
    <w:p>
      <w:pPr>
        <w:spacing w:before="120" w:after="120" w:line="240" w:lineRule="auto"/>
        <w:ind w:left="850"/>
        <w:jc w:val="both"/>
        <w:rPr>
          <w:rFonts w:ascii="Times New Roman" w:hAnsi="Times New Roman"/>
          <w:noProof/>
          <w:sz w:val="24"/>
        </w:rPr>
      </w:pPr>
      <w:r>
        <w:rPr>
          <w:rFonts w:ascii="Times New Roman" w:hAnsi="Times New Roman"/>
          <w:noProof/>
          <w:sz w:val="24"/>
        </w:rPr>
        <w:t>Os Estados</w:t>
      </w:r>
      <w:r>
        <w:rPr>
          <w:rFonts w:ascii="Times New Roman" w:hAnsi="Times New Roman"/>
          <w:noProof/>
          <w:sz w:val="24"/>
        </w:rPr>
        <w:noBreakHyphen/>
        <w:t>Membros devem comunicar ao Eurostat, duas vezes por ano, antes de 1 de abril e antes de 1 de outubro, os seus dados efetivos e programados no âmbito do PDE</w:t>
      </w:r>
      <w:r>
        <w:rPr>
          <w:rFonts w:ascii="Times New Roman" w:hAnsi="Times New Roman"/>
          <w:noProof/>
          <w:sz w:val="24"/>
          <w:vertAlign w:val="superscript"/>
        </w:rPr>
        <w:footnoteReference w:id="5"/>
      </w:r>
      <w:r>
        <w:rPr>
          <w:rFonts w:ascii="Times New Roman" w:hAnsi="Times New Roman"/>
          <w:noProof/>
          <w:sz w:val="24"/>
        </w:rPr>
        <w:t>. Em 2018, as notificações PDE abrangeram o período de 2014</w:t>
      </w:r>
      <w:r>
        <w:rPr>
          <w:rFonts w:ascii="Times New Roman" w:hAnsi="Times New Roman"/>
          <w:noProof/>
          <w:sz w:val="24"/>
        </w:rPr>
        <w:noBreakHyphen/>
        <w:t>2018. Os valores relativos a 2018 são os programados pelas autoridades nacionais, ao passo que os valores de 2014</w:t>
      </w:r>
      <w:r>
        <w:rPr>
          <w:rFonts w:ascii="Times New Roman" w:hAnsi="Times New Roman"/>
          <w:noProof/>
          <w:sz w:val="24"/>
        </w:rPr>
        <w:noBreakHyphen/>
        <w:t>2017 são dados efetivos</w:t>
      </w:r>
      <w:r>
        <w:rPr>
          <w:rFonts w:ascii="Times New Roman" w:hAnsi="Times New Roman"/>
          <w:noProof/>
          <w:sz w:val="24"/>
          <w:vertAlign w:val="superscript"/>
        </w:rPr>
        <w:footnoteReference w:id="6"/>
      </w:r>
      <w:r>
        <w:rPr>
          <w:rFonts w:ascii="Times New Roman" w:hAnsi="Times New Roman"/>
          <w:noProof/>
          <w:sz w:val="24"/>
        </w:rPr>
        <w:t>. Em conformidade com o artigo 8.º, n.º 1, do Regulamento (CE) n.º 479/2009, o Eurostat avalia os dados efetivos, mas não os dados programados.</w:t>
      </w:r>
    </w:p>
    <w:p>
      <w:pPr>
        <w:spacing w:before="120" w:after="120" w:line="240" w:lineRule="auto"/>
        <w:ind w:left="850"/>
        <w:jc w:val="both"/>
        <w:rPr>
          <w:rFonts w:ascii="Times New Roman" w:hAnsi="Times New Roman"/>
          <w:noProof/>
          <w:sz w:val="24"/>
        </w:rPr>
      </w:pPr>
      <w:r>
        <w:rPr>
          <w:rFonts w:ascii="Times New Roman" w:hAnsi="Times New Roman"/>
          <w:noProof/>
          <w:sz w:val="24"/>
        </w:rPr>
        <w:t>Todos os Estados</w:t>
      </w:r>
      <w:r>
        <w:rPr>
          <w:rFonts w:ascii="Times New Roman" w:hAnsi="Times New Roman"/>
          <w:noProof/>
          <w:sz w:val="24"/>
        </w:rPr>
        <w:noBreakHyphen/>
        <w:t>Membros cumpriram os prazos para ambas as notificações.</w:t>
      </w:r>
    </w:p>
    <w:p>
      <w:pPr>
        <w:keepNext/>
        <w:numPr>
          <w:ilvl w:val="2"/>
          <w:numId w:val="1"/>
        </w:numPr>
        <w:spacing w:before="120" w:after="120" w:line="240" w:lineRule="auto"/>
        <w:jc w:val="both"/>
        <w:outlineLvl w:val="2"/>
        <w:rPr>
          <w:rFonts w:ascii="Times New Roman" w:eastAsia="Times New Roman" w:hAnsi="Times New Roman" w:cs="Times New Roman"/>
          <w:b/>
          <w:bCs/>
          <w:i/>
          <w:noProof/>
          <w:sz w:val="24"/>
        </w:rPr>
      </w:pPr>
      <w:bookmarkStart w:id="23" w:name="_Toc342558481"/>
      <w:bookmarkStart w:id="24" w:name="_Toc442173629"/>
      <w:bookmarkStart w:id="25" w:name="_Toc442869385"/>
      <w:bookmarkStart w:id="26" w:name="_Toc1565625"/>
      <w:bookmarkStart w:id="27" w:name="_Toc2935096"/>
      <w:r>
        <w:rPr>
          <w:rFonts w:ascii="Times New Roman" w:hAnsi="Times New Roman"/>
          <w:b/>
          <w:i/>
          <w:noProof/>
          <w:sz w:val="24"/>
        </w:rPr>
        <w:t>Fiabilidade</w:t>
      </w:r>
      <w:bookmarkEnd w:id="23"/>
      <w:bookmarkEnd w:id="24"/>
      <w:bookmarkEnd w:id="25"/>
      <w:bookmarkEnd w:id="26"/>
      <w:bookmarkEnd w:id="27"/>
    </w:p>
    <w:p>
      <w:pPr>
        <w:spacing w:before="120" w:after="120" w:line="240" w:lineRule="auto"/>
        <w:ind w:left="850"/>
        <w:jc w:val="both"/>
        <w:rPr>
          <w:rFonts w:ascii="Times New Roman" w:hAnsi="Times New Roman"/>
          <w:noProof/>
          <w:sz w:val="24"/>
          <w:highlight w:val="yellow"/>
        </w:rPr>
      </w:pPr>
      <w:r>
        <w:rPr>
          <w:rFonts w:ascii="Times New Roman" w:hAnsi="Times New Roman"/>
          <w:noProof/>
          <w:sz w:val="24"/>
        </w:rPr>
        <w:t>As revisões realizadas entre as notificações relativas ao PDE de abril de 2018 e as de outubro de 2018 resultaram principalmente de atualizações dos dados de base (essencialmente saldos de tesouraria e dados fiscais) e alterações metodológicas, nomeadamente reclassificações de unidades ou de operações.</w:t>
      </w:r>
    </w:p>
    <w:p>
      <w:pPr>
        <w:spacing w:before="120" w:after="120" w:line="240" w:lineRule="auto"/>
        <w:ind w:left="850"/>
        <w:jc w:val="both"/>
        <w:rPr>
          <w:rFonts w:ascii="Times New Roman" w:hAnsi="Times New Roman" w:cs="Times New Roman"/>
          <w:noProof/>
          <w:sz w:val="24"/>
          <w:szCs w:val="24"/>
        </w:rPr>
      </w:pPr>
      <w:r>
        <w:rPr>
          <w:rFonts w:ascii="Times New Roman" w:hAnsi="Times New Roman"/>
          <w:noProof/>
          <w:sz w:val="24"/>
        </w:rPr>
        <w:t>No seguimento das revisões dos dados de 2017 realizadas entre as notificações de abril e de outubro de 2018, a situação orçamental excedentária/deficitária (em percentagem do PIB) de dez Estados</w:t>
      </w:r>
      <w:r>
        <w:rPr>
          <w:rFonts w:ascii="Times New Roman" w:hAnsi="Times New Roman"/>
          <w:noProof/>
          <w:sz w:val="24"/>
        </w:rPr>
        <w:noBreakHyphen/>
        <w:t>Membros melhorou e a de oito outros agravou</w:t>
      </w:r>
      <w:r>
        <w:rPr>
          <w:rFonts w:ascii="Times New Roman" w:hAnsi="Times New Roman"/>
          <w:noProof/>
          <w:sz w:val="24"/>
        </w:rPr>
        <w:noBreakHyphen/>
        <w:t>se. As revisões positivas mais importantes foram feitas pela Polónia, pela Eslováquia, pela Suécia (+0,3 p.p. cada) e pela Bulgária (+0,2 p.p.) e as revisões negativas mais importantes foram as de Malta (</w:t>
      </w:r>
      <w:r>
        <w:rPr>
          <w:rFonts w:ascii="Times New Roman" w:hAnsi="Times New Roman"/>
          <w:noProof/>
          <w:sz w:val="24"/>
        </w:rPr>
        <w:noBreakHyphen/>
        <w:t>0,4 p.p.), da Hungria e da Alemanha (</w:t>
      </w:r>
      <w:r>
        <w:rPr>
          <w:rFonts w:ascii="Times New Roman" w:hAnsi="Times New Roman"/>
          <w:noProof/>
          <w:sz w:val="24"/>
        </w:rPr>
        <w:noBreakHyphen/>
        <w:t>0,3 p.p. cada). As revisões em alta mais importantes da dívida de 2017 por razões que não a revisão do PIB foram efetuadas pela França (+1,7 p.p.), pela Bulgária (+0,8 p.p.), pelos Países Baixos e por Chipre (+0,5 p.p. cada), pela Bélgica (+0,4 p.p.) e por Malta (+0,3 p.p.), enquanto o nível da dívida da Dinamarca foi revisto em baixa (</w:t>
      </w:r>
      <w:r>
        <w:rPr>
          <w:rFonts w:ascii="Times New Roman" w:hAnsi="Times New Roman"/>
          <w:noProof/>
          <w:sz w:val="24"/>
        </w:rPr>
        <w:noBreakHyphen/>
        <w:t>0,3 p.p.).</w:t>
      </w:r>
    </w:p>
    <w:p>
      <w:pPr>
        <w:spacing w:before="120" w:after="120" w:line="240" w:lineRule="auto"/>
        <w:ind w:left="850"/>
        <w:jc w:val="both"/>
        <w:rPr>
          <w:rFonts w:ascii="Times New Roman" w:hAnsi="Times New Roman"/>
          <w:noProof/>
          <w:sz w:val="24"/>
        </w:rPr>
      </w:pPr>
      <w:r>
        <w:rPr>
          <w:rFonts w:ascii="Times New Roman" w:hAnsi="Times New Roman"/>
          <w:noProof/>
          <w:sz w:val="24"/>
        </w:rPr>
        <w:t>As revisões do PIB tiveram um impacto considerável no rácio da dívida de vários Estados</w:t>
      </w:r>
      <w:r>
        <w:rPr>
          <w:rFonts w:ascii="Times New Roman" w:hAnsi="Times New Roman"/>
          <w:noProof/>
          <w:sz w:val="24"/>
        </w:rPr>
        <w:noBreakHyphen/>
        <w:t>Membros. Em especial, foram registadas subidas do rácio da dívida decorrentes da revisão do PIB na Eslovénia, na Irlanda (+0,5 p.p. cada), na Suécia (+0,2 p.p.), na Eslováquia e na Chéquia (+0,1 p.p. cada) e descidas em 22 Estados</w:t>
      </w:r>
      <w:r>
        <w:rPr>
          <w:rFonts w:ascii="Times New Roman" w:hAnsi="Times New Roman"/>
          <w:noProof/>
          <w:sz w:val="24"/>
        </w:rPr>
        <w:noBreakHyphen/>
        <w:t>Membros, tendo os valores mais significativos sido registados na Grécia (</w:t>
      </w:r>
      <w:r>
        <w:rPr>
          <w:rFonts w:ascii="Times New Roman" w:hAnsi="Times New Roman"/>
          <w:noProof/>
          <w:sz w:val="24"/>
        </w:rPr>
        <w:noBreakHyphen/>
        <w:t>2,5 p.p.), em Chipre (</w:t>
      </w:r>
      <w:r>
        <w:rPr>
          <w:rFonts w:ascii="Times New Roman" w:hAnsi="Times New Roman"/>
          <w:noProof/>
          <w:sz w:val="24"/>
        </w:rPr>
        <w:noBreakHyphen/>
        <w:t>1,8 p.p.), em Portugal (</w:t>
      </w:r>
      <w:r>
        <w:rPr>
          <w:rFonts w:ascii="Times New Roman" w:hAnsi="Times New Roman"/>
          <w:noProof/>
          <w:sz w:val="24"/>
        </w:rPr>
        <w:noBreakHyphen/>
        <w:t>1,0 p.p.), em Itália e na Bulgária (</w:t>
      </w:r>
      <w:r>
        <w:rPr>
          <w:rFonts w:ascii="Times New Roman" w:hAnsi="Times New Roman"/>
          <w:noProof/>
          <w:sz w:val="24"/>
        </w:rPr>
        <w:noBreakHyphen/>
        <w:t xml:space="preserve">0,6 p.p. cada). </w:t>
      </w:r>
    </w:p>
    <w:p>
      <w:pPr>
        <w:keepNext/>
        <w:numPr>
          <w:ilvl w:val="2"/>
          <w:numId w:val="1"/>
        </w:numPr>
        <w:spacing w:before="120" w:after="120" w:line="240" w:lineRule="auto"/>
        <w:jc w:val="both"/>
        <w:outlineLvl w:val="2"/>
        <w:rPr>
          <w:rFonts w:ascii="Times New Roman" w:eastAsia="Times New Roman" w:hAnsi="Times New Roman" w:cs="Times New Roman"/>
          <w:b/>
          <w:bCs/>
          <w:i/>
          <w:noProof/>
          <w:sz w:val="24"/>
        </w:rPr>
      </w:pPr>
      <w:bookmarkStart w:id="28" w:name="_Toc342558482"/>
      <w:bookmarkStart w:id="29" w:name="_Toc442173630"/>
      <w:bookmarkStart w:id="30" w:name="_Toc442869386"/>
      <w:bookmarkStart w:id="31" w:name="_Toc1565626"/>
      <w:bookmarkStart w:id="32" w:name="_Toc2935097"/>
      <w:r>
        <w:rPr>
          <w:rFonts w:ascii="Times New Roman" w:hAnsi="Times New Roman"/>
          <w:b/>
          <w:i/>
          <w:noProof/>
          <w:sz w:val="24"/>
        </w:rPr>
        <w:t>Exaustividade dos quadros e da informação de apoio</w:t>
      </w:r>
      <w:bookmarkEnd w:id="28"/>
      <w:bookmarkEnd w:id="29"/>
      <w:bookmarkEnd w:id="30"/>
      <w:bookmarkEnd w:id="31"/>
      <w:bookmarkEnd w:id="32"/>
    </w:p>
    <w:p>
      <w:pPr>
        <w:spacing w:after="0" w:line="240" w:lineRule="auto"/>
        <w:ind w:left="850"/>
        <w:jc w:val="both"/>
        <w:rPr>
          <w:rFonts w:ascii="Times New Roman" w:hAnsi="Times New Roman"/>
          <w:i/>
          <w:noProof/>
          <w:sz w:val="24"/>
        </w:rPr>
      </w:pPr>
      <w:r>
        <w:rPr>
          <w:rFonts w:ascii="Times New Roman" w:hAnsi="Times New Roman"/>
          <w:noProof/>
          <w:sz w:val="24"/>
        </w:rPr>
        <w:t>O preenchimento dos quadros de notificação constitui uma obrigação legal e é essencial para que o Eurostat possa ajuizar corretamente da qualidade dos dados. O artigo 8.º, n.º 2, do Regulamento (CE) n.º 479/2009 exige que os Estados</w:t>
      </w:r>
      <w:r>
        <w:rPr>
          <w:rFonts w:ascii="Times New Roman" w:hAnsi="Times New Roman"/>
          <w:noProof/>
          <w:sz w:val="24"/>
        </w:rPr>
        <w:noBreakHyphen/>
        <w:t>Membros comuniquem ao Eurostat as informações estatísticas necessárias, estabelecendo que «</w:t>
      </w:r>
      <w:r>
        <w:rPr>
          <w:rFonts w:ascii="Times New Roman" w:hAnsi="Times New Roman"/>
          <w:i/>
          <w:noProof/>
          <w:sz w:val="24"/>
        </w:rPr>
        <w:t>Por “informações estatísticas” entende</w:t>
      </w:r>
      <w:r>
        <w:rPr>
          <w:rFonts w:ascii="Times New Roman" w:hAnsi="Times New Roman"/>
          <w:i/>
          <w:noProof/>
          <w:sz w:val="24"/>
        </w:rPr>
        <w:noBreakHyphen/>
        <w:t>se, nomeadamente:</w:t>
      </w:r>
    </w:p>
    <w:p>
      <w:pPr>
        <w:spacing w:after="0" w:line="240" w:lineRule="auto"/>
        <w:ind w:left="1701" w:hanging="425"/>
        <w:jc w:val="both"/>
        <w:rPr>
          <w:rFonts w:ascii="Times New Roman" w:hAnsi="Times New Roman"/>
          <w:i/>
          <w:noProof/>
          <w:sz w:val="24"/>
        </w:rPr>
      </w:pPr>
      <w:r>
        <w:rPr>
          <w:rFonts w:ascii="Times New Roman" w:hAnsi="Times New Roman"/>
          <w:i/>
          <w:noProof/>
          <w:sz w:val="24"/>
        </w:rPr>
        <w:t>a)</w:t>
      </w:r>
      <w:r>
        <w:rPr>
          <w:noProof/>
        </w:rPr>
        <w:tab/>
      </w:r>
      <w:r>
        <w:rPr>
          <w:rFonts w:ascii="Times New Roman" w:hAnsi="Times New Roman"/>
          <w:i/>
          <w:noProof/>
          <w:sz w:val="24"/>
        </w:rPr>
        <w:t>Dados das contas nacionais;</w:t>
      </w:r>
    </w:p>
    <w:p>
      <w:pPr>
        <w:spacing w:after="0" w:line="240" w:lineRule="auto"/>
        <w:ind w:left="1701" w:hanging="425"/>
        <w:jc w:val="both"/>
        <w:rPr>
          <w:rFonts w:ascii="Times New Roman" w:hAnsi="Times New Roman"/>
          <w:i/>
          <w:noProof/>
          <w:sz w:val="24"/>
        </w:rPr>
      </w:pPr>
      <w:r>
        <w:rPr>
          <w:rFonts w:ascii="Times New Roman" w:hAnsi="Times New Roman"/>
          <w:i/>
          <w:noProof/>
          <w:sz w:val="24"/>
        </w:rPr>
        <w:t>b)</w:t>
      </w:r>
      <w:r>
        <w:rPr>
          <w:noProof/>
        </w:rPr>
        <w:tab/>
      </w:r>
      <w:r>
        <w:rPr>
          <w:rFonts w:ascii="Times New Roman" w:hAnsi="Times New Roman"/>
          <w:i/>
          <w:noProof/>
          <w:sz w:val="24"/>
        </w:rPr>
        <w:t>Inventários;</w:t>
      </w:r>
    </w:p>
    <w:p>
      <w:pPr>
        <w:spacing w:after="0" w:line="240" w:lineRule="auto"/>
        <w:ind w:left="1701" w:hanging="425"/>
        <w:jc w:val="both"/>
        <w:rPr>
          <w:rFonts w:ascii="Times New Roman" w:hAnsi="Times New Roman"/>
          <w:i/>
          <w:noProof/>
          <w:sz w:val="24"/>
        </w:rPr>
      </w:pPr>
      <w:r>
        <w:rPr>
          <w:rFonts w:ascii="Times New Roman" w:hAnsi="Times New Roman"/>
          <w:i/>
          <w:noProof/>
          <w:sz w:val="24"/>
        </w:rPr>
        <w:t>c)</w:t>
      </w:r>
      <w:r>
        <w:rPr>
          <w:noProof/>
        </w:rPr>
        <w:tab/>
      </w:r>
      <w:r>
        <w:rPr>
          <w:rFonts w:ascii="Times New Roman" w:hAnsi="Times New Roman"/>
          <w:i/>
          <w:noProof/>
          <w:sz w:val="24"/>
        </w:rPr>
        <w:t>Quadros de notificação do PDE;</w:t>
      </w:r>
    </w:p>
    <w:p>
      <w:pPr>
        <w:spacing w:after="0" w:line="240" w:lineRule="auto"/>
        <w:ind w:left="1701" w:hanging="425"/>
        <w:jc w:val="both"/>
        <w:rPr>
          <w:rFonts w:ascii="Times New Roman" w:hAnsi="Times New Roman"/>
          <w:i/>
          <w:noProof/>
          <w:sz w:val="24"/>
        </w:rPr>
      </w:pPr>
      <w:r>
        <w:rPr>
          <w:rFonts w:ascii="Times New Roman" w:hAnsi="Times New Roman"/>
          <w:i/>
          <w:noProof/>
          <w:sz w:val="24"/>
        </w:rPr>
        <w:t>d)</w:t>
      </w:r>
      <w:r>
        <w:rPr>
          <w:noProof/>
        </w:rPr>
        <w:tab/>
      </w:r>
      <w:r>
        <w:rPr>
          <w:rFonts w:ascii="Times New Roman" w:hAnsi="Times New Roman"/>
          <w:i/>
          <w:noProof/>
          <w:sz w:val="24"/>
        </w:rPr>
        <w:t>Questionários e clarificações complementares relacionados com as notificações.»</w:t>
      </w:r>
    </w:p>
    <w:p>
      <w:pPr>
        <w:spacing w:before="120" w:after="120" w:line="240" w:lineRule="auto"/>
        <w:ind w:left="850"/>
        <w:jc w:val="both"/>
        <w:rPr>
          <w:rFonts w:ascii="Times New Roman" w:hAnsi="Times New Roman"/>
          <w:noProof/>
          <w:sz w:val="24"/>
        </w:rPr>
      </w:pPr>
      <w:r>
        <w:rPr>
          <w:rFonts w:ascii="Times New Roman" w:hAnsi="Times New Roman"/>
          <w:noProof/>
          <w:sz w:val="24"/>
        </w:rPr>
        <w:t>Existem quatro quadros principais para as notificações do PDE:</w:t>
      </w:r>
    </w:p>
    <w:p>
      <w:pPr>
        <w:numPr>
          <w:ilvl w:val="0"/>
          <w:numId w:val="2"/>
        </w:numPr>
        <w:tabs>
          <w:tab w:val="left" w:pos="1701"/>
        </w:tabs>
        <w:spacing w:before="120" w:after="120" w:line="240" w:lineRule="auto"/>
        <w:ind w:left="1701" w:hanging="425"/>
        <w:jc w:val="both"/>
        <w:rPr>
          <w:rFonts w:ascii="Times New Roman" w:hAnsi="Times New Roman"/>
          <w:noProof/>
          <w:sz w:val="24"/>
        </w:rPr>
      </w:pPr>
      <w:r>
        <w:rPr>
          <w:rFonts w:ascii="Times New Roman" w:hAnsi="Times New Roman"/>
          <w:noProof/>
          <w:sz w:val="24"/>
        </w:rPr>
        <w:t>O quadro 1 abrange a comunicação do défice/excedente e da dívida das administrações públicas e dos níveis da dívida (total</w:t>
      </w:r>
      <w:r>
        <w:rPr>
          <w:rFonts w:ascii="Times New Roman" w:hAnsi="Times New Roman"/>
          <w:noProof/>
          <w:sz w:val="24"/>
          <w:vertAlign w:val="superscript"/>
        </w:rPr>
        <w:footnoteReference w:id="7"/>
      </w:r>
      <w:r>
        <w:rPr>
          <w:rFonts w:ascii="Times New Roman" w:hAnsi="Times New Roman"/>
          <w:noProof/>
          <w:sz w:val="24"/>
        </w:rPr>
        <w:t xml:space="preserve"> e por categoria de instrumento financeiro). Apresenta igualmente o PIB a preços correntes de mercado e a despesa da administração pública em formação bruta de capital fixo e em juros.</w:t>
      </w:r>
    </w:p>
    <w:p>
      <w:pPr>
        <w:numPr>
          <w:ilvl w:val="0"/>
          <w:numId w:val="2"/>
        </w:numPr>
        <w:tabs>
          <w:tab w:val="left" w:pos="1701"/>
        </w:tabs>
        <w:spacing w:before="120" w:after="120" w:line="240" w:lineRule="auto"/>
        <w:ind w:left="1701" w:hanging="425"/>
        <w:jc w:val="both"/>
        <w:rPr>
          <w:rFonts w:ascii="Times New Roman" w:hAnsi="Times New Roman"/>
          <w:noProof/>
          <w:sz w:val="24"/>
        </w:rPr>
      </w:pPr>
      <w:r>
        <w:rPr>
          <w:rFonts w:ascii="Times New Roman" w:hAnsi="Times New Roman"/>
          <w:noProof/>
          <w:sz w:val="24"/>
        </w:rPr>
        <w:t>Os quadros 2A a 2D apresentam os dados que demonstram a transição entre as definições nacionais do saldo das administrações públicas (denominado «saldos de tesouraria» na metodologia das contas nacionais) e o excedente/défice de cada subsetor das administrações públicas (denominado «capacidade/necessidade líquida de financiamento» na metodologia das contas nacionais)</w:t>
      </w:r>
      <w:r>
        <w:rPr>
          <w:rFonts w:ascii="Times New Roman" w:hAnsi="Times New Roman"/>
          <w:noProof/>
          <w:sz w:val="24"/>
          <w:vertAlign w:val="superscript"/>
        </w:rPr>
        <w:footnoteReference w:id="8"/>
      </w:r>
      <w:r>
        <w:rPr>
          <w:rFonts w:ascii="Times New Roman" w:hAnsi="Times New Roman"/>
          <w:noProof/>
          <w:sz w:val="24"/>
        </w:rPr>
        <w:t>;</w:t>
      </w:r>
      <w:r>
        <w:rPr>
          <w:rFonts w:ascii="Times New Roman" w:hAnsi="Times New Roman"/>
          <w:noProof/>
          <w:sz w:val="24"/>
          <w:vertAlign w:val="superscript"/>
        </w:rPr>
        <w:t xml:space="preserve"> </w:t>
      </w:r>
    </w:p>
    <w:p>
      <w:pPr>
        <w:numPr>
          <w:ilvl w:val="0"/>
          <w:numId w:val="2"/>
        </w:numPr>
        <w:tabs>
          <w:tab w:val="left" w:pos="1701"/>
        </w:tabs>
        <w:spacing w:before="120" w:after="120" w:line="240" w:lineRule="auto"/>
        <w:ind w:left="1701" w:hanging="425"/>
        <w:jc w:val="both"/>
        <w:rPr>
          <w:rFonts w:ascii="Times New Roman" w:hAnsi="Times New Roman"/>
          <w:noProof/>
          <w:sz w:val="24"/>
        </w:rPr>
      </w:pPr>
      <w:r>
        <w:rPr>
          <w:rFonts w:ascii="Times New Roman" w:hAnsi="Times New Roman"/>
          <w:noProof/>
          <w:sz w:val="24"/>
        </w:rPr>
        <w:t xml:space="preserve">Os quadros 3A a 3D apresentam os dados que elucidam a contribuição do excedente/défice das administrações públicas e dos outros fatores relevantes para a variação do nível da dívida pública e da consolidação da dívida; e </w:t>
      </w:r>
    </w:p>
    <w:p>
      <w:pPr>
        <w:numPr>
          <w:ilvl w:val="0"/>
          <w:numId w:val="2"/>
        </w:numPr>
        <w:tabs>
          <w:tab w:val="left" w:pos="1701"/>
        </w:tabs>
        <w:spacing w:before="120" w:after="120" w:line="240" w:lineRule="auto"/>
        <w:ind w:left="1701" w:hanging="425"/>
        <w:jc w:val="both"/>
        <w:rPr>
          <w:rFonts w:ascii="Times New Roman" w:hAnsi="Times New Roman"/>
          <w:noProof/>
          <w:sz w:val="24"/>
        </w:rPr>
      </w:pPr>
      <w:r>
        <w:rPr>
          <w:rFonts w:ascii="Times New Roman" w:hAnsi="Times New Roman"/>
          <w:noProof/>
          <w:sz w:val="24"/>
        </w:rPr>
        <w:t>O quadro 4 inclui dados que, no essencial, se referem a créditos comerciais e adiantamentos</w:t>
      </w:r>
      <w:r>
        <w:rPr>
          <w:rFonts w:ascii="Times New Roman" w:hAnsi="Times New Roman"/>
          <w:noProof/>
          <w:sz w:val="24"/>
          <w:vertAlign w:val="superscript"/>
        </w:rPr>
        <w:footnoteReference w:id="9"/>
      </w:r>
      <w:r>
        <w:rPr>
          <w:rFonts w:ascii="Times New Roman" w:hAnsi="Times New Roman"/>
          <w:noProof/>
          <w:sz w:val="24"/>
        </w:rPr>
        <w:t xml:space="preserve">. </w:t>
      </w:r>
    </w:p>
    <w:p>
      <w:pPr>
        <w:tabs>
          <w:tab w:val="left" w:pos="1701"/>
        </w:tabs>
        <w:spacing w:before="120" w:after="120" w:line="240" w:lineRule="auto"/>
        <w:ind w:left="851"/>
        <w:jc w:val="both"/>
        <w:rPr>
          <w:rFonts w:ascii="Times New Roman" w:hAnsi="Times New Roman"/>
          <w:noProof/>
          <w:sz w:val="24"/>
        </w:rPr>
      </w:pPr>
      <w:r>
        <w:rPr>
          <w:rFonts w:ascii="Times New Roman" w:hAnsi="Times New Roman"/>
          <w:noProof/>
          <w:sz w:val="24"/>
        </w:rPr>
        <w:t>Em 2018, os quadros 1 e 2 do PDE abrangiam o período de 2014</w:t>
      </w:r>
      <w:r>
        <w:rPr>
          <w:rFonts w:ascii="Times New Roman" w:hAnsi="Times New Roman"/>
          <w:noProof/>
          <w:sz w:val="24"/>
        </w:rPr>
        <w:noBreakHyphen/>
        <w:t>2018</w:t>
      </w:r>
      <w:r>
        <w:rPr>
          <w:rFonts w:ascii="Times New Roman" w:hAnsi="Times New Roman"/>
          <w:noProof/>
          <w:sz w:val="24"/>
          <w:vertAlign w:val="superscript"/>
        </w:rPr>
        <w:footnoteReference w:id="10"/>
      </w:r>
      <w:r>
        <w:rPr>
          <w:rFonts w:ascii="Times New Roman" w:hAnsi="Times New Roman"/>
          <w:noProof/>
          <w:sz w:val="24"/>
        </w:rPr>
        <w:t>, enquanto os outros quadros diziam respeito ao período de 2014</w:t>
      </w:r>
      <w:r>
        <w:rPr>
          <w:rFonts w:ascii="Times New Roman" w:hAnsi="Times New Roman"/>
          <w:noProof/>
          <w:sz w:val="24"/>
        </w:rPr>
        <w:noBreakHyphen/>
        <w:t>2017.</w:t>
      </w:r>
    </w:p>
    <w:p>
      <w:pPr>
        <w:spacing w:before="120" w:after="120" w:line="240" w:lineRule="auto"/>
        <w:ind w:left="850"/>
        <w:jc w:val="both"/>
        <w:rPr>
          <w:rFonts w:ascii="Times New Roman" w:hAnsi="Times New Roman"/>
          <w:noProof/>
          <w:sz w:val="24"/>
        </w:rPr>
      </w:pPr>
      <w:r>
        <w:rPr>
          <w:rFonts w:ascii="Times New Roman" w:hAnsi="Times New Roman"/>
          <w:noProof/>
          <w:sz w:val="24"/>
        </w:rPr>
        <w:t>Todos os Estados</w:t>
      </w:r>
      <w:r>
        <w:rPr>
          <w:rFonts w:ascii="Times New Roman" w:hAnsi="Times New Roman"/>
          <w:noProof/>
          <w:sz w:val="24"/>
        </w:rPr>
        <w:noBreakHyphen/>
        <w:t>Membros forneceram ao Eurostat todos os quadros de notificação do PDE</w:t>
      </w:r>
      <w:r>
        <w:rPr>
          <w:rFonts w:ascii="Times New Roman" w:hAnsi="Times New Roman"/>
          <w:noProof/>
          <w:sz w:val="24"/>
          <w:vertAlign w:val="superscript"/>
        </w:rPr>
        <w:footnoteReference w:id="11"/>
      </w:r>
      <w:r>
        <w:rPr>
          <w:rFonts w:ascii="Times New Roman" w:hAnsi="Times New Roman"/>
          <w:noProof/>
          <w:sz w:val="24"/>
        </w:rPr>
        <w:t xml:space="preserve"> em abril e em outubro. Na notificação de outubro, todos os Estados</w:t>
      </w:r>
      <w:r>
        <w:rPr>
          <w:rFonts w:ascii="Times New Roman" w:hAnsi="Times New Roman"/>
          <w:noProof/>
          <w:sz w:val="24"/>
        </w:rPr>
        <w:noBreakHyphen/>
        <w:t>Membros preencheram na íntegra o quadro 1 e forneceram informações no quadro 2 sobre a relação entre os saldos de tesouraria e o excedente/défice para todos os subsetores. Alguns países (Alemanha, Áustria) não forneceram todos os elementos de transição solicitados no modelo e alguns (Alemanha, Itália, Países Baixos, Finlândia e Suécia) incluíram elementos de transição residuais.</w:t>
      </w:r>
    </w:p>
    <w:p>
      <w:pPr>
        <w:spacing w:before="120" w:after="120" w:line="240" w:lineRule="auto"/>
        <w:ind w:left="850"/>
        <w:jc w:val="both"/>
        <w:rPr>
          <w:rFonts w:ascii="Times New Roman" w:hAnsi="Times New Roman"/>
          <w:noProof/>
          <w:sz w:val="24"/>
        </w:rPr>
      </w:pPr>
      <w:r>
        <w:rPr>
          <w:rFonts w:ascii="Times New Roman" w:hAnsi="Times New Roman"/>
          <w:noProof/>
          <w:sz w:val="24"/>
        </w:rPr>
        <w:t>Alguns Estados</w:t>
      </w:r>
      <w:r>
        <w:rPr>
          <w:rFonts w:ascii="Times New Roman" w:hAnsi="Times New Roman"/>
          <w:noProof/>
          <w:sz w:val="24"/>
        </w:rPr>
        <w:noBreakHyphen/>
        <w:t>Membros não apresentaram todas as desagregações em todos os quadros 3 do PDE, em especial para a administração local.</w:t>
      </w:r>
    </w:p>
    <w:p>
      <w:pPr>
        <w:spacing w:before="120" w:after="120" w:line="240" w:lineRule="auto"/>
        <w:ind w:left="850"/>
        <w:jc w:val="both"/>
        <w:rPr>
          <w:rFonts w:ascii="Times New Roman" w:hAnsi="Times New Roman"/>
          <w:noProof/>
          <w:sz w:val="24"/>
        </w:rPr>
      </w:pPr>
      <w:r>
        <w:rPr>
          <w:rFonts w:ascii="Times New Roman" w:hAnsi="Times New Roman"/>
          <w:noProof/>
          <w:sz w:val="24"/>
        </w:rPr>
        <w:t>O montante de todos os créditos comerciais e adiantamentos das administrações públicas devia ser indicado no quadro 4 do PDE. No entanto, ainda nem todos os Estados</w:t>
      </w:r>
      <w:r>
        <w:rPr>
          <w:rFonts w:ascii="Times New Roman" w:hAnsi="Times New Roman"/>
          <w:noProof/>
          <w:sz w:val="24"/>
        </w:rPr>
        <w:noBreakHyphen/>
        <w:t>Membros apresentaram uma cobertura completa dos subsetores da administração pública e das rubricas que os compõem. Alguns Estados</w:t>
      </w:r>
      <w:r>
        <w:rPr>
          <w:rFonts w:ascii="Times New Roman" w:hAnsi="Times New Roman"/>
          <w:noProof/>
          <w:sz w:val="24"/>
        </w:rPr>
        <w:noBreakHyphen/>
        <w:t>Membros assinalaram os dados como provisórios ou como estimativas. Por conseguinte, os dados relativos à Bélgica, Bulgária, Alemanha, Irlanda, França, Itália, Chipre, Luxemburgo, Malta, Países Baixos, Polónia e Reino Unido poderão ser sujeitos a revisão em notificações futuras.</w:t>
      </w:r>
    </w:p>
    <w:p>
      <w:pPr>
        <w:spacing w:before="120" w:after="120" w:line="240" w:lineRule="auto"/>
        <w:ind w:left="850"/>
        <w:jc w:val="both"/>
        <w:rPr>
          <w:rFonts w:ascii="Times New Roman" w:hAnsi="Times New Roman"/>
          <w:noProof/>
          <w:sz w:val="24"/>
        </w:rPr>
      </w:pPr>
      <w:r>
        <w:rPr>
          <w:rFonts w:ascii="Times New Roman" w:hAnsi="Times New Roman"/>
          <w:noProof/>
          <w:sz w:val="24"/>
        </w:rPr>
        <w:t>Embora a exaustividade dos quadros do PDE possa ainda ser melhorada, os problemas que persistem deverão ter pouco impacto na qualidade dos dados.</w:t>
      </w:r>
    </w:p>
    <w:p>
      <w:pPr>
        <w:spacing w:before="120" w:after="120" w:line="240" w:lineRule="auto"/>
        <w:ind w:left="850"/>
        <w:jc w:val="both"/>
        <w:rPr>
          <w:rFonts w:ascii="Times New Roman" w:hAnsi="Times New Roman"/>
          <w:noProof/>
          <w:sz w:val="24"/>
        </w:rPr>
      </w:pPr>
      <w:r>
        <w:rPr>
          <w:rFonts w:ascii="Times New Roman" w:hAnsi="Times New Roman"/>
          <w:noProof/>
          <w:sz w:val="24"/>
        </w:rPr>
        <w:t>Todos os Estados</w:t>
      </w:r>
      <w:r>
        <w:rPr>
          <w:rFonts w:ascii="Times New Roman" w:hAnsi="Times New Roman"/>
          <w:noProof/>
          <w:sz w:val="24"/>
        </w:rPr>
        <w:noBreakHyphen/>
        <w:t>Membros enviaram respostas ao «Questionário relativo aos quadros de notificação do PDE»</w:t>
      </w:r>
      <w:r>
        <w:rPr>
          <w:rFonts w:ascii="Times New Roman" w:hAnsi="Times New Roman"/>
          <w:noProof/>
          <w:sz w:val="24"/>
          <w:vertAlign w:val="superscript"/>
        </w:rPr>
        <w:footnoteReference w:id="12"/>
      </w:r>
      <w:r>
        <w:rPr>
          <w:rFonts w:ascii="Times New Roman" w:hAnsi="Times New Roman"/>
          <w:noProof/>
          <w:sz w:val="24"/>
        </w:rPr>
        <w:t>. Embora a cobertura e a qualidade das respostas tenha continuado a melhorar, ainda são necessários progressos, já que alguns Estados</w:t>
      </w:r>
      <w:r>
        <w:rPr>
          <w:rFonts w:ascii="Times New Roman" w:hAnsi="Times New Roman"/>
          <w:noProof/>
          <w:sz w:val="24"/>
        </w:rPr>
        <w:noBreakHyphen/>
        <w:t>Membros não forneceram todos os dados solicitados. Foi o caso, nomeadamente dos dados sobre os créditos e as remissões da dívida pública, a repartição de outros débitos e créditos, o registo das garantias do Estado (principalmente para a cobertura do subsetor das administrações locais) e dos dados relativos a injeções de capital.</w:t>
      </w:r>
    </w:p>
    <w:p>
      <w:pPr>
        <w:keepNext/>
        <w:numPr>
          <w:ilvl w:val="2"/>
          <w:numId w:val="1"/>
        </w:numPr>
        <w:spacing w:before="120" w:after="120" w:line="240" w:lineRule="auto"/>
        <w:jc w:val="both"/>
        <w:outlineLvl w:val="2"/>
        <w:rPr>
          <w:rFonts w:ascii="Times New Roman" w:eastAsia="Times New Roman" w:hAnsi="Times New Roman" w:cs="Times New Roman"/>
          <w:b/>
          <w:bCs/>
          <w:i/>
          <w:noProof/>
          <w:sz w:val="24"/>
        </w:rPr>
      </w:pPr>
      <w:bookmarkStart w:id="33" w:name="_Toc342558483"/>
      <w:bookmarkStart w:id="34" w:name="_Toc442173631"/>
      <w:bookmarkStart w:id="35" w:name="_Toc442869387"/>
      <w:bookmarkStart w:id="36" w:name="_Toc1565627"/>
      <w:bookmarkStart w:id="37" w:name="_Toc2935098"/>
      <w:r>
        <w:rPr>
          <w:rFonts w:ascii="Times New Roman" w:hAnsi="Times New Roman"/>
          <w:b/>
          <w:i/>
          <w:noProof/>
          <w:sz w:val="24"/>
        </w:rPr>
        <w:t xml:space="preserve">Quadro suplementar para a comunicação da intervenção do Estado para apoiar </w:t>
      </w:r>
      <w:bookmarkEnd w:id="33"/>
      <w:bookmarkEnd w:id="34"/>
      <w:bookmarkEnd w:id="35"/>
      <w:r>
        <w:rPr>
          <w:rFonts w:ascii="Times New Roman" w:hAnsi="Times New Roman"/>
          <w:b/>
          <w:i/>
          <w:noProof/>
          <w:sz w:val="24"/>
        </w:rPr>
        <w:t>instituições financeiras</w:t>
      </w:r>
      <w:bookmarkEnd w:id="36"/>
      <w:bookmarkEnd w:id="37"/>
      <w:r>
        <w:rPr>
          <w:rFonts w:ascii="Times New Roman" w:hAnsi="Times New Roman"/>
          <w:b/>
          <w:i/>
          <w:noProof/>
          <w:sz w:val="24"/>
        </w:rPr>
        <w:t xml:space="preserve"> </w:t>
      </w:r>
    </w:p>
    <w:p>
      <w:pPr>
        <w:spacing w:before="120" w:after="120" w:line="240" w:lineRule="auto"/>
        <w:ind w:left="850"/>
        <w:jc w:val="both"/>
        <w:rPr>
          <w:rFonts w:ascii="Times New Roman" w:hAnsi="Times New Roman"/>
          <w:noProof/>
          <w:sz w:val="24"/>
        </w:rPr>
      </w:pPr>
      <w:r>
        <w:rPr>
          <w:rFonts w:ascii="Times New Roman" w:hAnsi="Times New Roman"/>
          <w:noProof/>
          <w:sz w:val="24"/>
        </w:rPr>
        <w:t>Desde 15 de julho de 2009, o Eurostat compilou um conjunto de dados suplementares sobre as intervenções do Estado para apoiar instituições financeiras. Os dados recolhidos em 2018 referem</w:t>
      </w:r>
      <w:r>
        <w:rPr>
          <w:rFonts w:ascii="Times New Roman" w:hAnsi="Times New Roman"/>
          <w:noProof/>
          <w:sz w:val="24"/>
        </w:rPr>
        <w:noBreakHyphen/>
        <w:t>se a 2007</w:t>
      </w:r>
      <w:r>
        <w:rPr>
          <w:rFonts w:ascii="Times New Roman" w:hAnsi="Times New Roman"/>
          <w:noProof/>
          <w:sz w:val="24"/>
        </w:rPr>
        <w:noBreakHyphen/>
        <w:t>2017. Todos os Estados</w:t>
      </w:r>
      <w:r>
        <w:rPr>
          <w:rFonts w:ascii="Times New Roman" w:hAnsi="Times New Roman"/>
          <w:noProof/>
          <w:sz w:val="24"/>
        </w:rPr>
        <w:noBreakHyphen/>
        <w:t>Membros, com exceção de cinco (Estónia, Malta, Polónia, Roménia e Eslováquia), comunicaram intervenções do Estado nesse período. Na Finlândia (em 2008) e na Chéquia (em 2013</w:t>
      </w:r>
      <w:r>
        <w:rPr>
          <w:rFonts w:ascii="Times New Roman" w:hAnsi="Times New Roman"/>
          <w:noProof/>
          <w:sz w:val="24"/>
        </w:rPr>
        <w:noBreakHyphen/>
        <w:t xml:space="preserve">2015), as únicas intervenções comunicadas disseram respeito a passivos contingentes. Em 2017, a maioria dos países registou um aumento limitado dos respetivos défices ou um impacto neutro da intervenção do Estado para apoiar instituições financeiras, com exceção de Portugal, Itália e Chipre, onde esse impacto foi maior. O maior impacto acumulado sobre a dívida pública no final de 2017 foi observado na Grécia, em Chipre e na Irlanda. </w:t>
      </w:r>
    </w:p>
    <w:p>
      <w:pPr>
        <w:spacing w:before="120" w:after="120" w:line="240" w:lineRule="auto"/>
        <w:ind w:left="850"/>
        <w:jc w:val="both"/>
        <w:rPr>
          <w:rFonts w:ascii="Times New Roman" w:hAnsi="Times New Roman"/>
          <w:noProof/>
          <w:sz w:val="24"/>
          <w:vertAlign w:val="superscript"/>
        </w:rPr>
      </w:pPr>
      <w:r>
        <w:rPr>
          <w:rFonts w:ascii="Times New Roman" w:hAnsi="Times New Roman"/>
          <w:noProof/>
          <w:sz w:val="24"/>
        </w:rPr>
        <w:t>Juntamente com o comunicado de imprensa relativo ao PDE, o Eurostat divulgou uma nota</w:t>
      </w:r>
      <w:r>
        <w:rPr>
          <w:rFonts w:ascii="Times New Roman" w:hAnsi="Times New Roman"/>
          <w:noProof/>
          <w:sz w:val="24"/>
          <w:vertAlign w:val="superscript"/>
        </w:rPr>
        <w:footnoteReference w:id="13"/>
      </w:r>
      <w:r>
        <w:rPr>
          <w:rFonts w:ascii="Times New Roman" w:hAnsi="Times New Roman"/>
          <w:noProof/>
          <w:sz w:val="24"/>
        </w:rPr>
        <w:t xml:space="preserve"> sobre as intervenções do Estado para apoiar instituições financeiras, com mais informações sobre o quadro suplementar e as conclusões relativas aos dados.</w:t>
      </w:r>
      <w:r>
        <w:rPr>
          <w:rFonts w:ascii="Times New Roman" w:hAnsi="Times New Roman"/>
          <w:noProof/>
          <w:sz w:val="24"/>
          <w:vertAlign w:val="superscript"/>
        </w:rPr>
        <w:t xml:space="preserve"> </w:t>
      </w:r>
    </w:p>
    <w:p>
      <w:pPr>
        <w:keepNext/>
        <w:numPr>
          <w:ilvl w:val="2"/>
          <w:numId w:val="1"/>
        </w:numPr>
        <w:spacing w:before="120" w:after="120" w:line="240" w:lineRule="auto"/>
        <w:jc w:val="both"/>
        <w:outlineLvl w:val="2"/>
        <w:rPr>
          <w:rFonts w:ascii="Times New Roman" w:eastAsia="Times New Roman" w:hAnsi="Times New Roman" w:cs="Times New Roman"/>
          <w:b/>
          <w:bCs/>
          <w:i/>
          <w:noProof/>
          <w:sz w:val="24"/>
        </w:rPr>
      </w:pPr>
      <w:bookmarkStart w:id="38" w:name="_Toc342558484"/>
      <w:bookmarkStart w:id="39" w:name="_Toc442173632"/>
      <w:bookmarkStart w:id="40" w:name="_Toc442869388"/>
      <w:bookmarkStart w:id="41" w:name="_Toc1565628"/>
      <w:bookmarkStart w:id="42" w:name="_Toc2935099"/>
      <w:r>
        <w:rPr>
          <w:rFonts w:ascii="Times New Roman" w:hAnsi="Times New Roman"/>
          <w:b/>
          <w:i/>
          <w:noProof/>
          <w:sz w:val="24"/>
        </w:rPr>
        <w:t>Questionário sobre empréstimos intergovernamentais</w:t>
      </w:r>
      <w:bookmarkEnd w:id="38"/>
      <w:bookmarkEnd w:id="39"/>
      <w:bookmarkEnd w:id="40"/>
      <w:bookmarkEnd w:id="41"/>
      <w:bookmarkEnd w:id="42"/>
    </w:p>
    <w:p>
      <w:pPr>
        <w:spacing w:before="120" w:after="120" w:line="240" w:lineRule="auto"/>
        <w:ind w:left="850"/>
        <w:jc w:val="both"/>
        <w:rPr>
          <w:rFonts w:ascii="Times New Roman" w:hAnsi="Times New Roman"/>
          <w:noProof/>
          <w:sz w:val="24"/>
        </w:rPr>
      </w:pPr>
      <w:r>
        <w:rPr>
          <w:rFonts w:ascii="Times New Roman" w:hAnsi="Times New Roman"/>
          <w:noProof/>
          <w:sz w:val="24"/>
        </w:rPr>
        <w:t>Os Estados</w:t>
      </w:r>
      <w:r>
        <w:rPr>
          <w:rFonts w:ascii="Times New Roman" w:hAnsi="Times New Roman"/>
          <w:noProof/>
          <w:sz w:val="24"/>
        </w:rPr>
        <w:noBreakHyphen/>
        <w:t>Membros comunicam dados sobre empréstimos intergovernamentais bilaterais, geralmente concedidos no contexto de programas de assistência financeira. Estes dados e informações complementares sobre o Fundo Europeu de Estabilidade Financeira também foram incluídos no comunicado de imprensa relativo ao PDE. Os dados referentes ao período de 2014</w:t>
      </w:r>
      <w:r>
        <w:rPr>
          <w:rFonts w:ascii="Times New Roman" w:hAnsi="Times New Roman"/>
          <w:noProof/>
          <w:sz w:val="24"/>
        </w:rPr>
        <w:noBreakHyphen/>
        <w:t>2017 dizem respeito essencialmente à concessão de empréstimos à Grécia, à Irlanda e a Portugal.</w:t>
      </w:r>
    </w:p>
    <w:p>
      <w:pPr>
        <w:spacing w:before="120" w:after="120" w:line="240" w:lineRule="auto"/>
        <w:ind w:left="850"/>
        <w:jc w:val="both"/>
        <w:rPr>
          <w:rFonts w:ascii="Times New Roman" w:hAnsi="Times New Roman"/>
          <w:noProof/>
          <w:sz w:val="24"/>
        </w:rPr>
      </w:pPr>
      <w:r>
        <w:rPr>
          <w:rFonts w:ascii="Times New Roman" w:hAnsi="Times New Roman"/>
          <w:noProof/>
          <w:sz w:val="24"/>
        </w:rPr>
        <w:t>Os empréstimos intergovernamentais bilaterais são deduzidos aquando do cálculo dos agregados da UE</w:t>
      </w:r>
      <w:r>
        <w:rPr>
          <w:rFonts w:ascii="Times New Roman" w:hAnsi="Times New Roman"/>
          <w:noProof/>
          <w:sz w:val="24"/>
        </w:rPr>
        <w:noBreakHyphen/>
        <w:t>28 e da área do euro no que se refere à dívida pública de Maastricht, uma vez que ambos os agregados são apresentados numa base consolidada.</w:t>
      </w:r>
    </w:p>
    <w:p>
      <w:pPr>
        <w:keepNext/>
        <w:numPr>
          <w:ilvl w:val="1"/>
          <w:numId w:val="1"/>
        </w:numPr>
        <w:spacing w:before="240" w:after="120" w:line="240" w:lineRule="auto"/>
        <w:ind w:left="851" w:hanging="851"/>
        <w:jc w:val="both"/>
        <w:outlineLvl w:val="1"/>
        <w:rPr>
          <w:rFonts w:ascii="Times New Roman" w:eastAsia="Times New Roman" w:hAnsi="Times New Roman" w:cs="Times New Roman"/>
          <w:b/>
          <w:bCs/>
          <w:noProof/>
          <w:sz w:val="24"/>
          <w:szCs w:val="26"/>
        </w:rPr>
      </w:pPr>
      <w:bookmarkStart w:id="43" w:name="_Toc342558485"/>
      <w:bookmarkStart w:id="44" w:name="_Toc442173633"/>
      <w:bookmarkStart w:id="45" w:name="_Toc442869389"/>
      <w:bookmarkStart w:id="46" w:name="_Toc1565629"/>
      <w:bookmarkStart w:id="47" w:name="_Toc2935100"/>
      <w:r>
        <w:rPr>
          <w:rFonts w:ascii="Times New Roman" w:hAnsi="Times New Roman"/>
          <w:b/>
          <w:noProof/>
          <w:sz w:val="24"/>
        </w:rPr>
        <w:t>Cumprimento das regras contabilísticas e coerência dos dados estatísticos</w:t>
      </w:r>
      <w:bookmarkEnd w:id="43"/>
      <w:bookmarkEnd w:id="44"/>
      <w:bookmarkEnd w:id="45"/>
      <w:bookmarkEnd w:id="46"/>
      <w:bookmarkEnd w:id="47"/>
    </w:p>
    <w:p>
      <w:pPr>
        <w:keepNext/>
        <w:numPr>
          <w:ilvl w:val="2"/>
          <w:numId w:val="1"/>
        </w:numPr>
        <w:spacing w:before="120" w:after="120" w:line="240" w:lineRule="auto"/>
        <w:jc w:val="both"/>
        <w:outlineLvl w:val="2"/>
        <w:rPr>
          <w:rFonts w:ascii="Times New Roman" w:eastAsia="Times New Roman" w:hAnsi="Times New Roman" w:cs="Times New Roman"/>
          <w:b/>
          <w:bCs/>
          <w:i/>
          <w:noProof/>
          <w:sz w:val="24"/>
        </w:rPr>
      </w:pPr>
      <w:bookmarkStart w:id="48" w:name="_Toc342558486"/>
      <w:bookmarkStart w:id="49" w:name="_Toc442173634"/>
      <w:bookmarkStart w:id="50" w:name="_Toc442869390"/>
      <w:bookmarkStart w:id="51" w:name="_Toc1565630"/>
      <w:bookmarkStart w:id="52" w:name="_Toc2935101"/>
      <w:r>
        <w:rPr>
          <w:rFonts w:ascii="Times New Roman" w:hAnsi="Times New Roman"/>
          <w:b/>
          <w:i/>
          <w:noProof/>
          <w:sz w:val="24"/>
        </w:rPr>
        <w:t>Intercâmbio de informações e esclarecimentos</w:t>
      </w:r>
      <w:bookmarkEnd w:id="48"/>
      <w:bookmarkEnd w:id="49"/>
      <w:bookmarkEnd w:id="50"/>
      <w:bookmarkEnd w:id="51"/>
      <w:bookmarkEnd w:id="52"/>
    </w:p>
    <w:p>
      <w:pPr>
        <w:spacing w:before="120" w:after="120" w:line="240" w:lineRule="auto"/>
        <w:ind w:left="850"/>
        <w:jc w:val="both"/>
        <w:rPr>
          <w:rFonts w:ascii="Times New Roman" w:hAnsi="Times New Roman"/>
          <w:noProof/>
          <w:sz w:val="24"/>
        </w:rPr>
      </w:pPr>
      <w:r>
        <w:rPr>
          <w:rFonts w:ascii="Times New Roman" w:hAnsi="Times New Roman"/>
          <w:noProof/>
          <w:sz w:val="24"/>
        </w:rPr>
        <w:t>No período de notificação de três semanas entre o termo do prazo de comunicação dos dados da primavera/outono e a respetiva publicação, o Eurostat contactou todas as autoridades estatísticas nacionais, a fim de obter informações complementares e esclarecer a aplicação das regras contabilísticas a certas operações específicas. Este processo envolveu várias trocas de correspondência.</w:t>
      </w:r>
    </w:p>
    <w:p>
      <w:pPr>
        <w:spacing w:before="120" w:after="120" w:line="240" w:lineRule="auto"/>
        <w:ind w:left="850"/>
        <w:jc w:val="both"/>
        <w:rPr>
          <w:rFonts w:ascii="Times New Roman" w:hAnsi="Times New Roman"/>
          <w:noProof/>
          <w:sz w:val="24"/>
        </w:rPr>
      </w:pPr>
      <w:r>
        <w:rPr>
          <w:rFonts w:ascii="Times New Roman" w:hAnsi="Times New Roman"/>
          <w:noProof/>
          <w:sz w:val="24"/>
        </w:rPr>
        <w:t>No período de referência do outono de 2018, foi enviada até 5 de outubro uma primeira série de pedidos de esclarecimento a todos os Estados</w:t>
      </w:r>
      <w:r>
        <w:rPr>
          <w:rFonts w:ascii="Times New Roman" w:hAnsi="Times New Roman"/>
          <w:noProof/>
          <w:sz w:val="24"/>
        </w:rPr>
        <w:noBreakHyphen/>
        <w:t>Membros e uma segunda série até 12 de outubro; uma terceira série foi enviada a 16 Estados</w:t>
      </w:r>
      <w:r>
        <w:rPr>
          <w:rFonts w:ascii="Times New Roman" w:hAnsi="Times New Roman"/>
          <w:noProof/>
          <w:sz w:val="24"/>
        </w:rPr>
        <w:noBreakHyphen/>
        <w:t>Membros e uma quarta a um Estado</w:t>
      </w:r>
      <w:r>
        <w:rPr>
          <w:rFonts w:ascii="Times New Roman" w:hAnsi="Times New Roman"/>
          <w:noProof/>
          <w:sz w:val="24"/>
        </w:rPr>
        <w:noBreakHyphen/>
        <w:t>Membro. O Eurostat solicitou a alguns Estados</w:t>
      </w:r>
      <w:r>
        <w:rPr>
          <w:rFonts w:ascii="Times New Roman" w:hAnsi="Times New Roman"/>
          <w:noProof/>
          <w:sz w:val="24"/>
        </w:rPr>
        <w:noBreakHyphen/>
        <w:t>Membros a apresentação de «quadros de notificação do PDE» revistos, de quadros revistos para as contas públicas subjacentes (isto é, as contas anuais de receitas e despesas das administrações públicas e as contas financeiras e não financeiras trimestrais) e do «Questionário relativo aos quadros de notificação do PDE» revisto. Na maioria dos casos, as alterações aos dados foram correções de erros técnicos, de incoerências internas e de ajustamentos. Algumas alterações dizem respeito às atualizações dos dados de base relativos a dados efetivos e programados.</w:t>
      </w:r>
    </w:p>
    <w:p>
      <w:pPr>
        <w:keepNext/>
        <w:numPr>
          <w:ilvl w:val="2"/>
          <w:numId w:val="1"/>
        </w:numPr>
        <w:spacing w:before="120" w:after="120" w:line="240" w:lineRule="auto"/>
        <w:jc w:val="both"/>
        <w:outlineLvl w:val="2"/>
        <w:rPr>
          <w:rFonts w:ascii="Times New Roman" w:eastAsia="Times New Roman" w:hAnsi="Times New Roman" w:cs="Times New Roman"/>
          <w:b/>
          <w:bCs/>
          <w:i/>
          <w:noProof/>
          <w:sz w:val="24"/>
        </w:rPr>
      </w:pPr>
      <w:bookmarkStart w:id="53" w:name="_Toc342558487"/>
      <w:bookmarkStart w:id="54" w:name="_Toc442173635"/>
      <w:bookmarkStart w:id="55" w:name="_Toc442869391"/>
      <w:bookmarkStart w:id="56" w:name="_Toc1565631"/>
      <w:bookmarkStart w:id="57" w:name="_Toc2935102"/>
      <w:r>
        <w:rPr>
          <w:rFonts w:ascii="Times New Roman" w:hAnsi="Times New Roman"/>
          <w:b/>
          <w:i/>
          <w:noProof/>
          <w:sz w:val="24"/>
        </w:rPr>
        <w:t>Visitas de diálogo e visitas metodológicas</w:t>
      </w:r>
      <w:bookmarkEnd w:id="53"/>
      <w:bookmarkEnd w:id="54"/>
      <w:bookmarkEnd w:id="55"/>
      <w:bookmarkEnd w:id="56"/>
      <w:bookmarkEnd w:id="57"/>
    </w:p>
    <w:p>
      <w:pPr>
        <w:spacing w:before="120" w:after="120" w:line="240" w:lineRule="auto"/>
        <w:ind w:left="850"/>
        <w:jc w:val="both"/>
        <w:rPr>
          <w:rFonts w:ascii="Times New Roman" w:hAnsi="Times New Roman"/>
          <w:noProof/>
          <w:sz w:val="24"/>
        </w:rPr>
      </w:pPr>
      <w:r>
        <w:rPr>
          <w:rFonts w:ascii="Times New Roman" w:hAnsi="Times New Roman"/>
          <w:noProof/>
          <w:sz w:val="24"/>
        </w:rPr>
        <w:t>O Regulamento (CE) n.º 479/2009 prevê que o Eurostat efetue visitas de diálogo e visitas metodológicas aos Estados</w:t>
      </w:r>
      <w:r>
        <w:rPr>
          <w:rFonts w:ascii="Times New Roman" w:hAnsi="Times New Roman"/>
          <w:noProof/>
          <w:sz w:val="24"/>
        </w:rPr>
        <w:noBreakHyphen/>
        <w:t xml:space="preserve">Membros. Representantes da DG ECFIN e do Banco Central Europeu participam regularmente nessas visitas como observadores. </w:t>
      </w:r>
    </w:p>
    <w:p>
      <w:pPr>
        <w:spacing w:before="120" w:after="120" w:line="240" w:lineRule="auto"/>
        <w:ind w:left="850"/>
        <w:jc w:val="both"/>
        <w:rPr>
          <w:rFonts w:ascii="Times New Roman" w:hAnsi="Times New Roman"/>
          <w:noProof/>
          <w:sz w:val="24"/>
        </w:rPr>
      </w:pPr>
      <w:r>
        <w:rPr>
          <w:rFonts w:ascii="Times New Roman" w:hAnsi="Times New Roman"/>
          <w:noProof/>
          <w:sz w:val="24"/>
        </w:rPr>
        <w:t xml:space="preserve">No decurso das visitas de diálogo </w:t>
      </w:r>
      <w:r>
        <w:rPr>
          <w:rFonts w:ascii="Times New Roman" w:hAnsi="Times New Roman"/>
          <w:i/>
          <w:noProof/>
          <w:sz w:val="24"/>
        </w:rPr>
        <w:t>regulares</w:t>
      </w:r>
      <w:r>
        <w:rPr>
          <w:rFonts w:ascii="Times New Roman" w:hAnsi="Times New Roman"/>
          <w:noProof/>
          <w:sz w:val="24"/>
        </w:rPr>
        <w:t xml:space="preserve"> (pelo menos bienalmente) aos Estados</w:t>
      </w:r>
      <w:r>
        <w:rPr>
          <w:rFonts w:ascii="Times New Roman" w:hAnsi="Times New Roman"/>
          <w:noProof/>
          <w:sz w:val="24"/>
        </w:rPr>
        <w:noBreakHyphen/>
        <w:t xml:space="preserve">Membros, o Eurostat analisa os dados comunicados, estuda questões metodológicas, discute as fontes e os processos estatísticos referidos nos inventários e avalia o cumprimento das regras contabilísticas pertinentes (no que diz respeito à delimitação do setor público, à data do registo e à classificação das operações e dos passivos das administrações públicas). </w:t>
      </w:r>
    </w:p>
    <w:p>
      <w:pPr>
        <w:spacing w:before="120" w:after="120" w:line="240" w:lineRule="auto"/>
        <w:ind w:left="850"/>
        <w:jc w:val="both"/>
        <w:rPr>
          <w:rFonts w:ascii="Times New Roman" w:hAnsi="Times New Roman"/>
          <w:noProof/>
          <w:sz w:val="24"/>
        </w:rPr>
      </w:pPr>
      <w:r>
        <w:rPr>
          <w:rFonts w:ascii="Times New Roman" w:hAnsi="Times New Roman"/>
          <w:noProof/>
          <w:sz w:val="24"/>
        </w:rPr>
        <w:t xml:space="preserve">As visitas </w:t>
      </w:r>
      <w:r>
        <w:rPr>
          <w:rFonts w:ascii="Times New Roman" w:hAnsi="Times New Roman"/>
          <w:i/>
          <w:noProof/>
          <w:sz w:val="24"/>
        </w:rPr>
        <w:t>metodológicas</w:t>
      </w:r>
      <w:r>
        <w:rPr>
          <w:rFonts w:ascii="Times New Roman" w:hAnsi="Times New Roman"/>
          <w:noProof/>
          <w:sz w:val="24"/>
        </w:rPr>
        <w:t xml:space="preserve"> só são realizadas em casos excecionais, quando são identificados riscos substanciais ou problemas potenciais com a qualidade dos dados.</w:t>
      </w:r>
    </w:p>
    <w:p>
      <w:pPr>
        <w:spacing w:before="120" w:after="120" w:line="240" w:lineRule="auto"/>
        <w:ind w:left="850"/>
        <w:jc w:val="both"/>
        <w:rPr>
          <w:rFonts w:ascii="Times New Roman" w:hAnsi="Times New Roman"/>
          <w:noProof/>
          <w:sz w:val="24"/>
        </w:rPr>
      </w:pPr>
      <w:r>
        <w:rPr>
          <w:rFonts w:ascii="Times New Roman" w:hAnsi="Times New Roman"/>
          <w:noProof/>
          <w:sz w:val="24"/>
        </w:rPr>
        <w:t xml:space="preserve">Podem também ser organizadas visitas </w:t>
      </w:r>
      <w:r>
        <w:rPr>
          <w:rFonts w:ascii="Times New Roman" w:hAnsi="Times New Roman"/>
          <w:i/>
          <w:noProof/>
          <w:sz w:val="24"/>
        </w:rPr>
        <w:t>ad hoc</w:t>
      </w:r>
      <w:r>
        <w:rPr>
          <w:rFonts w:ascii="Times New Roman" w:hAnsi="Times New Roman"/>
          <w:noProof/>
          <w:sz w:val="24"/>
        </w:rPr>
        <w:t xml:space="preserve"> ou </w:t>
      </w:r>
      <w:r>
        <w:rPr>
          <w:rFonts w:ascii="Times New Roman" w:hAnsi="Times New Roman"/>
          <w:i/>
          <w:noProof/>
          <w:sz w:val="24"/>
        </w:rPr>
        <w:t>de caráter técnico</w:t>
      </w:r>
      <w:r>
        <w:rPr>
          <w:rFonts w:ascii="Times New Roman" w:hAnsi="Times New Roman"/>
          <w:noProof/>
          <w:sz w:val="24"/>
        </w:rPr>
        <w:t xml:space="preserve"> quando o Eurostat deteta um problema importante que só pode ser resolvido diretamente com as autoridades em questão.</w:t>
      </w:r>
    </w:p>
    <w:p>
      <w:pPr>
        <w:spacing w:before="120" w:after="120" w:line="240" w:lineRule="auto"/>
        <w:ind w:left="850"/>
        <w:jc w:val="both"/>
        <w:rPr>
          <w:rFonts w:ascii="Times New Roman" w:hAnsi="Times New Roman"/>
          <w:noProof/>
          <w:sz w:val="24"/>
        </w:rPr>
      </w:pPr>
      <w:r>
        <w:rPr>
          <w:rFonts w:ascii="Times New Roman" w:hAnsi="Times New Roman"/>
          <w:noProof/>
          <w:sz w:val="24"/>
        </w:rPr>
        <w:t>Em 2018, o Eurostat efetuou visitas de diálogo no âmbito do PDE aos Países Baixos, à Finlândia, à Roménia, à Alemanha, à Polónia, à Grécia (duas vezes), à Lituânia, a Malta, à Bulgária, à Bélgica, à Croácia e a Itália. Realizaram</w:t>
      </w:r>
      <w:r>
        <w:rPr>
          <w:rFonts w:ascii="Times New Roman" w:hAnsi="Times New Roman"/>
          <w:noProof/>
          <w:sz w:val="24"/>
        </w:rPr>
        <w:noBreakHyphen/>
        <w:t xml:space="preserve">se também visitas </w:t>
      </w:r>
      <w:r>
        <w:rPr>
          <w:rFonts w:ascii="Times New Roman" w:hAnsi="Times New Roman"/>
          <w:i/>
          <w:noProof/>
          <w:sz w:val="24"/>
        </w:rPr>
        <w:t>ad hoc</w:t>
      </w:r>
      <w:r>
        <w:rPr>
          <w:rFonts w:ascii="Times New Roman" w:hAnsi="Times New Roman"/>
          <w:noProof/>
          <w:sz w:val="24"/>
        </w:rPr>
        <w:t xml:space="preserve"> a França e a Espanha e uma visita de caráter técnico à Islândia; não houve visitas metodológicas.</w:t>
      </w:r>
    </w:p>
    <w:p>
      <w:pPr>
        <w:spacing w:before="120" w:after="120" w:line="240" w:lineRule="auto"/>
        <w:ind w:left="851"/>
        <w:jc w:val="both"/>
        <w:rPr>
          <w:rFonts w:ascii="Times New Roman" w:hAnsi="Times New Roman"/>
          <w:noProof/>
          <w:sz w:val="24"/>
        </w:rPr>
      </w:pPr>
      <w:r>
        <w:rPr>
          <w:rFonts w:ascii="Times New Roman" w:hAnsi="Times New Roman"/>
          <w:noProof/>
          <w:sz w:val="24"/>
        </w:rPr>
        <w:t>As conclusões de cada visita de diálogo, incluindo as linhas de ação acordadas e o ponto da situação em relação aos temas abordados, são comunicadas ao Comité Económico e Financeiro e publicadas no sítio Web do Eurostat</w:t>
      </w:r>
      <w:r>
        <w:rPr>
          <w:rFonts w:ascii="Times New Roman" w:hAnsi="Times New Roman"/>
          <w:noProof/>
          <w:sz w:val="24"/>
          <w:vertAlign w:val="superscript"/>
        </w:rPr>
        <w:footnoteReference w:id="14"/>
      </w:r>
      <w:r>
        <w:rPr>
          <w:rFonts w:ascii="Times New Roman" w:hAnsi="Times New Roman"/>
          <w:noProof/>
          <w:sz w:val="24"/>
        </w:rPr>
        <w:t>. As visitas de diálogo e a concretização das linhas de ação contribuíram para uma considerável melhoria da qualidade dos dados ao longo do tempo.</w:t>
      </w:r>
    </w:p>
    <w:p>
      <w:pPr>
        <w:keepNext/>
        <w:numPr>
          <w:ilvl w:val="2"/>
          <w:numId w:val="1"/>
        </w:numPr>
        <w:spacing w:before="120" w:after="120" w:line="240" w:lineRule="auto"/>
        <w:jc w:val="both"/>
        <w:outlineLvl w:val="2"/>
        <w:rPr>
          <w:rFonts w:ascii="Times New Roman" w:eastAsia="Times New Roman" w:hAnsi="Times New Roman" w:cs="Times New Roman"/>
          <w:b/>
          <w:bCs/>
          <w:i/>
          <w:noProof/>
          <w:sz w:val="24"/>
        </w:rPr>
      </w:pPr>
      <w:bookmarkStart w:id="58" w:name="_Toc342558488"/>
      <w:bookmarkStart w:id="59" w:name="_Toc442173636"/>
      <w:bookmarkStart w:id="60" w:name="_Toc442869392"/>
      <w:bookmarkStart w:id="61" w:name="_Toc1565632"/>
      <w:bookmarkStart w:id="62" w:name="_Toc2935103"/>
      <w:r>
        <w:rPr>
          <w:rFonts w:ascii="Times New Roman" w:hAnsi="Times New Roman"/>
          <w:b/>
          <w:i/>
          <w:noProof/>
          <w:sz w:val="24"/>
        </w:rPr>
        <w:t>Conselhos específicos do Eurostat</w:t>
      </w:r>
      <w:bookmarkEnd w:id="58"/>
      <w:bookmarkEnd w:id="59"/>
      <w:bookmarkEnd w:id="60"/>
      <w:bookmarkEnd w:id="61"/>
      <w:bookmarkEnd w:id="62"/>
    </w:p>
    <w:p>
      <w:pPr>
        <w:spacing w:before="120" w:after="120" w:line="240" w:lineRule="auto"/>
        <w:ind w:left="850"/>
        <w:jc w:val="both"/>
        <w:rPr>
          <w:rFonts w:ascii="Times New Roman" w:hAnsi="Times New Roman"/>
          <w:noProof/>
          <w:sz w:val="24"/>
        </w:rPr>
      </w:pPr>
      <w:r>
        <w:rPr>
          <w:rFonts w:ascii="Times New Roman" w:hAnsi="Times New Roman"/>
          <w:noProof/>
          <w:sz w:val="24"/>
        </w:rPr>
        <w:t>Os Estados</w:t>
      </w:r>
      <w:r>
        <w:rPr>
          <w:rFonts w:ascii="Times New Roman" w:hAnsi="Times New Roman"/>
          <w:noProof/>
          <w:sz w:val="24"/>
        </w:rPr>
        <w:noBreakHyphen/>
        <w:t>Membros consultam regularmente o Eurostat para esclarecer questões no âmbito das contas nacionais relativamente a operações passadas ou futuras. O Eurostat presta consultoria de acordo com as orientações em vigor</w:t>
      </w:r>
      <w:r>
        <w:rPr>
          <w:rFonts w:ascii="Times New Roman" w:hAnsi="Times New Roman"/>
          <w:noProof/>
          <w:sz w:val="24"/>
          <w:vertAlign w:val="superscript"/>
        </w:rPr>
        <w:footnoteReference w:id="15"/>
      </w:r>
      <w:r>
        <w:rPr>
          <w:rFonts w:ascii="Times New Roman" w:hAnsi="Times New Roman"/>
          <w:noProof/>
          <w:sz w:val="24"/>
        </w:rPr>
        <w:t>. Desde julho de 2016, a bem da transparência, o Eurostat publica todas as suas cartas com recomendações</w:t>
      </w:r>
      <w:r>
        <w:rPr>
          <w:rFonts w:ascii="Times New Roman" w:hAnsi="Times New Roman"/>
          <w:noProof/>
          <w:sz w:val="24"/>
          <w:vertAlign w:val="superscript"/>
        </w:rPr>
        <w:footnoteReference w:id="16"/>
      </w:r>
      <w:r>
        <w:rPr>
          <w:rFonts w:ascii="Times New Roman" w:hAnsi="Times New Roman"/>
          <w:noProof/>
          <w:sz w:val="24"/>
        </w:rPr>
        <w:t xml:space="preserve"> sem ter de obter o consentimento prévio do Estado</w:t>
      </w:r>
      <w:r>
        <w:rPr>
          <w:rFonts w:ascii="Times New Roman" w:hAnsi="Times New Roman"/>
          <w:noProof/>
          <w:sz w:val="24"/>
        </w:rPr>
        <w:noBreakHyphen/>
        <w:t>Membro em causa, como acontecia anteriormente. Em 2018, a Comissão publicou 21 cartas deste tipo.</w:t>
      </w:r>
    </w:p>
    <w:p>
      <w:pPr>
        <w:keepNext/>
        <w:numPr>
          <w:ilvl w:val="2"/>
          <w:numId w:val="1"/>
        </w:numPr>
        <w:spacing w:before="120" w:after="120" w:line="240" w:lineRule="auto"/>
        <w:jc w:val="both"/>
        <w:outlineLvl w:val="2"/>
        <w:rPr>
          <w:rFonts w:ascii="Times New Roman" w:eastAsia="Times New Roman" w:hAnsi="Times New Roman" w:cs="Times New Roman"/>
          <w:b/>
          <w:bCs/>
          <w:i/>
          <w:noProof/>
          <w:sz w:val="24"/>
        </w:rPr>
      </w:pPr>
      <w:bookmarkStart w:id="63" w:name="_Toc342558489"/>
      <w:bookmarkStart w:id="64" w:name="_Toc442173638"/>
      <w:bookmarkStart w:id="65" w:name="_Toc442869394"/>
      <w:bookmarkStart w:id="66" w:name="_Toc1565633"/>
      <w:bookmarkStart w:id="67" w:name="_Toc2935104"/>
      <w:r>
        <w:rPr>
          <w:rFonts w:ascii="Times New Roman" w:hAnsi="Times New Roman"/>
          <w:b/>
          <w:i/>
          <w:noProof/>
          <w:sz w:val="24"/>
        </w:rPr>
        <w:t>Questões metodológicas recentes</w:t>
      </w:r>
      <w:bookmarkEnd w:id="63"/>
      <w:bookmarkEnd w:id="64"/>
      <w:bookmarkEnd w:id="65"/>
      <w:bookmarkEnd w:id="66"/>
      <w:bookmarkEnd w:id="67"/>
    </w:p>
    <w:p>
      <w:pPr>
        <w:spacing w:before="120" w:after="120" w:line="240" w:lineRule="auto"/>
        <w:ind w:left="851"/>
        <w:jc w:val="both"/>
        <w:rPr>
          <w:noProof/>
        </w:rPr>
      </w:pPr>
      <w:r>
        <w:rPr>
          <w:rFonts w:ascii="Times New Roman" w:hAnsi="Times New Roman"/>
          <w:noProof/>
          <w:sz w:val="24"/>
        </w:rPr>
        <w:t>O Eurostat acompanha a aplicação das regras do SEC 2010 e das suas decisões metodológicas, através da análise dos dados comunicados pelos Estados</w:t>
      </w:r>
      <w:r>
        <w:rPr>
          <w:rFonts w:ascii="Times New Roman" w:hAnsi="Times New Roman"/>
          <w:noProof/>
          <w:sz w:val="24"/>
        </w:rPr>
        <w:noBreakHyphen/>
        <w:t>Membros nos quadros do PDE e do «Questionário relativo aos quadros de notificação do PDE», bem como no âmbito de debates com as autoridades estatísticas nacionais durante as visitas de diálogo no âmbito do PDE.</w:t>
      </w:r>
      <w:bookmarkStart w:id="68" w:name="_Toc474487300"/>
      <w:bookmarkStart w:id="69" w:name="_Toc498100906"/>
      <w:bookmarkStart w:id="70" w:name="_Toc342558490"/>
      <w:bookmarkStart w:id="71" w:name="_Toc442173639"/>
      <w:bookmarkStart w:id="72" w:name="_Toc442869395"/>
      <w:bookmarkStart w:id="73" w:name="_Ref66503600"/>
      <w:bookmarkStart w:id="74" w:name="_Ref66503620"/>
    </w:p>
    <w:p>
      <w:pPr>
        <w:spacing w:before="120" w:after="120" w:line="240" w:lineRule="auto"/>
        <w:ind w:left="851"/>
        <w:jc w:val="both"/>
        <w:rPr>
          <w:rFonts w:ascii="Times New Roman" w:hAnsi="Times New Roman" w:cs="Times New Roman"/>
          <w:noProof/>
          <w:sz w:val="24"/>
          <w:szCs w:val="24"/>
        </w:rPr>
      </w:pPr>
      <w:r>
        <w:rPr>
          <w:rFonts w:ascii="Times New Roman" w:hAnsi="Times New Roman"/>
          <w:noProof/>
          <w:sz w:val="24"/>
        </w:rPr>
        <w:t>Além disso disponibiliza orientação metodológica sobre as regras contabilísticas para o PDE e para as estatísticas das finanças públicas em geral, que completam as disposições gerais do SEC 2010. É sob a sua responsabilidade que são publicadas notas de orientação, após consulta das autoridades estatísticas nacionais, assim como notas explicativas das regras contabilísticas para questões muito específicas.</w:t>
      </w:r>
      <w:bookmarkEnd w:id="68"/>
      <w:bookmarkEnd w:id="69"/>
    </w:p>
    <w:p>
      <w:pPr>
        <w:spacing w:before="120" w:after="120" w:line="240" w:lineRule="auto"/>
        <w:ind w:left="851"/>
        <w:jc w:val="both"/>
        <w:rPr>
          <w:i/>
          <w:noProof/>
          <w:szCs w:val="24"/>
        </w:rPr>
      </w:pPr>
      <w:bookmarkStart w:id="75" w:name="_Toc474487301"/>
      <w:bookmarkStart w:id="76" w:name="_Toc498100907"/>
      <w:r>
        <w:rPr>
          <w:rFonts w:ascii="Times New Roman" w:hAnsi="Times New Roman"/>
          <w:noProof/>
          <w:sz w:val="24"/>
        </w:rPr>
        <w:t>Em 8 de maio de 2018, o Eurostat publicou um guia</w:t>
      </w:r>
      <w:r>
        <w:rPr>
          <w:rFonts w:ascii="Times New Roman" w:hAnsi="Times New Roman"/>
          <w:noProof/>
          <w:sz w:val="24"/>
          <w:vertAlign w:val="superscript"/>
        </w:rPr>
        <w:footnoteReference w:id="17"/>
      </w:r>
      <w:r>
        <w:rPr>
          <w:rFonts w:ascii="Times New Roman" w:hAnsi="Times New Roman"/>
          <w:noProof/>
          <w:sz w:val="24"/>
        </w:rPr>
        <w:t xml:space="preserve"> sobre o tratamento estatístico dos contratos de desempenho energético.</w:t>
      </w:r>
      <w:bookmarkEnd w:id="75"/>
      <w:bookmarkEnd w:id="76"/>
    </w:p>
    <w:p>
      <w:pPr>
        <w:spacing w:before="120" w:after="120" w:line="240" w:lineRule="auto"/>
        <w:ind w:left="851"/>
        <w:jc w:val="both"/>
        <w:rPr>
          <w:rFonts w:ascii="Times New Roman" w:hAnsi="Times New Roman" w:cs="Times New Roman"/>
          <w:noProof/>
          <w:sz w:val="24"/>
        </w:rPr>
      </w:pPr>
      <w:bookmarkStart w:id="77" w:name="_Toc474487302"/>
      <w:r>
        <w:rPr>
          <w:rFonts w:ascii="Times New Roman" w:hAnsi="Times New Roman"/>
          <w:noProof/>
          <w:sz w:val="24"/>
        </w:rPr>
        <w:t xml:space="preserve">Várias questões que não estão suficientemente tratadas nos manuais e nas orientações existentes foram analisadas e debatidas em grupos de trabalho e </w:t>
      </w:r>
      <w:r>
        <w:rPr>
          <w:rFonts w:ascii="Times New Roman" w:hAnsi="Times New Roman"/>
          <w:i/>
          <w:noProof/>
          <w:sz w:val="24"/>
        </w:rPr>
        <w:t>task forces</w:t>
      </w:r>
      <w:r>
        <w:rPr>
          <w:rFonts w:ascii="Times New Roman" w:hAnsi="Times New Roman"/>
          <w:noProof/>
          <w:sz w:val="24"/>
        </w:rPr>
        <w:t>.</w:t>
      </w:r>
    </w:p>
    <w:p>
      <w:pPr>
        <w:spacing w:before="120" w:after="120" w:line="240" w:lineRule="auto"/>
        <w:ind w:left="851"/>
        <w:jc w:val="both"/>
        <w:rPr>
          <w:rFonts w:ascii="Times New Roman" w:hAnsi="Times New Roman" w:cs="Times New Roman"/>
          <w:noProof/>
          <w:sz w:val="24"/>
          <w:szCs w:val="24"/>
        </w:rPr>
      </w:pPr>
      <w:bookmarkStart w:id="78" w:name="_Toc498100908"/>
      <w:r>
        <w:rPr>
          <w:rFonts w:ascii="Times New Roman" w:hAnsi="Times New Roman"/>
          <w:noProof/>
          <w:sz w:val="24"/>
        </w:rPr>
        <w:t xml:space="preserve">Para além das duas reuniões periódicas do grupo de trabalho que se ocupa das estatísticas no âmbito do PDE, o Eurostat organizou três </w:t>
      </w:r>
      <w:r>
        <w:rPr>
          <w:rFonts w:ascii="Times New Roman" w:hAnsi="Times New Roman"/>
          <w:i/>
          <w:noProof/>
          <w:sz w:val="24"/>
        </w:rPr>
        <w:t>task forces</w:t>
      </w:r>
      <w:r>
        <w:rPr>
          <w:rFonts w:ascii="Times New Roman" w:hAnsi="Times New Roman"/>
          <w:noProof/>
          <w:sz w:val="24"/>
        </w:rPr>
        <w:t xml:space="preserve"> (duas sobre questões metodológicas do PDE e uma sobre estatísticas das finanças públicas).</w:t>
      </w:r>
      <w:bookmarkEnd w:id="78"/>
    </w:p>
    <w:p>
      <w:pPr>
        <w:spacing w:before="120" w:after="120" w:line="240" w:lineRule="auto"/>
        <w:ind w:left="851"/>
        <w:jc w:val="both"/>
        <w:rPr>
          <w:rFonts w:ascii="Times New Roman" w:hAnsi="Times New Roman" w:cs="Times New Roman"/>
          <w:noProof/>
          <w:sz w:val="24"/>
        </w:rPr>
      </w:pPr>
      <w:r>
        <w:rPr>
          <w:rFonts w:ascii="Times New Roman" w:hAnsi="Times New Roman"/>
          <w:noProof/>
          <w:sz w:val="24"/>
        </w:rPr>
        <w:t>Na sequência das conclusões do Conselho ECOFIN de novembro de 2017, o Eurostat analisou a eficácia dos novos «Procedimentos para a elaboração e a aplicação da metodologia subjacente aos dados relativos ao PDE»</w:t>
      </w:r>
      <w:r>
        <w:rPr>
          <w:rFonts w:ascii="Times New Roman" w:hAnsi="Times New Roman"/>
          <w:noProof/>
          <w:sz w:val="24"/>
          <w:vertAlign w:val="superscript"/>
        </w:rPr>
        <w:footnoteReference w:id="18"/>
      </w:r>
      <w:r>
        <w:rPr>
          <w:rFonts w:ascii="Times New Roman" w:hAnsi="Times New Roman"/>
          <w:noProof/>
          <w:sz w:val="24"/>
        </w:rPr>
        <w:t>, após um ano de experiência, centrando</w:t>
      </w:r>
      <w:r>
        <w:rPr>
          <w:rFonts w:ascii="Times New Roman" w:hAnsi="Times New Roman"/>
          <w:noProof/>
          <w:sz w:val="24"/>
        </w:rPr>
        <w:noBreakHyphen/>
        <w:t>se na sua aplicação para o desenvolvimento dos diferentes tipos de orientações metodológicas que interpretem e complementem o SEC 2010. As conclusões do Conselho ECOFIN de novembro de 2018 sobre as estatísticas da UE</w:t>
      </w:r>
      <w:r>
        <w:rPr>
          <w:rStyle w:val="FootnoteReference"/>
          <w:rFonts w:ascii="Times New Roman" w:hAnsi="Times New Roman"/>
          <w:noProof/>
          <w:sz w:val="24"/>
        </w:rPr>
        <w:footnoteReference w:id="19"/>
      </w:r>
      <w:r>
        <w:rPr>
          <w:rFonts w:ascii="Times New Roman" w:hAnsi="Times New Roman"/>
          <w:noProof/>
          <w:sz w:val="24"/>
        </w:rPr>
        <w:t xml:space="preserve"> sublinharam que o Conselho se congratula com os progressos realizados na introdução de alterações metodológicas de forma estruturada e programada e nos novos procedimentos relativos às novas orientações. O Eurostat continuará a trabalhar em conjunto com os Estados</w:t>
      </w:r>
      <w:r>
        <w:rPr>
          <w:rFonts w:ascii="Times New Roman" w:hAnsi="Times New Roman"/>
          <w:noProof/>
          <w:sz w:val="24"/>
        </w:rPr>
        <w:noBreakHyphen/>
        <w:t>Membros para complementar e clarificar os atuais procedimentos de dados relativos ao PDE, a fim de garantir a sua aplicação efetiva.</w:t>
      </w:r>
    </w:p>
    <w:p>
      <w:pPr>
        <w:spacing w:before="120" w:after="120" w:line="240" w:lineRule="auto"/>
        <w:ind w:left="851"/>
        <w:jc w:val="both"/>
        <w:rPr>
          <w:rFonts w:ascii="Times New Roman" w:hAnsi="Times New Roman" w:cs="Times New Roman"/>
          <w:noProof/>
          <w:sz w:val="24"/>
        </w:rPr>
      </w:pPr>
      <w:r>
        <w:rPr>
          <w:rFonts w:ascii="Times New Roman" w:hAnsi="Times New Roman"/>
          <w:noProof/>
          <w:sz w:val="24"/>
        </w:rPr>
        <w:t>Em 22 de fevereiro de 2017, a Comissão adotou o seu relatório</w:t>
      </w:r>
      <w:r>
        <w:rPr>
          <w:rStyle w:val="FootnoteReference"/>
          <w:rFonts w:ascii="Times New Roman" w:hAnsi="Times New Roman"/>
          <w:noProof/>
          <w:sz w:val="24"/>
        </w:rPr>
        <w:footnoteReference w:id="20"/>
      </w:r>
      <w:r>
        <w:rPr>
          <w:rFonts w:ascii="Times New Roman" w:hAnsi="Times New Roman"/>
          <w:noProof/>
          <w:sz w:val="24"/>
        </w:rPr>
        <w:t xml:space="preserve"> sobre a investigação relacionada com a manipulação de estatísticas na Áustria, tal como prevista no Regulamento (UE) n.º 1173/2011</w:t>
      </w:r>
      <w:r>
        <w:rPr>
          <w:rStyle w:val="FootnoteReference"/>
          <w:rFonts w:ascii="Times New Roman" w:hAnsi="Times New Roman"/>
          <w:noProof/>
          <w:sz w:val="24"/>
        </w:rPr>
        <w:footnoteReference w:id="21"/>
      </w:r>
      <w:r>
        <w:rPr>
          <w:rFonts w:ascii="Times New Roman" w:hAnsi="Times New Roman"/>
          <w:noProof/>
          <w:sz w:val="24"/>
        </w:rPr>
        <w:t>, e uma Recomendação</w:t>
      </w:r>
      <w:r>
        <w:rPr>
          <w:rStyle w:val="FootnoteReference"/>
          <w:rFonts w:ascii="Times New Roman" w:hAnsi="Times New Roman"/>
          <w:noProof/>
          <w:sz w:val="24"/>
        </w:rPr>
        <w:footnoteReference w:id="22"/>
      </w:r>
      <w:r>
        <w:rPr>
          <w:rFonts w:ascii="Times New Roman" w:hAnsi="Times New Roman"/>
          <w:noProof/>
          <w:sz w:val="24"/>
        </w:rPr>
        <w:t xml:space="preserve"> de Decisão de Execução do Conselho que aplica uma multa à Áustria por manipular dados relativos à dívida no </w:t>
      </w:r>
      <w:r>
        <w:rPr>
          <w:rFonts w:ascii="Times New Roman" w:hAnsi="Times New Roman"/>
          <w:i/>
          <w:noProof/>
          <w:sz w:val="24"/>
        </w:rPr>
        <w:t>Land</w:t>
      </w:r>
      <w:r>
        <w:rPr>
          <w:rFonts w:ascii="Times New Roman" w:hAnsi="Times New Roman"/>
          <w:noProof/>
          <w:sz w:val="24"/>
        </w:rPr>
        <w:t xml:space="preserve"> de Salzburgo. Nos termos do artigo 8.º, n.º 1, do regulamento, o Conselho adotou a Decisão de Execução</w:t>
      </w:r>
      <w:r>
        <w:rPr>
          <w:rStyle w:val="FootnoteReference"/>
          <w:rFonts w:ascii="Times New Roman" w:hAnsi="Times New Roman"/>
          <w:noProof/>
          <w:sz w:val="24"/>
        </w:rPr>
        <w:footnoteReference w:id="23"/>
      </w:r>
      <w:r>
        <w:rPr>
          <w:rFonts w:ascii="Times New Roman" w:hAnsi="Times New Roman"/>
          <w:noProof/>
          <w:sz w:val="24"/>
        </w:rPr>
        <w:t xml:space="preserve"> em 28 de maio de 2018 e aplicou uma coima de 26,82 milhões de EUR à Áustria pela prestação de declarações falsas relativas aos dados da dívida pública devido a negligência grave de três entidades públicas.</w:t>
      </w:r>
    </w:p>
    <w:p>
      <w:pPr>
        <w:keepNext/>
        <w:numPr>
          <w:ilvl w:val="2"/>
          <w:numId w:val="1"/>
        </w:numPr>
        <w:spacing w:before="120" w:after="120" w:line="240" w:lineRule="auto"/>
        <w:jc w:val="both"/>
        <w:outlineLvl w:val="2"/>
        <w:rPr>
          <w:rFonts w:ascii="Times New Roman" w:eastAsia="Times New Roman" w:hAnsi="Times New Roman" w:cs="Times New Roman"/>
          <w:b/>
          <w:bCs/>
          <w:i/>
          <w:noProof/>
          <w:sz w:val="24"/>
        </w:rPr>
      </w:pPr>
      <w:bookmarkStart w:id="79" w:name="_Toc1565634"/>
      <w:bookmarkStart w:id="80" w:name="_Toc2935105"/>
      <w:bookmarkEnd w:id="77"/>
      <w:r>
        <w:rPr>
          <w:rFonts w:ascii="Times New Roman" w:hAnsi="Times New Roman"/>
          <w:b/>
          <w:i/>
          <w:noProof/>
          <w:sz w:val="24"/>
        </w:rPr>
        <w:t>Coerência com as contas públicas subjacentes</w:t>
      </w:r>
      <w:bookmarkEnd w:id="70"/>
      <w:bookmarkEnd w:id="71"/>
      <w:bookmarkEnd w:id="72"/>
      <w:bookmarkEnd w:id="79"/>
      <w:bookmarkEnd w:id="80"/>
    </w:p>
    <w:p>
      <w:pPr>
        <w:spacing w:before="120" w:after="120" w:line="240" w:lineRule="auto"/>
        <w:ind w:left="850"/>
        <w:jc w:val="both"/>
        <w:rPr>
          <w:rFonts w:ascii="Times New Roman" w:hAnsi="Times New Roman"/>
          <w:noProof/>
          <w:sz w:val="24"/>
        </w:rPr>
      </w:pPr>
      <w:r>
        <w:rPr>
          <w:rFonts w:ascii="Times New Roman" w:hAnsi="Times New Roman"/>
          <w:noProof/>
          <w:sz w:val="24"/>
        </w:rPr>
        <w:t>Os prazos de notificação de 1 de abril e de 1 de outubro estabelecidos no Regulamento (CE) n.º 479/2009 foram introduzidos para garantir a coerência com as contas anuais e trimestrais subjacentes do setor das administrações públicas, tal como são comunicadas ao Eurostat nos vários quadros de transmissão do SEC. Em especial, os totais das despesas e das receitas das administrações públicas devem ser coerentes com os valores comunicados relativamente ao excedente/défice.</w:t>
      </w:r>
    </w:p>
    <w:p>
      <w:pPr>
        <w:spacing w:before="120" w:after="120" w:line="240" w:lineRule="auto"/>
        <w:ind w:left="850"/>
        <w:jc w:val="both"/>
        <w:rPr>
          <w:rFonts w:ascii="Times New Roman" w:hAnsi="Times New Roman"/>
          <w:noProof/>
          <w:sz w:val="24"/>
        </w:rPr>
      </w:pPr>
      <w:r>
        <w:rPr>
          <w:rFonts w:ascii="Times New Roman" w:hAnsi="Times New Roman"/>
          <w:noProof/>
          <w:sz w:val="24"/>
        </w:rPr>
        <w:t>De um modo geral, os dados do PDE foram coerentes com as contas das administrações públicas notificadas de acordo com o SEC 2010, embora haja certas reservas, no que respeita aos ativos e passivos financeiros (</w:t>
      </w:r>
      <w:r>
        <w:rPr>
          <w:rFonts w:ascii="Times New Roman" w:hAnsi="Times New Roman"/>
          <w:i/>
          <w:noProof/>
          <w:sz w:val="24"/>
        </w:rPr>
        <w:t>stocks</w:t>
      </w:r>
      <w:r>
        <w:rPr>
          <w:rFonts w:ascii="Times New Roman" w:hAnsi="Times New Roman"/>
          <w:noProof/>
          <w:sz w:val="24"/>
        </w:rPr>
        <w:t>) e às contas financeiras trimestrais das administrações públicas (quadro 27 do SEC). São necessários mais esforços por parte de alguns Estados</w:t>
      </w:r>
      <w:r>
        <w:rPr>
          <w:rFonts w:ascii="Times New Roman" w:hAnsi="Times New Roman"/>
          <w:noProof/>
          <w:sz w:val="24"/>
        </w:rPr>
        <w:noBreakHyphen/>
        <w:t>Membros para melhorar a coerência dos quadros 3 do PDE com o quadro 27 do SEC.</w:t>
      </w:r>
    </w:p>
    <w:p>
      <w:pPr>
        <w:spacing w:before="120" w:after="120" w:line="240" w:lineRule="auto"/>
        <w:ind w:left="850"/>
        <w:jc w:val="both"/>
        <w:rPr>
          <w:rFonts w:ascii="Times New Roman" w:hAnsi="Times New Roman"/>
          <w:noProof/>
          <w:sz w:val="24"/>
        </w:rPr>
      </w:pPr>
      <w:r>
        <w:rPr>
          <w:rFonts w:ascii="Times New Roman" w:hAnsi="Times New Roman"/>
          <w:noProof/>
          <w:sz w:val="24"/>
        </w:rPr>
        <w:t>Há incoerências substanciais nas operações financeiras líquidas de vários anos referentes à Grécia, uma vez que as contas financeiras comunicadas pelo Banco da Grécia não correspondem aos dados comunicados pelo ELSTAT no âmbito do PDE. O Banco da Grécia não seguiu as orientações do Eurostat no que se refere às regras contabilísticas do SEC 2010 em relação a uma série de questões. Em outubro de 2015, o Eurostat decidiu não publicar o quadro SEC 27 para a Grécia até que estas questões estejam resolvidas.</w:t>
      </w:r>
    </w:p>
    <w:p>
      <w:pPr>
        <w:spacing w:before="120" w:after="120" w:line="240" w:lineRule="auto"/>
        <w:ind w:left="850"/>
        <w:jc w:val="both"/>
        <w:rPr>
          <w:rFonts w:ascii="Times New Roman" w:hAnsi="Times New Roman"/>
          <w:noProof/>
          <w:sz w:val="24"/>
        </w:rPr>
      </w:pPr>
      <w:r>
        <w:rPr>
          <w:rFonts w:ascii="Times New Roman" w:hAnsi="Times New Roman"/>
          <w:noProof/>
          <w:sz w:val="24"/>
        </w:rPr>
        <w:t xml:space="preserve">Existem também incoerências significativas relativas à França no que respeita ao registo de outros créditos a receber respeitantes a fundos da administração central e da segurança social, em 2017. </w:t>
      </w:r>
    </w:p>
    <w:p>
      <w:pPr>
        <w:spacing w:before="120" w:after="120" w:line="240" w:lineRule="auto"/>
        <w:ind w:left="850"/>
        <w:jc w:val="both"/>
        <w:rPr>
          <w:rFonts w:ascii="Times New Roman" w:hAnsi="Times New Roman"/>
          <w:noProof/>
          <w:sz w:val="24"/>
        </w:rPr>
      </w:pPr>
      <w:r>
        <w:rPr>
          <w:rFonts w:ascii="Times New Roman" w:hAnsi="Times New Roman"/>
          <w:noProof/>
          <w:sz w:val="24"/>
        </w:rPr>
        <w:t>No que se refere à Alemanha, Portugal (2014</w:t>
      </w:r>
      <w:r>
        <w:rPr>
          <w:rFonts w:ascii="Times New Roman" w:hAnsi="Times New Roman"/>
          <w:noProof/>
          <w:sz w:val="24"/>
        </w:rPr>
        <w:noBreakHyphen/>
        <w:t>2017) e Espanha (2014</w:t>
      </w:r>
      <w:r>
        <w:rPr>
          <w:rFonts w:ascii="Times New Roman" w:hAnsi="Times New Roman"/>
          <w:noProof/>
          <w:sz w:val="24"/>
        </w:rPr>
        <w:noBreakHyphen/>
        <w:t>2016), a comunicação de discrepâncias estatísticas nos quadros de notificação de outubro de 2018 diverge da metodologia do quadro 27 do SEC e esta situação leva a diferenças substanciais em todos os anos.</w:t>
      </w:r>
    </w:p>
    <w:p>
      <w:pPr>
        <w:spacing w:before="120" w:after="120" w:line="240" w:lineRule="auto"/>
        <w:ind w:left="850"/>
        <w:jc w:val="both"/>
        <w:rPr>
          <w:rFonts w:ascii="Times New Roman" w:hAnsi="Times New Roman"/>
          <w:noProof/>
          <w:sz w:val="24"/>
        </w:rPr>
      </w:pPr>
      <w:r>
        <w:rPr>
          <w:rFonts w:ascii="Times New Roman" w:hAnsi="Times New Roman"/>
          <w:noProof/>
          <w:sz w:val="24"/>
        </w:rPr>
        <w:t>Os dados relativos ao excedente/défice, à formação bruta de capital fixo e despesas com juros, notificados pelos Estados</w:t>
      </w:r>
      <w:r>
        <w:rPr>
          <w:rFonts w:ascii="Times New Roman" w:hAnsi="Times New Roman"/>
          <w:noProof/>
          <w:sz w:val="24"/>
        </w:rPr>
        <w:noBreakHyphen/>
        <w:t>Membros, são plenamente coerentes com os dados anuais e trimestrais da despesa e da receita das administrações públicas (quadros 2 e 25 do SEC). Os dados sobre a dívida pública anual e a dívida pública trimestral (quadro 28 do SEC) são também perfeitamente concordantes para todos os Estados</w:t>
      </w:r>
      <w:r>
        <w:rPr>
          <w:rFonts w:ascii="Times New Roman" w:hAnsi="Times New Roman"/>
          <w:noProof/>
          <w:sz w:val="24"/>
        </w:rPr>
        <w:noBreakHyphen/>
        <w:t>Membros.</w:t>
      </w:r>
    </w:p>
    <w:p>
      <w:pPr>
        <w:keepNext/>
        <w:numPr>
          <w:ilvl w:val="1"/>
          <w:numId w:val="1"/>
        </w:numPr>
        <w:spacing w:before="240" w:after="120" w:line="240" w:lineRule="auto"/>
        <w:ind w:left="851" w:hanging="851"/>
        <w:jc w:val="both"/>
        <w:outlineLvl w:val="1"/>
        <w:rPr>
          <w:rFonts w:ascii="Times New Roman" w:eastAsia="Times New Roman" w:hAnsi="Times New Roman" w:cs="Times New Roman"/>
          <w:b/>
          <w:bCs/>
          <w:noProof/>
          <w:sz w:val="24"/>
          <w:szCs w:val="26"/>
        </w:rPr>
      </w:pPr>
      <w:bookmarkStart w:id="81" w:name="_Toc342558491"/>
      <w:bookmarkStart w:id="82" w:name="_Toc442173640"/>
      <w:bookmarkStart w:id="83" w:name="_Toc442869396"/>
      <w:bookmarkStart w:id="84" w:name="_Toc1565635"/>
      <w:bookmarkStart w:id="85" w:name="_Toc2935106"/>
      <w:bookmarkEnd w:id="73"/>
      <w:bookmarkEnd w:id="74"/>
      <w:r>
        <w:rPr>
          <w:rFonts w:ascii="Times New Roman" w:hAnsi="Times New Roman"/>
          <w:b/>
          <w:noProof/>
          <w:sz w:val="24"/>
        </w:rPr>
        <w:t>Publicação</w:t>
      </w:r>
      <w:bookmarkEnd w:id="81"/>
      <w:bookmarkEnd w:id="82"/>
      <w:bookmarkEnd w:id="83"/>
      <w:bookmarkEnd w:id="84"/>
      <w:bookmarkEnd w:id="85"/>
    </w:p>
    <w:p>
      <w:pPr>
        <w:keepNext/>
        <w:numPr>
          <w:ilvl w:val="2"/>
          <w:numId w:val="1"/>
        </w:numPr>
        <w:spacing w:before="120" w:after="120" w:line="240" w:lineRule="auto"/>
        <w:jc w:val="both"/>
        <w:outlineLvl w:val="2"/>
        <w:rPr>
          <w:rFonts w:ascii="Times New Roman" w:eastAsia="Times New Roman" w:hAnsi="Times New Roman" w:cs="Times New Roman"/>
          <w:b/>
          <w:bCs/>
          <w:i/>
          <w:noProof/>
          <w:sz w:val="24"/>
        </w:rPr>
      </w:pPr>
      <w:bookmarkStart w:id="86" w:name="_Toc342558492"/>
      <w:bookmarkStart w:id="87" w:name="_Toc442173641"/>
      <w:bookmarkStart w:id="88" w:name="_Toc442869397"/>
      <w:bookmarkStart w:id="89" w:name="_Toc1565636"/>
      <w:bookmarkStart w:id="90" w:name="_Toc2935107"/>
      <w:r>
        <w:rPr>
          <w:rFonts w:ascii="Times New Roman" w:hAnsi="Times New Roman"/>
          <w:b/>
          <w:i/>
          <w:noProof/>
          <w:sz w:val="24"/>
        </w:rPr>
        <w:t>Publicação dos valores nominais e dos quadros de notificação detalhados</w:t>
      </w:r>
      <w:bookmarkEnd w:id="86"/>
      <w:bookmarkEnd w:id="87"/>
      <w:bookmarkEnd w:id="88"/>
      <w:bookmarkEnd w:id="89"/>
      <w:bookmarkEnd w:id="90"/>
    </w:p>
    <w:p>
      <w:pPr>
        <w:spacing w:before="120" w:after="120" w:line="240" w:lineRule="auto"/>
        <w:ind w:left="850"/>
        <w:jc w:val="both"/>
        <w:rPr>
          <w:rFonts w:ascii="Times New Roman" w:hAnsi="Times New Roman"/>
          <w:noProof/>
          <w:sz w:val="24"/>
        </w:rPr>
      </w:pPr>
      <w:r>
        <w:rPr>
          <w:rFonts w:ascii="Times New Roman" w:hAnsi="Times New Roman"/>
          <w:noProof/>
          <w:sz w:val="24"/>
        </w:rPr>
        <w:t>Nos termos do artigo 14.º, n.º 1, do Regulamento (CE) n.º 479/2009, «</w:t>
      </w:r>
      <w:r>
        <w:rPr>
          <w:rFonts w:ascii="Times New Roman" w:hAnsi="Times New Roman"/>
          <w:i/>
          <w:noProof/>
          <w:sz w:val="24"/>
        </w:rPr>
        <w:t>[e]m aplicação do Protocolo sobre o procedimento relativo aos défices excessivos, a Comissão (Eurostat) fornece os dados efetivos sobre o défice orçamental e a dívida pública verificados no prazo de três semanas após os prazos de notificação [...]. Os dados são fornecidos por publicação.</w:t>
      </w:r>
      <w:r>
        <w:rPr>
          <w:rFonts w:ascii="Times New Roman" w:hAnsi="Times New Roman"/>
          <w:noProof/>
          <w:sz w:val="24"/>
        </w:rPr>
        <w:t>»</w:t>
      </w:r>
    </w:p>
    <w:p>
      <w:pPr>
        <w:spacing w:before="120" w:after="120" w:line="240" w:lineRule="auto"/>
        <w:ind w:left="850"/>
        <w:jc w:val="both"/>
        <w:rPr>
          <w:rFonts w:ascii="Times New Roman" w:hAnsi="Times New Roman"/>
          <w:noProof/>
          <w:sz w:val="24"/>
        </w:rPr>
      </w:pPr>
      <w:r>
        <w:rPr>
          <w:rFonts w:ascii="Times New Roman" w:hAnsi="Times New Roman"/>
          <w:noProof/>
          <w:sz w:val="24"/>
        </w:rPr>
        <w:t>O Eurostat publicou os dados do défice orçamental e da dívida pública no seu sítio Web em 23 de abril</w:t>
      </w:r>
      <w:r>
        <w:rPr>
          <w:rFonts w:ascii="Times New Roman" w:hAnsi="Times New Roman"/>
          <w:noProof/>
          <w:sz w:val="24"/>
          <w:vertAlign w:val="superscript"/>
        </w:rPr>
        <w:footnoteReference w:id="24"/>
      </w:r>
      <w:r>
        <w:rPr>
          <w:rFonts w:ascii="Times New Roman" w:hAnsi="Times New Roman"/>
          <w:noProof/>
          <w:sz w:val="24"/>
        </w:rPr>
        <w:t xml:space="preserve"> e em 22 de outubro</w:t>
      </w:r>
      <w:r>
        <w:rPr>
          <w:rFonts w:ascii="Times New Roman" w:hAnsi="Times New Roman"/>
          <w:noProof/>
          <w:sz w:val="24"/>
          <w:vertAlign w:val="superscript"/>
        </w:rPr>
        <w:footnoteReference w:id="25"/>
      </w:r>
      <w:r>
        <w:rPr>
          <w:rFonts w:ascii="Times New Roman" w:hAnsi="Times New Roman"/>
          <w:noProof/>
          <w:sz w:val="24"/>
        </w:rPr>
        <w:t>, juntamente com todos os quadros finais de notificação</w:t>
      </w:r>
      <w:r>
        <w:rPr>
          <w:rFonts w:ascii="Times New Roman" w:hAnsi="Times New Roman"/>
          <w:noProof/>
          <w:sz w:val="24"/>
          <w:vertAlign w:val="superscript"/>
        </w:rPr>
        <w:footnoteReference w:id="26"/>
      </w:r>
      <w:r>
        <w:rPr>
          <w:rFonts w:ascii="Times New Roman" w:hAnsi="Times New Roman"/>
          <w:noProof/>
          <w:sz w:val="24"/>
        </w:rPr>
        <w:t xml:space="preserve"> comunicados pelos Estados</w:t>
      </w:r>
      <w:r>
        <w:rPr>
          <w:rFonts w:ascii="Times New Roman" w:hAnsi="Times New Roman"/>
          <w:noProof/>
          <w:sz w:val="24"/>
        </w:rPr>
        <w:noBreakHyphen/>
        <w:t>Membros, e também notas sobre:</w:t>
      </w:r>
    </w:p>
    <w:p>
      <w:pPr>
        <w:numPr>
          <w:ilvl w:val="0"/>
          <w:numId w:val="3"/>
        </w:numPr>
        <w:tabs>
          <w:tab w:val="left" w:pos="1701"/>
        </w:tabs>
        <w:spacing w:before="120" w:after="120" w:line="240" w:lineRule="auto"/>
        <w:ind w:left="1701" w:hanging="431"/>
        <w:jc w:val="both"/>
        <w:rPr>
          <w:rFonts w:ascii="Times New Roman" w:hAnsi="Times New Roman"/>
          <w:noProof/>
          <w:sz w:val="24"/>
        </w:rPr>
      </w:pPr>
      <w:r>
        <w:rPr>
          <w:rFonts w:ascii="Times New Roman" w:hAnsi="Times New Roman"/>
          <w:noProof/>
          <w:sz w:val="24"/>
        </w:rPr>
        <w:t>o ajustamento défice</w:t>
      </w:r>
      <w:r>
        <w:rPr>
          <w:rFonts w:ascii="Times New Roman" w:hAnsi="Times New Roman"/>
          <w:noProof/>
          <w:sz w:val="24"/>
        </w:rPr>
        <w:noBreakHyphen/>
        <w:t>dívida;</w:t>
      </w:r>
    </w:p>
    <w:p>
      <w:pPr>
        <w:numPr>
          <w:ilvl w:val="0"/>
          <w:numId w:val="3"/>
        </w:numPr>
        <w:tabs>
          <w:tab w:val="left" w:pos="1701"/>
        </w:tabs>
        <w:spacing w:before="120" w:after="120" w:line="240" w:lineRule="auto"/>
        <w:ind w:left="1701" w:hanging="431"/>
        <w:jc w:val="both"/>
        <w:rPr>
          <w:rFonts w:ascii="Times New Roman" w:hAnsi="Times New Roman"/>
          <w:noProof/>
          <w:sz w:val="24"/>
        </w:rPr>
      </w:pPr>
      <w:r>
        <w:rPr>
          <w:rFonts w:ascii="Times New Roman" w:hAnsi="Times New Roman"/>
          <w:noProof/>
          <w:sz w:val="24"/>
        </w:rPr>
        <w:t>as intervenções do Estado para apoiar instituições financeiras;</w:t>
      </w:r>
    </w:p>
    <w:p>
      <w:pPr>
        <w:numPr>
          <w:ilvl w:val="0"/>
          <w:numId w:val="3"/>
        </w:numPr>
        <w:tabs>
          <w:tab w:val="left" w:pos="1701"/>
        </w:tabs>
        <w:spacing w:before="120" w:after="120" w:line="240" w:lineRule="auto"/>
        <w:ind w:left="1701" w:hanging="431"/>
        <w:jc w:val="both"/>
        <w:rPr>
          <w:rFonts w:ascii="Times New Roman" w:hAnsi="Times New Roman"/>
          <w:noProof/>
          <w:sz w:val="24"/>
        </w:rPr>
      </w:pPr>
      <w:r>
        <w:rPr>
          <w:rFonts w:ascii="Times New Roman" w:hAnsi="Times New Roman"/>
          <w:noProof/>
          <w:sz w:val="24"/>
        </w:rPr>
        <w:t xml:space="preserve">o </w:t>
      </w:r>
      <w:r>
        <w:rPr>
          <w:rFonts w:ascii="Times New Roman" w:hAnsi="Times New Roman"/>
          <w:i/>
          <w:noProof/>
          <w:sz w:val="24"/>
        </w:rPr>
        <w:t>stock</w:t>
      </w:r>
      <w:r>
        <w:rPr>
          <w:rFonts w:ascii="Times New Roman" w:hAnsi="Times New Roman"/>
          <w:noProof/>
          <w:sz w:val="24"/>
        </w:rPr>
        <w:t xml:space="preserve"> de passivos de créditos comerciais e adiantamentos; e </w:t>
      </w:r>
    </w:p>
    <w:p>
      <w:pPr>
        <w:numPr>
          <w:ilvl w:val="0"/>
          <w:numId w:val="3"/>
        </w:numPr>
        <w:tabs>
          <w:tab w:val="left" w:pos="1701"/>
        </w:tabs>
        <w:spacing w:before="120" w:after="120" w:line="240" w:lineRule="auto"/>
        <w:ind w:left="1701" w:hanging="431"/>
        <w:jc w:val="both"/>
        <w:rPr>
          <w:rFonts w:ascii="Times New Roman" w:hAnsi="Times New Roman"/>
          <w:noProof/>
          <w:sz w:val="24"/>
        </w:rPr>
      </w:pPr>
      <w:r>
        <w:rPr>
          <w:rFonts w:ascii="Times New Roman" w:hAnsi="Times New Roman"/>
          <w:noProof/>
          <w:sz w:val="24"/>
        </w:rPr>
        <w:t xml:space="preserve">revisões do excedente/défice orçamental e da dívida pública. </w:t>
      </w:r>
    </w:p>
    <w:p>
      <w:pPr>
        <w:spacing w:before="120" w:after="120" w:line="240" w:lineRule="auto"/>
        <w:ind w:left="850"/>
        <w:jc w:val="both"/>
        <w:rPr>
          <w:rFonts w:ascii="Times New Roman" w:hAnsi="Times New Roman"/>
          <w:noProof/>
          <w:sz w:val="24"/>
        </w:rPr>
      </w:pPr>
      <w:r>
        <w:rPr>
          <w:rFonts w:ascii="Times New Roman" w:hAnsi="Times New Roman"/>
          <w:noProof/>
          <w:sz w:val="24"/>
        </w:rPr>
        <w:t>Publicou também um comunicado de imprensa sobre a dívida de Maastricht trimestral, a aproximadamente t+115</w:t>
      </w:r>
      <w:r>
        <w:rPr>
          <w:rFonts w:ascii="Times New Roman" w:hAnsi="Times New Roman"/>
          <w:noProof/>
          <w:sz w:val="24"/>
          <w:vertAlign w:val="superscript"/>
        </w:rPr>
        <w:footnoteReference w:id="27"/>
      </w:r>
      <w:r>
        <w:rPr>
          <w:rFonts w:ascii="Times New Roman" w:hAnsi="Times New Roman"/>
          <w:noProof/>
          <w:sz w:val="24"/>
        </w:rPr>
        <w:t xml:space="preserve"> dias, e um sobre os défices públicos trimestrais.</w:t>
      </w:r>
    </w:p>
    <w:p>
      <w:pPr>
        <w:spacing w:before="120" w:after="120" w:line="240" w:lineRule="auto"/>
        <w:ind w:left="850"/>
        <w:jc w:val="both"/>
        <w:rPr>
          <w:rFonts w:ascii="Times New Roman" w:hAnsi="Times New Roman"/>
          <w:noProof/>
          <w:sz w:val="24"/>
        </w:rPr>
      </w:pPr>
      <w:r>
        <w:rPr>
          <w:rFonts w:ascii="Times New Roman" w:hAnsi="Times New Roman"/>
          <w:noProof/>
          <w:sz w:val="24"/>
        </w:rPr>
        <w:t>O Regulamento (CE) n.º 479/2009 requer que os Estados</w:t>
      </w:r>
      <w:r>
        <w:rPr>
          <w:rFonts w:ascii="Times New Roman" w:hAnsi="Times New Roman"/>
          <w:noProof/>
          <w:sz w:val="24"/>
        </w:rPr>
        <w:noBreakHyphen/>
        <w:t>Membros publiquem os dados efetivos sobre o défice orçamental e a dívida pública. Todos os Estados</w:t>
      </w:r>
      <w:r>
        <w:rPr>
          <w:rFonts w:ascii="Times New Roman" w:hAnsi="Times New Roman"/>
          <w:noProof/>
          <w:sz w:val="24"/>
        </w:rPr>
        <w:noBreakHyphen/>
        <w:t>Membros publicam dados relativos ao défice e à dívida ao nível nacional. Na sua maioria, os Estados</w:t>
      </w:r>
      <w:r>
        <w:rPr>
          <w:rFonts w:ascii="Times New Roman" w:hAnsi="Times New Roman"/>
          <w:noProof/>
          <w:sz w:val="24"/>
        </w:rPr>
        <w:noBreakHyphen/>
        <w:t>Membros informaram o Eurostat da publicação de todos os quadros do PDE. Cinco Estados</w:t>
      </w:r>
      <w:r>
        <w:rPr>
          <w:rFonts w:ascii="Times New Roman" w:hAnsi="Times New Roman"/>
          <w:noProof/>
          <w:sz w:val="24"/>
        </w:rPr>
        <w:noBreakHyphen/>
        <w:t>Membros (Bulgária, Itália, Luxemburgo, Polónia e Eslováquia) publicaram apenas alguns dos quadros do PDE. A França publicou dados relativos ao défice e à dívida ao nível nacional num formato diferente dos quadros do PDE.</w:t>
      </w:r>
    </w:p>
    <w:p>
      <w:pPr>
        <w:keepNext/>
        <w:numPr>
          <w:ilvl w:val="2"/>
          <w:numId w:val="1"/>
        </w:numPr>
        <w:spacing w:before="120" w:after="120" w:line="240" w:lineRule="auto"/>
        <w:jc w:val="both"/>
        <w:outlineLvl w:val="2"/>
        <w:rPr>
          <w:rFonts w:ascii="Times New Roman" w:eastAsia="Times New Roman" w:hAnsi="Times New Roman" w:cs="Times New Roman"/>
          <w:b/>
          <w:bCs/>
          <w:i/>
          <w:noProof/>
          <w:sz w:val="24"/>
        </w:rPr>
      </w:pPr>
      <w:bookmarkStart w:id="91" w:name="_Toc342558493"/>
      <w:bookmarkStart w:id="92" w:name="_Toc442173642"/>
      <w:bookmarkStart w:id="93" w:name="_Toc442869398"/>
      <w:bookmarkStart w:id="94" w:name="_Toc1565637"/>
      <w:bookmarkStart w:id="95" w:name="_Toc2935108"/>
      <w:r>
        <w:rPr>
          <w:rFonts w:ascii="Times New Roman" w:hAnsi="Times New Roman"/>
          <w:b/>
          <w:i/>
          <w:noProof/>
          <w:sz w:val="24"/>
        </w:rPr>
        <w:t>Reservas sobre a qualidade dos dados</w:t>
      </w:r>
      <w:bookmarkEnd w:id="91"/>
      <w:bookmarkEnd w:id="92"/>
      <w:bookmarkEnd w:id="93"/>
      <w:bookmarkEnd w:id="94"/>
      <w:bookmarkEnd w:id="95"/>
    </w:p>
    <w:p>
      <w:pPr>
        <w:spacing w:before="120" w:after="120" w:line="240" w:lineRule="auto"/>
        <w:ind w:left="850"/>
        <w:jc w:val="both"/>
        <w:rPr>
          <w:rFonts w:ascii="Times New Roman" w:hAnsi="Times New Roman"/>
          <w:i/>
          <w:noProof/>
          <w:sz w:val="24"/>
        </w:rPr>
      </w:pPr>
      <w:r>
        <w:rPr>
          <w:rFonts w:ascii="Times New Roman" w:hAnsi="Times New Roman"/>
          <w:i/>
          <w:noProof/>
          <w:sz w:val="24"/>
        </w:rPr>
        <w:t>Abril de 2018</w:t>
      </w:r>
    </w:p>
    <w:p>
      <w:pPr>
        <w:spacing w:before="120" w:after="120" w:line="240" w:lineRule="auto"/>
        <w:ind w:left="850"/>
        <w:jc w:val="both"/>
        <w:rPr>
          <w:rFonts w:ascii="Times New Roman" w:hAnsi="Times New Roman"/>
          <w:noProof/>
          <w:sz w:val="24"/>
        </w:rPr>
      </w:pPr>
      <w:r>
        <w:rPr>
          <w:rFonts w:ascii="Times New Roman" w:hAnsi="Times New Roman"/>
          <w:noProof/>
          <w:sz w:val="24"/>
        </w:rPr>
        <w:t>O Eurostat manteve as suas reservas sobre a qualidade dos dados comunicados pela Hungria e pela França. Mantiveram</w:t>
      </w:r>
      <w:r>
        <w:rPr>
          <w:rFonts w:ascii="Times New Roman" w:hAnsi="Times New Roman"/>
          <w:noProof/>
          <w:sz w:val="24"/>
        </w:rPr>
        <w:noBreakHyphen/>
        <w:t xml:space="preserve">se as reservas sobre a qualidade dos dados comunicados pela Hungria em relação à classificação setorial das fundações criadas pelo Banco Nacional da Hungria, tendo sido retiradas as reservas sobre a classificação setorial do Eximbank. As reservas sobre a qualidade dos dados comunicados pela França foram alteradas em comparação com o comunicado de imprensa de outubro de 2017 relativo à classificação setorial da Agence Française de Développement e ao tratamento da injeção de capital na AREVA.  </w:t>
      </w:r>
    </w:p>
    <w:p>
      <w:pPr>
        <w:spacing w:before="120" w:after="120" w:line="240" w:lineRule="auto"/>
        <w:ind w:left="850"/>
        <w:jc w:val="both"/>
        <w:rPr>
          <w:rFonts w:ascii="Times New Roman" w:hAnsi="Times New Roman"/>
          <w:noProof/>
          <w:sz w:val="24"/>
        </w:rPr>
      </w:pPr>
      <w:r>
        <w:rPr>
          <w:rFonts w:ascii="Times New Roman" w:hAnsi="Times New Roman"/>
          <w:noProof/>
          <w:sz w:val="24"/>
        </w:rPr>
        <w:t>O Eurostat retirou as reservas sobre a qualidade dos dados comunicados pela Bélgica em relação à classificação setorial dos hospitais, enquanto se aguardam os resultados do processo de consulta em curso sobre esta questão a nível da UE.</w:t>
      </w:r>
    </w:p>
    <w:p>
      <w:pPr>
        <w:spacing w:before="120" w:after="120" w:line="240" w:lineRule="auto"/>
        <w:ind w:left="850"/>
        <w:jc w:val="both"/>
        <w:rPr>
          <w:rFonts w:ascii="Times New Roman" w:hAnsi="Times New Roman"/>
          <w:i/>
          <w:noProof/>
          <w:sz w:val="24"/>
        </w:rPr>
      </w:pPr>
      <w:r>
        <w:rPr>
          <w:rFonts w:ascii="Times New Roman" w:hAnsi="Times New Roman"/>
          <w:i/>
          <w:noProof/>
          <w:sz w:val="24"/>
        </w:rPr>
        <w:t>Outubro de 2018</w:t>
      </w:r>
    </w:p>
    <w:p>
      <w:pPr>
        <w:spacing w:before="120" w:after="120" w:line="240" w:lineRule="auto"/>
        <w:ind w:left="850"/>
        <w:jc w:val="both"/>
        <w:rPr>
          <w:rFonts w:ascii="Times New Roman" w:hAnsi="Times New Roman"/>
          <w:noProof/>
          <w:sz w:val="24"/>
        </w:rPr>
      </w:pPr>
      <w:r>
        <w:rPr>
          <w:rFonts w:ascii="Times New Roman" w:hAnsi="Times New Roman"/>
          <w:noProof/>
          <w:sz w:val="24"/>
        </w:rPr>
        <w:t>O Eurostat manteve as suas reservas sobre a qualidade dos dados comunicados pela Hungria em relação à classificação setorial das fundações criadas pelo Banco Nacional da Hungria.</w:t>
      </w:r>
    </w:p>
    <w:p>
      <w:pPr>
        <w:spacing w:before="120" w:after="120" w:line="240" w:lineRule="auto"/>
        <w:ind w:left="850"/>
        <w:jc w:val="both"/>
        <w:rPr>
          <w:rFonts w:ascii="Times New Roman" w:hAnsi="Times New Roman"/>
          <w:noProof/>
          <w:sz w:val="24"/>
        </w:rPr>
      </w:pPr>
      <w:r>
        <w:rPr>
          <w:rFonts w:ascii="Times New Roman" w:hAnsi="Times New Roman"/>
          <w:noProof/>
          <w:sz w:val="24"/>
        </w:rPr>
        <w:t>O Eurostat retirou as reservas sobre a qualidade dos dados comunicados pela França em relação à classificação setorial da Agence Française de Développement e ao tratamento da injeção de capital na AREVA.</w:t>
      </w:r>
    </w:p>
    <w:p>
      <w:pPr>
        <w:keepNext/>
        <w:numPr>
          <w:ilvl w:val="2"/>
          <w:numId w:val="1"/>
        </w:numPr>
        <w:spacing w:before="120" w:after="120" w:line="240" w:lineRule="auto"/>
        <w:jc w:val="both"/>
        <w:outlineLvl w:val="2"/>
        <w:rPr>
          <w:rFonts w:ascii="Times New Roman" w:eastAsia="Times New Roman" w:hAnsi="Times New Roman" w:cs="Times New Roman"/>
          <w:b/>
          <w:bCs/>
          <w:i/>
          <w:noProof/>
          <w:sz w:val="24"/>
        </w:rPr>
      </w:pPr>
      <w:bookmarkStart w:id="96" w:name="_Toc342558494"/>
      <w:bookmarkStart w:id="97" w:name="_Toc442173643"/>
      <w:bookmarkStart w:id="98" w:name="_Toc442869399"/>
      <w:bookmarkStart w:id="99" w:name="_Toc1565638"/>
      <w:bookmarkStart w:id="100" w:name="_Toc2935109"/>
      <w:r>
        <w:rPr>
          <w:rFonts w:ascii="Times New Roman" w:hAnsi="Times New Roman"/>
          <w:b/>
          <w:i/>
          <w:noProof/>
          <w:sz w:val="24"/>
        </w:rPr>
        <w:t>Alterações aos dados notificados</w:t>
      </w:r>
      <w:bookmarkEnd w:id="96"/>
      <w:bookmarkEnd w:id="97"/>
      <w:bookmarkEnd w:id="98"/>
      <w:bookmarkEnd w:id="99"/>
      <w:bookmarkEnd w:id="100"/>
    </w:p>
    <w:p>
      <w:pPr>
        <w:spacing w:before="120" w:after="120" w:line="240" w:lineRule="auto"/>
        <w:ind w:left="850"/>
        <w:jc w:val="both"/>
        <w:rPr>
          <w:rFonts w:ascii="Times New Roman" w:hAnsi="Times New Roman"/>
          <w:noProof/>
          <w:sz w:val="24"/>
        </w:rPr>
      </w:pPr>
      <w:r>
        <w:rPr>
          <w:rFonts w:ascii="Times New Roman" w:hAnsi="Times New Roman"/>
          <w:noProof/>
          <w:sz w:val="24"/>
        </w:rPr>
        <w:t>O Eurostat não alterou os dados notificados pelos Estados</w:t>
      </w:r>
      <w:r>
        <w:rPr>
          <w:rFonts w:ascii="Times New Roman" w:hAnsi="Times New Roman"/>
          <w:noProof/>
          <w:sz w:val="24"/>
        </w:rPr>
        <w:noBreakHyphen/>
        <w:t>Membros nas notificações relativas ao PDE de abril e de outubro de 2018.</w:t>
      </w:r>
    </w:p>
    <w:p>
      <w:pPr>
        <w:keepNext/>
        <w:numPr>
          <w:ilvl w:val="2"/>
          <w:numId w:val="1"/>
        </w:numPr>
        <w:spacing w:before="120" w:after="120" w:line="240" w:lineRule="auto"/>
        <w:jc w:val="both"/>
        <w:outlineLvl w:val="2"/>
        <w:rPr>
          <w:rFonts w:ascii="Times New Roman" w:eastAsia="Times New Roman" w:hAnsi="Times New Roman" w:cs="Times New Roman"/>
          <w:b/>
          <w:bCs/>
          <w:i/>
          <w:noProof/>
          <w:sz w:val="24"/>
        </w:rPr>
      </w:pPr>
      <w:bookmarkStart w:id="101" w:name="_Toc442173644"/>
      <w:bookmarkStart w:id="102" w:name="_Toc342558495"/>
      <w:bookmarkStart w:id="103" w:name="_Toc442869400"/>
      <w:bookmarkStart w:id="104" w:name="_Toc1565639"/>
      <w:bookmarkStart w:id="105" w:name="_Toc2935110"/>
      <w:r>
        <w:rPr>
          <w:rFonts w:ascii="Times New Roman" w:hAnsi="Times New Roman"/>
          <w:b/>
          <w:i/>
          <w:noProof/>
          <w:sz w:val="24"/>
        </w:rPr>
        <w:t>Publicação de metainformação (inventários)</w:t>
      </w:r>
      <w:r>
        <w:rPr>
          <w:rFonts w:ascii="Times New Roman" w:hAnsi="Times New Roman"/>
          <w:b/>
          <w:i/>
          <w:noProof/>
          <w:sz w:val="24"/>
          <w:vertAlign w:val="superscript"/>
        </w:rPr>
        <w:footnoteReference w:id="28"/>
      </w:r>
      <w:bookmarkEnd w:id="101"/>
      <w:bookmarkEnd w:id="102"/>
      <w:bookmarkEnd w:id="103"/>
      <w:bookmarkEnd w:id="104"/>
      <w:bookmarkEnd w:id="105"/>
    </w:p>
    <w:p>
      <w:pPr>
        <w:spacing w:before="120" w:after="120" w:line="240" w:lineRule="auto"/>
        <w:ind w:left="850"/>
        <w:jc w:val="both"/>
        <w:rPr>
          <w:rFonts w:ascii="Times New Roman" w:hAnsi="Times New Roman"/>
          <w:noProof/>
          <w:sz w:val="24"/>
        </w:rPr>
      </w:pPr>
      <w:r>
        <w:rPr>
          <w:rFonts w:ascii="Times New Roman" w:hAnsi="Times New Roman"/>
          <w:noProof/>
          <w:sz w:val="24"/>
        </w:rPr>
        <w:t>O Regulamento (CE) n.º 479/2009 especifica que os inventários no âmbito do PDE fazem parte das informações estatísticas que os Estados</w:t>
      </w:r>
      <w:r>
        <w:rPr>
          <w:rFonts w:ascii="Times New Roman" w:hAnsi="Times New Roman"/>
          <w:noProof/>
          <w:sz w:val="24"/>
        </w:rPr>
        <w:noBreakHyphen/>
        <w:t>Membros devem facultar. O regulamento exige também que os inventários sejam tornados públicos ao nível nacional.</w:t>
      </w:r>
    </w:p>
    <w:p>
      <w:pPr>
        <w:spacing w:before="120" w:after="120" w:line="240" w:lineRule="auto"/>
        <w:ind w:left="850"/>
        <w:jc w:val="both"/>
        <w:rPr>
          <w:rFonts w:ascii="Times New Roman" w:eastAsia="Times New Roman" w:hAnsi="Times New Roman"/>
          <w:b/>
          <w:bCs/>
          <w:smallCaps/>
          <w:noProof/>
          <w:sz w:val="24"/>
          <w:szCs w:val="28"/>
        </w:rPr>
      </w:pPr>
      <w:r>
        <w:rPr>
          <w:rFonts w:ascii="Times New Roman" w:hAnsi="Times New Roman"/>
          <w:noProof/>
          <w:sz w:val="24"/>
        </w:rPr>
        <w:t>Em 2014, o formato dos inventários do PDE foi melhorado (introduzindo alterações na estrutura e no nível de pormenor) e foi alcançado um acordo com os Estados</w:t>
      </w:r>
      <w:r>
        <w:rPr>
          <w:rFonts w:ascii="Times New Roman" w:hAnsi="Times New Roman"/>
          <w:noProof/>
          <w:sz w:val="24"/>
        </w:rPr>
        <w:noBreakHyphen/>
        <w:t>Membros sobre o novo modelo de inventário para o SEC 2010. No final de 2018, o Eurostat tinha publicado inventários revistos para 24 Estados</w:t>
      </w:r>
      <w:r>
        <w:rPr>
          <w:rFonts w:ascii="Times New Roman" w:hAnsi="Times New Roman"/>
          <w:noProof/>
          <w:sz w:val="24"/>
        </w:rPr>
        <w:noBreakHyphen/>
        <w:t xml:space="preserve">Membros. </w:t>
      </w:r>
      <w:bookmarkStart w:id="106" w:name="_Toc342558496"/>
      <w:bookmarkStart w:id="107" w:name="_Toc442173645"/>
      <w:bookmarkStart w:id="108" w:name="_Toc442869401"/>
      <w:r>
        <w:rPr>
          <w:rFonts w:ascii="Times New Roman" w:hAnsi="Times New Roman"/>
          <w:noProof/>
          <w:sz w:val="24"/>
        </w:rPr>
        <w:t>Os restantes quatro Estados</w:t>
      </w:r>
      <w:r>
        <w:rPr>
          <w:rFonts w:ascii="Times New Roman" w:hAnsi="Times New Roman"/>
          <w:noProof/>
          <w:sz w:val="24"/>
        </w:rPr>
        <w:noBreakHyphen/>
        <w:t>Membros (França, Irlanda, Luxemburgo e Países Baixos) apresentaram um projeto de inventário relativo ao PDE no novo formato e esperam</w:t>
      </w:r>
      <w:r>
        <w:rPr>
          <w:rFonts w:ascii="Times New Roman" w:hAnsi="Times New Roman"/>
          <w:noProof/>
          <w:sz w:val="24"/>
        </w:rPr>
        <w:noBreakHyphen/>
        <w:t>se novos progressos.</w:t>
      </w:r>
    </w:p>
    <w:p>
      <w:pPr>
        <w:keepNext/>
        <w:numPr>
          <w:ilvl w:val="0"/>
          <w:numId w:val="1"/>
        </w:numPr>
        <w:spacing w:before="360" w:after="120" w:line="240" w:lineRule="auto"/>
        <w:jc w:val="both"/>
        <w:outlineLvl w:val="0"/>
        <w:rPr>
          <w:rFonts w:ascii="Times New Roman" w:eastAsia="Times New Roman" w:hAnsi="Times New Roman"/>
          <w:b/>
          <w:bCs/>
          <w:smallCaps/>
          <w:noProof/>
          <w:sz w:val="24"/>
          <w:szCs w:val="28"/>
        </w:rPr>
      </w:pPr>
      <w:bookmarkStart w:id="109" w:name="_Toc1565640"/>
      <w:bookmarkStart w:id="110" w:name="_Toc2935111"/>
      <w:r>
        <w:rPr>
          <w:rFonts w:ascii="Times New Roman" w:hAnsi="Times New Roman"/>
          <w:b/>
          <w:smallCaps/>
          <w:noProof/>
          <w:sz w:val="24"/>
        </w:rPr>
        <w:t>Conclusões</w:t>
      </w:r>
      <w:bookmarkEnd w:id="106"/>
      <w:bookmarkEnd w:id="107"/>
      <w:bookmarkEnd w:id="108"/>
      <w:bookmarkEnd w:id="109"/>
      <w:bookmarkEnd w:id="110"/>
    </w:p>
    <w:p>
      <w:pPr>
        <w:spacing w:before="120" w:after="120" w:line="240" w:lineRule="auto"/>
        <w:ind w:left="850"/>
        <w:jc w:val="both"/>
        <w:rPr>
          <w:rFonts w:ascii="Times New Roman" w:hAnsi="Times New Roman"/>
          <w:noProof/>
          <w:sz w:val="24"/>
        </w:rPr>
      </w:pPr>
      <w:r>
        <w:rPr>
          <w:rFonts w:ascii="Times New Roman" w:hAnsi="Times New Roman"/>
          <w:noProof/>
          <w:sz w:val="24"/>
        </w:rPr>
        <w:t>O Eurostat reconhece uma melhoria geral e contínua da coerência e da exaustividade dos dados orçamentais comunicados. Não obstante, a qualidade dos dados orçamentais ainda tem de ser melhorada. Em 2018, o Eurostat procurou melhorar a qualidade dos dados orçamentais através de esclarecimentos bilaterais, ao avaliar as notificações relativas ao PDE, e intensificando os contactos e as consultas com os Estados</w:t>
      </w:r>
      <w:r>
        <w:rPr>
          <w:rFonts w:ascii="Times New Roman" w:hAnsi="Times New Roman"/>
          <w:noProof/>
          <w:sz w:val="24"/>
        </w:rPr>
        <w:noBreakHyphen/>
        <w:t>Membros entre notificações. A publicação de todas as suas cartas com recomendações metodológicas melhorou a partilha de conhecimentos e a transparência, bem como os amplos esforços que desenvolveu a favor da comunicação entre utilizadores e produtores de estatísticas em relação aos desenvolvimentos metodológicos.</w:t>
      </w:r>
    </w:p>
    <w:p>
      <w:pPr>
        <w:spacing w:before="120" w:after="120" w:line="240" w:lineRule="auto"/>
        <w:ind w:left="850"/>
        <w:jc w:val="both"/>
        <w:rPr>
          <w:rFonts w:ascii="Times New Roman" w:hAnsi="Times New Roman"/>
          <w:noProof/>
          <w:sz w:val="24"/>
        </w:rPr>
      </w:pPr>
      <w:r>
        <w:rPr>
          <w:rFonts w:ascii="Times New Roman" w:hAnsi="Times New Roman"/>
          <w:noProof/>
          <w:sz w:val="24"/>
        </w:rPr>
        <w:t>Em relação a alguns Estados</w:t>
      </w:r>
      <w:r>
        <w:rPr>
          <w:rFonts w:ascii="Times New Roman" w:hAnsi="Times New Roman"/>
          <w:noProof/>
          <w:sz w:val="24"/>
        </w:rPr>
        <w:noBreakHyphen/>
        <w:t>Membros, designadamente a Grécia, persistem problemas de coerência com as contas financeiras trimestrais.</w:t>
      </w:r>
    </w:p>
    <w:p>
      <w:pPr>
        <w:spacing w:before="120" w:after="120" w:line="240" w:lineRule="auto"/>
        <w:ind w:left="850"/>
        <w:jc w:val="both"/>
        <w:rPr>
          <w:rFonts w:ascii="Times New Roman" w:hAnsi="Times New Roman"/>
          <w:noProof/>
          <w:sz w:val="24"/>
        </w:rPr>
      </w:pPr>
      <w:r>
        <w:rPr>
          <w:rFonts w:ascii="Times New Roman" w:hAnsi="Times New Roman"/>
          <w:noProof/>
          <w:sz w:val="24"/>
        </w:rPr>
        <w:t>O Eurostat manteve as suas reservas sobre a qualidade dos dados comunicados nas notificações relativas ao PDE pela França (abril) e pela Hungria (abril e outubro). Retirou as reservas relativas à Bélgica (abril) e à França (outubro).</w:t>
      </w:r>
    </w:p>
    <w:p>
      <w:pPr>
        <w:spacing w:before="120" w:after="120" w:line="240" w:lineRule="auto"/>
        <w:ind w:left="850"/>
        <w:jc w:val="both"/>
        <w:rPr>
          <w:rFonts w:ascii="Times New Roman" w:hAnsi="Times New Roman"/>
          <w:noProof/>
          <w:sz w:val="24"/>
        </w:rPr>
      </w:pPr>
      <w:r>
        <w:rPr>
          <w:rFonts w:ascii="Times New Roman" w:hAnsi="Times New Roman"/>
          <w:noProof/>
          <w:sz w:val="24"/>
        </w:rPr>
        <w:t>O Eurostat conclui que, globalmente, a qualidade da notificação dos dados orçamentais continuou a melhorar em 2018. Em geral, os Estados</w:t>
      </w:r>
      <w:r>
        <w:rPr>
          <w:rFonts w:ascii="Times New Roman" w:hAnsi="Times New Roman"/>
          <w:noProof/>
          <w:sz w:val="24"/>
        </w:rPr>
        <w:noBreakHyphen/>
        <w:t>Membros prestaram dados de melhor qualidade e informações mais completas nos quadros de notificação do PDE e nas demais notificações estatísticas relevantes.</w:t>
      </w:r>
    </w:p>
    <w:p>
      <w:pPr>
        <w:rPr>
          <w:noProof/>
        </w:rPr>
      </w:pPr>
    </w:p>
    <w:sectPr>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PT</w:t>
    </w:r>
    <w:r>
      <w:rPr>
        <w:rFonts w:ascii="Arial" w:hAnsi="Arial" w:cs="Arial"/>
        <w:b/>
        <w:sz w:val="48"/>
      </w:rPr>
      <w:tab/>
    </w:r>
    <w:r>
      <w:rPr>
        <w:rFonts w:ascii="Arial" w:hAnsi="Arial" w:cs="Arial"/>
        <w:b/>
        <w:sz w:val="48"/>
      </w:rPr>
      <w:tab/>
    </w:r>
    <w:r>
      <w:tab/>
    </w:r>
    <w:r>
      <w:rPr>
        <w:rFonts w:ascii="Arial" w:hAnsi="Arial" w:cs="Arial"/>
        <w:b/>
        <w:sz w:val="48"/>
      </w:rPr>
      <w:t>PT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1909736"/>
      <w:docPartObj>
        <w:docPartGallery w:val="Page Numbers (Bottom of Page)"/>
        <w:docPartUnique/>
      </w:docPartObj>
    </w:sdtPr>
    <w:sdtEndPr>
      <w:rPr>
        <w:noProof/>
      </w:rPr>
    </w:sdtEndPr>
    <w:sdtContent>
      <w:p>
        <w:pPr>
          <w:pStyle w:val="Footer"/>
          <w:jc w:val="center"/>
        </w:pPr>
        <w:r>
          <w:rPr>
            <w:rFonts w:ascii="Times New Roman" w:hAnsi="Times New Roman" w:cs="Times New Roman"/>
            <w:sz w:val="20"/>
          </w:rPr>
          <w:fldChar w:fldCharType="begin"/>
        </w:r>
        <w:r>
          <w:rPr>
            <w:rFonts w:ascii="Times New Roman" w:hAnsi="Times New Roman" w:cs="Times New Roman"/>
            <w:sz w:val="20"/>
          </w:rPr>
          <w:instrText xml:space="preserve"> PAGE   \* MERGEFORMAT </w:instrText>
        </w:r>
        <w:r>
          <w:rPr>
            <w:rFonts w:ascii="Times New Roman" w:hAnsi="Times New Roman" w:cs="Times New Roman"/>
            <w:sz w:val="20"/>
          </w:rPr>
          <w:fldChar w:fldCharType="separate"/>
        </w:r>
        <w:r>
          <w:rPr>
            <w:rFonts w:ascii="Times New Roman" w:hAnsi="Times New Roman" w:cs="Times New Roman"/>
            <w:noProof/>
            <w:sz w:val="20"/>
          </w:rPr>
          <w:t>1</w:t>
        </w:r>
        <w:r>
          <w:rPr>
            <w:rFonts w:ascii="Times New Roman" w:hAnsi="Times New Roman" w:cs="Times New Roman"/>
            <w:noProof/>
            <w:sz w:val="20"/>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tab/>
      </w:r>
      <w:r>
        <w:rPr>
          <w:rFonts w:ascii="Times New Roman" w:hAnsi="Times New Roman"/>
        </w:rPr>
        <w:t>Regulamento (CE) n.º 479/2009 do Conselho relativo à aplicação do Protocolo sobre o procedimento relativo aos défices excessivos anexo ao Tratado que institui a Comunidade Europeia (JO L 145 de 10.6.2009, p. 1).</w:t>
      </w:r>
    </w:p>
  </w:footnote>
  <w:footnote w:id="2">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ab/>
        <w:t xml:space="preserve">Dados relativos aos últimos quatro anos, em conformidade com o artigo 3.º, n.º 2, do Regulamento (CE) n.º 479/2009. </w:t>
      </w:r>
    </w:p>
  </w:footnote>
  <w:footnote w:id="3">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tab/>
      </w:r>
      <w:r>
        <w:rPr>
          <w:rFonts w:ascii="Times New Roman" w:hAnsi="Times New Roman"/>
        </w:rPr>
        <w:t>COM(2018) 112 final.</w:t>
      </w:r>
    </w:p>
  </w:footnote>
  <w:footnote w:id="4">
    <w:p>
      <w:pPr>
        <w:pStyle w:val="FootnoteText"/>
        <w:spacing w:after="120" w:line="240" w:lineRule="auto"/>
        <w:ind w:left="284" w:hanging="284"/>
        <w:jc w:val="both"/>
        <w:rPr>
          <w:rFonts w:ascii="Times New Roman" w:hAnsi="Times New Roman"/>
        </w:rPr>
      </w:pPr>
      <w:r>
        <w:rPr>
          <w:rFonts w:ascii="Times New Roman" w:hAnsi="Times New Roman"/>
          <w:vertAlign w:val="superscript"/>
        </w:rPr>
        <w:footnoteRef/>
      </w:r>
      <w:r>
        <w:tab/>
      </w:r>
      <w:r>
        <w:rPr>
          <w:rFonts w:ascii="Times New Roman" w:hAnsi="Times New Roman"/>
        </w:rPr>
        <w:t>Regulamento (UE) n.º 549/2013 do Parlamento Europeu e do Conselho, de 21 de maio de 2013, relativo ao sistema europeu de contas nacionais e regionais na União Europeia (SEC 2010) (JO L 174 de 26.6.2013, p. 1).</w:t>
      </w:r>
    </w:p>
  </w:footnote>
  <w:footnote w:id="5">
    <w:p>
      <w:pPr>
        <w:pStyle w:val="FootnoteText"/>
        <w:spacing w:after="120" w:line="240" w:lineRule="auto"/>
        <w:ind w:left="284" w:hanging="284"/>
        <w:jc w:val="both"/>
        <w:rPr>
          <w:rFonts w:ascii="Times New Roman" w:hAnsi="Times New Roman"/>
        </w:rPr>
      </w:pPr>
      <w:r>
        <w:rPr>
          <w:rFonts w:ascii="Times New Roman" w:hAnsi="Times New Roman"/>
          <w:vertAlign w:val="superscript"/>
        </w:rPr>
        <w:footnoteRef/>
      </w:r>
      <w:r>
        <w:tab/>
      </w:r>
      <w:r>
        <w:rPr>
          <w:rFonts w:ascii="Times New Roman" w:hAnsi="Times New Roman"/>
        </w:rPr>
        <w:t>Artigo 3.º, n.</w:t>
      </w:r>
      <w:r>
        <w:rPr>
          <w:rFonts w:ascii="Times New Roman" w:hAnsi="Times New Roman"/>
          <w:vertAlign w:val="superscript"/>
        </w:rPr>
        <w:t>os</w:t>
      </w:r>
      <w:r>
        <w:rPr>
          <w:rFonts w:ascii="Times New Roman" w:hAnsi="Times New Roman"/>
        </w:rPr>
        <w:t> 1 e 3, do Regulamento (CE) n.º 479/2009.</w:t>
      </w:r>
    </w:p>
  </w:footnote>
  <w:footnote w:id="6">
    <w:p>
      <w:pPr>
        <w:pStyle w:val="FootnoteText"/>
        <w:spacing w:after="120" w:line="240" w:lineRule="auto"/>
        <w:ind w:left="284" w:hanging="284"/>
        <w:jc w:val="both"/>
        <w:rPr>
          <w:rFonts w:ascii="Times New Roman" w:hAnsi="Times New Roman"/>
        </w:rPr>
      </w:pPr>
      <w:r>
        <w:rPr>
          <w:rFonts w:ascii="Times New Roman" w:hAnsi="Times New Roman"/>
          <w:vertAlign w:val="superscript"/>
        </w:rPr>
        <w:footnoteRef/>
      </w:r>
      <w:r>
        <w:tab/>
      </w:r>
      <w:r>
        <w:rPr>
          <w:rFonts w:ascii="Times New Roman" w:hAnsi="Times New Roman"/>
        </w:rPr>
        <w:t>Os dados efetivos podem ser valores estimados, provisórios, semidefinitivos ou definitivos.</w:t>
      </w:r>
    </w:p>
  </w:footnote>
  <w:footnote w:id="7">
    <w:p>
      <w:pPr>
        <w:pStyle w:val="FootnoteText"/>
        <w:tabs>
          <w:tab w:val="left" w:pos="851"/>
        </w:tabs>
        <w:spacing w:after="12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O Protocolo sobre o procedimento relativo aos défices excessivos anexo ao Tratado sobre o Funcionamento da UE define a dívida pública como a dívida bruta consolidada das administrações públicas no final do ano (em valor nominal). Em conformidade com o Regulamento (CE) n.º 479/2009, a dívida pública abrange numerário e depósitos (AF.2), títulos de dívida (AF.3) e empréstimos (AF.4), tal como definido no SEC 2010.</w:t>
      </w:r>
    </w:p>
  </w:footnote>
  <w:footnote w:id="8">
    <w:p>
      <w:pPr>
        <w:pStyle w:val="FootnoteText"/>
        <w:tabs>
          <w:tab w:val="left" w:pos="851"/>
        </w:tabs>
        <w:spacing w:after="120" w:line="240" w:lineRule="auto"/>
        <w:ind w:left="284" w:hanging="284"/>
        <w:jc w:val="both"/>
        <w:rPr>
          <w:rFonts w:ascii="Times New Roman" w:hAnsi="Times New Roman"/>
        </w:rPr>
      </w:pPr>
      <w:r>
        <w:rPr>
          <w:rStyle w:val="FootnoteReference"/>
          <w:rFonts w:ascii="Times New Roman" w:hAnsi="Times New Roman"/>
        </w:rPr>
        <w:footnoteRef/>
      </w:r>
      <w:r>
        <w:tab/>
      </w:r>
      <w:r>
        <w:rPr>
          <w:rFonts w:ascii="Times New Roman" w:hAnsi="Times New Roman"/>
        </w:rPr>
        <w:t>Artigo 3.º, n.º 2, do Regulamento (CE) n.º 479/2009.</w:t>
      </w:r>
    </w:p>
  </w:footnote>
  <w:footnote w:id="9">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tab/>
      </w:r>
      <w:r>
        <w:rPr>
          <w:rFonts w:ascii="Times New Roman" w:hAnsi="Times New Roman"/>
        </w:rPr>
        <w:t>Ver declarações que acompanham a ata do Conselho de 22 de novembro de 1993;</w:t>
      </w:r>
      <w:r>
        <w:tab/>
      </w:r>
      <w:r>
        <w:rPr>
          <w:rFonts w:ascii="Times New Roman" w:hAnsi="Times New Roman"/>
        </w:rPr>
        <w:br/>
      </w:r>
      <w:hyperlink r:id="rId1">
        <w:r>
          <w:rPr>
            <w:rStyle w:val="Hyperlink"/>
          </w:rPr>
          <w:t>https://webgate.ec.europa.eu/fpfis/mwikis/gfs/images/e/e7/Statements_9817.en93.pdf</w:t>
        </w:r>
      </w:hyperlink>
    </w:p>
  </w:footnote>
  <w:footnote w:id="10">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tab/>
      </w:r>
      <w:r>
        <w:rPr>
          <w:rFonts w:ascii="Times New Roman" w:hAnsi="Times New Roman"/>
        </w:rPr>
        <w:t>O Regulamento (CE) n.º 479/2009 do Conselho só obriga expressamente os Estados</w:t>
      </w:r>
      <w:r>
        <w:rPr>
          <w:rFonts w:ascii="Times New Roman" w:hAnsi="Times New Roman"/>
        </w:rPr>
        <w:noBreakHyphen/>
        <w:t>Membros a fornecer os dados programados nos quadros 1 e 2A do PDE.</w:t>
      </w:r>
    </w:p>
  </w:footnote>
  <w:footnote w:id="11">
    <w:p>
      <w:pPr>
        <w:pStyle w:val="FootnoteText"/>
        <w:tabs>
          <w:tab w:val="left" w:pos="851"/>
        </w:tabs>
        <w:spacing w:after="120" w:line="240" w:lineRule="auto"/>
        <w:ind w:left="284" w:hanging="284"/>
        <w:jc w:val="both"/>
        <w:rPr>
          <w:rFonts w:ascii="Times New Roman" w:hAnsi="Times New Roman"/>
        </w:rPr>
      </w:pPr>
      <w:r>
        <w:rPr>
          <w:rStyle w:val="FootnoteReference"/>
          <w:rFonts w:ascii="Times New Roman" w:hAnsi="Times New Roman"/>
        </w:rPr>
        <w:footnoteRef/>
      </w:r>
      <w:r>
        <w:tab/>
      </w:r>
      <w:r>
        <w:rPr>
          <w:rFonts w:ascii="Times New Roman" w:hAnsi="Times New Roman"/>
        </w:rPr>
        <w:t>Os quadros de notificação do PDE apresentados pelos Estados</w:t>
      </w:r>
      <w:r>
        <w:rPr>
          <w:rFonts w:ascii="Times New Roman" w:hAnsi="Times New Roman"/>
        </w:rPr>
        <w:noBreakHyphen/>
        <w:t>Membros estão disponíveis no sítio Web do Eurostat:</w:t>
      </w:r>
      <w:r>
        <w:tab/>
      </w:r>
      <w:r>
        <w:rPr>
          <w:rFonts w:ascii="Times New Roman" w:hAnsi="Times New Roman"/>
        </w:rPr>
        <w:br/>
      </w:r>
      <w:hyperlink r:id="rId2">
        <w:r>
          <w:rPr>
            <w:rStyle w:val="Hyperlink"/>
          </w:rPr>
          <w:t>http://ec.europa.eu/eurostat/web/government</w:t>
        </w:r>
        <w:r>
          <w:rPr>
            <w:rStyle w:val="Hyperlink"/>
          </w:rPr>
          <w:noBreakHyphen/>
          <w:t>finance</w:t>
        </w:r>
        <w:r>
          <w:rPr>
            <w:rStyle w:val="Hyperlink"/>
          </w:rPr>
          <w:noBreakHyphen/>
          <w:t>statistics/excessive</w:t>
        </w:r>
        <w:r>
          <w:rPr>
            <w:rStyle w:val="Hyperlink"/>
          </w:rPr>
          <w:noBreakHyphen/>
          <w:t>deficit</w:t>
        </w:r>
        <w:r>
          <w:rPr>
            <w:rStyle w:val="Hyperlink"/>
          </w:rPr>
          <w:noBreakHyphen/>
          <w:t>procedure/edp</w:t>
        </w:r>
        <w:r>
          <w:rPr>
            <w:rStyle w:val="Hyperlink"/>
          </w:rPr>
          <w:noBreakHyphen/>
          <w:t>notification</w:t>
        </w:r>
        <w:r>
          <w:rPr>
            <w:rStyle w:val="Hyperlink"/>
          </w:rPr>
          <w:noBreakHyphen/>
          <w:t>tables</w:t>
        </w:r>
      </w:hyperlink>
    </w:p>
  </w:footnote>
  <w:footnote w:id="12">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tab/>
      </w:r>
      <w:r>
        <w:rPr>
          <w:rFonts w:ascii="Times New Roman" w:hAnsi="Times New Roman"/>
        </w:rPr>
        <w:t>O questionário comporta 13 secções em que se solicita informação quantitativa e, por vezes, qualitativa em diversos domínios, como as operações relativas a impostos e contribuições sociais, as operações com a UE, as aquisições de equipamento militar, as garantias do Estado, as anulações de dívidas, as injeções de capital efetuadas pelo Estado em empresas públicas, as parcerias público</w:t>
      </w:r>
      <w:r>
        <w:noBreakHyphen/>
      </w:r>
      <w:r>
        <w:rPr>
          <w:rFonts w:ascii="Times New Roman" w:hAnsi="Times New Roman"/>
        </w:rPr>
        <w:t>privadas, as operações de reclassificação, etc.</w:t>
      </w:r>
    </w:p>
  </w:footnote>
  <w:footnote w:id="13">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tab/>
      </w:r>
      <w:hyperlink r:id="rId3">
        <w:r>
          <w:rPr>
            <w:rStyle w:val="Hyperlink"/>
          </w:rPr>
          <w:t>https://ec.europa.eu/eurostat/documents/1015035/9306957/Background</w:t>
        </w:r>
        <w:r>
          <w:rPr>
            <w:rStyle w:val="Hyperlink"/>
          </w:rPr>
          <w:noBreakHyphen/>
          <w:t>note</w:t>
        </w:r>
        <w:r>
          <w:rPr>
            <w:rStyle w:val="Hyperlink"/>
          </w:rPr>
          <w:noBreakHyphen/>
          <w:t>on</w:t>
        </w:r>
        <w:r>
          <w:rPr>
            <w:rStyle w:val="Hyperlink"/>
          </w:rPr>
          <w:noBreakHyphen/>
          <w:t>gov</w:t>
        </w:r>
        <w:r>
          <w:rPr>
            <w:rStyle w:val="Hyperlink"/>
          </w:rPr>
          <w:noBreakHyphen/>
          <w:t>interventions</w:t>
        </w:r>
        <w:r>
          <w:rPr>
            <w:rStyle w:val="Hyperlink"/>
          </w:rPr>
          <w:noBreakHyphen/>
          <w:t>Oct2018.pdf</w:t>
        </w:r>
      </w:hyperlink>
      <w:r>
        <w:rPr>
          <w:rFonts w:ascii="Times New Roman" w:hAnsi="Times New Roman"/>
        </w:rPr>
        <w:t xml:space="preserve"> </w:t>
      </w:r>
    </w:p>
  </w:footnote>
  <w:footnote w:id="14">
    <w:p>
      <w:pPr>
        <w:pStyle w:val="FootnoteText"/>
        <w:spacing w:after="120" w:line="240" w:lineRule="auto"/>
        <w:ind w:left="284" w:hanging="284"/>
        <w:jc w:val="both"/>
        <w:rPr>
          <w:rFonts w:ascii="Times New Roman" w:hAnsi="Times New Roman"/>
        </w:rPr>
      </w:pPr>
      <w:r>
        <w:rPr>
          <w:rFonts w:ascii="Times New Roman" w:hAnsi="Times New Roman"/>
          <w:vertAlign w:val="superscript"/>
        </w:rPr>
        <w:footnoteRef/>
      </w:r>
      <w:r>
        <w:rPr>
          <w:rFonts w:ascii="Times New Roman" w:hAnsi="Times New Roman"/>
        </w:rPr>
        <w:t xml:space="preserve"> </w:t>
      </w:r>
      <w:r>
        <w:tab/>
      </w:r>
      <w:hyperlink r:id="rId4">
        <w:r>
          <w:rPr>
            <w:rStyle w:val="Hyperlink"/>
          </w:rPr>
          <w:t>http://ec.europa.eu/eurostat/web/government</w:t>
        </w:r>
        <w:r>
          <w:rPr>
            <w:rStyle w:val="Hyperlink"/>
          </w:rPr>
          <w:noBreakHyphen/>
          <w:t>finance</w:t>
        </w:r>
        <w:r>
          <w:rPr>
            <w:rStyle w:val="Hyperlink"/>
          </w:rPr>
          <w:noBreakHyphen/>
          <w:t>statistics/excessive</w:t>
        </w:r>
        <w:r>
          <w:rPr>
            <w:rStyle w:val="Hyperlink"/>
          </w:rPr>
          <w:noBreakHyphen/>
          <w:t>deficit</w:t>
        </w:r>
        <w:r>
          <w:rPr>
            <w:rStyle w:val="Hyperlink"/>
          </w:rPr>
          <w:noBreakHyphen/>
          <w:t>procedure/eurostat</w:t>
        </w:r>
        <w:r>
          <w:rPr>
            <w:rStyle w:val="Hyperlink"/>
          </w:rPr>
          <w:noBreakHyphen/>
          <w:t>edp</w:t>
        </w:r>
        <w:r>
          <w:rPr>
            <w:rStyle w:val="Hyperlink"/>
          </w:rPr>
          <w:noBreakHyphen/>
          <w:t>visits</w:t>
        </w:r>
        <w:r>
          <w:rPr>
            <w:rStyle w:val="Hyperlink"/>
          </w:rPr>
          <w:noBreakHyphen/>
          <w:t>to</w:t>
        </w:r>
        <w:r>
          <w:rPr>
            <w:rStyle w:val="Hyperlink"/>
          </w:rPr>
          <w:noBreakHyphen/>
          <w:t>member</w:t>
        </w:r>
        <w:r>
          <w:rPr>
            <w:rStyle w:val="Hyperlink"/>
          </w:rPr>
          <w:noBreakHyphen/>
          <w:t>states</w:t>
        </w:r>
      </w:hyperlink>
    </w:p>
  </w:footnote>
  <w:footnote w:id="15">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hyperlink r:id="rId5">
        <w:r>
          <w:rPr>
            <w:rStyle w:val="Hyperlink"/>
          </w:rPr>
          <w:t>http://ec.europa.eu/eurostat/web/government</w:t>
        </w:r>
        <w:r>
          <w:rPr>
            <w:rStyle w:val="Hyperlink"/>
          </w:rPr>
          <w:noBreakHyphen/>
          <w:t>finance</w:t>
        </w:r>
        <w:r>
          <w:rPr>
            <w:rStyle w:val="Hyperlink"/>
          </w:rPr>
          <w:noBreakHyphen/>
          <w:t>statistics/methodology/guidance</w:t>
        </w:r>
        <w:r>
          <w:rPr>
            <w:rStyle w:val="Hyperlink"/>
          </w:rPr>
          <w:noBreakHyphen/>
          <w:t>on</w:t>
        </w:r>
        <w:r>
          <w:rPr>
            <w:rStyle w:val="Hyperlink"/>
          </w:rPr>
          <w:noBreakHyphen/>
          <w:t>accounting</w:t>
        </w:r>
        <w:r>
          <w:rPr>
            <w:rStyle w:val="Hyperlink"/>
          </w:rPr>
          <w:noBreakHyphen/>
          <w:t>rules</w:t>
        </w:r>
      </w:hyperlink>
    </w:p>
  </w:footnote>
  <w:footnote w:id="16">
    <w:p>
      <w:pPr>
        <w:pStyle w:val="FootnoteText"/>
        <w:spacing w:after="120" w:line="240" w:lineRule="auto"/>
        <w:ind w:left="284" w:hanging="284"/>
        <w:jc w:val="both"/>
        <w:rPr>
          <w:rStyle w:val="Hyperlink"/>
        </w:rPr>
      </w:pPr>
      <w:r>
        <w:rPr>
          <w:rStyle w:val="FootnoteReference"/>
          <w:rFonts w:ascii="Times New Roman" w:hAnsi="Times New Roman"/>
        </w:rPr>
        <w:footnoteRef/>
      </w:r>
      <w:r>
        <w:rPr>
          <w:rFonts w:ascii="Times New Roman" w:hAnsi="Times New Roman"/>
        </w:rPr>
        <w:t xml:space="preserve"> </w:t>
      </w:r>
      <w:r>
        <w:tab/>
      </w:r>
      <w:hyperlink r:id="rId6">
        <w:r>
          <w:rPr>
            <w:rStyle w:val="Hyperlink"/>
          </w:rPr>
          <w:t>http://ec.europa.eu/eurostat/web/government</w:t>
        </w:r>
        <w:r>
          <w:rPr>
            <w:rStyle w:val="Hyperlink"/>
          </w:rPr>
          <w:noBreakHyphen/>
          <w:t>finance</w:t>
        </w:r>
        <w:r>
          <w:rPr>
            <w:rStyle w:val="Hyperlink"/>
          </w:rPr>
          <w:noBreakHyphen/>
          <w:t>statistics/methodology/advice</w:t>
        </w:r>
        <w:r>
          <w:rPr>
            <w:rStyle w:val="Hyperlink"/>
          </w:rPr>
          <w:noBreakHyphen/>
          <w:t>to</w:t>
        </w:r>
        <w:r>
          <w:rPr>
            <w:rStyle w:val="Hyperlink"/>
          </w:rPr>
          <w:noBreakHyphen/>
          <w:t>member</w:t>
        </w:r>
        <w:r>
          <w:rPr>
            <w:rStyle w:val="Hyperlink"/>
          </w:rPr>
          <w:noBreakHyphen/>
          <w:t>states</w:t>
        </w:r>
      </w:hyperlink>
    </w:p>
  </w:footnote>
  <w:footnote w:id="17">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7">
        <w:r>
          <w:rPr>
            <w:rStyle w:val="Hyperlink"/>
          </w:rPr>
          <w:t>https://ec.europa.eu/eurostat/documents/1015035/8885635/guide_to_statistical_treatment_of_epcs_en.pdf</w:t>
        </w:r>
      </w:hyperlink>
      <w:r>
        <w:rPr>
          <w:rFonts w:ascii="Times New Roman" w:hAnsi="Times New Roman"/>
        </w:rPr>
        <w:t xml:space="preserve"> </w:t>
      </w:r>
    </w:p>
  </w:footnote>
  <w:footnote w:id="18">
    <w:p>
      <w:pPr>
        <w:pStyle w:val="FootnoteText"/>
        <w:ind w:left="284" w:hanging="284"/>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8">
        <w:r>
          <w:rPr>
            <w:rStyle w:val="Hyperlink"/>
          </w:rPr>
          <w:t>https://ec.europa.eu/eurostat/documents/1015035/2041329/Procedures</w:t>
        </w:r>
        <w:r>
          <w:rPr>
            <w:rStyle w:val="Hyperlink"/>
          </w:rPr>
          <w:noBreakHyphen/>
          <w:t>Dev</w:t>
        </w:r>
        <w:r>
          <w:rPr>
            <w:rStyle w:val="Hyperlink"/>
          </w:rPr>
          <w:noBreakHyphen/>
          <w:t>and</w:t>
        </w:r>
        <w:r>
          <w:rPr>
            <w:rStyle w:val="Hyperlink"/>
          </w:rPr>
          <w:noBreakHyphen/>
          <w:t>Implt</w:t>
        </w:r>
        <w:r>
          <w:rPr>
            <w:rStyle w:val="Hyperlink"/>
          </w:rPr>
          <w:noBreakHyphen/>
          <w:t>Methodology</w:t>
        </w:r>
        <w:r>
          <w:rPr>
            <w:rStyle w:val="Hyperlink"/>
          </w:rPr>
          <w:noBreakHyphen/>
          <w:t>EDP</w:t>
        </w:r>
        <w:r>
          <w:rPr>
            <w:rStyle w:val="Hyperlink"/>
          </w:rPr>
          <w:noBreakHyphen/>
          <w:t>data.pdf</w:t>
        </w:r>
      </w:hyperlink>
      <w:r>
        <w:rPr>
          <w:rFonts w:ascii="Times New Roman" w:hAnsi="Times New Roman"/>
        </w:rPr>
        <w:t xml:space="preserve"> </w:t>
      </w:r>
    </w:p>
  </w:footnote>
  <w:footnote w:id="19">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9">
        <w:r>
          <w:rPr>
            <w:rStyle w:val="Hyperlink"/>
          </w:rPr>
          <w:t>http://data.consilium.europa.eu/doc/document/ST</w:t>
        </w:r>
        <w:r>
          <w:rPr>
            <w:rStyle w:val="Hyperlink"/>
          </w:rPr>
          <w:noBreakHyphen/>
          <w:t>13865</w:t>
        </w:r>
        <w:r>
          <w:rPr>
            <w:rStyle w:val="Hyperlink"/>
          </w:rPr>
          <w:noBreakHyphen/>
          <w:t>2018</w:t>
        </w:r>
        <w:r>
          <w:rPr>
            <w:rStyle w:val="Hyperlink"/>
          </w:rPr>
          <w:noBreakHyphen/>
          <w:t>INIT/pt/pdf</w:t>
        </w:r>
      </w:hyperlink>
    </w:p>
  </w:footnote>
  <w:footnote w:id="20">
    <w:p>
      <w:pPr>
        <w:pStyle w:val="FootnoteText"/>
        <w:spacing w:after="12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COM(2017) 94 final.</w:t>
      </w:r>
    </w:p>
  </w:footnote>
  <w:footnote w:id="21">
    <w:p>
      <w:pPr>
        <w:pStyle w:val="FootnoteText"/>
        <w:spacing w:after="12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Regulamento (UE) n.º 1173/2011 do Parlamento Europeu e do Conselho, de 16 de novembro de 2011, relativo ao exercício eficaz da supervisão orçamental na área do euro (JO L 306 de 23.11.2011, p. 1).</w:t>
      </w:r>
    </w:p>
  </w:footnote>
  <w:footnote w:id="22">
    <w:p>
      <w:pPr>
        <w:pStyle w:val="FootnoteText"/>
        <w:spacing w:after="12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COM(2017) 93 final.</w:t>
      </w:r>
    </w:p>
  </w:footnote>
  <w:footnote w:id="23">
    <w:p>
      <w:pPr>
        <w:pStyle w:val="FootnoteText"/>
        <w:spacing w:after="12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Decisão de Execução (UE) 2018/818 do Conselho, de 28 de maio de 2018, que aplica uma multa à Áustria pela manipulação de dados relativos à dívida no </w:t>
      </w:r>
      <w:r>
        <w:rPr>
          <w:rFonts w:ascii="Times New Roman" w:hAnsi="Times New Roman"/>
          <w:i/>
        </w:rPr>
        <w:t>Land</w:t>
      </w:r>
      <w:r>
        <w:rPr>
          <w:rFonts w:ascii="Times New Roman" w:hAnsi="Times New Roman"/>
        </w:rPr>
        <w:t xml:space="preserve"> de Salzburgo (JO L 137 de 4.6.2018, p. 23).</w:t>
      </w:r>
    </w:p>
  </w:footnote>
  <w:footnote w:id="24">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tab/>
      </w:r>
      <w:hyperlink r:id="rId10">
        <w:r>
          <w:rPr>
            <w:rStyle w:val="Hyperlink"/>
          </w:rPr>
          <w:t>https://ec.europa.eu/eurostat/documents/2995521/8824490/2</w:t>
        </w:r>
        <w:r>
          <w:rPr>
            <w:rStyle w:val="Hyperlink"/>
          </w:rPr>
          <w:noBreakHyphen/>
          <w:t>23042018</w:t>
        </w:r>
        <w:r>
          <w:rPr>
            <w:rStyle w:val="Hyperlink"/>
          </w:rPr>
          <w:noBreakHyphen/>
          <w:t>AP</w:t>
        </w:r>
        <w:r>
          <w:rPr>
            <w:rStyle w:val="Hyperlink"/>
          </w:rPr>
          <w:noBreakHyphen/>
          <w:t>EN.pdf</w:t>
        </w:r>
      </w:hyperlink>
      <w:r>
        <w:rPr>
          <w:rFonts w:ascii="Times New Roman" w:hAnsi="Times New Roman"/>
        </w:rPr>
        <w:t xml:space="preserve">  </w:t>
      </w:r>
    </w:p>
  </w:footnote>
  <w:footnote w:id="25">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tab/>
      </w:r>
      <w:hyperlink r:id="rId11">
        <w:r>
          <w:rPr>
            <w:rStyle w:val="Hyperlink"/>
          </w:rPr>
          <w:t>https://ec.europa.eu/eurostat/documents/2995521/9328077/2</w:t>
        </w:r>
        <w:r>
          <w:rPr>
            <w:rStyle w:val="Hyperlink"/>
          </w:rPr>
          <w:noBreakHyphen/>
          <w:t>22102018</w:t>
        </w:r>
        <w:r>
          <w:rPr>
            <w:rStyle w:val="Hyperlink"/>
          </w:rPr>
          <w:noBreakHyphen/>
          <w:t>AP</w:t>
        </w:r>
        <w:r>
          <w:rPr>
            <w:rStyle w:val="Hyperlink"/>
          </w:rPr>
          <w:noBreakHyphen/>
          <w:t>EN.pdf</w:t>
        </w:r>
      </w:hyperlink>
      <w:r>
        <w:rPr>
          <w:rFonts w:ascii="Times New Roman" w:hAnsi="Times New Roman"/>
        </w:rPr>
        <w:t xml:space="preserve"> </w:t>
      </w:r>
    </w:p>
  </w:footnote>
  <w:footnote w:id="26">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hyperlink r:id="rId12">
        <w:r>
          <w:rPr>
            <w:rStyle w:val="Hyperlink"/>
          </w:rPr>
          <w:t>http://ec.europa.eu/eurostat/web/government</w:t>
        </w:r>
        <w:r>
          <w:rPr>
            <w:rStyle w:val="Hyperlink"/>
          </w:rPr>
          <w:noBreakHyphen/>
          <w:t>finance</w:t>
        </w:r>
        <w:r>
          <w:rPr>
            <w:rStyle w:val="Hyperlink"/>
          </w:rPr>
          <w:noBreakHyphen/>
          <w:t>statistics/excessive</w:t>
        </w:r>
        <w:r>
          <w:rPr>
            <w:rStyle w:val="Hyperlink"/>
          </w:rPr>
          <w:noBreakHyphen/>
          <w:t>deficit</w:t>
        </w:r>
        <w:r>
          <w:rPr>
            <w:rStyle w:val="Hyperlink"/>
          </w:rPr>
          <w:noBreakHyphen/>
          <w:t>procedure/edp</w:t>
        </w:r>
        <w:r>
          <w:rPr>
            <w:rStyle w:val="Hyperlink"/>
          </w:rPr>
          <w:noBreakHyphen/>
          <w:t>notification</w:t>
        </w:r>
        <w:r>
          <w:rPr>
            <w:rStyle w:val="Hyperlink"/>
          </w:rPr>
          <w:noBreakHyphen/>
          <w:t>tables</w:t>
        </w:r>
      </w:hyperlink>
    </w:p>
  </w:footnote>
  <w:footnote w:id="27">
    <w:p>
      <w:pPr>
        <w:pStyle w:val="FootnoteText"/>
        <w:spacing w:after="120"/>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«t» refere</w:t>
      </w:r>
      <w:r>
        <w:rPr>
          <w:rFonts w:ascii="Times New Roman" w:hAnsi="Times New Roman"/>
        </w:rPr>
        <w:noBreakHyphen/>
        <w:t>se ao final do período a que a comunicação diz respeito.</w:t>
      </w:r>
    </w:p>
  </w:footnote>
  <w:footnote w:id="28">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tab/>
      </w:r>
      <w:r>
        <w:rPr>
          <w:rFonts w:ascii="Times New Roman" w:hAnsi="Times New Roman"/>
        </w:rPr>
        <w:t>Inventários dos métodos, procedimentos e fontes utilizados para compilar os dados efetivos do défice orçamental e da dívida pública e das contas públicas subjacentes.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829B8"/>
    <w:multiLevelType w:val="hybridMultilevel"/>
    <w:tmpl w:val="6D2A5244"/>
    <w:lvl w:ilvl="0" w:tplc="3DF2C38E">
      <w:start w:val="1"/>
      <w:numFmt w:val="bullet"/>
      <w:lvlText w:val=""/>
      <w:lvlJc w:val="left"/>
      <w:pPr>
        <w:ind w:left="1570" w:hanging="360"/>
      </w:pPr>
      <w:rPr>
        <w:rFonts w:ascii="Symbol" w:hAnsi="Symbol" w:hint="default"/>
      </w:rPr>
    </w:lvl>
    <w:lvl w:ilvl="1" w:tplc="08090003">
      <w:start w:val="1"/>
      <w:numFmt w:val="bullet"/>
      <w:lvlText w:val="o"/>
      <w:lvlJc w:val="left"/>
      <w:pPr>
        <w:ind w:left="2290" w:hanging="360"/>
      </w:pPr>
      <w:rPr>
        <w:rFonts w:ascii="Courier New" w:hAnsi="Courier New" w:cs="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1">
    <w:nsid w:val="0BEB7B1E"/>
    <w:multiLevelType w:val="hybridMultilevel"/>
    <w:tmpl w:val="EF402F56"/>
    <w:lvl w:ilvl="0" w:tplc="3DF2C38E">
      <w:start w:val="1"/>
      <w:numFmt w:val="bullet"/>
      <w:lvlText w:val=""/>
      <w:lvlJc w:val="left"/>
      <w:pPr>
        <w:ind w:left="1630" w:hanging="360"/>
      </w:pPr>
      <w:rPr>
        <w:rFonts w:ascii="Symbol" w:hAnsi="Symbol" w:hint="default"/>
      </w:rPr>
    </w:lvl>
    <w:lvl w:ilvl="1" w:tplc="08090003" w:tentative="1">
      <w:start w:val="1"/>
      <w:numFmt w:val="bullet"/>
      <w:lvlText w:val="o"/>
      <w:lvlJc w:val="left"/>
      <w:pPr>
        <w:ind w:left="2350" w:hanging="360"/>
      </w:pPr>
      <w:rPr>
        <w:rFonts w:ascii="Courier New" w:hAnsi="Courier New" w:cs="Courier New" w:hint="default"/>
      </w:rPr>
    </w:lvl>
    <w:lvl w:ilvl="2" w:tplc="08090005" w:tentative="1">
      <w:start w:val="1"/>
      <w:numFmt w:val="bullet"/>
      <w:lvlText w:val=""/>
      <w:lvlJc w:val="left"/>
      <w:pPr>
        <w:ind w:left="3070" w:hanging="360"/>
      </w:pPr>
      <w:rPr>
        <w:rFonts w:ascii="Wingdings" w:hAnsi="Wingdings" w:hint="default"/>
      </w:rPr>
    </w:lvl>
    <w:lvl w:ilvl="3" w:tplc="08090001" w:tentative="1">
      <w:start w:val="1"/>
      <w:numFmt w:val="bullet"/>
      <w:lvlText w:val=""/>
      <w:lvlJc w:val="left"/>
      <w:pPr>
        <w:ind w:left="3790" w:hanging="360"/>
      </w:pPr>
      <w:rPr>
        <w:rFonts w:ascii="Symbol" w:hAnsi="Symbol" w:hint="default"/>
      </w:rPr>
    </w:lvl>
    <w:lvl w:ilvl="4" w:tplc="08090003" w:tentative="1">
      <w:start w:val="1"/>
      <w:numFmt w:val="bullet"/>
      <w:lvlText w:val="o"/>
      <w:lvlJc w:val="left"/>
      <w:pPr>
        <w:ind w:left="4510" w:hanging="360"/>
      </w:pPr>
      <w:rPr>
        <w:rFonts w:ascii="Courier New" w:hAnsi="Courier New" w:cs="Courier New" w:hint="default"/>
      </w:rPr>
    </w:lvl>
    <w:lvl w:ilvl="5" w:tplc="08090005" w:tentative="1">
      <w:start w:val="1"/>
      <w:numFmt w:val="bullet"/>
      <w:lvlText w:val=""/>
      <w:lvlJc w:val="left"/>
      <w:pPr>
        <w:ind w:left="5230" w:hanging="360"/>
      </w:pPr>
      <w:rPr>
        <w:rFonts w:ascii="Wingdings" w:hAnsi="Wingdings" w:hint="default"/>
      </w:rPr>
    </w:lvl>
    <w:lvl w:ilvl="6" w:tplc="08090001" w:tentative="1">
      <w:start w:val="1"/>
      <w:numFmt w:val="bullet"/>
      <w:lvlText w:val=""/>
      <w:lvlJc w:val="left"/>
      <w:pPr>
        <w:ind w:left="5950" w:hanging="360"/>
      </w:pPr>
      <w:rPr>
        <w:rFonts w:ascii="Symbol" w:hAnsi="Symbol" w:hint="default"/>
      </w:rPr>
    </w:lvl>
    <w:lvl w:ilvl="7" w:tplc="08090003" w:tentative="1">
      <w:start w:val="1"/>
      <w:numFmt w:val="bullet"/>
      <w:lvlText w:val="o"/>
      <w:lvlJc w:val="left"/>
      <w:pPr>
        <w:ind w:left="6670" w:hanging="360"/>
      </w:pPr>
      <w:rPr>
        <w:rFonts w:ascii="Courier New" w:hAnsi="Courier New" w:cs="Courier New" w:hint="default"/>
      </w:rPr>
    </w:lvl>
    <w:lvl w:ilvl="8" w:tplc="08090005" w:tentative="1">
      <w:start w:val="1"/>
      <w:numFmt w:val="bullet"/>
      <w:lvlText w:val=""/>
      <w:lvlJc w:val="left"/>
      <w:pPr>
        <w:ind w:left="7390" w:hanging="360"/>
      </w:pPr>
      <w:rPr>
        <w:rFonts w:ascii="Wingdings" w:hAnsi="Wingdings" w:hint="default"/>
      </w:rPr>
    </w:lvl>
  </w:abstractNum>
  <w:abstractNum w:abstractNumId="2">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revisionView w:markup="0"/>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E2FAC7C5-5AAC-4B1B-868C-20023A9CE168"/>
    <w:docVar w:name="LW_COVERPAGE_TYPE" w:val="1"/>
    <w:docVar w:name="LW_CROSSREFERENCE" w:val="&lt;UNUSED&gt;"/>
    <w:docVar w:name="LW_DocType" w:val="NORMAL"/>
    <w:docVar w:name="LW_EMISSION" w:val="27.3.2019"/>
    <w:docVar w:name="LW_EMISSION_ISODATE" w:val="2019-03-27"/>
    <w:docVar w:name="LW_EMISSION_LOCATION" w:val="BRX"/>
    <w:docVar w:name="LW_EMISSION_PREFIX" w:val="Bruxelas, "/>
    <w:docVar w:name="LW_EMISSION_SUFFIX" w:val=" "/>
    <w:docVar w:name="LW_ID_DOCTYPE_NONLW" w:val="CP-006"/>
    <w:docVar w:name="LW_LANGUE" w:val="PT"/>
    <w:docVar w:name="LW_LEVEL_OF_SENSITIVITY" w:val="Standard treatment"/>
    <w:docVar w:name="LW_NOM.INST" w:val="COMISSÃO EUROPEIA"/>
    <w:docVar w:name="LW_NOM.INST_JOINTDOC" w:val="&lt;EMPTY&gt;"/>
    <w:docVar w:name="LW_PART_NBR" w:val="1"/>
    <w:docVar w:name="LW_PART_NBR_TOTAL" w:val="1"/>
    <w:docVar w:name="LW_REF.INST.NEW" w:val="COM"/>
    <w:docVar w:name="LW_REF.INST.NEW_ADOPTED" w:val="final"/>
    <w:docVar w:name="LW_REF.INST.NEW_TEXT" w:val="(2019) 15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lt;FMT:Bold&gt;sobre a qualidade dos dados orçamentais comunicados pelos Estados\u8209?Membros em 2018&lt;/FMT&gt;"/>
    <w:docVar w:name="LW_TYPE.DOC.CP" w:val="RELATÓRIO DA COMISSÃO AO PARLAMENTO EUROPEU E AO CONSELHO"/>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pt-PT" w:bidi="pt-PT"/>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numPr>
        <w:numId w:val="1"/>
      </w:numPr>
      <w:spacing w:before="360" w:after="120" w:line="240" w:lineRule="auto"/>
      <w:jc w:val="both"/>
      <w:outlineLvl w:val="0"/>
    </w:pPr>
    <w:rPr>
      <w:rFonts w:ascii="Times New Roman" w:eastAsia="Times New Roman" w:hAnsi="Times New Roman" w:cs="Times New Roman"/>
      <w:b/>
      <w:bCs/>
      <w:smallCaps/>
      <w:sz w:val="24"/>
      <w:szCs w:val="28"/>
    </w:rPr>
  </w:style>
  <w:style w:type="paragraph" w:styleId="Heading2">
    <w:name w:val="heading 2"/>
    <w:basedOn w:val="Normal"/>
    <w:next w:val="Normal"/>
    <w:link w:val="Heading2Char"/>
    <w:uiPriority w:val="9"/>
    <w:unhideWhenUsed/>
    <w:qFormat/>
    <w:pPr>
      <w:keepNext/>
      <w:numPr>
        <w:ilvl w:val="1"/>
        <w:numId w:val="1"/>
      </w:numPr>
      <w:spacing w:before="120" w:after="120" w:line="240" w:lineRule="auto"/>
      <w:jc w:val="both"/>
      <w:outlineLvl w:val="1"/>
    </w:pPr>
    <w:rPr>
      <w:rFonts w:ascii="Times New Roman" w:eastAsia="Times New Roman" w:hAnsi="Times New Roman" w:cs="Times New Roman"/>
      <w:b/>
      <w:bCs/>
      <w:sz w:val="24"/>
      <w:szCs w:val="26"/>
    </w:rPr>
  </w:style>
  <w:style w:type="paragraph" w:styleId="Heading3">
    <w:name w:val="heading 3"/>
    <w:basedOn w:val="Normal"/>
    <w:next w:val="Normal"/>
    <w:link w:val="Heading3Char"/>
    <w:uiPriority w:val="9"/>
    <w:unhideWhenUsed/>
    <w:qFormat/>
    <w:pPr>
      <w:keepNext/>
      <w:numPr>
        <w:ilvl w:val="2"/>
        <w:numId w:val="1"/>
      </w:numPr>
      <w:spacing w:before="120" w:after="120" w:line="240" w:lineRule="auto"/>
      <w:jc w:val="both"/>
      <w:outlineLvl w:val="2"/>
    </w:pPr>
    <w:rPr>
      <w:rFonts w:ascii="Times New Roman" w:eastAsia="Times New Roman" w:hAnsi="Times New Roman" w:cs="Times New Roman"/>
      <w:bCs/>
      <w:i/>
      <w:sz w:val="24"/>
    </w:rPr>
  </w:style>
  <w:style w:type="paragraph" w:styleId="Heading4">
    <w:name w:val="heading 4"/>
    <w:basedOn w:val="Normal"/>
    <w:next w:val="Normal"/>
    <w:link w:val="Heading4Char"/>
    <w:uiPriority w:val="9"/>
    <w:semiHidden/>
    <w:unhideWhenUsed/>
    <w:qFormat/>
    <w:pPr>
      <w:keepNext/>
      <w:numPr>
        <w:ilvl w:val="3"/>
        <w:numId w:val="1"/>
      </w:numPr>
      <w:spacing w:before="120" w:after="120" w:line="240" w:lineRule="auto"/>
      <w:jc w:val="both"/>
      <w:outlineLvl w:val="3"/>
    </w:pPr>
    <w:rPr>
      <w:rFonts w:ascii="Times New Roman" w:eastAsia="Times New Roman" w:hAnsi="Times New Roman" w:cs="Times New Roman"/>
      <w:bCs/>
      <w:iCs/>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imes New Roman" w:hAnsi="Times New Roman" w:cs="Times New Roman"/>
      <w:b/>
      <w:bCs/>
      <w:smallCaps/>
      <w:sz w:val="24"/>
      <w:szCs w:val="28"/>
      <w:lang w:eastAsia="pt-PT"/>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24"/>
      <w:szCs w:val="26"/>
      <w:lang w:eastAsia="pt-PT"/>
    </w:rPr>
  </w:style>
  <w:style w:type="character" w:customStyle="1" w:styleId="Heading3Char">
    <w:name w:val="Heading 3 Char"/>
    <w:basedOn w:val="DefaultParagraphFont"/>
    <w:link w:val="Heading3"/>
    <w:uiPriority w:val="9"/>
    <w:rPr>
      <w:rFonts w:ascii="Times New Roman" w:eastAsia="Times New Roman" w:hAnsi="Times New Roman" w:cs="Times New Roman"/>
      <w:bCs/>
      <w:i/>
      <w:sz w:val="24"/>
      <w:lang w:eastAsia="pt-PT"/>
    </w:rPr>
  </w:style>
  <w:style w:type="character" w:customStyle="1" w:styleId="Heading4Char">
    <w:name w:val="Heading 4 Char"/>
    <w:basedOn w:val="DefaultParagraphFont"/>
    <w:link w:val="Heading4"/>
    <w:uiPriority w:val="9"/>
    <w:semiHidden/>
    <w:rPr>
      <w:rFonts w:ascii="Times New Roman" w:eastAsia="Times New Roman" w:hAnsi="Times New Roman" w:cs="Times New Roman"/>
      <w:bCs/>
      <w:iCs/>
      <w:sz w:val="24"/>
      <w:lang w:eastAsia="pt-PT"/>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basedOn w:val="Normal"/>
    <w:link w:val="FootnoteTextChar"/>
    <w:uiPriority w:val="99"/>
    <w:unhideWhenUsed/>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Pr>
      <w:rFonts w:ascii="Calibri" w:eastAsia="Calibri" w:hAnsi="Calibri" w:cs="Times New Roman"/>
      <w:sz w:val="20"/>
      <w:szCs w:val="20"/>
    </w:rPr>
  </w:style>
  <w:style w:type="character" w:styleId="Hyperlink">
    <w:name w:val="Hyperlink"/>
    <w:uiPriority w:val="99"/>
    <w:rPr>
      <w:rFonts w:cs="Times New Roman"/>
      <w:color w:val="0000FF"/>
      <w:u w:val="single"/>
      <w:shd w:val="clear" w:color="auto" w:fill="auto"/>
    </w:rPr>
  </w:style>
  <w:style w:type="character" w:styleId="FootnoteReference">
    <w:name w:val="footnote reference"/>
    <w:uiPriority w:val="99"/>
    <w:unhideWhenUsed/>
    <w:rPr>
      <w:shd w:val="clear" w:color="auto" w:fill="auto"/>
      <w:vertAlign w:val="superscript"/>
    </w:rPr>
  </w:style>
  <w:style w:type="paragraph" w:styleId="TOC1">
    <w:name w:val="toc 1"/>
    <w:basedOn w:val="Normal"/>
    <w:next w:val="Normal"/>
    <w:autoRedefine/>
    <w:uiPriority w:val="39"/>
    <w:unhideWhenUsed/>
    <w:rPr>
      <w:rFonts w:ascii="Calibri" w:eastAsia="Calibri" w:hAnsi="Calibri" w:cs="Times New Roman"/>
    </w:rPr>
  </w:style>
  <w:style w:type="paragraph" w:styleId="TOC2">
    <w:name w:val="toc 2"/>
    <w:basedOn w:val="Normal"/>
    <w:next w:val="Normal"/>
    <w:autoRedefine/>
    <w:uiPriority w:val="39"/>
    <w:unhideWhenUsed/>
    <w:pPr>
      <w:tabs>
        <w:tab w:val="left" w:pos="880"/>
        <w:tab w:val="right" w:leader="dot" w:pos="9016"/>
      </w:tabs>
      <w:ind w:left="220"/>
    </w:pPr>
    <w:rPr>
      <w:rFonts w:ascii="Times New Roman" w:eastAsia="Calibri" w:hAnsi="Times New Roman" w:cs="Times New Roman"/>
      <w:noProof/>
    </w:rPr>
  </w:style>
  <w:style w:type="paragraph" w:styleId="TOC3">
    <w:name w:val="toc 3"/>
    <w:basedOn w:val="Normal"/>
    <w:next w:val="Normal"/>
    <w:autoRedefine/>
    <w:uiPriority w:val="39"/>
    <w:unhideWhenUsed/>
    <w:pPr>
      <w:ind w:left="440"/>
    </w:pPr>
    <w:rPr>
      <w:rFonts w:ascii="Calibri" w:eastAsia="Calibri" w:hAnsi="Calibri" w:cs="Times New Roman"/>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pt-PT" w:bidi="pt-PT"/>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numPr>
        <w:numId w:val="1"/>
      </w:numPr>
      <w:spacing w:before="360" w:after="120" w:line="240" w:lineRule="auto"/>
      <w:jc w:val="both"/>
      <w:outlineLvl w:val="0"/>
    </w:pPr>
    <w:rPr>
      <w:rFonts w:ascii="Times New Roman" w:eastAsia="Times New Roman" w:hAnsi="Times New Roman" w:cs="Times New Roman"/>
      <w:b/>
      <w:bCs/>
      <w:smallCaps/>
      <w:sz w:val="24"/>
      <w:szCs w:val="28"/>
    </w:rPr>
  </w:style>
  <w:style w:type="paragraph" w:styleId="Heading2">
    <w:name w:val="heading 2"/>
    <w:basedOn w:val="Normal"/>
    <w:next w:val="Normal"/>
    <w:link w:val="Heading2Char"/>
    <w:uiPriority w:val="9"/>
    <w:unhideWhenUsed/>
    <w:qFormat/>
    <w:pPr>
      <w:keepNext/>
      <w:numPr>
        <w:ilvl w:val="1"/>
        <w:numId w:val="1"/>
      </w:numPr>
      <w:spacing w:before="120" w:after="120" w:line="240" w:lineRule="auto"/>
      <w:jc w:val="both"/>
      <w:outlineLvl w:val="1"/>
    </w:pPr>
    <w:rPr>
      <w:rFonts w:ascii="Times New Roman" w:eastAsia="Times New Roman" w:hAnsi="Times New Roman" w:cs="Times New Roman"/>
      <w:b/>
      <w:bCs/>
      <w:sz w:val="24"/>
      <w:szCs w:val="26"/>
    </w:rPr>
  </w:style>
  <w:style w:type="paragraph" w:styleId="Heading3">
    <w:name w:val="heading 3"/>
    <w:basedOn w:val="Normal"/>
    <w:next w:val="Normal"/>
    <w:link w:val="Heading3Char"/>
    <w:uiPriority w:val="9"/>
    <w:unhideWhenUsed/>
    <w:qFormat/>
    <w:pPr>
      <w:keepNext/>
      <w:numPr>
        <w:ilvl w:val="2"/>
        <w:numId w:val="1"/>
      </w:numPr>
      <w:spacing w:before="120" w:after="120" w:line="240" w:lineRule="auto"/>
      <w:jc w:val="both"/>
      <w:outlineLvl w:val="2"/>
    </w:pPr>
    <w:rPr>
      <w:rFonts w:ascii="Times New Roman" w:eastAsia="Times New Roman" w:hAnsi="Times New Roman" w:cs="Times New Roman"/>
      <w:bCs/>
      <w:i/>
      <w:sz w:val="24"/>
    </w:rPr>
  </w:style>
  <w:style w:type="paragraph" w:styleId="Heading4">
    <w:name w:val="heading 4"/>
    <w:basedOn w:val="Normal"/>
    <w:next w:val="Normal"/>
    <w:link w:val="Heading4Char"/>
    <w:uiPriority w:val="9"/>
    <w:semiHidden/>
    <w:unhideWhenUsed/>
    <w:qFormat/>
    <w:pPr>
      <w:keepNext/>
      <w:numPr>
        <w:ilvl w:val="3"/>
        <w:numId w:val="1"/>
      </w:numPr>
      <w:spacing w:before="120" w:after="120" w:line="240" w:lineRule="auto"/>
      <w:jc w:val="both"/>
      <w:outlineLvl w:val="3"/>
    </w:pPr>
    <w:rPr>
      <w:rFonts w:ascii="Times New Roman" w:eastAsia="Times New Roman" w:hAnsi="Times New Roman" w:cs="Times New Roman"/>
      <w:bCs/>
      <w:iCs/>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imes New Roman" w:hAnsi="Times New Roman" w:cs="Times New Roman"/>
      <w:b/>
      <w:bCs/>
      <w:smallCaps/>
      <w:sz w:val="24"/>
      <w:szCs w:val="28"/>
      <w:lang w:eastAsia="pt-PT"/>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24"/>
      <w:szCs w:val="26"/>
      <w:lang w:eastAsia="pt-PT"/>
    </w:rPr>
  </w:style>
  <w:style w:type="character" w:customStyle="1" w:styleId="Heading3Char">
    <w:name w:val="Heading 3 Char"/>
    <w:basedOn w:val="DefaultParagraphFont"/>
    <w:link w:val="Heading3"/>
    <w:uiPriority w:val="9"/>
    <w:rPr>
      <w:rFonts w:ascii="Times New Roman" w:eastAsia="Times New Roman" w:hAnsi="Times New Roman" w:cs="Times New Roman"/>
      <w:bCs/>
      <w:i/>
      <w:sz w:val="24"/>
      <w:lang w:eastAsia="pt-PT"/>
    </w:rPr>
  </w:style>
  <w:style w:type="character" w:customStyle="1" w:styleId="Heading4Char">
    <w:name w:val="Heading 4 Char"/>
    <w:basedOn w:val="DefaultParagraphFont"/>
    <w:link w:val="Heading4"/>
    <w:uiPriority w:val="9"/>
    <w:semiHidden/>
    <w:rPr>
      <w:rFonts w:ascii="Times New Roman" w:eastAsia="Times New Roman" w:hAnsi="Times New Roman" w:cs="Times New Roman"/>
      <w:bCs/>
      <w:iCs/>
      <w:sz w:val="24"/>
      <w:lang w:eastAsia="pt-PT"/>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basedOn w:val="Normal"/>
    <w:link w:val="FootnoteTextChar"/>
    <w:uiPriority w:val="99"/>
    <w:unhideWhenUsed/>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Pr>
      <w:rFonts w:ascii="Calibri" w:eastAsia="Calibri" w:hAnsi="Calibri" w:cs="Times New Roman"/>
      <w:sz w:val="20"/>
      <w:szCs w:val="20"/>
    </w:rPr>
  </w:style>
  <w:style w:type="character" w:styleId="Hyperlink">
    <w:name w:val="Hyperlink"/>
    <w:uiPriority w:val="99"/>
    <w:rPr>
      <w:rFonts w:cs="Times New Roman"/>
      <w:color w:val="0000FF"/>
      <w:u w:val="single"/>
      <w:shd w:val="clear" w:color="auto" w:fill="auto"/>
    </w:rPr>
  </w:style>
  <w:style w:type="character" w:styleId="FootnoteReference">
    <w:name w:val="footnote reference"/>
    <w:uiPriority w:val="99"/>
    <w:unhideWhenUsed/>
    <w:rPr>
      <w:shd w:val="clear" w:color="auto" w:fill="auto"/>
      <w:vertAlign w:val="superscript"/>
    </w:rPr>
  </w:style>
  <w:style w:type="paragraph" w:styleId="TOC1">
    <w:name w:val="toc 1"/>
    <w:basedOn w:val="Normal"/>
    <w:next w:val="Normal"/>
    <w:autoRedefine/>
    <w:uiPriority w:val="39"/>
    <w:unhideWhenUsed/>
    <w:rPr>
      <w:rFonts w:ascii="Calibri" w:eastAsia="Calibri" w:hAnsi="Calibri" w:cs="Times New Roman"/>
    </w:rPr>
  </w:style>
  <w:style w:type="paragraph" w:styleId="TOC2">
    <w:name w:val="toc 2"/>
    <w:basedOn w:val="Normal"/>
    <w:next w:val="Normal"/>
    <w:autoRedefine/>
    <w:uiPriority w:val="39"/>
    <w:unhideWhenUsed/>
    <w:pPr>
      <w:tabs>
        <w:tab w:val="left" w:pos="880"/>
        <w:tab w:val="right" w:leader="dot" w:pos="9016"/>
      </w:tabs>
      <w:ind w:left="220"/>
    </w:pPr>
    <w:rPr>
      <w:rFonts w:ascii="Times New Roman" w:eastAsia="Calibri" w:hAnsi="Times New Roman" w:cs="Times New Roman"/>
      <w:noProof/>
    </w:rPr>
  </w:style>
  <w:style w:type="paragraph" w:styleId="TOC3">
    <w:name w:val="toc 3"/>
    <w:basedOn w:val="Normal"/>
    <w:next w:val="Normal"/>
    <w:autoRedefine/>
    <w:uiPriority w:val="39"/>
    <w:unhideWhenUsed/>
    <w:pPr>
      <w:ind w:left="440"/>
    </w:pPr>
    <w:rPr>
      <w:rFonts w:ascii="Calibri" w:eastAsia="Calibri" w:hAnsi="Calibri" w:cs="Times New Roman"/>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documents/1015035/2041329/Procedures-Dev-and-Implt-Methodology-EDP-data.pdf" TargetMode="External"/><Relationship Id="rId3" Type="http://schemas.openxmlformats.org/officeDocument/2006/relationships/hyperlink" Target="https://ec.europa.eu/eurostat/documents/1015035/9306957/Background-note-on-gov-interventions-Oct2018.pdf" TargetMode="External"/><Relationship Id="rId7" Type="http://schemas.openxmlformats.org/officeDocument/2006/relationships/hyperlink" Target="https://ec.europa.eu/eurostat/documents/1015035/8885635/guide_to_statistical_treatment_of_epcs_en.pdf" TargetMode="External"/><Relationship Id="rId12" Type="http://schemas.openxmlformats.org/officeDocument/2006/relationships/hyperlink" Target="http://ec.europa.eu/eurostat/web/government-finance-statistics/excessive-deficit-procedure/edp-notification-tables" TargetMode="External"/><Relationship Id="rId2" Type="http://schemas.openxmlformats.org/officeDocument/2006/relationships/hyperlink" Target="http://ec.europa.eu/eurostat/web/government-finance-statistics/excessive-deficit-procedure/edp-notification-tables" TargetMode="External"/><Relationship Id="rId1" Type="http://schemas.openxmlformats.org/officeDocument/2006/relationships/hyperlink" Target="https://webgate.ec.europa.eu/fpfis/mwikis/gfs/images/e/e7/Statements_9817.en93.pdf" TargetMode="External"/><Relationship Id="rId6" Type="http://schemas.openxmlformats.org/officeDocument/2006/relationships/hyperlink" Target="http://ec.europa.eu/eurostat/web/government-finance-statistics/methodology/advice-to-member-states" TargetMode="External"/><Relationship Id="rId11" Type="http://schemas.openxmlformats.org/officeDocument/2006/relationships/hyperlink" Target="https://ec.europa.eu/eurostat/documents/2995521/9328077/2-22102018-AP-EN.pdf" TargetMode="External"/><Relationship Id="rId5" Type="http://schemas.openxmlformats.org/officeDocument/2006/relationships/hyperlink" Target="http://ec.europa.eu/eurostat/web/government-finance-statistics/methodology/guidance-on-accounting-rules" TargetMode="External"/><Relationship Id="rId10" Type="http://schemas.openxmlformats.org/officeDocument/2006/relationships/hyperlink" Target="https://ec.europa.eu/eurostat/documents/2995521/8824490/2-23042018-AP-EN.pdf" TargetMode="External"/><Relationship Id="rId4" Type="http://schemas.openxmlformats.org/officeDocument/2006/relationships/hyperlink" Target="http://ec.europa.eu/eurostat/web/government-finance-statistics/excessive-deficit-procedure/eurostat-edp-visits-to-member-states" TargetMode="External"/><Relationship Id="rId9" Type="http://schemas.openxmlformats.org/officeDocument/2006/relationships/hyperlink" Target="http://data.consilium.europa.eu/doc/document/ST-13865-2018-INIT/p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122</TotalTime>
  <Pages>12</Pages>
  <Words>4010</Words>
  <Characters>22421</Characters>
  <Application>Microsoft Office Word</Application>
  <DocSecurity>0</DocSecurity>
  <Lines>400</Lines>
  <Paragraphs>139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17</cp:revision>
  <dcterms:created xsi:type="dcterms:W3CDTF">2019-02-20T11:42:00Z</dcterms:created>
  <dcterms:modified xsi:type="dcterms:W3CDTF">2019-03-19T10:26:00Z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reated using">
    <vt:lpwstr>LW 6.0.1, Build 20180503</vt:lpwstr>
  </property>
  <property fmtid="{D5CDD505-2E9C-101B-9397-08002B2CF9AE}" pid="7" name="Last edited using">
    <vt:lpwstr>LW 6.0.1, Build 20180503</vt:lpwstr>
  </property>
  <property name="OP_sanitized" fmtid="{D5CDD505-2E9C-101B-9397-08002B2CF9AE}" pid="8">
    <vt:lpwstr>True</vt:lpwstr>
  </property>
</Properties>
</file>