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5A5961EF-00BF-4979-BF61-AFD593DA20F4" style="width:450.35pt;height:395.3pt">
            <v:imagedata r:id="rId12" o:title=""/>
          </v:shape>
        </w:pict>
      </w:r>
    </w:p>
    <w:bookmarkEnd w:id="0"/>
    <w:p>
      <w:pPr>
        <w:pStyle w:val="Pagedecouverture"/>
        <w:rPr>
          <w:noProof/>
        </w:rPr>
        <w:sectPr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tbl>
      <w:tblPr>
        <w:tblStyle w:val="TableGrid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="Tahoma" w:hAnsi="Tahoma"/>
                <w:b/>
                <w:noProof/>
                <w:sz w:val="22"/>
              </w:rPr>
              <w:lastRenderedPageBreak/>
              <w:t>Ficha de síntese</w:t>
            </w:r>
          </w:p>
        </w:tc>
      </w:tr>
      <w:t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>
            <w:pPr>
              <w:spacing w:before="120" w:after="120"/>
              <w:jc w:val="both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>
              <w:rPr>
                <w:rFonts w:ascii="Tahoma" w:hAnsi="Tahoma"/>
                <w:noProof/>
                <w:color w:val="FFFFFF" w:themeColor="background1"/>
                <w:sz w:val="20"/>
              </w:rPr>
              <w:t>Avaliação de impacto sobre a Proposta de Regulamento que estabelece o programa Alfândega  para a cooperação no domínio aduaneiro.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A. Necessidade de agir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Porquê? Qual é o problema em causa?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Nos últimos anos, o desempenho aduaneiro foi influenciado por </w:t>
            </w:r>
            <w:r>
              <w:rPr>
                <w:rFonts w:ascii="Arial" w:hAnsi="Arial"/>
                <w:b/>
                <w:noProof/>
                <w:color w:val="1036A0"/>
                <w:sz w:val="20"/>
              </w:rPr>
              <w:t>tendências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como 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globalização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, o que induziu um crescimento exponencial dos volumes de mercadorias — e dos dados correspondentes — e a multiplicação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das ameaças à segurança e da criminalidade transnacional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. Em resposta, 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modernização da união aduaneira através do Código Aduaneiro da União foi iniciada</w:t>
            </w:r>
            <w:r>
              <w:rPr>
                <w:rStyle w:val="FootnoteReference"/>
                <w:rFonts w:ascii="Arial" w:hAnsi="Arial"/>
                <w:noProof/>
                <w:color w:val="1036A0"/>
                <w:sz w:val="20"/>
              </w:rPr>
              <w:footnoteReference w:id="1"/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exigindo múltiplos sistemas eletrónicos europeus novos. A rápida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evolução de tecnologias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(digitalização, conectividade, Internet das coisas, tecnologia de cadeia de blocos), os novos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modelos de negócios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(comércio eletrónico, otimização da cadeia de abastecimento), bem como os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reduzidos meios financeiros públicos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criam novos desafios suplementares para as administrações aduaneiras. </w:t>
            </w:r>
          </w:p>
          <w:p>
            <w:pPr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Neste contexto, o funcionamento da união aduaneira sofre de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 xml:space="preserve">um </w:t>
            </w:r>
            <w:r>
              <w:rPr>
                <w:rFonts w:ascii="Arial" w:hAnsi="Arial"/>
                <w:b/>
                <w:noProof/>
                <w:color w:val="1036A0"/>
                <w:sz w:val="20"/>
                <w:u w:val="single"/>
              </w:rPr>
              <w:t>problema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 xml:space="preserve"> de insuficiência de uniformidade e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a falta de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eficácia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das administrações aduaneiras. As causas na raiz deste problema são três: desigualdade ao nível da capacidade das administrações aduaneiras; variações na interpretação e execução da legislação (CAU e outra); obstáculos à cooperação entre administrações aduaneiras e com outras partes interessadas.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O </w:t>
            </w:r>
            <w:r>
              <w:rPr>
                <w:rFonts w:ascii="Arial" w:hAnsi="Arial"/>
                <w:b/>
                <w:noProof/>
                <w:color w:val="1036A0"/>
                <w:sz w:val="20"/>
                <w:u w:val="single"/>
              </w:rPr>
              <w:t>efeito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deste problema de desempenho traduz-se no facto de a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união aduaneira não ter atingido o seu pleno potencial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, o que, por sua vez, compromete o funcionamento do mercado interno, prejudica a equidade social e compromete a competitividade da UE.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O que se espera alcançar com a iniciativa?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1.</w:t>
            </w:r>
            <w:r>
              <w:rPr>
                <w:noProof/>
              </w:rPr>
              <w:t> 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O Programa tem por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objetivo geral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apoiar a união aduaneira e as autoridades aduaneiras, proteger os interesses financeiros da União e dos seus Estados-Membros, garantir a segurança na União e protegê-la do comércio desleal e ilegal, facilitando simultaneamente as atividades económicas legítimas.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2. O Programa tem por objetivo específico apoiar a preparação e a aplicação uniforme da legislação e das políticas aduaneiras, bem como a cooperação aduaneira e o reforço da capacidade administrativa, incluindo competências humanas e o desenvolvimento e a exploração dos sistemas eletrónicos europeus.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Qual é o valor acrescentado da ação a nível da UE?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Embora as alfândegas sejam um domínio de competência exclusiva com um elevado grau de legislação harmonizada da UE, a implementação continua a integrar a competência exclusiva dos Estados-Membros, pelo que 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força da união aduaneira só pode ser a do seu elo mais fraco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. A UE ou os Estados-Membros individualmente não podem fazer face aos desafios mundiais e transeuropeus de forma eficiente e coerente em toda a Europa. A cooperação e a integração operacional entre as administrações aduaneiras nacionais são necessárias. 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área de TI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, área em que o programa permite o desenvolvimento e a realização de uma série de sistemas eletrónicos europeus definidos em comum a custo mais reduzido do que se tal fosse efetuado a nível nacional, é a que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apresenta um maior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 valor acrescentado.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keepNext/>
              <w:keepLines/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B. Soluções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Quais foram as opções legislativas e não legislativas ponderadas? É dada preferência a alguma delas? Porquê?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Foram consideradas várias opções estratégicas, que dependem principalmente do nível de ambição política para o programa. As principais opções são a opção 2 — «massa crítica» e a </w:t>
            </w: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«opção 3 — continuidade “+”» (opção preferida)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: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Opção 2 — Massa Crítica</w:t>
            </w:r>
            <w:r>
              <w:rPr>
                <w:rFonts w:ascii="Arial" w:hAnsi="Arial"/>
                <w:noProof/>
                <w:color w:val="1036A0"/>
                <w:sz w:val="20"/>
              </w:rPr>
              <w:t>: esta opção visa financiar todos os sistemas eletrónicos no âmbito do CAU, bem como alguns novos sistemas eletrónicos (não-CAU), garantindo a continuidade das operações aduaneiras da UE e o cumprimento das novas obrigações ao abrigo da legislação aduaneira da UE. Tendo por única ambição a aplicação do CAU e da legislação já proposta, este cenário implicaria uma reapreciação exaustiva da ambição da UE em matéria aduaneira.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  <w:u w:val="single"/>
              </w:rPr>
              <w:t>«Opção 3 — continuidade “+”»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: esta opção propõe responder eficazmente aos desafios atuais e futuros da união aduaneira. Visa permitir as ações necessárias para reforçar o desempenho das administrações aduaneiras da UE. Concretamente, o reforço das capacidades de TI asseguraria que novos projetos de TI aduaneiros (não-CAU) pudessem ser integrados e que a inovação fosse possível. A cooperação seria </w:t>
            </w:r>
            <w:r>
              <w:rPr>
                <w:rFonts w:ascii="Arial" w:hAnsi="Arial"/>
                <w:noProof/>
                <w:color w:val="1036A0"/>
                <w:sz w:val="20"/>
              </w:rPr>
              <w:lastRenderedPageBreak/>
              <w:t>intensificada e melhorada para reforçar as capacidades das administrações aduaneiras para colaborar com outras autoridades, a fim de garantir o cumprimento das regras, a luta contra a fraude e o reforço da segurança, o desenvolvimento do seu trabalho através de agrupamentos (</w:t>
            </w:r>
            <w:r>
              <w:rPr>
                <w:rFonts w:ascii="Arial" w:hAnsi="Arial"/>
                <w:i/>
                <w:noProof/>
                <w:color w:val="1036A0"/>
                <w:sz w:val="20"/>
              </w:rPr>
              <w:t>clusters</w:t>
            </w:r>
            <w:r>
              <w:rPr>
                <w:rFonts w:ascii="Arial" w:hAnsi="Arial"/>
                <w:noProof/>
                <w:color w:val="1036A0"/>
                <w:sz w:val="20"/>
              </w:rPr>
              <w:t xml:space="preserve">) de caráter temático ou geográfico e o acompanhamento de uma integração mais aprofundada decorrente do novo ambiente informático. Com meios adicionais limitados, esta opção permitiria aumentar significativamente o valor acrescentado da UE global do programa. </w:t>
            </w:r>
          </w:p>
        </w:tc>
      </w:tr>
      <w:tr>
        <w:tc>
          <w:tcPr>
            <w:tcW w:w="10490" w:type="dxa"/>
            <w:shd w:val="clear" w:color="auto" w:fill="CCCCCC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lastRenderedPageBreak/>
              <w:t>Quem apoia cada uma das opções?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color w:val="1036A0"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Todas as partes interessadas são a favor da opção 3. Tanto o Parlamento Europeu como o Conselho e o Tribunal de Contas manifestaram o seu apoio a um ambicioso programa aduaneiro da UE, que contribua para uma implementação da união aduaneira melhor e mais uniforme. As consultas das partes interessadas centraram-se principalmente nas administrações aduaneiras como beneficiários diretos do programa. Além disso, apoiaram firmemente a continuação deste programa que funciona bem e sugeriram que seria possível obter benefícios exponenciais, reforçando de maneira marginal as suas ações conforme prevê a opção 3.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C. Impactos da opção preferida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Quais são os benefícios da opção preferida (se existir; caso contrário, das principais opções)?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As administrações aduaneiras são os beneficiários diretos do programa. Na opção 3, o programa irá proporcionar-lhes o quadro de cooperação (operacional, organizacional, metodológico e orçamental) necessário. O reforço das capacidades administrativas, incluindo das capacidades humanas e de TI, permitir-lhes-á evoluir no sentido de serem administrações modernas capazes de lidar com um número crescente de tarefas essenciais que lhes incumbem. A opção preferida melhorará o funcionamento da união aduaneira e das autoridades aduaneiras, reforçando substancialmente a cooperação entre os Estados-Membros e com os países terceiros, bem como reforçando o desempenho das administrações aduaneiras em toda a UE. Do mesmo modo, esta opção permitiria, ao longo do tempo, a evolução da capacidade de TI se fizesse em consonância com a política aduaneira da UE. A melhoria do desempenho das alfândegas através de soluções de TI comuns e da cooperação afeta diretamente a fluidez do comércio legítimo de mercadorias que entram e saem do território da União, uma vez que as alfândegas detetarão e bloquearão mais eficaz e rapidamente as mercadorias perigosas e ilícitas nas fronteiras. Os cidadãos e as empresas são os principais beneficiários indiretos das ações realizadas no âmbito do programa, graças às redes de comunicação e aos sistemas eletrónicos europeus que permitem troca de informações e a cooperação entre as administrações aduaneiras. Devido à falta de dados quantitativos exaustivos, os benefícios foram principalmente avaliados com base nas informações qualitativas recolhidas.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Quais são os custos da opção preferida (se existir; caso contrário, das principais opções)?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Não se espera qualquer impacto negativo específico a nível social e ambiental.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Como serão afetadas as empresas, as PME e as microempresas?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O programa não inclui qualquer medida que vise diretamente as empresas, as PME e as microempresas. As empresas terão alguns benefícios indiretos de portais comuns, ferramentas de formação disponíveis e dos progressos realizado no âmbito da criação de um «balcão único».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Haverá impactos significativos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  <w:r>
              <w:rPr>
                <w:rFonts w:ascii="Tahoma" w:hAnsi="Tahoma"/>
                <w:b/>
                <w:noProof/>
                <w:sz w:val="20"/>
              </w:rPr>
              <w:t>nos orçamentos e administrações públicas nacionais?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 xml:space="preserve">Este programa tem por objetivo o financiamento de ações a favor das administrações aduaneiras. As principais despesas serão efetuadas no âmbito da contratação pública para o desenvolvimento e a exploração de sistemas eletrónicos europeus. Dado esses sistemas não serem totalmente centralizados, são igualmente necessários, para a sua implementação, investimentos a nível nacional.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Haverá outros impactos significativos?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Não existem outros impactos significativos.</w:t>
            </w:r>
            <w:r>
              <w:rPr>
                <w:rFonts w:ascii="Arial" w:hAnsi="Arial"/>
                <w:noProof/>
                <w:sz w:val="20"/>
              </w:rPr>
              <w:t xml:space="preserve">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D. Acompanhamento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Quando será reexaminada a política? </w:t>
            </w:r>
          </w:p>
        </w:tc>
      </w:tr>
      <w:t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color w:val="1036A0"/>
                <w:sz w:val="20"/>
              </w:rPr>
              <w:t>A fim de facilitar a avaliação do programa, deverá ser instituído um quadro para monitorização dos resultados alcançados pelo programa. Deverá ser garantida a plena transparência através da apresentação de relatórios periódicos sobre a monitorização e a  avaliação ao Parlamento Europeu e ao Conselho. Deve ser realizada uma avaliação intercalar do cumprimento dos objetivos do programa, da sua eficiência e do seu valor acrescentado a nível europeu. O impacto a longo prazo e a sustentabilidade dos efeitos do programa devem ser objeto de uma avaliação final.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</w:tbl>
    <w:p>
      <w:pPr>
        <w:rPr>
          <w:noProof/>
        </w:rPr>
      </w:pPr>
    </w:p>
    <w:sectPr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8" w:right="1418" w:bottom="1418" w:left="1418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PT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PT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775996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ootnoteText"/>
        <w:jc w:val="both"/>
      </w:pPr>
      <w:r>
        <w:rPr>
          <w:rStyle w:val="FootnoteReference"/>
        </w:rPr>
        <w:footnoteRef/>
      </w:r>
      <w:r>
        <w:t xml:space="preserve"> O Código Aduaneiro da União (CAU) faz parte da modernização das autoridades aduaneiras e constitui o novo regulamento-quadro em matéria de regras e procedimentos para as autoridades aduaneiras em toda a UE. As suas disposições substantivas entraram em vigor em 1 de maio de 2016.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24C88"/>
    <w:multiLevelType w:val="hybridMultilevel"/>
    <w:tmpl w:val="6D306C0E"/>
    <w:lvl w:ilvl="0" w:tplc="08090003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revisionView w:markup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Status" w:val="Green"/>
    <w:docVar w:name="LW_ACCOMPAGNANT.CP" w:val="que acompanha o documento"/>
    <w:docVar w:name="LW_CORRIGENDUM" w:val="&lt;UNUSED&gt;"/>
    <w:docVar w:name="LW_COVERPAGE_EXISTS" w:val="True"/>
    <w:docVar w:name="LW_COVERPAGE_GUID" w:val="5A5961EF-00BF-4979-BF61-AFD593DA20F4"/>
    <w:docVar w:name="LW_COVERPAGE_TYPE" w:val="1"/>
    <w:docVar w:name="LW_CROSSREFERENCE" w:val="{COM(2018) 442 final}_x000b_{SEC(2018) 295 final}_x000b_{SWD(2018) 321 final}"/>
    <w:docVar w:name="LW_DocType" w:val="NORMAL"/>
    <w:docVar w:name="LW_EMISSION" w:val="8.6.2018"/>
    <w:docVar w:name="LW_EMISSION_ISODATE" w:val="2018-06-08"/>
    <w:docVar w:name="LW_EMISSION_LOCATION" w:val="BRX"/>
    <w:docVar w:name="LW_EMISSION_PREFIX" w:val="Bruxelas, "/>
    <w:docVar w:name="LW_EMISSION_SUFFIX" w:val="&lt;EMPTY&gt;"/>
    <w:docVar w:name="LW_ID_DOCTYPE_NONLW" w:val="CP-027"/>
    <w:docVar w:name="LW_LANGUE" w:val="PT"/>
    <w:docVar w:name="LW_LEVEL_OF_SENSITIVITY" w:val="Standard treatment"/>
    <w:docVar w:name="LW_NOM.INST" w:val="COMISSÃO EUROPEIA"/>
    <w:docVar w:name="LW_NOM.INST_JOINTDOC" w:val="&lt;EMPTY&gt;"/>
    <w:docVar w:name="LW_OBJETACTEPRINCIPAL.CP" w:val="que estabelece o programa «Alfândega» para a cooperação no domínio aduaneiro"/>
    <w:docVar w:name="LW_PART_NBR" w:val="1"/>
    <w:docVar w:name="LW_PART_NBR_TOTAL" w:val="1"/>
    <w:docVar w:name="LW_REF.INST.NEW" w:val="SWD"/>
    <w:docVar w:name="LW_REF.INST.NEW_ADOPTED" w:val="final"/>
    <w:docVar w:name="LW_REF.INST.NEW_TEXT" w:val="(2018) 322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UPERTITRE" w:val="&lt;UNUSED&gt;"/>
    <w:docVar w:name="LW_TITRE.OBJ.CP" w:val="&lt;UNUSED&gt;"/>
    <w:docVar w:name="LW_TYPE.DOC.CP" w:val="DOCUMENTO DE TRABALHO DOS SERVIÇOS DA COMISSÃO_x000b__x000b_RESUMO DA AVALIAÇÃO DE IMPACTO_x000b_"/>
    <w:docVar w:name="LW_TYPEACTEPRINCIPAL.CP" w:val="Proposta de_x000b_REGULAMENTO DO PARLAMENTO EUROPEU E DO CONSELHO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Declassification">
    <w:name w:val="Declassification"/>
    <w:basedOn w:val="Normal"/>
    <w:next w:val="Normal"/>
    <w:pPr>
      <w:jc w:val="both"/>
    </w:pPr>
    <w:rPr>
      <w:rFonts w:eastAsiaTheme="minorHAnsi"/>
      <w:szCs w:val="22"/>
    </w:r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b/>
      <w:sz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Declassification">
    <w:name w:val="Declassification"/>
    <w:basedOn w:val="Normal"/>
    <w:next w:val="Normal"/>
    <w:pPr>
      <w:jc w:val="both"/>
    </w:pPr>
    <w:rPr>
      <w:rFonts w:eastAsiaTheme="minorHAnsi"/>
      <w:szCs w:val="22"/>
    </w:r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b/>
      <w:sz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B29732916DF4D831BB0FCE0DA1F47" ma:contentTypeVersion="0" ma:contentTypeDescription="Create a new document." ma:contentTypeScope="" ma:versionID="5e87b6185a4559021c2d2dd44491d6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0aa71ebba3a1c4bc292c1729accc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495DBFA-C6FC-443C-B47B-9C9F700F3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CCE80E-734A-4297-8D0E-984F7E32D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B228E3-FEEC-429F-8C93-CFCC37DE56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7210C1-DFBF-4AFE-8210-ED6EBDA6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1319</Words>
  <Characters>7601</Characters>
  <Application>Microsoft Office Word</Application>
  <DocSecurity>0</DocSecurity>
  <Lines>104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18</cp:revision>
  <cp:lastPrinted>2018-03-20T10:34:00Z</cp:lastPrinted>
  <dcterms:created xsi:type="dcterms:W3CDTF">2018-06-01T15:39:00Z</dcterms:created>
  <dcterms:modified xsi:type="dcterms:W3CDTF">2018-06-14T07:38:00Z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Order">
    <vt:r8>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NewReviewCycle">
    <vt:lpwstr/>
  </property>
  <property fmtid="{D5CDD505-2E9C-101B-9397-08002B2CF9AE}" pid="9" name="ContentTypeId">
    <vt:lpwstr>0x010100676B29732916DF4D831BB0FCE0DA1F47</vt:lpwstr>
  </property>
  <property fmtid="{D5CDD505-2E9C-101B-9397-08002B2CF9AE}" pid="10" name="TemplateUrl">
    <vt:lpwstr/>
  </property>
  <property fmtid="{D5CDD505-2E9C-101B-9397-08002B2CF9AE}" pid="11" name="Level of sensitivity">
    <vt:lpwstr>Standard treatment</vt:lpwstr>
  </property>
  <property fmtid="{D5CDD505-2E9C-101B-9397-08002B2CF9AE}" pid="12" name="IsMyDocuments">
    <vt:bool>true</vt:bool>
  </property>
  <property name="OP_sanitized" fmtid="{D5CDD505-2E9C-101B-9397-08002B2CF9AE}" pid="13">
    <vt:lpwstr>True</vt:lpwstr>
  </property>
</Properties>
</file>